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36933" w14:textId="77777777" w:rsidR="00294293" w:rsidRPr="009939B4" w:rsidRDefault="00294293" w:rsidP="009939B4">
      <w:pPr>
        <w:rPr>
          <w:b/>
          <w:bCs/>
          <w:sz w:val="44"/>
          <w:szCs w:val="44"/>
        </w:rPr>
      </w:pPr>
      <w:bookmarkStart w:id="0" w:name="_Hlk104462156"/>
      <w:bookmarkStart w:id="1" w:name="_Toc389131241"/>
      <w:bookmarkStart w:id="2" w:name="_Toc389473036"/>
      <w:bookmarkStart w:id="3" w:name="_Toc389473185"/>
      <w:bookmarkStart w:id="4" w:name="_Toc389473272"/>
      <w:bookmarkStart w:id="5" w:name="_Toc392770343"/>
      <w:bookmarkEnd w:id="0"/>
      <w:r w:rsidRPr="009939B4">
        <w:rPr>
          <w:b/>
          <w:bCs/>
          <w:sz w:val="44"/>
          <w:szCs w:val="44"/>
        </w:rPr>
        <w:t>Canberra Health Services</w:t>
      </w:r>
    </w:p>
    <w:bookmarkEnd w:id="1"/>
    <w:bookmarkEnd w:id="2"/>
    <w:bookmarkEnd w:id="3"/>
    <w:bookmarkEnd w:id="4"/>
    <w:bookmarkEnd w:id="5"/>
    <w:p w14:paraId="70977582" w14:textId="71413757" w:rsidR="00294293" w:rsidRPr="00EF02B0" w:rsidRDefault="00294293" w:rsidP="00294293">
      <w:pPr>
        <w:rPr>
          <w:rFonts w:cs="Arial"/>
          <w:b/>
          <w:i/>
          <w:sz w:val="44"/>
          <w:szCs w:val="44"/>
        </w:rPr>
      </w:pPr>
      <w:r w:rsidRPr="00EF02B0">
        <w:rPr>
          <w:rFonts w:cs="Arial"/>
          <w:b/>
          <w:sz w:val="44"/>
          <w:szCs w:val="44"/>
        </w:rPr>
        <w:t>Procedure</w:t>
      </w:r>
    </w:p>
    <w:p w14:paraId="7D83EDF7" w14:textId="77777777" w:rsidR="00294293" w:rsidRPr="00CD1C0E" w:rsidRDefault="00294293" w:rsidP="00294293">
      <w:pPr>
        <w:rPr>
          <w:rFonts w:cs="Arial"/>
          <w:b/>
          <w:szCs w:val="24"/>
        </w:rPr>
      </w:pPr>
      <w:r>
        <w:rPr>
          <w:rFonts w:cs="Arial"/>
          <w:b/>
          <w:sz w:val="36"/>
          <w:szCs w:val="36"/>
        </w:rPr>
        <w:t>Blood Culture C</w:t>
      </w:r>
      <w:r w:rsidRPr="00573DCC">
        <w:rPr>
          <w:rFonts w:cs="Arial"/>
          <w:b/>
          <w:sz w:val="36"/>
          <w:szCs w:val="36"/>
        </w:rPr>
        <w:t>ollection</w:t>
      </w:r>
      <w:r w:rsidR="00BF4169">
        <w:rPr>
          <w:rFonts w:cs="Arial"/>
          <w:b/>
          <w:sz w:val="36"/>
          <w:szCs w:val="36"/>
        </w:rPr>
        <w:t xml:space="preserve"> (excluding neonates)</w:t>
      </w:r>
      <w:r w:rsidRPr="00573DCC">
        <w:rPr>
          <w:rFonts w:cs="Arial"/>
          <w:b/>
          <w:sz w:val="36"/>
          <w:szCs w:val="36"/>
        </w:rPr>
        <w:t xml:space="preserve"> </w:t>
      </w:r>
    </w:p>
    <w:tbl>
      <w:tblPr>
        <w:tblpPr w:leftFromText="180" w:rightFromText="180" w:vertAnchor="text" w:horzAnchor="margin" w:tblpX="-34" w:tblpY="181"/>
        <w:tblW w:w="9300" w:type="dxa"/>
        <w:tblLook w:val="0000" w:firstRow="0" w:lastRow="0" w:firstColumn="0" w:lastColumn="0" w:noHBand="0" w:noVBand="0"/>
      </w:tblPr>
      <w:tblGrid>
        <w:gridCol w:w="9300"/>
      </w:tblGrid>
      <w:tr w:rsidR="00294293" w:rsidRPr="00CD1C0E" w14:paraId="2CD4E029" w14:textId="77777777" w:rsidTr="00FC6F90">
        <w:trPr>
          <w:cantSplit/>
          <w:trHeight w:val="285"/>
        </w:trPr>
        <w:tc>
          <w:tcPr>
            <w:tcW w:w="9300" w:type="dxa"/>
            <w:shd w:val="clear" w:color="auto" w:fill="A6A6A6"/>
          </w:tcPr>
          <w:p w14:paraId="494D12BE" w14:textId="77777777" w:rsidR="00294293" w:rsidRPr="00CD1C0E" w:rsidRDefault="00294293" w:rsidP="00FC6F90">
            <w:pPr>
              <w:pStyle w:val="Heading1"/>
            </w:pPr>
            <w:bookmarkStart w:id="6" w:name="_Toc389473273"/>
            <w:bookmarkStart w:id="7" w:name="Contents"/>
            <w:bookmarkStart w:id="8" w:name="_Toc113627980"/>
            <w:r w:rsidRPr="00CD1C0E">
              <w:t>Contents</w:t>
            </w:r>
            <w:bookmarkEnd w:id="6"/>
            <w:bookmarkEnd w:id="7"/>
            <w:bookmarkEnd w:id="8"/>
          </w:p>
        </w:tc>
      </w:tr>
    </w:tbl>
    <w:p w14:paraId="7DA85643" w14:textId="77777777" w:rsidR="00294293" w:rsidRDefault="00294293" w:rsidP="00294293"/>
    <w:p w14:paraId="46E0DD02" w14:textId="67EDFA62" w:rsidR="009939B4" w:rsidRDefault="009939B4">
      <w:pPr>
        <w:pStyle w:val="TOC1"/>
        <w:rPr>
          <w:rFonts w:asciiTheme="minorHAnsi" w:eastAsiaTheme="minorEastAsia" w:hAnsiTheme="minorHAnsi" w:cstheme="minorBidi"/>
          <w:noProof/>
          <w:sz w:val="22"/>
          <w:szCs w:val="22"/>
          <w:lang w:eastAsia="en-AU"/>
        </w:rPr>
      </w:pPr>
      <w:r>
        <w:fldChar w:fldCharType="begin"/>
      </w:r>
      <w:r>
        <w:instrText xml:space="preserve"> TOC \o "1-3" \h \z \u </w:instrText>
      </w:r>
      <w:r>
        <w:fldChar w:fldCharType="separate"/>
      </w:r>
      <w:hyperlink w:anchor="_Toc113627980" w:history="1">
        <w:r w:rsidRPr="0003093A">
          <w:rPr>
            <w:rStyle w:val="Hyperlink"/>
            <w:noProof/>
          </w:rPr>
          <w:t>Contents</w:t>
        </w:r>
        <w:r>
          <w:rPr>
            <w:noProof/>
            <w:webHidden/>
          </w:rPr>
          <w:tab/>
        </w:r>
        <w:r>
          <w:rPr>
            <w:noProof/>
            <w:webHidden/>
          </w:rPr>
          <w:fldChar w:fldCharType="begin"/>
        </w:r>
        <w:r>
          <w:rPr>
            <w:noProof/>
            <w:webHidden/>
          </w:rPr>
          <w:instrText xml:space="preserve"> PAGEREF _Toc113627980 \h </w:instrText>
        </w:r>
        <w:r>
          <w:rPr>
            <w:noProof/>
            <w:webHidden/>
          </w:rPr>
        </w:r>
        <w:r>
          <w:rPr>
            <w:noProof/>
            <w:webHidden/>
          </w:rPr>
          <w:fldChar w:fldCharType="separate"/>
        </w:r>
        <w:r>
          <w:rPr>
            <w:noProof/>
            <w:webHidden/>
          </w:rPr>
          <w:t>1</w:t>
        </w:r>
        <w:r>
          <w:rPr>
            <w:noProof/>
            <w:webHidden/>
          </w:rPr>
          <w:fldChar w:fldCharType="end"/>
        </w:r>
      </w:hyperlink>
    </w:p>
    <w:p w14:paraId="3B8B7E54" w14:textId="27751077" w:rsidR="009939B4" w:rsidRDefault="00912EDA">
      <w:pPr>
        <w:pStyle w:val="TOC1"/>
        <w:rPr>
          <w:rFonts w:asciiTheme="minorHAnsi" w:eastAsiaTheme="minorEastAsia" w:hAnsiTheme="minorHAnsi" w:cstheme="minorBidi"/>
          <w:noProof/>
          <w:sz w:val="22"/>
          <w:szCs w:val="22"/>
          <w:lang w:eastAsia="en-AU"/>
        </w:rPr>
      </w:pPr>
      <w:hyperlink w:anchor="_Toc113627981" w:history="1">
        <w:r w:rsidR="009939B4" w:rsidRPr="0003093A">
          <w:rPr>
            <w:rStyle w:val="Hyperlink"/>
            <w:noProof/>
          </w:rPr>
          <w:t>Purpose</w:t>
        </w:r>
        <w:r w:rsidR="009939B4">
          <w:rPr>
            <w:noProof/>
            <w:webHidden/>
          </w:rPr>
          <w:tab/>
        </w:r>
        <w:r w:rsidR="009939B4">
          <w:rPr>
            <w:noProof/>
            <w:webHidden/>
          </w:rPr>
          <w:fldChar w:fldCharType="begin"/>
        </w:r>
        <w:r w:rsidR="009939B4">
          <w:rPr>
            <w:noProof/>
            <w:webHidden/>
          </w:rPr>
          <w:instrText xml:space="preserve"> PAGEREF _Toc113627981 \h </w:instrText>
        </w:r>
        <w:r w:rsidR="009939B4">
          <w:rPr>
            <w:noProof/>
            <w:webHidden/>
          </w:rPr>
        </w:r>
        <w:r w:rsidR="009939B4">
          <w:rPr>
            <w:noProof/>
            <w:webHidden/>
          </w:rPr>
          <w:fldChar w:fldCharType="separate"/>
        </w:r>
        <w:r w:rsidR="009939B4">
          <w:rPr>
            <w:noProof/>
            <w:webHidden/>
          </w:rPr>
          <w:t>2</w:t>
        </w:r>
        <w:r w:rsidR="009939B4">
          <w:rPr>
            <w:noProof/>
            <w:webHidden/>
          </w:rPr>
          <w:fldChar w:fldCharType="end"/>
        </w:r>
      </w:hyperlink>
    </w:p>
    <w:p w14:paraId="717A25DE" w14:textId="73DF2DA7" w:rsidR="009939B4" w:rsidRDefault="00912EDA">
      <w:pPr>
        <w:pStyle w:val="TOC1"/>
        <w:rPr>
          <w:rFonts w:asciiTheme="minorHAnsi" w:eastAsiaTheme="minorEastAsia" w:hAnsiTheme="minorHAnsi" w:cstheme="minorBidi"/>
          <w:noProof/>
          <w:sz w:val="22"/>
          <w:szCs w:val="22"/>
          <w:lang w:eastAsia="en-AU"/>
        </w:rPr>
      </w:pPr>
      <w:hyperlink w:anchor="_Toc113627982" w:history="1">
        <w:r w:rsidR="009939B4" w:rsidRPr="0003093A">
          <w:rPr>
            <w:rStyle w:val="Hyperlink"/>
            <w:noProof/>
          </w:rPr>
          <w:t>Scope</w:t>
        </w:r>
        <w:r w:rsidR="009939B4">
          <w:rPr>
            <w:noProof/>
            <w:webHidden/>
          </w:rPr>
          <w:tab/>
        </w:r>
        <w:r w:rsidR="009939B4">
          <w:rPr>
            <w:noProof/>
            <w:webHidden/>
          </w:rPr>
          <w:fldChar w:fldCharType="begin"/>
        </w:r>
        <w:r w:rsidR="009939B4">
          <w:rPr>
            <w:noProof/>
            <w:webHidden/>
          </w:rPr>
          <w:instrText xml:space="preserve"> PAGEREF _Toc113627982 \h </w:instrText>
        </w:r>
        <w:r w:rsidR="009939B4">
          <w:rPr>
            <w:noProof/>
            <w:webHidden/>
          </w:rPr>
        </w:r>
        <w:r w:rsidR="009939B4">
          <w:rPr>
            <w:noProof/>
            <w:webHidden/>
          </w:rPr>
          <w:fldChar w:fldCharType="separate"/>
        </w:r>
        <w:r w:rsidR="009939B4">
          <w:rPr>
            <w:noProof/>
            <w:webHidden/>
          </w:rPr>
          <w:t>2</w:t>
        </w:r>
        <w:r w:rsidR="009939B4">
          <w:rPr>
            <w:noProof/>
            <w:webHidden/>
          </w:rPr>
          <w:fldChar w:fldCharType="end"/>
        </w:r>
      </w:hyperlink>
    </w:p>
    <w:p w14:paraId="760BAF2E" w14:textId="20C1AA39" w:rsidR="009939B4" w:rsidRDefault="00912EDA">
      <w:pPr>
        <w:pStyle w:val="TOC1"/>
        <w:rPr>
          <w:rFonts w:asciiTheme="minorHAnsi" w:eastAsiaTheme="minorEastAsia" w:hAnsiTheme="minorHAnsi" w:cstheme="minorBidi"/>
          <w:noProof/>
          <w:sz w:val="22"/>
          <w:szCs w:val="22"/>
          <w:lang w:eastAsia="en-AU"/>
        </w:rPr>
      </w:pPr>
      <w:hyperlink w:anchor="_Toc113627983" w:history="1">
        <w:r w:rsidR="009939B4" w:rsidRPr="0003093A">
          <w:rPr>
            <w:rStyle w:val="Hyperlink"/>
            <w:noProof/>
          </w:rPr>
          <w:t>Alerts</w:t>
        </w:r>
        <w:r w:rsidR="009939B4">
          <w:rPr>
            <w:noProof/>
            <w:webHidden/>
          </w:rPr>
          <w:tab/>
        </w:r>
        <w:r w:rsidR="009939B4">
          <w:rPr>
            <w:noProof/>
            <w:webHidden/>
          </w:rPr>
          <w:fldChar w:fldCharType="begin"/>
        </w:r>
        <w:r w:rsidR="009939B4">
          <w:rPr>
            <w:noProof/>
            <w:webHidden/>
          </w:rPr>
          <w:instrText xml:space="preserve"> PAGEREF _Toc113627983 \h </w:instrText>
        </w:r>
        <w:r w:rsidR="009939B4">
          <w:rPr>
            <w:noProof/>
            <w:webHidden/>
          </w:rPr>
        </w:r>
        <w:r w:rsidR="009939B4">
          <w:rPr>
            <w:noProof/>
            <w:webHidden/>
          </w:rPr>
          <w:fldChar w:fldCharType="separate"/>
        </w:r>
        <w:r w:rsidR="009939B4">
          <w:rPr>
            <w:noProof/>
            <w:webHidden/>
          </w:rPr>
          <w:t>2</w:t>
        </w:r>
        <w:r w:rsidR="009939B4">
          <w:rPr>
            <w:noProof/>
            <w:webHidden/>
          </w:rPr>
          <w:fldChar w:fldCharType="end"/>
        </w:r>
      </w:hyperlink>
    </w:p>
    <w:p w14:paraId="394C6987" w14:textId="770FD8B3" w:rsidR="009939B4" w:rsidRDefault="00912EDA">
      <w:pPr>
        <w:pStyle w:val="TOC1"/>
        <w:rPr>
          <w:rFonts w:asciiTheme="minorHAnsi" w:eastAsiaTheme="minorEastAsia" w:hAnsiTheme="minorHAnsi" w:cstheme="minorBidi"/>
          <w:noProof/>
          <w:sz w:val="22"/>
          <w:szCs w:val="22"/>
          <w:lang w:eastAsia="en-AU"/>
        </w:rPr>
      </w:pPr>
      <w:hyperlink w:anchor="_Toc113627984" w:history="1">
        <w:r w:rsidR="009939B4" w:rsidRPr="0003093A">
          <w:rPr>
            <w:rStyle w:val="Hyperlink"/>
            <w:noProof/>
          </w:rPr>
          <w:t>Scope</w:t>
        </w:r>
        <w:r w:rsidR="009939B4">
          <w:rPr>
            <w:noProof/>
            <w:webHidden/>
          </w:rPr>
          <w:tab/>
        </w:r>
        <w:r w:rsidR="009939B4">
          <w:rPr>
            <w:noProof/>
            <w:webHidden/>
          </w:rPr>
          <w:fldChar w:fldCharType="begin"/>
        </w:r>
        <w:r w:rsidR="009939B4">
          <w:rPr>
            <w:noProof/>
            <w:webHidden/>
          </w:rPr>
          <w:instrText xml:space="preserve"> PAGEREF _Toc113627984 \h </w:instrText>
        </w:r>
        <w:r w:rsidR="009939B4">
          <w:rPr>
            <w:noProof/>
            <w:webHidden/>
          </w:rPr>
        </w:r>
        <w:r w:rsidR="009939B4">
          <w:rPr>
            <w:noProof/>
            <w:webHidden/>
          </w:rPr>
          <w:fldChar w:fldCharType="separate"/>
        </w:r>
        <w:r w:rsidR="009939B4">
          <w:rPr>
            <w:noProof/>
            <w:webHidden/>
          </w:rPr>
          <w:t>2</w:t>
        </w:r>
        <w:r w:rsidR="009939B4">
          <w:rPr>
            <w:noProof/>
            <w:webHidden/>
          </w:rPr>
          <w:fldChar w:fldCharType="end"/>
        </w:r>
      </w:hyperlink>
    </w:p>
    <w:p w14:paraId="43793696" w14:textId="0C2DE40E" w:rsidR="009939B4" w:rsidRDefault="00912EDA">
      <w:pPr>
        <w:pStyle w:val="TOC1"/>
        <w:rPr>
          <w:rFonts w:asciiTheme="minorHAnsi" w:eastAsiaTheme="minorEastAsia" w:hAnsiTheme="minorHAnsi" w:cstheme="minorBidi"/>
          <w:noProof/>
          <w:sz w:val="22"/>
          <w:szCs w:val="22"/>
          <w:lang w:eastAsia="en-AU"/>
        </w:rPr>
      </w:pPr>
      <w:hyperlink w:anchor="_Toc113627985" w:history="1">
        <w:r w:rsidR="009939B4" w:rsidRPr="0003093A">
          <w:rPr>
            <w:rStyle w:val="Hyperlink"/>
            <w:noProof/>
          </w:rPr>
          <w:t>Section 1 – Indications for Blood Culture Collection</w:t>
        </w:r>
        <w:r w:rsidR="009939B4">
          <w:rPr>
            <w:noProof/>
            <w:webHidden/>
          </w:rPr>
          <w:tab/>
        </w:r>
        <w:r w:rsidR="009939B4">
          <w:rPr>
            <w:noProof/>
            <w:webHidden/>
          </w:rPr>
          <w:fldChar w:fldCharType="begin"/>
        </w:r>
        <w:r w:rsidR="009939B4">
          <w:rPr>
            <w:noProof/>
            <w:webHidden/>
          </w:rPr>
          <w:instrText xml:space="preserve"> PAGEREF _Toc113627985 \h </w:instrText>
        </w:r>
        <w:r w:rsidR="009939B4">
          <w:rPr>
            <w:noProof/>
            <w:webHidden/>
          </w:rPr>
        </w:r>
        <w:r w:rsidR="009939B4">
          <w:rPr>
            <w:noProof/>
            <w:webHidden/>
          </w:rPr>
          <w:fldChar w:fldCharType="separate"/>
        </w:r>
        <w:r w:rsidR="009939B4">
          <w:rPr>
            <w:noProof/>
            <w:webHidden/>
          </w:rPr>
          <w:t>2</w:t>
        </w:r>
        <w:r w:rsidR="009939B4">
          <w:rPr>
            <w:noProof/>
            <w:webHidden/>
          </w:rPr>
          <w:fldChar w:fldCharType="end"/>
        </w:r>
      </w:hyperlink>
    </w:p>
    <w:p w14:paraId="1C2FEA77" w14:textId="6F63444D" w:rsidR="009939B4" w:rsidRDefault="00912EDA">
      <w:pPr>
        <w:pStyle w:val="TOC1"/>
        <w:rPr>
          <w:rFonts w:asciiTheme="minorHAnsi" w:eastAsiaTheme="minorEastAsia" w:hAnsiTheme="minorHAnsi" w:cstheme="minorBidi"/>
          <w:noProof/>
          <w:sz w:val="22"/>
          <w:szCs w:val="22"/>
          <w:lang w:eastAsia="en-AU"/>
        </w:rPr>
      </w:pPr>
      <w:hyperlink w:anchor="_Toc113627986" w:history="1">
        <w:r w:rsidR="009939B4" w:rsidRPr="0003093A">
          <w:rPr>
            <w:rStyle w:val="Hyperlink"/>
            <w:noProof/>
          </w:rPr>
          <w:t>Section 2 – Adult Patients</w:t>
        </w:r>
        <w:r w:rsidR="009939B4">
          <w:rPr>
            <w:noProof/>
            <w:webHidden/>
          </w:rPr>
          <w:tab/>
        </w:r>
        <w:r w:rsidR="009939B4">
          <w:rPr>
            <w:noProof/>
            <w:webHidden/>
          </w:rPr>
          <w:fldChar w:fldCharType="begin"/>
        </w:r>
        <w:r w:rsidR="009939B4">
          <w:rPr>
            <w:noProof/>
            <w:webHidden/>
          </w:rPr>
          <w:instrText xml:space="preserve"> PAGEREF _Toc113627986 \h </w:instrText>
        </w:r>
        <w:r w:rsidR="009939B4">
          <w:rPr>
            <w:noProof/>
            <w:webHidden/>
          </w:rPr>
        </w:r>
        <w:r w:rsidR="009939B4">
          <w:rPr>
            <w:noProof/>
            <w:webHidden/>
          </w:rPr>
          <w:fldChar w:fldCharType="separate"/>
        </w:r>
        <w:r w:rsidR="009939B4">
          <w:rPr>
            <w:noProof/>
            <w:webHidden/>
          </w:rPr>
          <w:t>3</w:t>
        </w:r>
        <w:r w:rsidR="009939B4">
          <w:rPr>
            <w:noProof/>
            <w:webHidden/>
          </w:rPr>
          <w:fldChar w:fldCharType="end"/>
        </w:r>
      </w:hyperlink>
    </w:p>
    <w:p w14:paraId="7542A621" w14:textId="0E158F87" w:rsidR="009939B4" w:rsidRDefault="00912EDA">
      <w:pPr>
        <w:pStyle w:val="TOC1"/>
        <w:rPr>
          <w:rFonts w:asciiTheme="minorHAnsi" w:eastAsiaTheme="minorEastAsia" w:hAnsiTheme="minorHAnsi" w:cstheme="minorBidi"/>
          <w:noProof/>
          <w:sz w:val="22"/>
          <w:szCs w:val="22"/>
          <w:lang w:eastAsia="en-AU"/>
        </w:rPr>
      </w:pPr>
      <w:hyperlink w:anchor="_Toc113627987" w:history="1">
        <w:r w:rsidR="009939B4" w:rsidRPr="0003093A">
          <w:rPr>
            <w:rStyle w:val="Hyperlink"/>
            <w:noProof/>
          </w:rPr>
          <w:t>Section 3 – Paediatric Patients</w:t>
        </w:r>
        <w:r w:rsidR="009939B4">
          <w:rPr>
            <w:noProof/>
            <w:webHidden/>
          </w:rPr>
          <w:tab/>
        </w:r>
        <w:r w:rsidR="009939B4">
          <w:rPr>
            <w:noProof/>
            <w:webHidden/>
          </w:rPr>
          <w:fldChar w:fldCharType="begin"/>
        </w:r>
        <w:r w:rsidR="009939B4">
          <w:rPr>
            <w:noProof/>
            <w:webHidden/>
          </w:rPr>
          <w:instrText xml:space="preserve"> PAGEREF _Toc113627987 \h </w:instrText>
        </w:r>
        <w:r w:rsidR="009939B4">
          <w:rPr>
            <w:noProof/>
            <w:webHidden/>
          </w:rPr>
        </w:r>
        <w:r w:rsidR="009939B4">
          <w:rPr>
            <w:noProof/>
            <w:webHidden/>
          </w:rPr>
          <w:fldChar w:fldCharType="separate"/>
        </w:r>
        <w:r w:rsidR="009939B4">
          <w:rPr>
            <w:noProof/>
            <w:webHidden/>
          </w:rPr>
          <w:t>4</w:t>
        </w:r>
        <w:r w:rsidR="009939B4">
          <w:rPr>
            <w:noProof/>
            <w:webHidden/>
          </w:rPr>
          <w:fldChar w:fldCharType="end"/>
        </w:r>
      </w:hyperlink>
    </w:p>
    <w:p w14:paraId="18EC2418" w14:textId="6183BFD0" w:rsidR="009939B4" w:rsidRDefault="00912EDA">
      <w:pPr>
        <w:pStyle w:val="TOC1"/>
        <w:rPr>
          <w:rFonts w:asciiTheme="minorHAnsi" w:eastAsiaTheme="minorEastAsia" w:hAnsiTheme="minorHAnsi" w:cstheme="minorBidi"/>
          <w:noProof/>
          <w:sz w:val="22"/>
          <w:szCs w:val="22"/>
          <w:lang w:eastAsia="en-AU"/>
        </w:rPr>
      </w:pPr>
      <w:hyperlink w:anchor="_Toc113627988" w:history="1">
        <w:r w:rsidR="009939B4" w:rsidRPr="0003093A">
          <w:rPr>
            <w:rStyle w:val="Hyperlink"/>
            <w:noProof/>
          </w:rPr>
          <w:t>Section 4 – Blood Culture Collection</w:t>
        </w:r>
        <w:r w:rsidR="009939B4" w:rsidRPr="0003093A">
          <w:rPr>
            <w:rStyle w:val="Hyperlink"/>
            <w:bCs/>
            <w:noProof/>
          </w:rPr>
          <w:t xml:space="preserve"> from a Peripheral Site</w:t>
        </w:r>
        <w:r w:rsidR="009939B4">
          <w:rPr>
            <w:noProof/>
            <w:webHidden/>
          </w:rPr>
          <w:tab/>
        </w:r>
        <w:r w:rsidR="009939B4">
          <w:rPr>
            <w:noProof/>
            <w:webHidden/>
          </w:rPr>
          <w:fldChar w:fldCharType="begin"/>
        </w:r>
        <w:r w:rsidR="009939B4">
          <w:rPr>
            <w:noProof/>
            <w:webHidden/>
          </w:rPr>
          <w:instrText xml:space="preserve"> PAGEREF _Toc113627988 \h </w:instrText>
        </w:r>
        <w:r w:rsidR="009939B4">
          <w:rPr>
            <w:noProof/>
            <w:webHidden/>
          </w:rPr>
        </w:r>
        <w:r w:rsidR="009939B4">
          <w:rPr>
            <w:noProof/>
            <w:webHidden/>
          </w:rPr>
          <w:fldChar w:fldCharType="separate"/>
        </w:r>
        <w:r w:rsidR="009939B4">
          <w:rPr>
            <w:noProof/>
            <w:webHidden/>
          </w:rPr>
          <w:t>5</w:t>
        </w:r>
        <w:r w:rsidR="009939B4">
          <w:rPr>
            <w:noProof/>
            <w:webHidden/>
          </w:rPr>
          <w:fldChar w:fldCharType="end"/>
        </w:r>
      </w:hyperlink>
    </w:p>
    <w:p w14:paraId="363179F9" w14:textId="1992E75A" w:rsidR="009939B4" w:rsidRDefault="00912EDA">
      <w:pPr>
        <w:pStyle w:val="TOC1"/>
        <w:rPr>
          <w:rFonts w:asciiTheme="minorHAnsi" w:eastAsiaTheme="minorEastAsia" w:hAnsiTheme="minorHAnsi" w:cstheme="minorBidi"/>
          <w:noProof/>
          <w:sz w:val="22"/>
          <w:szCs w:val="22"/>
          <w:lang w:eastAsia="en-AU"/>
        </w:rPr>
      </w:pPr>
      <w:hyperlink w:anchor="_Toc113627989" w:history="1">
        <w:r w:rsidR="009939B4" w:rsidRPr="0003093A">
          <w:rPr>
            <w:rStyle w:val="Hyperlink"/>
            <w:noProof/>
          </w:rPr>
          <w:t>Section 5 – Blood Culture Collection from a Central Venous Access Device (CVAD)</w:t>
        </w:r>
        <w:r w:rsidR="009939B4">
          <w:rPr>
            <w:noProof/>
            <w:webHidden/>
          </w:rPr>
          <w:tab/>
        </w:r>
        <w:r w:rsidR="009939B4">
          <w:rPr>
            <w:noProof/>
            <w:webHidden/>
          </w:rPr>
          <w:fldChar w:fldCharType="begin"/>
        </w:r>
        <w:r w:rsidR="009939B4">
          <w:rPr>
            <w:noProof/>
            <w:webHidden/>
          </w:rPr>
          <w:instrText xml:space="preserve"> PAGEREF _Toc113627989 \h </w:instrText>
        </w:r>
        <w:r w:rsidR="009939B4">
          <w:rPr>
            <w:noProof/>
            <w:webHidden/>
          </w:rPr>
        </w:r>
        <w:r w:rsidR="009939B4">
          <w:rPr>
            <w:noProof/>
            <w:webHidden/>
          </w:rPr>
          <w:fldChar w:fldCharType="separate"/>
        </w:r>
        <w:r w:rsidR="009939B4">
          <w:rPr>
            <w:noProof/>
            <w:webHidden/>
          </w:rPr>
          <w:t>9</w:t>
        </w:r>
        <w:r w:rsidR="009939B4">
          <w:rPr>
            <w:noProof/>
            <w:webHidden/>
          </w:rPr>
          <w:fldChar w:fldCharType="end"/>
        </w:r>
      </w:hyperlink>
    </w:p>
    <w:p w14:paraId="2321035A" w14:textId="6B37B43B" w:rsidR="009939B4" w:rsidRDefault="00912EDA">
      <w:pPr>
        <w:pStyle w:val="TOC1"/>
        <w:rPr>
          <w:rFonts w:asciiTheme="minorHAnsi" w:eastAsiaTheme="minorEastAsia" w:hAnsiTheme="minorHAnsi" w:cstheme="minorBidi"/>
          <w:noProof/>
          <w:sz w:val="22"/>
          <w:szCs w:val="22"/>
          <w:lang w:eastAsia="en-AU"/>
        </w:rPr>
      </w:pPr>
      <w:hyperlink w:anchor="_Toc113627990" w:history="1">
        <w:r w:rsidR="009939B4" w:rsidRPr="0003093A">
          <w:rPr>
            <w:rStyle w:val="Hyperlink"/>
            <w:noProof/>
          </w:rPr>
          <w:t>Section 6 – Practice Recommendations</w:t>
        </w:r>
        <w:r w:rsidR="009939B4">
          <w:rPr>
            <w:noProof/>
            <w:webHidden/>
          </w:rPr>
          <w:tab/>
        </w:r>
        <w:r w:rsidR="009939B4">
          <w:rPr>
            <w:noProof/>
            <w:webHidden/>
          </w:rPr>
          <w:fldChar w:fldCharType="begin"/>
        </w:r>
        <w:r w:rsidR="009939B4">
          <w:rPr>
            <w:noProof/>
            <w:webHidden/>
          </w:rPr>
          <w:instrText xml:space="preserve"> PAGEREF _Toc113627990 \h </w:instrText>
        </w:r>
        <w:r w:rsidR="009939B4">
          <w:rPr>
            <w:noProof/>
            <w:webHidden/>
          </w:rPr>
        </w:r>
        <w:r w:rsidR="009939B4">
          <w:rPr>
            <w:noProof/>
            <w:webHidden/>
          </w:rPr>
          <w:fldChar w:fldCharType="separate"/>
        </w:r>
        <w:r w:rsidR="009939B4">
          <w:rPr>
            <w:noProof/>
            <w:webHidden/>
          </w:rPr>
          <w:t>12</w:t>
        </w:r>
        <w:r w:rsidR="009939B4">
          <w:rPr>
            <w:noProof/>
            <w:webHidden/>
          </w:rPr>
          <w:fldChar w:fldCharType="end"/>
        </w:r>
      </w:hyperlink>
    </w:p>
    <w:p w14:paraId="448A4885" w14:textId="4D968FED" w:rsidR="009939B4" w:rsidRDefault="00912EDA">
      <w:pPr>
        <w:pStyle w:val="TOC1"/>
        <w:rPr>
          <w:rFonts w:asciiTheme="minorHAnsi" w:eastAsiaTheme="minorEastAsia" w:hAnsiTheme="minorHAnsi" w:cstheme="minorBidi"/>
          <w:noProof/>
          <w:sz w:val="22"/>
          <w:szCs w:val="22"/>
          <w:lang w:eastAsia="en-AU"/>
        </w:rPr>
      </w:pPr>
      <w:hyperlink w:anchor="_Toc113627991" w:history="1">
        <w:r w:rsidR="009939B4" w:rsidRPr="0003093A">
          <w:rPr>
            <w:rStyle w:val="Hyperlink"/>
            <w:noProof/>
          </w:rPr>
          <w:t>Evaluation</w:t>
        </w:r>
        <w:r w:rsidR="009939B4">
          <w:rPr>
            <w:noProof/>
            <w:webHidden/>
          </w:rPr>
          <w:tab/>
        </w:r>
        <w:r w:rsidR="009939B4">
          <w:rPr>
            <w:noProof/>
            <w:webHidden/>
          </w:rPr>
          <w:fldChar w:fldCharType="begin"/>
        </w:r>
        <w:r w:rsidR="009939B4">
          <w:rPr>
            <w:noProof/>
            <w:webHidden/>
          </w:rPr>
          <w:instrText xml:space="preserve"> PAGEREF _Toc113627991 \h </w:instrText>
        </w:r>
        <w:r w:rsidR="009939B4">
          <w:rPr>
            <w:noProof/>
            <w:webHidden/>
          </w:rPr>
        </w:r>
        <w:r w:rsidR="009939B4">
          <w:rPr>
            <w:noProof/>
            <w:webHidden/>
          </w:rPr>
          <w:fldChar w:fldCharType="separate"/>
        </w:r>
        <w:r w:rsidR="009939B4">
          <w:rPr>
            <w:noProof/>
            <w:webHidden/>
          </w:rPr>
          <w:t>13</w:t>
        </w:r>
        <w:r w:rsidR="009939B4">
          <w:rPr>
            <w:noProof/>
            <w:webHidden/>
          </w:rPr>
          <w:fldChar w:fldCharType="end"/>
        </w:r>
      </w:hyperlink>
    </w:p>
    <w:p w14:paraId="080CF255" w14:textId="5D4FDAFA" w:rsidR="009939B4" w:rsidRDefault="00912EDA">
      <w:pPr>
        <w:pStyle w:val="TOC1"/>
        <w:rPr>
          <w:rFonts w:asciiTheme="minorHAnsi" w:eastAsiaTheme="minorEastAsia" w:hAnsiTheme="minorHAnsi" w:cstheme="minorBidi"/>
          <w:noProof/>
          <w:sz w:val="22"/>
          <w:szCs w:val="22"/>
          <w:lang w:eastAsia="en-AU"/>
        </w:rPr>
      </w:pPr>
      <w:hyperlink w:anchor="_Toc113627992" w:history="1">
        <w:r w:rsidR="009939B4" w:rsidRPr="0003093A">
          <w:rPr>
            <w:rStyle w:val="Hyperlink"/>
            <w:noProof/>
          </w:rPr>
          <w:t>Related Policies, Procedures, Guidelines and Legislation</w:t>
        </w:r>
        <w:r w:rsidR="009939B4">
          <w:rPr>
            <w:noProof/>
            <w:webHidden/>
          </w:rPr>
          <w:tab/>
        </w:r>
        <w:r w:rsidR="009939B4">
          <w:rPr>
            <w:noProof/>
            <w:webHidden/>
          </w:rPr>
          <w:fldChar w:fldCharType="begin"/>
        </w:r>
        <w:r w:rsidR="009939B4">
          <w:rPr>
            <w:noProof/>
            <w:webHidden/>
          </w:rPr>
          <w:instrText xml:space="preserve"> PAGEREF _Toc113627992 \h </w:instrText>
        </w:r>
        <w:r w:rsidR="009939B4">
          <w:rPr>
            <w:noProof/>
            <w:webHidden/>
          </w:rPr>
        </w:r>
        <w:r w:rsidR="009939B4">
          <w:rPr>
            <w:noProof/>
            <w:webHidden/>
          </w:rPr>
          <w:fldChar w:fldCharType="separate"/>
        </w:r>
        <w:r w:rsidR="009939B4">
          <w:rPr>
            <w:noProof/>
            <w:webHidden/>
          </w:rPr>
          <w:t>13</w:t>
        </w:r>
        <w:r w:rsidR="009939B4">
          <w:rPr>
            <w:noProof/>
            <w:webHidden/>
          </w:rPr>
          <w:fldChar w:fldCharType="end"/>
        </w:r>
      </w:hyperlink>
    </w:p>
    <w:p w14:paraId="73B95C73" w14:textId="0CF363DB" w:rsidR="009939B4" w:rsidRDefault="00912EDA">
      <w:pPr>
        <w:pStyle w:val="TOC1"/>
        <w:rPr>
          <w:rFonts w:asciiTheme="minorHAnsi" w:eastAsiaTheme="minorEastAsia" w:hAnsiTheme="minorHAnsi" w:cstheme="minorBidi"/>
          <w:noProof/>
          <w:sz w:val="22"/>
          <w:szCs w:val="22"/>
          <w:lang w:eastAsia="en-AU"/>
        </w:rPr>
      </w:pPr>
      <w:hyperlink w:anchor="_Toc113627993" w:history="1">
        <w:r w:rsidR="009939B4" w:rsidRPr="0003093A">
          <w:rPr>
            <w:rStyle w:val="Hyperlink"/>
            <w:noProof/>
          </w:rPr>
          <w:t>References</w:t>
        </w:r>
        <w:r w:rsidR="009939B4">
          <w:rPr>
            <w:noProof/>
            <w:webHidden/>
          </w:rPr>
          <w:tab/>
        </w:r>
        <w:r w:rsidR="009939B4">
          <w:rPr>
            <w:noProof/>
            <w:webHidden/>
          </w:rPr>
          <w:fldChar w:fldCharType="begin"/>
        </w:r>
        <w:r w:rsidR="009939B4">
          <w:rPr>
            <w:noProof/>
            <w:webHidden/>
          </w:rPr>
          <w:instrText xml:space="preserve"> PAGEREF _Toc113627993 \h </w:instrText>
        </w:r>
        <w:r w:rsidR="009939B4">
          <w:rPr>
            <w:noProof/>
            <w:webHidden/>
          </w:rPr>
        </w:r>
        <w:r w:rsidR="009939B4">
          <w:rPr>
            <w:noProof/>
            <w:webHidden/>
          </w:rPr>
          <w:fldChar w:fldCharType="separate"/>
        </w:r>
        <w:r w:rsidR="009939B4">
          <w:rPr>
            <w:noProof/>
            <w:webHidden/>
          </w:rPr>
          <w:t>14</w:t>
        </w:r>
        <w:r w:rsidR="009939B4">
          <w:rPr>
            <w:noProof/>
            <w:webHidden/>
          </w:rPr>
          <w:fldChar w:fldCharType="end"/>
        </w:r>
      </w:hyperlink>
    </w:p>
    <w:p w14:paraId="291CA31C" w14:textId="6953639C" w:rsidR="009939B4" w:rsidRDefault="00912EDA">
      <w:pPr>
        <w:pStyle w:val="TOC1"/>
        <w:rPr>
          <w:rFonts w:asciiTheme="minorHAnsi" w:eastAsiaTheme="minorEastAsia" w:hAnsiTheme="minorHAnsi" w:cstheme="minorBidi"/>
          <w:noProof/>
          <w:sz w:val="22"/>
          <w:szCs w:val="22"/>
          <w:lang w:eastAsia="en-AU"/>
        </w:rPr>
      </w:pPr>
      <w:hyperlink w:anchor="_Toc113627994" w:history="1">
        <w:r w:rsidR="009939B4" w:rsidRPr="0003093A">
          <w:rPr>
            <w:rStyle w:val="Hyperlink"/>
            <w:noProof/>
          </w:rPr>
          <w:t>Definition of Terms</w:t>
        </w:r>
        <w:r w:rsidR="009939B4">
          <w:rPr>
            <w:noProof/>
            <w:webHidden/>
          </w:rPr>
          <w:tab/>
        </w:r>
        <w:r w:rsidR="009939B4">
          <w:rPr>
            <w:noProof/>
            <w:webHidden/>
          </w:rPr>
          <w:fldChar w:fldCharType="begin"/>
        </w:r>
        <w:r w:rsidR="009939B4">
          <w:rPr>
            <w:noProof/>
            <w:webHidden/>
          </w:rPr>
          <w:instrText xml:space="preserve"> PAGEREF _Toc113627994 \h </w:instrText>
        </w:r>
        <w:r w:rsidR="009939B4">
          <w:rPr>
            <w:noProof/>
            <w:webHidden/>
          </w:rPr>
        </w:r>
        <w:r w:rsidR="009939B4">
          <w:rPr>
            <w:noProof/>
            <w:webHidden/>
          </w:rPr>
          <w:fldChar w:fldCharType="separate"/>
        </w:r>
        <w:r w:rsidR="009939B4">
          <w:rPr>
            <w:noProof/>
            <w:webHidden/>
          </w:rPr>
          <w:t>15</w:t>
        </w:r>
        <w:r w:rsidR="009939B4">
          <w:rPr>
            <w:noProof/>
            <w:webHidden/>
          </w:rPr>
          <w:fldChar w:fldCharType="end"/>
        </w:r>
      </w:hyperlink>
    </w:p>
    <w:p w14:paraId="4AAA4269" w14:textId="4F938E11" w:rsidR="009939B4" w:rsidRDefault="00912EDA">
      <w:pPr>
        <w:pStyle w:val="TOC1"/>
        <w:rPr>
          <w:rFonts w:asciiTheme="minorHAnsi" w:eastAsiaTheme="minorEastAsia" w:hAnsiTheme="minorHAnsi" w:cstheme="minorBidi"/>
          <w:noProof/>
          <w:sz w:val="22"/>
          <w:szCs w:val="22"/>
          <w:lang w:eastAsia="en-AU"/>
        </w:rPr>
      </w:pPr>
      <w:hyperlink w:anchor="_Toc113627995" w:history="1">
        <w:r w:rsidR="009939B4" w:rsidRPr="0003093A">
          <w:rPr>
            <w:rStyle w:val="Hyperlink"/>
            <w:noProof/>
          </w:rPr>
          <w:t>Search Terms</w:t>
        </w:r>
        <w:r w:rsidR="009939B4">
          <w:rPr>
            <w:noProof/>
            <w:webHidden/>
          </w:rPr>
          <w:tab/>
        </w:r>
        <w:r w:rsidR="009939B4">
          <w:rPr>
            <w:noProof/>
            <w:webHidden/>
          </w:rPr>
          <w:fldChar w:fldCharType="begin"/>
        </w:r>
        <w:r w:rsidR="009939B4">
          <w:rPr>
            <w:noProof/>
            <w:webHidden/>
          </w:rPr>
          <w:instrText xml:space="preserve"> PAGEREF _Toc113627995 \h </w:instrText>
        </w:r>
        <w:r w:rsidR="009939B4">
          <w:rPr>
            <w:noProof/>
            <w:webHidden/>
          </w:rPr>
        </w:r>
        <w:r w:rsidR="009939B4">
          <w:rPr>
            <w:noProof/>
            <w:webHidden/>
          </w:rPr>
          <w:fldChar w:fldCharType="separate"/>
        </w:r>
        <w:r w:rsidR="009939B4">
          <w:rPr>
            <w:noProof/>
            <w:webHidden/>
          </w:rPr>
          <w:t>16</w:t>
        </w:r>
        <w:r w:rsidR="009939B4">
          <w:rPr>
            <w:noProof/>
            <w:webHidden/>
          </w:rPr>
          <w:fldChar w:fldCharType="end"/>
        </w:r>
      </w:hyperlink>
    </w:p>
    <w:p w14:paraId="00C29CCD" w14:textId="45FCEBC3" w:rsidR="009939B4" w:rsidRDefault="00912EDA">
      <w:pPr>
        <w:pStyle w:val="TOC1"/>
        <w:rPr>
          <w:rFonts w:asciiTheme="minorHAnsi" w:eastAsiaTheme="minorEastAsia" w:hAnsiTheme="minorHAnsi" w:cstheme="minorBidi"/>
          <w:noProof/>
          <w:sz w:val="22"/>
          <w:szCs w:val="22"/>
          <w:lang w:eastAsia="en-AU"/>
        </w:rPr>
      </w:pPr>
      <w:hyperlink w:anchor="_Toc113627996" w:history="1">
        <w:r w:rsidR="009939B4" w:rsidRPr="0003093A">
          <w:rPr>
            <w:rStyle w:val="Hyperlink"/>
            <w:noProof/>
          </w:rPr>
          <w:t>Attachments</w:t>
        </w:r>
        <w:r w:rsidR="009939B4">
          <w:rPr>
            <w:noProof/>
            <w:webHidden/>
          </w:rPr>
          <w:tab/>
        </w:r>
        <w:r w:rsidR="009939B4">
          <w:rPr>
            <w:noProof/>
            <w:webHidden/>
          </w:rPr>
          <w:fldChar w:fldCharType="begin"/>
        </w:r>
        <w:r w:rsidR="009939B4">
          <w:rPr>
            <w:noProof/>
            <w:webHidden/>
          </w:rPr>
          <w:instrText xml:space="preserve"> PAGEREF _Toc113627996 \h </w:instrText>
        </w:r>
        <w:r w:rsidR="009939B4">
          <w:rPr>
            <w:noProof/>
            <w:webHidden/>
          </w:rPr>
        </w:r>
        <w:r w:rsidR="009939B4">
          <w:rPr>
            <w:noProof/>
            <w:webHidden/>
          </w:rPr>
          <w:fldChar w:fldCharType="separate"/>
        </w:r>
        <w:r w:rsidR="009939B4">
          <w:rPr>
            <w:noProof/>
            <w:webHidden/>
          </w:rPr>
          <w:t>16</w:t>
        </w:r>
        <w:r w:rsidR="009939B4">
          <w:rPr>
            <w:noProof/>
            <w:webHidden/>
          </w:rPr>
          <w:fldChar w:fldCharType="end"/>
        </w:r>
      </w:hyperlink>
    </w:p>
    <w:p w14:paraId="4506121B" w14:textId="596881B6" w:rsidR="009939B4" w:rsidRDefault="00912EDA">
      <w:pPr>
        <w:pStyle w:val="TOC2"/>
        <w:tabs>
          <w:tab w:val="right" w:leader="dot" w:pos="9060"/>
        </w:tabs>
        <w:rPr>
          <w:rFonts w:asciiTheme="minorHAnsi" w:eastAsiaTheme="minorEastAsia" w:hAnsiTheme="minorHAnsi" w:cstheme="minorBidi"/>
          <w:noProof/>
          <w:sz w:val="22"/>
          <w:szCs w:val="22"/>
          <w:lang w:eastAsia="en-AU"/>
        </w:rPr>
      </w:pPr>
      <w:hyperlink w:anchor="_Toc113627997" w:history="1">
        <w:r w:rsidR="009939B4" w:rsidRPr="0003093A">
          <w:rPr>
            <w:rStyle w:val="Hyperlink"/>
            <w:noProof/>
          </w:rPr>
          <w:t>Attachment 1 Blood Culture Collection Poster</w:t>
        </w:r>
        <w:r w:rsidR="009939B4">
          <w:rPr>
            <w:noProof/>
            <w:webHidden/>
          </w:rPr>
          <w:tab/>
        </w:r>
        <w:r w:rsidR="009939B4">
          <w:rPr>
            <w:noProof/>
            <w:webHidden/>
          </w:rPr>
          <w:fldChar w:fldCharType="begin"/>
        </w:r>
        <w:r w:rsidR="009939B4">
          <w:rPr>
            <w:noProof/>
            <w:webHidden/>
          </w:rPr>
          <w:instrText xml:space="preserve"> PAGEREF _Toc113627997 \h </w:instrText>
        </w:r>
        <w:r w:rsidR="009939B4">
          <w:rPr>
            <w:noProof/>
            <w:webHidden/>
          </w:rPr>
        </w:r>
        <w:r w:rsidR="009939B4">
          <w:rPr>
            <w:noProof/>
            <w:webHidden/>
          </w:rPr>
          <w:fldChar w:fldCharType="separate"/>
        </w:r>
        <w:r w:rsidR="009939B4">
          <w:rPr>
            <w:noProof/>
            <w:webHidden/>
          </w:rPr>
          <w:t>18</w:t>
        </w:r>
        <w:r w:rsidR="009939B4">
          <w:rPr>
            <w:noProof/>
            <w:webHidden/>
          </w:rPr>
          <w:fldChar w:fldCharType="end"/>
        </w:r>
      </w:hyperlink>
    </w:p>
    <w:p w14:paraId="25BD433F" w14:textId="14F1610A" w:rsidR="00294293" w:rsidRDefault="009939B4" w:rsidP="00294293">
      <w:r>
        <w:fldChar w:fldCharType="end"/>
      </w:r>
    </w:p>
    <w:p w14:paraId="68C98B05" w14:textId="77777777" w:rsidR="00294293" w:rsidRDefault="00294293" w:rsidP="00294293">
      <w:pPr>
        <w:spacing w:after="200" w:line="276" w:lineRule="auto"/>
      </w:pPr>
      <w:r>
        <w:br w:type="page"/>
      </w:r>
    </w:p>
    <w:tbl>
      <w:tblPr>
        <w:tblpPr w:leftFromText="180" w:rightFromText="180" w:vertAnchor="text" w:horzAnchor="margin" w:tblpX="-34" w:tblpY="181"/>
        <w:tblW w:w="9300" w:type="dxa"/>
        <w:tblLook w:val="0000" w:firstRow="0" w:lastRow="0" w:firstColumn="0" w:lastColumn="0" w:noHBand="0" w:noVBand="0"/>
      </w:tblPr>
      <w:tblGrid>
        <w:gridCol w:w="9300"/>
      </w:tblGrid>
      <w:tr w:rsidR="00294293" w:rsidRPr="00CD1C0E" w14:paraId="0571C6CC" w14:textId="77777777" w:rsidTr="00FC6F90">
        <w:trPr>
          <w:cantSplit/>
          <w:trHeight w:val="285"/>
        </w:trPr>
        <w:tc>
          <w:tcPr>
            <w:tcW w:w="9300" w:type="dxa"/>
            <w:shd w:val="clear" w:color="auto" w:fill="A6A6A6"/>
          </w:tcPr>
          <w:p w14:paraId="3EF9850B" w14:textId="77777777" w:rsidR="00294293" w:rsidRPr="00CD1C0E" w:rsidRDefault="00294293" w:rsidP="00FC6F90">
            <w:pPr>
              <w:pStyle w:val="Heading1"/>
              <w:tabs>
                <w:tab w:val="center" w:pos="4471"/>
              </w:tabs>
            </w:pPr>
            <w:bookmarkStart w:id="9" w:name="_Toc389473274"/>
            <w:bookmarkStart w:id="10" w:name="_Toc113627981"/>
            <w:r w:rsidRPr="00CD1C0E">
              <w:lastRenderedPageBreak/>
              <w:t>Purpose</w:t>
            </w:r>
            <w:bookmarkEnd w:id="9"/>
            <w:bookmarkEnd w:id="10"/>
            <w:r>
              <w:tab/>
            </w:r>
          </w:p>
        </w:tc>
      </w:tr>
    </w:tbl>
    <w:p w14:paraId="78E444BE" w14:textId="77777777" w:rsidR="00294293" w:rsidRPr="00CD1C0E" w:rsidRDefault="00294293" w:rsidP="00294293">
      <w:pPr>
        <w:jc w:val="both"/>
        <w:rPr>
          <w:rFonts w:cs="Arial"/>
          <w:szCs w:val="24"/>
        </w:rPr>
      </w:pPr>
    </w:p>
    <w:p w14:paraId="2D997FDC" w14:textId="77777777" w:rsidR="00912EDA" w:rsidRDefault="00912EDA" w:rsidP="00912EDA">
      <w:pPr>
        <w:rPr>
          <w:rFonts w:cs="Calibri"/>
        </w:rPr>
      </w:pPr>
      <w:bookmarkStart w:id="11" w:name="_Toc113627997"/>
      <w:r>
        <w:rPr>
          <w:rFonts w:cs="Calibri"/>
        </w:rPr>
        <w:t>The purpose of this document is to</w:t>
      </w:r>
      <w:r w:rsidRPr="42BBC7FB">
        <w:rPr>
          <w:rFonts w:cs="Calibri"/>
        </w:rPr>
        <w:t xml:space="preserve"> provide direction to Canberra Health Services (CHS) </w:t>
      </w:r>
      <w:r>
        <w:rPr>
          <w:rFonts w:cs="Calibri"/>
        </w:rPr>
        <w:t xml:space="preserve">Network staff, </w:t>
      </w:r>
      <w:r w:rsidRPr="42BBC7FB">
        <w:rPr>
          <w:rFonts w:cs="Calibri"/>
        </w:rPr>
        <w:t>to obtain blood cultures (peripheral venepuncture and / or from a Central Venous Access Device (CVAD), using aseptic technique, to avoid contamination of the sample and false positive cultures. This document pertains to all patients (excluding neonates).</w:t>
      </w:r>
      <w:r>
        <w:rPr>
          <w:rFonts w:cs="Calibri"/>
        </w:rPr>
        <w:t xml:space="preserve"> The </w:t>
      </w:r>
      <w:r>
        <w:rPr>
          <w:rStyle w:val="ui-provider"/>
        </w:rPr>
        <w:t>CHS Network includes the inpatient facilities at Canberra Hospital, Clare Holland House, North Canberra Hospital, and University of Canberra and community based services.</w:t>
      </w:r>
    </w:p>
    <w:p w14:paraId="74CAF489" w14:textId="77777777" w:rsidR="00912EDA" w:rsidRDefault="00912EDA" w:rsidP="00912EDA">
      <w:pPr>
        <w:rPr>
          <w:rFonts w:cs="Calibri"/>
        </w:rPr>
      </w:pPr>
    </w:p>
    <w:p w14:paraId="29140EE7" w14:textId="77777777" w:rsidR="00912EDA" w:rsidRDefault="00912EDA" w:rsidP="00912EDA">
      <w:pPr>
        <w:rPr>
          <w:rFonts w:cs="Calibri"/>
        </w:rPr>
      </w:pPr>
      <w:r>
        <w:rPr>
          <w:rFonts w:cs="Calibri"/>
        </w:rPr>
        <w:t>For the purpose of this document, a neonatal patient is 0-28 days of age, and a paediatric patient (infant / child) is 1 month – 16 years.</w:t>
      </w:r>
    </w:p>
    <w:p w14:paraId="018C7363" w14:textId="77777777" w:rsidR="00912EDA" w:rsidRDefault="00912EDA" w:rsidP="00912EDA">
      <w:pPr>
        <w:rPr>
          <w:rFonts w:cs="Calibri"/>
        </w:rPr>
      </w:pPr>
    </w:p>
    <w:p w14:paraId="04334AAD" w14:textId="77777777" w:rsidR="00912EDA" w:rsidRPr="00432F02" w:rsidRDefault="00912EDA" w:rsidP="00912EDA">
      <w:pPr>
        <w:ind w:left="1080"/>
        <w:jc w:val="right"/>
        <w:rPr>
          <w:rFonts w:cs="Calibri,Bold"/>
          <w:bCs/>
          <w:i/>
          <w:szCs w:val="24"/>
          <w:lang w:eastAsia="en-AU"/>
        </w:rPr>
      </w:pPr>
      <w:hyperlink w:anchor="Contents" w:history="1">
        <w:r w:rsidRPr="00CA0FED">
          <w:rPr>
            <w:rStyle w:val="Hyperlink"/>
            <w:rFonts w:cs="Arial"/>
            <w:i/>
            <w:szCs w:val="24"/>
          </w:rPr>
          <w:t>Back to Table of Contents</w:t>
        </w:r>
      </w:hyperlink>
    </w:p>
    <w:p w14:paraId="3EC47AAF" w14:textId="77777777" w:rsidR="00912EDA" w:rsidRPr="00CD1C0E" w:rsidRDefault="00912EDA" w:rsidP="00912EDA">
      <w:pPr>
        <w:pStyle w:val="ProcedureTemplate"/>
        <w:framePr w:wrap="around"/>
      </w:pPr>
    </w:p>
    <w:tbl>
      <w:tblPr>
        <w:tblpPr w:leftFromText="180" w:rightFromText="180" w:vertAnchor="text" w:horzAnchor="margin" w:tblpX="108" w:tblpY="181"/>
        <w:tblW w:w="9158" w:type="dxa"/>
        <w:tblLook w:val="0000" w:firstRow="0" w:lastRow="0" w:firstColumn="0" w:lastColumn="0" w:noHBand="0" w:noVBand="0"/>
      </w:tblPr>
      <w:tblGrid>
        <w:gridCol w:w="9158"/>
      </w:tblGrid>
      <w:tr w:rsidR="00912EDA" w:rsidRPr="00CD1C0E" w14:paraId="1EEE0460" w14:textId="77777777" w:rsidTr="00FC324C">
        <w:trPr>
          <w:cantSplit/>
          <w:trHeight w:val="285"/>
        </w:trPr>
        <w:tc>
          <w:tcPr>
            <w:tcW w:w="9158" w:type="dxa"/>
            <w:shd w:val="clear" w:color="auto" w:fill="CCCCCC"/>
          </w:tcPr>
          <w:p w14:paraId="12A35484" w14:textId="77777777" w:rsidR="00912EDA" w:rsidRPr="00CD1C0E" w:rsidRDefault="00912EDA" w:rsidP="00FC324C">
            <w:pPr>
              <w:pStyle w:val="ProcedureTemplate"/>
              <w:framePr w:hSpace="0" w:wrap="auto" w:vAnchor="margin" w:hAnchor="text" w:xAlign="left" w:yAlign="inline"/>
            </w:pPr>
            <w:bookmarkStart w:id="12" w:name="_Toc389473275"/>
            <w:bookmarkStart w:id="13" w:name="_Toc113627982"/>
            <w:r>
              <w:t>Scope</w:t>
            </w:r>
            <w:bookmarkEnd w:id="12"/>
            <w:bookmarkEnd w:id="13"/>
          </w:p>
        </w:tc>
      </w:tr>
    </w:tbl>
    <w:p w14:paraId="2C2AA819" w14:textId="77777777" w:rsidR="00912EDA" w:rsidRDefault="00912EDA" w:rsidP="00912EDA">
      <w:pPr>
        <w:pStyle w:val="ProcedureTemplate"/>
        <w:framePr w:wrap="around"/>
      </w:pPr>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69B7D621" w14:textId="77777777" w:rsidTr="00FC324C">
        <w:trPr>
          <w:cantSplit/>
          <w:trHeight w:val="285"/>
        </w:trPr>
        <w:tc>
          <w:tcPr>
            <w:tcW w:w="9300" w:type="dxa"/>
            <w:shd w:val="clear" w:color="auto" w:fill="A6A6A6"/>
          </w:tcPr>
          <w:p w14:paraId="7B7F9D05" w14:textId="77777777" w:rsidR="00912EDA" w:rsidRPr="00CD1C0E" w:rsidRDefault="00912EDA" w:rsidP="00FC324C">
            <w:pPr>
              <w:pStyle w:val="Heading1"/>
            </w:pPr>
            <w:bookmarkStart w:id="14" w:name="_Toc389473276"/>
            <w:bookmarkStart w:id="15" w:name="_Toc113627983"/>
            <w:r>
              <w:t>Alerts</w:t>
            </w:r>
            <w:bookmarkEnd w:id="14"/>
            <w:bookmarkEnd w:id="15"/>
          </w:p>
        </w:tc>
      </w:tr>
    </w:tbl>
    <w:p w14:paraId="4C9EA001" w14:textId="77777777" w:rsidR="00912EDA" w:rsidRPr="00D234F9" w:rsidRDefault="00912EDA" w:rsidP="00912EDA">
      <w:pPr>
        <w:pStyle w:val="ListParagraph"/>
        <w:ind w:left="360"/>
        <w:rPr>
          <w:rFonts w:cs="Arial"/>
          <w:szCs w:val="24"/>
        </w:rPr>
      </w:pPr>
    </w:p>
    <w:p w14:paraId="7C6D3567" w14:textId="77777777" w:rsidR="00912EDA" w:rsidRDefault="00912EDA" w:rsidP="00912EDA">
      <w:pPr>
        <w:rPr>
          <w:rFonts w:cs="Arial"/>
          <w:szCs w:val="24"/>
        </w:rPr>
      </w:pPr>
      <w:r w:rsidRPr="000A71B8">
        <w:rPr>
          <w:rFonts w:cs="Calibri"/>
          <w:szCs w:val="24"/>
        </w:rPr>
        <w:t>Blood culture collection is a standard Aseptic Non-Touch Technique (ANTT) where sterile gloves are required to decrease the risk of bacterial contamination.</w:t>
      </w:r>
      <w:r w:rsidRPr="000A71B8">
        <w:rPr>
          <w:rFonts w:cs="Arial"/>
          <w:szCs w:val="24"/>
        </w:rPr>
        <w:t xml:space="preserve"> </w:t>
      </w:r>
    </w:p>
    <w:p w14:paraId="04A6B7F8" w14:textId="77777777" w:rsidR="00912EDA" w:rsidRPr="00694BE5" w:rsidRDefault="00912EDA" w:rsidP="00912EDA">
      <w:pPr>
        <w:rPr>
          <w:rFonts w:cs="Arial"/>
          <w:i/>
        </w:rPr>
      </w:pPr>
    </w:p>
    <w:p w14:paraId="0AEC48D7" w14:textId="77777777" w:rsidR="00912EDA" w:rsidRPr="00432F02" w:rsidRDefault="00912EDA" w:rsidP="00912EDA">
      <w:pPr>
        <w:pBdr>
          <w:top w:val="single" w:sz="4" w:space="1" w:color="auto"/>
          <w:left w:val="single" w:sz="4" w:space="4" w:color="auto"/>
          <w:bottom w:val="single" w:sz="4" w:space="1" w:color="auto"/>
          <w:right w:val="single" w:sz="4" w:space="4" w:color="auto"/>
        </w:pBdr>
        <w:spacing w:after="240"/>
        <w:rPr>
          <w:rFonts w:ascii="Times New Roman" w:hAnsi="Times New Roman"/>
          <w:szCs w:val="24"/>
          <w:lang w:eastAsia="en-GB"/>
        </w:rPr>
      </w:pPr>
      <w:r w:rsidRPr="001717AF">
        <w:t>This p</w:t>
      </w:r>
      <w:r>
        <w:t>rocedure</w:t>
      </w:r>
      <w:r w:rsidRPr="001717AF">
        <w:t xml:space="preserve"> must be used in collaboration with </w:t>
      </w:r>
      <w:r w:rsidRPr="001717AF">
        <w:rPr>
          <w:i/>
          <w:iCs/>
        </w:rPr>
        <w:t xml:space="preserve">Venepuncture Blood Specimen </w:t>
      </w:r>
      <w:r w:rsidRPr="00694BE5">
        <w:rPr>
          <w:i/>
          <w:iCs/>
        </w:rPr>
        <w:t xml:space="preserve">Collection </w:t>
      </w:r>
      <w:r w:rsidRPr="001717AF">
        <w:t xml:space="preserve">Procedure </w:t>
      </w:r>
      <w:r w:rsidRPr="00694BE5">
        <w:t>and</w:t>
      </w:r>
      <w:r w:rsidRPr="001717AF">
        <w:t xml:space="preserve"> the</w:t>
      </w:r>
      <w:r>
        <w:t xml:space="preserve"> </w:t>
      </w:r>
      <w:r w:rsidRPr="001717AF">
        <w:rPr>
          <w:i/>
          <w:iCs/>
        </w:rPr>
        <w:t xml:space="preserve">Central Venous Access Device (CVAD) Management - </w:t>
      </w:r>
      <w:r w:rsidRPr="00694BE5">
        <w:rPr>
          <w:i/>
          <w:iCs/>
        </w:rPr>
        <w:t>Children, Adolescents and Adults (NOT Neonates)</w:t>
      </w:r>
      <w:r w:rsidRPr="001717AF">
        <w:rPr>
          <w:i/>
          <w:iCs/>
        </w:rPr>
        <w:t xml:space="preserve"> </w:t>
      </w:r>
      <w:r w:rsidRPr="001717AF">
        <w:t>Procedure</w:t>
      </w:r>
      <w:r w:rsidRPr="00694BE5">
        <w:t>.</w:t>
      </w:r>
      <w:r>
        <w:t xml:space="preserve"> </w:t>
      </w:r>
    </w:p>
    <w:tbl>
      <w:tblPr>
        <w:tblpPr w:leftFromText="180" w:rightFromText="180" w:vertAnchor="text" w:horzAnchor="margin" w:tblpX="-34" w:tblpY="496"/>
        <w:tblW w:w="9300" w:type="dxa"/>
        <w:tblLook w:val="0000" w:firstRow="0" w:lastRow="0" w:firstColumn="0" w:lastColumn="0" w:noHBand="0" w:noVBand="0"/>
      </w:tblPr>
      <w:tblGrid>
        <w:gridCol w:w="9300"/>
      </w:tblGrid>
      <w:tr w:rsidR="00912EDA" w:rsidRPr="00CD1C0E" w14:paraId="5FF50477" w14:textId="77777777" w:rsidTr="00FC324C">
        <w:trPr>
          <w:cantSplit/>
          <w:trHeight w:val="285"/>
        </w:trPr>
        <w:tc>
          <w:tcPr>
            <w:tcW w:w="9300" w:type="dxa"/>
            <w:shd w:val="clear" w:color="auto" w:fill="A6A6A6"/>
          </w:tcPr>
          <w:p w14:paraId="25B305DF" w14:textId="77777777" w:rsidR="00912EDA" w:rsidRPr="003D2D06" w:rsidRDefault="00912EDA" w:rsidP="00FC324C">
            <w:pPr>
              <w:pStyle w:val="Heading1"/>
            </w:pPr>
            <w:bookmarkStart w:id="16" w:name="_Toc113627984"/>
            <w:r w:rsidRPr="003D2D06">
              <w:t>Scope</w:t>
            </w:r>
            <w:bookmarkEnd w:id="16"/>
          </w:p>
        </w:tc>
      </w:tr>
    </w:tbl>
    <w:p w14:paraId="55B93BDF" w14:textId="77777777" w:rsidR="00912EDA" w:rsidRPr="00432F02" w:rsidRDefault="00912EDA" w:rsidP="00912EDA">
      <w:pPr>
        <w:ind w:left="1080"/>
        <w:jc w:val="right"/>
        <w:rPr>
          <w:rFonts w:cs="Calibri,Bold"/>
          <w:bCs/>
          <w:i/>
          <w:szCs w:val="24"/>
          <w:lang w:eastAsia="en-AU"/>
        </w:rPr>
      </w:pPr>
      <w:hyperlink w:anchor="Contents" w:history="1">
        <w:r w:rsidRPr="00CA0FED">
          <w:rPr>
            <w:rStyle w:val="Hyperlink"/>
            <w:rFonts w:cs="Arial"/>
            <w:i/>
            <w:szCs w:val="24"/>
          </w:rPr>
          <w:t>Back to Table of Contents</w:t>
        </w:r>
      </w:hyperlink>
    </w:p>
    <w:p w14:paraId="3E3AB068" w14:textId="77777777" w:rsidR="00912EDA" w:rsidRPr="00432F02" w:rsidRDefault="00912EDA" w:rsidP="00912EDA">
      <w:pPr>
        <w:ind w:left="1080"/>
        <w:jc w:val="right"/>
        <w:rPr>
          <w:rStyle w:val="Hyperlink"/>
          <w:rFonts w:cs="Arial"/>
          <w:i/>
        </w:rPr>
      </w:pPr>
    </w:p>
    <w:p w14:paraId="6C8E49D0" w14:textId="77777777" w:rsidR="00912EDA" w:rsidRPr="00F5049B" w:rsidRDefault="00912EDA" w:rsidP="00912EDA">
      <w:r w:rsidRPr="00BC4E3F">
        <w:t>This document applies to</w:t>
      </w:r>
      <w:r>
        <w:t xml:space="preserve"> the following CHS Network staff working within their scope of practice</w:t>
      </w:r>
      <w:r w:rsidRPr="00BC4E3F">
        <w:t>:</w:t>
      </w:r>
    </w:p>
    <w:p w14:paraId="29B2AE12" w14:textId="77777777" w:rsidR="00912EDA" w:rsidRPr="00F5049B" w:rsidRDefault="00912EDA" w:rsidP="00912EDA">
      <w:pPr>
        <w:pStyle w:val="ListBullet"/>
        <w:numPr>
          <w:ilvl w:val="0"/>
          <w:numId w:val="13"/>
        </w:numPr>
        <w:ind w:left="426" w:hanging="426"/>
      </w:pPr>
      <w:r w:rsidRPr="00F5049B">
        <w:t>Medical Officers (venepuncture only, unless assessed as CVAD competent</w:t>
      </w:r>
      <w:r>
        <w:t xml:space="preserve"> and Portacath competent (if applicable)</w:t>
      </w:r>
      <w:r w:rsidRPr="00F5049B">
        <w:t>).</w:t>
      </w:r>
    </w:p>
    <w:p w14:paraId="46CCA59B" w14:textId="77777777" w:rsidR="00912EDA" w:rsidRPr="00F5049B" w:rsidRDefault="00912EDA" w:rsidP="00912EDA">
      <w:pPr>
        <w:pStyle w:val="ListBullet"/>
        <w:numPr>
          <w:ilvl w:val="0"/>
          <w:numId w:val="13"/>
        </w:numPr>
        <w:ind w:left="426" w:hanging="426"/>
      </w:pPr>
      <w:r w:rsidRPr="00F5049B">
        <w:t xml:space="preserve">Nurses and Midwives </w:t>
      </w:r>
      <w:r>
        <w:t>assessed as v</w:t>
      </w:r>
      <w:r w:rsidRPr="00F5049B">
        <w:t xml:space="preserve">enepuncture competent, for blood cultures obtained by venepuncture.  </w:t>
      </w:r>
    </w:p>
    <w:p w14:paraId="33FA0693" w14:textId="77777777" w:rsidR="00912EDA" w:rsidRDefault="00912EDA" w:rsidP="00912EDA">
      <w:pPr>
        <w:pStyle w:val="ListBullet"/>
        <w:numPr>
          <w:ilvl w:val="0"/>
          <w:numId w:val="13"/>
        </w:numPr>
        <w:ind w:left="426" w:hanging="426"/>
      </w:pPr>
      <w:r w:rsidRPr="00F5049B">
        <w:t>Nurses and Midwives</w:t>
      </w:r>
      <w:r>
        <w:t xml:space="preserve"> assessed as</w:t>
      </w:r>
      <w:r w:rsidRPr="00F5049B">
        <w:t xml:space="preserve"> CVAD competent for blood cultures obtained from a CVAD. </w:t>
      </w:r>
    </w:p>
    <w:p w14:paraId="19DAF206" w14:textId="77777777" w:rsidR="00912EDA" w:rsidRPr="00F5049B" w:rsidRDefault="00912EDA" w:rsidP="00912EDA">
      <w:pPr>
        <w:pStyle w:val="ListBullet"/>
        <w:numPr>
          <w:ilvl w:val="0"/>
          <w:numId w:val="13"/>
        </w:numPr>
        <w:ind w:left="426" w:hanging="426"/>
      </w:pPr>
      <w:r>
        <w:t>Nurses and Midwives assessed as competent for blood cultures obtained from a Portacath (competency assessment in accessing and de-accessing an implanted venous port (IPV).</w:t>
      </w:r>
    </w:p>
    <w:p w14:paraId="7F8381A1" w14:textId="77777777" w:rsidR="00912EDA" w:rsidRDefault="00912EDA" w:rsidP="00912EDA">
      <w:pPr>
        <w:pStyle w:val="ListBullet"/>
        <w:numPr>
          <w:ilvl w:val="0"/>
          <w:numId w:val="13"/>
        </w:numPr>
        <w:ind w:left="426" w:hanging="426"/>
      </w:pPr>
      <w:r w:rsidRPr="00F5049B">
        <w:t>Phlebotomists</w:t>
      </w:r>
      <w:r w:rsidRPr="007C20D5">
        <w:t xml:space="preserve"> (venepuncture only)</w:t>
      </w:r>
      <w:r>
        <w:t>.</w:t>
      </w:r>
    </w:p>
    <w:p w14:paraId="7310F931" w14:textId="77777777" w:rsidR="00912EDA" w:rsidRPr="00BC4E3F" w:rsidRDefault="00912EDA" w:rsidP="00912EDA">
      <w:pPr>
        <w:pStyle w:val="ListBullet"/>
        <w:ind w:left="426"/>
      </w:pPr>
    </w:p>
    <w:tbl>
      <w:tblPr>
        <w:tblpPr w:leftFromText="180" w:rightFromText="180" w:vertAnchor="text" w:horzAnchor="margin" w:tblpX="-34" w:tblpY="342"/>
        <w:tblW w:w="9300" w:type="dxa"/>
        <w:tblLook w:val="0000" w:firstRow="0" w:lastRow="0" w:firstColumn="0" w:lastColumn="0" w:noHBand="0" w:noVBand="0"/>
      </w:tblPr>
      <w:tblGrid>
        <w:gridCol w:w="9300"/>
      </w:tblGrid>
      <w:tr w:rsidR="00912EDA" w:rsidRPr="00CD1C0E" w14:paraId="1D08785B" w14:textId="77777777" w:rsidTr="00FC324C">
        <w:trPr>
          <w:cantSplit/>
          <w:trHeight w:val="285"/>
        </w:trPr>
        <w:tc>
          <w:tcPr>
            <w:tcW w:w="9300" w:type="dxa"/>
            <w:shd w:val="clear" w:color="auto" w:fill="A6A6A6"/>
          </w:tcPr>
          <w:p w14:paraId="6D34C8CE" w14:textId="77777777" w:rsidR="00912EDA" w:rsidRPr="00C76688" w:rsidRDefault="00912EDA" w:rsidP="00FC324C">
            <w:pPr>
              <w:pStyle w:val="Heading1"/>
            </w:pPr>
            <w:bookmarkStart w:id="17" w:name="_Toc113627985"/>
            <w:r w:rsidRPr="00C76688">
              <w:t>Section 1 –</w:t>
            </w:r>
            <w:r>
              <w:t xml:space="preserve"> Indications for Blood Culture Collection</w:t>
            </w:r>
            <w:bookmarkEnd w:id="17"/>
          </w:p>
        </w:tc>
      </w:tr>
    </w:tbl>
    <w:p w14:paraId="68FDF5BA" w14:textId="77777777" w:rsidR="00912EDA" w:rsidRPr="00432F02" w:rsidRDefault="00912EDA" w:rsidP="00912EDA">
      <w:pPr>
        <w:ind w:left="1080"/>
        <w:jc w:val="right"/>
        <w:rPr>
          <w:rFonts w:cs="Calibri,Bold"/>
          <w:bCs/>
          <w:i/>
          <w:szCs w:val="24"/>
          <w:lang w:eastAsia="en-AU"/>
        </w:rPr>
      </w:pPr>
      <w:hyperlink w:anchor="Contents" w:history="1">
        <w:r w:rsidRPr="00CA0FED">
          <w:rPr>
            <w:rStyle w:val="Hyperlink"/>
            <w:rFonts w:cs="Arial"/>
            <w:i/>
            <w:szCs w:val="24"/>
          </w:rPr>
          <w:t>Back to Table of Contents</w:t>
        </w:r>
      </w:hyperlink>
    </w:p>
    <w:p w14:paraId="71C8C306" w14:textId="77777777" w:rsidR="00912EDA" w:rsidRDefault="00912EDA" w:rsidP="00912EDA">
      <w:pPr>
        <w:pStyle w:val="ListParagraph"/>
        <w:ind w:left="426"/>
        <w:rPr>
          <w:rFonts w:cs="Arial"/>
          <w:szCs w:val="24"/>
        </w:rPr>
      </w:pPr>
    </w:p>
    <w:p w14:paraId="3DEEB0F2" w14:textId="77777777" w:rsidR="00912EDA" w:rsidRPr="00BC4E3F" w:rsidRDefault="00912EDA" w:rsidP="00912EDA">
      <w:pPr>
        <w:rPr>
          <w:lang w:eastAsia="en-AU"/>
        </w:rPr>
      </w:pPr>
      <w:r>
        <w:rPr>
          <w:lang w:eastAsia="en-AU"/>
        </w:rPr>
        <w:t>C</w:t>
      </w:r>
      <w:r w:rsidRPr="00BC4E3F">
        <w:rPr>
          <w:lang w:eastAsia="en-AU"/>
        </w:rPr>
        <w:t>linical conditions suggestive of microorganisms in blood e.g., fever, chills, rigors, tachycardia, tachypnoea</w:t>
      </w:r>
      <w:r>
        <w:rPr>
          <w:lang w:eastAsia="en-AU"/>
        </w:rPr>
        <w:t xml:space="preserve"> such as:</w:t>
      </w:r>
    </w:p>
    <w:p w14:paraId="0906FFD2" w14:textId="77777777" w:rsidR="00912EDA" w:rsidRPr="00BC4E3F" w:rsidRDefault="00912EDA" w:rsidP="00912EDA">
      <w:pPr>
        <w:pStyle w:val="ListBullet"/>
        <w:numPr>
          <w:ilvl w:val="0"/>
          <w:numId w:val="14"/>
        </w:numPr>
        <w:ind w:left="426" w:hanging="426"/>
        <w:rPr>
          <w:lang w:eastAsia="en-AU"/>
        </w:rPr>
      </w:pPr>
      <w:r>
        <w:rPr>
          <w:lang w:eastAsia="en-AU"/>
        </w:rPr>
        <w:t>F</w:t>
      </w:r>
      <w:r w:rsidRPr="00BC4E3F">
        <w:rPr>
          <w:lang w:eastAsia="en-AU"/>
        </w:rPr>
        <w:t>ever and hypotension not explained by non-infectious causes</w:t>
      </w:r>
      <w:r>
        <w:rPr>
          <w:lang w:eastAsia="en-AU"/>
        </w:rPr>
        <w:t>.</w:t>
      </w:r>
    </w:p>
    <w:p w14:paraId="6C90CED6" w14:textId="77777777" w:rsidR="00912EDA" w:rsidRDefault="00912EDA" w:rsidP="00912EDA">
      <w:pPr>
        <w:pStyle w:val="ListBullet"/>
        <w:numPr>
          <w:ilvl w:val="0"/>
          <w:numId w:val="14"/>
        </w:numPr>
        <w:ind w:left="426" w:hanging="426"/>
        <w:rPr>
          <w:lang w:eastAsia="en-AU"/>
        </w:rPr>
      </w:pPr>
      <w:r>
        <w:rPr>
          <w:lang w:eastAsia="en-AU"/>
        </w:rPr>
        <w:t>F</w:t>
      </w:r>
      <w:r w:rsidRPr="00BC4E3F">
        <w:rPr>
          <w:lang w:eastAsia="en-AU"/>
        </w:rPr>
        <w:t>ever in the presence of neutropenia and when</w:t>
      </w:r>
      <w:r>
        <w:rPr>
          <w:lang w:eastAsia="en-AU"/>
        </w:rPr>
        <w:t xml:space="preserve"> intravenous</w:t>
      </w:r>
      <w:r w:rsidRPr="00BC4E3F">
        <w:rPr>
          <w:lang w:eastAsia="en-AU"/>
        </w:rPr>
        <w:t xml:space="preserve"> </w:t>
      </w:r>
      <w:r>
        <w:rPr>
          <w:lang w:eastAsia="en-AU"/>
        </w:rPr>
        <w:t>(</w:t>
      </w:r>
      <w:r w:rsidRPr="00BC4E3F">
        <w:rPr>
          <w:lang w:eastAsia="en-AU"/>
        </w:rPr>
        <w:t>IV</w:t>
      </w:r>
      <w:r>
        <w:rPr>
          <w:lang w:eastAsia="en-AU"/>
        </w:rPr>
        <w:t>)</w:t>
      </w:r>
      <w:r w:rsidRPr="00BC4E3F">
        <w:rPr>
          <w:lang w:eastAsia="en-AU"/>
        </w:rPr>
        <w:t xml:space="preserve"> devices are present</w:t>
      </w:r>
      <w:r>
        <w:rPr>
          <w:lang w:eastAsia="en-AU"/>
        </w:rPr>
        <w:t>.</w:t>
      </w:r>
    </w:p>
    <w:p w14:paraId="0A5BE6C0" w14:textId="77777777" w:rsidR="00912EDA" w:rsidRPr="00BC4E3F" w:rsidRDefault="00912EDA" w:rsidP="00912EDA">
      <w:pPr>
        <w:pStyle w:val="ListBullet"/>
        <w:numPr>
          <w:ilvl w:val="0"/>
          <w:numId w:val="14"/>
        </w:numPr>
        <w:ind w:left="426" w:hanging="426"/>
        <w:rPr>
          <w:lang w:eastAsia="en-AU"/>
        </w:rPr>
      </w:pPr>
      <w:r>
        <w:rPr>
          <w:lang w:eastAsia="en-AU"/>
        </w:rPr>
        <w:t>I</w:t>
      </w:r>
      <w:r w:rsidRPr="00BC4E3F">
        <w:rPr>
          <w:lang w:eastAsia="en-AU"/>
        </w:rPr>
        <w:t>n the absence of fever:</w:t>
      </w:r>
    </w:p>
    <w:p w14:paraId="02B002BC" w14:textId="77777777" w:rsidR="00912EDA" w:rsidRDefault="00912EDA" w:rsidP="00912EDA">
      <w:pPr>
        <w:numPr>
          <w:ilvl w:val="0"/>
          <w:numId w:val="25"/>
        </w:numPr>
        <w:autoSpaceDE w:val="0"/>
        <w:autoSpaceDN w:val="0"/>
        <w:adjustRightInd w:val="0"/>
        <w:ind w:left="851" w:hanging="425"/>
        <w:rPr>
          <w:rFonts w:cs="Calibri"/>
          <w:color w:val="000000"/>
          <w:szCs w:val="24"/>
          <w:lang w:eastAsia="en-AU"/>
        </w:rPr>
      </w:pPr>
      <w:r>
        <w:rPr>
          <w:rFonts w:cs="Calibri"/>
          <w:color w:val="000000"/>
          <w:szCs w:val="24"/>
          <w:lang w:eastAsia="en-AU"/>
        </w:rPr>
        <w:t>p</w:t>
      </w:r>
      <w:r w:rsidRPr="00BC4E3F">
        <w:rPr>
          <w:rFonts w:cs="Calibri"/>
          <w:color w:val="000000"/>
          <w:szCs w:val="24"/>
          <w:lang w:eastAsia="en-AU"/>
        </w:rPr>
        <w:t>atient</w:t>
      </w:r>
      <w:r>
        <w:rPr>
          <w:rFonts w:cs="Calibri"/>
          <w:color w:val="000000"/>
          <w:szCs w:val="24"/>
          <w:lang w:eastAsia="en-AU"/>
        </w:rPr>
        <w:t>s</w:t>
      </w:r>
      <w:r w:rsidRPr="00BC4E3F">
        <w:rPr>
          <w:rFonts w:cs="Calibri"/>
          <w:color w:val="000000"/>
          <w:szCs w:val="24"/>
          <w:lang w:eastAsia="en-AU"/>
        </w:rPr>
        <w:t xml:space="preserve"> with focal infection e.g., </w:t>
      </w:r>
      <w:r>
        <w:rPr>
          <w:rFonts w:cs="Calibri"/>
          <w:color w:val="000000"/>
          <w:szCs w:val="24"/>
          <w:lang w:eastAsia="en-AU"/>
        </w:rPr>
        <w:t>P</w:t>
      </w:r>
      <w:r w:rsidRPr="00BC4E3F">
        <w:rPr>
          <w:rFonts w:cs="Calibri"/>
          <w:color w:val="000000"/>
          <w:szCs w:val="24"/>
          <w:lang w:eastAsia="en-AU"/>
        </w:rPr>
        <w:t xml:space="preserve">neumonia, </w:t>
      </w:r>
      <w:r>
        <w:rPr>
          <w:rFonts w:cs="Calibri"/>
          <w:color w:val="000000"/>
          <w:szCs w:val="24"/>
          <w:lang w:eastAsia="en-AU"/>
        </w:rPr>
        <w:t>M</w:t>
      </w:r>
      <w:r w:rsidRPr="00BC4E3F">
        <w:rPr>
          <w:rFonts w:cs="Calibri"/>
          <w:color w:val="000000"/>
          <w:szCs w:val="24"/>
          <w:lang w:eastAsia="en-AU"/>
        </w:rPr>
        <w:t xml:space="preserve">eningitis, </w:t>
      </w:r>
      <w:r>
        <w:rPr>
          <w:rFonts w:cs="Calibri"/>
          <w:color w:val="000000"/>
          <w:szCs w:val="24"/>
          <w:lang w:eastAsia="en-AU"/>
        </w:rPr>
        <w:t>Osteomyelitis</w:t>
      </w:r>
    </w:p>
    <w:p w14:paraId="35659581" w14:textId="77777777" w:rsidR="00912EDA" w:rsidRPr="00BC4E3F" w:rsidRDefault="00912EDA" w:rsidP="00912EDA">
      <w:pPr>
        <w:numPr>
          <w:ilvl w:val="0"/>
          <w:numId w:val="25"/>
        </w:numPr>
        <w:autoSpaceDE w:val="0"/>
        <w:autoSpaceDN w:val="0"/>
        <w:adjustRightInd w:val="0"/>
        <w:ind w:left="851" w:hanging="425"/>
        <w:rPr>
          <w:rFonts w:cs="Calibri"/>
          <w:color w:val="000000"/>
          <w:lang w:eastAsia="en-AU"/>
        </w:rPr>
      </w:pPr>
      <w:r w:rsidRPr="42BBC7FB">
        <w:rPr>
          <w:rFonts w:cs="Calibri"/>
          <w:color w:val="000000" w:themeColor="text1"/>
          <w:lang w:eastAsia="en-AU"/>
        </w:rPr>
        <w:t xml:space="preserve">infants </w:t>
      </w:r>
      <w:r>
        <w:rPr>
          <w:rFonts w:cs="Calibri"/>
          <w:color w:val="000000" w:themeColor="text1"/>
          <w:lang w:eastAsia="en-AU"/>
        </w:rPr>
        <w:t xml:space="preserve">or elderly patients </w:t>
      </w:r>
      <w:r w:rsidRPr="42BBC7FB">
        <w:rPr>
          <w:rFonts w:cs="Calibri"/>
          <w:color w:val="000000" w:themeColor="text1"/>
          <w:lang w:eastAsia="en-AU"/>
        </w:rPr>
        <w:t>with unexplained hypothermia</w:t>
      </w:r>
    </w:p>
    <w:p w14:paraId="152539FA" w14:textId="77777777" w:rsidR="00912EDA" w:rsidRPr="00BC4E3F" w:rsidRDefault="00912EDA" w:rsidP="00912EDA">
      <w:pPr>
        <w:numPr>
          <w:ilvl w:val="0"/>
          <w:numId w:val="25"/>
        </w:numPr>
        <w:autoSpaceDE w:val="0"/>
        <w:autoSpaceDN w:val="0"/>
        <w:adjustRightInd w:val="0"/>
        <w:ind w:left="851" w:hanging="425"/>
        <w:rPr>
          <w:rFonts w:cs="Calibri"/>
          <w:color w:val="000000"/>
          <w:szCs w:val="24"/>
          <w:lang w:eastAsia="en-AU"/>
        </w:rPr>
      </w:pPr>
      <w:r>
        <w:rPr>
          <w:rFonts w:cs="Calibri"/>
          <w:color w:val="000000"/>
          <w:szCs w:val="24"/>
          <w:lang w:eastAsia="en-AU"/>
        </w:rPr>
        <w:t>e</w:t>
      </w:r>
      <w:r w:rsidRPr="00BC4E3F">
        <w:rPr>
          <w:rFonts w:cs="Calibri"/>
          <w:color w:val="000000"/>
          <w:szCs w:val="24"/>
          <w:lang w:eastAsia="en-AU"/>
        </w:rPr>
        <w:t xml:space="preserve">lderly </w:t>
      </w:r>
      <w:r>
        <w:rPr>
          <w:rFonts w:cs="Calibri"/>
          <w:color w:val="000000"/>
          <w:szCs w:val="24"/>
          <w:lang w:eastAsia="en-AU"/>
        </w:rPr>
        <w:t xml:space="preserve">patients </w:t>
      </w:r>
      <w:r w:rsidRPr="00BC4E3F">
        <w:rPr>
          <w:rFonts w:cs="Calibri"/>
          <w:color w:val="000000"/>
          <w:szCs w:val="24"/>
          <w:lang w:eastAsia="en-AU"/>
        </w:rPr>
        <w:t>with deteriorat</w:t>
      </w:r>
      <w:r>
        <w:rPr>
          <w:rFonts w:cs="Calibri"/>
          <w:color w:val="000000"/>
          <w:szCs w:val="24"/>
          <w:lang w:eastAsia="en-AU"/>
        </w:rPr>
        <w:t>ion from baseline status e.g.,</w:t>
      </w:r>
      <w:r w:rsidRPr="00BC4E3F">
        <w:rPr>
          <w:rFonts w:cs="Calibri"/>
          <w:color w:val="000000"/>
          <w:szCs w:val="24"/>
          <w:lang w:eastAsia="en-AU"/>
        </w:rPr>
        <w:t xml:space="preserve"> confusion, sudden altered mentation or frequent falls</w:t>
      </w:r>
    </w:p>
    <w:p w14:paraId="502DFA92" w14:textId="77777777" w:rsidR="00912EDA" w:rsidRPr="00BC4E3F" w:rsidRDefault="00912EDA" w:rsidP="00912EDA">
      <w:pPr>
        <w:numPr>
          <w:ilvl w:val="0"/>
          <w:numId w:val="25"/>
        </w:numPr>
        <w:autoSpaceDE w:val="0"/>
        <w:autoSpaceDN w:val="0"/>
        <w:adjustRightInd w:val="0"/>
        <w:ind w:left="851" w:hanging="425"/>
        <w:rPr>
          <w:rFonts w:cs="Calibri"/>
          <w:color w:val="000000"/>
          <w:szCs w:val="24"/>
          <w:lang w:eastAsia="en-AU"/>
        </w:rPr>
      </w:pPr>
      <w:r>
        <w:rPr>
          <w:rFonts w:cs="Calibri"/>
          <w:color w:val="000000"/>
          <w:szCs w:val="24"/>
          <w:lang w:eastAsia="en-AU"/>
        </w:rPr>
        <w:t>p</w:t>
      </w:r>
      <w:r w:rsidRPr="00BC4E3F">
        <w:rPr>
          <w:rFonts w:cs="Calibri"/>
          <w:color w:val="000000"/>
          <w:szCs w:val="24"/>
          <w:lang w:eastAsia="en-AU"/>
        </w:rPr>
        <w:t>atient</w:t>
      </w:r>
      <w:r>
        <w:rPr>
          <w:rFonts w:cs="Calibri"/>
          <w:color w:val="000000"/>
          <w:szCs w:val="24"/>
          <w:lang w:eastAsia="en-AU"/>
        </w:rPr>
        <w:t xml:space="preserve">s </w:t>
      </w:r>
      <w:r w:rsidRPr="00BC4E3F">
        <w:rPr>
          <w:rFonts w:cs="Calibri"/>
          <w:color w:val="000000"/>
          <w:szCs w:val="24"/>
          <w:lang w:eastAsia="en-AU"/>
        </w:rPr>
        <w:t>with renal insufficiency and unexplained leucocytosis</w:t>
      </w:r>
      <w:r>
        <w:rPr>
          <w:rFonts w:cs="Calibri"/>
          <w:color w:val="000000"/>
          <w:szCs w:val="24"/>
          <w:lang w:eastAsia="en-AU"/>
        </w:rPr>
        <w:t>,</w:t>
      </w:r>
      <w:r w:rsidRPr="00BC4E3F">
        <w:rPr>
          <w:rFonts w:cs="Calibri"/>
          <w:color w:val="000000"/>
          <w:szCs w:val="24"/>
          <w:lang w:eastAsia="en-AU"/>
        </w:rPr>
        <w:t xml:space="preserve"> altered mentation or unexplained tachycardia</w:t>
      </w:r>
    </w:p>
    <w:p w14:paraId="0EF28936" w14:textId="77777777" w:rsidR="00912EDA" w:rsidRPr="00BC4E3F" w:rsidRDefault="00912EDA" w:rsidP="00912EDA">
      <w:pPr>
        <w:numPr>
          <w:ilvl w:val="0"/>
          <w:numId w:val="25"/>
        </w:numPr>
        <w:autoSpaceDE w:val="0"/>
        <w:autoSpaceDN w:val="0"/>
        <w:adjustRightInd w:val="0"/>
        <w:ind w:left="851" w:hanging="425"/>
        <w:rPr>
          <w:rFonts w:cs="Calibri"/>
          <w:color w:val="000000"/>
          <w:szCs w:val="24"/>
          <w:lang w:eastAsia="en-AU"/>
        </w:rPr>
      </w:pPr>
      <w:r>
        <w:rPr>
          <w:rFonts w:cs="Calibri"/>
          <w:color w:val="000000"/>
          <w:szCs w:val="24"/>
          <w:lang w:eastAsia="en-AU"/>
        </w:rPr>
        <w:t>u</w:t>
      </w:r>
      <w:r w:rsidRPr="00BC4E3F">
        <w:rPr>
          <w:rFonts w:cs="Calibri"/>
          <w:color w:val="000000"/>
          <w:szCs w:val="24"/>
          <w:lang w:eastAsia="en-AU"/>
        </w:rPr>
        <w:t>nexplained pulmonary, renal, or hepatic dysfunction in an immuno-compromised or critically ill patient</w:t>
      </w:r>
    </w:p>
    <w:p w14:paraId="09868BC0" w14:textId="77777777" w:rsidR="00912EDA" w:rsidRPr="005C1930" w:rsidRDefault="00912EDA" w:rsidP="00912EDA">
      <w:pPr>
        <w:numPr>
          <w:ilvl w:val="0"/>
          <w:numId w:val="25"/>
        </w:numPr>
        <w:autoSpaceDE w:val="0"/>
        <w:autoSpaceDN w:val="0"/>
        <w:adjustRightInd w:val="0"/>
        <w:ind w:left="851" w:hanging="425"/>
        <w:rPr>
          <w:rFonts w:cs="Calibri"/>
          <w:color w:val="000000"/>
          <w:lang w:eastAsia="en-AU"/>
        </w:rPr>
      </w:pPr>
      <w:r w:rsidRPr="42BBC7FB">
        <w:rPr>
          <w:rFonts w:cs="Calibri"/>
          <w:color w:val="000000" w:themeColor="text1"/>
          <w:lang w:eastAsia="en-AU"/>
        </w:rPr>
        <w:t>unexplained haemodynamic instability</w:t>
      </w:r>
    </w:p>
    <w:p w14:paraId="09AC01E5" w14:textId="77777777" w:rsidR="00912EDA" w:rsidRPr="00F375FE" w:rsidRDefault="00912EDA" w:rsidP="00912EDA">
      <w:pPr>
        <w:pStyle w:val="ListBullet"/>
        <w:numPr>
          <w:ilvl w:val="0"/>
          <w:numId w:val="14"/>
        </w:numPr>
        <w:ind w:left="426" w:hanging="426"/>
        <w:rPr>
          <w:lang w:eastAsia="en-AU"/>
        </w:rPr>
      </w:pPr>
      <w:r>
        <w:rPr>
          <w:lang w:eastAsia="en-AU"/>
        </w:rPr>
        <w:t xml:space="preserve">Ongoing monitoring of </w:t>
      </w:r>
      <w:r w:rsidRPr="00D911EB">
        <w:rPr>
          <w:lang w:eastAsia="en-AU"/>
        </w:rPr>
        <w:t>Staphylococcus aureus</w:t>
      </w:r>
      <w:r w:rsidRPr="005C1930">
        <w:rPr>
          <w:lang w:eastAsia="en-AU"/>
        </w:rPr>
        <w:t xml:space="preserve"> bacteraemia, </w:t>
      </w:r>
      <w:r>
        <w:rPr>
          <w:lang w:eastAsia="en-AU"/>
        </w:rPr>
        <w:t>C</w:t>
      </w:r>
      <w:r w:rsidRPr="005C1930">
        <w:rPr>
          <w:lang w:eastAsia="en-AU"/>
        </w:rPr>
        <w:t xml:space="preserve">andidaemia, and </w:t>
      </w:r>
      <w:r>
        <w:rPr>
          <w:lang w:eastAsia="en-AU"/>
        </w:rPr>
        <w:t>I</w:t>
      </w:r>
      <w:r w:rsidRPr="005C1930">
        <w:rPr>
          <w:lang w:eastAsia="en-AU"/>
        </w:rPr>
        <w:t xml:space="preserve">nfective </w:t>
      </w:r>
      <w:r>
        <w:rPr>
          <w:lang w:eastAsia="en-AU"/>
        </w:rPr>
        <w:t>E</w:t>
      </w:r>
      <w:r w:rsidRPr="005C1930">
        <w:rPr>
          <w:lang w:eastAsia="en-AU"/>
        </w:rPr>
        <w:t>ndocarditis</w:t>
      </w:r>
      <w:r w:rsidRPr="00D911EB">
        <w:rPr>
          <w:lang w:eastAsia="en-AU"/>
        </w:rPr>
        <w:t>.</w:t>
      </w:r>
    </w:p>
    <w:p w14:paraId="26D16A10" w14:textId="77777777" w:rsidR="00912EDA" w:rsidRDefault="00912EDA" w:rsidP="00912EDA">
      <w:pPr>
        <w:pStyle w:val="ListBullet"/>
        <w:numPr>
          <w:ilvl w:val="0"/>
          <w:numId w:val="14"/>
        </w:numPr>
        <w:ind w:left="426" w:hanging="426"/>
        <w:rPr>
          <w:lang w:eastAsia="en-AU"/>
        </w:rPr>
      </w:pPr>
      <w:r>
        <w:rPr>
          <w:lang w:eastAsia="en-AU"/>
        </w:rPr>
        <w:t>Suspected transfusion reactions with a temperature greater than 1.5 degrees above baseline.</w:t>
      </w:r>
    </w:p>
    <w:p w14:paraId="4ADEA04F" w14:textId="77777777" w:rsidR="00912EDA" w:rsidRDefault="00912EDA" w:rsidP="00912EDA">
      <w:pPr>
        <w:pStyle w:val="ListBullet"/>
        <w:numPr>
          <w:ilvl w:val="0"/>
          <w:numId w:val="14"/>
        </w:numPr>
        <w:ind w:left="426" w:hanging="426"/>
        <w:rPr>
          <w:lang w:eastAsia="en-AU"/>
        </w:rPr>
      </w:pPr>
      <w:r>
        <w:rPr>
          <w:lang w:eastAsia="en-AU"/>
        </w:rPr>
        <w:t>Part of a request for septic screening</w:t>
      </w:r>
    </w:p>
    <w:p w14:paraId="59B8CEE3" w14:textId="77777777" w:rsidR="00912EDA" w:rsidRDefault="00912EDA" w:rsidP="00912EDA">
      <w:pPr>
        <w:pStyle w:val="ListBullet"/>
        <w:ind w:left="284"/>
        <w:rPr>
          <w:lang w:eastAsia="en-AU"/>
        </w:rPr>
      </w:pPr>
    </w:p>
    <w:p w14:paraId="21E5D2A7" w14:textId="77777777" w:rsidR="00912EDA" w:rsidRPr="00151261" w:rsidRDefault="00912EDA" w:rsidP="00912EDA">
      <w:pPr>
        <w:ind w:left="1080"/>
        <w:jc w:val="right"/>
        <w:rPr>
          <w:rFonts w:cs="Calibri,Bold"/>
          <w:bCs/>
          <w:i/>
          <w:szCs w:val="24"/>
          <w:lang w:eastAsia="en-AU"/>
        </w:rPr>
      </w:pPr>
      <w:hyperlink w:anchor="Contents" w:history="1">
        <w:r w:rsidRPr="00CA0FED">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0AE439D7" w14:textId="77777777" w:rsidTr="00FC324C">
        <w:trPr>
          <w:cantSplit/>
          <w:trHeight w:val="285"/>
        </w:trPr>
        <w:tc>
          <w:tcPr>
            <w:tcW w:w="9300" w:type="dxa"/>
            <w:shd w:val="clear" w:color="auto" w:fill="A6A6A6"/>
          </w:tcPr>
          <w:p w14:paraId="08CF11A2" w14:textId="77777777" w:rsidR="00912EDA" w:rsidRPr="00C76688" w:rsidRDefault="00912EDA" w:rsidP="00FC324C">
            <w:pPr>
              <w:pStyle w:val="Heading1"/>
            </w:pPr>
            <w:bookmarkStart w:id="18" w:name="_Toc113627986"/>
            <w:r w:rsidRPr="00C76688">
              <w:t xml:space="preserve">Section </w:t>
            </w:r>
            <w:r>
              <w:t>2</w:t>
            </w:r>
            <w:r w:rsidRPr="00C76688">
              <w:t xml:space="preserve"> –</w:t>
            </w:r>
            <w:r>
              <w:t xml:space="preserve"> Adult Patients</w:t>
            </w:r>
            <w:bookmarkEnd w:id="18"/>
          </w:p>
        </w:tc>
      </w:tr>
    </w:tbl>
    <w:p w14:paraId="708B933E" w14:textId="77777777" w:rsidR="00912EDA" w:rsidRDefault="00912EDA" w:rsidP="00912EDA">
      <w:pPr>
        <w:rPr>
          <w:rFonts w:cs="Arial"/>
          <w:szCs w:val="24"/>
        </w:rPr>
      </w:pPr>
    </w:p>
    <w:p w14:paraId="359C9CD2" w14:textId="77777777" w:rsidR="00912EDA" w:rsidRDefault="00912EDA" w:rsidP="00912EDA">
      <w:pPr>
        <w:rPr>
          <w:rFonts w:cs="Arial"/>
          <w:szCs w:val="24"/>
        </w:rPr>
      </w:pPr>
      <w:r w:rsidRPr="001717AF">
        <w:rPr>
          <w:rFonts w:cs="Arial"/>
          <w:szCs w:val="24"/>
        </w:rPr>
        <w:t xml:space="preserve">For each septic episode, </w:t>
      </w:r>
      <w:r w:rsidRPr="001717AF">
        <w:rPr>
          <w:rFonts w:cs="Arial"/>
          <w:b/>
          <w:szCs w:val="24"/>
        </w:rPr>
        <w:t>2 complete, separately drawn sets,</w:t>
      </w:r>
      <w:r w:rsidRPr="001717AF">
        <w:rPr>
          <w:rFonts w:cs="Arial"/>
          <w:szCs w:val="24"/>
        </w:rPr>
        <w:t xml:space="preserve"> of Blood Cultures from 2 different peripheral sites are required (four bottles in total). </w:t>
      </w:r>
      <w:r>
        <w:rPr>
          <w:rFonts w:cs="Arial"/>
          <w:szCs w:val="24"/>
        </w:rPr>
        <w:t xml:space="preserve">Two sets of Blood Cultures from different peripheral sites are required to assist in the differentiation of true bacteraemia from contamination, and to prevent negative patient outcomes that can occur from false positive cultures. </w:t>
      </w:r>
    </w:p>
    <w:p w14:paraId="54390253" w14:textId="77777777" w:rsidR="00912EDA" w:rsidRDefault="00912EDA" w:rsidP="00912EDA">
      <w:pPr>
        <w:rPr>
          <w:rFonts w:cs="Arial"/>
          <w:b/>
          <w:szCs w:val="24"/>
        </w:rPr>
      </w:pPr>
    </w:p>
    <w:p w14:paraId="2A1B026B" w14:textId="77777777" w:rsidR="00912EDA" w:rsidRDefault="00912EDA" w:rsidP="00912EDA">
      <w:r w:rsidRPr="42BBC7FB">
        <w:rPr>
          <w:rFonts w:cs="Arial"/>
          <w:b/>
          <w:bCs/>
        </w:rPr>
        <w:t>1 set</w:t>
      </w:r>
      <w:r w:rsidRPr="42BBC7FB">
        <w:rPr>
          <w:rFonts w:cs="Arial"/>
        </w:rPr>
        <w:t xml:space="preserve"> of Adult Blood Culture Bottles consists of two separate bottles (one Aerobic and one Anaerobic</w:t>
      </w:r>
      <w:r>
        <w:rPr>
          <w:rFonts w:cs="Arial"/>
        </w:rPr>
        <w:t>)</w:t>
      </w:r>
      <w:r w:rsidRPr="42BBC7FB">
        <w:rPr>
          <w:rFonts w:cs="Arial"/>
        </w:rPr>
        <w:t xml:space="preserve"> – see </w:t>
      </w:r>
      <w:r>
        <w:t>Figure 1 below.</w:t>
      </w:r>
    </w:p>
    <w:p w14:paraId="69389BA9" w14:textId="77777777" w:rsidR="00912EDA" w:rsidRPr="00CA0FED" w:rsidRDefault="00912EDA" w:rsidP="00912EDA"/>
    <w:p w14:paraId="3BB8859A" w14:textId="77777777" w:rsidR="00912EDA" w:rsidRDefault="00912EDA" w:rsidP="00912EDA">
      <w:pPr>
        <w:rPr>
          <w:rFonts w:cs="Arial"/>
        </w:rPr>
      </w:pPr>
      <w:r w:rsidRPr="001717AF">
        <w:t>Figure 1</w:t>
      </w:r>
      <w:r>
        <w:t>:</w:t>
      </w:r>
      <w:r w:rsidRPr="001717AF">
        <w:t xml:space="preserve"> one set of Adult Blood Culture Bottles</w:t>
      </w:r>
      <w:r w:rsidRPr="00EE5799" w:rsidDel="00EE5799">
        <w:rPr>
          <w:rFonts w:cs="Arial"/>
          <w:sz w:val="16"/>
          <w:szCs w:val="16"/>
        </w:rPr>
        <w:t xml:space="preserve"> </w:t>
      </w:r>
    </w:p>
    <w:p w14:paraId="30EA2B4E" w14:textId="77777777" w:rsidR="00912EDA" w:rsidRDefault="00912EDA" w:rsidP="00912EDA">
      <w:pPr>
        <w:pStyle w:val="ListParagraph"/>
        <w:ind w:left="284"/>
        <w:rPr>
          <w:rFonts w:cs="Arial"/>
          <w:szCs w:val="24"/>
        </w:rPr>
      </w:pPr>
      <w:r>
        <w:rPr>
          <w:noProof/>
          <w:lang w:eastAsia="en-AU"/>
        </w:rPr>
        <w:drawing>
          <wp:anchor distT="0" distB="0" distL="114300" distR="114300" simplePos="0" relativeHeight="251659264" behindDoc="1" locked="0" layoutInCell="1" allowOverlap="1" wp14:anchorId="318FD493" wp14:editId="75DAC864">
            <wp:simplePos x="0" y="0"/>
            <wp:positionH relativeFrom="column">
              <wp:posOffset>13970</wp:posOffset>
            </wp:positionH>
            <wp:positionV relativeFrom="paragraph">
              <wp:posOffset>70485</wp:posOffset>
            </wp:positionV>
            <wp:extent cx="1009650" cy="1607185"/>
            <wp:effectExtent l="0" t="0" r="0" b="0"/>
            <wp:wrapTight wrapText="bothSides">
              <wp:wrapPolygon edited="0">
                <wp:start x="0" y="0"/>
                <wp:lineTo x="0" y="21250"/>
                <wp:lineTo x="21192" y="21250"/>
                <wp:lineTo x="2119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1607185"/>
                    </a:xfrm>
                    <a:prstGeom prst="rect">
                      <a:avLst/>
                    </a:prstGeom>
                  </pic:spPr>
                </pic:pic>
              </a:graphicData>
            </a:graphic>
            <wp14:sizeRelH relativeFrom="page">
              <wp14:pctWidth>0</wp14:pctWidth>
            </wp14:sizeRelH>
            <wp14:sizeRelV relativeFrom="page">
              <wp14:pctHeight>0</wp14:pctHeight>
            </wp14:sizeRelV>
          </wp:anchor>
        </w:drawing>
      </w:r>
    </w:p>
    <w:p w14:paraId="228C1851" w14:textId="77777777" w:rsidR="00912EDA" w:rsidRDefault="00912EDA" w:rsidP="00912EDA">
      <w:pPr>
        <w:pStyle w:val="ListParagraph"/>
        <w:ind w:left="284"/>
        <w:rPr>
          <w:rFonts w:cs="Arial"/>
          <w:szCs w:val="24"/>
        </w:rPr>
      </w:pPr>
    </w:p>
    <w:p w14:paraId="738DB21D" w14:textId="77777777" w:rsidR="00912EDA" w:rsidRDefault="00912EDA" w:rsidP="00912EDA">
      <w:pPr>
        <w:pStyle w:val="ListParagraph"/>
        <w:ind w:left="284"/>
        <w:rPr>
          <w:rFonts w:cs="Arial"/>
          <w:szCs w:val="24"/>
        </w:rPr>
      </w:pPr>
    </w:p>
    <w:p w14:paraId="1DF708CF" w14:textId="77777777" w:rsidR="00912EDA" w:rsidRDefault="00912EDA" w:rsidP="00912EDA">
      <w:pPr>
        <w:pStyle w:val="ListParagraph"/>
        <w:ind w:left="284"/>
        <w:rPr>
          <w:rFonts w:cs="Arial"/>
          <w:szCs w:val="24"/>
        </w:rPr>
      </w:pPr>
    </w:p>
    <w:p w14:paraId="2919B3DC" w14:textId="77777777" w:rsidR="00912EDA" w:rsidRDefault="00912EDA" w:rsidP="00912EDA">
      <w:pPr>
        <w:pStyle w:val="ListParagraph"/>
        <w:ind w:left="284"/>
        <w:rPr>
          <w:rFonts w:cs="Arial"/>
          <w:szCs w:val="24"/>
        </w:rPr>
      </w:pPr>
    </w:p>
    <w:p w14:paraId="5A15BD69" w14:textId="77777777" w:rsidR="00912EDA" w:rsidRDefault="00912EDA" w:rsidP="00912EDA">
      <w:pPr>
        <w:pStyle w:val="ListParagraph"/>
        <w:ind w:left="284"/>
        <w:rPr>
          <w:rFonts w:cs="Arial"/>
          <w:szCs w:val="24"/>
        </w:rPr>
      </w:pPr>
    </w:p>
    <w:p w14:paraId="0F1051B8" w14:textId="77777777" w:rsidR="00912EDA" w:rsidRDefault="00912EDA" w:rsidP="00912EDA">
      <w:pPr>
        <w:pStyle w:val="ListParagraph"/>
        <w:ind w:left="284"/>
        <w:rPr>
          <w:rFonts w:cs="Arial"/>
          <w:szCs w:val="24"/>
        </w:rPr>
      </w:pPr>
    </w:p>
    <w:p w14:paraId="001BBAE4" w14:textId="77777777" w:rsidR="00912EDA" w:rsidRDefault="00912EDA" w:rsidP="00912EDA">
      <w:pPr>
        <w:pStyle w:val="ListParagraph"/>
        <w:ind w:left="284"/>
        <w:rPr>
          <w:rFonts w:cs="Arial"/>
          <w:szCs w:val="24"/>
        </w:rPr>
      </w:pPr>
    </w:p>
    <w:p w14:paraId="42DD7566" w14:textId="77777777" w:rsidR="00912EDA" w:rsidRDefault="00912EDA" w:rsidP="00912EDA">
      <w:pPr>
        <w:pStyle w:val="ListParagraph"/>
        <w:ind w:left="284"/>
        <w:rPr>
          <w:rFonts w:cs="Arial"/>
          <w:szCs w:val="24"/>
        </w:rPr>
      </w:pPr>
    </w:p>
    <w:p w14:paraId="44EDA937" w14:textId="77777777" w:rsidR="00912EDA" w:rsidRDefault="00912EDA" w:rsidP="00912EDA">
      <w:pPr>
        <w:pStyle w:val="ListParagraph"/>
        <w:ind w:left="284"/>
        <w:rPr>
          <w:rFonts w:cs="Arial"/>
          <w:szCs w:val="24"/>
        </w:rPr>
      </w:pPr>
    </w:p>
    <w:p w14:paraId="6C817F11" w14:textId="77777777" w:rsidR="00912EDA" w:rsidRDefault="00912EDA" w:rsidP="00912EDA">
      <w:pPr>
        <w:pStyle w:val="ListParagraph"/>
        <w:numPr>
          <w:ilvl w:val="0"/>
          <w:numId w:val="3"/>
        </w:numPr>
        <w:spacing w:after="120"/>
        <w:ind w:left="426" w:hanging="426"/>
        <w:rPr>
          <w:rFonts w:cs="Arial"/>
          <w:szCs w:val="24"/>
        </w:rPr>
      </w:pPr>
      <w:r>
        <w:rPr>
          <w:rFonts w:cs="Arial"/>
          <w:szCs w:val="24"/>
        </w:rPr>
        <w:lastRenderedPageBreak/>
        <w:t>Adult Aerobic and Anaerobic Blood Culture Bottles must have a minimum of 8mL and a maximum of 10mL of blood in each bottle when using BD Bactec</w:t>
      </w:r>
      <w:r w:rsidRPr="006D0809">
        <w:rPr>
          <w:rFonts w:asciiTheme="minorHAnsi" w:hAnsiTheme="minorHAnsi" w:cstheme="minorHAnsi"/>
          <w:color w:val="000000"/>
          <w:szCs w:val="24"/>
          <w:vertAlign w:val="superscript"/>
          <w:lang w:eastAsia="en-AU"/>
        </w:rPr>
        <w:t>TM</w:t>
      </w:r>
      <w:r>
        <w:rPr>
          <w:rFonts w:cs="Arial"/>
          <w:szCs w:val="24"/>
        </w:rPr>
        <w:t xml:space="preserve"> bottles (please follow the instructions on the bottle including visualisation of the black fill-line). Inadequate blood volume will lead to a reduced volume of potential microorganisms, which may lead to a false negative result. The optimal recovery of bacteria and fungi from blood depends on culturing an adequate volume of blood.</w:t>
      </w:r>
    </w:p>
    <w:p w14:paraId="3EF49215" w14:textId="77777777" w:rsidR="00912EDA" w:rsidRPr="00C232DA" w:rsidRDefault="00912EDA" w:rsidP="00912EDA">
      <w:pPr>
        <w:pStyle w:val="ListParagraph"/>
        <w:numPr>
          <w:ilvl w:val="0"/>
          <w:numId w:val="3"/>
        </w:numPr>
        <w:spacing w:after="120"/>
        <w:ind w:left="426" w:hanging="426"/>
        <w:rPr>
          <w:rFonts w:cs="Arial"/>
          <w:szCs w:val="24"/>
        </w:rPr>
      </w:pPr>
      <w:r w:rsidRPr="00C232DA">
        <w:rPr>
          <w:rFonts w:cs="Arial"/>
          <w:szCs w:val="24"/>
        </w:rPr>
        <w:t xml:space="preserve">If after assessing your patient, you anticipate a small volume of blood from the blood draw, complete the blood collection for the Aerobic (blue) culture bottle first. </w:t>
      </w:r>
      <w:r>
        <w:rPr>
          <w:rFonts w:cs="Arial"/>
          <w:szCs w:val="24"/>
        </w:rPr>
        <w:t xml:space="preserve"> </w:t>
      </w:r>
      <w:r w:rsidRPr="00C232DA">
        <w:rPr>
          <w:rFonts w:cs="Arial"/>
          <w:szCs w:val="24"/>
        </w:rPr>
        <w:t>In circumstances where there is further concern that there will be insu</w:t>
      </w:r>
      <w:r>
        <w:rPr>
          <w:rFonts w:cs="Arial"/>
          <w:szCs w:val="24"/>
        </w:rPr>
        <w:t>fficient</w:t>
      </w:r>
      <w:r w:rsidRPr="00C232DA">
        <w:rPr>
          <w:rFonts w:cs="Arial"/>
          <w:szCs w:val="24"/>
        </w:rPr>
        <w:t xml:space="preserve"> blood volume to fill the requirements of both Adult Blood Culture Bottles, a Paediatric Blood Culture Bottle can be used for an adult patient, as it only requires 1-3mL of blood. </w:t>
      </w:r>
    </w:p>
    <w:p w14:paraId="4795007A" w14:textId="77777777" w:rsidR="00912EDA" w:rsidRDefault="00912EDA" w:rsidP="00912EDA">
      <w:pPr>
        <w:pStyle w:val="ListParagraph"/>
        <w:numPr>
          <w:ilvl w:val="0"/>
          <w:numId w:val="3"/>
        </w:numPr>
        <w:spacing w:after="120"/>
        <w:ind w:left="426" w:hanging="426"/>
        <w:rPr>
          <w:rFonts w:cs="Arial"/>
          <w:szCs w:val="24"/>
        </w:rPr>
      </w:pPr>
      <w:r w:rsidRPr="00E212DC">
        <w:rPr>
          <w:rFonts w:cs="Arial"/>
          <w:szCs w:val="24"/>
        </w:rPr>
        <w:t xml:space="preserve">To optimise the sensitivity of the </w:t>
      </w:r>
      <w:r>
        <w:rPr>
          <w:rFonts w:cs="Arial"/>
          <w:szCs w:val="24"/>
        </w:rPr>
        <w:t>B</w:t>
      </w:r>
      <w:r w:rsidRPr="00E212DC">
        <w:rPr>
          <w:rFonts w:cs="Arial"/>
          <w:szCs w:val="24"/>
        </w:rPr>
        <w:t xml:space="preserve">lood </w:t>
      </w:r>
      <w:r>
        <w:rPr>
          <w:rFonts w:cs="Arial"/>
          <w:szCs w:val="24"/>
        </w:rPr>
        <w:t>C</w:t>
      </w:r>
      <w:r w:rsidRPr="00E212DC">
        <w:rPr>
          <w:rFonts w:cs="Arial"/>
          <w:szCs w:val="24"/>
        </w:rPr>
        <w:t>ultures collected</w:t>
      </w:r>
      <w:r>
        <w:rPr>
          <w:rFonts w:cs="Arial"/>
          <w:szCs w:val="24"/>
        </w:rPr>
        <w:t>,</w:t>
      </w:r>
      <w:r w:rsidRPr="00E212DC">
        <w:rPr>
          <w:rFonts w:cs="Arial"/>
          <w:szCs w:val="24"/>
        </w:rPr>
        <w:t xml:space="preserve"> and prevent false positive results</w:t>
      </w:r>
      <w:r>
        <w:rPr>
          <w:rFonts w:cs="Arial"/>
          <w:szCs w:val="24"/>
        </w:rPr>
        <w:t>,</w:t>
      </w:r>
      <w:r w:rsidRPr="00E212DC">
        <w:rPr>
          <w:rFonts w:cs="Arial"/>
          <w:szCs w:val="24"/>
        </w:rPr>
        <w:t xml:space="preserve"> </w:t>
      </w:r>
      <w:r w:rsidRPr="00E212DC">
        <w:rPr>
          <w:rFonts w:cs="Arial"/>
          <w:b/>
          <w:bCs/>
          <w:szCs w:val="24"/>
        </w:rPr>
        <w:t>do not</w:t>
      </w:r>
      <w:r w:rsidRPr="00FE2905">
        <w:rPr>
          <w:rFonts w:cs="Arial"/>
          <w:szCs w:val="24"/>
        </w:rPr>
        <w:t xml:space="preserve"> place more than 10m</w:t>
      </w:r>
      <w:r>
        <w:rPr>
          <w:rFonts w:cs="Arial"/>
          <w:szCs w:val="24"/>
        </w:rPr>
        <w:t>L</w:t>
      </w:r>
      <w:r w:rsidRPr="00FE2905">
        <w:rPr>
          <w:rFonts w:cs="Arial"/>
          <w:szCs w:val="24"/>
        </w:rPr>
        <w:t xml:space="preserve"> </w:t>
      </w:r>
      <w:r w:rsidRPr="00E212DC">
        <w:rPr>
          <w:rFonts w:cs="Arial"/>
          <w:szCs w:val="24"/>
        </w:rPr>
        <w:t>(or 3m</w:t>
      </w:r>
      <w:r>
        <w:rPr>
          <w:rFonts w:cs="Arial"/>
          <w:szCs w:val="24"/>
        </w:rPr>
        <w:t>L</w:t>
      </w:r>
      <w:r w:rsidRPr="00E212DC">
        <w:rPr>
          <w:rFonts w:cs="Arial"/>
          <w:szCs w:val="24"/>
        </w:rPr>
        <w:t xml:space="preserve"> in a </w:t>
      </w:r>
      <w:r>
        <w:rPr>
          <w:rFonts w:cs="Arial"/>
          <w:szCs w:val="24"/>
        </w:rPr>
        <w:t>P</w:t>
      </w:r>
      <w:r w:rsidRPr="00E212DC">
        <w:rPr>
          <w:rFonts w:cs="Arial"/>
          <w:szCs w:val="24"/>
        </w:rPr>
        <w:t xml:space="preserve">aediatric </w:t>
      </w:r>
      <w:r>
        <w:rPr>
          <w:rFonts w:cs="Arial"/>
          <w:szCs w:val="24"/>
        </w:rPr>
        <w:t>B</w:t>
      </w:r>
      <w:r w:rsidRPr="00E212DC">
        <w:rPr>
          <w:rFonts w:cs="Arial"/>
          <w:szCs w:val="24"/>
        </w:rPr>
        <w:t>ottle) of blood in each blood culture bottle</w:t>
      </w:r>
      <w:r>
        <w:rPr>
          <w:rFonts w:cs="Arial"/>
          <w:szCs w:val="24"/>
        </w:rPr>
        <w:t xml:space="preserve"> (please follow the instructions on the bottle including visualisation of the black fill-line).</w:t>
      </w:r>
    </w:p>
    <w:p w14:paraId="3A4021C9" w14:textId="77777777" w:rsidR="00912EDA" w:rsidRDefault="00912EDA" w:rsidP="00912EDA">
      <w:pPr>
        <w:jc w:val="right"/>
        <w:rPr>
          <w:rFonts w:cs="Calibri,Bold"/>
          <w:bCs/>
          <w:i/>
          <w:szCs w:val="24"/>
          <w:lang w:eastAsia="en-AU"/>
        </w:rPr>
      </w:pPr>
      <w:hyperlink w:anchor="Contents" w:history="1">
        <w:r w:rsidRPr="00C91F3F">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0D9E929E" w14:textId="77777777" w:rsidTr="00FC324C">
        <w:trPr>
          <w:cantSplit/>
          <w:trHeight w:val="285"/>
        </w:trPr>
        <w:tc>
          <w:tcPr>
            <w:tcW w:w="9300" w:type="dxa"/>
            <w:shd w:val="clear" w:color="auto" w:fill="A6A6A6"/>
          </w:tcPr>
          <w:p w14:paraId="495CF136" w14:textId="77777777" w:rsidR="00912EDA" w:rsidRPr="00C76688" w:rsidRDefault="00912EDA" w:rsidP="00FC324C">
            <w:pPr>
              <w:pStyle w:val="Heading1"/>
            </w:pPr>
            <w:bookmarkStart w:id="19" w:name="_Toc113627987"/>
            <w:r w:rsidRPr="00C76688">
              <w:t xml:space="preserve">Section </w:t>
            </w:r>
            <w:r>
              <w:t>3</w:t>
            </w:r>
            <w:r w:rsidRPr="00C76688">
              <w:t xml:space="preserve"> –</w:t>
            </w:r>
            <w:r>
              <w:t xml:space="preserve"> Paediatric Patients</w:t>
            </w:r>
            <w:bookmarkEnd w:id="19"/>
          </w:p>
        </w:tc>
      </w:tr>
    </w:tbl>
    <w:p w14:paraId="176B5D64" w14:textId="77777777" w:rsidR="00912EDA" w:rsidRDefault="00912EDA" w:rsidP="00912EDA">
      <w:pPr>
        <w:spacing w:after="120"/>
        <w:rPr>
          <w:rFonts w:cs="Arial"/>
          <w:sz w:val="10"/>
          <w:szCs w:val="10"/>
        </w:rPr>
      </w:pPr>
    </w:p>
    <w:p w14:paraId="0CEA7C54" w14:textId="77777777" w:rsidR="00912EDA" w:rsidRPr="00320D54" w:rsidRDefault="00912EDA" w:rsidP="00912EDA">
      <w:pPr>
        <w:spacing w:after="120"/>
        <w:rPr>
          <w:rFonts w:cs="Arial"/>
          <w:sz w:val="10"/>
          <w:szCs w:val="10"/>
        </w:rPr>
      </w:pPr>
    </w:p>
    <w:p w14:paraId="1AB0626F" w14:textId="77777777" w:rsidR="00912EDA" w:rsidRDefault="00912EDA" w:rsidP="00912EDA">
      <w:pPr>
        <w:spacing w:after="120"/>
        <w:rPr>
          <w:rFonts w:cs="Arial"/>
        </w:rPr>
      </w:pPr>
      <w:r w:rsidRPr="42BBC7FB">
        <w:rPr>
          <w:rFonts w:cs="Arial"/>
        </w:rPr>
        <w:t xml:space="preserve">A single bottle system </w:t>
      </w:r>
      <w:r>
        <w:rPr>
          <w:rFonts w:cs="Arial"/>
        </w:rPr>
        <w:t xml:space="preserve">(aerobic) </w:t>
      </w:r>
      <w:r w:rsidRPr="42BBC7FB">
        <w:rPr>
          <w:rFonts w:cs="Arial"/>
        </w:rPr>
        <w:t>is used for Paediatric Patients</w:t>
      </w:r>
      <w:r>
        <w:rPr>
          <w:rFonts w:cs="Arial"/>
        </w:rPr>
        <w:t xml:space="preserve"> (infant / small child)</w:t>
      </w:r>
      <w:r w:rsidRPr="42BBC7FB">
        <w:rPr>
          <w:rFonts w:cs="Arial"/>
        </w:rPr>
        <w:t xml:space="preserve"> as bacteraemia caused by anaerobic pathogens are less common than aerobic pathogens. </w:t>
      </w:r>
      <w:r w:rsidRPr="42BBC7FB">
        <w:rPr>
          <w:rFonts w:cs="Arial"/>
          <w:b/>
          <w:bCs/>
        </w:rPr>
        <w:t>1 set</w:t>
      </w:r>
      <w:r w:rsidRPr="42BBC7FB">
        <w:rPr>
          <w:rFonts w:cs="Arial"/>
        </w:rPr>
        <w:t xml:space="preserve"> (one pink coloured paediatric bottle – see </w:t>
      </w:r>
      <w:r>
        <w:t>Figure 2 below)</w:t>
      </w:r>
      <w:r w:rsidRPr="42BBC7FB">
        <w:rPr>
          <w:rFonts w:ascii="Calibri Light" w:hAnsi="Calibri Light" w:cs="Calibri Light"/>
        </w:rPr>
        <w:t xml:space="preserve"> </w:t>
      </w:r>
      <w:r w:rsidRPr="42BBC7FB">
        <w:rPr>
          <w:rFonts w:cs="Arial"/>
        </w:rPr>
        <w:t>is required</w:t>
      </w:r>
      <w:r>
        <w:rPr>
          <w:rFonts w:cs="Arial"/>
        </w:rPr>
        <w:t xml:space="preserve">. </w:t>
      </w:r>
    </w:p>
    <w:p w14:paraId="7BBCED79" w14:textId="77777777" w:rsidR="00912EDA" w:rsidRPr="00151261" w:rsidRDefault="00912EDA" w:rsidP="00912EDA">
      <w:pPr>
        <w:pBdr>
          <w:top w:val="single" w:sz="4" w:space="1" w:color="auto"/>
          <w:left w:val="single" w:sz="4" w:space="4" w:color="auto"/>
          <w:bottom w:val="single" w:sz="4" w:space="1" w:color="auto"/>
          <w:right w:val="single" w:sz="4" w:space="4" w:color="auto"/>
        </w:pBdr>
        <w:spacing w:before="240" w:after="240"/>
        <w:rPr>
          <w:rFonts w:cs="Arial"/>
          <w:szCs w:val="24"/>
        </w:rPr>
      </w:pPr>
      <w:r w:rsidRPr="00151261">
        <w:rPr>
          <w:rFonts w:cs="Arial"/>
          <w:b/>
          <w:bCs/>
          <w:szCs w:val="24"/>
        </w:rPr>
        <w:t>Note:</w:t>
      </w:r>
      <w:r w:rsidRPr="00151261">
        <w:rPr>
          <w:rFonts w:cs="Arial"/>
          <w:szCs w:val="24"/>
        </w:rPr>
        <w:t xml:space="preserve"> if a paediatric patient (infant / small child) is considered at higher risk of a significant anaerobic infection (immunocompromised, those with head and neck, intra-abdominal or pelvic infection, or a severe sepsis), the medical team may request blood culture collection using an Adult Blood Culture Set (see Section 2). This decision should be based on the patient’s clinical presentation and risk factors, as well as suitability for a larger blood draw. </w:t>
      </w:r>
    </w:p>
    <w:p w14:paraId="19EF4128" w14:textId="77777777" w:rsidR="00912EDA" w:rsidRPr="006F5507" w:rsidRDefault="00912EDA" w:rsidP="00912EDA">
      <w:pPr>
        <w:rPr>
          <w:rFonts w:cs="Arial"/>
        </w:rPr>
      </w:pPr>
      <w:r w:rsidRPr="00C232DA">
        <w:t xml:space="preserve">Figure </w:t>
      </w:r>
      <w:r>
        <w:t>2:</w:t>
      </w:r>
      <w:r w:rsidRPr="00C232DA">
        <w:t xml:space="preserve"> one </w:t>
      </w:r>
      <w:r>
        <w:t>Paediatric Blood Culture Bottle set</w:t>
      </w:r>
    </w:p>
    <w:p w14:paraId="0AA35B4C" w14:textId="77777777" w:rsidR="00912EDA" w:rsidRDefault="00912EDA" w:rsidP="00912EDA">
      <w:pPr>
        <w:rPr>
          <w:rFonts w:cs="Arial"/>
          <w:sz w:val="16"/>
          <w:szCs w:val="16"/>
        </w:rPr>
      </w:pPr>
      <w:r>
        <w:rPr>
          <w:noProof/>
          <w:lang w:eastAsia="en-AU"/>
        </w:rPr>
        <w:drawing>
          <wp:anchor distT="0" distB="0" distL="114300" distR="114300" simplePos="0" relativeHeight="251660288" behindDoc="1" locked="0" layoutInCell="1" allowOverlap="1" wp14:anchorId="65469EFC" wp14:editId="614E10B9">
            <wp:simplePos x="0" y="0"/>
            <wp:positionH relativeFrom="column">
              <wp:posOffset>13970</wp:posOffset>
            </wp:positionH>
            <wp:positionV relativeFrom="paragraph">
              <wp:posOffset>56515</wp:posOffset>
            </wp:positionV>
            <wp:extent cx="1066800" cy="1691005"/>
            <wp:effectExtent l="0" t="0" r="0" b="4445"/>
            <wp:wrapTight wrapText="bothSides">
              <wp:wrapPolygon edited="0">
                <wp:start x="0" y="0"/>
                <wp:lineTo x="0" y="21413"/>
                <wp:lineTo x="21214" y="21413"/>
                <wp:lineTo x="2121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66800" cy="1691005"/>
                    </a:xfrm>
                    <a:prstGeom prst="rect">
                      <a:avLst/>
                    </a:prstGeom>
                  </pic:spPr>
                </pic:pic>
              </a:graphicData>
            </a:graphic>
            <wp14:sizeRelH relativeFrom="page">
              <wp14:pctWidth>0</wp14:pctWidth>
            </wp14:sizeRelH>
            <wp14:sizeRelV relativeFrom="page">
              <wp14:pctHeight>0</wp14:pctHeight>
            </wp14:sizeRelV>
          </wp:anchor>
        </w:drawing>
      </w:r>
    </w:p>
    <w:p w14:paraId="37F23C31" w14:textId="77777777" w:rsidR="00912EDA" w:rsidRPr="006F5507" w:rsidRDefault="00912EDA" w:rsidP="00912EDA">
      <w:pPr>
        <w:ind w:left="426"/>
        <w:rPr>
          <w:rFonts w:cs="Arial"/>
          <w:sz w:val="16"/>
          <w:szCs w:val="16"/>
        </w:rPr>
      </w:pPr>
    </w:p>
    <w:p w14:paraId="62FBE583" w14:textId="77777777" w:rsidR="00912EDA" w:rsidRDefault="00912EDA" w:rsidP="00912EDA">
      <w:pPr>
        <w:pStyle w:val="ListParagraph"/>
        <w:ind w:left="426"/>
        <w:rPr>
          <w:rFonts w:cs="Arial"/>
          <w:szCs w:val="24"/>
        </w:rPr>
      </w:pPr>
    </w:p>
    <w:p w14:paraId="74A0B7E4" w14:textId="77777777" w:rsidR="00912EDA" w:rsidRDefault="00912EDA" w:rsidP="00912EDA">
      <w:pPr>
        <w:pStyle w:val="ListParagraph"/>
        <w:ind w:left="426"/>
        <w:rPr>
          <w:rFonts w:cs="Arial"/>
          <w:szCs w:val="24"/>
        </w:rPr>
      </w:pPr>
    </w:p>
    <w:p w14:paraId="54BB95D8" w14:textId="77777777" w:rsidR="00912EDA" w:rsidRDefault="00912EDA" w:rsidP="00912EDA">
      <w:pPr>
        <w:pStyle w:val="ListParagraph"/>
        <w:ind w:left="426"/>
        <w:rPr>
          <w:rFonts w:cs="Arial"/>
          <w:szCs w:val="24"/>
        </w:rPr>
      </w:pPr>
    </w:p>
    <w:p w14:paraId="3B706E97" w14:textId="77777777" w:rsidR="00912EDA" w:rsidRDefault="00912EDA" w:rsidP="00912EDA">
      <w:pPr>
        <w:pStyle w:val="ListParagraph"/>
        <w:ind w:left="426"/>
        <w:rPr>
          <w:rFonts w:cs="Arial"/>
          <w:szCs w:val="24"/>
        </w:rPr>
      </w:pPr>
    </w:p>
    <w:p w14:paraId="634F58A4" w14:textId="77777777" w:rsidR="00912EDA" w:rsidRDefault="00912EDA" w:rsidP="00912EDA">
      <w:pPr>
        <w:pStyle w:val="ListParagraph"/>
        <w:ind w:left="426"/>
        <w:rPr>
          <w:rFonts w:cs="Arial"/>
          <w:szCs w:val="24"/>
        </w:rPr>
      </w:pPr>
    </w:p>
    <w:p w14:paraId="760877D9" w14:textId="77777777" w:rsidR="00912EDA" w:rsidRDefault="00912EDA" w:rsidP="00912EDA">
      <w:pPr>
        <w:pStyle w:val="ListParagraph"/>
        <w:ind w:left="426"/>
        <w:rPr>
          <w:rFonts w:cs="Arial"/>
          <w:szCs w:val="24"/>
        </w:rPr>
      </w:pPr>
    </w:p>
    <w:p w14:paraId="3DEAABBB" w14:textId="77777777" w:rsidR="00912EDA" w:rsidRDefault="00912EDA" w:rsidP="00912EDA">
      <w:pPr>
        <w:pStyle w:val="ListParagraph"/>
        <w:ind w:left="426"/>
        <w:rPr>
          <w:rFonts w:cs="Arial"/>
          <w:szCs w:val="24"/>
        </w:rPr>
      </w:pPr>
    </w:p>
    <w:p w14:paraId="6ECAEDFC" w14:textId="77777777" w:rsidR="00912EDA" w:rsidRDefault="00912EDA" w:rsidP="00912EDA">
      <w:pPr>
        <w:pStyle w:val="ListParagraph"/>
        <w:ind w:left="426"/>
        <w:rPr>
          <w:rFonts w:cs="Arial"/>
          <w:szCs w:val="24"/>
        </w:rPr>
      </w:pPr>
    </w:p>
    <w:p w14:paraId="7A18E091" w14:textId="77777777" w:rsidR="00912EDA" w:rsidRDefault="00912EDA" w:rsidP="00912EDA">
      <w:pPr>
        <w:pStyle w:val="ListParagraph"/>
        <w:ind w:left="426"/>
        <w:rPr>
          <w:rFonts w:cs="Arial"/>
          <w:szCs w:val="24"/>
        </w:rPr>
      </w:pPr>
    </w:p>
    <w:p w14:paraId="276C1CFA" w14:textId="77777777" w:rsidR="00912EDA" w:rsidRDefault="00912EDA" w:rsidP="00912EDA">
      <w:pPr>
        <w:pStyle w:val="ListParagraph"/>
        <w:numPr>
          <w:ilvl w:val="0"/>
          <w:numId w:val="3"/>
        </w:numPr>
        <w:spacing w:after="120"/>
        <w:ind w:left="426" w:hanging="426"/>
        <w:rPr>
          <w:rFonts w:cs="Arial"/>
          <w:szCs w:val="24"/>
        </w:rPr>
      </w:pPr>
      <w:r w:rsidRPr="00E212DC">
        <w:rPr>
          <w:rFonts w:cs="Arial"/>
          <w:szCs w:val="24"/>
        </w:rPr>
        <w:t xml:space="preserve">To optimise the sensitivity of the </w:t>
      </w:r>
      <w:r>
        <w:rPr>
          <w:rFonts w:cs="Arial"/>
          <w:szCs w:val="24"/>
        </w:rPr>
        <w:t>B</w:t>
      </w:r>
      <w:r w:rsidRPr="00E212DC">
        <w:rPr>
          <w:rFonts w:cs="Arial"/>
          <w:szCs w:val="24"/>
        </w:rPr>
        <w:t xml:space="preserve">lood </w:t>
      </w:r>
      <w:r>
        <w:rPr>
          <w:rFonts w:cs="Arial"/>
          <w:szCs w:val="24"/>
        </w:rPr>
        <w:t>C</w:t>
      </w:r>
      <w:r w:rsidRPr="00E212DC">
        <w:rPr>
          <w:rFonts w:cs="Arial"/>
          <w:szCs w:val="24"/>
        </w:rPr>
        <w:t>ultures collected</w:t>
      </w:r>
      <w:r>
        <w:rPr>
          <w:rFonts w:cs="Arial"/>
          <w:szCs w:val="24"/>
        </w:rPr>
        <w:t>,</w:t>
      </w:r>
      <w:r w:rsidRPr="00E212DC">
        <w:rPr>
          <w:rFonts w:cs="Arial"/>
          <w:szCs w:val="24"/>
        </w:rPr>
        <w:t xml:space="preserve"> and prevent false positive results</w:t>
      </w:r>
      <w:r>
        <w:rPr>
          <w:rFonts w:cs="Arial"/>
          <w:szCs w:val="24"/>
        </w:rPr>
        <w:t xml:space="preserve">, inoculate the bottle with 1 – 3mL of blood (please follow the instructions on the bottle including visualisation of the black fill-line). Inadequate blood volume will lead to a reduced volume of potential microorganisms, which may lead to a false negative </w:t>
      </w:r>
      <w:r>
        <w:rPr>
          <w:rFonts w:cs="Arial"/>
          <w:szCs w:val="24"/>
        </w:rPr>
        <w:lastRenderedPageBreak/>
        <w:t>result. The optimal recovery of bacteria and fungi from blood depends on culturing an adequate volume of blood.</w:t>
      </w:r>
    </w:p>
    <w:p w14:paraId="79A077DC" w14:textId="77777777" w:rsidR="00912EDA" w:rsidRDefault="00912EDA" w:rsidP="00912EDA">
      <w:pPr>
        <w:rPr>
          <w:rFonts w:cs="Arial"/>
          <w:b/>
          <w:bCs/>
          <w:szCs w:val="24"/>
        </w:rPr>
      </w:pPr>
      <w:r>
        <w:rPr>
          <w:rFonts w:cs="Arial"/>
          <w:b/>
          <w:bCs/>
          <w:szCs w:val="24"/>
        </w:rPr>
        <w:br w:type="page"/>
      </w:r>
    </w:p>
    <w:p w14:paraId="1C233959" w14:textId="77777777" w:rsidR="00912EDA" w:rsidRPr="00151261" w:rsidRDefault="00912EDA" w:rsidP="00912EDA">
      <w:pPr>
        <w:pBdr>
          <w:top w:val="single" w:sz="4" w:space="1" w:color="auto"/>
          <w:left w:val="single" w:sz="4" w:space="4" w:color="auto"/>
          <w:bottom w:val="single" w:sz="4" w:space="1" w:color="auto"/>
          <w:right w:val="single" w:sz="4" w:space="4" w:color="auto"/>
        </w:pBdr>
        <w:spacing w:after="120"/>
        <w:rPr>
          <w:rFonts w:cs="Arial"/>
          <w:szCs w:val="24"/>
        </w:rPr>
      </w:pPr>
      <w:r w:rsidRPr="00151261">
        <w:rPr>
          <w:rFonts w:cs="Arial"/>
          <w:b/>
          <w:bCs/>
          <w:szCs w:val="24"/>
        </w:rPr>
        <w:lastRenderedPageBreak/>
        <w:t>Note:</w:t>
      </w:r>
      <w:r w:rsidRPr="00151261">
        <w:rPr>
          <w:rFonts w:cs="Arial"/>
          <w:szCs w:val="24"/>
        </w:rPr>
        <w:t xml:space="preserve"> depending on the age or weight of the child, the use of an Adult Blood Culture set may be required (e.g., Adult Blood Culture Sets may be indicated in a 14-year-old patient / 100 kg patient). Please discuss the appropriateness of this with the medical team ordering the blood collection. In the event that an Adult Blood Culture set is used, please inoculate the aerobic bottle first. The rationale for this is that most bacteraemia is caused by aerobic bacteria which will be recovered better from the anaerobic bottle.</w:t>
      </w:r>
    </w:p>
    <w:p w14:paraId="0E5BB9B7" w14:textId="77777777" w:rsidR="00912EDA" w:rsidRDefault="00912EDA" w:rsidP="00912EDA">
      <w:pPr>
        <w:pStyle w:val="ListParagraph"/>
        <w:ind w:left="426"/>
        <w:rPr>
          <w:rFonts w:cs="Arial"/>
          <w:szCs w:val="24"/>
        </w:rPr>
      </w:pPr>
    </w:p>
    <w:p w14:paraId="6FF065AA" w14:textId="77777777" w:rsidR="00912EDA" w:rsidRPr="00432F02" w:rsidRDefault="00912EDA" w:rsidP="00912EDA">
      <w:pPr>
        <w:ind w:left="1080"/>
        <w:jc w:val="right"/>
        <w:rPr>
          <w:rFonts w:cs="Calibri,Bold"/>
          <w:bCs/>
          <w:i/>
          <w:szCs w:val="24"/>
          <w:lang w:eastAsia="en-AU"/>
        </w:rPr>
      </w:pPr>
      <w:hyperlink w:anchor="Contents" w:history="1">
        <w:r w:rsidRPr="00CA0FED">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63615FEE" w14:textId="77777777" w:rsidTr="00FC324C">
        <w:trPr>
          <w:cantSplit/>
          <w:trHeight w:val="285"/>
        </w:trPr>
        <w:tc>
          <w:tcPr>
            <w:tcW w:w="9300" w:type="dxa"/>
            <w:shd w:val="clear" w:color="auto" w:fill="A6A6A6"/>
          </w:tcPr>
          <w:p w14:paraId="74790FD5" w14:textId="77777777" w:rsidR="00912EDA" w:rsidRPr="00C76688" w:rsidRDefault="00912EDA" w:rsidP="00FC324C">
            <w:pPr>
              <w:pStyle w:val="Heading1"/>
            </w:pPr>
            <w:bookmarkStart w:id="20" w:name="_Toc113627988"/>
            <w:r w:rsidRPr="00C76688">
              <w:t xml:space="preserve">Section </w:t>
            </w:r>
            <w:r>
              <w:t>4</w:t>
            </w:r>
            <w:r w:rsidRPr="00C76688">
              <w:t xml:space="preserve"> –</w:t>
            </w:r>
            <w:r>
              <w:t xml:space="preserve"> Blood Culture Collection</w:t>
            </w:r>
            <w:r w:rsidRPr="008E0668">
              <w:rPr>
                <w:bCs/>
                <w:szCs w:val="28"/>
              </w:rPr>
              <w:t xml:space="preserve"> from a Peripheral Site</w:t>
            </w:r>
            <w:bookmarkEnd w:id="20"/>
          </w:p>
        </w:tc>
      </w:tr>
    </w:tbl>
    <w:p w14:paraId="29AA098D" w14:textId="77777777" w:rsidR="00912EDA" w:rsidRDefault="00912EDA" w:rsidP="00912EDA">
      <w:pPr>
        <w:rPr>
          <w:rFonts w:cs="Arial"/>
          <w:b/>
          <w:bCs/>
          <w:szCs w:val="24"/>
        </w:rPr>
      </w:pPr>
    </w:p>
    <w:p w14:paraId="7B3D22C3" w14:textId="77777777" w:rsidR="00912EDA" w:rsidRDefault="00912EDA" w:rsidP="00912EDA">
      <w:pPr>
        <w:rPr>
          <w:lang w:eastAsia="en-AU"/>
        </w:rPr>
      </w:pPr>
      <w:r w:rsidRPr="00DA425F">
        <w:rPr>
          <w:lang w:eastAsia="en-AU"/>
        </w:rPr>
        <w:t xml:space="preserve">BD Vacutainer® UltraTouch </w:t>
      </w:r>
      <w:r w:rsidRPr="006D0809">
        <w:rPr>
          <w:vertAlign w:val="superscript"/>
          <w:lang w:eastAsia="en-AU"/>
        </w:rPr>
        <w:t>TM</w:t>
      </w:r>
      <w:r w:rsidRPr="00DA425F">
        <w:rPr>
          <w:lang w:eastAsia="en-AU"/>
        </w:rPr>
        <w:t xml:space="preserve"> Push button blood collection set (</w:t>
      </w:r>
      <w:r>
        <w:rPr>
          <w:b/>
          <w:bCs/>
          <w:lang w:eastAsia="en-AU"/>
        </w:rPr>
        <w:t>B</w:t>
      </w:r>
      <w:r w:rsidRPr="00DA425F">
        <w:rPr>
          <w:b/>
          <w:bCs/>
          <w:lang w:eastAsia="en-AU"/>
        </w:rPr>
        <w:t xml:space="preserve">lood </w:t>
      </w:r>
      <w:r>
        <w:rPr>
          <w:b/>
          <w:bCs/>
          <w:lang w:eastAsia="en-AU"/>
        </w:rPr>
        <w:t>Co</w:t>
      </w:r>
      <w:r w:rsidRPr="00DA425F">
        <w:rPr>
          <w:b/>
          <w:bCs/>
          <w:lang w:eastAsia="en-AU"/>
        </w:rPr>
        <w:t xml:space="preserve">llection </w:t>
      </w:r>
      <w:r>
        <w:rPr>
          <w:b/>
          <w:bCs/>
          <w:lang w:eastAsia="en-AU"/>
        </w:rPr>
        <w:t>S</w:t>
      </w:r>
      <w:r w:rsidRPr="00DA425F">
        <w:rPr>
          <w:b/>
          <w:bCs/>
          <w:lang w:eastAsia="en-AU"/>
        </w:rPr>
        <w:t>et</w:t>
      </w:r>
      <w:r w:rsidRPr="00DA425F">
        <w:rPr>
          <w:lang w:eastAsia="en-AU"/>
        </w:rPr>
        <w:t>) or safety lock - scalp vein set with a safety re</w:t>
      </w:r>
      <w:r>
        <w:rPr>
          <w:lang w:eastAsia="en-AU"/>
        </w:rPr>
        <w:t>-</w:t>
      </w:r>
      <w:r w:rsidRPr="00DA425F">
        <w:rPr>
          <w:lang w:eastAsia="en-AU"/>
        </w:rPr>
        <w:t>sheathing device</w:t>
      </w:r>
      <w:r>
        <w:rPr>
          <w:lang w:eastAsia="en-AU"/>
        </w:rPr>
        <w:t>,</w:t>
      </w:r>
      <w:r w:rsidRPr="00DA425F">
        <w:rPr>
          <w:lang w:eastAsia="en-AU"/>
        </w:rPr>
        <w:t xml:space="preserve"> must be used for venepuncture</w:t>
      </w:r>
      <w:r>
        <w:rPr>
          <w:lang w:eastAsia="en-AU"/>
        </w:rPr>
        <w:t>, to minimise the risk of occupational exposure, and to facilitate appropriate specimen collection</w:t>
      </w:r>
      <w:r w:rsidRPr="00DA425F">
        <w:rPr>
          <w:lang w:eastAsia="en-AU"/>
        </w:rPr>
        <w:t>. The gauge of the needle should be selected depending on the patient’s age, vein size and site to be used</w:t>
      </w:r>
      <w:r>
        <w:rPr>
          <w:lang w:eastAsia="en-AU"/>
        </w:rPr>
        <w:t>:</w:t>
      </w:r>
    </w:p>
    <w:p w14:paraId="736B8A0C" w14:textId="77777777" w:rsidR="00912EDA" w:rsidRPr="008100EC" w:rsidRDefault="00912EDA" w:rsidP="00912EDA">
      <w:pPr>
        <w:rPr>
          <w:sz w:val="10"/>
          <w:szCs w:val="10"/>
        </w:rPr>
      </w:pPr>
    </w:p>
    <w:p w14:paraId="7F9BEE42" w14:textId="77777777" w:rsidR="00912EDA" w:rsidRPr="00DA425F" w:rsidRDefault="00912EDA" w:rsidP="00912EDA">
      <w:pPr>
        <w:pStyle w:val="ListParagraph"/>
        <w:numPr>
          <w:ilvl w:val="0"/>
          <w:numId w:val="7"/>
        </w:numPr>
        <w:ind w:left="426" w:hanging="426"/>
        <w:rPr>
          <w:rFonts w:asciiTheme="minorHAnsi" w:hAnsiTheme="minorHAnsi" w:cstheme="minorHAnsi"/>
          <w:color w:val="000000"/>
          <w:szCs w:val="24"/>
          <w:lang w:eastAsia="en-AU"/>
        </w:rPr>
      </w:pPr>
      <w:r w:rsidRPr="00DA425F">
        <w:rPr>
          <w:rFonts w:asciiTheme="minorHAnsi" w:hAnsiTheme="minorHAnsi" w:cstheme="minorHAnsi"/>
          <w:color w:val="000000"/>
          <w:szCs w:val="24"/>
          <w:lang w:eastAsia="en-AU"/>
        </w:rPr>
        <w:t>21G is recommended for adults with good venous access.</w:t>
      </w:r>
    </w:p>
    <w:p w14:paraId="1C105C94" w14:textId="77777777" w:rsidR="00912EDA" w:rsidRPr="00DA425F" w:rsidRDefault="00912EDA" w:rsidP="00912EDA">
      <w:pPr>
        <w:pStyle w:val="ListParagraph"/>
        <w:numPr>
          <w:ilvl w:val="0"/>
          <w:numId w:val="7"/>
        </w:numPr>
        <w:ind w:left="426" w:hanging="426"/>
        <w:rPr>
          <w:rFonts w:asciiTheme="minorHAnsi" w:hAnsiTheme="minorHAnsi" w:cstheme="minorHAnsi"/>
          <w:color w:val="000000"/>
          <w:szCs w:val="24"/>
          <w:lang w:eastAsia="en-AU"/>
        </w:rPr>
      </w:pPr>
      <w:r w:rsidRPr="00DA425F">
        <w:rPr>
          <w:rFonts w:asciiTheme="minorHAnsi" w:hAnsiTheme="minorHAnsi" w:cstheme="minorHAnsi"/>
          <w:color w:val="000000"/>
          <w:szCs w:val="24"/>
          <w:lang w:eastAsia="en-AU"/>
        </w:rPr>
        <w:t>23G is recommended for adolescents and older paediatric</w:t>
      </w:r>
      <w:r>
        <w:rPr>
          <w:rFonts w:asciiTheme="minorHAnsi" w:hAnsiTheme="minorHAnsi" w:cstheme="minorHAnsi"/>
          <w:color w:val="000000"/>
          <w:szCs w:val="24"/>
          <w:lang w:eastAsia="en-AU"/>
        </w:rPr>
        <w:t xml:space="preserve"> patients,</w:t>
      </w:r>
      <w:r w:rsidRPr="00DA425F">
        <w:rPr>
          <w:rFonts w:asciiTheme="minorHAnsi" w:hAnsiTheme="minorHAnsi" w:cstheme="minorHAnsi"/>
          <w:color w:val="000000"/>
          <w:szCs w:val="24"/>
          <w:lang w:eastAsia="en-AU"/>
        </w:rPr>
        <w:t xml:space="preserve"> and patients with limited venous access.</w:t>
      </w:r>
    </w:p>
    <w:p w14:paraId="3ABC6452" w14:textId="77777777" w:rsidR="00912EDA" w:rsidRPr="00DA425F" w:rsidRDefault="00912EDA" w:rsidP="00912EDA">
      <w:pPr>
        <w:pStyle w:val="ListParagraph"/>
        <w:numPr>
          <w:ilvl w:val="0"/>
          <w:numId w:val="7"/>
        </w:numPr>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25G is recommended for younger paediatric patients (generally newborn to 4</w:t>
      </w:r>
      <w:r>
        <w:rPr>
          <w:rFonts w:asciiTheme="minorHAnsi" w:hAnsiTheme="minorHAnsi" w:cstheme="minorBidi"/>
          <w:color w:val="000000" w:themeColor="text1"/>
          <w:lang w:eastAsia="en-AU"/>
        </w:rPr>
        <w:t xml:space="preserve"> </w:t>
      </w:r>
      <w:r w:rsidRPr="42BBC7FB">
        <w:rPr>
          <w:rFonts w:asciiTheme="minorHAnsi" w:hAnsiTheme="minorHAnsi" w:cstheme="minorBidi"/>
          <w:color w:val="000000" w:themeColor="text1"/>
          <w:lang w:eastAsia="en-AU"/>
        </w:rPr>
        <w:t>-</w:t>
      </w:r>
      <w:r>
        <w:rPr>
          <w:rFonts w:asciiTheme="minorHAnsi" w:hAnsiTheme="minorHAnsi" w:cstheme="minorBidi"/>
          <w:color w:val="000000" w:themeColor="text1"/>
          <w:lang w:eastAsia="en-AU"/>
        </w:rPr>
        <w:t xml:space="preserve"> </w:t>
      </w:r>
      <w:r w:rsidRPr="42BBC7FB">
        <w:rPr>
          <w:rFonts w:asciiTheme="minorHAnsi" w:hAnsiTheme="minorHAnsi" w:cstheme="minorBidi"/>
          <w:color w:val="000000" w:themeColor="text1"/>
          <w:lang w:eastAsia="en-AU"/>
        </w:rPr>
        <w:t>5yrs), and for patients with difficult venous access e.g., the back of the hand or foot.</w:t>
      </w:r>
    </w:p>
    <w:p w14:paraId="68616D5C" w14:textId="77777777" w:rsidR="00912EDA" w:rsidRDefault="00912EDA" w:rsidP="00912EDA">
      <w:pPr>
        <w:pStyle w:val="Heading2"/>
      </w:pPr>
    </w:p>
    <w:p w14:paraId="7CAD5EE0" w14:textId="77777777" w:rsidR="00912EDA" w:rsidRPr="00CA0FED" w:rsidRDefault="00912EDA" w:rsidP="00912EDA">
      <w:pPr>
        <w:rPr>
          <w:rFonts w:cs="Calibri"/>
          <w:szCs w:val="24"/>
        </w:rPr>
      </w:pPr>
      <w:r w:rsidRPr="008E0668">
        <w:t xml:space="preserve">Skin preparation is with 2% Chlorhexidine and 70% Alcohol, using the crosshatching technique. It should be allowed to dry for at least 30 seconds for skin disinfection to be effective. </w:t>
      </w:r>
    </w:p>
    <w:p w14:paraId="221DAC44" w14:textId="77777777" w:rsidR="00912EDA" w:rsidRDefault="00912EDA" w:rsidP="00912EDA">
      <w:r>
        <w:t>Refer to Attachment 1 for a summary of Blood Culture Collection.</w:t>
      </w:r>
    </w:p>
    <w:p w14:paraId="67666DF7" w14:textId="77777777" w:rsidR="00912EDA" w:rsidRDefault="00912EDA" w:rsidP="00912EDA"/>
    <w:p w14:paraId="5F957E96" w14:textId="77777777" w:rsidR="00912EDA" w:rsidRPr="00CA0FED" w:rsidRDefault="00912EDA" w:rsidP="00912EDA">
      <w:pPr>
        <w:rPr>
          <w:b/>
          <w:bCs/>
        </w:rPr>
      </w:pPr>
      <w:r w:rsidRPr="00CA0FED">
        <w:rPr>
          <w:b/>
          <w:bCs/>
        </w:rPr>
        <w:t xml:space="preserve">4.1 </w:t>
      </w:r>
      <w:r w:rsidRPr="00CA0FED">
        <w:rPr>
          <w:b/>
          <w:bCs/>
        </w:rPr>
        <w:tab/>
        <w:t>Equipment:</w:t>
      </w:r>
    </w:p>
    <w:p w14:paraId="052622E0" w14:textId="77777777" w:rsidR="00912EDA" w:rsidRPr="00CA0FED" w:rsidRDefault="00912EDA" w:rsidP="00912ED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color w:val="000000"/>
          <w:szCs w:val="24"/>
          <w:lang w:eastAsia="en-AU"/>
        </w:rPr>
      </w:pPr>
      <w:r>
        <w:rPr>
          <w:rFonts w:asciiTheme="minorHAnsi" w:hAnsiTheme="minorHAnsi" w:cstheme="minorHAnsi"/>
          <w:b/>
          <w:bCs/>
          <w:szCs w:val="24"/>
        </w:rPr>
        <w:t xml:space="preserve">Note: </w:t>
      </w:r>
      <w:r w:rsidRPr="00CA0FED">
        <w:rPr>
          <w:rFonts w:asciiTheme="minorHAnsi" w:hAnsiTheme="minorHAnsi" w:cstheme="minorHAnsi"/>
          <w:szCs w:val="24"/>
        </w:rPr>
        <w:t>This is the equipment necessary for collection of 1 set of blood cultures. Please gather the appropriate amount of equipment for multiple sets.</w:t>
      </w:r>
    </w:p>
    <w:p w14:paraId="2314B1CF" w14:textId="77777777" w:rsidR="00912EDA" w:rsidRPr="008F7D83" w:rsidRDefault="00912EDA" w:rsidP="00912EDA"/>
    <w:p w14:paraId="6BF62225" w14:textId="77777777" w:rsidR="00912EDA" w:rsidRPr="00E212DC" w:rsidRDefault="00912EDA" w:rsidP="00912EDA">
      <w:pPr>
        <w:pStyle w:val="ListBullet"/>
        <w:numPr>
          <w:ilvl w:val="0"/>
          <w:numId w:val="6"/>
        </w:numPr>
        <w:ind w:left="426" w:hanging="426"/>
        <w:rPr>
          <w:rFonts w:asciiTheme="minorHAnsi" w:hAnsiTheme="minorHAnsi" w:cstheme="minorHAnsi"/>
          <w:szCs w:val="24"/>
          <w:lang w:eastAsia="en-AU"/>
        </w:rPr>
      </w:pPr>
      <w:r w:rsidRPr="00E212DC">
        <w:rPr>
          <w:rFonts w:asciiTheme="minorHAnsi" w:hAnsiTheme="minorHAnsi" w:cstheme="minorHAnsi"/>
          <w:szCs w:val="24"/>
          <w:lang w:eastAsia="en-AU"/>
        </w:rPr>
        <w:t>Pathology collection form or e-order pathology</w:t>
      </w:r>
    </w:p>
    <w:p w14:paraId="5C88DE60" w14:textId="77777777" w:rsidR="00912EDA" w:rsidRPr="00185E82" w:rsidRDefault="00912EDA" w:rsidP="00912EDA">
      <w:pPr>
        <w:pStyle w:val="ListParagraph"/>
        <w:numPr>
          <w:ilvl w:val="0"/>
          <w:numId w:val="6"/>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hAnsiTheme="minorHAnsi" w:cstheme="minorBidi"/>
          <w:lang w:eastAsia="en-AU"/>
        </w:rPr>
        <w:t>Patient pathology identification labels x 2</w:t>
      </w:r>
    </w:p>
    <w:p w14:paraId="09C7E950" w14:textId="77777777" w:rsidR="00912EDA" w:rsidRPr="00DA425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color w:val="000000"/>
          <w:szCs w:val="24"/>
          <w:lang w:eastAsia="en-AU"/>
        </w:rPr>
      </w:pPr>
      <w:r w:rsidRPr="00E212DC">
        <w:rPr>
          <w:rFonts w:asciiTheme="minorHAnsi" w:hAnsiTheme="minorHAnsi" w:cstheme="minorHAnsi"/>
          <w:color w:val="000000"/>
          <w:szCs w:val="24"/>
          <w:lang w:eastAsia="en-AU"/>
        </w:rPr>
        <w:t xml:space="preserve">Alcohol </w:t>
      </w:r>
      <w:r>
        <w:rPr>
          <w:rFonts w:asciiTheme="minorHAnsi" w:hAnsiTheme="minorHAnsi" w:cstheme="minorHAnsi"/>
          <w:color w:val="000000"/>
          <w:szCs w:val="24"/>
          <w:lang w:eastAsia="en-AU"/>
        </w:rPr>
        <w:t>B</w:t>
      </w:r>
      <w:r w:rsidRPr="00E212DC">
        <w:rPr>
          <w:rFonts w:asciiTheme="minorHAnsi" w:hAnsiTheme="minorHAnsi" w:cstheme="minorHAnsi"/>
          <w:color w:val="000000"/>
          <w:szCs w:val="24"/>
          <w:lang w:eastAsia="en-AU"/>
        </w:rPr>
        <w:t xml:space="preserve">ased </w:t>
      </w:r>
      <w:r>
        <w:rPr>
          <w:rFonts w:asciiTheme="minorHAnsi" w:hAnsiTheme="minorHAnsi" w:cstheme="minorHAnsi"/>
          <w:color w:val="000000"/>
          <w:szCs w:val="24"/>
          <w:lang w:eastAsia="en-AU"/>
        </w:rPr>
        <w:t>H</w:t>
      </w:r>
      <w:r w:rsidRPr="00E212DC">
        <w:rPr>
          <w:rFonts w:asciiTheme="minorHAnsi" w:hAnsiTheme="minorHAnsi" w:cstheme="minorHAnsi"/>
          <w:color w:val="000000"/>
          <w:szCs w:val="24"/>
          <w:lang w:eastAsia="en-AU"/>
        </w:rPr>
        <w:t xml:space="preserve">and </w:t>
      </w:r>
      <w:r>
        <w:rPr>
          <w:rFonts w:asciiTheme="minorHAnsi" w:hAnsiTheme="minorHAnsi" w:cstheme="minorHAnsi"/>
          <w:color w:val="000000"/>
          <w:szCs w:val="24"/>
          <w:lang w:eastAsia="en-AU"/>
        </w:rPr>
        <w:t>R</w:t>
      </w:r>
      <w:r w:rsidRPr="00E212DC">
        <w:rPr>
          <w:rFonts w:asciiTheme="minorHAnsi" w:hAnsiTheme="minorHAnsi" w:cstheme="minorHAnsi"/>
          <w:color w:val="000000"/>
          <w:szCs w:val="24"/>
          <w:lang w:eastAsia="en-AU"/>
        </w:rPr>
        <w:t>ub (ABHR)</w:t>
      </w:r>
    </w:p>
    <w:p w14:paraId="554E4CC5" w14:textId="77777777" w:rsidR="00912EDA"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color w:val="000000"/>
          <w:szCs w:val="24"/>
          <w:lang w:eastAsia="en-AU"/>
        </w:rPr>
      </w:pPr>
      <w:r>
        <w:rPr>
          <w:rFonts w:asciiTheme="minorHAnsi" w:hAnsiTheme="minorHAnsi" w:cstheme="minorHAnsi"/>
          <w:color w:val="000000"/>
          <w:szCs w:val="24"/>
          <w:lang w:eastAsia="en-AU"/>
        </w:rPr>
        <w:t>Personal Protective Equipment (PPE): face shield, eye protection, clean gloves</w:t>
      </w:r>
    </w:p>
    <w:p w14:paraId="37E40FF0" w14:textId="77777777" w:rsidR="00912EDA"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color w:val="000000"/>
          <w:szCs w:val="24"/>
          <w:lang w:eastAsia="en-AU"/>
        </w:rPr>
      </w:pPr>
      <w:r>
        <w:rPr>
          <w:rFonts w:asciiTheme="minorHAnsi" w:hAnsiTheme="minorHAnsi" w:cstheme="minorHAnsi"/>
          <w:color w:val="000000"/>
          <w:szCs w:val="24"/>
          <w:lang w:eastAsia="en-AU"/>
        </w:rPr>
        <w:t>Sterile gloves</w:t>
      </w:r>
    </w:p>
    <w:p w14:paraId="43443305" w14:textId="77777777" w:rsidR="00912EDA"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color w:val="000000"/>
          <w:szCs w:val="24"/>
          <w:lang w:eastAsia="en-AU"/>
        </w:rPr>
      </w:pPr>
      <w:r w:rsidRPr="00DA425F">
        <w:rPr>
          <w:rFonts w:asciiTheme="minorHAnsi" w:hAnsiTheme="minorHAnsi" w:cstheme="minorHAnsi"/>
          <w:color w:val="000000"/>
          <w:szCs w:val="24"/>
          <w:lang w:eastAsia="en-AU"/>
        </w:rPr>
        <w:t>Dressing trolley</w:t>
      </w:r>
    </w:p>
    <w:p w14:paraId="2A660F93" w14:textId="77777777" w:rsidR="00912EDA"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color w:val="000000"/>
          <w:szCs w:val="24"/>
          <w:lang w:eastAsia="en-AU"/>
        </w:rPr>
      </w:pPr>
      <w:r>
        <w:rPr>
          <w:rFonts w:asciiTheme="minorHAnsi" w:hAnsiTheme="minorHAnsi" w:cstheme="minorHAnsi"/>
          <w:color w:val="000000"/>
          <w:szCs w:val="24"/>
          <w:lang w:eastAsia="en-AU"/>
        </w:rPr>
        <w:t>Dressing pack</w:t>
      </w:r>
      <w:r w:rsidRPr="00BC5758">
        <w:rPr>
          <w:rFonts w:asciiTheme="minorHAnsi" w:hAnsiTheme="minorHAnsi" w:cstheme="minorHAnsi"/>
          <w:color w:val="000000"/>
          <w:szCs w:val="24"/>
          <w:lang w:eastAsia="en-AU"/>
        </w:rPr>
        <w:t xml:space="preserve"> </w:t>
      </w:r>
    </w:p>
    <w:p w14:paraId="28703C31" w14:textId="77777777" w:rsidR="00912EDA"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color w:val="000000"/>
          <w:szCs w:val="24"/>
          <w:lang w:eastAsia="en-AU"/>
        </w:rPr>
      </w:pPr>
      <w:r w:rsidRPr="00E212DC">
        <w:rPr>
          <w:rFonts w:asciiTheme="minorHAnsi" w:hAnsiTheme="minorHAnsi" w:cstheme="minorHAnsi"/>
          <w:color w:val="000000"/>
          <w:szCs w:val="24"/>
          <w:lang w:eastAsia="en-AU"/>
        </w:rPr>
        <w:t xml:space="preserve">Single patient </w:t>
      </w:r>
      <w:r>
        <w:rPr>
          <w:rFonts w:asciiTheme="minorHAnsi" w:hAnsiTheme="minorHAnsi" w:cstheme="minorHAnsi"/>
          <w:color w:val="000000"/>
          <w:szCs w:val="24"/>
          <w:lang w:eastAsia="en-AU"/>
        </w:rPr>
        <w:t xml:space="preserve">torniquet </w:t>
      </w:r>
      <w:r w:rsidRPr="00E212DC">
        <w:rPr>
          <w:rFonts w:asciiTheme="minorHAnsi" w:hAnsiTheme="minorHAnsi" w:cstheme="minorHAnsi"/>
          <w:color w:val="000000"/>
          <w:szCs w:val="24"/>
          <w:lang w:eastAsia="en-AU"/>
        </w:rPr>
        <w:t xml:space="preserve">or disposable </w:t>
      </w:r>
      <w:r>
        <w:rPr>
          <w:rFonts w:asciiTheme="minorHAnsi" w:hAnsiTheme="minorHAnsi" w:cstheme="minorHAnsi"/>
          <w:color w:val="000000"/>
          <w:szCs w:val="24"/>
          <w:lang w:eastAsia="en-AU"/>
        </w:rPr>
        <w:t>v</w:t>
      </w:r>
      <w:r w:rsidRPr="00E212DC">
        <w:rPr>
          <w:rFonts w:asciiTheme="minorHAnsi" w:hAnsiTheme="minorHAnsi" w:cstheme="minorHAnsi"/>
          <w:color w:val="000000"/>
          <w:szCs w:val="24"/>
          <w:lang w:eastAsia="en-AU"/>
        </w:rPr>
        <w:t>enous tourniquet</w:t>
      </w:r>
    </w:p>
    <w:p w14:paraId="74C1E9B5" w14:textId="77777777" w:rsidR="00912EDA" w:rsidRPr="00DA425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color w:val="000000"/>
          <w:szCs w:val="24"/>
          <w:lang w:eastAsia="en-AU"/>
        </w:rPr>
      </w:pPr>
      <w:r>
        <w:rPr>
          <w:rFonts w:asciiTheme="minorHAnsi" w:hAnsiTheme="minorHAnsi" w:cstheme="minorHAnsi"/>
          <w:color w:val="000000"/>
          <w:szCs w:val="24"/>
          <w:lang w:eastAsia="en-AU"/>
        </w:rPr>
        <w:t>Sterile gauze</w:t>
      </w:r>
    </w:p>
    <w:p w14:paraId="4E2FB0A6" w14:textId="77777777" w:rsidR="00912EDA" w:rsidRPr="00DA425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color w:val="000000"/>
          <w:szCs w:val="24"/>
          <w:lang w:eastAsia="en-AU"/>
        </w:rPr>
      </w:pPr>
      <w:r w:rsidRPr="00DA425F">
        <w:rPr>
          <w:rFonts w:asciiTheme="minorHAnsi" w:hAnsiTheme="minorHAnsi" w:cstheme="minorHAnsi"/>
          <w:color w:val="000000"/>
          <w:szCs w:val="24"/>
          <w:lang w:eastAsia="en-AU"/>
        </w:rPr>
        <w:t xml:space="preserve">4 x cleaning wipes – 2% Chlorhexidine </w:t>
      </w:r>
      <w:r>
        <w:rPr>
          <w:rFonts w:asciiTheme="minorHAnsi" w:hAnsiTheme="minorHAnsi" w:cstheme="minorHAnsi"/>
          <w:color w:val="000000"/>
          <w:szCs w:val="24"/>
          <w:lang w:eastAsia="en-AU"/>
        </w:rPr>
        <w:t xml:space="preserve">and </w:t>
      </w:r>
      <w:r w:rsidRPr="00DA425F">
        <w:rPr>
          <w:rFonts w:asciiTheme="minorHAnsi" w:hAnsiTheme="minorHAnsi" w:cstheme="minorHAnsi"/>
          <w:color w:val="000000"/>
          <w:szCs w:val="24"/>
          <w:lang w:eastAsia="en-AU"/>
        </w:rPr>
        <w:t xml:space="preserve">70% </w:t>
      </w:r>
      <w:r>
        <w:rPr>
          <w:rFonts w:asciiTheme="minorHAnsi" w:hAnsiTheme="minorHAnsi" w:cstheme="minorHAnsi"/>
          <w:color w:val="000000"/>
          <w:szCs w:val="24"/>
          <w:lang w:eastAsia="en-AU"/>
        </w:rPr>
        <w:t>A</w:t>
      </w:r>
      <w:r w:rsidRPr="00DA425F">
        <w:rPr>
          <w:rFonts w:asciiTheme="minorHAnsi" w:hAnsiTheme="minorHAnsi" w:cstheme="minorHAnsi"/>
          <w:color w:val="000000"/>
          <w:szCs w:val="24"/>
          <w:lang w:eastAsia="en-AU"/>
        </w:rPr>
        <w:t xml:space="preserve">lcohol </w:t>
      </w:r>
      <w:r>
        <w:rPr>
          <w:rFonts w:asciiTheme="minorHAnsi" w:hAnsiTheme="minorHAnsi" w:cstheme="minorHAnsi"/>
          <w:color w:val="000000"/>
          <w:szCs w:val="24"/>
          <w:lang w:eastAsia="en-AU"/>
        </w:rPr>
        <w:t>prep pad swab</w:t>
      </w:r>
      <w:r w:rsidRPr="00DA425F">
        <w:rPr>
          <w:rFonts w:asciiTheme="minorHAnsi" w:hAnsiTheme="minorHAnsi" w:cstheme="minorHAnsi"/>
          <w:color w:val="000000"/>
          <w:szCs w:val="24"/>
          <w:lang w:eastAsia="en-AU"/>
        </w:rPr>
        <w:t xml:space="preserve">. Products without Chlorhexidine are to be used for patients with an allergy to </w:t>
      </w:r>
      <w:r>
        <w:rPr>
          <w:rFonts w:asciiTheme="minorHAnsi" w:hAnsiTheme="minorHAnsi" w:cstheme="minorHAnsi"/>
          <w:color w:val="000000"/>
          <w:szCs w:val="24"/>
          <w:lang w:eastAsia="en-AU"/>
        </w:rPr>
        <w:t>C</w:t>
      </w:r>
      <w:r w:rsidRPr="00DA425F">
        <w:rPr>
          <w:rFonts w:asciiTheme="minorHAnsi" w:hAnsiTheme="minorHAnsi" w:cstheme="minorHAnsi"/>
          <w:color w:val="000000"/>
          <w:szCs w:val="24"/>
          <w:lang w:eastAsia="en-AU"/>
        </w:rPr>
        <w:t>hlorhexidine</w:t>
      </w:r>
      <w:r>
        <w:rPr>
          <w:rFonts w:asciiTheme="minorHAnsi" w:hAnsiTheme="minorHAnsi" w:cstheme="minorHAnsi"/>
          <w:color w:val="000000"/>
          <w:szCs w:val="24"/>
          <w:lang w:eastAsia="en-AU"/>
        </w:rPr>
        <w:t xml:space="preserve"> (for bottle cleaning)</w:t>
      </w:r>
    </w:p>
    <w:p w14:paraId="1698BFBA" w14:textId="77777777" w:rsidR="00912EDA" w:rsidRDefault="00912EDA" w:rsidP="00912EDA">
      <w:pPr>
        <w:pStyle w:val="ListBullet"/>
        <w:numPr>
          <w:ilvl w:val="0"/>
          <w:numId w:val="6"/>
        </w:numPr>
        <w:ind w:left="426" w:hanging="426"/>
        <w:rPr>
          <w:rFonts w:asciiTheme="minorHAnsi" w:hAnsiTheme="minorHAnsi" w:cstheme="minorBidi"/>
          <w:color w:val="000000" w:themeColor="text1"/>
          <w:lang w:eastAsia="en-AU"/>
        </w:rPr>
      </w:pPr>
      <w:r w:rsidRPr="42BBC7FB">
        <w:rPr>
          <w:rFonts w:asciiTheme="minorHAnsi" w:hAnsiTheme="minorHAnsi" w:cstheme="minorBidi"/>
          <w:color w:val="000000" w:themeColor="text1"/>
          <w:lang w:eastAsia="en-AU"/>
        </w:rPr>
        <w:lastRenderedPageBreak/>
        <w:t>1 x Chloraprep</w:t>
      </w:r>
      <w:r w:rsidRPr="42BBC7FB">
        <w:rPr>
          <w:rFonts w:asciiTheme="minorHAnsi" w:hAnsiTheme="minorHAnsi" w:cstheme="minorBidi"/>
          <w:color w:val="000000" w:themeColor="text1"/>
          <w:vertAlign w:val="superscript"/>
          <w:lang w:eastAsia="en-AU"/>
        </w:rPr>
        <w:t>TM</w:t>
      </w:r>
      <w:r w:rsidRPr="42BBC7FB">
        <w:rPr>
          <w:rFonts w:asciiTheme="minorHAnsi" w:hAnsiTheme="minorHAnsi" w:cstheme="minorBidi"/>
          <w:color w:val="000000" w:themeColor="text1"/>
          <w:lang w:eastAsia="en-AU"/>
        </w:rPr>
        <w:t xml:space="preserve"> 3ml (2% Chlorhexidine and 70% Alcohol) (for skin disinfection of patient)</w:t>
      </w:r>
      <w:r>
        <w:rPr>
          <w:rFonts w:asciiTheme="minorHAnsi" w:hAnsiTheme="minorHAnsi" w:cstheme="minorBidi"/>
          <w:color w:val="000000" w:themeColor="text1"/>
          <w:lang w:eastAsia="en-AU"/>
        </w:rPr>
        <w:t>. For patients with a history of chlorhexidine sensitivity / allergy, use:</w:t>
      </w:r>
    </w:p>
    <w:p w14:paraId="7CFFF9DD" w14:textId="77777777" w:rsidR="00912EDA" w:rsidRDefault="00912EDA" w:rsidP="00912EDA">
      <w:pPr>
        <w:pStyle w:val="ListBullet"/>
        <w:numPr>
          <w:ilvl w:val="0"/>
          <w:numId w:val="27"/>
        </w:numPr>
        <w:ind w:left="851" w:hanging="425"/>
        <w:rPr>
          <w:rFonts w:asciiTheme="minorHAnsi" w:hAnsiTheme="minorHAnsi" w:cstheme="minorBidi"/>
          <w:color w:val="000000" w:themeColor="text1"/>
          <w:lang w:eastAsia="en-AU"/>
        </w:rPr>
      </w:pPr>
      <w:r>
        <w:rPr>
          <w:rFonts w:asciiTheme="minorHAnsi" w:hAnsiTheme="minorHAnsi" w:cstheme="minorBidi"/>
          <w:color w:val="000000" w:themeColor="text1"/>
          <w:lang w:eastAsia="en-AU"/>
        </w:rPr>
        <w:t>5% alcohol-based povidone-iodine swab</w:t>
      </w:r>
    </w:p>
    <w:p w14:paraId="03219571" w14:textId="77777777" w:rsidR="00912EDA" w:rsidRPr="00276E4E" w:rsidRDefault="00912EDA" w:rsidP="00912EDA">
      <w:pPr>
        <w:pStyle w:val="ListBullet"/>
        <w:numPr>
          <w:ilvl w:val="0"/>
          <w:numId w:val="27"/>
        </w:numPr>
        <w:ind w:left="851" w:hanging="425"/>
        <w:rPr>
          <w:lang w:eastAsia="en-AU"/>
        </w:rPr>
      </w:pPr>
      <w:r w:rsidRPr="00276E4E">
        <w:rPr>
          <w:lang w:eastAsia="en-AU"/>
        </w:rPr>
        <w:t>≥70% alcohol</w:t>
      </w:r>
    </w:p>
    <w:p w14:paraId="3A6EB0CC" w14:textId="77777777" w:rsidR="00912EDA" w:rsidRPr="00E212DC" w:rsidRDefault="00912EDA" w:rsidP="00912EDA">
      <w:pPr>
        <w:pStyle w:val="ListBullet"/>
        <w:numPr>
          <w:ilvl w:val="0"/>
          <w:numId w:val="27"/>
        </w:numPr>
        <w:ind w:left="851" w:hanging="425"/>
        <w:rPr>
          <w:rFonts w:asciiTheme="minorHAnsi" w:hAnsiTheme="minorHAnsi" w:cstheme="minorBidi"/>
          <w:color w:val="000000" w:themeColor="text1"/>
          <w:lang w:eastAsia="en-AU"/>
        </w:rPr>
      </w:pPr>
      <w:r>
        <w:rPr>
          <w:rFonts w:asciiTheme="minorHAnsi" w:hAnsiTheme="minorHAnsi" w:cstheme="minorBidi"/>
          <w:color w:val="000000" w:themeColor="text1"/>
          <w:lang w:eastAsia="en-AU"/>
        </w:rPr>
        <w:t>10% aqueous povidone-iodine (suitable for patients in whom alcohol is contraindicated)</w:t>
      </w:r>
    </w:p>
    <w:p w14:paraId="4381440C" w14:textId="77777777" w:rsidR="00912EDA" w:rsidRPr="00E212DC"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color w:val="000000"/>
          <w:szCs w:val="24"/>
          <w:lang w:eastAsia="en-AU"/>
        </w:rPr>
      </w:pPr>
      <w:r w:rsidRPr="00DA425F">
        <w:rPr>
          <w:rFonts w:asciiTheme="minorHAnsi" w:hAnsiTheme="minorHAnsi" w:cstheme="minorHAnsi"/>
          <w:b/>
          <w:bCs/>
          <w:color w:val="000000"/>
          <w:szCs w:val="24"/>
          <w:lang w:eastAsia="en-AU"/>
        </w:rPr>
        <w:t xml:space="preserve">Blood </w:t>
      </w:r>
      <w:r>
        <w:rPr>
          <w:rFonts w:asciiTheme="minorHAnsi" w:hAnsiTheme="minorHAnsi" w:cstheme="minorHAnsi"/>
          <w:b/>
          <w:bCs/>
          <w:color w:val="000000"/>
          <w:szCs w:val="24"/>
          <w:lang w:eastAsia="en-AU"/>
        </w:rPr>
        <w:t>C</w:t>
      </w:r>
      <w:r w:rsidRPr="00DA425F">
        <w:rPr>
          <w:rFonts w:asciiTheme="minorHAnsi" w:hAnsiTheme="minorHAnsi" w:cstheme="minorHAnsi"/>
          <w:b/>
          <w:bCs/>
          <w:color w:val="000000"/>
          <w:szCs w:val="24"/>
          <w:lang w:eastAsia="en-AU"/>
        </w:rPr>
        <w:t xml:space="preserve">ollection </w:t>
      </w:r>
      <w:r>
        <w:rPr>
          <w:rFonts w:asciiTheme="minorHAnsi" w:hAnsiTheme="minorHAnsi" w:cstheme="minorHAnsi"/>
          <w:b/>
          <w:bCs/>
          <w:color w:val="000000"/>
          <w:szCs w:val="24"/>
          <w:lang w:eastAsia="en-AU"/>
        </w:rPr>
        <w:t>S</w:t>
      </w:r>
      <w:r w:rsidRPr="00DA425F">
        <w:rPr>
          <w:rFonts w:asciiTheme="minorHAnsi" w:hAnsiTheme="minorHAnsi" w:cstheme="minorHAnsi"/>
          <w:b/>
          <w:bCs/>
          <w:color w:val="000000"/>
          <w:szCs w:val="24"/>
          <w:lang w:eastAsia="en-AU"/>
        </w:rPr>
        <w:t>et</w:t>
      </w:r>
      <w:r>
        <w:rPr>
          <w:rFonts w:asciiTheme="minorHAnsi" w:hAnsiTheme="minorHAnsi" w:cstheme="minorHAnsi"/>
          <w:color w:val="000000"/>
          <w:szCs w:val="24"/>
          <w:lang w:eastAsia="en-AU"/>
        </w:rPr>
        <w:t xml:space="preserve"> (appropriate size </w:t>
      </w:r>
      <w:r w:rsidRPr="00E212DC">
        <w:rPr>
          <w:rFonts w:asciiTheme="minorHAnsi" w:hAnsiTheme="minorHAnsi" w:cstheme="minorHAnsi"/>
          <w:color w:val="000000"/>
          <w:szCs w:val="24"/>
          <w:lang w:eastAsia="en-AU"/>
        </w:rPr>
        <w:t>depending on vein size and location</w:t>
      </w:r>
      <w:r>
        <w:rPr>
          <w:rFonts w:asciiTheme="minorHAnsi" w:hAnsiTheme="minorHAnsi" w:cstheme="minorHAnsi"/>
          <w:color w:val="000000"/>
          <w:szCs w:val="24"/>
          <w:lang w:eastAsia="en-AU"/>
        </w:rPr>
        <w:t>, discussed above</w:t>
      </w:r>
      <w:r w:rsidRPr="00E212DC">
        <w:rPr>
          <w:rFonts w:asciiTheme="minorHAnsi" w:hAnsiTheme="minorHAnsi" w:cstheme="minorHAnsi"/>
          <w:color w:val="000000"/>
          <w:szCs w:val="24"/>
          <w:lang w:eastAsia="en-AU"/>
        </w:rPr>
        <w:t>)</w:t>
      </w:r>
    </w:p>
    <w:p w14:paraId="511C6B35" w14:textId="77777777" w:rsidR="00912EDA" w:rsidRPr="0041444E" w:rsidRDefault="00912EDA" w:rsidP="00912EDA">
      <w:pPr>
        <w:pStyle w:val="ListParagraph"/>
        <w:numPr>
          <w:ilvl w:val="0"/>
          <w:numId w:val="6"/>
        </w:numPr>
        <w:spacing w:before="100" w:beforeAutospacing="1" w:after="100" w:afterAutospacing="1"/>
        <w:ind w:left="426" w:hanging="426"/>
      </w:pPr>
      <w:r w:rsidRPr="00E212DC">
        <w:rPr>
          <w:rFonts w:asciiTheme="minorHAnsi" w:hAnsiTheme="minorHAnsi" w:cstheme="minorHAnsi"/>
          <w:color w:val="000000"/>
          <w:szCs w:val="24"/>
          <w:lang w:eastAsia="en-AU"/>
        </w:rPr>
        <w:t>BD Vacutainer</w:t>
      </w:r>
      <w:r w:rsidRPr="006D0809">
        <w:rPr>
          <w:rFonts w:asciiTheme="minorHAnsi" w:hAnsiTheme="minorHAnsi" w:cstheme="minorHAnsi"/>
          <w:color w:val="000000"/>
          <w:szCs w:val="24"/>
          <w:vertAlign w:val="superscript"/>
          <w:lang w:eastAsia="en-AU"/>
        </w:rPr>
        <w:t>TM</w:t>
      </w:r>
      <w:r w:rsidRPr="00E212DC">
        <w:rPr>
          <w:rFonts w:asciiTheme="minorHAnsi" w:hAnsiTheme="minorHAnsi" w:cstheme="minorHAnsi"/>
          <w:color w:val="000000"/>
          <w:szCs w:val="24"/>
          <w:lang w:eastAsia="en-AU"/>
        </w:rPr>
        <w:t xml:space="preserve"> </w:t>
      </w:r>
      <w:r>
        <w:rPr>
          <w:rFonts w:asciiTheme="minorHAnsi" w:hAnsiTheme="minorHAnsi" w:cstheme="minorHAnsi"/>
          <w:color w:val="000000"/>
          <w:szCs w:val="24"/>
          <w:lang w:eastAsia="en-AU"/>
        </w:rPr>
        <w:t xml:space="preserve">Luer Lok access device (see </w:t>
      </w:r>
      <w:r w:rsidRPr="0041444E">
        <w:t>Figure 3</w:t>
      </w:r>
      <w:r>
        <w:t xml:space="preserve"> below</w:t>
      </w:r>
      <w:r w:rsidRPr="0041444E">
        <w:t>)</w:t>
      </w:r>
    </w:p>
    <w:p w14:paraId="4A49AAD8" w14:textId="77777777" w:rsidR="00912EDA" w:rsidRPr="00E212DC" w:rsidRDefault="00912EDA" w:rsidP="00912EDA">
      <w:pPr>
        <w:pStyle w:val="ListBullet"/>
        <w:numPr>
          <w:ilvl w:val="0"/>
          <w:numId w:val="6"/>
        </w:numPr>
        <w:ind w:left="426" w:hanging="426"/>
        <w:rPr>
          <w:rFonts w:asciiTheme="minorHAnsi" w:hAnsiTheme="minorHAnsi" w:cstheme="minorHAnsi"/>
          <w:szCs w:val="24"/>
          <w:lang w:eastAsia="en-AU"/>
        </w:rPr>
      </w:pPr>
      <w:r w:rsidRPr="00E212DC">
        <w:rPr>
          <w:rFonts w:asciiTheme="minorHAnsi" w:hAnsiTheme="minorHAnsi" w:cstheme="minorHAnsi"/>
          <w:szCs w:val="24"/>
          <w:lang w:eastAsia="en-AU"/>
        </w:rPr>
        <w:t xml:space="preserve">Blood </w:t>
      </w:r>
      <w:r>
        <w:rPr>
          <w:rFonts w:asciiTheme="minorHAnsi" w:hAnsiTheme="minorHAnsi" w:cstheme="minorHAnsi"/>
          <w:szCs w:val="24"/>
          <w:lang w:eastAsia="en-AU"/>
        </w:rPr>
        <w:t>C</w:t>
      </w:r>
      <w:r w:rsidRPr="00E212DC">
        <w:rPr>
          <w:rFonts w:asciiTheme="minorHAnsi" w:hAnsiTheme="minorHAnsi" w:cstheme="minorHAnsi"/>
          <w:szCs w:val="24"/>
          <w:lang w:eastAsia="en-AU"/>
        </w:rPr>
        <w:t xml:space="preserve">ulture </w:t>
      </w:r>
      <w:r>
        <w:rPr>
          <w:rFonts w:asciiTheme="minorHAnsi" w:hAnsiTheme="minorHAnsi" w:cstheme="minorHAnsi"/>
          <w:szCs w:val="24"/>
          <w:lang w:eastAsia="en-AU"/>
        </w:rPr>
        <w:t>B</w:t>
      </w:r>
      <w:r w:rsidRPr="00E212DC">
        <w:rPr>
          <w:rFonts w:asciiTheme="minorHAnsi" w:hAnsiTheme="minorHAnsi" w:cstheme="minorHAnsi"/>
          <w:szCs w:val="24"/>
          <w:lang w:eastAsia="en-AU"/>
        </w:rPr>
        <w:t>ottles</w:t>
      </w:r>
      <w:r>
        <w:rPr>
          <w:rFonts w:asciiTheme="minorHAnsi" w:hAnsiTheme="minorHAnsi" w:cstheme="minorHAnsi"/>
          <w:szCs w:val="24"/>
          <w:lang w:eastAsia="en-AU"/>
        </w:rPr>
        <w:t>:</w:t>
      </w:r>
    </w:p>
    <w:p w14:paraId="072BEB1A" w14:textId="77777777" w:rsidR="00912EDA" w:rsidRPr="00E212DC" w:rsidRDefault="00912EDA" w:rsidP="00912EDA">
      <w:pPr>
        <w:numPr>
          <w:ilvl w:val="0"/>
          <w:numId w:val="29"/>
        </w:numPr>
        <w:autoSpaceDE w:val="0"/>
        <w:autoSpaceDN w:val="0"/>
        <w:adjustRightInd w:val="0"/>
        <w:ind w:left="851" w:hanging="425"/>
        <w:rPr>
          <w:rFonts w:asciiTheme="minorHAnsi" w:hAnsiTheme="minorHAnsi" w:cstheme="minorHAnsi"/>
          <w:color w:val="000000"/>
          <w:szCs w:val="24"/>
          <w:lang w:eastAsia="en-AU"/>
        </w:rPr>
      </w:pPr>
      <w:r w:rsidRPr="00E212DC">
        <w:rPr>
          <w:rFonts w:asciiTheme="minorHAnsi" w:hAnsiTheme="minorHAnsi" w:cstheme="minorHAnsi"/>
          <w:color w:val="000000"/>
          <w:szCs w:val="24"/>
          <w:lang w:eastAsia="en-AU"/>
        </w:rPr>
        <w:t>Adults</w:t>
      </w:r>
      <w:r>
        <w:rPr>
          <w:rFonts w:asciiTheme="minorHAnsi" w:hAnsiTheme="minorHAnsi" w:cstheme="minorHAnsi"/>
          <w:color w:val="000000"/>
          <w:szCs w:val="24"/>
          <w:lang w:eastAsia="en-AU"/>
        </w:rPr>
        <w:t xml:space="preserve"> (see </w:t>
      </w:r>
      <w:r w:rsidRPr="0041444E">
        <w:t>Figure 1)</w:t>
      </w:r>
      <w:r>
        <w:t>:</w:t>
      </w:r>
    </w:p>
    <w:p w14:paraId="3AE6F4A0" w14:textId="77777777" w:rsidR="00912EDA" w:rsidRPr="00E212DC" w:rsidRDefault="00912EDA" w:rsidP="00912EDA">
      <w:pPr>
        <w:numPr>
          <w:ilvl w:val="0"/>
          <w:numId w:val="31"/>
        </w:numPr>
        <w:autoSpaceDE w:val="0"/>
        <w:autoSpaceDN w:val="0"/>
        <w:adjustRightInd w:val="0"/>
        <w:ind w:left="1276" w:hanging="425"/>
        <w:rPr>
          <w:rFonts w:asciiTheme="minorHAnsi" w:hAnsiTheme="minorHAnsi" w:cstheme="minorHAnsi"/>
          <w:color w:val="000000"/>
          <w:szCs w:val="24"/>
          <w:lang w:eastAsia="en-AU"/>
        </w:rPr>
      </w:pPr>
      <w:r w:rsidRPr="00E212DC">
        <w:rPr>
          <w:rFonts w:asciiTheme="minorHAnsi" w:hAnsiTheme="minorHAnsi" w:cstheme="minorHAnsi"/>
          <w:color w:val="000000"/>
          <w:szCs w:val="24"/>
          <w:lang w:eastAsia="en-AU"/>
        </w:rPr>
        <w:t xml:space="preserve">Aerobic </w:t>
      </w:r>
      <w:r>
        <w:rPr>
          <w:rFonts w:asciiTheme="minorHAnsi" w:hAnsiTheme="minorHAnsi" w:cstheme="minorHAnsi"/>
          <w:color w:val="000000"/>
          <w:szCs w:val="24"/>
          <w:lang w:eastAsia="en-AU"/>
        </w:rPr>
        <w:t>Bl</w:t>
      </w:r>
      <w:r w:rsidRPr="00E212DC">
        <w:rPr>
          <w:rFonts w:asciiTheme="minorHAnsi" w:hAnsiTheme="minorHAnsi" w:cstheme="minorHAnsi"/>
          <w:color w:val="000000"/>
          <w:szCs w:val="24"/>
          <w:lang w:eastAsia="en-AU"/>
        </w:rPr>
        <w:t xml:space="preserve">ood </w:t>
      </w:r>
      <w:r>
        <w:rPr>
          <w:rFonts w:asciiTheme="minorHAnsi" w:hAnsiTheme="minorHAnsi" w:cstheme="minorHAnsi"/>
          <w:color w:val="000000"/>
          <w:szCs w:val="24"/>
          <w:lang w:eastAsia="en-AU"/>
        </w:rPr>
        <w:t>C</w:t>
      </w:r>
      <w:r w:rsidRPr="00E212DC">
        <w:rPr>
          <w:rFonts w:asciiTheme="minorHAnsi" w:hAnsiTheme="minorHAnsi" w:cstheme="minorHAnsi"/>
          <w:color w:val="000000"/>
          <w:szCs w:val="24"/>
          <w:lang w:eastAsia="en-AU"/>
        </w:rPr>
        <w:t xml:space="preserve">ulture </w:t>
      </w:r>
      <w:r>
        <w:rPr>
          <w:rFonts w:asciiTheme="minorHAnsi" w:hAnsiTheme="minorHAnsi" w:cstheme="minorHAnsi"/>
          <w:color w:val="000000"/>
          <w:szCs w:val="24"/>
          <w:lang w:eastAsia="en-AU"/>
        </w:rPr>
        <w:t>B</w:t>
      </w:r>
      <w:r w:rsidRPr="00E212DC">
        <w:rPr>
          <w:rFonts w:asciiTheme="minorHAnsi" w:hAnsiTheme="minorHAnsi" w:cstheme="minorHAnsi"/>
          <w:color w:val="000000"/>
          <w:szCs w:val="24"/>
          <w:lang w:eastAsia="en-AU"/>
        </w:rPr>
        <w:t>ottle (blue colour)</w:t>
      </w:r>
    </w:p>
    <w:p w14:paraId="49437019" w14:textId="77777777" w:rsidR="00912EDA" w:rsidRPr="00E212DC" w:rsidRDefault="00912EDA" w:rsidP="00912EDA">
      <w:pPr>
        <w:numPr>
          <w:ilvl w:val="0"/>
          <w:numId w:val="31"/>
        </w:numPr>
        <w:autoSpaceDE w:val="0"/>
        <w:autoSpaceDN w:val="0"/>
        <w:adjustRightInd w:val="0"/>
        <w:ind w:left="1276" w:hanging="425"/>
        <w:rPr>
          <w:rFonts w:asciiTheme="minorHAnsi" w:hAnsiTheme="minorHAnsi" w:cstheme="minorHAnsi"/>
          <w:color w:val="000000"/>
          <w:szCs w:val="24"/>
          <w:lang w:eastAsia="en-AU"/>
        </w:rPr>
      </w:pPr>
      <w:r w:rsidRPr="00E212DC">
        <w:rPr>
          <w:rFonts w:asciiTheme="minorHAnsi" w:hAnsiTheme="minorHAnsi" w:cstheme="minorHAnsi"/>
          <w:color w:val="000000"/>
          <w:szCs w:val="24"/>
          <w:lang w:eastAsia="en-AU"/>
        </w:rPr>
        <w:t xml:space="preserve">Anaerobic </w:t>
      </w:r>
      <w:r>
        <w:rPr>
          <w:rFonts w:asciiTheme="minorHAnsi" w:hAnsiTheme="minorHAnsi" w:cstheme="minorHAnsi"/>
          <w:color w:val="000000"/>
          <w:szCs w:val="24"/>
          <w:lang w:eastAsia="en-AU"/>
        </w:rPr>
        <w:t>B</w:t>
      </w:r>
      <w:r w:rsidRPr="00E212DC">
        <w:rPr>
          <w:rFonts w:asciiTheme="minorHAnsi" w:hAnsiTheme="minorHAnsi" w:cstheme="minorHAnsi"/>
          <w:color w:val="000000"/>
          <w:szCs w:val="24"/>
          <w:lang w:eastAsia="en-AU"/>
        </w:rPr>
        <w:t xml:space="preserve">lood </w:t>
      </w:r>
      <w:r>
        <w:rPr>
          <w:rFonts w:asciiTheme="minorHAnsi" w:hAnsiTheme="minorHAnsi" w:cstheme="minorHAnsi"/>
          <w:color w:val="000000"/>
          <w:szCs w:val="24"/>
          <w:lang w:eastAsia="en-AU"/>
        </w:rPr>
        <w:t>Cu</w:t>
      </w:r>
      <w:r w:rsidRPr="00E212DC">
        <w:rPr>
          <w:rFonts w:asciiTheme="minorHAnsi" w:hAnsiTheme="minorHAnsi" w:cstheme="minorHAnsi"/>
          <w:color w:val="000000"/>
          <w:szCs w:val="24"/>
          <w:lang w:eastAsia="en-AU"/>
        </w:rPr>
        <w:t xml:space="preserve">lture </w:t>
      </w:r>
      <w:r>
        <w:rPr>
          <w:rFonts w:asciiTheme="minorHAnsi" w:hAnsiTheme="minorHAnsi" w:cstheme="minorHAnsi"/>
          <w:color w:val="000000"/>
          <w:szCs w:val="24"/>
          <w:lang w:eastAsia="en-AU"/>
        </w:rPr>
        <w:t>B</w:t>
      </w:r>
      <w:r w:rsidRPr="00E212DC">
        <w:rPr>
          <w:rFonts w:asciiTheme="minorHAnsi" w:hAnsiTheme="minorHAnsi" w:cstheme="minorHAnsi"/>
          <w:color w:val="000000"/>
          <w:szCs w:val="24"/>
          <w:lang w:eastAsia="en-AU"/>
        </w:rPr>
        <w:t>ottle (purple colour)</w:t>
      </w:r>
    </w:p>
    <w:p w14:paraId="3B303DFB" w14:textId="77777777" w:rsidR="00912EDA" w:rsidRPr="00D911EB" w:rsidRDefault="00912EDA" w:rsidP="00912EDA">
      <w:pPr>
        <w:numPr>
          <w:ilvl w:val="0"/>
          <w:numId w:val="29"/>
        </w:numPr>
        <w:autoSpaceDE w:val="0"/>
        <w:autoSpaceDN w:val="0"/>
        <w:adjustRightInd w:val="0"/>
        <w:ind w:left="851" w:hanging="425"/>
        <w:rPr>
          <w:rFonts w:asciiTheme="minorHAnsi" w:hAnsiTheme="minorHAnsi" w:cstheme="minorHAnsi"/>
          <w:color w:val="000000"/>
          <w:szCs w:val="24"/>
          <w:lang w:eastAsia="en-AU"/>
        </w:rPr>
      </w:pPr>
      <w:r w:rsidRPr="00D911EB">
        <w:rPr>
          <w:rFonts w:asciiTheme="minorHAnsi" w:hAnsiTheme="minorHAnsi" w:cstheme="minorHAnsi"/>
          <w:color w:val="000000"/>
          <w:szCs w:val="24"/>
          <w:lang w:eastAsia="en-AU"/>
        </w:rPr>
        <w:t>Paediatric (see Figure 2):</w:t>
      </w:r>
    </w:p>
    <w:p w14:paraId="44C6AA4A" w14:textId="77777777" w:rsidR="00912EDA" w:rsidRPr="001717AF" w:rsidRDefault="00912EDA" w:rsidP="00912EDA">
      <w:pPr>
        <w:numPr>
          <w:ilvl w:val="0"/>
          <w:numId w:val="31"/>
        </w:numPr>
        <w:autoSpaceDE w:val="0"/>
        <w:autoSpaceDN w:val="0"/>
        <w:adjustRightInd w:val="0"/>
        <w:ind w:left="1276" w:hanging="425"/>
        <w:rPr>
          <w:rFonts w:asciiTheme="minorHAnsi" w:hAnsiTheme="minorHAnsi" w:cstheme="minorHAnsi"/>
          <w:color w:val="000000"/>
          <w:szCs w:val="24"/>
          <w:lang w:eastAsia="en-AU"/>
        </w:rPr>
      </w:pPr>
      <w:r w:rsidRPr="001717AF">
        <w:rPr>
          <w:rFonts w:asciiTheme="minorHAnsi" w:hAnsiTheme="minorHAnsi" w:cstheme="minorHAnsi"/>
          <w:color w:val="000000"/>
          <w:szCs w:val="24"/>
          <w:lang w:eastAsia="en-AU"/>
        </w:rPr>
        <w:t>Paeds Plus/F Plus Bottle</w:t>
      </w:r>
      <w:r w:rsidRPr="00D911EB">
        <w:rPr>
          <w:rFonts w:asciiTheme="minorHAnsi" w:hAnsiTheme="minorHAnsi" w:cstheme="minorHAnsi"/>
          <w:color w:val="000000"/>
          <w:szCs w:val="24"/>
          <w:lang w:eastAsia="en-AU"/>
        </w:rPr>
        <w:t>TM</w:t>
      </w:r>
      <w:r>
        <w:rPr>
          <w:rFonts w:asciiTheme="minorHAnsi" w:hAnsiTheme="minorHAnsi" w:cstheme="minorHAnsi"/>
          <w:color w:val="000000"/>
          <w:szCs w:val="24"/>
          <w:lang w:eastAsia="en-AU"/>
        </w:rPr>
        <w:t xml:space="preserve"> </w:t>
      </w:r>
    </w:p>
    <w:p w14:paraId="147FA623" w14:textId="77777777" w:rsidR="00912EDA" w:rsidRPr="00D911EB" w:rsidRDefault="00912EDA" w:rsidP="00912EDA">
      <w:pPr>
        <w:pStyle w:val="ListBullet"/>
        <w:numPr>
          <w:ilvl w:val="0"/>
          <w:numId w:val="6"/>
        </w:numPr>
        <w:ind w:left="426" w:hanging="426"/>
        <w:rPr>
          <w:rFonts w:asciiTheme="minorHAnsi" w:hAnsiTheme="minorHAnsi" w:cstheme="minorHAnsi"/>
          <w:szCs w:val="24"/>
          <w:lang w:eastAsia="en-AU"/>
        </w:rPr>
      </w:pPr>
      <w:r w:rsidRPr="00D911EB">
        <w:rPr>
          <w:rFonts w:asciiTheme="minorHAnsi" w:hAnsiTheme="minorHAnsi" w:cstheme="minorHAnsi"/>
          <w:szCs w:val="24"/>
          <w:lang w:eastAsia="en-AU"/>
        </w:rPr>
        <w:t>Pressure dot dressing</w:t>
      </w:r>
    </w:p>
    <w:p w14:paraId="00154A9C" w14:textId="77777777" w:rsidR="00912EDA" w:rsidRPr="00D911EB" w:rsidRDefault="00912EDA" w:rsidP="00912EDA">
      <w:pPr>
        <w:pStyle w:val="ListBullet"/>
        <w:numPr>
          <w:ilvl w:val="0"/>
          <w:numId w:val="6"/>
        </w:numPr>
        <w:ind w:left="426" w:hanging="426"/>
        <w:rPr>
          <w:rFonts w:asciiTheme="minorHAnsi" w:hAnsiTheme="minorHAnsi" w:cstheme="minorHAnsi"/>
          <w:szCs w:val="24"/>
          <w:lang w:eastAsia="en-AU"/>
        </w:rPr>
      </w:pPr>
      <w:r w:rsidRPr="00D911EB">
        <w:rPr>
          <w:rFonts w:asciiTheme="minorHAnsi" w:hAnsiTheme="minorHAnsi" w:cstheme="minorHAnsi"/>
          <w:szCs w:val="24"/>
          <w:lang w:eastAsia="en-AU"/>
        </w:rPr>
        <w:t>Sharps disposal container</w:t>
      </w:r>
    </w:p>
    <w:p w14:paraId="4BDBF77F" w14:textId="77777777" w:rsidR="00912EDA" w:rsidRPr="00D911EB" w:rsidRDefault="00912EDA" w:rsidP="00912EDA">
      <w:pPr>
        <w:pStyle w:val="ListBullet"/>
        <w:numPr>
          <w:ilvl w:val="0"/>
          <w:numId w:val="6"/>
        </w:numPr>
        <w:ind w:left="426" w:hanging="426"/>
        <w:rPr>
          <w:rFonts w:asciiTheme="minorHAnsi" w:hAnsiTheme="minorHAnsi" w:cstheme="minorHAnsi"/>
          <w:szCs w:val="24"/>
          <w:lang w:eastAsia="en-AU"/>
        </w:rPr>
      </w:pPr>
      <w:r w:rsidRPr="00D911EB">
        <w:rPr>
          <w:rFonts w:asciiTheme="minorHAnsi" w:hAnsiTheme="minorHAnsi" w:cstheme="minorHAnsi"/>
          <w:szCs w:val="24"/>
          <w:lang w:eastAsia="en-AU"/>
        </w:rPr>
        <w:t>Pathology Biohazard bag for transferring specimen</w:t>
      </w:r>
    </w:p>
    <w:p w14:paraId="50B29F26" w14:textId="77777777" w:rsidR="00912EDA" w:rsidRPr="00185E82" w:rsidRDefault="00912EDA" w:rsidP="00912EDA">
      <w:pPr>
        <w:pStyle w:val="ListBullet"/>
        <w:numPr>
          <w:ilvl w:val="0"/>
          <w:numId w:val="6"/>
        </w:numPr>
        <w:ind w:left="426" w:hanging="426"/>
        <w:rPr>
          <w:rFonts w:asciiTheme="minorHAnsi" w:hAnsiTheme="minorHAnsi" w:cstheme="minorHAnsi"/>
          <w:szCs w:val="24"/>
          <w:lang w:eastAsia="en-AU"/>
        </w:rPr>
      </w:pPr>
      <w:r w:rsidRPr="00E212DC">
        <w:rPr>
          <w:rFonts w:asciiTheme="minorHAnsi" w:hAnsiTheme="minorHAnsi" w:cstheme="minorHAnsi"/>
          <w:szCs w:val="24"/>
          <w:lang w:eastAsia="en-AU"/>
        </w:rPr>
        <w:t>Clinical waste receptacle</w:t>
      </w:r>
    </w:p>
    <w:p w14:paraId="6F905E60" w14:textId="77777777" w:rsidR="00912EDA" w:rsidRDefault="00912EDA" w:rsidP="00912EDA">
      <w:pPr>
        <w:autoSpaceDE w:val="0"/>
        <w:autoSpaceDN w:val="0"/>
        <w:adjustRightInd w:val="0"/>
        <w:jc w:val="right"/>
        <w:rPr>
          <w:rFonts w:asciiTheme="minorHAnsi" w:hAnsiTheme="minorHAnsi" w:cstheme="minorHAnsi"/>
          <w:noProof/>
          <w:szCs w:val="24"/>
          <w:lang w:eastAsia="en-AU"/>
        </w:rPr>
      </w:pPr>
    </w:p>
    <w:p w14:paraId="10818675" w14:textId="77777777" w:rsidR="00912EDA" w:rsidRPr="006F5507" w:rsidRDefault="00912EDA" w:rsidP="00912EDA">
      <w:pPr>
        <w:rPr>
          <w:rFonts w:cs="Arial"/>
        </w:rPr>
      </w:pPr>
      <w:r w:rsidRPr="00C232DA">
        <w:t xml:space="preserve">Figure </w:t>
      </w:r>
      <w:r>
        <w:t>3: BD Vacutainer</w:t>
      </w:r>
      <w:r w:rsidRPr="006D0809">
        <w:rPr>
          <w:rFonts w:asciiTheme="minorHAnsi" w:hAnsiTheme="minorHAnsi" w:cstheme="minorHAnsi"/>
          <w:color w:val="000000"/>
          <w:vertAlign w:val="superscript"/>
          <w:lang w:eastAsia="en-AU"/>
        </w:rPr>
        <w:t>TM</w:t>
      </w:r>
      <w:r w:rsidRPr="00C232DA">
        <w:t xml:space="preserve"> </w:t>
      </w:r>
      <w:r>
        <w:t>Luer Lok Access Device</w:t>
      </w:r>
    </w:p>
    <w:p w14:paraId="540FFA77" w14:textId="77777777" w:rsidR="00912EDA" w:rsidRDefault="00912EDA" w:rsidP="00912EDA">
      <w:pPr>
        <w:autoSpaceDE w:val="0"/>
        <w:autoSpaceDN w:val="0"/>
        <w:adjustRightInd w:val="0"/>
        <w:rPr>
          <w:rFonts w:asciiTheme="minorHAnsi" w:hAnsiTheme="minorHAnsi" w:cstheme="minorHAnsi"/>
          <w:noProof/>
          <w:szCs w:val="24"/>
          <w:lang w:eastAsia="en-AU"/>
        </w:rPr>
      </w:pPr>
      <w:r>
        <w:rPr>
          <w:b/>
          <w:noProof/>
          <w:lang w:eastAsia="en-AU"/>
        </w:rPr>
        <w:drawing>
          <wp:anchor distT="0" distB="0" distL="114300" distR="114300" simplePos="0" relativeHeight="251661312" behindDoc="1" locked="0" layoutInCell="1" allowOverlap="1" wp14:anchorId="0AE4679F" wp14:editId="7767ED24">
            <wp:simplePos x="0" y="0"/>
            <wp:positionH relativeFrom="column">
              <wp:posOffset>-3428</wp:posOffset>
            </wp:positionH>
            <wp:positionV relativeFrom="paragraph">
              <wp:posOffset>57210</wp:posOffset>
            </wp:positionV>
            <wp:extent cx="1466443" cy="1473813"/>
            <wp:effectExtent l="0" t="0" r="635" b="0"/>
            <wp:wrapTight wrapText="bothSides">
              <wp:wrapPolygon edited="0">
                <wp:start x="10945" y="0"/>
                <wp:lineTo x="8419" y="4469"/>
                <wp:lineTo x="2245" y="8938"/>
                <wp:lineTo x="0" y="11731"/>
                <wp:lineTo x="0" y="15362"/>
                <wp:lineTo x="7016" y="17876"/>
                <wp:lineTo x="7016" y="18993"/>
                <wp:lineTo x="8139" y="21228"/>
                <wp:lineTo x="15997" y="21228"/>
                <wp:lineTo x="16558" y="21228"/>
                <wp:lineTo x="19084" y="18434"/>
                <wp:lineTo x="19084" y="17876"/>
                <wp:lineTo x="17680" y="13407"/>
                <wp:lineTo x="21329" y="9497"/>
                <wp:lineTo x="21329" y="3910"/>
                <wp:lineTo x="18522" y="1676"/>
                <wp:lineTo x="15435" y="0"/>
                <wp:lineTo x="10945"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utainer-luer-lok-access_RC_PAS_BC_0616-006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66443" cy="1473813"/>
                    </a:xfrm>
                    <a:prstGeom prst="rect">
                      <a:avLst/>
                    </a:prstGeom>
                  </pic:spPr>
                </pic:pic>
              </a:graphicData>
            </a:graphic>
            <wp14:sizeRelH relativeFrom="page">
              <wp14:pctWidth>0</wp14:pctWidth>
            </wp14:sizeRelH>
            <wp14:sizeRelV relativeFrom="page">
              <wp14:pctHeight>0</wp14:pctHeight>
            </wp14:sizeRelV>
          </wp:anchor>
        </w:drawing>
      </w:r>
    </w:p>
    <w:p w14:paraId="04087768" w14:textId="77777777" w:rsidR="00912EDA" w:rsidRDefault="00912EDA" w:rsidP="00912EDA">
      <w:pPr>
        <w:autoSpaceDE w:val="0"/>
        <w:autoSpaceDN w:val="0"/>
        <w:adjustRightInd w:val="0"/>
        <w:jc w:val="right"/>
        <w:rPr>
          <w:rFonts w:asciiTheme="minorHAnsi" w:hAnsiTheme="minorHAnsi" w:cstheme="minorHAnsi"/>
          <w:noProof/>
          <w:szCs w:val="24"/>
          <w:lang w:eastAsia="en-AU"/>
        </w:rPr>
      </w:pPr>
    </w:p>
    <w:p w14:paraId="53D991E5" w14:textId="77777777" w:rsidR="00912EDA" w:rsidRDefault="00912EDA" w:rsidP="00912EDA">
      <w:pPr>
        <w:autoSpaceDE w:val="0"/>
        <w:autoSpaceDN w:val="0"/>
        <w:adjustRightInd w:val="0"/>
        <w:jc w:val="right"/>
        <w:rPr>
          <w:rFonts w:asciiTheme="minorHAnsi" w:hAnsiTheme="minorHAnsi" w:cstheme="minorHAnsi"/>
          <w:noProof/>
          <w:szCs w:val="24"/>
          <w:lang w:eastAsia="en-AU"/>
        </w:rPr>
      </w:pPr>
    </w:p>
    <w:p w14:paraId="5CBED21C" w14:textId="77777777" w:rsidR="00912EDA" w:rsidRDefault="00912EDA" w:rsidP="00912EDA">
      <w:pPr>
        <w:autoSpaceDE w:val="0"/>
        <w:autoSpaceDN w:val="0"/>
        <w:adjustRightInd w:val="0"/>
        <w:jc w:val="right"/>
        <w:rPr>
          <w:rFonts w:asciiTheme="minorHAnsi" w:hAnsiTheme="minorHAnsi" w:cstheme="minorHAnsi"/>
          <w:noProof/>
          <w:szCs w:val="24"/>
          <w:lang w:eastAsia="en-AU"/>
        </w:rPr>
      </w:pPr>
    </w:p>
    <w:p w14:paraId="1F8F66CC" w14:textId="77777777" w:rsidR="00912EDA" w:rsidRDefault="00912EDA" w:rsidP="00912EDA">
      <w:pPr>
        <w:autoSpaceDE w:val="0"/>
        <w:autoSpaceDN w:val="0"/>
        <w:adjustRightInd w:val="0"/>
        <w:jc w:val="right"/>
        <w:rPr>
          <w:rFonts w:asciiTheme="minorHAnsi" w:hAnsiTheme="minorHAnsi" w:cstheme="minorHAnsi"/>
          <w:noProof/>
          <w:szCs w:val="24"/>
          <w:lang w:eastAsia="en-AU"/>
        </w:rPr>
      </w:pPr>
    </w:p>
    <w:p w14:paraId="5B6765CB" w14:textId="77777777" w:rsidR="00912EDA" w:rsidRDefault="00912EDA" w:rsidP="00912EDA">
      <w:pPr>
        <w:autoSpaceDE w:val="0"/>
        <w:autoSpaceDN w:val="0"/>
        <w:adjustRightInd w:val="0"/>
        <w:jc w:val="right"/>
        <w:rPr>
          <w:rFonts w:asciiTheme="minorHAnsi" w:hAnsiTheme="minorHAnsi" w:cstheme="minorHAnsi"/>
          <w:noProof/>
          <w:szCs w:val="24"/>
          <w:lang w:eastAsia="en-AU"/>
        </w:rPr>
      </w:pPr>
    </w:p>
    <w:p w14:paraId="28B8F3BD" w14:textId="77777777" w:rsidR="00912EDA" w:rsidRDefault="00912EDA" w:rsidP="00912EDA">
      <w:pPr>
        <w:autoSpaceDE w:val="0"/>
        <w:autoSpaceDN w:val="0"/>
        <w:adjustRightInd w:val="0"/>
        <w:jc w:val="right"/>
        <w:rPr>
          <w:rFonts w:asciiTheme="minorHAnsi" w:hAnsiTheme="minorHAnsi" w:cstheme="minorHAnsi"/>
          <w:noProof/>
          <w:szCs w:val="24"/>
          <w:lang w:eastAsia="en-AU"/>
        </w:rPr>
      </w:pPr>
    </w:p>
    <w:p w14:paraId="5A6B6F14" w14:textId="77777777" w:rsidR="00912EDA" w:rsidRDefault="00912EDA" w:rsidP="00912EDA">
      <w:pPr>
        <w:autoSpaceDE w:val="0"/>
        <w:autoSpaceDN w:val="0"/>
        <w:adjustRightInd w:val="0"/>
        <w:jc w:val="right"/>
        <w:rPr>
          <w:rFonts w:asciiTheme="minorHAnsi" w:hAnsiTheme="minorHAnsi" w:cstheme="minorHAnsi"/>
          <w:noProof/>
          <w:szCs w:val="24"/>
          <w:lang w:eastAsia="en-AU"/>
        </w:rPr>
      </w:pPr>
    </w:p>
    <w:p w14:paraId="66912ECD" w14:textId="77777777" w:rsidR="00912EDA" w:rsidRDefault="00912EDA" w:rsidP="00912EDA">
      <w:pPr>
        <w:autoSpaceDE w:val="0"/>
        <w:autoSpaceDN w:val="0"/>
        <w:adjustRightInd w:val="0"/>
        <w:jc w:val="right"/>
        <w:rPr>
          <w:rFonts w:asciiTheme="minorHAnsi" w:hAnsiTheme="minorHAnsi" w:cstheme="minorHAnsi"/>
          <w:noProof/>
          <w:szCs w:val="24"/>
          <w:lang w:eastAsia="en-AU"/>
        </w:rPr>
      </w:pPr>
    </w:p>
    <w:p w14:paraId="6ABD54D3" w14:textId="77777777" w:rsidR="00912EDA" w:rsidRDefault="00912EDA" w:rsidP="00912EDA">
      <w:pPr>
        <w:autoSpaceDE w:val="0"/>
        <w:autoSpaceDN w:val="0"/>
        <w:adjustRightInd w:val="0"/>
        <w:jc w:val="right"/>
        <w:rPr>
          <w:rFonts w:asciiTheme="minorHAnsi" w:hAnsiTheme="minorHAnsi" w:cstheme="minorHAnsi"/>
          <w:noProof/>
          <w:szCs w:val="24"/>
          <w:lang w:eastAsia="en-AU"/>
        </w:rPr>
      </w:pPr>
    </w:p>
    <w:p w14:paraId="7C6C0122" w14:textId="77777777" w:rsidR="00912EDA" w:rsidRPr="0041444E" w:rsidRDefault="00912EDA" w:rsidP="00912EDA">
      <w:pPr>
        <w:rPr>
          <w:b/>
          <w:bCs/>
        </w:rPr>
      </w:pPr>
      <w:r>
        <w:rPr>
          <w:b/>
          <w:bCs/>
        </w:rPr>
        <w:t>4</w:t>
      </w:r>
      <w:r w:rsidRPr="0041444E">
        <w:rPr>
          <w:b/>
          <w:bCs/>
        </w:rPr>
        <w:t xml:space="preserve">.2 </w:t>
      </w:r>
      <w:r w:rsidRPr="0041444E">
        <w:rPr>
          <w:b/>
          <w:bCs/>
        </w:rPr>
        <w:tab/>
        <w:t>Procedure:</w:t>
      </w:r>
    </w:p>
    <w:p w14:paraId="5674776D" w14:textId="77777777" w:rsidR="00912EDA" w:rsidRPr="00DA425F" w:rsidRDefault="00912EDA" w:rsidP="00912EDA">
      <w:pPr>
        <w:pStyle w:val="ListParagraph"/>
        <w:numPr>
          <w:ilvl w:val="0"/>
          <w:numId w:val="1"/>
        </w:numPr>
        <w:spacing w:after="100" w:afterAutospacing="1"/>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 xml:space="preserve">Ensure patient privacy </w:t>
      </w:r>
      <w:r>
        <w:rPr>
          <w:rFonts w:asciiTheme="minorHAnsi" w:hAnsiTheme="minorHAnsi" w:cstheme="minorBidi"/>
          <w:color w:val="000000" w:themeColor="text1"/>
          <w:lang w:eastAsia="en-AU"/>
        </w:rPr>
        <w:t xml:space="preserve">and </w:t>
      </w:r>
      <w:r w:rsidRPr="42BBC7FB">
        <w:rPr>
          <w:rFonts w:asciiTheme="minorHAnsi" w:hAnsiTheme="minorHAnsi" w:cstheme="minorBidi"/>
          <w:color w:val="000000" w:themeColor="text1"/>
          <w:lang w:eastAsia="en-AU"/>
        </w:rPr>
        <w:t>obtain informed patient consent to proceed with the procedure.</w:t>
      </w:r>
    </w:p>
    <w:p w14:paraId="4D167706" w14:textId="77777777" w:rsidR="00912EDA" w:rsidRDefault="00912EDA" w:rsidP="00912EDA">
      <w:pPr>
        <w:pStyle w:val="ListParagraph"/>
        <w:numPr>
          <w:ilvl w:val="0"/>
          <w:numId w:val="1"/>
        </w:numPr>
        <w:spacing w:before="100" w:beforeAutospacing="1" w:after="100" w:afterAutospacing="1"/>
        <w:ind w:left="426" w:hanging="426"/>
        <w:rPr>
          <w:rFonts w:asciiTheme="minorHAnsi" w:hAnsiTheme="minorHAnsi" w:cstheme="minorHAnsi"/>
          <w:color w:val="000000"/>
          <w:szCs w:val="24"/>
          <w:lang w:eastAsia="en-AU"/>
        </w:rPr>
      </w:pPr>
      <w:r w:rsidRPr="00DA425F">
        <w:rPr>
          <w:rFonts w:asciiTheme="minorHAnsi" w:hAnsiTheme="minorHAnsi" w:cstheme="minorHAnsi"/>
          <w:color w:val="000000"/>
          <w:szCs w:val="24"/>
          <w:lang w:eastAsia="en-AU"/>
        </w:rPr>
        <w:t xml:space="preserve">Clarify if the patient has allergies to dressings, tapes, or </w:t>
      </w:r>
      <w:r>
        <w:rPr>
          <w:rFonts w:asciiTheme="minorHAnsi" w:hAnsiTheme="minorHAnsi" w:cstheme="minorHAnsi"/>
          <w:color w:val="000000"/>
          <w:szCs w:val="24"/>
          <w:lang w:eastAsia="en-AU"/>
        </w:rPr>
        <w:t>C</w:t>
      </w:r>
      <w:r w:rsidRPr="00DA425F">
        <w:rPr>
          <w:rFonts w:asciiTheme="minorHAnsi" w:hAnsiTheme="minorHAnsi" w:cstheme="minorHAnsi"/>
          <w:color w:val="000000"/>
          <w:szCs w:val="24"/>
          <w:lang w:eastAsia="en-AU"/>
        </w:rPr>
        <w:t>hlorhexidine</w:t>
      </w:r>
      <w:r>
        <w:rPr>
          <w:rFonts w:asciiTheme="minorHAnsi" w:hAnsiTheme="minorHAnsi" w:cstheme="minorHAnsi"/>
          <w:color w:val="000000"/>
          <w:szCs w:val="24"/>
          <w:lang w:eastAsia="en-AU"/>
        </w:rPr>
        <w:t>.</w:t>
      </w:r>
    </w:p>
    <w:p w14:paraId="71E106A1" w14:textId="77777777" w:rsidR="00912EDA" w:rsidRPr="008100EC" w:rsidRDefault="00912EDA" w:rsidP="00912EDA">
      <w:pPr>
        <w:pStyle w:val="ListParagraph"/>
        <w:numPr>
          <w:ilvl w:val="0"/>
          <w:numId w:val="1"/>
        </w:numPr>
        <w:spacing w:before="100" w:beforeAutospacing="1" w:after="100" w:afterAutospacing="1"/>
        <w:ind w:left="426" w:hanging="426"/>
        <w:rPr>
          <w:rFonts w:asciiTheme="minorHAnsi" w:hAnsiTheme="minorHAnsi" w:cstheme="minorHAnsi"/>
          <w:color w:val="000000"/>
          <w:szCs w:val="24"/>
          <w:lang w:eastAsia="en-AU"/>
        </w:rPr>
      </w:pPr>
      <w:r w:rsidRPr="008100EC">
        <w:rPr>
          <w:rFonts w:eastAsia="Calibri" w:cs="Swis721 Lt BT"/>
          <w:color w:val="000000"/>
          <w:szCs w:val="24"/>
        </w:rPr>
        <w:t xml:space="preserve">Ensure that the relevant history and tests are stated on the pathology Blood Culture request form as this may affect incubation requirements. </w:t>
      </w:r>
    </w:p>
    <w:p w14:paraId="60C84C71" w14:textId="77777777" w:rsidR="00912EDA" w:rsidRPr="00254CD4" w:rsidRDefault="00912EDA" w:rsidP="00912EDA">
      <w:pPr>
        <w:numPr>
          <w:ilvl w:val="0"/>
          <w:numId w:val="1"/>
        </w:numPr>
        <w:autoSpaceDE w:val="0"/>
        <w:autoSpaceDN w:val="0"/>
        <w:adjustRightInd w:val="0"/>
        <w:spacing w:after="50"/>
        <w:ind w:left="426" w:hanging="426"/>
        <w:rPr>
          <w:rFonts w:eastAsia="Calibri" w:cs="Swis721 Lt BT"/>
          <w:color w:val="000000"/>
          <w:szCs w:val="24"/>
        </w:rPr>
      </w:pPr>
      <w:r w:rsidRPr="00254CD4">
        <w:rPr>
          <w:rFonts w:eastAsia="Calibri" w:cs="Swis721 Lt BT"/>
          <w:color w:val="000000"/>
          <w:szCs w:val="24"/>
        </w:rPr>
        <w:t xml:space="preserve">Collect all equipment required (including </w:t>
      </w:r>
      <w:r>
        <w:rPr>
          <w:rFonts w:eastAsia="Calibri" w:cs="Swis721 Lt BT"/>
          <w:color w:val="000000"/>
          <w:szCs w:val="24"/>
        </w:rPr>
        <w:t>PPE</w:t>
      </w:r>
      <w:r w:rsidRPr="00254CD4">
        <w:rPr>
          <w:rFonts w:eastAsia="Calibri" w:cs="Swis721 Lt BT"/>
          <w:color w:val="000000"/>
          <w:szCs w:val="24"/>
        </w:rPr>
        <w:t>) and place on</w:t>
      </w:r>
      <w:r>
        <w:rPr>
          <w:rFonts w:eastAsia="Calibri" w:cs="Swis721 Lt BT"/>
          <w:color w:val="000000"/>
          <w:szCs w:val="24"/>
        </w:rPr>
        <w:t xml:space="preserve"> the bottom of the dressing </w:t>
      </w:r>
      <w:r w:rsidRPr="00254CD4">
        <w:rPr>
          <w:rFonts w:eastAsia="Calibri" w:cs="Swis721 Lt BT"/>
          <w:color w:val="000000"/>
          <w:szCs w:val="24"/>
        </w:rPr>
        <w:t>trolley</w:t>
      </w:r>
      <w:r>
        <w:rPr>
          <w:rFonts w:eastAsia="Calibri" w:cs="Swis721 Lt BT"/>
          <w:color w:val="000000"/>
          <w:szCs w:val="24"/>
        </w:rPr>
        <w:t xml:space="preserve"> (note: dressing trolley must be cleaned from top to bottom</w:t>
      </w:r>
      <w:r w:rsidRPr="00254CD4">
        <w:rPr>
          <w:rFonts w:eastAsia="Calibri" w:cs="Swis721 Lt BT"/>
          <w:color w:val="000000"/>
          <w:szCs w:val="24"/>
        </w:rPr>
        <w:t xml:space="preserve"> with </w:t>
      </w:r>
      <w:r>
        <w:rPr>
          <w:rFonts w:eastAsia="Calibri" w:cs="Swis721 Lt BT"/>
          <w:color w:val="000000"/>
          <w:szCs w:val="24"/>
        </w:rPr>
        <w:t>detergent</w:t>
      </w:r>
      <w:r w:rsidRPr="00254CD4">
        <w:rPr>
          <w:rFonts w:eastAsia="Calibri" w:cs="Cambria Math"/>
          <w:color w:val="000000"/>
          <w:szCs w:val="24"/>
        </w:rPr>
        <w:t>‐</w:t>
      </w:r>
      <w:r w:rsidRPr="00254CD4">
        <w:rPr>
          <w:rFonts w:eastAsia="Calibri" w:cs="Swis721 Lt BT"/>
          <w:color w:val="000000"/>
          <w:szCs w:val="24"/>
        </w:rPr>
        <w:t>based wipes</w:t>
      </w:r>
      <w:r>
        <w:rPr>
          <w:rFonts w:eastAsia="Calibri" w:cs="Swis721 Lt BT"/>
          <w:color w:val="000000"/>
          <w:szCs w:val="24"/>
        </w:rPr>
        <w:t>, and allowed to dry, prior to placing items on top). B</w:t>
      </w:r>
      <w:r w:rsidRPr="00254CD4">
        <w:rPr>
          <w:rFonts w:eastAsia="Calibri" w:cs="Swis721 Lt BT"/>
          <w:color w:val="000000"/>
          <w:szCs w:val="24"/>
        </w:rPr>
        <w:t>ring</w:t>
      </w:r>
      <w:r>
        <w:rPr>
          <w:rFonts w:eastAsia="Calibri" w:cs="Swis721 Lt BT"/>
          <w:color w:val="000000"/>
          <w:szCs w:val="24"/>
        </w:rPr>
        <w:t xml:space="preserve"> the dressing trolley </w:t>
      </w:r>
      <w:r w:rsidRPr="00254CD4">
        <w:rPr>
          <w:rFonts w:eastAsia="Calibri" w:cs="Swis721 Lt BT"/>
          <w:color w:val="000000"/>
          <w:szCs w:val="24"/>
        </w:rPr>
        <w:t>to the patient zone</w:t>
      </w:r>
      <w:r>
        <w:rPr>
          <w:rFonts w:eastAsia="Calibri" w:cs="Swis721 Lt BT"/>
          <w:color w:val="000000"/>
          <w:szCs w:val="24"/>
        </w:rPr>
        <w:t>.</w:t>
      </w:r>
      <w:r w:rsidRPr="00254CD4">
        <w:rPr>
          <w:rFonts w:eastAsia="Calibri" w:cs="Swis721 Lt BT"/>
          <w:color w:val="000000"/>
          <w:szCs w:val="24"/>
        </w:rPr>
        <w:t xml:space="preserve"> </w:t>
      </w:r>
    </w:p>
    <w:p w14:paraId="7F2971EC" w14:textId="77777777" w:rsidR="00912EDA" w:rsidRDefault="00912EDA" w:rsidP="00912EDA">
      <w:pPr>
        <w:numPr>
          <w:ilvl w:val="0"/>
          <w:numId w:val="1"/>
        </w:numPr>
        <w:autoSpaceDE w:val="0"/>
        <w:autoSpaceDN w:val="0"/>
        <w:adjustRightInd w:val="0"/>
        <w:ind w:left="426" w:hanging="426"/>
        <w:rPr>
          <w:rFonts w:eastAsia="Calibri" w:cs="Swis721 Lt BT"/>
          <w:color w:val="000000"/>
          <w:szCs w:val="24"/>
        </w:rPr>
      </w:pPr>
      <w:r>
        <w:rPr>
          <w:rFonts w:eastAsia="Calibri" w:cs="Swis721 Lt BT"/>
          <w:color w:val="000000"/>
          <w:szCs w:val="24"/>
        </w:rPr>
        <w:t>C</w:t>
      </w:r>
      <w:r w:rsidRPr="00254CD4">
        <w:rPr>
          <w:rFonts w:eastAsia="Calibri" w:cs="Swis721 Lt BT"/>
          <w:color w:val="000000"/>
          <w:szCs w:val="24"/>
        </w:rPr>
        <w:t>heck expiry date for each bottle and mark 10</w:t>
      </w:r>
      <w:r>
        <w:rPr>
          <w:rFonts w:eastAsia="Calibri" w:cs="Swis721 Lt BT"/>
          <w:color w:val="000000"/>
          <w:szCs w:val="24"/>
        </w:rPr>
        <w:t>mL</w:t>
      </w:r>
      <w:r w:rsidRPr="00254CD4">
        <w:rPr>
          <w:rFonts w:eastAsia="Calibri" w:cs="Swis721 Lt BT"/>
          <w:color w:val="000000"/>
          <w:szCs w:val="24"/>
        </w:rPr>
        <w:t xml:space="preserve"> above the broth</w:t>
      </w:r>
      <w:r>
        <w:rPr>
          <w:rFonts w:eastAsia="Calibri" w:cs="Swis721 Lt BT"/>
          <w:color w:val="000000"/>
          <w:szCs w:val="24"/>
        </w:rPr>
        <w:t>,</w:t>
      </w:r>
      <w:r w:rsidRPr="00254CD4">
        <w:rPr>
          <w:rFonts w:eastAsia="Calibri" w:cs="Swis721 Lt BT"/>
          <w:color w:val="000000"/>
          <w:szCs w:val="24"/>
        </w:rPr>
        <w:t xml:space="preserve"> for fill level</w:t>
      </w:r>
      <w:r>
        <w:rPr>
          <w:rFonts w:eastAsia="Calibri" w:cs="Swis721 Lt BT"/>
          <w:color w:val="000000"/>
          <w:szCs w:val="24"/>
        </w:rPr>
        <w:t xml:space="preserve"> for adult patients (collect 8 - 10mL), and 3mL above the broth, for paediatric patients </w:t>
      </w:r>
      <w:r w:rsidRPr="00D84730">
        <w:rPr>
          <w:rFonts w:eastAsia="Calibri" w:cs="Swis721 Lt BT"/>
          <w:color w:val="000000"/>
          <w:szCs w:val="24"/>
        </w:rPr>
        <w:t>(collect 1-3</w:t>
      </w:r>
      <w:r>
        <w:rPr>
          <w:rFonts w:eastAsia="Calibri" w:cs="Swis721 Lt BT"/>
          <w:color w:val="000000"/>
          <w:szCs w:val="24"/>
        </w:rPr>
        <w:t>mL</w:t>
      </w:r>
      <w:r w:rsidRPr="00D84730">
        <w:rPr>
          <w:rFonts w:eastAsia="Calibri" w:cs="Swis721 Lt BT"/>
          <w:color w:val="000000"/>
          <w:szCs w:val="24"/>
        </w:rPr>
        <w:t>).</w:t>
      </w:r>
    </w:p>
    <w:p w14:paraId="740479FF" w14:textId="77777777" w:rsidR="00912EDA" w:rsidRPr="004468CF" w:rsidRDefault="00912EDA" w:rsidP="00912EDA">
      <w:pPr>
        <w:pStyle w:val="ListParagraph"/>
        <w:numPr>
          <w:ilvl w:val="0"/>
          <w:numId w:val="1"/>
        </w:numPr>
        <w:spacing w:before="100" w:beforeAutospacing="1" w:after="100" w:afterAutospacing="1"/>
        <w:ind w:left="426" w:hanging="426"/>
        <w:rPr>
          <w:rFonts w:asciiTheme="minorHAnsi" w:eastAsiaTheme="minorEastAsia" w:hAnsiTheme="minorHAnsi" w:cstheme="minorBidi"/>
          <w:color w:val="000000"/>
          <w:szCs w:val="24"/>
          <w:lang w:eastAsia="en-AU"/>
        </w:rPr>
      </w:pPr>
      <w:r w:rsidRPr="004468CF">
        <w:rPr>
          <w:rFonts w:asciiTheme="minorHAnsi" w:hAnsiTheme="minorHAnsi" w:cstheme="minorBidi"/>
          <w:color w:val="000000" w:themeColor="text1"/>
          <w:lang w:eastAsia="en-AU"/>
        </w:rPr>
        <w:lastRenderedPageBreak/>
        <w:t>Position the patient in a semi-recumbent position in bed or sitting in a chair.</w:t>
      </w:r>
      <w:r>
        <w:rPr>
          <w:rFonts w:asciiTheme="minorHAnsi" w:hAnsiTheme="minorHAnsi" w:cstheme="minorBidi"/>
          <w:color w:val="000000" w:themeColor="text1"/>
          <w:lang w:eastAsia="en-AU"/>
        </w:rPr>
        <w:t xml:space="preserve"> For paediatric patients, refer to </w:t>
      </w:r>
      <w:r w:rsidRPr="004468CF">
        <w:rPr>
          <w:rFonts w:asciiTheme="minorHAnsi" w:hAnsiTheme="minorHAnsi" w:cstheme="minorBidi"/>
          <w:color w:val="000000" w:themeColor="text1"/>
          <w:lang w:eastAsia="en-AU"/>
        </w:rPr>
        <w:t xml:space="preserve">the </w:t>
      </w:r>
      <w:r w:rsidRPr="004468CF">
        <w:rPr>
          <w:i/>
          <w:iCs/>
          <w:lang w:eastAsia="en-AU"/>
        </w:rPr>
        <w:t>Caring for Children During Procedures Clinical Procedure</w:t>
      </w:r>
      <w:r w:rsidRPr="004468CF">
        <w:rPr>
          <w:rFonts w:asciiTheme="minorHAnsi" w:hAnsiTheme="minorHAnsi" w:cstheme="minorBidi"/>
          <w:color w:val="000000" w:themeColor="text1"/>
          <w:lang w:eastAsia="en-AU"/>
        </w:rPr>
        <w:t xml:space="preserve"> (available on the Policy and Guidance Documents Register)</w:t>
      </w:r>
    </w:p>
    <w:p w14:paraId="6AC910DD" w14:textId="77777777" w:rsidR="00912EDA" w:rsidRPr="003B719E" w:rsidRDefault="00912EDA" w:rsidP="00912EDA">
      <w:pPr>
        <w:pStyle w:val="ListParagraph"/>
        <w:numPr>
          <w:ilvl w:val="0"/>
          <w:numId w:val="1"/>
        </w:numPr>
        <w:spacing w:before="100" w:beforeAutospacing="1" w:after="100" w:afterAutospacing="1"/>
        <w:ind w:left="426" w:hanging="426"/>
        <w:rPr>
          <w:rFonts w:ascii="Times New Roman" w:hAnsi="Times New Roman"/>
          <w:color w:val="000000"/>
          <w:sz w:val="27"/>
          <w:szCs w:val="27"/>
          <w:lang w:eastAsia="en-AU"/>
        </w:rPr>
      </w:pPr>
      <w:r w:rsidRPr="42BBC7FB">
        <w:rPr>
          <w:rFonts w:asciiTheme="minorHAnsi" w:eastAsia="Calibri" w:hAnsiTheme="minorHAnsi" w:cstheme="minorBidi"/>
          <w:color w:val="000000" w:themeColor="text1"/>
        </w:rPr>
        <w:t>Correctly identify the patient using the 3 core identifiers, checking the pathology request order</w:t>
      </w:r>
      <w:r w:rsidRPr="42BBC7FB">
        <w:rPr>
          <w:rFonts w:eastAsia="Calibri" w:cs="Swis721 Lt BT"/>
          <w:color w:val="000000" w:themeColor="text1"/>
        </w:rPr>
        <w:t xml:space="preserve"> and the patients’ details are correct, with the additional step of scanning the patient / client wrist band barcodes.</w:t>
      </w:r>
    </w:p>
    <w:p w14:paraId="3E98D769" w14:textId="77777777" w:rsidR="00912EDA" w:rsidRDefault="00912EDA" w:rsidP="00912EDA">
      <w:pPr>
        <w:pStyle w:val="ListParagraph"/>
        <w:numPr>
          <w:ilvl w:val="0"/>
          <w:numId w:val="1"/>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Perform Hand Hygiene (HH).</w:t>
      </w:r>
    </w:p>
    <w:p w14:paraId="088CAAFE" w14:textId="77777777" w:rsidR="00912EDA" w:rsidRPr="00DA425F" w:rsidRDefault="00912EDA" w:rsidP="00912EDA">
      <w:pPr>
        <w:pStyle w:val="ListParagraph"/>
        <w:numPr>
          <w:ilvl w:val="0"/>
          <w:numId w:val="1"/>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Identify the limb (arm or leg) from which the specimen will be collected.</w:t>
      </w:r>
    </w:p>
    <w:p w14:paraId="17888F91" w14:textId="77777777" w:rsidR="00912EDA" w:rsidRPr="00DA425F" w:rsidRDefault="00912EDA" w:rsidP="00912EDA">
      <w:pPr>
        <w:pStyle w:val="ListParagraph"/>
        <w:numPr>
          <w:ilvl w:val="0"/>
          <w:numId w:val="1"/>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Position the selected limb below the level of the heart to encourage blood vessel filling.</w:t>
      </w:r>
    </w:p>
    <w:p w14:paraId="6CF8777A" w14:textId="77777777" w:rsidR="00912EDA" w:rsidRPr="00DA425F" w:rsidRDefault="00912EDA" w:rsidP="00912EDA">
      <w:pPr>
        <w:pStyle w:val="ListParagraph"/>
        <w:numPr>
          <w:ilvl w:val="0"/>
          <w:numId w:val="1"/>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Ensure that the extended limb is well supported.</w:t>
      </w:r>
    </w:p>
    <w:p w14:paraId="130C804E" w14:textId="77777777" w:rsidR="00912EDA" w:rsidRPr="00DA425F" w:rsidRDefault="00912EDA" w:rsidP="00912EDA">
      <w:pPr>
        <w:pStyle w:val="ListParagraph"/>
        <w:numPr>
          <w:ilvl w:val="0"/>
          <w:numId w:val="1"/>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Apply a tourniquet to observe and palpate veins to select the appropriate site for venepuncture. The patient’s vein should feel firm, elastic, engorged and round. Ask patient to clench their fist to promote vasodilatation.</w:t>
      </w:r>
    </w:p>
    <w:p w14:paraId="61A2E2E9" w14:textId="77777777" w:rsidR="00912EDA" w:rsidRPr="00BB6B78" w:rsidRDefault="00912EDA" w:rsidP="00912EDA">
      <w:pPr>
        <w:pStyle w:val="ListParagraph"/>
        <w:numPr>
          <w:ilvl w:val="0"/>
          <w:numId w:val="1"/>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Release the tourniquet after selection of the appropriate vein. Do not leave the tourniquet in situ for longer than 2 minutes.</w:t>
      </w:r>
    </w:p>
    <w:p w14:paraId="40E7F5C9" w14:textId="77777777" w:rsidR="00912EDA" w:rsidRPr="008E0668" w:rsidRDefault="00912EDA" w:rsidP="00912EDA">
      <w:pPr>
        <w:pStyle w:val="ListParagraph"/>
        <w:numPr>
          <w:ilvl w:val="0"/>
          <w:numId w:val="1"/>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Perform HH by either hand washing or using ABHR.</w:t>
      </w:r>
    </w:p>
    <w:p w14:paraId="1DCD0480" w14:textId="77777777" w:rsidR="00912EDA" w:rsidRPr="008E0668" w:rsidRDefault="00912EDA" w:rsidP="00912EDA">
      <w:pPr>
        <w:pStyle w:val="ListParagraph"/>
        <w:numPr>
          <w:ilvl w:val="0"/>
          <w:numId w:val="1"/>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Don PPE (protective goggles or face shield).</w:t>
      </w:r>
    </w:p>
    <w:p w14:paraId="5D326C3A" w14:textId="77777777" w:rsidR="00912EDA" w:rsidRPr="008E0668" w:rsidRDefault="00912EDA" w:rsidP="00912EDA">
      <w:pPr>
        <w:pStyle w:val="ListParagraph"/>
        <w:numPr>
          <w:ilvl w:val="0"/>
          <w:numId w:val="1"/>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eastAsia="Calibri" w:hAnsiTheme="minorHAnsi" w:cstheme="minorBidi"/>
          <w:color w:val="000000" w:themeColor="text1"/>
        </w:rPr>
        <w:t xml:space="preserve">Open dressing pack and place blood collection equipment and skin preparation onto </w:t>
      </w:r>
      <w:r>
        <w:rPr>
          <w:rFonts w:asciiTheme="minorHAnsi" w:eastAsia="Calibri" w:hAnsiTheme="minorHAnsi" w:cstheme="minorBidi"/>
          <w:color w:val="000000" w:themeColor="text1"/>
        </w:rPr>
        <w:t xml:space="preserve">the </w:t>
      </w:r>
      <w:r w:rsidRPr="42BBC7FB">
        <w:rPr>
          <w:rFonts w:asciiTheme="minorHAnsi" w:eastAsia="Calibri" w:hAnsiTheme="minorHAnsi" w:cstheme="minorBidi"/>
          <w:color w:val="000000" w:themeColor="text1"/>
        </w:rPr>
        <w:t xml:space="preserve">sterile field, discarding packaging in a general waste or recycling receptacle. </w:t>
      </w:r>
    </w:p>
    <w:p w14:paraId="726EE314" w14:textId="77777777" w:rsidR="00912EDA" w:rsidRPr="003B719E" w:rsidRDefault="00912EDA" w:rsidP="00912EDA">
      <w:pPr>
        <w:pStyle w:val="ListParagraph"/>
        <w:numPr>
          <w:ilvl w:val="0"/>
          <w:numId w:val="1"/>
        </w:numPr>
        <w:spacing w:before="100" w:beforeAutospacing="1" w:after="100" w:afterAutospacing="1"/>
        <w:ind w:left="426" w:hanging="426"/>
        <w:rPr>
          <w:rFonts w:ascii="Times New Roman" w:hAnsi="Times New Roman"/>
          <w:color w:val="000000"/>
          <w:sz w:val="27"/>
          <w:szCs w:val="27"/>
          <w:lang w:eastAsia="en-AU"/>
        </w:rPr>
      </w:pPr>
      <w:r w:rsidRPr="42BBC7FB">
        <w:rPr>
          <w:rFonts w:asciiTheme="minorHAnsi" w:eastAsia="Calibri" w:hAnsiTheme="minorHAnsi" w:cstheme="minorBidi"/>
          <w:color w:val="000000" w:themeColor="text1"/>
        </w:rPr>
        <w:t>Remove the cap of each</w:t>
      </w:r>
      <w:r w:rsidRPr="42BBC7FB">
        <w:rPr>
          <w:rFonts w:eastAsia="Calibri" w:cs="Swis721 Lt BT"/>
          <w:color w:val="000000" w:themeColor="text1"/>
        </w:rPr>
        <w:t xml:space="preserve"> Blood Culture Bottle and scrub the vial stoppers and neck of bottle thoroughly, using x2, 2% Chlorhexidine and 70% Alcohol prep pad swabs. Allow to dry completely for at least 30 seconds. Place to the side or on the back corner of the sterile field. </w:t>
      </w:r>
    </w:p>
    <w:p w14:paraId="230A79B1" w14:textId="77777777" w:rsidR="00912EDA" w:rsidRPr="003B719E" w:rsidRDefault="00912EDA" w:rsidP="00912EDA">
      <w:pPr>
        <w:pStyle w:val="ListParagraph"/>
        <w:numPr>
          <w:ilvl w:val="0"/>
          <w:numId w:val="1"/>
        </w:numPr>
        <w:spacing w:before="100" w:beforeAutospacing="1" w:after="100" w:afterAutospacing="1"/>
        <w:ind w:left="426" w:hanging="426"/>
        <w:rPr>
          <w:rFonts w:ascii="Times New Roman" w:hAnsi="Times New Roman"/>
          <w:color w:val="000000"/>
          <w:sz w:val="27"/>
          <w:szCs w:val="27"/>
          <w:lang w:eastAsia="en-AU"/>
        </w:rPr>
      </w:pPr>
      <w:r w:rsidRPr="42BBC7FB">
        <w:rPr>
          <w:rFonts w:eastAsia="Calibri" w:cs="Swis721 Lt BT"/>
          <w:color w:val="000000" w:themeColor="text1"/>
        </w:rPr>
        <w:t xml:space="preserve">Perform HH. </w:t>
      </w:r>
    </w:p>
    <w:p w14:paraId="63EB45DA" w14:textId="77777777" w:rsidR="00912EDA" w:rsidRPr="003B719E" w:rsidRDefault="00912EDA" w:rsidP="00912EDA">
      <w:pPr>
        <w:pStyle w:val="ListParagraph"/>
        <w:numPr>
          <w:ilvl w:val="0"/>
          <w:numId w:val="1"/>
        </w:numPr>
        <w:spacing w:before="100" w:beforeAutospacing="1" w:after="100" w:afterAutospacing="1"/>
        <w:ind w:left="426" w:hanging="426"/>
        <w:rPr>
          <w:rFonts w:ascii="Times New Roman" w:hAnsi="Times New Roman"/>
          <w:color w:val="000000"/>
          <w:sz w:val="27"/>
          <w:szCs w:val="27"/>
          <w:lang w:eastAsia="en-AU"/>
        </w:rPr>
      </w:pPr>
      <w:r w:rsidRPr="42BBC7FB">
        <w:rPr>
          <w:rFonts w:eastAsia="Calibri" w:cs="Swis721 Lt BT"/>
          <w:color w:val="000000" w:themeColor="text1"/>
        </w:rPr>
        <w:t>Don sterile gloves.</w:t>
      </w:r>
    </w:p>
    <w:p w14:paraId="53E3B222" w14:textId="77777777" w:rsidR="00912EDA" w:rsidRPr="008100EC" w:rsidRDefault="00912EDA" w:rsidP="00912EDA">
      <w:pPr>
        <w:pStyle w:val="ListParagraph"/>
        <w:numPr>
          <w:ilvl w:val="0"/>
          <w:numId w:val="1"/>
        </w:numPr>
        <w:spacing w:before="100" w:beforeAutospacing="1" w:after="100" w:afterAutospacing="1"/>
        <w:ind w:left="426" w:hanging="426"/>
        <w:rPr>
          <w:rFonts w:ascii="Times New Roman" w:hAnsi="Times New Roman"/>
          <w:color w:val="000000"/>
          <w:sz w:val="27"/>
          <w:szCs w:val="27"/>
          <w:lang w:eastAsia="en-AU"/>
        </w:rPr>
      </w:pPr>
      <w:r w:rsidRPr="42BBC7FB">
        <w:rPr>
          <w:rFonts w:cs="Arial"/>
        </w:rPr>
        <w:t xml:space="preserve"> </w:t>
      </w:r>
      <w:r w:rsidRPr="42BBC7FB">
        <w:rPr>
          <w:rFonts w:eastAsia="Calibri" w:cs="Swis721 Lt BT"/>
          <w:color w:val="000000" w:themeColor="text1"/>
        </w:rPr>
        <w:t xml:space="preserve">Prepare </w:t>
      </w:r>
      <w:r w:rsidRPr="008100EC">
        <w:rPr>
          <w:rFonts w:asciiTheme="minorHAnsi" w:hAnsiTheme="minorHAnsi" w:cstheme="minorBidi"/>
          <w:color w:val="000000" w:themeColor="text1"/>
          <w:lang w:eastAsia="en-AU"/>
        </w:rPr>
        <w:t>Blood Collection Set</w:t>
      </w:r>
      <w:r w:rsidRPr="008100EC">
        <w:rPr>
          <w:rFonts w:eastAsia="Calibri" w:cs="Swis721 Lt BT"/>
          <w:color w:val="000000" w:themeColor="text1"/>
        </w:rPr>
        <w:t>, and other sterile equipment.</w:t>
      </w:r>
    </w:p>
    <w:p w14:paraId="61359871" w14:textId="77777777" w:rsidR="00912EDA" w:rsidRPr="008100EC" w:rsidRDefault="00912EDA" w:rsidP="00912EDA">
      <w:pPr>
        <w:pStyle w:val="ListParagraph"/>
        <w:numPr>
          <w:ilvl w:val="0"/>
          <w:numId w:val="1"/>
        </w:numPr>
        <w:autoSpaceDE w:val="0"/>
        <w:autoSpaceDN w:val="0"/>
        <w:adjustRightInd w:val="0"/>
        <w:ind w:left="426" w:hanging="426"/>
        <w:rPr>
          <w:rFonts w:cs="Arial"/>
          <w:lang w:eastAsia="en-AU"/>
        </w:rPr>
      </w:pPr>
      <w:r w:rsidRPr="008100EC">
        <w:rPr>
          <w:rFonts w:eastAsia="Calibri" w:cs="Swis721 Lt BT"/>
          <w:color w:val="000000" w:themeColor="text1"/>
        </w:rPr>
        <w:t xml:space="preserve">Position sterile towel. </w:t>
      </w:r>
    </w:p>
    <w:p w14:paraId="60261BF0" w14:textId="77777777" w:rsidR="00912EDA" w:rsidRPr="00A86EBE" w:rsidRDefault="00912EDA" w:rsidP="00912EDA">
      <w:pPr>
        <w:numPr>
          <w:ilvl w:val="0"/>
          <w:numId w:val="1"/>
        </w:numPr>
        <w:autoSpaceDE w:val="0"/>
        <w:autoSpaceDN w:val="0"/>
        <w:adjustRightInd w:val="0"/>
        <w:ind w:left="426" w:hanging="426"/>
        <w:rPr>
          <w:rFonts w:cs="Arial"/>
          <w:lang w:eastAsia="en-AU"/>
        </w:rPr>
      </w:pPr>
      <w:r w:rsidRPr="42BBC7FB">
        <w:rPr>
          <w:rFonts w:eastAsia="Calibri" w:cs="Swis721 Lt BT"/>
          <w:color w:val="000000" w:themeColor="text1"/>
        </w:rPr>
        <w:t xml:space="preserve">Reapply torniquet utilising sterile gauze to prevent the contamination of sterile gloves. If an assistant is available that can perform this function, this does not need to be done. Torniquet must be placed 5 - 10cm above the selected puncture site. </w:t>
      </w:r>
    </w:p>
    <w:p w14:paraId="310AADD1" w14:textId="77777777" w:rsidR="00912EDA" w:rsidRPr="003B719E" w:rsidRDefault="00912EDA" w:rsidP="00912EDA">
      <w:pPr>
        <w:pStyle w:val="ListParagraph"/>
        <w:numPr>
          <w:ilvl w:val="0"/>
          <w:numId w:val="1"/>
        </w:numPr>
        <w:autoSpaceDE w:val="0"/>
        <w:autoSpaceDN w:val="0"/>
        <w:adjustRightInd w:val="0"/>
        <w:ind w:left="426" w:hanging="426"/>
        <w:rPr>
          <w:rFonts w:cs="Arial"/>
          <w:lang w:eastAsia="en-AU"/>
        </w:rPr>
      </w:pPr>
      <w:r w:rsidRPr="42BBC7FB">
        <w:rPr>
          <w:rFonts w:cs="Arial"/>
        </w:rPr>
        <w:t>Clean venepuncture site and surrounding area with Chloraprep</w:t>
      </w:r>
      <w:r w:rsidRPr="42BBC7FB">
        <w:rPr>
          <w:rFonts w:asciiTheme="minorHAnsi" w:hAnsiTheme="minorHAnsi" w:cstheme="minorBidi"/>
          <w:color w:val="000000" w:themeColor="text1"/>
          <w:vertAlign w:val="superscript"/>
          <w:lang w:eastAsia="en-AU"/>
        </w:rPr>
        <w:t>TM</w:t>
      </w:r>
      <w:r w:rsidRPr="42BBC7FB">
        <w:rPr>
          <w:rFonts w:cs="Arial"/>
        </w:rPr>
        <w:t xml:space="preserve"> (2% Chlorhexidine and 70% Alcohol swab), applying gentle friction in a cross-hatching motion, for 30 seconds (or other appropriate cleanser if the patient has a Chlorhexidine allergy). Apply antiseptic to cover an area approximately 10 x 10c</w:t>
      </w:r>
      <w:r>
        <w:rPr>
          <w:rFonts w:cs="Arial"/>
        </w:rPr>
        <w:t>m</w:t>
      </w:r>
      <w:r w:rsidRPr="42BBC7FB">
        <w:rPr>
          <w:rFonts w:cs="Arial"/>
        </w:rPr>
        <w:t xml:space="preserve">. Allow to dry for at least 30 seconds for skin disinfection to be effective. Do not wipe, fan or blot dry the area. </w:t>
      </w:r>
    </w:p>
    <w:p w14:paraId="01BAE66C" w14:textId="77777777" w:rsidR="00912EDA" w:rsidRPr="003B719E" w:rsidRDefault="00912EDA" w:rsidP="00912EDA">
      <w:pPr>
        <w:pStyle w:val="ListParagraph"/>
        <w:numPr>
          <w:ilvl w:val="0"/>
          <w:numId w:val="1"/>
        </w:numPr>
        <w:autoSpaceDE w:val="0"/>
        <w:autoSpaceDN w:val="0"/>
        <w:adjustRightInd w:val="0"/>
        <w:ind w:left="426" w:hanging="426"/>
        <w:rPr>
          <w:rFonts w:cs="Arial"/>
          <w:lang w:eastAsia="en-AU"/>
        </w:rPr>
      </w:pPr>
      <w:r w:rsidRPr="42BBC7FB">
        <w:rPr>
          <w:rFonts w:eastAsia="Calibri" w:cs="Swis721 Lt BT"/>
          <w:color w:val="000000" w:themeColor="text1"/>
        </w:rPr>
        <w:t>It is preferable that the venepuncture site is not re-palpated after skin preparation.</w:t>
      </w:r>
    </w:p>
    <w:p w14:paraId="7A267940" w14:textId="77777777" w:rsidR="00912EDA" w:rsidRPr="00A86EBE" w:rsidRDefault="00912EDA" w:rsidP="00912EDA">
      <w:pPr>
        <w:numPr>
          <w:ilvl w:val="0"/>
          <w:numId w:val="1"/>
        </w:numPr>
        <w:autoSpaceDE w:val="0"/>
        <w:autoSpaceDN w:val="0"/>
        <w:adjustRightInd w:val="0"/>
        <w:ind w:left="426" w:hanging="426"/>
        <w:rPr>
          <w:rFonts w:eastAsia="Calibri" w:cs="Swis721 Lt BT"/>
          <w:i/>
          <w:iCs/>
          <w:color w:val="000000"/>
        </w:rPr>
      </w:pPr>
      <w:r w:rsidRPr="42BBC7FB">
        <w:rPr>
          <w:rFonts w:eastAsia="Calibri" w:cs="Swis721 Lt BT"/>
          <w:color w:val="000000" w:themeColor="text1"/>
        </w:rPr>
        <w:t xml:space="preserve">Perform </w:t>
      </w:r>
      <w:r w:rsidRPr="004468CF">
        <w:rPr>
          <w:rFonts w:eastAsia="Calibri" w:cs="Swis721 Lt BT"/>
          <w:color w:val="000000" w:themeColor="text1"/>
        </w:rPr>
        <w:t>venepuncture using B</w:t>
      </w:r>
      <w:r w:rsidRPr="004468CF">
        <w:rPr>
          <w:rFonts w:asciiTheme="minorHAnsi" w:hAnsiTheme="minorHAnsi" w:cstheme="minorBidi"/>
          <w:color w:val="000000" w:themeColor="text1"/>
          <w:lang w:eastAsia="en-AU"/>
        </w:rPr>
        <w:t>lood Collection Set</w:t>
      </w:r>
      <w:r w:rsidRPr="004468CF">
        <w:rPr>
          <w:rFonts w:eastAsia="Calibri" w:cs="Swis721 Lt BT"/>
          <w:color w:val="000000" w:themeColor="text1"/>
        </w:rPr>
        <w:t xml:space="preserve"> as per CHS </w:t>
      </w:r>
      <w:r w:rsidRPr="004468CF">
        <w:rPr>
          <w:rFonts w:eastAsia="Calibri" w:cs="Swis721 Lt BT"/>
          <w:i/>
          <w:iCs/>
          <w:color w:val="000000" w:themeColor="text1"/>
        </w:rPr>
        <w:t xml:space="preserve">Venepuncture Blood Specimen Collection Procedure </w:t>
      </w:r>
    </w:p>
    <w:p w14:paraId="3106790D" w14:textId="77777777" w:rsidR="00912EDA"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Inoculate the aerobic (blue) blood culture bottle first, followed by anaerobic (purple) bottle.</w:t>
      </w:r>
    </w:p>
    <w:p w14:paraId="605EA862" w14:textId="77777777" w:rsidR="00912EDA" w:rsidRDefault="00912EDA" w:rsidP="00912EDA">
      <w:pPr>
        <w:numPr>
          <w:ilvl w:val="0"/>
          <w:numId w:val="1"/>
        </w:numPr>
        <w:autoSpaceDE w:val="0"/>
        <w:autoSpaceDN w:val="0"/>
        <w:adjustRightInd w:val="0"/>
        <w:ind w:left="426" w:hanging="426"/>
        <w:rPr>
          <w:rFonts w:eastAsia="Calibri" w:cs="Calibri"/>
          <w:color w:val="000000"/>
          <w:szCs w:val="24"/>
        </w:rPr>
      </w:pPr>
      <w:r w:rsidRPr="42BBC7FB">
        <w:rPr>
          <w:rFonts w:eastAsia="Calibri" w:cs="Swis721 Lt BT"/>
          <w:color w:val="000000" w:themeColor="text1"/>
        </w:rPr>
        <w:t>Place blood in bottles (for adults, 8 – 10mL per bottle (16 - 20mL/set), for paediatrics, 1-3mL per bottle), keeping the Blood Culture Bottle upright and at/below the level of the venepuncture.</w:t>
      </w:r>
    </w:p>
    <w:p w14:paraId="2A6EAE71" w14:textId="77777777" w:rsidR="00912EDA"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 xml:space="preserve">Release tourniquet during procedure where appropriate. This will contaminate the gloved hand, therefore, using a sterile towel or the non‐dominant hand is advised, unless there is an assistant available that can perform this function. </w:t>
      </w:r>
    </w:p>
    <w:p w14:paraId="7326DBAC" w14:textId="77777777" w:rsidR="00912EDA"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lastRenderedPageBreak/>
        <w:t>If blood is collected via a syringe, use a blood transfer device</w:t>
      </w:r>
      <w:r>
        <w:rPr>
          <w:rFonts w:eastAsia="Calibri" w:cs="Swis721 Lt BT"/>
          <w:color w:val="000000" w:themeColor="text1"/>
        </w:rPr>
        <w:t xml:space="preserve"> (see Figure 4)</w:t>
      </w:r>
      <w:r w:rsidRPr="42BBC7FB">
        <w:rPr>
          <w:rFonts w:eastAsia="Calibri" w:cs="Swis721 Lt BT"/>
          <w:color w:val="000000" w:themeColor="text1"/>
        </w:rPr>
        <w:t xml:space="preserve"> to transfer blood into each Blood Culture Bottle – aerobic (blue) followed by anaerobic (purple). </w:t>
      </w:r>
    </w:p>
    <w:p w14:paraId="34C63F49" w14:textId="77777777" w:rsidR="00912EDA" w:rsidRPr="00F56973"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 xml:space="preserve">If collecting additional blood, </w:t>
      </w:r>
      <w:r w:rsidRPr="42BBC7FB">
        <w:rPr>
          <w:rFonts w:eastAsia="Calibri" w:cs="Swis721 Lt BT"/>
          <w:i/>
          <w:iCs/>
          <w:color w:val="000000" w:themeColor="text1"/>
        </w:rPr>
        <w:t>always</w:t>
      </w:r>
      <w:r w:rsidRPr="42BBC7FB">
        <w:rPr>
          <w:rFonts w:eastAsia="Calibri" w:cs="Swis721 Lt BT"/>
          <w:color w:val="000000" w:themeColor="text1"/>
        </w:rPr>
        <w:t xml:space="preserve"> collect/inoculate the blood culture bottles FIRST. </w:t>
      </w:r>
    </w:p>
    <w:p w14:paraId="34769947" w14:textId="77777777" w:rsidR="00912EDA"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 xml:space="preserve">Apply gauze over the puncture entry site (to avoid micro splash), and activate the needle instant retraction mechanism, by pressing the button whilst the needle is in the vein. </w:t>
      </w:r>
    </w:p>
    <w:p w14:paraId="44E316C1" w14:textId="77777777" w:rsidR="00912EDA"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 xml:space="preserve">Apply pressure to site (where possible, obtain patient/parent/carers assistance to hold and apply pressure) and discard </w:t>
      </w:r>
      <w:r w:rsidRPr="008100EC">
        <w:rPr>
          <w:rFonts w:eastAsia="Calibri" w:cs="Swis721 Lt BT"/>
          <w:color w:val="000000" w:themeColor="text1"/>
        </w:rPr>
        <w:t>B</w:t>
      </w:r>
      <w:r w:rsidRPr="008100EC">
        <w:rPr>
          <w:rFonts w:asciiTheme="minorHAnsi" w:hAnsiTheme="minorHAnsi" w:cstheme="minorBidi"/>
          <w:color w:val="000000" w:themeColor="text1"/>
          <w:lang w:eastAsia="en-AU"/>
        </w:rPr>
        <w:t>lood Collection Set</w:t>
      </w:r>
      <w:r w:rsidRPr="42BBC7FB">
        <w:rPr>
          <w:rFonts w:eastAsia="Calibri" w:cs="Swis721 Lt BT"/>
          <w:color w:val="000000" w:themeColor="text1"/>
        </w:rPr>
        <w:t xml:space="preserve"> into sharps disposal container. </w:t>
      </w:r>
    </w:p>
    <w:p w14:paraId="56ECBB69" w14:textId="77777777" w:rsidR="00912EDA" w:rsidRPr="00AA13E7"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 xml:space="preserve">Remove and discard gloves and perform HH. </w:t>
      </w:r>
    </w:p>
    <w:p w14:paraId="52DE880E" w14:textId="77777777" w:rsidR="00912EDA"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 xml:space="preserve">Immediately after specimen collection, at the patient bedside, the collector must personally label each bottle before leaving the patients side, and ensure they are labelled correctly </w:t>
      </w:r>
      <w:r w:rsidRPr="004468CF">
        <w:rPr>
          <w:rFonts w:eastAsia="Calibri" w:cs="Swis721 Lt BT"/>
          <w:color w:val="000000" w:themeColor="text1"/>
        </w:rPr>
        <w:t xml:space="preserve">and accurately by complying with </w:t>
      </w:r>
      <w:r w:rsidRPr="004468CF">
        <w:rPr>
          <w:rFonts w:eastAsia="Calibri" w:cs="Swis721 Lt BT"/>
          <w:i/>
          <w:iCs/>
          <w:color w:val="000000" w:themeColor="text1"/>
        </w:rPr>
        <w:t>Patient Identification – Pathology Specimen Labelling Procedure.</w:t>
      </w:r>
      <w:r w:rsidRPr="42BBC7FB">
        <w:rPr>
          <w:rFonts w:eastAsia="Calibri" w:cs="Swis721 Lt BT"/>
          <w:color w:val="000000" w:themeColor="text1"/>
        </w:rPr>
        <w:t xml:space="preserve"> When applying printed pathology identification labels, do not cover any barcodes or the bottom of the Blood Culture Bottles. </w:t>
      </w:r>
    </w:p>
    <w:p w14:paraId="3E1663EB" w14:textId="77777777" w:rsidR="00912EDA" w:rsidRPr="006745DA"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Remove the small peel off barcode labels, from the blood culture bottles and set aside to be entered in the patients’ clinical record (discussed below</w:t>
      </w:r>
      <w:r w:rsidRPr="42BBC7FB">
        <w:rPr>
          <w:rFonts w:eastAsia="Calibri"/>
        </w:rPr>
        <w:t>: Section 4.3 Documentation).</w:t>
      </w:r>
    </w:p>
    <w:p w14:paraId="7C03F83F" w14:textId="77777777" w:rsidR="00912EDA"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 xml:space="preserve">Place labelled Blood Culture bottles into a biohazard bag and arrange to send to the lab with the request form. Transport bottles at room temperature within 2 hours.  Do not send more than 2 Blood Culture Bottles at a time in the pathology pneumatic rapid transport tube system, due to the potential for breakage. </w:t>
      </w:r>
    </w:p>
    <w:p w14:paraId="3F578CD6" w14:textId="77777777" w:rsidR="00912EDA"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 xml:space="preserve">Perform HH. </w:t>
      </w:r>
    </w:p>
    <w:p w14:paraId="1CC2C2A3" w14:textId="77777777" w:rsidR="00912EDA"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 xml:space="preserve">Ensure patient comfort on terminating the procedure and instruct the patient/parent/carer on the potential complications of venepuncture, and to report any concerns if they arise (tingling sensation, pain or swelling in venepuncture arm). </w:t>
      </w:r>
    </w:p>
    <w:p w14:paraId="76B1B955" w14:textId="77777777" w:rsidR="00912EDA" w:rsidRDefault="00912EDA" w:rsidP="00912EDA">
      <w:pPr>
        <w:numPr>
          <w:ilvl w:val="0"/>
          <w:numId w:val="1"/>
        </w:numPr>
        <w:autoSpaceDE w:val="0"/>
        <w:autoSpaceDN w:val="0"/>
        <w:adjustRightInd w:val="0"/>
        <w:ind w:left="426" w:hanging="426"/>
        <w:rPr>
          <w:rFonts w:eastAsia="Calibri" w:cs="Swis721 Lt BT"/>
          <w:i/>
          <w:iCs/>
          <w:color w:val="000000"/>
        </w:rPr>
      </w:pPr>
      <w:r w:rsidRPr="42BBC7FB">
        <w:rPr>
          <w:rFonts w:eastAsia="Calibri" w:cs="Swis721 Lt BT"/>
          <w:color w:val="000000" w:themeColor="text1"/>
        </w:rPr>
        <w:t xml:space="preserve">Discard all consumables appropriately as per </w:t>
      </w:r>
      <w:r w:rsidRPr="42BBC7FB">
        <w:rPr>
          <w:rFonts w:eastAsia="Calibri" w:cs="Swis721 Lt BT"/>
          <w:i/>
          <w:iCs/>
          <w:color w:val="000000" w:themeColor="text1"/>
        </w:rPr>
        <w:t xml:space="preserve">Waste Management Policy. </w:t>
      </w:r>
    </w:p>
    <w:p w14:paraId="1B1FF515" w14:textId="77777777" w:rsidR="00912EDA" w:rsidRPr="008E0668"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Clean dressing trolley from top to bottom with detergent</w:t>
      </w:r>
      <w:r w:rsidRPr="42BBC7FB">
        <w:rPr>
          <w:rFonts w:eastAsia="Calibri" w:cs="Cambria Math"/>
          <w:color w:val="000000" w:themeColor="text1"/>
        </w:rPr>
        <w:t>‐</w:t>
      </w:r>
      <w:r w:rsidRPr="42BBC7FB">
        <w:rPr>
          <w:rFonts w:eastAsia="Calibri" w:cs="Swis721 Lt BT"/>
          <w:color w:val="000000" w:themeColor="text1"/>
        </w:rPr>
        <w:t>based wipes and return to the storeroom.</w:t>
      </w:r>
    </w:p>
    <w:p w14:paraId="3409DC34" w14:textId="77777777" w:rsidR="00912EDA" w:rsidRPr="008E0668" w:rsidRDefault="00912EDA" w:rsidP="00912EDA">
      <w:pPr>
        <w:numPr>
          <w:ilvl w:val="0"/>
          <w:numId w:val="1"/>
        </w:numPr>
        <w:autoSpaceDE w:val="0"/>
        <w:autoSpaceDN w:val="0"/>
        <w:adjustRightInd w:val="0"/>
        <w:ind w:left="426" w:hanging="426"/>
        <w:rPr>
          <w:rFonts w:eastAsia="Calibri" w:cs="Swis721 Lt BT"/>
          <w:color w:val="000000"/>
        </w:rPr>
      </w:pPr>
      <w:r w:rsidRPr="42BBC7FB">
        <w:rPr>
          <w:rFonts w:eastAsia="Calibri" w:cs="Swis721 Lt BT"/>
          <w:color w:val="000000" w:themeColor="text1"/>
        </w:rPr>
        <w:t xml:space="preserve">Document procedure notes in the patients’ clinical record. </w:t>
      </w:r>
    </w:p>
    <w:p w14:paraId="79518BDB" w14:textId="77777777" w:rsidR="00912EDA" w:rsidRPr="00AA13E7" w:rsidRDefault="00912EDA" w:rsidP="00912EDA">
      <w:pPr>
        <w:autoSpaceDE w:val="0"/>
        <w:autoSpaceDN w:val="0"/>
        <w:adjustRightInd w:val="0"/>
        <w:ind w:left="426"/>
        <w:rPr>
          <w:rFonts w:eastAsia="Calibri" w:cs="Swis721 Lt BT"/>
          <w:i/>
          <w:iCs/>
          <w:color w:val="000000"/>
          <w:szCs w:val="24"/>
        </w:rPr>
      </w:pPr>
    </w:p>
    <w:p w14:paraId="486F5003" w14:textId="77777777" w:rsidR="00912EDA" w:rsidRPr="0041444E" w:rsidRDefault="00912EDA" w:rsidP="00912EDA">
      <w:pPr>
        <w:rPr>
          <w:b/>
          <w:bCs/>
        </w:rPr>
      </w:pPr>
      <w:r>
        <w:rPr>
          <w:b/>
          <w:bCs/>
        </w:rPr>
        <w:t>4</w:t>
      </w:r>
      <w:r w:rsidRPr="0041444E">
        <w:rPr>
          <w:b/>
          <w:bCs/>
        </w:rPr>
        <w:t xml:space="preserve">.3 </w:t>
      </w:r>
      <w:r w:rsidRPr="0041444E">
        <w:rPr>
          <w:b/>
          <w:bCs/>
        </w:rPr>
        <w:tab/>
        <w:t>Documentation:</w:t>
      </w:r>
    </w:p>
    <w:p w14:paraId="715D5BE1" w14:textId="77777777" w:rsidR="00912EDA" w:rsidRDefault="00912EDA" w:rsidP="00912EDA">
      <w:pPr>
        <w:autoSpaceDE w:val="0"/>
        <w:autoSpaceDN w:val="0"/>
        <w:adjustRightInd w:val="0"/>
        <w:rPr>
          <w:rFonts w:eastAsia="Calibri" w:cs="Swis721 Lt BT"/>
          <w:color w:val="000000"/>
          <w:szCs w:val="24"/>
        </w:rPr>
      </w:pPr>
      <w:r>
        <w:rPr>
          <w:rFonts w:eastAsia="Calibri" w:cs="Swis721 Lt BT"/>
          <w:color w:val="000000"/>
          <w:szCs w:val="24"/>
        </w:rPr>
        <w:t>Place small peel off barcode label, from blood culture bottles, in the patients’ clinical record and d</w:t>
      </w:r>
      <w:r w:rsidRPr="00254CD4">
        <w:rPr>
          <w:rFonts w:eastAsia="Calibri" w:cs="Swis721 Lt BT"/>
          <w:color w:val="000000"/>
          <w:szCs w:val="24"/>
        </w:rPr>
        <w:t>ocument</w:t>
      </w:r>
      <w:r>
        <w:rPr>
          <w:rFonts w:eastAsia="Calibri" w:cs="Swis721 Lt BT"/>
          <w:color w:val="000000"/>
          <w:szCs w:val="24"/>
        </w:rPr>
        <w:t>:</w:t>
      </w:r>
      <w:r w:rsidRPr="00254CD4">
        <w:rPr>
          <w:rFonts w:eastAsia="Calibri" w:cs="Swis721 Lt BT"/>
          <w:color w:val="000000"/>
          <w:szCs w:val="24"/>
        </w:rPr>
        <w:t xml:space="preserve"> </w:t>
      </w:r>
    </w:p>
    <w:p w14:paraId="259AA9F2" w14:textId="77777777" w:rsidR="00912EDA" w:rsidRPr="0035491C" w:rsidRDefault="00912EDA" w:rsidP="00912EDA">
      <w:pPr>
        <w:autoSpaceDE w:val="0"/>
        <w:autoSpaceDN w:val="0"/>
        <w:adjustRightInd w:val="0"/>
        <w:rPr>
          <w:rFonts w:eastAsia="Calibri" w:cs="Swis721 Lt BT"/>
          <w:color w:val="000000"/>
          <w:sz w:val="10"/>
          <w:szCs w:val="10"/>
        </w:rPr>
      </w:pPr>
    </w:p>
    <w:p w14:paraId="39766F46" w14:textId="77777777" w:rsidR="00912EDA" w:rsidRPr="00070F1E" w:rsidRDefault="00912EDA" w:rsidP="00912EDA">
      <w:pPr>
        <w:pStyle w:val="ListParagraph"/>
        <w:numPr>
          <w:ilvl w:val="0"/>
          <w:numId w:val="2"/>
        </w:numPr>
        <w:autoSpaceDE w:val="0"/>
        <w:autoSpaceDN w:val="0"/>
        <w:adjustRightInd w:val="0"/>
        <w:ind w:left="426" w:hanging="426"/>
        <w:rPr>
          <w:rFonts w:eastAsia="Calibri" w:cs="Swis721 Lt BT"/>
          <w:color w:val="000000"/>
          <w:szCs w:val="24"/>
        </w:rPr>
      </w:pPr>
      <w:r>
        <w:rPr>
          <w:rFonts w:eastAsia="Calibri" w:cs="Swis721 Lt BT"/>
          <w:color w:val="000000"/>
          <w:szCs w:val="24"/>
        </w:rPr>
        <w:t xml:space="preserve">the </w:t>
      </w:r>
      <w:r w:rsidRPr="00070F1E">
        <w:rPr>
          <w:rFonts w:eastAsia="Calibri" w:cs="Swis721 Lt BT"/>
          <w:color w:val="000000"/>
          <w:szCs w:val="24"/>
        </w:rPr>
        <w:t>number of sets of blood cultures taken</w:t>
      </w:r>
      <w:r>
        <w:rPr>
          <w:rFonts w:eastAsia="Calibri" w:cs="Swis721 Lt BT"/>
          <w:color w:val="000000"/>
          <w:szCs w:val="24"/>
        </w:rPr>
        <w:t>.</w:t>
      </w:r>
    </w:p>
    <w:p w14:paraId="0F97996A" w14:textId="77777777" w:rsidR="00912EDA" w:rsidRDefault="00912EDA" w:rsidP="00912EDA">
      <w:pPr>
        <w:pStyle w:val="ListParagraph"/>
        <w:numPr>
          <w:ilvl w:val="0"/>
          <w:numId w:val="2"/>
        </w:numPr>
        <w:autoSpaceDE w:val="0"/>
        <w:autoSpaceDN w:val="0"/>
        <w:adjustRightInd w:val="0"/>
        <w:ind w:left="426" w:hanging="426"/>
        <w:rPr>
          <w:rFonts w:eastAsia="Calibri" w:cs="Swis721 Lt BT"/>
          <w:color w:val="000000"/>
          <w:szCs w:val="24"/>
        </w:rPr>
      </w:pPr>
      <w:r w:rsidRPr="008E0668">
        <w:rPr>
          <w:rFonts w:eastAsia="Calibri" w:cs="Swis721 Lt BT"/>
          <w:color w:val="000000"/>
          <w:szCs w:val="24"/>
        </w:rPr>
        <w:t>site/s of collection.</w:t>
      </w:r>
    </w:p>
    <w:p w14:paraId="45E527D6" w14:textId="77777777" w:rsidR="00912EDA" w:rsidRDefault="00912EDA" w:rsidP="00912EDA">
      <w:pPr>
        <w:autoSpaceDE w:val="0"/>
        <w:autoSpaceDN w:val="0"/>
        <w:adjustRightInd w:val="0"/>
        <w:rPr>
          <w:rFonts w:eastAsia="Calibri" w:cs="Swis721 Lt BT"/>
          <w:color w:val="000000"/>
          <w:szCs w:val="24"/>
        </w:rPr>
      </w:pPr>
    </w:p>
    <w:p w14:paraId="03361CA8" w14:textId="77777777" w:rsidR="00912EDA" w:rsidRDefault="00912EDA" w:rsidP="00912EDA">
      <w:pPr>
        <w:pBdr>
          <w:top w:val="single" w:sz="4" w:space="1" w:color="auto"/>
          <w:left w:val="single" w:sz="4" w:space="4" w:color="auto"/>
          <w:bottom w:val="single" w:sz="4" w:space="1" w:color="auto"/>
          <w:right w:val="single" w:sz="4" w:space="4" w:color="auto"/>
        </w:pBdr>
        <w:rPr>
          <w:rFonts w:eastAsia="Calibri" w:cs="Swis721 Lt BT"/>
          <w:color w:val="000000" w:themeColor="text1"/>
        </w:rPr>
      </w:pPr>
      <w:r w:rsidRPr="42BBC7FB">
        <w:rPr>
          <w:rFonts w:eastAsia="Calibri" w:cs="Swis721 Lt BT"/>
          <w:b/>
          <w:bCs/>
          <w:i/>
          <w:iCs/>
          <w:color w:val="000000" w:themeColor="text1"/>
        </w:rPr>
        <w:t xml:space="preserve">Note: </w:t>
      </w:r>
      <w:r w:rsidRPr="42BBC7FB">
        <w:rPr>
          <w:rFonts w:eastAsia="Calibri" w:cs="Swis721 Lt BT"/>
          <w:color w:val="000000" w:themeColor="text1"/>
        </w:rPr>
        <w:t>Repeat entire procedure (steps 5 - 41) for second set of blood cultures collected from a different peripheral site, using new dressing pack and general aseptic field, and maintaining strict Standard ANTT. Ideally, if time permits, collect the second set of blood cultures 30 minutes later. If the patient is acutely unwell and requires empirical antibiotics, collect the second set as soon as possible. If the original specimen has been collected by a Phlebotomist, a second set should ideally be collected by a different collector, if available</w:t>
      </w:r>
      <w:r>
        <w:rPr>
          <w:rFonts w:eastAsia="Calibri" w:cs="Swis721 Lt BT"/>
          <w:color w:val="000000" w:themeColor="text1"/>
        </w:rPr>
        <w:t>.</w:t>
      </w:r>
    </w:p>
    <w:p w14:paraId="4DF5F953" w14:textId="77777777" w:rsidR="00912EDA" w:rsidRPr="0041444E" w:rsidRDefault="00912EDA" w:rsidP="00912EDA">
      <w:pPr>
        <w:autoSpaceDE w:val="0"/>
        <w:autoSpaceDN w:val="0"/>
        <w:adjustRightInd w:val="0"/>
        <w:rPr>
          <w:rFonts w:eastAsia="Calibri" w:cs="Swis721 Lt BT"/>
          <w:color w:val="000000"/>
          <w:szCs w:val="24"/>
        </w:rPr>
      </w:pPr>
    </w:p>
    <w:p w14:paraId="706ACA01" w14:textId="77777777" w:rsidR="00912EDA" w:rsidRPr="00151261" w:rsidRDefault="00912EDA" w:rsidP="00912EDA">
      <w:pPr>
        <w:pStyle w:val="ListParagraph"/>
        <w:ind w:left="360"/>
        <w:jc w:val="right"/>
        <w:rPr>
          <w:rFonts w:cs="Calibri,Bold"/>
          <w:bCs/>
          <w:i/>
          <w:szCs w:val="24"/>
          <w:lang w:eastAsia="en-AU"/>
        </w:rPr>
      </w:pPr>
      <w:hyperlink w:anchor="Contents" w:history="1">
        <w:r w:rsidRPr="00CA0FED">
          <w:rPr>
            <w:rStyle w:val="Hyperlink"/>
            <w:rFonts w:cs="Arial"/>
            <w:i/>
            <w:szCs w:val="24"/>
          </w:rPr>
          <w:t>Back to Table of Contents</w:t>
        </w:r>
      </w:hyperlink>
    </w:p>
    <w:p w14:paraId="4BD48BF0" w14:textId="77777777" w:rsidR="00912EDA" w:rsidRDefault="00912EDA" w:rsidP="00912EDA">
      <w:bookmarkStart w:id="21" w:name="_Toc389473278"/>
      <w:r>
        <w:rPr>
          <w:b/>
          <w:iCs/>
        </w:rPr>
        <w:br w:type="page"/>
      </w:r>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641670CD" w14:textId="77777777" w:rsidTr="00FC324C">
        <w:trPr>
          <w:cantSplit/>
          <w:trHeight w:val="285"/>
        </w:trPr>
        <w:tc>
          <w:tcPr>
            <w:tcW w:w="9300" w:type="dxa"/>
            <w:shd w:val="clear" w:color="auto" w:fill="A6A6A6"/>
          </w:tcPr>
          <w:p w14:paraId="34094E87" w14:textId="77777777" w:rsidR="00912EDA" w:rsidRPr="00C76688" w:rsidRDefault="00912EDA" w:rsidP="00FC324C">
            <w:pPr>
              <w:pStyle w:val="Heading1"/>
            </w:pPr>
            <w:bookmarkStart w:id="22" w:name="_Toc113627989"/>
            <w:r w:rsidRPr="00C76688">
              <w:lastRenderedPageBreak/>
              <w:t xml:space="preserve">Section </w:t>
            </w:r>
            <w:r>
              <w:t>5</w:t>
            </w:r>
            <w:r w:rsidRPr="00C76688">
              <w:t xml:space="preserve"> –</w:t>
            </w:r>
            <w:r>
              <w:t xml:space="preserve"> Blood Culture Collection from a Central Venous Access Device (CVAD)</w:t>
            </w:r>
            <w:bookmarkEnd w:id="21"/>
            <w:bookmarkEnd w:id="22"/>
          </w:p>
        </w:tc>
      </w:tr>
    </w:tbl>
    <w:p w14:paraId="4BF2478E" w14:textId="77777777" w:rsidR="00912EDA" w:rsidRDefault="00912EDA" w:rsidP="00912EDA">
      <w:pPr>
        <w:rPr>
          <w:rFonts w:cs="Arial"/>
        </w:rPr>
      </w:pPr>
      <w:bookmarkStart w:id="23" w:name="_Toc389473279"/>
    </w:p>
    <w:p w14:paraId="28AFFFAF" w14:textId="77777777" w:rsidR="00912EDA" w:rsidRPr="00694BE5" w:rsidRDefault="00912EDA" w:rsidP="00912EDA">
      <w:pPr>
        <w:pStyle w:val="ListParagraph"/>
        <w:numPr>
          <w:ilvl w:val="0"/>
          <w:numId w:val="11"/>
        </w:numPr>
        <w:ind w:left="426" w:hanging="426"/>
        <w:rPr>
          <w:rFonts w:cs="Arial"/>
        </w:rPr>
      </w:pPr>
      <w:r w:rsidRPr="42BBC7FB">
        <w:rPr>
          <w:rFonts w:cs="Arial"/>
        </w:rPr>
        <w:t>Patients with a CVAD, (such as Central Venous Catheter (CVC), Peripherally Inserted Central Catheters (PICC) and Portacaths (POC) etc.) require one set of Blood Cultures collected via venepuncture from a peripheral site, as well as two sets from two separate lumens of the CVAD (three sets in total), if the CVAD is a multi-lumen one. If the CVAD only has one lumen, collect Blood Cultures from this lumen, and one set of Blood Cultures peripherally. This is to assist in the diagnosis of systemic infection versus CVAD related infection.  Ongoing blood culture specimens can be collected from CVAD only.</w:t>
      </w:r>
    </w:p>
    <w:p w14:paraId="02F0A209" w14:textId="77777777" w:rsidR="00912EDA" w:rsidRPr="00694BE5" w:rsidRDefault="00912EDA" w:rsidP="00912EDA">
      <w:pPr>
        <w:pStyle w:val="ListParagraph"/>
        <w:ind w:left="426" w:hanging="426"/>
        <w:rPr>
          <w:rFonts w:cs="Arial"/>
          <w:szCs w:val="24"/>
        </w:rPr>
      </w:pPr>
    </w:p>
    <w:p w14:paraId="6484F55B" w14:textId="77777777" w:rsidR="00912EDA" w:rsidRDefault="00912EDA" w:rsidP="00912EDA">
      <w:pPr>
        <w:pStyle w:val="ListParagraph"/>
        <w:numPr>
          <w:ilvl w:val="0"/>
          <w:numId w:val="9"/>
        </w:numPr>
        <w:ind w:left="426" w:hanging="426"/>
      </w:pPr>
      <w:r w:rsidRPr="001717AF">
        <w:t xml:space="preserve">Blood aspiration utilising a syringe is the preferred method for Blood Culture collection from a CVAD to prevent backflow of Blood Culture bottle broth into the CVAD lumen. </w:t>
      </w:r>
    </w:p>
    <w:p w14:paraId="5BC585D7" w14:textId="77777777" w:rsidR="00912EDA" w:rsidRPr="00694BE5" w:rsidRDefault="00912EDA" w:rsidP="00912EDA">
      <w:pPr>
        <w:pStyle w:val="ListParagraph"/>
      </w:pPr>
    </w:p>
    <w:bookmarkEnd w:id="23"/>
    <w:p w14:paraId="43AC7B85" w14:textId="77777777" w:rsidR="00912EDA" w:rsidRPr="0041444E" w:rsidRDefault="00912EDA" w:rsidP="00912EDA">
      <w:pPr>
        <w:rPr>
          <w:b/>
          <w:bCs/>
        </w:rPr>
      </w:pPr>
      <w:r>
        <w:rPr>
          <w:b/>
          <w:bCs/>
        </w:rPr>
        <w:t>5</w:t>
      </w:r>
      <w:r w:rsidRPr="0041444E">
        <w:rPr>
          <w:b/>
          <w:bCs/>
        </w:rPr>
        <w:t xml:space="preserve">.1 </w:t>
      </w:r>
      <w:r w:rsidRPr="0041444E">
        <w:rPr>
          <w:b/>
          <w:bCs/>
        </w:rPr>
        <w:tab/>
        <w:t>Equipment:</w:t>
      </w:r>
    </w:p>
    <w:p w14:paraId="4B0B852B" w14:textId="77777777" w:rsidR="00912EDA" w:rsidRPr="001717AF" w:rsidRDefault="00912EDA" w:rsidP="00912EDA">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i/>
          <w:iCs/>
          <w:szCs w:val="24"/>
          <w:lang w:eastAsia="en-AU"/>
        </w:rPr>
      </w:pPr>
      <w:r>
        <w:rPr>
          <w:rFonts w:asciiTheme="minorHAnsi" w:hAnsiTheme="minorHAnsi" w:cstheme="minorHAnsi"/>
          <w:b/>
          <w:bCs/>
          <w:szCs w:val="24"/>
        </w:rPr>
        <w:t xml:space="preserve">Note: </w:t>
      </w:r>
      <w:r w:rsidRPr="0041444E">
        <w:rPr>
          <w:rFonts w:asciiTheme="minorHAnsi" w:hAnsiTheme="minorHAnsi" w:cstheme="minorHAnsi"/>
          <w:szCs w:val="24"/>
        </w:rPr>
        <w:t>This is the equipment necessary for collection of 1 set of blood cultures. Please gather the additional equipment for multiple sets</w:t>
      </w:r>
      <w:r w:rsidRPr="001717AF">
        <w:rPr>
          <w:rFonts w:asciiTheme="minorHAnsi" w:hAnsiTheme="minorHAnsi" w:cstheme="minorHAnsi"/>
          <w:i/>
          <w:iCs/>
          <w:szCs w:val="24"/>
        </w:rPr>
        <w:t>.</w:t>
      </w:r>
    </w:p>
    <w:p w14:paraId="14009306" w14:textId="77777777" w:rsidR="00912EDA" w:rsidRPr="00694BE5" w:rsidRDefault="00912EDA" w:rsidP="00912EDA"/>
    <w:p w14:paraId="7514FCD5" w14:textId="77777777" w:rsidR="00912EDA" w:rsidRPr="001717AF" w:rsidRDefault="00912EDA" w:rsidP="00912EDA">
      <w:pPr>
        <w:pStyle w:val="ListBullet"/>
        <w:numPr>
          <w:ilvl w:val="0"/>
          <w:numId w:val="6"/>
        </w:numPr>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Pathology collection form or e-order pathology</w:t>
      </w:r>
    </w:p>
    <w:p w14:paraId="4134654D" w14:textId="77777777" w:rsidR="00912EDA" w:rsidRPr="001717AF" w:rsidRDefault="00912EDA" w:rsidP="00912EDA">
      <w:pPr>
        <w:pStyle w:val="ListParagraph"/>
        <w:numPr>
          <w:ilvl w:val="0"/>
          <w:numId w:val="6"/>
        </w:numPr>
        <w:spacing w:before="100" w:beforeAutospacing="1" w:after="100" w:afterAutospacing="1"/>
        <w:ind w:left="426" w:hanging="426"/>
        <w:rPr>
          <w:rFonts w:asciiTheme="minorHAnsi" w:hAnsiTheme="minorHAnsi" w:cstheme="minorBidi"/>
          <w:lang w:eastAsia="en-AU"/>
        </w:rPr>
      </w:pPr>
      <w:r w:rsidRPr="42BBC7FB">
        <w:rPr>
          <w:rFonts w:asciiTheme="minorHAnsi" w:hAnsiTheme="minorHAnsi" w:cstheme="minorBidi"/>
          <w:lang w:eastAsia="en-AU"/>
        </w:rPr>
        <w:t>Patient pathology identification labels</w:t>
      </w:r>
    </w:p>
    <w:p w14:paraId="121F006F" w14:textId="77777777" w:rsidR="00912EDA" w:rsidRPr="001717A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Alcohol based hand rub (ABHR)</w:t>
      </w:r>
    </w:p>
    <w:p w14:paraId="4A606469" w14:textId="77777777" w:rsidR="00912EDA" w:rsidRPr="001717A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Personal protective equipment (PPE): face shield, eye protection, clean gloves</w:t>
      </w:r>
    </w:p>
    <w:p w14:paraId="6EF8F1EC" w14:textId="77777777" w:rsidR="00912EDA" w:rsidRPr="001717A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Sterile gloves</w:t>
      </w:r>
    </w:p>
    <w:p w14:paraId="5F65EC82" w14:textId="77777777" w:rsidR="00912EDA" w:rsidRPr="001717A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Dressing trolley</w:t>
      </w:r>
    </w:p>
    <w:p w14:paraId="642F2824" w14:textId="77777777" w:rsidR="00912EDA" w:rsidRPr="001717A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 xml:space="preserve">Dressing pack </w:t>
      </w:r>
    </w:p>
    <w:p w14:paraId="0023E305" w14:textId="77777777" w:rsidR="00912EDA" w:rsidRPr="001717A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Sterile gauze</w:t>
      </w:r>
    </w:p>
    <w:p w14:paraId="7BC8E68B" w14:textId="77777777" w:rsidR="00912EDA" w:rsidRPr="001717A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 xml:space="preserve">8 x cleaning wipes – 2% Chlorhexidine and 70% Alcohol prep pad swabs (45mm x 85mm). Products without Chlorhexidine are to be used for patients with an allergy to Chlorhexidine. </w:t>
      </w:r>
    </w:p>
    <w:p w14:paraId="65415762" w14:textId="77777777" w:rsidR="00912EDA" w:rsidRPr="001717A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2 x 10mL syringes</w:t>
      </w:r>
    </w:p>
    <w:p w14:paraId="16C2409E" w14:textId="77777777" w:rsidR="00912EDA" w:rsidRPr="001717AF" w:rsidRDefault="00912EDA" w:rsidP="00912EDA">
      <w:pPr>
        <w:pStyle w:val="ListParagraph"/>
        <w:numPr>
          <w:ilvl w:val="0"/>
          <w:numId w:val="6"/>
        </w:numPr>
        <w:spacing w:before="100" w:beforeAutospacing="1" w:after="100" w:afterAutospacing="1"/>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2 x Sterile prefilled 10mL Sodium Chloride 0.9% Posiflush</w:t>
      </w:r>
      <w:r w:rsidRPr="001717AF">
        <w:rPr>
          <w:rFonts w:asciiTheme="minorHAnsi" w:hAnsiTheme="minorHAnsi" w:cstheme="minorHAnsi"/>
          <w:szCs w:val="24"/>
          <w:vertAlign w:val="superscript"/>
          <w:lang w:eastAsia="en-AU"/>
        </w:rPr>
        <w:t>TM</w:t>
      </w:r>
      <w:r w:rsidRPr="001717AF">
        <w:rPr>
          <w:rFonts w:asciiTheme="minorHAnsi" w:hAnsiTheme="minorHAnsi" w:cstheme="minorHAnsi"/>
          <w:sz w:val="12"/>
          <w:szCs w:val="12"/>
          <w:lang w:eastAsia="en-AU"/>
        </w:rPr>
        <w:t xml:space="preserve"> </w:t>
      </w:r>
      <w:r w:rsidRPr="001717AF">
        <w:rPr>
          <w:rFonts w:asciiTheme="minorHAnsi" w:hAnsiTheme="minorHAnsi" w:cstheme="minorHAnsi"/>
          <w:szCs w:val="24"/>
          <w:lang w:eastAsia="en-AU"/>
        </w:rPr>
        <w:t>syringes (2x 10mLs needed post blood aspiration for each lumen)</w:t>
      </w:r>
    </w:p>
    <w:p w14:paraId="3535A419" w14:textId="77777777" w:rsidR="00912EDA" w:rsidRPr="0041444E" w:rsidRDefault="00912EDA" w:rsidP="00912EDA">
      <w:pPr>
        <w:pStyle w:val="ListParagraph"/>
        <w:numPr>
          <w:ilvl w:val="0"/>
          <w:numId w:val="6"/>
        </w:numPr>
        <w:spacing w:before="100" w:beforeAutospacing="1" w:after="100" w:afterAutospacing="1"/>
        <w:ind w:left="426" w:hanging="426"/>
      </w:pPr>
      <w:r w:rsidRPr="001717AF">
        <w:rPr>
          <w:rFonts w:asciiTheme="minorHAnsi" w:hAnsiTheme="minorHAnsi" w:cstheme="minorHAnsi"/>
          <w:szCs w:val="24"/>
          <w:lang w:eastAsia="en-AU"/>
        </w:rPr>
        <w:t>BD Vacutainer</w:t>
      </w:r>
      <w:r w:rsidRPr="001717AF">
        <w:rPr>
          <w:rFonts w:asciiTheme="minorHAnsi" w:hAnsiTheme="minorHAnsi" w:cstheme="minorHAnsi"/>
          <w:szCs w:val="24"/>
          <w:vertAlign w:val="superscript"/>
          <w:lang w:eastAsia="en-AU"/>
        </w:rPr>
        <w:t xml:space="preserve"> TM</w:t>
      </w:r>
      <w:r w:rsidRPr="00694BE5">
        <w:rPr>
          <w:rFonts w:ascii="Calibri Light" w:hAnsi="Calibri Light" w:cs="Calibri Light"/>
          <w:szCs w:val="24"/>
        </w:rPr>
        <w:t xml:space="preserve"> </w:t>
      </w:r>
      <w:r w:rsidRPr="001717AF">
        <w:rPr>
          <w:rFonts w:asciiTheme="minorHAnsi" w:hAnsiTheme="minorHAnsi" w:cstheme="minorHAnsi"/>
          <w:szCs w:val="24"/>
          <w:lang w:eastAsia="en-AU"/>
        </w:rPr>
        <w:t xml:space="preserve"> Blood Transfer Device (see </w:t>
      </w:r>
      <w:r w:rsidRPr="0041444E">
        <w:t>Figure 4</w:t>
      </w:r>
      <w:r>
        <w:t xml:space="preserve"> below</w:t>
      </w:r>
      <w:r w:rsidRPr="0041444E">
        <w:t>)</w:t>
      </w:r>
    </w:p>
    <w:p w14:paraId="65E51D7C" w14:textId="77777777" w:rsidR="00912EDA" w:rsidRPr="001717AF" w:rsidRDefault="00912EDA" w:rsidP="00912EDA">
      <w:pPr>
        <w:pStyle w:val="ListBullet"/>
        <w:numPr>
          <w:ilvl w:val="0"/>
          <w:numId w:val="6"/>
        </w:numPr>
        <w:ind w:left="426" w:hanging="426"/>
        <w:rPr>
          <w:rFonts w:asciiTheme="minorHAnsi" w:hAnsiTheme="minorHAnsi" w:cstheme="minorHAnsi"/>
          <w:szCs w:val="24"/>
          <w:lang w:eastAsia="en-AU"/>
        </w:rPr>
      </w:pPr>
      <w:r w:rsidRPr="00694BE5">
        <w:rPr>
          <w:rFonts w:asciiTheme="minorHAnsi" w:hAnsiTheme="minorHAnsi" w:cstheme="minorHAnsi"/>
          <w:szCs w:val="24"/>
          <w:lang w:eastAsia="en-AU"/>
        </w:rPr>
        <w:t>Blood C</w:t>
      </w:r>
      <w:r w:rsidRPr="001717AF">
        <w:rPr>
          <w:rFonts w:asciiTheme="minorHAnsi" w:hAnsiTheme="minorHAnsi" w:cstheme="minorHAnsi"/>
          <w:szCs w:val="24"/>
          <w:lang w:eastAsia="en-AU"/>
        </w:rPr>
        <w:t>ulture Bottles</w:t>
      </w:r>
      <w:r>
        <w:rPr>
          <w:rFonts w:asciiTheme="minorHAnsi" w:hAnsiTheme="minorHAnsi" w:cstheme="minorHAnsi"/>
          <w:szCs w:val="24"/>
          <w:lang w:eastAsia="en-AU"/>
        </w:rPr>
        <w:t>:</w:t>
      </w:r>
    </w:p>
    <w:p w14:paraId="21A9060D" w14:textId="77777777" w:rsidR="00912EDA" w:rsidRPr="001717AF" w:rsidRDefault="00912EDA" w:rsidP="00912EDA">
      <w:pPr>
        <w:numPr>
          <w:ilvl w:val="0"/>
          <w:numId w:val="32"/>
        </w:numPr>
        <w:autoSpaceDE w:val="0"/>
        <w:autoSpaceDN w:val="0"/>
        <w:adjustRightInd w:val="0"/>
        <w:ind w:left="851" w:hanging="425"/>
        <w:rPr>
          <w:rFonts w:asciiTheme="minorHAnsi" w:hAnsiTheme="minorHAnsi" w:cstheme="minorHAnsi"/>
          <w:szCs w:val="24"/>
          <w:lang w:eastAsia="en-AU"/>
        </w:rPr>
      </w:pPr>
      <w:r w:rsidRPr="001717AF">
        <w:rPr>
          <w:rFonts w:asciiTheme="minorHAnsi" w:hAnsiTheme="minorHAnsi" w:cstheme="minorHAnsi"/>
          <w:szCs w:val="24"/>
          <w:lang w:eastAsia="en-AU"/>
        </w:rPr>
        <w:t xml:space="preserve">Adults (see </w:t>
      </w:r>
      <w:r w:rsidRPr="0041444E">
        <w:t>Figure 1)</w:t>
      </w:r>
      <w:r>
        <w:t>:</w:t>
      </w:r>
    </w:p>
    <w:p w14:paraId="6C59D8B1" w14:textId="77777777" w:rsidR="00912EDA" w:rsidRPr="001717AF" w:rsidRDefault="00912EDA" w:rsidP="00912EDA">
      <w:pPr>
        <w:numPr>
          <w:ilvl w:val="0"/>
          <w:numId w:val="34"/>
        </w:numPr>
        <w:autoSpaceDE w:val="0"/>
        <w:autoSpaceDN w:val="0"/>
        <w:adjustRightInd w:val="0"/>
        <w:ind w:left="1276" w:hanging="425"/>
        <w:rPr>
          <w:rFonts w:asciiTheme="minorHAnsi" w:hAnsiTheme="minorHAnsi" w:cstheme="minorHAnsi"/>
          <w:szCs w:val="24"/>
          <w:lang w:eastAsia="en-AU"/>
        </w:rPr>
      </w:pPr>
      <w:r w:rsidRPr="001717AF">
        <w:rPr>
          <w:rFonts w:asciiTheme="minorHAnsi" w:hAnsiTheme="minorHAnsi" w:cstheme="minorHAnsi"/>
          <w:szCs w:val="24"/>
          <w:lang w:eastAsia="en-AU"/>
        </w:rPr>
        <w:t>Aerobic Blood Culture Bottle (blue colour)</w:t>
      </w:r>
    </w:p>
    <w:p w14:paraId="4DDAF270" w14:textId="77777777" w:rsidR="00912EDA" w:rsidRPr="001717AF" w:rsidRDefault="00912EDA" w:rsidP="00912EDA">
      <w:pPr>
        <w:numPr>
          <w:ilvl w:val="0"/>
          <w:numId w:val="34"/>
        </w:numPr>
        <w:autoSpaceDE w:val="0"/>
        <w:autoSpaceDN w:val="0"/>
        <w:adjustRightInd w:val="0"/>
        <w:ind w:left="1276" w:hanging="425"/>
        <w:rPr>
          <w:rFonts w:asciiTheme="minorHAnsi" w:hAnsiTheme="minorHAnsi" w:cstheme="minorHAnsi"/>
          <w:szCs w:val="24"/>
          <w:lang w:eastAsia="en-AU"/>
        </w:rPr>
      </w:pPr>
      <w:r w:rsidRPr="001717AF">
        <w:rPr>
          <w:rFonts w:asciiTheme="minorHAnsi" w:hAnsiTheme="minorHAnsi" w:cstheme="minorHAnsi"/>
          <w:szCs w:val="24"/>
          <w:lang w:eastAsia="en-AU"/>
        </w:rPr>
        <w:t>Anaerobic Blood Culture Bottle (purple colour)</w:t>
      </w:r>
    </w:p>
    <w:p w14:paraId="6393A181" w14:textId="77777777" w:rsidR="00912EDA" w:rsidRPr="001717AF" w:rsidRDefault="00912EDA" w:rsidP="00912EDA">
      <w:pPr>
        <w:numPr>
          <w:ilvl w:val="0"/>
          <w:numId w:val="32"/>
        </w:numPr>
        <w:autoSpaceDE w:val="0"/>
        <w:autoSpaceDN w:val="0"/>
        <w:adjustRightInd w:val="0"/>
        <w:ind w:left="851" w:hanging="425"/>
        <w:rPr>
          <w:rFonts w:asciiTheme="minorHAnsi" w:hAnsiTheme="minorHAnsi" w:cstheme="minorHAnsi"/>
          <w:szCs w:val="24"/>
          <w:lang w:eastAsia="en-AU"/>
        </w:rPr>
      </w:pPr>
      <w:r w:rsidRPr="001717AF">
        <w:rPr>
          <w:rFonts w:asciiTheme="minorHAnsi" w:hAnsiTheme="minorHAnsi" w:cstheme="minorHAnsi"/>
          <w:szCs w:val="24"/>
          <w:lang w:eastAsia="en-AU"/>
        </w:rPr>
        <w:t>Paediatric</w:t>
      </w:r>
      <w:r>
        <w:rPr>
          <w:rFonts w:asciiTheme="minorHAnsi" w:hAnsiTheme="minorHAnsi" w:cstheme="minorHAnsi"/>
          <w:szCs w:val="24"/>
          <w:lang w:eastAsia="en-AU"/>
        </w:rPr>
        <w:t xml:space="preserve"> </w:t>
      </w:r>
      <w:r w:rsidRPr="00D911EB">
        <w:rPr>
          <w:rFonts w:asciiTheme="minorHAnsi" w:hAnsiTheme="minorHAnsi" w:cstheme="minorHAnsi"/>
          <w:szCs w:val="24"/>
          <w:lang w:eastAsia="en-AU"/>
        </w:rPr>
        <w:t>(see Figure 2):</w:t>
      </w:r>
    </w:p>
    <w:p w14:paraId="31A7C481" w14:textId="77777777" w:rsidR="00912EDA" w:rsidRPr="001717AF" w:rsidRDefault="00912EDA" w:rsidP="00912EDA">
      <w:pPr>
        <w:numPr>
          <w:ilvl w:val="0"/>
          <w:numId w:val="34"/>
        </w:numPr>
        <w:autoSpaceDE w:val="0"/>
        <w:autoSpaceDN w:val="0"/>
        <w:adjustRightInd w:val="0"/>
        <w:ind w:left="1276" w:hanging="425"/>
        <w:rPr>
          <w:rFonts w:asciiTheme="minorHAnsi" w:hAnsiTheme="minorHAnsi" w:cstheme="minorHAnsi"/>
          <w:szCs w:val="24"/>
          <w:lang w:eastAsia="en-AU"/>
        </w:rPr>
      </w:pPr>
      <w:r w:rsidRPr="001717AF">
        <w:rPr>
          <w:rFonts w:asciiTheme="minorHAnsi" w:hAnsiTheme="minorHAnsi" w:cstheme="minorHAnsi"/>
          <w:szCs w:val="24"/>
          <w:lang w:eastAsia="en-AU"/>
        </w:rPr>
        <w:t>Paeds Plus/F Plus Bottle</w:t>
      </w:r>
      <w:r w:rsidRPr="00D911EB">
        <w:rPr>
          <w:rFonts w:asciiTheme="minorHAnsi" w:hAnsiTheme="minorHAnsi" w:cstheme="minorHAnsi"/>
          <w:szCs w:val="24"/>
          <w:lang w:eastAsia="en-AU"/>
        </w:rPr>
        <w:t>TM</w:t>
      </w:r>
      <w:r w:rsidRPr="001717AF">
        <w:rPr>
          <w:rFonts w:asciiTheme="minorHAnsi" w:hAnsiTheme="minorHAnsi" w:cstheme="minorHAnsi"/>
          <w:szCs w:val="24"/>
          <w:lang w:eastAsia="en-AU"/>
        </w:rPr>
        <w:t xml:space="preserve"> </w:t>
      </w:r>
    </w:p>
    <w:p w14:paraId="0C2A5F42" w14:textId="77777777" w:rsidR="00912EDA" w:rsidRPr="00D911EB" w:rsidRDefault="00912EDA" w:rsidP="00912EDA">
      <w:pPr>
        <w:pStyle w:val="ListBullet"/>
        <w:numPr>
          <w:ilvl w:val="0"/>
          <w:numId w:val="6"/>
        </w:numPr>
        <w:ind w:left="426" w:hanging="426"/>
        <w:rPr>
          <w:rFonts w:asciiTheme="minorHAnsi" w:hAnsiTheme="minorHAnsi" w:cstheme="minorHAnsi"/>
          <w:szCs w:val="24"/>
          <w:lang w:eastAsia="en-AU"/>
        </w:rPr>
      </w:pPr>
      <w:r w:rsidRPr="00D911EB">
        <w:rPr>
          <w:rFonts w:asciiTheme="minorHAnsi" w:hAnsiTheme="minorHAnsi" w:cstheme="minorHAnsi"/>
          <w:szCs w:val="24"/>
          <w:lang w:eastAsia="en-AU"/>
        </w:rPr>
        <w:t>Sharps disposal container</w:t>
      </w:r>
    </w:p>
    <w:p w14:paraId="50952B03" w14:textId="77777777" w:rsidR="00912EDA" w:rsidRPr="00D911EB" w:rsidRDefault="00912EDA" w:rsidP="00912EDA">
      <w:pPr>
        <w:pStyle w:val="ListBullet"/>
        <w:numPr>
          <w:ilvl w:val="0"/>
          <w:numId w:val="6"/>
        </w:numPr>
        <w:ind w:left="426" w:hanging="426"/>
        <w:rPr>
          <w:rFonts w:asciiTheme="minorHAnsi" w:hAnsiTheme="minorHAnsi" w:cstheme="minorHAnsi"/>
          <w:szCs w:val="24"/>
          <w:lang w:eastAsia="en-AU"/>
        </w:rPr>
      </w:pPr>
      <w:r w:rsidRPr="00D911EB">
        <w:rPr>
          <w:rFonts w:asciiTheme="minorHAnsi" w:hAnsiTheme="minorHAnsi" w:cstheme="minorHAnsi"/>
          <w:szCs w:val="24"/>
          <w:lang w:eastAsia="en-AU"/>
        </w:rPr>
        <w:t xml:space="preserve">Pathology Biohazard bag for transferring specimen. </w:t>
      </w:r>
    </w:p>
    <w:p w14:paraId="059FE93C" w14:textId="77777777" w:rsidR="00912EDA" w:rsidRDefault="00912EDA" w:rsidP="00912EDA">
      <w:pPr>
        <w:pStyle w:val="ListBullet"/>
        <w:numPr>
          <w:ilvl w:val="0"/>
          <w:numId w:val="6"/>
        </w:numPr>
        <w:ind w:left="426" w:hanging="426"/>
        <w:rPr>
          <w:rFonts w:asciiTheme="minorHAnsi" w:hAnsiTheme="minorHAnsi" w:cstheme="minorHAnsi"/>
          <w:szCs w:val="24"/>
          <w:lang w:eastAsia="en-AU"/>
        </w:rPr>
      </w:pPr>
      <w:r w:rsidRPr="001717AF">
        <w:rPr>
          <w:rFonts w:asciiTheme="minorHAnsi" w:hAnsiTheme="minorHAnsi" w:cstheme="minorHAnsi"/>
          <w:szCs w:val="24"/>
          <w:lang w:eastAsia="en-AU"/>
        </w:rPr>
        <w:t>Clinical waste receptacle</w:t>
      </w:r>
    </w:p>
    <w:p w14:paraId="62C35FC9" w14:textId="77777777" w:rsidR="00912EDA" w:rsidRDefault="00912EDA" w:rsidP="00912EDA">
      <w:pPr>
        <w:pStyle w:val="ListBullet"/>
        <w:ind w:left="66"/>
        <w:rPr>
          <w:rFonts w:asciiTheme="minorHAnsi" w:hAnsiTheme="minorHAnsi" w:cstheme="minorHAnsi"/>
          <w:szCs w:val="24"/>
          <w:lang w:eastAsia="en-AU"/>
        </w:rPr>
      </w:pPr>
    </w:p>
    <w:p w14:paraId="7C3E9CAC" w14:textId="77777777" w:rsidR="00912EDA" w:rsidRDefault="00912EDA" w:rsidP="00912EDA">
      <w:pPr>
        <w:rPr>
          <w:rFonts w:asciiTheme="minorHAnsi" w:hAnsiTheme="minorHAnsi" w:cstheme="minorHAnsi"/>
          <w:szCs w:val="24"/>
          <w:lang w:eastAsia="en-AU"/>
        </w:rPr>
      </w:pPr>
      <w:r>
        <w:rPr>
          <w:rFonts w:asciiTheme="minorHAnsi" w:hAnsiTheme="minorHAnsi" w:cstheme="minorHAnsi"/>
          <w:szCs w:val="24"/>
          <w:lang w:eastAsia="en-AU"/>
        </w:rPr>
        <w:br w:type="page"/>
      </w:r>
    </w:p>
    <w:p w14:paraId="090D7FF4" w14:textId="77777777" w:rsidR="00912EDA" w:rsidRPr="006F5507" w:rsidRDefault="00912EDA" w:rsidP="00912EDA">
      <w:pPr>
        <w:rPr>
          <w:rFonts w:cs="Arial"/>
        </w:rPr>
      </w:pPr>
      <w:r w:rsidRPr="00C232DA">
        <w:lastRenderedPageBreak/>
        <w:t xml:space="preserve">Figure </w:t>
      </w:r>
      <w:r>
        <w:t>4: BD Vacutainer</w:t>
      </w:r>
      <w:r w:rsidRPr="006D0809">
        <w:rPr>
          <w:rFonts w:asciiTheme="minorHAnsi" w:hAnsiTheme="minorHAnsi" w:cstheme="minorHAnsi"/>
          <w:color w:val="000000"/>
          <w:vertAlign w:val="superscript"/>
          <w:lang w:eastAsia="en-AU"/>
        </w:rPr>
        <w:t>TM</w:t>
      </w:r>
      <w:r w:rsidRPr="00C232DA">
        <w:t xml:space="preserve"> </w:t>
      </w:r>
      <w:r>
        <w:t>Blood Transfer Device</w:t>
      </w:r>
    </w:p>
    <w:p w14:paraId="65F264B7" w14:textId="77777777" w:rsidR="00912EDA" w:rsidRDefault="00912EDA" w:rsidP="00912EDA">
      <w:pPr>
        <w:pStyle w:val="ListBullet"/>
        <w:rPr>
          <w:lang w:eastAsia="en-AU"/>
        </w:rPr>
      </w:pPr>
      <w:r>
        <w:rPr>
          <w:rFonts w:ascii="FS Albert Pro" w:hAnsi="FS Albert Pro" w:cs="Helvetica"/>
          <w:noProof/>
          <w:color w:val="6F6C6C"/>
          <w:sz w:val="21"/>
          <w:szCs w:val="21"/>
          <w:lang w:eastAsia="en-AU"/>
        </w:rPr>
        <w:drawing>
          <wp:anchor distT="0" distB="0" distL="114300" distR="114300" simplePos="0" relativeHeight="251663360" behindDoc="1" locked="0" layoutInCell="1" allowOverlap="1" wp14:anchorId="690168A0" wp14:editId="7617A75A">
            <wp:simplePos x="0" y="0"/>
            <wp:positionH relativeFrom="margin">
              <wp:align>left</wp:align>
            </wp:positionH>
            <wp:positionV relativeFrom="paragraph">
              <wp:posOffset>144145</wp:posOffset>
            </wp:positionV>
            <wp:extent cx="1475460" cy="1468120"/>
            <wp:effectExtent l="0" t="0" r="0" b="0"/>
            <wp:wrapTight wrapText="bothSides">
              <wp:wrapPolygon edited="0">
                <wp:start x="3905" y="0"/>
                <wp:lineTo x="279" y="4484"/>
                <wp:lineTo x="0" y="16256"/>
                <wp:lineTo x="0" y="21021"/>
                <wp:lineTo x="3068" y="21301"/>
                <wp:lineTo x="7253" y="21301"/>
                <wp:lineTo x="21200" y="19339"/>
                <wp:lineTo x="21200" y="16536"/>
                <wp:lineTo x="20363" y="12893"/>
                <wp:lineTo x="19248" y="11491"/>
                <wp:lineTo x="10321" y="4484"/>
                <wp:lineTo x="10600" y="3363"/>
                <wp:lineTo x="9205" y="1682"/>
                <wp:lineTo x="6695" y="0"/>
                <wp:lineTo x="3905" y="0"/>
              </wp:wrapPolygon>
            </wp:wrapTight>
            <wp:docPr id="15" name="Picture 15" descr="https://www.bd.com/assets/images/our-products/blood-and-urine-collection/blood-collection/vacutainer-blood-transfer_RC_PAS_BC_0616-0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d.com/assets/images/our-products/blood-and-urine-collection/blood-collection/vacutainer-blood-transfer_RC_PAS_BC_0616-005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5460" cy="1468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EBFB6" w14:textId="77777777" w:rsidR="00912EDA" w:rsidRDefault="00912EDA" w:rsidP="00912EDA">
      <w:pPr>
        <w:pStyle w:val="ListBullet"/>
        <w:rPr>
          <w:lang w:eastAsia="en-AU"/>
        </w:rPr>
      </w:pPr>
    </w:p>
    <w:p w14:paraId="13DD6CEE" w14:textId="77777777" w:rsidR="00912EDA" w:rsidRDefault="00912EDA" w:rsidP="00912EDA">
      <w:pPr>
        <w:pStyle w:val="ListBullet"/>
        <w:rPr>
          <w:lang w:eastAsia="en-AU"/>
        </w:rPr>
      </w:pPr>
    </w:p>
    <w:p w14:paraId="30A8A8B3" w14:textId="77777777" w:rsidR="00912EDA" w:rsidRDefault="00912EDA" w:rsidP="00912EDA">
      <w:pPr>
        <w:pStyle w:val="ListBullet"/>
        <w:rPr>
          <w:lang w:eastAsia="en-AU"/>
        </w:rPr>
      </w:pPr>
    </w:p>
    <w:p w14:paraId="515CA462" w14:textId="77777777" w:rsidR="00912EDA" w:rsidRDefault="00912EDA" w:rsidP="00912EDA">
      <w:pPr>
        <w:pStyle w:val="ListBullet"/>
        <w:rPr>
          <w:lang w:eastAsia="en-AU"/>
        </w:rPr>
      </w:pPr>
    </w:p>
    <w:p w14:paraId="6A1B16C5" w14:textId="77777777" w:rsidR="00912EDA" w:rsidRDefault="00912EDA" w:rsidP="00912EDA">
      <w:pPr>
        <w:pStyle w:val="ListBullet"/>
        <w:rPr>
          <w:lang w:eastAsia="en-AU"/>
        </w:rPr>
      </w:pPr>
    </w:p>
    <w:p w14:paraId="2C45753C" w14:textId="77777777" w:rsidR="00912EDA" w:rsidRDefault="00912EDA" w:rsidP="00912EDA">
      <w:pPr>
        <w:pStyle w:val="ListBullet"/>
        <w:rPr>
          <w:lang w:eastAsia="en-AU"/>
        </w:rPr>
      </w:pPr>
    </w:p>
    <w:p w14:paraId="7FAF4753" w14:textId="77777777" w:rsidR="00912EDA" w:rsidRDefault="00912EDA" w:rsidP="00912EDA">
      <w:pPr>
        <w:pStyle w:val="ListBullet"/>
        <w:rPr>
          <w:lang w:eastAsia="en-AU"/>
        </w:rPr>
      </w:pPr>
    </w:p>
    <w:p w14:paraId="025034C4" w14:textId="77777777" w:rsidR="00912EDA" w:rsidRDefault="00912EDA" w:rsidP="00912EDA">
      <w:pPr>
        <w:pStyle w:val="ListBullet"/>
        <w:rPr>
          <w:lang w:eastAsia="en-AU"/>
        </w:rPr>
      </w:pPr>
    </w:p>
    <w:p w14:paraId="5A04EF2F" w14:textId="77777777" w:rsidR="00912EDA" w:rsidRDefault="00912EDA" w:rsidP="00912EDA">
      <w:pPr>
        <w:rPr>
          <w:b/>
          <w:bCs/>
        </w:rPr>
      </w:pPr>
    </w:p>
    <w:p w14:paraId="0A58CFD2" w14:textId="77777777" w:rsidR="00912EDA" w:rsidRDefault="00912EDA" w:rsidP="00912EDA">
      <w:pPr>
        <w:rPr>
          <w:b/>
          <w:bCs/>
        </w:rPr>
      </w:pPr>
    </w:p>
    <w:p w14:paraId="0C296B6E" w14:textId="77777777" w:rsidR="00912EDA" w:rsidRPr="0041444E" w:rsidRDefault="00912EDA" w:rsidP="00912EDA">
      <w:pPr>
        <w:rPr>
          <w:b/>
          <w:bCs/>
        </w:rPr>
      </w:pPr>
      <w:r>
        <w:rPr>
          <w:b/>
          <w:bCs/>
        </w:rPr>
        <w:t>5</w:t>
      </w:r>
      <w:r w:rsidRPr="0041444E">
        <w:rPr>
          <w:b/>
          <w:bCs/>
        </w:rPr>
        <w:t xml:space="preserve">.2 </w:t>
      </w:r>
      <w:r w:rsidRPr="0041444E">
        <w:rPr>
          <w:b/>
          <w:bCs/>
        </w:rPr>
        <w:tab/>
        <w:t>Procedure:</w:t>
      </w:r>
    </w:p>
    <w:p w14:paraId="2C0B2105" w14:textId="77777777" w:rsidR="00912EDA" w:rsidRDefault="00912EDA" w:rsidP="00912EDA">
      <w:pPr>
        <w:pStyle w:val="ListBullet"/>
        <w:rPr>
          <w:lang w:eastAsia="en-AU"/>
        </w:rPr>
      </w:pPr>
    </w:p>
    <w:p w14:paraId="41FE9049" w14:textId="77777777" w:rsidR="00912EDA" w:rsidRDefault="00912EDA" w:rsidP="00912EDA">
      <w:pPr>
        <w:pBdr>
          <w:top w:val="single" w:sz="4" w:space="1" w:color="auto"/>
          <w:left w:val="single" w:sz="4" w:space="4" w:color="auto"/>
          <w:bottom w:val="single" w:sz="4" w:space="1" w:color="auto"/>
          <w:right w:val="single" w:sz="4" w:space="4" w:color="auto"/>
        </w:pBdr>
        <w:shd w:val="clear" w:color="auto" w:fill="FFFFFF" w:themeFill="background1"/>
        <w:rPr>
          <w:b/>
        </w:rPr>
      </w:pPr>
      <w:r w:rsidRPr="00397520">
        <w:rPr>
          <w:b/>
        </w:rPr>
        <w:t>Note</w:t>
      </w:r>
      <w:r>
        <w:rPr>
          <w:b/>
        </w:rPr>
        <w:t>:</w:t>
      </w:r>
    </w:p>
    <w:p w14:paraId="5DF227B2" w14:textId="77777777" w:rsidR="00912EDA" w:rsidRPr="000736AA" w:rsidRDefault="00912EDA" w:rsidP="00912EDA">
      <w:pPr>
        <w:pBdr>
          <w:top w:val="single" w:sz="4" w:space="1" w:color="auto"/>
          <w:left w:val="single" w:sz="4" w:space="4" w:color="auto"/>
          <w:bottom w:val="single" w:sz="4" w:space="1" w:color="auto"/>
          <w:right w:val="single" w:sz="4" w:space="4" w:color="auto"/>
        </w:pBdr>
        <w:shd w:val="clear" w:color="auto" w:fill="FFFFFF" w:themeFill="background1"/>
      </w:pPr>
      <w:r>
        <w:t xml:space="preserve">When collecting Blood Cultures from a CVAD, </w:t>
      </w:r>
      <w:r w:rsidRPr="007E5C24">
        <w:rPr>
          <w:b/>
        </w:rPr>
        <w:t>DO NOT</w:t>
      </w:r>
      <w:r>
        <w:t xml:space="preserve"> discard the initial blood or fluid collected, as per routine practice for CVAD blood draws. Pathogens may be residing within the lumen and collecting the initial blood draw will lead to greater accuracy. </w:t>
      </w:r>
    </w:p>
    <w:p w14:paraId="2DE9B613" w14:textId="77777777" w:rsidR="00912EDA" w:rsidRDefault="00912EDA" w:rsidP="00912EDA">
      <w:pPr>
        <w:pStyle w:val="ListParagraph"/>
        <w:numPr>
          <w:ilvl w:val="0"/>
          <w:numId w:val="10"/>
        </w:numPr>
        <w:spacing w:before="100" w:beforeAutospacing="1" w:after="100" w:afterAutospacing="1"/>
        <w:ind w:left="426" w:hanging="426"/>
        <w:rPr>
          <w:rFonts w:asciiTheme="minorHAnsi" w:hAnsiTheme="minorHAnsi" w:cstheme="minorBidi"/>
          <w:color w:val="000000"/>
          <w:lang w:eastAsia="en-AU"/>
        </w:rPr>
      </w:pPr>
      <w:r w:rsidRPr="42BBC7FB">
        <w:rPr>
          <w:rFonts w:asciiTheme="minorHAnsi" w:hAnsiTheme="minorHAnsi" w:cstheme="minorBidi"/>
          <w:color w:val="000000" w:themeColor="text1"/>
          <w:lang w:eastAsia="en-AU"/>
        </w:rPr>
        <w:t xml:space="preserve">Ensure patient privacy </w:t>
      </w:r>
      <w:r>
        <w:rPr>
          <w:rFonts w:asciiTheme="minorHAnsi" w:hAnsiTheme="minorHAnsi" w:cstheme="minorBidi"/>
          <w:color w:val="000000" w:themeColor="text1"/>
          <w:lang w:eastAsia="en-AU"/>
        </w:rPr>
        <w:t xml:space="preserve">and </w:t>
      </w:r>
      <w:r w:rsidRPr="42BBC7FB">
        <w:rPr>
          <w:rFonts w:asciiTheme="minorHAnsi" w:hAnsiTheme="minorHAnsi" w:cstheme="minorBidi"/>
          <w:color w:val="000000" w:themeColor="text1"/>
          <w:lang w:eastAsia="en-AU"/>
        </w:rPr>
        <w:t>obtain informed patient consent to proceed with the procedure</w:t>
      </w:r>
    </w:p>
    <w:p w14:paraId="79FACBA5" w14:textId="77777777" w:rsidR="00912EDA" w:rsidRPr="00DA425F" w:rsidRDefault="00912EDA" w:rsidP="00912EDA">
      <w:pPr>
        <w:pStyle w:val="ListParagraph"/>
        <w:numPr>
          <w:ilvl w:val="0"/>
          <w:numId w:val="10"/>
        </w:numPr>
        <w:spacing w:before="100" w:beforeAutospacing="1" w:after="100" w:afterAutospacing="1"/>
        <w:ind w:left="426" w:hanging="426"/>
        <w:rPr>
          <w:rFonts w:asciiTheme="minorHAnsi" w:hAnsiTheme="minorHAnsi" w:cstheme="minorHAnsi"/>
          <w:color w:val="000000"/>
          <w:szCs w:val="24"/>
          <w:lang w:eastAsia="en-AU"/>
        </w:rPr>
      </w:pPr>
      <w:r w:rsidRPr="00DA425F">
        <w:rPr>
          <w:rFonts w:asciiTheme="minorHAnsi" w:hAnsiTheme="minorHAnsi" w:cstheme="minorHAnsi"/>
          <w:color w:val="000000"/>
          <w:szCs w:val="24"/>
          <w:lang w:eastAsia="en-AU"/>
        </w:rPr>
        <w:t xml:space="preserve">Clarify if the patient has allergies to dressings, tapes, or </w:t>
      </w:r>
      <w:r>
        <w:rPr>
          <w:rFonts w:asciiTheme="minorHAnsi" w:hAnsiTheme="minorHAnsi" w:cstheme="minorHAnsi"/>
          <w:color w:val="000000"/>
          <w:szCs w:val="24"/>
          <w:lang w:eastAsia="en-AU"/>
        </w:rPr>
        <w:t>C</w:t>
      </w:r>
      <w:r w:rsidRPr="00DA425F">
        <w:rPr>
          <w:rFonts w:asciiTheme="minorHAnsi" w:hAnsiTheme="minorHAnsi" w:cstheme="minorHAnsi"/>
          <w:color w:val="000000"/>
          <w:szCs w:val="24"/>
          <w:lang w:eastAsia="en-AU"/>
        </w:rPr>
        <w:t>hlorhexidine</w:t>
      </w:r>
      <w:r>
        <w:rPr>
          <w:rFonts w:asciiTheme="minorHAnsi" w:hAnsiTheme="minorHAnsi" w:cstheme="minorHAnsi"/>
          <w:color w:val="000000"/>
          <w:szCs w:val="24"/>
          <w:lang w:eastAsia="en-AU"/>
        </w:rPr>
        <w:t>.</w:t>
      </w:r>
    </w:p>
    <w:p w14:paraId="2563637E" w14:textId="77777777" w:rsidR="00912EDA" w:rsidRDefault="00912EDA" w:rsidP="00912EDA">
      <w:pPr>
        <w:numPr>
          <w:ilvl w:val="0"/>
          <w:numId w:val="10"/>
        </w:numPr>
        <w:autoSpaceDE w:val="0"/>
        <w:autoSpaceDN w:val="0"/>
        <w:adjustRightInd w:val="0"/>
        <w:ind w:left="426" w:hanging="426"/>
        <w:rPr>
          <w:rFonts w:eastAsia="Calibri" w:cs="Swis721 Lt BT"/>
          <w:color w:val="000000"/>
          <w:szCs w:val="24"/>
        </w:rPr>
      </w:pPr>
      <w:r w:rsidRPr="00254CD4">
        <w:rPr>
          <w:rFonts w:eastAsia="Calibri" w:cs="Swis721 Lt BT"/>
          <w:color w:val="000000"/>
          <w:szCs w:val="24"/>
        </w:rPr>
        <w:t>Ensure that the relevant history and tests are stated on the</w:t>
      </w:r>
      <w:r>
        <w:rPr>
          <w:rFonts w:eastAsia="Calibri" w:cs="Swis721 Lt BT"/>
          <w:color w:val="000000"/>
          <w:szCs w:val="24"/>
        </w:rPr>
        <w:t xml:space="preserve"> pathology</w:t>
      </w:r>
      <w:r w:rsidRPr="00254CD4">
        <w:rPr>
          <w:rFonts w:eastAsia="Calibri" w:cs="Swis721 Lt BT"/>
          <w:color w:val="000000"/>
          <w:szCs w:val="24"/>
        </w:rPr>
        <w:t xml:space="preserve"> </w:t>
      </w:r>
      <w:r>
        <w:rPr>
          <w:rFonts w:eastAsia="Calibri" w:cs="Swis721 Lt BT"/>
          <w:color w:val="000000"/>
          <w:szCs w:val="24"/>
        </w:rPr>
        <w:t>B</w:t>
      </w:r>
      <w:r w:rsidRPr="00254CD4">
        <w:rPr>
          <w:rFonts w:eastAsia="Calibri" w:cs="Swis721 Lt BT"/>
          <w:color w:val="000000"/>
          <w:szCs w:val="24"/>
        </w:rPr>
        <w:t xml:space="preserve">lood </w:t>
      </w:r>
      <w:r>
        <w:rPr>
          <w:rFonts w:eastAsia="Calibri" w:cs="Swis721 Lt BT"/>
          <w:color w:val="000000"/>
          <w:szCs w:val="24"/>
        </w:rPr>
        <w:t>C</w:t>
      </w:r>
      <w:r w:rsidRPr="00254CD4">
        <w:rPr>
          <w:rFonts w:eastAsia="Calibri" w:cs="Swis721 Lt BT"/>
          <w:color w:val="000000"/>
          <w:szCs w:val="24"/>
        </w:rPr>
        <w:t>ulture request form as this may affect incubation requirements</w:t>
      </w:r>
      <w:r>
        <w:rPr>
          <w:rFonts w:eastAsia="Calibri" w:cs="Swis721 Lt BT"/>
          <w:color w:val="000000"/>
          <w:szCs w:val="24"/>
        </w:rPr>
        <w:t>.</w:t>
      </w:r>
      <w:r w:rsidRPr="00254CD4">
        <w:rPr>
          <w:rFonts w:eastAsia="Calibri" w:cs="Swis721 Lt BT"/>
          <w:color w:val="000000"/>
          <w:szCs w:val="24"/>
        </w:rPr>
        <w:t xml:space="preserve"> </w:t>
      </w:r>
    </w:p>
    <w:p w14:paraId="70EC97A3" w14:textId="77777777" w:rsidR="00912EDA" w:rsidRPr="00254CD4" w:rsidRDefault="00912EDA" w:rsidP="00912EDA">
      <w:pPr>
        <w:numPr>
          <w:ilvl w:val="0"/>
          <w:numId w:val="10"/>
        </w:numPr>
        <w:autoSpaceDE w:val="0"/>
        <w:autoSpaceDN w:val="0"/>
        <w:adjustRightInd w:val="0"/>
        <w:spacing w:after="50"/>
        <w:ind w:left="426" w:hanging="426"/>
        <w:rPr>
          <w:rFonts w:eastAsia="Calibri" w:cs="Swis721 Lt BT"/>
          <w:color w:val="000000"/>
          <w:szCs w:val="24"/>
        </w:rPr>
      </w:pPr>
      <w:r w:rsidRPr="00254CD4">
        <w:rPr>
          <w:rFonts w:eastAsia="Calibri" w:cs="Swis721 Lt BT"/>
          <w:color w:val="000000"/>
          <w:szCs w:val="24"/>
        </w:rPr>
        <w:t xml:space="preserve">Collect all equipment required (including </w:t>
      </w:r>
      <w:r>
        <w:rPr>
          <w:rFonts w:eastAsia="Calibri" w:cs="Swis721 Lt BT"/>
          <w:color w:val="000000"/>
          <w:szCs w:val="24"/>
        </w:rPr>
        <w:t>PPE</w:t>
      </w:r>
      <w:r w:rsidRPr="00254CD4">
        <w:rPr>
          <w:rFonts w:eastAsia="Calibri" w:cs="Swis721 Lt BT"/>
          <w:color w:val="000000"/>
          <w:szCs w:val="24"/>
        </w:rPr>
        <w:t>) and place on</w:t>
      </w:r>
      <w:r>
        <w:rPr>
          <w:rFonts w:eastAsia="Calibri" w:cs="Swis721 Lt BT"/>
          <w:color w:val="000000"/>
          <w:szCs w:val="24"/>
        </w:rPr>
        <w:t xml:space="preserve"> the bottom of the dressing </w:t>
      </w:r>
      <w:r w:rsidRPr="00254CD4">
        <w:rPr>
          <w:rFonts w:eastAsia="Calibri" w:cs="Swis721 Lt BT"/>
          <w:color w:val="000000"/>
          <w:szCs w:val="24"/>
        </w:rPr>
        <w:t>trolley</w:t>
      </w:r>
      <w:r>
        <w:rPr>
          <w:rFonts w:eastAsia="Calibri" w:cs="Swis721 Lt BT"/>
          <w:color w:val="000000"/>
          <w:szCs w:val="24"/>
        </w:rPr>
        <w:t xml:space="preserve"> (note: dressing trolley must be cleaned from top to bottom</w:t>
      </w:r>
      <w:r w:rsidRPr="00254CD4">
        <w:rPr>
          <w:rFonts w:eastAsia="Calibri" w:cs="Swis721 Lt BT"/>
          <w:color w:val="000000"/>
          <w:szCs w:val="24"/>
        </w:rPr>
        <w:t xml:space="preserve"> with </w:t>
      </w:r>
      <w:r>
        <w:rPr>
          <w:rFonts w:eastAsia="Calibri" w:cs="Swis721 Lt BT"/>
          <w:color w:val="000000"/>
          <w:szCs w:val="24"/>
        </w:rPr>
        <w:t>detergent</w:t>
      </w:r>
      <w:r w:rsidRPr="00254CD4">
        <w:rPr>
          <w:rFonts w:eastAsia="Calibri" w:cs="Cambria Math"/>
          <w:color w:val="000000"/>
          <w:szCs w:val="24"/>
        </w:rPr>
        <w:t>‐</w:t>
      </w:r>
      <w:r w:rsidRPr="00254CD4">
        <w:rPr>
          <w:rFonts w:eastAsia="Calibri" w:cs="Swis721 Lt BT"/>
          <w:color w:val="000000"/>
          <w:szCs w:val="24"/>
        </w:rPr>
        <w:t>based wipes</w:t>
      </w:r>
      <w:r>
        <w:rPr>
          <w:rFonts w:eastAsia="Calibri" w:cs="Swis721 Lt BT"/>
          <w:color w:val="000000"/>
          <w:szCs w:val="24"/>
        </w:rPr>
        <w:t>, and allowed to dry, prior to placing items on top). B</w:t>
      </w:r>
      <w:r w:rsidRPr="00254CD4">
        <w:rPr>
          <w:rFonts w:eastAsia="Calibri" w:cs="Swis721 Lt BT"/>
          <w:color w:val="000000"/>
          <w:szCs w:val="24"/>
        </w:rPr>
        <w:t>ring</w:t>
      </w:r>
      <w:r>
        <w:rPr>
          <w:rFonts w:eastAsia="Calibri" w:cs="Swis721 Lt BT"/>
          <w:color w:val="000000"/>
          <w:szCs w:val="24"/>
        </w:rPr>
        <w:t xml:space="preserve"> the dressing trolley </w:t>
      </w:r>
      <w:r w:rsidRPr="00254CD4">
        <w:rPr>
          <w:rFonts w:eastAsia="Calibri" w:cs="Swis721 Lt BT"/>
          <w:color w:val="000000"/>
          <w:szCs w:val="24"/>
        </w:rPr>
        <w:t>to the patient zone</w:t>
      </w:r>
      <w:r>
        <w:rPr>
          <w:rFonts w:eastAsia="Calibri" w:cs="Swis721 Lt BT"/>
          <w:color w:val="000000"/>
          <w:szCs w:val="24"/>
        </w:rPr>
        <w:t>.</w:t>
      </w:r>
      <w:r w:rsidRPr="00254CD4">
        <w:rPr>
          <w:rFonts w:eastAsia="Calibri" w:cs="Swis721 Lt BT"/>
          <w:color w:val="000000"/>
          <w:szCs w:val="24"/>
        </w:rPr>
        <w:t xml:space="preserve"> </w:t>
      </w:r>
    </w:p>
    <w:p w14:paraId="3F823144" w14:textId="77777777" w:rsidR="00912EDA" w:rsidRDefault="00912EDA" w:rsidP="00912EDA">
      <w:pPr>
        <w:numPr>
          <w:ilvl w:val="0"/>
          <w:numId w:val="10"/>
        </w:numPr>
        <w:autoSpaceDE w:val="0"/>
        <w:autoSpaceDN w:val="0"/>
        <w:adjustRightInd w:val="0"/>
        <w:ind w:left="426" w:hanging="426"/>
        <w:rPr>
          <w:rFonts w:eastAsia="Calibri" w:cs="Swis721 Lt BT"/>
          <w:color w:val="000000"/>
          <w:szCs w:val="24"/>
        </w:rPr>
      </w:pPr>
      <w:r>
        <w:rPr>
          <w:rFonts w:eastAsia="Calibri" w:cs="Swis721 Lt BT"/>
          <w:color w:val="000000"/>
          <w:szCs w:val="24"/>
        </w:rPr>
        <w:t>C</w:t>
      </w:r>
      <w:r w:rsidRPr="00254CD4">
        <w:rPr>
          <w:rFonts w:eastAsia="Calibri" w:cs="Swis721 Lt BT"/>
          <w:color w:val="000000"/>
          <w:szCs w:val="24"/>
        </w:rPr>
        <w:t>heck expiry date for each bottle and mark 10</w:t>
      </w:r>
      <w:r>
        <w:rPr>
          <w:rFonts w:eastAsia="Calibri" w:cs="Swis721 Lt BT"/>
          <w:color w:val="000000"/>
          <w:szCs w:val="24"/>
        </w:rPr>
        <w:t>mL</w:t>
      </w:r>
      <w:r w:rsidRPr="00254CD4">
        <w:rPr>
          <w:rFonts w:eastAsia="Calibri" w:cs="Swis721 Lt BT"/>
          <w:color w:val="000000"/>
          <w:szCs w:val="24"/>
        </w:rPr>
        <w:t xml:space="preserve"> above the broth</w:t>
      </w:r>
      <w:r>
        <w:rPr>
          <w:rFonts w:eastAsia="Calibri" w:cs="Swis721 Lt BT"/>
          <w:color w:val="000000"/>
          <w:szCs w:val="24"/>
        </w:rPr>
        <w:t>,</w:t>
      </w:r>
      <w:r w:rsidRPr="00254CD4">
        <w:rPr>
          <w:rFonts w:eastAsia="Calibri" w:cs="Swis721 Lt BT"/>
          <w:color w:val="000000"/>
          <w:szCs w:val="24"/>
        </w:rPr>
        <w:t xml:space="preserve"> for fill level</w:t>
      </w:r>
      <w:r>
        <w:rPr>
          <w:rFonts w:eastAsia="Calibri" w:cs="Swis721 Lt BT"/>
          <w:color w:val="000000"/>
          <w:szCs w:val="24"/>
        </w:rPr>
        <w:t xml:space="preserve"> for adult patients (collect 8 - 10mL), and 3mL above the broth, for paediatric patients </w:t>
      </w:r>
      <w:r w:rsidRPr="00D84730">
        <w:rPr>
          <w:rFonts w:eastAsia="Calibri" w:cs="Swis721 Lt BT"/>
          <w:color w:val="000000"/>
          <w:szCs w:val="24"/>
        </w:rPr>
        <w:t>(collect 1-3</w:t>
      </w:r>
      <w:r>
        <w:rPr>
          <w:rFonts w:eastAsia="Calibri" w:cs="Swis721 Lt BT"/>
          <w:color w:val="000000"/>
          <w:szCs w:val="24"/>
        </w:rPr>
        <w:t>mL</w:t>
      </w:r>
      <w:r w:rsidRPr="00D84730">
        <w:rPr>
          <w:rFonts w:eastAsia="Calibri" w:cs="Swis721 Lt BT"/>
          <w:color w:val="000000"/>
          <w:szCs w:val="24"/>
        </w:rPr>
        <w:t>).</w:t>
      </w:r>
    </w:p>
    <w:p w14:paraId="00A8CAA9" w14:textId="77777777" w:rsidR="00912EDA" w:rsidRPr="00147096" w:rsidRDefault="00912EDA" w:rsidP="00912EDA">
      <w:pPr>
        <w:pStyle w:val="ListParagraph"/>
        <w:numPr>
          <w:ilvl w:val="0"/>
          <w:numId w:val="10"/>
        </w:numPr>
        <w:spacing w:before="100" w:beforeAutospacing="1" w:after="100" w:afterAutospacing="1"/>
        <w:ind w:left="426" w:hanging="426"/>
        <w:rPr>
          <w:rFonts w:asciiTheme="minorHAnsi" w:hAnsiTheme="minorHAnsi" w:cstheme="minorHAnsi"/>
          <w:color w:val="000000"/>
          <w:szCs w:val="24"/>
          <w:lang w:eastAsia="en-AU"/>
        </w:rPr>
      </w:pPr>
      <w:r w:rsidRPr="00147096">
        <w:rPr>
          <w:rFonts w:asciiTheme="minorHAnsi" w:hAnsiTheme="minorHAnsi" w:cstheme="minorHAnsi"/>
          <w:color w:val="000000"/>
          <w:szCs w:val="24"/>
          <w:lang w:eastAsia="en-AU"/>
        </w:rPr>
        <w:t>Position the patient in a semi-recumbent position in bed or sitting in a chair.</w:t>
      </w:r>
    </w:p>
    <w:p w14:paraId="66735769" w14:textId="77777777" w:rsidR="00912EDA" w:rsidRPr="006A3B77" w:rsidRDefault="00912EDA" w:rsidP="00912EDA">
      <w:pPr>
        <w:pStyle w:val="ListParagraph"/>
        <w:numPr>
          <w:ilvl w:val="0"/>
          <w:numId w:val="10"/>
        </w:numPr>
        <w:spacing w:before="100" w:beforeAutospacing="1" w:after="100" w:afterAutospacing="1"/>
        <w:ind w:left="426" w:hanging="426"/>
        <w:rPr>
          <w:rFonts w:asciiTheme="minorHAnsi" w:hAnsiTheme="minorHAnsi" w:cstheme="minorHAnsi"/>
          <w:color w:val="000000"/>
          <w:szCs w:val="24"/>
          <w:lang w:eastAsia="en-AU"/>
        </w:rPr>
      </w:pPr>
      <w:r w:rsidRPr="006A3B77">
        <w:rPr>
          <w:rFonts w:asciiTheme="minorHAnsi" w:eastAsia="Calibri" w:hAnsiTheme="minorHAnsi" w:cstheme="minorHAnsi"/>
          <w:color w:val="000000"/>
          <w:szCs w:val="24"/>
        </w:rPr>
        <w:t>Correctly identify the patient using the 3 core identifiers, checking the pathology request order</w:t>
      </w:r>
      <w:r w:rsidRPr="006A3B77">
        <w:rPr>
          <w:rFonts w:eastAsia="Calibri" w:cs="Swis721 Lt BT"/>
          <w:color w:val="000000"/>
          <w:szCs w:val="24"/>
        </w:rPr>
        <w:t xml:space="preserve"> and the patients’ details are correct, with the additional step of scanning the patient / client wrist band barcodes.</w:t>
      </w:r>
    </w:p>
    <w:p w14:paraId="71ED42D1" w14:textId="77777777" w:rsidR="00912EDA" w:rsidRPr="006A3B77" w:rsidRDefault="00912EDA" w:rsidP="00912EDA">
      <w:pPr>
        <w:pStyle w:val="ListParagraph"/>
        <w:numPr>
          <w:ilvl w:val="0"/>
          <w:numId w:val="10"/>
        </w:numPr>
        <w:spacing w:before="100" w:beforeAutospacing="1" w:after="100" w:afterAutospacing="1"/>
        <w:ind w:left="426" w:hanging="426"/>
        <w:rPr>
          <w:rFonts w:asciiTheme="minorHAnsi" w:hAnsiTheme="minorHAnsi" w:cstheme="minorHAnsi"/>
          <w:color w:val="000000"/>
          <w:szCs w:val="24"/>
          <w:lang w:eastAsia="en-AU"/>
        </w:rPr>
      </w:pPr>
      <w:r w:rsidRPr="006A3B77">
        <w:rPr>
          <w:rFonts w:asciiTheme="minorHAnsi" w:hAnsiTheme="minorHAnsi" w:cstheme="minorHAnsi"/>
          <w:color w:val="000000"/>
          <w:szCs w:val="24"/>
          <w:lang w:eastAsia="en-AU"/>
        </w:rPr>
        <w:t>Don PPE (protective goggles or face shield).</w:t>
      </w:r>
    </w:p>
    <w:p w14:paraId="362931E7" w14:textId="77777777" w:rsidR="00912EDA" w:rsidRPr="008E0668" w:rsidRDefault="00912EDA" w:rsidP="00912EDA">
      <w:pPr>
        <w:pStyle w:val="ListParagraph"/>
        <w:numPr>
          <w:ilvl w:val="0"/>
          <w:numId w:val="10"/>
        </w:numPr>
        <w:spacing w:before="100" w:beforeAutospacing="1" w:after="100" w:afterAutospacing="1"/>
        <w:ind w:left="426" w:hanging="426"/>
        <w:rPr>
          <w:rFonts w:asciiTheme="minorHAnsi" w:hAnsiTheme="minorHAnsi" w:cstheme="minorHAnsi"/>
          <w:color w:val="000000"/>
          <w:szCs w:val="24"/>
          <w:lang w:eastAsia="en-AU"/>
        </w:rPr>
      </w:pPr>
      <w:r w:rsidRPr="008E0668">
        <w:rPr>
          <w:rFonts w:asciiTheme="minorHAnsi" w:eastAsia="Calibri" w:hAnsiTheme="minorHAnsi" w:cstheme="minorHAnsi"/>
          <w:color w:val="000000"/>
          <w:szCs w:val="24"/>
        </w:rPr>
        <w:t>Open dressing pack and place blood collection equipment and skin preparation onto sterile field, discarding packag</w:t>
      </w:r>
      <w:r>
        <w:rPr>
          <w:rFonts w:asciiTheme="minorHAnsi" w:eastAsia="Calibri" w:hAnsiTheme="minorHAnsi" w:cstheme="minorHAnsi"/>
          <w:color w:val="000000"/>
          <w:szCs w:val="24"/>
        </w:rPr>
        <w:t>ing</w:t>
      </w:r>
      <w:r w:rsidRPr="008E0668">
        <w:rPr>
          <w:rFonts w:asciiTheme="minorHAnsi" w:eastAsia="Calibri" w:hAnsiTheme="minorHAnsi" w:cstheme="minorHAnsi"/>
          <w:color w:val="000000"/>
          <w:szCs w:val="24"/>
        </w:rPr>
        <w:t xml:space="preserve"> in a general waste or recycling receptacle. </w:t>
      </w:r>
    </w:p>
    <w:p w14:paraId="656C4CFF"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8E0668">
        <w:rPr>
          <w:rFonts w:asciiTheme="minorHAnsi" w:eastAsia="Calibri" w:hAnsiTheme="minorHAnsi" w:cstheme="minorHAnsi"/>
          <w:color w:val="000000"/>
          <w:szCs w:val="24"/>
        </w:rPr>
        <w:t>Remove the cap of each</w:t>
      </w:r>
      <w:r w:rsidRPr="00D911EB">
        <w:rPr>
          <w:rFonts w:asciiTheme="minorHAnsi" w:eastAsia="Calibri" w:hAnsiTheme="minorHAnsi" w:cstheme="minorHAnsi"/>
          <w:color w:val="000000"/>
          <w:szCs w:val="24"/>
        </w:rPr>
        <w:t xml:space="preserve"> Blood Culture Bottle and scrub the vial stoppers and neck of bottle thoroughly, using x2, 2% Chlorhexidine and 70% Alcohol prep pad swabs. Allow to dry completely for at least 30 seconds. Place to the side or on the back corner of the sterile field. </w:t>
      </w:r>
    </w:p>
    <w:p w14:paraId="06D2C9ED"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t xml:space="preserve">Perform HH. </w:t>
      </w:r>
    </w:p>
    <w:p w14:paraId="5F99432A"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t>Don sterile gloves.</w:t>
      </w:r>
    </w:p>
    <w:p w14:paraId="15B299B2"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t>Organise sterile field and position sterile towel.</w:t>
      </w:r>
    </w:p>
    <w:p w14:paraId="7FBF09AB"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t xml:space="preserve">Pick up 2 x gauze squares and use to hold the lumen (to maintain asepsis). </w:t>
      </w:r>
    </w:p>
    <w:p w14:paraId="5EE2D450"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lastRenderedPageBreak/>
        <w:t xml:space="preserve">Swab needleless injection cap thoroughly with a Chlorhexidine 2% Alcohol 70% swab, for 15 seconds. Allow to dry for 30 seconds. </w:t>
      </w:r>
    </w:p>
    <w:p w14:paraId="3EF7F02E"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t>Attach first 10mL syringe and aspirate 10mL of blood, place on sterile field.</w:t>
      </w:r>
    </w:p>
    <w:p w14:paraId="48C5FCDC"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t xml:space="preserve">Swab needleless injection cap vigorously with a Chlorhexidine 2%alcohol 70% swab for 15 seconds. Allow to dry for 30 seconds. </w:t>
      </w:r>
    </w:p>
    <w:p w14:paraId="6E827031"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t>Attach second 10mL syringe and aspirate 10mL of blood, place on sterile field.</w:t>
      </w:r>
    </w:p>
    <w:p w14:paraId="1D16F3B3"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t xml:space="preserve">Attach Vacutainer® blood transfer device to first 10 mL syringe and inoculate aerobic (blue) blood culture bottle. </w:t>
      </w:r>
    </w:p>
    <w:p w14:paraId="148FE316"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t>Discard syringe into appropriate waste receptacle.</w:t>
      </w:r>
    </w:p>
    <w:p w14:paraId="6F077A49" w14:textId="77777777" w:rsidR="00912EDA" w:rsidRPr="00D911EB" w:rsidRDefault="00912EDA" w:rsidP="00912EDA">
      <w:pPr>
        <w:pStyle w:val="ListParagraph"/>
        <w:numPr>
          <w:ilvl w:val="0"/>
          <w:numId w:val="10"/>
        </w:numPr>
        <w:spacing w:before="100" w:beforeAutospacing="1" w:after="100" w:afterAutospacing="1"/>
        <w:ind w:left="426" w:hanging="426"/>
        <w:rPr>
          <w:rFonts w:asciiTheme="minorHAnsi" w:eastAsia="Calibri" w:hAnsiTheme="minorHAnsi" w:cstheme="minorHAnsi"/>
          <w:color w:val="000000"/>
          <w:szCs w:val="24"/>
        </w:rPr>
      </w:pPr>
      <w:r w:rsidRPr="00D911EB">
        <w:rPr>
          <w:rFonts w:asciiTheme="minorHAnsi" w:eastAsia="Calibri" w:hAnsiTheme="minorHAnsi" w:cstheme="minorHAnsi"/>
          <w:color w:val="000000"/>
          <w:szCs w:val="24"/>
        </w:rPr>
        <w:t xml:space="preserve">Attach same Vacutainer® blood transfer device to second 10mL syringe and inoculate anaerobic (purple) blood culture bottle. </w:t>
      </w:r>
    </w:p>
    <w:p w14:paraId="0CEB44AC" w14:textId="77777777" w:rsidR="00912EDA" w:rsidRDefault="00912EDA" w:rsidP="00912EDA">
      <w:pPr>
        <w:numPr>
          <w:ilvl w:val="0"/>
          <w:numId w:val="10"/>
        </w:numPr>
        <w:autoSpaceDE w:val="0"/>
        <w:autoSpaceDN w:val="0"/>
        <w:adjustRightInd w:val="0"/>
        <w:ind w:left="426" w:hanging="426"/>
        <w:rPr>
          <w:rFonts w:eastAsia="Calibri" w:cs="Swis721 Lt BT"/>
          <w:color w:val="000000"/>
          <w:szCs w:val="24"/>
        </w:rPr>
      </w:pPr>
      <w:r>
        <w:rPr>
          <w:rFonts w:eastAsia="Calibri" w:cs="Swis721 Lt BT"/>
          <w:color w:val="000000"/>
          <w:szCs w:val="24"/>
        </w:rPr>
        <w:t>Discard syringe and vacutainer into appropriate waste receptacle.</w:t>
      </w:r>
    </w:p>
    <w:p w14:paraId="38B64198" w14:textId="77777777" w:rsidR="00912EDA" w:rsidRDefault="00912EDA" w:rsidP="00912EDA">
      <w:pPr>
        <w:numPr>
          <w:ilvl w:val="0"/>
          <w:numId w:val="10"/>
        </w:numPr>
        <w:autoSpaceDE w:val="0"/>
        <w:autoSpaceDN w:val="0"/>
        <w:adjustRightInd w:val="0"/>
        <w:ind w:left="426" w:hanging="426"/>
        <w:rPr>
          <w:rFonts w:eastAsia="Calibri" w:cs="Swis721 Lt BT"/>
          <w:color w:val="000000"/>
          <w:szCs w:val="24"/>
        </w:rPr>
      </w:pPr>
      <w:r w:rsidRPr="00420A2C">
        <w:rPr>
          <w:rFonts w:eastAsia="Calibri" w:cs="Swis721 Lt BT"/>
          <w:color w:val="000000"/>
          <w:szCs w:val="24"/>
        </w:rPr>
        <w:t xml:space="preserve">Swab needleless injection cap </w:t>
      </w:r>
      <w:r>
        <w:rPr>
          <w:rFonts w:eastAsia="Calibri" w:cs="Swis721 Lt BT"/>
          <w:color w:val="000000"/>
          <w:szCs w:val="24"/>
        </w:rPr>
        <w:t xml:space="preserve">vigorously </w:t>
      </w:r>
      <w:r w:rsidRPr="00420A2C">
        <w:rPr>
          <w:rFonts w:eastAsia="Calibri" w:cs="Swis721 Lt BT"/>
          <w:color w:val="000000"/>
          <w:szCs w:val="24"/>
        </w:rPr>
        <w:t>with a Chlorhexidine 2%alcohol 70% swab for 15 seconds. Allow to dry for 30 seconds.</w:t>
      </w:r>
      <w:r>
        <w:rPr>
          <w:rFonts w:eastAsia="Calibri" w:cs="Swis721 Lt BT"/>
          <w:color w:val="000000"/>
          <w:szCs w:val="24"/>
        </w:rPr>
        <w:t xml:space="preserve"> </w:t>
      </w:r>
    </w:p>
    <w:p w14:paraId="42FF2628" w14:textId="77777777" w:rsidR="00912EDA" w:rsidRPr="0051317C" w:rsidRDefault="00912EDA" w:rsidP="00912EDA">
      <w:pPr>
        <w:numPr>
          <w:ilvl w:val="0"/>
          <w:numId w:val="10"/>
        </w:numPr>
        <w:autoSpaceDE w:val="0"/>
        <w:autoSpaceDN w:val="0"/>
        <w:adjustRightInd w:val="0"/>
        <w:ind w:left="426" w:hanging="426"/>
        <w:rPr>
          <w:rFonts w:eastAsia="Calibri" w:cs="Swis721 Lt BT"/>
          <w:color w:val="000000" w:themeColor="text1"/>
        </w:rPr>
      </w:pPr>
      <w:r w:rsidRPr="0051317C">
        <w:rPr>
          <w:rFonts w:eastAsia="Calibri" w:cs="Swis721 Lt BT"/>
          <w:color w:val="000000" w:themeColor="text1"/>
        </w:rPr>
        <w:t xml:space="preserve">Flush lumen with 20mL total of Sodium Chloride 0.9%, (using 2x 10mL sterile prefilled Sodium Chloride 0.9% Posiflushes), using pulsatile action. This may be followed by Heparinised Saline 50 units in 5mL per lumen, for CVC, PICC (no Heparin to Power PICC Solo), Hickmann Line and Implanted Port, if ordered (please see </w:t>
      </w:r>
      <w:r w:rsidRPr="0051317C">
        <w:rPr>
          <w:i/>
          <w:iCs/>
        </w:rPr>
        <w:t>Central Venous Access Device (CVAD) Management Children, Adolescents and Adults (NOT neonates) Procedure</w:t>
      </w:r>
      <w:r>
        <w:rPr>
          <w:rFonts w:eastAsia="Calibri" w:cs="Swis721 Lt BT"/>
          <w:color w:val="000000" w:themeColor="text1"/>
        </w:rPr>
        <w:t>).</w:t>
      </w:r>
    </w:p>
    <w:p w14:paraId="5167A060" w14:textId="77777777" w:rsidR="00912EDA" w:rsidRDefault="00912EDA" w:rsidP="00912EDA">
      <w:pPr>
        <w:numPr>
          <w:ilvl w:val="0"/>
          <w:numId w:val="10"/>
        </w:numPr>
        <w:autoSpaceDE w:val="0"/>
        <w:autoSpaceDN w:val="0"/>
        <w:adjustRightInd w:val="0"/>
        <w:ind w:left="426" w:hanging="426"/>
        <w:rPr>
          <w:rFonts w:eastAsia="Calibri" w:cs="Swis721 Lt BT"/>
          <w:color w:val="000000"/>
          <w:szCs w:val="24"/>
        </w:rPr>
      </w:pPr>
      <w:r>
        <w:rPr>
          <w:rFonts w:eastAsia="Calibri" w:cs="Swis721 Lt BT"/>
          <w:color w:val="000000"/>
          <w:szCs w:val="24"/>
        </w:rPr>
        <w:t xml:space="preserve">If blood remains visible in the needleless injection cap it should be replaced as a separate procedure, please refer to </w:t>
      </w:r>
      <w:r w:rsidRPr="00DA425F">
        <w:rPr>
          <w:i/>
          <w:iCs/>
        </w:rPr>
        <w:t>Central Venous Access Device (CVAD) Management Children, Adolescents and Adults (NOT neonates)</w:t>
      </w:r>
      <w:r>
        <w:rPr>
          <w:i/>
          <w:iCs/>
        </w:rPr>
        <w:t xml:space="preserve"> Procedure.</w:t>
      </w:r>
    </w:p>
    <w:p w14:paraId="0F806688" w14:textId="77777777" w:rsidR="00912EDA" w:rsidRPr="00AA13E7" w:rsidRDefault="00912EDA" w:rsidP="00912EDA">
      <w:pPr>
        <w:numPr>
          <w:ilvl w:val="0"/>
          <w:numId w:val="10"/>
        </w:numPr>
        <w:autoSpaceDE w:val="0"/>
        <w:autoSpaceDN w:val="0"/>
        <w:adjustRightInd w:val="0"/>
        <w:ind w:left="426" w:hanging="426"/>
        <w:rPr>
          <w:rFonts w:eastAsia="Calibri" w:cs="Swis721 Lt BT"/>
          <w:color w:val="000000"/>
          <w:szCs w:val="24"/>
        </w:rPr>
      </w:pPr>
      <w:r>
        <w:rPr>
          <w:rFonts w:eastAsia="Calibri" w:cs="Swis721 Lt BT"/>
          <w:color w:val="000000"/>
          <w:szCs w:val="24"/>
        </w:rPr>
        <w:t xml:space="preserve">Remove and discard gloves and perform HH. </w:t>
      </w:r>
    </w:p>
    <w:p w14:paraId="4BEA3936" w14:textId="77777777" w:rsidR="00912EDA" w:rsidRDefault="00912EDA" w:rsidP="00912EDA">
      <w:pPr>
        <w:numPr>
          <w:ilvl w:val="0"/>
          <w:numId w:val="10"/>
        </w:numPr>
        <w:autoSpaceDE w:val="0"/>
        <w:autoSpaceDN w:val="0"/>
        <w:adjustRightInd w:val="0"/>
        <w:ind w:left="426" w:hanging="426"/>
        <w:rPr>
          <w:rFonts w:eastAsia="Calibri" w:cs="Swis721 Lt BT"/>
          <w:color w:val="000000"/>
          <w:szCs w:val="24"/>
        </w:rPr>
      </w:pPr>
      <w:r>
        <w:rPr>
          <w:rFonts w:eastAsia="Calibri" w:cs="Swis721 Lt BT"/>
          <w:color w:val="000000"/>
          <w:szCs w:val="24"/>
        </w:rPr>
        <w:t>Immediately after specimen collection, at the patient bedside, the collector must personally l</w:t>
      </w:r>
      <w:r w:rsidRPr="006745DA">
        <w:rPr>
          <w:rFonts w:eastAsia="Calibri" w:cs="Swis721 Lt BT"/>
          <w:color w:val="000000"/>
          <w:szCs w:val="24"/>
        </w:rPr>
        <w:t xml:space="preserve">abel each bottle </w:t>
      </w:r>
      <w:r>
        <w:rPr>
          <w:rFonts w:eastAsia="Calibri" w:cs="Swis721 Lt BT"/>
          <w:color w:val="000000"/>
          <w:szCs w:val="24"/>
        </w:rPr>
        <w:t xml:space="preserve">before leaving the patients side, and ensure they are labelled correctly and accurately by complying with </w:t>
      </w:r>
      <w:r w:rsidRPr="00DA425F">
        <w:rPr>
          <w:rFonts w:eastAsia="Calibri" w:cs="Swis721 Lt BT"/>
          <w:i/>
          <w:iCs/>
          <w:color w:val="000000"/>
          <w:szCs w:val="24"/>
        </w:rPr>
        <w:t xml:space="preserve">Patient Identification – Pathology Specimen </w:t>
      </w:r>
      <w:r>
        <w:rPr>
          <w:rFonts w:eastAsia="Calibri" w:cs="Swis721 Lt BT"/>
          <w:i/>
          <w:iCs/>
          <w:color w:val="000000"/>
          <w:szCs w:val="24"/>
        </w:rPr>
        <w:t>L</w:t>
      </w:r>
      <w:r w:rsidRPr="00DA425F">
        <w:rPr>
          <w:rFonts w:eastAsia="Calibri" w:cs="Swis721 Lt BT"/>
          <w:i/>
          <w:iCs/>
          <w:color w:val="000000"/>
          <w:szCs w:val="24"/>
        </w:rPr>
        <w:t xml:space="preserve">abelling </w:t>
      </w:r>
      <w:r w:rsidRPr="008E0668">
        <w:rPr>
          <w:rFonts w:eastAsia="Calibri" w:cs="Swis721 Lt BT"/>
          <w:i/>
          <w:iCs/>
          <w:color w:val="000000"/>
          <w:szCs w:val="24"/>
        </w:rPr>
        <w:t>P</w:t>
      </w:r>
      <w:r w:rsidRPr="00ED398F">
        <w:rPr>
          <w:rFonts w:eastAsia="Calibri" w:cs="Swis721 Lt BT"/>
          <w:i/>
          <w:iCs/>
          <w:color w:val="000000"/>
          <w:szCs w:val="24"/>
        </w:rPr>
        <w:t>rocedure</w:t>
      </w:r>
      <w:r>
        <w:rPr>
          <w:rFonts w:eastAsia="Calibri" w:cs="Swis721 Lt BT"/>
          <w:color w:val="000000"/>
          <w:szCs w:val="24"/>
        </w:rPr>
        <w:t xml:space="preserve"> (. When applying printed pathology identification labels, d</w:t>
      </w:r>
      <w:r w:rsidRPr="006745DA">
        <w:rPr>
          <w:rFonts w:eastAsia="Calibri" w:cs="Swis721 Lt BT"/>
          <w:color w:val="000000"/>
          <w:szCs w:val="24"/>
        </w:rPr>
        <w:t xml:space="preserve">o not cover any barcodes or the bottom of the </w:t>
      </w:r>
      <w:r>
        <w:rPr>
          <w:rFonts w:eastAsia="Calibri" w:cs="Swis721 Lt BT"/>
          <w:color w:val="000000"/>
          <w:szCs w:val="24"/>
        </w:rPr>
        <w:t>Blood Culture B</w:t>
      </w:r>
      <w:r w:rsidRPr="006745DA">
        <w:rPr>
          <w:rFonts w:eastAsia="Calibri" w:cs="Swis721 Lt BT"/>
          <w:color w:val="000000"/>
          <w:szCs w:val="24"/>
        </w:rPr>
        <w:t>ottle</w:t>
      </w:r>
      <w:r>
        <w:rPr>
          <w:rFonts w:eastAsia="Calibri" w:cs="Swis721 Lt BT"/>
          <w:color w:val="000000"/>
          <w:szCs w:val="24"/>
        </w:rPr>
        <w:t>s.</w:t>
      </w:r>
      <w:r w:rsidRPr="006745DA">
        <w:rPr>
          <w:rFonts w:eastAsia="Calibri" w:cs="Swis721 Lt BT"/>
          <w:color w:val="000000"/>
          <w:szCs w:val="24"/>
        </w:rPr>
        <w:t xml:space="preserve"> </w:t>
      </w:r>
    </w:p>
    <w:p w14:paraId="73A1A33B" w14:textId="77777777" w:rsidR="00912EDA" w:rsidRPr="0041444E" w:rsidRDefault="00912EDA" w:rsidP="00912EDA">
      <w:pPr>
        <w:numPr>
          <w:ilvl w:val="0"/>
          <w:numId w:val="10"/>
        </w:numPr>
        <w:autoSpaceDE w:val="0"/>
        <w:autoSpaceDN w:val="0"/>
        <w:adjustRightInd w:val="0"/>
        <w:ind w:left="426" w:hanging="426"/>
        <w:rPr>
          <w:rFonts w:eastAsia="Calibri"/>
        </w:rPr>
      </w:pPr>
      <w:r w:rsidRPr="001717AF">
        <w:rPr>
          <w:rFonts w:eastAsia="Calibri" w:cs="Swis721 Lt BT"/>
          <w:szCs w:val="24"/>
        </w:rPr>
        <w:t>Remove the small peel off barcode labels, from the blood culture bottles and set aside to be entered in the patients’ clinical record (discussed below</w:t>
      </w:r>
      <w:r w:rsidRPr="0041444E">
        <w:rPr>
          <w:rFonts w:eastAsia="Calibri"/>
        </w:rPr>
        <w:t xml:space="preserve">: Section </w:t>
      </w:r>
      <w:r>
        <w:rPr>
          <w:rFonts w:eastAsia="Calibri"/>
        </w:rPr>
        <w:t>5</w:t>
      </w:r>
      <w:r w:rsidRPr="0041444E">
        <w:rPr>
          <w:rFonts w:eastAsia="Calibri"/>
        </w:rPr>
        <w:t>.3</w:t>
      </w:r>
      <w:r w:rsidRPr="001717AF">
        <w:rPr>
          <w:rFonts w:ascii="Calibri Light" w:eastAsia="Calibri" w:hAnsi="Calibri Light" w:cs="Calibri Light"/>
          <w:szCs w:val="24"/>
        </w:rPr>
        <w:t xml:space="preserve"> </w:t>
      </w:r>
      <w:r w:rsidRPr="0041444E">
        <w:rPr>
          <w:rFonts w:eastAsia="Calibri"/>
        </w:rPr>
        <w:t>Documentation).</w:t>
      </w:r>
    </w:p>
    <w:p w14:paraId="1B000DBD" w14:textId="77777777" w:rsidR="00912EDA" w:rsidRDefault="00912EDA" w:rsidP="00912EDA">
      <w:pPr>
        <w:numPr>
          <w:ilvl w:val="0"/>
          <w:numId w:val="10"/>
        </w:numPr>
        <w:autoSpaceDE w:val="0"/>
        <w:autoSpaceDN w:val="0"/>
        <w:adjustRightInd w:val="0"/>
        <w:ind w:left="426" w:hanging="426"/>
        <w:rPr>
          <w:rFonts w:eastAsia="Calibri" w:cs="Swis721 Lt BT"/>
          <w:color w:val="000000"/>
          <w:szCs w:val="24"/>
        </w:rPr>
      </w:pPr>
      <w:r w:rsidRPr="001717AF">
        <w:rPr>
          <w:rFonts w:eastAsia="Calibri" w:cs="Swis721 Lt BT"/>
          <w:szCs w:val="24"/>
        </w:rPr>
        <w:t xml:space="preserve">Place labelled Blood </w:t>
      </w:r>
      <w:r>
        <w:rPr>
          <w:rFonts w:eastAsia="Calibri" w:cs="Swis721 Lt BT"/>
          <w:color w:val="000000"/>
          <w:szCs w:val="24"/>
        </w:rPr>
        <w:t xml:space="preserve">Culture bottles </w:t>
      </w:r>
      <w:r w:rsidRPr="00254CD4">
        <w:rPr>
          <w:rFonts w:eastAsia="Calibri" w:cs="Swis721 Lt BT"/>
          <w:color w:val="000000"/>
          <w:szCs w:val="24"/>
        </w:rPr>
        <w:t>into</w:t>
      </w:r>
      <w:r>
        <w:rPr>
          <w:rFonts w:eastAsia="Calibri" w:cs="Swis721 Lt BT"/>
          <w:color w:val="000000"/>
          <w:szCs w:val="24"/>
        </w:rPr>
        <w:t xml:space="preserve"> a</w:t>
      </w:r>
      <w:r w:rsidRPr="00254CD4">
        <w:rPr>
          <w:rFonts w:eastAsia="Calibri" w:cs="Swis721 Lt BT"/>
          <w:color w:val="000000"/>
          <w:szCs w:val="24"/>
        </w:rPr>
        <w:t xml:space="preserve"> biohazard bag and arrange to send to the lab with </w:t>
      </w:r>
      <w:r>
        <w:rPr>
          <w:rFonts w:eastAsia="Calibri" w:cs="Swis721 Lt BT"/>
          <w:color w:val="000000"/>
          <w:szCs w:val="24"/>
        </w:rPr>
        <w:t xml:space="preserve">the </w:t>
      </w:r>
      <w:r w:rsidRPr="00254CD4">
        <w:rPr>
          <w:rFonts w:eastAsia="Calibri" w:cs="Swis721 Lt BT"/>
          <w:color w:val="000000"/>
          <w:szCs w:val="24"/>
        </w:rPr>
        <w:t xml:space="preserve">request form. Transport bottles at </w:t>
      </w:r>
      <w:r>
        <w:rPr>
          <w:rFonts w:eastAsia="Calibri" w:cs="Swis721 Lt BT"/>
          <w:color w:val="000000"/>
          <w:szCs w:val="24"/>
        </w:rPr>
        <w:t>room</w:t>
      </w:r>
      <w:r w:rsidRPr="00254CD4">
        <w:rPr>
          <w:rFonts w:eastAsia="Calibri" w:cs="Swis721 Lt BT"/>
          <w:color w:val="000000"/>
          <w:szCs w:val="24"/>
        </w:rPr>
        <w:t xml:space="preserve"> temperature</w:t>
      </w:r>
      <w:r>
        <w:rPr>
          <w:rFonts w:eastAsia="Calibri" w:cs="Swis721 Lt BT"/>
          <w:color w:val="000000"/>
          <w:szCs w:val="24"/>
        </w:rPr>
        <w:t xml:space="preserve"> within 2 hours.  Do not send more than 2 Blood Culture Bottles at a time in the pathology pneumatic rapid transport tube system, due to the potential for breakage. </w:t>
      </w:r>
    </w:p>
    <w:p w14:paraId="6C1BD683" w14:textId="77777777" w:rsidR="00912EDA" w:rsidRDefault="00912EDA" w:rsidP="00912EDA">
      <w:pPr>
        <w:numPr>
          <w:ilvl w:val="0"/>
          <w:numId w:val="10"/>
        </w:numPr>
        <w:autoSpaceDE w:val="0"/>
        <w:autoSpaceDN w:val="0"/>
        <w:adjustRightInd w:val="0"/>
        <w:ind w:left="426" w:hanging="426"/>
        <w:rPr>
          <w:rFonts w:eastAsia="Calibri" w:cs="Swis721 Lt BT"/>
          <w:color w:val="000000"/>
          <w:szCs w:val="24"/>
        </w:rPr>
      </w:pPr>
      <w:r>
        <w:rPr>
          <w:rFonts w:eastAsia="Calibri" w:cs="Swis721 Lt BT"/>
          <w:color w:val="000000"/>
          <w:szCs w:val="24"/>
        </w:rPr>
        <w:t xml:space="preserve">Perform HH. </w:t>
      </w:r>
    </w:p>
    <w:p w14:paraId="03014B0B" w14:textId="77777777" w:rsidR="00912EDA" w:rsidRDefault="00912EDA" w:rsidP="00912EDA">
      <w:pPr>
        <w:numPr>
          <w:ilvl w:val="0"/>
          <w:numId w:val="10"/>
        </w:numPr>
        <w:autoSpaceDE w:val="0"/>
        <w:autoSpaceDN w:val="0"/>
        <w:adjustRightInd w:val="0"/>
        <w:ind w:left="426" w:hanging="426"/>
        <w:rPr>
          <w:rFonts w:eastAsia="Calibri" w:cs="Swis721 Lt BT"/>
          <w:color w:val="000000"/>
          <w:szCs w:val="24"/>
        </w:rPr>
      </w:pPr>
      <w:r>
        <w:rPr>
          <w:rFonts w:eastAsia="Calibri" w:cs="Swis721 Lt BT"/>
          <w:color w:val="000000"/>
          <w:szCs w:val="24"/>
        </w:rPr>
        <w:t xml:space="preserve">Ensure patient comfort on terminating the procedure and instruct the patient on the potential complications of venepuncture, and to report any concerns if they arise (tingling sensation, pain or swelling in venepuncture arm). </w:t>
      </w:r>
    </w:p>
    <w:p w14:paraId="63A88464" w14:textId="77777777" w:rsidR="00912EDA" w:rsidRPr="00D911EB" w:rsidRDefault="00912EDA" w:rsidP="00912EDA">
      <w:pPr>
        <w:numPr>
          <w:ilvl w:val="0"/>
          <w:numId w:val="10"/>
        </w:numPr>
        <w:autoSpaceDE w:val="0"/>
        <w:autoSpaceDN w:val="0"/>
        <w:adjustRightInd w:val="0"/>
        <w:ind w:left="426" w:hanging="426"/>
        <w:rPr>
          <w:rFonts w:eastAsia="Calibri" w:cs="Swis721 Lt BT"/>
          <w:color w:val="000000"/>
          <w:szCs w:val="24"/>
        </w:rPr>
      </w:pPr>
      <w:r>
        <w:rPr>
          <w:rFonts w:eastAsia="Calibri" w:cs="Swis721 Lt BT"/>
          <w:color w:val="000000"/>
          <w:szCs w:val="24"/>
        </w:rPr>
        <w:t xml:space="preserve">Discard all consumables appropriately as per </w:t>
      </w:r>
      <w:r w:rsidRPr="00D911EB">
        <w:rPr>
          <w:rFonts w:eastAsia="Calibri" w:cs="Swis721 Lt BT"/>
          <w:color w:val="000000"/>
          <w:szCs w:val="24"/>
        </w:rPr>
        <w:t>Waste Management Policy.</w:t>
      </w:r>
    </w:p>
    <w:p w14:paraId="52EBCE4A" w14:textId="77777777" w:rsidR="00912EDA" w:rsidRPr="008E0668" w:rsidRDefault="00912EDA" w:rsidP="00912EDA">
      <w:pPr>
        <w:numPr>
          <w:ilvl w:val="0"/>
          <w:numId w:val="10"/>
        </w:numPr>
        <w:autoSpaceDE w:val="0"/>
        <w:autoSpaceDN w:val="0"/>
        <w:adjustRightInd w:val="0"/>
        <w:ind w:left="426" w:hanging="426"/>
        <w:rPr>
          <w:rFonts w:eastAsia="Calibri" w:cs="Swis721 Lt BT"/>
          <w:color w:val="000000"/>
          <w:szCs w:val="24"/>
        </w:rPr>
      </w:pPr>
      <w:r w:rsidRPr="00064475">
        <w:rPr>
          <w:rFonts w:eastAsia="Calibri" w:cs="Swis721 Lt BT"/>
          <w:color w:val="000000"/>
          <w:szCs w:val="24"/>
        </w:rPr>
        <w:t>Clean dressing trolley from top to bottom with detergent</w:t>
      </w:r>
      <w:r w:rsidRPr="00D911EB">
        <w:rPr>
          <w:rFonts w:eastAsia="Calibri" w:cs="Swis721 Lt BT"/>
          <w:color w:val="000000"/>
          <w:szCs w:val="24"/>
        </w:rPr>
        <w:t>‐</w:t>
      </w:r>
      <w:r w:rsidRPr="00064475">
        <w:rPr>
          <w:rFonts w:eastAsia="Calibri" w:cs="Swis721 Lt BT"/>
          <w:color w:val="000000"/>
          <w:szCs w:val="24"/>
        </w:rPr>
        <w:t>based wipes and return to the storeroom.</w:t>
      </w:r>
    </w:p>
    <w:p w14:paraId="3B55D52F" w14:textId="77777777" w:rsidR="00912EDA" w:rsidRPr="008E0668" w:rsidRDefault="00912EDA" w:rsidP="00912EDA">
      <w:pPr>
        <w:numPr>
          <w:ilvl w:val="0"/>
          <w:numId w:val="10"/>
        </w:numPr>
        <w:autoSpaceDE w:val="0"/>
        <w:autoSpaceDN w:val="0"/>
        <w:adjustRightInd w:val="0"/>
        <w:ind w:left="426" w:hanging="426"/>
        <w:rPr>
          <w:rFonts w:eastAsia="Calibri" w:cs="Swis721 Lt BT"/>
          <w:color w:val="000000"/>
          <w:szCs w:val="24"/>
        </w:rPr>
      </w:pPr>
      <w:r w:rsidRPr="00064475">
        <w:rPr>
          <w:rFonts w:eastAsia="Calibri" w:cs="Swis721 Lt BT"/>
          <w:color w:val="000000"/>
          <w:szCs w:val="24"/>
        </w:rPr>
        <w:t>Document procedure</w:t>
      </w:r>
      <w:r>
        <w:rPr>
          <w:rFonts w:eastAsia="Calibri" w:cs="Swis721 Lt BT"/>
          <w:color w:val="000000"/>
          <w:szCs w:val="24"/>
        </w:rPr>
        <w:t xml:space="preserve"> notes</w:t>
      </w:r>
      <w:r w:rsidRPr="00064475">
        <w:rPr>
          <w:rFonts w:eastAsia="Calibri" w:cs="Swis721 Lt BT"/>
          <w:color w:val="000000"/>
          <w:szCs w:val="24"/>
        </w:rPr>
        <w:t xml:space="preserve"> in the patients’ clinical record. </w:t>
      </w:r>
    </w:p>
    <w:p w14:paraId="66E03FEB" w14:textId="77777777" w:rsidR="00912EDA" w:rsidRDefault="00912EDA" w:rsidP="00912EDA">
      <w:pPr>
        <w:rPr>
          <w:rFonts w:cs="Arial"/>
          <w:b/>
          <w:bCs/>
          <w:sz w:val="28"/>
          <w:szCs w:val="28"/>
        </w:rPr>
      </w:pPr>
    </w:p>
    <w:p w14:paraId="4400FE07" w14:textId="77777777" w:rsidR="00912EDA" w:rsidRDefault="00912EDA" w:rsidP="00912EDA">
      <w:pPr>
        <w:rPr>
          <w:b/>
          <w:bCs/>
        </w:rPr>
      </w:pPr>
      <w:r>
        <w:rPr>
          <w:b/>
          <w:bCs/>
        </w:rPr>
        <w:br w:type="page"/>
      </w:r>
    </w:p>
    <w:p w14:paraId="751E1C58" w14:textId="77777777" w:rsidR="00912EDA" w:rsidRPr="0041444E" w:rsidRDefault="00912EDA" w:rsidP="00912EDA">
      <w:pPr>
        <w:rPr>
          <w:b/>
          <w:bCs/>
        </w:rPr>
      </w:pPr>
      <w:r>
        <w:rPr>
          <w:b/>
          <w:bCs/>
        </w:rPr>
        <w:lastRenderedPageBreak/>
        <w:t>5</w:t>
      </w:r>
      <w:r w:rsidRPr="0041444E">
        <w:rPr>
          <w:b/>
          <w:bCs/>
        </w:rPr>
        <w:t xml:space="preserve">.3 </w:t>
      </w:r>
      <w:r w:rsidRPr="0041444E">
        <w:rPr>
          <w:b/>
          <w:bCs/>
        </w:rPr>
        <w:tab/>
        <w:t>Documentation:</w:t>
      </w:r>
    </w:p>
    <w:p w14:paraId="1F3258F4" w14:textId="77777777" w:rsidR="00912EDA" w:rsidRDefault="00912EDA" w:rsidP="00912EDA">
      <w:pPr>
        <w:autoSpaceDE w:val="0"/>
        <w:autoSpaceDN w:val="0"/>
        <w:adjustRightInd w:val="0"/>
        <w:rPr>
          <w:rFonts w:eastAsia="Calibri" w:cs="Swis721 Lt BT"/>
          <w:color w:val="000000"/>
          <w:szCs w:val="24"/>
        </w:rPr>
      </w:pPr>
      <w:r>
        <w:rPr>
          <w:rFonts w:eastAsia="Calibri" w:cs="Swis721 Lt BT"/>
          <w:color w:val="000000"/>
          <w:szCs w:val="24"/>
        </w:rPr>
        <w:t>Place small peel off barcode label from blood culture bottles in clinical notes and d</w:t>
      </w:r>
      <w:r w:rsidRPr="00254CD4">
        <w:rPr>
          <w:rFonts w:eastAsia="Calibri" w:cs="Swis721 Lt BT"/>
          <w:color w:val="000000"/>
          <w:szCs w:val="24"/>
        </w:rPr>
        <w:t>ocument</w:t>
      </w:r>
      <w:r>
        <w:rPr>
          <w:rFonts w:eastAsia="Calibri" w:cs="Swis721 Lt BT"/>
          <w:color w:val="000000"/>
          <w:szCs w:val="24"/>
        </w:rPr>
        <w:t>:</w:t>
      </w:r>
      <w:r w:rsidRPr="00254CD4">
        <w:rPr>
          <w:rFonts w:eastAsia="Calibri" w:cs="Swis721 Lt BT"/>
          <w:color w:val="000000"/>
          <w:szCs w:val="24"/>
        </w:rPr>
        <w:t xml:space="preserve"> </w:t>
      </w:r>
    </w:p>
    <w:p w14:paraId="698B3B37" w14:textId="77777777" w:rsidR="00912EDA" w:rsidRPr="00070F1E" w:rsidRDefault="00912EDA" w:rsidP="00912EDA">
      <w:pPr>
        <w:pStyle w:val="ListParagraph"/>
        <w:numPr>
          <w:ilvl w:val="0"/>
          <w:numId w:val="8"/>
        </w:numPr>
        <w:autoSpaceDE w:val="0"/>
        <w:autoSpaceDN w:val="0"/>
        <w:adjustRightInd w:val="0"/>
        <w:rPr>
          <w:rFonts w:eastAsia="Calibri" w:cs="Swis721 Lt BT"/>
          <w:color w:val="000000"/>
          <w:szCs w:val="24"/>
        </w:rPr>
      </w:pPr>
      <w:r w:rsidRPr="00070F1E">
        <w:rPr>
          <w:rFonts w:eastAsia="Calibri" w:cs="Swis721 Lt BT"/>
          <w:color w:val="000000"/>
          <w:szCs w:val="24"/>
        </w:rPr>
        <w:t>number of sets of blood cultures taken</w:t>
      </w:r>
    </w:p>
    <w:p w14:paraId="1D6B9E20" w14:textId="77777777" w:rsidR="00912EDA" w:rsidRDefault="00912EDA" w:rsidP="00912EDA">
      <w:pPr>
        <w:pStyle w:val="ListParagraph"/>
        <w:numPr>
          <w:ilvl w:val="0"/>
          <w:numId w:val="8"/>
        </w:numPr>
        <w:autoSpaceDE w:val="0"/>
        <w:autoSpaceDN w:val="0"/>
        <w:adjustRightInd w:val="0"/>
        <w:ind w:left="426" w:hanging="426"/>
        <w:rPr>
          <w:rFonts w:eastAsia="Calibri" w:cs="Swis721 Lt BT"/>
          <w:color w:val="000000"/>
          <w:szCs w:val="24"/>
        </w:rPr>
      </w:pPr>
      <w:r w:rsidRPr="00070F1E">
        <w:rPr>
          <w:rFonts w:eastAsia="Calibri" w:cs="Swis721 Lt BT"/>
          <w:color w:val="000000"/>
          <w:szCs w:val="24"/>
        </w:rPr>
        <w:t xml:space="preserve">site/s of collection </w:t>
      </w:r>
    </w:p>
    <w:p w14:paraId="449DEFBE" w14:textId="77777777" w:rsidR="00912EDA" w:rsidRDefault="00912EDA" w:rsidP="00912EDA">
      <w:pPr>
        <w:autoSpaceDE w:val="0"/>
        <w:autoSpaceDN w:val="0"/>
        <w:adjustRightInd w:val="0"/>
        <w:rPr>
          <w:rFonts w:eastAsia="Calibri" w:cs="Swis721 Lt BT"/>
          <w:color w:val="000000"/>
          <w:szCs w:val="24"/>
        </w:rPr>
      </w:pPr>
    </w:p>
    <w:p w14:paraId="7A0315C0" w14:textId="77777777" w:rsidR="00912EDA" w:rsidRDefault="00912EDA" w:rsidP="00912EDA">
      <w:pPr>
        <w:pBdr>
          <w:top w:val="single" w:sz="4" w:space="1" w:color="auto"/>
          <w:left w:val="single" w:sz="4" w:space="4" w:color="auto"/>
          <w:bottom w:val="single" w:sz="4" w:space="1" w:color="auto"/>
          <w:right w:val="single" w:sz="4" w:space="4" w:color="auto"/>
        </w:pBdr>
      </w:pPr>
      <w:r w:rsidRPr="0041444E">
        <w:rPr>
          <w:rFonts w:eastAsia="Calibri" w:cs="Swis721 Lt BT"/>
          <w:b/>
          <w:bCs/>
          <w:color w:val="000000"/>
          <w:szCs w:val="24"/>
        </w:rPr>
        <w:t>Note</w:t>
      </w:r>
      <w:r>
        <w:rPr>
          <w:rFonts w:eastAsia="Calibri" w:cs="Swis721 Lt BT"/>
          <w:b/>
          <w:bCs/>
          <w:i/>
          <w:iCs/>
          <w:color w:val="000000"/>
          <w:szCs w:val="24"/>
        </w:rPr>
        <w:t xml:space="preserve">: </w:t>
      </w:r>
      <w:r w:rsidRPr="00AB73A3">
        <w:rPr>
          <w:rFonts w:eastAsia="Calibri" w:cs="Swis721 Lt BT"/>
          <w:color w:val="000000"/>
          <w:szCs w:val="24"/>
        </w:rPr>
        <w:t>Repeat entire procedure</w:t>
      </w:r>
      <w:r>
        <w:rPr>
          <w:rFonts w:eastAsia="Calibri" w:cs="Swis721 Lt BT"/>
          <w:color w:val="000000"/>
          <w:szCs w:val="24"/>
        </w:rPr>
        <w:t xml:space="preserve"> for 2</w:t>
      </w:r>
      <w:r w:rsidRPr="001717AF">
        <w:rPr>
          <w:rFonts w:eastAsia="Calibri" w:cs="Swis721 Lt BT"/>
          <w:color w:val="000000"/>
          <w:szCs w:val="24"/>
          <w:vertAlign w:val="superscript"/>
        </w:rPr>
        <w:t>nd</w:t>
      </w:r>
      <w:r>
        <w:rPr>
          <w:rFonts w:eastAsia="Calibri" w:cs="Swis721 Lt BT"/>
          <w:color w:val="000000"/>
          <w:szCs w:val="24"/>
        </w:rPr>
        <w:t xml:space="preserve"> set of </w:t>
      </w:r>
      <w:r w:rsidRPr="00BF4169">
        <w:rPr>
          <w:rFonts w:eastAsia="Calibri" w:cs="Swis721 Lt BT"/>
          <w:color w:val="000000"/>
          <w:szCs w:val="24"/>
        </w:rPr>
        <w:t>blood cultures from a different lumen, using new dressing pack / sterile field and maintaining standard aseptic technique.</w:t>
      </w:r>
    </w:p>
    <w:p w14:paraId="63665CC3" w14:textId="77777777" w:rsidR="00912EDA" w:rsidRPr="0041444E" w:rsidRDefault="00912EDA" w:rsidP="00912EDA">
      <w:pPr>
        <w:autoSpaceDE w:val="0"/>
        <w:autoSpaceDN w:val="0"/>
        <w:adjustRightInd w:val="0"/>
        <w:rPr>
          <w:rFonts w:eastAsia="Calibri" w:cs="Swis721 Lt BT"/>
          <w:color w:val="000000"/>
          <w:szCs w:val="24"/>
        </w:rPr>
      </w:pPr>
    </w:p>
    <w:p w14:paraId="690181F9" w14:textId="77777777" w:rsidR="00912EDA" w:rsidRPr="0041444E" w:rsidRDefault="00912EDA" w:rsidP="00912EDA">
      <w:pPr>
        <w:jc w:val="right"/>
        <w:rPr>
          <w:rFonts w:cs="Calibri,Bold"/>
          <w:bCs/>
          <w:i/>
          <w:szCs w:val="24"/>
          <w:lang w:eastAsia="en-AU"/>
        </w:rPr>
      </w:pPr>
      <w:hyperlink w:anchor="Contents" w:history="1">
        <w:r w:rsidRPr="00CA0FED">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4073ACAE" w14:textId="77777777" w:rsidTr="00FC324C">
        <w:trPr>
          <w:cantSplit/>
          <w:trHeight w:val="285"/>
        </w:trPr>
        <w:tc>
          <w:tcPr>
            <w:tcW w:w="9300" w:type="dxa"/>
            <w:shd w:val="clear" w:color="auto" w:fill="A6A6A6"/>
          </w:tcPr>
          <w:p w14:paraId="79E42530" w14:textId="77777777" w:rsidR="00912EDA" w:rsidRPr="00C76688" w:rsidRDefault="00912EDA" w:rsidP="00FC324C">
            <w:pPr>
              <w:pStyle w:val="Heading1"/>
            </w:pPr>
            <w:bookmarkStart w:id="24" w:name="_Toc113627990"/>
            <w:r w:rsidRPr="00C76688">
              <w:t xml:space="preserve">Section </w:t>
            </w:r>
            <w:r>
              <w:t>6</w:t>
            </w:r>
            <w:r w:rsidRPr="00C76688">
              <w:t xml:space="preserve"> –</w:t>
            </w:r>
            <w:r>
              <w:t xml:space="preserve"> Practice Recommendations</w:t>
            </w:r>
            <w:bookmarkEnd w:id="24"/>
          </w:p>
        </w:tc>
      </w:tr>
    </w:tbl>
    <w:p w14:paraId="30B46DFF" w14:textId="77777777" w:rsidR="00912EDA" w:rsidRPr="00A94FBF" w:rsidRDefault="00912EDA" w:rsidP="00912EDA">
      <w:pPr>
        <w:autoSpaceDE w:val="0"/>
        <w:autoSpaceDN w:val="0"/>
        <w:adjustRightInd w:val="0"/>
        <w:rPr>
          <w:rFonts w:eastAsia="Calibri" w:cs="Swis721 Lt BT"/>
          <w:color w:val="000000"/>
          <w:szCs w:val="24"/>
        </w:rPr>
      </w:pPr>
    </w:p>
    <w:p w14:paraId="14ECA0DD" w14:textId="77777777" w:rsidR="00912EDA" w:rsidRPr="008E0668" w:rsidRDefault="00912EDA" w:rsidP="00912EDA">
      <w:pPr>
        <w:pStyle w:val="ListParagraph"/>
        <w:numPr>
          <w:ilvl w:val="0"/>
          <w:numId w:val="5"/>
        </w:numPr>
        <w:autoSpaceDE w:val="0"/>
        <w:autoSpaceDN w:val="0"/>
        <w:adjustRightInd w:val="0"/>
        <w:ind w:left="426" w:hanging="426"/>
        <w:rPr>
          <w:rFonts w:cs="Calibri"/>
          <w:szCs w:val="24"/>
          <w:lang w:eastAsia="en-AU"/>
        </w:rPr>
      </w:pPr>
      <w:r>
        <w:rPr>
          <w:rFonts w:cs="Calibri"/>
          <w:szCs w:val="24"/>
          <w:lang w:eastAsia="en-AU"/>
        </w:rPr>
        <w:t xml:space="preserve">Blood is </w:t>
      </w:r>
      <w:r>
        <w:rPr>
          <w:rFonts w:eastAsia="Calibri" w:cs="Swis721 Lt BT"/>
          <w:color w:val="000000"/>
          <w:szCs w:val="24"/>
        </w:rPr>
        <w:t>normally sterile; the purpose of collecting blood cultures is to identify any bacteria or fungi growing in the blood that may cause sepsis.  If there are pathogens growing in the blood, they take time (usually up to 48 hours) to grow and to be identified in the laboratory.</w:t>
      </w:r>
    </w:p>
    <w:p w14:paraId="54E3EDDD" w14:textId="77777777" w:rsidR="00912EDA" w:rsidRPr="008E0668" w:rsidRDefault="00912EDA" w:rsidP="00912EDA">
      <w:pPr>
        <w:pStyle w:val="ListParagraph"/>
        <w:autoSpaceDE w:val="0"/>
        <w:autoSpaceDN w:val="0"/>
        <w:adjustRightInd w:val="0"/>
        <w:ind w:left="426" w:hanging="426"/>
        <w:rPr>
          <w:rFonts w:cs="Calibri"/>
          <w:szCs w:val="24"/>
          <w:lang w:eastAsia="en-AU"/>
        </w:rPr>
      </w:pPr>
    </w:p>
    <w:p w14:paraId="47291E3D" w14:textId="77777777" w:rsidR="00912EDA" w:rsidRPr="008E0668" w:rsidRDefault="00912EDA" w:rsidP="00912EDA">
      <w:pPr>
        <w:pStyle w:val="ListParagraph"/>
        <w:numPr>
          <w:ilvl w:val="0"/>
          <w:numId w:val="5"/>
        </w:numPr>
        <w:autoSpaceDE w:val="0"/>
        <w:autoSpaceDN w:val="0"/>
        <w:adjustRightInd w:val="0"/>
        <w:ind w:left="426" w:hanging="426"/>
        <w:rPr>
          <w:rFonts w:cs="Calibri"/>
          <w:szCs w:val="24"/>
          <w:lang w:eastAsia="en-AU"/>
        </w:rPr>
      </w:pPr>
      <w:r>
        <w:rPr>
          <w:rFonts w:eastAsia="Calibri" w:cs="Swis721 Lt BT"/>
          <w:color w:val="000000"/>
          <w:szCs w:val="24"/>
        </w:rPr>
        <w:t xml:space="preserve">Explain to the </w:t>
      </w:r>
      <w:r w:rsidRPr="00041401">
        <w:rPr>
          <w:rFonts w:eastAsia="Calibri" w:cs="Swis721 Lt BT"/>
          <w:color w:val="000000"/>
          <w:szCs w:val="24"/>
        </w:rPr>
        <w:t>patient that the results may not be available for 48 hours or more. Once 2 sets of cultures have been collected, do not delay administering antibiotics if they have been ordered, and do not wait for culture results as any delay in antibiotic administration may be detrimental to the patient.</w:t>
      </w:r>
    </w:p>
    <w:p w14:paraId="0F79D3AB" w14:textId="77777777" w:rsidR="00912EDA" w:rsidRDefault="00912EDA" w:rsidP="00912EDA">
      <w:pPr>
        <w:autoSpaceDE w:val="0"/>
        <w:autoSpaceDN w:val="0"/>
        <w:adjustRightInd w:val="0"/>
        <w:ind w:left="426" w:hanging="426"/>
        <w:rPr>
          <w:rFonts w:cs="Calibri"/>
          <w:szCs w:val="24"/>
          <w:lang w:eastAsia="en-AU"/>
        </w:rPr>
      </w:pPr>
    </w:p>
    <w:p w14:paraId="4FBA01DD" w14:textId="77777777" w:rsidR="00912EDA" w:rsidRPr="008E0668" w:rsidRDefault="00912EDA" w:rsidP="00912EDA">
      <w:pPr>
        <w:pStyle w:val="ListParagraph"/>
        <w:numPr>
          <w:ilvl w:val="0"/>
          <w:numId w:val="5"/>
        </w:numPr>
        <w:autoSpaceDE w:val="0"/>
        <w:autoSpaceDN w:val="0"/>
        <w:adjustRightInd w:val="0"/>
        <w:ind w:left="426" w:hanging="426"/>
        <w:rPr>
          <w:rFonts w:cs="Calibri"/>
          <w:szCs w:val="24"/>
          <w:lang w:eastAsia="en-AU"/>
        </w:rPr>
      </w:pPr>
      <w:r w:rsidRPr="008E0668">
        <w:rPr>
          <w:rFonts w:cs="Calibri"/>
          <w:szCs w:val="24"/>
          <w:lang w:eastAsia="en-AU"/>
        </w:rPr>
        <w:t>When a micro-organism is identified and the patient is receiving the appropriate antibiotics, it is unnecessary to collect any further blood cultures unless:</w:t>
      </w:r>
    </w:p>
    <w:p w14:paraId="2DE664B6" w14:textId="77777777" w:rsidR="00912EDA" w:rsidRPr="008E0668" w:rsidRDefault="00912EDA" w:rsidP="00912EDA">
      <w:pPr>
        <w:pStyle w:val="ListParagraph"/>
        <w:numPr>
          <w:ilvl w:val="0"/>
          <w:numId w:val="36"/>
        </w:numPr>
        <w:autoSpaceDE w:val="0"/>
        <w:autoSpaceDN w:val="0"/>
        <w:adjustRightInd w:val="0"/>
        <w:rPr>
          <w:rFonts w:cs="Calibri"/>
          <w:szCs w:val="24"/>
          <w:lang w:eastAsia="en-AU"/>
        </w:rPr>
      </w:pPr>
      <w:r w:rsidRPr="008E0668">
        <w:rPr>
          <w:rFonts w:cs="Calibri"/>
          <w:szCs w:val="24"/>
          <w:lang w:eastAsia="en-AU"/>
        </w:rPr>
        <w:t>the patient is still febrile after 48 hours of treatment of the appropriate agent.</w:t>
      </w:r>
    </w:p>
    <w:p w14:paraId="7AB26365" w14:textId="77777777" w:rsidR="00912EDA" w:rsidRPr="008E0668" w:rsidRDefault="00912EDA" w:rsidP="00912EDA">
      <w:pPr>
        <w:pStyle w:val="ListParagraph"/>
        <w:numPr>
          <w:ilvl w:val="0"/>
          <w:numId w:val="36"/>
        </w:numPr>
        <w:autoSpaceDE w:val="0"/>
        <w:autoSpaceDN w:val="0"/>
        <w:adjustRightInd w:val="0"/>
        <w:rPr>
          <w:rFonts w:cs="Calibri"/>
          <w:szCs w:val="24"/>
          <w:lang w:eastAsia="en-AU"/>
        </w:rPr>
      </w:pPr>
      <w:r w:rsidRPr="008E0668">
        <w:rPr>
          <w:rFonts w:cs="Calibri"/>
          <w:szCs w:val="24"/>
          <w:lang w:eastAsia="en-AU"/>
        </w:rPr>
        <w:t>the patient becomes febrile after a period of being afebrile.</w:t>
      </w:r>
    </w:p>
    <w:p w14:paraId="289C0C42" w14:textId="77777777" w:rsidR="00912EDA" w:rsidRDefault="00912EDA" w:rsidP="00912EDA">
      <w:pPr>
        <w:pStyle w:val="ListParagraph"/>
        <w:numPr>
          <w:ilvl w:val="0"/>
          <w:numId w:val="36"/>
        </w:numPr>
        <w:autoSpaceDE w:val="0"/>
        <w:autoSpaceDN w:val="0"/>
        <w:adjustRightInd w:val="0"/>
        <w:rPr>
          <w:rFonts w:cs="Calibri"/>
          <w:szCs w:val="24"/>
          <w:lang w:eastAsia="en-AU"/>
        </w:rPr>
      </w:pPr>
      <w:r w:rsidRPr="008E0668">
        <w:rPr>
          <w:rFonts w:cs="Calibri"/>
          <w:szCs w:val="24"/>
          <w:lang w:eastAsia="en-AU"/>
        </w:rPr>
        <w:t xml:space="preserve">the patient has </w:t>
      </w:r>
      <w:r w:rsidRPr="008E0668">
        <w:rPr>
          <w:i/>
        </w:rPr>
        <w:t>Staphylococcus Aureus</w:t>
      </w:r>
      <w:r w:rsidRPr="008E0668">
        <w:t xml:space="preserve"> Bacteraemia, Candidaemia or Infective Endocarditis</w:t>
      </w:r>
      <w:r w:rsidRPr="008E0668">
        <w:rPr>
          <w:rFonts w:cs="Calibri"/>
          <w:szCs w:val="24"/>
          <w:lang w:eastAsia="en-AU"/>
        </w:rPr>
        <w:t>. These cases require serial collection until they are culture negative.</w:t>
      </w:r>
    </w:p>
    <w:p w14:paraId="058F0F7B" w14:textId="77777777" w:rsidR="00912EDA" w:rsidRDefault="00912EDA" w:rsidP="00912EDA">
      <w:pPr>
        <w:autoSpaceDE w:val="0"/>
        <w:autoSpaceDN w:val="0"/>
        <w:adjustRightInd w:val="0"/>
        <w:rPr>
          <w:rFonts w:cs="Calibri"/>
          <w:szCs w:val="24"/>
          <w:lang w:eastAsia="en-AU"/>
        </w:rPr>
      </w:pPr>
    </w:p>
    <w:p w14:paraId="5C518A71" w14:textId="77777777" w:rsidR="00912EDA" w:rsidRPr="008E0668" w:rsidRDefault="00912EDA" w:rsidP="00912EDA">
      <w:pPr>
        <w:pBdr>
          <w:top w:val="single" w:sz="4" w:space="1" w:color="auto"/>
          <w:left w:val="single" w:sz="4" w:space="4" w:color="auto"/>
          <w:bottom w:val="single" w:sz="4" w:space="1" w:color="auto"/>
          <w:right w:val="single" w:sz="4" w:space="4" w:color="auto"/>
        </w:pBdr>
        <w:spacing w:before="120" w:after="120"/>
        <w:rPr>
          <w:rFonts w:cs="Calibri"/>
          <w:szCs w:val="24"/>
        </w:rPr>
      </w:pPr>
      <w:r w:rsidRPr="0041444E">
        <w:rPr>
          <w:b/>
          <w:bCs/>
        </w:rPr>
        <w:t>Note</w:t>
      </w:r>
      <w:r w:rsidRPr="008E0668">
        <w:rPr>
          <w:b/>
          <w:bCs/>
          <w:i/>
          <w:iCs/>
        </w:rPr>
        <w:t>:</w:t>
      </w:r>
      <w:r w:rsidRPr="008E0668">
        <w:t xml:space="preserve"> </w:t>
      </w:r>
      <w:r w:rsidRPr="008E0668">
        <w:rPr>
          <w:rFonts w:cs="Calibri"/>
          <w:szCs w:val="24"/>
        </w:rPr>
        <w:t xml:space="preserve">It is recommended that Blood Cultures are not collected from an Intravenous cannula unless it is newly inserted </w:t>
      </w:r>
      <w:r w:rsidRPr="008E0668">
        <w:rPr>
          <w:rFonts w:cs="Calibri"/>
          <w:color w:val="000000"/>
          <w:szCs w:val="24"/>
          <w:lang w:eastAsia="en-AU"/>
        </w:rPr>
        <w:t>under strict Standard Aseptic Non-Touch Technique (ANTT),</w:t>
      </w:r>
      <w:r w:rsidRPr="008E0668">
        <w:rPr>
          <w:rFonts w:cs="Calibri"/>
          <w:szCs w:val="24"/>
        </w:rPr>
        <w:t xml:space="preserve"> due to high risk of contamination.  </w:t>
      </w:r>
    </w:p>
    <w:p w14:paraId="3F390A0F" w14:textId="77777777" w:rsidR="00912EDA" w:rsidRDefault="00912EDA" w:rsidP="00912EDA">
      <w:pPr>
        <w:autoSpaceDE w:val="0"/>
        <w:autoSpaceDN w:val="0"/>
        <w:adjustRightInd w:val="0"/>
        <w:rPr>
          <w:rFonts w:cs="Calibri"/>
          <w:szCs w:val="24"/>
          <w:lang w:eastAsia="en-AU"/>
        </w:rPr>
      </w:pPr>
    </w:p>
    <w:p w14:paraId="0A43C8B4" w14:textId="77777777" w:rsidR="00912EDA" w:rsidRDefault="00912EDA" w:rsidP="00912EDA">
      <w:pPr>
        <w:pBdr>
          <w:top w:val="single" w:sz="4" w:space="1" w:color="auto"/>
          <w:left w:val="single" w:sz="4" w:space="4" w:color="auto"/>
          <w:bottom w:val="single" w:sz="4" w:space="1" w:color="auto"/>
          <w:right w:val="single" w:sz="4" w:space="4" w:color="auto"/>
        </w:pBdr>
        <w:spacing w:before="120" w:after="120"/>
        <w:rPr>
          <w:rFonts w:ascii="Calibri Light" w:hAnsi="Calibri Light" w:cs="Calibri Light"/>
        </w:rPr>
      </w:pPr>
      <w:r w:rsidRPr="42BBC7FB">
        <w:rPr>
          <w:b/>
          <w:bCs/>
        </w:rPr>
        <w:t>Note</w:t>
      </w:r>
      <w:r w:rsidRPr="42BBC7FB">
        <w:rPr>
          <w:b/>
          <w:bCs/>
          <w:i/>
          <w:iCs/>
        </w:rPr>
        <w:t>:</w:t>
      </w:r>
      <w:r>
        <w:t xml:space="preserve"> Specific Blood Culture Bottles are required for Mycobacterial Species. These are also enhanced to support the growth of fungi in patients at high risk for fungaemia. Contact ACT Pathology to organise Mycobacterial Bottles (</w:t>
      </w:r>
      <w:r w:rsidRPr="42BBC7FB">
        <w:rPr>
          <w:rFonts w:cs="Arial"/>
        </w:rPr>
        <w:t>see Figure 5 below:</w:t>
      </w:r>
      <w:r>
        <w:t>).</w:t>
      </w:r>
    </w:p>
    <w:p w14:paraId="65776067" w14:textId="77777777" w:rsidR="00912EDA" w:rsidRDefault="00912EDA" w:rsidP="00912EDA"/>
    <w:p w14:paraId="2FBA4668" w14:textId="77777777" w:rsidR="00912EDA" w:rsidRDefault="00912EDA" w:rsidP="00912EDA">
      <w:r>
        <w:br w:type="page"/>
      </w:r>
    </w:p>
    <w:p w14:paraId="182BC858" w14:textId="77777777" w:rsidR="00912EDA" w:rsidRDefault="00912EDA" w:rsidP="00912EDA">
      <w:pPr>
        <w:rPr>
          <w:rFonts w:ascii="Calibri Light" w:hAnsi="Calibri Light" w:cs="Calibri Light"/>
          <w:szCs w:val="24"/>
        </w:rPr>
      </w:pPr>
      <w:r w:rsidRPr="0041444E">
        <w:lastRenderedPageBreak/>
        <w:t xml:space="preserve">Figure </w:t>
      </w:r>
      <w:r>
        <w:t>5:</w:t>
      </w:r>
      <w:r w:rsidRPr="0041444E">
        <w:t xml:space="preserve"> Mycobacterial Blood Culture Bottle</w:t>
      </w:r>
      <w:r>
        <w:rPr>
          <w:noProof/>
        </w:rPr>
        <w:t xml:space="preserve"> </w:t>
      </w:r>
    </w:p>
    <w:p w14:paraId="62B19329" w14:textId="77777777" w:rsidR="00912EDA" w:rsidRDefault="00912EDA" w:rsidP="00912EDA">
      <w:pPr>
        <w:rPr>
          <w:rFonts w:cs="Arial"/>
          <w:szCs w:val="24"/>
        </w:rPr>
      </w:pPr>
      <w:r>
        <w:rPr>
          <w:noProof/>
        </w:rPr>
        <w:drawing>
          <wp:anchor distT="0" distB="0" distL="114300" distR="114300" simplePos="0" relativeHeight="251662336" behindDoc="1" locked="0" layoutInCell="1" allowOverlap="1" wp14:anchorId="047C10C0" wp14:editId="269B3C57">
            <wp:simplePos x="0" y="0"/>
            <wp:positionH relativeFrom="column">
              <wp:posOffset>76518</wp:posOffset>
            </wp:positionH>
            <wp:positionV relativeFrom="paragraph">
              <wp:posOffset>56197</wp:posOffset>
            </wp:positionV>
            <wp:extent cx="690113" cy="2142879"/>
            <wp:effectExtent l="0" t="0" r="0" b="0"/>
            <wp:wrapTight wrapText="bothSides">
              <wp:wrapPolygon edited="0">
                <wp:start x="0" y="0"/>
                <wp:lineTo x="0" y="21318"/>
                <wp:lineTo x="20884" y="21318"/>
                <wp:lineTo x="2088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90113" cy="2142879"/>
                    </a:xfrm>
                    <a:prstGeom prst="rect">
                      <a:avLst/>
                    </a:prstGeom>
                  </pic:spPr>
                </pic:pic>
              </a:graphicData>
            </a:graphic>
            <wp14:sizeRelH relativeFrom="page">
              <wp14:pctWidth>0</wp14:pctWidth>
            </wp14:sizeRelH>
            <wp14:sizeRelV relativeFrom="page">
              <wp14:pctHeight>0</wp14:pctHeight>
            </wp14:sizeRelV>
          </wp:anchor>
        </w:drawing>
      </w:r>
    </w:p>
    <w:p w14:paraId="516778C4" w14:textId="77777777" w:rsidR="00912EDA" w:rsidRDefault="00912EDA" w:rsidP="00912EDA">
      <w:pPr>
        <w:rPr>
          <w:rFonts w:cs="Arial"/>
          <w:szCs w:val="24"/>
        </w:rPr>
      </w:pPr>
    </w:p>
    <w:p w14:paraId="0990CE20" w14:textId="77777777" w:rsidR="00912EDA" w:rsidRDefault="00912EDA" w:rsidP="00912EDA">
      <w:pPr>
        <w:rPr>
          <w:rFonts w:cs="Arial"/>
          <w:szCs w:val="24"/>
        </w:rPr>
      </w:pPr>
    </w:p>
    <w:p w14:paraId="134049B7" w14:textId="77777777" w:rsidR="00912EDA" w:rsidRDefault="00912EDA" w:rsidP="00912EDA">
      <w:pPr>
        <w:rPr>
          <w:rFonts w:cs="Arial"/>
          <w:szCs w:val="24"/>
        </w:rPr>
      </w:pPr>
    </w:p>
    <w:p w14:paraId="2458ABC7" w14:textId="77777777" w:rsidR="00912EDA" w:rsidRDefault="00912EDA" w:rsidP="00912EDA">
      <w:pPr>
        <w:rPr>
          <w:rFonts w:cs="Arial"/>
          <w:szCs w:val="24"/>
        </w:rPr>
      </w:pPr>
    </w:p>
    <w:p w14:paraId="78C2B0E7" w14:textId="77777777" w:rsidR="00912EDA" w:rsidRDefault="00912EDA" w:rsidP="00912EDA">
      <w:pPr>
        <w:rPr>
          <w:rFonts w:cs="Arial"/>
          <w:szCs w:val="24"/>
        </w:rPr>
      </w:pPr>
    </w:p>
    <w:p w14:paraId="60099649" w14:textId="77777777" w:rsidR="00912EDA" w:rsidRDefault="00912EDA" w:rsidP="00912EDA">
      <w:pPr>
        <w:rPr>
          <w:rFonts w:cs="Arial"/>
          <w:szCs w:val="24"/>
        </w:rPr>
      </w:pPr>
    </w:p>
    <w:p w14:paraId="6AD75ED6" w14:textId="77777777" w:rsidR="00912EDA" w:rsidRDefault="00912EDA" w:rsidP="00912EDA">
      <w:pPr>
        <w:rPr>
          <w:rFonts w:cs="Arial"/>
          <w:szCs w:val="24"/>
        </w:rPr>
      </w:pPr>
    </w:p>
    <w:p w14:paraId="635E1C4B" w14:textId="77777777" w:rsidR="00912EDA" w:rsidRDefault="00912EDA" w:rsidP="00912EDA">
      <w:pPr>
        <w:rPr>
          <w:rFonts w:cs="Arial"/>
          <w:szCs w:val="24"/>
        </w:rPr>
      </w:pPr>
    </w:p>
    <w:p w14:paraId="2C706075" w14:textId="77777777" w:rsidR="00912EDA" w:rsidRDefault="00912EDA" w:rsidP="00912EDA">
      <w:pPr>
        <w:rPr>
          <w:rFonts w:cs="Arial"/>
          <w:szCs w:val="24"/>
        </w:rPr>
      </w:pPr>
    </w:p>
    <w:p w14:paraId="6E3141F7" w14:textId="77777777" w:rsidR="00912EDA" w:rsidRDefault="00912EDA" w:rsidP="00912EDA">
      <w:pPr>
        <w:rPr>
          <w:rFonts w:cs="Arial"/>
          <w:szCs w:val="24"/>
        </w:rPr>
      </w:pPr>
    </w:p>
    <w:p w14:paraId="72BC9C49" w14:textId="77777777" w:rsidR="00912EDA" w:rsidRDefault="00912EDA" w:rsidP="00912EDA">
      <w:pPr>
        <w:jc w:val="right"/>
      </w:pPr>
    </w:p>
    <w:p w14:paraId="48C48A97" w14:textId="77777777" w:rsidR="00912EDA" w:rsidRPr="00432F02" w:rsidRDefault="00912EDA" w:rsidP="00912EDA">
      <w:pPr>
        <w:jc w:val="right"/>
        <w:rPr>
          <w:rFonts w:cs="Calibri,Bold"/>
          <w:bCs/>
          <w:i/>
          <w:szCs w:val="24"/>
          <w:lang w:eastAsia="en-AU"/>
        </w:rPr>
      </w:pPr>
      <w:hyperlink w:anchor="Contents" w:history="1">
        <w:r w:rsidRPr="00C91F3F">
          <w:rPr>
            <w:rStyle w:val="Hyperlink"/>
            <w:rFonts w:cs="Arial"/>
            <w:i/>
            <w:szCs w:val="24"/>
          </w:rPr>
          <w:t>Back to Table of Contents</w:t>
        </w:r>
      </w:hyperlink>
    </w:p>
    <w:p w14:paraId="37059640" w14:textId="77777777" w:rsidR="00912EDA" w:rsidRDefault="00912EDA" w:rsidP="00912EDA">
      <w:pPr>
        <w:pStyle w:val="ProcedureTemplateinternalheadings"/>
        <w:framePr w:wrap="around"/>
      </w:pPr>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05126C0A" w14:textId="77777777" w:rsidTr="00FC324C">
        <w:trPr>
          <w:cantSplit/>
          <w:trHeight w:val="285"/>
        </w:trPr>
        <w:tc>
          <w:tcPr>
            <w:tcW w:w="9300" w:type="dxa"/>
            <w:shd w:val="clear" w:color="auto" w:fill="A6A6A6"/>
          </w:tcPr>
          <w:p w14:paraId="6C61F575" w14:textId="77777777" w:rsidR="00912EDA" w:rsidRPr="00CD1C0E" w:rsidRDefault="00912EDA" w:rsidP="00FC324C">
            <w:pPr>
              <w:pStyle w:val="Heading1"/>
            </w:pPr>
            <w:bookmarkStart w:id="25" w:name="_Toc113627991"/>
            <w:r>
              <w:t>Evaluation</w:t>
            </w:r>
            <w:bookmarkEnd w:id="25"/>
            <w:r>
              <w:t xml:space="preserve"> </w:t>
            </w:r>
          </w:p>
        </w:tc>
      </w:tr>
    </w:tbl>
    <w:p w14:paraId="2EC769B7" w14:textId="77777777" w:rsidR="00912EDA" w:rsidRDefault="00912EDA" w:rsidP="00912EDA">
      <w:pPr>
        <w:pStyle w:val="Default"/>
        <w:rPr>
          <w:rFonts w:ascii="Calibri" w:hAnsi="Calibri"/>
          <w:b/>
          <w:bCs/>
        </w:rPr>
      </w:pPr>
    </w:p>
    <w:p w14:paraId="332F6028" w14:textId="77777777" w:rsidR="00912EDA" w:rsidRDefault="00912EDA" w:rsidP="00912EDA">
      <w:pPr>
        <w:pStyle w:val="Default"/>
        <w:rPr>
          <w:rFonts w:ascii="Calibri" w:hAnsi="Calibri"/>
          <w:b/>
          <w:bCs/>
        </w:rPr>
      </w:pPr>
      <w:r>
        <w:rPr>
          <w:rFonts w:ascii="Calibri" w:hAnsi="Calibri"/>
          <w:b/>
          <w:bCs/>
        </w:rPr>
        <w:t>Outcome</w:t>
      </w:r>
    </w:p>
    <w:p w14:paraId="3B88ADBB" w14:textId="77777777" w:rsidR="00912EDA" w:rsidRDefault="00912EDA" w:rsidP="00912EDA">
      <w:pPr>
        <w:pStyle w:val="Default"/>
        <w:numPr>
          <w:ilvl w:val="0"/>
          <w:numId w:val="23"/>
        </w:numPr>
        <w:rPr>
          <w:rFonts w:ascii="Calibri" w:hAnsi="Calibri"/>
        </w:rPr>
      </w:pPr>
      <w:r>
        <w:rPr>
          <w:rFonts w:ascii="Calibri" w:hAnsi="Calibri"/>
        </w:rPr>
        <w:t>Blood culture collection will occur as per this procedure.</w:t>
      </w:r>
    </w:p>
    <w:p w14:paraId="057DB88D" w14:textId="77777777" w:rsidR="00912EDA" w:rsidRPr="00733EB2" w:rsidRDefault="00912EDA" w:rsidP="00912EDA">
      <w:pPr>
        <w:pStyle w:val="Default"/>
        <w:rPr>
          <w:rFonts w:ascii="Calibri" w:hAnsi="Calibri"/>
        </w:rPr>
      </w:pPr>
    </w:p>
    <w:p w14:paraId="431DB5FD" w14:textId="77777777" w:rsidR="00912EDA" w:rsidRPr="00733EB2" w:rsidRDefault="00912EDA" w:rsidP="00912EDA">
      <w:pPr>
        <w:pStyle w:val="Default"/>
        <w:rPr>
          <w:rFonts w:ascii="Calibri" w:hAnsi="Calibri"/>
          <w:b/>
          <w:bCs/>
        </w:rPr>
      </w:pPr>
      <w:r>
        <w:rPr>
          <w:rFonts w:ascii="Calibri" w:hAnsi="Calibri"/>
          <w:b/>
          <w:bCs/>
        </w:rPr>
        <w:t>Measure</w:t>
      </w:r>
    </w:p>
    <w:p w14:paraId="65DB90A9" w14:textId="77777777" w:rsidR="00912EDA" w:rsidRDefault="00912EDA" w:rsidP="00912EDA">
      <w:pPr>
        <w:pStyle w:val="ListParagraph"/>
        <w:numPr>
          <w:ilvl w:val="0"/>
          <w:numId w:val="18"/>
        </w:numPr>
        <w:rPr>
          <w:rFonts w:cs="Arial"/>
        </w:rPr>
      </w:pPr>
      <w:r>
        <w:rPr>
          <w:rFonts w:cs="Arial"/>
        </w:rPr>
        <w:t>R</w:t>
      </w:r>
      <w:r w:rsidRPr="42BBC7FB">
        <w:rPr>
          <w:rFonts w:cs="Arial"/>
        </w:rPr>
        <w:t>eview of clinical incidents related to blood culture collection</w:t>
      </w:r>
      <w:r>
        <w:rPr>
          <w:rFonts w:cs="Arial"/>
        </w:rPr>
        <w:t>.</w:t>
      </w:r>
    </w:p>
    <w:p w14:paraId="334996DC" w14:textId="77777777" w:rsidR="00912EDA" w:rsidRDefault="00912EDA" w:rsidP="00912EDA">
      <w:pPr>
        <w:pStyle w:val="ListParagraph"/>
        <w:numPr>
          <w:ilvl w:val="0"/>
          <w:numId w:val="18"/>
        </w:numPr>
        <w:rPr>
          <w:rFonts w:cs="Arial"/>
          <w:szCs w:val="24"/>
        </w:rPr>
      </w:pPr>
      <w:r>
        <w:rPr>
          <w:rFonts w:cs="Arial"/>
          <w:szCs w:val="24"/>
        </w:rPr>
        <w:t>Review of blood culture results (contaminants).</w:t>
      </w:r>
    </w:p>
    <w:p w14:paraId="292D4C3E" w14:textId="77777777" w:rsidR="00912EDA" w:rsidRPr="00733EB2" w:rsidRDefault="00912EDA" w:rsidP="00912EDA">
      <w:pPr>
        <w:rPr>
          <w:rFonts w:cs="Arial"/>
          <w:szCs w:val="24"/>
        </w:rPr>
      </w:pPr>
    </w:p>
    <w:bookmarkStart w:id="26" w:name="_Toc389473287"/>
    <w:p w14:paraId="49D2A397" w14:textId="77777777" w:rsidR="00912EDA" w:rsidRPr="00151261" w:rsidRDefault="00912EDA" w:rsidP="00912EDA">
      <w:pPr>
        <w:pStyle w:val="ListParagraph"/>
        <w:jc w:val="right"/>
        <w:rPr>
          <w:rFonts w:cs="Calibri,Bold"/>
          <w:bCs/>
          <w:i/>
          <w:szCs w:val="24"/>
          <w:lang w:eastAsia="en-AU"/>
        </w:rPr>
      </w:pPr>
      <w:r w:rsidRPr="00CA0FED">
        <w:fldChar w:fldCharType="begin"/>
      </w:r>
      <w:r>
        <w:instrText xml:space="preserve"> HYPERLINK \l "Contents" </w:instrText>
      </w:r>
      <w:r w:rsidRPr="00CA0FED">
        <w:fldChar w:fldCharType="separate"/>
      </w:r>
      <w:r w:rsidRPr="00CA0FED">
        <w:rPr>
          <w:rStyle w:val="Hyperlink"/>
          <w:rFonts w:cs="Arial"/>
          <w:i/>
          <w:szCs w:val="24"/>
        </w:rPr>
        <w:t>Back to Table of Contents</w:t>
      </w:r>
      <w:r w:rsidRPr="00CA0FED">
        <w:rPr>
          <w:rStyle w:val="Hyperlink"/>
          <w:rFonts w:cs="Arial"/>
          <w:i/>
          <w:szCs w:val="24"/>
        </w:rPr>
        <w:fldChar w:fldCharType="end"/>
      </w:r>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511668E1" w14:textId="77777777" w:rsidTr="00FC324C">
        <w:trPr>
          <w:cantSplit/>
          <w:trHeight w:val="285"/>
        </w:trPr>
        <w:tc>
          <w:tcPr>
            <w:tcW w:w="9300" w:type="dxa"/>
            <w:shd w:val="clear" w:color="auto" w:fill="A6A6A6"/>
          </w:tcPr>
          <w:p w14:paraId="30DAB31F" w14:textId="77777777" w:rsidR="00912EDA" w:rsidRPr="00CD1C0E" w:rsidRDefault="00912EDA" w:rsidP="00FC324C">
            <w:pPr>
              <w:pStyle w:val="Heading1"/>
            </w:pPr>
            <w:bookmarkStart w:id="27" w:name="_Toc113627992"/>
            <w:r>
              <w:t>Related Policies, Procedures</w:t>
            </w:r>
            <w:bookmarkEnd w:id="26"/>
            <w:r>
              <w:t>, Guidelines and Legislation</w:t>
            </w:r>
            <w:bookmarkEnd w:id="27"/>
          </w:p>
        </w:tc>
      </w:tr>
    </w:tbl>
    <w:p w14:paraId="63C2578D" w14:textId="77777777" w:rsidR="00912EDA" w:rsidRPr="00733EB2" w:rsidRDefault="00912EDA" w:rsidP="00912EDA">
      <w:pPr>
        <w:rPr>
          <w:szCs w:val="24"/>
        </w:rPr>
      </w:pPr>
    </w:p>
    <w:p w14:paraId="31A5B7EE" w14:textId="77777777" w:rsidR="00912EDA" w:rsidRPr="00733EB2" w:rsidRDefault="00912EDA" w:rsidP="00912EDA">
      <w:pPr>
        <w:rPr>
          <w:b/>
          <w:bCs/>
        </w:rPr>
      </w:pPr>
      <w:r w:rsidRPr="42BBC7FB">
        <w:rPr>
          <w:b/>
          <w:bCs/>
        </w:rPr>
        <w:t>Policies</w:t>
      </w:r>
    </w:p>
    <w:p w14:paraId="3D8DFB08" w14:textId="77777777" w:rsidR="00912EDA" w:rsidRPr="00151261" w:rsidRDefault="00912EDA" w:rsidP="00912EDA">
      <w:pPr>
        <w:pStyle w:val="ListParagraph"/>
        <w:numPr>
          <w:ilvl w:val="0"/>
          <w:numId w:val="12"/>
        </w:numPr>
        <w:ind w:left="426" w:hanging="426"/>
        <w:rPr>
          <w:lang w:eastAsia="en-AU"/>
        </w:rPr>
      </w:pPr>
      <w:r w:rsidRPr="00151261">
        <w:rPr>
          <w:lang w:eastAsia="en-AU"/>
        </w:rPr>
        <w:t xml:space="preserve">Consumer Privacy </w:t>
      </w:r>
    </w:p>
    <w:p w14:paraId="0AE42605" w14:textId="77777777" w:rsidR="00912EDA" w:rsidRPr="00151261" w:rsidRDefault="00912EDA" w:rsidP="00912EDA">
      <w:pPr>
        <w:pStyle w:val="ListParagraph"/>
        <w:numPr>
          <w:ilvl w:val="0"/>
          <w:numId w:val="12"/>
        </w:numPr>
        <w:ind w:left="426" w:hanging="426"/>
        <w:rPr>
          <w:lang w:eastAsia="en-AU"/>
        </w:rPr>
      </w:pPr>
      <w:r w:rsidRPr="00151261">
        <w:rPr>
          <w:lang w:eastAsia="en-AU"/>
        </w:rPr>
        <w:t xml:space="preserve">Informed Consent (Clinical) </w:t>
      </w:r>
    </w:p>
    <w:p w14:paraId="6D934590" w14:textId="77777777" w:rsidR="00912EDA" w:rsidRPr="00151261" w:rsidRDefault="00912EDA" w:rsidP="00912EDA">
      <w:pPr>
        <w:pStyle w:val="ListParagraph"/>
        <w:numPr>
          <w:ilvl w:val="0"/>
          <w:numId w:val="12"/>
        </w:numPr>
        <w:ind w:left="426" w:hanging="426"/>
        <w:rPr>
          <w:lang w:eastAsia="en-AU"/>
        </w:rPr>
      </w:pPr>
      <w:r w:rsidRPr="00151261">
        <w:rPr>
          <w:lang w:eastAsia="en-AU"/>
        </w:rPr>
        <w:t xml:space="preserve">Waste Management </w:t>
      </w:r>
    </w:p>
    <w:p w14:paraId="45E0848C" w14:textId="77777777" w:rsidR="00912EDA" w:rsidRDefault="00912EDA" w:rsidP="00912EDA">
      <w:pPr>
        <w:rPr>
          <w:szCs w:val="24"/>
          <w:lang w:eastAsia="en-AU"/>
        </w:rPr>
      </w:pPr>
    </w:p>
    <w:p w14:paraId="5149C39A" w14:textId="77777777" w:rsidR="00912EDA" w:rsidRPr="00733EB2" w:rsidRDefault="00912EDA" w:rsidP="00912EDA">
      <w:pPr>
        <w:rPr>
          <w:b/>
          <w:bCs/>
        </w:rPr>
      </w:pPr>
      <w:r w:rsidRPr="00733EB2">
        <w:rPr>
          <w:b/>
          <w:bCs/>
        </w:rPr>
        <w:t xml:space="preserve">Procedures </w:t>
      </w:r>
    </w:p>
    <w:p w14:paraId="15E1D57F" w14:textId="77777777" w:rsidR="00912EDA" w:rsidRPr="00151261" w:rsidRDefault="00912EDA" w:rsidP="00912EDA">
      <w:pPr>
        <w:pStyle w:val="ListParagraph"/>
        <w:numPr>
          <w:ilvl w:val="0"/>
          <w:numId w:val="12"/>
        </w:numPr>
        <w:ind w:left="426" w:hanging="426"/>
        <w:rPr>
          <w:lang w:eastAsia="en-AU"/>
        </w:rPr>
      </w:pPr>
      <w:r w:rsidRPr="00151261">
        <w:rPr>
          <w:lang w:eastAsia="en-AU"/>
        </w:rPr>
        <w:t xml:space="preserve">Aseptic Technique </w:t>
      </w:r>
    </w:p>
    <w:p w14:paraId="13C827DB" w14:textId="77777777" w:rsidR="00912EDA" w:rsidRPr="00151261" w:rsidRDefault="00912EDA" w:rsidP="00912EDA">
      <w:pPr>
        <w:pStyle w:val="ListParagraph"/>
        <w:numPr>
          <w:ilvl w:val="0"/>
          <w:numId w:val="12"/>
        </w:numPr>
        <w:ind w:left="426" w:hanging="426"/>
        <w:rPr>
          <w:lang w:eastAsia="en-AU"/>
        </w:rPr>
      </w:pPr>
      <w:r w:rsidRPr="00151261">
        <w:rPr>
          <w:lang w:eastAsia="en-AU"/>
        </w:rPr>
        <w:t>Caring for Children During Procedure</w:t>
      </w:r>
      <w:r>
        <w:rPr>
          <w:lang w:eastAsia="en-AU"/>
        </w:rPr>
        <w:t>s</w:t>
      </w:r>
    </w:p>
    <w:p w14:paraId="00ADB150" w14:textId="77777777" w:rsidR="00912EDA" w:rsidRPr="00151261" w:rsidRDefault="00912EDA" w:rsidP="00912EDA">
      <w:pPr>
        <w:pStyle w:val="ListParagraph"/>
        <w:numPr>
          <w:ilvl w:val="0"/>
          <w:numId w:val="12"/>
        </w:numPr>
        <w:ind w:left="426" w:hanging="426"/>
        <w:rPr>
          <w:lang w:eastAsia="en-AU"/>
        </w:rPr>
      </w:pPr>
      <w:r w:rsidRPr="00151261">
        <w:rPr>
          <w:lang w:eastAsia="en-AU"/>
        </w:rPr>
        <w:t xml:space="preserve">Central Venous Access Device (CVAD) Management – Children, Adolescents and Adults (NOT Neonates) </w:t>
      </w:r>
    </w:p>
    <w:p w14:paraId="2277F8BF" w14:textId="77777777" w:rsidR="00912EDA" w:rsidRPr="00151261" w:rsidRDefault="00912EDA" w:rsidP="00912EDA">
      <w:pPr>
        <w:pStyle w:val="ListParagraph"/>
        <w:numPr>
          <w:ilvl w:val="0"/>
          <w:numId w:val="12"/>
        </w:numPr>
        <w:ind w:left="426" w:hanging="426"/>
        <w:rPr>
          <w:lang w:eastAsia="en-AU"/>
        </w:rPr>
      </w:pPr>
      <w:r w:rsidRPr="00151261">
        <w:rPr>
          <w:lang w:eastAsia="en-AU"/>
        </w:rPr>
        <w:t xml:space="preserve">Patient Identification and Procedure Matching </w:t>
      </w:r>
    </w:p>
    <w:p w14:paraId="6F8E7115" w14:textId="77777777" w:rsidR="00912EDA" w:rsidRPr="00151261" w:rsidRDefault="00912EDA" w:rsidP="00912EDA">
      <w:pPr>
        <w:pStyle w:val="ListParagraph"/>
        <w:numPr>
          <w:ilvl w:val="0"/>
          <w:numId w:val="12"/>
        </w:numPr>
        <w:ind w:left="426" w:hanging="426"/>
        <w:rPr>
          <w:lang w:eastAsia="en-AU"/>
        </w:rPr>
      </w:pPr>
      <w:r w:rsidRPr="00151261">
        <w:rPr>
          <w:lang w:eastAsia="en-AU"/>
        </w:rPr>
        <w:t xml:space="preserve"> Patient Identification – Pathology Specimen Labelling </w:t>
      </w:r>
    </w:p>
    <w:p w14:paraId="469512B9" w14:textId="77777777" w:rsidR="00912EDA" w:rsidRPr="00151261" w:rsidRDefault="00912EDA" w:rsidP="00912EDA">
      <w:pPr>
        <w:pStyle w:val="ListParagraph"/>
        <w:numPr>
          <w:ilvl w:val="0"/>
          <w:numId w:val="12"/>
        </w:numPr>
        <w:ind w:left="426" w:hanging="426"/>
        <w:rPr>
          <w:lang w:eastAsia="en-AU"/>
        </w:rPr>
      </w:pPr>
      <w:r w:rsidRPr="00151261">
        <w:rPr>
          <w:lang w:eastAsia="en-AU"/>
        </w:rPr>
        <w:t>Infection Prevention and Contr</w:t>
      </w:r>
      <w:r>
        <w:rPr>
          <w:lang w:eastAsia="en-AU"/>
        </w:rPr>
        <w:t xml:space="preserve">ol </w:t>
      </w:r>
    </w:p>
    <w:p w14:paraId="5FFC2E94" w14:textId="77777777" w:rsidR="00912EDA" w:rsidRPr="00151261" w:rsidRDefault="00912EDA" w:rsidP="00912EDA">
      <w:pPr>
        <w:pStyle w:val="ListParagraph"/>
        <w:numPr>
          <w:ilvl w:val="0"/>
          <w:numId w:val="12"/>
        </w:numPr>
        <w:ind w:left="426" w:hanging="426"/>
        <w:rPr>
          <w:lang w:eastAsia="en-AU"/>
        </w:rPr>
      </w:pPr>
      <w:r w:rsidRPr="00151261">
        <w:rPr>
          <w:lang w:eastAsia="en-AU"/>
        </w:rPr>
        <w:t xml:space="preserve">Venepuncture Blood Specimen Collection </w:t>
      </w:r>
    </w:p>
    <w:p w14:paraId="6893C8C4" w14:textId="77777777" w:rsidR="00912EDA" w:rsidRPr="00151261" w:rsidRDefault="00912EDA" w:rsidP="00912EDA">
      <w:pPr>
        <w:rPr>
          <w:szCs w:val="24"/>
          <w:highlight w:val="green"/>
          <w:lang w:eastAsia="en-AU"/>
        </w:rPr>
      </w:pPr>
    </w:p>
    <w:p w14:paraId="088A01B7" w14:textId="77777777" w:rsidR="00912EDA" w:rsidRPr="00151261" w:rsidRDefault="00912EDA" w:rsidP="00912EDA">
      <w:pPr>
        <w:rPr>
          <w:b/>
          <w:bCs/>
          <w:szCs w:val="24"/>
          <w:lang w:eastAsia="en-AU"/>
        </w:rPr>
      </w:pPr>
      <w:r w:rsidRPr="00151261">
        <w:rPr>
          <w:b/>
          <w:bCs/>
          <w:szCs w:val="24"/>
          <w:lang w:eastAsia="en-AU"/>
        </w:rPr>
        <w:t>Legislation</w:t>
      </w:r>
    </w:p>
    <w:p w14:paraId="31707C48" w14:textId="77777777" w:rsidR="00912EDA" w:rsidRPr="000A7335" w:rsidRDefault="00912EDA" w:rsidP="00912EDA">
      <w:pPr>
        <w:numPr>
          <w:ilvl w:val="0"/>
          <w:numId w:val="20"/>
        </w:numPr>
        <w:ind w:left="426" w:hanging="426"/>
        <w:rPr>
          <w:rFonts w:cs="Arial"/>
          <w:szCs w:val="24"/>
        </w:rPr>
      </w:pPr>
      <w:r w:rsidRPr="001F2A9B">
        <w:rPr>
          <w:rFonts w:cs="Arial"/>
          <w:i/>
          <w:szCs w:val="24"/>
        </w:rPr>
        <w:t>Health Records (Privacy and Access) Act</w:t>
      </w:r>
      <w:r w:rsidRPr="000A7335">
        <w:rPr>
          <w:rFonts w:cs="Arial"/>
          <w:szCs w:val="24"/>
        </w:rPr>
        <w:t xml:space="preserve"> 1997</w:t>
      </w:r>
    </w:p>
    <w:p w14:paraId="435CB5D7" w14:textId="77777777" w:rsidR="00912EDA" w:rsidRPr="000A7335" w:rsidRDefault="00912EDA" w:rsidP="00912EDA">
      <w:pPr>
        <w:numPr>
          <w:ilvl w:val="0"/>
          <w:numId w:val="20"/>
        </w:numPr>
        <w:ind w:left="426" w:hanging="426"/>
        <w:rPr>
          <w:rFonts w:cs="Arial"/>
          <w:szCs w:val="24"/>
        </w:rPr>
      </w:pPr>
      <w:r w:rsidRPr="001F2A9B">
        <w:rPr>
          <w:rFonts w:cs="Arial"/>
          <w:i/>
          <w:szCs w:val="24"/>
        </w:rPr>
        <w:lastRenderedPageBreak/>
        <w:t>Human Rights Act</w:t>
      </w:r>
      <w:r w:rsidRPr="000A7335">
        <w:rPr>
          <w:rFonts w:cs="Arial"/>
          <w:szCs w:val="24"/>
        </w:rPr>
        <w:t xml:space="preserve"> 2004</w:t>
      </w:r>
    </w:p>
    <w:p w14:paraId="56B8D138" w14:textId="77777777" w:rsidR="00912EDA" w:rsidRDefault="00912EDA" w:rsidP="00912EDA">
      <w:pPr>
        <w:numPr>
          <w:ilvl w:val="0"/>
          <w:numId w:val="20"/>
        </w:numPr>
        <w:ind w:left="426" w:hanging="426"/>
        <w:rPr>
          <w:rFonts w:cs="Arial"/>
          <w:szCs w:val="24"/>
        </w:rPr>
      </w:pPr>
      <w:r w:rsidRPr="001F2A9B">
        <w:rPr>
          <w:rFonts w:cs="Arial"/>
          <w:i/>
          <w:szCs w:val="24"/>
        </w:rPr>
        <w:t>Work Health and Safety Act</w:t>
      </w:r>
      <w:r w:rsidRPr="000A7335">
        <w:rPr>
          <w:rFonts w:cs="Arial"/>
          <w:szCs w:val="24"/>
        </w:rPr>
        <w:t xml:space="preserve"> 2011</w:t>
      </w:r>
    </w:p>
    <w:p w14:paraId="0B3F4290" w14:textId="77777777" w:rsidR="00912EDA" w:rsidRPr="00733EB2" w:rsidRDefault="00912EDA" w:rsidP="00912EDA">
      <w:pPr>
        <w:rPr>
          <w:b/>
          <w:bCs/>
          <w:szCs w:val="24"/>
          <w:lang w:eastAsia="en-AU"/>
        </w:rPr>
      </w:pPr>
    </w:p>
    <w:p w14:paraId="14E95366" w14:textId="77777777" w:rsidR="00912EDA" w:rsidRDefault="00912EDA" w:rsidP="00912EDA">
      <w:pPr>
        <w:rPr>
          <w:b/>
          <w:bCs/>
          <w:szCs w:val="24"/>
          <w:lang w:eastAsia="en-AU"/>
        </w:rPr>
      </w:pPr>
      <w:r w:rsidRPr="00733EB2">
        <w:rPr>
          <w:b/>
          <w:bCs/>
          <w:szCs w:val="24"/>
          <w:lang w:eastAsia="en-AU"/>
        </w:rPr>
        <w:t>Other</w:t>
      </w:r>
    </w:p>
    <w:p w14:paraId="563135A9" w14:textId="77777777" w:rsidR="00912EDA" w:rsidRPr="00733EB2" w:rsidRDefault="00912EDA" w:rsidP="00912EDA">
      <w:pPr>
        <w:pStyle w:val="ListParagraph"/>
        <w:numPr>
          <w:ilvl w:val="0"/>
          <w:numId w:val="20"/>
        </w:numPr>
        <w:ind w:left="426" w:hanging="426"/>
        <w:rPr>
          <w:b/>
          <w:bCs/>
          <w:szCs w:val="24"/>
          <w:lang w:eastAsia="en-AU"/>
        </w:rPr>
      </w:pPr>
      <w:r>
        <w:rPr>
          <w:szCs w:val="24"/>
          <w:lang w:eastAsia="en-AU"/>
        </w:rPr>
        <w:t>Australian Charter of Healthcare Rights</w:t>
      </w:r>
    </w:p>
    <w:p w14:paraId="38E48AC8" w14:textId="77777777" w:rsidR="00912EDA" w:rsidRPr="000E3A2E" w:rsidRDefault="00912EDA" w:rsidP="00912EDA"/>
    <w:p w14:paraId="32ACF432" w14:textId="77777777" w:rsidR="00912EDA" w:rsidRPr="00733EB2" w:rsidRDefault="00912EDA" w:rsidP="00912EDA">
      <w:pPr>
        <w:jc w:val="right"/>
        <w:rPr>
          <w:rStyle w:val="Hyperlink"/>
          <w:rFonts w:cs="Calibri,Bold"/>
          <w:bCs/>
          <w:i/>
          <w:color w:val="auto"/>
          <w:szCs w:val="24"/>
          <w:u w:val="none"/>
          <w:lang w:eastAsia="en-AU"/>
        </w:rPr>
      </w:pPr>
      <w:hyperlink w:anchor="Contents" w:history="1">
        <w:r w:rsidRPr="00C91F3F">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7CC9A006" w14:textId="77777777" w:rsidTr="00FC324C">
        <w:trPr>
          <w:cantSplit/>
          <w:trHeight w:val="285"/>
        </w:trPr>
        <w:tc>
          <w:tcPr>
            <w:tcW w:w="9300" w:type="dxa"/>
            <w:shd w:val="clear" w:color="auto" w:fill="A6A6A6"/>
          </w:tcPr>
          <w:p w14:paraId="3020FE54" w14:textId="77777777" w:rsidR="00912EDA" w:rsidRPr="00CD1C0E" w:rsidRDefault="00912EDA" w:rsidP="00FC324C">
            <w:pPr>
              <w:pStyle w:val="Heading1"/>
            </w:pPr>
            <w:bookmarkStart w:id="28" w:name="_Toc389473288"/>
            <w:bookmarkStart w:id="29" w:name="_Toc113627993"/>
            <w:r>
              <w:t>References</w:t>
            </w:r>
            <w:bookmarkEnd w:id="28"/>
            <w:bookmarkEnd w:id="29"/>
          </w:p>
        </w:tc>
      </w:tr>
    </w:tbl>
    <w:p w14:paraId="5E0CF945" w14:textId="77777777" w:rsidR="00912EDA" w:rsidRDefault="00912EDA" w:rsidP="00912EDA">
      <w:pPr>
        <w:autoSpaceDE w:val="0"/>
        <w:autoSpaceDN w:val="0"/>
        <w:adjustRightInd w:val="0"/>
        <w:rPr>
          <w:rFonts w:cs="Calibri"/>
          <w:color w:val="000000"/>
          <w:szCs w:val="24"/>
          <w:lang w:eastAsia="en-AU"/>
        </w:rPr>
      </w:pPr>
      <w:bookmarkStart w:id="30" w:name="_Toc389131245"/>
    </w:p>
    <w:p w14:paraId="32C3A5E8" w14:textId="77777777" w:rsidR="00912EDA" w:rsidRDefault="00912EDA" w:rsidP="00912EDA">
      <w:pPr>
        <w:autoSpaceDE w:val="0"/>
        <w:autoSpaceDN w:val="0"/>
        <w:adjustRightInd w:val="0"/>
        <w:rPr>
          <w:rFonts w:cs="Calibri"/>
          <w:color w:val="000000"/>
          <w:szCs w:val="24"/>
          <w:lang w:eastAsia="en-AU"/>
        </w:rPr>
      </w:pPr>
      <w:r>
        <w:rPr>
          <w:rFonts w:cs="Calibri"/>
          <w:color w:val="000000"/>
          <w:szCs w:val="24"/>
          <w:lang w:eastAsia="en-AU"/>
        </w:rPr>
        <w:t>Austin Health (2021). Nursing services Clinical Procedure: Blood Culture Collection Peripheral and CVAD. OPPIC document 1198</w:t>
      </w:r>
    </w:p>
    <w:p w14:paraId="16C086F5" w14:textId="77777777" w:rsidR="00912EDA" w:rsidRDefault="00912EDA" w:rsidP="00912EDA">
      <w:pPr>
        <w:autoSpaceDE w:val="0"/>
        <w:autoSpaceDN w:val="0"/>
        <w:adjustRightInd w:val="0"/>
        <w:rPr>
          <w:rFonts w:cs="Calibri"/>
          <w:color w:val="000000"/>
          <w:szCs w:val="24"/>
          <w:lang w:eastAsia="en-AU"/>
        </w:rPr>
      </w:pPr>
    </w:p>
    <w:p w14:paraId="73061807" w14:textId="77777777" w:rsidR="00912EDA" w:rsidRDefault="00912EDA" w:rsidP="00912EDA">
      <w:r>
        <w:t xml:space="preserve">Dorn, G (2021), Detection of bacteraemia: Blood cultures and other diagnostic tests. In D. Spelman (Ed.), </w:t>
      </w:r>
      <w:r w:rsidRPr="00DA425F">
        <w:rPr>
          <w:i/>
          <w:iCs/>
        </w:rPr>
        <w:t>UpToDate</w:t>
      </w:r>
      <w:r>
        <w:t>, accessed 15/05/2022.</w:t>
      </w:r>
    </w:p>
    <w:p w14:paraId="4BD4B922" w14:textId="77777777" w:rsidR="00912EDA" w:rsidRDefault="00912EDA" w:rsidP="00912EDA">
      <w:hyperlink r:id="rId16" w:anchor="!" w:history="1">
        <w:r>
          <w:rPr>
            <w:rStyle w:val="Hyperlink"/>
          </w:rPr>
          <w:t>Detection of bacteremia: Blood cultures and other diagnostic tests - UpToDate</w:t>
        </w:r>
      </w:hyperlink>
      <w:r>
        <w:t xml:space="preserve">  </w:t>
      </w:r>
    </w:p>
    <w:p w14:paraId="3ACF191B" w14:textId="77777777" w:rsidR="00912EDA" w:rsidRDefault="00912EDA" w:rsidP="00912EDA"/>
    <w:p w14:paraId="3602ECC9" w14:textId="77777777" w:rsidR="00912EDA" w:rsidRPr="005A4E75" w:rsidRDefault="00912EDA" w:rsidP="00912EDA">
      <w:r>
        <w:t xml:space="preserve">Huber, S., Hetzer, B., Crazzolara, R., and Orth-Holler, D (2019), The correct blood volume for paediatric blood cultures: a conundrum, </w:t>
      </w:r>
      <w:r>
        <w:rPr>
          <w:i/>
          <w:iCs/>
        </w:rPr>
        <w:t xml:space="preserve">Clinical Microbiology and Infection, </w:t>
      </w:r>
      <w:r>
        <w:t xml:space="preserve">doi: </w:t>
      </w:r>
      <w:hyperlink r:id="rId17" w:history="1">
        <w:r w:rsidRPr="00BA5E15">
          <w:rPr>
            <w:rStyle w:val="Hyperlink"/>
          </w:rPr>
          <w:t>https://doi.org/10.1016/j.cmi.2019.10.006</w:t>
        </w:r>
      </w:hyperlink>
      <w:r>
        <w:t xml:space="preserve"> </w:t>
      </w:r>
    </w:p>
    <w:p w14:paraId="2942BBE7" w14:textId="77777777" w:rsidR="00912EDA" w:rsidRDefault="00912EDA" w:rsidP="00912EDA"/>
    <w:p w14:paraId="002F6171" w14:textId="77777777" w:rsidR="00912EDA" w:rsidRPr="00B32498" w:rsidRDefault="00912EDA" w:rsidP="00912EDA">
      <w:pPr>
        <w:rPr>
          <w:rFonts w:cs="Calibri"/>
          <w:color w:val="000000"/>
          <w:szCs w:val="24"/>
          <w:lang w:eastAsia="en-AU"/>
        </w:rPr>
      </w:pPr>
      <w:r>
        <w:t xml:space="preserve">Lamy, B., Dargere, S., Arendrup, M., Patienti, J., and Tattevin, P (2016), How to optimise the use of blood cultures for the diagnosis of bloodstream infections, </w:t>
      </w:r>
      <w:r>
        <w:rPr>
          <w:i/>
          <w:iCs/>
        </w:rPr>
        <w:t xml:space="preserve">National Library of Medicine, </w:t>
      </w:r>
      <w:r>
        <w:t xml:space="preserve">doi: 10.3389/fmicb.2016.00697, accessed 24/05/2022. </w:t>
      </w:r>
    </w:p>
    <w:p w14:paraId="34B9DB55" w14:textId="77777777" w:rsidR="00912EDA" w:rsidRDefault="00912EDA" w:rsidP="00912EDA">
      <w:pPr>
        <w:rPr>
          <w:rFonts w:cs="Calibri"/>
          <w:color w:val="000000"/>
          <w:szCs w:val="24"/>
          <w:lang w:eastAsia="en-AU"/>
        </w:rPr>
      </w:pPr>
    </w:p>
    <w:p w14:paraId="592016F5" w14:textId="77777777" w:rsidR="00912EDA" w:rsidRDefault="00912EDA" w:rsidP="00912EDA">
      <w:pPr>
        <w:rPr>
          <w:rFonts w:cs="Calibri"/>
          <w:color w:val="000000"/>
          <w:szCs w:val="24"/>
          <w:lang w:eastAsia="en-AU"/>
        </w:rPr>
      </w:pPr>
      <w:r w:rsidRPr="00733EB2">
        <w:rPr>
          <w:szCs w:val="24"/>
          <w:lang w:eastAsia="en-AU"/>
        </w:rPr>
        <w:t>NSW Health Clinical Excellence Commission (CEC),</w:t>
      </w:r>
      <w:r>
        <w:rPr>
          <w:szCs w:val="24"/>
          <w:lang w:eastAsia="en-AU"/>
        </w:rPr>
        <w:t xml:space="preserve"> (2021). Sepsis Kills Program, Adult Blood Culture Guidance, accessed from: </w:t>
      </w:r>
      <w:hyperlink r:id="rId18" w:history="1">
        <w:r>
          <w:rPr>
            <w:rStyle w:val="Hyperlink"/>
          </w:rPr>
          <w:t>Adult Blood Culture Guidance (nsw.gov.au)</w:t>
        </w:r>
      </w:hyperlink>
      <w:r>
        <w:t xml:space="preserve"> </w:t>
      </w:r>
      <w:r>
        <w:rPr>
          <w:szCs w:val="24"/>
          <w:lang w:eastAsia="en-AU"/>
        </w:rPr>
        <w:t xml:space="preserve"> </w:t>
      </w:r>
    </w:p>
    <w:p w14:paraId="3F1D9D61" w14:textId="77777777" w:rsidR="00912EDA" w:rsidRDefault="00912EDA" w:rsidP="00912EDA">
      <w:pPr>
        <w:rPr>
          <w:rFonts w:cs="Calibri"/>
          <w:color w:val="000000"/>
          <w:szCs w:val="24"/>
          <w:lang w:eastAsia="en-AU"/>
        </w:rPr>
      </w:pPr>
    </w:p>
    <w:p w14:paraId="6E2B6D0D" w14:textId="77777777" w:rsidR="00912EDA" w:rsidRDefault="00912EDA" w:rsidP="00912EDA">
      <w:pPr>
        <w:rPr>
          <w:rFonts w:cs="Calibri"/>
          <w:color w:val="000000"/>
          <w:szCs w:val="24"/>
          <w:lang w:eastAsia="en-AU"/>
        </w:rPr>
      </w:pPr>
      <w:r>
        <w:rPr>
          <w:rFonts w:cs="Calibri"/>
          <w:color w:val="000000"/>
          <w:szCs w:val="24"/>
          <w:lang w:eastAsia="en-AU"/>
        </w:rPr>
        <w:t xml:space="preserve">NSW Health Clinical Excellence Commission (CEC), (2021). Sepsis Kills Program, Neonatal Blood Culture Guidance, accessed from: </w:t>
      </w:r>
      <w:hyperlink r:id="rId19" w:history="1">
        <w:r>
          <w:rPr>
            <w:rStyle w:val="Hyperlink"/>
          </w:rPr>
          <w:t>Neonatal Blood Culture Guidelines (nsw.gov.au)</w:t>
        </w:r>
      </w:hyperlink>
      <w:r>
        <w:t xml:space="preserve"> </w:t>
      </w:r>
    </w:p>
    <w:p w14:paraId="13036B42" w14:textId="77777777" w:rsidR="00912EDA" w:rsidRDefault="00912EDA" w:rsidP="00912EDA">
      <w:pPr>
        <w:rPr>
          <w:rFonts w:cs="Calibri"/>
          <w:color w:val="000000"/>
          <w:szCs w:val="24"/>
          <w:lang w:eastAsia="en-AU"/>
        </w:rPr>
      </w:pPr>
    </w:p>
    <w:p w14:paraId="05368D3C" w14:textId="77777777" w:rsidR="00912EDA" w:rsidRDefault="00912EDA" w:rsidP="00912EDA">
      <w:pPr>
        <w:rPr>
          <w:rFonts w:cs="Calibri"/>
          <w:color w:val="000000"/>
          <w:szCs w:val="24"/>
          <w:lang w:eastAsia="en-AU"/>
        </w:rPr>
      </w:pPr>
      <w:r>
        <w:rPr>
          <w:rFonts w:cs="Calibri"/>
          <w:color w:val="000000"/>
          <w:szCs w:val="24"/>
          <w:lang w:eastAsia="en-AU"/>
        </w:rPr>
        <w:t xml:space="preserve">NSW Health Clinical Excellence Commission (CEC), (2021). Sepsis Kills Program, Paediatric Blood Culture Guidance, accessed from: </w:t>
      </w:r>
      <w:hyperlink r:id="rId20" w:history="1">
        <w:r>
          <w:rPr>
            <w:rStyle w:val="Hyperlink"/>
          </w:rPr>
          <w:t>Paediatric Blood Culture Guidance (nsw.gov.au)</w:t>
        </w:r>
      </w:hyperlink>
      <w:r>
        <w:t xml:space="preserve"> </w:t>
      </w:r>
    </w:p>
    <w:p w14:paraId="18D4EA80" w14:textId="77777777" w:rsidR="00912EDA" w:rsidRDefault="00912EDA" w:rsidP="00912EDA">
      <w:pPr>
        <w:rPr>
          <w:rFonts w:cs="Calibri"/>
          <w:color w:val="000000"/>
          <w:szCs w:val="24"/>
          <w:lang w:eastAsia="en-AU"/>
        </w:rPr>
      </w:pPr>
    </w:p>
    <w:p w14:paraId="3B34F0B7" w14:textId="77777777" w:rsidR="00912EDA" w:rsidRDefault="00912EDA" w:rsidP="00912EDA">
      <w:pPr>
        <w:rPr>
          <w:szCs w:val="24"/>
          <w:lang w:eastAsia="en-AU"/>
        </w:rPr>
      </w:pPr>
      <w:r w:rsidRPr="00733EB2">
        <w:rPr>
          <w:szCs w:val="24"/>
          <w:lang w:eastAsia="en-AU"/>
        </w:rPr>
        <w:t>NSW Health Clinical Excellence Commission (CEC),</w:t>
      </w:r>
      <w:r>
        <w:rPr>
          <w:szCs w:val="24"/>
          <w:lang w:eastAsia="en-AU"/>
        </w:rPr>
        <w:t xml:space="preserve"> (2014). Sepsis Kills, Blood Culture Sampling Guideline – Adult, accessed from: </w:t>
      </w:r>
      <w:hyperlink r:id="rId21" w:history="1">
        <w:r>
          <w:rPr>
            <w:rStyle w:val="Hyperlink"/>
          </w:rPr>
          <w:t>ADULT Blood Culture Sampling Guideline (nsw.gov.au)</w:t>
        </w:r>
      </w:hyperlink>
      <w:r>
        <w:t xml:space="preserve"> </w:t>
      </w:r>
    </w:p>
    <w:p w14:paraId="79036981" w14:textId="77777777" w:rsidR="00912EDA" w:rsidRDefault="00912EDA" w:rsidP="00912EDA">
      <w:pPr>
        <w:rPr>
          <w:rFonts w:cs="Calibri"/>
          <w:color w:val="000000"/>
          <w:szCs w:val="24"/>
          <w:lang w:eastAsia="en-AU"/>
        </w:rPr>
      </w:pPr>
    </w:p>
    <w:p w14:paraId="12F36F94" w14:textId="77777777" w:rsidR="00912EDA" w:rsidRDefault="00912EDA" w:rsidP="00912EDA">
      <w:pPr>
        <w:rPr>
          <w:rFonts w:cs="Calibri"/>
          <w:color w:val="000000"/>
          <w:szCs w:val="24"/>
          <w:lang w:eastAsia="en-AU"/>
        </w:rPr>
      </w:pPr>
      <w:r>
        <w:rPr>
          <w:rFonts w:cs="Calibri"/>
          <w:color w:val="000000"/>
          <w:szCs w:val="24"/>
          <w:lang w:eastAsia="en-AU"/>
        </w:rPr>
        <w:t>NSW Health Clinical Excellence Commission (CEC), Sepsis Tools, accessed from:</w:t>
      </w:r>
    </w:p>
    <w:p w14:paraId="200C4208" w14:textId="77777777" w:rsidR="00912EDA" w:rsidRDefault="00912EDA" w:rsidP="00912EDA">
      <w:hyperlink r:id="rId22" w:history="1">
        <w:r>
          <w:rPr>
            <w:rStyle w:val="Hyperlink"/>
          </w:rPr>
          <w:t>Sepsis tools - Clinical Excellence Commission (nsw.gov.au)</w:t>
        </w:r>
      </w:hyperlink>
      <w:r>
        <w:t xml:space="preserve"> </w:t>
      </w:r>
    </w:p>
    <w:p w14:paraId="114DE867" w14:textId="77777777" w:rsidR="00912EDA" w:rsidRDefault="00912EDA" w:rsidP="00912EDA"/>
    <w:p w14:paraId="74D9736F" w14:textId="77777777" w:rsidR="00912EDA" w:rsidRPr="005A4E75" w:rsidRDefault="00912EDA" w:rsidP="00912EDA">
      <w:r>
        <w:t xml:space="preserve">O’Hagan, S., Nelson, P., Speirs, L., Moriarty, P., and Mallett, P (2021), How to interpret paediatric blood culture, </w:t>
      </w:r>
      <w:r>
        <w:rPr>
          <w:i/>
          <w:iCs/>
        </w:rPr>
        <w:t xml:space="preserve">BMJ, </w:t>
      </w:r>
      <w:r>
        <w:t xml:space="preserve">doi: </w:t>
      </w:r>
      <w:hyperlink r:id="rId23" w:history="1">
        <w:r w:rsidRPr="00BA5E15">
          <w:rPr>
            <w:rStyle w:val="Hyperlink"/>
          </w:rPr>
          <w:t>http://dx.doi.org/10.1136/edpract-2020-321121</w:t>
        </w:r>
      </w:hyperlink>
      <w:r>
        <w:t xml:space="preserve"> </w:t>
      </w:r>
    </w:p>
    <w:p w14:paraId="552E561E" w14:textId="77777777" w:rsidR="00912EDA" w:rsidRDefault="00912EDA" w:rsidP="00912EDA">
      <w:pPr>
        <w:rPr>
          <w:rFonts w:cs="Calibri"/>
          <w:color w:val="000000"/>
          <w:szCs w:val="24"/>
          <w:lang w:eastAsia="en-AU"/>
        </w:rPr>
      </w:pPr>
    </w:p>
    <w:p w14:paraId="6DAAB335" w14:textId="77777777" w:rsidR="00912EDA" w:rsidRDefault="00912EDA" w:rsidP="00912EDA">
      <w:pPr>
        <w:rPr>
          <w:rFonts w:cs="Calibri"/>
          <w:color w:val="000000"/>
          <w:lang w:eastAsia="en-AU"/>
        </w:rPr>
      </w:pPr>
      <w:r w:rsidRPr="42BBC7FB">
        <w:rPr>
          <w:rFonts w:cs="Calibri"/>
          <w:color w:val="000000" w:themeColor="text1"/>
          <w:lang w:eastAsia="en-AU"/>
        </w:rPr>
        <w:t>Queensland Government (2019), Recommendations for the prevention of infection in intravascular devices, accessed 22/05/2022.</w:t>
      </w:r>
    </w:p>
    <w:p w14:paraId="48A9F130" w14:textId="77777777" w:rsidR="00912EDA" w:rsidRDefault="00912EDA" w:rsidP="00912EDA">
      <w:pPr>
        <w:rPr>
          <w:rFonts w:cs="Calibri"/>
          <w:color w:val="000000"/>
          <w:szCs w:val="24"/>
          <w:lang w:eastAsia="en-AU"/>
        </w:rPr>
      </w:pPr>
      <w:hyperlink r:id="rId24" w:history="1">
        <w:r>
          <w:rPr>
            <w:rStyle w:val="Hyperlink"/>
          </w:rPr>
          <w:t>Recommendations for the prevention of infection in intra-vascular devices - December 2019 (health.qld.gov.au)</w:t>
        </w:r>
      </w:hyperlink>
    </w:p>
    <w:p w14:paraId="3A969EDF" w14:textId="77777777" w:rsidR="00912EDA" w:rsidRDefault="00912EDA" w:rsidP="00912EDA">
      <w:pPr>
        <w:rPr>
          <w:rFonts w:cs="Calibri"/>
          <w:color w:val="000000"/>
          <w:szCs w:val="24"/>
          <w:lang w:eastAsia="en-AU"/>
        </w:rPr>
      </w:pPr>
    </w:p>
    <w:p w14:paraId="3F59A216" w14:textId="77777777" w:rsidR="00912EDA" w:rsidRPr="00694BE5" w:rsidRDefault="00912EDA" w:rsidP="00912EDA">
      <w:pPr>
        <w:rPr>
          <w:rFonts w:cs="Calibri"/>
          <w:color w:val="000000"/>
          <w:szCs w:val="24"/>
          <w:lang w:eastAsia="en-AU"/>
        </w:rPr>
      </w:pPr>
      <w:r>
        <w:rPr>
          <w:rFonts w:cs="Calibri"/>
          <w:color w:val="000000"/>
          <w:szCs w:val="24"/>
          <w:lang w:eastAsia="en-AU"/>
        </w:rPr>
        <w:t xml:space="preserve">Snyder, S., Favoretto, A., Baetz, R., Derzon, J., Madison, B., Mass, D., Shaw, C., Layfield, C., Christenson, R., and Liebow, E (2012), Effectiveness of practices to reduce blood culture contamination: A laboratory medicine best practices systematic review and meta-analysis, </w:t>
      </w:r>
      <w:r>
        <w:rPr>
          <w:rFonts w:cs="Calibri"/>
          <w:i/>
          <w:iCs/>
          <w:color w:val="000000"/>
          <w:szCs w:val="24"/>
          <w:lang w:eastAsia="en-AU"/>
        </w:rPr>
        <w:t>Clinical Biochemistry (45)</w:t>
      </w:r>
      <w:r>
        <w:rPr>
          <w:rFonts w:cs="Calibri"/>
          <w:color w:val="000000"/>
          <w:szCs w:val="24"/>
          <w:lang w:eastAsia="en-AU"/>
        </w:rPr>
        <w:t xml:space="preserve"> p. 999-1011, doi: 10.1016/j.clinbiochem.2012.06.007, accessed 24/05/2022.</w:t>
      </w:r>
    </w:p>
    <w:p w14:paraId="6CABEDFF" w14:textId="77777777" w:rsidR="00912EDA" w:rsidRDefault="00912EDA" w:rsidP="00912EDA">
      <w:pPr>
        <w:rPr>
          <w:rFonts w:cs="Calibri"/>
          <w:color w:val="000000"/>
          <w:szCs w:val="24"/>
          <w:lang w:eastAsia="en-AU"/>
        </w:rPr>
      </w:pPr>
    </w:p>
    <w:p w14:paraId="1AD63ED5" w14:textId="77777777" w:rsidR="00912EDA" w:rsidRDefault="00912EDA" w:rsidP="00912EDA">
      <w:pPr>
        <w:rPr>
          <w:rFonts w:cs="Calibri"/>
          <w:color w:val="000000"/>
          <w:szCs w:val="24"/>
          <w:lang w:eastAsia="en-AU"/>
        </w:rPr>
      </w:pPr>
      <w:r>
        <w:rPr>
          <w:rFonts w:cs="Calibri"/>
          <w:color w:val="000000"/>
          <w:szCs w:val="24"/>
          <w:lang w:eastAsia="en-AU"/>
        </w:rPr>
        <w:t xml:space="preserve">The Children’s Hospital at Westmead (2020). Blood Collection from Neonates: Practice Guideline, accessed from: </w:t>
      </w:r>
      <w:hyperlink r:id="rId25" w:history="1">
        <w:r>
          <w:rPr>
            <w:rStyle w:val="Hyperlink"/>
          </w:rPr>
          <w:t>Blood Collection from Neonates in GCNC - CHW (nsw.gov.au)</w:t>
        </w:r>
      </w:hyperlink>
      <w:r>
        <w:t xml:space="preserve"> </w:t>
      </w:r>
    </w:p>
    <w:p w14:paraId="28353A23" w14:textId="77777777" w:rsidR="00912EDA" w:rsidRDefault="00912EDA" w:rsidP="00912EDA">
      <w:pPr>
        <w:rPr>
          <w:rFonts w:cs="Calibri"/>
          <w:color w:val="000000"/>
          <w:szCs w:val="24"/>
          <w:lang w:eastAsia="en-AU"/>
        </w:rPr>
      </w:pPr>
    </w:p>
    <w:p w14:paraId="1D041281" w14:textId="77777777" w:rsidR="00912EDA" w:rsidRDefault="00912EDA" w:rsidP="00912EDA">
      <w:r>
        <w:rPr>
          <w:rFonts w:cs="Calibri"/>
          <w:color w:val="000000"/>
          <w:szCs w:val="24"/>
          <w:lang w:eastAsia="en-AU"/>
        </w:rPr>
        <w:t xml:space="preserve">The Royal Children’s Hospital Melbourne, Specimen Collection: Blood Culture, accessed from: </w:t>
      </w:r>
      <w:hyperlink r:id="rId26" w:history="1">
        <w:r>
          <w:rPr>
            <w:rStyle w:val="Hyperlink"/>
          </w:rPr>
          <w:t>Specimen Collection : Blood Culture (rch.org.au)</w:t>
        </w:r>
      </w:hyperlink>
    </w:p>
    <w:p w14:paraId="4046A4C6" w14:textId="77777777" w:rsidR="00912EDA" w:rsidRDefault="00912EDA" w:rsidP="00912EDA">
      <w:pPr>
        <w:rPr>
          <w:rFonts w:cs="Calibri"/>
          <w:color w:val="000000"/>
          <w:szCs w:val="24"/>
          <w:lang w:eastAsia="en-AU"/>
        </w:rPr>
      </w:pPr>
    </w:p>
    <w:bookmarkEnd w:id="30"/>
    <w:p w14:paraId="712C0576" w14:textId="77777777" w:rsidR="00912EDA" w:rsidRDefault="00912EDA" w:rsidP="00912EDA">
      <w:pPr>
        <w:rPr>
          <w:rStyle w:val="Hyperlink"/>
          <w:szCs w:val="24"/>
        </w:rPr>
      </w:pPr>
      <w:r w:rsidRPr="00070F1E">
        <w:rPr>
          <w:szCs w:val="24"/>
        </w:rPr>
        <w:t xml:space="preserve">World Health Organization (2010), WHO </w:t>
      </w:r>
      <w:r>
        <w:rPr>
          <w:szCs w:val="24"/>
        </w:rPr>
        <w:t>Gui</w:t>
      </w:r>
      <w:r w:rsidRPr="00070F1E">
        <w:rPr>
          <w:szCs w:val="24"/>
        </w:rPr>
        <w:t xml:space="preserve">delines on </w:t>
      </w:r>
      <w:r>
        <w:rPr>
          <w:szCs w:val="24"/>
        </w:rPr>
        <w:t>D</w:t>
      </w:r>
      <w:r w:rsidRPr="00070F1E">
        <w:rPr>
          <w:szCs w:val="24"/>
        </w:rPr>
        <w:t xml:space="preserve">rawing </w:t>
      </w:r>
      <w:r>
        <w:rPr>
          <w:szCs w:val="24"/>
        </w:rPr>
        <w:t>B</w:t>
      </w:r>
      <w:r w:rsidRPr="00070F1E">
        <w:rPr>
          <w:szCs w:val="24"/>
        </w:rPr>
        <w:t>lood: best practices in</w:t>
      </w:r>
      <w:r>
        <w:rPr>
          <w:szCs w:val="24"/>
        </w:rPr>
        <w:t xml:space="preserve"> phlebotomy, accessed 13/02/2019</w:t>
      </w:r>
      <w:r w:rsidRPr="00070F1E">
        <w:rPr>
          <w:szCs w:val="24"/>
        </w:rPr>
        <w:t xml:space="preserve"> </w:t>
      </w:r>
      <w:hyperlink r:id="rId27" w:history="1">
        <w:r w:rsidRPr="00070F1E">
          <w:rPr>
            <w:rStyle w:val="Hyperlink"/>
            <w:szCs w:val="24"/>
          </w:rPr>
          <w:t>http://whqlibdoc.who.int/publications/2010/9789241599221_eng.pdf</w:t>
        </w:r>
      </w:hyperlink>
    </w:p>
    <w:p w14:paraId="40DA6F49" w14:textId="77777777" w:rsidR="00912EDA" w:rsidRPr="00070F1E" w:rsidRDefault="00912EDA" w:rsidP="00912EDA">
      <w:pPr>
        <w:rPr>
          <w:szCs w:val="24"/>
        </w:rPr>
      </w:pPr>
    </w:p>
    <w:p w14:paraId="16EC2142" w14:textId="77777777" w:rsidR="00912EDA" w:rsidRPr="00733EB2" w:rsidRDefault="00912EDA" w:rsidP="00912EDA">
      <w:pPr>
        <w:jc w:val="right"/>
        <w:rPr>
          <w:rFonts w:cs="Calibri,Bold"/>
          <w:bCs/>
          <w:i/>
          <w:szCs w:val="24"/>
          <w:lang w:eastAsia="en-AU"/>
        </w:rPr>
      </w:pPr>
      <w:hyperlink w:anchor="Contents" w:history="1">
        <w:r w:rsidRPr="00C91F3F">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0F1F60" w14:paraId="40D6086C" w14:textId="77777777" w:rsidTr="00FC324C">
        <w:trPr>
          <w:cantSplit/>
          <w:trHeight w:val="285"/>
        </w:trPr>
        <w:tc>
          <w:tcPr>
            <w:tcW w:w="9300" w:type="dxa"/>
            <w:shd w:val="clear" w:color="auto" w:fill="A6A6A6"/>
          </w:tcPr>
          <w:p w14:paraId="7BC49D5E" w14:textId="77777777" w:rsidR="00912EDA" w:rsidRPr="000F1F60" w:rsidRDefault="00912EDA" w:rsidP="00FC324C">
            <w:pPr>
              <w:pStyle w:val="Heading1"/>
            </w:pPr>
            <w:bookmarkStart w:id="31" w:name="_Toc113627994"/>
            <w:r>
              <w:t>Definition of Terms</w:t>
            </w:r>
            <w:bookmarkEnd w:id="31"/>
            <w:r>
              <w:t xml:space="preserve"> </w:t>
            </w:r>
          </w:p>
        </w:tc>
      </w:tr>
    </w:tbl>
    <w:p w14:paraId="6E0DF903" w14:textId="77777777" w:rsidR="00912EDA" w:rsidRDefault="00912EDA" w:rsidP="00912EDA">
      <w:pPr>
        <w:pStyle w:val="BodyText"/>
        <w:ind w:right="44"/>
        <w:rPr>
          <w:rFonts w:ascii="Calibri" w:hAnsi="Calibri"/>
          <w:b/>
        </w:rPr>
      </w:pPr>
    </w:p>
    <w:p w14:paraId="2916E9DE" w14:textId="77777777" w:rsidR="00912EDA" w:rsidRPr="00BF351A" w:rsidRDefault="00912EDA" w:rsidP="00912EDA">
      <w:pPr>
        <w:pStyle w:val="BodyText"/>
        <w:ind w:right="44"/>
        <w:rPr>
          <w:rFonts w:ascii="Calibri" w:hAnsi="Calibri"/>
          <w:spacing w:val="-1"/>
        </w:rPr>
      </w:pPr>
      <w:r w:rsidRPr="00BF351A">
        <w:rPr>
          <w:rFonts w:ascii="Calibri" w:hAnsi="Calibri"/>
          <w:b/>
          <w:spacing w:val="-1"/>
        </w:rPr>
        <w:t>Aerobic</w:t>
      </w:r>
      <w:r>
        <w:rPr>
          <w:rFonts w:ascii="Calibri" w:hAnsi="Calibri"/>
          <w:b/>
          <w:spacing w:val="-1"/>
        </w:rPr>
        <w:t>:</w:t>
      </w:r>
      <w:r w:rsidRPr="00BF351A">
        <w:rPr>
          <w:rFonts w:ascii="Calibri" w:hAnsi="Calibri"/>
          <w:spacing w:val="-1"/>
        </w:rPr>
        <w:t xml:space="preserve">  Occurring in the presence of oxygen or requiring oxygen to live.</w:t>
      </w:r>
    </w:p>
    <w:p w14:paraId="6F16B433" w14:textId="77777777" w:rsidR="00912EDA" w:rsidRDefault="00912EDA" w:rsidP="00912EDA">
      <w:pPr>
        <w:pStyle w:val="BodyText"/>
        <w:ind w:right="44"/>
        <w:rPr>
          <w:rFonts w:ascii="Calibri" w:hAnsi="Calibri"/>
          <w:b/>
        </w:rPr>
      </w:pPr>
    </w:p>
    <w:p w14:paraId="550BFE77" w14:textId="77777777" w:rsidR="00912EDA" w:rsidRDefault="00912EDA" w:rsidP="00912EDA">
      <w:pPr>
        <w:pStyle w:val="BodyText"/>
        <w:ind w:right="44"/>
        <w:rPr>
          <w:rFonts w:ascii="Calibri" w:hAnsi="Calibri"/>
          <w:spacing w:val="-1"/>
        </w:rPr>
      </w:pPr>
      <w:r>
        <w:rPr>
          <w:rFonts w:ascii="Calibri" w:hAnsi="Calibri"/>
          <w:b/>
        </w:rPr>
        <w:t>Alcohol</w:t>
      </w:r>
      <w:r>
        <w:rPr>
          <w:rFonts w:ascii="Calibri" w:hAnsi="Calibri"/>
          <w:b/>
          <w:spacing w:val="-6"/>
        </w:rPr>
        <w:t xml:space="preserve"> </w:t>
      </w:r>
      <w:r>
        <w:rPr>
          <w:rFonts w:ascii="Calibri" w:hAnsi="Calibri"/>
          <w:b/>
          <w:spacing w:val="-1"/>
        </w:rPr>
        <w:t>Based</w:t>
      </w:r>
      <w:r>
        <w:rPr>
          <w:rFonts w:ascii="Calibri" w:hAnsi="Calibri"/>
          <w:b/>
          <w:spacing w:val="-4"/>
        </w:rPr>
        <w:t xml:space="preserve"> </w:t>
      </w:r>
      <w:r>
        <w:rPr>
          <w:rFonts w:ascii="Calibri" w:hAnsi="Calibri"/>
          <w:b/>
          <w:spacing w:val="-1"/>
        </w:rPr>
        <w:t>Hand</w:t>
      </w:r>
      <w:r>
        <w:rPr>
          <w:rFonts w:ascii="Calibri" w:hAnsi="Calibri"/>
          <w:b/>
          <w:spacing w:val="-4"/>
        </w:rPr>
        <w:t xml:space="preserve"> </w:t>
      </w:r>
      <w:r>
        <w:rPr>
          <w:rFonts w:ascii="Calibri" w:hAnsi="Calibri"/>
          <w:b/>
          <w:spacing w:val="-1"/>
        </w:rPr>
        <w:t>Rub</w:t>
      </w:r>
      <w:r>
        <w:rPr>
          <w:rFonts w:ascii="Calibri" w:hAnsi="Calibri"/>
          <w:b/>
          <w:spacing w:val="-5"/>
        </w:rPr>
        <w:t xml:space="preserve"> </w:t>
      </w:r>
      <w:r>
        <w:rPr>
          <w:rFonts w:ascii="Calibri" w:hAnsi="Calibri"/>
          <w:b/>
          <w:spacing w:val="-1"/>
        </w:rPr>
        <w:t>(ABHR)</w:t>
      </w:r>
      <w:r>
        <w:rPr>
          <w:rFonts w:ascii="Calibri" w:hAnsi="Calibri"/>
          <w:spacing w:val="-1"/>
        </w:rPr>
        <w:t>:</w:t>
      </w:r>
      <w:r>
        <w:rPr>
          <w:rFonts w:ascii="Calibri" w:hAnsi="Calibri"/>
          <w:spacing w:val="-4"/>
        </w:rPr>
        <w:t xml:space="preserve"> </w:t>
      </w:r>
      <w:r>
        <w:rPr>
          <w:rFonts w:ascii="Calibri" w:hAnsi="Calibri"/>
          <w:spacing w:val="-1"/>
        </w:rPr>
        <w:t>Alcohol</w:t>
      </w:r>
      <w:r>
        <w:rPr>
          <w:rFonts w:ascii="Calibri" w:hAnsi="Calibri"/>
          <w:spacing w:val="-5"/>
        </w:rPr>
        <w:t xml:space="preserve"> </w:t>
      </w:r>
      <w:r>
        <w:rPr>
          <w:rFonts w:ascii="Calibri" w:hAnsi="Calibri"/>
          <w:spacing w:val="-1"/>
        </w:rPr>
        <w:t>containing</w:t>
      </w:r>
      <w:r>
        <w:rPr>
          <w:rFonts w:ascii="Calibri" w:hAnsi="Calibri"/>
          <w:spacing w:val="-5"/>
        </w:rPr>
        <w:t xml:space="preserve"> </w:t>
      </w:r>
      <w:r>
        <w:rPr>
          <w:rFonts w:ascii="Calibri" w:hAnsi="Calibri"/>
          <w:spacing w:val="-1"/>
        </w:rPr>
        <w:t>preparation</w:t>
      </w:r>
      <w:r>
        <w:rPr>
          <w:rFonts w:ascii="Calibri" w:hAnsi="Calibri"/>
          <w:spacing w:val="-5"/>
        </w:rPr>
        <w:t xml:space="preserve"> </w:t>
      </w:r>
      <w:r>
        <w:rPr>
          <w:rFonts w:ascii="Calibri" w:hAnsi="Calibri"/>
          <w:spacing w:val="-1"/>
        </w:rPr>
        <w:t>designed</w:t>
      </w:r>
      <w:r>
        <w:rPr>
          <w:rFonts w:ascii="Calibri" w:hAnsi="Calibri"/>
          <w:spacing w:val="-6"/>
        </w:rPr>
        <w:t xml:space="preserve"> </w:t>
      </w:r>
      <w:r>
        <w:rPr>
          <w:rFonts w:ascii="Calibri" w:hAnsi="Calibri"/>
        </w:rPr>
        <w:t>for</w:t>
      </w:r>
      <w:r>
        <w:rPr>
          <w:rFonts w:ascii="Calibri" w:hAnsi="Calibri"/>
          <w:spacing w:val="-6"/>
        </w:rPr>
        <w:t xml:space="preserve"> </w:t>
      </w:r>
      <w:r>
        <w:rPr>
          <w:rFonts w:ascii="Calibri" w:hAnsi="Calibri"/>
          <w:spacing w:val="-1"/>
        </w:rPr>
        <w:t>application</w:t>
      </w:r>
      <w:r>
        <w:rPr>
          <w:rFonts w:ascii="Calibri" w:hAnsi="Calibri"/>
          <w:spacing w:val="-5"/>
        </w:rPr>
        <w:t xml:space="preserve"> </w:t>
      </w:r>
      <w:r>
        <w:rPr>
          <w:rFonts w:ascii="Calibri" w:hAnsi="Calibri"/>
        </w:rPr>
        <w:t>to</w:t>
      </w:r>
      <w:r>
        <w:rPr>
          <w:rFonts w:ascii="Calibri" w:hAnsi="Calibri"/>
          <w:spacing w:val="81"/>
        </w:rPr>
        <w:t xml:space="preserve"> </w:t>
      </w:r>
      <w:r>
        <w:rPr>
          <w:rFonts w:ascii="Calibri" w:hAnsi="Calibri"/>
        </w:rPr>
        <w:t>the</w:t>
      </w:r>
      <w:r>
        <w:rPr>
          <w:rFonts w:ascii="Calibri" w:hAnsi="Calibri"/>
          <w:spacing w:val="-5"/>
        </w:rPr>
        <w:t xml:space="preserve"> </w:t>
      </w:r>
      <w:r>
        <w:rPr>
          <w:rFonts w:ascii="Calibri" w:hAnsi="Calibri"/>
        </w:rPr>
        <w:t>hands</w:t>
      </w:r>
      <w:r>
        <w:rPr>
          <w:rFonts w:ascii="Calibri" w:hAnsi="Calibri"/>
          <w:spacing w:val="-4"/>
        </w:rPr>
        <w:t xml:space="preserve"> </w:t>
      </w:r>
      <w:r>
        <w:rPr>
          <w:rFonts w:ascii="Calibri" w:hAnsi="Calibri"/>
          <w:spacing w:val="-2"/>
        </w:rPr>
        <w:t xml:space="preserve">to </w:t>
      </w:r>
      <w:r>
        <w:rPr>
          <w:rFonts w:ascii="Calibri" w:hAnsi="Calibri"/>
          <w:spacing w:val="-1"/>
        </w:rPr>
        <w:t>reduce</w:t>
      </w:r>
      <w:r>
        <w:rPr>
          <w:rFonts w:ascii="Calibri" w:hAnsi="Calibri"/>
          <w:spacing w:val="-3"/>
        </w:rPr>
        <w:t xml:space="preserve"> </w:t>
      </w:r>
      <w:r>
        <w:rPr>
          <w:rFonts w:ascii="Calibri" w:hAnsi="Calibri"/>
          <w:spacing w:val="-1"/>
        </w:rPr>
        <w:t>the</w:t>
      </w:r>
      <w:r>
        <w:rPr>
          <w:rFonts w:ascii="Calibri" w:hAnsi="Calibri"/>
          <w:spacing w:val="-5"/>
        </w:rPr>
        <w:t xml:space="preserve"> </w:t>
      </w:r>
      <w:r>
        <w:rPr>
          <w:rFonts w:ascii="Calibri" w:hAnsi="Calibri"/>
        </w:rPr>
        <w:t>number</w:t>
      </w:r>
      <w:r>
        <w:rPr>
          <w:rFonts w:ascii="Calibri" w:hAnsi="Calibri"/>
          <w:spacing w:val="-4"/>
        </w:rPr>
        <w:t xml:space="preserve"> </w:t>
      </w:r>
      <w:r>
        <w:rPr>
          <w:rFonts w:ascii="Calibri" w:hAnsi="Calibri"/>
        </w:rPr>
        <w:t>of</w:t>
      </w:r>
      <w:r>
        <w:rPr>
          <w:rFonts w:ascii="Calibri" w:hAnsi="Calibri"/>
          <w:spacing w:val="-5"/>
        </w:rPr>
        <w:t xml:space="preserve"> </w:t>
      </w:r>
      <w:r>
        <w:rPr>
          <w:rFonts w:ascii="Calibri" w:hAnsi="Calibri"/>
        </w:rPr>
        <w:t>viable</w:t>
      </w:r>
      <w:r>
        <w:rPr>
          <w:rFonts w:ascii="Calibri" w:hAnsi="Calibri"/>
          <w:spacing w:val="-4"/>
        </w:rPr>
        <w:t xml:space="preserve"> </w:t>
      </w:r>
      <w:r>
        <w:rPr>
          <w:rFonts w:ascii="Calibri" w:hAnsi="Calibri"/>
        </w:rPr>
        <w:t>micro</w:t>
      </w:r>
      <w:r>
        <w:rPr>
          <w:rFonts w:ascii="Calibri" w:hAnsi="Calibri"/>
          <w:spacing w:val="-3"/>
        </w:rPr>
        <w:t>-</w:t>
      </w:r>
      <w:r>
        <w:rPr>
          <w:rFonts w:ascii="Calibri" w:hAnsi="Calibri"/>
          <w:spacing w:val="-1"/>
        </w:rPr>
        <w:t>organisms</w:t>
      </w:r>
      <w:r>
        <w:rPr>
          <w:rFonts w:ascii="Calibri" w:hAnsi="Calibri"/>
          <w:spacing w:val="-3"/>
        </w:rPr>
        <w:t xml:space="preserve"> </w:t>
      </w:r>
      <w:r>
        <w:rPr>
          <w:rFonts w:ascii="Calibri" w:hAnsi="Calibri"/>
          <w:spacing w:val="-1"/>
        </w:rPr>
        <w:t>with</w:t>
      </w:r>
      <w:r>
        <w:rPr>
          <w:rFonts w:ascii="Calibri" w:hAnsi="Calibri"/>
          <w:spacing w:val="-2"/>
        </w:rPr>
        <w:t xml:space="preserve"> </w:t>
      </w:r>
      <w:r>
        <w:rPr>
          <w:rFonts w:ascii="Calibri" w:hAnsi="Calibri"/>
          <w:spacing w:val="-1"/>
        </w:rPr>
        <w:t>maximum</w:t>
      </w:r>
      <w:r>
        <w:rPr>
          <w:rFonts w:ascii="Calibri" w:hAnsi="Calibri"/>
          <w:spacing w:val="-3"/>
        </w:rPr>
        <w:t xml:space="preserve"> </w:t>
      </w:r>
      <w:r>
        <w:rPr>
          <w:rFonts w:ascii="Calibri" w:hAnsi="Calibri"/>
          <w:spacing w:val="-1"/>
        </w:rPr>
        <w:t>efficacy</w:t>
      </w:r>
      <w:r>
        <w:rPr>
          <w:rFonts w:ascii="Calibri" w:hAnsi="Calibri"/>
          <w:spacing w:val="57"/>
          <w:w w:val="99"/>
        </w:rPr>
        <w:t xml:space="preserve"> </w:t>
      </w:r>
      <w:r>
        <w:rPr>
          <w:rFonts w:ascii="Calibri" w:hAnsi="Calibri"/>
        </w:rPr>
        <w:t>and</w:t>
      </w:r>
      <w:r>
        <w:rPr>
          <w:rFonts w:ascii="Calibri" w:hAnsi="Calibri"/>
          <w:spacing w:val="-3"/>
        </w:rPr>
        <w:t xml:space="preserve"> </w:t>
      </w:r>
      <w:r>
        <w:rPr>
          <w:rFonts w:ascii="Calibri" w:hAnsi="Calibri"/>
          <w:spacing w:val="-1"/>
        </w:rPr>
        <w:t>speed.</w:t>
      </w:r>
    </w:p>
    <w:p w14:paraId="482DF179" w14:textId="77777777" w:rsidR="00912EDA" w:rsidRPr="00BF351A" w:rsidRDefault="00912EDA" w:rsidP="00912EDA">
      <w:pPr>
        <w:pStyle w:val="BodyText"/>
        <w:ind w:right="44"/>
        <w:rPr>
          <w:rFonts w:ascii="Calibri" w:hAnsi="Calibri"/>
        </w:rPr>
      </w:pPr>
    </w:p>
    <w:p w14:paraId="25958B6C" w14:textId="77777777" w:rsidR="00912EDA" w:rsidRPr="00BF351A" w:rsidRDefault="00912EDA" w:rsidP="00912EDA">
      <w:pPr>
        <w:pStyle w:val="BodyText"/>
        <w:ind w:right="44"/>
        <w:rPr>
          <w:rFonts w:ascii="Calibri" w:hAnsi="Calibri"/>
        </w:rPr>
      </w:pPr>
      <w:r w:rsidRPr="00BF351A">
        <w:rPr>
          <w:rFonts w:ascii="Calibri" w:hAnsi="Calibri"/>
          <w:b/>
        </w:rPr>
        <w:t>Anaerobic:</w:t>
      </w:r>
      <w:r w:rsidRPr="00BF351A">
        <w:rPr>
          <w:rFonts w:ascii="Calibri" w:hAnsi="Calibri"/>
        </w:rPr>
        <w:t xml:space="preserve">  Occurring in the absence of oxygen or not requiring oxygen to live. Anaerobic bacteria </w:t>
      </w:r>
      <w:r>
        <w:rPr>
          <w:rFonts w:ascii="Calibri" w:hAnsi="Calibri"/>
        </w:rPr>
        <w:t>grow</w:t>
      </w:r>
      <w:r w:rsidRPr="00BF351A">
        <w:rPr>
          <w:rFonts w:ascii="Calibri" w:hAnsi="Calibri"/>
        </w:rPr>
        <w:t xml:space="preserve"> without the presence of oxygen.</w:t>
      </w:r>
    </w:p>
    <w:p w14:paraId="75126740" w14:textId="77777777" w:rsidR="00912EDA" w:rsidRDefault="00912EDA" w:rsidP="00912EDA">
      <w:pPr>
        <w:pStyle w:val="BodyText"/>
        <w:ind w:right="44"/>
        <w:rPr>
          <w:rFonts w:ascii="Calibri" w:hAnsi="Calibri"/>
          <w:spacing w:val="-1"/>
        </w:rPr>
      </w:pPr>
    </w:p>
    <w:p w14:paraId="5E100B38" w14:textId="77777777" w:rsidR="00912EDA" w:rsidRDefault="00912EDA" w:rsidP="00912EDA">
      <w:pPr>
        <w:rPr>
          <w:color w:val="000000"/>
          <w:lang w:val="en-US"/>
        </w:rPr>
      </w:pPr>
      <w:r w:rsidRPr="00D9710B">
        <w:rPr>
          <w:b/>
          <w:bCs/>
          <w:color w:val="000000"/>
          <w:lang w:val="en-US"/>
        </w:rPr>
        <w:t>Aseptic Non-Touch Technique (ANTT):</w:t>
      </w:r>
      <w:r w:rsidRPr="00D9710B">
        <w:rPr>
          <w:color w:val="000000"/>
          <w:lang w:val="en-US"/>
        </w:rPr>
        <w:t xml:space="preserve"> </w:t>
      </w:r>
      <w:r>
        <w:rPr>
          <w:color w:val="000000"/>
          <w:lang w:val="en-US"/>
        </w:rPr>
        <w:t xml:space="preserve"> </w:t>
      </w:r>
      <w:r w:rsidRPr="00685BD0">
        <w:rPr>
          <w:color w:val="000000"/>
          <w:lang w:val="en-US"/>
        </w:rPr>
        <w:t>ANTT is a technique used to prevent contamination of key parts and key sites by microorganisms that could cause infection. In ANTT, asepsis is ensured by identifying and then protecting key parts and key sites by hand hygiene, non-touch technique, using new sterilised equipment and/or cleaning existing key parts to a standard that renders them aseptic prior to use</w:t>
      </w:r>
    </w:p>
    <w:p w14:paraId="288B3EAF" w14:textId="77777777" w:rsidR="00912EDA" w:rsidRDefault="00912EDA" w:rsidP="00912EDA">
      <w:pPr>
        <w:rPr>
          <w:rFonts w:cs="Calibri"/>
          <w:color w:val="000000"/>
          <w:szCs w:val="24"/>
          <w:lang w:eastAsia="en-AU"/>
        </w:rPr>
      </w:pPr>
    </w:p>
    <w:p w14:paraId="00F0832A" w14:textId="77777777" w:rsidR="00912EDA" w:rsidRDefault="00912EDA" w:rsidP="00912EDA">
      <w:pPr>
        <w:rPr>
          <w:i/>
          <w:iCs/>
          <w:lang w:val="en-US"/>
        </w:rPr>
      </w:pPr>
      <w:r w:rsidRPr="005C1930">
        <w:rPr>
          <w:rFonts w:cs="Calibri"/>
          <w:b/>
          <w:color w:val="000000"/>
          <w:szCs w:val="24"/>
          <w:lang w:eastAsia="en-AU"/>
        </w:rPr>
        <w:t>Candidaemia</w:t>
      </w:r>
      <w:r>
        <w:rPr>
          <w:rFonts w:cs="Calibri"/>
          <w:b/>
          <w:color w:val="000000"/>
          <w:szCs w:val="24"/>
          <w:lang w:eastAsia="en-AU"/>
        </w:rPr>
        <w:t xml:space="preserve">:  </w:t>
      </w:r>
      <w:r w:rsidRPr="005A5D8D">
        <w:rPr>
          <w:rFonts w:cs="Calibri"/>
          <w:color w:val="000000"/>
          <w:szCs w:val="24"/>
          <w:lang w:eastAsia="en-AU"/>
        </w:rPr>
        <w:t>A</w:t>
      </w:r>
      <w:r w:rsidRPr="002D7EFE">
        <w:rPr>
          <w:color w:val="000000"/>
          <w:lang w:val="en-US"/>
        </w:rPr>
        <w:t xml:space="preserve"> bloodstream infection caused by yeast (a type of fungus) </w:t>
      </w:r>
      <w:r>
        <w:rPr>
          <w:color w:val="000000"/>
          <w:lang w:val="en-US"/>
        </w:rPr>
        <w:t>c</w:t>
      </w:r>
      <w:r w:rsidRPr="002D7EFE">
        <w:rPr>
          <w:color w:val="000000"/>
          <w:lang w:val="en-US"/>
        </w:rPr>
        <w:t>alled</w:t>
      </w:r>
      <w:r w:rsidRPr="002D7EFE">
        <w:rPr>
          <w:lang w:val="en-US"/>
        </w:rPr>
        <w:t> </w:t>
      </w:r>
      <w:r w:rsidRPr="002D7EFE">
        <w:rPr>
          <w:i/>
          <w:iCs/>
          <w:lang w:val="en-US"/>
        </w:rPr>
        <w:t>Candida.</w:t>
      </w:r>
      <w:r w:rsidRPr="002D7EFE">
        <w:rPr>
          <w:iCs/>
          <w:lang w:val="en-US"/>
        </w:rPr>
        <w:t xml:space="preserve"> T</w:t>
      </w:r>
      <w:r w:rsidRPr="002D7EFE">
        <w:rPr>
          <w:color w:val="000000"/>
          <w:lang w:val="en-US"/>
        </w:rPr>
        <w:t>hese infections often result in long hospital stays, high medical costs, and poor outcomes</w:t>
      </w:r>
    </w:p>
    <w:p w14:paraId="25E48F97" w14:textId="77777777" w:rsidR="00912EDA" w:rsidRPr="002D7EFE" w:rsidRDefault="00912EDA" w:rsidP="00912EDA">
      <w:pPr>
        <w:rPr>
          <w:color w:val="000000"/>
          <w:lang w:val="en-US"/>
        </w:rPr>
      </w:pPr>
    </w:p>
    <w:p w14:paraId="4C656993" w14:textId="77777777" w:rsidR="00912EDA" w:rsidRDefault="00912EDA" w:rsidP="00912EDA">
      <w:pPr>
        <w:tabs>
          <w:tab w:val="num" w:pos="1485"/>
        </w:tabs>
        <w:jc w:val="both"/>
        <w:rPr>
          <w:rFonts w:cs="Arial"/>
          <w:szCs w:val="24"/>
        </w:rPr>
      </w:pPr>
      <w:r w:rsidRPr="00463A3A">
        <w:rPr>
          <w:rFonts w:cs="Arial"/>
          <w:b/>
          <w:szCs w:val="24"/>
        </w:rPr>
        <w:t xml:space="preserve">Central Venous </w:t>
      </w:r>
      <w:r>
        <w:rPr>
          <w:rFonts w:cs="Arial"/>
          <w:b/>
          <w:szCs w:val="24"/>
        </w:rPr>
        <w:t xml:space="preserve">Access Device </w:t>
      </w:r>
      <w:r w:rsidRPr="00463A3A">
        <w:rPr>
          <w:rFonts w:cs="Arial"/>
          <w:b/>
          <w:szCs w:val="24"/>
        </w:rPr>
        <w:t>(CV</w:t>
      </w:r>
      <w:r>
        <w:rPr>
          <w:rFonts w:cs="Arial"/>
          <w:b/>
          <w:szCs w:val="24"/>
        </w:rPr>
        <w:t>AD</w:t>
      </w:r>
      <w:r w:rsidRPr="00463A3A">
        <w:rPr>
          <w:rFonts w:cs="Arial"/>
          <w:b/>
          <w:szCs w:val="24"/>
        </w:rPr>
        <w:t>)</w:t>
      </w:r>
      <w:r>
        <w:rPr>
          <w:rFonts w:cs="Arial"/>
          <w:b/>
          <w:szCs w:val="24"/>
        </w:rPr>
        <w:t xml:space="preserve">: </w:t>
      </w:r>
      <w:r>
        <w:rPr>
          <w:rFonts w:cs="Arial"/>
          <w:szCs w:val="24"/>
        </w:rPr>
        <w:t xml:space="preserve">CVADs include Peripheral inserted venous Catheters (PICC), PortaCath (POC) and Central Venous Catheter (CVC) and are catheters that are placed into a large vein in the neck (internal jugular vein), groin (femoral vein) basilic/brachial or cephalic vein in the upper arm (PICC) with the tip terminating at the Cavoatrial junction. </w:t>
      </w:r>
    </w:p>
    <w:p w14:paraId="699009F3" w14:textId="77777777" w:rsidR="00912EDA" w:rsidRDefault="00912EDA" w:rsidP="00912EDA">
      <w:pPr>
        <w:tabs>
          <w:tab w:val="num" w:pos="1485"/>
        </w:tabs>
        <w:jc w:val="both"/>
        <w:rPr>
          <w:rFonts w:cs="Arial"/>
          <w:szCs w:val="24"/>
        </w:rPr>
      </w:pPr>
    </w:p>
    <w:p w14:paraId="55DA93D5" w14:textId="77777777" w:rsidR="00912EDA" w:rsidRDefault="00912EDA" w:rsidP="00912EDA">
      <w:pPr>
        <w:autoSpaceDE w:val="0"/>
        <w:autoSpaceDN w:val="0"/>
        <w:adjustRightInd w:val="0"/>
        <w:rPr>
          <w:rFonts w:cs="Arial"/>
          <w:szCs w:val="24"/>
        </w:rPr>
      </w:pPr>
      <w:r w:rsidRPr="00F53F03">
        <w:rPr>
          <w:rFonts w:cs="Arial"/>
          <w:b/>
          <w:szCs w:val="24"/>
        </w:rPr>
        <w:lastRenderedPageBreak/>
        <w:t>Contamin</w:t>
      </w:r>
      <w:r>
        <w:rPr>
          <w:rFonts w:cs="Arial"/>
          <w:b/>
          <w:szCs w:val="24"/>
        </w:rPr>
        <w:t>ation / False positive Blood Culture result:</w:t>
      </w:r>
      <w:r w:rsidRPr="00F53F03">
        <w:rPr>
          <w:rFonts w:cs="Arial"/>
          <w:b/>
          <w:szCs w:val="24"/>
        </w:rPr>
        <w:t xml:space="preserve"> </w:t>
      </w:r>
      <w:r>
        <w:rPr>
          <w:rFonts w:cs="Arial"/>
          <w:b/>
          <w:szCs w:val="24"/>
        </w:rPr>
        <w:t xml:space="preserve"> </w:t>
      </w:r>
      <w:r w:rsidRPr="00F53F03">
        <w:rPr>
          <w:rFonts w:cs="Arial"/>
          <w:szCs w:val="24"/>
        </w:rPr>
        <w:t>A false positive is defined as growth of bacteria in the blood culture bottle that were not present in</w:t>
      </w:r>
      <w:r>
        <w:rPr>
          <w:rFonts w:cs="Arial"/>
          <w:szCs w:val="24"/>
        </w:rPr>
        <w:t xml:space="preserve"> </w:t>
      </w:r>
      <w:r w:rsidRPr="00F53F03">
        <w:rPr>
          <w:rFonts w:cs="Arial"/>
          <w:szCs w:val="24"/>
        </w:rPr>
        <w:t>the patient’s bloodstream and were introduced during sample collection. Contamination can come</w:t>
      </w:r>
      <w:r>
        <w:rPr>
          <w:rFonts w:cs="Arial"/>
          <w:szCs w:val="24"/>
        </w:rPr>
        <w:t xml:space="preserve"> </w:t>
      </w:r>
      <w:r w:rsidRPr="00F53F03">
        <w:rPr>
          <w:rFonts w:cs="Arial"/>
          <w:szCs w:val="24"/>
        </w:rPr>
        <w:t>from several sources: the patient’s skin, the equipment used to take the sample and transfer it</w:t>
      </w:r>
      <w:r>
        <w:rPr>
          <w:rFonts w:cs="Arial"/>
          <w:szCs w:val="24"/>
        </w:rPr>
        <w:t xml:space="preserve"> </w:t>
      </w:r>
      <w:r w:rsidRPr="00F53F03">
        <w:rPr>
          <w:rFonts w:cs="Arial"/>
          <w:szCs w:val="24"/>
        </w:rPr>
        <w:t>to the culture bottle, the hands of the person taking the blood sample, or the general environment.</w:t>
      </w:r>
    </w:p>
    <w:p w14:paraId="3D662314" w14:textId="77777777" w:rsidR="00912EDA" w:rsidRDefault="00912EDA" w:rsidP="00912EDA">
      <w:pPr>
        <w:tabs>
          <w:tab w:val="num" w:pos="1485"/>
        </w:tabs>
        <w:jc w:val="both"/>
        <w:rPr>
          <w:rFonts w:cs="Arial"/>
          <w:szCs w:val="24"/>
        </w:rPr>
      </w:pPr>
    </w:p>
    <w:p w14:paraId="125C81CC" w14:textId="77777777" w:rsidR="00912EDA" w:rsidRDefault="00912EDA" w:rsidP="00912EDA">
      <w:pPr>
        <w:tabs>
          <w:tab w:val="num" w:pos="1485"/>
        </w:tabs>
        <w:jc w:val="both"/>
        <w:rPr>
          <w:rFonts w:cs="Arial"/>
        </w:rPr>
      </w:pPr>
      <w:r w:rsidRPr="42BBC7FB">
        <w:rPr>
          <w:rFonts w:cs="Arial"/>
          <w:b/>
          <w:bCs/>
        </w:rPr>
        <w:t>CVC:</w:t>
      </w:r>
      <w:r w:rsidRPr="42BBC7FB">
        <w:rPr>
          <w:rFonts w:cs="Arial"/>
        </w:rPr>
        <w:t xml:space="preserve"> CVCs are an intravascular device placed into a large vein in the neck (internal jugular vein), chest (subclavian vein) or groin (femoral vein) with the tip terminating in the superior vena cava or right atrium. CVC’s can be non-tunnelled (percutaneous) or tunnelled; inserted with a tunnel under the skin creating distance between skin insertion site and vascular insertion site (Hickmann, Vascath</w:t>
      </w:r>
      <w:r w:rsidRPr="42BBC7FB">
        <w:rPr>
          <w:rFonts w:cs="Arial"/>
          <w:sz w:val="16"/>
          <w:szCs w:val="16"/>
          <w:vertAlign w:val="superscript"/>
        </w:rPr>
        <w:t>TM</w:t>
      </w:r>
      <w:r w:rsidRPr="42BBC7FB">
        <w:rPr>
          <w:rFonts w:cs="Arial"/>
        </w:rPr>
        <w:t xml:space="preserve">). </w:t>
      </w:r>
    </w:p>
    <w:p w14:paraId="01EC2630" w14:textId="77777777" w:rsidR="00912EDA" w:rsidRDefault="00912EDA" w:rsidP="00912EDA">
      <w:pPr>
        <w:autoSpaceDE w:val="0"/>
        <w:autoSpaceDN w:val="0"/>
        <w:adjustRightInd w:val="0"/>
        <w:rPr>
          <w:rFonts w:cs="Arial"/>
          <w:szCs w:val="24"/>
        </w:rPr>
      </w:pPr>
    </w:p>
    <w:p w14:paraId="5B819FF4" w14:textId="77777777" w:rsidR="00912EDA" w:rsidRDefault="00912EDA" w:rsidP="00912EDA">
      <w:pPr>
        <w:autoSpaceDE w:val="0"/>
        <w:autoSpaceDN w:val="0"/>
        <w:adjustRightInd w:val="0"/>
        <w:rPr>
          <w:color w:val="1F497D"/>
        </w:rPr>
      </w:pPr>
      <w:r w:rsidRPr="00ED634F">
        <w:rPr>
          <w:b/>
        </w:rPr>
        <w:t>Fungaemia</w:t>
      </w:r>
      <w:r>
        <w:rPr>
          <w:b/>
        </w:rPr>
        <w:t>:</w:t>
      </w:r>
      <w:r w:rsidRPr="00ED634F">
        <w:t xml:space="preserve"> </w:t>
      </w:r>
      <w:r>
        <w:rPr>
          <w:color w:val="1F497D"/>
        </w:rPr>
        <w:t xml:space="preserve"> </w:t>
      </w:r>
      <w:r>
        <w:rPr>
          <w:color w:val="000000"/>
          <w:lang w:val="en-US"/>
        </w:rPr>
        <w:t>A</w:t>
      </w:r>
      <w:r w:rsidRPr="002D7EFE">
        <w:rPr>
          <w:color w:val="000000"/>
          <w:lang w:val="en-US"/>
        </w:rPr>
        <w:t xml:space="preserve"> bloodstream infection caused by fung</w:t>
      </w:r>
      <w:r>
        <w:rPr>
          <w:color w:val="000000"/>
          <w:lang w:val="en-US"/>
        </w:rPr>
        <w:t>i.</w:t>
      </w:r>
    </w:p>
    <w:p w14:paraId="16E24D67" w14:textId="77777777" w:rsidR="00912EDA" w:rsidRDefault="00912EDA" w:rsidP="00912EDA">
      <w:pPr>
        <w:autoSpaceDE w:val="0"/>
        <w:autoSpaceDN w:val="0"/>
        <w:adjustRightInd w:val="0"/>
        <w:rPr>
          <w:rFonts w:cs="Arial"/>
          <w:szCs w:val="24"/>
        </w:rPr>
      </w:pPr>
    </w:p>
    <w:p w14:paraId="02C03945" w14:textId="77777777" w:rsidR="00912EDA" w:rsidRPr="00060CA0" w:rsidRDefault="00912EDA" w:rsidP="00912EDA">
      <w:pPr>
        <w:pStyle w:val="BodyText"/>
        <w:ind w:right="285"/>
        <w:rPr>
          <w:rFonts w:ascii="Calibri" w:hAnsi="Calibri"/>
          <w:spacing w:val="-1"/>
        </w:rPr>
      </w:pPr>
      <w:r w:rsidRPr="00060CA0">
        <w:rPr>
          <w:rFonts w:ascii="Calibri" w:hAnsi="Calibri"/>
          <w:b/>
          <w:spacing w:val="-1"/>
        </w:rPr>
        <w:t>Hand</w:t>
      </w:r>
      <w:r w:rsidRPr="00060CA0">
        <w:rPr>
          <w:rFonts w:ascii="Calibri" w:hAnsi="Calibri"/>
          <w:b/>
          <w:spacing w:val="-4"/>
        </w:rPr>
        <w:t xml:space="preserve"> </w:t>
      </w:r>
      <w:r w:rsidRPr="00060CA0">
        <w:rPr>
          <w:rFonts w:ascii="Calibri" w:hAnsi="Calibri"/>
          <w:b/>
          <w:spacing w:val="-1"/>
        </w:rPr>
        <w:t>Hygiene</w:t>
      </w:r>
      <w:r w:rsidRPr="00060CA0">
        <w:rPr>
          <w:rFonts w:ascii="Calibri" w:hAnsi="Calibri"/>
          <w:b/>
          <w:spacing w:val="-4"/>
        </w:rPr>
        <w:t xml:space="preserve"> </w:t>
      </w:r>
      <w:r w:rsidRPr="00060CA0">
        <w:rPr>
          <w:rFonts w:ascii="Calibri" w:hAnsi="Calibri"/>
          <w:b/>
          <w:spacing w:val="-1"/>
        </w:rPr>
        <w:t>(HH)</w:t>
      </w:r>
      <w:r w:rsidRPr="00060CA0">
        <w:rPr>
          <w:rFonts w:ascii="Calibri" w:hAnsi="Calibri"/>
          <w:spacing w:val="-1"/>
        </w:rPr>
        <w:t>:</w:t>
      </w:r>
      <w:r w:rsidRPr="00060CA0">
        <w:rPr>
          <w:rFonts w:ascii="Calibri" w:hAnsi="Calibri"/>
          <w:spacing w:val="-3"/>
        </w:rPr>
        <w:t xml:space="preserve"> </w:t>
      </w:r>
      <w:r w:rsidRPr="00060CA0">
        <w:rPr>
          <w:rFonts w:ascii="Calibri" w:hAnsi="Calibri"/>
        </w:rPr>
        <w:t>A</w:t>
      </w:r>
      <w:r w:rsidRPr="00060CA0">
        <w:rPr>
          <w:rFonts w:ascii="Calibri" w:hAnsi="Calibri"/>
          <w:spacing w:val="-3"/>
        </w:rPr>
        <w:t xml:space="preserve"> </w:t>
      </w:r>
      <w:r w:rsidRPr="00060CA0">
        <w:rPr>
          <w:rFonts w:ascii="Calibri" w:hAnsi="Calibri"/>
          <w:spacing w:val="-1"/>
        </w:rPr>
        <w:t>process</w:t>
      </w:r>
      <w:r w:rsidRPr="00060CA0">
        <w:rPr>
          <w:rFonts w:ascii="Calibri" w:hAnsi="Calibri"/>
          <w:spacing w:val="-4"/>
        </w:rPr>
        <w:t xml:space="preserve"> </w:t>
      </w:r>
      <w:r w:rsidRPr="00060CA0">
        <w:rPr>
          <w:rFonts w:ascii="Calibri" w:hAnsi="Calibri"/>
          <w:spacing w:val="-1"/>
        </w:rPr>
        <w:t>that</w:t>
      </w:r>
      <w:r w:rsidRPr="00060CA0">
        <w:rPr>
          <w:rFonts w:ascii="Calibri" w:hAnsi="Calibri"/>
          <w:spacing w:val="-2"/>
        </w:rPr>
        <w:t xml:space="preserve"> </w:t>
      </w:r>
      <w:r w:rsidRPr="00060CA0">
        <w:rPr>
          <w:rFonts w:ascii="Calibri" w:hAnsi="Calibri"/>
          <w:spacing w:val="-1"/>
        </w:rPr>
        <w:t>reduces</w:t>
      </w:r>
      <w:r w:rsidRPr="00060CA0">
        <w:rPr>
          <w:rFonts w:ascii="Calibri" w:hAnsi="Calibri"/>
          <w:spacing w:val="-4"/>
        </w:rPr>
        <w:t xml:space="preserve"> </w:t>
      </w:r>
      <w:r w:rsidRPr="00060CA0">
        <w:rPr>
          <w:rFonts w:ascii="Calibri" w:hAnsi="Calibri"/>
          <w:spacing w:val="-1"/>
        </w:rPr>
        <w:t>the</w:t>
      </w:r>
      <w:r w:rsidRPr="00060CA0">
        <w:rPr>
          <w:rFonts w:ascii="Calibri" w:hAnsi="Calibri"/>
          <w:spacing w:val="-5"/>
        </w:rPr>
        <w:t xml:space="preserve"> </w:t>
      </w:r>
      <w:r w:rsidRPr="00060CA0">
        <w:rPr>
          <w:rFonts w:ascii="Calibri" w:hAnsi="Calibri"/>
        </w:rPr>
        <w:t>number</w:t>
      </w:r>
      <w:r w:rsidRPr="00060CA0">
        <w:rPr>
          <w:rFonts w:ascii="Calibri" w:hAnsi="Calibri"/>
          <w:spacing w:val="-5"/>
        </w:rPr>
        <w:t xml:space="preserve"> </w:t>
      </w:r>
      <w:r w:rsidRPr="00060CA0">
        <w:rPr>
          <w:rFonts w:ascii="Calibri" w:hAnsi="Calibri"/>
          <w:spacing w:val="-1"/>
        </w:rPr>
        <w:t>of</w:t>
      </w:r>
      <w:r w:rsidRPr="00060CA0">
        <w:rPr>
          <w:rFonts w:ascii="Calibri" w:hAnsi="Calibri"/>
          <w:spacing w:val="-3"/>
        </w:rPr>
        <w:t xml:space="preserve"> </w:t>
      </w:r>
      <w:r w:rsidRPr="00060CA0">
        <w:rPr>
          <w:rFonts w:ascii="Calibri" w:hAnsi="Calibri"/>
          <w:spacing w:val="-1"/>
        </w:rPr>
        <w:t>micro-organisms</w:t>
      </w:r>
      <w:r w:rsidRPr="00060CA0">
        <w:rPr>
          <w:rFonts w:ascii="Calibri" w:hAnsi="Calibri"/>
          <w:spacing w:val="-4"/>
        </w:rPr>
        <w:t xml:space="preserve"> </w:t>
      </w:r>
      <w:r w:rsidRPr="00060CA0">
        <w:rPr>
          <w:rFonts w:ascii="Calibri" w:hAnsi="Calibri"/>
        </w:rPr>
        <w:t>on</w:t>
      </w:r>
      <w:r w:rsidRPr="00060CA0">
        <w:rPr>
          <w:rFonts w:ascii="Calibri" w:hAnsi="Calibri"/>
          <w:spacing w:val="-5"/>
        </w:rPr>
        <w:t xml:space="preserve"> </w:t>
      </w:r>
      <w:r w:rsidRPr="00060CA0">
        <w:rPr>
          <w:rFonts w:ascii="Calibri" w:hAnsi="Calibri"/>
          <w:spacing w:val="-1"/>
        </w:rPr>
        <w:t>hands.</w:t>
      </w:r>
      <w:r w:rsidRPr="00060CA0">
        <w:rPr>
          <w:rFonts w:ascii="Calibri" w:hAnsi="Calibri"/>
          <w:spacing w:val="-4"/>
        </w:rPr>
        <w:t xml:space="preserve"> </w:t>
      </w:r>
      <w:r w:rsidRPr="00060CA0">
        <w:rPr>
          <w:rFonts w:ascii="Calibri" w:hAnsi="Calibri"/>
          <w:spacing w:val="-1"/>
        </w:rPr>
        <w:t>Hand</w:t>
      </w:r>
      <w:r w:rsidRPr="00060CA0">
        <w:rPr>
          <w:rFonts w:ascii="Calibri" w:hAnsi="Calibri"/>
          <w:spacing w:val="69"/>
        </w:rPr>
        <w:t xml:space="preserve"> </w:t>
      </w:r>
      <w:r w:rsidRPr="00060CA0">
        <w:rPr>
          <w:rFonts w:ascii="Calibri" w:hAnsi="Calibri"/>
        </w:rPr>
        <w:t>hygiene</w:t>
      </w:r>
      <w:r w:rsidRPr="00060CA0">
        <w:rPr>
          <w:rFonts w:ascii="Calibri" w:hAnsi="Calibri"/>
          <w:spacing w:val="-4"/>
        </w:rPr>
        <w:t xml:space="preserve"> </w:t>
      </w:r>
      <w:r w:rsidRPr="00060CA0">
        <w:rPr>
          <w:rFonts w:ascii="Calibri" w:hAnsi="Calibri"/>
        </w:rPr>
        <w:t>is</w:t>
      </w:r>
      <w:r w:rsidRPr="00060CA0">
        <w:rPr>
          <w:rFonts w:ascii="Calibri" w:hAnsi="Calibri"/>
          <w:spacing w:val="-3"/>
        </w:rPr>
        <w:t xml:space="preserve"> </w:t>
      </w:r>
      <w:r w:rsidRPr="00060CA0">
        <w:rPr>
          <w:rFonts w:ascii="Calibri" w:hAnsi="Calibri"/>
        </w:rPr>
        <w:t>a</w:t>
      </w:r>
      <w:r w:rsidRPr="00060CA0">
        <w:rPr>
          <w:rFonts w:ascii="Calibri" w:hAnsi="Calibri"/>
          <w:spacing w:val="-2"/>
        </w:rPr>
        <w:t xml:space="preserve"> </w:t>
      </w:r>
      <w:r w:rsidRPr="00060CA0">
        <w:rPr>
          <w:rFonts w:ascii="Calibri" w:hAnsi="Calibri"/>
          <w:spacing w:val="-1"/>
        </w:rPr>
        <w:t>general</w:t>
      </w:r>
      <w:r w:rsidRPr="00060CA0">
        <w:rPr>
          <w:rFonts w:ascii="Calibri" w:hAnsi="Calibri"/>
          <w:spacing w:val="-5"/>
        </w:rPr>
        <w:t xml:space="preserve"> </w:t>
      </w:r>
      <w:r w:rsidRPr="00060CA0">
        <w:rPr>
          <w:rFonts w:ascii="Calibri" w:hAnsi="Calibri"/>
          <w:spacing w:val="-1"/>
        </w:rPr>
        <w:t>term</w:t>
      </w:r>
      <w:r w:rsidRPr="00060CA0">
        <w:rPr>
          <w:rFonts w:ascii="Calibri" w:hAnsi="Calibri"/>
          <w:spacing w:val="-5"/>
        </w:rPr>
        <w:t xml:space="preserve"> </w:t>
      </w:r>
      <w:r w:rsidRPr="00060CA0">
        <w:rPr>
          <w:rFonts w:ascii="Calibri" w:hAnsi="Calibri"/>
          <w:spacing w:val="-1"/>
        </w:rPr>
        <w:t>applying</w:t>
      </w:r>
      <w:r w:rsidRPr="00060CA0">
        <w:rPr>
          <w:rFonts w:ascii="Calibri" w:hAnsi="Calibri"/>
          <w:spacing w:val="-5"/>
        </w:rPr>
        <w:t xml:space="preserve"> </w:t>
      </w:r>
      <w:r w:rsidRPr="00060CA0">
        <w:rPr>
          <w:rFonts w:ascii="Calibri" w:hAnsi="Calibri"/>
        </w:rPr>
        <w:t>to</w:t>
      </w:r>
      <w:r w:rsidRPr="00060CA0">
        <w:rPr>
          <w:rFonts w:ascii="Calibri" w:hAnsi="Calibri"/>
          <w:spacing w:val="-4"/>
        </w:rPr>
        <w:t xml:space="preserve"> </w:t>
      </w:r>
      <w:r w:rsidRPr="00060CA0">
        <w:rPr>
          <w:rFonts w:ascii="Calibri" w:hAnsi="Calibri"/>
        </w:rPr>
        <w:t>the</w:t>
      </w:r>
      <w:r w:rsidRPr="00060CA0">
        <w:rPr>
          <w:rFonts w:ascii="Calibri" w:hAnsi="Calibri"/>
          <w:spacing w:val="-4"/>
        </w:rPr>
        <w:t xml:space="preserve"> </w:t>
      </w:r>
      <w:r w:rsidRPr="00060CA0">
        <w:rPr>
          <w:rFonts w:ascii="Calibri" w:hAnsi="Calibri"/>
        </w:rPr>
        <w:t>use</w:t>
      </w:r>
      <w:r w:rsidRPr="00060CA0">
        <w:rPr>
          <w:rFonts w:ascii="Calibri" w:hAnsi="Calibri"/>
          <w:spacing w:val="-4"/>
        </w:rPr>
        <w:t xml:space="preserve"> </w:t>
      </w:r>
      <w:r w:rsidRPr="00060CA0">
        <w:rPr>
          <w:rFonts w:ascii="Calibri" w:hAnsi="Calibri"/>
        </w:rPr>
        <w:t>of</w:t>
      </w:r>
      <w:r w:rsidRPr="00060CA0">
        <w:rPr>
          <w:rFonts w:ascii="Calibri" w:hAnsi="Calibri"/>
          <w:spacing w:val="-4"/>
        </w:rPr>
        <w:t xml:space="preserve"> </w:t>
      </w:r>
      <w:r w:rsidRPr="00060CA0">
        <w:rPr>
          <w:rFonts w:ascii="Calibri" w:hAnsi="Calibri"/>
          <w:spacing w:val="-1"/>
        </w:rPr>
        <w:t>soap solution (non-anti-microbial</w:t>
      </w:r>
      <w:r w:rsidRPr="00060CA0">
        <w:rPr>
          <w:rFonts w:ascii="Calibri" w:hAnsi="Calibri"/>
          <w:spacing w:val="-3"/>
        </w:rPr>
        <w:t xml:space="preserve"> </w:t>
      </w:r>
      <w:r w:rsidRPr="00060CA0">
        <w:rPr>
          <w:rFonts w:ascii="Calibri" w:hAnsi="Calibri"/>
          <w:spacing w:val="-1"/>
        </w:rPr>
        <w:t>or</w:t>
      </w:r>
      <w:r w:rsidRPr="00060CA0">
        <w:rPr>
          <w:rFonts w:ascii="Calibri" w:hAnsi="Calibri"/>
          <w:spacing w:val="-2"/>
        </w:rPr>
        <w:t xml:space="preserve"> </w:t>
      </w:r>
      <w:r w:rsidRPr="00060CA0">
        <w:rPr>
          <w:rFonts w:ascii="Calibri" w:hAnsi="Calibri"/>
          <w:spacing w:val="-1"/>
        </w:rPr>
        <w:t>anti-</w:t>
      </w:r>
      <w:r w:rsidRPr="00060CA0">
        <w:rPr>
          <w:rFonts w:ascii="Calibri" w:hAnsi="Calibri"/>
        </w:rPr>
        <w:t>microbial)</w:t>
      </w:r>
      <w:r w:rsidRPr="00060CA0">
        <w:rPr>
          <w:rFonts w:ascii="Calibri" w:hAnsi="Calibri"/>
          <w:spacing w:val="-4"/>
        </w:rPr>
        <w:t xml:space="preserve"> </w:t>
      </w:r>
      <w:r w:rsidRPr="00060CA0">
        <w:rPr>
          <w:rFonts w:ascii="Calibri" w:hAnsi="Calibri"/>
          <w:spacing w:val="-1"/>
        </w:rPr>
        <w:t>and</w:t>
      </w:r>
      <w:r w:rsidRPr="00060CA0">
        <w:rPr>
          <w:rFonts w:ascii="Calibri" w:hAnsi="Calibri"/>
          <w:spacing w:val="-2"/>
        </w:rPr>
        <w:t xml:space="preserve"> </w:t>
      </w:r>
      <w:r w:rsidRPr="00060CA0">
        <w:rPr>
          <w:rFonts w:ascii="Calibri" w:hAnsi="Calibri"/>
          <w:spacing w:val="-1"/>
        </w:rPr>
        <w:t>water</w:t>
      </w:r>
      <w:r w:rsidRPr="00060CA0">
        <w:rPr>
          <w:rFonts w:ascii="Calibri" w:hAnsi="Calibri"/>
          <w:spacing w:val="-5"/>
        </w:rPr>
        <w:t xml:space="preserve"> </w:t>
      </w:r>
      <w:r w:rsidRPr="00060CA0">
        <w:rPr>
          <w:rFonts w:ascii="Calibri" w:hAnsi="Calibri"/>
        </w:rPr>
        <w:t>or</w:t>
      </w:r>
      <w:r w:rsidRPr="00060CA0">
        <w:rPr>
          <w:rFonts w:ascii="Calibri" w:hAnsi="Calibri"/>
          <w:spacing w:val="-5"/>
        </w:rPr>
        <w:t xml:space="preserve"> </w:t>
      </w:r>
      <w:r w:rsidRPr="00060CA0">
        <w:rPr>
          <w:rFonts w:ascii="Calibri" w:hAnsi="Calibri"/>
          <w:spacing w:val="-1"/>
        </w:rPr>
        <w:t>water-less</w:t>
      </w:r>
      <w:r w:rsidRPr="00060CA0">
        <w:rPr>
          <w:rFonts w:ascii="Calibri" w:hAnsi="Calibri"/>
          <w:spacing w:val="-4"/>
        </w:rPr>
        <w:t xml:space="preserve"> </w:t>
      </w:r>
      <w:r w:rsidRPr="00060CA0">
        <w:rPr>
          <w:rFonts w:ascii="Calibri" w:hAnsi="Calibri"/>
          <w:spacing w:val="-1"/>
        </w:rPr>
        <w:t>antimicrobial</w:t>
      </w:r>
      <w:r w:rsidRPr="00060CA0">
        <w:rPr>
          <w:rFonts w:ascii="Calibri" w:hAnsi="Calibri"/>
          <w:spacing w:val="-7"/>
        </w:rPr>
        <w:t xml:space="preserve"> </w:t>
      </w:r>
      <w:r w:rsidRPr="00060CA0">
        <w:rPr>
          <w:rFonts w:ascii="Calibri" w:hAnsi="Calibri"/>
        </w:rPr>
        <w:t>agent</w:t>
      </w:r>
      <w:r w:rsidRPr="00060CA0">
        <w:rPr>
          <w:rFonts w:ascii="Calibri" w:hAnsi="Calibri"/>
          <w:spacing w:val="-5"/>
        </w:rPr>
        <w:t xml:space="preserve"> </w:t>
      </w:r>
      <w:r w:rsidRPr="00060CA0">
        <w:rPr>
          <w:rFonts w:ascii="Calibri" w:hAnsi="Calibri"/>
        </w:rPr>
        <w:t>to</w:t>
      </w:r>
      <w:r w:rsidRPr="00060CA0">
        <w:rPr>
          <w:rFonts w:ascii="Calibri" w:hAnsi="Calibri"/>
          <w:spacing w:val="-5"/>
        </w:rPr>
        <w:t xml:space="preserve"> </w:t>
      </w:r>
      <w:r w:rsidRPr="00060CA0">
        <w:rPr>
          <w:rFonts w:ascii="Calibri" w:hAnsi="Calibri"/>
          <w:spacing w:val="-1"/>
        </w:rPr>
        <w:t>the</w:t>
      </w:r>
      <w:r w:rsidRPr="00060CA0">
        <w:rPr>
          <w:rFonts w:ascii="Calibri" w:hAnsi="Calibri"/>
          <w:spacing w:val="-3"/>
        </w:rPr>
        <w:t xml:space="preserve"> </w:t>
      </w:r>
      <w:r w:rsidRPr="00060CA0">
        <w:rPr>
          <w:rFonts w:ascii="Calibri" w:hAnsi="Calibri"/>
          <w:spacing w:val="-1"/>
        </w:rPr>
        <w:t>surface</w:t>
      </w:r>
      <w:r w:rsidRPr="00060CA0">
        <w:rPr>
          <w:rFonts w:ascii="Calibri" w:hAnsi="Calibri"/>
          <w:spacing w:val="-4"/>
        </w:rPr>
        <w:t xml:space="preserve"> </w:t>
      </w:r>
      <w:r w:rsidRPr="00060CA0">
        <w:rPr>
          <w:rFonts w:ascii="Calibri" w:hAnsi="Calibri"/>
        </w:rPr>
        <w:t>of</w:t>
      </w:r>
      <w:r w:rsidRPr="00060CA0">
        <w:rPr>
          <w:rFonts w:ascii="Calibri" w:hAnsi="Calibri"/>
          <w:spacing w:val="-5"/>
        </w:rPr>
        <w:t xml:space="preserve"> </w:t>
      </w:r>
      <w:r w:rsidRPr="00060CA0">
        <w:rPr>
          <w:rFonts w:ascii="Calibri" w:hAnsi="Calibri"/>
          <w:spacing w:val="-1"/>
        </w:rPr>
        <w:t>the</w:t>
      </w:r>
      <w:r w:rsidRPr="00060CA0">
        <w:rPr>
          <w:rFonts w:ascii="Calibri" w:hAnsi="Calibri"/>
          <w:spacing w:val="-5"/>
        </w:rPr>
        <w:t xml:space="preserve"> </w:t>
      </w:r>
      <w:r w:rsidRPr="00060CA0">
        <w:rPr>
          <w:rFonts w:ascii="Calibri" w:hAnsi="Calibri"/>
        </w:rPr>
        <w:t>hands</w:t>
      </w:r>
      <w:r w:rsidRPr="00060CA0">
        <w:rPr>
          <w:rFonts w:ascii="Calibri" w:hAnsi="Calibri"/>
          <w:spacing w:val="-4"/>
        </w:rPr>
        <w:t xml:space="preserve"> </w:t>
      </w:r>
      <w:r w:rsidRPr="00060CA0">
        <w:rPr>
          <w:rFonts w:ascii="Calibri" w:hAnsi="Calibri"/>
          <w:spacing w:val="-1"/>
        </w:rPr>
        <w:t>(e.g.,</w:t>
      </w:r>
      <w:r w:rsidRPr="00060CA0">
        <w:rPr>
          <w:rFonts w:ascii="Calibri" w:hAnsi="Calibri"/>
          <w:spacing w:val="65"/>
        </w:rPr>
        <w:t xml:space="preserve"> </w:t>
      </w:r>
      <w:r w:rsidRPr="00060CA0">
        <w:rPr>
          <w:rFonts w:ascii="Calibri" w:hAnsi="Calibri"/>
        </w:rPr>
        <w:t>alcohol</w:t>
      </w:r>
      <w:r w:rsidRPr="00060CA0">
        <w:rPr>
          <w:rFonts w:ascii="Calibri" w:hAnsi="Calibri"/>
          <w:spacing w:val="-5"/>
        </w:rPr>
        <w:t>-based</w:t>
      </w:r>
      <w:r w:rsidRPr="00060CA0">
        <w:rPr>
          <w:rFonts w:ascii="Calibri" w:hAnsi="Calibri"/>
          <w:spacing w:val="-3"/>
        </w:rPr>
        <w:t xml:space="preserve"> </w:t>
      </w:r>
      <w:r w:rsidRPr="00060CA0">
        <w:rPr>
          <w:rFonts w:ascii="Calibri" w:hAnsi="Calibri"/>
          <w:spacing w:val="-1"/>
        </w:rPr>
        <w:t>hand</w:t>
      </w:r>
      <w:r w:rsidRPr="00060CA0">
        <w:rPr>
          <w:rFonts w:ascii="Calibri" w:hAnsi="Calibri"/>
          <w:spacing w:val="-4"/>
        </w:rPr>
        <w:t xml:space="preserve"> </w:t>
      </w:r>
      <w:r w:rsidRPr="00060CA0">
        <w:rPr>
          <w:rFonts w:ascii="Calibri" w:hAnsi="Calibri"/>
          <w:spacing w:val="-1"/>
        </w:rPr>
        <w:t>rub).</w:t>
      </w:r>
    </w:p>
    <w:p w14:paraId="2361BF2B" w14:textId="77777777" w:rsidR="00912EDA" w:rsidRDefault="00912EDA" w:rsidP="00912EDA">
      <w:pPr>
        <w:rPr>
          <w:rFonts w:cs="Arial"/>
          <w:szCs w:val="24"/>
        </w:rPr>
      </w:pPr>
    </w:p>
    <w:p w14:paraId="77EFA9D0" w14:textId="77777777" w:rsidR="00912EDA" w:rsidRDefault="00912EDA" w:rsidP="00912EDA">
      <w:pPr>
        <w:pStyle w:val="ListParagraph"/>
        <w:tabs>
          <w:tab w:val="num" w:pos="7590"/>
        </w:tabs>
        <w:ind w:left="0"/>
        <w:jc w:val="both"/>
        <w:rPr>
          <w:rFonts w:cs="Arial"/>
          <w:szCs w:val="24"/>
        </w:rPr>
      </w:pPr>
      <w:r>
        <w:rPr>
          <w:rFonts w:cs="Arial"/>
          <w:b/>
          <w:szCs w:val="24"/>
        </w:rPr>
        <w:t xml:space="preserve">Implanted </w:t>
      </w:r>
      <w:r>
        <w:rPr>
          <w:rFonts w:cs="Arial"/>
          <w:b/>
          <w:color w:val="000000"/>
          <w:szCs w:val="24"/>
        </w:rPr>
        <w:t>Venous Access Device / Port</w:t>
      </w:r>
      <w:r>
        <w:rPr>
          <w:rFonts w:cs="Arial"/>
          <w:szCs w:val="24"/>
        </w:rPr>
        <w:t xml:space="preserve"> (Port, Portacath</w:t>
      </w:r>
      <w:r w:rsidRPr="00405E40">
        <w:rPr>
          <w:rFonts w:cs="Arial"/>
          <w:sz w:val="16"/>
          <w:szCs w:val="16"/>
          <w:vertAlign w:val="superscript"/>
        </w:rPr>
        <w:t>TM</w:t>
      </w:r>
      <w:r>
        <w:rPr>
          <w:rFonts w:cs="Arial"/>
          <w:szCs w:val="24"/>
        </w:rPr>
        <w:t>, Pasport</w:t>
      </w:r>
      <w:r w:rsidRPr="00405E40">
        <w:rPr>
          <w:rFonts w:cs="Arial"/>
          <w:sz w:val="16"/>
          <w:szCs w:val="16"/>
          <w:vertAlign w:val="superscript"/>
        </w:rPr>
        <w:t>TM</w:t>
      </w:r>
      <w:r w:rsidRPr="00463A3A">
        <w:rPr>
          <w:rFonts w:cs="Arial"/>
          <w:i/>
          <w:szCs w:val="24"/>
        </w:rPr>
        <w:t>)</w:t>
      </w:r>
      <w:r>
        <w:rPr>
          <w:rFonts w:cs="Arial"/>
          <w:szCs w:val="24"/>
        </w:rPr>
        <w:t xml:space="preserve">: </w:t>
      </w:r>
      <w:r>
        <w:t xml:space="preserve">An implantable medical device consisting of </w:t>
      </w:r>
      <w:r>
        <w:rPr>
          <w:rFonts w:cs="Arial"/>
          <w:szCs w:val="24"/>
        </w:rPr>
        <w:t xml:space="preserve">a fluid reservoir </w:t>
      </w:r>
      <w:r>
        <w:t xml:space="preserve">connected to a </w:t>
      </w:r>
      <w:r>
        <w:rPr>
          <w:rFonts w:cs="Arial"/>
          <w:szCs w:val="24"/>
        </w:rPr>
        <w:t>central venous catheter. The device is completely underneath the skin, and the catheter tip generally terminates in the superior vena cava. Access is made through the skin into the reservoir using a non-coring needle device (Gripper</w:t>
      </w:r>
      <w:r>
        <w:rPr>
          <w:rFonts w:cs="Calibri"/>
          <w:szCs w:val="24"/>
        </w:rPr>
        <w:t>™</w:t>
      </w:r>
      <w:r>
        <w:rPr>
          <w:rFonts w:cs="Arial"/>
          <w:szCs w:val="24"/>
        </w:rPr>
        <w:t xml:space="preserve">) </w:t>
      </w:r>
    </w:p>
    <w:p w14:paraId="4052958F" w14:textId="77777777" w:rsidR="00912EDA" w:rsidRDefault="00912EDA" w:rsidP="00912EDA">
      <w:pPr>
        <w:pStyle w:val="NormalWeb"/>
        <w:spacing w:before="0" w:beforeAutospacing="0" w:after="0" w:afterAutospacing="0"/>
        <w:rPr>
          <w:rFonts w:ascii="Calibri" w:hAnsi="Calibri" w:cs="Arial"/>
          <w:lang w:eastAsia="en-US"/>
        </w:rPr>
      </w:pPr>
      <w:r w:rsidRPr="00463A3A">
        <w:rPr>
          <w:rFonts w:ascii="Calibri" w:hAnsi="Calibri" w:cs="Arial"/>
          <w:b/>
          <w:lang w:eastAsia="en-US"/>
        </w:rPr>
        <w:t>Peripherally inserted Central Catheter (PICC)</w:t>
      </w:r>
      <w:r>
        <w:rPr>
          <w:rFonts w:ascii="Calibri" w:hAnsi="Calibri" w:cs="Arial"/>
          <w:lang w:eastAsia="en-US"/>
        </w:rPr>
        <w:t>:</w:t>
      </w:r>
      <w:r w:rsidRPr="00405E40">
        <w:rPr>
          <w:rFonts w:ascii="Calibri" w:hAnsi="Calibri" w:cs="Arial"/>
          <w:lang w:eastAsia="en-US"/>
        </w:rPr>
        <w:t xml:space="preserve"> A PICC is </w:t>
      </w:r>
      <w:r>
        <w:rPr>
          <w:rFonts w:ascii="Calibri" w:hAnsi="Calibri" w:cs="Arial"/>
          <w:lang w:eastAsia="en-US"/>
        </w:rPr>
        <w:t xml:space="preserve">an intravascular catheter </w:t>
      </w:r>
      <w:r w:rsidRPr="00405E40">
        <w:rPr>
          <w:rFonts w:ascii="Calibri" w:hAnsi="Calibri" w:cs="Arial"/>
          <w:lang w:eastAsia="en-US"/>
        </w:rPr>
        <w:t xml:space="preserve">inserted in a </w:t>
      </w:r>
      <w:hyperlink r:id="rId28" w:tooltip="Peripheral vascular system" w:history="1">
        <w:r w:rsidRPr="00405E40">
          <w:rPr>
            <w:rFonts w:ascii="Calibri" w:hAnsi="Calibri" w:cs="Arial"/>
            <w:lang w:eastAsia="en-US"/>
          </w:rPr>
          <w:t>peripheral</w:t>
        </w:r>
      </w:hyperlink>
      <w:r w:rsidRPr="00405E40">
        <w:rPr>
          <w:rFonts w:ascii="Calibri" w:hAnsi="Calibri" w:cs="Arial"/>
          <w:lang w:eastAsia="en-US"/>
        </w:rPr>
        <w:t xml:space="preserve"> </w:t>
      </w:r>
      <w:hyperlink r:id="rId29" w:tooltip="Vein" w:history="1">
        <w:r w:rsidRPr="00405E40">
          <w:rPr>
            <w:rFonts w:ascii="Calibri" w:hAnsi="Calibri" w:cs="Arial"/>
            <w:lang w:eastAsia="en-US"/>
          </w:rPr>
          <w:t>vein</w:t>
        </w:r>
      </w:hyperlink>
      <w:r w:rsidRPr="00405E40">
        <w:rPr>
          <w:rFonts w:ascii="Calibri" w:hAnsi="Calibri" w:cs="Arial"/>
          <w:lang w:eastAsia="en-US"/>
        </w:rPr>
        <w:t xml:space="preserve"> in the arm, such as the </w:t>
      </w:r>
      <w:hyperlink r:id="rId30" w:tooltip="Cephalic vein" w:history="1">
        <w:r w:rsidRPr="00405E40">
          <w:rPr>
            <w:rFonts w:ascii="Calibri" w:hAnsi="Calibri" w:cs="Arial"/>
            <w:lang w:eastAsia="en-US"/>
          </w:rPr>
          <w:t>cephalic vein</w:t>
        </w:r>
      </w:hyperlink>
      <w:r w:rsidRPr="00405E40">
        <w:rPr>
          <w:rFonts w:ascii="Calibri" w:hAnsi="Calibri" w:cs="Arial"/>
          <w:lang w:eastAsia="en-US"/>
        </w:rPr>
        <w:t xml:space="preserve">, </w:t>
      </w:r>
      <w:hyperlink r:id="rId31" w:tooltip="Basilic vein" w:history="1">
        <w:r w:rsidRPr="00405E40">
          <w:rPr>
            <w:rFonts w:ascii="Calibri" w:hAnsi="Calibri" w:cs="Arial"/>
            <w:lang w:eastAsia="en-US"/>
          </w:rPr>
          <w:t>basilic vein</w:t>
        </w:r>
      </w:hyperlink>
      <w:r w:rsidRPr="00405E40">
        <w:rPr>
          <w:rFonts w:ascii="Calibri" w:hAnsi="Calibri" w:cs="Arial"/>
          <w:lang w:eastAsia="en-US"/>
        </w:rPr>
        <w:t xml:space="preserve"> or </w:t>
      </w:r>
      <w:hyperlink r:id="rId32" w:tooltip="Brachial vein" w:history="1">
        <w:r w:rsidRPr="00405E40">
          <w:rPr>
            <w:rFonts w:ascii="Calibri" w:hAnsi="Calibri" w:cs="Arial"/>
            <w:lang w:eastAsia="en-US"/>
          </w:rPr>
          <w:t>brachial vein</w:t>
        </w:r>
      </w:hyperlink>
      <w:r w:rsidRPr="00405E40">
        <w:rPr>
          <w:rFonts w:ascii="Calibri" w:hAnsi="Calibri" w:cs="Arial"/>
          <w:lang w:eastAsia="en-US"/>
        </w:rPr>
        <w:t xml:space="preserve">, and then advanced proximally toward the heart until the tip rests in the distal </w:t>
      </w:r>
      <w:hyperlink r:id="rId33" w:tooltip="Superior vena cava" w:history="1">
        <w:r w:rsidRPr="00405E40">
          <w:rPr>
            <w:rFonts w:ascii="Calibri" w:hAnsi="Calibri" w:cs="Arial"/>
            <w:lang w:eastAsia="en-US"/>
          </w:rPr>
          <w:t>superior vena cava</w:t>
        </w:r>
      </w:hyperlink>
      <w:r w:rsidRPr="00405E40">
        <w:rPr>
          <w:rFonts w:ascii="Calibri" w:hAnsi="Calibri" w:cs="Arial"/>
          <w:lang w:eastAsia="en-US"/>
        </w:rPr>
        <w:t xml:space="preserve"> or </w:t>
      </w:r>
      <w:hyperlink r:id="rId34" w:tooltip="Cavoatrial junction" w:history="1">
        <w:r w:rsidRPr="00405E40">
          <w:rPr>
            <w:rFonts w:ascii="Calibri" w:hAnsi="Calibri" w:cs="Arial"/>
            <w:lang w:eastAsia="en-US"/>
          </w:rPr>
          <w:t>cavoatrial junction</w:t>
        </w:r>
      </w:hyperlink>
      <w:r w:rsidRPr="00405E40">
        <w:rPr>
          <w:rFonts w:ascii="Calibri" w:hAnsi="Calibri" w:cs="Arial"/>
          <w:lang w:eastAsia="en-US"/>
        </w:rPr>
        <w:t>.</w:t>
      </w:r>
    </w:p>
    <w:p w14:paraId="3B4078AC" w14:textId="77777777" w:rsidR="00912EDA" w:rsidRDefault="00912EDA" w:rsidP="00912EDA">
      <w:pPr>
        <w:pStyle w:val="NormalWeb"/>
        <w:spacing w:before="0" w:beforeAutospacing="0" w:after="0" w:afterAutospacing="0"/>
        <w:rPr>
          <w:rFonts w:ascii="Calibri" w:hAnsi="Calibri" w:cs="Arial"/>
          <w:lang w:eastAsia="en-US"/>
        </w:rPr>
      </w:pPr>
    </w:p>
    <w:bookmarkStart w:id="32" w:name="_Hlk105424716"/>
    <w:p w14:paraId="336243A3" w14:textId="77777777" w:rsidR="00912EDA" w:rsidRPr="00733EB2" w:rsidRDefault="00912EDA" w:rsidP="00912EDA">
      <w:pPr>
        <w:jc w:val="right"/>
        <w:rPr>
          <w:rFonts w:cs="Calibri,Bold"/>
          <w:bCs/>
          <w:i/>
          <w:szCs w:val="24"/>
          <w:lang w:eastAsia="en-AU"/>
        </w:rPr>
      </w:pPr>
      <w:r>
        <w:fldChar w:fldCharType="begin"/>
      </w:r>
      <w:r>
        <w:instrText xml:space="preserve"> HYPERLINK \l "Contents" </w:instrText>
      </w:r>
      <w:r>
        <w:fldChar w:fldCharType="separate"/>
      </w:r>
      <w:r w:rsidRPr="00C91F3F">
        <w:rPr>
          <w:rStyle w:val="Hyperlink"/>
          <w:rFonts w:cs="Arial"/>
          <w:i/>
          <w:szCs w:val="24"/>
        </w:rPr>
        <w:t>Back to Table of Contents</w:t>
      </w:r>
      <w:r>
        <w:rPr>
          <w:rStyle w:val="Hyperlink"/>
          <w:rFonts w:cs="Arial"/>
          <w:i/>
          <w:szCs w:val="24"/>
        </w:rPr>
        <w:fldChar w:fldCharType="end"/>
      </w:r>
      <w:bookmarkStart w:id="33" w:name="_Toc389473290"/>
      <w:bookmarkEnd w:id="32"/>
    </w:p>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61FD8288" w14:textId="77777777" w:rsidTr="00FC324C">
        <w:trPr>
          <w:cantSplit/>
          <w:trHeight w:val="285"/>
        </w:trPr>
        <w:tc>
          <w:tcPr>
            <w:tcW w:w="9300" w:type="dxa"/>
            <w:shd w:val="clear" w:color="auto" w:fill="A6A6A6"/>
          </w:tcPr>
          <w:p w14:paraId="5BC9A64B" w14:textId="77777777" w:rsidR="00912EDA" w:rsidRPr="00CD1C0E" w:rsidRDefault="00912EDA" w:rsidP="00FC324C">
            <w:pPr>
              <w:pStyle w:val="Heading1"/>
            </w:pPr>
            <w:bookmarkStart w:id="34" w:name="_Toc113627995"/>
            <w:r>
              <w:t>Search Terms</w:t>
            </w:r>
            <w:bookmarkEnd w:id="33"/>
            <w:bookmarkEnd w:id="34"/>
            <w:r>
              <w:t xml:space="preserve"> </w:t>
            </w:r>
          </w:p>
        </w:tc>
      </w:tr>
    </w:tbl>
    <w:p w14:paraId="55857BD7" w14:textId="77777777" w:rsidR="00912EDA" w:rsidRDefault="00912EDA" w:rsidP="00912EDA">
      <w:pPr>
        <w:rPr>
          <w:rFonts w:cs="Calibri,Bold"/>
          <w:bCs/>
          <w:i/>
          <w:szCs w:val="24"/>
          <w:lang w:eastAsia="en-AU"/>
        </w:rPr>
      </w:pPr>
    </w:p>
    <w:p w14:paraId="7CECB82D" w14:textId="77777777" w:rsidR="00912EDA" w:rsidRPr="00070F1E" w:rsidRDefault="00912EDA" w:rsidP="00912EDA">
      <w:pPr>
        <w:rPr>
          <w:rFonts w:cs="Arial"/>
          <w:szCs w:val="24"/>
        </w:rPr>
      </w:pPr>
      <w:r w:rsidRPr="00070F1E">
        <w:rPr>
          <w:rFonts w:cs="Arial"/>
          <w:szCs w:val="24"/>
        </w:rPr>
        <w:t xml:space="preserve">Blood </w:t>
      </w:r>
      <w:r>
        <w:rPr>
          <w:rFonts w:cs="Arial"/>
          <w:szCs w:val="24"/>
        </w:rPr>
        <w:t>C</w:t>
      </w:r>
      <w:r w:rsidRPr="00070F1E">
        <w:rPr>
          <w:rFonts w:cs="Arial"/>
          <w:szCs w:val="24"/>
        </w:rPr>
        <w:t>ulture</w:t>
      </w:r>
      <w:r>
        <w:rPr>
          <w:rFonts w:cs="Arial"/>
          <w:szCs w:val="24"/>
        </w:rPr>
        <w:t xml:space="preserve">, </w:t>
      </w:r>
      <w:r w:rsidRPr="00070F1E">
        <w:rPr>
          <w:rFonts w:cs="Arial"/>
          <w:szCs w:val="24"/>
        </w:rPr>
        <w:t>Bacteraemia</w:t>
      </w:r>
      <w:r>
        <w:rPr>
          <w:rFonts w:cs="Arial"/>
          <w:szCs w:val="24"/>
        </w:rPr>
        <w:t xml:space="preserve">, </w:t>
      </w:r>
      <w:r w:rsidRPr="00070F1E">
        <w:rPr>
          <w:rFonts w:cs="Arial"/>
          <w:szCs w:val="24"/>
        </w:rPr>
        <w:t>Bloodstream Infection</w:t>
      </w:r>
      <w:r>
        <w:rPr>
          <w:rFonts w:cs="Arial"/>
          <w:szCs w:val="24"/>
        </w:rPr>
        <w:t xml:space="preserve">, </w:t>
      </w:r>
      <w:r w:rsidRPr="00070F1E">
        <w:rPr>
          <w:rFonts w:cs="Arial"/>
          <w:szCs w:val="24"/>
        </w:rPr>
        <w:t>Central Venous Catheter</w:t>
      </w:r>
      <w:r>
        <w:rPr>
          <w:rFonts w:cs="Arial"/>
          <w:szCs w:val="24"/>
        </w:rPr>
        <w:t xml:space="preserve">, </w:t>
      </w:r>
      <w:r w:rsidRPr="00070F1E">
        <w:rPr>
          <w:rFonts w:cs="Arial"/>
          <w:szCs w:val="24"/>
        </w:rPr>
        <w:t>CVC</w:t>
      </w:r>
      <w:r>
        <w:rPr>
          <w:rFonts w:cs="Arial"/>
          <w:szCs w:val="24"/>
        </w:rPr>
        <w:t xml:space="preserve">, </w:t>
      </w:r>
      <w:r w:rsidRPr="00070F1E">
        <w:rPr>
          <w:rFonts w:cs="Arial"/>
          <w:szCs w:val="24"/>
        </w:rPr>
        <w:t>Infection</w:t>
      </w:r>
      <w:r>
        <w:rPr>
          <w:rFonts w:cs="Arial"/>
          <w:szCs w:val="24"/>
        </w:rPr>
        <w:t xml:space="preserve">, </w:t>
      </w:r>
      <w:r w:rsidRPr="00070F1E">
        <w:rPr>
          <w:rFonts w:cs="Arial"/>
          <w:szCs w:val="24"/>
        </w:rPr>
        <w:t xml:space="preserve">Peripherally </w:t>
      </w:r>
      <w:r>
        <w:rPr>
          <w:rFonts w:cs="Arial"/>
          <w:szCs w:val="24"/>
        </w:rPr>
        <w:t>I</w:t>
      </w:r>
      <w:r w:rsidRPr="00070F1E">
        <w:rPr>
          <w:rFonts w:cs="Arial"/>
          <w:szCs w:val="24"/>
        </w:rPr>
        <w:t>nserted Central Catheter</w:t>
      </w:r>
      <w:r>
        <w:rPr>
          <w:rFonts w:cs="Arial"/>
          <w:szCs w:val="24"/>
        </w:rPr>
        <w:t xml:space="preserve">, </w:t>
      </w:r>
      <w:r w:rsidRPr="00070F1E">
        <w:rPr>
          <w:rFonts w:cs="Arial"/>
          <w:szCs w:val="24"/>
        </w:rPr>
        <w:t>PICC</w:t>
      </w:r>
      <w:r>
        <w:rPr>
          <w:rFonts w:cs="Arial"/>
          <w:szCs w:val="24"/>
        </w:rPr>
        <w:t xml:space="preserve">, </w:t>
      </w:r>
      <w:r w:rsidRPr="00070F1E">
        <w:rPr>
          <w:rFonts w:cs="Arial"/>
          <w:szCs w:val="24"/>
        </w:rPr>
        <w:t>Sepsis</w:t>
      </w:r>
      <w:r>
        <w:rPr>
          <w:rFonts w:cs="Arial"/>
          <w:szCs w:val="24"/>
        </w:rPr>
        <w:t>, Venepuncture, CVAD, collection</w:t>
      </w:r>
    </w:p>
    <w:p w14:paraId="206284B8" w14:textId="77777777" w:rsidR="00912EDA" w:rsidRDefault="00912EDA" w:rsidP="00912EDA"/>
    <w:p w14:paraId="7E8A4FBF" w14:textId="77777777" w:rsidR="00912EDA" w:rsidRPr="00733EB2" w:rsidRDefault="00912EDA" w:rsidP="00912EDA">
      <w:pPr>
        <w:jc w:val="right"/>
        <w:rPr>
          <w:rFonts w:cs="Calibri,Bold"/>
          <w:bCs/>
          <w:i/>
          <w:szCs w:val="24"/>
          <w:lang w:eastAsia="en-AU"/>
        </w:rPr>
      </w:pPr>
      <w:hyperlink w:anchor="Contents" w:history="1">
        <w:r w:rsidRPr="00C91F3F">
          <w:rPr>
            <w:rStyle w:val="Hyperlink"/>
            <w:rFonts w:cs="Arial"/>
            <w:i/>
            <w:szCs w:val="24"/>
          </w:rPr>
          <w:t>Back to Table of Contents</w:t>
        </w:r>
      </w:hyperlink>
    </w:p>
    <w:p w14:paraId="1B22487A" w14:textId="77777777" w:rsidR="00912EDA" w:rsidRDefault="00912EDA" w:rsidP="00912EDA"/>
    <w:tbl>
      <w:tblPr>
        <w:tblpPr w:leftFromText="180" w:rightFromText="180" w:vertAnchor="text" w:horzAnchor="margin" w:tblpX="-34" w:tblpY="181"/>
        <w:tblW w:w="9300" w:type="dxa"/>
        <w:tblLook w:val="0000" w:firstRow="0" w:lastRow="0" w:firstColumn="0" w:lastColumn="0" w:noHBand="0" w:noVBand="0"/>
      </w:tblPr>
      <w:tblGrid>
        <w:gridCol w:w="9300"/>
      </w:tblGrid>
      <w:tr w:rsidR="00912EDA" w:rsidRPr="00CD1C0E" w14:paraId="65480931" w14:textId="77777777" w:rsidTr="00FC324C">
        <w:trPr>
          <w:cantSplit/>
          <w:trHeight w:val="285"/>
        </w:trPr>
        <w:tc>
          <w:tcPr>
            <w:tcW w:w="9300" w:type="dxa"/>
            <w:shd w:val="clear" w:color="auto" w:fill="A6A6A6"/>
          </w:tcPr>
          <w:p w14:paraId="0D432DFD" w14:textId="77777777" w:rsidR="00912EDA" w:rsidRPr="00CD1C0E" w:rsidRDefault="00912EDA" w:rsidP="00FC324C">
            <w:pPr>
              <w:pStyle w:val="Heading1"/>
            </w:pPr>
            <w:bookmarkStart w:id="35" w:name="_Toc113627996"/>
            <w:r>
              <w:t>Attachments</w:t>
            </w:r>
            <w:bookmarkEnd w:id="35"/>
            <w:r>
              <w:t xml:space="preserve"> </w:t>
            </w:r>
          </w:p>
        </w:tc>
      </w:tr>
    </w:tbl>
    <w:p w14:paraId="1795852E" w14:textId="77777777" w:rsidR="00912EDA" w:rsidRDefault="00912EDA" w:rsidP="00912EDA">
      <w:r>
        <w:t>Attachment 1 – Blood Culture Collection Poster</w:t>
      </w:r>
    </w:p>
    <w:p w14:paraId="5E22EA29" w14:textId="77777777" w:rsidR="00912EDA" w:rsidRDefault="00912EDA" w:rsidP="00912EDA"/>
    <w:p w14:paraId="7C7E066D" w14:textId="77777777" w:rsidR="00912EDA" w:rsidRPr="008202D3" w:rsidRDefault="00912EDA" w:rsidP="00912EDA">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09C97425" w14:textId="77777777" w:rsidR="00912EDA" w:rsidRDefault="00912EDA" w:rsidP="00912EDA">
      <w:pPr>
        <w:rPr>
          <w:rFonts w:asciiTheme="minorHAnsi" w:hAnsiTheme="minorHAnsi" w:cstheme="minorHAnsi"/>
          <w:i/>
          <w:iCs/>
          <w:sz w:val="20"/>
        </w:rPr>
      </w:pPr>
    </w:p>
    <w:p w14:paraId="10795C54" w14:textId="77777777" w:rsidR="00912EDA" w:rsidRPr="00CB1EA2" w:rsidRDefault="00912EDA" w:rsidP="00912EDA">
      <w:pPr>
        <w:rPr>
          <w:rFonts w:asciiTheme="minorHAnsi" w:hAnsiTheme="minorHAnsi" w:cstheme="minorHAnsi"/>
          <w:i/>
          <w:iCs/>
          <w:sz w:val="20"/>
        </w:rPr>
      </w:pPr>
      <w:r w:rsidRPr="00CB1EA2">
        <w:rPr>
          <w:rFonts w:asciiTheme="minorHAnsi" w:hAnsiTheme="minorHAnsi" w:cstheme="minorHAnsi"/>
          <w:i/>
          <w:iCs/>
          <w:sz w:val="20"/>
        </w:rPr>
        <w:t>Policy Team ONLY to complete the following:</w:t>
      </w:r>
    </w:p>
    <w:tbl>
      <w:tblPr>
        <w:tblStyle w:val="TableGrid"/>
        <w:tblW w:w="9071" w:type="dxa"/>
        <w:tblLook w:val="04A0" w:firstRow="1" w:lastRow="0" w:firstColumn="1" w:lastColumn="0" w:noHBand="0" w:noVBand="1"/>
      </w:tblPr>
      <w:tblGrid>
        <w:gridCol w:w="1838"/>
        <w:gridCol w:w="2410"/>
        <w:gridCol w:w="2555"/>
        <w:gridCol w:w="2268"/>
      </w:tblGrid>
      <w:tr w:rsidR="00912EDA" w:rsidRPr="00CB1EA2" w14:paraId="45F41CCC" w14:textId="77777777" w:rsidTr="00FC324C">
        <w:tc>
          <w:tcPr>
            <w:tcW w:w="1838" w:type="dxa"/>
          </w:tcPr>
          <w:p w14:paraId="1AD7AE6D" w14:textId="77777777" w:rsidR="00912EDA" w:rsidRPr="00CB1EA2" w:rsidRDefault="00912EDA" w:rsidP="00FC324C">
            <w:pPr>
              <w:rPr>
                <w:rFonts w:asciiTheme="minorHAnsi" w:hAnsiTheme="minorHAnsi" w:cstheme="minorHAnsi"/>
                <w:i/>
                <w:sz w:val="20"/>
              </w:rPr>
            </w:pPr>
            <w:r w:rsidRPr="00CB1EA2">
              <w:rPr>
                <w:rFonts w:asciiTheme="minorHAnsi" w:hAnsiTheme="minorHAnsi" w:cstheme="minorHAnsi"/>
                <w:i/>
                <w:sz w:val="20"/>
              </w:rPr>
              <w:lastRenderedPageBreak/>
              <w:t>Date Amended</w:t>
            </w:r>
          </w:p>
        </w:tc>
        <w:tc>
          <w:tcPr>
            <w:tcW w:w="2410" w:type="dxa"/>
          </w:tcPr>
          <w:p w14:paraId="5F4B5001" w14:textId="77777777" w:rsidR="00912EDA" w:rsidRPr="00CB1EA2" w:rsidRDefault="00912EDA" w:rsidP="00FC324C">
            <w:pPr>
              <w:rPr>
                <w:rFonts w:asciiTheme="minorHAnsi" w:hAnsiTheme="minorHAnsi" w:cstheme="minorHAnsi"/>
                <w:i/>
                <w:sz w:val="20"/>
              </w:rPr>
            </w:pPr>
            <w:r w:rsidRPr="00CB1EA2">
              <w:rPr>
                <w:rFonts w:asciiTheme="minorHAnsi" w:hAnsiTheme="minorHAnsi" w:cstheme="minorHAnsi"/>
                <w:i/>
                <w:sz w:val="20"/>
              </w:rPr>
              <w:t>Section Amended</w:t>
            </w:r>
          </w:p>
        </w:tc>
        <w:tc>
          <w:tcPr>
            <w:tcW w:w="2555" w:type="dxa"/>
          </w:tcPr>
          <w:p w14:paraId="67493058" w14:textId="77777777" w:rsidR="00912EDA" w:rsidRPr="00CB1EA2" w:rsidRDefault="00912EDA" w:rsidP="00FC324C">
            <w:pPr>
              <w:rPr>
                <w:rFonts w:asciiTheme="minorHAnsi" w:hAnsiTheme="minorHAnsi" w:cstheme="minorHAnsi"/>
                <w:i/>
                <w:sz w:val="20"/>
              </w:rPr>
            </w:pPr>
            <w:r w:rsidRPr="00CB1EA2">
              <w:rPr>
                <w:rFonts w:asciiTheme="minorHAnsi" w:hAnsiTheme="minorHAnsi" w:cstheme="minorHAnsi"/>
                <w:i/>
                <w:sz w:val="20"/>
              </w:rPr>
              <w:t>Divisional Approval</w:t>
            </w:r>
          </w:p>
        </w:tc>
        <w:tc>
          <w:tcPr>
            <w:tcW w:w="2268" w:type="dxa"/>
          </w:tcPr>
          <w:p w14:paraId="7DD09514" w14:textId="77777777" w:rsidR="00912EDA" w:rsidRPr="00CB1EA2" w:rsidRDefault="00912EDA" w:rsidP="00FC324C">
            <w:pPr>
              <w:rPr>
                <w:rFonts w:asciiTheme="minorHAnsi" w:hAnsiTheme="minorHAnsi" w:cstheme="minorHAnsi"/>
                <w:i/>
                <w:sz w:val="20"/>
              </w:rPr>
            </w:pPr>
            <w:r w:rsidRPr="00CB1EA2">
              <w:rPr>
                <w:rFonts w:asciiTheme="minorHAnsi" w:hAnsiTheme="minorHAnsi" w:cstheme="minorHAnsi"/>
                <w:i/>
                <w:sz w:val="20"/>
              </w:rPr>
              <w:t xml:space="preserve">Final Approval </w:t>
            </w:r>
          </w:p>
        </w:tc>
      </w:tr>
      <w:tr w:rsidR="00912EDA" w:rsidRPr="00CB1EA2" w14:paraId="2377E44B" w14:textId="77777777" w:rsidTr="00FC324C">
        <w:tc>
          <w:tcPr>
            <w:tcW w:w="1838" w:type="dxa"/>
          </w:tcPr>
          <w:p w14:paraId="410193C1" w14:textId="77777777" w:rsidR="00912EDA" w:rsidRPr="00CB1EA2" w:rsidRDefault="00912EDA" w:rsidP="00FC324C">
            <w:pPr>
              <w:rPr>
                <w:rFonts w:asciiTheme="minorHAnsi" w:hAnsiTheme="minorHAnsi" w:cstheme="minorHAnsi"/>
                <w:i/>
                <w:sz w:val="20"/>
              </w:rPr>
            </w:pPr>
            <w:r>
              <w:rPr>
                <w:rFonts w:asciiTheme="minorHAnsi" w:hAnsiTheme="minorHAnsi" w:cstheme="minorHAnsi"/>
                <w:i/>
                <w:sz w:val="20"/>
              </w:rPr>
              <w:t>24 June 2022</w:t>
            </w:r>
          </w:p>
        </w:tc>
        <w:tc>
          <w:tcPr>
            <w:tcW w:w="2410" w:type="dxa"/>
          </w:tcPr>
          <w:p w14:paraId="748E1E30" w14:textId="77777777" w:rsidR="00912EDA" w:rsidRPr="00CB1EA2" w:rsidRDefault="00912EDA" w:rsidP="00FC324C">
            <w:pPr>
              <w:rPr>
                <w:rFonts w:asciiTheme="minorHAnsi" w:hAnsiTheme="minorHAnsi" w:cstheme="minorHAnsi"/>
                <w:i/>
                <w:sz w:val="20"/>
              </w:rPr>
            </w:pPr>
            <w:r>
              <w:rPr>
                <w:rFonts w:asciiTheme="minorHAnsi" w:hAnsiTheme="minorHAnsi" w:cstheme="minorHAnsi"/>
                <w:i/>
                <w:sz w:val="20"/>
              </w:rPr>
              <w:t>Complete Review</w:t>
            </w:r>
          </w:p>
        </w:tc>
        <w:tc>
          <w:tcPr>
            <w:tcW w:w="2555" w:type="dxa"/>
          </w:tcPr>
          <w:p w14:paraId="0B2917CB" w14:textId="77777777" w:rsidR="00912EDA" w:rsidRPr="00CB1EA2" w:rsidRDefault="00912EDA" w:rsidP="00FC324C">
            <w:pPr>
              <w:rPr>
                <w:rFonts w:asciiTheme="minorHAnsi" w:hAnsiTheme="minorHAnsi" w:cstheme="minorHAnsi"/>
                <w:i/>
                <w:sz w:val="20"/>
              </w:rPr>
            </w:pPr>
            <w:r>
              <w:rPr>
                <w:rFonts w:asciiTheme="minorHAnsi" w:hAnsiTheme="minorHAnsi" w:cstheme="minorHAnsi"/>
                <w:i/>
                <w:sz w:val="20"/>
              </w:rPr>
              <w:t>Kellie Lang, A/g ED-NMPSS</w:t>
            </w:r>
          </w:p>
        </w:tc>
        <w:tc>
          <w:tcPr>
            <w:tcW w:w="2268" w:type="dxa"/>
          </w:tcPr>
          <w:p w14:paraId="42828011" w14:textId="77777777" w:rsidR="00912EDA" w:rsidRPr="00CB1EA2" w:rsidRDefault="00912EDA" w:rsidP="00FC324C">
            <w:pPr>
              <w:rPr>
                <w:rFonts w:asciiTheme="minorHAnsi" w:hAnsiTheme="minorHAnsi" w:cstheme="minorHAnsi"/>
                <w:i/>
                <w:sz w:val="20"/>
              </w:rPr>
            </w:pPr>
            <w:r>
              <w:rPr>
                <w:rFonts w:asciiTheme="minorHAnsi" w:hAnsiTheme="minorHAnsi" w:cstheme="minorHAnsi"/>
                <w:i/>
                <w:sz w:val="20"/>
              </w:rPr>
              <w:t>CHS Policy Committee</w:t>
            </w:r>
          </w:p>
        </w:tc>
      </w:tr>
      <w:tr w:rsidR="00912EDA" w:rsidRPr="00CB1EA2" w14:paraId="19D1B3BC" w14:textId="77777777" w:rsidTr="00FC324C">
        <w:tc>
          <w:tcPr>
            <w:tcW w:w="1838" w:type="dxa"/>
          </w:tcPr>
          <w:p w14:paraId="497DDC19" w14:textId="77777777" w:rsidR="00912EDA" w:rsidRDefault="00912EDA" w:rsidP="00FC324C">
            <w:pPr>
              <w:rPr>
                <w:rFonts w:asciiTheme="minorHAnsi" w:hAnsiTheme="minorHAnsi" w:cstheme="minorHAnsi"/>
                <w:i/>
                <w:sz w:val="20"/>
              </w:rPr>
            </w:pPr>
          </w:p>
        </w:tc>
        <w:tc>
          <w:tcPr>
            <w:tcW w:w="2410" w:type="dxa"/>
          </w:tcPr>
          <w:p w14:paraId="7C719687" w14:textId="77777777" w:rsidR="00912EDA" w:rsidRDefault="00912EDA" w:rsidP="00FC324C">
            <w:pPr>
              <w:rPr>
                <w:rFonts w:asciiTheme="minorHAnsi" w:hAnsiTheme="minorHAnsi" w:cstheme="minorHAnsi"/>
                <w:i/>
                <w:sz w:val="20"/>
              </w:rPr>
            </w:pPr>
          </w:p>
        </w:tc>
        <w:tc>
          <w:tcPr>
            <w:tcW w:w="2555" w:type="dxa"/>
          </w:tcPr>
          <w:p w14:paraId="2CA8A504" w14:textId="77777777" w:rsidR="00912EDA" w:rsidRDefault="00912EDA" w:rsidP="00FC324C">
            <w:pPr>
              <w:rPr>
                <w:rFonts w:asciiTheme="minorHAnsi" w:hAnsiTheme="minorHAnsi" w:cstheme="minorHAnsi"/>
                <w:i/>
                <w:sz w:val="20"/>
              </w:rPr>
            </w:pPr>
          </w:p>
        </w:tc>
        <w:tc>
          <w:tcPr>
            <w:tcW w:w="2268" w:type="dxa"/>
          </w:tcPr>
          <w:p w14:paraId="5CCF5A8D" w14:textId="77777777" w:rsidR="00912EDA" w:rsidRDefault="00912EDA" w:rsidP="00FC324C">
            <w:pPr>
              <w:rPr>
                <w:rFonts w:asciiTheme="minorHAnsi" w:hAnsiTheme="minorHAnsi" w:cstheme="minorHAnsi"/>
                <w:i/>
                <w:sz w:val="20"/>
              </w:rPr>
            </w:pPr>
          </w:p>
        </w:tc>
      </w:tr>
    </w:tbl>
    <w:p w14:paraId="1CE8E4FA" w14:textId="77777777" w:rsidR="00912EDA" w:rsidRPr="00CB1EA2" w:rsidRDefault="00912EDA" w:rsidP="00912EDA">
      <w:pPr>
        <w:rPr>
          <w:rFonts w:asciiTheme="minorHAnsi" w:hAnsiTheme="minorHAnsi" w:cstheme="minorHAnsi"/>
          <w:sz w:val="20"/>
        </w:rPr>
      </w:pPr>
    </w:p>
    <w:p w14:paraId="2DA50EB5" w14:textId="77777777" w:rsidR="00912EDA" w:rsidRPr="00CB1EA2" w:rsidRDefault="00912EDA" w:rsidP="00912EDA">
      <w:pPr>
        <w:rPr>
          <w:rFonts w:asciiTheme="minorHAnsi" w:hAnsiTheme="minorHAnsi" w:cstheme="minorHAnsi"/>
          <w:i/>
          <w:sz w:val="20"/>
        </w:rPr>
      </w:pPr>
      <w:r w:rsidRPr="00CB1EA2">
        <w:rPr>
          <w:rFonts w:asciiTheme="minorHAnsi" w:hAnsiTheme="minorHAnsi" w:cstheme="minorHAnsi"/>
          <w:i/>
          <w:sz w:val="20"/>
        </w:rPr>
        <w:t xml:space="preserve">This document supersedes the following: </w:t>
      </w:r>
    </w:p>
    <w:tbl>
      <w:tblPr>
        <w:tblStyle w:val="TableGrid"/>
        <w:tblW w:w="9067" w:type="dxa"/>
        <w:tblLook w:val="04A0" w:firstRow="1" w:lastRow="0" w:firstColumn="1" w:lastColumn="0" w:noHBand="0" w:noVBand="1"/>
      </w:tblPr>
      <w:tblGrid>
        <w:gridCol w:w="1838"/>
        <w:gridCol w:w="7229"/>
      </w:tblGrid>
      <w:tr w:rsidR="00912EDA" w:rsidRPr="00CB1EA2" w14:paraId="1BFE2F7E" w14:textId="77777777" w:rsidTr="00FC324C">
        <w:tc>
          <w:tcPr>
            <w:tcW w:w="1838" w:type="dxa"/>
          </w:tcPr>
          <w:p w14:paraId="3031FEF6" w14:textId="77777777" w:rsidR="00912EDA" w:rsidRPr="00CB1EA2" w:rsidRDefault="00912EDA" w:rsidP="00FC324C">
            <w:pPr>
              <w:rPr>
                <w:rFonts w:asciiTheme="minorHAnsi" w:hAnsiTheme="minorHAnsi" w:cstheme="minorHAnsi"/>
                <w:i/>
                <w:sz w:val="20"/>
              </w:rPr>
            </w:pPr>
            <w:r w:rsidRPr="00CB1EA2">
              <w:rPr>
                <w:rFonts w:asciiTheme="minorHAnsi" w:hAnsiTheme="minorHAnsi" w:cstheme="minorHAnsi"/>
                <w:i/>
                <w:sz w:val="20"/>
              </w:rPr>
              <w:t>Document Number</w:t>
            </w:r>
          </w:p>
        </w:tc>
        <w:tc>
          <w:tcPr>
            <w:tcW w:w="7229" w:type="dxa"/>
          </w:tcPr>
          <w:p w14:paraId="090EE89B" w14:textId="77777777" w:rsidR="00912EDA" w:rsidRPr="00CB1EA2" w:rsidRDefault="00912EDA" w:rsidP="00FC324C">
            <w:pPr>
              <w:rPr>
                <w:rFonts w:asciiTheme="minorHAnsi" w:hAnsiTheme="minorHAnsi" w:cstheme="minorHAnsi"/>
                <w:i/>
                <w:sz w:val="20"/>
              </w:rPr>
            </w:pPr>
            <w:r w:rsidRPr="00CB1EA2">
              <w:rPr>
                <w:rFonts w:asciiTheme="minorHAnsi" w:hAnsiTheme="minorHAnsi" w:cstheme="minorHAnsi"/>
                <w:i/>
                <w:sz w:val="20"/>
              </w:rPr>
              <w:t>Document Name</w:t>
            </w:r>
          </w:p>
        </w:tc>
      </w:tr>
      <w:tr w:rsidR="00912EDA" w:rsidRPr="00CB1EA2" w14:paraId="27C9FF7F" w14:textId="77777777" w:rsidTr="00FC324C">
        <w:tc>
          <w:tcPr>
            <w:tcW w:w="1838" w:type="dxa"/>
          </w:tcPr>
          <w:p w14:paraId="0170BC8F" w14:textId="77777777" w:rsidR="00912EDA" w:rsidRPr="00645DAA" w:rsidRDefault="00912EDA" w:rsidP="00FC324C">
            <w:pPr>
              <w:rPr>
                <w:rFonts w:asciiTheme="minorHAnsi" w:hAnsiTheme="minorHAnsi" w:cstheme="minorHAnsi"/>
                <w:i/>
                <w:iCs/>
                <w:sz w:val="20"/>
              </w:rPr>
            </w:pPr>
            <w:r w:rsidRPr="00645DAA">
              <w:rPr>
                <w:rFonts w:asciiTheme="minorHAnsi" w:hAnsiTheme="minorHAnsi" w:cstheme="minorHAnsi"/>
                <w:i/>
                <w:iCs/>
                <w:sz w:val="20"/>
              </w:rPr>
              <w:t>CH</w:t>
            </w:r>
            <w:r>
              <w:rPr>
                <w:rFonts w:asciiTheme="minorHAnsi" w:hAnsiTheme="minorHAnsi" w:cstheme="minorHAnsi"/>
                <w:i/>
                <w:iCs/>
                <w:sz w:val="20"/>
              </w:rPr>
              <w:t>S19/074</w:t>
            </w:r>
          </w:p>
        </w:tc>
        <w:tc>
          <w:tcPr>
            <w:tcW w:w="7229" w:type="dxa"/>
          </w:tcPr>
          <w:p w14:paraId="5CFE6DE0" w14:textId="77777777" w:rsidR="00912EDA" w:rsidRPr="00645DAA" w:rsidRDefault="00912EDA" w:rsidP="00FC324C">
            <w:pPr>
              <w:rPr>
                <w:rFonts w:asciiTheme="minorHAnsi" w:hAnsiTheme="minorHAnsi" w:cstheme="minorHAnsi"/>
                <w:i/>
                <w:iCs/>
                <w:sz w:val="20"/>
              </w:rPr>
            </w:pPr>
            <w:r>
              <w:rPr>
                <w:rFonts w:asciiTheme="minorHAnsi" w:hAnsiTheme="minorHAnsi" w:cstheme="minorHAnsi"/>
                <w:i/>
                <w:iCs/>
                <w:sz w:val="20"/>
              </w:rPr>
              <w:t>Blood Culture Collection</w:t>
            </w:r>
          </w:p>
        </w:tc>
      </w:tr>
      <w:tr w:rsidR="00912EDA" w:rsidRPr="00CB1EA2" w14:paraId="160CD52D" w14:textId="77777777" w:rsidTr="00FC324C">
        <w:tc>
          <w:tcPr>
            <w:tcW w:w="1838" w:type="dxa"/>
          </w:tcPr>
          <w:p w14:paraId="0B5B7744" w14:textId="77777777" w:rsidR="00912EDA" w:rsidRPr="00CB1EA2" w:rsidRDefault="00912EDA" w:rsidP="00FC324C">
            <w:pPr>
              <w:rPr>
                <w:rFonts w:asciiTheme="minorHAnsi" w:hAnsiTheme="minorHAnsi" w:cstheme="minorHAnsi"/>
                <w:i/>
                <w:sz w:val="20"/>
              </w:rPr>
            </w:pPr>
          </w:p>
        </w:tc>
        <w:tc>
          <w:tcPr>
            <w:tcW w:w="7229" w:type="dxa"/>
          </w:tcPr>
          <w:p w14:paraId="4EFB3428" w14:textId="77777777" w:rsidR="00912EDA" w:rsidRPr="00CB1EA2" w:rsidRDefault="00912EDA" w:rsidP="00FC324C">
            <w:pPr>
              <w:rPr>
                <w:rFonts w:asciiTheme="minorHAnsi" w:hAnsiTheme="minorHAnsi" w:cstheme="minorHAnsi"/>
                <w:i/>
                <w:sz w:val="20"/>
              </w:rPr>
            </w:pPr>
          </w:p>
        </w:tc>
      </w:tr>
    </w:tbl>
    <w:p w14:paraId="055ACF61" w14:textId="77777777" w:rsidR="00912EDA" w:rsidRDefault="00912EDA" w:rsidP="00912EDA"/>
    <w:p w14:paraId="07D28047" w14:textId="77777777" w:rsidR="00912EDA" w:rsidRDefault="00912EDA" w:rsidP="00912EDA">
      <w:r>
        <w:br w:type="page"/>
      </w:r>
    </w:p>
    <w:p w14:paraId="60B92EE0" w14:textId="22D7AFE2" w:rsidR="001E257C" w:rsidRDefault="007730C9" w:rsidP="007730C9">
      <w:pPr>
        <w:pStyle w:val="Heading2"/>
      </w:pPr>
      <w:r>
        <w:lastRenderedPageBreak/>
        <w:t>Attachment 1 Blood Culture Collection Poster</w:t>
      </w:r>
      <w:bookmarkEnd w:id="11"/>
    </w:p>
    <w:p w14:paraId="529AD8A7" w14:textId="3E849600" w:rsidR="001E257C" w:rsidRDefault="00D76E85" w:rsidP="00222DAB">
      <w:r>
        <w:rPr>
          <w:noProof/>
        </w:rPr>
        <w:drawing>
          <wp:inline distT="0" distB="0" distL="0" distR="0" wp14:anchorId="7F7B4328" wp14:editId="0148D2D9">
            <wp:extent cx="5937250" cy="8321969"/>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39254" cy="8324778"/>
                    </a:xfrm>
                    <a:prstGeom prst="rect">
                      <a:avLst/>
                    </a:prstGeom>
                  </pic:spPr>
                </pic:pic>
              </a:graphicData>
            </a:graphic>
          </wp:inline>
        </w:drawing>
      </w:r>
    </w:p>
    <w:sectPr w:rsidR="001E257C" w:rsidSect="00733EB2">
      <w:headerReference w:type="even" r:id="rId36"/>
      <w:headerReference w:type="default" r:id="rId37"/>
      <w:footerReference w:type="even" r:id="rId38"/>
      <w:footerReference w:type="default" r:id="rId39"/>
      <w:headerReference w:type="first" r:id="rId40"/>
      <w:footerReference w:type="first" r:id="rId41"/>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0E332" w14:textId="77777777" w:rsidR="00D51A8B" w:rsidRDefault="00D51A8B" w:rsidP="00F66CB0">
      <w:r>
        <w:separator/>
      </w:r>
    </w:p>
  </w:endnote>
  <w:endnote w:type="continuationSeparator" w:id="0">
    <w:p w14:paraId="493D5786" w14:textId="77777777" w:rsidR="00D51A8B" w:rsidRDefault="00D51A8B"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wis721 Lt B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FS Albert Pro">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8B41" w14:textId="77777777" w:rsidR="0099198B" w:rsidRDefault="00991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08"/>
      <w:gridCol w:w="1405"/>
      <w:gridCol w:w="968"/>
      <w:gridCol w:w="1535"/>
      <w:gridCol w:w="1445"/>
      <w:gridCol w:w="1754"/>
      <w:gridCol w:w="1753"/>
      <w:gridCol w:w="102"/>
    </w:tblGrid>
    <w:tr w:rsidR="00A86B3E" w:rsidRPr="00AE7C5C" w14:paraId="7F4B0B24" w14:textId="77777777" w:rsidTr="004213C3">
      <w:tc>
        <w:tcPr>
          <w:tcW w:w="1541" w:type="dxa"/>
          <w:gridSpan w:val="2"/>
        </w:tcPr>
        <w:p w14:paraId="67302CC5" w14:textId="77777777" w:rsidR="00A86B3E" w:rsidRPr="00B3752F" w:rsidRDefault="00A86B3E" w:rsidP="004213C3">
          <w:pPr>
            <w:pStyle w:val="Footer"/>
            <w:rPr>
              <w:rFonts w:cs="Arial"/>
              <w:b/>
              <w:bCs/>
              <w:i/>
              <w:sz w:val="20"/>
            </w:rPr>
          </w:pPr>
          <w:r w:rsidRPr="00B3752F">
            <w:rPr>
              <w:rFonts w:cs="Arial"/>
              <w:b/>
              <w:bCs/>
              <w:i/>
              <w:sz w:val="20"/>
            </w:rPr>
            <w:t>Doc Number</w:t>
          </w:r>
        </w:p>
      </w:tc>
      <w:tc>
        <w:tcPr>
          <w:tcW w:w="977" w:type="dxa"/>
        </w:tcPr>
        <w:p w14:paraId="3E326931" w14:textId="77777777" w:rsidR="00A86B3E" w:rsidRPr="00B3752F" w:rsidRDefault="00A86B3E" w:rsidP="004213C3">
          <w:pPr>
            <w:pStyle w:val="Footer"/>
            <w:rPr>
              <w:rFonts w:cs="Arial"/>
              <w:b/>
              <w:bCs/>
              <w:i/>
              <w:sz w:val="20"/>
            </w:rPr>
          </w:pPr>
          <w:r w:rsidRPr="00B3752F">
            <w:rPr>
              <w:rFonts w:cs="Arial"/>
              <w:b/>
              <w:bCs/>
              <w:i/>
              <w:sz w:val="20"/>
            </w:rPr>
            <w:t>Version</w:t>
          </w:r>
        </w:p>
      </w:tc>
      <w:tc>
        <w:tcPr>
          <w:tcW w:w="1560" w:type="dxa"/>
        </w:tcPr>
        <w:p w14:paraId="2EFA5EA9" w14:textId="77777777" w:rsidR="00A86B3E" w:rsidRPr="00B3752F" w:rsidRDefault="00A86B3E" w:rsidP="004213C3">
          <w:pPr>
            <w:pStyle w:val="Footer"/>
            <w:rPr>
              <w:rFonts w:cs="Arial"/>
              <w:b/>
              <w:bCs/>
              <w:i/>
              <w:sz w:val="20"/>
            </w:rPr>
          </w:pPr>
          <w:r w:rsidRPr="00B3752F">
            <w:rPr>
              <w:rFonts w:cs="Arial"/>
              <w:b/>
              <w:bCs/>
              <w:i/>
              <w:sz w:val="20"/>
            </w:rPr>
            <w:t>Issued</w:t>
          </w:r>
        </w:p>
      </w:tc>
      <w:tc>
        <w:tcPr>
          <w:tcW w:w="1464" w:type="dxa"/>
        </w:tcPr>
        <w:p w14:paraId="560E3569" w14:textId="77777777" w:rsidR="00A86B3E" w:rsidRPr="00B3752F" w:rsidRDefault="00A86B3E" w:rsidP="004213C3">
          <w:pPr>
            <w:pStyle w:val="Footer"/>
            <w:rPr>
              <w:rFonts w:cs="Arial"/>
              <w:b/>
              <w:bCs/>
              <w:i/>
              <w:sz w:val="20"/>
            </w:rPr>
          </w:pPr>
          <w:r w:rsidRPr="00B3752F">
            <w:rPr>
              <w:rFonts w:cs="Arial"/>
              <w:b/>
              <w:bCs/>
              <w:i/>
              <w:sz w:val="20"/>
            </w:rPr>
            <w:t>Review Date</w:t>
          </w:r>
        </w:p>
      </w:tc>
      <w:tc>
        <w:tcPr>
          <w:tcW w:w="1796" w:type="dxa"/>
        </w:tcPr>
        <w:p w14:paraId="7A23E9F0" w14:textId="77777777" w:rsidR="00A86B3E" w:rsidRPr="00B3752F" w:rsidRDefault="00A86B3E" w:rsidP="004213C3">
          <w:pPr>
            <w:pStyle w:val="Footer"/>
            <w:rPr>
              <w:rFonts w:cs="Arial"/>
              <w:b/>
              <w:bCs/>
              <w:i/>
              <w:sz w:val="20"/>
            </w:rPr>
          </w:pPr>
          <w:r w:rsidRPr="00B3752F">
            <w:rPr>
              <w:rFonts w:cs="Arial"/>
              <w:b/>
              <w:bCs/>
              <w:i/>
              <w:sz w:val="20"/>
            </w:rPr>
            <w:t>Area Responsible</w:t>
          </w:r>
        </w:p>
      </w:tc>
      <w:tc>
        <w:tcPr>
          <w:tcW w:w="1948" w:type="dxa"/>
          <w:gridSpan w:val="2"/>
        </w:tcPr>
        <w:p w14:paraId="4ED29280" w14:textId="77777777" w:rsidR="00A86B3E" w:rsidRPr="00B3752F" w:rsidRDefault="00A86B3E" w:rsidP="004213C3">
          <w:pPr>
            <w:pStyle w:val="Footer"/>
            <w:rPr>
              <w:rFonts w:cs="Arial"/>
              <w:b/>
              <w:bCs/>
              <w:i/>
              <w:sz w:val="20"/>
            </w:rPr>
          </w:pPr>
          <w:r w:rsidRPr="00B3752F">
            <w:rPr>
              <w:rFonts w:cs="Arial"/>
              <w:b/>
              <w:bCs/>
              <w:i/>
              <w:sz w:val="20"/>
            </w:rPr>
            <w:t>Page</w:t>
          </w:r>
        </w:p>
      </w:tc>
    </w:tr>
    <w:tr w:rsidR="00A86B3E" w14:paraId="5E5ADFE3" w14:textId="77777777" w:rsidTr="004213C3">
      <w:tc>
        <w:tcPr>
          <w:tcW w:w="1541" w:type="dxa"/>
          <w:gridSpan w:val="2"/>
        </w:tcPr>
        <w:p w14:paraId="7CF771B0" w14:textId="6F5347E8" w:rsidR="00A86B3E" w:rsidRPr="00542EE6" w:rsidRDefault="0099198B" w:rsidP="004213C3">
          <w:pPr>
            <w:pStyle w:val="Footer"/>
            <w:rPr>
              <w:rFonts w:cs="Arial"/>
              <w:b/>
              <w:bCs/>
              <w:sz w:val="20"/>
            </w:rPr>
          </w:pPr>
          <w:r>
            <w:rPr>
              <w:rFonts w:cs="Arial"/>
              <w:b/>
              <w:bCs/>
              <w:sz w:val="20"/>
            </w:rPr>
            <w:t>CHS22/269</w:t>
          </w:r>
        </w:p>
      </w:tc>
      <w:tc>
        <w:tcPr>
          <w:tcW w:w="977" w:type="dxa"/>
        </w:tcPr>
        <w:p w14:paraId="3BD178D4" w14:textId="77777777" w:rsidR="00A86B3E" w:rsidRPr="00B3752F" w:rsidRDefault="00990D96" w:rsidP="004213C3">
          <w:pPr>
            <w:pStyle w:val="Footer"/>
            <w:rPr>
              <w:rFonts w:cs="Arial"/>
              <w:b/>
              <w:bCs/>
              <w:sz w:val="20"/>
            </w:rPr>
          </w:pPr>
          <w:r>
            <w:rPr>
              <w:rFonts w:cs="Arial"/>
              <w:b/>
              <w:bCs/>
              <w:sz w:val="20"/>
            </w:rPr>
            <w:t>1</w:t>
          </w:r>
        </w:p>
      </w:tc>
      <w:tc>
        <w:tcPr>
          <w:tcW w:w="1560" w:type="dxa"/>
        </w:tcPr>
        <w:p w14:paraId="6E153BA6" w14:textId="544CDCEC" w:rsidR="00A86B3E" w:rsidRPr="00B3752F" w:rsidRDefault="0099198B" w:rsidP="00725533">
          <w:pPr>
            <w:pStyle w:val="Footer"/>
            <w:rPr>
              <w:rFonts w:cs="Arial"/>
              <w:b/>
              <w:bCs/>
              <w:sz w:val="20"/>
            </w:rPr>
          </w:pPr>
          <w:r>
            <w:rPr>
              <w:rFonts w:cs="Arial"/>
              <w:b/>
              <w:bCs/>
              <w:sz w:val="20"/>
            </w:rPr>
            <w:t>24/06/2022</w:t>
          </w:r>
        </w:p>
      </w:tc>
      <w:tc>
        <w:tcPr>
          <w:tcW w:w="1464" w:type="dxa"/>
        </w:tcPr>
        <w:p w14:paraId="3F9E38F4" w14:textId="3ECCE99A" w:rsidR="00A86B3E" w:rsidRPr="00B3752F" w:rsidRDefault="0099198B" w:rsidP="00725533">
          <w:pPr>
            <w:pStyle w:val="Footer"/>
            <w:rPr>
              <w:rFonts w:cs="Arial"/>
              <w:b/>
              <w:bCs/>
              <w:sz w:val="20"/>
            </w:rPr>
          </w:pPr>
          <w:r>
            <w:rPr>
              <w:rFonts w:cs="Arial"/>
              <w:b/>
              <w:bCs/>
              <w:sz w:val="20"/>
            </w:rPr>
            <w:t>01/07/2025</w:t>
          </w:r>
        </w:p>
      </w:tc>
      <w:tc>
        <w:tcPr>
          <w:tcW w:w="1796" w:type="dxa"/>
        </w:tcPr>
        <w:p w14:paraId="33FBC6FA" w14:textId="11757523" w:rsidR="00A86B3E" w:rsidRPr="0099198B" w:rsidRDefault="00990D96" w:rsidP="004213C3">
          <w:pPr>
            <w:pStyle w:val="Footer"/>
            <w:rPr>
              <w:rFonts w:cs="Arial"/>
              <w:b/>
              <w:bCs/>
              <w:sz w:val="20"/>
            </w:rPr>
          </w:pPr>
          <w:r w:rsidRPr="0099198B">
            <w:rPr>
              <w:rFonts w:cs="Arial"/>
              <w:b/>
              <w:bCs/>
              <w:sz w:val="20"/>
            </w:rPr>
            <w:t>NMPSS</w:t>
          </w:r>
          <w:r w:rsidR="0099198B">
            <w:rPr>
              <w:rFonts w:cs="Arial"/>
              <w:b/>
              <w:bCs/>
              <w:sz w:val="20"/>
            </w:rPr>
            <w:t xml:space="preserve"> - IPCU</w:t>
          </w:r>
        </w:p>
      </w:tc>
      <w:tc>
        <w:tcPr>
          <w:tcW w:w="1948" w:type="dxa"/>
          <w:gridSpan w:val="2"/>
        </w:tcPr>
        <w:p w14:paraId="5D0D3298" w14:textId="77777777" w:rsidR="00A86B3E" w:rsidRPr="00B3752F" w:rsidRDefault="00A86B3E"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10</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14</w:t>
          </w:r>
          <w:r w:rsidRPr="00B3752F">
            <w:rPr>
              <w:rStyle w:val="PageNumber"/>
              <w:sz w:val="20"/>
            </w:rPr>
            <w:fldChar w:fldCharType="end"/>
          </w:r>
        </w:p>
      </w:tc>
    </w:tr>
    <w:tr w:rsidR="00A86B3E" w:rsidRPr="00BA57EE" w14:paraId="7EB00C41" w14:textId="77777777" w:rsidTr="00255701">
      <w:trPr>
        <w:gridBefore w:val="1"/>
        <w:gridAfter w:val="1"/>
        <w:wBefore w:w="108" w:type="dxa"/>
        <w:wAfter w:w="108" w:type="dxa"/>
        <w:trHeight w:val="231"/>
      </w:trPr>
      <w:tc>
        <w:tcPr>
          <w:tcW w:w="9070" w:type="dxa"/>
          <w:gridSpan w:val="6"/>
          <w:tcBorders>
            <w:top w:val="single" w:sz="4" w:space="0" w:color="auto"/>
            <w:left w:val="single" w:sz="4" w:space="0" w:color="auto"/>
            <w:bottom w:val="single" w:sz="4" w:space="0" w:color="auto"/>
            <w:right w:val="single" w:sz="4" w:space="0" w:color="auto"/>
          </w:tcBorders>
        </w:tcPr>
        <w:p w14:paraId="5F4BEC2B" w14:textId="77777777" w:rsidR="00A86B3E" w:rsidRPr="00BA57EE" w:rsidRDefault="00A86B3E" w:rsidP="00BA57EE">
          <w:pPr>
            <w:tabs>
              <w:tab w:val="center" w:pos="4153"/>
              <w:tab w:val="right" w:pos="8306"/>
            </w:tabs>
            <w:jc w:val="center"/>
            <w:rPr>
              <w:sz w:val="16"/>
              <w:szCs w:val="16"/>
            </w:rPr>
          </w:pPr>
          <w:r w:rsidRPr="00BA57EE">
            <w:rPr>
              <w:sz w:val="16"/>
              <w:szCs w:val="16"/>
            </w:rPr>
            <w:t xml:space="preserve">Do not refer to a paper based copy of this policy document. The most current version can be found on the </w:t>
          </w:r>
          <w:r>
            <w:rPr>
              <w:sz w:val="16"/>
              <w:szCs w:val="16"/>
            </w:rPr>
            <w:t>CHS</w:t>
          </w:r>
          <w:r w:rsidRPr="00BA57EE">
            <w:rPr>
              <w:sz w:val="16"/>
              <w:szCs w:val="16"/>
            </w:rPr>
            <w:t xml:space="preserve"> Policy Register</w:t>
          </w:r>
        </w:p>
      </w:tc>
    </w:tr>
  </w:tbl>
  <w:p w14:paraId="42D30343" w14:textId="77777777" w:rsidR="00A86B3E" w:rsidRPr="00AE7C5C" w:rsidRDefault="00A86B3E" w:rsidP="004213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C495" w14:textId="77777777" w:rsidR="0099198B" w:rsidRDefault="00991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6A100" w14:textId="77777777" w:rsidR="00D51A8B" w:rsidRDefault="00D51A8B" w:rsidP="00F66CB0">
      <w:r>
        <w:separator/>
      </w:r>
    </w:p>
  </w:footnote>
  <w:footnote w:type="continuationSeparator" w:id="0">
    <w:p w14:paraId="17496702" w14:textId="77777777" w:rsidR="00D51A8B" w:rsidRDefault="00D51A8B"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114B" w14:textId="77777777" w:rsidR="0099198B" w:rsidRDefault="009919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86B3E" w:rsidRPr="0099198B" w14:paraId="292B2524" w14:textId="77777777" w:rsidTr="00255701">
      <w:tc>
        <w:tcPr>
          <w:tcW w:w="5556" w:type="dxa"/>
          <w:hideMark/>
        </w:tcPr>
        <w:p w14:paraId="40DFC4DC" w14:textId="77777777" w:rsidR="00A86B3E" w:rsidRDefault="00A86B3E" w:rsidP="00255701">
          <w:pPr>
            <w:pStyle w:val="Header"/>
            <w:rPr>
              <w:sz w:val="20"/>
            </w:rPr>
          </w:pPr>
          <w:r>
            <w:rPr>
              <w:noProof/>
              <w:sz w:val="20"/>
              <w:lang w:eastAsia="en-AU"/>
            </w:rPr>
            <w:drawing>
              <wp:inline distT="0" distB="0" distL="0" distR="0" wp14:anchorId="1A861281" wp14:editId="2480AE70">
                <wp:extent cx="3295650" cy="723900"/>
                <wp:effectExtent l="0" t="0" r="0" b="0"/>
                <wp:docPr id="7" name="Picture 7"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39012B9" w14:textId="15369BD4" w:rsidR="00A86B3E" w:rsidRPr="0099198B" w:rsidRDefault="0099198B" w:rsidP="00255701">
          <w:pPr>
            <w:pStyle w:val="Header"/>
            <w:tabs>
              <w:tab w:val="left" w:pos="720"/>
            </w:tabs>
            <w:jc w:val="right"/>
            <w:rPr>
              <w:rFonts w:asciiTheme="minorHAnsi" w:hAnsiTheme="minorHAnsi" w:cstheme="minorHAnsi"/>
              <w:sz w:val="22"/>
              <w:szCs w:val="22"/>
            </w:rPr>
          </w:pPr>
          <w:bookmarkStart w:id="36" w:name="_top"/>
          <w:bookmarkEnd w:id="36"/>
          <w:r>
            <w:rPr>
              <w:rFonts w:asciiTheme="minorHAnsi" w:hAnsiTheme="minorHAnsi" w:cstheme="minorHAnsi"/>
              <w:sz w:val="22"/>
              <w:szCs w:val="22"/>
            </w:rPr>
            <w:t>CHS22/269</w:t>
          </w:r>
        </w:p>
      </w:tc>
    </w:tr>
  </w:tbl>
  <w:p w14:paraId="773C9910" w14:textId="77777777" w:rsidR="00A86B3E" w:rsidRPr="00FC3538" w:rsidRDefault="00A86B3E">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CC41" w14:textId="77777777" w:rsidR="0099198B" w:rsidRDefault="00991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A8A"/>
    <w:multiLevelType w:val="hybridMultilevel"/>
    <w:tmpl w:val="D7883D6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5133A3"/>
    <w:multiLevelType w:val="hybridMultilevel"/>
    <w:tmpl w:val="1F86C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A959E3"/>
    <w:multiLevelType w:val="hybridMultilevel"/>
    <w:tmpl w:val="30E2B5A6"/>
    <w:lvl w:ilvl="0" w:tplc="0C090003">
      <w:start w:val="1"/>
      <w:numFmt w:val="bullet"/>
      <w:lvlText w:val="o"/>
      <w:lvlJc w:val="left"/>
      <w:pPr>
        <w:ind w:left="786" w:hanging="360"/>
      </w:pPr>
      <w:rPr>
        <w:rFonts w:ascii="Courier New" w:hAnsi="Courier New" w:cs="Courier New"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Symbol" w:hAnsi="Symbol"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0ADA6BB9"/>
    <w:multiLevelType w:val="hybridMultilevel"/>
    <w:tmpl w:val="9572A5A0"/>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 w15:restartNumberingAfterBreak="0">
    <w:nsid w:val="0AE117FE"/>
    <w:multiLevelType w:val="hybridMultilevel"/>
    <w:tmpl w:val="E458897C"/>
    <w:lvl w:ilvl="0" w:tplc="0C090001">
      <w:start w:val="1"/>
      <w:numFmt w:val="bullet"/>
      <w:lvlText w:val=""/>
      <w:lvlJc w:val="left"/>
      <w:pPr>
        <w:ind w:left="-132" w:hanging="360"/>
      </w:pPr>
      <w:rPr>
        <w:rFonts w:ascii="Symbol" w:hAnsi="Symbol" w:hint="default"/>
      </w:rPr>
    </w:lvl>
    <w:lvl w:ilvl="1" w:tplc="0C090003" w:tentative="1">
      <w:start w:val="1"/>
      <w:numFmt w:val="bullet"/>
      <w:lvlText w:val="o"/>
      <w:lvlJc w:val="left"/>
      <w:pPr>
        <w:ind w:left="588" w:hanging="360"/>
      </w:pPr>
      <w:rPr>
        <w:rFonts w:ascii="Courier New" w:hAnsi="Courier New" w:cs="Courier New" w:hint="default"/>
      </w:rPr>
    </w:lvl>
    <w:lvl w:ilvl="2" w:tplc="0C090005" w:tentative="1">
      <w:start w:val="1"/>
      <w:numFmt w:val="bullet"/>
      <w:lvlText w:val=""/>
      <w:lvlJc w:val="left"/>
      <w:pPr>
        <w:ind w:left="1308" w:hanging="360"/>
      </w:pPr>
      <w:rPr>
        <w:rFonts w:ascii="Wingdings" w:hAnsi="Wingdings" w:hint="default"/>
      </w:rPr>
    </w:lvl>
    <w:lvl w:ilvl="3" w:tplc="0C090001" w:tentative="1">
      <w:start w:val="1"/>
      <w:numFmt w:val="bullet"/>
      <w:lvlText w:val=""/>
      <w:lvlJc w:val="left"/>
      <w:pPr>
        <w:ind w:left="2028" w:hanging="360"/>
      </w:pPr>
      <w:rPr>
        <w:rFonts w:ascii="Symbol" w:hAnsi="Symbol" w:hint="default"/>
      </w:rPr>
    </w:lvl>
    <w:lvl w:ilvl="4" w:tplc="0C090003" w:tentative="1">
      <w:start w:val="1"/>
      <w:numFmt w:val="bullet"/>
      <w:lvlText w:val="o"/>
      <w:lvlJc w:val="left"/>
      <w:pPr>
        <w:ind w:left="2748" w:hanging="360"/>
      </w:pPr>
      <w:rPr>
        <w:rFonts w:ascii="Courier New" w:hAnsi="Courier New" w:cs="Courier New" w:hint="default"/>
      </w:rPr>
    </w:lvl>
    <w:lvl w:ilvl="5" w:tplc="0C090005" w:tentative="1">
      <w:start w:val="1"/>
      <w:numFmt w:val="bullet"/>
      <w:lvlText w:val=""/>
      <w:lvlJc w:val="left"/>
      <w:pPr>
        <w:ind w:left="3468" w:hanging="360"/>
      </w:pPr>
      <w:rPr>
        <w:rFonts w:ascii="Wingdings" w:hAnsi="Wingdings" w:hint="default"/>
      </w:rPr>
    </w:lvl>
    <w:lvl w:ilvl="6" w:tplc="0C090001" w:tentative="1">
      <w:start w:val="1"/>
      <w:numFmt w:val="bullet"/>
      <w:lvlText w:val=""/>
      <w:lvlJc w:val="left"/>
      <w:pPr>
        <w:ind w:left="4188" w:hanging="360"/>
      </w:pPr>
      <w:rPr>
        <w:rFonts w:ascii="Symbol" w:hAnsi="Symbol" w:hint="default"/>
      </w:rPr>
    </w:lvl>
    <w:lvl w:ilvl="7" w:tplc="0C090003" w:tentative="1">
      <w:start w:val="1"/>
      <w:numFmt w:val="bullet"/>
      <w:lvlText w:val="o"/>
      <w:lvlJc w:val="left"/>
      <w:pPr>
        <w:ind w:left="4908" w:hanging="360"/>
      </w:pPr>
      <w:rPr>
        <w:rFonts w:ascii="Courier New" w:hAnsi="Courier New" w:cs="Courier New" w:hint="default"/>
      </w:rPr>
    </w:lvl>
    <w:lvl w:ilvl="8" w:tplc="0C090005" w:tentative="1">
      <w:start w:val="1"/>
      <w:numFmt w:val="bullet"/>
      <w:lvlText w:val=""/>
      <w:lvlJc w:val="left"/>
      <w:pPr>
        <w:ind w:left="5628" w:hanging="360"/>
      </w:pPr>
      <w:rPr>
        <w:rFonts w:ascii="Wingdings" w:hAnsi="Wingdings" w:hint="default"/>
      </w:rPr>
    </w:lvl>
  </w:abstractNum>
  <w:abstractNum w:abstractNumId="5" w15:restartNumberingAfterBreak="0">
    <w:nsid w:val="11133974"/>
    <w:multiLevelType w:val="hybridMultilevel"/>
    <w:tmpl w:val="D1E24106"/>
    <w:lvl w:ilvl="0" w:tplc="FFFFFFFF">
      <w:start w:val="1"/>
      <w:numFmt w:val="bullet"/>
      <w:lvlText w:val=""/>
      <w:lvlJc w:val="left"/>
      <w:pPr>
        <w:ind w:left="786" w:hanging="360"/>
      </w:pPr>
      <w:rPr>
        <w:rFonts w:ascii="Symbol" w:hAnsi="Symbol" w:hint="default"/>
      </w:rPr>
    </w:lvl>
    <w:lvl w:ilvl="1" w:tplc="0C090003">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6" w15:restartNumberingAfterBreak="0">
    <w:nsid w:val="17294200"/>
    <w:multiLevelType w:val="hybridMultilevel"/>
    <w:tmpl w:val="7D603A9E"/>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A00576"/>
    <w:multiLevelType w:val="hybridMultilevel"/>
    <w:tmpl w:val="5BE62102"/>
    <w:lvl w:ilvl="0" w:tplc="0C090001">
      <w:start w:val="1"/>
      <w:numFmt w:val="bullet"/>
      <w:lvlText w:val=""/>
      <w:lvlJc w:val="left"/>
      <w:pPr>
        <w:ind w:left="588" w:hanging="360"/>
      </w:pPr>
      <w:rPr>
        <w:rFonts w:ascii="Symbol" w:hAnsi="Symbol" w:hint="default"/>
      </w:rPr>
    </w:lvl>
    <w:lvl w:ilvl="1" w:tplc="0C090003" w:tentative="1">
      <w:start w:val="1"/>
      <w:numFmt w:val="bullet"/>
      <w:lvlText w:val="o"/>
      <w:lvlJc w:val="left"/>
      <w:pPr>
        <w:ind w:left="1308" w:hanging="360"/>
      </w:pPr>
      <w:rPr>
        <w:rFonts w:ascii="Courier New" w:hAnsi="Courier New" w:cs="Courier New" w:hint="default"/>
      </w:rPr>
    </w:lvl>
    <w:lvl w:ilvl="2" w:tplc="0C090005" w:tentative="1">
      <w:start w:val="1"/>
      <w:numFmt w:val="bullet"/>
      <w:lvlText w:val=""/>
      <w:lvlJc w:val="left"/>
      <w:pPr>
        <w:ind w:left="2028" w:hanging="360"/>
      </w:pPr>
      <w:rPr>
        <w:rFonts w:ascii="Wingdings" w:hAnsi="Wingdings" w:hint="default"/>
      </w:rPr>
    </w:lvl>
    <w:lvl w:ilvl="3" w:tplc="0C090001" w:tentative="1">
      <w:start w:val="1"/>
      <w:numFmt w:val="bullet"/>
      <w:lvlText w:val=""/>
      <w:lvlJc w:val="left"/>
      <w:pPr>
        <w:ind w:left="2748" w:hanging="360"/>
      </w:pPr>
      <w:rPr>
        <w:rFonts w:ascii="Symbol" w:hAnsi="Symbol" w:hint="default"/>
      </w:rPr>
    </w:lvl>
    <w:lvl w:ilvl="4" w:tplc="0C090003" w:tentative="1">
      <w:start w:val="1"/>
      <w:numFmt w:val="bullet"/>
      <w:lvlText w:val="o"/>
      <w:lvlJc w:val="left"/>
      <w:pPr>
        <w:ind w:left="3468" w:hanging="360"/>
      </w:pPr>
      <w:rPr>
        <w:rFonts w:ascii="Courier New" w:hAnsi="Courier New" w:cs="Courier New" w:hint="default"/>
      </w:rPr>
    </w:lvl>
    <w:lvl w:ilvl="5" w:tplc="0C090005" w:tentative="1">
      <w:start w:val="1"/>
      <w:numFmt w:val="bullet"/>
      <w:lvlText w:val=""/>
      <w:lvlJc w:val="left"/>
      <w:pPr>
        <w:ind w:left="4188" w:hanging="360"/>
      </w:pPr>
      <w:rPr>
        <w:rFonts w:ascii="Wingdings" w:hAnsi="Wingdings" w:hint="default"/>
      </w:rPr>
    </w:lvl>
    <w:lvl w:ilvl="6" w:tplc="0C090001" w:tentative="1">
      <w:start w:val="1"/>
      <w:numFmt w:val="bullet"/>
      <w:lvlText w:val=""/>
      <w:lvlJc w:val="left"/>
      <w:pPr>
        <w:ind w:left="4908" w:hanging="360"/>
      </w:pPr>
      <w:rPr>
        <w:rFonts w:ascii="Symbol" w:hAnsi="Symbol" w:hint="default"/>
      </w:rPr>
    </w:lvl>
    <w:lvl w:ilvl="7" w:tplc="0C090003" w:tentative="1">
      <w:start w:val="1"/>
      <w:numFmt w:val="bullet"/>
      <w:lvlText w:val="o"/>
      <w:lvlJc w:val="left"/>
      <w:pPr>
        <w:ind w:left="5628" w:hanging="360"/>
      </w:pPr>
      <w:rPr>
        <w:rFonts w:ascii="Courier New" w:hAnsi="Courier New" w:cs="Courier New" w:hint="default"/>
      </w:rPr>
    </w:lvl>
    <w:lvl w:ilvl="8" w:tplc="0C090005" w:tentative="1">
      <w:start w:val="1"/>
      <w:numFmt w:val="bullet"/>
      <w:lvlText w:val=""/>
      <w:lvlJc w:val="left"/>
      <w:pPr>
        <w:ind w:left="6348" w:hanging="360"/>
      </w:pPr>
      <w:rPr>
        <w:rFonts w:ascii="Wingdings" w:hAnsi="Wingdings" w:hint="default"/>
      </w:rPr>
    </w:lvl>
  </w:abstractNum>
  <w:abstractNum w:abstractNumId="8" w15:restartNumberingAfterBreak="0">
    <w:nsid w:val="1AA73B08"/>
    <w:multiLevelType w:val="hybridMultilevel"/>
    <w:tmpl w:val="EF4847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4E747A"/>
    <w:multiLevelType w:val="hybridMultilevel"/>
    <w:tmpl w:val="E36E95E4"/>
    <w:lvl w:ilvl="0" w:tplc="0C090001">
      <w:start w:val="1"/>
      <w:numFmt w:val="bullet"/>
      <w:lvlText w:val=""/>
      <w:lvlJc w:val="left"/>
      <w:pPr>
        <w:ind w:left="1440" w:hanging="360"/>
      </w:pPr>
      <w:rPr>
        <w:rFonts w:ascii="Symbol" w:hAnsi="Symbol" w:hint="default"/>
      </w:rPr>
    </w:lvl>
    <w:lvl w:ilvl="1" w:tplc="563C9B7E">
      <w:start w:val="3"/>
      <w:numFmt w:val="bullet"/>
      <w:lvlText w:val="·"/>
      <w:lvlJc w:val="left"/>
      <w:pPr>
        <w:ind w:left="2160" w:hanging="360"/>
      </w:pPr>
      <w:rPr>
        <w:rFonts w:ascii="Calibri" w:eastAsia="Times New Roman"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1625ED3"/>
    <w:multiLevelType w:val="hybridMultilevel"/>
    <w:tmpl w:val="04E413E0"/>
    <w:lvl w:ilvl="0" w:tplc="0C090001">
      <w:start w:val="1"/>
      <w:numFmt w:val="bullet"/>
      <w:lvlText w:val=""/>
      <w:lvlJc w:val="left"/>
      <w:pPr>
        <w:ind w:left="654" w:hanging="360"/>
      </w:pPr>
      <w:rPr>
        <w:rFonts w:ascii="Symbol" w:hAnsi="Symbol" w:hint="default"/>
      </w:rPr>
    </w:lvl>
    <w:lvl w:ilvl="1" w:tplc="0C090003" w:tentative="1">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11" w15:restartNumberingAfterBreak="0">
    <w:nsid w:val="247F54BA"/>
    <w:multiLevelType w:val="hybridMultilevel"/>
    <w:tmpl w:val="7B607214"/>
    <w:lvl w:ilvl="0" w:tplc="0C090003">
      <w:start w:val="1"/>
      <w:numFmt w:val="bullet"/>
      <w:lvlText w:val="o"/>
      <w:lvlJc w:val="left"/>
      <w:pPr>
        <w:ind w:left="786" w:hanging="360"/>
      </w:pPr>
      <w:rPr>
        <w:rFonts w:ascii="Courier New" w:hAnsi="Courier New" w:cs="Courier New" w:hint="default"/>
      </w:rPr>
    </w:lvl>
    <w:lvl w:ilvl="1" w:tplc="FFFFFFFF">
      <w:start w:val="1"/>
      <w:numFmt w:val="bullet"/>
      <w:lvlText w:val=""/>
      <w:lvlJc w:val="left"/>
      <w:pPr>
        <w:ind w:left="1506" w:hanging="360"/>
      </w:pPr>
      <w:rPr>
        <w:rFonts w:ascii="Symbol" w:hAnsi="Symbol" w:hint="default"/>
      </w:rPr>
    </w:lvl>
    <w:lvl w:ilvl="2" w:tplc="FFFFFFFF">
      <w:start w:val="1"/>
      <w:numFmt w:val="bullet"/>
      <w:lvlText w:val=""/>
      <w:lvlJc w:val="left"/>
      <w:pPr>
        <w:ind w:left="2226" w:hanging="360"/>
      </w:pPr>
      <w:rPr>
        <w:rFonts w:ascii="Symbol" w:hAnsi="Symbol"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2" w15:restartNumberingAfterBreak="0">
    <w:nsid w:val="27203CFA"/>
    <w:multiLevelType w:val="hybridMultilevel"/>
    <w:tmpl w:val="251AB964"/>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13" w15:restartNumberingAfterBreak="0">
    <w:nsid w:val="319322E5"/>
    <w:multiLevelType w:val="hybridMultilevel"/>
    <w:tmpl w:val="C91A7FD0"/>
    <w:lvl w:ilvl="0" w:tplc="FFFFFFFF">
      <w:start w:val="1"/>
      <w:numFmt w:val="bullet"/>
      <w:lvlText w:val="o"/>
      <w:lvlJc w:val="left"/>
      <w:pPr>
        <w:ind w:left="786" w:hanging="360"/>
      </w:pPr>
      <w:rPr>
        <w:rFonts w:ascii="Courier New" w:hAnsi="Courier New" w:cs="Courier New" w:hint="default"/>
      </w:rPr>
    </w:lvl>
    <w:lvl w:ilvl="1" w:tplc="FFFFFFFF">
      <w:start w:val="1"/>
      <w:numFmt w:val="bullet"/>
      <w:lvlText w:val="o"/>
      <w:lvlJc w:val="left"/>
      <w:pPr>
        <w:ind w:left="1506" w:hanging="360"/>
      </w:pPr>
      <w:rPr>
        <w:rFonts w:ascii="Courier New" w:hAnsi="Courier New" w:cs="Courier New" w:hint="default"/>
      </w:rPr>
    </w:lvl>
    <w:lvl w:ilvl="2" w:tplc="0C090003">
      <w:start w:val="1"/>
      <w:numFmt w:val="bullet"/>
      <w:lvlText w:val="o"/>
      <w:lvlJc w:val="left"/>
      <w:pPr>
        <w:ind w:left="2226" w:hanging="360"/>
      </w:pPr>
      <w:rPr>
        <w:rFonts w:ascii="Courier New" w:hAnsi="Courier New" w:cs="Courier New"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4" w15:restartNumberingAfterBreak="0">
    <w:nsid w:val="3223162F"/>
    <w:multiLevelType w:val="hybridMultilevel"/>
    <w:tmpl w:val="58C60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88C23F6"/>
    <w:multiLevelType w:val="hybridMultilevel"/>
    <w:tmpl w:val="7E8E77A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C09000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AA368B"/>
    <w:multiLevelType w:val="hybridMultilevel"/>
    <w:tmpl w:val="63C88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7D0950"/>
    <w:multiLevelType w:val="hybridMultilevel"/>
    <w:tmpl w:val="E2E4F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4F0FA4"/>
    <w:multiLevelType w:val="hybridMultilevel"/>
    <w:tmpl w:val="7D908846"/>
    <w:lvl w:ilvl="0" w:tplc="0C090005">
      <w:start w:val="1"/>
      <w:numFmt w:val="bullet"/>
      <w:lvlText w:val=""/>
      <w:lvlJc w:val="left"/>
      <w:pPr>
        <w:ind w:left="1211" w:hanging="360"/>
      </w:pPr>
      <w:rPr>
        <w:rFonts w:ascii="Wingdings" w:hAnsi="Wingdings" w:hint="default"/>
      </w:rPr>
    </w:lvl>
    <w:lvl w:ilvl="1" w:tplc="FFFFFFFF">
      <w:start w:val="1"/>
      <w:numFmt w:val="bullet"/>
      <w:lvlText w:val=""/>
      <w:lvlJc w:val="left"/>
      <w:pPr>
        <w:ind w:left="1931" w:hanging="360"/>
      </w:pPr>
      <w:rPr>
        <w:rFonts w:ascii="Symbol" w:hAnsi="Symbol" w:hint="default"/>
      </w:rPr>
    </w:lvl>
    <w:lvl w:ilvl="2" w:tplc="FFFFFFFF">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9" w15:restartNumberingAfterBreak="0">
    <w:nsid w:val="452D086A"/>
    <w:multiLevelType w:val="hybridMultilevel"/>
    <w:tmpl w:val="E08CDA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8F346A1"/>
    <w:multiLevelType w:val="hybridMultilevel"/>
    <w:tmpl w:val="8EB2D852"/>
    <w:lvl w:ilvl="0" w:tplc="EE5A926A">
      <w:start w:val="1"/>
      <w:numFmt w:val="decimal"/>
      <w:lvlText w:val="%1."/>
      <w:lvlJc w:val="left"/>
      <w:pPr>
        <w:ind w:left="720" w:hanging="360"/>
      </w:pPr>
      <w:rPr>
        <w:rFonts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8817BF"/>
    <w:multiLevelType w:val="hybridMultilevel"/>
    <w:tmpl w:val="0A304AB0"/>
    <w:lvl w:ilvl="0" w:tplc="C01EECE4">
      <w:start w:val="1"/>
      <w:numFmt w:val="bullet"/>
      <w:lvlText w:val=""/>
      <w:lvlJc w:val="left"/>
      <w:pPr>
        <w:ind w:left="720" w:hanging="360"/>
      </w:pPr>
      <w:rPr>
        <w:rFonts w:ascii="Symbol" w:hAnsi="Symbol" w:hint="default"/>
        <w:sz w:val="20"/>
        <w:szCs w:val="20"/>
      </w:rPr>
    </w:lvl>
    <w:lvl w:ilvl="1" w:tplc="C442A06A">
      <w:start w:val="1"/>
      <w:numFmt w:val="bullet"/>
      <w:lvlText w:val="o"/>
      <w:lvlJc w:val="left"/>
      <w:pPr>
        <w:ind w:left="1440" w:hanging="360"/>
      </w:pPr>
      <w:rPr>
        <w:rFonts w:ascii="Courier New" w:hAnsi="Courier New" w:cs="Courier New" w:hint="default"/>
        <w:sz w:val="20"/>
        <w:szCs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E50FC0"/>
    <w:multiLevelType w:val="hybridMultilevel"/>
    <w:tmpl w:val="F73C47B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E05034"/>
    <w:multiLevelType w:val="hybridMultilevel"/>
    <w:tmpl w:val="60003EAC"/>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931" w:hanging="360"/>
      </w:pPr>
      <w:rPr>
        <w:rFonts w:ascii="Symbol" w:hAnsi="Symbol" w:hint="default"/>
      </w:rPr>
    </w:lvl>
    <w:lvl w:ilvl="2" w:tplc="0C090005">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4" w15:restartNumberingAfterBreak="0">
    <w:nsid w:val="55706729"/>
    <w:multiLevelType w:val="hybridMultilevel"/>
    <w:tmpl w:val="AE709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987B22"/>
    <w:multiLevelType w:val="hybridMultilevel"/>
    <w:tmpl w:val="1AE296E2"/>
    <w:lvl w:ilvl="0" w:tplc="0C090005">
      <w:start w:val="1"/>
      <w:numFmt w:val="bullet"/>
      <w:lvlText w:val=""/>
      <w:lvlJc w:val="left"/>
      <w:pPr>
        <w:ind w:left="1211" w:hanging="360"/>
      </w:pPr>
      <w:rPr>
        <w:rFonts w:ascii="Wingdings" w:hAnsi="Wingdings" w:hint="default"/>
      </w:rPr>
    </w:lvl>
    <w:lvl w:ilvl="1" w:tplc="FFFFFFFF">
      <w:start w:val="1"/>
      <w:numFmt w:val="bullet"/>
      <w:lvlText w:val=""/>
      <w:lvlJc w:val="left"/>
      <w:pPr>
        <w:ind w:left="1931" w:hanging="360"/>
      </w:pPr>
      <w:rPr>
        <w:rFonts w:ascii="Symbol" w:hAnsi="Symbol" w:hint="default"/>
      </w:rPr>
    </w:lvl>
    <w:lvl w:ilvl="2" w:tplc="FFFFFFFF">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6" w15:restartNumberingAfterBreak="0">
    <w:nsid w:val="55B83686"/>
    <w:multiLevelType w:val="hybridMultilevel"/>
    <w:tmpl w:val="027EFDCC"/>
    <w:lvl w:ilvl="0" w:tplc="0C090003">
      <w:start w:val="1"/>
      <w:numFmt w:val="bullet"/>
      <w:lvlText w:val="o"/>
      <w:lvlJc w:val="left"/>
      <w:pPr>
        <w:ind w:left="786" w:hanging="360"/>
      </w:pPr>
      <w:rPr>
        <w:rFonts w:ascii="Courier New" w:hAnsi="Courier New" w:cs="Courier New" w:hint="default"/>
      </w:rPr>
    </w:lvl>
    <w:lvl w:ilvl="1" w:tplc="FFFFFFFF">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Symbol" w:hAnsi="Symbol"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7" w15:restartNumberingAfterBreak="0">
    <w:nsid w:val="56676477"/>
    <w:multiLevelType w:val="hybridMultilevel"/>
    <w:tmpl w:val="5AAAC7EC"/>
    <w:lvl w:ilvl="0" w:tplc="3CD407FE">
      <w:start w:val="1"/>
      <w:numFmt w:val="decimal"/>
      <w:lvlText w:val="%1."/>
      <w:lvlJc w:val="left"/>
      <w:pPr>
        <w:ind w:left="360" w:hanging="360"/>
      </w:pPr>
      <w:rPr>
        <w:rFonts w:asciiTheme="minorHAnsi" w:hAnsiTheme="minorHAnsi" w:cstheme="minorHAnsi" w:hint="default"/>
        <w:i w:val="0"/>
        <w:iCs w:val="0"/>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7220993"/>
    <w:multiLevelType w:val="hybridMultilevel"/>
    <w:tmpl w:val="D9040516"/>
    <w:lvl w:ilvl="0" w:tplc="FFFFFFFF">
      <w:start w:val="1"/>
      <w:numFmt w:val="bullet"/>
      <w:lvlText w:val=""/>
      <w:lvlJc w:val="left"/>
      <w:pPr>
        <w:ind w:left="786" w:hanging="360"/>
      </w:pPr>
      <w:rPr>
        <w:rFonts w:ascii="Symbol" w:hAnsi="Symbol" w:hint="default"/>
      </w:rPr>
    </w:lvl>
    <w:lvl w:ilvl="1" w:tplc="FFFFFFFF">
      <w:start w:val="1"/>
      <w:numFmt w:val="bullet"/>
      <w:lvlText w:val=""/>
      <w:lvlJc w:val="left"/>
      <w:pPr>
        <w:ind w:left="1506" w:hanging="360"/>
      </w:pPr>
      <w:rPr>
        <w:rFonts w:ascii="Symbol" w:hAnsi="Symbol" w:hint="default"/>
      </w:rPr>
    </w:lvl>
    <w:lvl w:ilvl="2" w:tplc="0C090005">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9" w15:restartNumberingAfterBreak="0">
    <w:nsid w:val="5893599E"/>
    <w:multiLevelType w:val="hybridMultilevel"/>
    <w:tmpl w:val="B998825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C09000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A93754"/>
    <w:multiLevelType w:val="hybridMultilevel"/>
    <w:tmpl w:val="2B688E60"/>
    <w:lvl w:ilvl="0" w:tplc="08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54D0F78"/>
    <w:multiLevelType w:val="hybridMultilevel"/>
    <w:tmpl w:val="36744FEA"/>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0845747"/>
    <w:multiLevelType w:val="hybridMultilevel"/>
    <w:tmpl w:val="3466B186"/>
    <w:lvl w:ilvl="0" w:tplc="0C090003">
      <w:start w:val="1"/>
      <w:numFmt w:val="bullet"/>
      <w:lvlText w:val="o"/>
      <w:lvlJc w:val="left"/>
      <w:pPr>
        <w:ind w:left="786" w:hanging="360"/>
      </w:pPr>
      <w:rPr>
        <w:rFonts w:ascii="Courier New" w:hAnsi="Courier New" w:cs="Courier New" w:hint="default"/>
      </w:rPr>
    </w:lvl>
    <w:lvl w:ilvl="1" w:tplc="FFFFFFFF">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3" w15:restartNumberingAfterBreak="0">
    <w:nsid w:val="71D672DD"/>
    <w:multiLevelType w:val="hybridMultilevel"/>
    <w:tmpl w:val="A8BA5686"/>
    <w:lvl w:ilvl="0" w:tplc="FFFFFFFF">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FFFFFFFF">
      <w:start w:val="1"/>
      <w:numFmt w:val="bullet"/>
      <w:lvlText w:val=""/>
      <w:lvlJc w:val="left"/>
      <w:pPr>
        <w:ind w:left="2226" w:hanging="360"/>
      </w:pPr>
      <w:rPr>
        <w:rFonts w:ascii="Symbol" w:hAnsi="Symbol"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4" w15:restartNumberingAfterBreak="0">
    <w:nsid w:val="7A10791C"/>
    <w:multiLevelType w:val="hybridMultilevel"/>
    <w:tmpl w:val="2B688E6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AEA436A"/>
    <w:multiLevelType w:val="hybridMultilevel"/>
    <w:tmpl w:val="101A35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70760263">
    <w:abstractNumId w:val="27"/>
  </w:num>
  <w:num w:numId="2" w16cid:durableId="1206796927">
    <w:abstractNumId w:val="30"/>
  </w:num>
  <w:num w:numId="3" w16cid:durableId="1837844262">
    <w:abstractNumId w:val="3"/>
  </w:num>
  <w:num w:numId="4" w16cid:durableId="1793287042">
    <w:abstractNumId w:val="9"/>
  </w:num>
  <w:num w:numId="5" w16cid:durableId="1413812814">
    <w:abstractNumId w:val="8"/>
  </w:num>
  <w:num w:numId="6" w16cid:durableId="713114875">
    <w:abstractNumId w:val="0"/>
  </w:num>
  <w:num w:numId="7" w16cid:durableId="262104714">
    <w:abstractNumId w:val="4"/>
  </w:num>
  <w:num w:numId="8" w16cid:durableId="232588275">
    <w:abstractNumId w:val="34"/>
  </w:num>
  <w:num w:numId="9" w16cid:durableId="681010856">
    <w:abstractNumId w:val="24"/>
  </w:num>
  <w:num w:numId="10" w16cid:durableId="302543123">
    <w:abstractNumId w:val="35"/>
  </w:num>
  <w:num w:numId="11" w16cid:durableId="933394000">
    <w:abstractNumId w:val="17"/>
  </w:num>
  <w:num w:numId="12" w16cid:durableId="1761638960">
    <w:abstractNumId w:val="10"/>
  </w:num>
  <w:num w:numId="13" w16cid:durableId="1833452326">
    <w:abstractNumId w:val="7"/>
  </w:num>
  <w:num w:numId="14" w16cid:durableId="181558590">
    <w:abstractNumId w:val="12"/>
  </w:num>
  <w:num w:numId="15" w16cid:durableId="1107385839">
    <w:abstractNumId w:val="29"/>
  </w:num>
  <w:num w:numId="16" w16cid:durableId="495804304">
    <w:abstractNumId w:val="15"/>
  </w:num>
  <w:num w:numId="17" w16cid:durableId="957486068">
    <w:abstractNumId w:val="31"/>
  </w:num>
  <w:num w:numId="18" w16cid:durableId="488133818">
    <w:abstractNumId w:val="19"/>
  </w:num>
  <w:num w:numId="19" w16cid:durableId="849218277">
    <w:abstractNumId w:val="16"/>
  </w:num>
  <w:num w:numId="20" w16cid:durableId="99490654">
    <w:abstractNumId w:val="1"/>
  </w:num>
  <w:num w:numId="21" w16cid:durableId="2011759640">
    <w:abstractNumId w:val="21"/>
  </w:num>
  <w:num w:numId="22" w16cid:durableId="1746217620">
    <w:abstractNumId w:val="20"/>
  </w:num>
  <w:num w:numId="23" w16cid:durableId="988905000">
    <w:abstractNumId w:val="14"/>
  </w:num>
  <w:num w:numId="24" w16cid:durableId="2009359611">
    <w:abstractNumId w:val="22"/>
  </w:num>
  <w:num w:numId="25" w16cid:durableId="1996303597">
    <w:abstractNumId w:val="13"/>
  </w:num>
  <w:num w:numId="26" w16cid:durableId="578757574">
    <w:abstractNumId w:val="33"/>
  </w:num>
  <w:num w:numId="27" w16cid:durableId="586378935">
    <w:abstractNumId w:val="26"/>
  </w:num>
  <w:num w:numId="28" w16cid:durableId="534003375">
    <w:abstractNumId w:val="6"/>
  </w:num>
  <w:num w:numId="29" w16cid:durableId="2004313531">
    <w:abstractNumId w:val="2"/>
  </w:num>
  <w:num w:numId="30" w16cid:durableId="1723366451">
    <w:abstractNumId w:val="23"/>
  </w:num>
  <w:num w:numId="31" w16cid:durableId="2142183110">
    <w:abstractNumId w:val="18"/>
  </w:num>
  <w:num w:numId="32" w16cid:durableId="92168350">
    <w:abstractNumId w:val="11"/>
  </w:num>
  <w:num w:numId="33" w16cid:durableId="1762600288">
    <w:abstractNumId w:val="28"/>
  </w:num>
  <w:num w:numId="34" w16cid:durableId="730733306">
    <w:abstractNumId w:val="25"/>
  </w:num>
  <w:num w:numId="35" w16cid:durableId="1306352999">
    <w:abstractNumId w:val="5"/>
  </w:num>
  <w:num w:numId="36" w16cid:durableId="708383382">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0D5"/>
    <w:rsid w:val="00000D0A"/>
    <w:rsid w:val="000010AE"/>
    <w:rsid w:val="000114AC"/>
    <w:rsid w:val="0001167B"/>
    <w:rsid w:val="000121C3"/>
    <w:rsid w:val="00013C0E"/>
    <w:rsid w:val="00015B90"/>
    <w:rsid w:val="0001607A"/>
    <w:rsid w:val="00017151"/>
    <w:rsid w:val="000176F6"/>
    <w:rsid w:val="00017C64"/>
    <w:rsid w:val="00020F61"/>
    <w:rsid w:val="000237DE"/>
    <w:rsid w:val="0004124C"/>
    <w:rsid w:val="00041401"/>
    <w:rsid w:val="00043D8E"/>
    <w:rsid w:val="0005196E"/>
    <w:rsid w:val="00054AA8"/>
    <w:rsid w:val="000577AD"/>
    <w:rsid w:val="00064475"/>
    <w:rsid w:val="00067CA0"/>
    <w:rsid w:val="00070F1E"/>
    <w:rsid w:val="0007286B"/>
    <w:rsid w:val="000759C6"/>
    <w:rsid w:val="00077159"/>
    <w:rsid w:val="000907E0"/>
    <w:rsid w:val="0009146D"/>
    <w:rsid w:val="000A2063"/>
    <w:rsid w:val="000A2D97"/>
    <w:rsid w:val="000A71B8"/>
    <w:rsid w:val="000A733C"/>
    <w:rsid w:val="000B1CAA"/>
    <w:rsid w:val="000B5C8C"/>
    <w:rsid w:val="000C1768"/>
    <w:rsid w:val="000C59E2"/>
    <w:rsid w:val="000C7B2D"/>
    <w:rsid w:val="000D0EF0"/>
    <w:rsid w:val="000D6527"/>
    <w:rsid w:val="000E3A2E"/>
    <w:rsid w:val="000E4CB9"/>
    <w:rsid w:val="000F3D32"/>
    <w:rsid w:val="000F7B7E"/>
    <w:rsid w:val="00101F59"/>
    <w:rsid w:val="001035D4"/>
    <w:rsid w:val="00103EEA"/>
    <w:rsid w:val="00113292"/>
    <w:rsid w:val="00115C92"/>
    <w:rsid w:val="00116DE0"/>
    <w:rsid w:val="00120BCC"/>
    <w:rsid w:val="0013150A"/>
    <w:rsid w:val="001330C1"/>
    <w:rsid w:val="001340C4"/>
    <w:rsid w:val="00147096"/>
    <w:rsid w:val="00151261"/>
    <w:rsid w:val="00152FE6"/>
    <w:rsid w:val="001717AF"/>
    <w:rsid w:val="00174216"/>
    <w:rsid w:val="00175A53"/>
    <w:rsid w:val="00185E82"/>
    <w:rsid w:val="0018649B"/>
    <w:rsid w:val="0019064D"/>
    <w:rsid w:val="001909BE"/>
    <w:rsid w:val="00191109"/>
    <w:rsid w:val="0019592E"/>
    <w:rsid w:val="001A0053"/>
    <w:rsid w:val="001A06A6"/>
    <w:rsid w:val="001A12F7"/>
    <w:rsid w:val="001A3863"/>
    <w:rsid w:val="001B2465"/>
    <w:rsid w:val="001B46A3"/>
    <w:rsid w:val="001C2842"/>
    <w:rsid w:val="001D1D5D"/>
    <w:rsid w:val="001D52EE"/>
    <w:rsid w:val="001E257C"/>
    <w:rsid w:val="001F40DD"/>
    <w:rsid w:val="001F52A1"/>
    <w:rsid w:val="001F6D2D"/>
    <w:rsid w:val="002209F2"/>
    <w:rsid w:val="00222DAB"/>
    <w:rsid w:val="0022568C"/>
    <w:rsid w:val="0023101F"/>
    <w:rsid w:val="00234A50"/>
    <w:rsid w:val="0024028F"/>
    <w:rsid w:val="002405CF"/>
    <w:rsid w:val="00240B97"/>
    <w:rsid w:val="0024436A"/>
    <w:rsid w:val="00244471"/>
    <w:rsid w:val="002524E1"/>
    <w:rsid w:val="0025382D"/>
    <w:rsid w:val="00254CD4"/>
    <w:rsid w:val="00255701"/>
    <w:rsid w:val="00263BA6"/>
    <w:rsid w:val="00264410"/>
    <w:rsid w:val="002661E5"/>
    <w:rsid w:val="0027264D"/>
    <w:rsid w:val="002823C4"/>
    <w:rsid w:val="00284F40"/>
    <w:rsid w:val="00293E43"/>
    <w:rsid w:val="00294293"/>
    <w:rsid w:val="00297091"/>
    <w:rsid w:val="002B0372"/>
    <w:rsid w:val="002B3690"/>
    <w:rsid w:val="002B4111"/>
    <w:rsid w:val="002B5F43"/>
    <w:rsid w:val="002C7D73"/>
    <w:rsid w:val="002D461F"/>
    <w:rsid w:val="002D7EFE"/>
    <w:rsid w:val="002E35FA"/>
    <w:rsid w:val="002E42B4"/>
    <w:rsid w:val="002F2712"/>
    <w:rsid w:val="002F4C50"/>
    <w:rsid w:val="00313707"/>
    <w:rsid w:val="00313916"/>
    <w:rsid w:val="00320D54"/>
    <w:rsid w:val="003219A0"/>
    <w:rsid w:val="003220B2"/>
    <w:rsid w:val="0032270B"/>
    <w:rsid w:val="003247E8"/>
    <w:rsid w:val="00325A58"/>
    <w:rsid w:val="003271C9"/>
    <w:rsid w:val="00331A36"/>
    <w:rsid w:val="0034000F"/>
    <w:rsid w:val="00345AB6"/>
    <w:rsid w:val="00351EBD"/>
    <w:rsid w:val="0035491C"/>
    <w:rsid w:val="00360393"/>
    <w:rsid w:val="003605AD"/>
    <w:rsid w:val="00360B06"/>
    <w:rsid w:val="00376A6D"/>
    <w:rsid w:val="00380B98"/>
    <w:rsid w:val="00395E36"/>
    <w:rsid w:val="00396023"/>
    <w:rsid w:val="003A2710"/>
    <w:rsid w:val="003A37FE"/>
    <w:rsid w:val="003B0419"/>
    <w:rsid w:val="003B719E"/>
    <w:rsid w:val="003C4BB5"/>
    <w:rsid w:val="003D53BC"/>
    <w:rsid w:val="003D7BD5"/>
    <w:rsid w:val="003E4CC0"/>
    <w:rsid w:val="003F1F48"/>
    <w:rsid w:val="003F27BA"/>
    <w:rsid w:val="003F3D8F"/>
    <w:rsid w:val="003F68FA"/>
    <w:rsid w:val="00402083"/>
    <w:rsid w:val="00402394"/>
    <w:rsid w:val="00403569"/>
    <w:rsid w:val="004036BC"/>
    <w:rsid w:val="00405E40"/>
    <w:rsid w:val="0040755B"/>
    <w:rsid w:val="00412CED"/>
    <w:rsid w:val="0041444E"/>
    <w:rsid w:val="00416751"/>
    <w:rsid w:val="004169BE"/>
    <w:rsid w:val="004177FC"/>
    <w:rsid w:val="004213C3"/>
    <w:rsid w:val="00423332"/>
    <w:rsid w:val="00427139"/>
    <w:rsid w:val="00432F02"/>
    <w:rsid w:val="004358E9"/>
    <w:rsid w:val="004377A2"/>
    <w:rsid w:val="004468CF"/>
    <w:rsid w:val="00447E3E"/>
    <w:rsid w:val="004537B3"/>
    <w:rsid w:val="00456DF0"/>
    <w:rsid w:val="0046061B"/>
    <w:rsid w:val="00463A3A"/>
    <w:rsid w:val="00474536"/>
    <w:rsid w:val="00476534"/>
    <w:rsid w:val="0048461C"/>
    <w:rsid w:val="0048650D"/>
    <w:rsid w:val="00487DD5"/>
    <w:rsid w:val="00490DE1"/>
    <w:rsid w:val="004A294F"/>
    <w:rsid w:val="004A2E02"/>
    <w:rsid w:val="004A4B40"/>
    <w:rsid w:val="004A5F85"/>
    <w:rsid w:val="004A6E64"/>
    <w:rsid w:val="004B7B5F"/>
    <w:rsid w:val="004B7C43"/>
    <w:rsid w:val="004C2B20"/>
    <w:rsid w:val="004C3DAD"/>
    <w:rsid w:val="004C7CB1"/>
    <w:rsid w:val="004D0A5F"/>
    <w:rsid w:val="004D2A01"/>
    <w:rsid w:val="004D7D0D"/>
    <w:rsid w:val="004E152B"/>
    <w:rsid w:val="004E28AD"/>
    <w:rsid w:val="004F1D05"/>
    <w:rsid w:val="004F279A"/>
    <w:rsid w:val="00500F9B"/>
    <w:rsid w:val="005078C2"/>
    <w:rsid w:val="005120CA"/>
    <w:rsid w:val="005121FD"/>
    <w:rsid w:val="0051317C"/>
    <w:rsid w:val="00522607"/>
    <w:rsid w:val="0052310D"/>
    <w:rsid w:val="0052443C"/>
    <w:rsid w:val="0052775E"/>
    <w:rsid w:val="00537EB6"/>
    <w:rsid w:val="0054118D"/>
    <w:rsid w:val="00541FE2"/>
    <w:rsid w:val="00542514"/>
    <w:rsid w:val="0054403A"/>
    <w:rsid w:val="00545B5F"/>
    <w:rsid w:val="005462EB"/>
    <w:rsid w:val="00546AED"/>
    <w:rsid w:val="00552C36"/>
    <w:rsid w:val="005621E4"/>
    <w:rsid w:val="005653BE"/>
    <w:rsid w:val="005664C5"/>
    <w:rsid w:val="00573DCC"/>
    <w:rsid w:val="0057719E"/>
    <w:rsid w:val="0057794C"/>
    <w:rsid w:val="0058213A"/>
    <w:rsid w:val="00590C8C"/>
    <w:rsid w:val="00596FD7"/>
    <w:rsid w:val="005A2A20"/>
    <w:rsid w:val="005A3587"/>
    <w:rsid w:val="005A3625"/>
    <w:rsid w:val="005A4E75"/>
    <w:rsid w:val="005A4F4F"/>
    <w:rsid w:val="005A5D8D"/>
    <w:rsid w:val="005A62BD"/>
    <w:rsid w:val="005B0700"/>
    <w:rsid w:val="005B4738"/>
    <w:rsid w:val="005C1930"/>
    <w:rsid w:val="005C212D"/>
    <w:rsid w:val="005C2708"/>
    <w:rsid w:val="005C3CB0"/>
    <w:rsid w:val="005D4217"/>
    <w:rsid w:val="005F0B1B"/>
    <w:rsid w:val="005F27EB"/>
    <w:rsid w:val="005F4B08"/>
    <w:rsid w:val="005F5071"/>
    <w:rsid w:val="005F55E6"/>
    <w:rsid w:val="00600DAA"/>
    <w:rsid w:val="00612231"/>
    <w:rsid w:val="006164D3"/>
    <w:rsid w:val="00617102"/>
    <w:rsid w:val="00633AC7"/>
    <w:rsid w:val="00635EB1"/>
    <w:rsid w:val="006405E4"/>
    <w:rsid w:val="00645DAA"/>
    <w:rsid w:val="006473BB"/>
    <w:rsid w:val="00651E52"/>
    <w:rsid w:val="006529FF"/>
    <w:rsid w:val="0066495D"/>
    <w:rsid w:val="00670584"/>
    <w:rsid w:val="00670A6F"/>
    <w:rsid w:val="006745DA"/>
    <w:rsid w:val="00683B12"/>
    <w:rsid w:val="00685BD0"/>
    <w:rsid w:val="006914A5"/>
    <w:rsid w:val="00693468"/>
    <w:rsid w:val="00694AEB"/>
    <w:rsid w:val="00694BE5"/>
    <w:rsid w:val="00695EB6"/>
    <w:rsid w:val="006A4D46"/>
    <w:rsid w:val="006A55F4"/>
    <w:rsid w:val="006A6024"/>
    <w:rsid w:val="006B3C3B"/>
    <w:rsid w:val="006C31FF"/>
    <w:rsid w:val="006C63E1"/>
    <w:rsid w:val="006C6B6C"/>
    <w:rsid w:val="006C704D"/>
    <w:rsid w:val="006C7EA0"/>
    <w:rsid w:val="006D0809"/>
    <w:rsid w:val="006D304F"/>
    <w:rsid w:val="006D36BD"/>
    <w:rsid w:val="006E124F"/>
    <w:rsid w:val="006E2220"/>
    <w:rsid w:val="006F041B"/>
    <w:rsid w:val="006F4AB2"/>
    <w:rsid w:val="006F4CF2"/>
    <w:rsid w:val="006F5507"/>
    <w:rsid w:val="0070331D"/>
    <w:rsid w:val="007052B1"/>
    <w:rsid w:val="00707219"/>
    <w:rsid w:val="00725533"/>
    <w:rsid w:val="00733EB2"/>
    <w:rsid w:val="00734EEB"/>
    <w:rsid w:val="00741B43"/>
    <w:rsid w:val="00746CFF"/>
    <w:rsid w:val="007479D9"/>
    <w:rsid w:val="00747CE1"/>
    <w:rsid w:val="007531DB"/>
    <w:rsid w:val="00756537"/>
    <w:rsid w:val="007730C9"/>
    <w:rsid w:val="00775A1E"/>
    <w:rsid w:val="00776381"/>
    <w:rsid w:val="00776CDE"/>
    <w:rsid w:val="00785401"/>
    <w:rsid w:val="007871B7"/>
    <w:rsid w:val="00797CDF"/>
    <w:rsid w:val="007A022E"/>
    <w:rsid w:val="007A0EBC"/>
    <w:rsid w:val="007B27F1"/>
    <w:rsid w:val="007B4ABB"/>
    <w:rsid w:val="007B5488"/>
    <w:rsid w:val="007B5CB6"/>
    <w:rsid w:val="007B681F"/>
    <w:rsid w:val="007B6904"/>
    <w:rsid w:val="007B74F6"/>
    <w:rsid w:val="007C20D5"/>
    <w:rsid w:val="007C21B7"/>
    <w:rsid w:val="007C3A14"/>
    <w:rsid w:val="007C5AE0"/>
    <w:rsid w:val="007D1AD9"/>
    <w:rsid w:val="007E1297"/>
    <w:rsid w:val="007E44F1"/>
    <w:rsid w:val="007E5C24"/>
    <w:rsid w:val="007F7A3A"/>
    <w:rsid w:val="008066E6"/>
    <w:rsid w:val="008100EC"/>
    <w:rsid w:val="00811C7A"/>
    <w:rsid w:val="00816782"/>
    <w:rsid w:val="0082141D"/>
    <w:rsid w:val="00822F6F"/>
    <w:rsid w:val="00827F24"/>
    <w:rsid w:val="0083026D"/>
    <w:rsid w:val="0083790D"/>
    <w:rsid w:val="0085210E"/>
    <w:rsid w:val="00854159"/>
    <w:rsid w:val="00855DA8"/>
    <w:rsid w:val="00860531"/>
    <w:rsid w:val="00862954"/>
    <w:rsid w:val="00863215"/>
    <w:rsid w:val="00865CF1"/>
    <w:rsid w:val="00874657"/>
    <w:rsid w:val="00876584"/>
    <w:rsid w:val="00882730"/>
    <w:rsid w:val="008861DD"/>
    <w:rsid w:val="00886399"/>
    <w:rsid w:val="00890164"/>
    <w:rsid w:val="0089045A"/>
    <w:rsid w:val="008974CA"/>
    <w:rsid w:val="008A25D9"/>
    <w:rsid w:val="008A27AA"/>
    <w:rsid w:val="008A4D57"/>
    <w:rsid w:val="008B122A"/>
    <w:rsid w:val="008B399E"/>
    <w:rsid w:val="008B4CFE"/>
    <w:rsid w:val="008C46A7"/>
    <w:rsid w:val="008D7B9B"/>
    <w:rsid w:val="008E1F7F"/>
    <w:rsid w:val="008E718F"/>
    <w:rsid w:val="008E71B5"/>
    <w:rsid w:val="008F00E8"/>
    <w:rsid w:val="008F51C5"/>
    <w:rsid w:val="008F7D83"/>
    <w:rsid w:val="0090726E"/>
    <w:rsid w:val="00912EDA"/>
    <w:rsid w:val="00913B1B"/>
    <w:rsid w:val="00933EED"/>
    <w:rsid w:val="00940CDE"/>
    <w:rsid w:val="00947600"/>
    <w:rsid w:val="0095182B"/>
    <w:rsid w:val="00952927"/>
    <w:rsid w:val="0095506C"/>
    <w:rsid w:val="00963018"/>
    <w:rsid w:val="0096565A"/>
    <w:rsid w:val="009660A6"/>
    <w:rsid w:val="00973502"/>
    <w:rsid w:val="0097742A"/>
    <w:rsid w:val="00980EED"/>
    <w:rsid w:val="00990D96"/>
    <w:rsid w:val="00991670"/>
    <w:rsid w:val="0099198B"/>
    <w:rsid w:val="009939B4"/>
    <w:rsid w:val="009A4FAC"/>
    <w:rsid w:val="009B3C05"/>
    <w:rsid w:val="009B6C8C"/>
    <w:rsid w:val="009C0FCA"/>
    <w:rsid w:val="009C24C9"/>
    <w:rsid w:val="009C3963"/>
    <w:rsid w:val="009C3BFB"/>
    <w:rsid w:val="009D323C"/>
    <w:rsid w:val="009D5078"/>
    <w:rsid w:val="009E34C2"/>
    <w:rsid w:val="009F2CD8"/>
    <w:rsid w:val="00A01BC0"/>
    <w:rsid w:val="00A15947"/>
    <w:rsid w:val="00A33D6C"/>
    <w:rsid w:val="00A35E2D"/>
    <w:rsid w:val="00A41F24"/>
    <w:rsid w:val="00A4525C"/>
    <w:rsid w:val="00A47B13"/>
    <w:rsid w:val="00A575F0"/>
    <w:rsid w:val="00A66A54"/>
    <w:rsid w:val="00A7029F"/>
    <w:rsid w:val="00A726B7"/>
    <w:rsid w:val="00A739DA"/>
    <w:rsid w:val="00A74B8A"/>
    <w:rsid w:val="00A812B2"/>
    <w:rsid w:val="00A85F61"/>
    <w:rsid w:val="00A86B3E"/>
    <w:rsid w:val="00A86DB3"/>
    <w:rsid w:val="00A86EBE"/>
    <w:rsid w:val="00A902C8"/>
    <w:rsid w:val="00A90675"/>
    <w:rsid w:val="00A94FBF"/>
    <w:rsid w:val="00A968AF"/>
    <w:rsid w:val="00AA13E7"/>
    <w:rsid w:val="00AA25DC"/>
    <w:rsid w:val="00AA327A"/>
    <w:rsid w:val="00AA353E"/>
    <w:rsid w:val="00AA3CC4"/>
    <w:rsid w:val="00AA73F7"/>
    <w:rsid w:val="00AB43D5"/>
    <w:rsid w:val="00AB673D"/>
    <w:rsid w:val="00AC1B39"/>
    <w:rsid w:val="00AC312F"/>
    <w:rsid w:val="00AC5783"/>
    <w:rsid w:val="00AC61A3"/>
    <w:rsid w:val="00AD6C2F"/>
    <w:rsid w:val="00AF1BC9"/>
    <w:rsid w:val="00B017DC"/>
    <w:rsid w:val="00B01CEF"/>
    <w:rsid w:val="00B07935"/>
    <w:rsid w:val="00B1313F"/>
    <w:rsid w:val="00B15483"/>
    <w:rsid w:val="00B1747C"/>
    <w:rsid w:val="00B21043"/>
    <w:rsid w:val="00B24900"/>
    <w:rsid w:val="00B267E9"/>
    <w:rsid w:val="00B31B38"/>
    <w:rsid w:val="00B32498"/>
    <w:rsid w:val="00B4064C"/>
    <w:rsid w:val="00B44CAC"/>
    <w:rsid w:val="00B5304E"/>
    <w:rsid w:val="00B5613A"/>
    <w:rsid w:val="00B56F6F"/>
    <w:rsid w:val="00B573D6"/>
    <w:rsid w:val="00B573D7"/>
    <w:rsid w:val="00B601CD"/>
    <w:rsid w:val="00B728BF"/>
    <w:rsid w:val="00B81455"/>
    <w:rsid w:val="00B9627F"/>
    <w:rsid w:val="00BA2415"/>
    <w:rsid w:val="00BA4F95"/>
    <w:rsid w:val="00BA57EE"/>
    <w:rsid w:val="00BB33F9"/>
    <w:rsid w:val="00BB6B78"/>
    <w:rsid w:val="00BB7FDD"/>
    <w:rsid w:val="00BC2215"/>
    <w:rsid w:val="00BC312C"/>
    <w:rsid w:val="00BC3CE6"/>
    <w:rsid w:val="00BC5758"/>
    <w:rsid w:val="00BE40E5"/>
    <w:rsid w:val="00BE5E41"/>
    <w:rsid w:val="00BF1354"/>
    <w:rsid w:val="00BF351A"/>
    <w:rsid w:val="00BF4169"/>
    <w:rsid w:val="00BF566D"/>
    <w:rsid w:val="00C17266"/>
    <w:rsid w:val="00C217D1"/>
    <w:rsid w:val="00C21E12"/>
    <w:rsid w:val="00C22EF1"/>
    <w:rsid w:val="00C24EDC"/>
    <w:rsid w:val="00C25A76"/>
    <w:rsid w:val="00C31E86"/>
    <w:rsid w:val="00C32206"/>
    <w:rsid w:val="00C3247F"/>
    <w:rsid w:val="00C33579"/>
    <w:rsid w:val="00C36E07"/>
    <w:rsid w:val="00C44803"/>
    <w:rsid w:val="00C44AD1"/>
    <w:rsid w:val="00C45C67"/>
    <w:rsid w:val="00C523FF"/>
    <w:rsid w:val="00C62F84"/>
    <w:rsid w:val="00C63137"/>
    <w:rsid w:val="00C67EA8"/>
    <w:rsid w:val="00C71C3C"/>
    <w:rsid w:val="00C764C6"/>
    <w:rsid w:val="00C83564"/>
    <w:rsid w:val="00C8480B"/>
    <w:rsid w:val="00C84FFE"/>
    <w:rsid w:val="00CA0FED"/>
    <w:rsid w:val="00CA593D"/>
    <w:rsid w:val="00CB1EA2"/>
    <w:rsid w:val="00CB7244"/>
    <w:rsid w:val="00CC5EB6"/>
    <w:rsid w:val="00CD5A9A"/>
    <w:rsid w:val="00CE4065"/>
    <w:rsid w:val="00CF0E53"/>
    <w:rsid w:val="00CF550C"/>
    <w:rsid w:val="00D14F48"/>
    <w:rsid w:val="00D21780"/>
    <w:rsid w:val="00D23346"/>
    <w:rsid w:val="00D234F9"/>
    <w:rsid w:val="00D243B8"/>
    <w:rsid w:val="00D3376A"/>
    <w:rsid w:val="00D34794"/>
    <w:rsid w:val="00D4502D"/>
    <w:rsid w:val="00D51A8B"/>
    <w:rsid w:val="00D530CE"/>
    <w:rsid w:val="00D53E3C"/>
    <w:rsid w:val="00D74526"/>
    <w:rsid w:val="00D74C03"/>
    <w:rsid w:val="00D76E85"/>
    <w:rsid w:val="00D77950"/>
    <w:rsid w:val="00D80926"/>
    <w:rsid w:val="00D84730"/>
    <w:rsid w:val="00D86D2E"/>
    <w:rsid w:val="00D874D9"/>
    <w:rsid w:val="00D911EB"/>
    <w:rsid w:val="00D92B80"/>
    <w:rsid w:val="00D9710B"/>
    <w:rsid w:val="00DA185F"/>
    <w:rsid w:val="00DA425F"/>
    <w:rsid w:val="00DB1EE4"/>
    <w:rsid w:val="00DC0965"/>
    <w:rsid w:val="00DC3354"/>
    <w:rsid w:val="00DC3762"/>
    <w:rsid w:val="00DD616A"/>
    <w:rsid w:val="00DE0465"/>
    <w:rsid w:val="00DE5C15"/>
    <w:rsid w:val="00DE7438"/>
    <w:rsid w:val="00DF1DCD"/>
    <w:rsid w:val="00DF2065"/>
    <w:rsid w:val="00E00BB0"/>
    <w:rsid w:val="00E0226A"/>
    <w:rsid w:val="00E02CF4"/>
    <w:rsid w:val="00E0389F"/>
    <w:rsid w:val="00E049ED"/>
    <w:rsid w:val="00E04D9B"/>
    <w:rsid w:val="00E15DF9"/>
    <w:rsid w:val="00E22868"/>
    <w:rsid w:val="00E242D4"/>
    <w:rsid w:val="00E32170"/>
    <w:rsid w:val="00E34E6D"/>
    <w:rsid w:val="00E36EAB"/>
    <w:rsid w:val="00E37CD4"/>
    <w:rsid w:val="00E42F59"/>
    <w:rsid w:val="00E527C8"/>
    <w:rsid w:val="00E57848"/>
    <w:rsid w:val="00E70964"/>
    <w:rsid w:val="00E77217"/>
    <w:rsid w:val="00E87257"/>
    <w:rsid w:val="00E917E5"/>
    <w:rsid w:val="00E9551B"/>
    <w:rsid w:val="00EA29EF"/>
    <w:rsid w:val="00EA2A6B"/>
    <w:rsid w:val="00EB3632"/>
    <w:rsid w:val="00EB6954"/>
    <w:rsid w:val="00EC25BB"/>
    <w:rsid w:val="00ED21C3"/>
    <w:rsid w:val="00ED388C"/>
    <w:rsid w:val="00ED398F"/>
    <w:rsid w:val="00ED634F"/>
    <w:rsid w:val="00ED639F"/>
    <w:rsid w:val="00ED640F"/>
    <w:rsid w:val="00EE00DE"/>
    <w:rsid w:val="00EE3866"/>
    <w:rsid w:val="00EE5799"/>
    <w:rsid w:val="00EF02B0"/>
    <w:rsid w:val="00EF13A4"/>
    <w:rsid w:val="00EF4303"/>
    <w:rsid w:val="00F01989"/>
    <w:rsid w:val="00F01B61"/>
    <w:rsid w:val="00F02B8E"/>
    <w:rsid w:val="00F149FD"/>
    <w:rsid w:val="00F17C01"/>
    <w:rsid w:val="00F25360"/>
    <w:rsid w:val="00F27D28"/>
    <w:rsid w:val="00F375FE"/>
    <w:rsid w:val="00F40559"/>
    <w:rsid w:val="00F4262F"/>
    <w:rsid w:val="00F42CBA"/>
    <w:rsid w:val="00F5049B"/>
    <w:rsid w:val="00F504C8"/>
    <w:rsid w:val="00F50BDF"/>
    <w:rsid w:val="00F53719"/>
    <w:rsid w:val="00F53F03"/>
    <w:rsid w:val="00F56198"/>
    <w:rsid w:val="00F56973"/>
    <w:rsid w:val="00F57291"/>
    <w:rsid w:val="00F60005"/>
    <w:rsid w:val="00F649F5"/>
    <w:rsid w:val="00F655C0"/>
    <w:rsid w:val="00F66913"/>
    <w:rsid w:val="00F66BCB"/>
    <w:rsid w:val="00F66CB0"/>
    <w:rsid w:val="00F706DA"/>
    <w:rsid w:val="00F745F1"/>
    <w:rsid w:val="00F76C89"/>
    <w:rsid w:val="00F9331A"/>
    <w:rsid w:val="00FA29B8"/>
    <w:rsid w:val="00FA3165"/>
    <w:rsid w:val="00FB0E6D"/>
    <w:rsid w:val="00FB3725"/>
    <w:rsid w:val="00FB71F2"/>
    <w:rsid w:val="00FC67FD"/>
    <w:rsid w:val="00FC6F90"/>
    <w:rsid w:val="00FD374A"/>
    <w:rsid w:val="00FD3D92"/>
    <w:rsid w:val="00FD4149"/>
    <w:rsid w:val="00FE2905"/>
    <w:rsid w:val="00FF56DD"/>
    <w:rsid w:val="00FF6840"/>
    <w:rsid w:val="03C79C6E"/>
    <w:rsid w:val="07CB3BD7"/>
    <w:rsid w:val="09147455"/>
    <w:rsid w:val="0A9CF4A9"/>
    <w:rsid w:val="0ACF9F10"/>
    <w:rsid w:val="0B10C880"/>
    <w:rsid w:val="0B485669"/>
    <w:rsid w:val="157D7418"/>
    <w:rsid w:val="16857A65"/>
    <w:rsid w:val="1729965C"/>
    <w:rsid w:val="19BFB383"/>
    <w:rsid w:val="1A47FD4A"/>
    <w:rsid w:val="1FD1F7DF"/>
    <w:rsid w:val="2257D00A"/>
    <w:rsid w:val="2313B761"/>
    <w:rsid w:val="2424AC01"/>
    <w:rsid w:val="24CAA762"/>
    <w:rsid w:val="26554E21"/>
    <w:rsid w:val="2DDDD544"/>
    <w:rsid w:val="2E426136"/>
    <w:rsid w:val="2E45F67A"/>
    <w:rsid w:val="2E84C850"/>
    <w:rsid w:val="3545F606"/>
    <w:rsid w:val="37395DA3"/>
    <w:rsid w:val="379E264B"/>
    <w:rsid w:val="3832BAD1"/>
    <w:rsid w:val="3A6D40EA"/>
    <w:rsid w:val="3C9FCC73"/>
    <w:rsid w:val="3DD57F4E"/>
    <w:rsid w:val="3F842739"/>
    <w:rsid w:val="4077C1F3"/>
    <w:rsid w:val="411FF79A"/>
    <w:rsid w:val="42BBC7FB"/>
    <w:rsid w:val="495C73A7"/>
    <w:rsid w:val="4CCE5056"/>
    <w:rsid w:val="4ED87DC0"/>
    <w:rsid w:val="5030217B"/>
    <w:rsid w:val="5407216A"/>
    <w:rsid w:val="545BE9D7"/>
    <w:rsid w:val="577D5794"/>
    <w:rsid w:val="5A02FF34"/>
    <w:rsid w:val="5A79E8A7"/>
    <w:rsid w:val="5CD06C2A"/>
    <w:rsid w:val="5DF32F75"/>
    <w:rsid w:val="6183FAE0"/>
    <w:rsid w:val="61A1CB0F"/>
    <w:rsid w:val="6C2CAF3C"/>
    <w:rsid w:val="6CF1499E"/>
    <w:rsid w:val="71E5A666"/>
    <w:rsid w:val="740EC4C3"/>
    <w:rsid w:val="74A00C2D"/>
    <w:rsid w:val="7503E162"/>
    <w:rsid w:val="75CC3DD1"/>
    <w:rsid w:val="77AE9756"/>
    <w:rsid w:val="791FDE17"/>
    <w:rsid w:val="7B0C797B"/>
    <w:rsid w:val="7D343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883E5"/>
  <w15:docId w15:val="{60FC581B-B2D8-45FC-9A19-6A2B46C0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FED"/>
    <w:rPr>
      <w:rFonts w:eastAsia="Times New Roman"/>
      <w:sz w:val="24"/>
      <w:lang w:eastAsia="en-US"/>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pPr>
    <w:rPr>
      <w:rFonts w:ascii="Times New Roman" w:eastAsia="Times New Roman" w:hAnsi="Times New Roman"/>
      <w:color w:val="000000"/>
      <w:sz w:val="24"/>
      <w:szCs w:val="24"/>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imes New Roman" w:hAnsi="Calibri" w:cs="Times New Roman"/>
      <w:b/>
      <w:bCs/>
      <w:sz w:val="24"/>
      <w:szCs w:val="26"/>
    </w:rPr>
  </w:style>
  <w:style w:type="character" w:styleId="FollowedHyperlink">
    <w:name w:val="FollowedHyperlink"/>
    <w:basedOn w:val="DefaultParagraphFont"/>
    <w:uiPriority w:val="99"/>
    <w:semiHidden/>
    <w:unhideWhenUsed/>
    <w:rsid w:val="007B6904"/>
    <w:rPr>
      <w:color w:val="800080"/>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DA425F"/>
    <w:pPr>
      <w:tabs>
        <w:tab w:val="right" w:leader="dot" w:pos="9060"/>
      </w:tabs>
      <w:spacing w:after="100"/>
    </w:pPr>
  </w:style>
  <w:style w:type="paragraph" w:styleId="TOC2">
    <w:name w:val="toc 2"/>
    <w:basedOn w:val="Normal"/>
    <w:next w:val="Normal"/>
    <w:autoRedefine/>
    <w:uiPriority w:val="39"/>
    <w:unhideWhenUsed/>
    <w:rsid w:val="007B6904"/>
    <w:pPr>
      <w:spacing w:after="100"/>
      <w:ind w:left="240"/>
    </w:pPr>
  </w:style>
  <w:style w:type="character" w:customStyle="1" w:styleId="Heading3Char">
    <w:name w:val="Heading 3 Char"/>
    <w:basedOn w:val="DefaultParagraphFont"/>
    <w:link w:val="Heading3"/>
    <w:uiPriority w:val="9"/>
    <w:semiHidden/>
    <w:rsid w:val="007052B1"/>
    <w:rPr>
      <w:rFonts w:ascii="Cambria" w:eastAsia="Times New Roman" w:hAnsi="Cambria" w:cs="Times New Roman"/>
      <w:b/>
      <w:bCs/>
      <w:color w:val="4F81BD"/>
      <w:sz w:val="24"/>
      <w:szCs w:val="20"/>
    </w:rPr>
  </w:style>
  <w:style w:type="paragraph" w:styleId="BodyText">
    <w:name w:val="Body Text"/>
    <w:basedOn w:val="Normal"/>
    <w:link w:val="BodyTextChar"/>
    <w:rsid w:val="00D9710B"/>
    <w:pPr>
      <w:autoSpaceDE w:val="0"/>
      <w:autoSpaceDN w:val="0"/>
      <w:adjustRightInd w:val="0"/>
    </w:pPr>
    <w:rPr>
      <w:rFonts w:ascii="Times New Roman" w:hAnsi="Times New Roman"/>
      <w:color w:val="000000"/>
      <w:lang w:val="en-US"/>
    </w:rPr>
  </w:style>
  <w:style w:type="character" w:customStyle="1" w:styleId="BodyTextChar">
    <w:name w:val="Body Text Char"/>
    <w:basedOn w:val="DefaultParagraphFont"/>
    <w:link w:val="BodyText"/>
    <w:rsid w:val="00D9710B"/>
    <w:rPr>
      <w:rFonts w:ascii="Times New Roman" w:eastAsia="Times New Roman" w:hAnsi="Times New Roman"/>
      <w:color w:val="000000"/>
      <w:sz w:val="24"/>
      <w:lang w:val="en-US" w:eastAsia="en-US"/>
    </w:rPr>
  </w:style>
  <w:style w:type="character" w:styleId="Strong">
    <w:name w:val="Strong"/>
    <w:basedOn w:val="DefaultParagraphFont"/>
    <w:qFormat/>
    <w:rsid w:val="00D9710B"/>
    <w:rPr>
      <w:rFonts w:ascii="Times New Roman" w:hAnsi="Times New Roman" w:cs="Times New Roman" w:hint="default"/>
      <w:b/>
      <w:bCs/>
    </w:rPr>
  </w:style>
  <w:style w:type="paragraph" w:styleId="NormalWeb">
    <w:name w:val="Normal (Web)"/>
    <w:basedOn w:val="Normal"/>
    <w:uiPriority w:val="99"/>
    <w:semiHidden/>
    <w:unhideWhenUsed/>
    <w:rsid w:val="00405E40"/>
    <w:pPr>
      <w:spacing w:before="100" w:beforeAutospacing="1" w:after="100" w:afterAutospacing="1"/>
    </w:pPr>
    <w:rPr>
      <w:rFonts w:ascii="Times New Roman" w:hAnsi="Times New Roman"/>
      <w:szCs w:val="24"/>
      <w:lang w:eastAsia="en-AU"/>
    </w:rPr>
  </w:style>
  <w:style w:type="character" w:customStyle="1" w:styleId="apple-converted-space">
    <w:name w:val="apple-converted-space"/>
    <w:basedOn w:val="DefaultParagraphFont"/>
    <w:rsid w:val="00BF351A"/>
  </w:style>
  <w:style w:type="character" w:styleId="Emphasis">
    <w:name w:val="Emphasis"/>
    <w:basedOn w:val="DefaultParagraphFont"/>
    <w:uiPriority w:val="20"/>
    <w:qFormat/>
    <w:rsid w:val="00BF351A"/>
    <w:rPr>
      <w:i/>
      <w:iCs/>
    </w:rPr>
  </w:style>
  <w:style w:type="character" w:styleId="CommentReference">
    <w:name w:val="annotation reference"/>
    <w:basedOn w:val="DefaultParagraphFont"/>
    <w:uiPriority w:val="99"/>
    <w:semiHidden/>
    <w:unhideWhenUsed/>
    <w:rsid w:val="001A12F7"/>
    <w:rPr>
      <w:sz w:val="16"/>
      <w:szCs w:val="16"/>
    </w:rPr>
  </w:style>
  <w:style w:type="paragraph" w:styleId="CommentText">
    <w:name w:val="annotation text"/>
    <w:basedOn w:val="Normal"/>
    <w:link w:val="CommentTextChar"/>
    <w:uiPriority w:val="99"/>
    <w:semiHidden/>
    <w:unhideWhenUsed/>
    <w:rsid w:val="001A12F7"/>
    <w:rPr>
      <w:sz w:val="20"/>
    </w:rPr>
  </w:style>
  <w:style w:type="character" w:customStyle="1" w:styleId="CommentTextChar">
    <w:name w:val="Comment Text Char"/>
    <w:basedOn w:val="DefaultParagraphFont"/>
    <w:link w:val="CommentText"/>
    <w:uiPriority w:val="99"/>
    <w:semiHidden/>
    <w:rsid w:val="001A12F7"/>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1A12F7"/>
    <w:rPr>
      <w:b/>
      <w:bCs/>
    </w:rPr>
  </w:style>
  <w:style w:type="character" w:customStyle="1" w:styleId="CommentSubjectChar">
    <w:name w:val="Comment Subject Char"/>
    <w:basedOn w:val="CommentTextChar"/>
    <w:link w:val="CommentSubject"/>
    <w:uiPriority w:val="99"/>
    <w:semiHidden/>
    <w:rsid w:val="001A12F7"/>
    <w:rPr>
      <w:rFonts w:eastAsia="Times New Roman"/>
      <w:b/>
      <w:bCs/>
      <w:lang w:eastAsia="en-US"/>
    </w:rPr>
  </w:style>
  <w:style w:type="paragraph" w:styleId="Revision">
    <w:name w:val="Revision"/>
    <w:hidden/>
    <w:uiPriority w:val="99"/>
    <w:semiHidden/>
    <w:rsid w:val="00552C36"/>
    <w:rPr>
      <w:rFonts w:eastAsia="Times New Roman"/>
      <w:sz w:val="24"/>
      <w:lang w:eastAsia="en-US"/>
    </w:rPr>
  </w:style>
  <w:style w:type="character" w:customStyle="1" w:styleId="cents">
    <w:name w:val="cents"/>
    <w:basedOn w:val="DefaultParagraphFont"/>
    <w:rsid w:val="00A968AF"/>
  </w:style>
  <w:style w:type="character" w:styleId="UnresolvedMention">
    <w:name w:val="Unresolved Mention"/>
    <w:basedOn w:val="DefaultParagraphFont"/>
    <w:uiPriority w:val="99"/>
    <w:semiHidden/>
    <w:unhideWhenUsed/>
    <w:rsid w:val="005A4E75"/>
    <w:rPr>
      <w:color w:val="605E5C"/>
      <w:shd w:val="clear" w:color="auto" w:fill="E1DFDD"/>
    </w:rPr>
  </w:style>
  <w:style w:type="character" w:customStyle="1" w:styleId="ui-provider">
    <w:name w:val="ui-provider"/>
    <w:basedOn w:val="DefaultParagraphFont"/>
    <w:rsid w:val="00912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592929">
      <w:bodyDiv w:val="1"/>
      <w:marLeft w:val="0"/>
      <w:marRight w:val="0"/>
      <w:marTop w:val="0"/>
      <w:marBottom w:val="0"/>
      <w:divBdr>
        <w:top w:val="none" w:sz="0" w:space="0" w:color="auto"/>
        <w:left w:val="none" w:sz="0" w:space="0" w:color="auto"/>
        <w:bottom w:val="none" w:sz="0" w:space="0" w:color="auto"/>
        <w:right w:val="none" w:sz="0" w:space="0" w:color="auto"/>
      </w:divBdr>
    </w:div>
    <w:div w:id="442069075">
      <w:bodyDiv w:val="1"/>
      <w:marLeft w:val="0"/>
      <w:marRight w:val="0"/>
      <w:marTop w:val="0"/>
      <w:marBottom w:val="0"/>
      <w:divBdr>
        <w:top w:val="none" w:sz="0" w:space="0" w:color="auto"/>
        <w:left w:val="none" w:sz="0" w:space="0" w:color="auto"/>
        <w:bottom w:val="none" w:sz="0" w:space="0" w:color="auto"/>
        <w:right w:val="none" w:sz="0" w:space="0" w:color="auto"/>
      </w:divBdr>
    </w:div>
    <w:div w:id="451829309">
      <w:bodyDiv w:val="1"/>
      <w:marLeft w:val="0"/>
      <w:marRight w:val="0"/>
      <w:marTop w:val="0"/>
      <w:marBottom w:val="0"/>
      <w:divBdr>
        <w:top w:val="none" w:sz="0" w:space="0" w:color="auto"/>
        <w:left w:val="none" w:sz="0" w:space="0" w:color="auto"/>
        <w:bottom w:val="none" w:sz="0" w:space="0" w:color="auto"/>
        <w:right w:val="none" w:sz="0" w:space="0" w:color="auto"/>
      </w:divBdr>
    </w:div>
    <w:div w:id="462502604">
      <w:bodyDiv w:val="1"/>
      <w:marLeft w:val="0"/>
      <w:marRight w:val="0"/>
      <w:marTop w:val="0"/>
      <w:marBottom w:val="0"/>
      <w:divBdr>
        <w:top w:val="none" w:sz="0" w:space="0" w:color="auto"/>
        <w:left w:val="none" w:sz="0" w:space="0" w:color="auto"/>
        <w:bottom w:val="none" w:sz="0" w:space="0" w:color="auto"/>
        <w:right w:val="none" w:sz="0" w:space="0" w:color="auto"/>
      </w:divBdr>
    </w:div>
    <w:div w:id="514996791">
      <w:bodyDiv w:val="1"/>
      <w:marLeft w:val="0"/>
      <w:marRight w:val="0"/>
      <w:marTop w:val="0"/>
      <w:marBottom w:val="0"/>
      <w:divBdr>
        <w:top w:val="none" w:sz="0" w:space="0" w:color="auto"/>
        <w:left w:val="none" w:sz="0" w:space="0" w:color="auto"/>
        <w:bottom w:val="none" w:sz="0" w:space="0" w:color="auto"/>
        <w:right w:val="none" w:sz="0" w:space="0" w:color="auto"/>
      </w:divBdr>
    </w:div>
    <w:div w:id="589701669">
      <w:bodyDiv w:val="1"/>
      <w:marLeft w:val="0"/>
      <w:marRight w:val="0"/>
      <w:marTop w:val="0"/>
      <w:marBottom w:val="0"/>
      <w:divBdr>
        <w:top w:val="none" w:sz="0" w:space="0" w:color="auto"/>
        <w:left w:val="none" w:sz="0" w:space="0" w:color="auto"/>
        <w:bottom w:val="none" w:sz="0" w:space="0" w:color="auto"/>
        <w:right w:val="none" w:sz="0" w:space="0" w:color="auto"/>
      </w:divBdr>
    </w:div>
    <w:div w:id="688065897">
      <w:bodyDiv w:val="1"/>
      <w:marLeft w:val="0"/>
      <w:marRight w:val="0"/>
      <w:marTop w:val="0"/>
      <w:marBottom w:val="0"/>
      <w:divBdr>
        <w:top w:val="none" w:sz="0" w:space="0" w:color="auto"/>
        <w:left w:val="none" w:sz="0" w:space="0" w:color="auto"/>
        <w:bottom w:val="none" w:sz="0" w:space="0" w:color="auto"/>
        <w:right w:val="none" w:sz="0" w:space="0" w:color="auto"/>
      </w:divBdr>
    </w:div>
    <w:div w:id="789207615">
      <w:bodyDiv w:val="1"/>
      <w:marLeft w:val="0"/>
      <w:marRight w:val="0"/>
      <w:marTop w:val="0"/>
      <w:marBottom w:val="0"/>
      <w:divBdr>
        <w:top w:val="none" w:sz="0" w:space="0" w:color="auto"/>
        <w:left w:val="none" w:sz="0" w:space="0" w:color="auto"/>
        <w:bottom w:val="none" w:sz="0" w:space="0" w:color="auto"/>
        <w:right w:val="none" w:sz="0" w:space="0" w:color="auto"/>
      </w:divBdr>
    </w:div>
    <w:div w:id="804389963">
      <w:bodyDiv w:val="1"/>
      <w:marLeft w:val="0"/>
      <w:marRight w:val="0"/>
      <w:marTop w:val="0"/>
      <w:marBottom w:val="0"/>
      <w:divBdr>
        <w:top w:val="none" w:sz="0" w:space="0" w:color="auto"/>
        <w:left w:val="none" w:sz="0" w:space="0" w:color="auto"/>
        <w:bottom w:val="none" w:sz="0" w:space="0" w:color="auto"/>
        <w:right w:val="none" w:sz="0" w:space="0" w:color="auto"/>
      </w:divBdr>
    </w:div>
    <w:div w:id="1043597039">
      <w:bodyDiv w:val="1"/>
      <w:marLeft w:val="0"/>
      <w:marRight w:val="0"/>
      <w:marTop w:val="0"/>
      <w:marBottom w:val="0"/>
      <w:divBdr>
        <w:top w:val="none" w:sz="0" w:space="0" w:color="auto"/>
        <w:left w:val="none" w:sz="0" w:space="0" w:color="auto"/>
        <w:bottom w:val="none" w:sz="0" w:space="0" w:color="auto"/>
        <w:right w:val="none" w:sz="0" w:space="0" w:color="auto"/>
      </w:divBdr>
      <w:divsChild>
        <w:div w:id="289555969">
          <w:marLeft w:val="0"/>
          <w:marRight w:val="0"/>
          <w:marTop w:val="0"/>
          <w:marBottom w:val="0"/>
          <w:divBdr>
            <w:top w:val="none" w:sz="0" w:space="0" w:color="auto"/>
            <w:left w:val="none" w:sz="0" w:space="0" w:color="auto"/>
            <w:bottom w:val="none" w:sz="0" w:space="0" w:color="auto"/>
            <w:right w:val="none" w:sz="0" w:space="0" w:color="auto"/>
          </w:divBdr>
          <w:divsChild>
            <w:div w:id="1914192384">
              <w:marLeft w:val="0"/>
              <w:marRight w:val="0"/>
              <w:marTop w:val="0"/>
              <w:marBottom w:val="0"/>
              <w:divBdr>
                <w:top w:val="none" w:sz="0" w:space="0" w:color="auto"/>
                <w:left w:val="none" w:sz="0" w:space="0" w:color="auto"/>
                <w:bottom w:val="none" w:sz="0" w:space="0" w:color="auto"/>
                <w:right w:val="none" w:sz="0" w:space="0" w:color="auto"/>
              </w:divBdr>
              <w:divsChild>
                <w:div w:id="84420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26159">
      <w:bodyDiv w:val="1"/>
      <w:marLeft w:val="0"/>
      <w:marRight w:val="0"/>
      <w:marTop w:val="0"/>
      <w:marBottom w:val="0"/>
      <w:divBdr>
        <w:top w:val="none" w:sz="0" w:space="0" w:color="auto"/>
        <w:left w:val="none" w:sz="0" w:space="0" w:color="auto"/>
        <w:bottom w:val="none" w:sz="0" w:space="0" w:color="auto"/>
        <w:right w:val="none" w:sz="0" w:space="0" w:color="auto"/>
      </w:divBdr>
    </w:div>
    <w:div w:id="1369910465">
      <w:bodyDiv w:val="1"/>
      <w:marLeft w:val="0"/>
      <w:marRight w:val="0"/>
      <w:marTop w:val="0"/>
      <w:marBottom w:val="0"/>
      <w:divBdr>
        <w:top w:val="none" w:sz="0" w:space="0" w:color="auto"/>
        <w:left w:val="none" w:sz="0" w:space="0" w:color="auto"/>
        <w:bottom w:val="none" w:sz="0" w:space="0" w:color="auto"/>
        <w:right w:val="none" w:sz="0" w:space="0" w:color="auto"/>
      </w:divBdr>
    </w:div>
    <w:div w:id="1407605757">
      <w:bodyDiv w:val="1"/>
      <w:marLeft w:val="0"/>
      <w:marRight w:val="0"/>
      <w:marTop w:val="0"/>
      <w:marBottom w:val="0"/>
      <w:divBdr>
        <w:top w:val="none" w:sz="0" w:space="0" w:color="auto"/>
        <w:left w:val="none" w:sz="0" w:space="0" w:color="auto"/>
        <w:bottom w:val="none" w:sz="0" w:space="0" w:color="auto"/>
        <w:right w:val="none" w:sz="0" w:space="0" w:color="auto"/>
      </w:divBdr>
    </w:div>
    <w:div w:id="1677150214">
      <w:bodyDiv w:val="1"/>
      <w:marLeft w:val="0"/>
      <w:marRight w:val="0"/>
      <w:marTop w:val="0"/>
      <w:marBottom w:val="0"/>
      <w:divBdr>
        <w:top w:val="none" w:sz="0" w:space="0" w:color="auto"/>
        <w:left w:val="none" w:sz="0" w:space="0" w:color="auto"/>
        <w:bottom w:val="none" w:sz="0" w:space="0" w:color="auto"/>
        <w:right w:val="none" w:sz="0" w:space="0" w:color="auto"/>
      </w:divBdr>
    </w:div>
    <w:div w:id="186752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ec.health.nsw.gov.au/__data/assets/pdf_file/0005/259412/Adult-Blood-Culture-Guidance.PDF" TargetMode="External"/><Relationship Id="rId26" Type="http://schemas.openxmlformats.org/officeDocument/2006/relationships/hyperlink" Target="https://www.rch.org.au/specimen-collection/Blood_Culture/" TargetMode="External"/><Relationship Id="rId39" Type="http://schemas.openxmlformats.org/officeDocument/2006/relationships/footer" Target="footer2.xml"/><Relationship Id="rId21" Type="http://schemas.openxmlformats.org/officeDocument/2006/relationships/hyperlink" Target="https://www.swslhd.health.nsw.gov.au/btf/pdfs/Education/Sepsis/Sepsis_blood_culture_sampling_guideline.pdf" TargetMode="External"/><Relationship Id="rId34" Type="http://schemas.openxmlformats.org/officeDocument/2006/relationships/hyperlink" Target="https://en.wikipedia.org/wiki/Cavoatrial_junction"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ptodate.com/contents/detection-of-bacteremia-blood-cultures-and-other-diagnostic-tests" TargetMode="External"/><Relationship Id="rId20" Type="http://schemas.openxmlformats.org/officeDocument/2006/relationships/hyperlink" Target="https://www.cec.health.nsw.gov.au/__data/assets/pdf_file/0003/259419/Paediatric-Blood-Culture-Guideline.PDF" TargetMode="External"/><Relationship Id="rId29" Type="http://schemas.openxmlformats.org/officeDocument/2006/relationships/hyperlink" Target="https://en.wikipedia.org/wiki/Vein"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ealth.qld.gov.au/__data/assets/pdf_file/0025/932830/intra-vascular-devices.pdf" TargetMode="External"/><Relationship Id="rId32" Type="http://schemas.openxmlformats.org/officeDocument/2006/relationships/hyperlink" Target="https://en.wikipedia.org/wiki/Brachial_vein"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dx.doi.org/10.1136/edpract-2020-321121" TargetMode="External"/><Relationship Id="rId28" Type="http://schemas.openxmlformats.org/officeDocument/2006/relationships/hyperlink" Target="https://en.wikipedia.org/wiki/Peripheral_vascular_system"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ec.health.nsw.gov.au/__data/assets/pdf_file/0009/342666/Neonatal-Blood-Culture-Guideline.PDF" TargetMode="External"/><Relationship Id="rId31" Type="http://schemas.openxmlformats.org/officeDocument/2006/relationships/hyperlink" Target="https://en.wikipedia.org/wiki/Basilic_ve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cec.health.nsw.gov.au/keep-patients-safe/deteriorating-patient-program/sepsis/sepsis-tools" TargetMode="External"/><Relationship Id="rId27" Type="http://schemas.openxmlformats.org/officeDocument/2006/relationships/hyperlink" Target="http://whqlibdoc.who.int/publications/2010/9789241599221_eng.pdf" TargetMode="External"/><Relationship Id="rId30" Type="http://schemas.openxmlformats.org/officeDocument/2006/relationships/hyperlink" Target="https://en.wikipedia.org/wiki/Cephalic_vein" TargetMode="External"/><Relationship Id="rId35" Type="http://schemas.openxmlformats.org/officeDocument/2006/relationships/image" Target="media/image6.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doi.org/10.1016/j.cmi.2019.10.006" TargetMode="External"/><Relationship Id="rId25" Type="http://schemas.openxmlformats.org/officeDocument/2006/relationships/hyperlink" Target="https://www.schn.health.nsw.gov.au/_policies/pdf/2012-6006.pdf" TargetMode="External"/><Relationship Id="rId33" Type="http://schemas.openxmlformats.org/officeDocument/2006/relationships/hyperlink" Target="https://en.wikipedia.org/wiki/Superior_vena_cava"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2022-06-22T14:00:00+00:00</Approval_x0020_Date>
    <Review_x0020_Date xmlns="690b2128-8961-48af-a473-22c34a9accba">2025-06-30T14:00:00+00:00</Review_x0020_Date>
    <TaxCatchAll xmlns="c0239a80-7f07-4ed7-82c3-24ad7d76ada5">
      <Value>417</Value>
      <Value>416</Value>
      <Value>415</Value>
    </TaxCatchAll>
    <Version_x0020_Number xmlns="690b2128-8961-48af-a473-22c34a9accba">1</Version_x0020_Number>
    <Notes0 xmlns="690b2128-8961-48af-a473-22c34a9accba">24 June 2022 - uploaded to the register; notification sent to the author and case manager.</Notes0>
    <Key_x0020_Words xmlns="690b2128-8961-48af-a473-22c34a9accba">Blood Culture, Bacteraemia, Bloodstream Infection, Central Venous Catheter, CVC, Infection, Peripherally Inserted Central Catheter, PICC, Sepsis, Venepuncture, CVAD, collection</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CHS19/074 Blood Culture Collection</Replaces_x003a_>
    <Risk_x0020_Rating xmlns="690b2128-8961-48af-a473-22c34a9accba">High</Risk_x0020_Rating>
    <Description0 xmlns="690b2128-8961-48af-a473-22c34a9accba">This document applies to the following staff working within their scope of practice: Medical Officers, Nurses and Midwives, Phlebotomists (venepuncture only).</Description0>
    <Display_x0020_on_x0020_Internet xmlns="690b2128-8961-48af-a473-22c34a9accba">true</Display_x0020_on_x0020_Internet>
    <Related_x0020_Documents xmlns="690b2128-8961-48af-a473-22c34a9accba" xsi:nil="true"/>
    <Decision_x0020_Number xmlns="690b2128-8961-48af-a473-22c34a9accba">CHS22/269</Decision_x0020_Number>
    <New_x0020_Owner xmlns="690b2128-8961-48af-a473-22c34a9accba">NMPSS - Infection Prevention and Control</New_x0020_Owner>
    <SharedWithUsers xmlns="c0239a80-7f07-4ed7-82c3-24ad7d76ada5">
      <UserInfo>
        <DisplayName>Sharma Acharya, Sharada (Health)</DisplayName>
        <AccountId>4021</AccountId>
        <AccountType/>
      </UserInfo>
    </SharedWithUsers>
    <ISD_x0020_Submitted xmlns="690b2128-8961-48af-a473-22c34a9accba">Not Required</ISD_x0020_Submitted>
    <RelatedPolicies_x002c_ProceduresGuidelines xmlns="690b2128-8961-48af-a473-22c34a9accba">
      <Value>13456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3F2C45-C197-46B4-B0D7-93CA1C8A331F}"/>
</file>

<file path=customXml/itemProps2.xml><?xml version="1.0" encoding="utf-8"?>
<ds:datastoreItem xmlns:ds="http://schemas.openxmlformats.org/officeDocument/2006/customXml" ds:itemID="{BC2917DB-0252-406C-8DA6-8719B458164C}">
  <ds:schemaRefs>
    <ds:schemaRef ds:uri="http://schemas.openxmlformats.org/package/2006/metadata/core-properties"/>
    <ds:schemaRef ds:uri="http://schemas.microsoft.com/office/2006/metadata/properties"/>
    <ds:schemaRef ds:uri="http://purl.org/dc/terms/"/>
    <ds:schemaRef ds:uri="http://purl.org/dc/elements/1.1/"/>
    <ds:schemaRef ds:uri="http://www.w3.org/XML/1998/namespace"/>
    <ds:schemaRef ds:uri="http://purl.org/dc/dcmitype/"/>
    <ds:schemaRef ds:uri="690b2128-8961-48af-a473-22c34a9accba"/>
    <ds:schemaRef ds:uri="http://schemas.microsoft.com/office/2006/documentManagement/types"/>
    <ds:schemaRef ds:uri="http://schemas.microsoft.com/office/infopath/2007/PartnerControls"/>
    <ds:schemaRef ds:uri="c0239a80-7f07-4ed7-82c3-24ad7d76ada5"/>
  </ds:schemaRefs>
</ds:datastoreItem>
</file>

<file path=customXml/itemProps3.xml><?xml version="1.0" encoding="utf-8"?>
<ds:datastoreItem xmlns:ds="http://schemas.openxmlformats.org/officeDocument/2006/customXml" ds:itemID="{0095CB64-F0AA-4B18-A490-C73A70E80E49}">
  <ds:schemaRefs>
    <ds:schemaRef ds:uri="http://schemas.microsoft.com/sharepoint/v3/contenttype/forms"/>
  </ds:schemaRefs>
</ds:datastoreItem>
</file>

<file path=customXml/itemProps4.xml><?xml version="1.0" encoding="utf-8"?>
<ds:datastoreItem xmlns:ds="http://schemas.openxmlformats.org/officeDocument/2006/customXml" ds:itemID="{A85161D7-2206-4051-B66C-970A6CEA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5489</Words>
  <Characters>31292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Blood Culture Collection (excluding neonates)</vt:lpstr>
    </vt:vector>
  </TitlesOfParts>
  <Company>ACT Government</Company>
  <LinksUpToDate>false</LinksUpToDate>
  <CharactersWithSpaces>36708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Blood Culture Collection (excluding neonates)</dc:title>
  <dc:subject>5;#</dc:subject>
  <dc:creator>Jan Roberts</dc:creator>
  <cp:keywords>[Key Words]</cp:keywords>
  <cp:lastModifiedBy>Hoffmann, Cameron (Health)</cp:lastModifiedBy>
  <cp:revision>13</cp:revision>
  <cp:lastPrinted>2022-05-17T06:00:00Z</cp:lastPrinted>
  <dcterms:created xsi:type="dcterms:W3CDTF">2022-06-24T03:14:00Z</dcterms:created>
  <dcterms:modified xsi:type="dcterms:W3CDTF">2024-04-18T02:54:00Z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TaxKeywordTaxHTField">
    <vt:lpwstr>[Key Words]|f168f47b-e09e-4fc6-9aac-94dc5feb5393</vt:lpwstr>
  </property>
  <property fmtid="{D5CDD505-2E9C-101B-9397-08002B2CF9AE}" pid="8" name="Related Legislation &amp; Guidelines">
    <vt:lpwstr>415;#Health Records (Privacy and Access) Act 1997 (Territory)|d07d1347-0355-417c-badf-2bae9c7c0e3b;#416;#Human Rights Act 2004 (Territory)|bbb6fb4a-2117-4ff9-8364-021a762deae2;#417;#Work Health and Safety Act 2011 (Territory)|ff017976-c7e7-4dc1-b890-63352415bc5e</vt:lpwstr>
  </property>
  <property fmtid="{D5CDD505-2E9C-101B-9397-08002B2CF9AE}" pid="9" name="MSIP_Label_69af8531-eb46-4968-8cb3-105d2f5ea87e_Enabled">
    <vt:lpwstr>true</vt:lpwstr>
  </property>
  <property fmtid="{D5CDD505-2E9C-101B-9397-08002B2CF9AE}" pid="10" name="MSIP_Label_69af8531-eb46-4968-8cb3-105d2f5ea87e_SetDate">
    <vt:lpwstr>2024-04-18T02:54:08Z</vt:lpwstr>
  </property>
  <property fmtid="{D5CDD505-2E9C-101B-9397-08002B2CF9AE}" pid="11" name="MSIP_Label_69af8531-eb46-4968-8cb3-105d2f5ea87e_Method">
    <vt:lpwstr>Standard</vt:lpwstr>
  </property>
  <property fmtid="{D5CDD505-2E9C-101B-9397-08002B2CF9AE}" pid="12" name="MSIP_Label_69af8531-eb46-4968-8cb3-105d2f5ea87e_Name">
    <vt:lpwstr>Official - No Marking</vt:lpwstr>
  </property>
  <property fmtid="{D5CDD505-2E9C-101B-9397-08002B2CF9AE}" pid="13" name="MSIP_Label_69af8531-eb46-4968-8cb3-105d2f5ea87e_SiteId">
    <vt:lpwstr>b46c1908-0334-4236-b978-585ee88e4199</vt:lpwstr>
  </property>
  <property fmtid="{D5CDD505-2E9C-101B-9397-08002B2CF9AE}" pid="14" name="MSIP_Label_69af8531-eb46-4968-8cb3-105d2f5ea87e_ActionId">
    <vt:lpwstr>4683095f-2c3f-4974-aa1c-2ff96eadcd8d</vt:lpwstr>
  </property>
  <property fmtid="{D5CDD505-2E9C-101B-9397-08002B2CF9AE}" pid="15" name="MSIP_Label_69af8531-eb46-4968-8cb3-105d2f5ea87e_ContentBits">
    <vt:lpwstr>0</vt:lpwstr>
  </property>
</Properties>
</file>