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D7D3A" w14:textId="53458E5E" w:rsidR="00EF02B0" w:rsidRPr="00EF02B0" w:rsidRDefault="00EF02B0" w:rsidP="00EF02B0">
      <w:pPr>
        <w:outlineLvl w:val="0"/>
        <w:rPr>
          <w:rFonts w:cs="Arial"/>
          <w:b/>
          <w:sz w:val="44"/>
          <w:szCs w:val="44"/>
        </w:rPr>
      </w:pPr>
      <w:bookmarkStart w:id="0" w:name="_Toc389131241"/>
      <w:bookmarkStart w:id="1" w:name="_Toc389473036"/>
      <w:bookmarkStart w:id="2" w:name="_Toc389473185"/>
      <w:bookmarkStart w:id="3" w:name="_Toc389473272"/>
      <w:bookmarkStart w:id="4" w:name="_Toc392770343"/>
      <w:r w:rsidRPr="00EF02B0">
        <w:rPr>
          <w:rFonts w:cs="Arial"/>
          <w:b/>
          <w:sz w:val="44"/>
          <w:szCs w:val="44"/>
        </w:rPr>
        <w:t>Canberra Health Services</w:t>
      </w:r>
    </w:p>
    <w:bookmarkEnd w:id="0"/>
    <w:bookmarkEnd w:id="1"/>
    <w:bookmarkEnd w:id="2"/>
    <w:bookmarkEnd w:id="3"/>
    <w:bookmarkEnd w:id="4"/>
    <w:p w14:paraId="39ED7D3B" w14:textId="2E737E6C" w:rsidR="00EF02B0" w:rsidRPr="00EF02B0" w:rsidRDefault="00EF02B0" w:rsidP="00EF02B0">
      <w:pPr>
        <w:rPr>
          <w:rFonts w:cs="Arial"/>
          <w:b/>
          <w:i/>
          <w:sz w:val="44"/>
          <w:szCs w:val="44"/>
        </w:rPr>
      </w:pPr>
      <w:r w:rsidRPr="00EF02B0">
        <w:rPr>
          <w:rFonts w:cs="Arial"/>
          <w:b/>
          <w:sz w:val="44"/>
          <w:szCs w:val="44"/>
        </w:rPr>
        <w:t>Procedure</w:t>
      </w:r>
    </w:p>
    <w:p w14:paraId="39ED7D3C" w14:textId="388F8C95" w:rsidR="007B6904" w:rsidRPr="00BD35A5" w:rsidRDefault="00241938" w:rsidP="00FC218C">
      <w:pPr>
        <w:rPr>
          <w:rFonts w:cs="Arial"/>
          <w:b/>
          <w:sz w:val="36"/>
          <w:szCs w:val="36"/>
        </w:rPr>
      </w:pPr>
      <w:r>
        <w:rPr>
          <w:rFonts w:cs="Arial"/>
          <w:b/>
          <w:sz w:val="36"/>
          <w:szCs w:val="36"/>
        </w:rPr>
        <w:t xml:space="preserve">Administration of </w:t>
      </w:r>
      <w:r w:rsidR="0077226C" w:rsidRPr="0077226C">
        <w:rPr>
          <w:rFonts w:cs="Arial"/>
          <w:b/>
          <w:sz w:val="36"/>
          <w:szCs w:val="36"/>
        </w:rPr>
        <w:t>Total Parent</w:t>
      </w:r>
      <w:r w:rsidR="00671507">
        <w:rPr>
          <w:rFonts w:cs="Arial"/>
          <w:b/>
          <w:sz w:val="36"/>
          <w:szCs w:val="36"/>
        </w:rPr>
        <w:t>er</w:t>
      </w:r>
      <w:r w:rsidR="0077226C" w:rsidRPr="0077226C">
        <w:rPr>
          <w:rFonts w:cs="Arial"/>
          <w:b/>
          <w:sz w:val="36"/>
          <w:szCs w:val="36"/>
        </w:rPr>
        <w:t xml:space="preserve">al Nutrition (TPN) – Adults </w:t>
      </w:r>
    </w:p>
    <w:tbl>
      <w:tblPr>
        <w:tblpPr w:leftFromText="180" w:rightFromText="180" w:vertAnchor="text" w:horzAnchor="margin" w:tblpY="181"/>
        <w:tblW w:w="9072" w:type="dxa"/>
        <w:tblLook w:val="0000" w:firstRow="0" w:lastRow="0" w:firstColumn="0" w:lastColumn="0" w:noHBand="0" w:noVBand="0"/>
      </w:tblPr>
      <w:tblGrid>
        <w:gridCol w:w="9072"/>
      </w:tblGrid>
      <w:tr w:rsidR="007B6904" w:rsidRPr="00CD1C0E" w14:paraId="39ED7D3E" w14:textId="77777777" w:rsidTr="00FC218C">
        <w:trPr>
          <w:cantSplit/>
          <w:trHeight w:val="285"/>
        </w:trPr>
        <w:tc>
          <w:tcPr>
            <w:tcW w:w="9072" w:type="dxa"/>
            <w:shd w:val="clear" w:color="auto" w:fill="A6A6A6" w:themeFill="background1" w:themeFillShade="A6"/>
          </w:tcPr>
          <w:p w14:paraId="39ED7D3D" w14:textId="77777777" w:rsidR="007B6904" w:rsidRPr="00CD1C0E" w:rsidRDefault="007B6904" w:rsidP="00FC218C">
            <w:pPr>
              <w:pStyle w:val="Heading1"/>
            </w:pPr>
            <w:bookmarkStart w:id="5" w:name="_Toc389473273"/>
            <w:bookmarkStart w:id="6" w:name="Contents"/>
            <w:bookmarkStart w:id="7" w:name="_Toc77250400"/>
            <w:r w:rsidRPr="00CD1C0E">
              <w:t>Contents</w:t>
            </w:r>
            <w:bookmarkEnd w:id="5"/>
            <w:bookmarkEnd w:id="6"/>
            <w:bookmarkEnd w:id="7"/>
          </w:p>
        </w:tc>
      </w:tr>
    </w:tbl>
    <w:p w14:paraId="39ED7D3F" w14:textId="77777777" w:rsidR="007B6904" w:rsidRDefault="007B6904" w:rsidP="007B6904"/>
    <w:p w14:paraId="5A9770BE" w14:textId="46F8C8F3" w:rsidR="00163A6F" w:rsidRDefault="0009627B">
      <w:pPr>
        <w:pStyle w:val="TOC1"/>
        <w:tabs>
          <w:tab w:val="right" w:leader="dot" w:pos="9060"/>
        </w:tabs>
        <w:rPr>
          <w:rFonts w:eastAsiaTheme="minorEastAsia" w:cstheme="minorBidi"/>
          <w:noProof/>
          <w:sz w:val="22"/>
          <w:szCs w:val="22"/>
          <w:lang w:eastAsia="en-AU"/>
        </w:rPr>
      </w:pPr>
      <w:r>
        <w:fldChar w:fldCharType="begin"/>
      </w:r>
      <w:r w:rsidR="00E850C6">
        <w:instrText xml:space="preserve"> TOC \h \z \t "Heading 1,1,Heading 2,2" </w:instrText>
      </w:r>
      <w:r>
        <w:fldChar w:fldCharType="separate"/>
      </w:r>
      <w:hyperlink w:anchor="_Toc77250400" w:history="1">
        <w:r w:rsidR="00163A6F" w:rsidRPr="003924D1">
          <w:rPr>
            <w:rStyle w:val="Hyperlink"/>
            <w:noProof/>
          </w:rPr>
          <w:t>Contents</w:t>
        </w:r>
        <w:r w:rsidR="00163A6F">
          <w:rPr>
            <w:noProof/>
            <w:webHidden/>
          </w:rPr>
          <w:tab/>
        </w:r>
        <w:r w:rsidR="00163A6F">
          <w:rPr>
            <w:noProof/>
            <w:webHidden/>
          </w:rPr>
          <w:fldChar w:fldCharType="begin"/>
        </w:r>
        <w:r w:rsidR="00163A6F">
          <w:rPr>
            <w:noProof/>
            <w:webHidden/>
          </w:rPr>
          <w:instrText xml:space="preserve"> PAGEREF _Toc77250400 \h </w:instrText>
        </w:r>
        <w:r w:rsidR="00163A6F">
          <w:rPr>
            <w:noProof/>
            <w:webHidden/>
          </w:rPr>
        </w:r>
        <w:r w:rsidR="00163A6F">
          <w:rPr>
            <w:noProof/>
            <w:webHidden/>
          </w:rPr>
          <w:fldChar w:fldCharType="separate"/>
        </w:r>
        <w:r w:rsidR="00163A6F">
          <w:rPr>
            <w:noProof/>
            <w:webHidden/>
          </w:rPr>
          <w:t>1</w:t>
        </w:r>
        <w:r w:rsidR="00163A6F">
          <w:rPr>
            <w:noProof/>
            <w:webHidden/>
          </w:rPr>
          <w:fldChar w:fldCharType="end"/>
        </w:r>
      </w:hyperlink>
    </w:p>
    <w:p w14:paraId="7ECCFE97" w14:textId="33904599" w:rsidR="00163A6F" w:rsidRDefault="0081170E">
      <w:pPr>
        <w:pStyle w:val="TOC1"/>
        <w:tabs>
          <w:tab w:val="right" w:leader="dot" w:pos="9060"/>
        </w:tabs>
        <w:rPr>
          <w:rFonts w:eastAsiaTheme="minorEastAsia" w:cstheme="minorBidi"/>
          <w:noProof/>
          <w:sz w:val="22"/>
          <w:szCs w:val="22"/>
          <w:lang w:eastAsia="en-AU"/>
        </w:rPr>
      </w:pPr>
      <w:hyperlink w:anchor="_Toc77250401" w:history="1">
        <w:r w:rsidR="00163A6F" w:rsidRPr="003924D1">
          <w:rPr>
            <w:rStyle w:val="Hyperlink"/>
            <w:noProof/>
          </w:rPr>
          <w:t>Purpose</w:t>
        </w:r>
        <w:r w:rsidR="00163A6F">
          <w:rPr>
            <w:noProof/>
            <w:webHidden/>
          </w:rPr>
          <w:tab/>
        </w:r>
        <w:r w:rsidR="00163A6F">
          <w:rPr>
            <w:noProof/>
            <w:webHidden/>
          </w:rPr>
          <w:fldChar w:fldCharType="begin"/>
        </w:r>
        <w:r w:rsidR="00163A6F">
          <w:rPr>
            <w:noProof/>
            <w:webHidden/>
          </w:rPr>
          <w:instrText xml:space="preserve"> PAGEREF _Toc77250401 \h </w:instrText>
        </w:r>
        <w:r w:rsidR="00163A6F">
          <w:rPr>
            <w:noProof/>
            <w:webHidden/>
          </w:rPr>
        </w:r>
        <w:r w:rsidR="00163A6F">
          <w:rPr>
            <w:noProof/>
            <w:webHidden/>
          </w:rPr>
          <w:fldChar w:fldCharType="separate"/>
        </w:r>
        <w:r w:rsidR="00163A6F">
          <w:rPr>
            <w:noProof/>
            <w:webHidden/>
          </w:rPr>
          <w:t>2</w:t>
        </w:r>
        <w:r w:rsidR="00163A6F">
          <w:rPr>
            <w:noProof/>
            <w:webHidden/>
          </w:rPr>
          <w:fldChar w:fldCharType="end"/>
        </w:r>
      </w:hyperlink>
    </w:p>
    <w:p w14:paraId="194FD155" w14:textId="44F7AAF7" w:rsidR="00163A6F" w:rsidRDefault="0081170E">
      <w:pPr>
        <w:pStyle w:val="TOC1"/>
        <w:tabs>
          <w:tab w:val="right" w:leader="dot" w:pos="9060"/>
        </w:tabs>
        <w:rPr>
          <w:rFonts w:eastAsiaTheme="minorEastAsia" w:cstheme="minorBidi"/>
          <w:noProof/>
          <w:sz w:val="22"/>
          <w:szCs w:val="22"/>
          <w:lang w:eastAsia="en-AU"/>
        </w:rPr>
      </w:pPr>
      <w:hyperlink w:anchor="_Toc77250402" w:history="1">
        <w:r w:rsidR="00163A6F" w:rsidRPr="003924D1">
          <w:rPr>
            <w:rStyle w:val="Hyperlink"/>
            <w:noProof/>
          </w:rPr>
          <w:t>Alerts</w:t>
        </w:r>
        <w:r w:rsidR="00163A6F">
          <w:rPr>
            <w:noProof/>
            <w:webHidden/>
          </w:rPr>
          <w:tab/>
        </w:r>
        <w:r w:rsidR="00163A6F">
          <w:rPr>
            <w:noProof/>
            <w:webHidden/>
          </w:rPr>
          <w:fldChar w:fldCharType="begin"/>
        </w:r>
        <w:r w:rsidR="00163A6F">
          <w:rPr>
            <w:noProof/>
            <w:webHidden/>
          </w:rPr>
          <w:instrText xml:space="preserve"> PAGEREF _Toc77250402 \h </w:instrText>
        </w:r>
        <w:r w:rsidR="00163A6F">
          <w:rPr>
            <w:noProof/>
            <w:webHidden/>
          </w:rPr>
        </w:r>
        <w:r w:rsidR="00163A6F">
          <w:rPr>
            <w:noProof/>
            <w:webHidden/>
          </w:rPr>
          <w:fldChar w:fldCharType="separate"/>
        </w:r>
        <w:r w:rsidR="00163A6F">
          <w:rPr>
            <w:noProof/>
            <w:webHidden/>
          </w:rPr>
          <w:t>2</w:t>
        </w:r>
        <w:r w:rsidR="00163A6F">
          <w:rPr>
            <w:noProof/>
            <w:webHidden/>
          </w:rPr>
          <w:fldChar w:fldCharType="end"/>
        </w:r>
      </w:hyperlink>
    </w:p>
    <w:p w14:paraId="261E61B4" w14:textId="588FD0AF" w:rsidR="00163A6F" w:rsidRDefault="0081170E">
      <w:pPr>
        <w:pStyle w:val="TOC1"/>
        <w:tabs>
          <w:tab w:val="right" w:leader="dot" w:pos="9060"/>
        </w:tabs>
        <w:rPr>
          <w:rFonts w:eastAsiaTheme="minorEastAsia" w:cstheme="minorBidi"/>
          <w:noProof/>
          <w:sz w:val="22"/>
          <w:szCs w:val="22"/>
          <w:lang w:eastAsia="en-AU"/>
        </w:rPr>
      </w:pPr>
      <w:hyperlink w:anchor="_Toc77250403" w:history="1">
        <w:r w:rsidR="00163A6F" w:rsidRPr="003924D1">
          <w:rPr>
            <w:rStyle w:val="Hyperlink"/>
            <w:noProof/>
          </w:rPr>
          <w:t>Scope</w:t>
        </w:r>
        <w:r w:rsidR="00163A6F">
          <w:rPr>
            <w:noProof/>
            <w:webHidden/>
          </w:rPr>
          <w:tab/>
        </w:r>
        <w:r w:rsidR="00163A6F">
          <w:rPr>
            <w:noProof/>
            <w:webHidden/>
          </w:rPr>
          <w:fldChar w:fldCharType="begin"/>
        </w:r>
        <w:r w:rsidR="00163A6F">
          <w:rPr>
            <w:noProof/>
            <w:webHidden/>
          </w:rPr>
          <w:instrText xml:space="preserve"> PAGEREF _Toc77250403 \h </w:instrText>
        </w:r>
        <w:r w:rsidR="00163A6F">
          <w:rPr>
            <w:noProof/>
            <w:webHidden/>
          </w:rPr>
        </w:r>
        <w:r w:rsidR="00163A6F">
          <w:rPr>
            <w:noProof/>
            <w:webHidden/>
          </w:rPr>
          <w:fldChar w:fldCharType="separate"/>
        </w:r>
        <w:r w:rsidR="00163A6F">
          <w:rPr>
            <w:noProof/>
            <w:webHidden/>
          </w:rPr>
          <w:t>3</w:t>
        </w:r>
        <w:r w:rsidR="00163A6F">
          <w:rPr>
            <w:noProof/>
            <w:webHidden/>
          </w:rPr>
          <w:fldChar w:fldCharType="end"/>
        </w:r>
      </w:hyperlink>
    </w:p>
    <w:p w14:paraId="7696F63A" w14:textId="23A018F2" w:rsidR="00163A6F" w:rsidRDefault="0081170E">
      <w:pPr>
        <w:pStyle w:val="TOC1"/>
        <w:tabs>
          <w:tab w:val="right" w:leader="dot" w:pos="9060"/>
        </w:tabs>
        <w:rPr>
          <w:rFonts w:eastAsiaTheme="minorEastAsia" w:cstheme="minorBidi"/>
          <w:noProof/>
          <w:sz w:val="22"/>
          <w:szCs w:val="22"/>
          <w:lang w:eastAsia="en-AU"/>
        </w:rPr>
      </w:pPr>
      <w:hyperlink w:anchor="_Toc77250404" w:history="1">
        <w:r w:rsidR="00163A6F" w:rsidRPr="003924D1">
          <w:rPr>
            <w:rStyle w:val="Hyperlink"/>
            <w:noProof/>
          </w:rPr>
          <w:t>Section 1 – Before commencing TPN</w:t>
        </w:r>
        <w:r w:rsidR="00163A6F">
          <w:rPr>
            <w:noProof/>
            <w:webHidden/>
          </w:rPr>
          <w:tab/>
        </w:r>
        <w:r w:rsidR="00163A6F">
          <w:rPr>
            <w:noProof/>
            <w:webHidden/>
          </w:rPr>
          <w:fldChar w:fldCharType="begin"/>
        </w:r>
        <w:r w:rsidR="00163A6F">
          <w:rPr>
            <w:noProof/>
            <w:webHidden/>
          </w:rPr>
          <w:instrText xml:space="preserve"> PAGEREF _Toc77250404 \h </w:instrText>
        </w:r>
        <w:r w:rsidR="00163A6F">
          <w:rPr>
            <w:noProof/>
            <w:webHidden/>
          </w:rPr>
        </w:r>
        <w:r w:rsidR="00163A6F">
          <w:rPr>
            <w:noProof/>
            <w:webHidden/>
          </w:rPr>
          <w:fldChar w:fldCharType="separate"/>
        </w:r>
        <w:r w:rsidR="00163A6F">
          <w:rPr>
            <w:noProof/>
            <w:webHidden/>
          </w:rPr>
          <w:t>3</w:t>
        </w:r>
        <w:r w:rsidR="00163A6F">
          <w:rPr>
            <w:noProof/>
            <w:webHidden/>
          </w:rPr>
          <w:fldChar w:fldCharType="end"/>
        </w:r>
      </w:hyperlink>
    </w:p>
    <w:p w14:paraId="187105FC" w14:textId="43FB2149" w:rsidR="00163A6F" w:rsidRDefault="0081170E">
      <w:pPr>
        <w:pStyle w:val="TOC1"/>
        <w:tabs>
          <w:tab w:val="right" w:leader="dot" w:pos="9060"/>
        </w:tabs>
        <w:rPr>
          <w:rFonts w:eastAsiaTheme="minorEastAsia" w:cstheme="minorBidi"/>
          <w:noProof/>
          <w:sz w:val="22"/>
          <w:szCs w:val="22"/>
          <w:lang w:eastAsia="en-AU"/>
        </w:rPr>
      </w:pPr>
      <w:hyperlink w:anchor="_Toc77250405" w:history="1">
        <w:r w:rsidR="00163A6F" w:rsidRPr="003924D1">
          <w:rPr>
            <w:rStyle w:val="Hyperlink"/>
            <w:noProof/>
          </w:rPr>
          <w:t>Section 2 – Commencing TPN in Adults (Adult TPN solutions)</w:t>
        </w:r>
        <w:r w:rsidR="00163A6F">
          <w:rPr>
            <w:noProof/>
            <w:webHidden/>
          </w:rPr>
          <w:tab/>
        </w:r>
        <w:r w:rsidR="00163A6F">
          <w:rPr>
            <w:noProof/>
            <w:webHidden/>
          </w:rPr>
          <w:fldChar w:fldCharType="begin"/>
        </w:r>
        <w:r w:rsidR="00163A6F">
          <w:rPr>
            <w:noProof/>
            <w:webHidden/>
          </w:rPr>
          <w:instrText xml:space="preserve"> PAGEREF _Toc77250405 \h </w:instrText>
        </w:r>
        <w:r w:rsidR="00163A6F">
          <w:rPr>
            <w:noProof/>
            <w:webHidden/>
          </w:rPr>
        </w:r>
        <w:r w:rsidR="00163A6F">
          <w:rPr>
            <w:noProof/>
            <w:webHidden/>
          </w:rPr>
          <w:fldChar w:fldCharType="separate"/>
        </w:r>
        <w:r w:rsidR="00163A6F">
          <w:rPr>
            <w:noProof/>
            <w:webHidden/>
          </w:rPr>
          <w:t>3</w:t>
        </w:r>
        <w:r w:rsidR="00163A6F">
          <w:rPr>
            <w:noProof/>
            <w:webHidden/>
          </w:rPr>
          <w:fldChar w:fldCharType="end"/>
        </w:r>
      </w:hyperlink>
    </w:p>
    <w:p w14:paraId="42FF5237" w14:textId="2EA5D43E" w:rsidR="00163A6F" w:rsidRDefault="0081170E">
      <w:pPr>
        <w:pStyle w:val="TOC1"/>
        <w:tabs>
          <w:tab w:val="right" w:leader="dot" w:pos="9060"/>
        </w:tabs>
        <w:rPr>
          <w:rFonts w:eastAsiaTheme="minorEastAsia" w:cstheme="minorBidi"/>
          <w:noProof/>
          <w:sz w:val="22"/>
          <w:szCs w:val="22"/>
          <w:lang w:eastAsia="en-AU"/>
        </w:rPr>
      </w:pPr>
      <w:hyperlink w:anchor="_Toc77250406" w:history="1">
        <w:r w:rsidR="00163A6F" w:rsidRPr="003924D1">
          <w:rPr>
            <w:rStyle w:val="Hyperlink"/>
            <w:noProof/>
          </w:rPr>
          <w:t>Section 3 – Monitoring TPN Administration</w:t>
        </w:r>
        <w:r w:rsidR="00163A6F">
          <w:rPr>
            <w:noProof/>
            <w:webHidden/>
          </w:rPr>
          <w:tab/>
        </w:r>
        <w:r w:rsidR="00163A6F">
          <w:rPr>
            <w:noProof/>
            <w:webHidden/>
          </w:rPr>
          <w:fldChar w:fldCharType="begin"/>
        </w:r>
        <w:r w:rsidR="00163A6F">
          <w:rPr>
            <w:noProof/>
            <w:webHidden/>
          </w:rPr>
          <w:instrText xml:space="preserve"> PAGEREF _Toc77250406 \h </w:instrText>
        </w:r>
        <w:r w:rsidR="00163A6F">
          <w:rPr>
            <w:noProof/>
            <w:webHidden/>
          </w:rPr>
        </w:r>
        <w:r w:rsidR="00163A6F">
          <w:rPr>
            <w:noProof/>
            <w:webHidden/>
          </w:rPr>
          <w:fldChar w:fldCharType="separate"/>
        </w:r>
        <w:r w:rsidR="00163A6F">
          <w:rPr>
            <w:noProof/>
            <w:webHidden/>
          </w:rPr>
          <w:t>5</w:t>
        </w:r>
        <w:r w:rsidR="00163A6F">
          <w:rPr>
            <w:noProof/>
            <w:webHidden/>
          </w:rPr>
          <w:fldChar w:fldCharType="end"/>
        </w:r>
      </w:hyperlink>
    </w:p>
    <w:p w14:paraId="5801CE43" w14:textId="71EA0723" w:rsidR="00163A6F" w:rsidRDefault="0081170E">
      <w:pPr>
        <w:pStyle w:val="TOC1"/>
        <w:tabs>
          <w:tab w:val="right" w:leader="dot" w:pos="9060"/>
        </w:tabs>
        <w:rPr>
          <w:rFonts w:eastAsiaTheme="minorEastAsia" w:cstheme="minorBidi"/>
          <w:noProof/>
          <w:sz w:val="22"/>
          <w:szCs w:val="22"/>
          <w:lang w:eastAsia="en-AU"/>
        </w:rPr>
      </w:pPr>
      <w:hyperlink w:anchor="_Toc77250407" w:history="1">
        <w:r w:rsidR="00163A6F" w:rsidRPr="003924D1">
          <w:rPr>
            <w:rStyle w:val="Hyperlink"/>
            <w:noProof/>
          </w:rPr>
          <w:t>Section 4 – Disconnecting TPN</w:t>
        </w:r>
        <w:r w:rsidR="00163A6F">
          <w:rPr>
            <w:noProof/>
            <w:webHidden/>
          </w:rPr>
          <w:tab/>
        </w:r>
        <w:r w:rsidR="00163A6F">
          <w:rPr>
            <w:noProof/>
            <w:webHidden/>
          </w:rPr>
          <w:fldChar w:fldCharType="begin"/>
        </w:r>
        <w:r w:rsidR="00163A6F">
          <w:rPr>
            <w:noProof/>
            <w:webHidden/>
          </w:rPr>
          <w:instrText xml:space="preserve"> PAGEREF _Toc77250407 \h </w:instrText>
        </w:r>
        <w:r w:rsidR="00163A6F">
          <w:rPr>
            <w:noProof/>
            <w:webHidden/>
          </w:rPr>
        </w:r>
        <w:r w:rsidR="00163A6F">
          <w:rPr>
            <w:noProof/>
            <w:webHidden/>
          </w:rPr>
          <w:fldChar w:fldCharType="separate"/>
        </w:r>
        <w:r w:rsidR="00163A6F">
          <w:rPr>
            <w:noProof/>
            <w:webHidden/>
          </w:rPr>
          <w:t>6</w:t>
        </w:r>
        <w:r w:rsidR="00163A6F">
          <w:rPr>
            <w:noProof/>
            <w:webHidden/>
          </w:rPr>
          <w:fldChar w:fldCharType="end"/>
        </w:r>
      </w:hyperlink>
    </w:p>
    <w:p w14:paraId="5852C8B7" w14:textId="4F7C49E1" w:rsidR="00163A6F" w:rsidRDefault="0081170E">
      <w:pPr>
        <w:pStyle w:val="TOC1"/>
        <w:tabs>
          <w:tab w:val="right" w:leader="dot" w:pos="9060"/>
        </w:tabs>
        <w:rPr>
          <w:rFonts w:eastAsiaTheme="minorEastAsia" w:cstheme="minorBidi"/>
          <w:noProof/>
          <w:sz w:val="22"/>
          <w:szCs w:val="22"/>
          <w:lang w:eastAsia="en-AU"/>
        </w:rPr>
      </w:pPr>
      <w:hyperlink w:anchor="_Toc77250408" w:history="1">
        <w:r w:rsidR="00163A6F" w:rsidRPr="003924D1">
          <w:rPr>
            <w:rStyle w:val="Hyperlink"/>
            <w:noProof/>
          </w:rPr>
          <w:t>Section 5 – Home Parenteral Nutrition (HPN) – Patient Education and Discharge Planning</w:t>
        </w:r>
        <w:r w:rsidR="00163A6F">
          <w:rPr>
            <w:noProof/>
            <w:webHidden/>
          </w:rPr>
          <w:tab/>
        </w:r>
        <w:r w:rsidR="00163A6F">
          <w:rPr>
            <w:noProof/>
            <w:webHidden/>
          </w:rPr>
          <w:fldChar w:fldCharType="begin"/>
        </w:r>
        <w:r w:rsidR="00163A6F">
          <w:rPr>
            <w:noProof/>
            <w:webHidden/>
          </w:rPr>
          <w:instrText xml:space="preserve"> PAGEREF _Toc77250408 \h </w:instrText>
        </w:r>
        <w:r w:rsidR="00163A6F">
          <w:rPr>
            <w:noProof/>
            <w:webHidden/>
          </w:rPr>
        </w:r>
        <w:r w:rsidR="00163A6F">
          <w:rPr>
            <w:noProof/>
            <w:webHidden/>
          </w:rPr>
          <w:fldChar w:fldCharType="separate"/>
        </w:r>
        <w:r w:rsidR="00163A6F">
          <w:rPr>
            <w:noProof/>
            <w:webHidden/>
          </w:rPr>
          <w:t>6</w:t>
        </w:r>
        <w:r w:rsidR="00163A6F">
          <w:rPr>
            <w:noProof/>
            <w:webHidden/>
          </w:rPr>
          <w:fldChar w:fldCharType="end"/>
        </w:r>
      </w:hyperlink>
    </w:p>
    <w:p w14:paraId="7AEAEF4A" w14:textId="2888A35D" w:rsidR="00163A6F" w:rsidRDefault="0081170E">
      <w:pPr>
        <w:pStyle w:val="TOC1"/>
        <w:tabs>
          <w:tab w:val="right" w:leader="dot" w:pos="9060"/>
        </w:tabs>
        <w:rPr>
          <w:rFonts w:eastAsiaTheme="minorEastAsia" w:cstheme="minorBidi"/>
          <w:noProof/>
          <w:sz w:val="22"/>
          <w:szCs w:val="22"/>
          <w:lang w:eastAsia="en-AU"/>
        </w:rPr>
      </w:pPr>
      <w:hyperlink w:anchor="_Toc77250409" w:history="1">
        <w:r w:rsidR="00163A6F" w:rsidRPr="003924D1">
          <w:rPr>
            <w:rStyle w:val="Hyperlink"/>
            <w:noProof/>
          </w:rPr>
          <w:t>Evaluation</w:t>
        </w:r>
        <w:r w:rsidR="00163A6F">
          <w:rPr>
            <w:noProof/>
            <w:webHidden/>
          </w:rPr>
          <w:tab/>
        </w:r>
        <w:r w:rsidR="00163A6F">
          <w:rPr>
            <w:noProof/>
            <w:webHidden/>
          </w:rPr>
          <w:fldChar w:fldCharType="begin"/>
        </w:r>
        <w:r w:rsidR="00163A6F">
          <w:rPr>
            <w:noProof/>
            <w:webHidden/>
          </w:rPr>
          <w:instrText xml:space="preserve"> PAGEREF _Toc77250409 \h </w:instrText>
        </w:r>
        <w:r w:rsidR="00163A6F">
          <w:rPr>
            <w:noProof/>
            <w:webHidden/>
          </w:rPr>
        </w:r>
        <w:r w:rsidR="00163A6F">
          <w:rPr>
            <w:noProof/>
            <w:webHidden/>
          </w:rPr>
          <w:fldChar w:fldCharType="separate"/>
        </w:r>
        <w:r w:rsidR="00163A6F">
          <w:rPr>
            <w:noProof/>
            <w:webHidden/>
          </w:rPr>
          <w:t>9</w:t>
        </w:r>
        <w:r w:rsidR="00163A6F">
          <w:rPr>
            <w:noProof/>
            <w:webHidden/>
          </w:rPr>
          <w:fldChar w:fldCharType="end"/>
        </w:r>
      </w:hyperlink>
    </w:p>
    <w:p w14:paraId="21EAEFC8" w14:textId="17F1CFDC" w:rsidR="00163A6F" w:rsidRDefault="0081170E">
      <w:pPr>
        <w:pStyle w:val="TOC1"/>
        <w:tabs>
          <w:tab w:val="right" w:leader="dot" w:pos="9060"/>
        </w:tabs>
        <w:rPr>
          <w:rFonts w:eastAsiaTheme="minorEastAsia" w:cstheme="minorBidi"/>
          <w:noProof/>
          <w:sz w:val="22"/>
          <w:szCs w:val="22"/>
          <w:lang w:eastAsia="en-AU"/>
        </w:rPr>
      </w:pPr>
      <w:hyperlink w:anchor="_Toc77250410" w:history="1">
        <w:r w:rsidR="00163A6F" w:rsidRPr="003924D1">
          <w:rPr>
            <w:rStyle w:val="Hyperlink"/>
            <w:noProof/>
          </w:rPr>
          <w:t>Related Legislation, Policies and Procedures</w:t>
        </w:r>
        <w:r w:rsidR="00163A6F">
          <w:rPr>
            <w:noProof/>
            <w:webHidden/>
          </w:rPr>
          <w:tab/>
        </w:r>
        <w:r w:rsidR="00163A6F">
          <w:rPr>
            <w:noProof/>
            <w:webHidden/>
          </w:rPr>
          <w:fldChar w:fldCharType="begin"/>
        </w:r>
        <w:r w:rsidR="00163A6F">
          <w:rPr>
            <w:noProof/>
            <w:webHidden/>
          </w:rPr>
          <w:instrText xml:space="preserve"> PAGEREF _Toc77250410 \h </w:instrText>
        </w:r>
        <w:r w:rsidR="00163A6F">
          <w:rPr>
            <w:noProof/>
            <w:webHidden/>
          </w:rPr>
        </w:r>
        <w:r w:rsidR="00163A6F">
          <w:rPr>
            <w:noProof/>
            <w:webHidden/>
          </w:rPr>
          <w:fldChar w:fldCharType="separate"/>
        </w:r>
        <w:r w:rsidR="00163A6F">
          <w:rPr>
            <w:noProof/>
            <w:webHidden/>
          </w:rPr>
          <w:t>9</w:t>
        </w:r>
        <w:r w:rsidR="00163A6F">
          <w:rPr>
            <w:noProof/>
            <w:webHidden/>
          </w:rPr>
          <w:fldChar w:fldCharType="end"/>
        </w:r>
      </w:hyperlink>
    </w:p>
    <w:p w14:paraId="4CFD95E9" w14:textId="086E9DF0" w:rsidR="00163A6F" w:rsidRDefault="0081170E">
      <w:pPr>
        <w:pStyle w:val="TOC1"/>
        <w:tabs>
          <w:tab w:val="right" w:leader="dot" w:pos="9060"/>
        </w:tabs>
        <w:rPr>
          <w:rFonts w:eastAsiaTheme="minorEastAsia" w:cstheme="minorBidi"/>
          <w:noProof/>
          <w:sz w:val="22"/>
          <w:szCs w:val="22"/>
          <w:lang w:eastAsia="en-AU"/>
        </w:rPr>
      </w:pPr>
      <w:hyperlink w:anchor="_Toc77250411" w:history="1">
        <w:r w:rsidR="00163A6F" w:rsidRPr="003924D1">
          <w:rPr>
            <w:rStyle w:val="Hyperlink"/>
            <w:noProof/>
          </w:rPr>
          <w:t>References</w:t>
        </w:r>
        <w:r w:rsidR="00163A6F">
          <w:rPr>
            <w:noProof/>
            <w:webHidden/>
          </w:rPr>
          <w:tab/>
        </w:r>
        <w:r w:rsidR="00163A6F">
          <w:rPr>
            <w:noProof/>
            <w:webHidden/>
          </w:rPr>
          <w:fldChar w:fldCharType="begin"/>
        </w:r>
        <w:r w:rsidR="00163A6F">
          <w:rPr>
            <w:noProof/>
            <w:webHidden/>
          </w:rPr>
          <w:instrText xml:space="preserve"> PAGEREF _Toc77250411 \h </w:instrText>
        </w:r>
        <w:r w:rsidR="00163A6F">
          <w:rPr>
            <w:noProof/>
            <w:webHidden/>
          </w:rPr>
        </w:r>
        <w:r w:rsidR="00163A6F">
          <w:rPr>
            <w:noProof/>
            <w:webHidden/>
          </w:rPr>
          <w:fldChar w:fldCharType="separate"/>
        </w:r>
        <w:r w:rsidR="00163A6F">
          <w:rPr>
            <w:noProof/>
            <w:webHidden/>
          </w:rPr>
          <w:t>10</w:t>
        </w:r>
        <w:r w:rsidR="00163A6F">
          <w:rPr>
            <w:noProof/>
            <w:webHidden/>
          </w:rPr>
          <w:fldChar w:fldCharType="end"/>
        </w:r>
      </w:hyperlink>
    </w:p>
    <w:p w14:paraId="376CE5B6" w14:textId="30988227" w:rsidR="00163A6F" w:rsidRDefault="0081170E">
      <w:pPr>
        <w:pStyle w:val="TOC1"/>
        <w:tabs>
          <w:tab w:val="right" w:leader="dot" w:pos="9060"/>
        </w:tabs>
        <w:rPr>
          <w:rFonts w:eastAsiaTheme="minorEastAsia" w:cstheme="minorBidi"/>
          <w:noProof/>
          <w:sz w:val="22"/>
          <w:szCs w:val="22"/>
          <w:lang w:eastAsia="en-AU"/>
        </w:rPr>
      </w:pPr>
      <w:hyperlink w:anchor="_Toc77250412" w:history="1">
        <w:r w:rsidR="00163A6F" w:rsidRPr="003924D1">
          <w:rPr>
            <w:rStyle w:val="Hyperlink"/>
            <w:noProof/>
          </w:rPr>
          <w:t>Search Terms</w:t>
        </w:r>
        <w:r w:rsidR="00163A6F">
          <w:rPr>
            <w:noProof/>
            <w:webHidden/>
          </w:rPr>
          <w:tab/>
        </w:r>
        <w:r w:rsidR="00163A6F">
          <w:rPr>
            <w:noProof/>
            <w:webHidden/>
          </w:rPr>
          <w:fldChar w:fldCharType="begin"/>
        </w:r>
        <w:r w:rsidR="00163A6F">
          <w:rPr>
            <w:noProof/>
            <w:webHidden/>
          </w:rPr>
          <w:instrText xml:space="preserve"> PAGEREF _Toc77250412 \h </w:instrText>
        </w:r>
        <w:r w:rsidR="00163A6F">
          <w:rPr>
            <w:noProof/>
            <w:webHidden/>
          </w:rPr>
        </w:r>
        <w:r w:rsidR="00163A6F">
          <w:rPr>
            <w:noProof/>
            <w:webHidden/>
          </w:rPr>
          <w:fldChar w:fldCharType="separate"/>
        </w:r>
        <w:r w:rsidR="00163A6F">
          <w:rPr>
            <w:noProof/>
            <w:webHidden/>
          </w:rPr>
          <w:t>11</w:t>
        </w:r>
        <w:r w:rsidR="00163A6F">
          <w:rPr>
            <w:noProof/>
            <w:webHidden/>
          </w:rPr>
          <w:fldChar w:fldCharType="end"/>
        </w:r>
      </w:hyperlink>
    </w:p>
    <w:p w14:paraId="67B53754" w14:textId="17D42458" w:rsidR="00163A6F" w:rsidRDefault="0081170E">
      <w:pPr>
        <w:pStyle w:val="TOC1"/>
        <w:tabs>
          <w:tab w:val="right" w:leader="dot" w:pos="9060"/>
        </w:tabs>
        <w:rPr>
          <w:rFonts w:eastAsiaTheme="minorEastAsia" w:cstheme="minorBidi"/>
          <w:noProof/>
          <w:sz w:val="22"/>
          <w:szCs w:val="22"/>
          <w:lang w:eastAsia="en-AU"/>
        </w:rPr>
      </w:pPr>
      <w:hyperlink w:anchor="_Toc77250413" w:history="1">
        <w:r w:rsidR="00163A6F" w:rsidRPr="003924D1">
          <w:rPr>
            <w:rStyle w:val="Hyperlink"/>
            <w:noProof/>
          </w:rPr>
          <w:t>Attachments</w:t>
        </w:r>
        <w:r w:rsidR="00163A6F">
          <w:rPr>
            <w:noProof/>
            <w:webHidden/>
          </w:rPr>
          <w:tab/>
        </w:r>
        <w:r w:rsidR="00163A6F">
          <w:rPr>
            <w:noProof/>
            <w:webHidden/>
          </w:rPr>
          <w:fldChar w:fldCharType="begin"/>
        </w:r>
        <w:r w:rsidR="00163A6F">
          <w:rPr>
            <w:noProof/>
            <w:webHidden/>
          </w:rPr>
          <w:instrText xml:space="preserve"> PAGEREF _Toc77250413 \h </w:instrText>
        </w:r>
        <w:r w:rsidR="00163A6F">
          <w:rPr>
            <w:noProof/>
            <w:webHidden/>
          </w:rPr>
        </w:r>
        <w:r w:rsidR="00163A6F">
          <w:rPr>
            <w:noProof/>
            <w:webHidden/>
          </w:rPr>
          <w:fldChar w:fldCharType="separate"/>
        </w:r>
        <w:r w:rsidR="00163A6F">
          <w:rPr>
            <w:noProof/>
            <w:webHidden/>
          </w:rPr>
          <w:t>11</w:t>
        </w:r>
        <w:r w:rsidR="00163A6F">
          <w:rPr>
            <w:noProof/>
            <w:webHidden/>
          </w:rPr>
          <w:fldChar w:fldCharType="end"/>
        </w:r>
      </w:hyperlink>
    </w:p>
    <w:p w14:paraId="2E1884E8" w14:textId="5E154E33" w:rsidR="00163A6F" w:rsidRDefault="0081170E" w:rsidP="00FC218C">
      <w:pPr>
        <w:pStyle w:val="TOC2"/>
        <w:rPr>
          <w:rFonts w:eastAsiaTheme="minorEastAsia" w:cstheme="minorBidi"/>
          <w:noProof/>
          <w:sz w:val="22"/>
          <w:szCs w:val="22"/>
          <w:lang w:eastAsia="en-AU"/>
        </w:rPr>
      </w:pPr>
      <w:hyperlink w:anchor="_Toc77250414" w:history="1">
        <w:r w:rsidR="00163A6F" w:rsidRPr="003924D1">
          <w:rPr>
            <w:rStyle w:val="Hyperlink"/>
            <w:noProof/>
          </w:rPr>
          <w:t>Attachment A – Information Regarding Suppliers of HPN</w:t>
        </w:r>
        <w:r w:rsidR="00163A6F">
          <w:rPr>
            <w:noProof/>
            <w:webHidden/>
          </w:rPr>
          <w:tab/>
        </w:r>
        <w:r w:rsidR="00163A6F">
          <w:rPr>
            <w:noProof/>
            <w:webHidden/>
          </w:rPr>
          <w:fldChar w:fldCharType="begin"/>
        </w:r>
        <w:r w:rsidR="00163A6F">
          <w:rPr>
            <w:noProof/>
            <w:webHidden/>
          </w:rPr>
          <w:instrText xml:space="preserve"> PAGEREF _Toc77250414 \h </w:instrText>
        </w:r>
        <w:r w:rsidR="00163A6F">
          <w:rPr>
            <w:noProof/>
            <w:webHidden/>
          </w:rPr>
        </w:r>
        <w:r w:rsidR="00163A6F">
          <w:rPr>
            <w:noProof/>
            <w:webHidden/>
          </w:rPr>
          <w:fldChar w:fldCharType="separate"/>
        </w:r>
        <w:r w:rsidR="00163A6F">
          <w:rPr>
            <w:noProof/>
            <w:webHidden/>
          </w:rPr>
          <w:t>12</w:t>
        </w:r>
        <w:r w:rsidR="00163A6F">
          <w:rPr>
            <w:noProof/>
            <w:webHidden/>
          </w:rPr>
          <w:fldChar w:fldCharType="end"/>
        </w:r>
      </w:hyperlink>
    </w:p>
    <w:p w14:paraId="39ED7D51" w14:textId="7DAF87A0" w:rsidR="007052B1" w:rsidRDefault="0009627B" w:rsidP="007B6904">
      <w:pPr>
        <w:rPr>
          <w:rFonts w:asciiTheme="minorHAnsi" w:hAnsiTheme="minorHAnsi"/>
        </w:rPr>
      </w:pPr>
      <w:r>
        <w:rPr>
          <w:rFonts w:asciiTheme="minorHAnsi" w:hAnsiTheme="minorHAnsi"/>
        </w:rPr>
        <w:fldChar w:fldCharType="end"/>
      </w:r>
    </w:p>
    <w:p w14:paraId="39ED7D52" w14:textId="77777777" w:rsidR="007052B1" w:rsidRDefault="007052B1">
      <w:pPr>
        <w:spacing w:after="200" w:line="276" w:lineRule="auto"/>
        <w:rPr>
          <w:rFonts w:asciiTheme="minorHAnsi" w:hAnsiTheme="minorHAnsi"/>
        </w:rPr>
      </w:pPr>
      <w:r>
        <w:rPr>
          <w:rFonts w:asciiTheme="minorHAnsi" w:hAnsiTheme="minorHAnsi"/>
        </w:rPr>
        <w:br w:type="page"/>
      </w:r>
    </w:p>
    <w:p w14:paraId="39ED7D53" w14:textId="77777777" w:rsidR="007B6904" w:rsidRPr="00763141" w:rsidRDefault="007B6904" w:rsidP="007B6904"/>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39ED7D55" w14:textId="77777777" w:rsidTr="00FC218C">
        <w:trPr>
          <w:cantSplit/>
          <w:trHeight w:val="285"/>
        </w:trPr>
        <w:tc>
          <w:tcPr>
            <w:tcW w:w="9158" w:type="dxa"/>
            <w:shd w:val="clear" w:color="auto" w:fill="A6A6A6" w:themeFill="background1" w:themeFillShade="A6"/>
          </w:tcPr>
          <w:p w14:paraId="39ED7D54" w14:textId="77777777" w:rsidR="007B6904" w:rsidRPr="00CD1C0E" w:rsidRDefault="007B6904" w:rsidP="00FC218C">
            <w:pPr>
              <w:pStyle w:val="Heading1"/>
            </w:pPr>
            <w:bookmarkStart w:id="8" w:name="_Toc389473274"/>
            <w:bookmarkStart w:id="9" w:name="_Toc77250401"/>
            <w:r w:rsidRPr="00CD1C0E">
              <w:t>Purpose</w:t>
            </w:r>
            <w:bookmarkEnd w:id="8"/>
            <w:bookmarkEnd w:id="9"/>
          </w:p>
        </w:tc>
      </w:tr>
    </w:tbl>
    <w:p w14:paraId="39ED7D56" w14:textId="77777777" w:rsidR="00885D22" w:rsidRDefault="00885D22" w:rsidP="004141C5">
      <w:pPr>
        <w:jc w:val="both"/>
        <w:rPr>
          <w:rFonts w:cs="Arial"/>
          <w:szCs w:val="24"/>
        </w:rPr>
      </w:pPr>
    </w:p>
    <w:p w14:paraId="39ED7D57" w14:textId="7D7A93DD" w:rsidR="004141C5" w:rsidRDefault="004141C5" w:rsidP="001150AB">
      <w:pPr>
        <w:rPr>
          <w:rFonts w:cs="Arial"/>
          <w:szCs w:val="24"/>
        </w:rPr>
      </w:pPr>
      <w:r>
        <w:rPr>
          <w:rFonts w:cs="Arial"/>
          <w:szCs w:val="24"/>
        </w:rPr>
        <w:t xml:space="preserve">The purpose of the </w:t>
      </w:r>
      <w:r w:rsidR="00154C0C" w:rsidRPr="00154C0C">
        <w:rPr>
          <w:rFonts w:cs="Arial"/>
          <w:szCs w:val="24"/>
        </w:rPr>
        <w:t>Total Parenteral Nutrition</w:t>
      </w:r>
      <w:r w:rsidR="00154C0C" w:rsidRPr="00154C0C">
        <w:rPr>
          <w:rFonts w:cs="Arial"/>
          <w:b/>
          <w:szCs w:val="24"/>
        </w:rPr>
        <w:t xml:space="preserve"> </w:t>
      </w:r>
      <w:r w:rsidR="001150AB">
        <w:rPr>
          <w:rFonts w:cs="Arial"/>
          <w:bCs/>
          <w:szCs w:val="24"/>
        </w:rPr>
        <w:t>(</w:t>
      </w:r>
      <w:r>
        <w:rPr>
          <w:rFonts w:cs="Arial"/>
          <w:szCs w:val="24"/>
        </w:rPr>
        <w:t>TPN</w:t>
      </w:r>
      <w:r w:rsidR="00154C0C">
        <w:rPr>
          <w:rFonts w:cs="Arial"/>
          <w:szCs w:val="24"/>
        </w:rPr>
        <w:t>)</w:t>
      </w:r>
      <w:r>
        <w:rPr>
          <w:rFonts w:cs="Arial"/>
          <w:szCs w:val="24"/>
        </w:rPr>
        <w:t xml:space="preserve"> </w:t>
      </w:r>
      <w:r w:rsidR="00593C7D">
        <w:rPr>
          <w:rFonts w:cs="Arial"/>
          <w:szCs w:val="24"/>
        </w:rPr>
        <w:t xml:space="preserve">Clinical </w:t>
      </w:r>
      <w:r w:rsidR="00582026">
        <w:rPr>
          <w:rFonts w:cs="Arial"/>
          <w:szCs w:val="24"/>
        </w:rPr>
        <w:t>P</w:t>
      </w:r>
      <w:r>
        <w:rPr>
          <w:rFonts w:cs="Arial"/>
          <w:szCs w:val="24"/>
        </w:rPr>
        <w:t xml:space="preserve">rocedure is to outline </w:t>
      </w:r>
      <w:r w:rsidR="00AC707B">
        <w:rPr>
          <w:rFonts w:cs="Arial"/>
          <w:szCs w:val="24"/>
        </w:rPr>
        <w:t>the process</w:t>
      </w:r>
      <w:r>
        <w:rPr>
          <w:rFonts w:cs="Arial"/>
          <w:szCs w:val="24"/>
        </w:rPr>
        <w:t xml:space="preserve"> for</w:t>
      </w:r>
      <w:r w:rsidR="00AC707B">
        <w:rPr>
          <w:rFonts w:cs="Arial"/>
          <w:szCs w:val="24"/>
        </w:rPr>
        <w:t xml:space="preserve"> the safe administration</w:t>
      </w:r>
      <w:r w:rsidR="00750221">
        <w:rPr>
          <w:rFonts w:cs="Arial"/>
          <w:szCs w:val="24"/>
        </w:rPr>
        <w:t xml:space="preserve"> </w:t>
      </w:r>
      <w:r w:rsidR="00AC707B">
        <w:rPr>
          <w:rFonts w:cs="Arial"/>
          <w:szCs w:val="24"/>
        </w:rPr>
        <w:t xml:space="preserve">and management </w:t>
      </w:r>
      <w:r w:rsidR="009B005B">
        <w:rPr>
          <w:rFonts w:cs="Arial"/>
          <w:szCs w:val="24"/>
        </w:rPr>
        <w:t>of TPN in</w:t>
      </w:r>
      <w:r w:rsidR="00750221">
        <w:rPr>
          <w:rFonts w:cs="Arial"/>
          <w:szCs w:val="24"/>
        </w:rPr>
        <w:t xml:space="preserve"> </w:t>
      </w:r>
      <w:r w:rsidR="00912B9C">
        <w:rPr>
          <w:rFonts w:cs="Arial"/>
          <w:szCs w:val="24"/>
        </w:rPr>
        <w:t xml:space="preserve">adult </w:t>
      </w:r>
      <w:r w:rsidR="00750221">
        <w:rPr>
          <w:rFonts w:cs="Arial"/>
          <w:szCs w:val="24"/>
        </w:rPr>
        <w:t>patients</w:t>
      </w:r>
      <w:r>
        <w:rPr>
          <w:rFonts w:cs="Arial"/>
          <w:szCs w:val="24"/>
        </w:rPr>
        <w:t xml:space="preserve"> </w:t>
      </w:r>
      <w:r w:rsidR="004A086E">
        <w:rPr>
          <w:rFonts w:cs="Arial"/>
          <w:szCs w:val="24"/>
        </w:rPr>
        <w:t xml:space="preserve">at </w:t>
      </w:r>
      <w:r w:rsidR="00912B9C">
        <w:rPr>
          <w:rFonts w:cs="Arial"/>
          <w:szCs w:val="24"/>
        </w:rPr>
        <w:t xml:space="preserve">Canberra Health Services. </w:t>
      </w:r>
    </w:p>
    <w:p w14:paraId="39ED7D58" w14:textId="77777777" w:rsidR="004141C5" w:rsidRDefault="004141C5" w:rsidP="001150AB">
      <w:pPr>
        <w:rPr>
          <w:rFonts w:cs="Arial"/>
          <w:szCs w:val="24"/>
        </w:rPr>
      </w:pPr>
    </w:p>
    <w:p w14:paraId="39ED7D59" w14:textId="12741691" w:rsidR="004141C5" w:rsidRDefault="004141C5" w:rsidP="001150AB">
      <w:pPr>
        <w:rPr>
          <w:rFonts w:cs="Arial"/>
          <w:szCs w:val="24"/>
        </w:rPr>
      </w:pPr>
      <w:r>
        <w:rPr>
          <w:rFonts w:cs="Arial"/>
          <w:szCs w:val="24"/>
        </w:rPr>
        <w:t xml:space="preserve">This clinical procedure provides information for </w:t>
      </w:r>
      <w:r w:rsidR="001150AB">
        <w:rPr>
          <w:rFonts w:cs="Arial"/>
          <w:szCs w:val="24"/>
        </w:rPr>
        <w:t>clinical staff</w:t>
      </w:r>
      <w:r>
        <w:rPr>
          <w:rFonts w:cs="Arial"/>
          <w:szCs w:val="24"/>
        </w:rPr>
        <w:t xml:space="preserve"> who care for patients receiving TPN in the acute </w:t>
      </w:r>
      <w:r w:rsidRPr="00736672">
        <w:rPr>
          <w:rFonts w:cs="Arial"/>
          <w:szCs w:val="24"/>
        </w:rPr>
        <w:t>hospital</w:t>
      </w:r>
      <w:r w:rsidR="00241938" w:rsidRPr="00736672">
        <w:rPr>
          <w:rFonts w:cs="Arial"/>
          <w:szCs w:val="24"/>
        </w:rPr>
        <w:t xml:space="preserve"> and the community</w:t>
      </w:r>
      <w:r>
        <w:rPr>
          <w:rFonts w:cs="Arial"/>
          <w:szCs w:val="24"/>
        </w:rPr>
        <w:t xml:space="preserve"> setting. </w:t>
      </w:r>
    </w:p>
    <w:p w14:paraId="39ED7D5A" w14:textId="77777777" w:rsidR="005C758D" w:rsidRDefault="005C758D" w:rsidP="001150AB">
      <w:pPr>
        <w:rPr>
          <w:rFonts w:cs="Arial"/>
          <w:szCs w:val="24"/>
        </w:rPr>
      </w:pPr>
    </w:p>
    <w:p w14:paraId="39ED7D5B" w14:textId="3966E2D1" w:rsidR="007B6904" w:rsidRDefault="00590885" w:rsidP="001150AB">
      <w:r w:rsidRPr="00590885">
        <w:t xml:space="preserve">Parenteral nutrition is complex and only </w:t>
      </w:r>
      <w:r w:rsidR="004A086E">
        <w:t xml:space="preserve">some </w:t>
      </w:r>
      <w:r w:rsidRPr="00590885">
        <w:t xml:space="preserve">aspects of TPN administration and monitoring are encompassed by this clinical procedure.  Further clinical guidance in relation to parenteral nutrition can be found in the </w:t>
      </w:r>
      <w:r w:rsidRPr="00466561">
        <w:rPr>
          <w:i/>
        </w:rPr>
        <w:t>NSW Agency for Clinical Innovation Parenteral Nutrition Pocketbook: For Adults</w:t>
      </w:r>
      <w:r w:rsidRPr="00590885">
        <w:t xml:space="preserve"> (refer to references).</w:t>
      </w:r>
    </w:p>
    <w:p w14:paraId="39ED7D5C" w14:textId="77777777" w:rsidR="00885D22" w:rsidRPr="00590885" w:rsidRDefault="00885D22" w:rsidP="007B6904">
      <w:pPr>
        <w:jc w:val="both"/>
        <w:rPr>
          <w:rFonts w:cs="Arial"/>
          <w:szCs w:val="24"/>
        </w:rPr>
      </w:pPr>
    </w:p>
    <w:p w14:paraId="39ED7D5D" w14:textId="77777777" w:rsidR="007B6904" w:rsidRPr="00CD1C0E" w:rsidRDefault="00B07DCE" w:rsidP="007B6904">
      <w:pPr>
        <w:pStyle w:val="ProcedureTemplate"/>
        <w:framePr w:wrap="around"/>
      </w:pPr>
      <w:r>
        <w:rPr>
          <w:rFonts w:asciiTheme="minorHAnsi" w:hAnsiTheme="minorHAnsi" w:cstheme="minorHAnsi"/>
          <w:szCs w:val="24"/>
          <w:lang w:eastAsia="en-AU"/>
        </w:rPr>
        <w:t xml:space="preserve">This Standard Operating Procedure (SOP) describes for staff the process to </w:t>
      </w:r>
    </w:p>
    <w:tbl>
      <w:tblPr>
        <w:tblpPr w:leftFromText="180" w:rightFromText="180" w:vertAnchor="text" w:horzAnchor="margin" w:tblpX="108" w:tblpY="181"/>
        <w:tblW w:w="9158" w:type="dxa"/>
        <w:tblLook w:val="0000" w:firstRow="0" w:lastRow="0" w:firstColumn="0" w:lastColumn="0" w:noHBand="0" w:noVBand="0"/>
      </w:tblPr>
      <w:tblGrid>
        <w:gridCol w:w="9158"/>
      </w:tblGrid>
      <w:tr w:rsidR="007B6904" w:rsidRPr="00CD1C0E" w14:paraId="39ED7D5F" w14:textId="77777777" w:rsidTr="004213C3">
        <w:trPr>
          <w:cantSplit/>
          <w:trHeight w:val="285"/>
        </w:trPr>
        <w:tc>
          <w:tcPr>
            <w:tcW w:w="9158" w:type="dxa"/>
            <w:shd w:val="clear" w:color="auto" w:fill="CCCCCC"/>
          </w:tcPr>
          <w:p w14:paraId="39ED7D5E" w14:textId="77777777" w:rsidR="007B6904" w:rsidRPr="00CD1C0E" w:rsidRDefault="007B6904" w:rsidP="004213C3">
            <w:pPr>
              <w:pStyle w:val="ProcedureTemplate"/>
              <w:framePr w:hSpace="0" w:wrap="auto" w:vAnchor="margin" w:hAnchor="text" w:xAlign="left" w:yAlign="inline"/>
            </w:pPr>
            <w:bookmarkStart w:id="10" w:name="_Toc389473275"/>
            <w:r>
              <w:t>Scope</w:t>
            </w:r>
            <w:bookmarkEnd w:id="10"/>
          </w:p>
        </w:tc>
      </w:tr>
    </w:tbl>
    <w:p w14:paraId="39ED7D60" w14:textId="77777777" w:rsidR="007B6904" w:rsidRDefault="007B6904" w:rsidP="007B6904">
      <w:pPr>
        <w:pStyle w:val="ProcedureTemplate"/>
        <w:framePr w:wrap="around"/>
      </w:pP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39ED7D62" w14:textId="77777777" w:rsidTr="00FC218C">
        <w:trPr>
          <w:cantSplit/>
          <w:trHeight w:val="285"/>
        </w:trPr>
        <w:tc>
          <w:tcPr>
            <w:tcW w:w="9158" w:type="dxa"/>
            <w:shd w:val="clear" w:color="auto" w:fill="A6A6A6" w:themeFill="background1" w:themeFillShade="A6"/>
          </w:tcPr>
          <w:p w14:paraId="39ED7D61" w14:textId="77777777" w:rsidR="007B6904" w:rsidRPr="00CD1C0E" w:rsidRDefault="007B6904" w:rsidP="004213C3">
            <w:pPr>
              <w:pStyle w:val="Heading1"/>
            </w:pPr>
            <w:bookmarkStart w:id="11" w:name="_Toc389473276"/>
            <w:bookmarkStart w:id="12" w:name="_Toc77250402"/>
            <w:r>
              <w:t>Alerts</w:t>
            </w:r>
            <w:bookmarkEnd w:id="11"/>
            <w:bookmarkEnd w:id="12"/>
          </w:p>
        </w:tc>
      </w:tr>
    </w:tbl>
    <w:p w14:paraId="491B4D84" w14:textId="77777777" w:rsidR="00990827" w:rsidRDefault="00990827" w:rsidP="0023191E">
      <w:pPr>
        <w:pStyle w:val="ListBullet"/>
        <w:numPr>
          <w:ilvl w:val="0"/>
          <w:numId w:val="0"/>
        </w:numPr>
      </w:pPr>
    </w:p>
    <w:p w14:paraId="39ED7D64" w14:textId="0EC57841" w:rsidR="004D7711" w:rsidRPr="00AC707B" w:rsidRDefault="004D7711" w:rsidP="00885D22">
      <w:pPr>
        <w:pStyle w:val="ListBullet"/>
      </w:pPr>
      <w:r w:rsidRPr="00AC707B">
        <w:t>All patients who are to commence TPN must have a Central Venous Access Device (CVAD)</w:t>
      </w:r>
      <w:r w:rsidR="00AF2CAE" w:rsidRPr="00AC707B">
        <w:t xml:space="preserve"> in</w:t>
      </w:r>
      <w:r w:rsidR="00582026" w:rsidRPr="00AC707B">
        <w:t xml:space="preserve"> </w:t>
      </w:r>
      <w:r w:rsidR="00AF2CAE" w:rsidRPr="00AC707B">
        <w:t>situ</w:t>
      </w:r>
      <w:r w:rsidR="001150AB">
        <w:t xml:space="preserve"> that has been confirmed to be in the correct position. The CVAD may be</w:t>
      </w:r>
      <w:r w:rsidR="00FC218C">
        <w:t>:</w:t>
      </w:r>
    </w:p>
    <w:p w14:paraId="39ED7D65" w14:textId="77777777" w:rsidR="00AF2CAE" w:rsidRDefault="00AF2CAE" w:rsidP="00FC218C">
      <w:pPr>
        <w:pStyle w:val="ListBullet"/>
        <w:numPr>
          <w:ilvl w:val="0"/>
          <w:numId w:val="40"/>
        </w:numPr>
      </w:pPr>
      <w:r>
        <w:t>Central Venous Catheter (CVC)</w:t>
      </w:r>
    </w:p>
    <w:p w14:paraId="39ED7D66" w14:textId="77777777" w:rsidR="00AF2CAE" w:rsidRDefault="00AF2CAE" w:rsidP="00FC218C">
      <w:pPr>
        <w:pStyle w:val="ListBullet"/>
        <w:numPr>
          <w:ilvl w:val="0"/>
          <w:numId w:val="40"/>
        </w:numPr>
      </w:pPr>
      <w:r>
        <w:t>Hickman’s line</w:t>
      </w:r>
    </w:p>
    <w:p w14:paraId="7DD3DED5" w14:textId="701E2B95" w:rsidR="001150AB" w:rsidRPr="001150AB" w:rsidRDefault="00AF2CAE" w:rsidP="00FC218C">
      <w:pPr>
        <w:pStyle w:val="ListBullet"/>
        <w:numPr>
          <w:ilvl w:val="0"/>
          <w:numId w:val="40"/>
        </w:numPr>
      </w:pPr>
      <w:r>
        <w:t>Implanted port</w:t>
      </w:r>
    </w:p>
    <w:p w14:paraId="64A57497" w14:textId="17E434E8" w:rsidR="001150AB" w:rsidRPr="001150AB" w:rsidRDefault="00AF2CAE" w:rsidP="00FC218C">
      <w:pPr>
        <w:pStyle w:val="ListBullet"/>
        <w:numPr>
          <w:ilvl w:val="0"/>
          <w:numId w:val="40"/>
        </w:numPr>
      </w:pPr>
      <w:r w:rsidRPr="00671507">
        <w:rPr>
          <w:rFonts w:cs="Arial"/>
          <w:szCs w:val="24"/>
        </w:rPr>
        <w:t xml:space="preserve">Peripherally Inserted </w:t>
      </w:r>
      <w:r w:rsidR="001601D9" w:rsidRPr="00671507">
        <w:rPr>
          <w:rFonts w:cs="Arial"/>
          <w:szCs w:val="24"/>
        </w:rPr>
        <w:t xml:space="preserve">Central </w:t>
      </w:r>
      <w:r w:rsidRPr="00671507">
        <w:rPr>
          <w:rFonts w:cs="Arial"/>
          <w:szCs w:val="24"/>
        </w:rPr>
        <w:t>Catheter (PICC)</w:t>
      </w:r>
      <w:r w:rsidR="00154C0C">
        <w:rPr>
          <w:rFonts w:cs="Arial"/>
          <w:szCs w:val="24"/>
        </w:rPr>
        <w:t>.</w:t>
      </w:r>
      <w:r w:rsidR="001150AB">
        <w:rPr>
          <w:rFonts w:cs="Arial"/>
          <w:szCs w:val="24"/>
        </w:rPr>
        <w:t xml:space="preserve"> </w:t>
      </w:r>
    </w:p>
    <w:p w14:paraId="7251116A" w14:textId="43BF1B94" w:rsidR="00EB62C7" w:rsidRPr="00FC218C" w:rsidRDefault="00EB62C7" w:rsidP="00FC218C">
      <w:pPr>
        <w:pStyle w:val="ListBullet"/>
      </w:pPr>
      <w:r w:rsidRPr="00FC218C">
        <w:t xml:space="preserve">The major risk for patients receiving TPN is central line associated bloodstream infection.  Only </w:t>
      </w:r>
      <w:r w:rsidR="000A5F3C" w:rsidRPr="00FC218C">
        <w:t>staff</w:t>
      </w:r>
      <w:r w:rsidRPr="00FC218C">
        <w:t xml:space="preserve"> who have achieved competence in CVAD Management and Aseptic Technique</w:t>
      </w:r>
      <w:r w:rsidR="001150AB" w:rsidRPr="00FC218C">
        <w:t xml:space="preserve"> should access or manage a CVAD.</w:t>
      </w:r>
      <w:r w:rsidRPr="00FC218C">
        <w:t xml:space="preserve"> </w:t>
      </w:r>
      <w:r w:rsidR="000A5F3C" w:rsidRPr="00FC218C">
        <w:t>See scope section for more information.</w:t>
      </w:r>
    </w:p>
    <w:p w14:paraId="39ED7D69" w14:textId="7AE05EEF" w:rsidR="00671507" w:rsidRPr="00FC218C" w:rsidRDefault="00EB62C7" w:rsidP="00FC218C">
      <w:pPr>
        <w:pStyle w:val="ListBullet"/>
      </w:pPr>
      <w:r w:rsidRPr="00FC218C">
        <w:t>TPN should not be disconnected for daily care</w:t>
      </w:r>
      <w:r w:rsidR="001150AB" w:rsidRPr="00FC218C">
        <w:t>.</w:t>
      </w:r>
    </w:p>
    <w:p w14:paraId="39ED7D6C" w14:textId="7C1A9C64" w:rsidR="003A2B85" w:rsidRPr="00FC218C" w:rsidRDefault="003A2B85" w:rsidP="00FC218C">
      <w:pPr>
        <w:pStyle w:val="ListBullet"/>
      </w:pPr>
      <w:r w:rsidRPr="00FC218C">
        <w:t>If a multi-lumen CVAD line is in place</w:t>
      </w:r>
      <w:r w:rsidR="00154C0C" w:rsidRPr="00FC218C">
        <w:t>,</w:t>
      </w:r>
      <w:r w:rsidRPr="00FC218C">
        <w:t xml:space="preserve"> one lumen from the CVAD must be allocated exclusively for TPN.  In addition, when there is a multi</w:t>
      </w:r>
      <w:r w:rsidR="001150AB" w:rsidRPr="00FC218C">
        <w:t>-</w:t>
      </w:r>
      <w:r w:rsidRPr="00FC218C">
        <w:t xml:space="preserve">lumen CVAD in situ, it is desirable that the CVAD not be used for other purposes.  </w:t>
      </w:r>
    </w:p>
    <w:p w14:paraId="39ED7D6D" w14:textId="77777777" w:rsidR="00AF2CAE" w:rsidRPr="00FC218C" w:rsidRDefault="00AF2CAE" w:rsidP="00FC218C">
      <w:pPr>
        <w:pStyle w:val="ListBullet"/>
      </w:pPr>
      <w:r w:rsidRPr="00FC218C">
        <w:t xml:space="preserve">The TPN solution is light sensitive and must be covered </w:t>
      </w:r>
      <w:r w:rsidR="00565E76" w:rsidRPr="00FC218C">
        <w:t xml:space="preserve">with the supplied light protective bag </w:t>
      </w:r>
      <w:r w:rsidRPr="00FC218C">
        <w:t>at all times.</w:t>
      </w:r>
    </w:p>
    <w:p w14:paraId="39ED7D6E" w14:textId="7F5056DF" w:rsidR="007F76A8" w:rsidRPr="00FC218C" w:rsidRDefault="007F76A8" w:rsidP="00FC218C">
      <w:pPr>
        <w:pStyle w:val="ListBullet"/>
      </w:pPr>
      <w:r w:rsidRPr="00FC218C">
        <w:t>TPN should always be administered via a smart pump with infusion safety software.</w:t>
      </w:r>
    </w:p>
    <w:p w14:paraId="0E46ACE5" w14:textId="77777777" w:rsidR="001150AB" w:rsidRPr="00FC218C" w:rsidRDefault="000A3ACE" w:rsidP="00FC218C">
      <w:pPr>
        <w:pStyle w:val="ListBullet"/>
      </w:pPr>
      <w:r w:rsidRPr="00FC218C">
        <w:t>P</w:t>
      </w:r>
      <w:r w:rsidR="00B472B7" w:rsidRPr="00FC218C">
        <w:t>atient</w:t>
      </w:r>
      <w:r w:rsidR="004F59A8" w:rsidRPr="00FC218C">
        <w:t>s</w:t>
      </w:r>
      <w:r w:rsidR="00B472B7" w:rsidRPr="00FC218C">
        <w:t xml:space="preserve"> on continuous </w:t>
      </w:r>
      <w:r w:rsidR="006B6FA4" w:rsidRPr="00FC218C">
        <w:t>TPN</w:t>
      </w:r>
      <w:r w:rsidR="00B472B7" w:rsidRPr="00FC218C">
        <w:t xml:space="preserve"> </w:t>
      </w:r>
      <w:r w:rsidR="004F59A8" w:rsidRPr="00FC218C">
        <w:t xml:space="preserve">must have </w:t>
      </w:r>
      <w:r w:rsidR="00B472B7" w:rsidRPr="00FC218C">
        <w:t>the T</w:t>
      </w:r>
      <w:r w:rsidR="00F57AA3" w:rsidRPr="00FC218C">
        <w:t>P</w:t>
      </w:r>
      <w:r w:rsidR="00B472B7" w:rsidRPr="00FC218C">
        <w:t>N bags</w:t>
      </w:r>
      <w:r w:rsidR="00593C7D" w:rsidRPr="00FC218C">
        <w:t xml:space="preserve"> and lines</w:t>
      </w:r>
      <w:r w:rsidR="00B472B7" w:rsidRPr="00FC218C">
        <w:t xml:space="preserve"> </w:t>
      </w:r>
      <w:r w:rsidR="00984951" w:rsidRPr="00FC218C">
        <w:t>changed every</w:t>
      </w:r>
      <w:r w:rsidR="00B472B7" w:rsidRPr="00FC218C">
        <w:t xml:space="preserve"> 24 hours</w:t>
      </w:r>
      <w:r w:rsidR="00076B8D" w:rsidRPr="00FC218C">
        <w:t>.</w:t>
      </w:r>
    </w:p>
    <w:p w14:paraId="39ED7D6F" w14:textId="7625414A" w:rsidR="00241938" w:rsidRPr="00FC218C" w:rsidRDefault="00076B8D" w:rsidP="00FC218C">
      <w:pPr>
        <w:pStyle w:val="ListBullet"/>
      </w:pPr>
      <w:r w:rsidRPr="00FC218C">
        <w:t xml:space="preserve">If a patient is on 16 hourly TPN infusions, the bags and lines should be discarded at the end of </w:t>
      </w:r>
      <w:r w:rsidR="00CC2491" w:rsidRPr="00FC218C">
        <w:t xml:space="preserve">each </w:t>
      </w:r>
      <w:r w:rsidRPr="00FC218C">
        <w:t>infusion.</w:t>
      </w:r>
      <w:r w:rsidR="00CC2491" w:rsidRPr="00FC218C">
        <w:t xml:space="preserve">  </w:t>
      </w:r>
    </w:p>
    <w:p w14:paraId="39ED7D70" w14:textId="6DF28B5B" w:rsidR="00151EB0" w:rsidRPr="00FC218C" w:rsidRDefault="000A3ACE" w:rsidP="00FC218C">
      <w:pPr>
        <w:pStyle w:val="ListBullet"/>
      </w:pPr>
      <w:r w:rsidRPr="00FC218C">
        <w:t>For inpatients, n</w:t>
      </w:r>
      <w:r w:rsidR="00151EB0" w:rsidRPr="00FC218C">
        <w:t>othing is to be added to TPN or fat emulsion (lipid) solutions, bags or lines.</w:t>
      </w:r>
      <w:r w:rsidRPr="00FC218C">
        <w:t xml:space="preserve">  S</w:t>
      </w:r>
      <w:r w:rsidR="008741AC" w:rsidRPr="00FC218C">
        <w:t xml:space="preserve">ome </w:t>
      </w:r>
      <w:r w:rsidR="0050416C" w:rsidRPr="00FC218C">
        <w:t>long-term</w:t>
      </w:r>
      <w:r w:rsidR="008741AC" w:rsidRPr="00FC218C">
        <w:t xml:space="preserve"> patients</w:t>
      </w:r>
      <w:r w:rsidR="00241938" w:rsidRPr="00FC218C">
        <w:t xml:space="preserve"> </w:t>
      </w:r>
      <w:r w:rsidRPr="00FC218C">
        <w:t xml:space="preserve">may </w:t>
      </w:r>
      <w:r w:rsidR="004A086E" w:rsidRPr="00FC218C">
        <w:t xml:space="preserve">need to have vitamins added using </w:t>
      </w:r>
      <w:r w:rsidR="00241938" w:rsidRPr="00FC218C">
        <w:t xml:space="preserve">a </w:t>
      </w:r>
      <w:r w:rsidR="0050416C" w:rsidRPr="00FC218C">
        <w:t>pre-loaded</w:t>
      </w:r>
      <w:r w:rsidR="00241938" w:rsidRPr="00FC218C">
        <w:t xml:space="preserve"> syringe.</w:t>
      </w:r>
      <w:r w:rsidR="00024F9C" w:rsidRPr="00FC218C">
        <w:t xml:space="preserve">  T</w:t>
      </w:r>
      <w:r w:rsidR="00241938" w:rsidRPr="00FC218C">
        <w:t xml:space="preserve">his </w:t>
      </w:r>
      <w:r w:rsidR="008741AC" w:rsidRPr="00FC218C">
        <w:t>is</w:t>
      </w:r>
      <w:r w:rsidR="00241938" w:rsidRPr="00FC218C">
        <w:t xml:space="preserve"> prescribed by the </w:t>
      </w:r>
      <w:r w:rsidR="00024F9C" w:rsidRPr="00FC218C">
        <w:t>g</w:t>
      </w:r>
      <w:r w:rsidR="00241938" w:rsidRPr="00FC218C">
        <w:t>astroenterologist</w:t>
      </w:r>
      <w:r w:rsidR="008741AC" w:rsidRPr="00FC218C">
        <w:t>.</w:t>
      </w:r>
    </w:p>
    <w:p w14:paraId="39ED7D73" w14:textId="77777777" w:rsidR="00AF2CAE" w:rsidRDefault="00AF2CAE" w:rsidP="00CA4ACD">
      <w:pPr>
        <w:rPr>
          <w:rFonts w:cs="Arial"/>
          <w:szCs w:val="24"/>
        </w:rPr>
      </w:pPr>
    </w:p>
    <w:p w14:paraId="39ED7D74" w14:textId="77777777" w:rsidR="00885D22" w:rsidRPr="00885D22" w:rsidRDefault="0081170E" w:rsidP="00885D22">
      <w:pPr>
        <w:jc w:val="right"/>
      </w:pPr>
      <w:hyperlink w:anchor="Contents" w:history="1">
        <w:r w:rsidR="00885D22" w:rsidRPr="00590902">
          <w:rPr>
            <w:rStyle w:val="Hyperlink"/>
            <w:rFonts w:cs="Arial"/>
            <w:i/>
            <w:szCs w:val="24"/>
          </w:rPr>
          <w:t>Back to Table of Contents</w:t>
        </w:r>
      </w:hyperlink>
    </w:p>
    <w:tbl>
      <w:tblPr>
        <w:tblpPr w:leftFromText="180" w:rightFromText="180" w:vertAnchor="text" w:horzAnchor="margin" w:tblpX="108" w:tblpY="181"/>
        <w:tblW w:w="9158" w:type="dxa"/>
        <w:tblLook w:val="0000" w:firstRow="0" w:lastRow="0" w:firstColumn="0" w:lastColumn="0" w:noHBand="0" w:noVBand="0"/>
      </w:tblPr>
      <w:tblGrid>
        <w:gridCol w:w="9158"/>
      </w:tblGrid>
      <w:tr w:rsidR="007B6904" w:rsidRPr="00CD1C0E" w14:paraId="39ED7D76" w14:textId="77777777" w:rsidTr="00B21043">
        <w:trPr>
          <w:cantSplit/>
          <w:trHeight w:val="285"/>
        </w:trPr>
        <w:tc>
          <w:tcPr>
            <w:tcW w:w="9158" w:type="dxa"/>
            <w:shd w:val="clear" w:color="auto" w:fill="A6A6A6" w:themeFill="background1" w:themeFillShade="A6"/>
          </w:tcPr>
          <w:p w14:paraId="39ED7D75" w14:textId="77777777" w:rsidR="007B6904" w:rsidRPr="003D2D06" w:rsidRDefault="00AF2CAE" w:rsidP="004213C3">
            <w:pPr>
              <w:pStyle w:val="Heading1"/>
            </w:pPr>
            <w:bookmarkStart w:id="13" w:name="_Toc389473277"/>
            <w:bookmarkStart w:id="14" w:name="_Toc77250403"/>
            <w:r>
              <w:t>S</w:t>
            </w:r>
            <w:r w:rsidR="007B6904" w:rsidRPr="003D2D06">
              <w:t>cope</w:t>
            </w:r>
            <w:bookmarkEnd w:id="13"/>
            <w:bookmarkEnd w:id="14"/>
          </w:p>
        </w:tc>
      </w:tr>
    </w:tbl>
    <w:p w14:paraId="39ED7D77" w14:textId="77777777" w:rsidR="00885D22" w:rsidRDefault="00885D22" w:rsidP="00912B9C">
      <w:pPr>
        <w:pStyle w:val="ListBullet"/>
        <w:numPr>
          <w:ilvl w:val="0"/>
          <w:numId w:val="0"/>
        </w:numPr>
        <w:rPr>
          <w:szCs w:val="24"/>
        </w:rPr>
      </w:pPr>
    </w:p>
    <w:p w14:paraId="39ED7D78" w14:textId="3B2C2508" w:rsidR="007B6904" w:rsidRDefault="00885D22" w:rsidP="00912B9C">
      <w:pPr>
        <w:pStyle w:val="ListBullet"/>
        <w:numPr>
          <w:ilvl w:val="0"/>
          <w:numId w:val="0"/>
        </w:numPr>
        <w:rPr>
          <w:szCs w:val="24"/>
        </w:rPr>
      </w:pPr>
      <w:r>
        <w:rPr>
          <w:szCs w:val="24"/>
        </w:rPr>
        <w:t>T</w:t>
      </w:r>
      <w:r w:rsidR="00912B9C">
        <w:rPr>
          <w:szCs w:val="24"/>
        </w:rPr>
        <w:t>h</w:t>
      </w:r>
      <w:r w:rsidR="002C09FC">
        <w:rPr>
          <w:szCs w:val="24"/>
        </w:rPr>
        <w:t xml:space="preserve">is clinical </w:t>
      </w:r>
      <w:r w:rsidR="008E6BD4">
        <w:rPr>
          <w:szCs w:val="24"/>
        </w:rPr>
        <w:t>procedure applies</w:t>
      </w:r>
      <w:r w:rsidR="00912B9C">
        <w:rPr>
          <w:szCs w:val="24"/>
        </w:rPr>
        <w:t xml:space="preserve"> to all</w:t>
      </w:r>
      <w:r w:rsidR="004A086E">
        <w:rPr>
          <w:szCs w:val="24"/>
        </w:rPr>
        <w:t xml:space="preserve"> adult</w:t>
      </w:r>
      <w:r w:rsidR="00024F9C">
        <w:rPr>
          <w:szCs w:val="24"/>
        </w:rPr>
        <w:t xml:space="preserve"> </w:t>
      </w:r>
      <w:r w:rsidR="004647BE">
        <w:rPr>
          <w:szCs w:val="24"/>
        </w:rPr>
        <w:t>CHS</w:t>
      </w:r>
      <w:r w:rsidR="00912B9C">
        <w:rPr>
          <w:szCs w:val="24"/>
        </w:rPr>
        <w:t xml:space="preserve"> </w:t>
      </w:r>
      <w:r w:rsidR="002C09FC">
        <w:rPr>
          <w:szCs w:val="24"/>
        </w:rPr>
        <w:t>patients</w:t>
      </w:r>
      <w:r w:rsidR="000A5F3C">
        <w:rPr>
          <w:szCs w:val="24"/>
        </w:rPr>
        <w:t xml:space="preserve"> requiring TPN therapy</w:t>
      </w:r>
      <w:r w:rsidR="00CD6D72">
        <w:rPr>
          <w:szCs w:val="24"/>
        </w:rPr>
        <w:t>.</w:t>
      </w:r>
    </w:p>
    <w:p w14:paraId="39ED7D79" w14:textId="77777777" w:rsidR="004D7711" w:rsidRDefault="004D7711" w:rsidP="00912B9C">
      <w:pPr>
        <w:pStyle w:val="ListBullet"/>
        <w:numPr>
          <w:ilvl w:val="0"/>
          <w:numId w:val="0"/>
        </w:numPr>
        <w:rPr>
          <w:szCs w:val="24"/>
        </w:rPr>
      </w:pPr>
    </w:p>
    <w:p w14:paraId="39ED7D7A" w14:textId="61081851" w:rsidR="004D7711" w:rsidRDefault="004D7711" w:rsidP="00912B9C">
      <w:pPr>
        <w:pStyle w:val="ListBullet"/>
        <w:numPr>
          <w:ilvl w:val="0"/>
          <w:numId w:val="0"/>
        </w:numPr>
        <w:rPr>
          <w:szCs w:val="24"/>
        </w:rPr>
      </w:pPr>
      <w:r>
        <w:rPr>
          <w:szCs w:val="24"/>
        </w:rPr>
        <w:t>This document applies to</w:t>
      </w:r>
      <w:r w:rsidR="000A5F3C">
        <w:rPr>
          <w:szCs w:val="24"/>
        </w:rPr>
        <w:t xml:space="preserve"> the following CHS staff working within their scope of practice</w:t>
      </w:r>
      <w:r>
        <w:rPr>
          <w:szCs w:val="24"/>
        </w:rPr>
        <w:t>:</w:t>
      </w:r>
    </w:p>
    <w:p w14:paraId="39ED7D7B" w14:textId="77777777" w:rsidR="004D7711" w:rsidRDefault="004D7711" w:rsidP="00885D22">
      <w:pPr>
        <w:pStyle w:val="ListBullet"/>
      </w:pPr>
      <w:r>
        <w:t>Medical staff</w:t>
      </w:r>
    </w:p>
    <w:p w14:paraId="39ED7D7C" w14:textId="3886E9BF" w:rsidR="00912B9C" w:rsidRPr="006A2C08" w:rsidRDefault="006A2C08" w:rsidP="00885D22">
      <w:pPr>
        <w:pStyle w:val="ListBullet"/>
      </w:pPr>
      <w:r>
        <w:t xml:space="preserve">Registered </w:t>
      </w:r>
      <w:r w:rsidR="004D7711">
        <w:t>Nurses</w:t>
      </w:r>
      <w:r w:rsidR="000A5F3C">
        <w:t xml:space="preserve"> and Midwives</w:t>
      </w:r>
      <w:r w:rsidR="004D7711">
        <w:t xml:space="preserve"> </w:t>
      </w:r>
      <w:bookmarkStart w:id="15" w:name="_Hlk55304064"/>
    </w:p>
    <w:bookmarkEnd w:id="15"/>
    <w:p w14:paraId="39ED7D7D" w14:textId="0E99B51E" w:rsidR="006A2C08" w:rsidRDefault="006A2C08" w:rsidP="00885D22">
      <w:pPr>
        <w:pStyle w:val="ListBullet"/>
      </w:pPr>
      <w:r>
        <w:t>Allied Health</w:t>
      </w:r>
      <w:r w:rsidR="007527F5">
        <w:t xml:space="preserve"> </w:t>
      </w:r>
      <w:r w:rsidR="00D118C5">
        <w:t>Professionals</w:t>
      </w:r>
    </w:p>
    <w:p w14:paraId="39C603A2" w14:textId="6F93E0A5" w:rsidR="000A5F3C" w:rsidRPr="00885D22" w:rsidRDefault="000A5F3C" w:rsidP="00885D22">
      <w:pPr>
        <w:pStyle w:val="ListBullet"/>
      </w:pPr>
      <w:r>
        <w:t>Students working under direct supervision.</w:t>
      </w:r>
    </w:p>
    <w:p w14:paraId="51D2D2B2" w14:textId="77777777" w:rsidR="000A5F3C" w:rsidRDefault="000A5F3C" w:rsidP="00885D22"/>
    <w:p w14:paraId="03811444" w14:textId="77777777" w:rsidR="000A5F3C" w:rsidRDefault="000A5F3C" w:rsidP="000A5F3C">
      <w:r>
        <w:t xml:space="preserve">Staff caring for patients with a CVAD must have achieved competence in CVAD management and Aseptic technique. Refer to </w:t>
      </w:r>
      <w:r>
        <w:rPr>
          <w:i/>
          <w:iCs/>
        </w:rPr>
        <w:t>Central Venous Access Device (</w:t>
      </w:r>
      <w:r w:rsidRPr="001150AB">
        <w:rPr>
          <w:i/>
          <w:iCs/>
        </w:rPr>
        <w:t>CVAD</w:t>
      </w:r>
      <w:r>
        <w:rPr>
          <w:i/>
          <w:iCs/>
        </w:rPr>
        <w:t>)</w:t>
      </w:r>
      <w:r w:rsidRPr="001150AB">
        <w:rPr>
          <w:i/>
          <w:iCs/>
        </w:rPr>
        <w:t xml:space="preserve"> Management Procedure</w:t>
      </w:r>
      <w:r>
        <w:t xml:space="preserve"> and </w:t>
      </w:r>
      <w:r w:rsidRPr="001150AB">
        <w:rPr>
          <w:i/>
          <w:iCs/>
        </w:rPr>
        <w:t>Aseptic Technique Procedure</w:t>
      </w:r>
      <w:r>
        <w:t>.</w:t>
      </w:r>
    </w:p>
    <w:p w14:paraId="39ED7D7F" w14:textId="33168F38" w:rsidR="00885D22" w:rsidRPr="00CD1C0E" w:rsidRDefault="0081170E" w:rsidP="000A5F3C">
      <w:pPr>
        <w:jc w:val="right"/>
      </w:pPr>
      <w:hyperlink w:anchor="Contents" w:history="1">
        <w:r w:rsidR="00885D22" w:rsidRPr="00590902">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39ED7D81" w14:textId="77777777" w:rsidTr="00FC218C">
        <w:trPr>
          <w:cantSplit/>
          <w:trHeight w:val="285"/>
        </w:trPr>
        <w:tc>
          <w:tcPr>
            <w:tcW w:w="9158" w:type="dxa"/>
            <w:shd w:val="clear" w:color="auto" w:fill="A6A6A6" w:themeFill="background1" w:themeFillShade="A6"/>
          </w:tcPr>
          <w:p w14:paraId="39ED7D80" w14:textId="77777777" w:rsidR="007B6904" w:rsidRPr="00C76688" w:rsidRDefault="007B6904" w:rsidP="00E406BA">
            <w:pPr>
              <w:pStyle w:val="Heading1"/>
            </w:pPr>
            <w:bookmarkStart w:id="16" w:name="_Toc389473278"/>
            <w:bookmarkStart w:id="17" w:name="_Toc77250404"/>
            <w:r w:rsidRPr="00C76688">
              <w:t>Section 1 –</w:t>
            </w:r>
            <w:r>
              <w:t xml:space="preserve"> </w:t>
            </w:r>
            <w:bookmarkEnd w:id="16"/>
            <w:r w:rsidR="00E406BA">
              <w:t>Before commencing TPN</w:t>
            </w:r>
            <w:bookmarkEnd w:id="17"/>
          </w:p>
        </w:tc>
      </w:tr>
    </w:tbl>
    <w:p w14:paraId="39ED7D82" w14:textId="77777777" w:rsidR="00E406BA" w:rsidRPr="00671507" w:rsidRDefault="00E406BA" w:rsidP="00E406BA">
      <w:pPr>
        <w:pStyle w:val="NoSpacing"/>
        <w:rPr>
          <w:b/>
          <w:sz w:val="24"/>
          <w:szCs w:val="24"/>
        </w:rPr>
      </w:pPr>
    </w:p>
    <w:p w14:paraId="39ED7D83" w14:textId="3ABD01F2" w:rsidR="00E406BA" w:rsidRDefault="000A5F3C" w:rsidP="00885D22">
      <w:pPr>
        <w:pStyle w:val="ListBullet"/>
      </w:pPr>
      <w:r>
        <w:t>The TPN o</w:t>
      </w:r>
      <w:r w:rsidR="00E406BA">
        <w:t>rder must be written by a Registrar, Consultant or Fellow</w:t>
      </w:r>
      <w:r w:rsidR="00590885" w:rsidRPr="00590885">
        <w:t xml:space="preserve"> </w:t>
      </w:r>
      <w:r w:rsidR="00590885">
        <w:t xml:space="preserve">on an </w:t>
      </w:r>
      <w:r w:rsidR="00590885" w:rsidRPr="00810A8B">
        <w:rPr>
          <w:i/>
          <w:iCs/>
        </w:rPr>
        <w:t>I</w:t>
      </w:r>
      <w:r w:rsidR="00810A8B" w:rsidRPr="00810A8B">
        <w:rPr>
          <w:i/>
          <w:iCs/>
        </w:rPr>
        <w:t>ntravenous Fluid and Additive</w:t>
      </w:r>
      <w:r w:rsidR="00590885" w:rsidRPr="00810A8B">
        <w:rPr>
          <w:i/>
          <w:iCs/>
        </w:rPr>
        <w:t xml:space="preserve"> Order form</w:t>
      </w:r>
      <w:r w:rsidR="00590885">
        <w:t xml:space="preserve"> </w:t>
      </w:r>
      <w:r w:rsidR="0023191E" w:rsidRPr="00810A8B">
        <w:rPr>
          <w:iCs/>
        </w:rPr>
        <w:t xml:space="preserve">and </w:t>
      </w:r>
      <w:r w:rsidR="0023191E" w:rsidRPr="00810A8B">
        <w:t>the</w:t>
      </w:r>
      <w:r w:rsidR="004A086E" w:rsidRPr="00810A8B">
        <w:t xml:space="preserve"> </w:t>
      </w:r>
      <w:r w:rsidR="00810A8B" w:rsidRPr="00810A8B">
        <w:rPr>
          <w:i/>
          <w:iCs/>
        </w:rPr>
        <w:t xml:space="preserve">Total Parental Nutrition (TPN) Order - </w:t>
      </w:r>
      <w:r w:rsidR="00590885" w:rsidRPr="00810A8B">
        <w:rPr>
          <w:i/>
          <w:iCs/>
        </w:rPr>
        <w:t>Adult form</w:t>
      </w:r>
      <w:r>
        <w:t>, available on the Clinical Forms Register</w:t>
      </w:r>
      <w:r w:rsidR="00590885">
        <w:t>.</w:t>
      </w:r>
    </w:p>
    <w:p w14:paraId="2C46D3D5" w14:textId="77777777" w:rsidR="000A5F3C" w:rsidRDefault="00590885" w:rsidP="00885D22">
      <w:pPr>
        <w:pStyle w:val="ListBullet"/>
      </w:pPr>
      <w:r>
        <w:t xml:space="preserve">TPN is provided by </w:t>
      </w:r>
      <w:r w:rsidR="007527F5">
        <w:t>P</w:t>
      </w:r>
      <w:r>
        <w:t xml:space="preserve">harmacy.  TPN </w:t>
      </w:r>
      <w:r w:rsidR="000A5F3C">
        <w:t xml:space="preserve">is </w:t>
      </w:r>
      <w:r>
        <w:t xml:space="preserve">delivered to the ward from </w:t>
      </w:r>
      <w:r w:rsidR="007527F5">
        <w:t>P</w:t>
      </w:r>
      <w:r w:rsidRPr="00590885">
        <w:t>harmacy</w:t>
      </w:r>
      <w:r w:rsidR="000A5F3C">
        <w:t xml:space="preserve"> and</w:t>
      </w:r>
      <w:r w:rsidRPr="00590885">
        <w:t xml:space="preserve"> must be stored under refrigerated conditions until required by the patient.</w:t>
      </w:r>
      <w:r w:rsidR="008741AC" w:rsidRPr="008741AC">
        <w:t xml:space="preserve"> </w:t>
      </w:r>
    </w:p>
    <w:p w14:paraId="39ED7D84" w14:textId="7B252DA0" w:rsidR="00590885" w:rsidRDefault="00C37709" w:rsidP="00885D22">
      <w:pPr>
        <w:pStyle w:val="ListBullet"/>
      </w:pPr>
      <w:r>
        <w:t>Dieti</w:t>
      </w:r>
      <w:r w:rsidR="00C321C4">
        <w:t>t</w:t>
      </w:r>
      <w:r w:rsidRPr="00991A4D">
        <w:t>ian</w:t>
      </w:r>
      <w:r w:rsidR="008741AC" w:rsidRPr="00991A4D">
        <w:t xml:space="preserve"> consultation should be sought regarding nutritional assessment</w:t>
      </w:r>
      <w:r w:rsidR="000A5F3C">
        <w:t xml:space="preserve"> of the patient</w:t>
      </w:r>
      <w:r w:rsidR="007527F5">
        <w:t>.</w:t>
      </w:r>
    </w:p>
    <w:p w14:paraId="39ED7D85" w14:textId="743509AF" w:rsidR="00E406BA" w:rsidRDefault="000A5F3C" w:rsidP="00885D22">
      <w:pPr>
        <w:pStyle w:val="ListBullet"/>
      </w:pPr>
      <w:r>
        <w:t>The patient should have b</w:t>
      </w:r>
      <w:r w:rsidR="00E406BA">
        <w:t>aseline bloods (</w:t>
      </w:r>
      <w:r>
        <w:t>Liver Function Tests (</w:t>
      </w:r>
      <w:r w:rsidR="00E406BA">
        <w:t>LFTs</w:t>
      </w:r>
      <w:r>
        <w:t>)</w:t>
      </w:r>
      <w:r w:rsidR="00E406BA">
        <w:t xml:space="preserve">, Triglycerides, </w:t>
      </w:r>
      <w:r>
        <w:t>Blood Glucose Level (</w:t>
      </w:r>
      <w:r w:rsidR="00E406BA">
        <w:t>BGL</w:t>
      </w:r>
      <w:r>
        <w:t>)</w:t>
      </w:r>
      <w:r w:rsidR="00E406BA">
        <w:t xml:space="preserve">, </w:t>
      </w:r>
      <w:r>
        <w:t>Urea, Electrolytes and Creatinine (</w:t>
      </w:r>
      <w:r w:rsidR="00E406BA">
        <w:t>UEC</w:t>
      </w:r>
      <w:r>
        <w:t>)</w:t>
      </w:r>
      <w:r w:rsidR="00E406BA">
        <w:t xml:space="preserve">, </w:t>
      </w:r>
      <w:r>
        <w:t>Comprehensive Metabolic Panel (</w:t>
      </w:r>
      <w:r w:rsidR="00E406BA">
        <w:t>CMP</w:t>
      </w:r>
      <w:r>
        <w:t>)</w:t>
      </w:r>
      <w:r w:rsidR="004A086E">
        <w:t xml:space="preserve">, </w:t>
      </w:r>
      <w:r>
        <w:t>Full Blood Count (</w:t>
      </w:r>
      <w:r w:rsidR="004A086E">
        <w:t>FBC</w:t>
      </w:r>
      <w:r>
        <w:t>)</w:t>
      </w:r>
      <w:r w:rsidR="004A086E">
        <w:t xml:space="preserve"> and iron levels</w:t>
      </w:r>
      <w:r w:rsidR="00E406BA">
        <w:t>)</w:t>
      </w:r>
      <w:r>
        <w:t xml:space="preserve"> prior to starting TPN</w:t>
      </w:r>
      <w:r w:rsidR="00E406BA">
        <w:t xml:space="preserve">. </w:t>
      </w:r>
    </w:p>
    <w:p w14:paraId="39ED7D86" w14:textId="4FD88D50" w:rsidR="000A3ACE" w:rsidRDefault="000A3ACE" w:rsidP="00885D22">
      <w:pPr>
        <w:pStyle w:val="ListBullet"/>
      </w:pPr>
      <w:r>
        <w:t xml:space="preserve">A baseline weight </w:t>
      </w:r>
      <w:r w:rsidR="000A5F3C">
        <w:t xml:space="preserve">for the patient </w:t>
      </w:r>
      <w:r>
        <w:t>should be recorded</w:t>
      </w:r>
      <w:r w:rsidR="00810A8B">
        <w:t xml:space="preserve"> on the </w:t>
      </w:r>
      <w:r w:rsidR="00810A8B" w:rsidRPr="00810A8B">
        <w:rPr>
          <w:i/>
          <w:iCs/>
        </w:rPr>
        <w:t>Total Parental Nutrition (TPN) Order – Adult form</w:t>
      </w:r>
      <w:r w:rsidR="00810A8B">
        <w:t xml:space="preserve"> and on the </w:t>
      </w:r>
      <w:r w:rsidR="00810A8B">
        <w:rPr>
          <w:i/>
          <w:iCs/>
        </w:rPr>
        <w:t>Weight Chart form</w:t>
      </w:r>
      <w:r w:rsidR="00AB2904">
        <w:rPr>
          <w:i/>
          <w:iCs/>
        </w:rPr>
        <w:t>.</w:t>
      </w:r>
    </w:p>
    <w:p w14:paraId="39ED7D87" w14:textId="77777777" w:rsidR="007527F5" w:rsidRDefault="007527F5" w:rsidP="00671507">
      <w:pPr>
        <w:outlineLvl w:val="0"/>
        <w:rPr>
          <w:szCs w:val="24"/>
        </w:rPr>
      </w:pPr>
    </w:p>
    <w:p w14:paraId="39ED7D89" w14:textId="339B257B" w:rsidR="00885D22" w:rsidRDefault="0081170E" w:rsidP="000C6F0C">
      <w:pPr>
        <w:jc w:val="right"/>
      </w:pPr>
      <w:hyperlink w:anchor="Contents" w:history="1">
        <w:r w:rsidR="00885D22" w:rsidRPr="00590902">
          <w:rPr>
            <w:rStyle w:val="Hyperlink"/>
            <w:rFonts w:cs="Arial"/>
            <w:i/>
            <w:szCs w:val="24"/>
          </w:rPr>
          <w:t>Back to Table of Contents</w:t>
        </w:r>
      </w:hyperlink>
    </w:p>
    <w:tbl>
      <w:tblPr>
        <w:tblpPr w:leftFromText="180" w:rightFromText="180" w:vertAnchor="text" w:horzAnchor="margin" w:tblpX="-34" w:tblpY="181"/>
        <w:tblW w:w="9158" w:type="dxa"/>
        <w:tblLook w:val="0000" w:firstRow="0" w:lastRow="0" w:firstColumn="0" w:lastColumn="0" w:noHBand="0" w:noVBand="0"/>
      </w:tblPr>
      <w:tblGrid>
        <w:gridCol w:w="9158"/>
      </w:tblGrid>
      <w:tr w:rsidR="00E406BA" w:rsidRPr="00CD1C0E" w14:paraId="39ED7D8B" w14:textId="77777777" w:rsidTr="00FC218C">
        <w:trPr>
          <w:cantSplit/>
          <w:trHeight w:val="285"/>
        </w:trPr>
        <w:tc>
          <w:tcPr>
            <w:tcW w:w="9158" w:type="dxa"/>
            <w:shd w:val="clear" w:color="auto" w:fill="A6A6A6" w:themeFill="background1" w:themeFillShade="A6"/>
          </w:tcPr>
          <w:p w14:paraId="39ED7D8A" w14:textId="77777777" w:rsidR="00E406BA" w:rsidRPr="00C76688" w:rsidRDefault="00E406BA" w:rsidP="00FC218C">
            <w:pPr>
              <w:pStyle w:val="Heading1"/>
            </w:pPr>
            <w:bookmarkStart w:id="18" w:name="_Toc77250405"/>
            <w:r w:rsidRPr="00C76688">
              <w:t>Se</w:t>
            </w:r>
            <w:r>
              <w:t>ction 2</w:t>
            </w:r>
            <w:r w:rsidRPr="00C76688">
              <w:t xml:space="preserve"> –</w:t>
            </w:r>
            <w:r>
              <w:t xml:space="preserve"> Commencing TPN in Adults (Adult TPN solutions)</w:t>
            </w:r>
            <w:bookmarkEnd w:id="18"/>
          </w:p>
        </w:tc>
      </w:tr>
    </w:tbl>
    <w:p w14:paraId="39ED7D8C" w14:textId="77777777" w:rsidR="008C29B7" w:rsidRDefault="008C29B7" w:rsidP="007B6904">
      <w:pPr>
        <w:outlineLvl w:val="0"/>
        <w:rPr>
          <w:szCs w:val="24"/>
        </w:rPr>
      </w:pPr>
    </w:p>
    <w:p w14:paraId="39ED7D8D" w14:textId="77777777" w:rsidR="007B6904" w:rsidRPr="00E850C6" w:rsidRDefault="007B6904" w:rsidP="00E850C6">
      <w:pPr>
        <w:rPr>
          <w:rFonts w:cs="Arial"/>
          <w:b/>
          <w:szCs w:val="24"/>
        </w:rPr>
      </w:pPr>
      <w:bookmarkStart w:id="19" w:name="_Toc389473279"/>
      <w:r w:rsidRPr="00E850C6">
        <w:rPr>
          <w:b/>
        </w:rPr>
        <w:t>Equipment</w:t>
      </w:r>
      <w:bookmarkEnd w:id="19"/>
      <w:r w:rsidRPr="00E850C6">
        <w:rPr>
          <w:rFonts w:cs="Arial"/>
          <w:b/>
          <w:szCs w:val="24"/>
        </w:rPr>
        <w:t xml:space="preserve"> </w:t>
      </w:r>
    </w:p>
    <w:p w14:paraId="39ED7D8E" w14:textId="02FE54CB" w:rsidR="00F65D0E" w:rsidRPr="00F65D0E" w:rsidRDefault="00F65D0E" w:rsidP="00885D22">
      <w:pPr>
        <w:pStyle w:val="ListBullet"/>
        <w:rPr>
          <w:i/>
        </w:rPr>
      </w:pPr>
      <w:r>
        <w:t>Personal protective equipment</w:t>
      </w:r>
      <w:r w:rsidR="00810A8B">
        <w:t xml:space="preserve"> (PPE)</w:t>
      </w:r>
      <w:r>
        <w:t xml:space="preserve"> (</w:t>
      </w:r>
      <w:r w:rsidR="004A086E">
        <w:t xml:space="preserve">including </w:t>
      </w:r>
      <w:r>
        <w:t>goggles/safety glasses)</w:t>
      </w:r>
    </w:p>
    <w:p w14:paraId="39ED7D8F" w14:textId="77777777" w:rsidR="00F65D0E" w:rsidRPr="00F65D0E" w:rsidRDefault="00F65D0E" w:rsidP="00885D22">
      <w:pPr>
        <w:pStyle w:val="ListBullet"/>
        <w:rPr>
          <w:i/>
        </w:rPr>
      </w:pPr>
      <w:r>
        <w:t>Alcohol based hand rub (ABHR)</w:t>
      </w:r>
    </w:p>
    <w:p w14:paraId="39ED7D90" w14:textId="77777777" w:rsidR="00F65D0E" w:rsidRPr="00F65D0E" w:rsidRDefault="00F65D0E" w:rsidP="00885D22">
      <w:pPr>
        <w:pStyle w:val="ListBullet"/>
        <w:rPr>
          <w:i/>
        </w:rPr>
      </w:pPr>
      <w:r>
        <w:t>TPN flask (as per medical prescription) with light protective cover</w:t>
      </w:r>
    </w:p>
    <w:p w14:paraId="39ED7D91" w14:textId="657C8C96" w:rsidR="00F65D0E" w:rsidRPr="00024F9C" w:rsidRDefault="00F65D0E" w:rsidP="00885D22">
      <w:pPr>
        <w:pStyle w:val="ListBullet"/>
        <w:rPr>
          <w:i/>
        </w:rPr>
      </w:pPr>
      <w:r>
        <w:t xml:space="preserve">Clean </w:t>
      </w:r>
      <w:r w:rsidR="001601D9">
        <w:t>non</w:t>
      </w:r>
      <w:r w:rsidR="003F4EA1">
        <w:t>-</w:t>
      </w:r>
      <w:r w:rsidR="001601D9">
        <w:t xml:space="preserve">sterile </w:t>
      </w:r>
      <w:r>
        <w:t>gloves</w:t>
      </w:r>
    </w:p>
    <w:p w14:paraId="39ED7D92" w14:textId="77777777" w:rsidR="00024F9C" w:rsidRPr="00F65D0E" w:rsidRDefault="00024F9C" w:rsidP="00885D22">
      <w:pPr>
        <w:pStyle w:val="ListBullet"/>
        <w:rPr>
          <w:i/>
        </w:rPr>
      </w:pPr>
      <w:r>
        <w:t>Clean gown</w:t>
      </w:r>
    </w:p>
    <w:p w14:paraId="39ED7D93" w14:textId="77777777" w:rsidR="00F65D0E" w:rsidRPr="00F65D0E" w:rsidRDefault="00C34ADC" w:rsidP="00885D22">
      <w:pPr>
        <w:pStyle w:val="ListBullet"/>
        <w:rPr>
          <w:i/>
        </w:rPr>
      </w:pPr>
      <w:r>
        <w:t>Light protect</w:t>
      </w:r>
      <w:r w:rsidR="008E6BD4">
        <w:t>ed</w:t>
      </w:r>
      <w:r>
        <w:t xml:space="preserve"> i</w:t>
      </w:r>
      <w:r w:rsidR="00F65D0E">
        <w:t>ntravenous giving set</w:t>
      </w:r>
      <w:r w:rsidR="00A40CDC">
        <w:t xml:space="preserve"> (in outpatient settings, standard intravenous giving set can be used)</w:t>
      </w:r>
    </w:p>
    <w:p w14:paraId="39ED7D94" w14:textId="77777777" w:rsidR="00F65D0E" w:rsidRPr="00F65D0E" w:rsidRDefault="00F65D0E" w:rsidP="00885D22">
      <w:pPr>
        <w:pStyle w:val="ListBullet"/>
        <w:rPr>
          <w:i/>
        </w:rPr>
      </w:pPr>
      <w:r>
        <w:t>Infusion pump device attached to IV pole</w:t>
      </w:r>
    </w:p>
    <w:p w14:paraId="39ED7D95" w14:textId="77777777" w:rsidR="00F65D0E" w:rsidRPr="00F65D0E" w:rsidRDefault="00F65D0E" w:rsidP="00885D22">
      <w:pPr>
        <w:pStyle w:val="ListBullet"/>
        <w:rPr>
          <w:i/>
        </w:rPr>
      </w:pPr>
      <w:r>
        <w:t>Sterile dressing pack</w:t>
      </w:r>
    </w:p>
    <w:p w14:paraId="39ED7D96" w14:textId="77777777" w:rsidR="00F65D0E" w:rsidRPr="00F65D0E" w:rsidRDefault="00F65D0E" w:rsidP="00885D22">
      <w:pPr>
        <w:pStyle w:val="ListBullet"/>
        <w:rPr>
          <w:i/>
        </w:rPr>
      </w:pPr>
      <w:r>
        <w:t>Sterile gauze</w:t>
      </w:r>
    </w:p>
    <w:p w14:paraId="39ED7D97" w14:textId="77777777" w:rsidR="00F65D0E" w:rsidRPr="00F65D0E" w:rsidRDefault="00F65D0E" w:rsidP="00885D22">
      <w:pPr>
        <w:pStyle w:val="ListBullet"/>
        <w:rPr>
          <w:i/>
        </w:rPr>
      </w:pPr>
      <w:r>
        <w:t>Sterile gloves</w:t>
      </w:r>
    </w:p>
    <w:p w14:paraId="39ED7D98" w14:textId="77777777" w:rsidR="00F65D0E" w:rsidRPr="00F65D0E" w:rsidRDefault="00F65D0E" w:rsidP="00885D22">
      <w:pPr>
        <w:pStyle w:val="ListBullet"/>
        <w:rPr>
          <w:i/>
        </w:rPr>
      </w:pPr>
      <w:r>
        <w:lastRenderedPageBreak/>
        <w:t xml:space="preserve">Chlorhexidine 2% alcohol 70% swabs x </w:t>
      </w:r>
      <w:r w:rsidR="00582026">
        <w:t>3</w:t>
      </w:r>
    </w:p>
    <w:p w14:paraId="39ED7D99" w14:textId="77777777" w:rsidR="00F65D0E" w:rsidRPr="00F65D0E" w:rsidRDefault="00F65D0E" w:rsidP="00885D22">
      <w:pPr>
        <w:pStyle w:val="ListBullet"/>
        <w:rPr>
          <w:i/>
        </w:rPr>
      </w:pPr>
      <w:r>
        <w:t>10m</w:t>
      </w:r>
      <w:r w:rsidR="00C321C4">
        <w:t>L</w:t>
      </w:r>
      <w:r>
        <w:t xml:space="preserve"> </w:t>
      </w:r>
      <w:r w:rsidR="00D53814">
        <w:t>0.9% Sodium Chloride</w:t>
      </w:r>
      <w:r>
        <w:t xml:space="preserve"> x 1</w:t>
      </w:r>
    </w:p>
    <w:p w14:paraId="39ED7D9A" w14:textId="77777777" w:rsidR="00F65D0E" w:rsidRPr="00F65D0E" w:rsidRDefault="00F65D0E" w:rsidP="00885D22">
      <w:pPr>
        <w:pStyle w:val="ListBullet"/>
        <w:rPr>
          <w:i/>
        </w:rPr>
      </w:pPr>
      <w:r>
        <w:t>Blunt drawing up needle</w:t>
      </w:r>
    </w:p>
    <w:p w14:paraId="39ED7D9B" w14:textId="693D6A46" w:rsidR="00F65D0E" w:rsidRPr="00B77095" w:rsidRDefault="00F65D0E" w:rsidP="00885D22">
      <w:pPr>
        <w:pStyle w:val="ListBullet"/>
        <w:rPr>
          <w:i/>
        </w:rPr>
      </w:pPr>
      <w:r>
        <w:t>10m</w:t>
      </w:r>
      <w:r w:rsidR="00C321C4">
        <w:t>L</w:t>
      </w:r>
      <w:r>
        <w:t xml:space="preserve"> </w:t>
      </w:r>
      <w:proofErr w:type="spellStart"/>
      <w:r>
        <w:t>luer</w:t>
      </w:r>
      <w:proofErr w:type="spellEnd"/>
      <w:r>
        <w:t xml:space="preserve"> lock syringe</w:t>
      </w:r>
    </w:p>
    <w:p w14:paraId="7422F271" w14:textId="7C91E94C" w:rsidR="00EB62C7" w:rsidRPr="00F65D0E" w:rsidRDefault="0050416C" w:rsidP="00885D22">
      <w:pPr>
        <w:pStyle w:val="ListBullet"/>
        <w:rPr>
          <w:i/>
        </w:rPr>
      </w:pPr>
      <w:r>
        <w:t>IV-line</w:t>
      </w:r>
      <w:r w:rsidR="00EB62C7">
        <w:t xml:space="preserve"> label</w:t>
      </w:r>
    </w:p>
    <w:p w14:paraId="39ED7D9F" w14:textId="77777777" w:rsidR="007B6904" w:rsidRDefault="007B6904" w:rsidP="007B6904">
      <w:bookmarkStart w:id="20" w:name="_Toc389473280"/>
    </w:p>
    <w:p w14:paraId="39ED7DA0" w14:textId="77777777" w:rsidR="007B6904" w:rsidRPr="00E850C6" w:rsidRDefault="007B6904" w:rsidP="00E850C6">
      <w:pPr>
        <w:rPr>
          <w:b/>
        </w:rPr>
      </w:pPr>
      <w:r w:rsidRPr="00E850C6">
        <w:rPr>
          <w:b/>
        </w:rPr>
        <w:t>Procedure</w:t>
      </w:r>
      <w:bookmarkEnd w:id="20"/>
      <w:r w:rsidRPr="00E850C6">
        <w:rPr>
          <w:b/>
        </w:rPr>
        <w:t xml:space="preserve"> </w:t>
      </w:r>
    </w:p>
    <w:p w14:paraId="39ED7DA1" w14:textId="77777777" w:rsidR="007B6904" w:rsidRDefault="00C34ADC" w:rsidP="00C66911">
      <w:pPr>
        <w:pStyle w:val="ListParagraph"/>
        <w:numPr>
          <w:ilvl w:val="0"/>
          <w:numId w:val="11"/>
        </w:numPr>
        <w:ind w:left="426" w:hanging="426"/>
        <w:rPr>
          <w:rFonts w:cs="Arial"/>
          <w:szCs w:val="24"/>
        </w:rPr>
      </w:pPr>
      <w:r>
        <w:rPr>
          <w:rFonts w:cs="Arial"/>
          <w:szCs w:val="24"/>
        </w:rPr>
        <w:t>Attend hand hygiene</w:t>
      </w:r>
    </w:p>
    <w:p w14:paraId="39ED7DA2" w14:textId="4D546193" w:rsidR="00C34ADC" w:rsidRPr="00C34ADC" w:rsidRDefault="00C34ADC" w:rsidP="00C66911">
      <w:pPr>
        <w:pStyle w:val="ListParagraph"/>
        <w:numPr>
          <w:ilvl w:val="0"/>
          <w:numId w:val="11"/>
        </w:numPr>
        <w:ind w:left="426" w:hanging="426"/>
        <w:rPr>
          <w:rFonts w:cs="Arial"/>
          <w:szCs w:val="24"/>
        </w:rPr>
      </w:pPr>
      <w:r w:rsidRPr="00C34ADC">
        <w:rPr>
          <w:rFonts w:asciiTheme="minorHAnsi" w:hAnsiTheme="minorHAnsi" w:cs="Arial"/>
          <w:szCs w:val="24"/>
        </w:rPr>
        <w:t xml:space="preserve">Clean dressing trolley </w:t>
      </w:r>
    </w:p>
    <w:p w14:paraId="39ED7DA3" w14:textId="77777777" w:rsidR="00C34ADC" w:rsidRPr="00C34ADC" w:rsidRDefault="00C34ADC" w:rsidP="00C66911">
      <w:pPr>
        <w:pStyle w:val="ListParagraph"/>
        <w:numPr>
          <w:ilvl w:val="0"/>
          <w:numId w:val="11"/>
        </w:numPr>
        <w:ind w:left="426" w:hanging="426"/>
        <w:rPr>
          <w:rFonts w:cs="Arial"/>
          <w:szCs w:val="24"/>
        </w:rPr>
      </w:pPr>
      <w:r w:rsidRPr="00C34ADC">
        <w:rPr>
          <w:rFonts w:cs="Arial"/>
          <w:szCs w:val="24"/>
        </w:rPr>
        <w:t>Collect equipment</w:t>
      </w:r>
    </w:p>
    <w:p w14:paraId="39ED7DA4" w14:textId="77777777" w:rsidR="00C34ADC" w:rsidRDefault="00C34ADC" w:rsidP="00C66911">
      <w:pPr>
        <w:pStyle w:val="ListParagraph"/>
        <w:numPr>
          <w:ilvl w:val="0"/>
          <w:numId w:val="11"/>
        </w:numPr>
        <w:ind w:left="426" w:hanging="426"/>
        <w:rPr>
          <w:rFonts w:cs="Arial"/>
          <w:szCs w:val="24"/>
        </w:rPr>
      </w:pPr>
      <w:r>
        <w:rPr>
          <w:rFonts w:cs="Arial"/>
          <w:szCs w:val="24"/>
        </w:rPr>
        <w:t>Remove TPN from refrigerator</w:t>
      </w:r>
      <w:r w:rsidR="006B097F">
        <w:rPr>
          <w:rFonts w:cs="Arial"/>
          <w:szCs w:val="24"/>
        </w:rPr>
        <w:t xml:space="preserve"> and place on trolley</w:t>
      </w:r>
    </w:p>
    <w:p w14:paraId="4FAAFAA3" w14:textId="39302CC7" w:rsidR="00EB62C7" w:rsidRPr="00EB62C7" w:rsidRDefault="00C34ADC" w:rsidP="00C66911">
      <w:pPr>
        <w:pStyle w:val="ListParagraph"/>
        <w:numPr>
          <w:ilvl w:val="0"/>
          <w:numId w:val="11"/>
        </w:numPr>
        <w:ind w:left="426" w:hanging="426"/>
        <w:rPr>
          <w:rFonts w:cs="Arial"/>
          <w:szCs w:val="24"/>
        </w:rPr>
      </w:pPr>
      <w:r>
        <w:rPr>
          <w:rFonts w:cs="Arial"/>
          <w:szCs w:val="24"/>
        </w:rPr>
        <w:t>Check TPN prescription order against the prepared TPN with another</w:t>
      </w:r>
      <w:r w:rsidR="00EB62C7">
        <w:rPr>
          <w:rFonts w:cs="Arial"/>
          <w:szCs w:val="24"/>
        </w:rPr>
        <w:t xml:space="preserve"> nurse or doctor. Check TPN for discolouration.</w:t>
      </w:r>
    </w:p>
    <w:p w14:paraId="39ED7DA7" w14:textId="7D9CD473" w:rsidR="00C34ADC" w:rsidRDefault="00C34ADC" w:rsidP="00C66911">
      <w:pPr>
        <w:pStyle w:val="ListParagraph"/>
        <w:numPr>
          <w:ilvl w:val="0"/>
          <w:numId w:val="11"/>
        </w:numPr>
        <w:ind w:left="426" w:hanging="426"/>
        <w:rPr>
          <w:rFonts w:cs="Arial"/>
          <w:szCs w:val="24"/>
        </w:rPr>
      </w:pPr>
      <w:r>
        <w:rPr>
          <w:rFonts w:cs="Arial"/>
          <w:szCs w:val="24"/>
        </w:rPr>
        <w:t xml:space="preserve">Explain the procedure to the patient and </w:t>
      </w:r>
      <w:r w:rsidR="004E476A">
        <w:rPr>
          <w:rFonts w:cs="Arial"/>
          <w:szCs w:val="24"/>
        </w:rPr>
        <w:t xml:space="preserve">obtain </w:t>
      </w:r>
      <w:r>
        <w:rPr>
          <w:rFonts w:cs="Arial"/>
          <w:szCs w:val="24"/>
        </w:rPr>
        <w:t>verbal consent</w:t>
      </w:r>
      <w:r w:rsidR="00810A8B">
        <w:rPr>
          <w:rFonts w:cs="Arial"/>
          <w:szCs w:val="24"/>
        </w:rPr>
        <w:t xml:space="preserve"> for the administration </w:t>
      </w:r>
      <w:r w:rsidR="003F4EA1">
        <w:rPr>
          <w:rFonts w:cs="Arial"/>
          <w:szCs w:val="24"/>
        </w:rPr>
        <w:t>o</w:t>
      </w:r>
      <w:r w:rsidR="00810A8B">
        <w:rPr>
          <w:rFonts w:cs="Arial"/>
          <w:szCs w:val="24"/>
        </w:rPr>
        <w:t>f TPN</w:t>
      </w:r>
    </w:p>
    <w:p w14:paraId="39ED7DA8" w14:textId="77777777" w:rsidR="006B097F" w:rsidRPr="00C34ADC" w:rsidRDefault="006B097F" w:rsidP="00C66911">
      <w:pPr>
        <w:pStyle w:val="ListParagraph"/>
        <w:numPr>
          <w:ilvl w:val="0"/>
          <w:numId w:val="11"/>
        </w:numPr>
        <w:ind w:left="426" w:hanging="426"/>
        <w:rPr>
          <w:rFonts w:cs="Arial"/>
          <w:szCs w:val="24"/>
        </w:rPr>
      </w:pPr>
      <w:r>
        <w:rPr>
          <w:rFonts w:cs="Arial"/>
          <w:szCs w:val="24"/>
        </w:rPr>
        <w:t>Attend hand hygiene</w:t>
      </w:r>
    </w:p>
    <w:p w14:paraId="39ED7DA9" w14:textId="77777777" w:rsidR="00CA4ACD" w:rsidRDefault="004E35B0" w:rsidP="00C66911">
      <w:pPr>
        <w:pStyle w:val="ListParagraph"/>
        <w:numPr>
          <w:ilvl w:val="0"/>
          <w:numId w:val="11"/>
        </w:numPr>
        <w:ind w:left="426" w:hanging="426"/>
        <w:rPr>
          <w:rFonts w:cs="Arial"/>
          <w:szCs w:val="24"/>
        </w:rPr>
      </w:pPr>
      <w:r>
        <w:rPr>
          <w:rFonts w:cs="Arial"/>
          <w:szCs w:val="24"/>
        </w:rPr>
        <w:t xml:space="preserve">Attend patient identification check with </w:t>
      </w:r>
      <w:r w:rsidRPr="004E35B0">
        <w:rPr>
          <w:rFonts w:cs="Arial"/>
          <w:szCs w:val="24"/>
        </w:rPr>
        <w:t xml:space="preserve">second staff member </w:t>
      </w:r>
      <w:r w:rsidR="006B097F">
        <w:rPr>
          <w:rFonts w:cs="Arial"/>
          <w:szCs w:val="24"/>
        </w:rPr>
        <w:t>at the patient’s bedside</w:t>
      </w:r>
      <w:r>
        <w:rPr>
          <w:rFonts w:cs="Arial"/>
          <w:szCs w:val="24"/>
        </w:rPr>
        <w:t xml:space="preserve"> utilising the </w:t>
      </w:r>
      <w:r w:rsidR="006B097F">
        <w:rPr>
          <w:rFonts w:cs="Arial"/>
          <w:szCs w:val="24"/>
        </w:rPr>
        <w:t>three core identifiers. Confirm</w:t>
      </w:r>
      <w:r>
        <w:rPr>
          <w:rFonts w:cs="Arial"/>
          <w:szCs w:val="24"/>
        </w:rPr>
        <w:t xml:space="preserve"> patient information on </w:t>
      </w:r>
    </w:p>
    <w:p w14:paraId="39ED7DAA" w14:textId="77777777" w:rsidR="00CA4ACD" w:rsidRPr="00885D22" w:rsidRDefault="004E35B0" w:rsidP="00C66911">
      <w:pPr>
        <w:pStyle w:val="ListParagraph"/>
        <w:numPr>
          <w:ilvl w:val="0"/>
          <w:numId w:val="29"/>
        </w:numPr>
        <w:ind w:left="709" w:hanging="283"/>
        <w:rPr>
          <w:rFonts w:cs="Arial"/>
          <w:szCs w:val="24"/>
        </w:rPr>
      </w:pPr>
      <w:r w:rsidRPr="00885D22">
        <w:rPr>
          <w:rFonts w:cs="Arial"/>
          <w:szCs w:val="24"/>
        </w:rPr>
        <w:t>patient identifica</w:t>
      </w:r>
      <w:r w:rsidR="006B097F" w:rsidRPr="00885D22">
        <w:rPr>
          <w:rFonts w:cs="Arial"/>
          <w:szCs w:val="24"/>
        </w:rPr>
        <w:t xml:space="preserve">tion band </w:t>
      </w:r>
    </w:p>
    <w:p w14:paraId="39ED7DAB" w14:textId="77777777" w:rsidR="00CA4ACD" w:rsidRPr="00885D22" w:rsidRDefault="006B097F" w:rsidP="00C66911">
      <w:pPr>
        <w:pStyle w:val="ListParagraph"/>
        <w:numPr>
          <w:ilvl w:val="0"/>
          <w:numId w:val="29"/>
        </w:numPr>
        <w:ind w:left="709" w:hanging="283"/>
        <w:rPr>
          <w:rFonts w:cs="Arial"/>
          <w:szCs w:val="24"/>
        </w:rPr>
      </w:pPr>
      <w:r w:rsidRPr="00885D22">
        <w:rPr>
          <w:rFonts w:cs="Arial"/>
          <w:szCs w:val="24"/>
        </w:rPr>
        <w:t>TPN prescription</w:t>
      </w:r>
    </w:p>
    <w:p w14:paraId="39ED7DAC" w14:textId="77777777" w:rsidR="00CA4ACD" w:rsidRPr="00885D22" w:rsidRDefault="004E35B0" w:rsidP="00C66911">
      <w:pPr>
        <w:pStyle w:val="ListParagraph"/>
        <w:numPr>
          <w:ilvl w:val="0"/>
          <w:numId w:val="29"/>
        </w:numPr>
        <w:ind w:left="709" w:hanging="283"/>
        <w:rPr>
          <w:rFonts w:cs="Arial"/>
          <w:szCs w:val="24"/>
        </w:rPr>
      </w:pPr>
      <w:r w:rsidRPr="00885D22">
        <w:rPr>
          <w:rFonts w:cs="Arial"/>
          <w:szCs w:val="24"/>
        </w:rPr>
        <w:t xml:space="preserve">TPN </w:t>
      </w:r>
      <w:r w:rsidR="006B097F" w:rsidRPr="00885D22">
        <w:rPr>
          <w:rFonts w:cs="Arial"/>
          <w:szCs w:val="24"/>
        </w:rPr>
        <w:t>light sensitive cover</w:t>
      </w:r>
      <w:r w:rsidR="007527F5" w:rsidRPr="00885D22">
        <w:rPr>
          <w:rFonts w:cs="Arial"/>
          <w:szCs w:val="24"/>
        </w:rPr>
        <w:t>,</w:t>
      </w:r>
      <w:r w:rsidR="006B097F" w:rsidRPr="00885D22">
        <w:rPr>
          <w:rFonts w:cs="Arial"/>
          <w:szCs w:val="24"/>
        </w:rPr>
        <w:t xml:space="preserve"> and </w:t>
      </w:r>
    </w:p>
    <w:p w14:paraId="39ED7DAD" w14:textId="77777777" w:rsidR="004E35B0" w:rsidRPr="00885D22" w:rsidRDefault="006B097F" w:rsidP="00C66911">
      <w:pPr>
        <w:pStyle w:val="ListParagraph"/>
        <w:numPr>
          <w:ilvl w:val="0"/>
          <w:numId w:val="29"/>
        </w:numPr>
        <w:ind w:left="709" w:hanging="283"/>
        <w:rPr>
          <w:rFonts w:cs="Arial"/>
          <w:szCs w:val="24"/>
        </w:rPr>
      </w:pPr>
      <w:r w:rsidRPr="00885D22">
        <w:rPr>
          <w:rFonts w:cs="Arial"/>
          <w:szCs w:val="24"/>
        </w:rPr>
        <w:t xml:space="preserve">TPN </w:t>
      </w:r>
      <w:r w:rsidR="004E35B0" w:rsidRPr="00885D22">
        <w:rPr>
          <w:rFonts w:cs="Arial"/>
          <w:szCs w:val="24"/>
        </w:rPr>
        <w:t>bag</w:t>
      </w:r>
      <w:r w:rsidRPr="00885D22">
        <w:rPr>
          <w:rFonts w:cs="Arial"/>
          <w:szCs w:val="24"/>
        </w:rPr>
        <w:t xml:space="preserve"> with verbal confirmation from patient</w:t>
      </w:r>
      <w:r w:rsidR="006C4860" w:rsidRPr="00885D22">
        <w:rPr>
          <w:rFonts w:cs="Arial"/>
          <w:szCs w:val="24"/>
        </w:rPr>
        <w:t xml:space="preserve">. </w:t>
      </w:r>
    </w:p>
    <w:p w14:paraId="39ED7DAE" w14:textId="77777777" w:rsidR="006B097F" w:rsidRPr="004E35B0" w:rsidRDefault="006B097F" w:rsidP="00C66911">
      <w:pPr>
        <w:pStyle w:val="ListParagraph"/>
        <w:numPr>
          <w:ilvl w:val="0"/>
          <w:numId w:val="11"/>
        </w:numPr>
        <w:ind w:left="426" w:hanging="426"/>
        <w:rPr>
          <w:rFonts w:cs="Arial"/>
          <w:szCs w:val="24"/>
        </w:rPr>
      </w:pPr>
      <w:r>
        <w:rPr>
          <w:rFonts w:cs="Arial"/>
          <w:szCs w:val="24"/>
        </w:rPr>
        <w:t>Attend hand hygiene</w:t>
      </w:r>
    </w:p>
    <w:p w14:paraId="39ED7DAF" w14:textId="77777777" w:rsidR="006B097F" w:rsidRDefault="006B097F" w:rsidP="00C66911">
      <w:pPr>
        <w:pStyle w:val="ListParagraph"/>
        <w:numPr>
          <w:ilvl w:val="0"/>
          <w:numId w:val="11"/>
        </w:numPr>
        <w:ind w:left="426" w:hanging="426"/>
        <w:rPr>
          <w:rFonts w:cs="Arial"/>
          <w:szCs w:val="24"/>
        </w:rPr>
      </w:pPr>
      <w:r>
        <w:rPr>
          <w:rFonts w:cs="Arial"/>
          <w:szCs w:val="24"/>
        </w:rPr>
        <w:t>Roll up light protective cover to allow access to TPN access port</w:t>
      </w:r>
    </w:p>
    <w:p w14:paraId="39ED7DB0" w14:textId="77777777" w:rsidR="006B097F" w:rsidRDefault="006B097F" w:rsidP="00C66911">
      <w:pPr>
        <w:pStyle w:val="ListParagraph"/>
        <w:numPr>
          <w:ilvl w:val="0"/>
          <w:numId w:val="11"/>
        </w:numPr>
        <w:ind w:left="426" w:hanging="426"/>
        <w:rPr>
          <w:rFonts w:cs="Arial"/>
          <w:szCs w:val="24"/>
        </w:rPr>
      </w:pPr>
      <w:r>
        <w:rPr>
          <w:rFonts w:cs="Arial"/>
          <w:szCs w:val="24"/>
        </w:rPr>
        <w:t>Attend hand hygiene</w:t>
      </w:r>
    </w:p>
    <w:p w14:paraId="39ED7DB1" w14:textId="67CC98F3" w:rsidR="00C97AB6" w:rsidRPr="00C97AB6" w:rsidRDefault="006B097F" w:rsidP="00C66911">
      <w:pPr>
        <w:pStyle w:val="ListParagraph"/>
        <w:numPr>
          <w:ilvl w:val="0"/>
          <w:numId w:val="11"/>
        </w:numPr>
        <w:ind w:left="426" w:hanging="426"/>
        <w:rPr>
          <w:rFonts w:cs="Arial"/>
          <w:szCs w:val="24"/>
        </w:rPr>
      </w:pPr>
      <w:r>
        <w:rPr>
          <w:rFonts w:cs="Arial"/>
          <w:szCs w:val="24"/>
        </w:rPr>
        <w:t>Apply clean</w:t>
      </w:r>
      <w:r w:rsidR="001601D9">
        <w:rPr>
          <w:rFonts w:cs="Arial"/>
          <w:szCs w:val="24"/>
        </w:rPr>
        <w:t xml:space="preserve"> </w:t>
      </w:r>
      <w:r w:rsidR="00C66911">
        <w:rPr>
          <w:rFonts w:cs="Arial"/>
          <w:szCs w:val="24"/>
        </w:rPr>
        <w:t>nonsterile</w:t>
      </w:r>
      <w:r>
        <w:rPr>
          <w:rFonts w:cs="Arial"/>
          <w:szCs w:val="24"/>
        </w:rPr>
        <w:t xml:space="preserve"> gloves</w:t>
      </w:r>
    </w:p>
    <w:p w14:paraId="39ED7DB2" w14:textId="77777777" w:rsidR="006B097F" w:rsidRDefault="006B097F" w:rsidP="00C66911">
      <w:pPr>
        <w:pStyle w:val="ListParagraph"/>
        <w:numPr>
          <w:ilvl w:val="0"/>
          <w:numId w:val="11"/>
        </w:numPr>
        <w:ind w:left="426" w:hanging="426"/>
        <w:rPr>
          <w:rFonts w:cs="Arial"/>
          <w:szCs w:val="24"/>
        </w:rPr>
      </w:pPr>
      <w:r>
        <w:rPr>
          <w:rFonts w:cs="Arial"/>
          <w:szCs w:val="24"/>
        </w:rPr>
        <w:t>Access insertion port on TPN bag by removing blue tab (when using</w:t>
      </w:r>
      <w:r w:rsidR="004E476A">
        <w:rPr>
          <w:rFonts w:cs="Arial"/>
          <w:szCs w:val="24"/>
        </w:rPr>
        <w:t xml:space="preserve"> </w:t>
      </w:r>
      <w:r w:rsidR="00D81121">
        <w:rPr>
          <w:rFonts w:cs="Arial"/>
          <w:szCs w:val="24"/>
        </w:rPr>
        <w:t>‘SMOF</w:t>
      </w:r>
      <w:r w:rsidR="004E476A">
        <w:rPr>
          <w:rFonts w:cs="Arial"/>
          <w:szCs w:val="24"/>
        </w:rPr>
        <w:t xml:space="preserve"> </w:t>
      </w:r>
      <w:proofErr w:type="spellStart"/>
      <w:r w:rsidR="00D81121">
        <w:rPr>
          <w:rFonts w:cs="Arial"/>
          <w:szCs w:val="24"/>
        </w:rPr>
        <w:t>Kabiven</w:t>
      </w:r>
      <w:proofErr w:type="spellEnd"/>
      <w:r w:rsidR="00D81121">
        <w:rPr>
          <w:rFonts w:cs="Arial"/>
          <w:szCs w:val="24"/>
        </w:rPr>
        <w:t>’ brand</w:t>
      </w:r>
      <w:r w:rsidR="000A795F">
        <w:rPr>
          <w:rFonts w:cs="Arial"/>
          <w:szCs w:val="24"/>
        </w:rPr>
        <w:t xml:space="preserve"> </w:t>
      </w:r>
      <w:r w:rsidR="00A011DA">
        <w:rPr>
          <w:rFonts w:cs="Arial"/>
          <w:szCs w:val="24"/>
        </w:rPr>
        <w:t>flask)</w:t>
      </w:r>
    </w:p>
    <w:p w14:paraId="39ED7DB3" w14:textId="77777777" w:rsidR="00C97AB6" w:rsidRPr="00EE47C7" w:rsidRDefault="00C97AB6" w:rsidP="00C66911">
      <w:pPr>
        <w:pStyle w:val="NoSpacing"/>
        <w:numPr>
          <w:ilvl w:val="0"/>
          <w:numId w:val="11"/>
        </w:numPr>
        <w:ind w:left="426" w:hanging="426"/>
        <w:rPr>
          <w:b/>
          <w:sz w:val="24"/>
          <w:szCs w:val="24"/>
        </w:rPr>
      </w:pPr>
      <w:r>
        <w:rPr>
          <w:sz w:val="24"/>
          <w:szCs w:val="24"/>
        </w:rPr>
        <w:t xml:space="preserve">Swab insertion port on TPN bag </w:t>
      </w:r>
      <w:r w:rsidRPr="00EE47C7">
        <w:rPr>
          <w:sz w:val="24"/>
          <w:szCs w:val="24"/>
        </w:rPr>
        <w:t xml:space="preserve">vigorously with chlorhexidine 2% alcohol 70% </w:t>
      </w:r>
      <w:r w:rsidR="00582026">
        <w:rPr>
          <w:sz w:val="24"/>
          <w:szCs w:val="24"/>
        </w:rPr>
        <w:t>swab</w:t>
      </w:r>
      <w:r w:rsidR="00582026" w:rsidRPr="00EE47C7">
        <w:rPr>
          <w:sz w:val="24"/>
          <w:szCs w:val="24"/>
        </w:rPr>
        <w:t xml:space="preserve"> </w:t>
      </w:r>
      <w:r w:rsidRPr="00EE47C7">
        <w:rPr>
          <w:sz w:val="24"/>
          <w:szCs w:val="24"/>
        </w:rPr>
        <w:t xml:space="preserve">for 10 seconds. Allow to dry for </w:t>
      </w:r>
      <w:r w:rsidRPr="00EE47C7">
        <w:rPr>
          <w:b/>
          <w:sz w:val="24"/>
          <w:szCs w:val="24"/>
        </w:rPr>
        <w:t xml:space="preserve">30 seconds. </w:t>
      </w:r>
    </w:p>
    <w:p w14:paraId="39ED7DB4" w14:textId="60AD0A25" w:rsidR="006B097F" w:rsidRDefault="00EB62C7" w:rsidP="00C66911">
      <w:pPr>
        <w:pStyle w:val="ListParagraph"/>
        <w:numPr>
          <w:ilvl w:val="0"/>
          <w:numId w:val="11"/>
        </w:numPr>
        <w:ind w:left="426" w:hanging="426"/>
        <w:rPr>
          <w:rFonts w:cs="Arial"/>
          <w:szCs w:val="24"/>
        </w:rPr>
      </w:pPr>
      <w:r>
        <w:rPr>
          <w:rFonts w:cs="Arial"/>
          <w:szCs w:val="24"/>
        </w:rPr>
        <w:t>While TPN is still lying flat on the trolley, s</w:t>
      </w:r>
      <w:r w:rsidR="006B097F">
        <w:rPr>
          <w:rFonts w:cs="Arial"/>
          <w:szCs w:val="24"/>
        </w:rPr>
        <w:t xml:space="preserve">pike the prepared TPN bag </w:t>
      </w:r>
      <w:r w:rsidR="004A086E">
        <w:rPr>
          <w:rFonts w:cs="Arial"/>
          <w:szCs w:val="24"/>
        </w:rPr>
        <w:t xml:space="preserve">using </w:t>
      </w:r>
      <w:r w:rsidR="006B097F">
        <w:rPr>
          <w:rFonts w:cs="Arial"/>
          <w:szCs w:val="24"/>
        </w:rPr>
        <w:t>standard aseptic non touch technique (ANTT)</w:t>
      </w:r>
    </w:p>
    <w:p w14:paraId="39ED7DB5" w14:textId="77777777" w:rsidR="006B097F" w:rsidRDefault="006B097F" w:rsidP="00C66911">
      <w:pPr>
        <w:pStyle w:val="ListParagraph"/>
        <w:numPr>
          <w:ilvl w:val="0"/>
          <w:numId w:val="11"/>
        </w:numPr>
        <w:ind w:left="426" w:hanging="426"/>
        <w:rPr>
          <w:rFonts w:cs="Arial"/>
          <w:szCs w:val="24"/>
        </w:rPr>
      </w:pPr>
      <w:r w:rsidRPr="006C4860">
        <w:rPr>
          <w:rFonts w:cs="Arial"/>
          <w:szCs w:val="24"/>
        </w:rPr>
        <w:t xml:space="preserve">Hang the bag on the intravenous pole </w:t>
      </w:r>
      <w:r w:rsidR="006C4860" w:rsidRPr="006C4860">
        <w:rPr>
          <w:rFonts w:cs="Arial"/>
          <w:szCs w:val="24"/>
        </w:rPr>
        <w:t xml:space="preserve">and </w:t>
      </w:r>
      <w:r w:rsidR="004E476A">
        <w:rPr>
          <w:rFonts w:cs="Arial"/>
          <w:szCs w:val="24"/>
        </w:rPr>
        <w:t>re-app</w:t>
      </w:r>
      <w:r w:rsidR="000A795F">
        <w:rPr>
          <w:rFonts w:cs="Arial"/>
          <w:szCs w:val="24"/>
        </w:rPr>
        <w:t>l</w:t>
      </w:r>
      <w:r w:rsidR="004E476A">
        <w:rPr>
          <w:rFonts w:cs="Arial"/>
          <w:szCs w:val="24"/>
        </w:rPr>
        <w:t>y</w:t>
      </w:r>
      <w:r w:rsidR="004E476A" w:rsidRPr="006C4860">
        <w:rPr>
          <w:rFonts w:cs="Arial"/>
          <w:szCs w:val="24"/>
        </w:rPr>
        <w:t xml:space="preserve"> </w:t>
      </w:r>
      <w:r w:rsidRPr="006C4860">
        <w:rPr>
          <w:rFonts w:cs="Arial"/>
          <w:szCs w:val="24"/>
        </w:rPr>
        <w:t>light protect cover</w:t>
      </w:r>
    </w:p>
    <w:p w14:paraId="5C0BAE52" w14:textId="605D7D4D" w:rsidR="00EB62C7" w:rsidRDefault="00EB62C7" w:rsidP="00C66911">
      <w:pPr>
        <w:pStyle w:val="ListParagraph"/>
        <w:numPr>
          <w:ilvl w:val="0"/>
          <w:numId w:val="11"/>
        </w:numPr>
        <w:ind w:left="426" w:hanging="426"/>
        <w:rPr>
          <w:rFonts w:cs="Arial"/>
          <w:szCs w:val="24"/>
        </w:rPr>
      </w:pPr>
      <w:r>
        <w:rPr>
          <w:rFonts w:cs="Arial"/>
          <w:szCs w:val="24"/>
        </w:rPr>
        <w:t>Label IV line</w:t>
      </w:r>
      <w:r w:rsidR="003F4EA1">
        <w:rPr>
          <w:rFonts w:cs="Arial"/>
          <w:szCs w:val="24"/>
        </w:rPr>
        <w:t xml:space="preserve"> as per </w:t>
      </w:r>
      <w:r w:rsidR="003F4EA1" w:rsidRPr="00163A6F">
        <w:rPr>
          <w:rFonts w:cs="Arial"/>
          <w:i/>
          <w:iCs/>
          <w:szCs w:val="24"/>
        </w:rPr>
        <w:t>National Standard for User applied Labelling of Injectable Medicines, Fluids and Lines procedure</w:t>
      </w:r>
      <w:r>
        <w:rPr>
          <w:rFonts w:cs="Arial"/>
          <w:szCs w:val="24"/>
        </w:rPr>
        <w:t xml:space="preserve"> </w:t>
      </w:r>
    </w:p>
    <w:p w14:paraId="6BE8A773" w14:textId="3C483486" w:rsidR="00A86967" w:rsidRPr="00A86967" w:rsidRDefault="00A86967" w:rsidP="00C66911">
      <w:pPr>
        <w:pStyle w:val="ListParagraph"/>
        <w:numPr>
          <w:ilvl w:val="0"/>
          <w:numId w:val="11"/>
        </w:numPr>
        <w:ind w:left="426" w:hanging="426"/>
        <w:rPr>
          <w:rFonts w:cs="Arial"/>
          <w:szCs w:val="24"/>
        </w:rPr>
      </w:pPr>
      <w:r>
        <w:rPr>
          <w:rFonts w:cs="Arial"/>
          <w:szCs w:val="24"/>
        </w:rPr>
        <w:t>Insert line in IV pump and use machine to prime line. (Alternatively, the line can be primed before the line is inserted in the machine, according to clinician preference.)</w:t>
      </w:r>
    </w:p>
    <w:p w14:paraId="39ED7DB7" w14:textId="77777777" w:rsidR="00942AFB" w:rsidRPr="00942AFB" w:rsidRDefault="006C4860" w:rsidP="00C66911">
      <w:pPr>
        <w:pStyle w:val="ListParagraph"/>
        <w:numPr>
          <w:ilvl w:val="0"/>
          <w:numId w:val="11"/>
        </w:numPr>
        <w:ind w:left="426" w:hanging="426"/>
        <w:rPr>
          <w:rFonts w:cs="Arial"/>
          <w:szCs w:val="24"/>
        </w:rPr>
      </w:pPr>
      <w:r>
        <w:t>Select the TPN setting on the infusion pump</w:t>
      </w:r>
    </w:p>
    <w:p w14:paraId="39ED7DB8" w14:textId="77777777" w:rsidR="00942AFB" w:rsidRPr="00EE47C7" w:rsidRDefault="00942AFB" w:rsidP="00C66911">
      <w:pPr>
        <w:pStyle w:val="NoSpacing"/>
        <w:numPr>
          <w:ilvl w:val="0"/>
          <w:numId w:val="11"/>
        </w:numPr>
        <w:ind w:left="426" w:hanging="426"/>
        <w:rPr>
          <w:sz w:val="24"/>
          <w:szCs w:val="24"/>
        </w:rPr>
      </w:pPr>
      <w:r w:rsidRPr="00EE47C7">
        <w:rPr>
          <w:sz w:val="24"/>
          <w:szCs w:val="24"/>
        </w:rPr>
        <w:t xml:space="preserve">With the clinician </w:t>
      </w:r>
      <w:r w:rsidR="00076B8D">
        <w:rPr>
          <w:sz w:val="24"/>
          <w:szCs w:val="24"/>
        </w:rPr>
        <w:t>who</w:t>
      </w:r>
      <w:r w:rsidR="00076B8D" w:rsidRPr="00EE47C7">
        <w:rPr>
          <w:sz w:val="24"/>
          <w:szCs w:val="24"/>
        </w:rPr>
        <w:t xml:space="preserve"> </w:t>
      </w:r>
      <w:r w:rsidRPr="00EE47C7">
        <w:rPr>
          <w:sz w:val="24"/>
          <w:szCs w:val="24"/>
        </w:rPr>
        <w:t xml:space="preserve">completed the initial prescription check, set infusion rate and volume to be infused as per the TPN prescription </w:t>
      </w:r>
    </w:p>
    <w:p w14:paraId="39ED7DB9" w14:textId="77777777" w:rsidR="00942AFB" w:rsidRPr="00EE47C7" w:rsidRDefault="00942AFB" w:rsidP="00C66911">
      <w:pPr>
        <w:pStyle w:val="NoSpacing"/>
        <w:numPr>
          <w:ilvl w:val="0"/>
          <w:numId w:val="11"/>
        </w:numPr>
        <w:ind w:left="426" w:hanging="426"/>
        <w:rPr>
          <w:sz w:val="24"/>
          <w:szCs w:val="24"/>
        </w:rPr>
      </w:pPr>
      <w:r w:rsidRPr="00EE47C7">
        <w:rPr>
          <w:sz w:val="24"/>
          <w:szCs w:val="24"/>
        </w:rPr>
        <w:t>Remove gloves and attend hand hygiene</w:t>
      </w:r>
      <w:r w:rsidR="00024F9C">
        <w:rPr>
          <w:sz w:val="24"/>
          <w:szCs w:val="24"/>
        </w:rPr>
        <w:t xml:space="preserve">, don safety </w:t>
      </w:r>
      <w:r w:rsidR="000E401D">
        <w:rPr>
          <w:sz w:val="24"/>
          <w:szCs w:val="24"/>
        </w:rPr>
        <w:t>goggles</w:t>
      </w:r>
      <w:r w:rsidR="00024F9C">
        <w:rPr>
          <w:sz w:val="24"/>
          <w:szCs w:val="24"/>
        </w:rPr>
        <w:t xml:space="preserve"> and gown</w:t>
      </w:r>
    </w:p>
    <w:p w14:paraId="39ED7DBA" w14:textId="77777777" w:rsidR="00942AFB" w:rsidRPr="00EE47C7" w:rsidRDefault="00942AFB" w:rsidP="00C66911">
      <w:pPr>
        <w:pStyle w:val="NoSpacing"/>
        <w:numPr>
          <w:ilvl w:val="0"/>
          <w:numId w:val="11"/>
        </w:numPr>
        <w:ind w:left="426" w:hanging="426"/>
        <w:rPr>
          <w:sz w:val="24"/>
          <w:szCs w:val="24"/>
        </w:rPr>
      </w:pPr>
      <w:r w:rsidRPr="00EE47C7">
        <w:rPr>
          <w:sz w:val="24"/>
          <w:szCs w:val="24"/>
        </w:rPr>
        <w:t>Set up sterile field</w:t>
      </w:r>
    </w:p>
    <w:p w14:paraId="39ED7DBB" w14:textId="77777777" w:rsidR="00942AFB" w:rsidRPr="00EE47C7" w:rsidRDefault="004E476A" w:rsidP="00C66911">
      <w:pPr>
        <w:pStyle w:val="NoSpacing"/>
        <w:numPr>
          <w:ilvl w:val="0"/>
          <w:numId w:val="11"/>
        </w:numPr>
        <w:ind w:left="426" w:hanging="426"/>
        <w:rPr>
          <w:sz w:val="24"/>
          <w:szCs w:val="24"/>
        </w:rPr>
      </w:pPr>
      <w:r>
        <w:rPr>
          <w:sz w:val="24"/>
          <w:szCs w:val="24"/>
        </w:rPr>
        <w:t>Attend h</w:t>
      </w:r>
      <w:r w:rsidR="00942AFB" w:rsidRPr="00EE47C7">
        <w:rPr>
          <w:sz w:val="24"/>
          <w:szCs w:val="24"/>
        </w:rPr>
        <w:t>and hygiene</w:t>
      </w:r>
    </w:p>
    <w:p w14:paraId="39ED7DBC" w14:textId="77777777" w:rsidR="00942AFB" w:rsidRPr="00EE47C7" w:rsidRDefault="00942AFB" w:rsidP="00C66911">
      <w:pPr>
        <w:pStyle w:val="NoSpacing"/>
        <w:numPr>
          <w:ilvl w:val="0"/>
          <w:numId w:val="11"/>
        </w:numPr>
        <w:ind w:left="426" w:hanging="426"/>
        <w:rPr>
          <w:sz w:val="24"/>
          <w:szCs w:val="24"/>
        </w:rPr>
      </w:pPr>
      <w:r w:rsidRPr="00EE47C7">
        <w:rPr>
          <w:sz w:val="24"/>
          <w:szCs w:val="24"/>
        </w:rPr>
        <w:t>Apply sterile gloves</w:t>
      </w:r>
    </w:p>
    <w:p w14:paraId="39ED7DBD" w14:textId="77777777" w:rsidR="00942AFB" w:rsidRPr="00EE47C7" w:rsidRDefault="00942AFB" w:rsidP="00C66911">
      <w:pPr>
        <w:pStyle w:val="NoSpacing"/>
        <w:numPr>
          <w:ilvl w:val="0"/>
          <w:numId w:val="11"/>
        </w:numPr>
        <w:ind w:left="426" w:hanging="426"/>
        <w:rPr>
          <w:sz w:val="24"/>
          <w:szCs w:val="24"/>
        </w:rPr>
      </w:pPr>
      <w:r w:rsidRPr="00EE47C7">
        <w:rPr>
          <w:sz w:val="24"/>
          <w:szCs w:val="24"/>
        </w:rPr>
        <w:lastRenderedPageBreak/>
        <w:t xml:space="preserve">Draw up </w:t>
      </w:r>
      <w:r w:rsidR="00D53814">
        <w:rPr>
          <w:sz w:val="24"/>
          <w:szCs w:val="24"/>
        </w:rPr>
        <w:t>0.9% Sodium Chloride</w:t>
      </w:r>
      <w:r w:rsidRPr="00EE47C7">
        <w:rPr>
          <w:sz w:val="24"/>
          <w:szCs w:val="24"/>
        </w:rPr>
        <w:t xml:space="preserve"> flush using blunt drawing up needle (maintaining sterile ANTT)</w:t>
      </w:r>
    </w:p>
    <w:p w14:paraId="39ED7DBE" w14:textId="77777777" w:rsidR="00942AFB" w:rsidRPr="00EE47C7" w:rsidRDefault="00942AFB" w:rsidP="00C66911">
      <w:pPr>
        <w:pStyle w:val="NoSpacing"/>
        <w:numPr>
          <w:ilvl w:val="0"/>
          <w:numId w:val="11"/>
        </w:numPr>
        <w:ind w:left="426" w:hanging="426"/>
        <w:rPr>
          <w:sz w:val="24"/>
          <w:szCs w:val="24"/>
        </w:rPr>
      </w:pPr>
      <w:r w:rsidRPr="00EE47C7">
        <w:rPr>
          <w:sz w:val="24"/>
          <w:szCs w:val="24"/>
        </w:rPr>
        <w:t>Using sterile gauze, lift dedicated TPN CVAD lumen and place sterile towel underneath</w:t>
      </w:r>
    </w:p>
    <w:p w14:paraId="39ED7DBF" w14:textId="77777777" w:rsidR="00942AFB" w:rsidRPr="00EE47C7" w:rsidRDefault="00942AFB" w:rsidP="00C66911">
      <w:pPr>
        <w:pStyle w:val="NoSpacing"/>
        <w:numPr>
          <w:ilvl w:val="0"/>
          <w:numId w:val="11"/>
        </w:numPr>
        <w:ind w:left="426" w:hanging="426"/>
        <w:rPr>
          <w:b/>
          <w:sz w:val="24"/>
          <w:szCs w:val="24"/>
        </w:rPr>
      </w:pPr>
      <w:r w:rsidRPr="00EE47C7">
        <w:rPr>
          <w:sz w:val="24"/>
          <w:szCs w:val="24"/>
        </w:rPr>
        <w:t xml:space="preserve">While still holding CVAD lumen, swab CVAD bung vigorously with chlorhexidine 2% alcohol 70% </w:t>
      </w:r>
      <w:r w:rsidR="00582026">
        <w:rPr>
          <w:sz w:val="24"/>
          <w:szCs w:val="24"/>
        </w:rPr>
        <w:t>swab</w:t>
      </w:r>
      <w:r w:rsidR="00582026" w:rsidRPr="00EE47C7">
        <w:rPr>
          <w:sz w:val="24"/>
          <w:szCs w:val="24"/>
        </w:rPr>
        <w:t xml:space="preserve"> </w:t>
      </w:r>
      <w:r w:rsidRPr="00EE47C7">
        <w:rPr>
          <w:sz w:val="24"/>
          <w:szCs w:val="24"/>
        </w:rPr>
        <w:t xml:space="preserve">for 10 seconds. Allow to dry for </w:t>
      </w:r>
      <w:r w:rsidRPr="00EE47C7">
        <w:rPr>
          <w:b/>
          <w:sz w:val="24"/>
          <w:szCs w:val="24"/>
        </w:rPr>
        <w:t xml:space="preserve">30 seconds </w:t>
      </w:r>
    </w:p>
    <w:p w14:paraId="39ED7DC0" w14:textId="77777777" w:rsidR="00942AFB" w:rsidRPr="00EE47C7" w:rsidRDefault="00942AFB" w:rsidP="00C66911">
      <w:pPr>
        <w:pStyle w:val="NoSpacing"/>
        <w:numPr>
          <w:ilvl w:val="0"/>
          <w:numId w:val="11"/>
        </w:numPr>
        <w:ind w:left="426" w:hanging="426"/>
        <w:rPr>
          <w:rFonts w:cs="Calibri"/>
          <w:sz w:val="24"/>
          <w:szCs w:val="24"/>
          <w:lang w:eastAsia="en-AU"/>
        </w:rPr>
      </w:pPr>
      <w:r w:rsidRPr="00EE47C7">
        <w:rPr>
          <w:rFonts w:cs="Calibri"/>
          <w:sz w:val="24"/>
          <w:szCs w:val="24"/>
          <w:lang w:eastAsia="en-AU"/>
        </w:rPr>
        <w:t>Flush lumen with 10m</w:t>
      </w:r>
      <w:r w:rsidR="00C321C4">
        <w:rPr>
          <w:rFonts w:cs="Calibri"/>
          <w:sz w:val="24"/>
          <w:szCs w:val="24"/>
          <w:lang w:eastAsia="en-AU"/>
        </w:rPr>
        <w:t>L</w:t>
      </w:r>
      <w:r w:rsidRPr="00EE47C7">
        <w:rPr>
          <w:rFonts w:cs="Calibri"/>
          <w:sz w:val="24"/>
          <w:szCs w:val="24"/>
          <w:lang w:eastAsia="en-AU"/>
        </w:rPr>
        <w:t>s of 0.9%</w:t>
      </w:r>
      <w:r w:rsidR="00B755B3">
        <w:rPr>
          <w:rFonts w:cs="Calibri"/>
          <w:sz w:val="24"/>
          <w:szCs w:val="24"/>
          <w:lang w:eastAsia="en-AU"/>
        </w:rPr>
        <w:t xml:space="preserve"> Sodium Chloride</w:t>
      </w:r>
      <w:r w:rsidRPr="00EE47C7">
        <w:rPr>
          <w:rFonts w:cs="Calibri"/>
          <w:sz w:val="24"/>
          <w:szCs w:val="24"/>
          <w:lang w:eastAsia="en-AU"/>
        </w:rPr>
        <w:t xml:space="preserve"> using pulsatile action to ensure patency</w:t>
      </w:r>
    </w:p>
    <w:p w14:paraId="39ED7DC1" w14:textId="77777777" w:rsidR="000E401D" w:rsidRPr="00EE47C7" w:rsidRDefault="00942AFB" w:rsidP="00C66911">
      <w:pPr>
        <w:pStyle w:val="NoSpacing"/>
        <w:numPr>
          <w:ilvl w:val="0"/>
          <w:numId w:val="11"/>
        </w:numPr>
        <w:ind w:left="426" w:hanging="426"/>
        <w:rPr>
          <w:sz w:val="24"/>
          <w:szCs w:val="24"/>
        </w:rPr>
      </w:pPr>
      <w:r w:rsidRPr="000E401D">
        <w:rPr>
          <w:sz w:val="24"/>
          <w:szCs w:val="24"/>
        </w:rPr>
        <w:t xml:space="preserve">While still holding CVAD lumen, swab CVAD bung vigorously with chlorhexidine 2% alcohol 70% </w:t>
      </w:r>
      <w:r w:rsidR="00582026" w:rsidRPr="000E401D">
        <w:rPr>
          <w:sz w:val="24"/>
          <w:szCs w:val="24"/>
        </w:rPr>
        <w:t xml:space="preserve">swab </w:t>
      </w:r>
      <w:r w:rsidRPr="000E401D">
        <w:rPr>
          <w:sz w:val="24"/>
          <w:szCs w:val="24"/>
        </w:rPr>
        <w:t xml:space="preserve">for 10 seconds, </w:t>
      </w:r>
      <w:r w:rsidR="000E401D">
        <w:rPr>
          <w:sz w:val="24"/>
          <w:szCs w:val="24"/>
        </w:rPr>
        <w:t>a</w:t>
      </w:r>
      <w:r w:rsidR="000E401D" w:rsidRPr="00EE47C7">
        <w:rPr>
          <w:sz w:val="24"/>
          <w:szCs w:val="24"/>
        </w:rPr>
        <w:t>llow to</w:t>
      </w:r>
      <w:r w:rsidR="000E401D">
        <w:rPr>
          <w:sz w:val="24"/>
          <w:szCs w:val="24"/>
        </w:rPr>
        <w:t xml:space="preserve"> </w:t>
      </w:r>
      <w:r w:rsidR="000E401D" w:rsidRPr="00EE47C7">
        <w:rPr>
          <w:sz w:val="24"/>
          <w:szCs w:val="24"/>
        </w:rPr>
        <w:t xml:space="preserve">dry for </w:t>
      </w:r>
      <w:r w:rsidR="000E401D" w:rsidRPr="00EE47C7">
        <w:rPr>
          <w:b/>
          <w:sz w:val="24"/>
          <w:szCs w:val="24"/>
        </w:rPr>
        <w:t>30 seconds</w:t>
      </w:r>
      <w:r w:rsidR="000E401D">
        <w:rPr>
          <w:b/>
          <w:sz w:val="24"/>
          <w:szCs w:val="24"/>
        </w:rPr>
        <w:t>,</w:t>
      </w:r>
      <w:r w:rsidR="000E401D" w:rsidRPr="000E401D">
        <w:rPr>
          <w:sz w:val="24"/>
          <w:szCs w:val="24"/>
        </w:rPr>
        <w:t xml:space="preserve"> place on sterile towel and discard gauze.</w:t>
      </w:r>
    </w:p>
    <w:p w14:paraId="39ED7DC2" w14:textId="77777777" w:rsidR="00942AFB" w:rsidRPr="000E401D" w:rsidRDefault="00942AFB" w:rsidP="00D95DFF">
      <w:pPr>
        <w:pStyle w:val="NoSpacing"/>
        <w:numPr>
          <w:ilvl w:val="0"/>
          <w:numId w:val="11"/>
        </w:numPr>
        <w:ind w:left="426" w:hanging="426"/>
        <w:rPr>
          <w:sz w:val="24"/>
          <w:szCs w:val="24"/>
        </w:rPr>
      </w:pPr>
      <w:r w:rsidRPr="000E401D">
        <w:rPr>
          <w:sz w:val="24"/>
          <w:szCs w:val="24"/>
        </w:rPr>
        <w:t xml:space="preserve">Using sterile gauze in your dominant hand, lift TPN infusion line </w:t>
      </w:r>
    </w:p>
    <w:p w14:paraId="39ED7DC3" w14:textId="77777777" w:rsidR="00942AFB" w:rsidRPr="00EE47C7" w:rsidRDefault="00942AFB" w:rsidP="00D95DFF">
      <w:pPr>
        <w:pStyle w:val="NoSpacing"/>
        <w:numPr>
          <w:ilvl w:val="0"/>
          <w:numId w:val="11"/>
        </w:numPr>
        <w:ind w:left="426" w:hanging="426"/>
        <w:rPr>
          <w:sz w:val="24"/>
          <w:szCs w:val="24"/>
        </w:rPr>
      </w:pPr>
      <w:r w:rsidRPr="00EE47C7">
        <w:rPr>
          <w:sz w:val="24"/>
          <w:szCs w:val="24"/>
        </w:rPr>
        <w:t>With non-dominant hand, use sterile gauze to remove infusion line cap and discard cap and gauze</w:t>
      </w:r>
    </w:p>
    <w:p w14:paraId="39ED7DC4" w14:textId="77777777" w:rsidR="00942AFB" w:rsidRPr="00EE47C7" w:rsidRDefault="00942AFB" w:rsidP="00D95DFF">
      <w:pPr>
        <w:pStyle w:val="NoSpacing"/>
        <w:numPr>
          <w:ilvl w:val="0"/>
          <w:numId w:val="11"/>
        </w:numPr>
        <w:ind w:left="426" w:hanging="426"/>
        <w:rPr>
          <w:sz w:val="24"/>
          <w:szCs w:val="24"/>
        </w:rPr>
      </w:pPr>
      <w:r w:rsidRPr="00EE47C7">
        <w:rPr>
          <w:sz w:val="24"/>
          <w:szCs w:val="24"/>
        </w:rPr>
        <w:t>Using sterile gauze in your non-dominant hand, lift lumen and connect to TPN infusion line</w:t>
      </w:r>
    </w:p>
    <w:p w14:paraId="39ED7DC5" w14:textId="77777777" w:rsidR="00942AFB" w:rsidRPr="00EE47C7" w:rsidRDefault="00942AFB" w:rsidP="00D95DFF">
      <w:pPr>
        <w:pStyle w:val="NoSpacing"/>
        <w:numPr>
          <w:ilvl w:val="0"/>
          <w:numId w:val="11"/>
        </w:numPr>
        <w:ind w:left="426" w:hanging="426"/>
        <w:rPr>
          <w:sz w:val="24"/>
          <w:szCs w:val="24"/>
        </w:rPr>
      </w:pPr>
      <w:r w:rsidRPr="00EE47C7">
        <w:rPr>
          <w:sz w:val="24"/>
          <w:szCs w:val="24"/>
        </w:rPr>
        <w:t xml:space="preserve">Remove sterile gloves and perform hand hygiene </w:t>
      </w:r>
    </w:p>
    <w:p w14:paraId="39ED7DC6" w14:textId="77777777" w:rsidR="00942AFB" w:rsidRPr="00EE47C7" w:rsidRDefault="00942AFB" w:rsidP="00D95DFF">
      <w:pPr>
        <w:pStyle w:val="NoSpacing"/>
        <w:numPr>
          <w:ilvl w:val="0"/>
          <w:numId w:val="11"/>
        </w:numPr>
        <w:ind w:left="426" w:hanging="426"/>
        <w:rPr>
          <w:sz w:val="24"/>
          <w:szCs w:val="24"/>
        </w:rPr>
      </w:pPr>
      <w:r w:rsidRPr="00EE47C7">
        <w:rPr>
          <w:sz w:val="24"/>
          <w:szCs w:val="24"/>
        </w:rPr>
        <w:t>Commence TPN infusion</w:t>
      </w:r>
    </w:p>
    <w:p w14:paraId="39ED7DC7" w14:textId="77777777" w:rsidR="00942AFB" w:rsidRPr="00EE47C7" w:rsidRDefault="00942AFB" w:rsidP="00D95DFF">
      <w:pPr>
        <w:pStyle w:val="NoSpacing"/>
        <w:numPr>
          <w:ilvl w:val="0"/>
          <w:numId w:val="11"/>
        </w:numPr>
        <w:ind w:left="426" w:hanging="426"/>
        <w:rPr>
          <w:sz w:val="24"/>
          <w:szCs w:val="24"/>
        </w:rPr>
      </w:pPr>
      <w:r w:rsidRPr="00EE47C7">
        <w:rPr>
          <w:sz w:val="24"/>
          <w:szCs w:val="24"/>
        </w:rPr>
        <w:t xml:space="preserve">Dispose of used equipment in line with organisational requirements </w:t>
      </w:r>
    </w:p>
    <w:p w14:paraId="39ED7DC8" w14:textId="224CDD2E" w:rsidR="00582026" w:rsidRPr="009C03CE" w:rsidRDefault="00582026" w:rsidP="00D95DFF">
      <w:pPr>
        <w:pStyle w:val="NoSpacing"/>
        <w:numPr>
          <w:ilvl w:val="0"/>
          <w:numId w:val="11"/>
        </w:numPr>
        <w:ind w:left="426" w:hanging="426"/>
        <w:rPr>
          <w:sz w:val="24"/>
          <w:szCs w:val="24"/>
        </w:rPr>
      </w:pPr>
      <w:r w:rsidRPr="009C03CE">
        <w:rPr>
          <w:rFonts w:cs="Arial"/>
          <w:sz w:val="24"/>
          <w:szCs w:val="24"/>
        </w:rPr>
        <w:t xml:space="preserve">Sign TPN administration order with second staff member and </w:t>
      </w:r>
      <w:r w:rsidRPr="009C03CE">
        <w:rPr>
          <w:sz w:val="24"/>
          <w:szCs w:val="24"/>
        </w:rPr>
        <w:t>d</w:t>
      </w:r>
      <w:r w:rsidR="009C03CE">
        <w:rPr>
          <w:sz w:val="24"/>
          <w:szCs w:val="24"/>
        </w:rPr>
        <w:t>ocument in</w:t>
      </w:r>
      <w:r w:rsidR="00EC4269">
        <w:rPr>
          <w:sz w:val="24"/>
          <w:szCs w:val="24"/>
        </w:rPr>
        <w:t xml:space="preserve"> clinical</w:t>
      </w:r>
      <w:r w:rsidR="009C03CE">
        <w:rPr>
          <w:sz w:val="24"/>
          <w:szCs w:val="24"/>
        </w:rPr>
        <w:t xml:space="preserve"> notes</w:t>
      </w:r>
      <w:r w:rsidR="00EC4269">
        <w:rPr>
          <w:sz w:val="24"/>
          <w:szCs w:val="24"/>
        </w:rPr>
        <w:t xml:space="preserve"> and Fluid Balance Chart.</w:t>
      </w:r>
      <w:r w:rsidR="009C03CE">
        <w:rPr>
          <w:sz w:val="24"/>
          <w:szCs w:val="24"/>
        </w:rPr>
        <w:t xml:space="preserve"> </w:t>
      </w:r>
    </w:p>
    <w:p w14:paraId="39ED7DC9" w14:textId="77777777" w:rsidR="00CD6D72" w:rsidRDefault="00CD6D72" w:rsidP="00CD6D72">
      <w:pPr>
        <w:pStyle w:val="NoSpacing"/>
        <w:ind w:left="720"/>
        <w:rPr>
          <w:sz w:val="24"/>
          <w:szCs w:val="24"/>
        </w:rPr>
      </w:pPr>
    </w:p>
    <w:p w14:paraId="40AD4DAB" w14:textId="048F4C0C" w:rsidR="00687F2E" w:rsidRDefault="0081170E" w:rsidP="003F4EA1">
      <w:pPr>
        <w:jc w:val="right"/>
      </w:pPr>
      <w:hyperlink w:anchor="Contents" w:history="1">
        <w:r w:rsidR="00885D22" w:rsidRPr="00590902">
          <w:rPr>
            <w:rStyle w:val="Hyperlink"/>
            <w:rFonts w:cs="Arial"/>
            <w:i/>
            <w:szCs w:val="24"/>
          </w:rPr>
          <w:t>Back to Table of Contents</w:t>
        </w:r>
      </w:hyperlink>
      <w:bookmarkStart w:id="21" w:name="_Toc389473281"/>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1F" w14:textId="77777777" w:rsidTr="00FC218C">
        <w:trPr>
          <w:cantSplit/>
          <w:trHeight w:val="285"/>
        </w:trPr>
        <w:tc>
          <w:tcPr>
            <w:tcW w:w="9158" w:type="dxa"/>
            <w:shd w:val="clear" w:color="auto" w:fill="A6A6A6" w:themeFill="background1" w:themeFillShade="A6"/>
          </w:tcPr>
          <w:p w14:paraId="39ED7E1E" w14:textId="2A17B059" w:rsidR="007B6904" w:rsidRPr="00C76688" w:rsidRDefault="007B6904" w:rsidP="00FC218C">
            <w:pPr>
              <w:pStyle w:val="Heading1"/>
            </w:pPr>
            <w:bookmarkStart w:id="22" w:name="_Toc77250406"/>
            <w:r w:rsidRPr="00C76688">
              <w:t xml:space="preserve">Section </w:t>
            </w:r>
            <w:r w:rsidR="00C07F24">
              <w:t>3</w:t>
            </w:r>
            <w:r w:rsidRPr="00C76688">
              <w:t xml:space="preserve"> – </w:t>
            </w:r>
            <w:r w:rsidR="00351469">
              <w:t>Monitoring TPN</w:t>
            </w:r>
            <w:bookmarkEnd w:id="21"/>
            <w:r w:rsidR="00810A8B">
              <w:t xml:space="preserve"> </w:t>
            </w:r>
            <w:r w:rsidR="003F4EA1">
              <w:t>Administration</w:t>
            </w:r>
            <w:bookmarkEnd w:id="22"/>
          </w:p>
        </w:tc>
      </w:tr>
    </w:tbl>
    <w:p w14:paraId="39ED7E20" w14:textId="77777777" w:rsidR="007B6904" w:rsidRDefault="007B6904" w:rsidP="007B6904">
      <w:pPr>
        <w:rPr>
          <w:rFonts w:cs="Arial"/>
          <w:b/>
          <w:szCs w:val="24"/>
        </w:rPr>
      </w:pPr>
    </w:p>
    <w:p w14:paraId="39ED7E21" w14:textId="4ACAA17D" w:rsidR="007B6904" w:rsidRPr="00E850C6" w:rsidRDefault="00B472B7" w:rsidP="00E850C6">
      <w:pPr>
        <w:rPr>
          <w:b/>
        </w:rPr>
      </w:pPr>
      <w:r w:rsidRPr="00E850C6">
        <w:rPr>
          <w:b/>
        </w:rPr>
        <w:t xml:space="preserve">The </w:t>
      </w:r>
      <w:r w:rsidR="00E406BA" w:rsidRPr="00E850C6">
        <w:rPr>
          <w:b/>
        </w:rPr>
        <w:t xml:space="preserve">RN </w:t>
      </w:r>
      <w:r w:rsidRPr="00E850C6">
        <w:rPr>
          <w:b/>
        </w:rPr>
        <w:t xml:space="preserve">caring for </w:t>
      </w:r>
      <w:r w:rsidR="00163A6F">
        <w:rPr>
          <w:b/>
        </w:rPr>
        <w:t>an</w:t>
      </w:r>
      <w:r w:rsidRPr="00E850C6">
        <w:rPr>
          <w:b/>
        </w:rPr>
        <w:t xml:space="preserve"> </w:t>
      </w:r>
      <w:r w:rsidR="00163A6F">
        <w:rPr>
          <w:b/>
        </w:rPr>
        <w:t>in</w:t>
      </w:r>
      <w:r w:rsidRPr="00E850C6">
        <w:rPr>
          <w:b/>
        </w:rPr>
        <w:t xml:space="preserve">patient having TPN must: </w:t>
      </w:r>
    </w:p>
    <w:p w14:paraId="39ED7E22" w14:textId="56311D68" w:rsidR="00351469" w:rsidRDefault="00351469" w:rsidP="00E850C6">
      <w:pPr>
        <w:pStyle w:val="ListBullet"/>
      </w:pPr>
      <w:r w:rsidRPr="00351469">
        <w:t xml:space="preserve">Ensure that the patient has blood </w:t>
      </w:r>
      <w:r w:rsidR="00E406BA">
        <w:t>monitoring as ordered (usually daily biochemistry</w:t>
      </w:r>
      <w:r w:rsidR="008164AC">
        <w:t xml:space="preserve"> </w:t>
      </w:r>
      <w:r w:rsidR="00EC4269">
        <w:t xml:space="preserve">including phosphate </w:t>
      </w:r>
      <w:r w:rsidR="008164AC">
        <w:t>initially</w:t>
      </w:r>
      <w:r w:rsidR="00076B8D">
        <w:t xml:space="preserve"> and at least weekly full blood counts and liver function tests</w:t>
      </w:r>
      <w:r w:rsidR="008164AC">
        <w:t>)</w:t>
      </w:r>
      <w:r w:rsidR="00076B8D">
        <w:t>.</w:t>
      </w:r>
    </w:p>
    <w:p w14:paraId="39ED7E23" w14:textId="058EB10E" w:rsidR="00351469" w:rsidRDefault="00351469" w:rsidP="00E850C6">
      <w:pPr>
        <w:pStyle w:val="ListBullet"/>
      </w:pPr>
      <w:r>
        <w:t>Measure and record the patient’s BGL four times a</w:t>
      </w:r>
      <w:r w:rsidR="00B472B7">
        <w:t xml:space="preserve"> day (QID) on commencement of TP</w:t>
      </w:r>
      <w:r>
        <w:t xml:space="preserve">N, then daily when BGLs are </w:t>
      </w:r>
      <w:r w:rsidR="003F4EA1">
        <w:t>normal</w:t>
      </w:r>
      <w:r w:rsidR="002D48CA">
        <w:t xml:space="preserve"> (as determined by the patient’s treating </w:t>
      </w:r>
      <w:r w:rsidR="00810A8B">
        <w:t xml:space="preserve">medical </w:t>
      </w:r>
      <w:r w:rsidR="002D48CA">
        <w:t xml:space="preserve">team). </w:t>
      </w:r>
      <w:r w:rsidR="00AB2904">
        <w:t xml:space="preserve">Document BGL on the </w:t>
      </w:r>
      <w:r w:rsidR="00AB2904">
        <w:rPr>
          <w:i/>
          <w:iCs/>
        </w:rPr>
        <w:t>Glucose Monitoring Chart form</w:t>
      </w:r>
      <w:r w:rsidR="00AB2904">
        <w:t>.</w:t>
      </w:r>
    </w:p>
    <w:p w14:paraId="39ED7E24" w14:textId="629A62E9" w:rsidR="007B6904" w:rsidRDefault="00351469" w:rsidP="00E850C6">
      <w:pPr>
        <w:pStyle w:val="ListBullet"/>
      </w:pPr>
      <w:r>
        <w:t xml:space="preserve">Measure and record the patient’s weight </w:t>
      </w:r>
      <w:r w:rsidR="002D48CA">
        <w:t xml:space="preserve">on the </w:t>
      </w:r>
      <w:r w:rsidR="00810A8B" w:rsidRPr="00810A8B">
        <w:rPr>
          <w:i/>
          <w:iCs/>
        </w:rPr>
        <w:t>W</w:t>
      </w:r>
      <w:r w:rsidR="002D48CA" w:rsidRPr="00810A8B">
        <w:rPr>
          <w:i/>
          <w:iCs/>
        </w:rPr>
        <w:t xml:space="preserve">eight </w:t>
      </w:r>
      <w:r w:rsidR="00810A8B">
        <w:rPr>
          <w:i/>
          <w:iCs/>
        </w:rPr>
        <w:t>C</w:t>
      </w:r>
      <w:r w:rsidR="002D48CA" w:rsidRPr="00810A8B">
        <w:rPr>
          <w:i/>
          <w:iCs/>
        </w:rPr>
        <w:t>hart</w:t>
      </w:r>
      <w:r w:rsidR="00810A8B">
        <w:rPr>
          <w:i/>
          <w:iCs/>
        </w:rPr>
        <w:t xml:space="preserve"> form</w:t>
      </w:r>
      <w:r w:rsidR="002D48CA">
        <w:t xml:space="preserve"> </w:t>
      </w:r>
      <w:r>
        <w:t>on commencement of TPN, then twice weekly.</w:t>
      </w:r>
      <w:r w:rsidR="007B6904" w:rsidRPr="00351469">
        <w:t xml:space="preserve"> </w:t>
      </w:r>
    </w:p>
    <w:p w14:paraId="39ED7E25" w14:textId="677ECE89" w:rsidR="008C29B7" w:rsidRDefault="008C29B7" w:rsidP="00E850C6">
      <w:pPr>
        <w:pStyle w:val="ListBullet"/>
      </w:pPr>
      <w:r>
        <w:t>Maintain at least 4 hourly vital signs on patients for the duration of TPN</w:t>
      </w:r>
      <w:r w:rsidR="00732149">
        <w:t>, unless otherwise ordered by the treating medical team</w:t>
      </w:r>
      <w:r>
        <w:t>.</w:t>
      </w:r>
      <w:r w:rsidR="00AB2904">
        <w:t xml:space="preserve"> Document vital sign observations on the </w:t>
      </w:r>
      <w:r w:rsidR="00AB2904">
        <w:rPr>
          <w:i/>
          <w:iCs/>
        </w:rPr>
        <w:t>General Observation Chart (MEWS)</w:t>
      </w:r>
      <w:r w:rsidR="00AB2904">
        <w:t>.</w:t>
      </w:r>
    </w:p>
    <w:p w14:paraId="39ED7E28" w14:textId="77777777" w:rsidR="007B6904" w:rsidRDefault="007B6904" w:rsidP="007B6904">
      <w:pPr>
        <w:rPr>
          <w:rFonts w:cs="Arial"/>
          <w:b/>
          <w:szCs w:val="24"/>
        </w:rPr>
      </w:pPr>
    </w:p>
    <w:p w14:paraId="340B93DF" w14:textId="0C6DEAE4" w:rsidR="003F4EA1" w:rsidRDefault="0081170E" w:rsidP="00FC218C">
      <w:pPr>
        <w:jc w:val="right"/>
        <w:rPr>
          <w:rFonts w:cs="Arial"/>
          <w:i/>
          <w:szCs w:val="24"/>
        </w:rPr>
      </w:pPr>
      <w:hyperlink w:anchor="Contents" w:history="1">
        <w:r w:rsidR="007B6904" w:rsidRPr="00590902">
          <w:rPr>
            <w:rStyle w:val="Hyperlink"/>
            <w:rFonts w:cs="Arial"/>
            <w:i/>
            <w:szCs w:val="24"/>
          </w:rPr>
          <w:t>Back to Table of Contents</w:t>
        </w:r>
      </w:hyperlink>
      <w:r w:rsidR="007B6904">
        <w:rPr>
          <w:rFonts w:cs="Arial"/>
          <w:i/>
          <w:szCs w:val="24"/>
        </w:rPr>
        <w:t xml:space="preserve"> </w:t>
      </w:r>
    </w:p>
    <w:p w14:paraId="39ED7E2A" w14:textId="77777777" w:rsidR="007B6904" w:rsidRDefault="007B6904" w:rsidP="007B6904">
      <w:pPr>
        <w:pStyle w:val="ProcedureTemplate"/>
        <w:framePr w:wrap="around"/>
      </w:pPr>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2C" w14:textId="77777777" w:rsidTr="00FC218C">
        <w:trPr>
          <w:cantSplit/>
          <w:trHeight w:val="285"/>
        </w:trPr>
        <w:tc>
          <w:tcPr>
            <w:tcW w:w="9158" w:type="dxa"/>
            <w:shd w:val="clear" w:color="auto" w:fill="A6A6A6" w:themeFill="background1" w:themeFillShade="A6"/>
          </w:tcPr>
          <w:p w14:paraId="39ED7E2B" w14:textId="2DB7C752" w:rsidR="007B6904" w:rsidRPr="003D2D06" w:rsidRDefault="00962C46" w:rsidP="00FC218C">
            <w:pPr>
              <w:pStyle w:val="Heading1"/>
            </w:pPr>
            <w:bookmarkStart w:id="23" w:name="_Toc389473284"/>
            <w:bookmarkStart w:id="24" w:name="_Toc410818160"/>
            <w:bookmarkStart w:id="25" w:name="_Toc77250407"/>
            <w:r>
              <w:t xml:space="preserve">Section </w:t>
            </w:r>
            <w:r w:rsidR="00C07F24">
              <w:t>4</w:t>
            </w:r>
            <w:r w:rsidR="00C07F24" w:rsidRPr="003D2D06">
              <w:t xml:space="preserve"> </w:t>
            </w:r>
            <w:r w:rsidR="007B6904" w:rsidRPr="003D2D06">
              <w:t xml:space="preserve">– </w:t>
            </w:r>
            <w:bookmarkEnd w:id="23"/>
            <w:bookmarkEnd w:id="24"/>
            <w:r w:rsidR="00B472B7">
              <w:t>D</w:t>
            </w:r>
            <w:r w:rsidR="00351469">
              <w:t>isconnecting TPN</w:t>
            </w:r>
            <w:bookmarkEnd w:id="25"/>
            <w:r w:rsidR="00991A4D">
              <w:t xml:space="preserve"> </w:t>
            </w:r>
          </w:p>
        </w:tc>
      </w:tr>
    </w:tbl>
    <w:p w14:paraId="39ED7E2D" w14:textId="77777777" w:rsidR="00B755B3" w:rsidRDefault="00B755B3" w:rsidP="007B6904">
      <w:pPr>
        <w:pStyle w:val="Heading2"/>
      </w:pPr>
    </w:p>
    <w:p w14:paraId="39ED7E2E" w14:textId="77777777" w:rsidR="007B6904" w:rsidRPr="00E850C6" w:rsidRDefault="007B6904" w:rsidP="00E850C6">
      <w:pPr>
        <w:rPr>
          <w:b/>
        </w:rPr>
      </w:pPr>
      <w:r w:rsidRPr="00E850C6">
        <w:rPr>
          <w:b/>
        </w:rPr>
        <w:t xml:space="preserve">Equipment </w:t>
      </w:r>
    </w:p>
    <w:p w14:paraId="39ED7E2F" w14:textId="6FDB0516" w:rsidR="00B472B7" w:rsidRPr="00F65D0E" w:rsidRDefault="00B472B7" w:rsidP="00E850C6">
      <w:pPr>
        <w:pStyle w:val="ListBullet"/>
        <w:rPr>
          <w:i/>
        </w:rPr>
      </w:pPr>
      <w:r>
        <w:t>P</w:t>
      </w:r>
      <w:r w:rsidR="00AB2904">
        <w:t>PE</w:t>
      </w:r>
      <w:r>
        <w:t xml:space="preserve"> (</w:t>
      </w:r>
      <w:r w:rsidR="00C07F24">
        <w:t xml:space="preserve">including </w:t>
      </w:r>
      <w:r>
        <w:t>goggles/safety glasses)</w:t>
      </w:r>
    </w:p>
    <w:p w14:paraId="39ED7E30" w14:textId="77777777" w:rsidR="00B472B7" w:rsidRPr="00F65D0E" w:rsidRDefault="00B472B7" w:rsidP="00E850C6">
      <w:pPr>
        <w:pStyle w:val="ListBullet"/>
        <w:rPr>
          <w:i/>
        </w:rPr>
      </w:pPr>
      <w:r>
        <w:t>Alcohol based hand rub (ABHR)</w:t>
      </w:r>
    </w:p>
    <w:p w14:paraId="39ED7E31" w14:textId="2D4D56D4" w:rsidR="007B6904" w:rsidRDefault="00B472B7" w:rsidP="00E850C6">
      <w:pPr>
        <w:pStyle w:val="ListBullet"/>
      </w:pPr>
      <w:r>
        <w:lastRenderedPageBreak/>
        <w:t>Clean</w:t>
      </w:r>
      <w:r w:rsidR="001601D9">
        <w:t xml:space="preserve"> </w:t>
      </w:r>
      <w:r w:rsidR="009E3DE0">
        <w:t>nonsterile</w:t>
      </w:r>
      <w:r>
        <w:t xml:space="preserve"> gloves</w:t>
      </w:r>
    </w:p>
    <w:p w14:paraId="39ED7E32" w14:textId="77777777" w:rsidR="00B472B7" w:rsidRDefault="00B472B7" w:rsidP="00E850C6">
      <w:pPr>
        <w:pStyle w:val="ListBullet"/>
      </w:pPr>
      <w:r>
        <w:t>Chlorhexidine 2% alcohol 70% swab x 1</w:t>
      </w:r>
    </w:p>
    <w:p w14:paraId="39ED7E33" w14:textId="77777777" w:rsidR="00B472B7" w:rsidRDefault="00D53814" w:rsidP="00E850C6">
      <w:pPr>
        <w:pStyle w:val="ListBullet"/>
      </w:pPr>
      <w:r>
        <w:t>0.9% Sodium Chloride</w:t>
      </w:r>
      <w:r w:rsidR="00B472B7">
        <w:t xml:space="preserve"> flush – either 10m</w:t>
      </w:r>
      <w:r w:rsidR="00C321C4">
        <w:t>L</w:t>
      </w:r>
      <w:r w:rsidR="00B472B7">
        <w:t xml:space="preserve"> syringe, drawing up needle and 10m</w:t>
      </w:r>
      <w:r w:rsidR="00C321C4">
        <w:t>L</w:t>
      </w:r>
      <w:r w:rsidR="00B472B7">
        <w:t xml:space="preserve"> </w:t>
      </w:r>
      <w:r>
        <w:t>0.9% Sodium Chloride</w:t>
      </w:r>
      <w:r w:rsidR="00B472B7">
        <w:t xml:space="preserve"> or a 10m</w:t>
      </w:r>
      <w:r w:rsidR="00C321C4">
        <w:t>L</w:t>
      </w:r>
      <w:r w:rsidR="00B472B7">
        <w:t xml:space="preserve"> </w:t>
      </w:r>
      <w:r>
        <w:t>0.9% Sodium Chloride</w:t>
      </w:r>
      <w:r w:rsidR="00B472B7">
        <w:t xml:space="preserve"> </w:t>
      </w:r>
      <w:proofErr w:type="spellStart"/>
      <w:r w:rsidR="00B472B7">
        <w:t>Posiflush</w:t>
      </w:r>
      <w:proofErr w:type="spellEnd"/>
      <w:r w:rsidR="00B472B7">
        <w:t xml:space="preserve"> </w:t>
      </w:r>
    </w:p>
    <w:p w14:paraId="39ED7E36" w14:textId="77777777" w:rsidR="007B6904" w:rsidRDefault="007B6904" w:rsidP="007B6904"/>
    <w:p w14:paraId="39ED7E37" w14:textId="77777777" w:rsidR="007B6904" w:rsidRPr="00E850C6" w:rsidRDefault="007B6904" w:rsidP="00E850C6">
      <w:pPr>
        <w:rPr>
          <w:b/>
        </w:rPr>
      </w:pPr>
      <w:r w:rsidRPr="00E850C6">
        <w:rPr>
          <w:b/>
        </w:rPr>
        <w:t xml:space="preserve">Procedure </w:t>
      </w:r>
    </w:p>
    <w:p w14:paraId="39ED7E38" w14:textId="77777777" w:rsidR="007B6904" w:rsidRPr="009E3DE0" w:rsidRDefault="00B472B7" w:rsidP="009E3DE0">
      <w:pPr>
        <w:pStyle w:val="ListParagraph"/>
        <w:numPr>
          <w:ilvl w:val="0"/>
          <w:numId w:val="15"/>
        </w:numPr>
        <w:ind w:left="426" w:hanging="426"/>
        <w:rPr>
          <w:rFonts w:eastAsia="Calibri"/>
          <w:szCs w:val="24"/>
        </w:rPr>
      </w:pPr>
      <w:r w:rsidRPr="009E3DE0">
        <w:rPr>
          <w:rFonts w:eastAsia="Calibri"/>
          <w:szCs w:val="24"/>
        </w:rPr>
        <w:t>Attend hand hygiene</w:t>
      </w:r>
    </w:p>
    <w:p w14:paraId="39ED7E39" w14:textId="77777777" w:rsidR="00B472B7" w:rsidRDefault="00B472B7" w:rsidP="009E3DE0">
      <w:pPr>
        <w:pStyle w:val="ListParagraph"/>
        <w:numPr>
          <w:ilvl w:val="0"/>
          <w:numId w:val="15"/>
        </w:numPr>
        <w:ind w:left="426" w:hanging="426"/>
        <w:rPr>
          <w:rFonts w:cs="Arial"/>
          <w:szCs w:val="24"/>
        </w:rPr>
      </w:pPr>
      <w:r>
        <w:rPr>
          <w:rFonts w:cs="Arial"/>
          <w:szCs w:val="24"/>
        </w:rPr>
        <w:t>Ensure patient privacy</w:t>
      </w:r>
    </w:p>
    <w:p w14:paraId="39ED7E3A" w14:textId="6377F6B3" w:rsidR="00D53814" w:rsidRDefault="00D53814" w:rsidP="009E3DE0">
      <w:pPr>
        <w:pStyle w:val="ListParagraph"/>
        <w:numPr>
          <w:ilvl w:val="0"/>
          <w:numId w:val="15"/>
        </w:numPr>
        <w:ind w:left="426" w:hanging="426"/>
        <w:rPr>
          <w:rFonts w:cs="Arial"/>
          <w:szCs w:val="24"/>
        </w:rPr>
      </w:pPr>
      <w:r>
        <w:rPr>
          <w:rFonts w:cs="Arial"/>
          <w:szCs w:val="24"/>
        </w:rPr>
        <w:t xml:space="preserve">Confirm </w:t>
      </w:r>
      <w:r w:rsidR="00C07F24">
        <w:rPr>
          <w:rFonts w:cs="Arial"/>
          <w:szCs w:val="24"/>
        </w:rPr>
        <w:t xml:space="preserve">patient has completed the </w:t>
      </w:r>
      <w:r w:rsidR="00AB2904">
        <w:rPr>
          <w:rFonts w:cs="Arial"/>
          <w:szCs w:val="24"/>
        </w:rPr>
        <w:t xml:space="preserve">TPN </w:t>
      </w:r>
      <w:r w:rsidR="00C07F24">
        <w:rPr>
          <w:rFonts w:cs="Arial"/>
          <w:szCs w:val="24"/>
        </w:rPr>
        <w:t>infusion as prescribed</w:t>
      </w:r>
      <w:r w:rsidR="00EC4269">
        <w:rPr>
          <w:rFonts w:cs="Arial"/>
          <w:szCs w:val="24"/>
        </w:rPr>
        <w:t xml:space="preserve"> and turn off pump.</w:t>
      </w:r>
    </w:p>
    <w:p w14:paraId="39ED7E3B" w14:textId="77777777" w:rsidR="00B472B7" w:rsidRDefault="00B472B7" w:rsidP="009E3DE0">
      <w:pPr>
        <w:pStyle w:val="ListParagraph"/>
        <w:numPr>
          <w:ilvl w:val="0"/>
          <w:numId w:val="15"/>
        </w:numPr>
        <w:ind w:left="426" w:hanging="426"/>
        <w:rPr>
          <w:rFonts w:cs="Arial"/>
          <w:szCs w:val="24"/>
        </w:rPr>
      </w:pPr>
      <w:r>
        <w:rPr>
          <w:rFonts w:cs="Arial"/>
          <w:szCs w:val="24"/>
        </w:rPr>
        <w:t xml:space="preserve">Confirm patient identification </w:t>
      </w:r>
      <w:r w:rsidR="004E476A">
        <w:rPr>
          <w:rFonts w:cs="Arial"/>
          <w:szCs w:val="24"/>
        </w:rPr>
        <w:t xml:space="preserve">using </w:t>
      </w:r>
      <w:r>
        <w:rPr>
          <w:rFonts w:cs="Arial"/>
          <w:szCs w:val="24"/>
        </w:rPr>
        <w:t xml:space="preserve">the three core identifiers </w:t>
      </w:r>
      <w:r w:rsidR="0023468F">
        <w:rPr>
          <w:rFonts w:cs="Arial"/>
          <w:szCs w:val="24"/>
        </w:rPr>
        <w:t xml:space="preserve">on the TPN prescription order, patient identification band </w:t>
      </w:r>
      <w:r>
        <w:rPr>
          <w:rFonts w:cs="Arial"/>
          <w:szCs w:val="24"/>
        </w:rPr>
        <w:t xml:space="preserve">and </w:t>
      </w:r>
      <w:r w:rsidR="0023468F">
        <w:rPr>
          <w:rFonts w:cs="Arial"/>
          <w:szCs w:val="24"/>
        </w:rPr>
        <w:t>verbal confirmation from patient</w:t>
      </w:r>
    </w:p>
    <w:p w14:paraId="39ED7E3C" w14:textId="76913704" w:rsidR="0023468F" w:rsidRDefault="00B472B7" w:rsidP="009E3DE0">
      <w:pPr>
        <w:pStyle w:val="ListParagraph"/>
        <w:numPr>
          <w:ilvl w:val="0"/>
          <w:numId w:val="15"/>
        </w:numPr>
        <w:ind w:left="426" w:hanging="426"/>
        <w:rPr>
          <w:rFonts w:cs="Arial"/>
          <w:szCs w:val="24"/>
        </w:rPr>
      </w:pPr>
      <w:r>
        <w:rPr>
          <w:rFonts w:cs="Arial"/>
          <w:szCs w:val="24"/>
        </w:rPr>
        <w:t xml:space="preserve">Explain procedure to patient and obtain </w:t>
      </w:r>
      <w:r w:rsidR="00AB2904">
        <w:rPr>
          <w:rFonts w:cs="Arial"/>
          <w:szCs w:val="24"/>
        </w:rPr>
        <w:t xml:space="preserve">verbal </w:t>
      </w:r>
      <w:r>
        <w:rPr>
          <w:rFonts w:cs="Arial"/>
          <w:szCs w:val="24"/>
        </w:rPr>
        <w:t>consent</w:t>
      </w:r>
      <w:r w:rsidR="00AB2904">
        <w:rPr>
          <w:rFonts w:cs="Arial"/>
          <w:szCs w:val="24"/>
        </w:rPr>
        <w:t xml:space="preserve"> to disconnect TPN</w:t>
      </w:r>
    </w:p>
    <w:p w14:paraId="39ED7E3D" w14:textId="77777777" w:rsidR="0023468F" w:rsidRDefault="0023468F" w:rsidP="009E3DE0">
      <w:pPr>
        <w:pStyle w:val="ListParagraph"/>
        <w:numPr>
          <w:ilvl w:val="0"/>
          <w:numId w:val="15"/>
        </w:numPr>
        <w:ind w:left="426" w:hanging="426"/>
        <w:rPr>
          <w:rFonts w:cs="Arial"/>
          <w:szCs w:val="24"/>
        </w:rPr>
      </w:pPr>
      <w:r>
        <w:rPr>
          <w:rFonts w:cs="Arial"/>
          <w:szCs w:val="24"/>
        </w:rPr>
        <w:t>Attend hand hygiene</w:t>
      </w:r>
    </w:p>
    <w:p w14:paraId="39ED7E3E" w14:textId="323BC1AF" w:rsidR="0023468F" w:rsidRDefault="0023468F" w:rsidP="009E3DE0">
      <w:pPr>
        <w:pStyle w:val="ListParagraph"/>
        <w:numPr>
          <w:ilvl w:val="0"/>
          <w:numId w:val="15"/>
        </w:numPr>
        <w:ind w:left="426" w:hanging="426"/>
        <w:rPr>
          <w:rFonts w:cs="Arial"/>
          <w:szCs w:val="24"/>
        </w:rPr>
      </w:pPr>
      <w:r>
        <w:rPr>
          <w:rFonts w:cs="Arial"/>
          <w:szCs w:val="24"/>
        </w:rPr>
        <w:t>Apply clean</w:t>
      </w:r>
      <w:r w:rsidR="001601D9">
        <w:rPr>
          <w:rFonts w:cs="Arial"/>
          <w:szCs w:val="24"/>
        </w:rPr>
        <w:t xml:space="preserve"> non sterile</w:t>
      </w:r>
      <w:r>
        <w:rPr>
          <w:rFonts w:cs="Arial"/>
          <w:szCs w:val="24"/>
        </w:rPr>
        <w:t xml:space="preserve"> gloves</w:t>
      </w:r>
    </w:p>
    <w:p w14:paraId="39ED7E3F" w14:textId="77777777" w:rsidR="0023468F" w:rsidRDefault="0023468F" w:rsidP="009E3DE0">
      <w:pPr>
        <w:pStyle w:val="ListParagraph"/>
        <w:numPr>
          <w:ilvl w:val="0"/>
          <w:numId w:val="15"/>
        </w:numPr>
        <w:ind w:left="426" w:hanging="426"/>
        <w:rPr>
          <w:rFonts w:cs="Arial"/>
          <w:szCs w:val="24"/>
        </w:rPr>
      </w:pPr>
      <w:r>
        <w:rPr>
          <w:rFonts w:cs="Arial"/>
          <w:szCs w:val="24"/>
        </w:rPr>
        <w:t>Disconnect TPN line from CVAD</w:t>
      </w:r>
    </w:p>
    <w:p w14:paraId="39ED7E40" w14:textId="77777777" w:rsidR="0023468F" w:rsidRPr="0023468F" w:rsidRDefault="0023468F" w:rsidP="009E3DE0">
      <w:pPr>
        <w:pStyle w:val="NoSpacing"/>
        <w:numPr>
          <w:ilvl w:val="0"/>
          <w:numId w:val="15"/>
        </w:numPr>
        <w:ind w:left="426" w:hanging="426"/>
        <w:rPr>
          <w:b/>
          <w:sz w:val="24"/>
          <w:szCs w:val="24"/>
        </w:rPr>
      </w:pPr>
      <w:r w:rsidRPr="0023468F">
        <w:rPr>
          <w:sz w:val="24"/>
          <w:szCs w:val="24"/>
        </w:rPr>
        <w:t xml:space="preserve">Swab CVAD bung vigorously with chlorhexidine 2% alcohol 70% swab for 10 seconds. Allow to dry for </w:t>
      </w:r>
      <w:r w:rsidRPr="0023468F">
        <w:rPr>
          <w:b/>
          <w:sz w:val="24"/>
          <w:szCs w:val="24"/>
        </w:rPr>
        <w:t>30 seconds.</w:t>
      </w:r>
    </w:p>
    <w:p w14:paraId="39ED7E41" w14:textId="77777777" w:rsidR="0023468F" w:rsidRPr="0023468F" w:rsidRDefault="0023468F" w:rsidP="009E3DE0">
      <w:pPr>
        <w:pStyle w:val="NoSpacing"/>
        <w:numPr>
          <w:ilvl w:val="0"/>
          <w:numId w:val="15"/>
        </w:numPr>
        <w:ind w:left="426" w:hanging="426"/>
        <w:rPr>
          <w:rFonts w:cs="Calibri"/>
          <w:sz w:val="24"/>
          <w:szCs w:val="24"/>
          <w:lang w:eastAsia="en-AU"/>
        </w:rPr>
      </w:pPr>
      <w:r w:rsidRPr="0023468F">
        <w:rPr>
          <w:rFonts w:cs="Calibri"/>
          <w:sz w:val="24"/>
          <w:szCs w:val="24"/>
          <w:lang w:eastAsia="en-AU"/>
        </w:rPr>
        <w:t>Flush lumen with 10m</w:t>
      </w:r>
      <w:r w:rsidR="00C321C4">
        <w:rPr>
          <w:rFonts w:cs="Calibri"/>
          <w:sz w:val="24"/>
          <w:szCs w:val="24"/>
          <w:lang w:eastAsia="en-AU"/>
        </w:rPr>
        <w:t>L</w:t>
      </w:r>
      <w:r w:rsidRPr="0023468F">
        <w:rPr>
          <w:rFonts w:cs="Calibri"/>
          <w:sz w:val="24"/>
          <w:szCs w:val="24"/>
          <w:lang w:eastAsia="en-AU"/>
        </w:rPr>
        <w:t>s of 0.9%</w:t>
      </w:r>
      <w:r w:rsidR="00B755B3">
        <w:rPr>
          <w:rFonts w:cs="Calibri"/>
          <w:sz w:val="24"/>
          <w:szCs w:val="24"/>
          <w:lang w:eastAsia="en-AU"/>
        </w:rPr>
        <w:t xml:space="preserve"> Sodium Chloride</w:t>
      </w:r>
      <w:r w:rsidRPr="0023468F">
        <w:rPr>
          <w:rFonts w:cs="Calibri"/>
          <w:sz w:val="24"/>
          <w:szCs w:val="24"/>
          <w:lang w:eastAsia="en-AU"/>
        </w:rPr>
        <w:t xml:space="preserve"> using pulsatile action</w:t>
      </w:r>
    </w:p>
    <w:p w14:paraId="39ED7E42" w14:textId="77777777" w:rsidR="0023468F" w:rsidRDefault="0023468F" w:rsidP="009E3DE0">
      <w:pPr>
        <w:pStyle w:val="NoSpacing"/>
        <w:numPr>
          <w:ilvl w:val="0"/>
          <w:numId w:val="15"/>
        </w:numPr>
        <w:ind w:left="426" w:hanging="426"/>
        <w:rPr>
          <w:rFonts w:cs="Calibri"/>
          <w:sz w:val="24"/>
          <w:szCs w:val="24"/>
          <w:lang w:eastAsia="en-AU"/>
        </w:rPr>
      </w:pPr>
      <w:r w:rsidRPr="0023468F">
        <w:rPr>
          <w:rFonts w:cs="Calibri"/>
          <w:sz w:val="24"/>
          <w:szCs w:val="24"/>
          <w:lang w:eastAsia="en-AU"/>
        </w:rPr>
        <w:t>Dispose of TPN flask into the clinical waste bin</w:t>
      </w:r>
    </w:p>
    <w:p w14:paraId="39ED7E43" w14:textId="2EF30F73" w:rsidR="0023468F" w:rsidRDefault="0023468F" w:rsidP="009E3DE0">
      <w:pPr>
        <w:pStyle w:val="NoSpacing"/>
        <w:numPr>
          <w:ilvl w:val="0"/>
          <w:numId w:val="15"/>
        </w:numPr>
        <w:ind w:left="426" w:hanging="426"/>
        <w:rPr>
          <w:rFonts w:cs="Calibri"/>
          <w:sz w:val="24"/>
          <w:szCs w:val="24"/>
          <w:lang w:eastAsia="en-AU"/>
        </w:rPr>
      </w:pPr>
      <w:r>
        <w:rPr>
          <w:rFonts w:cs="Calibri"/>
          <w:sz w:val="24"/>
          <w:szCs w:val="24"/>
          <w:lang w:eastAsia="en-AU"/>
        </w:rPr>
        <w:t>Attend hand hygiene</w:t>
      </w:r>
    </w:p>
    <w:p w14:paraId="3DA47D4D" w14:textId="297DB8F9" w:rsidR="00EC4269" w:rsidRPr="00563FCB" w:rsidRDefault="00EC4269" w:rsidP="009E3DE0">
      <w:pPr>
        <w:pStyle w:val="NoSpacing"/>
        <w:numPr>
          <w:ilvl w:val="0"/>
          <w:numId w:val="15"/>
        </w:numPr>
        <w:ind w:left="426" w:hanging="426"/>
        <w:rPr>
          <w:rFonts w:cs="Calibri"/>
          <w:sz w:val="24"/>
          <w:szCs w:val="24"/>
          <w:lang w:eastAsia="en-AU"/>
        </w:rPr>
      </w:pPr>
      <w:r>
        <w:rPr>
          <w:rFonts w:cs="Calibri"/>
          <w:sz w:val="24"/>
          <w:szCs w:val="24"/>
          <w:lang w:eastAsia="en-AU"/>
        </w:rPr>
        <w:t>Document in the clinical notes and fluid balance chart.</w:t>
      </w:r>
    </w:p>
    <w:p w14:paraId="39ED7E44" w14:textId="77777777" w:rsidR="007B6904" w:rsidRDefault="007B6904" w:rsidP="007B6904">
      <w:pPr>
        <w:rPr>
          <w:rFonts w:cs="Arial"/>
          <w:b/>
          <w:szCs w:val="24"/>
        </w:rPr>
      </w:pPr>
    </w:p>
    <w:p w14:paraId="39ED7E52" w14:textId="3BF880BA" w:rsidR="00EB2A28" w:rsidRPr="00EB2A28" w:rsidRDefault="0081170E" w:rsidP="00AB2904">
      <w:pPr>
        <w:jc w:val="right"/>
        <w:rPr>
          <w:rFonts w:cs="Arial"/>
          <w:i/>
          <w:szCs w:val="24"/>
        </w:rPr>
      </w:pPr>
      <w:hyperlink w:anchor="Contents" w:history="1">
        <w:r w:rsidR="007B6904" w:rsidRPr="00590902">
          <w:rPr>
            <w:rStyle w:val="Hyperlink"/>
            <w:rFonts w:cs="Arial"/>
            <w:i/>
            <w:szCs w:val="24"/>
          </w:rPr>
          <w:t>Back to Table of Contents</w:t>
        </w:r>
      </w:hyperlink>
    </w:p>
    <w:tbl>
      <w:tblPr>
        <w:tblpPr w:leftFromText="180" w:rightFromText="180" w:vertAnchor="text" w:horzAnchor="margin" w:tblpX="-34" w:tblpY="181"/>
        <w:tblW w:w="9158" w:type="dxa"/>
        <w:tblLook w:val="0000" w:firstRow="0" w:lastRow="0" w:firstColumn="0" w:lastColumn="0" w:noHBand="0" w:noVBand="0"/>
      </w:tblPr>
      <w:tblGrid>
        <w:gridCol w:w="9158"/>
      </w:tblGrid>
      <w:tr w:rsidR="00024F9C" w:rsidRPr="00CD1C0E" w14:paraId="39ED7E54" w14:textId="77777777" w:rsidTr="009E3DE0">
        <w:trPr>
          <w:cantSplit/>
          <w:trHeight w:val="285"/>
        </w:trPr>
        <w:tc>
          <w:tcPr>
            <w:tcW w:w="9158" w:type="dxa"/>
            <w:shd w:val="clear" w:color="auto" w:fill="A6A6A6"/>
          </w:tcPr>
          <w:p w14:paraId="39ED7E53" w14:textId="7A287193" w:rsidR="00024F9C" w:rsidRPr="00CD1C0E" w:rsidRDefault="00024F9C" w:rsidP="009E3DE0">
            <w:pPr>
              <w:pStyle w:val="Heading1"/>
            </w:pPr>
            <w:bookmarkStart w:id="26" w:name="_Toc77250408"/>
            <w:r>
              <w:t xml:space="preserve">Section </w:t>
            </w:r>
            <w:r w:rsidR="00D90A28">
              <w:t>5</w:t>
            </w:r>
            <w:r>
              <w:t xml:space="preserve"> – Home Parenteral Nutrition (HPN) – Patient Education and Discharge Planning</w:t>
            </w:r>
            <w:bookmarkEnd w:id="26"/>
          </w:p>
        </w:tc>
      </w:tr>
    </w:tbl>
    <w:p w14:paraId="39ED7E55" w14:textId="77777777" w:rsidR="00024F9C" w:rsidRDefault="00024F9C" w:rsidP="00024F9C">
      <w:pPr>
        <w:jc w:val="right"/>
        <w:rPr>
          <w:rFonts w:cs="Arial"/>
          <w:b/>
          <w:szCs w:val="24"/>
        </w:rPr>
      </w:pPr>
    </w:p>
    <w:p w14:paraId="39ED7E56" w14:textId="55E44DA7" w:rsidR="009C146E" w:rsidRPr="009C146E" w:rsidRDefault="009C146E" w:rsidP="009C146E">
      <w:pPr>
        <w:rPr>
          <w:lang w:val="en-GB"/>
        </w:rPr>
      </w:pPr>
      <w:r w:rsidRPr="009C146E">
        <w:rPr>
          <w:lang w:val="en-GB"/>
        </w:rPr>
        <w:t xml:space="preserve">Parenteral nutrition is a costly treatment with significant infection risks and complications. </w:t>
      </w:r>
      <w:r w:rsidR="007C6731">
        <w:rPr>
          <w:lang w:val="en-GB"/>
        </w:rPr>
        <w:t>Home Parenteral Nutrition (</w:t>
      </w:r>
      <w:r w:rsidR="00260BE0">
        <w:rPr>
          <w:lang w:val="en-GB"/>
        </w:rPr>
        <w:t>HPN</w:t>
      </w:r>
      <w:r w:rsidR="007C6731">
        <w:rPr>
          <w:lang w:val="en-GB"/>
        </w:rPr>
        <w:t>)</w:t>
      </w:r>
      <w:r w:rsidRPr="009C146E">
        <w:rPr>
          <w:lang w:val="en-GB"/>
        </w:rPr>
        <w:t xml:space="preserve"> can only be justified for patients with clearly defined indications.</w:t>
      </w:r>
      <w:r w:rsidR="00AB2904">
        <w:rPr>
          <w:lang w:val="en-GB"/>
        </w:rPr>
        <w:t xml:space="preserve"> HPN is</w:t>
      </w:r>
      <w:r w:rsidRPr="009C146E">
        <w:rPr>
          <w:lang w:val="en-GB"/>
        </w:rPr>
        <w:t xml:space="preserve"> </w:t>
      </w:r>
      <w:r w:rsidR="00AB2904">
        <w:rPr>
          <w:lang w:val="en-GB"/>
        </w:rPr>
        <w:t>a</w:t>
      </w:r>
      <w:r w:rsidRPr="009C146E">
        <w:rPr>
          <w:lang w:val="en-GB"/>
        </w:rPr>
        <w:t>pprov</w:t>
      </w:r>
      <w:r w:rsidR="00AB2904">
        <w:rPr>
          <w:lang w:val="en-GB"/>
        </w:rPr>
        <w:t>ed</w:t>
      </w:r>
      <w:r w:rsidRPr="009C146E">
        <w:rPr>
          <w:lang w:val="en-GB"/>
        </w:rPr>
        <w:t xml:space="preserve"> through the Canberra Health Services Drug and Therapeutics Committee</w:t>
      </w:r>
      <w:r w:rsidR="00AB2904">
        <w:rPr>
          <w:lang w:val="en-GB"/>
        </w:rPr>
        <w:t xml:space="preserve"> (CHS DTC).  Approval</w:t>
      </w:r>
      <w:r w:rsidRPr="009C146E">
        <w:rPr>
          <w:lang w:val="en-GB"/>
        </w:rPr>
        <w:t xml:space="preserve"> is required to </w:t>
      </w:r>
      <w:r w:rsidR="003F4EA1">
        <w:rPr>
          <w:lang w:val="en-GB"/>
        </w:rPr>
        <w:t>get</w:t>
      </w:r>
      <w:r w:rsidRPr="009C146E">
        <w:rPr>
          <w:lang w:val="en-GB"/>
        </w:rPr>
        <w:t xml:space="preserve"> funding by Canberra </w:t>
      </w:r>
      <w:r w:rsidR="003F4EA1">
        <w:rPr>
          <w:lang w:val="en-GB"/>
        </w:rPr>
        <w:t xml:space="preserve">Health Services </w:t>
      </w:r>
      <w:r w:rsidRPr="009C146E">
        <w:rPr>
          <w:lang w:val="en-GB"/>
        </w:rPr>
        <w:t>of the parenteral nutrition solution, equipment and consumables which are provided through a supplier (</w:t>
      </w:r>
      <w:r w:rsidR="00260BE0">
        <w:rPr>
          <w:lang w:val="en-GB"/>
        </w:rPr>
        <w:t xml:space="preserve">for example, </w:t>
      </w:r>
      <w:r w:rsidRPr="009C146E">
        <w:rPr>
          <w:lang w:val="en-GB"/>
        </w:rPr>
        <w:t xml:space="preserve">Baxter or Fresenius </w:t>
      </w:r>
      <w:proofErr w:type="spellStart"/>
      <w:r w:rsidRPr="009C146E">
        <w:rPr>
          <w:lang w:val="en-GB"/>
        </w:rPr>
        <w:t>Kabi</w:t>
      </w:r>
      <w:proofErr w:type="spellEnd"/>
      <w:r w:rsidRPr="009C146E">
        <w:rPr>
          <w:lang w:val="en-GB"/>
        </w:rPr>
        <w:t xml:space="preserve">). Canberra </w:t>
      </w:r>
      <w:r w:rsidR="003F4EA1">
        <w:rPr>
          <w:lang w:val="en-GB"/>
        </w:rPr>
        <w:t>Health Services</w:t>
      </w:r>
      <w:r w:rsidRPr="009C146E">
        <w:rPr>
          <w:lang w:val="en-GB"/>
        </w:rPr>
        <w:t xml:space="preserve"> remains the clinical provider and provides the clinical management</w:t>
      </w:r>
      <w:r w:rsidR="00AB2904">
        <w:rPr>
          <w:lang w:val="en-GB"/>
        </w:rPr>
        <w:t xml:space="preserve"> for the </w:t>
      </w:r>
      <w:r w:rsidR="003F4EA1">
        <w:rPr>
          <w:lang w:val="en-GB"/>
        </w:rPr>
        <w:t>patient</w:t>
      </w:r>
      <w:r w:rsidRPr="009C146E">
        <w:rPr>
          <w:lang w:val="en-GB"/>
        </w:rPr>
        <w:t xml:space="preserve">. </w:t>
      </w:r>
    </w:p>
    <w:p w14:paraId="39ED7E57" w14:textId="77777777" w:rsidR="009C146E" w:rsidRPr="009C146E" w:rsidRDefault="009C146E" w:rsidP="009C146E">
      <w:pPr>
        <w:ind w:left="1440"/>
        <w:rPr>
          <w:lang w:val="en-GB"/>
        </w:rPr>
      </w:pPr>
    </w:p>
    <w:p w14:paraId="39ED7E58" w14:textId="77EAB87B" w:rsidR="009C146E" w:rsidRPr="009C146E" w:rsidRDefault="009C146E" w:rsidP="009C146E">
      <w:r w:rsidRPr="009C146E">
        <w:rPr>
          <w:lang w:val="en-GB"/>
        </w:rPr>
        <w:t xml:space="preserve">In addition to the clinical indication for </w:t>
      </w:r>
      <w:r w:rsidR="00260BE0">
        <w:rPr>
          <w:lang w:val="en-GB"/>
        </w:rPr>
        <w:t>HPN</w:t>
      </w:r>
      <w:r w:rsidR="00DA1010">
        <w:rPr>
          <w:lang w:val="en-GB"/>
        </w:rPr>
        <w:t>,</w:t>
      </w:r>
      <w:r w:rsidRPr="009C146E">
        <w:t xml:space="preserve"> the physical, cognitive and emotional</w:t>
      </w:r>
      <w:r w:rsidR="003F4EA1">
        <w:t xml:space="preserve"> </w:t>
      </w:r>
      <w:r w:rsidRPr="009C146E">
        <w:t>abilities of the patient and/or</w:t>
      </w:r>
      <w:r w:rsidR="00260BE0">
        <w:t xml:space="preserve"> </w:t>
      </w:r>
      <w:r w:rsidRPr="009C146E">
        <w:t xml:space="preserve">carers </w:t>
      </w:r>
      <w:r w:rsidR="00DA1010">
        <w:t xml:space="preserve">should be considered </w:t>
      </w:r>
      <w:r w:rsidRPr="009C146E">
        <w:t xml:space="preserve">and </w:t>
      </w:r>
      <w:r w:rsidR="003F4EA1">
        <w:t xml:space="preserve">if </w:t>
      </w:r>
      <w:r w:rsidRPr="009C146E">
        <w:t>the home environment</w:t>
      </w:r>
      <w:r w:rsidR="003F4EA1">
        <w:t xml:space="preserve"> is appropriate for HPN</w:t>
      </w:r>
      <w:r w:rsidRPr="009C146E">
        <w:t>.</w:t>
      </w:r>
      <w:r w:rsidR="00AB2904">
        <w:t xml:space="preserve"> </w:t>
      </w:r>
      <w:r w:rsidRPr="009C146E">
        <w:t xml:space="preserve">Extensive patient and/or carer training in the management of </w:t>
      </w:r>
      <w:r w:rsidR="00260BE0">
        <w:t>HP</w:t>
      </w:r>
      <w:r w:rsidR="00DA1010">
        <w:t xml:space="preserve">N is required while </w:t>
      </w:r>
      <w:r w:rsidRPr="009C146E">
        <w:t xml:space="preserve">an inpatient, with this usually taking several weeks (possibly up to 6 weeks) depending on the patient and and/or carer’s ability to learn the techniques to ensure safe home practice. </w:t>
      </w:r>
    </w:p>
    <w:p w14:paraId="39ED7E59" w14:textId="020DD6D1" w:rsidR="009C146E" w:rsidRPr="009C146E" w:rsidRDefault="009C146E" w:rsidP="00AB2904">
      <w:pPr>
        <w:tabs>
          <w:tab w:val="left" w:pos="1920"/>
        </w:tabs>
      </w:pPr>
    </w:p>
    <w:p w14:paraId="39ED7E5A" w14:textId="1FB51B87" w:rsidR="009C146E" w:rsidRPr="009C146E" w:rsidRDefault="009C146E" w:rsidP="009C146E">
      <w:r w:rsidRPr="009C146E">
        <w:t xml:space="preserve">The role of the hospital ward RN is to educate the patient and/or carer </w:t>
      </w:r>
      <w:r w:rsidR="00BF6DA9">
        <w:t>to independently administer</w:t>
      </w:r>
      <w:r w:rsidRPr="009C146E">
        <w:t xml:space="preserve"> parenteral nutrition with the ability to recognise problems and complications and respond appropriately.</w:t>
      </w:r>
    </w:p>
    <w:p w14:paraId="39ED7E5B" w14:textId="77777777" w:rsidR="00D02C48" w:rsidRDefault="00D02C48" w:rsidP="00024F9C">
      <w:pPr>
        <w:rPr>
          <w:rFonts w:cs="Arial"/>
        </w:rPr>
      </w:pPr>
    </w:p>
    <w:p w14:paraId="39ED7E5C" w14:textId="77777777" w:rsidR="00D02C48" w:rsidRPr="00E850C6" w:rsidRDefault="00D02C48" w:rsidP="00024F9C">
      <w:pPr>
        <w:rPr>
          <w:b/>
        </w:rPr>
      </w:pPr>
      <w:r w:rsidRPr="00E850C6">
        <w:rPr>
          <w:b/>
        </w:rPr>
        <w:lastRenderedPageBreak/>
        <w:t>Procedure</w:t>
      </w:r>
    </w:p>
    <w:p w14:paraId="39ED7E5D" w14:textId="15FA0D10" w:rsidR="00254D5F" w:rsidRPr="00254D5F" w:rsidRDefault="00254D5F" w:rsidP="0045407C">
      <w:pPr>
        <w:pStyle w:val="ListParagraph"/>
        <w:numPr>
          <w:ilvl w:val="0"/>
          <w:numId w:val="25"/>
        </w:numPr>
        <w:ind w:left="426" w:hanging="426"/>
        <w:rPr>
          <w:rFonts w:cs="Arial"/>
          <w:sz w:val="22"/>
        </w:rPr>
      </w:pPr>
      <w:r w:rsidRPr="00254D5F">
        <w:rPr>
          <w:rFonts w:cs="Arial"/>
        </w:rPr>
        <w:t xml:space="preserve">It is recommended to have a planned timeline for the setting up of the HPN patient, coordinated by the hospital ward </w:t>
      </w:r>
      <w:r w:rsidR="004915BE">
        <w:rPr>
          <w:rFonts w:cs="Arial"/>
        </w:rPr>
        <w:t>Clinical Nurse Consultant (</w:t>
      </w:r>
      <w:r w:rsidRPr="00254D5F">
        <w:rPr>
          <w:rFonts w:cs="Arial"/>
        </w:rPr>
        <w:t>CNC</w:t>
      </w:r>
      <w:r w:rsidR="004915BE">
        <w:rPr>
          <w:rFonts w:cs="Arial"/>
        </w:rPr>
        <w:t>)</w:t>
      </w:r>
      <w:r w:rsidRPr="00254D5F">
        <w:rPr>
          <w:rFonts w:cs="Arial"/>
        </w:rPr>
        <w:t xml:space="preserve">, covering a two week period. The hospital ward CNC informs the following clinicians of the new HPN patient: </w:t>
      </w:r>
    </w:p>
    <w:p w14:paraId="52DE1D07" w14:textId="6B3A65B4" w:rsidR="001D2737" w:rsidRPr="00254D5F" w:rsidRDefault="001D2737" w:rsidP="0045407C">
      <w:pPr>
        <w:pStyle w:val="ListParagraph"/>
        <w:numPr>
          <w:ilvl w:val="0"/>
          <w:numId w:val="31"/>
        </w:numPr>
        <w:ind w:left="851" w:hanging="425"/>
        <w:rPr>
          <w:sz w:val="22"/>
        </w:rPr>
      </w:pPr>
      <w:r>
        <w:t xml:space="preserve">CNC </w:t>
      </w:r>
      <w:proofErr w:type="spellStart"/>
      <w:r>
        <w:t>Post Acute</w:t>
      </w:r>
      <w:proofErr w:type="spellEnd"/>
      <w:r>
        <w:t xml:space="preserve"> Care </w:t>
      </w:r>
      <w:r w:rsidR="00BA3866">
        <w:t>at Rehabilitation, Aged and Community Services (</w:t>
      </w:r>
      <w:r>
        <w:t>RACS</w:t>
      </w:r>
      <w:r w:rsidR="00BA3866">
        <w:t>)</w:t>
      </w:r>
      <w:r>
        <w:t xml:space="preserve"> (ACT Residents Only), phone: 5124 7958</w:t>
      </w:r>
    </w:p>
    <w:p w14:paraId="2E0C6A83" w14:textId="0D894977" w:rsidR="001D2737" w:rsidRPr="00254D5F" w:rsidRDefault="001D2737" w:rsidP="0045407C">
      <w:pPr>
        <w:pStyle w:val="ListParagraph"/>
        <w:numPr>
          <w:ilvl w:val="0"/>
          <w:numId w:val="31"/>
        </w:numPr>
        <w:ind w:left="851" w:hanging="425"/>
        <w:rPr>
          <w:sz w:val="22"/>
          <w:lang w:val="en-US"/>
        </w:rPr>
      </w:pPr>
      <w:r>
        <w:t xml:space="preserve">Discharge Liaison Nurse (DLN) – to refer </w:t>
      </w:r>
      <w:r w:rsidR="00BA3866">
        <w:t xml:space="preserve">the patient </w:t>
      </w:r>
      <w:r>
        <w:t>to community nursing.  NSW Residents should be referred to the relevant Local Health District Community Nursing Service.</w:t>
      </w:r>
    </w:p>
    <w:p w14:paraId="2D5EFCAE" w14:textId="578C8DD2" w:rsidR="001D2737" w:rsidRPr="00BA3866" w:rsidRDefault="001D2737" w:rsidP="0045407C">
      <w:pPr>
        <w:pStyle w:val="ListParagraph"/>
        <w:numPr>
          <w:ilvl w:val="0"/>
          <w:numId w:val="31"/>
        </w:numPr>
        <w:ind w:left="851" w:hanging="425"/>
        <w:rPr>
          <w:sz w:val="22"/>
          <w:lang w:val="en-US"/>
        </w:rPr>
      </w:pPr>
      <w:r w:rsidRPr="00254D5F">
        <w:rPr>
          <w:lang w:val="en-US"/>
        </w:rPr>
        <w:t>HPN manufacturer to order HPN bags, equipment and consumables.  See Attachment A for information on ordering from the supplier</w:t>
      </w:r>
      <w:r>
        <w:rPr>
          <w:lang w:val="en-US"/>
        </w:rPr>
        <w:t>s.</w:t>
      </w:r>
      <w:r w:rsidRPr="00254D5F">
        <w:rPr>
          <w:lang w:val="en-US"/>
        </w:rPr>
        <w:t xml:space="preserve"> </w:t>
      </w:r>
    </w:p>
    <w:p w14:paraId="46299000" w14:textId="77777777" w:rsidR="00BA3866" w:rsidRPr="00254D5F" w:rsidRDefault="00BA3866" w:rsidP="00BA3866">
      <w:pPr>
        <w:pStyle w:val="ListParagraph"/>
        <w:rPr>
          <w:sz w:val="22"/>
          <w:lang w:val="en-US"/>
        </w:rPr>
      </w:pPr>
    </w:p>
    <w:p w14:paraId="39ED7E62" w14:textId="7A60EDC9" w:rsidR="00254D5F" w:rsidRPr="00736672" w:rsidRDefault="00254D5F" w:rsidP="0045407C">
      <w:pPr>
        <w:pStyle w:val="ListParagraph"/>
        <w:numPr>
          <w:ilvl w:val="0"/>
          <w:numId w:val="25"/>
        </w:numPr>
        <w:ind w:left="426" w:hanging="426"/>
        <w:rPr>
          <w:rFonts w:cs="Arial"/>
        </w:rPr>
      </w:pPr>
      <w:r w:rsidRPr="00736672">
        <w:rPr>
          <w:rFonts w:cs="Arial"/>
        </w:rPr>
        <w:t xml:space="preserve">Education of </w:t>
      </w:r>
      <w:r>
        <w:rPr>
          <w:rFonts w:cs="Arial"/>
        </w:rPr>
        <w:t>the</w:t>
      </w:r>
      <w:r w:rsidRPr="00736672">
        <w:rPr>
          <w:rFonts w:cs="Arial"/>
        </w:rPr>
        <w:t xml:space="preserve"> patient and/or family</w:t>
      </w:r>
      <w:r w:rsidR="00C07F24">
        <w:rPr>
          <w:rFonts w:cs="Arial"/>
        </w:rPr>
        <w:t>/</w:t>
      </w:r>
      <w:r w:rsidRPr="00736672">
        <w:rPr>
          <w:rFonts w:cs="Arial"/>
        </w:rPr>
        <w:t xml:space="preserve">carer in the management of HPN </w:t>
      </w:r>
      <w:r w:rsidR="00BA3866">
        <w:rPr>
          <w:rFonts w:cs="Arial"/>
        </w:rPr>
        <w:t>occurs</w:t>
      </w:r>
      <w:r w:rsidRPr="00736672">
        <w:rPr>
          <w:rFonts w:cs="Arial"/>
        </w:rPr>
        <w:t xml:space="preserve"> in hospital.  This process </w:t>
      </w:r>
      <w:r>
        <w:rPr>
          <w:rFonts w:cs="Arial"/>
        </w:rPr>
        <w:t>can</w:t>
      </w:r>
      <w:r w:rsidRPr="00736672">
        <w:rPr>
          <w:rFonts w:cs="Arial"/>
        </w:rPr>
        <w:t xml:space="preserve"> take </w:t>
      </w:r>
      <w:r>
        <w:rPr>
          <w:rFonts w:cs="Arial"/>
        </w:rPr>
        <w:t xml:space="preserve">two or more </w:t>
      </w:r>
      <w:r w:rsidRPr="00736672">
        <w:rPr>
          <w:rFonts w:cs="Arial"/>
        </w:rPr>
        <w:t>weeks depending on the medical condition of the patient and</w:t>
      </w:r>
      <w:r>
        <w:rPr>
          <w:rFonts w:cs="Arial"/>
        </w:rPr>
        <w:t>/or</w:t>
      </w:r>
      <w:r w:rsidRPr="00736672">
        <w:rPr>
          <w:rFonts w:cs="Arial"/>
        </w:rPr>
        <w:t xml:space="preserve"> the family</w:t>
      </w:r>
      <w:r w:rsidR="00C07F24">
        <w:rPr>
          <w:rFonts w:cs="Arial"/>
        </w:rPr>
        <w:t>/</w:t>
      </w:r>
      <w:r w:rsidRPr="00736672">
        <w:rPr>
          <w:rFonts w:cs="Arial"/>
        </w:rPr>
        <w:t>carer’s ability to undertake the care independently.  Patient and/or family carer education related to HPN is divided into four areas:</w:t>
      </w:r>
    </w:p>
    <w:p w14:paraId="39ED7E63" w14:textId="77777777" w:rsidR="00254D5F" w:rsidRPr="00885D22" w:rsidRDefault="00254D5F" w:rsidP="0045407C">
      <w:pPr>
        <w:pStyle w:val="ListParagraph"/>
        <w:numPr>
          <w:ilvl w:val="0"/>
          <w:numId w:val="27"/>
        </w:numPr>
        <w:ind w:left="851" w:hanging="425"/>
        <w:rPr>
          <w:rFonts w:cs="Calibri"/>
        </w:rPr>
      </w:pPr>
      <w:r w:rsidRPr="00885D22">
        <w:rPr>
          <w:rFonts w:cs="Calibri"/>
        </w:rPr>
        <w:t>Care of the CVAD</w:t>
      </w:r>
    </w:p>
    <w:p w14:paraId="39ED7E64" w14:textId="69844AB5" w:rsidR="00254D5F" w:rsidRPr="00885D22" w:rsidRDefault="00254D5F" w:rsidP="0045407C">
      <w:pPr>
        <w:pStyle w:val="ListParagraph"/>
        <w:numPr>
          <w:ilvl w:val="0"/>
          <w:numId w:val="27"/>
        </w:numPr>
        <w:ind w:left="851" w:hanging="425"/>
        <w:rPr>
          <w:rFonts w:cs="Calibri"/>
        </w:rPr>
      </w:pPr>
      <w:r w:rsidRPr="00885D22">
        <w:rPr>
          <w:rFonts w:cs="Calibri"/>
        </w:rPr>
        <w:t>Administration</w:t>
      </w:r>
      <w:r w:rsidR="00BA3866">
        <w:rPr>
          <w:rFonts w:cs="Calibri"/>
        </w:rPr>
        <w:t xml:space="preserve"> of TPN</w:t>
      </w:r>
      <w:r w:rsidRPr="00885D22">
        <w:rPr>
          <w:rFonts w:cs="Calibri"/>
        </w:rPr>
        <w:t xml:space="preserve"> procedures</w:t>
      </w:r>
    </w:p>
    <w:p w14:paraId="39ED7E65" w14:textId="77777777" w:rsidR="00254D5F" w:rsidRPr="00885D22" w:rsidRDefault="00254D5F" w:rsidP="0045407C">
      <w:pPr>
        <w:pStyle w:val="ListParagraph"/>
        <w:numPr>
          <w:ilvl w:val="0"/>
          <w:numId w:val="27"/>
        </w:numPr>
        <w:ind w:left="851" w:hanging="425"/>
        <w:rPr>
          <w:rFonts w:cs="Calibri"/>
        </w:rPr>
      </w:pPr>
      <w:r w:rsidRPr="00885D22">
        <w:rPr>
          <w:rFonts w:cs="Calibri"/>
        </w:rPr>
        <w:t>Monitoring for complications, for example, CVAD and pump troubleshooting, sepsis</w:t>
      </w:r>
    </w:p>
    <w:p w14:paraId="39ED7E66" w14:textId="77777777" w:rsidR="00254D5F" w:rsidRPr="00885D22" w:rsidRDefault="00254D5F" w:rsidP="0045407C">
      <w:pPr>
        <w:pStyle w:val="ListParagraph"/>
        <w:numPr>
          <w:ilvl w:val="0"/>
          <w:numId w:val="27"/>
        </w:numPr>
        <w:ind w:left="851" w:hanging="425"/>
        <w:rPr>
          <w:rFonts w:cs="Calibri"/>
        </w:rPr>
      </w:pPr>
      <w:r w:rsidRPr="00885D22">
        <w:rPr>
          <w:rFonts w:cs="Calibri"/>
        </w:rPr>
        <w:t>How to order supplies</w:t>
      </w:r>
    </w:p>
    <w:p w14:paraId="39ED7E67" w14:textId="77777777" w:rsidR="00254D5F" w:rsidRPr="00736672" w:rsidRDefault="00254D5F" w:rsidP="00254D5F">
      <w:pPr>
        <w:rPr>
          <w:rFonts w:cs="Calibri"/>
        </w:rPr>
      </w:pPr>
    </w:p>
    <w:p w14:paraId="39ED7E68" w14:textId="7C602BB7" w:rsidR="00254D5F" w:rsidRDefault="00254D5F" w:rsidP="0045407C">
      <w:pPr>
        <w:ind w:left="851" w:hanging="425"/>
        <w:rPr>
          <w:rFonts w:cs="Arial"/>
          <w:b/>
        </w:rPr>
      </w:pPr>
      <w:r w:rsidRPr="00736672">
        <w:rPr>
          <w:rFonts w:cs="Arial"/>
          <w:b/>
        </w:rPr>
        <w:t>Patient/Family Carer Education</w:t>
      </w:r>
    </w:p>
    <w:p w14:paraId="107A0DB6" w14:textId="0C752BA2" w:rsidR="00163A6F" w:rsidRPr="00163A6F" w:rsidRDefault="00163A6F" w:rsidP="0045407C">
      <w:pPr>
        <w:ind w:left="851" w:hanging="425"/>
        <w:rPr>
          <w:rFonts w:cs="Arial"/>
          <w:bCs/>
        </w:rPr>
      </w:pPr>
      <w:r>
        <w:rPr>
          <w:rFonts w:cs="Arial"/>
          <w:bCs/>
        </w:rPr>
        <w:t>Nursing staff are to ensure the patient/family member/carer:</w:t>
      </w:r>
    </w:p>
    <w:p w14:paraId="39ED7E69" w14:textId="15FC3A6D" w:rsidR="00254D5F" w:rsidRPr="00736672" w:rsidRDefault="00163A6F" w:rsidP="0045407C">
      <w:pPr>
        <w:pStyle w:val="ListParagraph"/>
        <w:numPr>
          <w:ilvl w:val="0"/>
          <w:numId w:val="27"/>
        </w:numPr>
        <w:ind w:left="851" w:hanging="425"/>
        <w:rPr>
          <w:rFonts w:cs="Calibri"/>
        </w:rPr>
      </w:pPr>
      <w:r>
        <w:rPr>
          <w:rFonts w:cs="Calibri"/>
        </w:rPr>
        <w:t>Has been i</w:t>
      </w:r>
      <w:r w:rsidR="00254D5F" w:rsidRPr="00736672">
        <w:rPr>
          <w:rFonts w:cs="Calibri"/>
        </w:rPr>
        <w:t xml:space="preserve">ssued with </w:t>
      </w:r>
      <w:r w:rsidR="00254D5F">
        <w:rPr>
          <w:rFonts w:cs="Calibri"/>
        </w:rPr>
        <w:t xml:space="preserve">product information from HPN manufacturer (for example, </w:t>
      </w:r>
      <w:r w:rsidR="00254D5F" w:rsidRPr="00885D22">
        <w:rPr>
          <w:rFonts w:cs="Calibri"/>
          <w:i/>
        </w:rPr>
        <w:t>Parenteral Nutrition At Home Patient Guide</w:t>
      </w:r>
      <w:r w:rsidR="00254D5F">
        <w:rPr>
          <w:rFonts w:cs="Calibri"/>
        </w:rPr>
        <w:t xml:space="preserve"> from Baxter</w:t>
      </w:r>
      <w:r w:rsidR="00E84F8D">
        <w:rPr>
          <w:rFonts w:cs="Calibri"/>
        </w:rPr>
        <w:t xml:space="preserve"> or </w:t>
      </w:r>
      <w:r w:rsidR="00E84F8D" w:rsidRPr="003874D7">
        <w:rPr>
          <w:rFonts w:cs="Calibri"/>
          <w:i/>
          <w:iCs/>
        </w:rPr>
        <w:t xml:space="preserve">Fresenius </w:t>
      </w:r>
      <w:proofErr w:type="spellStart"/>
      <w:r w:rsidR="00E84F8D" w:rsidRPr="003874D7">
        <w:rPr>
          <w:rFonts w:cs="Calibri"/>
          <w:i/>
          <w:iCs/>
        </w:rPr>
        <w:t>Kabi@Home</w:t>
      </w:r>
      <w:proofErr w:type="spellEnd"/>
      <w:r w:rsidR="00E84F8D" w:rsidRPr="003874D7">
        <w:rPr>
          <w:rFonts w:cs="Calibri"/>
          <w:i/>
          <w:iCs/>
        </w:rPr>
        <w:t xml:space="preserve"> Nutrition Delivered</w:t>
      </w:r>
      <w:r w:rsidR="00E84F8D">
        <w:rPr>
          <w:rFonts w:cs="Calibri"/>
        </w:rPr>
        <w:t xml:space="preserve"> from</w:t>
      </w:r>
      <w:r w:rsidR="00E84F8D" w:rsidRPr="004069F3">
        <w:rPr>
          <w:rFonts w:cs="Calibri"/>
          <w:i/>
          <w:iCs/>
        </w:rPr>
        <w:t xml:space="preserve"> </w:t>
      </w:r>
      <w:r w:rsidR="00E84F8D" w:rsidRPr="00D97296">
        <w:rPr>
          <w:rFonts w:cs="Calibri"/>
        </w:rPr>
        <w:t xml:space="preserve">Fresenius </w:t>
      </w:r>
      <w:proofErr w:type="spellStart"/>
      <w:r w:rsidR="00E84F8D" w:rsidRPr="00D97296">
        <w:rPr>
          <w:rFonts w:cs="Calibri"/>
        </w:rPr>
        <w:t>Kabi</w:t>
      </w:r>
      <w:proofErr w:type="spellEnd"/>
      <w:r w:rsidR="00254D5F">
        <w:rPr>
          <w:rFonts w:cs="Calibri"/>
        </w:rPr>
        <w:t>)</w:t>
      </w:r>
    </w:p>
    <w:p w14:paraId="39ED7E6A" w14:textId="77777777" w:rsidR="00254D5F" w:rsidRPr="00736672" w:rsidRDefault="00254D5F" w:rsidP="0045407C">
      <w:pPr>
        <w:pStyle w:val="ListParagraph"/>
        <w:numPr>
          <w:ilvl w:val="0"/>
          <w:numId w:val="27"/>
        </w:numPr>
        <w:ind w:left="851" w:hanging="425"/>
        <w:rPr>
          <w:rFonts w:cs="Calibri"/>
        </w:rPr>
      </w:pPr>
      <w:r w:rsidRPr="00736672">
        <w:rPr>
          <w:rFonts w:cs="Calibri"/>
        </w:rPr>
        <w:t>Demonstrates principles of asepsis when doing procedures</w:t>
      </w:r>
    </w:p>
    <w:p w14:paraId="39ED7E6B" w14:textId="77777777" w:rsidR="00254D5F" w:rsidRPr="00736672" w:rsidRDefault="00254D5F" w:rsidP="0045407C">
      <w:pPr>
        <w:pStyle w:val="ListParagraph"/>
        <w:numPr>
          <w:ilvl w:val="0"/>
          <w:numId w:val="27"/>
        </w:numPr>
        <w:ind w:left="851" w:hanging="425"/>
        <w:rPr>
          <w:rFonts w:cs="Calibri"/>
        </w:rPr>
      </w:pPr>
      <w:r w:rsidRPr="00736672">
        <w:rPr>
          <w:rFonts w:cs="Calibri"/>
        </w:rPr>
        <w:t xml:space="preserve">Demonstrates safe use of equipment and pump </w:t>
      </w:r>
    </w:p>
    <w:p w14:paraId="39ED7E6C" w14:textId="77777777" w:rsidR="00254D5F" w:rsidRPr="00736672" w:rsidRDefault="00254D5F" w:rsidP="0045407C">
      <w:pPr>
        <w:pStyle w:val="ListParagraph"/>
        <w:numPr>
          <w:ilvl w:val="0"/>
          <w:numId w:val="27"/>
        </w:numPr>
        <w:ind w:left="851" w:hanging="425"/>
        <w:rPr>
          <w:rFonts w:cs="Calibri"/>
        </w:rPr>
      </w:pPr>
      <w:r w:rsidRPr="00736672">
        <w:rPr>
          <w:rFonts w:cs="Calibri"/>
        </w:rPr>
        <w:t>Demonstrates safe handling and storage of HPN</w:t>
      </w:r>
    </w:p>
    <w:p w14:paraId="39ED7E6D" w14:textId="77777777" w:rsidR="00254D5F" w:rsidRPr="00736672" w:rsidRDefault="00254D5F" w:rsidP="0045407C">
      <w:pPr>
        <w:pStyle w:val="ListParagraph"/>
        <w:numPr>
          <w:ilvl w:val="0"/>
          <w:numId w:val="27"/>
        </w:numPr>
        <w:ind w:left="851" w:hanging="425"/>
        <w:rPr>
          <w:rFonts w:cs="Calibri"/>
        </w:rPr>
      </w:pPr>
      <w:r w:rsidRPr="00736672">
        <w:rPr>
          <w:rFonts w:cs="Calibri"/>
        </w:rPr>
        <w:t>Recognises mechanical problems related to CVAD and responds appropriately</w:t>
      </w:r>
    </w:p>
    <w:p w14:paraId="39ED7E6E" w14:textId="77777777" w:rsidR="00254D5F" w:rsidRPr="00736672" w:rsidRDefault="00254D5F" w:rsidP="0045407C">
      <w:pPr>
        <w:pStyle w:val="ListParagraph"/>
        <w:numPr>
          <w:ilvl w:val="0"/>
          <w:numId w:val="27"/>
        </w:numPr>
        <w:ind w:left="851" w:hanging="425"/>
        <w:rPr>
          <w:rFonts w:cs="Calibri"/>
        </w:rPr>
      </w:pPr>
      <w:r w:rsidRPr="00736672">
        <w:rPr>
          <w:rFonts w:cs="Calibri"/>
        </w:rPr>
        <w:t>Recognises signs and symptoms of infection and responds appropriately</w:t>
      </w:r>
    </w:p>
    <w:p w14:paraId="39ED7E6F" w14:textId="439BDEF7" w:rsidR="00254D5F" w:rsidRPr="00736672" w:rsidRDefault="00254D5F" w:rsidP="0045407C">
      <w:pPr>
        <w:pStyle w:val="ListParagraph"/>
        <w:numPr>
          <w:ilvl w:val="0"/>
          <w:numId w:val="27"/>
        </w:numPr>
        <w:ind w:left="851" w:hanging="425"/>
        <w:rPr>
          <w:rFonts w:cs="Calibri"/>
        </w:rPr>
      </w:pPr>
      <w:r w:rsidRPr="00736672">
        <w:rPr>
          <w:rFonts w:cs="Calibri"/>
        </w:rPr>
        <w:t>Recognises signs and symptoms of fluid imbalance</w:t>
      </w:r>
      <w:r w:rsidR="00BA3866">
        <w:rPr>
          <w:rFonts w:cs="Calibri"/>
        </w:rPr>
        <w:t xml:space="preserve"> and responds appropriately</w:t>
      </w:r>
    </w:p>
    <w:p w14:paraId="39ED7E70" w14:textId="06AA85A7" w:rsidR="00254D5F" w:rsidRPr="00736672" w:rsidRDefault="00254D5F" w:rsidP="0045407C">
      <w:pPr>
        <w:pStyle w:val="ListParagraph"/>
        <w:numPr>
          <w:ilvl w:val="0"/>
          <w:numId w:val="27"/>
        </w:numPr>
        <w:ind w:left="851" w:hanging="425"/>
        <w:rPr>
          <w:rFonts w:cs="Calibri"/>
        </w:rPr>
      </w:pPr>
      <w:r w:rsidRPr="00736672">
        <w:rPr>
          <w:rFonts w:cs="Calibri"/>
        </w:rPr>
        <w:t>Recognises signs and symptoms of hyperglycaemia and hypoglycaemia</w:t>
      </w:r>
      <w:r w:rsidR="00BA3866">
        <w:rPr>
          <w:rFonts w:cs="Calibri"/>
        </w:rPr>
        <w:t xml:space="preserve"> and responds appropriately.</w:t>
      </w:r>
    </w:p>
    <w:p w14:paraId="39ED7E71" w14:textId="0778D1D1" w:rsidR="00254D5F" w:rsidRDefault="00254D5F" w:rsidP="00254D5F">
      <w:pPr>
        <w:rPr>
          <w:rFonts w:cs="Arial"/>
        </w:rPr>
      </w:pPr>
    </w:p>
    <w:p w14:paraId="6CC9B85C" w14:textId="77777777" w:rsidR="00BA3866" w:rsidRDefault="00254D5F" w:rsidP="0045407C">
      <w:pPr>
        <w:ind w:left="426"/>
        <w:rPr>
          <w:rFonts w:cs="Arial"/>
        </w:rPr>
      </w:pPr>
      <w:r w:rsidRPr="00736672">
        <w:rPr>
          <w:rFonts w:cs="Arial"/>
        </w:rPr>
        <w:t xml:space="preserve">During training the patient is encouraged to take responsibility for self-monitoring and recording in a logbook or diary in preparation for discharge.  This may include monitoring of: </w:t>
      </w:r>
    </w:p>
    <w:p w14:paraId="79FBDA53" w14:textId="4219207F" w:rsidR="00BA3866" w:rsidRPr="00BA3866" w:rsidRDefault="00254D5F" w:rsidP="00BA3866">
      <w:pPr>
        <w:pStyle w:val="ListBullet"/>
        <w:tabs>
          <w:tab w:val="clear" w:pos="1080"/>
          <w:tab w:val="num" w:pos="1506"/>
        </w:tabs>
        <w:ind w:left="852"/>
      </w:pPr>
      <w:r w:rsidRPr="00BA3866">
        <w:t>fluid balance</w:t>
      </w:r>
    </w:p>
    <w:p w14:paraId="1477C7F4" w14:textId="59007503" w:rsidR="00BA3866" w:rsidRPr="00BA3866" w:rsidRDefault="00254D5F" w:rsidP="00BA3866">
      <w:pPr>
        <w:pStyle w:val="ListBullet"/>
        <w:tabs>
          <w:tab w:val="clear" w:pos="1080"/>
          <w:tab w:val="num" w:pos="1506"/>
        </w:tabs>
        <w:ind w:left="852"/>
      </w:pPr>
      <w:r w:rsidRPr="00BA3866">
        <w:t>BGLs</w:t>
      </w:r>
    </w:p>
    <w:p w14:paraId="1736E269" w14:textId="1BB3B0A6" w:rsidR="00BA3866" w:rsidRDefault="00254D5F" w:rsidP="00BA3866">
      <w:pPr>
        <w:pStyle w:val="ListBullet"/>
        <w:tabs>
          <w:tab w:val="clear" w:pos="1080"/>
          <w:tab w:val="num" w:pos="1506"/>
        </w:tabs>
        <w:ind w:left="852"/>
      </w:pPr>
      <w:r w:rsidRPr="00BA3866">
        <w:t>weight</w:t>
      </w:r>
      <w:r w:rsidRPr="00736672">
        <w:t xml:space="preserve"> </w:t>
      </w:r>
    </w:p>
    <w:p w14:paraId="44A667D7" w14:textId="2D7C3A90" w:rsidR="00BA3866" w:rsidRDefault="00254D5F" w:rsidP="00BA3866">
      <w:pPr>
        <w:pStyle w:val="ListBullet"/>
        <w:tabs>
          <w:tab w:val="clear" w:pos="1080"/>
          <w:tab w:val="num" w:pos="1506"/>
        </w:tabs>
        <w:ind w:left="852"/>
      </w:pPr>
      <w:r w:rsidRPr="00736672">
        <w:t xml:space="preserve">temperature.  </w:t>
      </w:r>
    </w:p>
    <w:p w14:paraId="11DF7464" w14:textId="77777777" w:rsidR="0045407C" w:rsidRDefault="0045407C" w:rsidP="0045407C">
      <w:pPr>
        <w:pStyle w:val="ListBullet"/>
        <w:numPr>
          <w:ilvl w:val="0"/>
          <w:numId w:val="0"/>
        </w:numPr>
        <w:ind w:left="852"/>
      </w:pPr>
    </w:p>
    <w:p w14:paraId="39ED7E72" w14:textId="43861A41" w:rsidR="00254D5F" w:rsidRDefault="00254D5F" w:rsidP="0045407C">
      <w:pPr>
        <w:pStyle w:val="ListBullet"/>
        <w:numPr>
          <w:ilvl w:val="0"/>
          <w:numId w:val="0"/>
        </w:numPr>
        <w:ind w:left="426"/>
      </w:pPr>
      <w:r w:rsidRPr="00736672">
        <w:t>If the patient is found to be stable after several weeks on parenteral nutrition a decrease in monitoring activities is indicated</w:t>
      </w:r>
      <w:r>
        <w:t xml:space="preserve">. </w:t>
      </w:r>
      <w:r w:rsidRPr="00736672">
        <w:t xml:space="preserve"> Generally stable patient</w:t>
      </w:r>
      <w:r>
        <w:t>s</w:t>
      </w:r>
      <w:r w:rsidRPr="00736672">
        <w:t xml:space="preserve"> </w:t>
      </w:r>
      <w:r>
        <w:t>do</w:t>
      </w:r>
      <w:r w:rsidRPr="00736672">
        <w:t xml:space="preserve"> not </w:t>
      </w:r>
      <w:r>
        <w:t>need</w:t>
      </w:r>
      <w:r w:rsidRPr="00736672">
        <w:t xml:space="preserve"> to </w:t>
      </w:r>
      <w:r w:rsidRPr="00736672">
        <w:lastRenderedPageBreak/>
        <w:t>monitor BGL or temperature at home.  If the patient becomes unstable then home monitoring activities may need to be increased.</w:t>
      </w:r>
    </w:p>
    <w:p w14:paraId="0AAA09AE" w14:textId="77777777" w:rsidR="00BA3866" w:rsidRPr="00736672" w:rsidRDefault="00BA3866" w:rsidP="00BA3866">
      <w:pPr>
        <w:pStyle w:val="ListBullet"/>
        <w:numPr>
          <w:ilvl w:val="0"/>
          <w:numId w:val="0"/>
        </w:numPr>
        <w:ind w:left="360"/>
      </w:pPr>
    </w:p>
    <w:p w14:paraId="39ED7E73" w14:textId="1DF0C4F3" w:rsidR="00254D5F" w:rsidRPr="00885D22" w:rsidRDefault="00254D5F" w:rsidP="0045407C">
      <w:pPr>
        <w:pStyle w:val="ListParagraph"/>
        <w:numPr>
          <w:ilvl w:val="0"/>
          <w:numId w:val="25"/>
        </w:numPr>
        <w:ind w:left="426" w:hanging="426"/>
        <w:rPr>
          <w:rFonts w:cs="Arial"/>
        </w:rPr>
      </w:pPr>
      <w:r w:rsidRPr="00260BE0">
        <w:t xml:space="preserve">The </w:t>
      </w:r>
      <w:r>
        <w:t>HPN</w:t>
      </w:r>
      <w:r w:rsidRPr="00260BE0">
        <w:t xml:space="preserve"> regimen requires regular evaluation (this may be weekly initially to up to six monthly depending on the stability of the patient). A recommended standard of care for the management of patients receiving </w:t>
      </w:r>
      <w:r>
        <w:t xml:space="preserve">HPN </w:t>
      </w:r>
      <w:r w:rsidRPr="00260BE0">
        <w:t xml:space="preserve">is for this </w:t>
      </w:r>
      <w:r w:rsidR="00BA3866">
        <w:t xml:space="preserve">evaluation </w:t>
      </w:r>
      <w:r w:rsidRPr="00260BE0">
        <w:t>to be multidisciplinary. Review</w:t>
      </w:r>
      <w:r w:rsidR="00BA3866">
        <w:t xml:space="preserve"> of the HPN</w:t>
      </w:r>
      <w:r w:rsidRPr="00260BE0">
        <w:t xml:space="preserve"> should be arranged with the consultant clinician (gastroenterologist managing parenteral nutrition) and dieti</w:t>
      </w:r>
      <w:r>
        <w:t>t</w:t>
      </w:r>
      <w:r w:rsidRPr="00260BE0">
        <w:t>ian (</w:t>
      </w:r>
      <w:r w:rsidR="00C07F24">
        <w:t xml:space="preserve">for example, </w:t>
      </w:r>
      <w:r w:rsidRPr="00260BE0">
        <w:t xml:space="preserve">gastroenterology outpatient dietitian). </w:t>
      </w:r>
      <w:r w:rsidRPr="00885D22">
        <w:rPr>
          <w:rFonts w:cs="Arial"/>
        </w:rPr>
        <w:t>The gastroenterologist orders the frequency of blood collection for monitoring of electrolytes and chemistry; and the schedule for the patient and/or family carer to monitor BGLs, weight, and temperature.   Blood is collected by a pathology service prior to review by the gastroenterologist or GP.  The dietitian organises follow up appointments as required. The patient should be given a contact list for the HPN manufacturer, community nursing, dietitian, emergency services, gastroenterologist, GP and hospital pharmacy.</w:t>
      </w:r>
    </w:p>
    <w:p w14:paraId="39ED7E74" w14:textId="77777777" w:rsidR="00254D5F" w:rsidRPr="00736672" w:rsidRDefault="00254D5F" w:rsidP="00254D5F">
      <w:pPr>
        <w:rPr>
          <w:rFonts w:cs="Arial"/>
          <w:b/>
          <w:szCs w:val="24"/>
        </w:rPr>
      </w:pPr>
    </w:p>
    <w:p w14:paraId="39ED7E75" w14:textId="57C82298" w:rsidR="00254D5F" w:rsidRDefault="00254D5F" w:rsidP="0045407C">
      <w:pPr>
        <w:ind w:left="426"/>
        <w:rPr>
          <w:b/>
        </w:rPr>
      </w:pPr>
      <w:r w:rsidRPr="00E850C6">
        <w:rPr>
          <w:b/>
        </w:rPr>
        <w:t xml:space="preserve">Discharge </w:t>
      </w:r>
      <w:r w:rsidR="003F4EA1">
        <w:rPr>
          <w:b/>
        </w:rPr>
        <w:t>to start HPN</w:t>
      </w:r>
    </w:p>
    <w:p w14:paraId="3FD4F46C" w14:textId="547FCCB0" w:rsidR="004915BE" w:rsidRPr="004915BE" w:rsidRDefault="004915BE" w:rsidP="0045407C">
      <w:pPr>
        <w:ind w:left="426"/>
        <w:rPr>
          <w:bCs/>
        </w:rPr>
      </w:pPr>
      <w:r>
        <w:rPr>
          <w:bCs/>
        </w:rPr>
        <w:t>Patient has:</w:t>
      </w:r>
    </w:p>
    <w:p w14:paraId="39ED7E76" w14:textId="1008ABB0" w:rsidR="00254D5F" w:rsidRPr="00885D22" w:rsidRDefault="00254D5F" w:rsidP="0045407C">
      <w:pPr>
        <w:pStyle w:val="ListParagraph"/>
        <w:numPr>
          <w:ilvl w:val="0"/>
          <w:numId w:val="28"/>
        </w:numPr>
        <w:ind w:left="851" w:hanging="425"/>
        <w:rPr>
          <w:rFonts w:cs="Calibri"/>
        </w:rPr>
      </w:pPr>
      <w:r w:rsidRPr="00885D22">
        <w:rPr>
          <w:rFonts w:cs="Calibri"/>
        </w:rPr>
        <w:t xml:space="preserve">HPN approved by the </w:t>
      </w:r>
      <w:r w:rsidR="00BA3866">
        <w:rPr>
          <w:rFonts w:cs="Calibri"/>
        </w:rPr>
        <w:t xml:space="preserve">CHS </w:t>
      </w:r>
      <w:r w:rsidRPr="00885D22">
        <w:rPr>
          <w:rFonts w:cs="Calibri"/>
        </w:rPr>
        <w:t xml:space="preserve">Drug and Therapeutics Committee </w:t>
      </w:r>
    </w:p>
    <w:p w14:paraId="39ED7E78" w14:textId="60509692" w:rsidR="00254D5F" w:rsidRPr="00885D22" w:rsidRDefault="00254D5F" w:rsidP="0045407C">
      <w:pPr>
        <w:pStyle w:val="ListParagraph"/>
        <w:numPr>
          <w:ilvl w:val="0"/>
          <w:numId w:val="28"/>
        </w:numPr>
        <w:ind w:left="851" w:hanging="425"/>
        <w:rPr>
          <w:rFonts w:cs="Calibri"/>
          <w:b/>
        </w:rPr>
      </w:pPr>
      <w:r w:rsidRPr="00885D22">
        <w:rPr>
          <w:rFonts w:cs="Calibri"/>
        </w:rPr>
        <w:t>CVAD in situ</w:t>
      </w:r>
    </w:p>
    <w:p w14:paraId="39ED7E79" w14:textId="4EDF6C2E" w:rsidR="00254D5F" w:rsidRPr="00885D22" w:rsidRDefault="004915BE" w:rsidP="0045407C">
      <w:pPr>
        <w:pStyle w:val="ListParagraph"/>
        <w:numPr>
          <w:ilvl w:val="0"/>
          <w:numId w:val="28"/>
        </w:numPr>
        <w:ind w:left="851" w:hanging="425"/>
        <w:rPr>
          <w:rFonts w:cs="Calibri"/>
        </w:rPr>
      </w:pPr>
      <w:r>
        <w:rPr>
          <w:rFonts w:cs="Calibri"/>
        </w:rPr>
        <w:t>Been r</w:t>
      </w:r>
      <w:r w:rsidR="00254D5F" w:rsidRPr="00885D22">
        <w:rPr>
          <w:rFonts w:cs="Calibri"/>
        </w:rPr>
        <w:t xml:space="preserve">eferred to Community Nursing CNC Acute </w:t>
      </w:r>
      <w:proofErr w:type="spellStart"/>
      <w:r w:rsidR="00254D5F" w:rsidRPr="00885D22">
        <w:rPr>
          <w:rFonts w:cs="Calibri"/>
        </w:rPr>
        <w:t>Post Acute</w:t>
      </w:r>
      <w:proofErr w:type="spellEnd"/>
      <w:r w:rsidR="00254D5F" w:rsidRPr="00885D22">
        <w:rPr>
          <w:rFonts w:cs="Calibri"/>
        </w:rPr>
        <w:t xml:space="preserve"> Care (ACT residents only)</w:t>
      </w:r>
    </w:p>
    <w:p w14:paraId="39ED7E7A" w14:textId="7A900FC9" w:rsidR="00254D5F" w:rsidRPr="00885D22" w:rsidRDefault="004915BE" w:rsidP="0045407C">
      <w:pPr>
        <w:pStyle w:val="ListParagraph"/>
        <w:numPr>
          <w:ilvl w:val="0"/>
          <w:numId w:val="28"/>
        </w:numPr>
        <w:ind w:left="851" w:hanging="425"/>
        <w:rPr>
          <w:rFonts w:cs="Calibri"/>
        </w:rPr>
      </w:pPr>
      <w:r>
        <w:rPr>
          <w:rFonts w:cs="Calibri"/>
        </w:rPr>
        <w:t>Been r</w:t>
      </w:r>
      <w:r w:rsidR="00254D5F" w:rsidRPr="00885D22">
        <w:rPr>
          <w:rFonts w:cs="Calibri"/>
        </w:rPr>
        <w:t>eferred to community nursing and Link Team for support and monitoring</w:t>
      </w:r>
      <w:r w:rsidR="00BB64AF">
        <w:rPr>
          <w:rFonts w:cs="Calibri"/>
        </w:rPr>
        <w:t xml:space="preserve"> or if NSW resident referred to </w:t>
      </w:r>
      <w:r w:rsidR="00BB64AF">
        <w:t>Local Health District Community Nursing Service.</w:t>
      </w:r>
    </w:p>
    <w:p w14:paraId="39ED7E7B" w14:textId="77777777" w:rsidR="00254D5F" w:rsidRPr="00885D22" w:rsidRDefault="00254D5F" w:rsidP="0045407C">
      <w:pPr>
        <w:pStyle w:val="ListParagraph"/>
        <w:numPr>
          <w:ilvl w:val="0"/>
          <w:numId w:val="28"/>
        </w:numPr>
        <w:ind w:left="851" w:hanging="425"/>
        <w:rPr>
          <w:rFonts w:cs="Calibri"/>
        </w:rPr>
      </w:pPr>
      <w:r w:rsidRPr="00885D22">
        <w:rPr>
          <w:rFonts w:cs="Calibri"/>
        </w:rPr>
        <w:t>Appointments with gastroenterologist, GP and dietitian</w:t>
      </w:r>
    </w:p>
    <w:p w14:paraId="39ED7E7C" w14:textId="77777777" w:rsidR="00254D5F" w:rsidRPr="00885D22" w:rsidRDefault="00254D5F" w:rsidP="0045407C">
      <w:pPr>
        <w:pStyle w:val="ListParagraph"/>
        <w:numPr>
          <w:ilvl w:val="0"/>
          <w:numId w:val="28"/>
        </w:numPr>
        <w:ind w:left="851" w:hanging="425"/>
        <w:rPr>
          <w:rFonts w:cs="Calibri"/>
        </w:rPr>
      </w:pPr>
      <w:r w:rsidRPr="00885D22">
        <w:rPr>
          <w:rFonts w:cs="Calibri"/>
        </w:rPr>
        <w:t>Blood collection schedule</w:t>
      </w:r>
    </w:p>
    <w:p w14:paraId="39ED7E7D" w14:textId="3614298A" w:rsidR="00254D5F" w:rsidRPr="00885D22" w:rsidRDefault="00254D5F" w:rsidP="0045407C">
      <w:pPr>
        <w:pStyle w:val="ListParagraph"/>
        <w:numPr>
          <w:ilvl w:val="0"/>
          <w:numId w:val="28"/>
        </w:numPr>
        <w:ind w:left="851" w:hanging="425"/>
        <w:rPr>
          <w:rFonts w:cs="Calibri"/>
        </w:rPr>
      </w:pPr>
      <w:r w:rsidRPr="00885D22">
        <w:rPr>
          <w:rFonts w:cs="Calibri"/>
        </w:rPr>
        <w:t xml:space="preserve">Contact list for </w:t>
      </w:r>
      <w:r w:rsidRPr="00885D22">
        <w:rPr>
          <w:rFonts w:cs="Arial"/>
        </w:rPr>
        <w:t>HPN manufacturer (see Attachment A), community nursing, dietitian, emergency services, gastroenterologist</w:t>
      </w:r>
      <w:r w:rsidR="000C3393">
        <w:rPr>
          <w:rFonts w:cs="Arial"/>
        </w:rPr>
        <w:t xml:space="preserve"> and </w:t>
      </w:r>
      <w:r w:rsidRPr="00885D22">
        <w:rPr>
          <w:rFonts w:cs="Arial"/>
        </w:rPr>
        <w:t xml:space="preserve">GP </w:t>
      </w:r>
    </w:p>
    <w:p w14:paraId="39ED7E7E" w14:textId="77777777" w:rsidR="00254D5F" w:rsidRPr="00885D22" w:rsidRDefault="00254D5F" w:rsidP="0045407C">
      <w:pPr>
        <w:pStyle w:val="ListParagraph"/>
        <w:numPr>
          <w:ilvl w:val="0"/>
          <w:numId w:val="28"/>
        </w:numPr>
        <w:ind w:left="851" w:hanging="425"/>
        <w:rPr>
          <w:rFonts w:cs="Calibri"/>
        </w:rPr>
      </w:pPr>
      <w:r w:rsidRPr="00885D22">
        <w:rPr>
          <w:rFonts w:cs="Calibri"/>
        </w:rPr>
        <w:t xml:space="preserve">Home Monitoring Protocol </w:t>
      </w:r>
    </w:p>
    <w:p w14:paraId="39ED7E7F" w14:textId="7DDF6385" w:rsidR="00254D5F" w:rsidRPr="00885D22" w:rsidRDefault="00254D5F" w:rsidP="0045407C">
      <w:pPr>
        <w:pStyle w:val="ListParagraph"/>
        <w:numPr>
          <w:ilvl w:val="0"/>
          <w:numId w:val="28"/>
        </w:numPr>
        <w:ind w:left="851" w:hanging="425"/>
        <w:rPr>
          <w:rFonts w:cs="Calibri"/>
        </w:rPr>
      </w:pPr>
      <w:r w:rsidRPr="00885D22">
        <w:rPr>
          <w:rFonts w:cs="Calibri"/>
        </w:rPr>
        <w:t xml:space="preserve">Product information from HPN manufacturer (for example, </w:t>
      </w:r>
      <w:r w:rsidRPr="00885D22">
        <w:rPr>
          <w:rFonts w:cs="Calibri"/>
          <w:i/>
        </w:rPr>
        <w:t>Parenteral Nutrition At Home Patient Guide</w:t>
      </w:r>
      <w:r w:rsidRPr="00885D22">
        <w:rPr>
          <w:rFonts w:cs="Calibri"/>
        </w:rPr>
        <w:t xml:space="preserve"> from Baxter</w:t>
      </w:r>
      <w:r w:rsidR="00E84F8D">
        <w:rPr>
          <w:rFonts w:cs="Calibri"/>
        </w:rPr>
        <w:t xml:space="preserve"> or </w:t>
      </w:r>
      <w:r w:rsidR="00E84F8D" w:rsidRPr="003874D7">
        <w:rPr>
          <w:rFonts w:cs="Calibri"/>
          <w:i/>
          <w:iCs/>
        </w:rPr>
        <w:t xml:space="preserve">Fresenius </w:t>
      </w:r>
      <w:proofErr w:type="spellStart"/>
      <w:r w:rsidR="00E84F8D" w:rsidRPr="003874D7">
        <w:rPr>
          <w:rFonts w:cs="Calibri"/>
          <w:i/>
          <w:iCs/>
        </w:rPr>
        <w:t>Kabi@Home</w:t>
      </w:r>
      <w:proofErr w:type="spellEnd"/>
      <w:r w:rsidR="00E84F8D" w:rsidRPr="003874D7">
        <w:rPr>
          <w:rFonts w:cs="Calibri"/>
          <w:i/>
          <w:iCs/>
        </w:rPr>
        <w:t xml:space="preserve"> Nutrition Delivered</w:t>
      </w:r>
      <w:r w:rsidR="00E84F8D">
        <w:rPr>
          <w:rFonts w:cs="Calibri"/>
        </w:rPr>
        <w:t xml:space="preserve"> from</w:t>
      </w:r>
      <w:r w:rsidR="00E84F8D" w:rsidRPr="004069F3">
        <w:rPr>
          <w:rFonts w:cs="Calibri"/>
          <w:i/>
          <w:iCs/>
        </w:rPr>
        <w:t xml:space="preserve"> </w:t>
      </w:r>
      <w:r w:rsidR="00E84F8D" w:rsidRPr="00D97296">
        <w:rPr>
          <w:rFonts w:cs="Calibri"/>
        </w:rPr>
        <w:t xml:space="preserve">Fresenius </w:t>
      </w:r>
      <w:proofErr w:type="spellStart"/>
      <w:r w:rsidR="00E84F8D" w:rsidRPr="00D97296">
        <w:rPr>
          <w:rFonts w:cs="Calibri"/>
        </w:rPr>
        <w:t>Kabi</w:t>
      </w:r>
      <w:proofErr w:type="spellEnd"/>
      <w:r w:rsidRPr="00885D22">
        <w:rPr>
          <w:rFonts w:cs="Calibri"/>
        </w:rPr>
        <w:t>)</w:t>
      </w:r>
    </w:p>
    <w:p w14:paraId="39ED7E80" w14:textId="77777777" w:rsidR="00254D5F" w:rsidRPr="00885D22" w:rsidRDefault="00254D5F" w:rsidP="0045407C">
      <w:pPr>
        <w:pStyle w:val="ListParagraph"/>
        <w:numPr>
          <w:ilvl w:val="0"/>
          <w:numId w:val="28"/>
        </w:numPr>
        <w:ind w:left="851" w:hanging="425"/>
        <w:rPr>
          <w:rFonts w:cs="Calibri"/>
        </w:rPr>
      </w:pPr>
      <w:r w:rsidRPr="00885D22">
        <w:rPr>
          <w:rFonts w:cs="Calibri"/>
        </w:rPr>
        <w:t>HPN solutions</w:t>
      </w:r>
    </w:p>
    <w:p w14:paraId="39ED7E81" w14:textId="77777777" w:rsidR="00254D5F" w:rsidRPr="00885D22" w:rsidRDefault="00254D5F" w:rsidP="0045407C">
      <w:pPr>
        <w:pStyle w:val="ListParagraph"/>
        <w:numPr>
          <w:ilvl w:val="0"/>
          <w:numId w:val="28"/>
        </w:numPr>
        <w:ind w:left="851" w:hanging="425"/>
        <w:rPr>
          <w:rFonts w:cs="Calibri"/>
        </w:rPr>
      </w:pPr>
      <w:r w:rsidRPr="00885D22">
        <w:rPr>
          <w:rFonts w:cs="Calibri"/>
        </w:rPr>
        <w:t xml:space="preserve">Equipment: ambulatory pump, IV set, backpack for ambulatory pump, IV pole </w:t>
      </w:r>
    </w:p>
    <w:p w14:paraId="39ED7E82" w14:textId="77777777" w:rsidR="00254D5F" w:rsidRPr="00885D22" w:rsidRDefault="00254D5F" w:rsidP="0045407C">
      <w:pPr>
        <w:pStyle w:val="ListParagraph"/>
        <w:numPr>
          <w:ilvl w:val="0"/>
          <w:numId w:val="28"/>
        </w:numPr>
        <w:ind w:left="851" w:hanging="425"/>
        <w:rPr>
          <w:rFonts w:cs="Calibri"/>
        </w:rPr>
      </w:pPr>
      <w:r w:rsidRPr="00885D22">
        <w:rPr>
          <w:rFonts w:cs="Calibri"/>
        </w:rPr>
        <w:t>List of consumables</w:t>
      </w:r>
    </w:p>
    <w:p w14:paraId="39ED7E83" w14:textId="1ADA4D78" w:rsidR="00254D5F" w:rsidRDefault="00254D5F" w:rsidP="0045407C">
      <w:pPr>
        <w:pStyle w:val="ListParagraph"/>
        <w:numPr>
          <w:ilvl w:val="0"/>
          <w:numId w:val="28"/>
        </w:numPr>
        <w:ind w:left="851" w:hanging="425"/>
        <w:rPr>
          <w:rFonts w:cs="Calibri"/>
        </w:rPr>
      </w:pPr>
      <w:r w:rsidRPr="00885D22">
        <w:rPr>
          <w:rFonts w:cs="Calibri"/>
        </w:rPr>
        <w:t>Consumables</w:t>
      </w:r>
    </w:p>
    <w:p w14:paraId="43DAB4D8" w14:textId="77777777" w:rsidR="002D105B" w:rsidRPr="00885D22" w:rsidRDefault="002D105B" w:rsidP="002D105B">
      <w:pPr>
        <w:pStyle w:val="ListParagraph"/>
        <w:ind w:left="644"/>
        <w:rPr>
          <w:rFonts w:cs="Calibri"/>
        </w:rPr>
      </w:pPr>
    </w:p>
    <w:p w14:paraId="39ED7E84" w14:textId="77777777" w:rsidR="00254D5F" w:rsidRPr="00885D22" w:rsidRDefault="00254D5F" w:rsidP="00DA705E">
      <w:pPr>
        <w:pStyle w:val="ListParagraph"/>
        <w:numPr>
          <w:ilvl w:val="0"/>
          <w:numId w:val="25"/>
        </w:numPr>
        <w:ind w:left="426" w:hanging="426"/>
        <w:rPr>
          <w:rFonts w:cs="Arial"/>
        </w:rPr>
      </w:pPr>
      <w:r w:rsidRPr="00885D22">
        <w:rPr>
          <w:rFonts w:cs="Arial"/>
        </w:rPr>
        <w:t xml:space="preserve">It is recommended that the patient is assessed for safety and independence in the performance of TPN administration early in the discharge planning process.  It is recommended that the patient’s home be assessed for the suitability of their storage of a month’s supply of consumables in their original boxes in a clean and dry area, the selection of an area for HPN connection and disconnection and appropriate location of power points for the pump.  A dedicated fridge is required to store the HPN and vitamins.  Vitamins should not be stored in the refrigerator door. The patient may </w:t>
      </w:r>
      <w:r w:rsidRPr="00885D22">
        <w:rPr>
          <w:rFonts w:cs="Arial"/>
        </w:rPr>
        <w:lastRenderedPageBreak/>
        <w:t>consider purchasing a folding table, or a stainless steel/plastic tray to provide a clean surface on which to perform HPN management.</w:t>
      </w:r>
    </w:p>
    <w:p w14:paraId="39ED7E85" w14:textId="77777777" w:rsidR="00024F9C" w:rsidRPr="00736672" w:rsidRDefault="00024F9C" w:rsidP="00024F9C">
      <w:pPr>
        <w:rPr>
          <w:lang w:val="en-US"/>
        </w:rPr>
      </w:pPr>
    </w:p>
    <w:p w14:paraId="3BEB5367" w14:textId="5A5DF6CE" w:rsidR="002D105B" w:rsidRPr="004915BE" w:rsidRDefault="0081170E" w:rsidP="004915BE">
      <w:pPr>
        <w:jc w:val="right"/>
        <w:rPr>
          <w:rFonts w:cs="Arial"/>
          <w:i/>
          <w:color w:val="0000FF"/>
          <w:szCs w:val="24"/>
          <w:u w:val="single"/>
        </w:rPr>
      </w:pPr>
      <w:hyperlink w:anchor="Contents" w:history="1">
        <w:r w:rsidR="00E850C6" w:rsidRPr="00590902">
          <w:rPr>
            <w:rStyle w:val="Hyperlink"/>
            <w:rFonts w:cs="Arial"/>
            <w:i/>
            <w:szCs w:val="24"/>
          </w:rPr>
          <w:t>Back to Table of Contents</w:t>
        </w:r>
      </w:hyperlink>
    </w:p>
    <w:p w14:paraId="39ED7E87" w14:textId="77777777" w:rsidR="007B6904" w:rsidRDefault="007B6904" w:rsidP="007B6904">
      <w:pPr>
        <w:pStyle w:val="ProcedureTemplateinternalheadings"/>
        <w:framePr w:wrap="around"/>
      </w:pPr>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89" w14:textId="77777777" w:rsidTr="00DA705E">
        <w:trPr>
          <w:cantSplit/>
          <w:trHeight w:val="285"/>
        </w:trPr>
        <w:tc>
          <w:tcPr>
            <w:tcW w:w="9158" w:type="dxa"/>
            <w:shd w:val="clear" w:color="auto" w:fill="A6A6A6" w:themeFill="background1" w:themeFillShade="A6"/>
          </w:tcPr>
          <w:p w14:paraId="39ED7E88" w14:textId="2D0FFBF7" w:rsidR="007B6904" w:rsidRPr="00CD1C0E" w:rsidRDefault="004915BE" w:rsidP="00DA705E">
            <w:pPr>
              <w:pStyle w:val="Heading1"/>
            </w:pPr>
            <w:bookmarkStart w:id="27" w:name="_Toc77250409"/>
            <w:r>
              <w:t>Evaluation</w:t>
            </w:r>
            <w:bookmarkEnd w:id="27"/>
            <w:r w:rsidR="007B6904">
              <w:t xml:space="preserve"> </w:t>
            </w:r>
          </w:p>
        </w:tc>
      </w:tr>
    </w:tbl>
    <w:p w14:paraId="1839FB97" w14:textId="77777777" w:rsidR="00DA705E" w:rsidRDefault="00DA705E" w:rsidP="007B6904">
      <w:pPr>
        <w:pStyle w:val="Default"/>
        <w:rPr>
          <w:rFonts w:ascii="Calibri" w:hAnsi="Calibri"/>
          <w:b/>
          <w:bCs/>
        </w:rPr>
      </w:pPr>
    </w:p>
    <w:p w14:paraId="39ED7E8A" w14:textId="4848498A" w:rsidR="007B6904" w:rsidRDefault="004915BE" w:rsidP="007B6904">
      <w:pPr>
        <w:pStyle w:val="Default"/>
        <w:rPr>
          <w:rFonts w:ascii="Calibri" w:hAnsi="Calibri"/>
          <w:b/>
          <w:bCs/>
        </w:rPr>
      </w:pPr>
      <w:r>
        <w:rPr>
          <w:rFonts w:ascii="Calibri" w:hAnsi="Calibri"/>
          <w:b/>
          <w:bCs/>
        </w:rPr>
        <w:t>Outcome</w:t>
      </w:r>
    </w:p>
    <w:p w14:paraId="339716AC" w14:textId="2A449498" w:rsidR="004915BE" w:rsidRDefault="004915BE" w:rsidP="007B6904">
      <w:pPr>
        <w:pStyle w:val="Default"/>
        <w:rPr>
          <w:rFonts w:ascii="Calibri" w:hAnsi="Calibri"/>
        </w:rPr>
      </w:pPr>
      <w:r>
        <w:rPr>
          <w:rFonts w:ascii="Calibri" w:hAnsi="Calibri"/>
        </w:rPr>
        <w:t>Patients requiring TPN therapy are managed as per this procedure.</w:t>
      </w:r>
    </w:p>
    <w:p w14:paraId="24054331" w14:textId="77777777" w:rsidR="004915BE" w:rsidRPr="004915BE" w:rsidRDefault="004915BE" w:rsidP="007B6904">
      <w:pPr>
        <w:pStyle w:val="Default"/>
        <w:rPr>
          <w:rFonts w:ascii="Calibri" w:hAnsi="Calibri"/>
        </w:rPr>
      </w:pPr>
    </w:p>
    <w:p w14:paraId="28F0DCA6" w14:textId="119B52AA" w:rsidR="004915BE" w:rsidRPr="004915BE" w:rsidRDefault="004915BE" w:rsidP="007B6904">
      <w:pPr>
        <w:pStyle w:val="Default"/>
        <w:rPr>
          <w:rFonts w:ascii="Calibri" w:hAnsi="Calibri"/>
          <w:b/>
          <w:bCs/>
        </w:rPr>
      </w:pPr>
      <w:r>
        <w:rPr>
          <w:rFonts w:ascii="Calibri" w:hAnsi="Calibri"/>
          <w:b/>
          <w:bCs/>
        </w:rPr>
        <w:t>Measures</w:t>
      </w:r>
    </w:p>
    <w:p w14:paraId="39ED7E8E" w14:textId="794CBD70" w:rsidR="00EE47C7" w:rsidRPr="004915BE" w:rsidRDefault="004915BE" w:rsidP="004915BE">
      <w:pPr>
        <w:pStyle w:val="ListBullet"/>
        <w:rPr>
          <w:rFonts w:cs="Arial"/>
          <w:i/>
          <w:szCs w:val="24"/>
        </w:rPr>
      </w:pPr>
      <w:r>
        <w:rPr>
          <w:lang w:eastAsia="en-AU"/>
        </w:rPr>
        <w:t>Review of clinical incident reports related to TPN administration.</w:t>
      </w:r>
    </w:p>
    <w:p w14:paraId="100C6F1F" w14:textId="3C4A0E3B" w:rsidR="004915BE" w:rsidRPr="004915BE" w:rsidRDefault="004915BE" w:rsidP="004915BE">
      <w:pPr>
        <w:pStyle w:val="ListBullet"/>
        <w:rPr>
          <w:rFonts w:cs="Arial"/>
          <w:i/>
          <w:szCs w:val="24"/>
        </w:rPr>
      </w:pPr>
      <w:r>
        <w:rPr>
          <w:lang w:eastAsia="en-AU"/>
        </w:rPr>
        <w:t>Review of feedback from consumers regarding TPN administration</w:t>
      </w:r>
    </w:p>
    <w:p w14:paraId="0010BE5C" w14:textId="302C7E07" w:rsidR="004915BE" w:rsidRPr="008635F9" w:rsidRDefault="004915BE" w:rsidP="004915BE">
      <w:pPr>
        <w:pStyle w:val="ListBullet"/>
        <w:rPr>
          <w:rFonts w:cs="Arial"/>
          <w:i/>
          <w:szCs w:val="24"/>
        </w:rPr>
      </w:pPr>
      <w:r>
        <w:rPr>
          <w:lang w:eastAsia="en-AU"/>
        </w:rPr>
        <w:t>On review of this procedure review of 10 clinical records of patients who have received TPN to ensure procedure was followed.</w:t>
      </w:r>
    </w:p>
    <w:p w14:paraId="39ED7E8F" w14:textId="77777777" w:rsidR="007B6904" w:rsidRPr="00AC7025" w:rsidRDefault="0081170E" w:rsidP="00AC7025">
      <w:pPr>
        <w:pStyle w:val="Default"/>
        <w:jc w:val="right"/>
        <w:rPr>
          <w:rFonts w:ascii="Calibri" w:hAnsi="Calibri" w:cs="Arial"/>
          <w:i/>
          <w:color w:val="auto"/>
          <w:lang w:eastAsia="en-US"/>
        </w:rPr>
      </w:pPr>
      <w:hyperlink w:anchor="Contents" w:history="1">
        <w:r w:rsidR="007B6904" w:rsidRPr="00590902">
          <w:rPr>
            <w:rStyle w:val="Hyperlink"/>
            <w:rFonts w:ascii="Calibri" w:hAnsi="Calibri" w:cs="Arial"/>
            <w:i/>
          </w:rPr>
          <w:t>Back to Table of Contents</w:t>
        </w:r>
      </w:hyperlink>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91" w14:textId="77777777" w:rsidTr="00DA705E">
        <w:trPr>
          <w:cantSplit/>
          <w:trHeight w:val="285"/>
        </w:trPr>
        <w:tc>
          <w:tcPr>
            <w:tcW w:w="9158" w:type="dxa"/>
            <w:shd w:val="clear" w:color="auto" w:fill="A6A6A6" w:themeFill="background1" w:themeFillShade="A6"/>
          </w:tcPr>
          <w:p w14:paraId="39ED7E90" w14:textId="77777777" w:rsidR="007B6904" w:rsidRPr="00CD1C0E" w:rsidRDefault="00FF56DD" w:rsidP="00DA705E">
            <w:pPr>
              <w:pStyle w:val="Heading1"/>
            </w:pPr>
            <w:bookmarkStart w:id="28" w:name="_Toc389473287"/>
            <w:bookmarkStart w:id="29" w:name="_Toc77250410"/>
            <w:r>
              <w:t xml:space="preserve">Related </w:t>
            </w:r>
            <w:r w:rsidR="00DD4CEE">
              <w:t xml:space="preserve">Legislation, </w:t>
            </w:r>
            <w:r>
              <w:t>Policies</w:t>
            </w:r>
            <w:r w:rsidR="00A011DA">
              <w:t xml:space="preserve"> and </w:t>
            </w:r>
            <w:r w:rsidR="007B6904">
              <w:t>Procedures</w:t>
            </w:r>
            <w:bookmarkEnd w:id="28"/>
            <w:bookmarkEnd w:id="29"/>
          </w:p>
        </w:tc>
      </w:tr>
    </w:tbl>
    <w:p w14:paraId="39ED7E92" w14:textId="4DEB6E75" w:rsidR="007B6904" w:rsidRDefault="007B6904" w:rsidP="007B6904">
      <w:pPr>
        <w:rPr>
          <w:szCs w:val="24"/>
        </w:rPr>
      </w:pPr>
    </w:p>
    <w:p w14:paraId="39ED7E95" w14:textId="77777777" w:rsidR="00FF56DD" w:rsidRPr="00E850C6" w:rsidRDefault="00FF56DD" w:rsidP="00E850C6">
      <w:pPr>
        <w:rPr>
          <w:b/>
        </w:rPr>
      </w:pPr>
      <w:r w:rsidRPr="00E850C6">
        <w:rPr>
          <w:b/>
        </w:rPr>
        <w:t>Policies</w:t>
      </w:r>
    </w:p>
    <w:p w14:paraId="39ED7E96" w14:textId="2A2FF01A" w:rsidR="00E9322C" w:rsidRDefault="0013479C" w:rsidP="00DA705E">
      <w:pPr>
        <w:pStyle w:val="ListParagraph"/>
        <w:numPr>
          <w:ilvl w:val="0"/>
          <w:numId w:val="35"/>
        </w:numPr>
        <w:ind w:left="426" w:hanging="426"/>
      </w:pPr>
      <w:r>
        <w:t>Informed Consent (Clinical)</w:t>
      </w:r>
    </w:p>
    <w:p w14:paraId="39ED7E97" w14:textId="7F8B9E80" w:rsidR="00FF56DD" w:rsidRDefault="007616C3" w:rsidP="00DA705E">
      <w:pPr>
        <w:pStyle w:val="ListParagraph"/>
        <w:numPr>
          <w:ilvl w:val="0"/>
          <w:numId w:val="35"/>
        </w:numPr>
        <w:ind w:left="426" w:hanging="426"/>
      </w:pPr>
      <w:r>
        <w:t>Medication Handling</w:t>
      </w:r>
    </w:p>
    <w:p w14:paraId="39ED7E99" w14:textId="4A541872" w:rsidR="007C6731" w:rsidRDefault="00830E9C" w:rsidP="00DA705E">
      <w:pPr>
        <w:pStyle w:val="ListBullet"/>
      </w:pPr>
      <w:r>
        <w:t>Nursing and Midwifery Continuing Competence</w:t>
      </w:r>
    </w:p>
    <w:p w14:paraId="173AAC80" w14:textId="77777777" w:rsidR="00830E9C" w:rsidRDefault="00830E9C" w:rsidP="00830E9C">
      <w:pPr>
        <w:pStyle w:val="ListBullet"/>
        <w:numPr>
          <w:ilvl w:val="0"/>
          <w:numId w:val="0"/>
        </w:numPr>
        <w:ind w:left="426"/>
      </w:pPr>
    </w:p>
    <w:p w14:paraId="39ED7E9A" w14:textId="77777777" w:rsidR="00FF56DD" w:rsidRPr="00E850C6" w:rsidRDefault="00FF56DD" w:rsidP="00E850C6">
      <w:pPr>
        <w:rPr>
          <w:b/>
        </w:rPr>
      </w:pPr>
      <w:r w:rsidRPr="00E850C6">
        <w:rPr>
          <w:b/>
        </w:rPr>
        <w:t>Procedures</w:t>
      </w:r>
    </w:p>
    <w:p w14:paraId="39ED7E9B" w14:textId="1826B037" w:rsidR="00FF56DD" w:rsidRDefault="007616C3" w:rsidP="00DA705E">
      <w:pPr>
        <w:pStyle w:val="ListParagraph"/>
        <w:numPr>
          <w:ilvl w:val="0"/>
          <w:numId w:val="36"/>
        </w:numPr>
        <w:ind w:left="426" w:hanging="426"/>
      </w:pPr>
      <w:r>
        <w:t xml:space="preserve">Aseptic </w:t>
      </w:r>
      <w:r w:rsidR="00C321C4">
        <w:t>T</w:t>
      </w:r>
      <w:r>
        <w:t xml:space="preserve">echnique </w:t>
      </w:r>
    </w:p>
    <w:p w14:paraId="39ED7E9C" w14:textId="740CC231" w:rsidR="007616C3" w:rsidRDefault="007616C3" w:rsidP="00DA705E">
      <w:pPr>
        <w:pStyle w:val="ListParagraph"/>
        <w:numPr>
          <w:ilvl w:val="0"/>
          <w:numId w:val="36"/>
        </w:numPr>
        <w:ind w:left="426" w:hanging="426"/>
      </w:pPr>
      <w:r>
        <w:t xml:space="preserve">Central Venous Access Device (CVAD) </w:t>
      </w:r>
      <w:r w:rsidR="00D20A64">
        <w:t>M</w:t>
      </w:r>
      <w:r>
        <w:t xml:space="preserve">anagement- Children, Adolescents and Adults (Not Neonates) </w:t>
      </w:r>
    </w:p>
    <w:p w14:paraId="39A05180" w14:textId="67B58A4C" w:rsidR="002D105B" w:rsidRDefault="00CA287B" w:rsidP="00DA705E">
      <w:pPr>
        <w:pStyle w:val="ListParagraph"/>
        <w:numPr>
          <w:ilvl w:val="0"/>
          <w:numId w:val="36"/>
        </w:numPr>
        <w:ind w:left="426" w:hanging="426"/>
      </w:pPr>
      <w:r>
        <w:t xml:space="preserve">Clinical </w:t>
      </w:r>
      <w:r w:rsidR="00D20A64">
        <w:t>R</w:t>
      </w:r>
      <w:r>
        <w:t xml:space="preserve">ecord </w:t>
      </w:r>
      <w:r w:rsidR="0013479C">
        <w:t xml:space="preserve">Management </w:t>
      </w:r>
    </w:p>
    <w:p w14:paraId="39ED7E9D" w14:textId="2882B682" w:rsidR="007C6731" w:rsidRDefault="007C6731" w:rsidP="00DA705E">
      <w:pPr>
        <w:pStyle w:val="ListParagraph"/>
        <w:numPr>
          <w:ilvl w:val="0"/>
          <w:numId w:val="36"/>
        </w:numPr>
        <w:ind w:left="426" w:hanging="426"/>
      </w:pPr>
      <w:r>
        <w:t xml:space="preserve">Patient Identification and Procedure Matching </w:t>
      </w:r>
    </w:p>
    <w:p w14:paraId="39ED7E9E" w14:textId="706C0991" w:rsidR="007616C3" w:rsidRDefault="00830E9C" w:rsidP="00DA705E">
      <w:pPr>
        <w:pStyle w:val="ListParagraph"/>
        <w:numPr>
          <w:ilvl w:val="0"/>
          <w:numId w:val="36"/>
        </w:numPr>
        <w:ind w:left="426" w:hanging="426"/>
      </w:pPr>
      <w:r>
        <w:t xml:space="preserve">Infection Prevention and Control - </w:t>
      </w:r>
      <w:r w:rsidR="007616C3">
        <w:t xml:space="preserve">Healthcare Associated Infections </w:t>
      </w:r>
    </w:p>
    <w:p w14:paraId="39ED7E9F" w14:textId="7C569B5A" w:rsidR="00E9322C" w:rsidRDefault="00830E9C" w:rsidP="00DA705E">
      <w:pPr>
        <w:pStyle w:val="ListParagraph"/>
        <w:numPr>
          <w:ilvl w:val="0"/>
          <w:numId w:val="36"/>
        </w:numPr>
        <w:ind w:left="426" w:hanging="426"/>
      </w:pPr>
      <w:r>
        <w:t>National Standard for User applied Labelling of Injectable Medicines, Fluids and Lines</w:t>
      </w:r>
    </w:p>
    <w:p w14:paraId="4D13170A" w14:textId="7067B824" w:rsidR="002D105B" w:rsidRDefault="002D105B" w:rsidP="00FF56DD"/>
    <w:p w14:paraId="463FD998" w14:textId="77777777" w:rsidR="002D105B" w:rsidRPr="002D105B" w:rsidRDefault="002D105B" w:rsidP="002D105B">
      <w:pPr>
        <w:rPr>
          <w:b/>
          <w:bCs/>
          <w:szCs w:val="24"/>
        </w:rPr>
      </w:pPr>
      <w:r w:rsidRPr="002D105B">
        <w:rPr>
          <w:b/>
          <w:bCs/>
          <w:szCs w:val="24"/>
        </w:rPr>
        <w:t>Legislation</w:t>
      </w:r>
    </w:p>
    <w:p w14:paraId="1A8B83C6" w14:textId="2192C7DB" w:rsidR="002D105B" w:rsidRPr="00830E9C" w:rsidRDefault="002D105B" w:rsidP="00DA705E">
      <w:pPr>
        <w:pStyle w:val="ListParagraph"/>
        <w:numPr>
          <w:ilvl w:val="0"/>
          <w:numId w:val="37"/>
        </w:numPr>
        <w:ind w:left="426" w:hanging="426"/>
        <w:rPr>
          <w:i/>
          <w:szCs w:val="24"/>
        </w:rPr>
      </w:pPr>
      <w:r w:rsidRPr="002D105B">
        <w:rPr>
          <w:i/>
          <w:szCs w:val="24"/>
        </w:rPr>
        <w:t xml:space="preserve">Human Rights Act </w:t>
      </w:r>
      <w:r w:rsidRPr="002D105B">
        <w:rPr>
          <w:iCs/>
          <w:szCs w:val="24"/>
        </w:rPr>
        <w:t>2004</w:t>
      </w:r>
    </w:p>
    <w:p w14:paraId="1709CF4A" w14:textId="61C1AB5B" w:rsidR="00830E9C" w:rsidRPr="00830E9C" w:rsidRDefault="00830E9C" w:rsidP="00DA705E">
      <w:pPr>
        <w:pStyle w:val="ListParagraph"/>
        <w:numPr>
          <w:ilvl w:val="0"/>
          <w:numId w:val="37"/>
        </w:numPr>
        <w:ind w:left="426" w:hanging="426"/>
        <w:rPr>
          <w:i/>
          <w:szCs w:val="24"/>
        </w:rPr>
      </w:pPr>
      <w:r>
        <w:rPr>
          <w:i/>
          <w:szCs w:val="24"/>
        </w:rPr>
        <w:t xml:space="preserve">Health Records (Privacy and Access) Act </w:t>
      </w:r>
      <w:r>
        <w:rPr>
          <w:iCs/>
          <w:szCs w:val="24"/>
        </w:rPr>
        <w:t>1997</w:t>
      </w:r>
    </w:p>
    <w:p w14:paraId="5DD7B4A0" w14:textId="58FC9036" w:rsidR="00830E9C" w:rsidRPr="00830E9C" w:rsidRDefault="00830E9C" w:rsidP="00DA705E">
      <w:pPr>
        <w:pStyle w:val="ListParagraph"/>
        <w:numPr>
          <w:ilvl w:val="0"/>
          <w:numId w:val="37"/>
        </w:numPr>
        <w:ind w:left="426" w:hanging="426"/>
        <w:rPr>
          <w:i/>
          <w:szCs w:val="24"/>
        </w:rPr>
      </w:pPr>
      <w:r>
        <w:rPr>
          <w:i/>
          <w:szCs w:val="24"/>
        </w:rPr>
        <w:t xml:space="preserve">Work Health and Safety Act </w:t>
      </w:r>
      <w:r>
        <w:rPr>
          <w:iCs/>
          <w:szCs w:val="24"/>
        </w:rPr>
        <w:t>2015</w:t>
      </w:r>
    </w:p>
    <w:p w14:paraId="6C355323" w14:textId="397C664A" w:rsidR="00830E9C" w:rsidRDefault="00830E9C" w:rsidP="00DA705E">
      <w:pPr>
        <w:pStyle w:val="ListParagraph"/>
        <w:numPr>
          <w:ilvl w:val="0"/>
          <w:numId w:val="37"/>
        </w:numPr>
        <w:ind w:left="426" w:hanging="426"/>
        <w:rPr>
          <w:i/>
          <w:szCs w:val="24"/>
        </w:rPr>
      </w:pPr>
      <w:r>
        <w:rPr>
          <w:i/>
          <w:szCs w:val="24"/>
        </w:rPr>
        <w:t>Medicines, Poisons and Therapeutic Goods Act</w:t>
      </w:r>
      <w:r>
        <w:rPr>
          <w:iCs/>
          <w:szCs w:val="24"/>
        </w:rPr>
        <w:t xml:space="preserve"> 2008</w:t>
      </w:r>
    </w:p>
    <w:p w14:paraId="17EE832D" w14:textId="057013A1" w:rsidR="00830E9C" w:rsidRPr="002D105B" w:rsidRDefault="00830E9C" w:rsidP="00DA705E">
      <w:pPr>
        <w:pStyle w:val="ListParagraph"/>
        <w:numPr>
          <w:ilvl w:val="0"/>
          <w:numId w:val="37"/>
        </w:numPr>
        <w:ind w:left="426" w:hanging="426"/>
        <w:rPr>
          <w:i/>
          <w:szCs w:val="24"/>
        </w:rPr>
      </w:pPr>
      <w:r>
        <w:rPr>
          <w:i/>
          <w:szCs w:val="24"/>
        </w:rPr>
        <w:t>Australian Charter Healthcare Rights</w:t>
      </w:r>
    </w:p>
    <w:p w14:paraId="39ED7EA0" w14:textId="77777777" w:rsidR="007B6904" w:rsidRPr="00FF56DD" w:rsidRDefault="007B6904" w:rsidP="007B6904">
      <w:pPr>
        <w:ind w:left="720"/>
        <w:rPr>
          <w:rFonts w:cs="Arial"/>
          <w:i/>
          <w:szCs w:val="24"/>
        </w:rPr>
      </w:pPr>
    </w:p>
    <w:p w14:paraId="39ED7EA1" w14:textId="77777777" w:rsidR="007B6904" w:rsidRDefault="0081170E" w:rsidP="007B6904">
      <w:pPr>
        <w:pStyle w:val="ListParagraph"/>
        <w:jc w:val="right"/>
        <w:rPr>
          <w:szCs w:val="24"/>
        </w:rPr>
      </w:pPr>
      <w:hyperlink w:anchor="Contents" w:history="1">
        <w:r w:rsidR="007B6904" w:rsidRPr="00590902">
          <w:rPr>
            <w:rStyle w:val="Hyperlink"/>
            <w:rFonts w:cs="Arial"/>
            <w:i/>
            <w:szCs w:val="24"/>
          </w:rPr>
          <w:t>Back to Table of Contents</w:t>
        </w:r>
      </w:hyperlink>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A3" w14:textId="77777777" w:rsidTr="00DA705E">
        <w:trPr>
          <w:cantSplit/>
          <w:trHeight w:val="285"/>
        </w:trPr>
        <w:tc>
          <w:tcPr>
            <w:tcW w:w="9158" w:type="dxa"/>
            <w:shd w:val="clear" w:color="auto" w:fill="A6A6A6" w:themeFill="background1" w:themeFillShade="A6"/>
          </w:tcPr>
          <w:p w14:paraId="39ED7EA2" w14:textId="77777777" w:rsidR="007B6904" w:rsidRPr="00CD1C0E" w:rsidRDefault="007B6904" w:rsidP="00DA705E">
            <w:pPr>
              <w:pStyle w:val="Heading1"/>
            </w:pPr>
            <w:bookmarkStart w:id="30" w:name="_Toc389473288"/>
            <w:bookmarkStart w:id="31" w:name="_Toc77250411"/>
            <w:r>
              <w:t>References</w:t>
            </w:r>
            <w:bookmarkEnd w:id="30"/>
            <w:bookmarkEnd w:id="31"/>
          </w:p>
        </w:tc>
      </w:tr>
    </w:tbl>
    <w:p w14:paraId="39ED7EA4" w14:textId="77777777" w:rsidR="007B6904" w:rsidRDefault="007B6904" w:rsidP="007B6904">
      <w:pPr>
        <w:rPr>
          <w:rFonts w:asciiTheme="majorHAnsi" w:hAnsiTheme="majorHAnsi" w:cstheme="majorHAnsi"/>
        </w:rPr>
      </w:pPr>
      <w:bookmarkStart w:id="32" w:name="_Toc389131245"/>
    </w:p>
    <w:bookmarkEnd w:id="32"/>
    <w:p w14:paraId="39ED7EA5" w14:textId="77777777" w:rsidR="005067CA" w:rsidRDefault="00B11AD2" w:rsidP="00DA705E">
      <w:pPr>
        <w:pStyle w:val="ListParagraph"/>
        <w:numPr>
          <w:ilvl w:val="0"/>
          <w:numId w:val="39"/>
        </w:numPr>
        <w:ind w:left="426" w:hanging="426"/>
        <w:rPr>
          <w:rFonts w:eastAsia="Calibri" w:cs="Calibri"/>
          <w:szCs w:val="24"/>
        </w:rPr>
      </w:pPr>
      <w:r>
        <w:rPr>
          <w:rFonts w:eastAsia="Calibri" w:cs="Calibri"/>
          <w:szCs w:val="24"/>
        </w:rPr>
        <w:lastRenderedPageBreak/>
        <w:t>QEII Jubilee Hospital – Pharmacy (2011) Total Parental N</w:t>
      </w:r>
      <w:r w:rsidR="00CA287B">
        <w:rPr>
          <w:rFonts w:eastAsia="Calibri" w:cs="Calibri"/>
          <w:szCs w:val="24"/>
        </w:rPr>
        <w:t xml:space="preserve">utrition </w:t>
      </w:r>
      <w:r>
        <w:rPr>
          <w:rFonts w:eastAsia="Calibri" w:cs="Calibri"/>
          <w:szCs w:val="24"/>
        </w:rPr>
        <w:t>procedure.</w:t>
      </w:r>
    </w:p>
    <w:p w14:paraId="39ED7EAB" w14:textId="544C1317" w:rsidR="008A135D" w:rsidRPr="00DA705E" w:rsidRDefault="00B11AD2" w:rsidP="00DA705E">
      <w:pPr>
        <w:pStyle w:val="ListParagraph"/>
        <w:numPr>
          <w:ilvl w:val="0"/>
          <w:numId w:val="39"/>
        </w:numPr>
        <w:ind w:left="426" w:hanging="426"/>
        <w:rPr>
          <w:rFonts w:eastAsia="Calibri" w:cs="Calibri"/>
          <w:szCs w:val="24"/>
        </w:rPr>
      </w:pPr>
      <w:r>
        <w:rPr>
          <w:rFonts w:eastAsia="Calibri" w:cs="Calibri"/>
          <w:szCs w:val="24"/>
        </w:rPr>
        <w:t>Sunshine Coast Wide bay health service district (2010) TPN solution line changes- Clinical assessment tool.</w:t>
      </w:r>
    </w:p>
    <w:p w14:paraId="39ED7EAD" w14:textId="77777777" w:rsidR="004461CE" w:rsidRDefault="00B11AD2" w:rsidP="00DA705E">
      <w:pPr>
        <w:pStyle w:val="ListParagraph"/>
        <w:numPr>
          <w:ilvl w:val="0"/>
          <w:numId w:val="39"/>
        </w:numPr>
        <w:ind w:left="426" w:hanging="426"/>
        <w:rPr>
          <w:rFonts w:eastAsia="Calibri" w:cs="Calibri"/>
          <w:szCs w:val="24"/>
        </w:rPr>
      </w:pPr>
      <w:r>
        <w:rPr>
          <w:rFonts w:eastAsia="Calibri" w:cs="Calibri"/>
          <w:szCs w:val="24"/>
        </w:rPr>
        <w:t>Royal Prince Alfred Hospital (</w:t>
      </w:r>
      <w:r w:rsidR="004461CE">
        <w:rPr>
          <w:rFonts w:eastAsia="Calibri" w:cs="Calibri"/>
          <w:szCs w:val="24"/>
        </w:rPr>
        <w:t>2015) Parental Nutrition (ward patients) policy. Document number RPAH_GL2015_023</w:t>
      </w:r>
    </w:p>
    <w:p w14:paraId="39ED7EAF" w14:textId="77777777" w:rsidR="004461CE" w:rsidRDefault="004461CE" w:rsidP="00DA705E">
      <w:pPr>
        <w:pStyle w:val="ListParagraph"/>
        <w:numPr>
          <w:ilvl w:val="0"/>
          <w:numId w:val="39"/>
        </w:numPr>
        <w:ind w:left="426" w:hanging="426"/>
        <w:rPr>
          <w:rFonts w:eastAsia="Calibri" w:cs="Calibri"/>
          <w:szCs w:val="24"/>
        </w:rPr>
      </w:pPr>
      <w:r>
        <w:rPr>
          <w:rFonts w:eastAsia="Calibri" w:cs="Calibri"/>
          <w:szCs w:val="24"/>
        </w:rPr>
        <w:t xml:space="preserve">Joanna Briggs Institute. 2010. Total parental nutrition. </w:t>
      </w:r>
      <w:hyperlink r:id="rId11" w:history="1">
        <w:r w:rsidRPr="001D2E83">
          <w:rPr>
            <w:rStyle w:val="Hyperlink"/>
            <w:rFonts w:eastAsia="Calibri" w:cs="Calibri"/>
            <w:szCs w:val="24"/>
          </w:rPr>
          <w:t>http://connect.jbiconnectplus.org/Viewdocument.aspx?0=3632</w:t>
        </w:r>
      </w:hyperlink>
    </w:p>
    <w:p w14:paraId="39ED7EB1" w14:textId="77777777" w:rsidR="00E05045" w:rsidRDefault="00E05045" w:rsidP="00DA705E">
      <w:pPr>
        <w:pStyle w:val="ListParagraph"/>
        <w:numPr>
          <w:ilvl w:val="0"/>
          <w:numId w:val="39"/>
        </w:numPr>
        <w:ind w:left="426" w:hanging="426"/>
        <w:rPr>
          <w:rFonts w:eastAsia="Calibri" w:cs="Calibri"/>
          <w:szCs w:val="24"/>
        </w:rPr>
      </w:pPr>
      <w:r>
        <w:rPr>
          <w:rFonts w:eastAsia="Calibri" w:cs="Calibri"/>
          <w:szCs w:val="24"/>
        </w:rPr>
        <w:t xml:space="preserve">Eastern Health </w:t>
      </w:r>
      <w:r w:rsidR="00C97AB6">
        <w:rPr>
          <w:rFonts w:eastAsia="Calibri" w:cs="Calibri"/>
          <w:szCs w:val="24"/>
        </w:rPr>
        <w:t>Victoria (2011). Parenteral Nutrition (PN or TPN) policy. Document number 2163</w:t>
      </w:r>
    </w:p>
    <w:p w14:paraId="39ED7EB3" w14:textId="77777777" w:rsidR="00F92073" w:rsidRPr="002D105B" w:rsidRDefault="00F92073" w:rsidP="00DA705E">
      <w:pPr>
        <w:pStyle w:val="ListParagraph"/>
        <w:numPr>
          <w:ilvl w:val="0"/>
          <w:numId w:val="39"/>
        </w:numPr>
        <w:ind w:left="426" w:hanging="426"/>
        <w:rPr>
          <w:rFonts w:cs="Arial"/>
          <w:szCs w:val="24"/>
        </w:rPr>
      </w:pPr>
      <w:proofErr w:type="spellStart"/>
      <w:r w:rsidRPr="002D105B">
        <w:rPr>
          <w:rFonts w:cs="Arial"/>
          <w:szCs w:val="24"/>
        </w:rPr>
        <w:t>Pittiruti</w:t>
      </w:r>
      <w:proofErr w:type="spellEnd"/>
      <w:r w:rsidRPr="002D105B">
        <w:rPr>
          <w:rFonts w:cs="Arial"/>
          <w:szCs w:val="24"/>
        </w:rPr>
        <w:t xml:space="preserve">, M., Hamilton, H., </w:t>
      </w:r>
      <w:proofErr w:type="spellStart"/>
      <w:r w:rsidRPr="002D105B">
        <w:rPr>
          <w:rFonts w:cs="Arial"/>
          <w:szCs w:val="24"/>
        </w:rPr>
        <w:t>Biffi</w:t>
      </w:r>
      <w:proofErr w:type="spellEnd"/>
      <w:r w:rsidRPr="002D105B">
        <w:rPr>
          <w:rFonts w:cs="Arial"/>
          <w:szCs w:val="24"/>
        </w:rPr>
        <w:t xml:space="preserve">, R. </w:t>
      </w:r>
      <w:proofErr w:type="spellStart"/>
      <w:r w:rsidRPr="002D105B">
        <w:rPr>
          <w:rFonts w:cs="Arial"/>
          <w:szCs w:val="24"/>
        </w:rPr>
        <w:t>MacFie</w:t>
      </w:r>
      <w:proofErr w:type="spellEnd"/>
      <w:r w:rsidRPr="002D105B">
        <w:rPr>
          <w:rFonts w:cs="Arial"/>
          <w:szCs w:val="24"/>
        </w:rPr>
        <w:t xml:space="preserve">, J., </w:t>
      </w:r>
      <w:proofErr w:type="spellStart"/>
      <w:r w:rsidRPr="002D105B">
        <w:rPr>
          <w:rFonts w:cs="Arial"/>
          <w:szCs w:val="24"/>
        </w:rPr>
        <w:t>Pertiewicz</w:t>
      </w:r>
      <w:proofErr w:type="spellEnd"/>
      <w:r w:rsidRPr="002D105B">
        <w:rPr>
          <w:rFonts w:cs="Arial"/>
          <w:szCs w:val="24"/>
        </w:rPr>
        <w:t>, M. 2009. ESPEN Guidelines on Parental Nutrition: Central Venous Catheters (access, care, diagnosis and therapy of complications). Clinical Nutrition, 28, 365-377</w:t>
      </w:r>
    </w:p>
    <w:p w14:paraId="39ED7EB5" w14:textId="77777777" w:rsidR="004461CE" w:rsidRDefault="004461CE" w:rsidP="00DA705E">
      <w:pPr>
        <w:pStyle w:val="ListParagraph"/>
        <w:numPr>
          <w:ilvl w:val="0"/>
          <w:numId w:val="39"/>
        </w:numPr>
        <w:ind w:left="426" w:hanging="426"/>
        <w:rPr>
          <w:rFonts w:eastAsia="Calibri" w:cs="Calibri"/>
          <w:szCs w:val="24"/>
        </w:rPr>
      </w:pPr>
      <w:proofErr w:type="spellStart"/>
      <w:r>
        <w:rPr>
          <w:rFonts w:eastAsia="Calibri" w:cs="Calibri"/>
          <w:szCs w:val="24"/>
        </w:rPr>
        <w:t>Townell</w:t>
      </w:r>
      <w:proofErr w:type="spellEnd"/>
      <w:r>
        <w:rPr>
          <w:rFonts w:eastAsia="Calibri" w:cs="Calibri"/>
          <w:szCs w:val="24"/>
        </w:rPr>
        <w:t xml:space="preserve">, N., McDougall, D. &amp; Playford, G (2014). Parental nutrition-associated bloodstream infection in an Australian teaching hospital- An 8-year retrospective study of over 11,000 PN-days. </w:t>
      </w:r>
      <w:proofErr w:type="spellStart"/>
      <w:r>
        <w:rPr>
          <w:rFonts w:eastAsia="Calibri" w:cs="Calibri"/>
          <w:szCs w:val="24"/>
        </w:rPr>
        <w:t>Scandanavian</w:t>
      </w:r>
      <w:proofErr w:type="spellEnd"/>
      <w:r>
        <w:rPr>
          <w:rFonts w:eastAsia="Calibri" w:cs="Calibri"/>
          <w:szCs w:val="24"/>
        </w:rPr>
        <w:t xml:space="preserve"> Journal of Infectious Diseases. 46:361-367</w:t>
      </w:r>
    </w:p>
    <w:p w14:paraId="39ED7EB7" w14:textId="77777777" w:rsidR="004461CE" w:rsidRDefault="004461CE" w:rsidP="00DA705E">
      <w:pPr>
        <w:pStyle w:val="ListParagraph"/>
        <w:numPr>
          <w:ilvl w:val="0"/>
          <w:numId w:val="39"/>
        </w:numPr>
        <w:ind w:left="426" w:hanging="426"/>
        <w:rPr>
          <w:rFonts w:eastAsia="Calibri" w:cs="Calibri"/>
          <w:szCs w:val="24"/>
        </w:rPr>
      </w:pPr>
      <w:r>
        <w:rPr>
          <w:rFonts w:eastAsia="Calibri" w:cs="Calibri"/>
          <w:szCs w:val="24"/>
        </w:rPr>
        <w:t>Patel, V., Liu, X., Paul, M. &amp; Domenici Belisle, C (2014). Long hospitalisation of patients with positive</w:t>
      </w:r>
      <w:r w:rsidR="00E05045">
        <w:rPr>
          <w:rFonts w:eastAsia="Calibri" w:cs="Calibri"/>
          <w:szCs w:val="24"/>
        </w:rPr>
        <w:t xml:space="preserve"> blood cultures receiving total parental nutrition. Surgical Infections, 15 (3),227-232</w:t>
      </w:r>
    </w:p>
    <w:p w14:paraId="39ED7EB9" w14:textId="77777777" w:rsidR="00E05045" w:rsidRPr="002D105B" w:rsidRDefault="00643A16" w:rsidP="00DA705E">
      <w:pPr>
        <w:pStyle w:val="ListParagraph"/>
        <w:numPr>
          <w:ilvl w:val="0"/>
          <w:numId w:val="39"/>
        </w:numPr>
        <w:spacing w:before="100" w:beforeAutospacing="1" w:after="100" w:afterAutospacing="1"/>
        <w:ind w:left="426" w:hanging="426"/>
        <w:rPr>
          <w:rFonts w:asciiTheme="minorHAnsi" w:hAnsiTheme="minorHAnsi" w:cs="Arial"/>
          <w:color w:val="000000"/>
          <w:szCs w:val="24"/>
          <w:lang w:eastAsia="en-AU"/>
        </w:rPr>
      </w:pPr>
      <w:r w:rsidRPr="002D105B">
        <w:rPr>
          <w:rFonts w:asciiTheme="minorHAnsi" w:hAnsiTheme="minorHAnsi" w:cs="Arial"/>
          <w:color w:val="000000"/>
          <w:szCs w:val="24"/>
          <w:lang w:eastAsia="en-AU"/>
        </w:rPr>
        <w:t>Australian Society of Parenteral and Enteral Nutrition (</w:t>
      </w:r>
      <w:proofErr w:type="spellStart"/>
      <w:r w:rsidRPr="002D105B">
        <w:rPr>
          <w:rFonts w:asciiTheme="minorHAnsi" w:hAnsiTheme="minorHAnsi" w:cs="Arial"/>
          <w:color w:val="000000"/>
          <w:szCs w:val="24"/>
          <w:lang w:eastAsia="en-AU"/>
        </w:rPr>
        <w:t>AusPEN</w:t>
      </w:r>
      <w:proofErr w:type="spellEnd"/>
      <w:r w:rsidRPr="002D105B">
        <w:rPr>
          <w:rFonts w:asciiTheme="minorHAnsi" w:hAnsiTheme="minorHAnsi" w:cs="Arial"/>
          <w:color w:val="000000"/>
          <w:szCs w:val="24"/>
          <w:lang w:eastAsia="en-AU"/>
        </w:rPr>
        <w:t xml:space="preserve">) Guidelines. Retrieved from </w:t>
      </w:r>
      <w:hyperlink r:id="rId12" w:history="1">
        <w:r w:rsidRPr="002D105B">
          <w:rPr>
            <w:rStyle w:val="Hyperlink"/>
            <w:rFonts w:asciiTheme="minorHAnsi" w:hAnsiTheme="minorHAnsi"/>
            <w:szCs w:val="24"/>
            <w:lang w:eastAsia="en-AU"/>
          </w:rPr>
          <w:t>http://www.auspen.org.au/</w:t>
        </w:r>
      </w:hyperlink>
    </w:p>
    <w:p w14:paraId="25A0A206" w14:textId="77777777" w:rsidR="00830E9C" w:rsidRPr="00830E9C" w:rsidRDefault="004A4CD6" w:rsidP="00DA705E">
      <w:pPr>
        <w:pStyle w:val="ListParagraph"/>
        <w:numPr>
          <w:ilvl w:val="0"/>
          <w:numId w:val="39"/>
        </w:numPr>
        <w:spacing w:before="100" w:beforeAutospacing="1" w:after="100" w:afterAutospacing="1"/>
        <w:ind w:left="426" w:hanging="426"/>
        <w:rPr>
          <w:rStyle w:val="ng-scope"/>
          <w:rFonts w:asciiTheme="minorHAnsi" w:hAnsiTheme="minorHAnsi" w:cs="Arial"/>
          <w:color w:val="000000"/>
          <w:sz w:val="22"/>
          <w:szCs w:val="22"/>
          <w:lang w:eastAsia="en-AU"/>
        </w:rPr>
      </w:pPr>
      <w:proofErr w:type="spellStart"/>
      <w:r w:rsidRPr="002D105B">
        <w:rPr>
          <w:rStyle w:val="expandy-list"/>
          <w:rFonts w:asciiTheme="minorHAnsi" w:hAnsiTheme="minorHAnsi"/>
          <w:lang w:val="en-US"/>
        </w:rPr>
        <w:t>Gillanders,L</w:t>
      </w:r>
      <w:proofErr w:type="spellEnd"/>
      <w:r w:rsidRPr="002D105B">
        <w:rPr>
          <w:rStyle w:val="expandy-list"/>
          <w:rFonts w:asciiTheme="minorHAnsi" w:hAnsiTheme="minorHAnsi"/>
          <w:lang w:val="en-US"/>
        </w:rPr>
        <w:t xml:space="preserve">, </w:t>
      </w:r>
      <w:proofErr w:type="spellStart"/>
      <w:r w:rsidRPr="002D105B">
        <w:rPr>
          <w:rStyle w:val="expandy-list"/>
          <w:rFonts w:asciiTheme="minorHAnsi" w:hAnsiTheme="minorHAnsi"/>
          <w:lang w:val="en-US"/>
        </w:rPr>
        <w:t>Angstmann</w:t>
      </w:r>
      <w:proofErr w:type="spellEnd"/>
      <w:r w:rsidRPr="002D105B">
        <w:rPr>
          <w:rStyle w:val="expandy-list"/>
          <w:rFonts w:asciiTheme="minorHAnsi" w:hAnsiTheme="minorHAnsi"/>
          <w:lang w:val="en-US"/>
        </w:rPr>
        <w:t xml:space="preserve">, </w:t>
      </w:r>
      <w:proofErr w:type="spellStart"/>
      <w:r w:rsidRPr="002D105B">
        <w:rPr>
          <w:rStyle w:val="expandy-list"/>
          <w:rFonts w:asciiTheme="minorHAnsi" w:hAnsiTheme="minorHAnsi"/>
          <w:lang w:val="en-US"/>
        </w:rPr>
        <w:t>K,et</w:t>
      </w:r>
      <w:proofErr w:type="spellEnd"/>
      <w:r w:rsidRPr="002D105B">
        <w:rPr>
          <w:rStyle w:val="expandy-list"/>
          <w:rFonts w:asciiTheme="minorHAnsi" w:hAnsiTheme="minorHAnsi"/>
          <w:lang w:val="en-US"/>
        </w:rPr>
        <w:t xml:space="preserve"> al, (2008).</w:t>
      </w:r>
      <w:r w:rsidRPr="002D105B">
        <w:rPr>
          <w:rFonts w:asciiTheme="minorHAnsi" w:hAnsiTheme="minorHAnsi"/>
          <w:color w:val="505050"/>
          <w:lang w:val="en-US"/>
        </w:rPr>
        <w:t xml:space="preserve"> </w:t>
      </w:r>
      <w:hyperlink r:id="rId13" w:anchor="!/content/journal/1-s2.0-S0899900708002797" w:history="1">
        <w:proofErr w:type="spellStart"/>
        <w:r w:rsidR="00E60134" w:rsidRPr="002D105B">
          <w:rPr>
            <w:rFonts w:asciiTheme="minorHAnsi" w:hAnsiTheme="minorHAnsi" w:cs="Arial"/>
            <w:lang w:val="en-US"/>
          </w:rPr>
          <w:t>AuSPEN</w:t>
        </w:r>
        <w:proofErr w:type="spellEnd"/>
        <w:r w:rsidR="00E60134" w:rsidRPr="002D105B">
          <w:rPr>
            <w:rFonts w:asciiTheme="minorHAnsi" w:hAnsiTheme="minorHAnsi" w:cs="Arial"/>
            <w:lang w:val="en-US"/>
          </w:rPr>
          <w:t xml:space="preserve"> clinical practice guideline for home parenteral nutrition patients in Australia and New Zealand</w:t>
        </w:r>
      </w:hyperlink>
      <w:r w:rsidR="00E60134" w:rsidRPr="002D105B">
        <w:rPr>
          <w:rFonts w:asciiTheme="minorHAnsi" w:hAnsiTheme="minorHAnsi"/>
          <w:lang w:val="en-US"/>
        </w:rPr>
        <w:t>.</w:t>
      </w:r>
      <w:r w:rsidR="007C6731" w:rsidRPr="002D105B">
        <w:rPr>
          <w:rFonts w:asciiTheme="minorHAnsi" w:hAnsiTheme="minorHAnsi"/>
          <w:lang w:val="en-US"/>
        </w:rPr>
        <w:t xml:space="preserve"> </w:t>
      </w:r>
      <w:proofErr w:type="spellStart"/>
      <w:r w:rsidR="00E60134" w:rsidRPr="002D105B">
        <w:rPr>
          <w:rFonts w:asciiTheme="minorHAnsi" w:hAnsiTheme="minorHAnsi"/>
          <w:lang w:val="en-US"/>
        </w:rPr>
        <w:t>Nutrition,Vol</w:t>
      </w:r>
      <w:proofErr w:type="spellEnd"/>
      <w:r w:rsidR="00E60134" w:rsidRPr="002D105B">
        <w:rPr>
          <w:rFonts w:asciiTheme="minorHAnsi" w:hAnsiTheme="minorHAnsi"/>
          <w:lang w:val="en-US"/>
        </w:rPr>
        <w:t xml:space="preserve"> 24(10)</w:t>
      </w:r>
      <w:r w:rsidRPr="002D105B">
        <w:rPr>
          <w:rStyle w:val="ng-scope"/>
          <w:rFonts w:asciiTheme="minorHAnsi" w:hAnsiTheme="minorHAnsi"/>
          <w:lang w:val="en-US"/>
        </w:rPr>
        <w:t> 998-1012</w:t>
      </w:r>
    </w:p>
    <w:p w14:paraId="37F9BDB4" w14:textId="598AD910" w:rsidR="00830E9C" w:rsidRPr="00830E9C" w:rsidRDefault="00643A16" w:rsidP="00DA705E">
      <w:pPr>
        <w:pStyle w:val="ListParagraph"/>
        <w:numPr>
          <w:ilvl w:val="0"/>
          <w:numId w:val="39"/>
        </w:numPr>
        <w:spacing w:before="100" w:beforeAutospacing="1" w:after="100" w:afterAutospacing="1"/>
        <w:ind w:left="426" w:hanging="426"/>
        <w:rPr>
          <w:rFonts w:asciiTheme="minorHAnsi" w:hAnsiTheme="minorHAnsi" w:cs="Arial"/>
          <w:color w:val="000000"/>
          <w:sz w:val="22"/>
          <w:szCs w:val="22"/>
          <w:lang w:eastAsia="en-AU"/>
        </w:rPr>
      </w:pPr>
      <w:r w:rsidRPr="00830E9C">
        <w:rPr>
          <w:rFonts w:asciiTheme="minorHAnsi" w:hAnsiTheme="minorHAnsi" w:cs="Arial"/>
          <w:color w:val="000000"/>
          <w:szCs w:val="24"/>
          <w:lang w:eastAsia="en-AU"/>
        </w:rPr>
        <w:t xml:space="preserve">Agency for Clinical Innovation (2011). Parenteral Nutrition Pocketbook: For Adults </w:t>
      </w:r>
      <w:hyperlink r:id="rId14" w:history="1">
        <w:r w:rsidR="00830E9C" w:rsidRPr="00877293">
          <w:rPr>
            <w:rStyle w:val="Hyperlink"/>
          </w:rPr>
          <w:t>https://www.aci.health.nsw.gov.au/__data/assets/pdf_file/0010/159805/aci_parenteral_nutrition_pb.pdf</w:t>
        </w:r>
      </w:hyperlink>
    </w:p>
    <w:p w14:paraId="3ECDC181" w14:textId="77777777" w:rsidR="00830E9C" w:rsidRPr="00830E9C" w:rsidRDefault="001B41A7" w:rsidP="00DA705E">
      <w:pPr>
        <w:pStyle w:val="ListParagraph"/>
        <w:numPr>
          <w:ilvl w:val="0"/>
          <w:numId w:val="39"/>
        </w:numPr>
        <w:spacing w:before="100" w:beforeAutospacing="1" w:after="100" w:afterAutospacing="1"/>
        <w:ind w:left="426" w:hanging="426"/>
        <w:rPr>
          <w:rStyle w:val="Hyperlink"/>
          <w:rFonts w:asciiTheme="minorHAnsi" w:hAnsiTheme="minorHAnsi" w:cs="Arial"/>
          <w:color w:val="000000"/>
          <w:sz w:val="22"/>
          <w:szCs w:val="22"/>
          <w:u w:val="none"/>
          <w:lang w:eastAsia="en-AU"/>
        </w:rPr>
      </w:pPr>
      <w:r>
        <w:t xml:space="preserve">Dietitians Association of Australia 2018. Parenteral nutrition manual for adults in health care facilities, Available from : </w:t>
      </w:r>
      <w:hyperlink r:id="rId15" w:history="1">
        <w:r w:rsidRPr="00830E9C">
          <w:rPr>
            <w:rStyle w:val="Hyperlink"/>
            <w:rFonts w:cstheme="minorHAnsi"/>
          </w:rPr>
          <w:t>https://dietitiansaustralia.org.au/wp-content/uploads/2018/06/Parenteral-nutrition-manual-june-2018-website.pdf</w:t>
        </w:r>
      </w:hyperlink>
    </w:p>
    <w:p w14:paraId="3BF7BC9C" w14:textId="4E8AD302" w:rsidR="000F7A72" w:rsidRPr="00830E9C" w:rsidRDefault="000F7A72" w:rsidP="00DA705E">
      <w:pPr>
        <w:pStyle w:val="ListParagraph"/>
        <w:numPr>
          <w:ilvl w:val="0"/>
          <w:numId w:val="39"/>
        </w:numPr>
        <w:spacing w:before="100" w:beforeAutospacing="1" w:after="100" w:afterAutospacing="1"/>
        <w:ind w:left="426" w:hanging="426"/>
        <w:rPr>
          <w:rFonts w:asciiTheme="minorHAnsi" w:hAnsiTheme="minorHAnsi" w:cs="Arial"/>
          <w:color w:val="000000"/>
          <w:sz w:val="22"/>
          <w:szCs w:val="22"/>
          <w:lang w:eastAsia="en-AU"/>
        </w:rPr>
      </w:pPr>
      <w:r>
        <w:t xml:space="preserve">MSD Manual Professional Version 2020. Total Parenteral Nutrition, Available from: </w:t>
      </w:r>
      <w:hyperlink r:id="rId16" w:history="1">
        <w:r w:rsidRPr="00830E9C">
          <w:rPr>
            <w:rStyle w:val="Hyperlink"/>
            <w:rFonts w:cstheme="minorHAnsi"/>
          </w:rPr>
          <w:t>https://www.msdmanuals.com/en-au/professional/nutritional-disorders/nutritional-support/total-parenteral-nutrition-tpn</w:t>
        </w:r>
      </w:hyperlink>
    </w:p>
    <w:p w14:paraId="6CF508DC" w14:textId="27D98221" w:rsidR="001B41A7" w:rsidRDefault="00897AC1" w:rsidP="00DA705E">
      <w:pPr>
        <w:pStyle w:val="ListParagraph"/>
        <w:numPr>
          <w:ilvl w:val="0"/>
          <w:numId w:val="39"/>
        </w:numPr>
        <w:autoSpaceDE w:val="0"/>
        <w:autoSpaceDN w:val="0"/>
        <w:adjustRightInd w:val="0"/>
        <w:ind w:left="426" w:hanging="426"/>
      </w:pPr>
      <w:proofErr w:type="spellStart"/>
      <w:r>
        <w:t>Klek</w:t>
      </w:r>
      <w:proofErr w:type="spellEnd"/>
      <w:r>
        <w:t xml:space="preserve">, S. 2015.  </w:t>
      </w:r>
      <w:proofErr w:type="spellStart"/>
      <w:r>
        <w:t>Hypoglycemia</w:t>
      </w:r>
      <w:proofErr w:type="spellEnd"/>
      <w:r>
        <w:t xml:space="preserve"> in hospitalized patients receiving parenteral nutrition.  Nutrition, Vol 31 (2), 413-414.</w:t>
      </w:r>
    </w:p>
    <w:p w14:paraId="5E62054D" w14:textId="20E44281" w:rsidR="00897AC1" w:rsidRDefault="00DF656D" w:rsidP="00DA705E">
      <w:pPr>
        <w:pStyle w:val="ListParagraph"/>
        <w:numPr>
          <w:ilvl w:val="0"/>
          <w:numId w:val="39"/>
        </w:numPr>
        <w:autoSpaceDE w:val="0"/>
        <w:autoSpaceDN w:val="0"/>
        <w:adjustRightInd w:val="0"/>
        <w:ind w:left="426" w:hanging="426"/>
      </w:pPr>
      <w:proofErr w:type="spellStart"/>
      <w:r>
        <w:t>Minooee</w:t>
      </w:r>
      <w:proofErr w:type="spellEnd"/>
      <w:r>
        <w:t xml:space="preserve">, S. 2019. </w:t>
      </w:r>
      <w:proofErr w:type="spellStart"/>
      <w:r>
        <w:t>Evdience</w:t>
      </w:r>
      <w:proofErr w:type="spellEnd"/>
      <w:r>
        <w:t xml:space="preserve"> Summary: Total Parenteral Nutrition Administration. The Joanna Briggs Institute </w:t>
      </w:r>
      <w:r w:rsidR="00F16810">
        <w:t>EBP Database, JBI128.</w:t>
      </w:r>
    </w:p>
    <w:p w14:paraId="6FD816CB" w14:textId="0793D721" w:rsidR="008C4C9E" w:rsidRDefault="008C4C9E" w:rsidP="00DA705E">
      <w:pPr>
        <w:pStyle w:val="ListParagraph"/>
        <w:numPr>
          <w:ilvl w:val="0"/>
          <w:numId w:val="39"/>
        </w:numPr>
        <w:autoSpaceDE w:val="0"/>
        <w:autoSpaceDN w:val="0"/>
        <w:adjustRightInd w:val="0"/>
        <w:ind w:left="426" w:hanging="426"/>
      </w:pPr>
      <w:r>
        <w:t>Worthington, P. H. &amp; Gilbert, K. A. 2012. Parenteral nutrition: Risks, complications and management.  Journal of Infusion Nursing, 35 (1), 52-64.</w:t>
      </w:r>
    </w:p>
    <w:p w14:paraId="39ED7EBD" w14:textId="77777777" w:rsidR="00E850C6" w:rsidRDefault="00E850C6" w:rsidP="007B6904">
      <w:pPr>
        <w:jc w:val="right"/>
      </w:pPr>
    </w:p>
    <w:p w14:paraId="39ED7EBE" w14:textId="77777777" w:rsidR="00FF56DD" w:rsidRDefault="0081170E" w:rsidP="007B6904">
      <w:pPr>
        <w:jc w:val="right"/>
      </w:pPr>
      <w:hyperlink w:anchor="Contents" w:history="1">
        <w:r w:rsidR="007B6904" w:rsidRPr="00590902">
          <w:rPr>
            <w:rStyle w:val="Hyperlink"/>
            <w:rFonts w:cs="Arial"/>
            <w:i/>
            <w:szCs w:val="24"/>
          </w:rPr>
          <w:t>Back to Table of Contents</w:t>
        </w:r>
      </w:hyperlink>
    </w:p>
    <w:tbl>
      <w:tblPr>
        <w:tblpPr w:leftFromText="180" w:rightFromText="180" w:vertAnchor="text" w:horzAnchor="margin" w:tblpX="-34" w:tblpY="181"/>
        <w:tblW w:w="9158" w:type="dxa"/>
        <w:tblLook w:val="0000" w:firstRow="0" w:lastRow="0" w:firstColumn="0" w:lastColumn="0" w:noHBand="0" w:noVBand="0"/>
      </w:tblPr>
      <w:tblGrid>
        <w:gridCol w:w="9158"/>
      </w:tblGrid>
      <w:tr w:rsidR="007B6904" w:rsidRPr="00CD1C0E" w14:paraId="39ED7EC0" w14:textId="77777777" w:rsidTr="00DA705E">
        <w:trPr>
          <w:cantSplit/>
          <w:trHeight w:val="285"/>
        </w:trPr>
        <w:tc>
          <w:tcPr>
            <w:tcW w:w="9158" w:type="dxa"/>
            <w:shd w:val="clear" w:color="auto" w:fill="A6A6A6" w:themeFill="background1" w:themeFillShade="A6"/>
          </w:tcPr>
          <w:p w14:paraId="39ED7EBF" w14:textId="77777777" w:rsidR="007B6904" w:rsidRPr="00CD1C0E" w:rsidRDefault="007B6904" w:rsidP="00DA705E">
            <w:pPr>
              <w:pStyle w:val="Heading1"/>
            </w:pPr>
            <w:bookmarkStart w:id="33" w:name="_Toc389473290"/>
            <w:bookmarkStart w:id="34" w:name="_Toc77250412"/>
            <w:r>
              <w:t>Search Terms</w:t>
            </w:r>
            <w:bookmarkEnd w:id="33"/>
            <w:bookmarkEnd w:id="34"/>
            <w:r>
              <w:t xml:space="preserve"> </w:t>
            </w:r>
          </w:p>
        </w:tc>
      </w:tr>
    </w:tbl>
    <w:p w14:paraId="39ED7EC1" w14:textId="77777777" w:rsidR="007B6904" w:rsidRDefault="007B6904" w:rsidP="007B6904">
      <w:pPr>
        <w:rPr>
          <w:rFonts w:cs="Calibri,Bold"/>
          <w:bCs/>
          <w:i/>
          <w:szCs w:val="24"/>
          <w:lang w:eastAsia="en-AU"/>
        </w:rPr>
      </w:pPr>
    </w:p>
    <w:p w14:paraId="39ED7EC2" w14:textId="77777777" w:rsidR="007A7BB0" w:rsidRPr="007A7BB0" w:rsidRDefault="003E4DDC" w:rsidP="007A7BB0">
      <w:pPr>
        <w:pStyle w:val="NoSpacing"/>
        <w:rPr>
          <w:sz w:val="24"/>
          <w:szCs w:val="24"/>
        </w:rPr>
      </w:pPr>
      <w:r>
        <w:rPr>
          <w:sz w:val="24"/>
          <w:szCs w:val="24"/>
        </w:rPr>
        <w:t>CVAD</w:t>
      </w:r>
      <w:r w:rsidR="00E850C6">
        <w:rPr>
          <w:sz w:val="24"/>
          <w:szCs w:val="24"/>
        </w:rPr>
        <w:t xml:space="preserve">, </w:t>
      </w:r>
      <w:r w:rsidR="007C6731">
        <w:rPr>
          <w:sz w:val="24"/>
          <w:szCs w:val="24"/>
        </w:rPr>
        <w:t>Home parenteral nutrition</w:t>
      </w:r>
      <w:r w:rsidR="00E850C6">
        <w:rPr>
          <w:sz w:val="24"/>
          <w:szCs w:val="24"/>
        </w:rPr>
        <w:t xml:space="preserve">, </w:t>
      </w:r>
      <w:r>
        <w:rPr>
          <w:sz w:val="24"/>
          <w:szCs w:val="24"/>
        </w:rPr>
        <w:t>HPN</w:t>
      </w:r>
      <w:r w:rsidR="00E850C6">
        <w:rPr>
          <w:sz w:val="24"/>
          <w:szCs w:val="24"/>
        </w:rPr>
        <w:t xml:space="preserve">, </w:t>
      </w:r>
      <w:r w:rsidR="00F57AA3" w:rsidRPr="007A7BB0">
        <w:rPr>
          <w:sz w:val="24"/>
          <w:szCs w:val="24"/>
        </w:rPr>
        <w:t>Nutrition</w:t>
      </w:r>
      <w:r w:rsidR="00E850C6">
        <w:rPr>
          <w:sz w:val="24"/>
          <w:szCs w:val="24"/>
        </w:rPr>
        <w:t xml:space="preserve">, Total parenteral nutrition, </w:t>
      </w:r>
      <w:r w:rsidR="007A7BB0">
        <w:rPr>
          <w:sz w:val="24"/>
          <w:szCs w:val="24"/>
        </w:rPr>
        <w:t>TPN</w:t>
      </w:r>
    </w:p>
    <w:p w14:paraId="39ED7EC3" w14:textId="77777777" w:rsidR="007B6904" w:rsidRPr="007A7BB0" w:rsidRDefault="007B6904" w:rsidP="007B6904">
      <w:pPr>
        <w:jc w:val="both"/>
        <w:rPr>
          <w:rFonts w:asciiTheme="minorHAnsi" w:hAnsiTheme="minorHAnsi" w:cs="Arial"/>
          <w:b/>
          <w:sz w:val="22"/>
          <w:szCs w:val="22"/>
        </w:rPr>
      </w:pPr>
    </w:p>
    <w:p w14:paraId="39ED7EC5" w14:textId="492AD7C7" w:rsidR="00E850C6" w:rsidRPr="000C6F0C" w:rsidRDefault="0081170E" w:rsidP="000C6F0C">
      <w:pPr>
        <w:jc w:val="right"/>
        <w:rPr>
          <w:rFonts w:cs="Calibri,Bold"/>
          <w:bCs/>
          <w:i/>
          <w:szCs w:val="24"/>
          <w:lang w:eastAsia="en-AU"/>
        </w:rPr>
      </w:pPr>
      <w:hyperlink w:anchor="Contents" w:history="1">
        <w:r w:rsidR="007B6904" w:rsidRPr="00590902">
          <w:rPr>
            <w:rStyle w:val="Hyperlink"/>
            <w:rFonts w:cs="Arial"/>
            <w:i/>
            <w:szCs w:val="24"/>
          </w:rPr>
          <w:t>Back to Table of Contents</w:t>
        </w:r>
      </w:hyperlink>
      <w:bookmarkStart w:id="35" w:name="_Toc396995664"/>
    </w:p>
    <w:tbl>
      <w:tblPr>
        <w:tblpPr w:leftFromText="180" w:rightFromText="180" w:vertAnchor="text" w:horzAnchor="margin" w:tblpX="-34" w:tblpY="181"/>
        <w:tblW w:w="9158" w:type="dxa"/>
        <w:tblLook w:val="0000" w:firstRow="0" w:lastRow="0" w:firstColumn="0" w:lastColumn="0" w:noHBand="0" w:noVBand="0"/>
      </w:tblPr>
      <w:tblGrid>
        <w:gridCol w:w="9158"/>
      </w:tblGrid>
      <w:tr w:rsidR="002405CF" w:rsidRPr="000F1F60" w14:paraId="39ED7EC7" w14:textId="77777777" w:rsidTr="00DA705E">
        <w:trPr>
          <w:cantSplit/>
          <w:trHeight w:val="285"/>
        </w:trPr>
        <w:tc>
          <w:tcPr>
            <w:tcW w:w="9158" w:type="dxa"/>
            <w:shd w:val="clear" w:color="auto" w:fill="A6A6A6" w:themeFill="background1" w:themeFillShade="A6"/>
          </w:tcPr>
          <w:p w14:paraId="39ED7EC6" w14:textId="77777777" w:rsidR="002405CF" w:rsidRPr="000F1F60" w:rsidRDefault="002405CF" w:rsidP="00DA705E">
            <w:pPr>
              <w:pStyle w:val="Heading1"/>
            </w:pPr>
            <w:bookmarkStart w:id="36" w:name="_Toc77250413"/>
            <w:r>
              <w:lastRenderedPageBreak/>
              <w:t>Attachment</w:t>
            </w:r>
            <w:r w:rsidR="00254D5F">
              <w:t>s</w:t>
            </w:r>
            <w:bookmarkEnd w:id="36"/>
          </w:p>
        </w:tc>
      </w:tr>
      <w:bookmarkEnd w:id="35"/>
    </w:tbl>
    <w:p w14:paraId="39ED7EC8" w14:textId="77777777" w:rsidR="00FF56DD" w:rsidRDefault="00FF56DD" w:rsidP="007B6904">
      <w:pPr>
        <w:rPr>
          <w:rFonts w:cs="Arial"/>
          <w:szCs w:val="24"/>
        </w:rPr>
      </w:pPr>
    </w:p>
    <w:p w14:paraId="39ED7EC9" w14:textId="77777777" w:rsidR="00E850C6" w:rsidRDefault="00E850C6" w:rsidP="007B6904">
      <w:pPr>
        <w:rPr>
          <w:rFonts w:cs="Arial"/>
          <w:szCs w:val="24"/>
        </w:rPr>
      </w:pPr>
      <w:r>
        <w:rPr>
          <w:rFonts w:cs="Arial"/>
          <w:szCs w:val="24"/>
        </w:rPr>
        <w:t>Attachment A – Information Regarding Suppliers of HPN</w:t>
      </w:r>
    </w:p>
    <w:p w14:paraId="0EA82944" w14:textId="76853A2B" w:rsidR="002D105B" w:rsidRDefault="002D105B">
      <w:pPr>
        <w:spacing w:after="200" w:line="276" w:lineRule="auto"/>
        <w:rPr>
          <w:rFonts w:cs="Arial"/>
          <w:b/>
          <w:sz w:val="20"/>
        </w:rPr>
      </w:pPr>
    </w:p>
    <w:p w14:paraId="3DDB0A40" w14:textId="65F54D6D" w:rsidR="004647BE" w:rsidRPr="008202D3" w:rsidRDefault="004647BE" w:rsidP="004647BE">
      <w:pPr>
        <w:rPr>
          <w:rFonts w:cs="Arial"/>
          <w:i/>
          <w:iCs/>
          <w:sz w:val="20"/>
        </w:rPr>
      </w:pPr>
      <w:r w:rsidRPr="008202D3">
        <w:rPr>
          <w:rFonts w:cs="Arial"/>
          <w:b/>
          <w:sz w:val="20"/>
        </w:rPr>
        <w:t>Disclaimer</w:t>
      </w:r>
      <w:r w:rsidRPr="008202D3">
        <w:rPr>
          <w:rFonts w:cs="Arial"/>
          <w:sz w:val="20"/>
        </w:rPr>
        <w:t xml:space="preserve">: </w:t>
      </w:r>
      <w:r w:rsidRPr="008202D3">
        <w:rPr>
          <w:rFonts w:cs="Arial"/>
          <w:i/>
          <w:iCs/>
          <w:sz w:val="20"/>
        </w:rPr>
        <w:t xml:space="preserve">This document has been developed by Canberra Health Services specifically for its own use.  Use of this document and any reliance on the information contained therein by any third party is at his or her own risk and </w:t>
      </w:r>
      <w:r>
        <w:rPr>
          <w:rFonts w:cs="Arial"/>
          <w:i/>
          <w:iCs/>
          <w:sz w:val="20"/>
        </w:rPr>
        <w:t>Canberra Health Services</w:t>
      </w:r>
      <w:r w:rsidRPr="008202D3">
        <w:rPr>
          <w:rFonts w:cs="Arial"/>
          <w:i/>
          <w:iCs/>
          <w:sz w:val="20"/>
        </w:rPr>
        <w:t xml:space="preserve"> assumes no responsibility whatsoever.</w:t>
      </w:r>
    </w:p>
    <w:p w14:paraId="1725174A" w14:textId="77777777" w:rsidR="004647BE" w:rsidRPr="003E167B" w:rsidRDefault="004647BE" w:rsidP="004647BE">
      <w:pPr>
        <w:rPr>
          <w:rFonts w:cs="Arial"/>
          <w:i/>
          <w:iCs/>
          <w:sz w:val="20"/>
        </w:rPr>
      </w:pPr>
    </w:p>
    <w:p w14:paraId="04FB23CA" w14:textId="77777777" w:rsidR="004647BE" w:rsidRPr="003E167B" w:rsidRDefault="004647BE" w:rsidP="004647BE">
      <w:pPr>
        <w:rPr>
          <w:rFonts w:cs="Arial"/>
          <w:i/>
          <w:iCs/>
          <w:sz w:val="20"/>
        </w:rPr>
      </w:pPr>
    </w:p>
    <w:tbl>
      <w:tblPr>
        <w:tblStyle w:val="TableGrid"/>
        <w:tblW w:w="0" w:type="auto"/>
        <w:tblLook w:val="04A0" w:firstRow="1" w:lastRow="0" w:firstColumn="1" w:lastColumn="0" w:noHBand="0" w:noVBand="1"/>
      </w:tblPr>
      <w:tblGrid>
        <w:gridCol w:w="2265"/>
        <w:gridCol w:w="2265"/>
        <w:gridCol w:w="2265"/>
        <w:gridCol w:w="2265"/>
      </w:tblGrid>
      <w:tr w:rsidR="004647BE" w:rsidRPr="003E167B" w14:paraId="39719E4B" w14:textId="77777777" w:rsidTr="004A086E">
        <w:tc>
          <w:tcPr>
            <w:tcW w:w="2265" w:type="dxa"/>
          </w:tcPr>
          <w:p w14:paraId="3198AED0" w14:textId="77777777" w:rsidR="004647BE" w:rsidRPr="003E167B" w:rsidRDefault="004647BE" w:rsidP="004A086E">
            <w:pPr>
              <w:rPr>
                <w:i/>
                <w:sz w:val="20"/>
              </w:rPr>
            </w:pPr>
            <w:r w:rsidRPr="003E167B">
              <w:rPr>
                <w:i/>
                <w:sz w:val="20"/>
              </w:rPr>
              <w:t>Date Amended</w:t>
            </w:r>
          </w:p>
        </w:tc>
        <w:tc>
          <w:tcPr>
            <w:tcW w:w="2265" w:type="dxa"/>
          </w:tcPr>
          <w:p w14:paraId="49771E67" w14:textId="77777777" w:rsidR="004647BE" w:rsidRPr="003E167B" w:rsidRDefault="004647BE" w:rsidP="004A086E">
            <w:pPr>
              <w:rPr>
                <w:i/>
                <w:sz w:val="20"/>
              </w:rPr>
            </w:pPr>
            <w:r w:rsidRPr="003E167B">
              <w:rPr>
                <w:i/>
                <w:sz w:val="20"/>
              </w:rPr>
              <w:t>Section Amended</w:t>
            </w:r>
          </w:p>
        </w:tc>
        <w:tc>
          <w:tcPr>
            <w:tcW w:w="2265" w:type="dxa"/>
          </w:tcPr>
          <w:p w14:paraId="79D64223" w14:textId="77777777" w:rsidR="004647BE" w:rsidRPr="003E167B" w:rsidRDefault="004647BE" w:rsidP="004A086E">
            <w:pPr>
              <w:rPr>
                <w:i/>
                <w:sz w:val="20"/>
              </w:rPr>
            </w:pPr>
            <w:r w:rsidRPr="003E167B">
              <w:rPr>
                <w:i/>
                <w:sz w:val="20"/>
              </w:rPr>
              <w:t>Divisional Approval</w:t>
            </w:r>
          </w:p>
        </w:tc>
        <w:tc>
          <w:tcPr>
            <w:tcW w:w="2265" w:type="dxa"/>
          </w:tcPr>
          <w:p w14:paraId="2BB4280F" w14:textId="77777777" w:rsidR="004647BE" w:rsidRPr="003E167B" w:rsidRDefault="004647BE" w:rsidP="004A086E">
            <w:pPr>
              <w:rPr>
                <w:i/>
                <w:sz w:val="20"/>
              </w:rPr>
            </w:pPr>
            <w:r w:rsidRPr="003E167B">
              <w:rPr>
                <w:i/>
                <w:sz w:val="20"/>
              </w:rPr>
              <w:t xml:space="preserve">Final Approval </w:t>
            </w:r>
          </w:p>
        </w:tc>
      </w:tr>
      <w:tr w:rsidR="004647BE" w:rsidRPr="003E167B" w14:paraId="5F8376AE" w14:textId="77777777" w:rsidTr="004A086E">
        <w:tc>
          <w:tcPr>
            <w:tcW w:w="2265" w:type="dxa"/>
          </w:tcPr>
          <w:p w14:paraId="232BE272" w14:textId="5B9CB86A" w:rsidR="004647BE" w:rsidRPr="008C76A3" w:rsidRDefault="00437085" w:rsidP="004A086E">
            <w:pPr>
              <w:rPr>
                <w:i/>
                <w:sz w:val="20"/>
                <w:szCs w:val="16"/>
              </w:rPr>
            </w:pPr>
            <w:r>
              <w:rPr>
                <w:i/>
                <w:sz w:val="20"/>
                <w:szCs w:val="16"/>
              </w:rPr>
              <w:t>14/07/2021</w:t>
            </w:r>
          </w:p>
        </w:tc>
        <w:tc>
          <w:tcPr>
            <w:tcW w:w="2265" w:type="dxa"/>
          </w:tcPr>
          <w:p w14:paraId="659AF94B" w14:textId="2C262230" w:rsidR="004647BE" w:rsidRPr="008C76A3" w:rsidRDefault="00437085" w:rsidP="004A086E">
            <w:pPr>
              <w:rPr>
                <w:i/>
                <w:sz w:val="20"/>
                <w:szCs w:val="16"/>
              </w:rPr>
            </w:pPr>
            <w:r>
              <w:rPr>
                <w:i/>
                <w:sz w:val="20"/>
                <w:szCs w:val="16"/>
              </w:rPr>
              <w:t>Complete Review</w:t>
            </w:r>
          </w:p>
        </w:tc>
        <w:tc>
          <w:tcPr>
            <w:tcW w:w="2265" w:type="dxa"/>
          </w:tcPr>
          <w:p w14:paraId="07BCF9B0" w14:textId="77777777" w:rsidR="00437085" w:rsidRDefault="00437085" w:rsidP="004A086E">
            <w:pPr>
              <w:rPr>
                <w:i/>
                <w:sz w:val="20"/>
                <w:szCs w:val="16"/>
              </w:rPr>
            </w:pPr>
            <w:r>
              <w:rPr>
                <w:i/>
                <w:sz w:val="20"/>
                <w:szCs w:val="16"/>
              </w:rPr>
              <w:t xml:space="preserve">Jacqui Taylor, </w:t>
            </w:r>
          </w:p>
          <w:p w14:paraId="055A8FD6" w14:textId="4D35103E" w:rsidR="004647BE" w:rsidRPr="008C76A3" w:rsidRDefault="00437085" w:rsidP="004A086E">
            <w:pPr>
              <w:rPr>
                <w:i/>
                <w:sz w:val="20"/>
                <w:szCs w:val="16"/>
              </w:rPr>
            </w:pPr>
            <w:r>
              <w:rPr>
                <w:i/>
                <w:sz w:val="20"/>
                <w:szCs w:val="16"/>
              </w:rPr>
              <w:t>ED-Medicine</w:t>
            </w:r>
          </w:p>
        </w:tc>
        <w:tc>
          <w:tcPr>
            <w:tcW w:w="2265" w:type="dxa"/>
          </w:tcPr>
          <w:p w14:paraId="7E4CB332" w14:textId="6FBD1BCE" w:rsidR="004647BE" w:rsidRPr="008C76A3" w:rsidRDefault="00437085" w:rsidP="004A086E">
            <w:pPr>
              <w:rPr>
                <w:i/>
                <w:sz w:val="20"/>
                <w:szCs w:val="16"/>
              </w:rPr>
            </w:pPr>
            <w:r>
              <w:rPr>
                <w:i/>
                <w:sz w:val="20"/>
                <w:szCs w:val="16"/>
              </w:rPr>
              <w:t>CHS Policy Committee</w:t>
            </w:r>
          </w:p>
        </w:tc>
      </w:tr>
      <w:tr w:rsidR="000E3F9F" w:rsidRPr="003E167B" w14:paraId="4AE9C3B4" w14:textId="77777777" w:rsidTr="004A086E">
        <w:tc>
          <w:tcPr>
            <w:tcW w:w="2265" w:type="dxa"/>
          </w:tcPr>
          <w:p w14:paraId="4BE4AE1C" w14:textId="4082827C" w:rsidR="000E3F9F" w:rsidRPr="008C76A3" w:rsidRDefault="000E3F9F" w:rsidP="004A086E">
            <w:pPr>
              <w:rPr>
                <w:i/>
                <w:iCs/>
                <w:sz w:val="20"/>
                <w:szCs w:val="16"/>
              </w:rPr>
            </w:pPr>
          </w:p>
        </w:tc>
        <w:tc>
          <w:tcPr>
            <w:tcW w:w="2265" w:type="dxa"/>
          </w:tcPr>
          <w:p w14:paraId="1EF8386C" w14:textId="700D1243" w:rsidR="000E3F9F" w:rsidRPr="008C76A3" w:rsidRDefault="000E3F9F" w:rsidP="004A086E">
            <w:pPr>
              <w:rPr>
                <w:i/>
                <w:iCs/>
                <w:sz w:val="20"/>
                <w:szCs w:val="16"/>
              </w:rPr>
            </w:pPr>
          </w:p>
        </w:tc>
        <w:tc>
          <w:tcPr>
            <w:tcW w:w="2265" w:type="dxa"/>
          </w:tcPr>
          <w:p w14:paraId="33994F51" w14:textId="5718DE18" w:rsidR="000E3F9F" w:rsidRPr="008C76A3" w:rsidRDefault="000E3F9F" w:rsidP="004A086E">
            <w:pPr>
              <w:rPr>
                <w:i/>
                <w:iCs/>
                <w:sz w:val="20"/>
                <w:szCs w:val="16"/>
              </w:rPr>
            </w:pPr>
          </w:p>
        </w:tc>
        <w:tc>
          <w:tcPr>
            <w:tcW w:w="2265" w:type="dxa"/>
          </w:tcPr>
          <w:p w14:paraId="1B84A63A" w14:textId="733BC59C" w:rsidR="000E3F9F" w:rsidRPr="008C76A3" w:rsidRDefault="000E3F9F" w:rsidP="004A086E">
            <w:pPr>
              <w:rPr>
                <w:i/>
                <w:iCs/>
                <w:sz w:val="20"/>
                <w:szCs w:val="16"/>
              </w:rPr>
            </w:pPr>
          </w:p>
        </w:tc>
      </w:tr>
    </w:tbl>
    <w:p w14:paraId="516CD23E" w14:textId="77777777" w:rsidR="004647BE" w:rsidRPr="003E167B" w:rsidRDefault="004647BE" w:rsidP="004647BE">
      <w:pPr>
        <w:rPr>
          <w:rFonts w:cs="Arial"/>
          <w:sz w:val="20"/>
        </w:rPr>
      </w:pPr>
    </w:p>
    <w:p w14:paraId="56CA76FA" w14:textId="77777777" w:rsidR="004647BE" w:rsidRPr="003E167B" w:rsidRDefault="004647BE" w:rsidP="004647BE">
      <w:pPr>
        <w:rPr>
          <w:rFonts w:cs="Arial"/>
          <w:i/>
          <w:sz w:val="20"/>
        </w:rPr>
      </w:pPr>
      <w:r w:rsidRPr="003E167B">
        <w:rPr>
          <w:rFonts w:cs="Arial"/>
          <w:i/>
          <w:sz w:val="20"/>
        </w:rPr>
        <w:t xml:space="preserve">This document supersedes the following: </w:t>
      </w:r>
    </w:p>
    <w:tbl>
      <w:tblPr>
        <w:tblStyle w:val="TableGrid"/>
        <w:tblW w:w="0" w:type="auto"/>
        <w:tblLook w:val="04A0" w:firstRow="1" w:lastRow="0" w:firstColumn="1" w:lastColumn="0" w:noHBand="0" w:noVBand="1"/>
      </w:tblPr>
      <w:tblGrid>
        <w:gridCol w:w="2122"/>
        <w:gridCol w:w="6938"/>
      </w:tblGrid>
      <w:tr w:rsidR="004647BE" w:rsidRPr="003E167B" w14:paraId="7C4912BB" w14:textId="77777777" w:rsidTr="004A086E">
        <w:tc>
          <w:tcPr>
            <w:tcW w:w="2122" w:type="dxa"/>
          </w:tcPr>
          <w:p w14:paraId="30434896" w14:textId="77777777" w:rsidR="004647BE" w:rsidRPr="003E167B" w:rsidRDefault="004647BE" w:rsidP="004A086E">
            <w:pPr>
              <w:rPr>
                <w:i/>
                <w:sz w:val="20"/>
              </w:rPr>
            </w:pPr>
            <w:r w:rsidRPr="003E167B">
              <w:rPr>
                <w:i/>
                <w:sz w:val="20"/>
              </w:rPr>
              <w:t>Document Number</w:t>
            </w:r>
          </w:p>
        </w:tc>
        <w:tc>
          <w:tcPr>
            <w:tcW w:w="6938" w:type="dxa"/>
          </w:tcPr>
          <w:p w14:paraId="20446E52" w14:textId="77777777" w:rsidR="004647BE" w:rsidRPr="003E167B" w:rsidRDefault="004647BE" w:rsidP="004A086E">
            <w:pPr>
              <w:rPr>
                <w:i/>
                <w:sz w:val="20"/>
              </w:rPr>
            </w:pPr>
            <w:r w:rsidRPr="003E167B">
              <w:rPr>
                <w:i/>
                <w:sz w:val="20"/>
              </w:rPr>
              <w:t>Document Name</w:t>
            </w:r>
          </w:p>
        </w:tc>
      </w:tr>
      <w:tr w:rsidR="004647BE" w:rsidRPr="003E167B" w14:paraId="5BEC70D5" w14:textId="77777777" w:rsidTr="004A086E">
        <w:tc>
          <w:tcPr>
            <w:tcW w:w="2122" w:type="dxa"/>
          </w:tcPr>
          <w:p w14:paraId="1A609310" w14:textId="73EA7B34" w:rsidR="004647BE" w:rsidRPr="003E167B" w:rsidRDefault="0081170E" w:rsidP="004A086E">
            <w:pPr>
              <w:rPr>
                <w:i/>
                <w:sz w:val="20"/>
              </w:rPr>
            </w:pPr>
            <w:r w:rsidRPr="0081170E">
              <w:rPr>
                <w:i/>
                <w:sz w:val="20"/>
              </w:rPr>
              <w:t>CHHS16/081</w:t>
            </w:r>
          </w:p>
        </w:tc>
        <w:tc>
          <w:tcPr>
            <w:tcW w:w="6938" w:type="dxa"/>
          </w:tcPr>
          <w:p w14:paraId="05F67B7F" w14:textId="7E66FE55" w:rsidR="004647BE" w:rsidRPr="003E167B" w:rsidRDefault="0081170E" w:rsidP="004A086E">
            <w:pPr>
              <w:rPr>
                <w:i/>
                <w:sz w:val="20"/>
              </w:rPr>
            </w:pPr>
            <w:r w:rsidRPr="0081170E">
              <w:rPr>
                <w:i/>
                <w:sz w:val="20"/>
              </w:rPr>
              <w:t>Administration of Total Parenteral Nutrition (TPN) – Adults and Children (not NICU)</w:t>
            </w:r>
          </w:p>
        </w:tc>
      </w:tr>
      <w:tr w:rsidR="004647BE" w:rsidRPr="003E167B" w14:paraId="223AF980" w14:textId="77777777" w:rsidTr="004A086E">
        <w:tc>
          <w:tcPr>
            <w:tcW w:w="2122" w:type="dxa"/>
          </w:tcPr>
          <w:p w14:paraId="18B16FFA" w14:textId="13A098AE" w:rsidR="004647BE" w:rsidRPr="003E167B" w:rsidRDefault="004647BE" w:rsidP="004A086E">
            <w:pPr>
              <w:rPr>
                <w:i/>
                <w:sz w:val="20"/>
              </w:rPr>
            </w:pPr>
          </w:p>
        </w:tc>
        <w:tc>
          <w:tcPr>
            <w:tcW w:w="6938" w:type="dxa"/>
          </w:tcPr>
          <w:p w14:paraId="6A218011" w14:textId="2DABA1CC" w:rsidR="004647BE" w:rsidRPr="003E167B" w:rsidRDefault="004647BE" w:rsidP="004A086E">
            <w:pPr>
              <w:rPr>
                <w:i/>
                <w:sz w:val="20"/>
              </w:rPr>
            </w:pPr>
          </w:p>
        </w:tc>
      </w:tr>
    </w:tbl>
    <w:p w14:paraId="4B825780" w14:textId="77777777" w:rsidR="004647BE" w:rsidRPr="00010E74" w:rsidRDefault="004647BE" w:rsidP="004647BE">
      <w:pPr>
        <w:rPr>
          <w:i/>
          <w:sz w:val="20"/>
          <w:szCs w:val="24"/>
        </w:rPr>
      </w:pPr>
    </w:p>
    <w:p w14:paraId="6263A596" w14:textId="77777777" w:rsidR="004647BE" w:rsidRDefault="004647BE" w:rsidP="004647BE">
      <w:pPr>
        <w:spacing w:after="200" w:line="276" w:lineRule="auto"/>
      </w:pPr>
      <w:r>
        <w:br w:type="page"/>
      </w:r>
    </w:p>
    <w:p w14:paraId="39ED7EDD" w14:textId="6167C4D2" w:rsidR="00E850C6" w:rsidRDefault="00E850C6" w:rsidP="00E850C6">
      <w:pPr>
        <w:pStyle w:val="Heading2"/>
      </w:pPr>
      <w:bookmarkStart w:id="37" w:name="_Toc77250414"/>
      <w:r>
        <w:lastRenderedPageBreak/>
        <w:t>Attachment A – Information Regarding Suppliers of HPN</w:t>
      </w:r>
      <w:bookmarkEnd w:id="37"/>
    </w:p>
    <w:p w14:paraId="39ED7EDE" w14:textId="77777777" w:rsidR="00E850C6" w:rsidRDefault="00E850C6" w:rsidP="003E4DDC">
      <w:pPr>
        <w:rPr>
          <w:rFonts w:cs="Arial"/>
        </w:rPr>
      </w:pPr>
    </w:p>
    <w:p w14:paraId="7155A3EE" w14:textId="77777777" w:rsidR="0003501D" w:rsidRDefault="0003501D" w:rsidP="0003501D">
      <w:pPr>
        <w:rPr>
          <w:rFonts w:cs="Arial"/>
        </w:rPr>
      </w:pPr>
      <w:r>
        <w:rPr>
          <w:rFonts w:cs="Arial"/>
        </w:rPr>
        <w:t xml:space="preserve">Baxter and </w:t>
      </w:r>
      <w:r w:rsidRPr="009C146E">
        <w:rPr>
          <w:lang w:val="en-GB"/>
        </w:rPr>
        <w:t xml:space="preserve">Fresenius </w:t>
      </w:r>
      <w:proofErr w:type="spellStart"/>
      <w:r w:rsidRPr="009C146E">
        <w:rPr>
          <w:lang w:val="en-GB"/>
        </w:rPr>
        <w:t>Kabi</w:t>
      </w:r>
      <w:proofErr w:type="spellEnd"/>
      <w:r>
        <w:rPr>
          <w:rFonts w:cs="Arial"/>
        </w:rPr>
        <w:t xml:space="preserve"> are suppliers of HPN for CHS patients. </w:t>
      </w:r>
    </w:p>
    <w:p w14:paraId="7D7ECA0F" w14:textId="77777777" w:rsidR="0003501D" w:rsidRDefault="0003501D" w:rsidP="0003501D">
      <w:pPr>
        <w:rPr>
          <w:rFonts w:cs="Arial"/>
          <w:b/>
          <w:bCs/>
        </w:rPr>
      </w:pPr>
    </w:p>
    <w:p w14:paraId="041A912C" w14:textId="77777777" w:rsidR="0003501D" w:rsidRPr="00D97296" w:rsidRDefault="0003501D" w:rsidP="0003501D">
      <w:pPr>
        <w:rPr>
          <w:rFonts w:cs="Arial"/>
          <w:b/>
          <w:bCs/>
        </w:rPr>
      </w:pPr>
      <w:r w:rsidRPr="00D97296">
        <w:rPr>
          <w:rFonts w:cs="Arial"/>
          <w:b/>
          <w:bCs/>
        </w:rPr>
        <w:t>Baxter</w:t>
      </w:r>
    </w:p>
    <w:p w14:paraId="0A3FF1DF" w14:textId="77777777" w:rsidR="0003501D" w:rsidRPr="00736672" w:rsidRDefault="0003501D" w:rsidP="0003501D">
      <w:pPr>
        <w:rPr>
          <w:rFonts w:cs="Arial"/>
        </w:rPr>
      </w:pPr>
      <w:r w:rsidRPr="00736672">
        <w:rPr>
          <w:rFonts w:cs="Arial"/>
        </w:rPr>
        <w:t xml:space="preserve">There are two Baxter Healthcare Departments that manufacture, coordinate and distribute products for HPN patients: </w:t>
      </w:r>
    </w:p>
    <w:p w14:paraId="522EA3EB" w14:textId="77777777" w:rsidR="0003501D" w:rsidRPr="00736672" w:rsidRDefault="0003501D" w:rsidP="0003501D">
      <w:pPr>
        <w:rPr>
          <w:rFonts w:cs="Arial"/>
        </w:rPr>
      </w:pPr>
    </w:p>
    <w:p w14:paraId="62535924" w14:textId="7E561672" w:rsidR="0003501D" w:rsidRPr="00736672" w:rsidRDefault="0003501D" w:rsidP="009F6254">
      <w:pPr>
        <w:ind w:left="426" w:hanging="426"/>
        <w:rPr>
          <w:rFonts w:cs="Arial"/>
        </w:rPr>
      </w:pPr>
      <w:r>
        <w:rPr>
          <w:rFonts w:cs="Arial"/>
          <w:b/>
        </w:rPr>
        <w:t>1</w:t>
      </w:r>
      <w:r w:rsidRPr="00736672">
        <w:rPr>
          <w:rFonts w:cs="Arial"/>
          <w:b/>
        </w:rPr>
        <w:t>.</w:t>
      </w:r>
      <w:r w:rsidRPr="00736672">
        <w:rPr>
          <w:rFonts w:cs="Arial"/>
        </w:rPr>
        <w:t xml:space="preserve"> </w:t>
      </w:r>
      <w:r w:rsidR="009F6254">
        <w:rPr>
          <w:rFonts w:cs="Arial"/>
        </w:rPr>
        <w:tab/>
      </w:r>
      <w:r w:rsidRPr="00736672">
        <w:rPr>
          <w:rFonts w:cs="Arial"/>
          <w:b/>
        </w:rPr>
        <w:t xml:space="preserve">Baxter Pharmacy Services: </w:t>
      </w:r>
      <w:r w:rsidRPr="00736672">
        <w:rPr>
          <w:rFonts w:cs="Arial"/>
        </w:rPr>
        <w:t xml:space="preserve">prepares HPN solutions for patients on prescription from the Gastroenterologist via the hospital Pharmacy Department. </w:t>
      </w:r>
    </w:p>
    <w:p w14:paraId="328FB410" w14:textId="77777777" w:rsidR="0003501D" w:rsidRPr="00736672" w:rsidRDefault="0003501D" w:rsidP="0003501D">
      <w:pPr>
        <w:rPr>
          <w:rFonts w:cs="Arial"/>
        </w:rPr>
      </w:pPr>
    </w:p>
    <w:p w14:paraId="4DFB9890" w14:textId="5EAF3BC2" w:rsidR="0003501D" w:rsidRPr="00736672" w:rsidRDefault="0003501D" w:rsidP="009F6254">
      <w:pPr>
        <w:ind w:left="426"/>
        <w:rPr>
          <w:rFonts w:cs="Arial"/>
        </w:rPr>
      </w:pPr>
      <w:r w:rsidRPr="00736672">
        <w:rPr>
          <w:rFonts w:cs="Arial"/>
        </w:rPr>
        <w:t>HPN bags and preloaded vitamin syringes (if required) are delivered to the patient’s home via courier once a week.</w:t>
      </w:r>
      <w:r w:rsidR="00AE478D">
        <w:rPr>
          <w:rFonts w:cs="Arial"/>
        </w:rPr>
        <w:t xml:space="preserve"> </w:t>
      </w:r>
      <w:r w:rsidRPr="00736672">
        <w:rPr>
          <w:rFonts w:cs="Arial"/>
        </w:rPr>
        <w:t xml:space="preserve"> </w:t>
      </w:r>
      <w:r w:rsidR="00AE478D" w:rsidRPr="004E5B93">
        <w:t>The patient or carer must be present to collect the HPN bags in person.</w:t>
      </w:r>
      <w:r w:rsidRPr="00736672">
        <w:rPr>
          <w:rFonts w:cs="Arial"/>
        </w:rPr>
        <w:t xml:space="preserve"> </w:t>
      </w:r>
      <w:r w:rsidR="00AE478D">
        <w:rPr>
          <w:rFonts w:cs="Arial"/>
        </w:rPr>
        <w:t xml:space="preserve"> </w:t>
      </w:r>
      <w:r w:rsidRPr="00736672">
        <w:rPr>
          <w:rFonts w:cs="Arial"/>
        </w:rPr>
        <w:t>The HPN bags in over</w:t>
      </w:r>
      <w:r w:rsidR="00D90A28">
        <w:rPr>
          <w:rFonts w:cs="Arial"/>
        </w:rPr>
        <w:t xml:space="preserve"> </w:t>
      </w:r>
      <w:r w:rsidRPr="00736672">
        <w:rPr>
          <w:rFonts w:cs="Arial"/>
        </w:rPr>
        <w:t>pouches and preloaded vitamin syringes are to be unpacked and put into the refrigerator (maintained at 2 to 8</w:t>
      </w:r>
      <w:r w:rsidRPr="00736672">
        <w:rPr>
          <w:rFonts w:cs="Calibri"/>
        </w:rPr>
        <w:t>ᴼ</w:t>
      </w:r>
      <w:r w:rsidRPr="00736672">
        <w:rPr>
          <w:rFonts w:cs="Arial"/>
        </w:rPr>
        <w:t>C) as soon as possible after receipt of the delivery.  The patient or famil</w:t>
      </w:r>
      <w:r>
        <w:rPr>
          <w:rFonts w:cs="Arial"/>
        </w:rPr>
        <w:t xml:space="preserve">y carer should complete a stock </w:t>
      </w:r>
      <w:r w:rsidRPr="00736672">
        <w:rPr>
          <w:rFonts w:cs="Arial"/>
        </w:rPr>
        <w:t>take on receipt of the delivery and contact Baxter Pharmacy Service promptly if there any issues.</w:t>
      </w:r>
    </w:p>
    <w:p w14:paraId="4818A27B" w14:textId="77777777" w:rsidR="0003501D" w:rsidRPr="00736672" w:rsidRDefault="0003501D" w:rsidP="0003501D">
      <w:pPr>
        <w:rPr>
          <w:rFonts w:cs="Arial"/>
        </w:rPr>
      </w:pPr>
    </w:p>
    <w:p w14:paraId="741E1E2D" w14:textId="77777777" w:rsidR="0003501D" w:rsidRDefault="0003501D" w:rsidP="0003501D">
      <w:pPr>
        <w:rPr>
          <w:rFonts w:cs="Arial"/>
        </w:rPr>
      </w:pPr>
    </w:p>
    <w:p w14:paraId="316DBAF4" w14:textId="1725A270" w:rsidR="00AE478D" w:rsidRDefault="0003501D" w:rsidP="009F6254">
      <w:pPr>
        <w:ind w:left="426" w:hanging="426"/>
      </w:pPr>
      <w:r>
        <w:rPr>
          <w:rFonts w:cs="Arial"/>
          <w:b/>
        </w:rPr>
        <w:t>2</w:t>
      </w:r>
      <w:r w:rsidRPr="00736672">
        <w:rPr>
          <w:rFonts w:cs="Arial"/>
          <w:b/>
        </w:rPr>
        <w:t>.</w:t>
      </w:r>
      <w:r w:rsidRPr="00736672">
        <w:rPr>
          <w:rFonts w:cs="Arial"/>
        </w:rPr>
        <w:t xml:space="preserve"> </w:t>
      </w:r>
      <w:r w:rsidR="009F6254">
        <w:rPr>
          <w:rFonts w:cs="Arial"/>
        </w:rPr>
        <w:tab/>
      </w:r>
      <w:r w:rsidRPr="00736672">
        <w:rPr>
          <w:rFonts w:cs="Arial"/>
          <w:b/>
        </w:rPr>
        <w:t>Baxter Customer Support</w:t>
      </w:r>
      <w:r w:rsidRPr="00736672">
        <w:rPr>
          <w:rFonts w:cs="Arial"/>
        </w:rPr>
        <w:t>: supplies a Bodyguard 323 Ambulatory Pump, IV</w:t>
      </w:r>
      <w:r>
        <w:rPr>
          <w:rFonts w:cs="Arial"/>
        </w:rPr>
        <w:t xml:space="preserve"> pole, backpack and consumables</w:t>
      </w:r>
      <w:r w:rsidRPr="00736672">
        <w:rPr>
          <w:rFonts w:cs="Arial"/>
        </w:rPr>
        <w:t xml:space="preserve"> on </w:t>
      </w:r>
      <w:r>
        <w:rPr>
          <w:rFonts w:cs="Arial"/>
        </w:rPr>
        <w:t>order</w:t>
      </w:r>
      <w:r w:rsidRPr="00736672">
        <w:rPr>
          <w:rFonts w:cs="Arial"/>
        </w:rPr>
        <w:t xml:space="preserve"> from the hospital ward CNC on a ‘Baxter Home Parenteral Nutrition New Patient Request Form’. </w:t>
      </w:r>
      <w:r>
        <w:rPr>
          <w:rFonts w:cs="Arial"/>
        </w:rPr>
        <w:t xml:space="preserve"> </w:t>
      </w:r>
      <w:r w:rsidRPr="00736672">
        <w:rPr>
          <w:rFonts w:cs="Arial"/>
        </w:rPr>
        <w:t xml:space="preserve">The consumables are delivered to the patient’s home via courier on a monthly basis. </w:t>
      </w:r>
      <w:r w:rsidR="00AE478D" w:rsidRPr="004E5B93">
        <w:t>The patient or carer must be present to collect the consumables in person.</w:t>
      </w:r>
    </w:p>
    <w:p w14:paraId="2500986E" w14:textId="45F66FAE" w:rsidR="0003501D" w:rsidRPr="00736672" w:rsidRDefault="0003501D" w:rsidP="0003501D">
      <w:pPr>
        <w:rPr>
          <w:rFonts w:cs="Arial"/>
        </w:rPr>
      </w:pPr>
      <w:r w:rsidRPr="00736672">
        <w:rPr>
          <w:rFonts w:cs="Arial"/>
        </w:rPr>
        <w:t xml:space="preserve"> </w:t>
      </w:r>
    </w:p>
    <w:p w14:paraId="22E46C75" w14:textId="1A903348" w:rsidR="0003501D" w:rsidRPr="00736672" w:rsidRDefault="0003501D" w:rsidP="009F6254">
      <w:pPr>
        <w:ind w:left="426"/>
        <w:rPr>
          <w:rFonts w:cs="Arial"/>
        </w:rPr>
      </w:pPr>
      <w:r w:rsidRPr="00736672">
        <w:rPr>
          <w:rFonts w:cs="Arial"/>
        </w:rPr>
        <w:t>The Baxter Customer Support Specialist contact</w:t>
      </w:r>
      <w:r>
        <w:rPr>
          <w:rFonts w:cs="Arial"/>
        </w:rPr>
        <w:t>s</w:t>
      </w:r>
      <w:r w:rsidRPr="00736672">
        <w:rPr>
          <w:rFonts w:cs="Arial"/>
        </w:rPr>
        <w:t xml:space="preserve"> the patient two weeks prior to the monthly </w:t>
      </w:r>
      <w:r w:rsidR="00CD5BE0" w:rsidRPr="00736672">
        <w:rPr>
          <w:rFonts w:cs="Arial"/>
        </w:rPr>
        <w:t>consumables’</w:t>
      </w:r>
      <w:r w:rsidRPr="00736672">
        <w:rPr>
          <w:rFonts w:cs="Arial"/>
        </w:rPr>
        <w:t xml:space="preserve"> delivery for a stock take. The patient or family carer </w:t>
      </w:r>
      <w:r>
        <w:rPr>
          <w:rFonts w:cs="Arial"/>
        </w:rPr>
        <w:t xml:space="preserve">should do </w:t>
      </w:r>
      <w:r w:rsidRPr="00736672">
        <w:rPr>
          <w:rFonts w:cs="Arial"/>
        </w:rPr>
        <w:t>a stock take the day prior to the monthly phone call from the Baxter Customer Support Specialist</w:t>
      </w:r>
      <w:r w:rsidR="009F6254">
        <w:rPr>
          <w:rFonts w:cs="Arial"/>
        </w:rPr>
        <w:t>.</w:t>
      </w:r>
    </w:p>
    <w:p w14:paraId="30219CB2" w14:textId="77777777" w:rsidR="0003501D" w:rsidRDefault="0003501D" w:rsidP="0003501D">
      <w:pPr>
        <w:rPr>
          <w:rFonts w:cs="Arial"/>
        </w:rPr>
      </w:pPr>
    </w:p>
    <w:p w14:paraId="14852A7D" w14:textId="77777777" w:rsidR="0003501D" w:rsidRPr="00D90A28" w:rsidRDefault="0003501D" w:rsidP="0003501D">
      <w:pPr>
        <w:rPr>
          <w:rFonts w:cs="Arial"/>
          <w:b/>
          <w:bCs/>
        </w:rPr>
      </w:pPr>
      <w:r w:rsidRPr="00D90A28">
        <w:rPr>
          <w:rFonts w:cs="Arial"/>
          <w:b/>
          <w:bCs/>
        </w:rPr>
        <w:t>Baxter Contact Details</w:t>
      </w:r>
    </w:p>
    <w:p w14:paraId="53BBBE5F" w14:textId="77777777" w:rsidR="0003501D" w:rsidRDefault="0003501D" w:rsidP="0003501D">
      <w:pPr>
        <w:rPr>
          <w:rFonts w:cs="Arial"/>
        </w:rPr>
      </w:pPr>
    </w:p>
    <w:p w14:paraId="64832EDB" w14:textId="77777777" w:rsidR="0003501D" w:rsidRPr="00736672" w:rsidRDefault="0003501D" w:rsidP="0003501D">
      <w:pPr>
        <w:rPr>
          <w:rFonts w:cs="Arial"/>
          <w:b/>
        </w:rPr>
      </w:pPr>
      <w:r w:rsidRPr="00736672">
        <w:rPr>
          <w:rFonts w:cs="Arial"/>
          <w:b/>
        </w:rPr>
        <w:t xml:space="preserve">Baxter Pharmacy Service – for enquires </w:t>
      </w:r>
      <w:r>
        <w:rPr>
          <w:rFonts w:cs="Arial"/>
          <w:b/>
        </w:rPr>
        <w:t xml:space="preserve">from clinicians or patients regarding </w:t>
      </w:r>
      <w:r w:rsidRPr="00736672">
        <w:rPr>
          <w:rFonts w:cs="Arial"/>
          <w:b/>
        </w:rPr>
        <w:t>the Baxter HPN bag and vitamin syringes</w:t>
      </w:r>
    </w:p>
    <w:p w14:paraId="17A97A6D" w14:textId="77777777" w:rsidR="0003501D" w:rsidRPr="00736672" w:rsidRDefault="0003501D" w:rsidP="0003501D">
      <w:pPr>
        <w:rPr>
          <w:rFonts w:cs="Arial"/>
        </w:rPr>
      </w:pPr>
      <w:r w:rsidRPr="00736672">
        <w:rPr>
          <w:rFonts w:cs="Arial"/>
        </w:rPr>
        <w:t xml:space="preserve">T: </w:t>
      </w:r>
      <w:r>
        <w:rPr>
          <w:rFonts w:cs="Arial"/>
        </w:rPr>
        <w:t xml:space="preserve"> </w:t>
      </w:r>
      <w:r>
        <w:t xml:space="preserve">1800 229 837 </w:t>
      </w:r>
      <w:r w:rsidRPr="00736672">
        <w:rPr>
          <w:rFonts w:cs="Arial"/>
        </w:rPr>
        <w:t>(Monday – Friday 8:30am – 5:00pm)</w:t>
      </w:r>
      <w:r>
        <w:rPr>
          <w:rFonts w:cs="Arial"/>
        </w:rPr>
        <w:t xml:space="preserve"> </w:t>
      </w:r>
      <w:r>
        <w:t>Option 1 for Pharmacy</w:t>
      </w:r>
    </w:p>
    <w:p w14:paraId="5BCA6C88" w14:textId="3FF2E2A8" w:rsidR="0003501D" w:rsidRDefault="0003501D" w:rsidP="0003501D">
      <w:r w:rsidRPr="00736672">
        <w:rPr>
          <w:rFonts w:cs="Arial"/>
        </w:rPr>
        <w:t>After Hours Emergency</w:t>
      </w:r>
      <w:r>
        <w:rPr>
          <w:rFonts w:cs="Arial"/>
        </w:rPr>
        <w:t xml:space="preserve"> </w:t>
      </w:r>
      <w:r>
        <w:t>T: 1800 229 837; Department: “Nutrition Services” for HPN issues.</w:t>
      </w:r>
    </w:p>
    <w:p w14:paraId="63EE2AAF" w14:textId="5CA51318" w:rsidR="00AE478D" w:rsidRDefault="00AE478D" w:rsidP="0003501D">
      <w:pPr>
        <w:rPr>
          <w:rFonts w:cs="Arial"/>
        </w:rPr>
      </w:pPr>
      <w:r>
        <w:rPr>
          <w:rFonts w:cs="Arial"/>
        </w:rPr>
        <w:t xml:space="preserve">E: </w:t>
      </w:r>
      <w:hyperlink r:id="rId17" w:tgtFrame="_blank" w:tooltip="mailto:pharmacyservices@baxter.com" w:history="1">
        <w:r>
          <w:rPr>
            <w:rStyle w:val="Hyperlink"/>
            <w:rFonts w:eastAsia="Calibri"/>
            <w:sz w:val="22"/>
          </w:rPr>
          <w:t>pharmacyservices@baxter.com</w:t>
        </w:r>
      </w:hyperlink>
    </w:p>
    <w:p w14:paraId="7FB27B70" w14:textId="77777777" w:rsidR="0003501D" w:rsidRDefault="0003501D" w:rsidP="0003501D">
      <w:pPr>
        <w:rPr>
          <w:rFonts w:cs="Arial"/>
        </w:rPr>
      </w:pPr>
    </w:p>
    <w:p w14:paraId="7D367650" w14:textId="77777777" w:rsidR="0003501D" w:rsidRPr="00736672" w:rsidRDefault="0003501D" w:rsidP="0003501D">
      <w:pPr>
        <w:rPr>
          <w:rFonts w:cs="Arial"/>
        </w:rPr>
      </w:pPr>
      <w:r w:rsidRPr="00736672">
        <w:rPr>
          <w:rFonts w:cs="Arial"/>
          <w:b/>
        </w:rPr>
        <w:t xml:space="preserve">Baxter Customer Support – for enquires </w:t>
      </w:r>
      <w:r>
        <w:rPr>
          <w:rFonts w:cs="Arial"/>
          <w:b/>
        </w:rPr>
        <w:t xml:space="preserve">from clinicians or patients </w:t>
      </w:r>
      <w:r w:rsidRPr="00736672">
        <w:rPr>
          <w:rFonts w:cs="Arial"/>
          <w:b/>
        </w:rPr>
        <w:t>regarding Baxter consumables and loan pump</w:t>
      </w:r>
    </w:p>
    <w:p w14:paraId="2D65DA5E" w14:textId="77777777" w:rsidR="0003501D" w:rsidRPr="00736672" w:rsidRDefault="0003501D" w:rsidP="0003501D">
      <w:pPr>
        <w:rPr>
          <w:rFonts w:cs="Arial"/>
        </w:rPr>
      </w:pPr>
      <w:r w:rsidRPr="00736672">
        <w:rPr>
          <w:rFonts w:cs="Arial"/>
        </w:rPr>
        <w:t xml:space="preserve">T: </w:t>
      </w:r>
      <w:r>
        <w:t xml:space="preserve">1800 229 837 </w:t>
      </w:r>
      <w:r w:rsidRPr="00736672">
        <w:rPr>
          <w:rFonts w:cs="Arial"/>
        </w:rPr>
        <w:t>(Monday – Friday 8:00am – 5:00pm)</w:t>
      </w:r>
      <w:r w:rsidRPr="00742CDD">
        <w:t xml:space="preserve"> </w:t>
      </w:r>
      <w:r>
        <w:t xml:space="preserve">Option 2 for </w:t>
      </w:r>
      <w:proofErr w:type="spellStart"/>
      <w:r>
        <w:t>HomeCare</w:t>
      </w:r>
      <w:proofErr w:type="spellEnd"/>
    </w:p>
    <w:p w14:paraId="6E20D272" w14:textId="474F6219" w:rsidR="0003501D" w:rsidRDefault="0003501D" w:rsidP="0003501D">
      <w:r w:rsidRPr="00736672">
        <w:rPr>
          <w:rFonts w:cs="Arial"/>
        </w:rPr>
        <w:t xml:space="preserve">E: </w:t>
      </w:r>
      <w:r>
        <w:rPr>
          <w:rFonts w:cs="Arial"/>
        </w:rPr>
        <w:t xml:space="preserve"> </w:t>
      </w:r>
      <w:hyperlink r:id="rId18" w:history="1">
        <w:r w:rsidR="00AE478D" w:rsidRPr="00AE478D">
          <w:rPr>
            <w:rStyle w:val="Hyperlink"/>
          </w:rPr>
          <w:t>HomecareAU@baxter.com</w:t>
        </w:r>
      </w:hyperlink>
    </w:p>
    <w:p w14:paraId="7C364B62" w14:textId="77777777" w:rsidR="0003501D" w:rsidRDefault="0003501D" w:rsidP="0003501D">
      <w:pPr>
        <w:rPr>
          <w:rFonts w:asciiTheme="minorHAnsi" w:hAnsiTheme="minorHAnsi"/>
          <w:sz w:val="22"/>
        </w:rPr>
      </w:pPr>
      <w:r w:rsidRPr="00736672">
        <w:rPr>
          <w:rFonts w:cs="Arial"/>
        </w:rPr>
        <w:t xml:space="preserve">After Hours Emergency: </w:t>
      </w:r>
      <w:r>
        <w:rPr>
          <w:rFonts w:cs="Arial"/>
        </w:rPr>
        <w:t xml:space="preserve"> </w:t>
      </w:r>
      <w:r>
        <w:t>T: 1800 229 837; Department: “Nutrition Services” for Pump issues.</w:t>
      </w:r>
    </w:p>
    <w:p w14:paraId="3E3E00BA" w14:textId="77777777" w:rsidR="00AE478D" w:rsidRDefault="00AE478D" w:rsidP="0003501D">
      <w:pPr>
        <w:rPr>
          <w:b/>
          <w:bCs/>
          <w:lang w:val="en-GB"/>
        </w:rPr>
      </w:pPr>
    </w:p>
    <w:p w14:paraId="283FAC00" w14:textId="77777777" w:rsidR="00AE478D" w:rsidRDefault="00AE478D" w:rsidP="0003501D">
      <w:pPr>
        <w:rPr>
          <w:b/>
          <w:bCs/>
          <w:lang w:val="en-GB"/>
        </w:rPr>
      </w:pPr>
    </w:p>
    <w:p w14:paraId="44D48420" w14:textId="77777777" w:rsidR="00AE478D" w:rsidRDefault="00AE478D" w:rsidP="0003501D">
      <w:pPr>
        <w:rPr>
          <w:b/>
          <w:bCs/>
          <w:lang w:val="en-GB"/>
        </w:rPr>
      </w:pPr>
    </w:p>
    <w:p w14:paraId="49F6E510" w14:textId="2DB64728" w:rsidR="0003501D" w:rsidRPr="00D97296" w:rsidRDefault="0003501D" w:rsidP="0003501D">
      <w:pPr>
        <w:rPr>
          <w:rFonts w:cs="Arial"/>
          <w:b/>
          <w:bCs/>
        </w:rPr>
      </w:pPr>
      <w:r w:rsidRPr="00D97296">
        <w:rPr>
          <w:b/>
          <w:bCs/>
          <w:lang w:val="en-GB"/>
        </w:rPr>
        <w:lastRenderedPageBreak/>
        <w:t xml:space="preserve">Fresenius </w:t>
      </w:r>
      <w:proofErr w:type="spellStart"/>
      <w:r w:rsidRPr="00D97296">
        <w:rPr>
          <w:b/>
          <w:bCs/>
          <w:lang w:val="en-GB"/>
        </w:rPr>
        <w:t>Kabi</w:t>
      </w:r>
      <w:proofErr w:type="spellEnd"/>
    </w:p>
    <w:p w14:paraId="1FBE7766" w14:textId="77777777" w:rsidR="0003501D" w:rsidRDefault="0003501D" w:rsidP="0003501D">
      <w:pPr>
        <w:rPr>
          <w:rFonts w:cs="Arial"/>
          <w:szCs w:val="24"/>
        </w:rPr>
      </w:pPr>
    </w:p>
    <w:p w14:paraId="68F73CB3" w14:textId="77777777" w:rsidR="0003501D" w:rsidRPr="00BD39F9" w:rsidRDefault="0003501D" w:rsidP="0003501D">
      <w:pPr>
        <w:autoSpaceDE w:val="0"/>
        <w:autoSpaceDN w:val="0"/>
        <w:adjustRightInd w:val="0"/>
        <w:rPr>
          <w:rFonts w:asciiTheme="minorHAnsi" w:hAnsiTheme="minorHAnsi" w:cstheme="minorHAnsi"/>
          <w:b/>
          <w:bCs/>
          <w:szCs w:val="24"/>
        </w:rPr>
      </w:pPr>
      <w:r w:rsidRPr="00BD39F9">
        <w:rPr>
          <w:rFonts w:asciiTheme="minorHAnsi" w:hAnsiTheme="minorHAnsi" w:cstheme="minorHAnsi"/>
          <w:b/>
          <w:bCs/>
          <w:szCs w:val="24"/>
        </w:rPr>
        <w:t xml:space="preserve">Fresenius </w:t>
      </w:r>
      <w:proofErr w:type="spellStart"/>
      <w:r w:rsidRPr="00BD39F9">
        <w:rPr>
          <w:rFonts w:asciiTheme="minorHAnsi" w:hAnsiTheme="minorHAnsi" w:cstheme="minorHAnsi"/>
          <w:b/>
          <w:bCs/>
          <w:szCs w:val="24"/>
        </w:rPr>
        <w:t>Kabi@Home</w:t>
      </w:r>
      <w:proofErr w:type="spellEnd"/>
    </w:p>
    <w:p w14:paraId="6FE08527" w14:textId="77777777" w:rsidR="0003501D" w:rsidRDefault="0003501D" w:rsidP="0003501D">
      <w:pPr>
        <w:autoSpaceDE w:val="0"/>
        <w:autoSpaceDN w:val="0"/>
        <w:adjustRightInd w:val="0"/>
        <w:rPr>
          <w:rFonts w:cstheme="minorHAnsi"/>
          <w:szCs w:val="24"/>
        </w:rPr>
      </w:pPr>
      <w:r>
        <w:rPr>
          <w:rFonts w:cstheme="minorHAnsi"/>
          <w:szCs w:val="24"/>
        </w:rPr>
        <w:t>P</w:t>
      </w:r>
      <w:r w:rsidRPr="00BD39F9">
        <w:rPr>
          <w:rFonts w:asciiTheme="minorHAnsi" w:hAnsiTheme="minorHAnsi" w:cstheme="minorHAnsi"/>
          <w:szCs w:val="24"/>
        </w:rPr>
        <w:t>rovide</w:t>
      </w:r>
      <w:r>
        <w:rPr>
          <w:rFonts w:cstheme="minorHAnsi"/>
          <w:szCs w:val="24"/>
        </w:rPr>
        <w:t>s</w:t>
      </w:r>
      <w:r w:rsidRPr="00BD39F9">
        <w:rPr>
          <w:rFonts w:asciiTheme="minorHAnsi" w:hAnsiTheme="minorHAnsi" w:cstheme="minorHAnsi"/>
          <w:szCs w:val="24"/>
        </w:rPr>
        <w:t xml:space="preserve"> home delivery of HPN solutions, pumps, IV sets and </w:t>
      </w:r>
      <w:r>
        <w:rPr>
          <w:rFonts w:cstheme="minorHAnsi"/>
          <w:szCs w:val="24"/>
        </w:rPr>
        <w:t>consumables.</w:t>
      </w:r>
    </w:p>
    <w:p w14:paraId="1361191D" w14:textId="77777777" w:rsidR="0003501D" w:rsidRPr="00BD39F9" w:rsidRDefault="0003501D" w:rsidP="0003501D">
      <w:pPr>
        <w:autoSpaceDE w:val="0"/>
        <w:autoSpaceDN w:val="0"/>
        <w:adjustRightInd w:val="0"/>
        <w:rPr>
          <w:rFonts w:asciiTheme="minorHAnsi" w:hAnsiTheme="minorHAnsi" w:cstheme="minorHAnsi"/>
          <w:b/>
          <w:bCs/>
          <w:szCs w:val="24"/>
        </w:rPr>
      </w:pPr>
      <w:r>
        <w:rPr>
          <w:rFonts w:cstheme="minorHAnsi"/>
          <w:szCs w:val="24"/>
        </w:rPr>
        <w:t>The hospital-based clinician registers the patient for the service on a ‘</w:t>
      </w:r>
      <w:r w:rsidRPr="00926AC1">
        <w:rPr>
          <w:rFonts w:asciiTheme="minorHAnsi" w:hAnsiTheme="minorHAnsi" w:cstheme="minorHAnsi"/>
          <w:szCs w:val="24"/>
        </w:rPr>
        <w:t xml:space="preserve">Fresenius </w:t>
      </w:r>
      <w:proofErr w:type="spellStart"/>
      <w:r w:rsidRPr="00926AC1">
        <w:rPr>
          <w:rFonts w:asciiTheme="minorHAnsi" w:hAnsiTheme="minorHAnsi" w:cstheme="minorHAnsi"/>
          <w:szCs w:val="24"/>
        </w:rPr>
        <w:t>Kabi@Home</w:t>
      </w:r>
      <w:proofErr w:type="spellEnd"/>
      <w:r>
        <w:rPr>
          <w:rFonts w:cstheme="minorHAnsi"/>
          <w:szCs w:val="24"/>
        </w:rPr>
        <w:t xml:space="preserve"> Parenteral Nutrition Delivery Service Patient Registration Form’.</w:t>
      </w:r>
    </w:p>
    <w:p w14:paraId="0F0D2F67" w14:textId="77777777" w:rsidR="0003501D" w:rsidRDefault="0003501D" w:rsidP="0003501D">
      <w:pPr>
        <w:autoSpaceDE w:val="0"/>
        <w:autoSpaceDN w:val="0"/>
        <w:adjustRightInd w:val="0"/>
        <w:rPr>
          <w:rFonts w:cstheme="minorHAnsi"/>
          <w:b/>
          <w:bCs/>
          <w:szCs w:val="24"/>
        </w:rPr>
      </w:pPr>
    </w:p>
    <w:p w14:paraId="07E028EF" w14:textId="77777777" w:rsidR="0003501D" w:rsidRPr="00BD39F9" w:rsidRDefault="0003501D" w:rsidP="0003501D">
      <w:pPr>
        <w:autoSpaceDE w:val="0"/>
        <w:autoSpaceDN w:val="0"/>
        <w:adjustRightInd w:val="0"/>
        <w:rPr>
          <w:rFonts w:asciiTheme="minorHAnsi" w:hAnsiTheme="minorHAnsi" w:cstheme="minorHAnsi"/>
          <w:b/>
          <w:bCs/>
          <w:szCs w:val="24"/>
        </w:rPr>
      </w:pPr>
      <w:r w:rsidRPr="00BD39F9">
        <w:rPr>
          <w:rFonts w:asciiTheme="minorHAnsi" w:hAnsiTheme="minorHAnsi" w:cstheme="minorHAnsi"/>
          <w:b/>
          <w:bCs/>
          <w:szCs w:val="24"/>
        </w:rPr>
        <w:t>Clinical Support</w:t>
      </w:r>
    </w:p>
    <w:p w14:paraId="3D8F1A3D" w14:textId="576128CF" w:rsidR="0003501D" w:rsidRPr="0003501D"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03501D">
        <w:rPr>
          <w:rFonts w:asciiTheme="minorHAnsi" w:hAnsiTheme="minorHAnsi" w:cstheme="minorHAnsi"/>
          <w:szCs w:val="24"/>
        </w:rPr>
        <w:t xml:space="preserve">T: 1800 930 957 (24 hours per day, 7 days per week) connects the clinician to Fresenius </w:t>
      </w:r>
      <w:proofErr w:type="spellStart"/>
      <w:r w:rsidRPr="0003501D">
        <w:rPr>
          <w:rFonts w:asciiTheme="minorHAnsi" w:hAnsiTheme="minorHAnsi" w:cstheme="minorHAnsi"/>
          <w:szCs w:val="24"/>
        </w:rPr>
        <w:t>Kabi@Home</w:t>
      </w:r>
      <w:proofErr w:type="spellEnd"/>
      <w:r w:rsidRPr="0003501D">
        <w:rPr>
          <w:rFonts w:asciiTheme="minorHAnsi" w:hAnsiTheme="minorHAnsi" w:cstheme="minorHAnsi"/>
          <w:szCs w:val="24"/>
        </w:rPr>
        <w:t xml:space="preserve"> pharmacist for clinical support and assistance with custom formulations if required.</w:t>
      </w:r>
    </w:p>
    <w:p w14:paraId="35EE5F97" w14:textId="73E11D04" w:rsidR="0003501D" w:rsidRPr="0003501D"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03501D">
        <w:rPr>
          <w:rFonts w:cstheme="minorHAnsi"/>
          <w:szCs w:val="24"/>
        </w:rPr>
        <w:t>Provides</w:t>
      </w:r>
      <w:r w:rsidRPr="0003501D">
        <w:rPr>
          <w:rFonts w:asciiTheme="minorHAnsi" w:hAnsiTheme="minorHAnsi" w:cstheme="minorHAnsi"/>
          <w:szCs w:val="24"/>
        </w:rPr>
        <w:t xml:space="preserve"> </w:t>
      </w:r>
      <w:r w:rsidRPr="0003501D">
        <w:rPr>
          <w:rFonts w:cstheme="minorHAnsi"/>
          <w:szCs w:val="24"/>
        </w:rPr>
        <w:t>c</w:t>
      </w:r>
      <w:r w:rsidRPr="0003501D">
        <w:rPr>
          <w:rFonts w:asciiTheme="minorHAnsi" w:hAnsiTheme="minorHAnsi" w:cstheme="minorHAnsi"/>
          <w:szCs w:val="24"/>
        </w:rPr>
        <w:t xml:space="preserve">oordination of services between hospital, patient and Fresenius </w:t>
      </w:r>
      <w:proofErr w:type="spellStart"/>
      <w:r w:rsidRPr="0003501D">
        <w:rPr>
          <w:rFonts w:asciiTheme="minorHAnsi" w:hAnsiTheme="minorHAnsi" w:cstheme="minorHAnsi"/>
          <w:szCs w:val="24"/>
        </w:rPr>
        <w:t>Kabi@Home</w:t>
      </w:r>
      <w:proofErr w:type="spellEnd"/>
      <w:r w:rsidRPr="0003501D">
        <w:rPr>
          <w:rFonts w:asciiTheme="minorHAnsi" w:hAnsiTheme="minorHAnsi" w:cstheme="minorHAnsi"/>
          <w:szCs w:val="24"/>
        </w:rPr>
        <w:t>.</w:t>
      </w:r>
    </w:p>
    <w:p w14:paraId="14D5FDFF" w14:textId="77777777" w:rsidR="0003501D" w:rsidRPr="00BD39F9" w:rsidRDefault="0003501D" w:rsidP="0003501D">
      <w:pPr>
        <w:autoSpaceDE w:val="0"/>
        <w:autoSpaceDN w:val="0"/>
        <w:adjustRightInd w:val="0"/>
        <w:rPr>
          <w:rFonts w:asciiTheme="minorHAnsi" w:hAnsiTheme="minorHAnsi" w:cstheme="minorHAnsi"/>
          <w:b/>
          <w:bCs/>
          <w:szCs w:val="24"/>
        </w:rPr>
      </w:pPr>
    </w:p>
    <w:p w14:paraId="707DE6D1" w14:textId="77777777" w:rsidR="0003501D" w:rsidRPr="00BD39F9" w:rsidRDefault="0003501D" w:rsidP="0003501D">
      <w:pPr>
        <w:autoSpaceDE w:val="0"/>
        <w:autoSpaceDN w:val="0"/>
        <w:adjustRightInd w:val="0"/>
        <w:rPr>
          <w:rFonts w:asciiTheme="minorHAnsi" w:hAnsiTheme="minorHAnsi" w:cstheme="minorHAnsi"/>
          <w:b/>
          <w:bCs/>
          <w:szCs w:val="24"/>
        </w:rPr>
      </w:pPr>
      <w:r w:rsidRPr="00BD39F9">
        <w:rPr>
          <w:rFonts w:asciiTheme="minorHAnsi" w:hAnsiTheme="minorHAnsi" w:cstheme="minorHAnsi"/>
          <w:b/>
          <w:bCs/>
          <w:szCs w:val="24"/>
        </w:rPr>
        <w:t>Patient Support</w:t>
      </w:r>
    </w:p>
    <w:p w14:paraId="290CCF32" w14:textId="03DDBF94" w:rsidR="0003501D" w:rsidRPr="0003501D"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BD39F9">
        <w:rPr>
          <w:rFonts w:asciiTheme="minorHAnsi" w:hAnsiTheme="minorHAnsi" w:cstheme="minorHAnsi"/>
          <w:szCs w:val="24"/>
        </w:rPr>
        <w:t xml:space="preserve">T: 1800 930 957 (24 hours per day, 7 days per week) connects the patient to Fresenius </w:t>
      </w:r>
      <w:proofErr w:type="spellStart"/>
      <w:r w:rsidRPr="00BD39F9">
        <w:rPr>
          <w:rFonts w:asciiTheme="minorHAnsi" w:hAnsiTheme="minorHAnsi" w:cstheme="minorHAnsi"/>
          <w:szCs w:val="24"/>
        </w:rPr>
        <w:t>Kabi@Home</w:t>
      </w:r>
      <w:proofErr w:type="spellEnd"/>
      <w:r w:rsidRPr="00BD39F9">
        <w:rPr>
          <w:rFonts w:asciiTheme="minorHAnsi" w:hAnsiTheme="minorHAnsi" w:cstheme="minorHAnsi"/>
          <w:szCs w:val="24"/>
        </w:rPr>
        <w:t xml:space="preserve"> coordinator to answer questions such as information regarding the delivery schedule or organis</w:t>
      </w:r>
      <w:r w:rsidRPr="0003501D">
        <w:rPr>
          <w:rFonts w:asciiTheme="minorHAnsi" w:hAnsiTheme="minorHAnsi" w:cstheme="minorHAnsi"/>
          <w:szCs w:val="24"/>
        </w:rPr>
        <w:t>ing</w:t>
      </w:r>
      <w:r w:rsidRPr="00BD39F9">
        <w:rPr>
          <w:rFonts w:asciiTheme="minorHAnsi" w:hAnsiTheme="minorHAnsi" w:cstheme="minorHAnsi"/>
          <w:szCs w:val="24"/>
        </w:rPr>
        <w:t xml:space="preserve"> a replacement pump.</w:t>
      </w:r>
    </w:p>
    <w:p w14:paraId="6B7580F6" w14:textId="77777777" w:rsidR="0003501D" w:rsidRDefault="0003501D" w:rsidP="0003501D">
      <w:pPr>
        <w:autoSpaceDE w:val="0"/>
        <w:autoSpaceDN w:val="0"/>
        <w:adjustRightInd w:val="0"/>
        <w:rPr>
          <w:rFonts w:cstheme="minorHAnsi"/>
          <w:b/>
          <w:bCs/>
          <w:szCs w:val="24"/>
        </w:rPr>
      </w:pPr>
    </w:p>
    <w:p w14:paraId="15E1485E" w14:textId="77777777" w:rsidR="0003501D" w:rsidRPr="00BD39F9" w:rsidRDefault="0003501D" w:rsidP="0003501D">
      <w:pPr>
        <w:autoSpaceDE w:val="0"/>
        <w:autoSpaceDN w:val="0"/>
        <w:adjustRightInd w:val="0"/>
        <w:rPr>
          <w:rFonts w:asciiTheme="minorHAnsi" w:hAnsiTheme="minorHAnsi" w:cstheme="minorHAnsi"/>
          <w:b/>
          <w:bCs/>
          <w:szCs w:val="24"/>
        </w:rPr>
      </w:pPr>
      <w:r w:rsidRPr="00BD39F9">
        <w:rPr>
          <w:rFonts w:asciiTheme="minorHAnsi" w:hAnsiTheme="minorHAnsi" w:cstheme="minorHAnsi"/>
          <w:b/>
          <w:bCs/>
          <w:szCs w:val="24"/>
        </w:rPr>
        <w:t>IV Pump</w:t>
      </w:r>
    </w:p>
    <w:p w14:paraId="7EA2004E" w14:textId="6528E5FA" w:rsidR="0003501D" w:rsidRPr="00BD39F9"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BD39F9">
        <w:rPr>
          <w:rFonts w:asciiTheme="minorHAnsi" w:hAnsiTheme="minorHAnsi" w:cstheme="minorHAnsi"/>
          <w:szCs w:val="24"/>
        </w:rPr>
        <w:t xml:space="preserve">The </w:t>
      </w:r>
      <w:proofErr w:type="spellStart"/>
      <w:r w:rsidRPr="00BD39F9">
        <w:rPr>
          <w:rFonts w:asciiTheme="minorHAnsi" w:hAnsiTheme="minorHAnsi" w:cstheme="minorHAnsi"/>
          <w:szCs w:val="24"/>
        </w:rPr>
        <w:t>Ambix</w:t>
      </w:r>
      <w:proofErr w:type="spellEnd"/>
      <w:r w:rsidRPr="00BD39F9">
        <w:rPr>
          <w:rFonts w:asciiTheme="minorHAnsi" w:hAnsiTheme="minorHAnsi" w:cstheme="minorHAnsi"/>
          <w:szCs w:val="24"/>
        </w:rPr>
        <w:t xml:space="preserve"> </w:t>
      </w:r>
      <w:proofErr w:type="spellStart"/>
      <w:r w:rsidRPr="00BD39F9">
        <w:rPr>
          <w:rFonts w:asciiTheme="minorHAnsi" w:hAnsiTheme="minorHAnsi" w:cstheme="minorHAnsi"/>
          <w:szCs w:val="24"/>
        </w:rPr>
        <w:t>Activ</w:t>
      </w:r>
      <w:proofErr w:type="spellEnd"/>
      <w:r w:rsidRPr="00BD39F9">
        <w:rPr>
          <w:rFonts w:asciiTheme="minorHAnsi" w:hAnsiTheme="minorHAnsi" w:cstheme="minorHAnsi"/>
          <w:szCs w:val="24"/>
        </w:rPr>
        <w:t xml:space="preserve"> pump is provided to all home patients for the delivery of their</w:t>
      </w:r>
      <w:r w:rsidRPr="0003501D">
        <w:rPr>
          <w:rFonts w:asciiTheme="minorHAnsi" w:hAnsiTheme="minorHAnsi" w:cstheme="minorHAnsi"/>
          <w:szCs w:val="24"/>
        </w:rPr>
        <w:t xml:space="preserve"> </w:t>
      </w:r>
      <w:r w:rsidRPr="00BD39F9">
        <w:rPr>
          <w:rFonts w:asciiTheme="minorHAnsi" w:hAnsiTheme="minorHAnsi" w:cstheme="minorHAnsi"/>
          <w:szCs w:val="24"/>
        </w:rPr>
        <w:t>HPN solutions</w:t>
      </w:r>
      <w:r w:rsidRPr="0003501D">
        <w:rPr>
          <w:rFonts w:asciiTheme="minorHAnsi" w:hAnsiTheme="minorHAnsi" w:cstheme="minorHAnsi"/>
          <w:szCs w:val="24"/>
        </w:rPr>
        <w:t>.</w:t>
      </w:r>
    </w:p>
    <w:p w14:paraId="27F2BF73" w14:textId="705FA0B3" w:rsidR="0003501D" w:rsidRPr="00BD39F9"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BD39F9">
        <w:rPr>
          <w:rFonts w:asciiTheme="minorHAnsi" w:hAnsiTheme="minorHAnsi" w:cstheme="minorHAnsi"/>
          <w:szCs w:val="24"/>
        </w:rPr>
        <w:t xml:space="preserve">Two </w:t>
      </w:r>
      <w:proofErr w:type="spellStart"/>
      <w:r w:rsidRPr="00BD39F9">
        <w:rPr>
          <w:rFonts w:asciiTheme="minorHAnsi" w:hAnsiTheme="minorHAnsi" w:cstheme="minorHAnsi"/>
          <w:szCs w:val="24"/>
        </w:rPr>
        <w:t>Ambix</w:t>
      </w:r>
      <w:proofErr w:type="spellEnd"/>
      <w:r w:rsidRPr="00BD39F9">
        <w:rPr>
          <w:rFonts w:asciiTheme="minorHAnsi" w:hAnsiTheme="minorHAnsi" w:cstheme="minorHAnsi"/>
          <w:szCs w:val="24"/>
        </w:rPr>
        <w:t xml:space="preserve"> </w:t>
      </w:r>
      <w:proofErr w:type="spellStart"/>
      <w:r w:rsidRPr="00BD39F9">
        <w:rPr>
          <w:rFonts w:asciiTheme="minorHAnsi" w:hAnsiTheme="minorHAnsi" w:cstheme="minorHAnsi"/>
          <w:szCs w:val="24"/>
        </w:rPr>
        <w:t>Activ</w:t>
      </w:r>
      <w:proofErr w:type="spellEnd"/>
      <w:r w:rsidRPr="00BD39F9">
        <w:rPr>
          <w:rFonts w:asciiTheme="minorHAnsi" w:hAnsiTheme="minorHAnsi" w:cstheme="minorHAnsi"/>
          <w:szCs w:val="24"/>
        </w:rPr>
        <w:t xml:space="preserve"> pumps </w:t>
      </w:r>
      <w:r w:rsidRPr="0003501D">
        <w:rPr>
          <w:rFonts w:asciiTheme="minorHAnsi" w:hAnsiTheme="minorHAnsi" w:cstheme="minorHAnsi"/>
          <w:szCs w:val="24"/>
        </w:rPr>
        <w:t xml:space="preserve">are </w:t>
      </w:r>
      <w:r w:rsidRPr="00BD39F9">
        <w:rPr>
          <w:rFonts w:asciiTheme="minorHAnsi" w:hAnsiTheme="minorHAnsi" w:cstheme="minorHAnsi"/>
          <w:szCs w:val="24"/>
        </w:rPr>
        <w:t>provided free of charge per patient to ensure that there is always a back-up pump in the unlikely event of a malfunction</w:t>
      </w:r>
      <w:r w:rsidRPr="0003501D">
        <w:rPr>
          <w:rFonts w:asciiTheme="minorHAnsi" w:hAnsiTheme="minorHAnsi" w:cstheme="minorHAnsi"/>
          <w:szCs w:val="24"/>
        </w:rPr>
        <w:t>.</w:t>
      </w:r>
    </w:p>
    <w:p w14:paraId="26A77638" w14:textId="5D39FB17" w:rsidR="0003501D" w:rsidRPr="00BD39F9" w:rsidRDefault="0003501D" w:rsidP="00DC2BBF">
      <w:pPr>
        <w:pStyle w:val="ListParagraph"/>
        <w:numPr>
          <w:ilvl w:val="0"/>
          <w:numId w:val="32"/>
        </w:numPr>
        <w:autoSpaceDE w:val="0"/>
        <w:autoSpaceDN w:val="0"/>
        <w:adjustRightInd w:val="0"/>
        <w:ind w:left="426" w:hanging="426"/>
        <w:rPr>
          <w:rFonts w:asciiTheme="minorHAnsi" w:hAnsiTheme="minorHAnsi" w:cstheme="minorHAnsi"/>
          <w:szCs w:val="24"/>
        </w:rPr>
      </w:pPr>
      <w:r w:rsidRPr="00BD39F9">
        <w:rPr>
          <w:rFonts w:asciiTheme="minorHAnsi" w:hAnsiTheme="minorHAnsi" w:cstheme="minorHAnsi"/>
          <w:szCs w:val="24"/>
        </w:rPr>
        <w:t>Pump accessories such as</w:t>
      </w:r>
      <w:r w:rsidR="00D90A28">
        <w:rPr>
          <w:rFonts w:asciiTheme="minorHAnsi" w:hAnsiTheme="minorHAnsi" w:cstheme="minorHAnsi"/>
          <w:szCs w:val="24"/>
        </w:rPr>
        <w:t xml:space="preserve"> </w:t>
      </w:r>
      <w:r w:rsidRPr="00BD39F9">
        <w:rPr>
          <w:rFonts w:asciiTheme="minorHAnsi" w:hAnsiTheme="minorHAnsi" w:cstheme="minorHAnsi"/>
          <w:szCs w:val="24"/>
        </w:rPr>
        <w:t xml:space="preserve">backpack, tabletop or </w:t>
      </w:r>
      <w:r w:rsidRPr="0003501D">
        <w:rPr>
          <w:rFonts w:asciiTheme="minorHAnsi" w:hAnsiTheme="minorHAnsi" w:cstheme="minorHAnsi"/>
          <w:szCs w:val="24"/>
        </w:rPr>
        <w:t>full-length IV</w:t>
      </w:r>
      <w:r w:rsidRPr="00BD39F9">
        <w:rPr>
          <w:rFonts w:asciiTheme="minorHAnsi" w:hAnsiTheme="minorHAnsi" w:cstheme="minorHAnsi"/>
          <w:szCs w:val="24"/>
        </w:rPr>
        <w:t xml:space="preserve"> stands are all available upon request</w:t>
      </w:r>
      <w:r w:rsidRPr="0003501D">
        <w:rPr>
          <w:rFonts w:asciiTheme="minorHAnsi" w:hAnsiTheme="minorHAnsi" w:cstheme="minorHAnsi"/>
          <w:szCs w:val="24"/>
        </w:rPr>
        <w:t>.</w:t>
      </w:r>
    </w:p>
    <w:p w14:paraId="39ED7EF8" w14:textId="77777777" w:rsidR="003E4DDC" w:rsidRDefault="003E4DDC" w:rsidP="003E4DDC">
      <w:pPr>
        <w:rPr>
          <w:rFonts w:cs="Arial"/>
        </w:rPr>
      </w:pPr>
    </w:p>
    <w:p w14:paraId="39ED7EF9" w14:textId="77777777" w:rsidR="003E4DDC" w:rsidRPr="00736672" w:rsidRDefault="003E4DDC" w:rsidP="003E4DDC">
      <w:pPr>
        <w:rPr>
          <w:rFonts w:cs="Arial"/>
        </w:rPr>
      </w:pPr>
    </w:p>
    <w:p w14:paraId="39ED7EFA" w14:textId="77777777" w:rsidR="00FF56DD" w:rsidRDefault="00FF56DD" w:rsidP="007B6904">
      <w:pPr>
        <w:rPr>
          <w:rFonts w:cs="Arial"/>
          <w:szCs w:val="24"/>
        </w:rPr>
      </w:pPr>
    </w:p>
    <w:p w14:paraId="39ED7EFB" w14:textId="77777777" w:rsidR="003E4DDC" w:rsidRDefault="003E4DDC" w:rsidP="007B6904">
      <w:pPr>
        <w:rPr>
          <w:rFonts w:cs="Arial"/>
          <w:szCs w:val="24"/>
        </w:rPr>
      </w:pPr>
    </w:p>
    <w:sectPr w:rsidR="003E4DDC" w:rsidSect="004213C3">
      <w:headerReference w:type="default" r:id="rId19"/>
      <w:footerReference w:type="default" r:id="rId20"/>
      <w:pgSz w:w="11906" w:h="16838"/>
      <w:pgMar w:top="663" w:right="1418" w:bottom="1440" w:left="1418" w:header="35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829C" w14:textId="77777777" w:rsidR="00163A6F" w:rsidRDefault="00163A6F" w:rsidP="00F66CB0">
      <w:r>
        <w:separator/>
      </w:r>
    </w:p>
  </w:endnote>
  <w:endnote w:type="continuationSeparator" w:id="0">
    <w:p w14:paraId="19E29947" w14:textId="77777777" w:rsidR="00163A6F" w:rsidRDefault="00163A6F" w:rsidP="00F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33"/>
      <w:gridCol w:w="977"/>
      <w:gridCol w:w="1560"/>
      <w:gridCol w:w="1464"/>
      <w:gridCol w:w="1796"/>
      <w:gridCol w:w="1840"/>
    </w:tblGrid>
    <w:tr w:rsidR="00163A6F" w:rsidRPr="00AE7C5C" w14:paraId="39ED7F0A" w14:textId="77777777" w:rsidTr="009074C8">
      <w:tc>
        <w:tcPr>
          <w:tcW w:w="1433" w:type="dxa"/>
          <w:tcBorders>
            <w:bottom w:val="single" w:sz="4" w:space="0" w:color="auto"/>
          </w:tcBorders>
        </w:tcPr>
        <w:p w14:paraId="39ED7F04" w14:textId="77777777" w:rsidR="00163A6F" w:rsidRPr="00B3752F" w:rsidRDefault="00163A6F" w:rsidP="004213C3">
          <w:pPr>
            <w:pStyle w:val="Footer"/>
            <w:rPr>
              <w:rFonts w:cs="Arial"/>
              <w:b/>
              <w:bCs/>
              <w:i/>
              <w:sz w:val="20"/>
            </w:rPr>
          </w:pPr>
          <w:r w:rsidRPr="00B3752F">
            <w:rPr>
              <w:rFonts w:cs="Arial"/>
              <w:b/>
              <w:bCs/>
              <w:i/>
              <w:sz w:val="20"/>
            </w:rPr>
            <w:t>Doc Number</w:t>
          </w:r>
        </w:p>
      </w:tc>
      <w:tc>
        <w:tcPr>
          <w:tcW w:w="977" w:type="dxa"/>
          <w:tcBorders>
            <w:bottom w:val="single" w:sz="4" w:space="0" w:color="auto"/>
          </w:tcBorders>
        </w:tcPr>
        <w:p w14:paraId="39ED7F05" w14:textId="77777777" w:rsidR="00163A6F" w:rsidRPr="00B3752F" w:rsidRDefault="00163A6F" w:rsidP="004213C3">
          <w:pPr>
            <w:pStyle w:val="Footer"/>
            <w:rPr>
              <w:rFonts w:cs="Arial"/>
              <w:b/>
              <w:bCs/>
              <w:i/>
              <w:sz w:val="20"/>
            </w:rPr>
          </w:pPr>
          <w:r w:rsidRPr="00B3752F">
            <w:rPr>
              <w:rFonts w:cs="Arial"/>
              <w:b/>
              <w:bCs/>
              <w:i/>
              <w:sz w:val="20"/>
            </w:rPr>
            <w:t>Version</w:t>
          </w:r>
        </w:p>
      </w:tc>
      <w:tc>
        <w:tcPr>
          <w:tcW w:w="1560" w:type="dxa"/>
          <w:tcBorders>
            <w:bottom w:val="single" w:sz="4" w:space="0" w:color="auto"/>
          </w:tcBorders>
        </w:tcPr>
        <w:p w14:paraId="39ED7F06" w14:textId="77777777" w:rsidR="00163A6F" w:rsidRPr="00B3752F" w:rsidRDefault="00163A6F" w:rsidP="004213C3">
          <w:pPr>
            <w:pStyle w:val="Footer"/>
            <w:rPr>
              <w:rFonts w:cs="Arial"/>
              <w:b/>
              <w:bCs/>
              <w:i/>
              <w:sz w:val="20"/>
            </w:rPr>
          </w:pPr>
          <w:r w:rsidRPr="00B3752F">
            <w:rPr>
              <w:rFonts w:cs="Arial"/>
              <w:b/>
              <w:bCs/>
              <w:i/>
              <w:sz w:val="20"/>
            </w:rPr>
            <w:t>Issued</w:t>
          </w:r>
        </w:p>
      </w:tc>
      <w:tc>
        <w:tcPr>
          <w:tcW w:w="1464" w:type="dxa"/>
          <w:tcBorders>
            <w:bottom w:val="single" w:sz="4" w:space="0" w:color="auto"/>
          </w:tcBorders>
        </w:tcPr>
        <w:p w14:paraId="39ED7F07" w14:textId="77777777" w:rsidR="00163A6F" w:rsidRPr="00B3752F" w:rsidRDefault="00163A6F" w:rsidP="004213C3">
          <w:pPr>
            <w:pStyle w:val="Footer"/>
            <w:rPr>
              <w:rFonts w:cs="Arial"/>
              <w:b/>
              <w:bCs/>
              <w:i/>
              <w:sz w:val="20"/>
            </w:rPr>
          </w:pPr>
          <w:r w:rsidRPr="00B3752F">
            <w:rPr>
              <w:rFonts w:cs="Arial"/>
              <w:b/>
              <w:bCs/>
              <w:i/>
              <w:sz w:val="20"/>
            </w:rPr>
            <w:t>Review Date</w:t>
          </w:r>
        </w:p>
      </w:tc>
      <w:tc>
        <w:tcPr>
          <w:tcW w:w="1796" w:type="dxa"/>
          <w:tcBorders>
            <w:bottom w:val="single" w:sz="4" w:space="0" w:color="auto"/>
          </w:tcBorders>
        </w:tcPr>
        <w:p w14:paraId="39ED7F08" w14:textId="77777777" w:rsidR="00163A6F" w:rsidRPr="00B3752F" w:rsidRDefault="00163A6F" w:rsidP="004213C3">
          <w:pPr>
            <w:pStyle w:val="Footer"/>
            <w:rPr>
              <w:rFonts w:cs="Arial"/>
              <w:b/>
              <w:bCs/>
              <w:i/>
              <w:sz w:val="20"/>
            </w:rPr>
          </w:pPr>
          <w:r w:rsidRPr="00B3752F">
            <w:rPr>
              <w:rFonts w:cs="Arial"/>
              <w:b/>
              <w:bCs/>
              <w:i/>
              <w:sz w:val="20"/>
            </w:rPr>
            <w:t>Area Responsible</w:t>
          </w:r>
        </w:p>
      </w:tc>
      <w:tc>
        <w:tcPr>
          <w:tcW w:w="1840" w:type="dxa"/>
          <w:tcBorders>
            <w:bottom w:val="single" w:sz="4" w:space="0" w:color="auto"/>
          </w:tcBorders>
        </w:tcPr>
        <w:p w14:paraId="39ED7F09" w14:textId="77777777" w:rsidR="00163A6F" w:rsidRPr="00B3752F" w:rsidRDefault="00163A6F" w:rsidP="004213C3">
          <w:pPr>
            <w:pStyle w:val="Footer"/>
            <w:rPr>
              <w:rFonts w:cs="Arial"/>
              <w:b/>
              <w:bCs/>
              <w:i/>
              <w:sz w:val="20"/>
            </w:rPr>
          </w:pPr>
          <w:r w:rsidRPr="00B3752F">
            <w:rPr>
              <w:rFonts w:cs="Arial"/>
              <w:b/>
              <w:bCs/>
              <w:i/>
              <w:sz w:val="20"/>
            </w:rPr>
            <w:t>Page</w:t>
          </w:r>
        </w:p>
      </w:tc>
    </w:tr>
    <w:tr w:rsidR="00163A6F" w14:paraId="39ED7F11" w14:textId="77777777" w:rsidTr="009074C8">
      <w:tc>
        <w:tcPr>
          <w:tcW w:w="1433" w:type="dxa"/>
          <w:tcBorders>
            <w:top w:val="single" w:sz="4" w:space="0" w:color="auto"/>
          </w:tcBorders>
        </w:tcPr>
        <w:p w14:paraId="39ED7F0B" w14:textId="00B747EC" w:rsidR="00163A6F" w:rsidRPr="00542EE6" w:rsidRDefault="009074C8" w:rsidP="004213C3">
          <w:pPr>
            <w:pStyle w:val="Footer"/>
            <w:rPr>
              <w:rFonts w:cs="Arial"/>
              <w:b/>
              <w:bCs/>
              <w:sz w:val="20"/>
            </w:rPr>
          </w:pPr>
          <w:r>
            <w:rPr>
              <w:rFonts w:cs="Arial"/>
              <w:b/>
              <w:bCs/>
              <w:sz w:val="20"/>
            </w:rPr>
            <w:t>CHS21/415</w:t>
          </w:r>
        </w:p>
      </w:tc>
      <w:tc>
        <w:tcPr>
          <w:tcW w:w="977" w:type="dxa"/>
          <w:tcBorders>
            <w:top w:val="single" w:sz="4" w:space="0" w:color="auto"/>
          </w:tcBorders>
        </w:tcPr>
        <w:p w14:paraId="39ED7F0C" w14:textId="77777777" w:rsidR="00163A6F" w:rsidRPr="00B3752F" w:rsidRDefault="00163A6F" w:rsidP="004213C3">
          <w:pPr>
            <w:pStyle w:val="Footer"/>
            <w:rPr>
              <w:rFonts w:cs="Arial"/>
              <w:b/>
              <w:bCs/>
              <w:sz w:val="20"/>
            </w:rPr>
          </w:pPr>
          <w:r>
            <w:rPr>
              <w:rFonts w:cs="Arial"/>
              <w:b/>
              <w:bCs/>
              <w:sz w:val="20"/>
            </w:rPr>
            <w:t>1</w:t>
          </w:r>
        </w:p>
      </w:tc>
      <w:tc>
        <w:tcPr>
          <w:tcW w:w="1560" w:type="dxa"/>
          <w:tcBorders>
            <w:top w:val="single" w:sz="4" w:space="0" w:color="auto"/>
          </w:tcBorders>
        </w:tcPr>
        <w:p w14:paraId="39ED7F0D" w14:textId="1284C2E3" w:rsidR="00163A6F" w:rsidRPr="00B3752F" w:rsidRDefault="009074C8" w:rsidP="004213C3">
          <w:pPr>
            <w:pStyle w:val="Footer"/>
            <w:rPr>
              <w:rFonts w:cs="Arial"/>
              <w:b/>
              <w:bCs/>
              <w:sz w:val="20"/>
            </w:rPr>
          </w:pPr>
          <w:r>
            <w:rPr>
              <w:rFonts w:cs="Arial"/>
              <w:b/>
              <w:bCs/>
              <w:sz w:val="20"/>
            </w:rPr>
            <w:t>16/07/2021</w:t>
          </w:r>
        </w:p>
      </w:tc>
      <w:tc>
        <w:tcPr>
          <w:tcW w:w="1464" w:type="dxa"/>
          <w:tcBorders>
            <w:top w:val="single" w:sz="4" w:space="0" w:color="auto"/>
          </w:tcBorders>
        </w:tcPr>
        <w:p w14:paraId="39ED7F0E" w14:textId="75AF1D3F" w:rsidR="00163A6F" w:rsidRPr="00B3752F" w:rsidRDefault="009074C8" w:rsidP="004213C3">
          <w:pPr>
            <w:pStyle w:val="Footer"/>
            <w:rPr>
              <w:rFonts w:cs="Arial"/>
              <w:b/>
              <w:bCs/>
              <w:sz w:val="20"/>
            </w:rPr>
          </w:pPr>
          <w:r>
            <w:rPr>
              <w:rFonts w:cs="Arial"/>
              <w:b/>
              <w:bCs/>
              <w:sz w:val="20"/>
            </w:rPr>
            <w:t>01/08/2025</w:t>
          </w:r>
        </w:p>
      </w:tc>
      <w:tc>
        <w:tcPr>
          <w:tcW w:w="1796" w:type="dxa"/>
          <w:tcBorders>
            <w:top w:val="single" w:sz="4" w:space="0" w:color="auto"/>
          </w:tcBorders>
        </w:tcPr>
        <w:p w14:paraId="39ED7F0F" w14:textId="77777777" w:rsidR="00163A6F" w:rsidRPr="00B3752F" w:rsidRDefault="00163A6F" w:rsidP="004213C3">
          <w:pPr>
            <w:pStyle w:val="Footer"/>
            <w:rPr>
              <w:rFonts w:cs="Arial"/>
              <w:b/>
              <w:bCs/>
              <w:sz w:val="20"/>
            </w:rPr>
          </w:pPr>
          <w:r>
            <w:rPr>
              <w:rFonts w:cs="Arial"/>
              <w:b/>
              <w:bCs/>
              <w:sz w:val="20"/>
            </w:rPr>
            <w:t>Medicine</w:t>
          </w:r>
        </w:p>
      </w:tc>
      <w:tc>
        <w:tcPr>
          <w:tcW w:w="1840" w:type="dxa"/>
          <w:tcBorders>
            <w:top w:val="single" w:sz="4" w:space="0" w:color="auto"/>
          </w:tcBorders>
        </w:tcPr>
        <w:p w14:paraId="39ED7F10" w14:textId="77777777" w:rsidR="00163A6F" w:rsidRPr="00B3752F" w:rsidRDefault="00163A6F" w:rsidP="004213C3">
          <w:pPr>
            <w:pStyle w:val="Footer"/>
            <w:rPr>
              <w:sz w:val="20"/>
            </w:rPr>
          </w:pPr>
          <w:r w:rsidRPr="00B3752F">
            <w:rPr>
              <w:rStyle w:val="PageNumber"/>
              <w:sz w:val="20"/>
            </w:rPr>
            <w:fldChar w:fldCharType="begin"/>
          </w:r>
          <w:r w:rsidRPr="00B3752F">
            <w:rPr>
              <w:rStyle w:val="PageNumber"/>
              <w:sz w:val="20"/>
            </w:rPr>
            <w:instrText xml:space="preserve"> PAGE </w:instrText>
          </w:r>
          <w:r w:rsidRPr="00B3752F">
            <w:rPr>
              <w:rStyle w:val="PageNumber"/>
              <w:sz w:val="20"/>
            </w:rPr>
            <w:fldChar w:fldCharType="separate"/>
          </w:r>
          <w:r>
            <w:rPr>
              <w:rStyle w:val="PageNumber"/>
              <w:noProof/>
              <w:sz w:val="20"/>
            </w:rPr>
            <w:t>1</w:t>
          </w:r>
          <w:r w:rsidRPr="00B3752F">
            <w:rPr>
              <w:rStyle w:val="PageNumber"/>
              <w:sz w:val="20"/>
            </w:rPr>
            <w:fldChar w:fldCharType="end"/>
          </w:r>
          <w:r w:rsidRPr="00B3752F">
            <w:rPr>
              <w:rStyle w:val="PageNumber"/>
              <w:sz w:val="20"/>
            </w:rPr>
            <w:t xml:space="preserve"> of </w:t>
          </w:r>
          <w:r w:rsidRPr="00B3752F">
            <w:rPr>
              <w:rStyle w:val="PageNumber"/>
              <w:sz w:val="20"/>
            </w:rPr>
            <w:fldChar w:fldCharType="begin"/>
          </w:r>
          <w:r w:rsidRPr="00B3752F">
            <w:rPr>
              <w:rStyle w:val="PageNumber"/>
              <w:sz w:val="20"/>
            </w:rPr>
            <w:instrText xml:space="preserve"> NUMPAGES </w:instrText>
          </w:r>
          <w:r w:rsidRPr="00B3752F">
            <w:rPr>
              <w:rStyle w:val="PageNumber"/>
              <w:sz w:val="20"/>
            </w:rPr>
            <w:fldChar w:fldCharType="separate"/>
          </w:r>
          <w:r>
            <w:rPr>
              <w:rStyle w:val="PageNumber"/>
              <w:noProof/>
              <w:sz w:val="20"/>
            </w:rPr>
            <w:t>15</w:t>
          </w:r>
          <w:r w:rsidRPr="00B3752F">
            <w:rPr>
              <w:rStyle w:val="PageNumber"/>
              <w:sz w:val="20"/>
            </w:rPr>
            <w:fldChar w:fldCharType="end"/>
          </w:r>
        </w:p>
      </w:tc>
    </w:tr>
    <w:tr w:rsidR="00163A6F" w:rsidRPr="002C1428" w14:paraId="634DF4CD" w14:textId="77777777" w:rsidTr="009074C8">
      <w:trPr>
        <w:trHeight w:val="231"/>
      </w:trPr>
      <w:tc>
        <w:tcPr>
          <w:tcW w:w="9070" w:type="dxa"/>
          <w:gridSpan w:val="6"/>
          <w:tcBorders>
            <w:top w:val="single" w:sz="4" w:space="0" w:color="auto"/>
          </w:tcBorders>
        </w:tcPr>
        <w:p w14:paraId="56ED2915" w14:textId="1DA19449" w:rsidR="00163A6F" w:rsidRPr="002C1428" w:rsidRDefault="00163A6F" w:rsidP="00340428">
          <w:pPr>
            <w:pStyle w:val="Footer"/>
            <w:jc w:val="center"/>
            <w:rPr>
              <w:rStyle w:val="PageNumber"/>
              <w:sz w:val="16"/>
              <w:szCs w:val="16"/>
            </w:rPr>
          </w:pPr>
          <w:r w:rsidRPr="002C1428">
            <w:rPr>
              <w:sz w:val="16"/>
              <w:szCs w:val="16"/>
            </w:rPr>
            <w:t xml:space="preserve">Do not refer to a paper based copy of this policy document. </w:t>
          </w:r>
          <w:r>
            <w:rPr>
              <w:sz w:val="16"/>
              <w:szCs w:val="16"/>
            </w:rPr>
            <w:t>The most current</w:t>
          </w:r>
          <w:r w:rsidRPr="002C1428">
            <w:rPr>
              <w:sz w:val="16"/>
              <w:szCs w:val="16"/>
            </w:rPr>
            <w:t xml:space="preserve"> version</w:t>
          </w:r>
          <w:r>
            <w:rPr>
              <w:sz w:val="16"/>
              <w:szCs w:val="16"/>
            </w:rPr>
            <w:t xml:space="preserve"> can be found</w:t>
          </w:r>
          <w:r w:rsidRPr="002C1428">
            <w:rPr>
              <w:sz w:val="16"/>
              <w:szCs w:val="16"/>
            </w:rPr>
            <w:t xml:space="preserve"> on the </w:t>
          </w:r>
          <w:r>
            <w:rPr>
              <w:sz w:val="16"/>
              <w:szCs w:val="16"/>
            </w:rPr>
            <w:t>CHS</w:t>
          </w:r>
          <w:r w:rsidRPr="002C1428">
            <w:rPr>
              <w:sz w:val="16"/>
              <w:szCs w:val="16"/>
            </w:rPr>
            <w:t xml:space="preserve"> Policy Register</w:t>
          </w:r>
        </w:p>
      </w:tc>
    </w:tr>
  </w:tbl>
  <w:p w14:paraId="39ED7F13" w14:textId="77777777" w:rsidR="00163A6F" w:rsidRPr="00AE7C5C" w:rsidRDefault="00163A6F" w:rsidP="00421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2739" w14:textId="77777777" w:rsidR="00163A6F" w:rsidRDefault="00163A6F" w:rsidP="00F66CB0">
      <w:r>
        <w:separator/>
      </w:r>
    </w:p>
  </w:footnote>
  <w:footnote w:type="continuationSeparator" w:id="0">
    <w:p w14:paraId="4729C7FA" w14:textId="77777777" w:rsidR="00163A6F" w:rsidRDefault="00163A6F" w:rsidP="00F6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3526"/>
    </w:tblGrid>
    <w:tr w:rsidR="00163A6F" w14:paraId="39ED7F02" w14:textId="77777777" w:rsidTr="00D47532">
      <w:trPr>
        <w:trHeight w:val="1276"/>
      </w:trPr>
      <w:tc>
        <w:tcPr>
          <w:tcW w:w="5556" w:type="dxa"/>
          <w:vAlign w:val="center"/>
          <w:hideMark/>
        </w:tcPr>
        <w:p w14:paraId="39ED7F00" w14:textId="52EC049E" w:rsidR="00163A6F" w:rsidRDefault="00163A6F" w:rsidP="00D47532">
          <w:pPr>
            <w:pStyle w:val="Header"/>
            <w:rPr>
              <w:sz w:val="20"/>
            </w:rPr>
          </w:pPr>
          <w:r>
            <w:rPr>
              <w:noProof/>
              <w:sz w:val="20"/>
            </w:rPr>
            <w:drawing>
              <wp:inline distT="0" distB="0" distL="0" distR="0" wp14:anchorId="4379FE89" wp14:editId="3A269F24">
                <wp:extent cx="3295650" cy="723900"/>
                <wp:effectExtent l="0" t="0" r="0" b="0"/>
                <wp:docPr id="3" name="Picture 3"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berra Health Service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723900"/>
                        </a:xfrm>
                        <a:prstGeom prst="rect">
                          <a:avLst/>
                        </a:prstGeom>
                        <a:noFill/>
                        <a:ln>
                          <a:noFill/>
                        </a:ln>
                      </pic:spPr>
                    </pic:pic>
                  </a:graphicData>
                </a:graphic>
              </wp:inline>
            </w:drawing>
          </w:r>
        </w:p>
      </w:tc>
      <w:tc>
        <w:tcPr>
          <w:tcW w:w="3730" w:type="dxa"/>
          <w:vAlign w:val="center"/>
          <w:hideMark/>
        </w:tcPr>
        <w:p w14:paraId="39ED7F01" w14:textId="6D4B69E0" w:rsidR="00163A6F" w:rsidRDefault="00A739AE">
          <w:pPr>
            <w:pStyle w:val="Header"/>
            <w:tabs>
              <w:tab w:val="left" w:pos="720"/>
            </w:tabs>
            <w:jc w:val="right"/>
            <w:rPr>
              <w:sz w:val="20"/>
            </w:rPr>
          </w:pPr>
          <w:r>
            <w:rPr>
              <w:sz w:val="20"/>
            </w:rPr>
            <w:t>CHS</w:t>
          </w:r>
          <w:r w:rsidR="00863656">
            <w:rPr>
              <w:sz w:val="20"/>
            </w:rPr>
            <w:t>21/41</w:t>
          </w:r>
          <w:r w:rsidR="00F648AE">
            <w:rPr>
              <w:sz w:val="20"/>
            </w:rPr>
            <w:t>5</w:t>
          </w:r>
        </w:p>
      </w:tc>
    </w:tr>
  </w:tbl>
  <w:p w14:paraId="39ED7F03" w14:textId="77777777" w:rsidR="00163A6F" w:rsidRPr="00FC3538" w:rsidRDefault="00163A6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0A03AC"/>
    <w:lvl w:ilvl="0">
      <w:start w:val="1"/>
      <w:numFmt w:val="bullet"/>
      <w:pStyle w:val="ListBullet"/>
      <w:lvlText w:val=""/>
      <w:lvlJc w:val="left"/>
      <w:pPr>
        <w:tabs>
          <w:tab w:val="num" w:pos="1080"/>
        </w:tabs>
        <w:ind w:left="1080" w:hanging="360"/>
      </w:pPr>
      <w:rPr>
        <w:rFonts w:ascii="Symbol" w:hAnsi="Symbol" w:hint="default"/>
        <w:color w:val="auto"/>
      </w:rPr>
    </w:lvl>
  </w:abstractNum>
  <w:abstractNum w:abstractNumId="1" w15:restartNumberingAfterBreak="0">
    <w:nsid w:val="010A1632"/>
    <w:multiLevelType w:val="hybridMultilevel"/>
    <w:tmpl w:val="7B42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F7A16"/>
    <w:multiLevelType w:val="hybridMultilevel"/>
    <w:tmpl w:val="B81EF36C"/>
    <w:lvl w:ilvl="0" w:tplc="0C090001">
      <w:start w:val="1"/>
      <w:numFmt w:val="bullet"/>
      <w:lvlText w:val=""/>
      <w:lvlJc w:val="left"/>
      <w:pPr>
        <w:tabs>
          <w:tab w:val="num" w:pos="7590"/>
        </w:tabs>
        <w:ind w:left="7590" w:hanging="360"/>
      </w:pPr>
      <w:rPr>
        <w:rFonts w:ascii="Symbol" w:hAnsi="Symbol" w:hint="default"/>
      </w:rPr>
    </w:lvl>
    <w:lvl w:ilvl="1" w:tplc="0C090003" w:tentative="1">
      <w:start w:val="1"/>
      <w:numFmt w:val="bullet"/>
      <w:lvlText w:val="o"/>
      <w:lvlJc w:val="left"/>
      <w:pPr>
        <w:ind w:left="8310" w:hanging="360"/>
      </w:pPr>
      <w:rPr>
        <w:rFonts w:ascii="Courier New" w:hAnsi="Courier New" w:hint="default"/>
      </w:rPr>
    </w:lvl>
    <w:lvl w:ilvl="2" w:tplc="0C090005" w:tentative="1">
      <w:start w:val="1"/>
      <w:numFmt w:val="bullet"/>
      <w:lvlText w:val=""/>
      <w:lvlJc w:val="left"/>
      <w:pPr>
        <w:ind w:left="9030" w:hanging="360"/>
      </w:pPr>
      <w:rPr>
        <w:rFonts w:ascii="Wingdings" w:hAnsi="Wingdings" w:hint="default"/>
      </w:rPr>
    </w:lvl>
    <w:lvl w:ilvl="3" w:tplc="0C090001" w:tentative="1">
      <w:start w:val="1"/>
      <w:numFmt w:val="bullet"/>
      <w:lvlText w:val=""/>
      <w:lvlJc w:val="left"/>
      <w:pPr>
        <w:ind w:left="9750" w:hanging="360"/>
      </w:pPr>
      <w:rPr>
        <w:rFonts w:ascii="Symbol" w:hAnsi="Symbol" w:hint="default"/>
      </w:rPr>
    </w:lvl>
    <w:lvl w:ilvl="4" w:tplc="0C090003" w:tentative="1">
      <w:start w:val="1"/>
      <w:numFmt w:val="bullet"/>
      <w:lvlText w:val="o"/>
      <w:lvlJc w:val="left"/>
      <w:pPr>
        <w:ind w:left="10470" w:hanging="360"/>
      </w:pPr>
      <w:rPr>
        <w:rFonts w:ascii="Courier New" w:hAnsi="Courier New" w:hint="default"/>
      </w:rPr>
    </w:lvl>
    <w:lvl w:ilvl="5" w:tplc="0C090005" w:tentative="1">
      <w:start w:val="1"/>
      <w:numFmt w:val="bullet"/>
      <w:lvlText w:val=""/>
      <w:lvlJc w:val="left"/>
      <w:pPr>
        <w:ind w:left="11190" w:hanging="360"/>
      </w:pPr>
      <w:rPr>
        <w:rFonts w:ascii="Wingdings" w:hAnsi="Wingdings" w:hint="default"/>
      </w:rPr>
    </w:lvl>
    <w:lvl w:ilvl="6" w:tplc="0C090001" w:tentative="1">
      <w:start w:val="1"/>
      <w:numFmt w:val="bullet"/>
      <w:lvlText w:val=""/>
      <w:lvlJc w:val="left"/>
      <w:pPr>
        <w:ind w:left="11910" w:hanging="360"/>
      </w:pPr>
      <w:rPr>
        <w:rFonts w:ascii="Symbol" w:hAnsi="Symbol" w:hint="default"/>
      </w:rPr>
    </w:lvl>
    <w:lvl w:ilvl="7" w:tplc="0C090003" w:tentative="1">
      <w:start w:val="1"/>
      <w:numFmt w:val="bullet"/>
      <w:lvlText w:val="o"/>
      <w:lvlJc w:val="left"/>
      <w:pPr>
        <w:ind w:left="12630" w:hanging="360"/>
      </w:pPr>
      <w:rPr>
        <w:rFonts w:ascii="Courier New" w:hAnsi="Courier New" w:hint="default"/>
      </w:rPr>
    </w:lvl>
    <w:lvl w:ilvl="8" w:tplc="0C090005" w:tentative="1">
      <w:start w:val="1"/>
      <w:numFmt w:val="bullet"/>
      <w:lvlText w:val=""/>
      <w:lvlJc w:val="left"/>
      <w:pPr>
        <w:ind w:left="13350" w:hanging="360"/>
      </w:pPr>
      <w:rPr>
        <w:rFonts w:ascii="Wingdings" w:hAnsi="Wingdings" w:hint="default"/>
      </w:rPr>
    </w:lvl>
  </w:abstractNum>
  <w:abstractNum w:abstractNumId="3" w15:restartNumberingAfterBreak="0">
    <w:nsid w:val="089C7350"/>
    <w:multiLevelType w:val="hybridMultilevel"/>
    <w:tmpl w:val="7132EE5A"/>
    <w:lvl w:ilvl="0" w:tplc="BBE256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F12ABB"/>
    <w:multiLevelType w:val="hybridMultilevel"/>
    <w:tmpl w:val="054688F8"/>
    <w:lvl w:ilvl="0" w:tplc="0C090001">
      <w:start w:val="1"/>
      <w:numFmt w:val="bullet"/>
      <w:lvlText w:val=""/>
      <w:lvlJc w:val="left"/>
      <w:pPr>
        <w:ind w:left="1354" w:hanging="360"/>
      </w:pPr>
      <w:rPr>
        <w:rFonts w:ascii="Symbol" w:hAnsi="Symbol" w:hint="default"/>
      </w:rPr>
    </w:lvl>
    <w:lvl w:ilvl="1" w:tplc="0C090003" w:tentative="1">
      <w:start w:val="1"/>
      <w:numFmt w:val="bullet"/>
      <w:lvlText w:val="o"/>
      <w:lvlJc w:val="left"/>
      <w:pPr>
        <w:ind w:left="2074" w:hanging="360"/>
      </w:pPr>
      <w:rPr>
        <w:rFonts w:ascii="Courier New" w:hAnsi="Courier New" w:cs="Courier New" w:hint="default"/>
      </w:rPr>
    </w:lvl>
    <w:lvl w:ilvl="2" w:tplc="0C090005" w:tentative="1">
      <w:start w:val="1"/>
      <w:numFmt w:val="bullet"/>
      <w:lvlText w:val=""/>
      <w:lvlJc w:val="left"/>
      <w:pPr>
        <w:ind w:left="2794" w:hanging="360"/>
      </w:pPr>
      <w:rPr>
        <w:rFonts w:ascii="Wingdings" w:hAnsi="Wingdings" w:hint="default"/>
      </w:rPr>
    </w:lvl>
    <w:lvl w:ilvl="3" w:tplc="0C090001" w:tentative="1">
      <w:start w:val="1"/>
      <w:numFmt w:val="bullet"/>
      <w:lvlText w:val=""/>
      <w:lvlJc w:val="left"/>
      <w:pPr>
        <w:ind w:left="3514" w:hanging="360"/>
      </w:pPr>
      <w:rPr>
        <w:rFonts w:ascii="Symbol" w:hAnsi="Symbol" w:hint="default"/>
      </w:rPr>
    </w:lvl>
    <w:lvl w:ilvl="4" w:tplc="0C090003" w:tentative="1">
      <w:start w:val="1"/>
      <w:numFmt w:val="bullet"/>
      <w:lvlText w:val="o"/>
      <w:lvlJc w:val="left"/>
      <w:pPr>
        <w:ind w:left="4234" w:hanging="360"/>
      </w:pPr>
      <w:rPr>
        <w:rFonts w:ascii="Courier New" w:hAnsi="Courier New" w:cs="Courier New" w:hint="default"/>
      </w:rPr>
    </w:lvl>
    <w:lvl w:ilvl="5" w:tplc="0C090005" w:tentative="1">
      <w:start w:val="1"/>
      <w:numFmt w:val="bullet"/>
      <w:lvlText w:val=""/>
      <w:lvlJc w:val="left"/>
      <w:pPr>
        <w:ind w:left="4954" w:hanging="360"/>
      </w:pPr>
      <w:rPr>
        <w:rFonts w:ascii="Wingdings" w:hAnsi="Wingdings" w:hint="default"/>
      </w:rPr>
    </w:lvl>
    <w:lvl w:ilvl="6" w:tplc="0C090001" w:tentative="1">
      <w:start w:val="1"/>
      <w:numFmt w:val="bullet"/>
      <w:lvlText w:val=""/>
      <w:lvlJc w:val="left"/>
      <w:pPr>
        <w:ind w:left="5674" w:hanging="360"/>
      </w:pPr>
      <w:rPr>
        <w:rFonts w:ascii="Symbol" w:hAnsi="Symbol" w:hint="default"/>
      </w:rPr>
    </w:lvl>
    <w:lvl w:ilvl="7" w:tplc="0C090003" w:tentative="1">
      <w:start w:val="1"/>
      <w:numFmt w:val="bullet"/>
      <w:lvlText w:val="o"/>
      <w:lvlJc w:val="left"/>
      <w:pPr>
        <w:ind w:left="6394" w:hanging="360"/>
      </w:pPr>
      <w:rPr>
        <w:rFonts w:ascii="Courier New" w:hAnsi="Courier New" w:cs="Courier New" w:hint="default"/>
      </w:rPr>
    </w:lvl>
    <w:lvl w:ilvl="8" w:tplc="0C090005" w:tentative="1">
      <w:start w:val="1"/>
      <w:numFmt w:val="bullet"/>
      <w:lvlText w:val=""/>
      <w:lvlJc w:val="left"/>
      <w:pPr>
        <w:ind w:left="7114" w:hanging="360"/>
      </w:pPr>
      <w:rPr>
        <w:rFonts w:ascii="Wingdings" w:hAnsi="Wingdings" w:hint="default"/>
      </w:rPr>
    </w:lvl>
  </w:abstractNum>
  <w:abstractNum w:abstractNumId="5" w15:restartNumberingAfterBreak="0">
    <w:nsid w:val="0A296712"/>
    <w:multiLevelType w:val="hybridMultilevel"/>
    <w:tmpl w:val="B0961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F6BD3"/>
    <w:multiLevelType w:val="hybridMultilevel"/>
    <w:tmpl w:val="16AAD39A"/>
    <w:lvl w:ilvl="0" w:tplc="28D26CC0">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6C0EE6"/>
    <w:multiLevelType w:val="hybridMultilevel"/>
    <w:tmpl w:val="686686FE"/>
    <w:lvl w:ilvl="0" w:tplc="E8F6CF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A526DE"/>
    <w:multiLevelType w:val="hybridMultilevel"/>
    <w:tmpl w:val="A2ECB260"/>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5050C8F"/>
    <w:multiLevelType w:val="hybridMultilevel"/>
    <w:tmpl w:val="04F4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F06FF"/>
    <w:multiLevelType w:val="hybridMultilevel"/>
    <w:tmpl w:val="0D3E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2025D"/>
    <w:multiLevelType w:val="hybridMultilevel"/>
    <w:tmpl w:val="B9EC258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A2CBD"/>
    <w:multiLevelType w:val="hybridMultilevel"/>
    <w:tmpl w:val="112E96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D7DF6"/>
    <w:multiLevelType w:val="hybridMultilevel"/>
    <w:tmpl w:val="410C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C5547"/>
    <w:multiLevelType w:val="hybridMultilevel"/>
    <w:tmpl w:val="AB94C110"/>
    <w:lvl w:ilvl="0" w:tplc="0C090003">
      <w:start w:val="1"/>
      <w:numFmt w:val="bullet"/>
      <w:lvlText w:val="o"/>
      <w:lvlJc w:val="left"/>
      <w:pPr>
        <w:ind w:left="786" w:hanging="360"/>
      </w:pPr>
      <w:rPr>
        <w:rFonts w:ascii="Courier New" w:hAnsi="Courier New" w:cs="Courier New"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26F96327"/>
    <w:multiLevelType w:val="hybridMultilevel"/>
    <w:tmpl w:val="8ACC5A8C"/>
    <w:lvl w:ilvl="0" w:tplc="0C090001">
      <w:start w:val="1"/>
      <w:numFmt w:val="bullet"/>
      <w:lvlText w:val=""/>
      <w:lvlJc w:val="left"/>
      <w:pPr>
        <w:ind w:left="720" w:hanging="360"/>
      </w:pPr>
      <w:rPr>
        <w:rFonts w:ascii="Symbol" w:hAnsi="Symbol" w:hint="default"/>
      </w:rPr>
    </w:lvl>
    <w:lvl w:ilvl="1" w:tplc="432A2DAA">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E0697"/>
    <w:multiLevelType w:val="hybridMultilevel"/>
    <w:tmpl w:val="5C409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2D0C5709"/>
    <w:multiLevelType w:val="hybridMultilevel"/>
    <w:tmpl w:val="52ECB1F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5662F3"/>
    <w:multiLevelType w:val="hybridMultilevel"/>
    <w:tmpl w:val="2F58B2CE"/>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0697C"/>
    <w:multiLevelType w:val="hybridMultilevel"/>
    <w:tmpl w:val="B6A43B44"/>
    <w:lvl w:ilvl="0" w:tplc="E8F6CF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464CB5"/>
    <w:multiLevelType w:val="hybridMultilevel"/>
    <w:tmpl w:val="136095DA"/>
    <w:lvl w:ilvl="0" w:tplc="E8F6CF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027EC9"/>
    <w:multiLevelType w:val="hybridMultilevel"/>
    <w:tmpl w:val="2A183FF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54CCA"/>
    <w:multiLevelType w:val="hybridMultilevel"/>
    <w:tmpl w:val="7032CD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6D76F4"/>
    <w:multiLevelType w:val="hybridMultilevel"/>
    <w:tmpl w:val="CE729BA4"/>
    <w:lvl w:ilvl="0" w:tplc="88DCF64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6F7D8B"/>
    <w:multiLevelType w:val="hybridMultilevel"/>
    <w:tmpl w:val="1936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71112"/>
    <w:multiLevelType w:val="hybridMultilevel"/>
    <w:tmpl w:val="5F30203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204A53"/>
    <w:multiLevelType w:val="hybridMultilevel"/>
    <w:tmpl w:val="428A3076"/>
    <w:lvl w:ilvl="0" w:tplc="E8F6CF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F74954"/>
    <w:multiLevelType w:val="hybridMultilevel"/>
    <w:tmpl w:val="C95EB1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A56FA"/>
    <w:multiLevelType w:val="hybridMultilevel"/>
    <w:tmpl w:val="F590308A"/>
    <w:lvl w:ilvl="0" w:tplc="0C09000F">
      <w:start w:val="1"/>
      <w:numFmt w:val="decimal"/>
      <w:lvlText w:val="%1."/>
      <w:lvlJc w:val="left"/>
      <w:pPr>
        <w:ind w:left="360" w:hanging="360"/>
      </w:pPr>
      <w:rPr>
        <w:rFonts w:hint="default"/>
        <w:i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8B697F"/>
    <w:multiLevelType w:val="hybridMultilevel"/>
    <w:tmpl w:val="E88281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401A0"/>
    <w:multiLevelType w:val="hybridMultilevel"/>
    <w:tmpl w:val="2050F9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4C5E2F"/>
    <w:multiLevelType w:val="hybridMultilevel"/>
    <w:tmpl w:val="9182BCA0"/>
    <w:lvl w:ilvl="0" w:tplc="AFD4F1F2">
      <w:start w:val="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B039BD"/>
    <w:multiLevelType w:val="hybridMultilevel"/>
    <w:tmpl w:val="6FDE06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767CCB"/>
    <w:multiLevelType w:val="hybridMultilevel"/>
    <w:tmpl w:val="86F03CB0"/>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718F8"/>
    <w:multiLevelType w:val="hybridMultilevel"/>
    <w:tmpl w:val="1518BCF0"/>
    <w:lvl w:ilvl="0" w:tplc="8F1232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6A44CB"/>
    <w:multiLevelType w:val="hybridMultilevel"/>
    <w:tmpl w:val="B19E9280"/>
    <w:lvl w:ilvl="0" w:tplc="E8F6CF2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837006"/>
    <w:multiLevelType w:val="hybridMultilevel"/>
    <w:tmpl w:val="EDB6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03178"/>
    <w:multiLevelType w:val="hybridMultilevel"/>
    <w:tmpl w:val="0C86C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9D1C4E"/>
    <w:multiLevelType w:val="hybridMultilevel"/>
    <w:tmpl w:val="29588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E6D6803"/>
    <w:multiLevelType w:val="hybridMultilevel"/>
    <w:tmpl w:val="0A9ECF5C"/>
    <w:lvl w:ilvl="0" w:tplc="51BC0F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6"/>
  </w:num>
  <w:num w:numId="4">
    <w:abstractNumId w:val="9"/>
  </w:num>
  <w:num w:numId="5">
    <w:abstractNumId w:val="13"/>
  </w:num>
  <w:num w:numId="6">
    <w:abstractNumId w:val="38"/>
  </w:num>
  <w:num w:numId="7">
    <w:abstractNumId w:val="5"/>
  </w:num>
  <w:num w:numId="8">
    <w:abstractNumId w:val="21"/>
  </w:num>
  <w:num w:numId="9">
    <w:abstractNumId w:val="27"/>
  </w:num>
  <w:num w:numId="10">
    <w:abstractNumId w:val="11"/>
  </w:num>
  <w:num w:numId="11">
    <w:abstractNumId w:val="6"/>
  </w:num>
  <w:num w:numId="12">
    <w:abstractNumId w:val="28"/>
  </w:num>
  <w:num w:numId="13">
    <w:abstractNumId w:val="25"/>
  </w:num>
  <w:num w:numId="14">
    <w:abstractNumId w:val="18"/>
  </w:num>
  <w:num w:numId="15">
    <w:abstractNumId w:val="3"/>
  </w:num>
  <w:num w:numId="16">
    <w:abstractNumId w:val="33"/>
  </w:num>
  <w:num w:numId="17">
    <w:abstractNumId w:val="31"/>
  </w:num>
  <w:num w:numId="18">
    <w:abstractNumId w:val="1"/>
  </w:num>
  <w:num w:numId="19">
    <w:abstractNumId w:val="23"/>
  </w:num>
  <w:num w:numId="20">
    <w:abstractNumId w:val="34"/>
  </w:num>
  <w:num w:numId="21">
    <w:abstractNumId w:val="19"/>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4"/>
  </w:num>
  <w:num w:numId="27">
    <w:abstractNumId w:val="10"/>
  </w:num>
  <w:num w:numId="28">
    <w:abstractNumId w:val="15"/>
  </w:num>
  <w:num w:numId="29">
    <w:abstractNumId w:val="12"/>
  </w:num>
  <w:num w:numId="30">
    <w:abstractNumId w:val="29"/>
  </w:num>
  <w:num w:numId="31">
    <w:abstractNumId w:val="32"/>
  </w:num>
  <w:num w:numId="32">
    <w:abstractNumId w:val="35"/>
  </w:num>
  <w:num w:numId="33">
    <w:abstractNumId w:val="14"/>
  </w:num>
  <w:num w:numId="34">
    <w:abstractNumId w:val="17"/>
  </w:num>
  <w:num w:numId="35">
    <w:abstractNumId w:val="20"/>
  </w:num>
  <w:num w:numId="36">
    <w:abstractNumId w:val="7"/>
  </w:num>
  <w:num w:numId="37">
    <w:abstractNumId w:val="26"/>
  </w:num>
  <w:num w:numId="38">
    <w:abstractNumId w:val="39"/>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04"/>
    <w:rsid w:val="00010E7C"/>
    <w:rsid w:val="000121C3"/>
    <w:rsid w:val="00012B57"/>
    <w:rsid w:val="00015B90"/>
    <w:rsid w:val="0001607A"/>
    <w:rsid w:val="00023CB1"/>
    <w:rsid w:val="0002417C"/>
    <w:rsid w:val="00024F9C"/>
    <w:rsid w:val="0003501D"/>
    <w:rsid w:val="00056449"/>
    <w:rsid w:val="00076B8D"/>
    <w:rsid w:val="00095ECD"/>
    <w:rsid w:val="0009627B"/>
    <w:rsid w:val="00097D21"/>
    <w:rsid w:val="000A0F72"/>
    <w:rsid w:val="000A3ACE"/>
    <w:rsid w:val="000A5F3C"/>
    <w:rsid w:val="000A795F"/>
    <w:rsid w:val="000B0DC0"/>
    <w:rsid w:val="000B3706"/>
    <w:rsid w:val="000B37D4"/>
    <w:rsid w:val="000B5C8C"/>
    <w:rsid w:val="000C3393"/>
    <w:rsid w:val="000C3E3A"/>
    <w:rsid w:val="000C59E2"/>
    <w:rsid w:val="000C6EA2"/>
    <w:rsid w:val="000C6F0C"/>
    <w:rsid w:val="000C7B2D"/>
    <w:rsid w:val="000E3F9F"/>
    <w:rsid w:val="000E401D"/>
    <w:rsid w:val="000F6329"/>
    <w:rsid w:val="000F7A72"/>
    <w:rsid w:val="000F7B7E"/>
    <w:rsid w:val="00103EEA"/>
    <w:rsid w:val="001150AB"/>
    <w:rsid w:val="0013479C"/>
    <w:rsid w:val="00141F8A"/>
    <w:rsid w:val="00144204"/>
    <w:rsid w:val="00146453"/>
    <w:rsid w:val="00151EB0"/>
    <w:rsid w:val="00154C0C"/>
    <w:rsid w:val="001601D9"/>
    <w:rsid w:val="00163A6F"/>
    <w:rsid w:val="001740A8"/>
    <w:rsid w:val="00191109"/>
    <w:rsid w:val="001A0053"/>
    <w:rsid w:val="001B2465"/>
    <w:rsid w:val="001B3435"/>
    <w:rsid w:val="001B41A7"/>
    <w:rsid w:val="001D2737"/>
    <w:rsid w:val="001F6D2D"/>
    <w:rsid w:val="002016EA"/>
    <w:rsid w:val="0023191E"/>
    <w:rsid w:val="0023468F"/>
    <w:rsid w:val="00234C81"/>
    <w:rsid w:val="002405CF"/>
    <w:rsid w:val="00240B97"/>
    <w:rsid w:val="00241938"/>
    <w:rsid w:val="0024275F"/>
    <w:rsid w:val="002436DB"/>
    <w:rsid w:val="002470A6"/>
    <w:rsid w:val="00252835"/>
    <w:rsid w:val="0025382D"/>
    <w:rsid w:val="00254D5F"/>
    <w:rsid w:val="00260BE0"/>
    <w:rsid w:val="00263BA6"/>
    <w:rsid w:val="0027264D"/>
    <w:rsid w:val="002750E8"/>
    <w:rsid w:val="00291A72"/>
    <w:rsid w:val="00293E43"/>
    <w:rsid w:val="002A1CF5"/>
    <w:rsid w:val="002B0F69"/>
    <w:rsid w:val="002B5F43"/>
    <w:rsid w:val="002C09FC"/>
    <w:rsid w:val="002C4C55"/>
    <w:rsid w:val="002D105B"/>
    <w:rsid w:val="002D48CA"/>
    <w:rsid w:val="002E475F"/>
    <w:rsid w:val="002E694F"/>
    <w:rsid w:val="002F1CF0"/>
    <w:rsid w:val="00313707"/>
    <w:rsid w:val="0032270B"/>
    <w:rsid w:val="00337E7C"/>
    <w:rsid w:val="00340428"/>
    <w:rsid w:val="00351469"/>
    <w:rsid w:val="00353CBB"/>
    <w:rsid w:val="00376A6D"/>
    <w:rsid w:val="00380B98"/>
    <w:rsid w:val="0038268F"/>
    <w:rsid w:val="003876DE"/>
    <w:rsid w:val="00395E36"/>
    <w:rsid w:val="00396023"/>
    <w:rsid w:val="003A2B85"/>
    <w:rsid w:val="003C0EE9"/>
    <w:rsid w:val="003C204E"/>
    <w:rsid w:val="003C4BB5"/>
    <w:rsid w:val="003D18A4"/>
    <w:rsid w:val="003D34D5"/>
    <w:rsid w:val="003E2825"/>
    <w:rsid w:val="003E4CC0"/>
    <w:rsid w:val="003E4DDC"/>
    <w:rsid w:val="003F1BD6"/>
    <w:rsid w:val="003F3D8F"/>
    <w:rsid w:val="003F4EA1"/>
    <w:rsid w:val="0041012D"/>
    <w:rsid w:val="00410409"/>
    <w:rsid w:val="00412CED"/>
    <w:rsid w:val="004141C5"/>
    <w:rsid w:val="004155E4"/>
    <w:rsid w:val="00416751"/>
    <w:rsid w:val="00420F9E"/>
    <w:rsid w:val="00421223"/>
    <w:rsid w:val="004213C3"/>
    <w:rsid w:val="00427139"/>
    <w:rsid w:val="004317F7"/>
    <w:rsid w:val="00431A1C"/>
    <w:rsid w:val="004358E9"/>
    <w:rsid w:val="00437085"/>
    <w:rsid w:val="004461CE"/>
    <w:rsid w:val="004537B3"/>
    <w:rsid w:val="0045407C"/>
    <w:rsid w:val="004647BE"/>
    <w:rsid w:val="00466561"/>
    <w:rsid w:val="0048050C"/>
    <w:rsid w:val="00487DD5"/>
    <w:rsid w:val="004915BE"/>
    <w:rsid w:val="004A086E"/>
    <w:rsid w:val="004A2E02"/>
    <w:rsid w:val="004A4CD6"/>
    <w:rsid w:val="004B5424"/>
    <w:rsid w:val="004B7C43"/>
    <w:rsid w:val="004C2B20"/>
    <w:rsid w:val="004D7711"/>
    <w:rsid w:val="004E28AD"/>
    <w:rsid w:val="004E35B0"/>
    <w:rsid w:val="004E476A"/>
    <w:rsid w:val="004F0F49"/>
    <w:rsid w:val="004F1D05"/>
    <w:rsid w:val="004F4B9E"/>
    <w:rsid w:val="004F59A8"/>
    <w:rsid w:val="0050416C"/>
    <w:rsid w:val="00505B5D"/>
    <w:rsid w:val="005067CA"/>
    <w:rsid w:val="00507D2F"/>
    <w:rsid w:val="0052443C"/>
    <w:rsid w:val="0052775E"/>
    <w:rsid w:val="005416F0"/>
    <w:rsid w:val="00542514"/>
    <w:rsid w:val="00546AED"/>
    <w:rsid w:val="00553956"/>
    <w:rsid w:val="005621E4"/>
    <w:rsid w:val="00563FCB"/>
    <w:rsid w:val="0056460E"/>
    <w:rsid w:val="00565E76"/>
    <w:rsid w:val="00582026"/>
    <w:rsid w:val="00587736"/>
    <w:rsid w:val="00590885"/>
    <w:rsid w:val="00590902"/>
    <w:rsid w:val="00593C7D"/>
    <w:rsid w:val="00596FD7"/>
    <w:rsid w:val="005A3625"/>
    <w:rsid w:val="005B4738"/>
    <w:rsid w:val="005B5DE6"/>
    <w:rsid w:val="005C212D"/>
    <w:rsid w:val="005C3CB0"/>
    <w:rsid w:val="005C758D"/>
    <w:rsid w:val="005F0834"/>
    <w:rsid w:val="005F3214"/>
    <w:rsid w:val="005F67B0"/>
    <w:rsid w:val="00607835"/>
    <w:rsid w:val="00612231"/>
    <w:rsid w:val="00615DD4"/>
    <w:rsid w:val="00623A95"/>
    <w:rsid w:val="0063484C"/>
    <w:rsid w:val="00635EB1"/>
    <w:rsid w:val="00643A16"/>
    <w:rsid w:val="006473BB"/>
    <w:rsid w:val="006630A6"/>
    <w:rsid w:val="0066495D"/>
    <w:rsid w:val="00671507"/>
    <w:rsid w:val="00672055"/>
    <w:rsid w:val="006850A7"/>
    <w:rsid w:val="00687F2E"/>
    <w:rsid w:val="00695EB6"/>
    <w:rsid w:val="006A19E0"/>
    <w:rsid w:val="006A2C08"/>
    <w:rsid w:val="006A3770"/>
    <w:rsid w:val="006A4D46"/>
    <w:rsid w:val="006A6024"/>
    <w:rsid w:val="006B097F"/>
    <w:rsid w:val="006B6FA4"/>
    <w:rsid w:val="006C31FF"/>
    <w:rsid w:val="006C4860"/>
    <w:rsid w:val="006C6B6C"/>
    <w:rsid w:val="006C704D"/>
    <w:rsid w:val="006F596E"/>
    <w:rsid w:val="0070331D"/>
    <w:rsid w:val="007052B1"/>
    <w:rsid w:val="00711BF4"/>
    <w:rsid w:val="00713EFE"/>
    <w:rsid w:val="00727A94"/>
    <w:rsid w:val="00732149"/>
    <w:rsid w:val="00736672"/>
    <w:rsid w:val="0073769D"/>
    <w:rsid w:val="00741B43"/>
    <w:rsid w:val="00750221"/>
    <w:rsid w:val="00751505"/>
    <w:rsid w:val="007527F5"/>
    <w:rsid w:val="007543AC"/>
    <w:rsid w:val="00756537"/>
    <w:rsid w:val="0075767B"/>
    <w:rsid w:val="007616C3"/>
    <w:rsid w:val="0076222C"/>
    <w:rsid w:val="00766471"/>
    <w:rsid w:val="0077226C"/>
    <w:rsid w:val="007A0CBE"/>
    <w:rsid w:val="007A0EBC"/>
    <w:rsid w:val="007A7BB0"/>
    <w:rsid w:val="007B27F1"/>
    <w:rsid w:val="007B4ABB"/>
    <w:rsid w:val="007B6904"/>
    <w:rsid w:val="007C6731"/>
    <w:rsid w:val="007E2716"/>
    <w:rsid w:val="007E450E"/>
    <w:rsid w:val="007F56CE"/>
    <w:rsid w:val="007F76A8"/>
    <w:rsid w:val="00810A8B"/>
    <w:rsid w:val="0081170E"/>
    <w:rsid w:val="008164AC"/>
    <w:rsid w:val="00816782"/>
    <w:rsid w:val="008177EE"/>
    <w:rsid w:val="0082141D"/>
    <w:rsid w:val="0082392F"/>
    <w:rsid w:val="00827F24"/>
    <w:rsid w:val="00830E9C"/>
    <w:rsid w:val="0083225A"/>
    <w:rsid w:val="008365CB"/>
    <w:rsid w:val="00845E92"/>
    <w:rsid w:val="00855DA8"/>
    <w:rsid w:val="00863656"/>
    <w:rsid w:val="008741AC"/>
    <w:rsid w:val="0088029F"/>
    <w:rsid w:val="00885D22"/>
    <w:rsid w:val="00886351"/>
    <w:rsid w:val="00886399"/>
    <w:rsid w:val="008974CA"/>
    <w:rsid w:val="00897AC1"/>
    <w:rsid w:val="008A135D"/>
    <w:rsid w:val="008B0B22"/>
    <w:rsid w:val="008C29B7"/>
    <w:rsid w:val="008C4C9E"/>
    <w:rsid w:val="008C5F4C"/>
    <w:rsid w:val="008C6581"/>
    <w:rsid w:val="008E1F7F"/>
    <w:rsid w:val="008E4124"/>
    <w:rsid w:val="008E5AEB"/>
    <w:rsid w:val="008E6BD4"/>
    <w:rsid w:val="008F00E8"/>
    <w:rsid w:val="00902955"/>
    <w:rsid w:val="00904B02"/>
    <w:rsid w:val="009074C8"/>
    <w:rsid w:val="00912B9C"/>
    <w:rsid w:val="00933EED"/>
    <w:rsid w:val="00940CDE"/>
    <w:rsid w:val="00942AFB"/>
    <w:rsid w:val="0095479E"/>
    <w:rsid w:val="00962C46"/>
    <w:rsid w:val="0097742A"/>
    <w:rsid w:val="00980EED"/>
    <w:rsid w:val="00984951"/>
    <w:rsid w:val="00986D42"/>
    <w:rsid w:val="00990827"/>
    <w:rsid w:val="00991670"/>
    <w:rsid w:val="00991A4D"/>
    <w:rsid w:val="009B005B"/>
    <w:rsid w:val="009B6C8C"/>
    <w:rsid w:val="009C03CE"/>
    <w:rsid w:val="009C0FCA"/>
    <w:rsid w:val="009C146E"/>
    <w:rsid w:val="009C3963"/>
    <w:rsid w:val="009C4485"/>
    <w:rsid w:val="009D323C"/>
    <w:rsid w:val="009E3DE0"/>
    <w:rsid w:val="009F6254"/>
    <w:rsid w:val="00A011DA"/>
    <w:rsid w:val="00A16088"/>
    <w:rsid w:val="00A35E2D"/>
    <w:rsid w:val="00A40CDC"/>
    <w:rsid w:val="00A5601E"/>
    <w:rsid w:val="00A644B3"/>
    <w:rsid w:val="00A67295"/>
    <w:rsid w:val="00A739AE"/>
    <w:rsid w:val="00A74B8A"/>
    <w:rsid w:val="00A77153"/>
    <w:rsid w:val="00A8398A"/>
    <w:rsid w:val="00A85F61"/>
    <w:rsid w:val="00A86967"/>
    <w:rsid w:val="00A86DB3"/>
    <w:rsid w:val="00A90244"/>
    <w:rsid w:val="00AA0C2A"/>
    <w:rsid w:val="00AA25DC"/>
    <w:rsid w:val="00AB2904"/>
    <w:rsid w:val="00AC261F"/>
    <w:rsid w:val="00AC6C39"/>
    <w:rsid w:val="00AC7025"/>
    <w:rsid w:val="00AC707B"/>
    <w:rsid w:val="00AD0E9F"/>
    <w:rsid w:val="00AD196F"/>
    <w:rsid w:val="00AD3CCE"/>
    <w:rsid w:val="00AE478D"/>
    <w:rsid w:val="00AE7439"/>
    <w:rsid w:val="00AF2CAE"/>
    <w:rsid w:val="00B07DCE"/>
    <w:rsid w:val="00B11AD2"/>
    <w:rsid w:val="00B205DA"/>
    <w:rsid w:val="00B21043"/>
    <w:rsid w:val="00B21763"/>
    <w:rsid w:val="00B25D88"/>
    <w:rsid w:val="00B42EA0"/>
    <w:rsid w:val="00B44CAC"/>
    <w:rsid w:val="00B472B7"/>
    <w:rsid w:val="00B573D6"/>
    <w:rsid w:val="00B73111"/>
    <w:rsid w:val="00B73E65"/>
    <w:rsid w:val="00B755B3"/>
    <w:rsid w:val="00B77095"/>
    <w:rsid w:val="00B81455"/>
    <w:rsid w:val="00B94788"/>
    <w:rsid w:val="00B9627F"/>
    <w:rsid w:val="00BA2415"/>
    <w:rsid w:val="00BA3866"/>
    <w:rsid w:val="00BA4F95"/>
    <w:rsid w:val="00BB33F9"/>
    <w:rsid w:val="00BB64AF"/>
    <w:rsid w:val="00BC3CE6"/>
    <w:rsid w:val="00BD35A5"/>
    <w:rsid w:val="00BE5E41"/>
    <w:rsid w:val="00BF6DA9"/>
    <w:rsid w:val="00C07F24"/>
    <w:rsid w:val="00C23738"/>
    <w:rsid w:val="00C24EDC"/>
    <w:rsid w:val="00C25A76"/>
    <w:rsid w:val="00C31EB3"/>
    <w:rsid w:val="00C321C4"/>
    <w:rsid w:val="00C32206"/>
    <w:rsid w:val="00C34ADC"/>
    <w:rsid w:val="00C362AE"/>
    <w:rsid w:val="00C37709"/>
    <w:rsid w:val="00C422C8"/>
    <w:rsid w:val="00C45C67"/>
    <w:rsid w:val="00C51D6B"/>
    <w:rsid w:val="00C523FF"/>
    <w:rsid w:val="00C66911"/>
    <w:rsid w:val="00C71C3C"/>
    <w:rsid w:val="00C76998"/>
    <w:rsid w:val="00C97AB6"/>
    <w:rsid w:val="00CA287B"/>
    <w:rsid w:val="00CA4ACD"/>
    <w:rsid w:val="00CA593D"/>
    <w:rsid w:val="00CB2261"/>
    <w:rsid w:val="00CC03C0"/>
    <w:rsid w:val="00CC2491"/>
    <w:rsid w:val="00CD5BE0"/>
    <w:rsid w:val="00CD6D72"/>
    <w:rsid w:val="00CF3B7C"/>
    <w:rsid w:val="00D02C48"/>
    <w:rsid w:val="00D051A2"/>
    <w:rsid w:val="00D118C5"/>
    <w:rsid w:val="00D20A64"/>
    <w:rsid w:val="00D21780"/>
    <w:rsid w:val="00D232E1"/>
    <w:rsid w:val="00D23346"/>
    <w:rsid w:val="00D243B8"/>
    <w:rsid w:val="00D34794"/>
    <w:rsid w:val="00D418A6"/>
    <w:rsid w:val="00D4502D"/>
    <w:rsid w:val="00D45E62"/>
    <w:rsid w:val="00D47532"/>
    <w:rsid w:val="00D530CE"/>
    <w:rsid w:val="00D53814"/>
    <w:rsid w:val="00D53E3C"/>
    <w:rsid w:val="00D735DB"/>
    <w:rsid w:val="00D77950"/>
    <w:rsid w:val="00D81121"/>
    <w:rsid w:val="00D90A28"/>
    <w:rsid w:val="00D95DFF"/>
    <w:rsid w:val="00DA1010"/>
    <w:rsid w:val="00DA5058"/>
    <w:rsid w:val="00DA705E"/>
    <w:rsid w:val="00DC2BBF"/>
    <w:rsid w:val="00DC3762"/>
    <w:rsid w:val="00DC5C47"/>
    <w:rsid w:val="00DD4CEE"/>
    <w:rsid w:val="00DD616A"/>
    <w:rsid w:val="00DE0465"/>
    <w:rsid w:val="00DF656D"/>
    <w:rsid w:val="00E04153"/>
    <w:rsid w:val="00E049ED"/>
    <w:rsid w:val="00E05045"/>
    <w:rsid w:val="00E34E6D"/>
    <w:rsid w:val="00E37CD4"/>
    <w:rsid w:val="00E406BA"/>
    <w:rsid w:val="00E4233E"/>
    <w:rsid w:val="00E50DEE"/>
    <w:rsid w:val="00E57848"/>
    <w:rsid w:val="00E60134"/>
    <w:rsid w:val="00E717F2"/>
    <w:rsid w:val="00E7713C"/>
    <w:rsid w:val="00E824FC"/>
    <w:rsid w:val="00E84F8D"/>
    <w:rsid w:val="00E850C6"/>
    <w:rsid w:val="00E862CB"/>
    <w:rsid w:val="00E9322C"/>
    <w:rsid w:val="00EA6B94"/>
    <w:rsid w:val="00EB2A28"/>
    <w:rsid w:val="00EB393D"/>
    <w:rsid w:val="00EB62C7"/>
    <w:rsid w:val="00EC4269"/>
    <w:rsid w:val="00ED21C3"/>
    <w:rsid w:val="00ED388C"/>
    <w:rsid w:val="00ED3F97"/>
    <w:rsid w:val="00EE47C7"/>
    <w:rsid w:val="00EF02B0"/>
    <w:rsid w:val="00EF13A4"/>
    <w:rsid w:val="00EF69EC"/>
    <w:rsid w:val="00F01B61"/>
    <w:rsid w:val="00F149FD"/>
    <w:rsid w:val="00F16810"/>
    <w:rsid w:val="00F20754"/>
    <w:rsid w:val="00F2352C"/>
    <w:rsid w:val="00F3486D"/>
    <w:rsid w:val="00F4262F"/>
    <w:rsid w:val="00F43A2A"/>
    <w:rsid w:val="00F53719"/>
    <w:rsid w:val="00F57291"/>
    <w:rsid w:val="00F57AA3"/>
    <w:rsid w:val="00F648AE"/>
    <w:rsid w:val="00F65D0E"/>
    <w:rsid w:val="00F66CB0"/>
    <w:rsid w:val="00F76C89"/>
    <w:rsid w:val="00F92073"/>
    <w:rsid w:val="00FA29B8"/>
    <w:rsid w:val="00FC218C"/>
    <w:rsid w:val="00FC3FD6"/>
    <w:rsid w:val="00FC5C91"/>
    <w:rsid w:val="00FC62AB"/>
    <w:rsid w:val="00FC7CBC"/>
    <w:rsid w:val="00FD3D92"/>
    <w:rsid w:val="00FE67E6"/>
    <w:rsid w:val="00FF5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ED7D3A"/>
  <w15:docId w15:val="{D8B4D961-886A-4489-BDF9-4126CCDF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22"/>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qFormat/>
    <w:rsid w:val="007B6904"/>
    <w:pPr>
      <w:keepNext/>
      <w:spacing w:before="60" w:after="60"/>
      <w:outlineLvl w:val="0"/>
    </w:pPr>
    <w:rPr>
      <w:rFonts w:cs="Arial"/>
      <w:b/>
      <w:iCs/>
      <w:sz w:val="28"/>
    </w:rPr>
  </w:style>
  <w:style w:type="paragraph" w:styleId="Heading2">
    <w:name w:val="heading 2"/>
    <w:basedOn w:val="Normal"/>
    <w:next w:val="Normal"/>
    <w:link w:val="Heading2Char"/>
    <w:uiPriority w:val="9"/>
    <w:unhideWhenUsed/>
    <w:qFormat/>
    <w:rsid w:val="007B690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7052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04"/>
    <w:rPr>
      <w:rFonts w:ascii="Calibri" w:eastAsia="Times New Roman" w:hAnsi="Calibri" w:cs="Arial"/>
      <w:b/>
      <w:iCs/>
      <w:sz w:val="28"/>
      <w:szCs w:val="20"/>
    </w:rPr>
  </w:style>
  <w:style w:type="table" w:styleId="TableGrid">
    <w:name w:val="Table Grid"/>
    <w:basedOn w:val="TableNormal"/>
    <w:uiPriority w:val="59"/>
    <w:rsid w:val="007B6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6904"/>
    <w:pPr>
      <w:tabs>
        <w:tab w:val="center" w:pos="4153"/>
        <w:tab w:val="right" w:pos="8306"/>
      </w:tabs>
    </w:pPr>
  </w:style>
  <w:style w:type="character" w:customStyle="1" w:styleId="FooterChar">
    <w:name w:val="Footer Char"/>
    <w:basedOn w:val="DefaultParagraphFont"/>
    <w:link w:val="Footer"/>
    <w:uiPriority w:val="99"/>
    <w:rsid w:val="007B6904"/>
    <w:rPr>
      <w:rFonts w:ascii="Times New Roman" w:eastAsia="Times New Roman" w:hAnsi="Times New Roman" w:cs="Times New Roman"/>
      <w:sz w:val="24"/>
      <w:szCs w:val="20"/>
    </w:rPr>
  </w:style>
  <w:style w:type="character" w:styleId="PageNumber">
    <w:name w:val="page number"/>
    <w:basedOn w:val="DefaultParagraphFont"/>
    <w:uiPriority w:val="99"/>
    <w:rsid w:val="007B6904"/>
    <w:rPr>
      <w:rFonts w:cs="Times New Roman"/>
    </w:rPr>
  </w:style>
  <w:style w:type="paragraph" w:styleId="Header">
    <w:name w:val="header"/>
    <w:basedOn w:val="Normal"/>
    <w:link w:val="HeaderChar"/>
    <w:rsid w:val="007B6904"/>
    <w:pPr>
      <w:tabs>
        <w:tab w:val="center" w:pos="4153"/>
        <w:tab w:val="right" w:pos="8306"/>
      </w:tabs>
    </w:pPr>
  </w:style>
  <w:style w:type="character" w:customStyle="1" w:styleId="HeaderChar">
    <w:name w:val="Header Char"/>
    <w:basedOn w:val="DefaultParagraphFont"/>
    <w:link w:val="Header"/>
    <w:rsid w:val="007B6904"/>
    <w:rPr>
      <w:rFonts w:ascii="Times New Roman" w:eastAsia="Times New Roman" w:hAnsi="Times New Roman" w:cs="Times New Roman"/>
      <w:sz w:val="24"/>
      <w:szCs w:val="20"/>
    </w:rPr>
  </w:style>
  <w:style w:type="paragraph" w:styleId="ListParagraph">
    <w:name w:val="List Paragraph"/>
    <w:basedOn w:val="Normal"/>
    <w:uiPriority w:val="34"/>
    <w:qFormat/>
    <w:rsid w:val="007B6904"/>
    <w:pPr>
      <w:ind w:left="720"/>
      <w:contextualSpacing/>
    </w:pPr>
  </w:style>
  <w:style w:type="paragraph" w:customStyle="1" w:styleId="Default">
    <w:name w:val="Default"/>
    <w:rsid w:val="007B6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7B6904"/>
    <w:rPr>
      <w:rFonts w:cs="Times New Roman"/>
      <w:color w:val="0000FF"/>
      <w:u w:val="single"/>
    </w:rPr>
  </w:style>
  <w:style w:type="paragraph" w:styleId="ListBullet">
    <w:name w:val="List Bullet"/>
    <w:basedOn w:val="Normal"/>
    <w:uiPriority w:val="99"/>
    <w:qFormat/>
    <w:rsid w:val="00542514"/>
    <w:pPr>
      <w:numPr>
        <w:numId w:val="1"/>
      </w:numPr>
      <w:ind w:left="426" w:hanging="426"/>
    </w:pPr>
  </w:style>
  <w:style w:type="paragraph" w:customStyle="1" w:styleId="ProcedureTemplate">
    <w:name w:val="Procedure Template"/>
    <w:basedOn w:val="Heading1"/>
    <w:rsid w:val="007B6904"/>
    <w:pPr>
      <w:framePr w:hSpace="180" w:wrap="around" w:vAnchor="text" w:hAnchor="margin" w:x="108" w:y="181"/>
    </w:pPr>
    <w:rPr>
      <w:bCs/>
    </w:rPr>
  </w:style>
  <w:style w:type="paragraph" w:customStyle="1" w:styleId="ProcedureTemplateinternalheadings">
    <w:name w:val="Procedure Template internal headings"/>
    <w:basedOn w:val="Heading2"/>
    <w:rsid w:val="007B6904"/>
    <w:pPr>
      <w:framePr w:hSpace="180" w:wrap="around" w:vAnchor="text" w:hAnchor="margin" w:x="108" w:y="181"/>
      <w:spacing w:before="40" w:after="40"/>
    </w:pPr>
    <w:rPr>
      <w:rFonts w:cs="Arial"/>
      <w:szCs w:val="24"/>
    </w:rPr>
  </w:style>
  <w:style w:type="character" w:customStyle="1" w:styleId="Heading2Char">
    <w:name w:val="Heading 2 Char"/>
    <w:basedOn w:val="DefaultParagraphFont"/>
    <w:link w:val="Heading2"/>
    <w:uiPriority w:val="9"/>
    <w:rsid w:val="007B6904"/>
    <w:rPr>
      <w:rFonts w:ascii="Calibri" w:eastAsiaTheme="majorEastAsia" w:hAnsi="Calibri" w:cstheme="majorBidi"/>
      <w:b/>
      <w:bCs/>
      <w:sz w:val="24"/>
      <w:szCs w:val="26"/>
    </w:rPr>
  </w:style>
  <w:style w:type="character" w:styleId="FollowedHyperlink">
    <w:name w:val="FollowedHyperlink"/>
    <w:basedOn w:val="DefaultParagraphFont"/>
    <w:uiPriority w:val="99"/>
    <w:semiHidden/>
    <w:unhideWhenUsed/>
    <w:rsid w:val="007B6904"/>
    <w:rPr>
      <w:color w:val="800080" w:themeColor="followedHyperlink"/>
      <w:u w:val="single"/>
    </w:rPr>
  </w:style>
  <w:style w:type="paragraph" w:styleId="BalloonText">
    <w:name w:val="Balloon Text"/>
    <w:basedOn w:val="Normal"/>
    <w:link w:val="BalloonTextChar"/>
    <w:uiPriority w:val="99"/>
    <w:semiHidden/>
    <w:unhideWhenUsed/>
    <w:rsid w:val="007B6904"/>
    <w:rPr>
      <w:rFonts w:ascii="Tahoma" w:hAnsi="Tahoma" w:cs="Tahoma"/>
      <w:sz w:val="16"/>
      <w:szCs w:val="16"/>
    </w:rPr>
  </w:style>
  <w:style w:type="character" w:customStyle="1" w:styleId="BalloonTextChar">
    <w:name w:val="Balloon Text Char"/>
    <w:basedOn w:val="DefaultParagraphFont"/>
    <w:link w:val="BalloonText"/>
    <w:uiPriority w:val="99"/>
    <w:semiHidden/>
    <w:rsid w:val="007B6904"/>
    <w:rPr>
      <w:rFonts w:ascii="Tahoma" w:eastAsia="Times New Roman" w:hAnsi="Tahoma" w:cs="Tahoma"/>
      <w:sz w:val="16"/>
      <w:szCs w:val="16"/>
    </w:rPr>
  </w:style>
  <w:style w:type="paragraph" w:styleId="TOC1">
    <w:name w:val="toc 1"/>
    <w:basedOn w:val="Normal"/>
    <w:next w:val="Normal"/>
    <w:autoRedefine/>
    <w:uiPriority w:val="39"/>
    <w:unhideWhenUsed/>
    <w:rsid w:val="007B6904"/>
    <w:pPr>
      <w:spacing w:after="100"/>
    </w:pPr>
    <w:rPr>
      <w:rFonts w:asciiTheme="minorHAnsi" w:hAnsiTheme="minorHAnsi"/>
    </w:rPr>
  </w:style>
  <w:style w:type="paragraph" w:styleId="TOC2">
    <w:name w:val="toc 2"/>
    <w:basedOn w:val="Normal"/>
    <w:next w:val="Normal"/>
    <w:autoRedefine/>
    <w:uiPriority w:val="39"/>
    <w:unhideWhenUsed/>
    <w:rsid w:val="00FC218C"/>
    <w:pPr>
      <w:tabs>
        <w:tab w:val="right" w:leader="dot" w:pos="9060"/>
      </w:tabs>
      <w:spacing w:after="100"/>
      <w:ind w:left="284"/>
    </w:pPr>
    <w:rPr>
      <w:rFonts w:asciiTheme="minorHAnsi" w:hAnsiTheme="minorHAnsi"/>
    </w:rPr>
  </w:style>
  <w:style w:type="character" w:customStyle="1" w:styleId="Heading3Char">
    <w:name w:val="Heading 3 Char"/>
    <w:basedOn w:val="DefaultParagraphFont"/>
    <w:link w:val="Heading3"/>
    <w:uiPriority w:val="9"/>
    <w:semiHidden/>
    <w:rsid w:val="007052B1"/>
    <w:rPr>
      <w:rFonts w:asciiTheme="majorHAnsi" w:eastAsiaTheme="majorEastAsia" w:hAnsiTheme="majorHAnsi" w:cstheme="majorBidi"/>
      <w:b/>
      <w:bCs/>
      <w:color w:val="4F81BD" w:themeColor="accent1"/>
      <w:sz w:val="24"/>
      <w:szCs w:val="20"/>
    </w:rPr>
  </w:style>
  <w:style w:type="paragraph" w:styleId="NoSpacing">
    <w:name w:val="No Spacing"/>
    <w:uiPriority w:val="1"/>
    <w:qFormat/>
    <w:rsid w:val="00942A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B5424"/>
    <w:rPr>
      <w:sz w:val="16"/>
      <w:szCs w:val="16"/>
    </w:rPr>
  </w:style>
  <w:style w:type="paragraph" w:styleId="CommentText">
    <w:name w:val="annotation text"/>
    <w:basedOn w:val="Normal"/>
    <w:link w:val="CommentTextChar"/>
    <w:uiPriority w:val="99"/>
    <w:semiHidden/>
    <w:unhideWhenUsed/>
    <w:rsid w:val="004B5424"/>
    <w:rPr>
      <w:sz w:val="20"/>
    </w:rPr>
  </w:style>
  <w:style w:type="character" w:customStyle="1" w:styleId="CommentTextChar">
    <w:name w:val="Comment Text Char"/>
    <w:basedOn w:val="DefaultParagraphFont"/>
    <w:link w:val="CommentText"/>
    <w:uiPriority w:val="99"/>
    <w:semiHidden/>
    <w:rsid w:val="004B542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5424"/>
    <w:rPr>
      <w:b/>
      <w:bCs/>
    </w:rPr>
  </w:style>
  <w:style w:type="character" w:customStyle="1" w:styleId="CommentSubjectChar">
    <w:name w:val="Comment Subject Char"/>
    <w:basedOn w:val="CommentTextChar"/>
    <w:link w:val="CommentSubject"/>
    <w:uiPriority w:val="99"/>
    <w:semiHidden/>
    <w:rsid w:val="004B5424"/>
    <w:rPr>
      <w:rFonts w:ascii="Calibri" w:eastAsia="Times New Roman" w:hAnsi="Calibri" w:cs="Times New Roman"/>
      <w:b/>
      <w:bCs/>
      <w:sz w:val="20"/>
      <w:szCs w:val="20"/>
    </w:rPr>
  </w:style>
  <w:style w:type="character" w:customStyle="1" w:styleId="expandy-list">
    <w:name w:val="expandy-list"/>
    <w:basedOn w:val="DefaultParagraphFont"/>
    <w:rsid w:val="00F92073"/>
  </w:style>
  <w:style w:type="character" w:customStyle="1" w:styleId="ng-scope">
    <w:name w:val="ng-scope"/>
    <w:basedOn w:val="DefaultParagraphFont"/>
    <w:rsid w:val="00A90244"/>
  </w:style>
  <w:style w:type="character" w:styleId="UnresolvedMention">
    <w:name w:val="Unresolved Mention"/>
    <w:basedOn w:val="DefaultParagraphFont"/>
    <w:uiPriority w:val="99"/>
    <w:semiHidden/>
    <w:unhideWhenUsed/>
    <w:rsid w:val="00AE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957">
      <w:bodyDiv w:val="1"/>
      <w:marLeft w:val="0"/>
      <w:marRight w:val="0"/>
      <w:marTop w:val="0"/>
      <w:marBottom w:val="0"/>
      <w:divBdr>
        <w:top w:val="none" w:sz="0" w:space="0" w:color="auto"/>
        <w:left w:val="none" w:sz="0" w:space="0" w:color="auto"/>
        <w:bottom w:val="none" w:sz="0" w:space="0" w:color="auto"/>
        <w:right w:val="none" w:sz="0" w:space="0" w:color="auto"/>
      </w:divBdr>
    </w:div>
    <w:div w:id="145628823">
      <w:bodyDiv w:val="1"/>
      <w:marLeft w:val="0"/>
      <w:marRight w:val="0"/>
      <w:marTop w:val="0"/>
      <w:marBottom w:val="0"/>
      <w:divBdr>
        <w:top w:val="none" w:sz="0" w:space="0" w:color="auto"/>
        <w:left w:val="none" w:sz="0" w:space="0" w:color="auto"/>
        <w:bottom w:val="none" w:sz="0" w:space="0" w:color="auto"/>
        <w:right w:val="none" w:sz="0" w:space="0" w:color="auto"/>
      </w:divBdr>
    </w:div>
    <w:div w:id="307054314">
      <w:bodyDiv w:val="1"/>
      <w:marLeft w:val="0"/>
      <w:marRight w:val="0"/>
      <w:marTop w:val="0"/>
      <w:marBottom w:val="0"/>
      <w:divBdr>
        <w:top w:val="none" w:sz="0" w:space="0" w:color="auto"/>
        <w:left w:val="none" w:sz="0" w:space="0" w:color="auto"/>
        <w:bottom w:val="none" w:sz="0" w:space="0" w:color="auto"/>
        <w:right w:val="none" w:sz="0" w:space="0" w:color="auto"/>
      </w:divBdr>
    </w:div>
    <w:div w:id="619189904">
      <w:bodyDiv w:val="1"/>
      <w:marLeft w:val="0"/>
      <w:marRight w:val="0"/>
      <w:marTop w:val="0"/>
      <w:marBottom w:val="0"/>
      <w:divBdr>
        <w:top w:val="none" w:sz="0" w:space="0" w:color="auto"/>
        <w:left w:val="none" w:sz="0" w:space="0" w:color="auto"/>
        <w:bottom w:val="none" w:sz="0" w:space="0" w:color="auto"/>
        <w:right w:val="none" w:sz="0" w:space="0" w:color="auto"/>
      </w:divBdr>
    </w:div>
    <w:div w:id="1021391589">
      <w:bodyDiv w:val="1"/>
      <w:marLeft w:val="0"/>
      <w:marRight w:val="0"/>
      <w:marTop w:val="0"/>
      <w:marBottom w:val="0"/>
      <w:divBdr>
        <w:top w:val="none" w:sz="0" w:space="0" w:color="auto"/>
        <w:left w:val="none" w:sz="0" w:space="0" w:color="auto"/>
        <w:bottom w:val="none" w:sz="0" w:space="0" w:color="auto"/>
        <w:right w:val="none" w:sz="0" w:space="0" w:color="auto"/>
      </w:divBdr>
    </w:div>
    <w:div w:id="1124077505">
      <w:bodyDiv w:val="1"/>
      <w:marLeft w:val="0"/>
      <w:marRight w:val="0"/>
      <w:marTop w:val="0"/>
      <w:marBottom w:val="0"/>
      <w:divBdr>
        <w:top w:val="none" w:sz="0" w:space="0" w:color="auto"/>
        <w:left w:val="none" w:sz="0" w:space="0" w:color="auto"/>
        <w:bottom w:val="none" w:sz="0" w:space="0" w:color="auto"/>
        <w:right w:val="none" w:sz="0" w:space="0" w:color="auto"/>
      </w:divBdr>
    </w:div>
    <w:div w:id="1930460896">
      <w:bodyDiv w:val="1"/>
      <w:marLeft w:val="0"/>
      <w:marRight w:val="0"/>
      <w:marTop w:val="0"/>
      <w:marBottom w:val="0"/>
      <w:divBdr>
        <w:top w:val="none" w:sz="0" w:space="0" w:color="auto"/>
        <w:left w:val="none" w:sz="0" w:space="0" w:color="auto"/>
        <w:bottom w:val="none" w:sz="0" w:space="0" w:color="auto"/>
        <w:right w:val="none" w:sz="0" w:space="0" w:color="auto"/>
      </w:divBdr>
    </w:div>
    <w:div w:id="1991328734">
      <w:bodyDiv w:val="1"/>
      <w:marLeft w:val="0"/>
      <w:marRight w:val="0"/>
      <w:marTop w:val="0"/>
      <w:marBottom w:val="0"/>
      <w:divBdr>
        <w:top w:val="none" w:sz="0" w:space="0" w:color="auto"/>
        <w:left w:val="none" w:sz="0" w:space="0" w:color="auto"/>
        <w:bottom w:val="none" w:sz="0" w:space="0" w:color="auto"/>
        <w:right w:val="none" w:sz="0" w:space="0" w:color="auto"/>
      </w:divBdr>
    </w:div>
    <w:div w:id="21200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nicalkey.com.au/" TargetMode="External"/><Relationship Id="rId18" Type="http://schemas.openxmlformats.org/officeDocument/2006/relationships/hyperlink" Target="mailto:HomecareAU@baxt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uspen.org.au/" TargetMode="External"/><Relationship Id="rId17" Type="http://schemas.openxmlformats.org/officeDocument/2006/relationships/hyperlink" Target="mailto:pharmacyservices@baxter.com" TargetMode="External"/><Relationship Id="rId2" Type="http://schemas.openxmlformats.org/officeDocument/2006/relationships/customXml" Target="../customXml/item2.xml"/><Relationship Id="rId16" Type="http://schemas.openxmlformats.org/officeDocument/2006/relationships/hyperlink" Target="https://www.msdmanuals.com/en-au/professional/nutritional-disorders/nutritional-support/total-parenteral-nutrition-t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nect.jbiconnectplus.org/Viewdocument.aspx?0=3632" TargetMode="External"/><Relationship Id="rId5" Type="http://schemas.openxmlformats.org/officeDocument/2006/relationships/numbering" Target="numbering.xml"/><Relationship Id="rId15" Type="http://schemas.openxmlformats.org/officeDocument/2006/relationships/hyperlink" Target="https://dietitiansaustralia.org.au/wp-content/uploads/2018/06/Parenteral-nutrition-manual-june-2018-websit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i.health.nsw.gov.au/__data/assets/pdf_file/0010/159805/aci_parenteral_nutrition_pb.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ision_x0020_Number xmlns="690b2128-8961-48af-a473-22c34a9accba">CHS21/415</Decision_x0020_Number>
    <Description0 xmlns="690b2128-8961-48af-a473-22c34a9accba">The purpose of the Total Parenteral Nutrition (TPN) Clinical Procedure is to outline the process for the safe administration and management of TPN in adult patients at Canberra Health Services. </Description0>
    <Display_x0020_on_x0020_Internet xmlns="690b2128-8961-48af-a473-22c34a9accba">true</Display_x0020_on_x0020_Internet>
    <Review_x0020_Date xmlns="690b2128-8961-48af-a473-22c34a9accba">2025-07-31T14:00:00+00:00</Review_x0020_Date>
    <Approval_x0020_Name_x007c_Committee xmlns="690b2128-8961-48af-a473-22c34a9accba">CHS Policy Committee</Approval_x0020_Name_x007c_Committee>
    <Risk_x0020_Rating xmlns="690b2128-8961-48af-a473-22c34a9accba">Medium</Risk_x0020_Rating>
    <Related_x0020_Documents xmlns="690b2128-8961-48af-a473-22c34a9accba" xsi:nil="true"/>
    <Replaces_x003a_ xmlns="690b2128-8961-48af-a473-22c34a9accba">CHHS16/081 Administration of Total Parenteral Nutrition (TPN) – Adults and Children (not NICU)</Replaces_x003a_>
    <Progress xmlns="690b2128-8961-48af-a473-22c34a9accba" xsi:nil="true"/>
    <TaxCatchAll xmlns="c0239a80-7f07-4ed7-82c3-24ad7d76ada5" xsi:nil="true"/>
    <Key_x0020_Words xmlns="690b2128-8961-48af-a473-22c34a9accba">CVAD, Home parenteral nutrition, HPN, Nutrition, Total parenteral nutrition, TPN</Key_x0020_Words>
    <Type_x0020_of_x0020_Document xmlns="690b2128-8961-48af-a473-22c34a9accba">Procedure</Type_x0020_of_x0020_Document>
    <Version_x0020_Number xmlns="690b2128-8961-48af-a473-22c34a9accba">1</Version_x0020_Number>
    <Approval_x0020_Date xmlns="690b2128-8961-48af-a473-22c34a9accba">2021-07-13T14:00:00+00:00</Approval_x0020_Date>
    <Notes0 xmlns="690b2128-8961-48af-a473-22c34a9accba" xsi:nil="true"/>
    <New_x0020_Applies_x0020_To xmlns="690b2128-8961-48af-a473-22c34a9accba">Canberra Health Services</New_x0020_Applies_x0020_To>
    <New_x0020_Owner xmlns="690b2128-8961-48af-a473-22c34a9accba">Medicine - Gastroenterology and Hepatology</New_x0020_Owner>
    <Status xmlns="690b2128-8961-48af-a473-22c34a9accba">Approved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6B23B19A8774893278BE755DCE152" ma:contentTypeVersion="47" ma:contentTypeDescription="Create a new document." ma:contentTypeScope="" ma:versionID="74bfe9f5904df3f97b26148cbe47d4a0">
  <xsd:schema xmlns:xsd="http://www.w3.org/2001/XMLSchema" xmlns:xs="http://www.w3.org/2001/XMLSchema" xmlns:p="http://schemas.microsoft.com/office/2006/metadata/properties" xmlns:ns2="690b2128-8961-48af-a473-22c34a9accba" xmlns:ns3="c0239a80-7f07-4ed7-82c3-24ad7d76ada5" targetNamespace="http://schemas.microsoft.com/office/2006/metadata/properties" ma:root="true" ma:fieldsID="aa3727d4be4d2d3c897992f6faae974d" ns2:_="" ns3:_="">
    <xsd:import namespace="690b2128-8961-48af-a473-22c34a9accba"/>
    <xsd:import namespace="c0239a80-7f07-4ed7-82c3-24ad7d76ada5"/>
    <xsd:element name="properties">
      <xsd:complexType>
        <xsd:sequence>
          <xsd:element name="documentManagement">
            <xsd:complexType>
              <xsd:all>
                <xsd:element ref="ns2:Description0" minOccurs="0"/>
                <xsd:element ref="ns2:Key_x0020_Words" minOccurs="0"/>
                <xsd:element ref="ns2:Decision_x0020_Number"/>
                <xsd:element ref="ns2:Version_x0020_Number" minOccurs="0"/>
                <xsd:element ref="ns2:Review_x0020_Date" minOccurs="0"/>
                <xsd:element ref="ns2:Status" minOccurs="0"/>
                <xsd:element ref="ns2:New_x0020_Applies_x0020_To" minOccurs="0"/>
                <xsd:element ref="ns2:New_x0020_Owner" minOccurs="0"/>
                <xsd:element ref="ns2:Type_x0020_of_x0020_Document" minOccurs="0"/>
                <xsd:element ref="ns2:Related_x0020_Documents" minOccurs="0"/>
                <xsd:element ref="ns2:Approval_x0020_Name_x007c_Committee" minOccurs="0"/>
                <xsd:element ref="ns2:Approval_x0020_Date" minOccurs="0"/>
                <xsd:element ref="ns2:Display_x0020_on_x0020_Internet" minOccurs="0"/>
                <xsd:element ref="ns2:Notes0" minOccurs="0"/>
                <xsd:element ref="ns2:Progress" minOccurs="0"/>
                <xsd:element ref="ns2:Replaces_x003a_" minOccurs="0"/>
                <xsd:element ref="ns2:Risk_x0020_Rating"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b2128-8961-48af-a473-22c34a9accba"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Key_x0020_Words" ma:index="3" nillable="true" ma:displayName="Key Words" ma:indexed="true" ma:internalName="Key_x0020_Words" ma:readOnly="false">
      <xsd:simpleType>
        <xsd:restriction base="dms:Text">
          <xsd:maxLength value="255"/>
        </xsd:restriction>
      </xsd:simpleType>
    </xsd:element>
    <xsd:element name="Decision_x0020_Number" ma:index="4" ma:displayName="Decision Number" ma:internalName="Decision_x0020_Number" ma:readOnly="false">
      <xsd:simpleType>
        <xsd:restriction base="dms:Text">
          <xsd:maxLength value="15"/>
        </xsd:restriction>
      </xsd:simpleType>
    </xsd:element>
    <xsd:element name="Version_x0020_Number" ma:index="5" nillable="true" ma:displayName="Version Number" ma:internalName="Version_x0020_Number" ma:readOnly="false">
      <xsd:simpleType>
        <xsd:restriction base="dms:Text">
          <xsd:maxLength value="15"/>
        </xsd:restriction>
      </xsd:simpleType>
    </xsd:element>
    <xsd:element name="Review_x0020_Date" ma:index="6" nillable="true" ma:displayName="Review Date" ma:format="DateOnly" ma:internalName="Review_x0020_Date" ma:readOnly="false">
      <xsd:simpleType>
        <xsd:restriction base="dms:DateTime"/>
      </xsd:simpleType>
    </xsd:element>
    <xsd:element name="Status" ma:index="7" nillable="true" ma:displayName="Status" ma:format="RadioButtons" ma:internalName="Status" ma:readOnly="false">
      <xsd:simpleType>
        <xsd:union memberTypes="dms:Text">
          <xsd:simpleType>
            <xsd:restriction base="dms:Choice">
              <xsd:enumeration value="Approved"/>
              <xsd:enumeration value="Due for Review"/>
              <xsd:enumeration value="Overdue for Review"/>
              <xsd:enumeration value="Draft"/>
            </xsd:restriction>
          </xsd:simpleType>
        </xsd:union>
      </xsd:simpleType>
    </xsd:element>
    <xsd:element name="New_x0020_Applies_x0020_To" ma:index="8" nillable="true" ma:displayName="Applies To" ma:format="Dropdown" ma:internalName="New_x0020_Applies_x0020_To" ma:readOnly="false">
      <xsd:simpleType>
        <xsd:union memberTypes="dms:Text">
          <xsd:simpleType>
            <xsd:restriction base="dms:Choice">
              <xsd:enumeration value="Canberra Health Services"/>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New_x0020_Owner" ma:index="9" nillable="true" ma:displayName="Owner" ma:format="Dropdown" ma:internalName="New_x0020_Owner" ma:readOnly="false">
      <xsd:simpleType>
        <xsd:union memberTypes="dms:Text">
          <xsd:simpleType>
            <xsd:restriction base="dms:Choice">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Type_x0020_of_x0020_Document" ma:index="10" nillable="true" ma:displayName="Type of Document" ma:format="Dropdown" ma:internalName="Type_x0020_of_x0020_Document" ma:readOnly="false">
      <xsd:simpleType>
        <xsd:union memberTypes="dms:Text">
          <xsd:simpleType>
            <xsd:restriction base="dms:Choice">
              <xsd:enumeration value="ACT Government"/>
              <xsd:enumeration value="Health Information Sheet"/>
              <xsd:enumeration value="Framework"/>
              <xsd:enumeration value="Guideline"/>
              <xsd:enumeration value="Manual"/>
              <xsd:enumeration value="Medication Guideline"/>
              <xsd:enumeration value="Medication Standing Order (MSO)"/>
              <xsd:enumeration value="Placeholder"/>
              <xsd:enumeration value="Plan"/>
              <xsd:enumeration value="Policy"/>
              <xsd:enumeration value="Procedure"/>
              <xsd:enumeration value="Strategy"/>
            </xsd:restriction>
          </xsd:simpleType>
        </xsd:union>
      </xsd:simpleType>
    </xsd:element>
    <xsd:element name="Related_x0020_Documents" ma:index="11" nillable="true" ma:displayName="Related Documents" ma:list="{690b2128-8961-48af-a473-22c34a9accba}"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pproval_x0020_Name_x007c_Committee" ma:index="12" nillable="true" ma:displayName="Approval Name|Committee" ma:internalName="Approval_x0020_Name_x007c_Committee" ma:readOnly="false">
      <xsd:simpleType>
        <xsd:restriction base="dms:Text">
          <xsd:maxLength value="255"/>
        </xsd:restriction>
      </xsd:simpleType>
    </xsd:element>
    <xsd:element name="Approval_x0020_Date" ma:index="13" nillable="true" ma:displayName="Approval Date" ma:format="DateOnly" ma:internalName="Approval_x0020_Date" ma:readOnly="false">
      <xsd:simpleType>
        <xsd:restriction base="dms:DateTime"/>
      </xsd:simpleType>
    </xsd:element>
    <xsd:element name="Display_x0020_on_x0020_Internet" ma:index="14" nillable="true" ma:displayName="Display on Internet" ma:default="0" ma:indexed="true" ma:internalName="Display_x0020_on_x0020_Internet" ma:readOnly="false">
      <xsd:simpleType>
        <xsd:restriction base="dms:Boolean"/>
      </xsd:simpleType>
    </xsd:element>
    <xsd:element name="Notes0" ma:index="15" nillable="true" ma:displayName="Notes" ma:internalName="Notes0" ma:readOnly="false">
      <xsd:simpleType>
        <xsd:restriction base="dms:Note">
          <xsd:maxLength value="255"/>
        </xsd:restriction>
      </xsd:simpleType>
    </xsd:element>
    <xsd:element name="Progress" ma:index="16" nillable="true" ma:displayName="Progress" ma:internalName="Progress" ma:readOnly="false">
      <xsd:simpleType>
        <xsd:restriction base="dms:Note"/>
      </xsd:simpleType>
    </xsd:element>
    <xsd:element name="Replaces_x003a_" ma:index="20" nillable="true" ma:displayName="Replaces:" ma:internalName="Replaces_x003a_" ma:readOnly="false">
      <xsd:simpleType>
        <xsd:restriction base="dms:Note"/>
      </xsd:simpleType>
    </xsd:element>
    <xsd:element name="Risk_x0020_Rating" ma:index="21" nillable="true" ma:displayName="Risk Rating" ma:format="Dropdown" ma:internalName="Risk_x0020_Rating" ma:readOnly="false">
      <xsd:simpleType>
        <xsd:restriction base="dms:Choice">
          <xsd:enumeration value="Low"/>
          <xsd:enumeration value="Medium"/>
          <xsd:enumeration value="High"/>
          <xsd:enumeration value="Extreme"/>
          <xsd:enumeration value="Major"/>
          <xsd:enumeration value="Minor"/>
          <xsd:enumeration value="Insignificant"/>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39a80-7f07-4ed7-82c3-24ad7d76ad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d9c0df-42c0-4395-97bb-7bb7077d361a}" ma:internalName="TaxCatchAll" ma:showField="CatchAllData" ma:web="c0239a80-7f07-4ed7-82c3-24ad7d76ada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ma:index="19" ma:displayName="Subject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F58B0-E6BF-4237-9984-6DF2E01C04FA}">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0c8e588b-9c83-49d3-a6c8-a54de8f95e6a"/>
    <ds:schemaRef ds:uri="http://purl.org/dc/elements/1.1/"/>
    <ds:schemaRef ds:uri="http://schemas.openxmlformats.org/package/2006/metadata/core-properties"/>
    <ds:schemaRef ds:uri="38353f82-a9b7-46dc-b9a0-4477ddce7c7c"/>
    <ds:schemaRef ds:uri="http://www.w3.org/XML/1998/namespace"/>
  </ds:schemaRefs>
</ds:datastoreItem>
</file>

<file path=customXml/itemProps2.xml><?xml version="1.0" encoding="utf-8"?>
<ds:datastoreItem xmlns:ds="http://schemas.openxmlformats.org/officeDocument/2006/customXml" ds:itemID="{57D15DFF-3908-4010-B411-EE3A17FFB4FB}"/>
</file>

<file path=customXml/itemProps3.xml><?xml version="1.0" encoding="utf-8"?>
<ds:datastoreItem xmlns:ds="http://schemas.openxmlformats.org/officeDocument/2006/customXml" ds:itemID="{41DE95D9-E6F4-41C1-9AF9-A8259038FF1A}">
  <ds:schemaRefs>
    <ds:schemaRef ds:uri="http://schemas.openxmlformats.org/officeDocument/2006/bibliography"/>
  </ds:schemaRefs>
</ds:datastoreItem>
</file>

<file path=customXml/itemProps4.xml><?xml version="1.0" encoding="utf-8"?>
<ds:datastoreItem xmlns:ds="http://schemas.openxmlformats.org/officeDocument/2006/customXml" ds:itemID="{0DA4D85D-37FD-4A82-B786-2D707BCAE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Administration of Total Parenteral Nutrition (TPN) – Adults and Children (not NICU)</vt:lpstr>
    </vt:vector>
  </TitlesOfParts>
  <Company>ACT Government</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Total Parenteral Nutrition (TPN) Adults </dc:title>
  <dc:subject>14;#;#1;#;#2;#</dc:subject>
  <dc:creator>Kerryn Hunter</dc:creator>
  <cp:keywords/>
  <cp:lastModifiedBy>Wijekoon, Tharu (Health)</cp:lastModifiedBy>
  <cp:revision>17</cp:revision>
  <cp:lastPrinted>2016-04-01T04:14:00Z</cp:lastPrinted>
  <dcterms:created xsi:type="dcterms:W3CDTF">2021-07-15T03:32:00Z</dcterms:created>
  <dcterms:modified xsi:type="dcterms:W3CDTF">2021-07-16T02:32:00Z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0x0101002046B23B19A8774893278BE755DCE152</vt:lpwstr>
  </property>
  <property fmtid="{D5CDD505-2E9C-101B-9397-08002B2CF9AE}" pid="3" name="TaxKeyword">
    <vt:lpwstr/>
  </property>
  <property fmtid="{D5CDD505-2E9C-101B-9397-08002B2CF9AE}" pid="5" name="_ExtendedDescription">
    <vt:lpwstr/>
  </property>
  <property fmtid="{D5CDD505-2E9C-101B-9397-08002B2CF9AE}" pid="7" name="Rank">
    <vt:lpwstr>AND</vt:lpwstr>
  </property>
  <property fmtid="{D5CDD505-2E9C-101B-9397-08002B2CF9AE}" pid="8" name="Manager Contact">
    <vt:lpwstr/>
  </property>
</Properties>
</file>