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62BC"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6AA49186" w14:textId="5061E158" w:rsidR="00197F2E" w:rsidRDefault="00150C32" w:rsidP="00197F2E">
      <w:pPr>
        <w:pStyle w:val="Heading2"/>
      </w:pPr>
      <w:r>
        <w:t>Advanced Pharmaceutical Therapies for Adults with Parkinsons Disease</w:t>
      </w:r>
      <w:r w:rsidRPr="00197F2E">
        <w:t xml:space="preserve"> </w:t>
      </w:r>
      <w:r w:rsidR="007E199F">
        <w:t>– Canberra Hospital</w:t>
      </w:r>
    </w:p>
    <w:p w14:paraId="466FA99B" w14:textId="736BC735" w:rsidR="00CA4FDE" w:rsidRPr="00C34A10" w:rsidRDefault="00E31596" w:rsidP="00C34A10">
      <w:pPr>
        <w:pStyle w:val="BodyCopy"/>
        <w:spacing w:before="0" w:line="240" w:lineRule="auto"/>
        <w:rPr>
          <w:color w:val="575757" w:themeColor="text2"/>
        </w:rPr>
      </w:pPr>
      <w:r w:rsidRPr="00197F2E">
        <w:t>CHS</w:t>
      </w:r>
      <w:r w:rsidR="00291A04">
        <w:t>26/062</w:t>
      </w:r>
      <w:r w:rsidRPr="00E31596">
        <w:t xml:space="preserve"> </w:t>
      </w:r>
      <w:bookmarkStart w:id="0" w:name="_Hlk157074578"/>
    </w:p>
    <w:sdt>
      <w:sdtPr>
        <w:rPr>
          <w:sz w:val="32"/>
          <w:szCs w:val="32"/>
        </w:rPr>
        <w:id w:val="-1206019646"/>
        <w:docPartObj>
          <w:docPartGallery w:val="Table of Contents"/>
          <w:docPartUnique/>
        </w:docPartObj>
      </w:sdtPr>
      <w:sdtEndPr>
        <w:rPr>
          <w:noProof/>
        </w:rPr>
      </w:sdtEndPr>
      <w:sdtContent>
        <w:p w14:paraId="44CA76AD" w14:textId="77777777" w:rsidR="00A731B8" w:rsidRPr="000E7683" w:rsidRDefault="00A731B8">
          <w:pPr>
            <w:pStyle w:val="TOCHeading"/>
            <w:rPr>
              <w:rStyle w:val="Heading3Char"/>
              <w:b/>
              <w:bCs w:val="0"/>
            </w:rPr>
          </w:pPr>
          <w:r w:rsidRPr="007B1A7B">
            <w:rPr>
              <w:rStyle w:val="Heading3Char"/>
              <w:b/>
              <w:bCs w:val="0"/>
            </w:rPr>
            <w:t>Contents</w:t>
          </w:r>
        </w:p>
        <w:p w14:paraId="39D24409" w14:textId="72A6306D" w:rsidR="00355144"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22385545" w:history="1">
            <w:r w:rsidR="00355144" w:rsidRPr="00F96952">
              <w:rPr>
                <w:rStyle w:val="Hyperlink"/>
              </w:rPr>
              <w:t>Purpose</w:t>
            </w:r>
            <w:r w:rsidR="00355144">
              <w:rPr>
                <w:webHidden/>
              </w:rPr>
              <w:tab/>
            </w:r>
            <w:r w:rsidR="00355144">
              <w:rPr>
                <w:webHidden/>
              </w:rPr>
              <w:fldChar w:fldCharType="begin"/>
            </w:r>
            <w:r w:rsidR="00355144">
              <w:rPr>
                <w:webHidden/>
              </w:rPr>
              <w:instrText xml:space="preserve"> PAGEREF _Toc222385545 \h </w:instrText>
            </w:r>
            <w:r w:rsidR="00355144">
              <w:rPr>
                <w:webHidden/>
              </w:rPr>
            </w:r>
            <w:r w:rsidR="00355144">
              <w:rPr>
                <w:webHidden/>
              </w:rPr>
              <w:fldChar w:fldCharType="separate"/>
            </w:r>
            <w:r w:rsidR="00355144">
              <w:rPr>
                <w:webHidden/>
              </w:rPr>
              <w:t>2</w:t>
            </w:r>
            <w:r w:rsidR="00355144">
              <w:rPr>
                <w:webHidden/>
              </w:rPr>
              <w:fldChar w:fldCharType="end"/>
            </w:r>
          </w:hyperlink>
        </w:p>
        <w:p w14:paraId="5288E1CA" w14:textId="51C264CF" w:rsidR="00355144" w:rsidRDefault="00355144">
          <w:pPr>
            <w:pStyle w:val="TOC1"/>
            <w:rPr>
              <w:rFonts w:asciiTheme="minorHAnsi" w:eastAsiaTheme="minorEastAsia" w:hAnsiTheme="minorHAnsi" w:cstheme="minorBidi"/>
              <w:color w:val="auto"/>
              <w:kern w:val="2"/>
              <w14:ligatures w14:val="standardContextual"/>
            </w:rPr>
          </w:pPr>
          <w:hyperlink w:anchor="_Toc222385546" w:history="1">
            <w:r w:rsidRPr="00F96952">
              <w:rPr>
                <w:rStyle w:val="Hyperlink"/>
              </w:rPr>
              <w:t>Alerts</w:t>
            </w:r>
            <w:r>
              <w:rPr>
                <w:webHidden/>
              </w:rPr>
              <w:tab/>
            </w:r>
            <w:r>
              <w:rPr>
                <w:webHidden/>
              </w:rPr>
              <w:fldChar w:fldCharType="begin"/>
            </w:r>
            <w:r>
              <w:rPr>
                <w:webHidden/>
              </w:rPr>
              <w:instrText xml:space="preserve"> PAGEREF _Toc222385546 \h </w:instrText>
            </w:r>
            <w:r>
              <w:rPr>
                <w:webHidden/>
              </w:rPr>
            </w:r>
            <w:r>
              <w:rPr>
                <w:webHidden/>
              </w:rPr>
              <w:fldChar w:fldCharType="separate"/>
            </w:r>
            <w:r>
              <w:rPr>
                <w:webHidden/>
              </w:rPr>
              <w:t>2</w:t>
            </w:r>
            <w:r>
              <w:rPr>
                <w:webHidden/>
              </w:rPr>
              <w:fldChar w:fldCharType="end"/>
            </w:r>
          </w:hyperlink>
        </w:p>
        <w:p w14:paraId="684AD806" w14:textId="4D9B632B" w:rsidR="00355144" w:rsidRDefault="00355144">
          <w:pPr>
            <w:pStyle w:val="TOC1"/>
            <w:rPr>
              <w:rFonts w:asciiTheme="minorHAnsi" w:eastAsiaTheme="minorEastAsia" w:hAnsiTheme="minorHAnsi" w:cstheme="minorBidi"/>
              <w:color w:val="auto"/>
              <w:kern w:val="2"/>
              <w14:ligatures w14:val="standardContextual"/>
            </w:rPr>
          </w:pPr>
          <w:hyperlink w:anchor="_Toc222385547" w:history="1">
            <w:r w:rsidRPr="00F96952">
              <w:rPr>
                <w:rStyle w:val="Hyperlink"/>
              </w:rPr>
              <w:t>Scope</w:t>
            </w:r>
            <w:r>
              <w:rPr>
                <w:webHidden/>
              </w:rPr>
              <w:tab/>
            </w:r>
            <w:r>
              <w:rPr>
                <w:webHidden/>
              </w:rPr>
              <w:fldChar w:fldCharType="begin"/>
            </w:r>
            <w:r>
              <w:rPr>
                <w:webHidden/>
              </w:rPr>
              <w:instrText xml:space="preserve"> PAGEREF _Toc222385547 \h </w:instrText>
            </w:r>
            <w:r>
              <w:rPr>
                <w:webHidden/>
              </w:rPr>
            </w:r>
            <w:r>
              <w:rPr>
                <w:webHidden/>
              </w:rPr>
              <w:fldChar w:fldCharType="separate"/>
            </w:r>
            <w:r>
              <w:rPr>
                <w:webHidden/>
              </w:rPr>
              <w:t>2</w:t>
            </w:r>
            <w:r>
              <w:rPr>
                <w:webHidden/>
              </w:rPr>
              <w:fldChar w:fldCharType="end"/>
            </w:r>
          </w:hyperlink>
        </w:p>
        <w:p w14:paraId="1A4E4FA0" w14:textId="526BB9C3" w:rsidR="00355144" w:rsidRDefault="00355144">
          <w:pPr>
            <w:pStyle w:val="TOC1"/>
            <w:rPr>
              <w:rFonts w:asciiTheme="minorHAnsi" w:eastAsiaTheme="minorEastAsia" w:hAnsiTheme="minorHAnsi" w:cstheme="minorBidi"/>
              <w:color w:val="auto"/>
              <w:kern w:val="2"/>
              <w14:ligatures w14:val="standardContextual"/>
            </w:rPr>
          </w:pPr>
          <w:hyperlink w:anchor="_Toc222385548" w:history="1">
            <w:r w:rsidRPr="00F96952">
              <w:rPr>
                <w:rStyle w:val="Hyperlink"/>
              </w:rPr>
              <w:t>Section 1 – Patient Selection</w:t>
            </w:r>
            <w:r>
              <w:rPr>
                <w:webHidden/>
              </w:rPr>
              <w:tab/>
            </w:r>
            <w:r>
              <w:rPr>
                <w:webHidden/>
              </w:rPr>
              <w:fldChar w:fldCharType="begin"/>
            </w:r>
            <w:r>
              <w:rPr>
                <w:webHidden/>
              </w:rPr>
              <w:instrText xml:space="preserve"> PAGEREF _Toc222385548 \h </w:instrText>
            </w:r>
            <w:r>
              <w:rPr>
                <w:webHidden/>
              </w:rPr>
            </w:r>
            <w:r>
              <w:rPr>
                <w:webHidden/>
              </w:rPr>
              <w:fldChar w:fldCharType="separate"/>
            </w:r>
            <w:r>
              <w:rPr>
                <w:webHidden/>
              </w:rPr>
              <w:t>2</w:t>
            </w:r>
            <w:r>
              <w:rPr>
                <w:webHidden/>
              </w:rPr>
              <w:fldChar w:fldCharType="end"/>
            </w:r>
          </w:hyperlink>
        </w:p>
        <w:p w14:paraId="495160C0" w14:textId="7F3E991E" w:rsidR="00355144" w:rsidRDefault="00355144">
          <w:pPr>
            <w:pStyle w:val="TOC1"/>
            <w:rPr>
              <w:rFonts w:asciiTheme="minorHAnsi" w:eastAsiaTheme="minorEastAsia" w:hAnsiTheme="minorHAnsi" w:cstheme="minorBidi"/>
              <w:color w:val="auto"/>
              <w:kern w:val="2"/>
              <w14:ligatures w14:val="standardContextual"/>
            </w:rPr>
          </w:pPr>
          <w:hyperlink w:anchor="_Toc222385549" w:history="1">
            <w:r w:rsidRPr="00F96952">
              <w:rPr>
                <w:rStyle w:val="Hyperlink"/>
              </w:rPr>
              <w:t>Section 2 – Referral Procedure</w:t>
            </w:r>
            <w:r>
              <w:rPr>
                <w:webHidden/>
              </w:rPr>
              <w:tab/>
            </w:r>
            <w:r>
              <w:rPr>
                <w:webHidden/>
              </w:rPr>
              <w:fldChar w:fldCharType="begin"/>
            </w:r>
            <w:r>
              <w:rPr>
                <w:webHidden/>
              </w:rPr>
              <w:instrText xml:space="preserve"> PAGEREF _Toc222385549 \h </w:instrText>
            </w:r>
            <w:r>
              <w:rPr>
                <w:webHidden/>
              </w:rPr>
            </w:r>
            <w:r>
              <w:rPr>
                <w:webHidden/>
              </w:rPr>
              <w:fldChar w:fldCharType="separate"/>
            </w:r>
            <w:r>
              <w:rPr>
                <w:webHidden/>
              </w:rPr>
              <w:t>3</w:t>
            </w:r>
            <w:r>
              <w:rPr>
                <w:webHidden/>
              </w:rPr>
              <w:fldChar w:fldCharType="end"/>
            </w:r>
          </w:hyperlink>
        </w:p>
        <w:p w14:paraId="51F9855C" w14:textId="4FD9B5C2" w:rsidR="00355144" w:rsidRDefault="00355144">
          <w:pPr>
            <w:pStyle w:val="TOC1"/>
            <w:rPr>
              <w:rFonts w:asciiTheme="minorHAnsi" w:eastAsiaTheme="minorEastAsia" w:hAnsiTheme="minorHAnsi" w:cstheme="minorBidi"/>
              <w:color w:val="auto"/>
              <w:kern w:val="2"/>
              <w14:ligatures w14:val="standardContextual"/>
            </w:rPr>
          </w:pPr>
          <w:hyperlink w:anchor="_Toc222385550" w:history="1">
            <w:r w:rsidRPr="00F96952">
              <w:rPr>
                <w:rStyle w:val="Hyperlink"/>
              </w:rPr>
              <w:t>Section 3 – Pre-treatment Procedure</w:t>
            </w:r>
            <w:r>
              <w:rPr>
                <w:webHidden/>
              </w:rPr>
              <w:tab/>
            </w:r>
            <w:r>
              <w:rPr>
                <w:webHidden/>
              </w:rPr>
              <w:fldChar w:fldCharType="begin"/>
            </w:r>
            <w:r>
              <w:rPr>
                <w:webHidden/>
              </w:rPr>
              <w:instrText xml:space="preserve"> PAGEREF _Toc222385550 \h </w:instrText>
            </w:r>
            <w:r>
              <w:rPr>
                <w:webHidden/>
              </w:rPr>
            </w:r>
            <w:r>
              <w:rPr>
                <w:webHidden/>
              </w:rPr>
              <w:fldChar w:fldCharType="separate"/>
            </w:r>
            <w:r>
              <w:rPr>
                <w:webHidden/>
              </w:rPr>
              <w:t>3</w:t>
            </w:r>
            <w:r>
              <w:rPr>
                <w:webHidden/>
              </w:rPr>
              <w:fldChar w:fldCharType="end"/>
            </w:r>
          </w:hyperlink>
        </w:p>
        <w:p w14:paraId="6C7DEB91" w14:textId="2DB48284" w:rsidR="00355144" w:rsidRDefault="00355144">
          <w:pPr>
            <w:pStyle w:val="TOC1"/>
            <w:rPr>
              <w:rFonts w:asciiTheme="minorHAnsi" w:eastAsiaTheme="minorEastAsia" w:hAnsiTheme="minorHAnsi" w:cstheme="minorBidi"/>
              <w:color w:val="auto"/>
              <w:kern w:val="2"/>
              <w14:ligatures w14:val="standardContextual"/>
            </w:rPr>
          </w:pPr>
          <w:hyperlink w:anchor="_Toc222385551" w:history="1">
            <w:r w:rsidRPr="00F96952">
              <w:rPr>
                <w:rStyle w:val="Hyperlink"/>
              </w:rPr>
              <w:t>Section 4 – Preadmission</w:t>
            </w:r>
            <w:r>
              <w:rPr>
                <w:webHidden/>
              </w:rPr>
              <w:tab/>
            </w:r>
            <w:r>
              <w:rPr>
                <w:webHidden/>
              </w:rPr>
              <w:fldChar w:fldCharType="begin"/>
            </w:r>
            <w:r>
              <w:rPr>
                <w:webHidden/>
              </w:rPr>
              <w:instrText xml:space="preserve"> PAGEREF _Toc222385551 \h </w:instrText>
            </w:r>
            <w:r>
              <w:rPr>
                <w:webHidden/>
              </w:rPr>
            </w:r>
            <w:r>
              <w:rPr>
                <w:webHidden/>
              </w:rPr>
              <w:fldChar w:fldCharType="separate"/>
            </w:r>
            <w:r>
              <w:rPr>
                <w:webHidden/>
              </w:rPr>
              <w:t>4</w:t>
            </w:r>
            <w:r>
              <w:rPr>
                <w:webHidden/>
              </w:rPr>
              <w:fldChar w:fldCharType="end"/>
            </w:r>
          </w:hyperlink>
        </w:p>
        <w:p w14:paraId="35C30F04" w14:textId="71695A62" w:rsidR="00355144" w:rsidRDefault="00355144">
          <w:pPr>
            <w:pStyle w:val="TOC1"/>
            <w:rPr>
              <w:rFonts w:asciiTheme="minorHAnsi" w:eastAsiaTheme="minorEastAsia" w:hAnsiTheme="minorHAnsi" w:cstheme="minorBidi"/>
              <w:color w:val="auto"/>
              <w:kern w:val="2"/>
              <w14:ligatures w14:val="standardContextual"/>
            </w:rPr>
          </w:pPr>
          <w:hyperlink w:anchor="_Toc222385552" w:history="1">
            <w:r w:rsidRPr="00F96952">
              <w:rPr>
                <w:rStyle w:val="Hyperlink"/>
              </w:rPr>
              <w:t>Section 5 – Apomorphine</w:t>
            </w:r>
            <w:r>
              <w:rPr>
                <w:webHidden/>
              </w:rPr>
              <w:tab/>
            </w:r>
            <w:r>
              <w:rPr>
                <w:webHidden/>
              </w:rPr>
              <w:fldChar w:fldCharType="begin"/>
            </w:r>
            <w:r>
              <w:rPr>
                <w:webHidden/>
              </w:rPr>
              <w:instrText xml:space="preserve"> PAGEREF _Toc222385552 \h </w:instrText>
            </w:r>
            <w:r>
              <w:rPr>
                <w:webHidden/>
              </w:rPr>
            </w:r>
            <w:r>
              <w:rPr>
                <w:webHidden/>
              </w:rPr>
              <w:fldChar w:fldCharType="separate"/>
            </w:r>
            <w:r>
              <w:rPr>
                <w:webHidden/>
              </w:rPr>
              <w:t>5</w:t>
            </w:r>
            <w:r>
              <w:rPr>
                <w:webHidden/>
              </w:rPr>
              <w:fldChar w:fldCharType="end"/>
            </w:r>
          </w:hyperlink>
        </w:p>
        <w:p w14:paraId="1723D151" w14:textId="07025449" w:rsidR="00355144" w:rsidRDefault="00355144">
          <w:pPr>
            <w:pStyle w:val="TOC1"/>
            <w:rPr>
              <w:rFonts w:asciiTheme="minorHAnsi" w:eastAsiaTheme="minorEastAsia" w:hAnsiTheme="minorHAnsi" w:cstheme="minorBidi"/>
              <w:color w:val="auto"/>
              <w:kern w:val="2"/>
              <w14:ligatures w14:val="standardContextual"/>
            </w:rPr>
          </w:pPr>
          <w:hyperlink w:anchor="_Toc222385553" w:history="1">
            <w:r w:rsidRPr="00F96952">
              <w:rPr>
                <w:rStyle w:val="Hyperlink"/>
              </w:rPr>
              <w:t>Section 6 – Apomorphine Challenge</w:t>
            </w:r>
            <w:r>
              <w:rPr>
                <w:webHidden/>
              </w:rPr>
              <w:tab/>
            </w:r>
            <w:r>
              <w:rPr>
                <w:webHidden/>
              </w:rPr>
              <w:fldChar w:fldCharType="begin"/>
            </w:r>
            <w:r>
              <w:rPr>
                <w:webHidden/>
              </w:rPr>
              <w:instrText xml:space="preserve"> PAGEREF _Toc222385553 \h </w:instrText>
            </w:r>
            <w:r>
              <w:rPr>
                <w:webHidden/>
              </w:rPr>
            </w:r>
            <w:r>
              <w:rPr>
                <w:webHidden/>
              </w:rPr>
              <w:fldChar w:fldCharType="separate"/>
            </w:r>
            <w:r>
              <w:rPr>
                <w:webHidden/>
              </w:rPr>
              <w:t>6</w:t>
            </w:r>
            <w:r>
              <w:rPr>
                <w:webHidden/>
              </w:rPr>
              <w:fldChar w:fldCharType="end"/>
            </w:r>
          </w:hyperlink>
        </w:p>
        <w:p w14:paraId="5421C121" w14:textId="581E46F7" w:rsidR="00355144" w:rsidRDefault="00355144">
          <w:pPr>
            <w:pStyle w:val="TOC1"/>
            <w:rPr>
              <w:rFonts w:asciiTheme="minorHAnsi" w:eastAsiaTheme="minorEastAsia" w:hAnsiTheme="minorHAnsi" w:cstheme="minorBidi"/>
              <w:color w:val="auto"/>
              <w:kern w:val="2"/>
              <w14:ligatures w14:val="standardContextual"/>
            </w:rPr>
          </w:pPr>
          <w:hyperlink w:anchor="_Toc222385554" w:history="1">
            <w:r w:rsidRPr="00F96952">
              <w:rPr>
                <w:rStyle w:val="Hyperlink"/>
              </w:rPr>
              <w:t>Section 7 – Continuous Subcutaneous Apomorphine infusion</w:t>
            </w:r>
            <w:r>
              <w:rPr>
                <w:webHidden/>
              </w:rPr>
              <w:tab/>
            </w:r>
            <w:r>
              <w:rPr>
                <w:webHidden/>
              </w:rPr>
              <w:fldChar w:fldCharType="begin"/>
            </w:r>
            <w:r>
              <w:rPr>
                <w:webHidden/>
              </w:rPr>
              <w:instrText xml:space="preserve"> PAGEREF _Toc222385554 \h </w:instrText>
            </w:r>
            <w:r>
              <w:rPr>
                <w:webHidden/>
              </w:rPr>
            </w:r>
            <w:r>
              <w:rPr>
                <w:webHidden/>
              </w:rPr>
              <w:fldChar w:fldCharType="separate"/>
            </w:r>
            <w:r>
              <w:rPr>
                <w:webHidden/>
              </w:rPr>
              <w:t>7</w:t>
            </w:r>
            <w:r>
              <w:rPr>
                <w:webHidden/>
              </w:rPr>
              <w:fldChar w:fldCharType="end"/>
            </w:r>
          </w:hyperlink>
        </w:p>
        <w:p w14:paraId="2DFAEB60" w14:textId="28585C81" w:rsidR="00355144" w:rsidRDefault="00355144">
          <w:pPr>
            <w:pStyle w:val="TOC1"/>
            <w:rPr>
              <w:rFonts w:asciiTheme="minorHAnsi" w:eastAsiaTheme="minorEastAsia" w:hAnsiTheme="minorHAnsi" w:cstheme="minorBidi"/>
              <w:color w:val="auto"/>
              <w:kern w:val="2"/>
              <w14:ligatures w14:val="standardContextual"/>
            </w:rPr>
          </w:pPr>
          <w:hyperlink w:anchor="_Toc222385555" w:history="1">
            <w:r w:rsidRPr="00F96952">
              <w:rPr>
                <w:rStyle w:val="Hyperlink"/>
              </w:rPr>
              <w:t>Section 8 – Foslevodopa/foscarbidopa</w:t>
            </w:r>
            <w:r>
              <w:rPr>
                <w:webHidden/>
              </w:rPr>
              <w:tab/>
            </w:r>
            <w:r>
              <w:rPr>
                <w:webHidden/>
              </w:rPr>
              <w:fldChar w:fldCharType="begin"/>
            </w:r>
            <w:r>
              <w:rPr>
                <w:webHidden/>
              </w:rPr>
              <w:instrText xml:space="preserve"> PAGEREF _Toc222385555 \h </w:instrText>
            </w:r>
            <w:r>
              <w:rPr>
                <w:webHidden/>
              </w:rPr>
            </w:r>
            <w:r>
              <w:rPr>
                <w:webHidden/>
              </w:rPr>
              <w:fldChar w:fldCharType="separate"/>
            </w:r>
            <w:r>
              <w:rPr>
                <w:webHidden/>
              </w:rPr>
              <w:t>9</w:t>
            </w:r>
            <w:r>
              <w:rPr>
                <w:webHidden/>
              </w:rPr>
              <w:fldChar w:fldCharType="end"/>
            </w:r>
          </w:hyperlink>
        </w:p>
        <w:p w14:paraId="0E249A4B" w14:textId="465B26B5" w:rsidR="00355144" w:rsidRDefault="00355144">
          <w:pPr>
            <w:pStyle w:val="TOC1"/>
            <w:rPr>
              <w:rFonts w:asciiTheme="minorHAnsi" w:eastAsiaTheme="minorEastAsia" w:hAnsiTheme="minorHAnsi" w:cstheme="minorBidi"/>
              <w:color w:val="auto"/>
              <w:kern w:val="2"/>
              <w14:ligatures w14:val="standardContextual"/>
            </w:rPr>
          </w:pPr>
          <w:hyperlink w:anchor="_Toc222385556" w:history="1">
            <w:r w:rsidRPr="00F96952">
              <w:rPr>
                <w:rStyle w:val="Hyperlink"/>
              </w:rPr>
              <w:t>Section 9 - Discharge</w:t>
            </w:r>
            <w:r>
              <w:rPr>
                <w:webHidden/>
              </w:rPr>
              <w:tab/>
            </w:r>
            <w:r>
              <w:rPr>
                <w:webHidden/>
              </w:rPr>
              <w:fldChar w:fldCharType="begin"/>
            </w:r>
            <w:r>
              <w:rPr>
                <w:webHidden/>
              </w:rPr>
              <w:instrText xml:space="preserve"> PAGEREF _Toc222385556 \h </w:instrText>
            </w:r>
            <w:r>
              <w:rPr>
                <w:webHidden/>
              </w:rPr>
            </w:r>
            <w:r>
              <w:rPr>
                <w:webHidden/>
              </w:rPr>
              <w:fldChar w:fldCharType="separate"/>
            </w:r>
            <w:r>
              <w:rPr>
                <w:webHidden/>
              </w:rPr>
              <w:t>10</w:t>
            </w:r>
            <w:r>
              <w:rPr>
                <w:webHidden/>
              </w:rPr>
              <w:fldChar w:fldCharType="end"/>
            </w:r>
          </w:hyperlink>
        </w:p>
        <w:p w14:paraId="2D3FEF9C" w14:textId="47D0FFD3" w:rsidR="00355144" w:rsidRDefault="00355144">
          <w:pPr>
            <w:pStyle w:val="TOC1"/>
            <w:rPr>
              <w:rFonts w:asciiTheme="minorHAnsi" w:eastAsiaTheme="minorEastAsia" w:hAnsiTheme="minorHAnsi" w:cstheme="minorBidi"/>
              <w:color w:val="auto"/>
              <w:kern w:val="2"/>
              <w14:ligatures w14:val="standardContextual"/>
            </w:rPr>
          </w:pPr>
          <w:hyperlink w:anchor="_Toc222385557" w:history="1">
            <w:r w:rsidRPr="00F96952">
              <w:rPr>
                <w:rStyle w:val="Hyperlink"/>
              </w:rPr>
              <w:t>Evaluation</w:t>
            </w:r>
            <w:r>
              <w:rPr>
                <w:webHidden/>
              </w:rPr>
              <w:tab/>
            </w:r>
            <w:r>
              <w:rPr>
                <w:webHidden/>
              </w:rPr>
              <w:fldChar w:fldCharType="begin"/>
            </w:r>
            <w:r>
              <w:rPr>
                <w:webHidden/>
              </w:rPr>
              <w:instrText xml:space="preserve"> PAGEREF _Toc222385557 \h </w:instrText>
            </w:r>
            <w:r>
              <w:rPr>
                <w:webHidden/>
              </w:rPr>
            </w:r>
            <w:r>
              <w:rPr>
                <w:webHidden/>
              </w:rPr>
              <w:fldChar w:fldCharType="separate"/>
            </w:r>
            <w:r>
              <w:rPr>
                <w:webHidden/>
              </w:rPr>
              <w:t>10</w:t>
            </w:r>
            <w:r>
              <w:rPr>
                <w:webHidden/>
              </w:rPr>
              <w:fldChar w:fldCharType="end"/>
            </w:r>
          </w:hyperlink>
        </w:p>
        <w:p w14:paraId="08D80EA3" w14:textId="058C35C6" w:rsidR="00355144" w:rsidRDefault="00355144">
          <w:pPr>
            <w:pStyle w:val="TOC1"/>
            <w:rPr>
              <w:rFonts w:asciiTheme="minorHAnsi" w:eastAsiaTheme="minorEastAsia" w:hAnsiTheme="minorHAnsi" w:cstheme="minorBidi"/>
              <w:color w:val="auto"/>
              <w:kern w:val="2"/>
              <w14:ligatures w14:val="standardContextual"/>
            </w:rPr>
          </w:pPr>
          <w:hyperlink w:anchor="_Toc222385558" w:history="1">
            <w:r w:rsidRPr="00F96952">
              <w:rPr>
                <w:rStyle w:val="Hyperlink"/>
              </w:rPr>
              <w:t>Related policies, procedures, guidelines and legislation</w:t>
            </w:r>
            <w:r>
              <w:rPr>
                <w:webHidden/>
              </w:rPr>
              <w:tab/>
            </w:r>
            <w:r>
              <w:rPr>
                <w:webHidden/>
              </w:rPr>
              <w:fldChar w:fldCharType="begin"/>
            </w:r>
            <w:r>
              <w:rPr>
                <w:webHidden/>
              </w:rPr>
              <w:instrText xml:space="preserve"> PAGEREF _Toc222385558 \h </w:instrText>
            </w:r>
            <w:r>
              <w:rPr>
                <w:webHidden/>
              </w:rPr>
            </w:r>
            <w:r>
              <w:rPr>
                <w:webHidden/>
              </w:rPr>
              <w:fldChar w:fldCharType="separate"/>
            </w:r>
            <w:r>
              <w:rPr>
                <w:webHidden/>
              </w:rPr>
              <w:t>11</w:t>
            </w:r>
            <w:r>
              <w:rPr>
                <w:webHidden/>
              </w:rPr>
              <w:fldChar w:fldCharType="end"/>
            </w:r>
          </w:hyperlink>
        </w:p>
        <w:p w14:paraId="63B64A52" w14:textId="2F77E8EF" w:rsidR="00355144" w:rsidRDefault="00355144">
          <w:pPr>
            <w:pStyle w:val="TOC1"/>
            <w:rPr>
              <w:rFonts w:asciiTheme="minorHAnsi" w:eastAsiaTheme="minorEastAsia" w:hAnsiTheme="minorHAnsi" w:cstheme="minorBidi"/>
              <w:color w:val="auto"/>
              <w:kern w:val="2"/>
              <w14:ligatures w14:val="standardContextual"/>
            </w:rPr>
          </w:pPr>
          <w:hyperlink w:anchor="_Toc222385559" w:history="1">
            <w:r w:rsidRPr="00F96952">
              <w:rPr>
                <w:rStyle w:val="Hyperlink"/>
              </w:rPr>
              <w:t>References</w:t>
            </w:r>
            <w:r>
              <w:rPr>
                <w:webHidden/>
              </w:rPr>
              <w:tab/>
            </w:r>
            <w:r>
              <w:rPr>
                <w:webHidden/>
              </w:rPr>
              <w:fldChar w:fldCharType="begin"/>
            </w:r>
            <w:r>
              <w:rPr>
                <w:webHidden/>
              </w:rPr>
              <w:instrText xml:space="preserve"> PAGEREF _Toc222385559 \h </w:instrText>
            </w:r>
            <w:r>
              <w:rPr>
                <w:webHidden/>
              </w:rPr>
            </w:r>
            <w:r>
              <w:rPr>
                <w:webHidden/>
              </w:rPr>
              <w:fldChar w:fldCharType="separate"/>
            </w:r>
            <w:r>
              <w:rPr>
                <w:webHidden/>
              </w:rPr>
              <w:t>11</w:t>
            </w:r>
            <w:r>
              <w:rPr>
                <w:webHidden/>
              </w:rPr>
              <w:fldChar w:fldCharType="end"/>
            </w:r>
          </w:hyperlink>
        </w:p>
        <w:p w14:paraId="634E1416" w14:textId="166C4D3A" w:rsidR="00355144" w:rsidRDefault="00355144">
          <w:pPr>
            <w:pStyle w:val="TOC1"/>
            <w:rPr>
              <w:rFonts w:asciiTheme="minorHAnsi" w:eastAsiaTheme="minorEastAsia" w:hAnsiTheme="minorHAnsi" w:cstheme="minorBidi"/>
              <w:color w:val="auto"/>
              <w:kern w:val="2"/>
              <w14:ligatures w14:val="standardContextual"/>
            </w:rPr>
          </w:pPr>
          <w:hyperlink w:anchor="_Toc222385560" w:history="1">
            <w:r w:rsidRPr="00F96952">
              <w:rPr>
                <w:rStyle w:val="Hyperlink"/>
              </w:rPr>
              <w:t>Definition of terms</w:t>
            </w:r>
            <w:r>
              <w:rPr>
                <w:webHidden/>
              </w:rPr>
              <w:tab/>
            </w:r>
            <w:r>
              <w:rPr>
                <w:webHidden/>
              </w:rPr>
              <w:fldChar w:fldCharType="begin"/>
            </w:r>
            <w:r>
              <w:rPr>
                <w:webHidden/>
              </w:rPr>
              <w:instrText xml:space="preserve"> PAGEREF _Toc222385560 \h </w:instrText>
            </w:r>
            <w:r>
              <w:rPr>
                <w:webHidden/>
              </w:rPr>
            </w:r>
            <w:r>
              <w:rPr>
                <w:webHidden/>
              </w:rPr>
              <w:fldChar w:fldCharType="separate"/>
            </w:r>
            <w:r>
              <w:rPr>
                <w:webHidden/>
              </w:rPr>
              <w:t>12</w:t>
            </w:r>
            <w:r>
              <w:rPr>
                <w:webHidden/>
              </w:rPr>
              <w:fldChar w:fldCharType="end"/>
            </w:r>
          </w:hyperlink>
        </w:p>
        <w:p w14:paraId="45658A33" w14:textId="25F6239D" w:rsidR="00355144" w:rsidRDefault="00355144">
          <w:pPr>
            <w:pStyle w:val="TOC1"/>
            <w:rPr>
              <w:rFonts w:asciiTheme="minorHAnsi" w:eastAsiaTheme="minorEastAsia" w:hAnsiTheme="minorHAnsi" w:cstheme="minorBidi"/>
              <w:color w:val="auto"/>
              <w:kern w:val="2"/>
              <w14:ligatures w14:val="standardContextual"/>
            </w:rPr>
          </w:pPr>
          <w:hyperlink w:anchor="_Toc222385561" w:history="1">
            <w:r w:rsidRPr="00F96952">
              <w:rPr>
                <w:rStyle w:val="Hyperlink"/>
              </w:rPr>
              <w:t>Search terms</w:t>
            </w:r>
            <w:r>
              <w:rPr>
                <w:webHidden/>
              </w:rPr>
              <w:tab/>
            </w:r>
            <w:r>
              <w:rPr>
                <w:webHidden/>
              </w:rPr>
              <w:fldChar w:fldCharType="begin"/>
            </w:r>
            <w:r>
              <w:rPr>
                <w:webHidden/>
              </w:rPr>
              <w:instrText xml:space="preserve"> PAGEREF _Toc222385561 \h </w:instrText>
            </w:r>
            <w:r>
              <w:rPr>
                <w:webHidden/>
              </w:rPr>
            </w:r>
            <w:r>
              <w:rPr>
                <w:webHidden/>
              </w:rPr>
              <w:fldChar w:fldCharType="separate"/>
            </w:r>
            <w:r>
              <w:rPr>
                <w:webHidden/>
              </w:rPr>
              <w:t>13</w:t>
            </w:r>
            <w:r>
              <w:rPr>
                <w:webHidden/>
              </w:rPr>
              <w:fldChar w:fldCharType="end"/>
            </w:r>
          </w:hyperlink>
        </w:p>
        <w:p w14:paraId="6373AA2E" w14:textId="7E005D99" w:rsidR="00355144" w:rsidRDefault="00355144">
          <w:pPr>
            <w:pStyle w:val="TOC1"/>
            <w:rPr>
              <w:rFonts w:asciiTheme="minorHAnsi" w:eastAsiaTheme="minorEastAsia" w:hAnsiTheme="minorHAnsi" w:cstheme="minorBidi"/>
              <w:color w:val="auto"/>
              <w:kern w:val="2"/>
              <w14:ligatures w14:val="standardContextual"/>
            </w:rPr>
          </w:pPr>
          <w:hyperlink w:anchor="_Toc222385562" w:history="1">
            <w:r w:rsidRPr="00F96952">
              <w:rPr>
                <w:rStyle w:val="Hyperlink"/>
              </w:rPr>
              <w:t>Attachments</w:t>
            </w:r>
            <w:r>
              <w:rPr>
                <w:webHidden/>
              </w:rPr>
              <w:tab/>
            </w:r>
            <w:r>
              <w:rPr>
                <w:webHidden/>
              </w:rPr>
              <w:fldChar w:fldCharType="begin"/>
            </w:r>
            <w:r>
              <w:rPr>
                <w:webHidden/>
              </w:rPr>
              <w:instrText xml:space="preserve"> PAGEREF _Toc222385562 \h </w:instrText>
            </w:r>
            <w:r>
              <w:rPr>
                <w:webHidden/>
              </w:rPr>
            </w:r>
            <w:r>
              <w:rPr>
                <w:webHidden/>
              </w:rPr>
              <w:fldChar w:fldCharType="separate"/>
            </w:r>
            <w:r>
              <w:rPr>
                <w:webHidden/>
              </w:rPr>
              <w:t>13</w:t>
            </w:r>
            <w:r>
              <w:rPr>
                <w:webHidden/>
              </w:rPr>
              <w:fldChar w:fldCharType="end"/>
            </w:r>
          </w:hyperlink>
        </w:p>
        <w:p w14:paraId="675496E0" w14:textId="63830151" w:rsidR="00355144" w:rsidRDefault="00355144">
          <w:pPr>
            <w:pStyle w:val="TOC1"/>
            <w:rPr>
              <w:rFonts w:asciiTheme="minorHAnsi" w:eastAsiaTheme="minorEastAsia" w:hAnsiTheme="minorHAnsi" w:cstheme="minorBidi"/>
              <w:color w:val="auto"/>
              <w:kern w:val="2"/>
              <w14:ligatures w14:val="standardContextual"/>
            </w:rPr>
          </w:pPr>
          <w:hyperlink w:anchor="_Toc222385563" w:history="1">
            <w:r w:rsidRPr="00F96952">
              <w:rPr>
                <w:rStyle w:val="Hyperlink"/>
              </w:rPr>
              <w:t>Attachment 1 – LED conversion table</w:t>
            </w:r>
            <w:r>
              <w:rPr>
                <w:webHidden/>
              </w:rPr>
              <w:tab/>
            </w:r>
            <w:r>
              <w:rPr>
                <w:webHidden/>
              </w:rPr>
              <w:fldChar w:fldCharType="begin"/>
            </w:r>
            <w:r>
              <w:rPr>
                <w:webHidden/>
              </w:rPr>
              <w:instrText xml:space="preserve"> PAGEREF _Toc222385563 \h </w:instrText>
            </w:r>
            <w:r>
              <w:rPr>
                <w:webHidden/>
              </w:rPr>
            </w:r>
            <w:r>
              <w:rPr>
                <w:webHidden/>
              </w:rPr>
              <w:fldChar w:fldCharType="separate"/>
            </w:r>
            <w:r>
              <w:rPr>
                <w:webHidden/>
              </w:rPr>
              <w:t>15</w:t>
            </w:r>
            <w:r>
              <w:rPr>
                <w:webHidden/>
              </w:rPr>
              <w:fldChar w:fldCharType="end"/>
            </w:r>
          </w:hyperlink>
        </w:p>
        <w:p w14:paraId="332D0C5B" w14:textId="4151B460" w:rsidR="00355144" w:rsidRDefault="00355144">
          <w:pPr>
            <w:pStyle w:val="TOC1"/>
            <w:rPr>
              <w:rFonts w:asciiTheme="minorHAnsi" w:eastAsiaTheme="minorEastAsia" w:hAnsiTheme="minorHAnsi" w:cstheme="minorBidi"/>
              <w:color w:val="auto"/>
              <w:kern w:val="2"/>
              <w14:ligatures w14:val="standardContextual"/>
            </w:rPr>
          </w:pPr>
          <w:hyperlink w:anchor="_Toc222385564" w:history="1">
            <w:r w:rsidRPr="00F96952">
              <w:rPr>
                <w:rStyle w:val="Hyperlink"/>
              </w:rPr>
              <w:t>Attachment 2 - Patient Selection Guidelines for Commencement of Apomorphine Therapy</w:t>
            </w:r>
            <w:r>
              <w:rPr>
                <w:webHidden/>
              </w:rPr>
              <w:tab/>
            </w:r>
            <w:r>
              <w:rPr>
                <w:webHidden/>
              </w:rPr>
              <w:fldChar w:fldCharType="begin"/>
            </w:r>
            <w:r>
              <w:rPr>
                <w:webHidden/>
              </w:rPr>
              <w:instrText xml:space="preserve"> PAGEREF _Toc222385564 \h </w:instrText>
            </w:r>
            <w:r>
              <w:rPr>
                <w:webHidden/>
              </w:rPr>
            </w:r>
            <w:r>
              <w:rPr>
                <w:webHidden/>
              </w:rPr>
              <w:fldChar w:fldCharType="separate"/>
            </w:r>
            <w:r>
              <w:rPr>
                <w:webHidden/>
              </w:rPr>
              <w:t>16</w:t>
            </w:r>
            <w:r>
              <w:rPr>
                <w:webHidden/>
              </w:rPr>
              <w:fldChar w:fldCharType="end"/>
            </w:r>
          </w:hyperlink>
        </w:p>
        <w:p w14:paraId="623FD7FF" w14:textId="65EE1EED" w:rsidR="00355144" w:rsidRDefault="00355144">
          <w:pPr>
            <w:pStyle w:val="TOC1"/>
            <w:rPr>
              <w:rFonts w:asciiTheme="minorHAnsi" w:eastAsiaTheme="minorEastAsia" w:hAnsiTheme="minorHAnsi" w:cstheme="minorBidi"/>
              <w:color w:val="auto"/>
              <w:kern w:val="2"/>
              <w14:ligatures w14:val="standardContextual"/>
            </w:rPr>
          </w:pPr>
          <w:hyperlink w:anchor="_Toc222385565" w:history="1">
            <w:r w:rsidRPr="00F96952">
              <w:rPr>
                <w:rStyle w:val="Hyperlink"/>
              </w:rPr>
              <w:t>Attachment 3 – Foslevodopa/ foscarbidopa (Vyalev) stating infusion rate table</w:t>
            </w:r>
            <w:r>
              <w:rPr>
                <w:webHidden/>
              </w:rPr>
              <w:tab/>
            </w:r>
            <w:r>
              <w:rPr>
                <w:webHidden/>
              </w:rPr>
              <w:fldChar w:fldCharType="begin"/>
            </w:r>
            <w:r>
              <w:rPr>
                <w:webHidden/>
              </w:rPr>
              <w:instrText xml:space="preserve"> PAGEREF _Toc222385565 \h </w:instrText>
            </w:r>
            <w:r>
              <w:rPr>
                <w:webHidden/>
              </w:rPr>
            </w:r>
            <w:r>
              <w:rPr>
                <w:webHidden/>
              </w:rPr>
              <w:fldChar w:fldCharType="separate"/>
            </w:r>
            <w:r>
              <w:rPr>
                <w:webHidden/>
              </w:rPr>
              <w:t>17</w:t>
            </w:r>
            <w:r>
              <w:rPr>
                <w:webHidden/>
              </w:rPr>
              <w:fldChar w:fldCharType="end"/>
            </w:r>
          </w:hyperlink>
        </w:p>
        <w:p w14:paraId="08855D0E" w14:textId="464E42C7"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7F4F9170" w14:textId="77777777" w:rsidR="00FE46F1" w:rsidRDefault="00FE46F1">
      <w:pPr>
        <w:spacing w:before="0" w:after="0" w:line="240" w:lineRule="auto"/>
        <w:rPr>
          <w:rFonts w:eastAsia="Times New Roman"/>
          <w:b/>
          <w:color w:val="FFFFFF" w:themeColor="background1"/>
          <w:szCs w:val="80"/>
          <w:lang w:eastAsia="en-US"/>
        </w:rPr>
      </w:pPr>
    </w:p>
    <w:p w14:paraId="2A8B6E19" w14:textId="77777777" w:rsidR="00201AF6" w:rsidRDefault="00201AF6">
      <w:pPr>
        <w:spacing w:before="0" w:after="0" w:line="240" w:lineRule="auto"/>
        <w:rPr>
          <w:rFonts w:eastAsia="Times New Roman"/>
          <w:b/>
          <w:bCs/>
          <w:iCs/>
          <w:color w:val="FFFFFF" w:themeColor="background1"/>
          <w:lang w:eastAsia="en-US"/>
        </w:rPr>
      </w:pPr>
      <w:r>
        <w:br w:type="page"/>
      </w:r>
    </w:p>
    <w:p w14:paraId="420B8B06" w14:textId="77777777" w:rsidR="0078367D" w:rsidRPr="00036249" w:rsidRDefault="003254E1" w:rsidP="00036249">
      <w:pPr>
        <w:pStyle w:val="Heading4"/>
      </w:pPr>
      <w:bookmarkStart w:id="1" w:name="_Toc222385545"/>
      <w:r>
        <w:lastRenderedPageBreak/>
        <w:t>Purpose</w:t>
      </w:r>
      <w:bookmarkEnd w:id="1"/>
    </w:p>
    <w:p w14:paraId="4FE14C21" w14:textId="17910B77" w:rsidR="00150C32" w:rsidRDefault="00150C32" w:rsidP="00481A6C">
      <w:pPr>
        <w:pStyle w:val="BodyCopy"/>
      </w:pPr>
      <w:r>
        <w:t xml:space="preserve">The purpose of this procedure is to provide clinicians with information on the care of patients commencing on </w:t>
      </w:r>
      <w:r w:rsidR="00113B13">
        <w:t>advanced</w:t>
      </w:r>
      <w:r>
        <w:t xml:space="preserve"> pharmaceutical therapies for the treatment of advanced Parkinson’s </w:t>
      </w:r>
      <w:r w:rsidR="00445683">
        <w:t>D</w:t>
      </w:r>
      <w:r>
        <w:t>isease</w:t>
      </w:r>
      <w:r w:rsidR="00113B13">
        <w:t xml:space="preserve"> (PD)</w:t>
      </w:r>
      <w:r>
        <w:t xml:space="preserve"> at Canberra Hospital.</w:t>
      </w:r>
    </w:p>
    <w:p w14:paraId="11327DDC"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59131BAA" w14:textId="77777777" w:rsidR="0078367D" w:rsidRPr="00AC2EDE" w:rsidRDefault="003254E1" w:rsidP="00197F2E">
      <w:pPr>
        <w:pStyle w:val="Heading4"/>
      </w:pPr>
      <w:bookmarkStart w:id="2" w:name="_Toc222385546"/>
      <w:r>
        <w:rPr>
          <w:rStyle w:val="Hyperlink"/>
          <w:color w:val="FFFFFF" w:themeColor="background1"/>
          <w:u w:val="none"/>
        </w:rPr>
        <w:t>Alerts</w:t>
      </w:r>
      <w:bookmarkEnd w:id="2"/>
      <w:r>
        <w:rPr>
          <w:rStyle w:val="Hyperlink"/>
          <w:color w:val="FFFFFF" w:themeColor="background1"/>
          <w:u w:val="none"/>
        </w:rPr>
        <w:t xml:space="preserve"> </w:t>
      </w:r>
    </w:p>
    <w:p w14:paraId="4D19322E" w14:textId="77777777" w:rsidR="00150C32" w:rsidRDefault="00150C32" w:rsidP="00C508F4">
      <w:pPr>
        <w:pStyle w:val="Bullet"/>
      </w:pPr>
      <w:r>
        <w:t>Close monitoring is essential during the initiation of these therapies.</w:t>
      </w:r>
    </w:p>
    <w:p w14:paraId="5AA6FE5A" w14:textId="77777777" w:rsidR="00150C32" w:rsidRDefault="00150C32" w:rsidP="00C508F4">
      <w:pPr>
        <w:pStyle w:val="Bullet"/>
      </w:pPr>
      <w:r>
        <w:t xml:space="preserve">Sudden discontinuation or rapid dose reduction should be avoided. </w:t>
      </w:r>
    </w:p>
    <w:p w14:paraId="5378B543" w14:textId="7682EDED" w:rsidR="00150C32" w:rsidRDefault="00150C32" w:rsidP="00C508F4">
      <w:pPr>
        <w:pStyle w:val="Bullet"/>
      </w:pPr>
      <w:r>
        <w:t xml:space="preserve">Sudden or gradual worsening of </w:t>
      </w:r>
      <w:r w:rsidR="00113B13">
        <w:t>PD</w:t>
      </w:r>
      <w:r>
        <w:t xml:space="preserve"> symptoms may indicate an obstruction in the infusion pump or dislodgement of the cannula and should be investigated.</w:t>
      </w:r>
    </w:p>
    <w:p w14:paraId="58CE9AC3" w14:textId="77777777" w:rsidR="00481A6C" w:rsidRPr="00150C32" w:rsidRDefault="00481A6C" w:rsidP="00150C32">
      <w:pPr>
        <w:pStyle w:val="BodyCopy"/>
        <w:rPr>
          <w:rStyle w:val="Hyperlink"/>
          <w:color w:val="000000" w:themeColor="text1"/>
          <w:u w:val="none"/>
        </w:rPr>
      </w:pPr>
      <w:hyperlink w:anchor="_top" w:history="1">
        <w:r w:rsidRPr="00481A6C">
          <w:rPr>
            <w:rStyle w:val="Hyperlink"/>
            <w:iCs w:val="0"/>
          </w:rPr>
          <w:t>Back to Contents</w:t>
        </w:r>
      </w:hyperlink>
    </w:p>
    <w:p w14:paraId="0914195D" w14:textId="77777777" w:rsidR="003254E1" w:rsidRDefault="003254E1" w:rsidP="003254E1">
      <w:pPr>
        <w:pStyle w:val="Heading4"/>
      </w:pPr>
      <w:bookmarkStart w:id="3" w:name="_Toc222385547"/>
      <w:r>
        <w:t>Scope</w:t>
      </w:r>
      <w:bookmarkEnd w:id="3"/>
    </w:p>
    <w:p w14:paraId="631DB530" w14:textId="25699079" w:rsidR="00150C32" w:rsidRDefault="00150C32" w:rsidP="00150C32">
      <w:pPr>
        <w:pStyle w:val="BodyCopy"/>
      </w:pPr>
      <w:r>
        <w:t>This document applies to adults with a diagnosis of P</w:t>
      </w:r>
      <w:r w:rsidR="0015383D">
        <w:t>D</w:t>
      </w:r>
      <w:r>
        <w:t xml:space="preserve"> and who have been identified as potentially eligible to commence advanced pharmaceutical therapies</w:t>
      </w:r>
      <w:r w:rsidR="002A157A">
        <w:t xml:space="preserve"> at Canberra Hospital</w:t>
      </w:r>
      <w:r w:rsidR="00A0630B">
        <w:t xml:space="preserve"> only</w:t>
      </w:r>
      <w:r>
        <w:t xml:space="preserve"> for control of their advanced </w:t>
      </w:r>
      <w:r w:rsidR="00445683">
        <w:t xml:space="preserve">PD </w:t>
      </w:r>
      <w:r>
        <w:t>symptoms.</w:t>
      </w:r>
    </w:p>
    <w:p w14:paraId="05BCD951" w14:textId="77777777" w:rsidR="00150C32" w:rsidRDefault="00150C32" w:rsidP="00150C32">
      <w:pPr>
        <w:pStyle w:val="BodyCopy"/>
      </w:pPr>
      <w:r>
        <w:t>This procedure applies to the following staff working within their scope of practice:</w:t>
      </w:r>
    </w:p>
    <w:p w14:paraId="38E9BAF6" w14:textId="77777777" w:rsidR="00150C32" w:rsidRPr="00C508F4" w:rsidRDefault="00150C32" w:rsidP="00C508F4">
      <w:pPr>
        <w:pStyle w:val="Bullet"/>
      </w:pPr>
      <w:r w:rsidRPr="00C508F4">
        <w:t>Medical Officers</w:t>
      </w:r>
    </w:p>
    <w:p w14:paraId="79B65498" w14:textId="77777777" w:rsidR="00150C32" w:rsidRPr="00C508F4" w:rsidRDefault="00150C32" w:rsidP="00C508F4">
      <w:pPr>
        <w:pStyle w:val="Bullet"/>
      </w:pPr>
      <w:r w:rsidRPr="00C508F4">
        <w:t xml:space="preserve">Nurses and Midwives  </w:t>
      </w:r>
    </w:p>
    <w:p w14:paraId="62D83444" w14:textId="77777777" w:rsidR="00150C32" w:rsidRPr="00C508F4" w:rsidRDefault="00150C32" w:rsidP="00C508F4">
      <w:pPr>
        <w:pStyle w:val="Bullet"/>
      </w:pPr>
      <w:r w:rsidRPr="00C508F4">
        <w:t>Pharmacists</w:t>
      </w:r>
    </w:p>
    <w:p w14:paraId="1B5A0805" w14:textId="7B43E332" w:rsidR="003254E1" w:rsidRPr="00C508F4" w:rsidRDefault="004F6F84" w:rsidP="00C508F4">
      <w:pPr>
        <w:pStyle w:val="Bullet"/>
      </w:pPr>
      <w:r>
        <w:t>Students under</w:t>
      </w:r>
      <w:r w:rsidR="00150C32">
        <w:t xml:space="preserve"> direct supervision.</w:t>
      </w:r>
    </w:p>
    <w:p w14:paraId="67F27032" w14:textId="77777777" w:rsidR="003254E1" w:rsidRPr="003254E1" w:rsidRDefault="003254E1" w:rsidP="003254E1">
      <w:pPr>
        <w:pStyle w:val="BodyCopy"/>
        <w:spacing w:before="240"/>
      </w:pPr>
      <w:hyperlink w:anchor="_top" w:history="1">
        <w:r w:rsidRPr="00481A6C">
          <w:rPr>
            <w:rStyle w:val="Hyperlink"/>
            <w:iCs w:val="0"/>
          </w:rPr>
          <w:t>Back to Contents</w:t>
        </w:r>
      </w:hyperlink>
    </w:p>
    <w:p w14:paraId="5AC719D6" w14:textId="77777777" w:rsidR="0078367D" w:rsidRDefault="0078367D" w:rsidP="00197F2E">
      <w:pPr>
        <w:pStyle w:val="Heading4"/>
      </w:pPr>
      <w:bookmarkStart w:id="4" w:name="_Toc222385548"/>
      <w:r>
        <w:t xml:space="preserve">Section 1 </w:t>
      </w:r>
      <w:r w:rsidR="00220DF1">
        <w:t>–</w:t>
      </w:r>
      <w:r>
        <w:t xml:space="preserve"> </w:t>
      </w:r>
      <w:r w:rsidR="00220DF1">
        <w:t>Patient Selection</w:t>
      </w:r>
      <w:bookmarkEnd w:id="4"/>
    </w:p>
    <w:p w14:paraId="23370142" w14:textId="77777777" w:rsidR="00220DF1" w:rsidRDefault="00220DF1" w:rsidP="005C5F49">
      <w:pPr>
        <w:pStyle w:val="BodyCopy"/>
        <w:spacing w:before="240"/>
      </w:pPr>
      <w:r>
        <w:t>For a patient to be eligible for advanced therapies they should:</w:t>
      </w:r>
    </w:p>
    <w:p w14:paraId="103804A4" w14:textId="23B2ED1C" w:rsidR="00220DF1" w:rsidRDefault="00445683" w:rsidP="00C508F4">
      <w:pPr>
        <w:pStyle w:val="Bullet"/>
      </w:pPr>
      <w:r>
        <w:t>h</w:t>
      </w:r>
      <w:r w:rsidR="00220DF1">
        <w:t xml:space="preserve">ave advanced </w:t>
      </w:r>
      <w:r w:rsidR="00963E9A">
        <w:t>Parkinson’s</w:t>
      </w:r>
      <w:r w:rsidR="00220DF1">
        <w:t xml:space="preserve"> disease</w:t>
      </w:r>
    </w:p>
    <w:p w14:paraId="5016BBE1" w14:textId="223F0A0A" w:rsidR="00220DF1" w:rsidRDefault="00445683" w:rsidP="00C508F4">
      <w:pPr>
        <w:pStyle w:val="Bullet"/>
      </w:pPr>
      <w:r>
        <w:t>e</w:t>
      </w:r>
      <w:r w:rsidR="00220DF1">
        <w:t>xperience severe disabling motor fluctuations not adequately controlled by oral medication therapy</w:t>
      </w:r>
    </w:p>
    <w:p w14:paraId="13327857" w14:textId="70F3EA97" w:rsidR="00220DF1" w:rsidRDefault="00445683" w:rsidP="00C508F4">
      <w:pPr>
        <w:pStyle w:val="Bullet"/>
      </w:pPr>
      <w:r>
        <w:t>b</w:t>
      </w:r>
      <w:r w:rsidR="00220DF1">
        <w:t>e managed by a Neurologist</w:t>
      </w:r>
      <w:r>
        <w:t xml:space="preserve"> or</w:t>
      </w:r>
      <w:r w:rsidR="002A157A">
        <w:t xml:space="preserve"> </w:t>
      </w:r>
      <w:r w:rsidR="00220DF1">
        <w:t>Geriatrician specialised in Movement Disorders</w:t>
      </w:r>
    </w:p>
    <w:p w14:paraId="123F4DAB" w14:textId="587B83A9" w:rsidR="00220DF1" w:rsidRDefault="00445683" w:rsidP="00C508F4">
      <w:pPr>
        <w:pStyle w:val="Bullet"/>
      </w:pPr>
      <w:r>
        <w:t>b</w:t>
      </w:r>
      <w:r w:rsidR="00220DF1">
        <w:t>e medically stable</w:t>
      </w:r>
    </w:p>
    <w:p w14:paraId="2193451B" w14:textId="1576DE50" w:rsidR="00220DF1" w:rsidRDefault="00445683" w:rsidP="00C508F4">
      <w:pPr>
        <w:pStyle w:val="Bullet"/>
      </w:pPr>
      <w:r>
        <w:lastRenderedPageBreak/>
        <w:t>h</w:t>
      </w:r>
      <w:r w:rsidR="00220DF1">
        <w:t>ave adequate cognitive function to manage administration with a syringe and or portable continuous infusion pump. Alternatively, ongoing carer support to manage the administration and care of the patient with subcutaneous infusion.</w:t>
      </w:r>
    </w:p>
    <w:p w14:paraId="29CEE830" w14:textId="37636C18" w:rsidR="00220DF1" w:rsidRPr="00445683" w:rsidRDefault="00220DF1" w:rsidP="00445683">
      <w:pPr>
        <w:pStyle w:val="BodyCopy"/>
      </w:pPr>
      <w:r w:rsidRPr="00445683">
        <w:t>Advanced therapy is to be initiated under the supervision of a treating Neurologist</w:t>
      </w:r>
      <w:r w:rsidR="00445683">
        <w:t xml:space="preserve"> or </w:t>
      </w:r>
      <w:r w:rsidRPr="00445683">
        <w:t xml:space="preserve">Geriatrician at Canberra Hospital with the support of the Movement </w:t>
      </w:r>
      <w:r w:rsidR="00445683">
        <w:t>D</w:t>
      </w:r>
      <w:r w:rsidRPr="00445683">
        <w:t>isorder Advanced Practice Nurse</w:t>
      </w:r>
      <w:r w:rsidR="00445683">
        <w:t xml:space="preserve"> (APN)</w:t>
      </w:r>
      <w:r w:rsidRPr="00445683">
        <w:t>. Work up for the infusion is completed as an outpatient and initiation is completed as inpatient</w:t>
      </w:r>
      <w:r w:rsidR="0015383D" w:rsidRPr="00445683">
        <w:t xml:space="preserve"> (not in a subacute setting).</w:t>
      </w:r>
    </w:p>
    <w:p w14:paraId="01AE48F1" w14:textId="77777777" w:rsidR="00481A6C" w:rsidRPr="00481A6C" w:rsidRDefault="00481A6C" w:rsidP="005C5F49">
      <w:pPr>
        <w:pStyle w:val="BodyCopy"/>
        <w:spacing w:before="240"/>
      </w:pPr>
      <w:hyperlink w:anchor="_top" w:history="1">
        <w:r w:rsidRPr="00481A6C">
          <w:rPr>
            <w:rStyle w:val="Hyperlink"/>
            <w:iCs w:val="0"/>
          </w:rPr>
          <w:t>Back to Contents</w:t>
        </w:r>
      </w:hyperlink>
    </w:p>
    <w:p w14:paraId="1630EE51" w14:textId="77777777" w:rsidR="0078367D" w:rsidRDefault="0078367D" w:rsidP="00A6051F">
      <w:pPr>
        <w:pStyle w:val="Heading4"/>
      </w:pPr>
      <w:bookmarkStart w:id="5" w:name="_Toc222385549"/>
      <w:r>
        <w:t xml:space="preserve">Section 2 </w:t>
      </w:r>
      <w:r w:rsidR="00220DF1">
        <w:t>–</w:t>
      </w:r>
      <w:r>
        <w:t xml:space="preserve"> </w:t>
      </w:r>
      <w:r w:rsidR="00220DF1">
        <w:t>Referral Procedure</w:t>
      </w:r>
      <w:bookmarkEnd w:id="5"/>
    </w:p>
    <w:p w14:paraId="6E3345B5" w14:textId="77777777" w:rsidR="00220DF1" w:rsidRDefault="00220DF1" w:rsidP="00953109">
      <w:pPr>
        <w:pStyle w:val="Heading5"/>
      </w:pPr>
      <w:r>
        <w:t>Internal Referral Procedure</w:t>
      </w:r>
    </w:p>
    <w:p w14:paraId="46B38225" w14:textId="573E27DB" w:rsidR="00662E20" w:rsidRPr="00662E20" w:rsidRDefault="00220DF1" w:rsidP="00D2257C">
      <w:pPr>
        <w:pStyle w:val="BodyCopy"/>
      </w:pPr>
      <w:r>
        <w:t>Treating team to refer to Neurologist</w:t>
      </w:r>
      <w:r w:rsidR="00953109">
        <w:t xml:space="preserve"> or</w:t>
      </w:r>
      <w:r>
        <w:t xml:space="preserve"> Geriatrician via DHR using ISBAR</w:t>
      </w:r>
      <w:r w:rsidR="00662E20">
        <w:t xml:space="preserve"> </w:t>
      </w:r>
    </w:p>
    <w:p w14:paraId="3191B7CB" w14:textId="22F7BA97" w:rsidR="00662E20" w:rsidRDefault="00662E20" w:rsidP="00662E20">
      <w:pPr>
        <w:pStyle w:val="Heading5"/>
      </w:pPr>
      <w:r>
        <w:t xml:space="preserve">External Referral Procedure </w:t>
      </w:r>
    </w:p>
    <w:p w14:paraId="606F0F9D" w14:textId="33BD48EE" w:rsidR="00663F5B" w:rsidRPr="00662E20" w:rsidRDefault="00663F5B" w:rsidP="00D2257C">
      <w:pPr>
        <w:pStyle w:val="BodyCopy"/>
      </w:pPr>
      <w:r w:rsidRPr="00663F5B">
        <w:t>General Practitioners</w:t>
      </w:r>
      <w:r w:rsidR="00A0630B">
        <w:t xml:space="preserve"> (GPs)</w:t>
      </w:r>
      <w:r w:rsidRPr="00663F5B">
        <w:t xml:space="preserve"> are required to submit referrals to a Neurologist or Geriatrician via HealthLink (Central Health Intake</w:t>
      </w:r>
      <w:r w:rsidR="00A0630B">
        <w:t>, CHI</w:t>
      </w:r>
      <w:r w:rsidRPr="00663F5B">
        <w:t xml:space="preserve">). </w:t>
      </w:r>
      <w:bookmarkStart w:id="6" w:name="_Hlk222379904"/>
      <w:r w:rsidRPr="00663F5B">
        <w:t>All external specialist referrals must be coordinated through the patient’s GP.</w:t>
      </w:r>
    </w:p>
    <w:bookmarkEnd w:id="6"/>
    <w:p w14:paraId="5B00DD01" w14:textId="77777777" w:rsidR="00481A6C" w:rsidRDefault="00481A6C" w:rsidP="0091462B">
      <w:pPr>
        <w:pStyle w:val="BodyCopy"/>
      </w:pPr>
      <w:r>
        <w:fldChar w:fldCharType="begin"/>
      </w:r>
      <w:r>
        <w:instrText>HYPERLINK \l "_top"</w:instrText>
      </w:r>
      <w:r>
        <w:fldChar w:fldCharType="separate"/>
      </w:r>
      <w:r w:rsidRPr="00481A6C">
        <w:rPr>
          <w:rStyle w:val="Hyperlink"/>
          <w:iCs w:val="0"/>
        </w:rPr>
        <w:t>Back to Contents</w:t>
      </w:r>
      <w:r>
        <w:fldChar w:fldCharType="end"/>
      </w:r>
    </w:p>
    <w:p w14:paraId="4B2B4A53" w14:textId="15BF806C" w:rsidR="00097B63" w:rsidRPr="00097B63" w:rsidRDefault="0078367D" w:rsidP="00097B63">
      <w:pPr>
        <w:pStyle w:val="Heading4"/>
      </w:pPr>
      <w:bookmarkStart w:id="7" w:name="_Toc222385550"/>
      <w:r w:rsidRPr="0078367D">
        <w:t xml:space="preserve">Section </w:t>
      </w:r>
      <w:r w:rsidR="00097B63">
        <w:t>3</w:t>
      </w:r>
      <w:r w:rsidRPr="0078367D">
        <w:t xml:space="preserve"> </w:t>
      </w:r>
      <w:r w:rsidR="00953109">
        <w:t>–</w:t>
      </w:r>
      <w:r w:rsidRPr="0078367D">
        <w:t xml:space="preserve"> </w:t>
      </w:r>
      <w:r w:rsidR="00C40F37">
        <w:t>Pre-</w:t>
      </w:r>
      <w:r w:rsidR="00663F5B">
        <w:t>treatment Procedure</w:t>
      </w:r>
      <w:bookmarkEnd w:id="7"/>
    </w:p>
    <w:p w14:paraId="7046CAB3" w14:textId="3AF9F837" w:rsidR="00B8375C" w:rsidRDefault="00953109" w:rsidP="0091462B">
      <w:pPr>
        <w:pStyle w:val="BodyCopy"/>
      </w:pPr>
      <w:r>
        <w:t xml:space="preserve">The patient will require 3 appointments </w:t>
      </w:r>
      <w:r w:rsidR="2F2DD53F">
        <w:t xml:space="preserve">to </w:t>
      </w:r>
      <w:r w:rsidR="00717092">
        <w:t xml:space="preserve">prepare </w:t>
      </w:r>
      <w:r w:rsidR="00B8375C">
        <w:t>for</w:t>
      </w:r>
      <w:r w:rsidR="16FD7280">
        <w:t xml:space="preserve"> commence</w:t>
      </w:r>
      <w:r w:rsidR="00B8375C">
        <w:t>ment of</w:t>
      </w:r>
      <w:r>
        <w:t xml:space="preserve"> treatment</w:t>
      </w:r>
      <w:r w:rsidR="00663F5B">
        <w:t xml:space="preserve">. </w:t>
      </w:r>
    </w:p>
    <w:p w14:paraId="67C89F0F" w14:textId="33D35652" w:rsidR="00953109" w:rsidRDefault="00953109" w:rsidP="00445683">
      <w:pPr>
        <w:pStyle w:val="Numberedlist"/>
      </w:pPr>
      <w:r>
        <w:t xml:space="preserve">Initial review with </w:t>
      </w:r>
      <w:r w:rsidR="00445683">
        <w:t xml:space="preserve">a movement disorder </w:t>
      </w:r>
      <w:r>
        <w:t xml:space="preserve">specialist to assess eligibility </w:t>
      </w:r>
    </w:p>
    <w:p w14:paraId="168AFCA9" w14:textId="68B94325" w:rsidR="00953109" w:rsidRDefault="00953109" w:rsidP="00445683">
      <w:pPr>
        <w:pStyle w:val="Numberedlist"/>
      </w:pPr>
      <w:r>
        <w:t xml:space="preserve">Education and further work up with </w:t>
      </w:r>
      <w:r w:rsidR="006D4519">
        <w:t>M</w:t>
      </w:r>
      <w:r>
        <w:t xml:space="preserve">ovement </w:t>
      </w:r>
      <w:r w:rsidR="006D4519">
        <w:t>D</w:t>
      </w:r>
      <w:r>
        <w:t>isorder APN</w:t>
      </w:r>
    </w:p>
    <w:p w14:paraId="6D0B9CAF" w14:textId="36FA4618" w:rsidR="00953109" w:rsidRDefault="00953109" w:rsidP="00445683">
      <w:pPr>
        <w:pStyle w:val="Numberedlist"/>
      </w:pPr>
      <w:r>
        <w:t xml:space="preserve">Final review with </w:t>
      </w:r>
      <w:r w:rsidR="00445683">
        <w:t xml:space="preserve">a movement disorder </w:t>
      </w:r>
      <w:r>
        <w:t>specialist</w:t>
      </w:r>
    </w:p>
    <w:p w14:paraId="7186D5BD" w14:textId="77777777" w:rsidR="00953109" w:rsidRDefault="00953109" w:rsidP="00953109">
      <w:pPr>
        <w:pStyle w:val="Heading5"/>
      </w:pPr>
      <w:r>
        <w:t xml:space="preserve">Initial review </w:t>
      </w:r>
    </w:p>
    <w:p w14:paraId="5CC2B0B7" w14:textId="61FFF42E" w:rsidR="00953109" w:rsidRPr="00523DD2" w:rsidRDefault="0015383D" w:rsidP="00953109">
      <w:pPr>
        <w:pStyle w:val="BodyCopy"/>
        <w:rPr>
          <w:lang w:eastAsia="en-US"/>
        </w:rPr>
      </w:pPr>
      <w:r>
        <w:rPr>
          <w:lang w:eastAsia="en-US"/>
        </w:rPr>
        <w:t>T</w:t>
      </w:r>
      <w:r w:rsidR="00953109" w:rsidRPr="00523DD2">
        <w:rPr>
          <w:lang w:eastAsia="en-US"/>
        </w:rPr>
        <w:t xml:space="preserve">he Neurologist or Geriatrician </w:t>
      </w:r>
      <w:r w:rsidR="00953109">
        <w:rPr>
          <w:lang w:eastAsia="en-US"/>
        </w:rPr>
        <w:t>will</w:t>
      </w:r>
      <w:r w:rsidR="00953109" w:rsidRPr="00523DD2">
        <w:rPr>
          <w:lang w:eastAsia="en-US"/>
        </w:rPr>
        <w:t>:</w:t>
      </w:r>
    </w:p>
    <w:p w14:paraId="34023C77" w14:textId="06F9A011" w:rsidR="00953109" w:rsidRPr="009755D2" w:rsidRDefault="00953109" w:rsidP="00B8375C">
      <w:pPr>
        <w:pStyle w:val="Numberedlist"/>
        <w:numPr>
          <w:ilvl w:val="0"/>
          <w:numId w:val="33"/>
        </w:numPr>
      </w:pPr>
      <w:r w:rsidRPr="009755D2">
        <w:t>Confirm diagnosis and ensure the patient meets Pharmacy Benefits Scheme (PBS) criteria</w:t>
      </w:r>
      <w:r w:rsidR="00A42DD5">
        <w:t xml:space="preserve"> under section 100 (</w:t>
      </w:r>
      <w:r w:rsidR="00A42DD5" w:rsidRPr="00A42DD5">
        <w:t>Highly Specialised Drugs Program</w:t>
      </w:r>
      <w:r w:rsidR="00B8375C">
        <w:t xml:space="preserve">) available at: </w:t>
      </w:r>
      <w:hyperlink r:id="rId8" w:history="1">
        <w:r w:rsidR="00B8375C" w:rsidRPr="00A20056">
          <w:rPr>
            <w:rStyle w:val="Hyperlink"/>
          </w:rPr>
          <w:t>https://www.pbs.gov.au/browse/section100-hb</w:t>
        </w:r>
      </w:hyperlink>
      <w:r w:rsidR="00B8375C">
        <w:t xml:space="preserve">. </w:t>
      </w:r>
    </w:p>
    <w:p w14:paraId="54D66EDB" w14:textId="0A361BAE" w:rsidR="00953109" w:rsidRPr="009755D2" w:rsidRDefault="00953109" w:rsidP="009755D2">
      <w:pPr>
        <w:pStyle w:val="Numberedlist"/>
      </w:pPr>
      <w:r w:rsidRPr="009755D2">
        <w:t>Obtain written informed consent</w:t>
      </w:r>
      <w:r w:rsidR="005451C5">
        <w:t xml:space="preserve"> </w:t>
      </w:r>
      <w:r w:rsidR="00F203A2">
        <w:t xml:space="preserve">for treatment. </w:t>
      </w:r>
    </w:p>
    <w:p w14:paraId="4167A84B" w14:textId="77777777" w:rsidR="00953109" w:rsidRPr="009755D2" w:rsidRDefault="00953109" w:rsidP="009755D2">
      <w:pPr>
        <w:pStyle w:val="Numberedlist"/>
      </w:pPr>
      <w:r w:rsidRPr="009755D2">
        <w:t>Request baseline tests:</w:t>
      </w:r>
    </w:p>
    <w:p w14:paraId="40B00BD4" w14:textId="77777777" w:rsidR="00953109" w:rsidRPr="009755D2" w:rsidRDefault="00953109" w:rsidP="009755D2">
      <w:pPr>
        <w:pStyle w:val="Numberedlist"/>
        <w:numPr>
          <w:ilvl w:val="1"/>
          <w:numId w:val="44"/>
        </w:numPr>
      </w:pPr>
      <w:r w:rsidRPr="009755D2">
        <w:t>Full blood count (FBC)</w:t>
      </w:r>
    </w:p>
    <w:p w14:paraId="3CC2A1E7" w14:textId="77777777" w:rsidR="00953109" w:rsidRPr="009755D2" w:rsidRDefault="00953109" w:rsidP="009755D2">
      <w:pPr>
        <w:pStyle w:val="Numberedlist"/>
        <w:numPr>
          <w:ilvl w:val="1"/>
          <w:numId w:val="44"/>
        </w:numPr>
      </w:pPr>
      <w:r w:rsidRPr="009755D2">
        <w:t>Liver function test (LFT)</w:t>
      </w:r>
    </w:p>
    <w:p w14:paraId="09000588" w14:textId="757C83B8" w:rsidR="009755D2" w:rsidRPr="009755D2" w:rsidRDefault="00953109" w:rsidP="009755D2">
      <w:pPr>
        <w:pStyle w:val="Numberedlist"/>
        <w:numPr>
          <w:ilvl w:val="1"/>
          <w:numId w:val="44"/>
        </w:numPr>
      </w:pPr>
      <w:r w:rsidRPr="009755D2">
        <w:lastRenderedPageBreak/>
        <w:t>Urea, electrolytes, and creatinine (UEC)</w:t>
      </w:r>
    </w:p>
    <w:p w14:paraId="6FF81F29" w14:textId="5A461DC7" w:rsidR="009755D2" w:rsidRPr="009755D2" w:rsidRDefault="009755D2" w:rsidP="009755D2">
      <w:pPr>
        <w:pStyle w:val="Numberedlist"/>
      </w:pPr>
      <w:r>
        <w:t xml:space="preserve">For patients trialling apomorphine also request these tests: </w:t>
      </w:r>
    </w:p>
    <w:p w14:paraId="096C82EC" w14:textId="4E7FA8ED" w:rsidR="00953109" w:rsidRPr="009755D2" w:rsidRDefault="00953109" w:rsidP="009755D2">
      <w:pPr>
        <w:pStyle w:val="Numberedlist"/>
        <w:numPr>
          <w:ilvl w:val="1"/>
          <w:numId w:val="45"/>
        </w:numPr>
      </w:pPr>
      <w:r w:rsidRPr="009755D2">
        <w:t xml:space="preserve">Erythrocyte sedimentation rate (ESR) </w:t>
      </w:r>
    </w:p>
    <w:p w14:paraId="22E753D4" w14:textId="12805B26" w:rsidR="00953109" w:rsidRPr="009755D2" w:rsidRDefault="00953109" w:rsidP="009755D2">
      <w:pPr>
        <w:pStyle w:val="Numberedlist"/>
        <w:numPr>
          <w:ilvl w:val="1"/>
          <w:numId w:val="45"/>
        </w:numPr>
      </w:pPr>
      <w:r w:rsidRPr="009755D2">
        <w:t xml:space="preserve">Coombs test (for haemolytic anaemia) </w:t>
      </w:r>
    </w:p>
    <w:p w14:paraId="34E109B3" w14:textId="61358C7B" w:rsidR="00953109" w:rsidRPr="009755D2" w:rsidRDefault="00953109" w:rsidP="009755D2">
      <w:pPr>
        <w:pStyle w:val="Numberedlist"/>
        <w:numPr>
          <w:ilvl w:val="1"/>
          <w:numId w:val="45"/>
        </w:numPr>
      </w:pPr>
      <w:r w:rsidRPr="009755D2">
        <w:t xml:space="preserve">Electrocardiogram (ECG) </w:t>
      </w:r>
    </w:p>
    <w:p w14:paraId="383DEAF9" w14:textId="1F53C1A7" w:rsidR="00953109" w:rsidRPr="009755D2" w:rsidRDefault="00953109" w:rsidP="009755D2">
      <w:pPr>
        <w:pStyle w:val="Numberedlist"/>
      </w:pPr>
      <w:r w:rsidRPr="009755D2">
        <w:t xml:space="preserve">Refer to the </w:t>
      </w:r>
      <w:bookmarkStart w:id="8" w:name="_Hlk210394530"/>
      <w:r w:rsidR="006D4519" w:rsidRPr="009755D2">
        <w:t>M</w:t>
      </w:r>
      <w:r w:rsidRPr="009755D2">
        <w:t xml:space="preserve">ovement </w:t>
      </w:r>
      <w:r w:rsidR="006D4519" w:rsidRPr="009755D2">
        <w:t>D</w:t>
      </w:r>
      <w:r w:rsidRPr="009755D2">
        <w:t>isorder APN</w:t>
      </w:r>
      <w:bookmarkEnd w:id="8"/>
      <w:r w:rsidRPr="009755D2">
        <w:t xml:space="preserve"> </w:t>
      </w:r>
      <w:r w:rsidR="00CD214C" w:rsidRPr="009755D2">
        <w:t xml:space="preserve">via DHR </w:t>
      </w:r>
      <w:r w:rsidRPr="009755D2">
        <w:t xml:space="preserve">for education and pre-admission information. </w:t>
      </w:r>
    </w:p>
    <w:p w14:paraId="3A6C2F38" w14:textId="77777777" w:rsidR="00953109" w:rsidRDefault="00953109" w:rsidP="00953109">
      <w:pPr>
        <w:pStyle w:val="Heading5"/>
        <w:rPr>
          <w:lang w:eastAsia="en-US"/>
        </w:rPr>
      </w:pPr>
      <w:r>
        <w:rPr>
          <w:lang w:eastAsia="en-US"/>
        </w:rPr>
        <w:t>Movement Disorder APN</w:t>
      </w:r>
    </w:p>
    <w:p w14:paraId="635C4C3C" w14:textId="77777777" w:rsidR="00953109" w:rsidRDefault="00CD214C" w:rsidP="00953109">
      <w:pPr>
        <w:pStyle w:val="BodyCopy"/>
      </w:pPr>
      <w:r>
        <w:t>T</w:t>
      </w:r>
      <w:r w:rsidR="00953109" w:rsidRPr="3F6AA513">
        <w:t>he Movement Disorder APN will allocate a 120-minute appointment to provide education and pre-admission information. The following documents will be sent by the APN to the patient via post or electronic for completion prior to review:</w:t>
      </w:r>
    </w:p>
    <w:p w14:paraId="66E59248" w14:textId="6C359C16" w:rsidR="00953109" w:rsidRDefault="00953109" w:rsidP="00C508F4">
      <w:pPr>
        <w:pStyle w:val="Bullet"/>
      </w:pPr>
      <w:r w:rsidRPr="2999B932">
        <w:t>Parkinson’s Disease Questionnaire</w:t>
      </w:r>
      <w:r w:rsidR="006D4519">
        <w:t xml:space="preserve"> (PDQ 39)</w:t>
      </w:r>
    </w:p>
    <w:p w14:paraId="1029B0FF" w14:textId="5FB1F280" w:rsidR="00953109" w:rsidRDefault="00953109" w:rsidP="00C508F4">
      <w:pPr>
        <w:pStyle w:val="Bullet"/>
      </w:pPr>
      <w:r w:rsidRPr="2999B932">
        <w:t>Freezing of Gait Questionnaire</w:t>
      </w:r>
      <w:r w:rsidR="006D4519">
        <w:t xml:space="preserve"> (FOG Q</w:t>
      </w:r>
      <w:r w:rsidRPr="2999B932">
        <w:t>)</w:t>
      </w:r>
    </w:p>
    <w:p w14:paraId="2A77DC23" w14:textId="48B0F1BD" w:rsidR="00953109" w:rsidRDefault="00953109" w:rsidP="00C508F4">
      <w:pPr>
        <w:pStyle w:val="Bullet"/>
      </w:pPr>
      <w:r w:rsidRPr="2999B932">
        <w:t xml:space="preserve">Parkinson’s </w:t>
      </w:r>
      <w:r w:rsidR="000C09EC">
        <w:t xml:space="preserve">disease </w:t>
      </w:r>
      <w:r w:rsidR="006D4519">
        <w:t>d</w:t>
      </w:r>
      <w:r w:rsidRPr="2999B932">
        <w:t>iary</w:t>
      </w:r>
    </w:p>
    <w:p w14:paraId="5344F8B7" w14:textId="77777777" w:rsidR="00953109" w:rsidRDefault="00953109" w:rsidP="00953109">
      <w:pPr>
        <w:pStyle w:val="BodyCopy"/>
      </w:pPr>
      <w:r w:rsidRPr="5FD7997E">
        <w:t>During this appointment, the APN will conduct the following assessments:</w:t>
      </w:r>
    </w:p>
    <w:p w14:paraId="180661B2" w14:textId="1B62BF0F" w:rsidR="00953109" w:rsidRDefault="00953109" w:rsidP="00C508F4">
      <w:pPr>
        <w:pStyle w:val="Bullet"/>
      </w:pPr>
      <w:r w:rsidRPr="2999B932">
        <w:t>United Parkinson’s Disease Rating Scale</w:t>
      </w:r>
      <w:r w:rsidR="006D4519">
        <w:t xml:space="preserve"> (UPDRS)</w:t>
      </w:r>
    </w:p>
    <w:p w14:paraId="47DE9BA4" w14:textId="13A46DC7" w:rsidR="00953109" w:rsidRDefault="00953109" w:rsidP="00C508F4">
      <w:pPr>
        <w:pStyle w:val="Bullet"/>
      </w:pPr>
      <w:r w:rsidRPr="2999B932">
        <w:t>Montreal Cognitive Assessment</w:t>
      </w:r>
      <w:r w:rsidR="006D4519">
        <w:t xml:space="preserve"> (MoCA)</w:t>
      </w:r>
    </w:p>
    <w:p w14:paraId="4205C256" w14:textId="26141C4C" w:rsidR="00953109" w:rsidRDefault="00953109" w:rsidP="00C508F4">
      <w:pPr>
        <w:pStyle w:val="Bullet"/>
      </w:pPr>
      <w:r w:rsidRPr="2999B932">
        <w:t>Questionnaire for Impulse Control Disorders</w:t>
      </w:r>
      <w:r w:rsidR="006D4519">
        <w:t xml:space="preserve"> (QUIP</w:t>
      </w:r>
      <w:r w:rsidRPr="2999B932">
        <w:t>)</w:t>
      </w:r>
    </w:p>
    <w:p w14:paraId="71FD3C53" w14:textId="2786ED5B" w:rsidR="00953109" w:rsidRDefault="00953109" w:rsidP="00C508F4">
      <w:pPr>
        <w:pStyle w:val="Bullet"/>
      </w:pPr>
      <w:r w:rsidRPr="2999B932">
        <w:t>Blood Pressure</w:t>
      </w:r>
      <w:r w:rsidR="006D4519">
        <w:t xml:space="preserve"> (BP</w:t>
      </w:r>
      <w:r w:rsidRPr="2999B932">
        <w:t xml:space="preserve">) </w:t>
      </w:r>
      <w:r w:rsidR="006D4519">
        <w:t xml:space="preserve">measurement both </w:t>
      </w:r>
      <w:r w:rsidRPr="2999B932">
        <w:t>standing</w:t>
      </w:r>
      <w:r w:rsidR="006D4519">
        <w:t xml:space="preserve"> and</w:t>
      </w:r>
      <w:r w:rsidR="003E040B">
        <w:t xml:space="preserve"> </w:t>
      </w:r>
      <w:r w:rsidRPr="2999B932">
        <w:t xml:space="preserve">sitting </w:t>
      </w:r>
    </w:p>
    <w:p w14:paraId="1B002940" w14:textId="7732E05F" w:rsidR="00953109" w:rsidRDefault="00953109" w:rsidP="00953109">
      <w:pPr>
        <w:pStyle w:val="BodyCopy"/>
      </w:pPr>
      <w:r w:rsidRPr="2999B932">
        <w:t xml:space="preserve">The Movement Disorder APN to document </w:t>
      </w:r>
      <w:r w:rsidR="00EE0EBE">
        <w:t xml:space="preserve">in the nursing note in DHR </w:t>
      </w:r>
      <w:r w:rsidRPr="2999B932">
        <w:t xml:space="preserve">that all education requirements have been met, including how to access ongoing consumables. </w:t>
      </w:r>
    </w:p>
    <w:p w14:paraId="703B41B5" w14:textId="77777777" w:rsidR="001B5125" w:rsidRDefault="001B5125" w:rsidP="001B5125">
      <w:pPr>
        <w:pStyle w:val="Heading5"/>
      </w:pPr>
      <w:r>
        <w:t>Final Review</w:t>
      </w:r>
    </w:p>
    <w:p w14:paraId="2C54A535" w14:textId="3C02E04E" w:rsidR="00953109" w:rsidRDefault="001B5125" w:rsidP="001B5125">
      <w:pPr>
        <w:pStyle w:val="BodyCopy"/>
      </w:pPr>
      <w:r>
        <w:t>The Neurologist or Geriatrician will review all screening information</w:t>
      </w:r>
      <w:r w:rsidR="006D4519">
        <w:t xml:space="preserve"> and determine whether the patient is suitable for advanced pharmaceutical therapy</w:t>
      </w:r>
      <w:r>
        <w:t xml:space="preserve">. </w:t>
      </w:r>
      <w:r w:rsidR="006D4519">
        <w:t>If</w:t>
      </w:r>
      <w:r w:rsidR="00953109">
        <w:t xml:space="preserve"> approved for a trial of therapy, the elective admission process must be completed by the accepting/treating Neurologist or Geriatrician </w:t>
      </w:r>
      <w:r w:rsidR="006D4519">
        <w:t>to</w:t>
      </w:r>
      <w:r w:rsidR="00953109">
        <w:t xml:space="preserve"> commence </w:t>
      </w:r>
      <w:r>
        <w:t>advanced therapy</w:t>
      </w:r>
      <w:r w:rsidR="00212966">
        <w:t xml:space="preserve">. </w:t>
      </w:r>
      <w:r w:rsidR="00212966" w:rsidRPr="00212966">
        <w:t>If the patient is deemed unsuitable for therapy, they will continue with their current management plan under the direction of the treating specialist.</w:t>
      </w:r>
    </w:p>
    <w:p w14:paraId="46529DD2" w14:textId="77777777" w:rsidR="00481A6C" w:rsidRDefault="00481A6C" w:rsidP="0091462B">
      <w:pPr>
        <w:pStyle w:val="BodyCopy"/>
      </w:pPr>
      <w:hyperlink w:anchor="_top" w:history="1">
        <w:r w:rsidRPr="00481A6C">
          <w:rPr>
            <w:rStyle w:val="Hyperlink"/>
            <w:iCs w:val="0"/>
          </w:rPr>
          <w:t>Back to Contents</w:t>
        </w:r>
      </w:hyperlink>
    </w:p>
    <w:p w14:paraId="6A7D6AA3" w14:textId="77777777" w:rsidR="00097B63" w:rsidRDefault="00097B63" w:rsidP="00097B63">
      <w:pPr>
        <w:pStyle w:val="Heading4"/>
      </w:pPr>
      <w:bookmarkStart w:id="9" w:name="_Toc222385551"/>
      <w:r>
        <w:t>Section 4</w:t>
      </w:r>
      <w:r w:rsidR="001B5125">
        <w:t xml:space="preserve"> – Preadmission</w:t>
      </w:r>
      <w:bookmarkEnd w:id="9"/>
    </w:p>
    <w:p w14:paraId="4C171627" w14:textId="24899097" w:rsidR="001B5125" w:rsidRDefault="001B5125" w:rsidP="00353E75">
      <w:pPr>
        <w:pStyle w:val="BodyCopy"/>
      </w:pPr>
      <w:r>
        <w:t>The Neurologist or Geriatrician will:</w:t>
      </w:r>
      <w:bookmarkStart w:id="10" w:name="_Hlk221609219"/>
    </w:p>
    <w:bookmarkEnd w:id="10"/>
    <w:p w14:paraId="2CB9A538" w14:textId="21570127" w:rsidR="001B5125" w:rsidRDefault="001B5125" w:rsidP="00353E75">
      <w:pPr>
        <w:pStyle w:val="Numberedlist"/>
        <w:numPr>
          <w:ilvl w:val="0"/>
          <w:numId w:val="49"/>
        </w:numPr>
      </w:pPr>
      <w:r>
        <w:t>Complete the elective admission process.</w:t>
      </w:r>
    </w:p>
    <w:p w14:paraId="6CD31DFF" w14:textId="49354680" w:rsidR="00212966" w:rsidRDefault="00212966" w:rsidP="006D4519">
      <w:pPr>
        <w:pStyle w:val="Numberedlist"/>
      </w:pPr>
      <w:r w:rsidRPr="00212966">
        <w:lastRenderedPageBreak/>
        <w:t>Notify the on</w:t>
      </w:r>
      <w:r w:rsidRPr="00212966">
        <w:rPr>
          <w:rFonts w:ascii="Cambria Math" w:hAnsi="Cambria Math" w:cs="Cambria Math"/>
        </w:rPr>
        <w:t>‑</w:t>
      </w:r>
      <w:r w:rsidRPr="00212966">
        <w:t>call Neurologist or Geriatrician upon initiation of therapy to ensure appropriate medical support is available after</w:t>
      </w:r>
      <w:r w:rsidRPr="00212966">
        <w:rPr>
          <w:rFonts w:ascii="Cambria Math" w:hAnsi="Cambria Math" w:cs="Cambria Math"/>
        </w:rPr>
        <w:t>‑</w:t>
      </w:r>
      <w:r w:rsidRPr="00212966">
        <w:t>hours if required.</w:t>
      </w:r>
    </w:p>
    <w:p w14:paraId="5E73A830" w14:textId="0198DC28" w:rsidR="001B5125" w:rsidRDefault="001B5125" w:rsidP="00212966">
      <w:pPr>
        <w:pStyle w:val="Numberedlist"/>
      </w:pPr>
      <w:r>
        <w:t>Ensure a medication order is completed</w:t>
      </w:r>
      <w:r w:rsidR="00212966">
        <w:t>.</w:t>
      </w:r>
    </w:p>
    <w:p w14:paraId="16081E72" w14:textId="77777777" w:rsidR="001B5125" w:rsidRDefault="001B5125" w:rsidP="001B5125">
      <w:pPr>
        <w:pStyle w:val="BodyCopy"/>
      </w:pPr>
      <w:r>
        <w:t>The Movement Disorder APN will:</w:t>
      </w:r>
    </w:p>
    <w:p w14:paraId="5084A932" w14:textId="2F09B1DB" w:rsidR="001B5125" w:rsidRDefault="001B41E3" w:rsidP="006D4519">
      <w:pPr>
        <w:pStyle w:val="Numberedlist"/>
        <w:numPr>
          <w:ilvl w:val="0"/>
          <w:numId w:val="38"/>
        </w:numPr>
      </w:pPr>
      <w:r>
        <w:t>I</w:t>
      </w:r>
      <w:r w:rsidR="009850C8">
        <w:t>nf</w:t>
      </w:r>
      <w:r>
        <w:t>or</w:t>
      </w:r>
      <w:r w:rsidR="009850C8">
        <w:t xml:space="preserve">m </w:t>
      </w:r>
      <w:r w:rsidR="00A013F3">
        <w:t xml:space="preserve">the </w:t>
      </w:r>
      <w:r w:rsidR="008824DE">
        <w:t xml:space="preserve">admitting ward at Canberra Hospital </w:t>
      </w:r>
      <w:r>
        <w:t xml:space="preserve">about the elective admission </w:t>
      </w:r>
      <w:r w:rsidR="001B5125" w:rsidRPr="001776DC">
        <w:t>and</w:t>
      </w:r>
      <w:r w:rsidR="001B5125">
        <w:t xml:space="preserve"> notify Hospital in the Home (HITH) to ensure they have capacity to admit the patient post Apomorphine Challenge </w:t>
      </w:r>
      <w:r w:rsidR="008824DE">
        <w:t>if needed</w:t>
      </w:r>
      <w:r w:rsidR="008A5A89">
        <w:t xml:space="preserve"> </w:t>
      </w:r>
      <w:r w:rsidR="001B5125">
        <w:t>(</w:t>
      </w:r>
      <w:r w:rsidR="008A5A89">
        <w:t>Refer to</w:t>
      </w:r>
      <w:r w:rsidR="001B5125">
        <w:t xml:space="preserve"> Section 5)</w:t>
      </w:r>
      <w:r w:rsidR="008824DE">
        <w:t>.</w:t>
      </w:r>
      <w:r w:rsidR="001B5125">
        <w:t xml:space="preserve"> </w:t>
      </w:r>
      <w:r w:rsidR="008824DE">
        <w:t xml:space="preserve">Refer to </w:t>
      </w:r>
      <w:r w:rsidR="004F6F84">
        <w:t xml:space="preserve">the </w:t>
      </w:r>
      <w:r w:rsidR="00717092">
        <w:t>Admission</w:t>
      </w:r>
      <w:r w:rsidR="008824DE">
        <w:t xml:space="preserve"> to Discharge Procedure (adults and children)</w:t>
      </w:r>
      <w:r w:rsidR="009755D2">
        <w:t xml:space="preserve"> </w:t>
      </w:r>
      <w:r w:rsidR="008824DE">
        <w:t xml:space="preserve">available on the CHS Policy and Guidance Documents Register for more information. </w:t>
      </w:r>
    </w:p>
    <w:p w14:paraId="0C5BBC55" w14:textId="77777777" w:rsidR="001B5125" w:rsidRDefault="001B5125" w:rsidP="006D4519">
      <w:pPr>
        <w:pStyle w:val="Numberedlist"/>
      </w:pPr>
      <w:r>
        <w:t>Contact the patient and provide admission instructions</w:t>
      </w:r>
    </w:p>
    <w:p w14:paraId="3654C233" w14:textId="77777777" w:rsidR="001B5125" w:rsidRDefault="001B5125" w:rsidP="006D4519">
      <w:pPr>
        <w:pStyle w:val="Numberedlist"/>
      </w:pPr>
      <w:r>
        <w:t>Arrange with pharmacy to have the medication available and delivered to the ward on day of admission</w:t>
      </w:r>
    </w:p>
    <w:p w14:paraId="6CAAF6A4" w14:textId="589640CA" w:rsidR="001B5125" w:rsidRDefault="001B5125" w:rsidP="006D4519">
      <w:pPr>
        <w:pStyle w:val="Numberedlist"/>
      </w:pPr>
      <w:r>
        <w:t xml:space="preserve">Educate and support ward </w:t>
      </w:r>
      <w:r w:rsidR="008A5A89">
        <w:t>staff</w:t>
      </w:r>
      <w:r>
        <w:t xml:space="preserve"> about the </w:t>
      </w:r>
      <w:r w:rsidR="008B5697">
        <w:t xml:space="preserve">treatment </w:t>
      </w:r>
      <w:r>
        <w:t>procedure prior to admission</w:t>
      </w:r>
    </w:p>
    <w:p w14:paraId="75C4E2CB" w14:textId="77777777" w:rsidR="001B5125" w:rsidRDefault="001B5125" w:rsidP="006D4519">
      <w:pPr>
        <w:pStyle w:val="Numberedlist"/>
      </w:pPr>
      <w:r>
        <w:t>Ensure patient initiation kit and administration device is available for the patient.</w:t>
      </w:r>
    </w:p>
    <w:p w14:paraId="1D3D7145" w14:textId="17405F00" w:rsidR="001B5125" w:rsidRDefault="001B5125" w:rsidP="006D4519">
      <w:pPr>
        <w:pStyle w:val="Numberedlist"/>
      </w:pPr>
      <w:r>
        <w:t>Schedule Apomorphine Challenge (</w:t>
      </w:r>
      <w:r w:rsidR="008A5A89">
        <w:t>Refer to</w:t>
      </w:r>
      <w:r>
        <w:t xml:space="preserve"> Section </w:t>
      </w:r>
      <w:r w:rsidR="004E2D3F">
        <w:t>6</w:t>
      </w:r>
      <w:r>
        <w:t xml:space="preserve">) or </w:t>
      </w:r>
      <w:proofErr w:type="spellStart"/>
      <w:r>
        <w:t>Foselevodopa</w:t>
      </w:r>
      <w:proofErr w:type="spellEnd"/>
      <w:r>
        <w:t xml:space="preserve">/ </w:t>
      </w:r>
      <w:proofErr w:type="spellStart"/>
      <w:r>
        <w:t>Foscarbidopa</w:t>
      </w:r>
      <w:proofErr w:type="spellEnd"/>
      <w:r>
        <w:t xml:space="preserve"> </w:t>
      </w:r>
      <w:r w:rsidR="001249F2">
        <w:t>(</w:t>
      </w:r>
      <w:r w:rsidR="008A5A89">
        <w:t xml:space="preserve">Refer to </w:t>
      </w:r>
      <w:r w:rsidR="001249F2">
        <w:t xml:space="preserve">Section 8) </w:t>
      </w:r>
      <w:r>
        <w:t xml:space="preserve">initiation on any weekday in consultation with the </w:t>
      </w:r>
      <w:r w:rsidR="007469FA">
        <w:t xml:space="preserve">admitting </w:t>
      </w:r>
      <w:r>
        <w:t xml:space="preserve">specialist. </w:t>
      </w:r>
    </w:p>
    <w:p w14:paraId="592F30B8" w14:textId="1B893FC5" w:rsidR="001B5125" w:rsidRPr="00ED3FEB" w:rsidRDefault="001B5125" w:rsidP="006D4519">
      <w:pPr>
        <w:pStyle w:val="Numberedlist"/>
        <w:rPr>
          <w:b/>
          <w:bCs/>
        </w:rPr>
      </w:pPr>
      <w:r>
        <w:t>Remind the patient that their PD medication will be withheld</w:t>
      </w:r>
      <w:r w:rsidRPr="008D2DBD">
        <w:t xml:space="preserve"> </w:t>
      </w:r>
      <w:r w:rsidR="008A5A89">
        <w:t>if trialling Apomorphine.</w:t>
      </w:r>
    </w:p>
    <w:p w14:paraId="026CD5B8" w14:textId="77777777" w:rsidR="00097B63" w:rsidRDefault="001B5125" w:rsidP="001B5125">
      <w:pPr>
        <w:pStyle w:val="BodyCopy"/>
        <w:spacing w:before="240"/>
      </w:pPr>
      <w:hyperlink w:anchor="_top" w:history="1">
        <w:r w:rsidRPr="00481A6C">
          <w:rPr>
            <w:rStyle w:val="Hyperlink"/>
            <w:iCs w:val="0"/>
          </w:rPr>
          <w:t>Back to Contents</w:t>
        </w:r>
      </w:hyperlink>
    </w:p>
    <w:p w14:paraId="244FA346" w14:textId="77777777" w:rsidR="00097B63" w:rsidRDefault="00097B63" w:rsidP="00097B63">
      <w:pPr>
        <w:pStyle w:val="Heading4"/>
      </w:pPr>
      <w:bookmarkStart w:id="11" w:name="_Toc222385552"/>
      <w:r>
        <w:t>Section 5</w:t>
      </w:r>
      <w:r w:rsidR="001B5125">
        <w:t xml:space="preserve"> – Apomorphine</w:t>
      </w:r>
      <w:bookmarkEnd w:id="11"/>
    </w:p>
    <w:p w14:paraId="24050A48" w14:textId="4BCA26E5" w:rsidR="009755D2" w:rsidRPr="00B50E22" w:rsidRDefault="009755D2" w:rsidP="00B50E22">
      <w:pPr>
        <w:pStyle w:val="BodyCopy"/>
        <w:rPr>
          <w:rStyle w:val="Bold"/>
          <w:b w:val="0"/>
          <w:bCs/>
        </w:rPr>
      </w:pPr>
      <w:r w:rsidRPr="2999B932">
        <w:rPr>
          <w:rStyle w:val="Bold"/>
          <w:b w:val="0"/>
        </w:rPr>
        <w:t xml:space="preserve">In line with best practice principles trialling of Apomorphine will be completed in an </w:t>
      </w:r>
      <w:r>
        <w:rPr>
          <w:rStyle w:val="Bold"/>
          <w:b w:val="0"/>
        </w:rPr>
        <w:t xml:space="preserve">acute </w:t>
      </w:r>
      <w:r w:rsidRPr="2999B932">
        <w:rPr>
          <w:rStyle w:val="Bold"/>
          <w:b w:val="0"/>
        </w:rPr>
        <w:t xml:space="preserve">inpatient environment </w:t>
      </w:r>
      <w:r>
        <w:rPr>
          <w:rStyle w:val="Bold"/>
          <w:b w:val="0"/>
        </w:rPr>
        <w:t xml:space="preserve">(not in a subacute facility) </w:t>
      </w:r>
      <w:r w:rsidRPr="2999B932">
        <w:rPr>
          <w:rStyle w:val="Bold"/>
          <w:b w:val="0"/>
        </w:rPr>
        <w:t xml:space="preserve">as patients are required to withhold oral dopaminergic agents prior to trial commencement; this can cause significant bradykinesia and rigidity which will have a significant impact on baseline mobility and ability to complete </w:t>
      </w:r>
      <w:r w:rsidR="0003456D">
        <w:rPr>
          <w:rStyle w:val="Bold"/>
          <w:b w:val="0"/>
        </w:rPr>
        <w:t>activities of daily living (</w:t>
      </w:r>
      <w:r w:rsidRPr="2999B932">
        <w:rPr>
          <w:rStyle w:val="Bold"/>
          <w:b w:val="0"/>
        </w:rPr>
        <w:t>ADLs</w:t>
      </w:r>
      <w:r w:rsidR="0003456D">
        <w:rPr>
          <w:rStyle w:val="Bold"/>
          <w:b w:val="0"/>
        </w:rPr>
        <w:t>)</w:t>
      </w:r>
      <w:r w:rsidRPr="2999B932">
        <w:rPr>
          <w:rStyle w:val="Bold"/>
          <w:b w:val="0"/>
        </w:rPr>
        <w:t>.</w:t>
      </w:r>
    </w:p>
    <w:p w14:paraId="64F96405" w14:textId="77777777" w:rsidR="00B50E22" w:rsidRPr="005C5F49" w:rsidRDefault="00B50E22" w:rsidP="00B50E22">
      <w:pPr>
        <w:pStyle w:val="BodyCopy"/>
        <w:pBdr>
          <w:top w:val="single" w:sz="4" w:space="1" w:color="auto"/>
          <w:left w:val="single" w:sz="4" w:space="4" w:color="auto"/>
          <w:bottom w:val="single" w:sz="4" w:space="1" w:color="auto"/>
          <w:right w:val="single" w:sz="4" w:space="4" w:color="auto"/>
        </w:pBdr>
        <w:shd w:val="clear" w:color="auto" w:fill="FFFFFF" w:themeFill="background1"/>
        <w:rPr>
          <w:rStyle w:val="Bold"/>
        </w:rPr>
      </w:pPr>
      <w:r w:rsidRPr="005C5F49">
        <w:rPr>
          <w:rStyle w:val="Bold"/>
        </w:rPr>
        <w:t>Alert</w:t>
      </w:r>
    </w:p>
    <w:p w14:paraId="4E7EF23A" w14:textId="7B6027F4" w:rsidR="00B50E22" w:rsidRDefault="00B50E22" w:rsidP="00B50E22">
      <w:pPr>
        <w:pStyle w:val="Bullet"/>
        <w:pBdr>
          <w:top w:val="single" w:sz="4" w:space="1" w:color="auto"/>
          <w:left w:val="single" w:sz="4" w:space="4" w:color="auto"/>
          <w:bottom w:val="single" w:sz="4" w:space="1" w:color="auto"/>
          <w:right w:val="single" w:sz="4" w:space="4" w:color="auto"/>
        </w:pBdr>
        <w:shd w:val="clear" w:color="auto" w:fill="FFFFFF" w:themeFill="background1"/>
      </w:pPr>
      <w:r>
        <w:t xml:space="preserve">Apomorphine may induce nausea and vomiting, </w:t>
      </w:r>
      <w:r w:rsidRPr="003D1270">
        <w:t>and it is recommended to commence 10mg Domperidone three times daily (TDS) at least 48</w:t>
      </w:r>
      <w:r w:rsidR="00567861">
        <w:t xml:space="preserve"> to </w:t>
      </w:r>
      <w:r w:rsidRPr="003D1270">
        <w:t>72 hours prior to an Apomorphine Challenge (</w:t>
      </w:r>
      <w:r>
        <w:t xml:space="preserve">Refer to </w:t>
      </w:r>
      <w:r w:rsidRPr="003D1270">
        <w:t xml:space="preserve">Section </w:t>
      </w:r>
      <w:r>
        <w:t>6</w:t>
      </w:r>
      <w:r w:rsidRPr="003D1270">
        <w:t xml:space="preserve">), then </w:t>
      </w:r>
      <w:r>
        <w:t>gradually wean as tolerated.</w:t>
      </w:r>
    </w:p>
    <w:p w14:paraId="516764DA" w14:textId="0710D43E" w:rsidR="00B50E22" w:rsidRDefault="00B50E22" w:rsidP="00B50E22">
      <w:pPr>
        <w:pStyle w:val="Bullet"/>
        <w:pBdr>
          <w:top w:val="single" w:sz="4" w:space="1" w:color="auto"/>
          <w:left w:val="single" w:sz="4" w:space="4" w:color="auto"/>
          <w:bottom w:val="single" w:sz="4" w:space="1" w:color="auto"/>
          <w:right w:val="single" w:sz="4" w:space="4" w:color="auto"/>
        </w:pBdr>
        <w:shd w:val="clear" w:color="auto" w:fill="FFFFFF" w:themeFill="background1"/>
      </w:pPr>
      <w:r>
        <w:t xml:space="preserve">Apomorphine may cause hallucinations and impulse control disorder, close monitoring is essential during the initiation phase. </w:t>
      </w:r>
    </w:p>
    <w:p w14:paraId="31A8BD45" w14:textId="39E1E9C3" w:rsidR="001B5125" w:rsidRPr="00B50E22" w:rsidRDefault="00B50E22" w:rsidP="00B50E22">
      <w:pPr>
        <w:pStyle w:val="Bullet"/>
        <w:pBdr>
          <w:top w:val="single" w:sz="4" w:space="1" w:color="auto"/>
          <w:left w:val="single" w:sz="4" w:space="4" w:color="auto"/>
          <w:bottom w:val="single" w:sz="4" w:space="1" w:color="auto"/>
          <w:right w:val="single" w:sz="4" w:space="4" w:color="auto"/>
        </w:pBdr>
        <w:shd w:val="clear" w:color="auto" w:fill="FFFFFF" w:themeFill="background1"/>
      </w:pPr>
      <w:r>
        <w:t xml:space="preserve">Apomorphine is </w:t>
      </w:r>
      <w:r w:rsidRPr="00B50E22">
        <w:rPr>
          <w:b/>
          <w:bCs/>
        </w:rPr>
        <w:t>not</w:t>
      </w:r>
      <w:r>
        <w:t xml:space="preserve"> morphine, nor does it have any analgesic or addictive properties. </w:t>
      </w:r>
    </w:p>
    <w:p w14:paraId="3171D76F" w14:textId="32831E68" w:rsidR="004E2D3F" w:rsidRDefault="004E2D3F" w:rsidP="004E2D3F">
      <w:pPr>
        <w:pStyle w:val="Heading5"/>
      </w:pPr>
      <w:r w:rsidRPr="00FE4816">
        <w:lastRenderedPageBreak/>
        <w:t>Administration options</w:t>
      </w:r>
    </w:p>
    <w:p w14:paraId="77628F38" w14:textId="0909CFD9" w:rsidR="004E2D3F" w:rsidRDefault="004E2D3F" w:rsidP="004E2D3F">
      <w:pPr>
        <w:pStyle w:val="BodyCopy"/>
      </w:pPr>
      <w:r>
        <w:t>Apomorphine can be administered using two different options based on the symptoms of the patient. The referring Medical Officer should indicate which administration they are aiming to achieve</w:t>
      </w:r>
      <w:r w:rsidR="00B01322">
        <w:t xml:space="preserve"> for ongoing use</w:t>
      </w:r>
      <w:r>
        <w:t>.</w:t>
      </w:r>
    </w:p>
    <w:p w14:paraId="1B1D45A4" w14:textId="77777777" w:rsidR="004E2D3F" w:rsidRPr="00FE4816" w:rsidRDefault="004E2D3F" w:rsidP="004E2D3F">
      <w:pPr>
        <w:pStyle w:val="Heading6"/>
        <w:rPr>
          <w:bCs/>
        </w:rPr>
      </w:pPr>
      <w:r w:rsidRPr="5FD7997E">
        <w:t>Intermittent Subcutaneous Injections</w:t>
      </w:r>
    </w:p>
    <w:p w14:paraId="4D056671" w14:textId="77777777" w:rsidR="004E2D3F" w:rsidRPr="00FE4816" w:rsidRDefault="004E2D3F" w:rsidP="004E2D3F">
      <w:pPr>
        <w:pStyle w:val="BodyCopy"/>
      </w:pPr>
      <w:r w:rsidRPr="2999B932">
        <w:rPr>
          <w:rFonts w:eastAsia="Arial"/>
        </w:rPr>
        <w:t>Intermittent subcutaneous injections of Apomorphine as an ‘on-demand’ therapy is s</w:t>
      </w:r>
      <w:r>
        <w:t>uitable for patients who experience ‘OFF’ periods.</w:t>
      </w:r>
    </w:p>
    <w:p w14:paraId="6337C9ED" w14:textId="77777777" w:rsidR="004E2D3F" w:rsidRPr="00FE4816" w:rsidRDefault="004E2D3F" w:rsidP="004E2D3F">
      <w:pPr>
        <w:pStyle w:val="Heading6"/>
        <w:rPr>
          <w:bCs/>
        </w:rPr>
      </w:pPr>
      <w:r w:rsidRPr="00FE4816">
        <w:t>Continuous Subcutaneous Infusion</w:t>
      </w:r>
    </w:p>
    <w:p w14:paraId="6E4A70DF" w14:textId="77777777" w:rsidR="004E2D3F" w:rsidRDefault="004E2D3F" w:rsidP="00097B63">
      <w:pPr>
        <w:pStyle w:val="BodyCopy"/>
      </w:pPr>
      <w:r>
        <w:t>Suitable for patients who are unable to achieve adequate ‘ON’ periods on oral dopaminergic therapy alone or who experience significant Levodopa Induced Dyskinesia (LID).</w:t>
      </w:r>
    </w:p>
    <w:p w14:paraId="38D90ACE" w14:textId="53E97630" w:rsidR="00097B63" w:rsidRDefault="001B5125" w:rsidP="00097B63">
      <w:pPr>
        <w:pStyle w:val="BodyCopy"/>
        <w:rPr>
          <w:lang w:eastAsia="en-US"/>
        </w:rPr>
      </w:pPr>
      <w:r>
        <w:rPr>
          <w:lang w:eastAsia="en-US"/>
        </w:rPr>
        <w:t>Please see eMIMS for the most up to date product information</w:t>
      </w:r>
      <w:r w:rsidR="00D41E94">
        <w:rPr>
          <w:lang w:eastAsia="en-US"/>
        </w:rPr>
        <w:t xml:space="preserve"> (accessed via the HealthHub)</w:t>
      </w:r>
      <w:r w:rsidR="004E2D3F">
        <w:rPr>
          <w:lang w:eastAsia="en-US"/>
        </w:rPr>
        <w:t xml:space="preserve">. </w:t>
      </w:r>
    </w:p>
    <w:p w14:paraId="461BB7D5" w14:textId="30E99145" w:rsidR="000D1E0F" w:rsidRDefault="000D1E0F" w:rsidP="00097B63">
      <w:pPr>
        <w:pStyle w:val="BodyCopy"/>
        <w:rPr>
          <w:lang w:eastAsia="en-US"/>
        </w:rPr>
      </w:pPr>
      <w:r>
        <w:rPr>
          <w:lang w:eastAsia="en-US"/>
        </w:rPr>
        <w:t xml:space="preserve">Please see </w:t>
      </w:r>
      <w:r w:rsidR="00F93A40">
        <w:rPr>
          <w:lang w:eastAsia="en-US"/>
        </w:rPr>
        <w:t>A</w:t>
      </w:r>
      <w:r>
        <w:rPr>
          <w:lang w:eastAsia="en-US"/>
        </w:rPr>
        <w:t xml:space="preserve">ttachment 2 for </w:t>
      </w:r>
      <w:r w:rsidRPr="000D1E0F">
        <w:rPr>
          <w:lang w:eastAsia="en-US"/>
        </w:rPr>
        <w:t>Patient Selection Guidelines for Commencement of Apomorphine Therapy</w:t>
      </w:r>
      <w:r>
        <w:rPr>
          <w:lang w:eastAsia="en-US"/>
        </w:rPr>
        <w:t>.</w:t>
      </w:r>
    </w:p>
    <w:p w14:paraId="79805AF9" w14:textId="77777777" w:rsidR="00097B63" w:rsidRDefault="001B5125" w:rsidP="001B5125">
      <w:pPr>
        <w:pStyle w:val="BodyCopy"/>
        <w:spacing w:before="240"/>
      </w:pPr>
      <w:hyperlink w:anchor="_top" w:history="1">
        <w:r w:rsidRPr="00481A6C">
          <w:rPr>
            <w:rStyle w:val="Hyperlink"/>
            <w:iCs w:val="0"/>
          </w:rPr>
          <w:t>Back to Contents</w:t>
        </w:r>
      </w:hyperlink>
    </w:p>
    <w:p w14:paraId="4C2EF000" w14:textId="5E6D7166" w:rsidR="00097B63" w:rsidRDefault="00097B63" w:rsidP="00097B63">
      <w:pPr>
        <w:pStyle w:val="Heading4"/>
      </w:pPr>
      <w:bookmarkStart w:id="12" w:name="_Toc222385553"/>
      <w:r>
        <w:t>Section 6</w:t>
      </w:r>
      <w:r w:rsidR="00D36155">
        <w:t xml:space="preserve"> – </w:t>
      </w:r>
      <w:r w:rsidR="004E2D3F">
        <w:t>Apomorphine Challenge</w:t>
      </w:r>
      <w:bookmarkEnd w:id="12"/>
    </w:p>
    <w:p w14:paraId="3FBA1F6B" w14:textId="77777777" w:rsidR="004E2D3F" w:rsidRDefault="004E2D3F" w:rsidP="004E2D3F">
      <w:pPr>
        <w:pStyle w:val="BodyCopy"/>
        <w:rPr>
          <w:lang w:eastAsia="en-US"/>
        </w:rPr>
      </w:pPr>
      <w:r>
        <w:rPr>
          <w:lang w:eastAsia="en-US"/>
        </w:rPr>
        <w:t>T</w:t>
      </w:r>
      <w:r w:rsidRPr="00523DD2">
        <w:rPr>
          <w:lang w:eastAsia="en-US"/>
        </w:rPr>
        <w:t>he Neurologist or Geriatrician must indicate whether the patient is to have intermittent subcutaneous injection or continuous subcutaneous infusion if the Apomorphine Challenge is</w:t>
      </w:r>
      <w:r>
        <w:rPr>
          <w:lang w:eastAsia="en-US"/>
        </w:rPr>
        <w:t xml:space="preserve"> tolerated. </w:t>
      </w:r>
    </w:p>
    <w:p w14:paraId="62542988" w14:textId="02700FEE" w:rsidR="004E2D3F" w:rsidRDefault="004E2D3F" w:rsidP="004E2D3F">
      <w:pPr>
        <w:pStyle w:val="BodyCopy"/>
      </w:pPr>
      <w:r>
        <w:t>The patient will be assessed using different challenge doses of Apomorphine: 1.5mg, 3mg, and 5mg. The aim is to achieve an ‘ON’ period within 7</w:t>
      </w:r>
      <w:r w:rsidR="0091774D">
        <w:t xml:space="preserve"> to</w:t>
      </w:r>
      <w:r>
        <w:t>10 minutes and duration effect of roughly 45</w:t>
      </w:r>
      <w:r w:rsidR="0091774D">
        <w:t xml:space="preserve"> to </w:t>
      </w:r>
      <w:r>
        <w:t>60 minutes. There will be a minimum of 45 minutes between each dose to allow for the drug to ‘wear-off’ prior to dosage increment. The entire Apomorphine Challenge is expected to take 4</w:t>
      </w:r>
      <w:r w:rsidR="00531C74">
        <w:t xml:space="preserve"> to</w:t>
      </w:r>
      <w:r>
        <w:t xml:space="preserve">5 hours to complete (however this may vary based on individual response). </w:t>
      </w:r>
    </w:p>
    <w:p w14:paraId="51CA2231" w14:textId="77777777" w:rsidR="004E2D3F" w:rsidRPr="00FE4816" w:rsidRDefault="004E2D3F" w:rsidP="004E2D3F">
      <w:pPr>
        <w:pStyle w:val="Heading5"/>
      </w:pPr>
      <w:r w:rsidRPr="00FE4816">
        <w:t xml:space="preserve">Equipment </w:t>
      </w:r>
    </w:p>
    <w:p w14:paraId="528E9F32" w14:textId="4094A131" w:rsidR="004E2D3F" w:rsidRDefault="004E2D3F" w:rsidP="008A5A89">
      <w:pPr>
        <w:pStyle w:val="Bullet"/>
      </w:pPr>
      <w:r>
        <w:t>Apomorphine pen injector</w:t>
      </w:r>
    </w:p>
    <w:p w14:paraId="447E227F" w14:textId="19933CEA" w:rsidR="004E2D3F" w:rsidRDefault="004E2D3F" w:rsidP="008A5A89">
      <w:pPr>
        <w:pStyle w:val="Bullet"/>
      </w:pPr>
      <w:proofErr w:type="spellStart"/>
      <w:r>
        <w:t>Novofine</w:t>
      </w:r>
      <w:proofErr w:type="spellEnd"/>
      <w:r>
        <w:t xml:space="preserve"> </w:t>
      </w:r>
      <w:r w:rsidR="00001458">
        <w:t>n</w:t>
      </w:r>
      <w:r>
        <w:t>eedles</w:t>
      </w:r>
    </w:p>
    <w:p w14:paraId="0E5048BF" w14:textId="1327C9D6" w:rsidR="00001458" w:rsidRDefault="004E2D3F" w:rsidP="00001458">
      <w:pPr>
        <w:pStyle w:val="Bullet"/>
      </w:pPr>
      <w:r w:rsidRPr="00FE4816">
        <w:t xml:space="preserve">3 x Chlorhexidine </w:t>
      </w:r>
      <w:r w:rsidR="00001458">
        <w:t>s</w:t>
      </w:r>
      <w:r w:rsidRPr="00FE4816">
        <w:t>wabs</w:t>
      </w:r>
    </w:p>
    <w:p w14:paraId="4FBB61FC" w14:textId="4C706144" w:rsidR="00001458" w:rsidRDefault="004E2D3F" w:rsidP="00001458">
      <w:pPr>
        <w:pStyle w:val="Bullet"/>
      </w:pPr>
      <w:r w:rsidRPr="00001458">
        <w:t>Kidney dish</w:t>
      </w:r>
    </w:p>
    <w:p w14:paraId="6BAB8C52" w14:textId="7F37DD84" w:rsidR="003C4CBC" w:rsidRPr="00D2257C" w:rsidRDefault="001B41E3" w:rsidP="00001458">
      <w:pPr>
        <w:pStyle w:val="BodyCopy"/>
        <w:pBdr>
          <w:top w:val="single" w:sz="4" w:space="0" w:color="000000"/>
          <w:left w:val="single" w:sz="4" w:space="4" w:color="000000"/>
          <w:bottom w:val="single" w:sz="4" w:space="1" w:color="000000"/>
          <w:right w:val="single" w:sz="4" w:space="4" w:color="000000"/>
        </w:pBdr>
        <w:shd w:val="clear" w:color="auto" w:fill="FFFFFF" w:themeFill="background1"/>
        <w:rPr>
          <w:rStyle w:val="Bold"/>
          <w:bCs/>
        </w:rPr>
      </w:pPr>
      <w:r w:rsidRPr="00D2257C">
        <w:rPr>
          <w:rStyle w:val="Bold"/>
          <w:bCs/>
        </w:rPr>
        <w:t>Alert</w:t>
      </w:r>
    </w:p>
    <w:p w14:paraId="282D632D" w14:textId="086A28CA" w:rsidR="00001458" w:rsidRPr="001B5125" w:rsidRDefault="00001458" w:rsidP="00001458">
      <w:pPr>
        <w:pStyle w:val="BodyCopy"/>
        <w:pBdr>
          <w:top w:val="single" w:sz="4" w:space="0" w:color="000000"/>
          <w:left w:val="single" w:sz="4" w:space="4" w:color="000000"/>
          <w:bottom w:val="single" w:sz="4" w:space="1" w:color="000000"/>
          <w:right w:val="single" w:sz="4" w:space="4" w:color="000000"/>
        </w:pBdr>
        <w:shd w:val="clear" w:color="auto" w:fill="FFFFFF" w:themeFill="background1"/>
        <w:rPr>
          <w:bCs w:val="0"/>
        </w:rPr>
      </w:pPr>
      <w:r>
        <w:rPr>
          <w:rStyle w:val="Bold"/>
          <w:b w:val="0"/>
        </w:rPr>
        <w:t xml:space="preserve">Syringes and pumps are not compatible across brands. Brand specific parts must be used. </w:t>
      </w:r>
    </w:p>
    <w:p w14:paraId="5799E26A" w14:textId="77777777" w:rsidR="004E2D3F" w:rsidRPr="00FE4816" w:rsidRDefault="004E2D3F" w:rsidP="004E2D3F">
      <w:pPr>
        <w:pStyle w:val="Heading5"/>
      </w:pPr>
      <w:r w:rsidRPr="00FE4816">
        <w:lastRenderedPageBreak/>
        <w:t>Procedure</w:t>
      </w:r>
    </w:p>
    <w:p w14:paraId="39B48ACA" w14:textId="1D39FC41" w:rsidR="00284C55" w:rsidRDefault="004E2D3F" w:rsidP="00284C55">
      <w:pPr>
        <w:pStyle w:val="BodyCopy"/>
      </w:pPr>
      <w:r w:rsidRPr="00FE4816">
        <w:t>On admission</w:t>
      </w:r>
      <w:r w:rsidR="00001458">
        <w:t xml:space="preserve"> t</w:t>
      </w:r>
      <w:r>
        <w:t>he Movement Disorder APN will document the following information after confirming with the patient:</w:t>
      </w:r>
    </w:p>
    <w:p w14:paraId="5E3D3FCC" w14:textId="548F0149" w:rsidR="00284C55" w:rsidRDefault="00001458" w:rsidP="00001458">
      <w:pPr>
        <w:pStyle w:val="Bullet"/>
      </w:pPr>
      <w:r>
        <w:t xml:space="preserve">patient ID with 3 approved </w:t>
      </w:r>
      <w:r w:rsidR="004E2D3F">
        <w:t>identifiers</w:t>
      </w:r>
    </w:p>
    <w:p w14:paraId="6EC55BD5" w14:textId="0D3125CA" w:rsidR="00284C55" w:rsidRDefault="00001458" w:rsidP="00001458">
      <w:pPr>
        <w:pStyle w:val="Bullet"/>
      </w:pPr>
      <w:r>
        <w:t>patient</w:t>
      </w:r>
      <w:r w:rsidR="004E2D3F">
        <w:t xml:space="preserve"> allergies</w:t>
      </w:r>
    </w:p>
    <w:p w14:paraId="7401B854" w14:textId="56705171" w:rsidR="00897156" w:rsidRDefault="006317F9" w:rsidP="00001458">
      <w:pPr>
        <w:pStyle w:val="Bullet"/>
      </w:pPr>
      <w:r>
        <w:t>I</w:t>
      </w:r>
      <w:r w:rsidR="00001458">
        <w:t xml:space="preserve">nformed consent </w:t>
      </w:r>
    </w:p>
    <w:p w14:paraId="534A40F6" w14:textId="1099B6AD" w:rsidR="00284C55" w:rsidRDefault="004E2D3F" w:rsidP="00001458">
      <w:pPr>
        <w:pStyle w:val="Bullet"/>
      </w:pPr>
      <w:r>
        <w:t>reason for conducting the Apomorphine Challenge</w:t>
      </w:r>
    </w:p>
    <w:p w14:paraId="62AB0F55" w14:textId="0F64E04A" w:rsidR="00284C55" w:rsidRDefault="00001458" w:rsidP="00001458">
      <w:pPr>
        <w:pStyle w:val="Bullet"/>
      </w:pPr>
      <w:r>
        <w:t>c</w:t>
      </w:r>
      <w:r w:rsidR="004E2D3F">
        <w:t>urrent Parkinson’s medications</w:t>
      </w:r>
    </w:p>
    <w:p w14:paraId="57781448" w14:textId="54593EDB" w:rsidR="00284C55" w:rsidRDefault="00001458" w:rsidP="00001458">
      <w:pPr>
        <w:pStyle w:val="Bullet"/>
      </w:pPr>
      <w:r>
        <w:t>o</w:t>
      </w:r>
      <w:r w:rsidR="004E2D3F">
        <w:t>ther medications for Parkinson’s that they have trialled</w:t>
      </w:r>
    </w:p>
    <w:p w14:paraId="34AEF748" w14:textId="7BB877D6" w:rsidR="00284C55" w:rsidRDefault="00001458" w:rsidP="00001458">
      <w:pPr>
        <w:pStyle w:val="Bullet"/>
      </w:pPr>
      <w:r>
        <w:t>t</w:t>
      </w:r>
      <w:r w:rsidR="004E2D3F">
        <w:t>hat they have been assessed and deemed as having stable cardiac, renal, respiratory, and psychiatric function</w:t>
      </w:r>
    </w:p>
    <w:p w14:paraId="756C55CA" w14:textId="77777777" w:rsidR="00750A14" w:rsidRDefault="00750520" w:rsidP="00750A14">
      <w:pPr>
        <w:pStyle w:val="Bullet"/>
      </w:pPr>
      <w:r>
        <w:t>a</w:t>
      </w:r>
      <w:r w:rsidR="004E2D3F">
        <w:t xml:space="preserve">ll Parkinson’s medication </w:t>
      </w:r>
      <w:r w:rsidR="00767373">
        <w:t xml:space="preserve">has </w:t>
      </w:r>
      <w:r w:rsidR="004E2D3F">
        <w:t>been withheld for a minimum of six hours prior to challenge – this ensures an ‘OFF’ state</w:t>
      </w:r>
    </w:p>
    <w:p w14:paraId="11C28BB3" w14:textId="77939FF4" w:rsidR="003C4CBC" w:rsidRDefault="00750520" w:rsidP="00750A14">
      <w:pPr>
        <w:pStyle w:val="Bullet"/>
      </w:pPr>
      <w:r>
        <w:t>a</w:t>
      </w:r>
      <w:r w:rsidR="004E2D3F">
        <w:t>ny dopamine agonist medications have been withheld for at least twelve hours</w:t>
      </w:r>
      <w:r>
        <w:t>.</w:t>
      </w:r>
    </w:p>
    <w:p w14:paraId="2FC4B447" w14:textId="77777777" w:rsidR="00750A14" w:rsidRDefault="006317F9" w:rsidP="003C4CBC">
      <w:pPr>
        <w:pStyle w:val="BodyCopy"/>
        <w:pBdr>
          <w:top w:val="single" w:sz="4" w:space="1" w:color="auto"/>
          <w:left w:val="single" w:sz="4" w:space="4" w:color="auto"/>
          <w:bottom w:val="single" w:sz="4" w:space="1" w:color="auto"/>
          <w:right w:val="single" w:sz="4" w:space="4" w:color="auto"/>
        </w:pBdr>
        <w:rPr>
          <w:b/>
          <w:bCs w:val="0"/>
        </w:rPr>
      </w:pPr>
      <w:r>
        <w:rPr>
          <w:b/>
          <w:bCs w:val="0"/>
        </w:rPr>
        <w:t>A</w:t>
      </w:r>
      <w:r w:rsidR="001B41E3">
        <w:rPr>
          <w:b/>
          <w:bCs w:val="0"/>
        </w:rPr>
        <w:t>lert</w:t>
      </w:r>
    </w:p>
    <w:p w14:paraId="4ED3E4F2" w14:textId="6ECBA9E8" w:rsidR="004E2D3F" w:rsidRPr="006317F9" w:rsidRDefault="004E2D3F" w:rsidP="003C4CBC">
      <w:pPr>
        <w:pStyle w:val="BodyCopy"/>
        <w:pBdr>
          <w:top w:val="single" w:sz="4" w:space="1" w:color="auto"/>
          <w:left w:val="single" w:sz="4" w:space="4" w:color="auto"/>
          <w:bottom w:val="single" w:sz="4" w:space="1" w:color="auto"/>
          <w:right w:val="single" w:sz="4" w:space="4" w:color="auto"/>
        </w:pBdr>
        <w:rPr>
          <w:b/>
          <w:bCs w:val="0"/>
        </w:rPr>
      </w:pPr>
      <w:r w:rsidRPr="00FE4816">
        <w:t xml:space="preserve">The patient is </w:t>
      </w:r>
      <w:r w:rsidRPr="00750A14">
        <w:rPr>
          <w:b/>
          <w:bCs w:val="0"/>
        </w:rPr>
        <w:t>NOT</w:t>
      </w:r>
      <w:r w:rsidRPr="00FE4816">
        <w:t xml:space="preserve"> required to be nil by mouth</w:t>
      </w:r>
      <w:r w:rsidR="00750A14">
        <w:t xml:space="preserve"> </w:t>
      </w:r>
      <w:r w:rsidRPr="00FE4816">
        <w:t xml:space="preserve">– only withhold Parkinson’s medications. </w:t>
      </w:r>
      <w:r w:rsidR="00750520">
        <w:t xml:space="preserve">For further information on medication administration refer to the </w:t>
      </w:r>
      <w:r w:rsidRPr="00FE4816">
        <w:t xml:space="preserve">Medication Handling Policy </w:t>
      </w:r>
      <w:r w:rsidR="00750520">
        <w:t xml:space="preserve">available on the CHS Policy and Guidance Documents Register. </w:t>
      </w:r>
    </w:p>
    <w:p w14:paraId="28112EF0" w14:textId="77777777" w:rsidR="00750A14" w:rsidRDefault="00750A14" w:rsidP="004E2D3F">
      <w:pPr>
        <w:pStyle w:val="BodyCopy"/>
      </w:pPr>
    </w:p>
    <w:p w14:paraId="3202EE28" w14:textId="6A4D06F7" w:rsidR="004E2D3F" w:rsidRPr="00FE4816" w:rsidRDefault="004E2D3F" w:rsidP="004E2D3F">
      <w:pPr>
        <w:pStyle w:val="BodyCopy"/>
      </w:pPr>
      <w:r>
        <w:t>The Movement Disorder APN will:</w:t>
      </w:r>
    </w:p>
    <w:p w14:paraId="357750FE" w14:textId="75FD56B3" w:rsidR="004E2D3F" w:rsidRPr="00FE4816" w:rsidRDefault="004E2D3F" w:rsidP="00001458">
      <w:pPr>
        <w:pStyle w:val="Numberedlist"/>
        <w:numPr>
          <w:ilvl w:val="0"/>
          <w:numId w:val="40"/>
        </w:numPr>
      </w:pPr>
      <w:r>
        <w:t>R</w:t>
      </w:r>
      <w:r w:rsidRPr="00FE4816">
        <w:t>ecord a set of baseline vital signs</w:t>
      </w:r>
      <w:r w:rsidR="00B01322">
        <w:t>.</w:t>
      </w:r>
    </w:p>
    <w:p w14:paraId="3D6AFFA8" w14:textId="586943BA" w:rsidR="004E2D3F" w:rsidRPr="00FE4816" w:rsidRDefault="004E2D3F" w:rsidP="00001458">
      <w:pPr>
        <w:pStyle w:val="Numberedlist"/>
      </w:pPr>
      <w:r>
        <w:t>C</w:t>
      </w:r>
      <w:r w:rsidRPr="00FE4816">
        <w:t xml:space="preserve">onduct a UPDRS assessment to establish ‘OFF’ baseline – use the Parkinson’s - Apomorphine Challenge template, which can be found </w:t>
      </w:r>
      <w:r w:rsidR="00F7432A">
        <w:t xml:space="preserve">in </w:t>
      </w:r>
      <w:r w:rsidR="00750A14">
        <w:t xml:space="preserve">the </w:t>
      </w:r>
      <w:r w:rsidR="00F7432A">
        <w:t xml:space="preserve">DHR under flow sheets. </w:t>
      </w:r>
    </w:p>
    <w:p w14:paraId="4CDEB2A3" w14:textId="424D6360" w:rsidR="004E2D3F" w:rsidRPr="00FE4816" w:rsidRDefault="004E2D3F" w:rsidP="00001458">
      <w:pPr>
        <w:pStyle w:val="Numberedlist"/>
      </w:pPr>
      <w:r>
        <w:t>A</w:t>
      </w:r>
      <w:r w:rsidRPr="00FE4816">
        <w:t>dminister the first dose (</w:t>
      </w:r>
      <w:r w:rsidR="00B46B15">
        <w:t xml:space="preserve">1.5 </w:t>
      </w:r>
      <w:r w:rsidRPr="00FE4816">
        <w:t>mg) of Apomorphine into the selected site (abdomen/thigh)</w:t>
      </w:r>
    </w:p>
    <w:p w14:paraId="1677F28E" w14:textId="77777777" w:rsidR="004E2D3F" w:rsidRDefault="004E2D3F" w:rsidP="00001458">
      <w:pPr>
        <w:pStyle w:val="Numberedlist"/>
      </w:pPr>
      <w:r>
        <w:t>C</w:t>
      </w:r>
      <w:r w:rsidRPr="00FE4816">
        <w:t>onduct another UPDRS assessment 10 minutes after administration of first dose</w:t>
      </w:r>
      <w:r>
        <w:t xml:space="preserve"> and just before next dose.</w:t>
      </w:r>
    </w:p>
    <w:p w14:paraId="12A0F52D" w14:textId="0E0AA0E5" w:rsidR="004E2D3F" w:rsidRPr="00D92B9E" w:rsidRDefault="00300D5E" w:rsidP="002945BA">
      <w:pPr>
        <w:pStyle w:val="Numberedlist"/>
      </w:pPr>
      <w:r>
        <w:t xml:space="preserve">Repeat </w:t>
      </w:r>
      <w:r w:rsidR="00643AF5">
        <w:t xml:space="preserve">the same steps with second (3 mg) and third (5 mg) doses </w:t>
      </w:r>
      <w:r>
        <w:t xml:space="preserve">as per </w:t>
      </w:r>
      <w:proofErr w:type="spellStart"/>
      <w:r>
        <w:t>eMIMs</w:t>
      </w:r>
      <w:proofErr w:type="spellEnd"/>
      <w:r w:rsidR="004E2D3F">
        <w:t xml:space="preserve"> “Determination of the threshold dose”</w:t>
      </w:r>
      <w:r w:rsidR="00D92B9E" w:rsidRPr="00D92B9E">
        <w:t xml:space="preserve"> </w:t>
      </w:r>
      <w:r w:rsidR="00D92B9E">
        <w:t>(</w:t>
      </w:r>
      <w:r w:rsidR="002945BA" w:rsidRPr="002945BA">
        <w:t>available on the intranet</w:t>
      </w:r>
      <w:r w:rsidR="002945BA">
        <w:t xml:space="preserve">: </w:t>
      </w:r>
      <w:hyperlink r:id="rId9" w:history="1">
        <w:r w:rsidR="002945BA" w:rsidRPr="00A20056">
          <w:rPr>
            <w:rStyle w:val="Hyperlink"/>
          </w:rPr>
          <w:t>https://app.emims.plus/medicineview?id=22b242e5-61d8-4e9f-8364-aa29011e9b0c&amp;type=fullpi</w:t>
        </w:r>
      </w:hyperlink>
      <w:r w:rsidR="00750A14">
        <w:t>)</w:t>
      </w:r>
      <w:r w:rsidR="002945BA">
        <w:t>.</w:t>
      </w:r>
    </w:p>
    <w:p w14:paraId="2AD86024" w14:textId="77777777" w:rsidR="00D92B9E" w:rsidRPr="00FE4816" w:rsidRDefault="00D92B9E" w:rsidP="00D2257C">
      <w:pPr>
        <w:pStyle w:val="Numberedlist"/>
        <w:numPr>
          <w:ilvl w:val="0"/>
          <w:numId w:val="0"/>
        </w:numPr>
        <w:ind w:left="425" w:hanging="425"/>
      </w:pPr>
    </w:p>
    <w:p w14:paraId="4132C477" w14:textId="107C79E1" w:rsidR="003C4CBC" w:rsidRDefault="003C4CBC" w:rsidP="003C4CBC">
      <w:pPr>
        <w:pStyle w:val="BodyCopy"/>
        <w:pBdr>
          <w:top w:val="single" w:sz="4" w:space="1" w:color="auto"/>
          <w:left w:val="single" w:sz="4" w:space="4" w:color="auto"/>
          <w:bottom w:val="single" w:sz="4" w:space="1" w:color="auto"/>
          <w:right w:val="single" w:sz="4" w:space="4" w:color="auto"/>
        </w:pBdr>
        <w:rPr>
          <w:b/>
          <w:bCs w:val="0"/>
        </w:rPr>
      </w:pPr>
      <w:r>
        <w:rPr>
          <w:b/>
          <w:bCs w:val="0"/>
        </w:rPr>
        <w:t>Alert</w:t>
      </w:r>
    </w:p>
    <w:p w14:paraId="7E68E987" w14:textId="315D7724" w:rsidR="005351C6" w:rsidRDefault="005351C6" w:rsidP="003C4CBC">
      <w:pPr>
        <w:pStyle w:val="BodyCopy"/>
        <w:pBdr>
          <w:top w:val="single" w:sz="4" w:space="1" w:color="auto"/>
          <w:left w:val="single" w:sz="4" w:space="4" w:color="auto"/>
          <w:bottom w:val="single" w:sz="4" w:space="1" w:color="auto"/>
          <w:right w:val="single" w:sz="4" w:space="4" w:color="auto"/>
        </w:pBdr>
      </w:pPr>
      <w:r w:rsidRPr="005351C6">
        <w:lastRenderedPageBreak/>
        <w:t xml:space="preserve">If the patient demonstrates an adequate therapeutic ‘ON’ response following the initial or second dose, further doses of </w:t>
      </w:r>
      <w:r w:rsidR="002945BA">
        <w:t>A</w:t>
      </w:r>
      <w:r w:rsidRPr="005351C6">
        <w:t xml:space="preserve">pomorphine </w:t>
      </w:r>
      <w:r>
        <w:t>can</w:t>
      </w:r>
      <w:r w:rsidRPr="005351C6">
        <w:t xml:space="preserve"> be withheld.</w:t>
      </w:r>
    </w:p>
    <w:p w14:paraId="16692FA8" w14:textId="36C7383F" w:rsidR="00B01322" w:rsidRDefault="003C4CBC" w:rsidP="00B01322">
      <w:pPr>
        <w:pStyle w:val="Numberedlist"/>
      </w:pPr>
      <w:r>
        <w:t>Calculate t</w:t>
      </w:r>
      <w:r w:rsidR="00300D5E" w:rsidRPr="00FE4816">
        <w:t>he Apomorphine percentage response and report to the treating Neurologist or Geriatrician</w:t>
      </w:r>
      <w:r w:rsidR="00B01322">
        <w:t>.</w:t>
      </w:r>
    </w:p>
    <w:p w14:paraId="378D9082" w14:textId="13C5A115" w:rsidR="00300D5E" w:rsidRDefault="00643AF5" w:rsidP="00B01322">
      <w:pPr>
        <w:pStyle w:val="BodyCopy"/>
      </w:pPr>
      <w:r>
        <w:t>Once t</w:t>
      </w:r>
      <w:r w:rsidR="00300D5E" w:rsidRPr="00FE4816">
        <w:t xml:space="preserve">he </w:t>
      </w:r>
      <w:r>
        <w:t xml:space="preserve">required dose is achieved, the </w:t>
      </w:r>
      <w:r w:rsidR="00300D5E" w:rsidRPr="00FE4816">
        <w:t xml:space="preserve">treating Neurologist or Geriatrician will decide the </w:t>
      </w:r>
      <w:r w:rsidR="00B01322">
        <w:t xml:space="preserve">ongoing method of administration and </w:t>
      </w:r>
      <w:r w:rsidR="00300D5E" w:rsidRPr="00FE4816">
        <w:t>discharge/transfer the patient accordingly:</w:t>
      </w:r>
    </w:p>
    <w:p w14:paraId="4CEDA118" w14:textId="77777777" w:rsidR="00300D5E" w:rsidRDefault="00300D5E" w:rsidP="00B01322">
      <w:pPr>
        <w:pStyle w:val="Bullet"/>
      </w:pPr>
      <w:r w:rsidRPr="00FE4816">
        <w:t xml:space="preserve">Intermittent subcutaneous injections: to home </w:t>
      </w:r>
    </w:p>
    <w:p w14:paraId="5349F5B3" w14:textId="77777777" w:rsidR="00300D5E" w:rsidRDefault="00300D5E" w:rsidP="00B01322">
      <w:pPr>
        <w:pStyle w:val="Bullet"/>
      </w:pPr>
      <w:r w:rsidRPr="00FE4816">
        <w:t>Continuous subcutaneous infusion: to HITH with the following documentation to be completed by HITH employees prior to transfer:</w:t>
      </w:r>
    </w:p>
    <w:p w14:paraId="5763C804" w14:textId="2D755FB7" w:rsidR="00300D5E" w:rsidRDefault="00300D5E" w:rsidP="00B01322">
      <w:pPr>
        <w:pStyle w:val="Bullet"/>
        <w:numPr>
          <w:ilvl w:val="1"/>
          <w:numId w:val="1"/>
        </w:numPr>
      </w:pPr>
      <w:r w:rsidRPr="00FE4816">
        <w:t xml:space="preserve">Referral and Consent for Treatment Hospital in the Home </w:t>
      </w:r>
    </w:p>
    <w:p w14:paraId="29FD2230" w14:textId="77777777" w:rsidR="00300D5E" w:rsidRDefault="00300D5E" w:rsidP="00B01322">
      <w:pPr>
        <w:pStyle w:val="Bullet"/>
        <w:numPr>
          <w:ilvl w:val="1"/>
          <w:numId w:val="1"/>
        </w:numPr>
      </w:pPr>
      <w:r>
        <w:t>Titration plan as prescribed by Neurologist or Geriatrician</w:t>
      </w:r>
    </w:p>
    <w:p w14:paraId="6F155204" w14:textId="77777777" w:rsidR="001B5125" w:rsidRDefault="001B5125" w:rsidP="001B5125">
      <w:pPr>
        <w:pStyle w:val="BodyCopy"/>
        <w:spacing w:before="240"/>
      </w:pPr>
      <w:hyperlink w:anchor="_top" w:history="1">
        <w:r w:rsidRPr="00481A6C">
          <w:rPr>
            <w:rStyle w:val="Hyperlink"/>
            <w:iCs w:val="0"/>
          </w:rPr>
          <w:t>Back to Contents</w:t>
        </w:r>
      </w:hyperlink>
    </w:p>
    <w:p w14:paraId="1FF867B4" w14:textId="77777777" w:rsidR="00097B63" w:rsidRDefault="00097B63" w:rsidP="00097B63">
      <w:pPr>
        <w:pStyle w:val="Heading4"/>
      </w:pPr>
      <w:bookmarkStart w:id="13" w:name="_Toc222385554"/>
      <w:r>
        <w:t xml:space="preserve">Section 7 </w:t>
      </w:r>
      <w:r w:rsidR="00300D5E">
        <w:t>– Continuous Subcutaneous Apomorphine infusion</w:t>
      </w:r>
      <w:bookmarkEnd w:id="13"/>
      <w:r w:rsidR="00300D5E">
        <w:t xml:space="preserve"> </w:t>
      </w:r>
    </w:p>
    <w:p w14:paraId="17AF2ECC" w14:textId="6A767342" w:rsidR="003912BA" w:rsidRPr="00B01322" w:rsidRDefault="00B01322" w:rsidP="00B01322">
      <w:pPr>
        <w:pStyle w:val="BodyCopy"/>
      </w:pPr>
      <w:r>
        <w:t xml:space="preserve">If continuous subcutaneous infusion is determined to be the most appropriate method of ongoing administration, </w:t>
      </w:r>
      <w:r w:rsidR="00485D35" w:rsidRPr="00B01322">
        <w:t>t</w:t>
      </w:r>
      <w:r w:rsidR="003912BA" w:rsidRPr="00B01322">
        <w:t>he patient will be transferred to HITH for ongoing monitoring and dose titration. HITH team members will be supported by the Movement Disorder APN under direction from the treating/accepting Neurologist or Geriatrician to ensure titration is completed correctly. If necessary, the APN/HITH nurses can request help from the product manufacturer.</w:t>
      </w:r>
    </w:p>
    <w:p w14:paraId="36A309BF" w14:textId="46F73BB0" w:rsidR="003912BA" w:rsidRPr="00B01322" w:rsidRDefault="003912BA" w:rsidP="00B01322">
      <w:pPr>
        <w:pStyle w:val="BodyCopy"/>
      </w:pPr>
      <w:r w:rsidRPr="00B01322">
        <w:t>Once the successful challenge dose is determined, the starting rate of the Apomorphine infusion will be set at half this dose, i.e. if the challenge dose was determined to be 5mg</w:t>
      </w:r>
      <w:r w:rsidR="00B01322">
        <w:t>/hr</w:t>
      </w:r>
      <w:r w:rsidRPr="00B01322">
        <w:t xml:space="preserve">, the starting continuous infusion rate will be 2.5mg/hr. </w:t>
      </w:r>
    </w:p>
    <w:p w14:paraId="27B9C2B9" w14:textId="6B3E9B14" w:rsidR="003912BA" w:rsidRPr="00B01322" w:rsidRDefault="003912BA" w:rsidP="00B01322">
      <w:pPr>
        <w:pStyle w:val="BodyCopy"/>
      </w:pPr>
      <w:r w:rsidRPr="00B01322">
        <w:t>The recommended titration rate is 0.5mg/hr weekly with simultaneous reduction of oral medications calculated to the approximate Levodopa Equivalent Dosage (LED) using the Tomlinson table in Attachment 1.</w:t>
      </w:r>
      <w:r w:rsidR="00E1071C" w:rsidRPr="00B01322">
        <w:t xml:space="preserve"> This will be based on UPDRS and Neurologist or Geriatrician prescription. </w:t>
      </w:r>
    </w:p>
    <w:p w14:paraId="5622BBAB" w14:textId="3DCD4393" w:rsidR="00A673D4" w:rsidRPr="00B01322" w:rsidRDefault="00A673D4" w:rsidP="00B01322">
      <w:pPr>
        <w:pStyle w:val="BodyCopy"/>
      </w:pPr>
      <w:bookmarkStart w:id="14" w:name="_Hlk221614308"/>
      <w:r w:rsidRPr="00A673D4">
        <w:t xml:space="preserve">The patient will undergo regular reviews in the specialist </w:t>
      </w:r>
      <w:r w:rsidR="00E00537" w:rsidRPr="00A673D4">
        <w:t>clinic</w:t>
      </w:r>
      <w:r w:rsidR="00E00537">
        <w:t>. Ongoing clinic request can be organised in DHR</w:t>
      </w:r>
      <w:r w:rsidRPr="00A673D4">
        <w:t xml:space="preserve"> by the Movement Disorder A</w:t>
      </w:r>
      <w:r>
        <w:t xml:space="preserve">PN. </w:t>
      </w:r>
    </w:p>
    <w:bookmarkEnd w:id="14"/>
    <w:p w14:paraId="0FE28BDB" w14:textId="6964494F" w:rsidR="003912BA" w:rsidRPr="00B01322" w:rsidRDefault="003912BA" w:rsidP="00B01322">
      <w:pPr>
        <w:pStyle w:val="BodyCopy"/>
      </w:pPr>
      <w:r w:rsidRPr="00B01322">
        <w:t xml:space="preserve">The patient will be provided with the Movement Disorder APN contact phone number for ongoing support of their Apomorphine Therapy. Patients will also be provided with the Nurse Advisor contact details from the product manufacturer for additional support. If at any stage the patient, or their carer, is no longer able to self-manage the pump due to a short-term </w:t>
      </w:r>
      <w:r w:rsidRPr="00B01322">
        <w:lastRenderedPageBreak/>
        <w:t>illness or injury</w:t>
      </w:r>
      <w:r w:rsidR="002945BA">
        <w:t>,</w:t>
      </w:r>
      <w:r w:rsidRPr="00B01322">
        <w:t xml:space="preserve"> a referral should be made to HITH</w:t>
      </w:r>
      <w:r w:rsidR="00A673D4">
        <w:t xml:space="preserve"> by the</w:t>
      </w:r>
      <w:r w:rsidR="00E00537">
        <w:t xml:space="preserve"> specialist Neurologist or Geriatrician </w:t>
      </w:r>
      <w:r w:rsidRPr="00B01322">
        <w:t xml:space="preserve">for support during this time. </w:t>
      </w:r>
    </w:p>
    <w:p w14:paraId="59ABCD9D" w14:textId="4A5531EC" w:rsidR="00B01322" w:rsidRDefault="00B01322" w:rsidP="00B01322">
      <w:pPr>
        <w:pStyle w:val="BodyCopy"/>
        <w:pBdr>
          <w:top w:val="single" w:sz="4" w:space="1" w:color="auto"/>
          <w:left w:val="single" w:sz="4" w:space="4" w:color="auto"/>
          <w:bottom w:val="single" w:sz="4" w:space="1" w:color="auto"/>
          <w:right w:val="single" w:sz="4" w:space="4" w:color="auto"/>
        </w:pBdr>
        <w:rPr>
          <w:b/>
        </w:rPr>
      </w:pPr>
      <w:r>
        <w:rPr>
          <w:b/>
        </w:rPr>
        <w:t>Alert</w:t>
      </w:r>
    </w:p>
    <w:p w14:paraId="69AA71B1" w14:textId="1FCCF8C3" w:rsidR="00A673D4" w:rsidRDefault="00A673D4" w:rsidP="00B01322">
      <w:pPr>
        <w:pStyle w:val="BodyCopy"/>
        <w:pBdr>
          <w:top w:val="single" w:sz="4" w:space="1" w:color="auto"/>
          <w:left w:val="single" w:sz="4" w:space="4" w:color="auto"/>
          <w:bottom w:val="single" w:sz="4" w:space="1" w:color="auto"/>
          <w:right w:val="single" w:sz="4" w:space="4" w:color="auto"/>
        </w:pBdr>
      </w:pPr>
      <w:r w:rsidRPr="00A673D4">
        <w:t>In the event of an after</w:t>
      </w:r>
      <w:r w:rsidRPr="00A673D4">
        <w:rPr>
          <w:rFonts w:ascii="Cambria Math" w:hAnsi="Cambria Math" w:cs="Cambria Math"/>
        </w:rPr>
        <w:t>‑</w:t>
      </w:r>
      <w:r w:rsidRPr="00A673D4">
        <w:t>hours presentation to hospital, apomorphine can be accessed via the after</w:t>
      </w:r>
      <w:r w:rsidRPr="00A673D4">
        <w:rPr>
          <w:rFonts w:ascii="Cambria Math" w:hAnsi="Cambria Math" w:cs="Cambria Math"/>
        </w:rPr>
        <w:t>‑</w:t>
      </w:r>
      <w:r w:rsidRPr="00A673D4">
        <w:t>hours medication cabinet.</w:t>
      </w:r>
    </w:p>
    <w:p w14:paraId="5C766282" w14:textId="77777777" w:rsidR="00A43F33" w:rsidRPr="005227A9" w:rsidRDefault="00A43F33" w:rsidP="00A43F33">
      <w:pPr>
        <w:pStyle w:val="Heading5"/>
      </w:pPr>
      <w:r w:rsidRPr="005227A9">
        <w:t>Post discharge</w:t>
      </w:r>
    </w:p>
    <w:p w14:paraId="44ADF3B6" w14:textId="331660AC" w:rsidR="00A43F33" w:rsidRPr="009E1FA3" w:rsidRDefault="00A43F33" w:rsidP="00A43F33">
      <w:pPr>
        <w:pStyle w:val="BodyCopy"/>
      </w:pPr>
      <w:r w:rsidRPr="009E1FA3">
        <w:t xml:space="preserve">A copy of the Parkinson’s - Apomorphine Challenge form will be sent to the </w:t>
      </w:r>
      <w:r w:rsidR="008D0ED4">
        <w:t xml:space="preserve">patient’s </w:t>
      </w:r>
      <w:r w:rsidRPr="009E1FA3">
        <w:t>General Practitioner along with a report outlining the following:</w:t>
      </w:r>
    </w:p>
    <w:p w14:paraId="606B68D4" w14:textId="5030DF94" w:rsidR="00A43F33" w:rsidRPr="009E1FA3" w:rsidRDefault="00A43F33" w:rsidP="00C508F4">
      <w:pPr>
        <w:pStyle w:val="Bullet"/>
      </w:pPr>
      <w:r w:rsidRPr="009E1FA3">
        <w:t>Patient response</w:t>
      </w:r>
      <w:r w:rsidR="00124715">
        <w:t>,</w:t>
      </w:r>
      <w:r w:rsidRPr="009E1FA3">
        <w:t xml:space="preserve"> including calculated UPDRS percentage improvement </w:t>
      </w:r>
    </w:p>
    <w:p w14:paraId="13A17372" w14:textId="72FDD7DF" w:rsidR="00A43F33" w:rsidRPr="009E1FA3" w:rsidRDefault="00A43F33" w:rsidP="00C508F4">
      <w:pPr>
        <w:pStyle w:val="Bullet"/>
      </w:pPr>
      <w:r w:rsidRPr="009E1FA3">
        <w:t>Instructions for ongoing treatment</w:t>
      </w:r>
      <w:r>
        <w:t>:</w:t>
      </w:r>
    </w:p>
    <w:p w14:paraId="33D69B81" w14:textId="4FD9E510" w:rsidR="00A43F33" w:rsidRPr="009E1FA3" w:rsidRDefault="00A43F33" w:rsidP="00C508F4">
      <w:pPr>
        <w:pStyle w:val="Bullet"/>
        <w:numPr>
          <w:ilvl w:val="1"/>
          <w:numId w:val="1"/>
        </w:numPr>
      </w:pPr>
      <w:r>
        <w:t>Intermittent: dosage and frequency</w:t>
      </w:r>
    </w:p>
    <w:p w14:paraId="1846EA09" w14:textId="78AE65B2" w:rsidR="00A43F33" w:rsidRPr="009E1FA3" w:rsidRDefault="00A43F33" w:rsidP="00C508F4">
      <w:pPr>
        <w:pStyle w:val="Bullet"/>
        <w:numPr>
          <w:ilvl w:val="1"/>
          <w:numId w:val="1"/>
        </w:numPr>
      </w:pPr>
      <w:r>
        <w:t>Continuous: Pump flow rate</w:t>
      </w:r>
      <w:r w:rsidR="00124715">
        <w:t>, b</w:t>
      </w:r>
      <w:r>
        <w:t>olus dose</w:t>
      </w:r>
      <w:r w:rsidR="00124715">
        <w:t xml:space="preserve"> and l</w:t>
      </w:r>
      <w:r>
        <w:t>ock out time</w:t>
      </w:r>
    </w:p>
    <w:p w14:paraId="32D8AC41" w14:textId="7E58FBE4" w:rsidR="00124715" w:rsidRDefault="00A43F33" w:rsidP="00C508F4">
      <w:pPr>
        <w:pStyle w:val="Bullet"/>
      </w:pPr>
      <w:r w:rsidRPr="009E1FA3">
        <w:t>Ongoing monitoring requirements – to be done every 6</w:t>
      </w:r>
      <w:r w:rsidR="00D52C98">
        <w:t xml:space="preserve"> to</w:t>
      </w:r>
      <w:r w:rsidRPr="009E1FA3">
        <w:t>12months by GP</w:t>
      </w:r>
      <w:r w:rsidR="00E00537">
        <w:t xml:space="preserve"> and to escalate care as required.</w:t>
      </w:r>
    </w:p>
    <w:p w14:paraId="5CF59AC4" w14:textId="2A34E216" w:rsidR="00E439A6" w:rsidRDefault="00897156" w:rsidP="00E00537">
      <w:pPr>
        <w:pStyle w:val="Bullet"/>
      </w:pPr>
      <w:r>
        <w:t xml:space="preserve">Test results including FBC, LFTs, UEC and </w:t>
      </w:r>
      <w:r w:rsidR="00A43F33">
        <w:t>Coombs Test</w:t>
      </w:r>
      <w:r w:rsidR="00E00537">
        <w:t>.</w:t>
      </w:r>
    </w:p>
    <w:p w14:paraId="21830494" w14:textId="2935729F" w:rsidR="00E00537" w:rsidRPr="009E1FA3" w:rsidRDefault="00E00537" w:rsidP="00E00537">
      <w:pPr>
        <w:pStyle w:val="Bullet"/>
        <w:numPr>
          <w:ilvl w:val="0"/>
          <w:numId w:val="0"/>
        </w:numPr>
        <w:ind w:left="360"/>
      </w:pPr>
      <w:r w:rsidRPr="00E00537">
        <w:t>If the patient presents with blood results outside of the normal ranges, please contact the treating Neurologist or Geriatrician urgently.</w:t>
      </w:r>
    </w:p>
    <w:p w14:paraId="542D61D1" w14:textId="31719945" w:rsidR="00A43F33" w:rsidRDefault="00A43F33" w:rsidP="00C508F4">
      <w:pPr>
        <w:pStyle w:val="Bullet"/>
      </w:pPr>
      <w:r w:rsidRPr="009E1FA3">
        <w:t xml:space="preserve">Instructions advising </w:t>
      </w:r>
      <w:r w:rsidR="00E00537">
        <w:t xml:space="preserve">on </w:t>
      </w:r>
      <w:r w:rsidRPr="009E1FA3">
        <w:t>what to do in the event of pump failure:</w:t>
      </w:r>
      <w:r w:rsidR="00124715">
        <w:t xml:space="preserve"> </w:t>
      </w:r>
      <w:r>
        <w:t>Contact Specialist and ensure oral Parkinson’s medications are continued.</w:t>
      </w:r>
    </w:p>
    <w:p w14:paraId="77A2D781" w14:textId="75509B82" w:rsidR="004A2ED0" w:rsidRDefault="004A2ED0" w:rsidP="00036349">
      <w:pPr>
        <w:pStyle w:val="Bullet"/>
      </w:pPr>
      <w:r>
        <w:t>C</w:t>
      </w:r>
      <w:r w:rsidRPr="004A2ED0">
        <w:t>lear instructions outlining the potential adverse events associated with apomorphine and the appropriate actions to take should any adverse events occur. Potential adverse events of apomorphine may include:</w:t>
      </w:r>
    </w:p>
    <w:p w14:paraId="0F9D4A7C" w14:textId="2BD3CE6C" w:rsidR="00036349" w:rsidRPr="009E1FA3" w:rsidRDefault="00036349" w:rsidP="00A449B7">
      <w:pPr>
        <w:pStyle w:val="Bullet"/>
        <w:numPr>
          <w:ilvl w:val="1"/>
          <w:numId w:val="1"/>
        </w:numPr>
      </w:pPr>
      <w:r w:rsidRPr="009E1FA3">
        <w:t>Hallucinations</w:t>
      </w:r>
    </w:p>
    <w:p w14:paraId="203F2AD3" w14:textId="77777777" w:rsidR="00036349" w:rsidRPr="009E1FA3" w:rsidRDefault="00036349" w:rsidP="00A449B7">
      <w:pPr>
        <w:pStyle w:val="Bullet"/>
        <w:numPr>
          <w:ilvl w:val="1"/>
          <w:numId w:val="1"/>
        </w:numPr>
      </w:pPr>
      <w:r w:rsidRPr="009E1FA3">
        <w:t>Impulse Control Disorder</w:t>
      </w:r>
    </w:p>
    <w:p w14:paraId="325AA7D6" w14:textId="77777777" w:rsidR="00036349" w:rsidRPr="009E1FA3" w:rsidRDefault="00036349" w:rsidP="00A449B7">
      <w:pPr>
        <w:pStyle w:val="Bullet"/>
        <w:numPr>
          <w:ilvl w:val="1"/>
          <w:numId w:val="1"/>
        </w:numPr>
      </w:pPr>
      <w:r w:rsidRPr="009E1FA3">
        <w:t>Severe orthostatic hypotension</w:t>
      </w:r>
    </w:p>
    <w:p w14:paraId="5AE585A5" w14:textId="77777777" w:rsidR="00036349" w:rsidRPr="009E1FA3" w:rsidRDefault="00036349" w:rsidP="00A449B7">
      <w:pPr>
        <w:pStyle w:val="Bullet"/>
        <w:numPr>
          <w:ilvl w:val="1"/>
          <w:numId w:val="1"/>
        </w:numPr>
      </w:pPr>
      <w:r w:rsidRPr="009E1FA3">
        <w:t>Severe nausea/vomiting</w:t>
      </w:r>
    </w:p>
    <w:p w14:paraId="697D942A" w14:textId="2D817DE5" w:rsidR="00036349" w:rsidRPr="009E1FA3" w:rsidRDefault="00036349" w:rsidP="00D2257C">
      <w:pPr>
        <w:pStyle w:val="BodyCopy"/>
      </w:pPr>
      <w:r w:rsidRPr="009E1FA3">
        <w:t>If these adverse events occur, please contact the treating Neurologist or Geriatrician and consider cessation of treatment under guidance from a Neurologist or Geriatrician.</w:t>
      </w:r>
    </w:p>
    <w:p w14:paraId="09675717" w14:textId="77777777" w:rsidR="00097B63" w:rsidRDefault="001B5125" w:rsidP="001B5125">
      <w:pPr>
        <w:pStyle w:val="BodyCopy"/>
        <w:spacing w:before="240"/>
      </w:pPr>
      <w:hyperlink w:anchor="_top" w:history="1">
        <w:r w:rsidRPr="00481A6C">
          <w:rPr>
            <w:rStyle w:val="Hyperlink"/>
            <w:iCs w:val="0"/>
          </w:rPr>
          <w:t>Back to Contents</w:t>
        </w:r>
      </w:hyperlink>
    </w:p>
    <w:p w14:paraId="65EBB82A" w14:textId="5E40C9ED" w:rsidR="00A43F33" w:rsidRDefault="00A43F33" w:rsidP="00A43F33">
      <w:pPr>
        <w:pStyle w:val="Heading4"/>
      </w:pPr>
      <w:bookmarkStart w:id="15" w:name="_Toc222385555"/>
      <w:r>
        <w:t xml:space="preserve">Section 8 – </w:t>
      </w:r>
      <w:proofErr w:type="spellStart"/>
      <w:r w:rsidRPr="00335124">
        <w:t>Foslevodopa</w:t>
      </w:r>
      <w:proofErr w:type="spellEnd"/>
      <w:r w:rsidRPr="00335124">
        <w:t>/</w:t>
      </w:r>
      <w:proofErr w:type="spellStart"/>
      <w:r w:rsidRPr="00335124">
        <w:t>foscarbidopa</w:t>
      </w:r>
      <w:bookmarkEnd w:id="15"/>
      <w:proofErr w:type="spellEnd"/>
      <w:r>
        <w:t xml:space="preserve"> </w:t>
      </w:r>
    </w:p>
    <w:p w14:paraId="1008BB3E" w14:textId="6CA0EAEA" w:rsidR="001D34CD" w:rsidRPr="001249F2" w:rsidRDefault="001D34CD" w:rsidP="001249F2">
      <w:pPr>
        <w:keepNext/>
        <w:keepLines/>
        <w:spacing w:before="100" w:beforeAutospacing="1" w:after="120" w:line="300" w:lineRule="exact"/>
        <w:outlineLvl w:val="4"/>
        <w:rPr>
          <w:rFonts w:eastAsia="Times New Roman" w:cstheme="majorBidi"/>
          <w:b/>
          <w:bCs/>
          <w:iCs/>
          <w:color w:val="3D2262" w:themeColor="accent1"/>
          <w:szCs w:val="36"/>
          <w:lang w:eastAsia="en-US"/>
        </w:rPr>
      </w:pPr>
      <w:r w:rsidRPr="00345FEA">
        <w:rPr>
          <w:rFonts w:eastAsia="Times New Roman" w:cstheme="majorBidi"/>
          <w:b/>
          <w:bCs/>
          <w:iCs/>
          <w:color w:val="3D2262" w:themeColor="accent1"/>
          <w:szCs w:val="36"/>
          <w:lang w:eastAsia="en-US"/>
        </w:rPr>
        <w:lastRenderedPageBreak/>
        <w:t>Commencing Treatment</w:t>
      </w:r>
    </w:p>
    <w:p w14:paraId="3A04008E" w14:textId="664DA44E" w:rsidR="001D34CD" w:rsidRPr="00345FEA" w:rsidRDefault="00D44D86" w:rsidP="001D34CD">
      <w:pPr>
        <w:rPr>
          <w:rFonts w:eastAsia="Times New Roman"/>
          <w:iCs/>
          <w:lang w:eastAsia="en-US"/>
        </w:rPr>
      </w:pPr>
      <w:proofErr w:type="spellStart"/>
      <w:r>
        <w:rPr>
          <w:rFonts w:eastAsia="Times New Roman"/>
          <w:iCs/>
          <w:lang w:eastAsia="en-US"/>
        </w:rPr>
        <w:t>Foslevodopa</w:t>
      </w:r>
      <w:proofErr w:type="spellEnd"/>
      <w:r>
        <w:rPr>
          <w:rFonts w:eastAsia="Times New Roman"/>
          <w:iCs/>
          <w:lang w:eastAsia="en-US"/>
        </w:rPr>
        <w:t>/</w:t>
      </w:r>
      <w:proofErr w:type="spellStart"/>
      <w:r w:rsidR="00897156">
        <w:rPr>
          <w:rFonts w:eastAsia="Times New Roman"/>
          <w:iCs/>
          <w:lang w:eastAsia="en-US"/>
        </w:rPr>
        <w:t>F</w:t>
      </w:r>
      <w:r>
        <w:rPr>
          <w:rFonts w:eastAsia="Times New Roman"/>
          <w:iCs/>
          <w:lang w:eastAsia="en-US"/>
        </w:rPr>
        <w:t>oscarbidopa</w:t>
      </w:r>
      <w:proofErr w:type="spellEnd"/>
      <w:r>
        <w:rPr>
          <w:rFonts w:eastAsia="Times New Roman"/>
          <w:iCs/>
          <w:lang w:eastAsia="en-US"/>
        </w:rPr>
        <w:t xml:space="preserve"> </w:t>
      </w:r>
      <w:r w:rsidR="004665FA">
        <w:rPr>
          <w:rFonts w:eastAsia="Times New Roman"/>
          <w:iCs/>
          <w:lang w:eastAsia="en-US"/>
        </w:rPr>
        <w:t>(</w:t>
      </w:r>
      <w:proofErr w:type="spellStart"/>
      <w:r>
        <w:rPr>
          <w:rFonts w:eastAsia="Times New Roman"/>
          <w:iCs/>
          <w:lang w:eastAsia="en-US"/>
        </w:rPr>
        <w:t>Vyalev</w:t>
      </w:r>
      <w:proofErr w:type="spellEnd"/>
      <w:r>
        <w:rPr>
          <w:rFonts w:eastAsia="Times New Roman"/>
          <w:iCs/>
          <w:lang w:eastAsia="en-US"/>
        </w:rPr>
        <w:t xml:space="preserve">®) </w:t>
      </w:r>
      <w:r w:rsidR="001D34CD" w:rsidRPr="00345FEA">
        <w:rPr>
          <w:rFonts w:eastAsia="Times New Roman"/>
          <w:iCs/>
          <w:lang w:eastAsia="en-US"/>
        </w:rPr>
        <w:t>is initiated in the Neurology ward under the direction and supervision of a specialised movement disorder Neurologist.</w:t>
      </w:r>
    </w:p>
    <w:p w14:paraId="469628EB" w14:textId="6F5CC9F2" w:rsidR="001D34CD" w:rsidRPr="00345FEA" w:rsidRDefault="001D34CD" w:rsidP="001249F2">
      <w:pPr>
        <w:rPr>
          <w:rFonts w:eastAsia="Times New Roman"/>
          <w:lang w:eastAsia="en-US"/>
        </w:rPr>
      </w:pPr>
      <w:r w:rsidRPr="00345FEA">
        <w:rPr>
          <w:rFonts w:eastAsia="Times New Roman"/>
          <w:lang w:eastAsia="en-US"/>
        </w:rPr>
        <w:t>The starting infusion rate is calculated by referencing the patient’s current oral Parkinson’s medication dose and should be titrated according to the patient’s clinical response</w:t>
      </w:r>
      <w:r w:rsidR="00897156">
        <w:rPr>
          <w:rFonts w:eastAsia="Times New Roman"/>
          <w:lang w:eastAsia="en-US"/>
        </w:rPr>
        <w:t xml:space="preserve"> (</w:t>
      </w:r>
      <w:r w:rsidR="00F93A40">
        <w:rPr>
          <w:rFonts w:eastAsia="Times New Roman"/>
          <w:lang w:eastAsia="en-US"/>
        </w:rPr>
        <w:t xml:space="preserve">refer to </w:t>
      </w:r>
      <w:r w:rsidR="00897156">
        <w:rPr>
          <w:rFonts w:eastAsia="Times New Roman"/>
          <w:lang w:eastAsia="en-US"/>
        </w:rPr>
        <w:t>Attachment 1)</w:t>
      </w:r>
      <w:r w:rsidRPr="00345FEA">
        <w:rPr>
          <w:rFonts w:eastAsia="Times New Roman"/>
          <w:lang w:eastAsia="en-US"/>
        </w:rPr>
        <w:t>.</w:t>
      </w:r>
    </w:p>
    <w:p w14:paraId="2BD836D0" w14:textId="65C231C7" w:rsidR="000D1E0F" w:rsidRDefault="00D44D86" w:rsidP="001249F2">
      <w:pPr>
        <w:rPr>
          <w:rFonts w:eastAsia="Times New Roman"/>
          <w:lang w:val="en-GB" w:eastAsia="en-US"/>
        </w:rPr>
      </w:pPr>
      <w:proofErr w:type="spellStart"/>
      <w:r>
        <w:rPr>
          <w:rFonts w:eastAsia="Times New Roman"/>
          <w:iCs/>
          <w:lang w:eastAsia="en-US"/>
        </w:rPr>
        <w:t>Foslevodopa</w:t>
      </w:r>
      <w:proofErr w:type="spellEnd"/>
      <w:r>
        <w:rPr>
          <w:rFonts w:eastAsia="Times New Roman"/>
          <w:iCs/>
          <w:lang w:eastAsia="en-US"/>
        </w:rPr>
        <w:t>/</w:t>
      </w:r>
      <w:proofErr w:type="spellStart"/>
      <w:r w:rsidR="00897156">
        <w:rPr>
          <w:rFonts w:eastAsia="Times New Roman"/>
          <w:iCs/>
          <w:lang w:eastAsia="en-US"/>
        </w:rPr>
        <w:t>F</w:t>
      </w:r>
      <w:r>
        <w:rPr>
          <w:rFonts w:eastAsia="Times New Roman"/>
          <w:iCs/>
          <w:lang w:eastAsia="en-US"/>
        </w:rPr>
        <w:t>oscarbidopa</w:t>
      </w:r>
      <w:proofErr w:type="spellEnd"/>
      <w:r>
        <w:rPr>
          <w:rFonts w:eastAsia="Times New Roman"/>
          <w:iCs/>
          <w:lang w:eastAsia="en-US"/>
        </w:rPr>
        <w:t xml:space="preserve"> </w:t>
      </w:r>
      <w:r w:rsidR="001249F2" w:rsidRPr="00345FEA">
        <w:rPr>
          <w:rFonts w:eastAsia="Times New Roman"/>
          <w:lang w:val="en-GB" w:eastAsia="en-US"/>
        </w:rPr>
        <w:t xml:space="preserve">infusion rates are calculated by the Consultant </w:t>
      </w:r>
      <w:r w:rsidR="001249F2">
        <w:rPr>
          <w:rFonts w:eastAsia="Times New Roman"/>
          <w:lang w:val="en-GB" w:eastAsia="en-US"/>
        </w:rPr>
        <w:t>Neurologist</w:t>
      </w:r>
      <w:r>
        <w:rPr>
          <w:rFonts w:eastAsia="Times New Roman"/>
          <w:lang w:val="en-GB" w:eastAsia="en-US"/>
        </w:rPr>
        <w:t>.</w:t>
      </w:r>
      <w:r w:rsidR="001249F2">
        <w:rPr>
          <w:rFonts w:eastAsia="Times New Roman"/>
          <w:lang w:val="en-GB" w:eastAsia="en-US"/>
        </w:rPr>
        <w:t xml:space="preserve"> </w:t>
      </w:r>
      <w:r w:rsidR="001249F2" w:rsidRPr="00345FEA">
        <w:rPr>
          <w:rFonts w:eastAsia="Times New Roman"/>
          <w:lang w:val="en-GB" w:eastAsia="en-US"/>
        </w:rPr>
        <w:t xml:space="preserve">The pump for </w:t>
      </w:r>
      <w:proofErr w:type="spellStart"/>
      <w:r w:rsidR="001249F2" w:rsidRPr="00345FEA">
        <w:rPr>
          <w:rFonts w:eastAsia="Times New Roman"/>
          <w:lang w:val="en-GB" w:eastAsia="en-US"/>
        </w:rPr>
        <w:t>Foslevodopa</w:t>
      </w:r>
      <w:proofErr w:type="spellEnd"/>
      <w:r w:rsidR="001249F2" w:rsidRPr="00345FEA">
        <w:rPr>
          <w:rFonts w:eastAsia="Times New Roman"/>
          <w:lang w:val="en-GB" w:eastAsia="en-US"/>
        </w:rPr>
        <w:t>/</w:t>
      </w:r>
      <w:proofErr w:type="spellStart"/>
      <w:r w:rsidR="001249F2" w:rsidRPr="00345FEA">
        <w:rPr>
          <w:rFonts w:eastAsia="Times New Roman"/>
          <w:lang w:val="en-GB" w:eastAsia="en-US"/>
        </w:rPr>
        <w:t>Foscarbidopa</w:t>
      </w:r>
      <w:proofErr w:type="spellEnd"/>
      <w:r w:rsidR="001249F2" w:rsidRPr="00345FEA">
        <w:rPr>
          <w:rFonts w:eastAsia="Times New Roman"/>
          <w:lang w:val="en-GB" w:eastAsia="en-US"/>
        </w:rPr>
        <w:t xml:space="preserve"> should be set up as per manufacturer instructions.</w:t>
      </w:r>
      <w:r w:rsidR="001249F2">
        <w:rPr>
          <w:rFonts w:eastAsia="Times New Roman"/>
          <w:lang w:val="en-GB" w:eastAsia="en-US"/>
        </w:rPr>
        <w:t xml:space="preserve"> The dose is then titrated according to the </w:t>
      </w:r>
      <w:r w:rsidR="000C09EC">
        <w:rPr>
          <w:rFonts w:eastAsia="Times New Roman"/>
          <w:lang w:val="en-GB" w:eastAsia="en-US"/>
        </w:rPr>
        <w:t>patient’s</w:t>
      </w:r>
      <w:r w:rsidR="001249F2">
        <w:rPr>
          <w:rFonts w:eastAsia="Times New Roman"/>
          <w:lang w:val="en-GB" w:eastAsia="en-US"/>
        </w:rPr>
        <w:t xml:space="preserve"> clinical response. </w:t>
      </w:r>
      <w:r w:rsidR="000D1E0F">
        <w:rPr>
          <w:rFonts w:eastAsia="Times New Roman"/>
          <w:lang w:val="en-GB" w:eastAsia="en-US"/>
        </w:rPr>
        <w:t xml:space="preserve">Please see </w:t>
      </w:r>
      <w:r w:rsidR="00F93A40">
        <w:rPr>
          <w:rFonts w:eastAsia="Times New Roman"/>
          <w:lang w:val="en-GB" w:eastAsia="en-US"/>
        </w:rPr>
        <w:t>A</w:t>
      </w:r>
      <w:r w:rsidR="000D1E0F">
        <w:rPr>
          <w:rFonts w:eastAsia="Times New Roman"/>
          <w:lang w:val="en-GB" w:eastAsia="en-US"/>
        </w:rPr>
        <w:t xml:space="preserve">ttachment 3 for </w:t>
      </w:r>
      <w:proofErr w:type="spellStart"/>
      <w:r w:rsidR="000D1E0F" w:rsidRPr="000D1E0F">
        <w:rPr>
          <w:rFonts w:eastAsia="Times New Roman"/>
          <w:lang w:val="en-GB" w:eastAsia="en-US"/>
        </w:rPr>
        <w:t>Foslevodopa</w:t>
      </w:r>
      <w:proofErr w:type="spellEnd"/>
      <w:r w:rsidR="000D1E0F" w:rsidRPr="000D1E0F">
        <w:rPr>
          <w:rFonts w:eastAsia="Times New Roman"/>
          <w:lang w:val="en-GB" w:eastAsia="en-US"/>
        </w:rPr>
        <w:t xml:space="preserve">/ </w:t>
      </w:r>
      <w:proofErr w:type="spellStart"/>
      <w:r w:rsidR="000D1E0F" w:rsidRPr="000D1E0F">
        <w:rPr>
          <w:rFonts w:eastAsia="Times New Roman"/>
          <w:lang w:val="en-GB" w:eastAsia="en-US"/>
        </w:rPr>
        <w:t>foscarbidopa</w:t>
      </w:r>
      <w:proofErr w:type="spellEnd"/>
      <w:r w:rsidR="000D1E0F" w:rsidRPr="000D1E0F">
        <w:rPr>
          <w:rFonts w:eastAsia="Times New Roman"/>
          <w:lang w:val="en-GB" w:eastAsia="en-US"/>
        </w:rPr>
        <w:t xml:space="preserve"> (</w:t>
      </w:r>
      <w:proofErr w:type="spellStart"/>
      <w:r w:rsidR="000D1E0F" w:rsidRPr="000D1E0F">
        <w:rPr>
          <w:rFonts w:eastAsia="Times New Roman"/>
          <w:lang w:val="en-GB" w:eastAsia="en-US"/>
        </w:rPr>
        <w:t>Vyalev</w:t>
      </w:r>
      <w:proofErr w:type="spellEnd"/>
      <w:r w:rsidR="000D1E0F" w:rsidRPr="000D1E0F">
        <w:rPr>
          <w:rFonts w:eastAsia="Times New Roman"/>
          <w:lang w:val="en-GB" w:eastAsia="en-US"/>
        </w:rPr>
        <w:t>) stating infusion rate table</w:t>
      </w:r>
      <w:r w:rsidR="000D1E0F">
        <w:rPr>
          <w:rFonts w:eastAsia="Times New Roman"/>
          <w:lang w:val="en-GB" w:eastAsia="en-US"/>
        </w:rPr>
        <w:t xml:space="preserve">. </w:t>
      </w:r>
    </w:p>
    <w:p w14:paraId="23ED15A3" w14:textId="74FD7071" w:rsidR="001D34CD" w:rsidRDefault="000D1E0F" w:rsidP="001249F2">
      <w:pPr>
        <w:rPr>
          <w:rFonts w:eastAsia="Times New Roman"/>
          <w:lang w:val="en-GB" w:eastAsia="en-US"/>
        </w:rPr>
      </w:pPr>
      <w:r>
        <w:rPr>
          <w:rFonts w:eastAsia="Times New Roman"/>
          <w:lang w:val="en-GB" w:eastAsia="en-US"/>
        </w:rPr>
        <w:t>Also check</w:t>
      </w:r>
      <w:r w:rsidR="001249F2">
        <w:rPr>
          <w:rFonts w:eastAsia="Times New Roman"/>
          <w:lang w:val="en-GB" w:eastAsia="en-US"/>
        </w:rPr>
        <w:t xml:space="preserve"> </w:t>
      </w:r>
      <w:proofErr w:type="spellStart"/>
      <w:r w:rsidR="001249F2">
        <w:rPr>
          <w:rFonts w:eastAsia="Times New Roman"/>
          <w:lang w:val="en-GB" w:eastAsia="en-US"/>
        </w:rPr>
        <w:t>eMIMs</w:t>
      </w:r>
      <w:proofErr w:type="spellEnd"/>
      <w:r w:rsidR="001249F2">
        <w:rPr>
          <w:rFonts w:eastAsia="Times New Roman"/>
          <w:lang w:val="en-GB" w:eastAsia="en-US"/>
        </w:rPr>
        <w:t xml:space="preserve"> for the most up to date starting dose and procedure. </w:t>
      </w:r>
    </w:p>
    <w:p w14:paraId="095A0AA8" w14:textId="4F97B1C1" w:rsidR="00897156" w:rsidRPr="00897156" w:rsidRDefault="00897156" w:rsidP="00897156">
      <w:pPr>
        <w:pStyle w:val="Heading5"/>
        <w:rPr>
          <w:rFonts w:eastAsia="Times New Roman"/>
          <w:lang w:val="en-GB" w:eastAsia="en-US"/>
        </w:rPr>
      </w:pPr>
      <w:r>
        <w:rPr>
          <w:rFonts w:eastAsia="Times New Roman"/>
          <w:lang w:val="en-GB" w:eastAsia="en-US"/>
        </w:rPr>
        <w:t>Equipment</w:t>
      </w:r>
    </w:p>
    <w:p w14:paraId="4C0DBF47" w14:textId="39CFA566" w:rsidR="00897156" w:rsidRDefault="00897156" w:rsidP="00897156">
      <w:pPr>
        <w:pStyle w:val="Bullet"/>
        <w:rPr>
          <w:lang w:val="en-GB" w:eastAsia="en-US"/>
        </w:rPr>
      </w:pPr>
      <w:r>
        <w:rPr>
          <w:lang w:val="en-GB" w:eastAsia="en-US"/>
        </w:rPr>
        <w:t>10m</w:t>
      </w:r>
      <w:r w:rsidR="000C00DA">
        <w:rPr>
          <w:lang w:val="en-GB" w:eastAsia="en-US"/>
        </w:rPr>
        <w:t>L</w:t>
      </w:r>
      <w:r>
        <w:rPr>
          <w:lang w:val="en-GB" w:eastAsia="en-US"/>
        </w:rPr>
        <w:t xml:space="preserve"> syringe</w:t>
      </w:r>
    </w:p>
    <w:p w14:paraId="266ABA9C" w14:textId="15FA4550" w:rsidR="00897156" w:rsidRDefault="00897156" w:rsidP="00897156">
      <w:pPr>
        <w:pStyle w:val="Bullet"/>
        <w:rPr>
          <w:lang w:val="en-GB" w:eastAsia="en-US"/>
        </w:rPr>
      </w:pPr>
      <w:proofErr w:type="spellStart"/>
      <w:r>
        <w:rPr>
          <w:lang w:val="en-GB" w:eastAsia="en-US"/>
        </w:rPr>
        <w:t>Foslevodopa</w:t>
      </w:r>
      <w:proofErr w:type="spellEnd"/>
      <w:r>
        <w:rPr>
          <w:lang w:val="en-GB" w:eastAsia="en-US"/>
        </w:rPr>
        <w:t>/</w:t>
      </w:r>
      <w:proofErr w:type="spellStart"/>
      <w:r>
        <w:rPr>
          <w:lang w:val="en-GB" w:eastAsia="en-US"/>
        </w:rPr>
        <w:t>Foscarbidopa</w:t>
      </w:r>
      <w:proofErr w:type="spellEnd"/>
      <w:r>
        <w:rPr>
          <w:lang w:val="en-GB" w:eastAsia="en-US"/>
        </w:rPr>
        <w:t xml:space="preserve"> medication vial </w:t>
      </w:r>
    </w:p>
    <w:p w14:paraId="39F430F5" w14:textId="144E6678" w:rsidR="00897156" w:rsidRDefault="00897156" w:rsidP="00897156">
      <w:pPr>
        <w:pStyle w:val="Bullet"/>
        <w:rPr>
          <w:lang w:val="en-GB" w:eastAsia="en-US"/>
        </w:rPr>
      </w:pPr>
      <w:r>
        <w:rPr>
          <w:lang w:val="en-GB" w:eastAsia="en-US"/>
        </w:rPr>
        <w:t>Vial adaptor</w:t>
      </w:r>
    </w:p>
    <w:p w14:paraId="26ADDD72" w14:textId="4AD65185" w:rsidR="00897156" w:rsidRDefault="00897156" w:rsidP="00897156">
      <w:pPr>
        <w:pStyle w:val="Bullet"/>
        <w:rPr>
          <w:lang w:val="en-GB" w:eastAsia="en-US"/>
        </w:rPr>
      </w:pPr>
      <w:r>
        <w:rPr>
          <w:lang w:val="en-GB" w:eastAsia="en-US"/>
        </w:rPr>
        <w:t xml:space="preserve">Neria </w:t>
      </w:r>
      <w:r w:rsidR="005479A1">
        <w:rPr>
          <w:lang w:val="en-GB" w:eastAsia="en-US"/>
        </w:rPr>
        <w:t>G</w:t>
      </w:r>
      <w:r>
        <w:rPr>
          <w:lang w:val="en-GB" w:eastAsia="en-US"/>
        </w:rPr>
        <w:t xml:space="preserve">uard cannula (either 6mm or 9mm) </w:t>
      </w:r>
    </w:p>
    <w:p w14:paraId="15EFB675" w14:textId="1402E38F" w:rsidR="00897156" w:rsidRDefault="00897156" w:rsidP="00897156">
      <w:pPr>
        <w:pStyle w:val="Bullet"/>
        <w:rPr>
          <w:lang w:val="en-GB" w:eastAsia="en-US"/>
        </w:rPr>
      </w:pPr>
      <w:r>
        <w:rPr>
          <w:lang w:val="en-GB" w:eastAsia="en-US"/>
        </w:rPr>
        <w:t xml:space="preserve">Alcohol wipes </w:t>
      </w:r>
    </w:p>
    <w:p w14:paraId="620713CD" w14:textId="6E0907C1" w:rsidR="00897156" w:rsidRPr="00897156" w:rsidRDefault="00897156" w:rsidP="00897156">
      <w:pPr>
        <w:pStyle w:val="Bullet"/>
        <w:numPr>
          <w:ilvl w:val="0"/>
          <w:numId w:val="0"/>
        </w:numPr>
        <w:rPr>
          <w:lang w:val="en-GB" w:eastAsia="en-US"/>
        </w:rPr>
      </w:pPr>
      <w:r>
        <w:rPr>
          <w:lang w:val="en-GB" w:eastAsia="en-US"/>
        </w:rPr>
        <w:t>All supplie</w:t>
      </w:r>
      <w:r w:rsidR="00275631">
        <w:rPr>
          <w:lang w:val="en-GB" w:eastAsia="en-US"/>
        </w:rPr>
        <w:t>s</w:t>
      </w:r>
      <w:r>
        <w:rPr>
          <w:lang w:val="en-GB" w:eastAsia="en-US"/>
        </w:rPr>
        <w:t xml:space="preserve"> provided by AbbVie (Attachment 4) </w:t>
      </w:r>
    </w:p>
    <w:p w14:paraId="42D88F4D" w14:textId="661491CF" w:rsidR="00897156" w:rsidRPr="00C508F4" w:rsidRDefault="00897156" w:rsidP="00897156">
      <w:pPr>
        <w:pStyle w:val="Heading5"/>
        <w:rPr>
          <w:rFonts w:eastAsia="Times New Roman"/>
          <w:lang w:val="en-GB" w:eastAsia="en-US"/>
        </w:rPr>
      </w:pPr>
      <w:r>
        <w:rPr>
          <w:rFonts w:eastAsia="Times New Roman"/>
          <w:lang w:val="en-GB" w:eastAsia="en-US"/>
        </w:rPr>
        <w:t>Procedure</w:t>
      </w:r>
    </w:p>
    <w:p w14:paraId="31F9E737" w14:textId="1569D418" w:rsidR="001D34CD" w:rsidRPr="00897156" w:rsidRDefault="001D34CD" w:rsidP="00897156">
      <w:pPr>
        <w:pStyle w:val="Numberedlist"/>
        <w:numPr>
          <w:ilvl w:val="0"/>
          <w:numId w:val="47"/>
        </w:numPr>
      </w:pPr>
      <w:r w:rsidRPr="00897156">
        <w:t>Inspect all components for expiration and for package damage.</w:t>
      </w:r>
    </w:p>
    <w:p w14:paraId="5B27FC39" w14:textId="65595C18" w:rsidR="001D34CD" w:rsidRPr="00897156" w:rsidRDefault="001D34CD" w:rsidP="00897156">
      <w:pPr>
        <w:pStyle w:val="Numberedlist"/>
        <w:numPr>
          <w:ilvl w:val="0"/>
          <w:numId w:val="47"/>
        </w:numPr>
      </w:pPr>
      <w:r w:rsidRPr="00897156">
        <w:t>Check the medication vial is correct as per prescription from the Specialist and inspect the vial to ensure there are no particles or cloudiness present.</w:t>
      </w:r>
    </w:p>
    <w:p w14:paraId="28040F58" w14:textId="19B4DBF4" w:rsidR="001D34CD" w:rsidRPr="00897156" w:rsidRDefault="001D34CD" w:rsidP="00897156">
      <w:pPr>
        <w:pStyle w:val="Numberedlist"/>
        <w:numPr>
          <w:ilvl w:val="0"/>
          <w:numId w:val="47"/>
        </w:numPr>
      </w:pPr>
      <w:r w:rsidRPr="00897156">
        <w:t>If refrigerated prior to use, remove the solution vial from refrigerated storage and allow to sit at room temperature, out of direct sunlight, for 30 minutes.</w:t>
      </w:r>
    </w:p>
    <w:p w14:paraId="3ECD6761" w14:textId="19833368" w:rsidR="001D34CD" w:rsidRPr="00897156" w:rsidRDefault="001D34CD" w:rsidP="00897156">
      <w:pPr>
        <w:pStyle w:val="Numberedlist"/>
        <w:numPr>
          <w:ilvl w:val="0"/>
          <w:numId w:val="47"/>
        </w:numPr>
      </w:pPr>
      <w:r w:rsidRPr="00897156">
        <w:t>Wash hands with soap and water, use aseptic technique for all preparation and administration.</w:t>
      </w:r>
    </w:p>
    <w:p w14:paraId="6903C7DB" w14:textId="43384209" w:rsidR="001D34CD" w:rsidRPr="00897156" w:rsidRDefault="001D34CD" w:rsidP="00897156">
      <w:pPr>
        <w:pStyle w:val="Numberedlist"/>
        <w:numPr>
          <w:ilvl w:val="0"/>
          <w:numId w:val="47"/>
        </w:numPr>
      </w:pPr>
      <w:r w:rsidRPr="00897156">
        <w:t xml:space="preserve">Transfer </w:t>
      </w:r>
      <w:proofErr w:type="spellStart"/>
      <w:r w:rsidRPr="00897156">
        <w:t>Foslevodopa</w:t>
      </w:r>
      <w:proofErr w:type="spellEnd"/>
      <w:r w:rsidRPr="00897156">
        <w:t>/</w:t>
      </w:r>
      <w:proofErr w:type="spellStart"/>
      <w:r w:rsidRPr="00897156">
        <w:t>Foscarbidopa</w:t>
      </w:r>
      <w:proofErr w:type="spellEnd"/>
      <w:r w:rsidRPr="00897156">
        <w:t xml:space="preserve"> solution vial to syringe using vial adapter provided.</w:t>
      </w:r>
    </w:p>
    <w:p w14:paraId="511711AC" w14:textId="593DECAD" w:rsidR="001D34CD" w:rsidRPr="00897156" w:rsidRDefault="001D34CD" w:rsidP="00897156">
      <w:pPr>
        <w:pStyle w:val="Numberedlist"/>
        <w:numPr>
          <w:ilvl w:val="0"/>
          <w:numId w:val="47"/>
        </w:numPr>
      </w:pPr>
      <w:r w:rsidRPr="00897156">
        <w:t>Connect infusion set to syringe</w:t>
      </w:r>
      <w:r w:rsidR="005479A1">
        <w:t>.</w:t>
      </w:r>
    </w:p>
    <w:p w14:paraId="7D0DC9A6" w14:textId="37AD7F64" w:rsidR="001D34CD" w:rsidRPr="00897156" w:rsidRDefault="001D34CD" w:rsidP="00897156">
      <w:pPr>
        <w:pStyle w:val="Numberedlist"/>
        <w:numPr>
          <w:ilvl w:val="0"/>
          <w:numId w:val="47"/>
        </w:numPr>
      </w:pPr>
      <w:r w:rsidRPr="00897156">
        <w:t>Place syringe in pump and prime the line</w:t>
      </w:r>
      <w:r w:rsidR="005479A1">
        <w:t>.</w:t>
      </w:r>
    </w:p>
    <w:p w14:paraId="14FDE12A" w14:textId="3582549D" w:rsidR="001D34CD" w:rsidRPr="00897156" w:rsidRDefault="001D34CD" w:rsidP="00897156">
      <w:pPr>
        <w:pStyle w:val="Numberedlist"/>
        <w:numPr>
          <w:ilvl w:val="0"/>
          <w:numId w:val="47"/>
        </w:numPr>
      </w:pPr>
      <w:r w:rsidRPr="00897156">
        <w:t>Choose the area for cannula insertion and clean with an alcohol swab. Insert the Neria Guard cannula using the insertion device, avoiding a 5cm radius around the naval, with the arrow pointing towards the hip.</w:t>
      </w:r>
    </w:p>
    <w:p w14:paraId="2634957E" w14:textId="655C43C1" w:rsidR="00D66BD3" w:rsidRDefault="001D34CD" w:rsidP="00C508F4">
      <w:pPr>
        <w:pStyle w:val="Numberedlist"/>
        <w:rPr>
          <w:lang w:val="en-GB" w:eastAsia="en-US"/>
        </w:rPr>
      </w:pPr>
      <w:r w:rsidRPr="005B3CDD">
        <w:rPr>
          <w:lang w:val="en-GB" w:eastAsia="en-US"/>
        </w:rPr>
        <w:lastRenderedPageBreak/>
        <w:t>Connect infusion set and commence infusion.</w:t>
      </w:r>
      <w:r w:rsidR="00A42730">
        <w:rPr>
          <w:lang w:val="en-GB" w:eastAsia="en-US"/>
        </w:rPr>
        <w:t xml:space="preserve"> A loading dose can be administered immediately prior to commencing the hourly infusion if needed (when commencing the therapy while the patient in an “OFF” state).</w:t>
      </w:r>
    </w:p>
    <w:p w14:paraId="5F74AC6D" w14:textId="50FA61D0" w:rsidR="00A42730" w:rsidRDefault="00A42730" w:rsidP="00C508F4">
      <w:pPr>
        <w:pStyle w:val="Numberedlist"/>
        <w:rPr>
          <w:lang w:val="en-GB" w:eastAsia="en-US"/>
        </w:rPr>
      </w:pPr>
      <w:r>
        <w:rPr>
          <w:lang w:val="en-GB" w:eastAsia="en-US"/>
        </w:rPr>
        <w:t xml:space="preserve">The Movement Disorder APN can </w:t>
      </w:r>
      <w:r w:rsidR="00C12C6B">
        <w:rPr>
          <w:lang w:val="en-GB" w:eastAsia="en-US"/>
        </w:rPr>
        <w:t>titrate</w:t>
      </w:r>
      <w:r>
        <w:rPr>
          <w:lang w:val="en-GB" w:eastAsia="en-US"/>
        </w:rPr>
        <w:t xml:space="preserve"> the hourly infusion rate with the guidance of consultant Neurologist to achieve the optimal clinical response.</w:t>
      </w:r>
    </w:p>
    <w:p w14:paraId="7DA455B6" w14:textId="0F45FAA1" w:rsidR="00A42730" w:rsidRPr="00A42730" w:rsidRDefault="00C12C6B" w:rsidP="00C508F4">
      <w:pPr>
        <w:pStyle w:val="Numberedlist"/>
        <w:rPr>
          <w:lang w:val="en-GB" w:eastAsia="en-US"/>
        </w:rPr>
      </w:pPr>
      <w:r>
        <w:rPr>
          <w:lang w:val="en-GB" w:eastAsia="en-US"/>
        </w:rPr>
        <w:t>Once the optimum dose is reached the patient can be discharged home on the following day.</w:t>
      </w:r>
    </w:p>
    <w:p w14:paraId="0DAB9C29" w14:textId="7DBA156C" w:rsidR="001D34CD" w:rsidRPr="005B3CDD" w:rsidRDefault="001D34CD" w:rsidP="00C508F4">
      <w:pPr>
        <w:pStyle w:val="Numberedlist"/>
        <w:rPr>
          <w:lang w:val="en-GB" w:eastAsia="en-US"/>
        </w:rPr>
      </w:pPr>
      <w:r w:rsidRPr="005B3CDD">
        <w:rPr>
          <w:lang w:val="en-GB" w:eastAsia="en-US"/>
        </w:rPr>
        <w:t>Infusion set (cannula) may remain in place for up to 3 days with continuous infusion.</w:t>
      </w:r>
    </w:p>
    <w:p w14:paraId="0B928546" w14:textId="5597D428" w:rsidR="001D34CD" w:rsidRDefault="001D34CD" w:rsidP="00C508F4">
      <w:pPr>
        <w:pStyle w:val="Numberedlist"/>
        <w:rPr>
          <w:lang w:val="en-GB" w:eastAsia="en-US"/>
        </w:rPr>
      </w:pPr>
      <w:r w:rsidRPr="005B3CDD">
        <w:rPr>
          <w:lang w:val="en-GB" w:eastAsia="en-US"/>
        </w:rPr>
        <w:t xml:space="preserve">Rotate infusion sites at least every 3 days, ensuring new sites are </w:t>
      </w:r>
      <w:r w:rsidR="005479A1">
        <w:rPr>
          <w:lang w:val="en-GB" w:eastAsia="en-US"/>
        </w:rPr>
        <w:t>at least</w:t>
      </w:r>
      <w:r w:rsidRPr="005B3CDD">
        <w:rPr>
          <w:lang w:val="en-GB" w:eastAsia="en-US"/>
        </w:rPr>
        <w:t> 2.5 cm from any site used in the past 12 days.</w:t>
      </w:r>
    </w:p>
    <w:p w14:paraId="3CE1973A" w14:textId="61E8CF92" w:rsidR="00430EE6" w:rsidRDefault="00430EE6" w:rsidP="00430EE6">
      <w:pPr>
        <w:pStyle w:val="Heading5"/>
        <w:rPr>
          <w:rFonts w:eastAsia="Times New Roman"/>
          <w:lang w:val="en-GB" w:eastAsia="en-US"/>
        </w:rPr>
      </w:pPr>
      <w:r>
        <w:rPr>
          <w:rFonts w:eastAsia="Times New Roman"/>
          <w:lang w:val="en-GB" w:eastAsia="en-US"/>
        </w:rPr>
        <w:t>Monitoring</w:t>
      </w:r>
    </w:p>
    <w:p w14:paraId="2C5CAAEC" w14:textId="77777777" w:rsidR="00430EE6" w:rsidRPr="00430EE6" w:rsidRDefault="00430EE6" w:rsidP="00C508F4">
      <w:pPr>
        <w:pStyle w:val="Numberedlist"/>
        <w:numPr>
          <w:ilvl w:val="0"/>
          <w:numId w:val="43"/>
        </w:numPr>
      </w:pPr>
      <w:r w:rsidRPr="5FD7997E">
        <w:t>Skin / infusion</w:t>
      </w:r>
      <w:r>
        <w:t xml:space="preserve"> s</w:t>
      </w:r>
      <w:r w:rsidRPr="5FD7997E">
        <w:t>ite checks</w:t>
      </w:r>
      <w:r>
        <w:t xml:space="preserve">: </w:t>
      </w:r>
      <w:r w:rsidRPr="00430EE6">
        <w:t>Daily skin checks to identify any skin reactions; escalate any cellulitis, ulcer or raised nodule for specialist review.</w:t>
      </w:r>
    </w:p>
    <w:p w14:paraId="33CA3F7A" w14:textId="11D046EE" w:rsidR="00430EE6" w:rsidRPr="00430EE6" w:rsidRDefault="00430EE6" w:rsidP="00C508F4">
      <w:pPr>
        <w:pStyle w:val="Numberedlist"/>
      </w:pPr>
      <w:r w:rsidRPr="00430EE6">
        <w:t xml:space="preserve">monitor </w:t>
      </w:r>
      <w:r>
        <w:t xml:space="preserve">postural </w:t>
      </w:r>
      <w:r w:rsidRPr="00430EE6">
        <w:t>blood pressure</w:t>
      </w:r>
      <w:r>
        <w:t xml:space="preserve"> 1 hour after each dose increase</w:t>
      </w:r>
    </w:p>
    <w:p w14:paraId="0FDF4605" w14:textId="4900BE91" w:rsidR="00430EE6" w:rsidRPr="00430EE6" w:rsidRDefault="007A5A2D" w:rsidP="00C508F4">
      <w:pPr>
        <w:pStyle w:val="Numberedlist"/>
      </w:pPr>
      <w:r>
        <w:t>observe</w:t>
      </w:r>
      <w:r w:rsidR="00430EE6">
        <w:t xml:space="preserve"> for </w:t>
      </w:r>
      <w:r w:rsidR="00430EE6" w:rsidRPr="00430EE6">
        <w:t>hallucinations</w:t>
      </w:r>
      <w:r w:rsidR="00430EE6">
        <w:t xml:space="preserve"> regularly</w:t>
      </w:r>
    </w:p>
    <w:p w14:paraId="7353DF93" w14:textId="4470698A" w:rsidR="00430EE6" w:rsidRPr="00430EE6" w:rsidRDefault="00430EE6" w:rsidP="00C508F4">
      <w:pPr>
        <w:pStyle w:val="Numberedlist"/>
      </w:pPr>
      <w:r w:rsidRPr="00430EE6">
        <w:t xml:space="preserve">dyskinesia </w:t>
      </w:r>
      <w:r>
        <w:t xml:space="preserve">– attend part III of UPDRS 1 hour after each dose increase </w:t>
      </w:r>
    </w:p>
    <w:p w14:paraId="4F38EEF2" w14:textId="6D39C16A" w:rsidR="00430EE6" w:rsidRPr="00430EE6" w:rsidRDefault="00430EE6" w:rsidP="00C508F4">
      <w:pPr>
        <w:pStyle w:val="Numberedlist"/>
      </w:pPr>
      <w:r w:rsidRPr="00430EE6">
        <w:t>impulse control disorders</w:t>
      </w:r>
      <w:r w:rsidR="007268FF">
        <w:t xml:space="preserve"> </w:t>
      </w:r>
      <w:r w:rsidR="0075730E">
        <w:t xml:space="preserve">to be assessed regularly </w:t>
      </w:r>
    </w:p>
    <w:p w14:paraId="5CAD947E" w14:textId="77777777" w:rsidR="007268FF" w:rsidRDefault="007268FF" w:rsidP="007268FF">
      <w:pPr>
        <w:pStyle w:val="Heading5"/>
        <w:rPr>
          <w:lang w:val="en-GB" w:eastAsia="en-US"/>
        </w:rPr>
      </w:pPr>
      <w:r w:rsidRPr="00235480">
        <w:rPr>
          <w:rFonts w:eastAsia="Times New Roman"/>
          <w:lang w:val="en-GB" w:eastAsia="en-US"/>
        </w:rPr>
        <w:t>Pump failure plan</w:t>
      </w:r>
    </w:p>
    <w:p w14:paraId="0A268204" w14:textId="77777777" w:rsidR="007268FF" w:rsidRPr="00A43F33" w:rsidRDefault="007268FF" w:rsidP="007268FF">
      <w:pPr>
        <w:pStyle w:val="BodyCopy"/>
        <w:rPr>
          <w:lang w:eastAsia="en-US"/>
        </w:rPr>
      </w:pPr>
      <w:r w:rsidRPr="00235480">
        <w:rPr>
          <w:lang w:val="en-GB" w:eastAsia="en-US"/>
        </w:rPr>
        <w:t>Maintain standby oral levodopa prescription equal to pre infusion doses (example: 100 mg 1 hourly for 4 hours), with agreed strategy if OFF becomes unmanageable.</w:t>
      </w:r>
    </w:p>
    <w:p w14:paraId="5633AA28" w14:textId="0CEF4A4E" w:rsidR="00430EE6" w:rsidRPr="00D9789A" w:rsidRDefault="008521C9" w:rsidP="007268FF">
      <w:pPr>
        <w:pStyle w:val="Heading4"/>
      </w:pPr>
      <w:bookmarkStart w:id="16" w:name="_Toc222385556"/>
      <w:r>
        <w:t xml:space="preserve">Section 9 - </w:t>
      </w:r>
      <w:r w:rsidR="007268FF">
        <w:t>D</w:t>
      </w:r>
      <w:r w:rsidR="00430EE6" w:rsidRPr="00D9789A">
        <w:t>ischarge</w:t>
      </w:r>
      <w:bookmarkEnd w:id="16"/>
    </w:p>
    <w:p w14:paraId="0A63862E" w14:textId="05C2C57E" w:rsidR="007268FF" w:rsidRPr="005479A1" w:rsidRDefault="009E2B9F" w:rsidP="005479A1">
      <w:pPr>
        <w:pStyle w:val="BodyCopy"/>
        <w:rPr>
          <w:rFonts w:eastAsia="Calibri"/>
        </w:rPr>
      </w:pPr>
      <w:r>
        <w:t>Following discharge after initiation</w:t>
      </w:r>
      <w:r w:rsidR="00455C86">
        <w:t xml:space="preserve"> of treatment</w:t>
      </w:r>
      <w:r w:rsidR="00430EE6" w:rsidRPr="00D9789A">
        <w:t xml:space="preserve">, the patient will be </w:t>
      </w:r>
      <w:r w:rsidR="004665FA">
        <w:t>rou</w:t>
      </w:r>
      <w:r>
        <w:t>tinely followed up on a weekly basis by the Movement Disorder APN until the therapeutic infusion rate has been established. Once established, the patient will be provided with</w:t>
      </w:r>
      <w:r w:rsidR="00430EE6" w:rsidRPr="00D9789A">
        <w:t xml:space="preserve"> appropriate follow up in </w:t>
      </w:r>
      <w:r w:rsidR="00430EE6">
        <w:t>specialist c</w:t>
      </w:r>
      <w:r w:rsidR="00430EE6" w:rsidRPr="00D9789A">
        <w:t>linic on an ongoing basis at six monthly intervals or more frequent as needed.</w:t>
      </w:r>
      <w:r w:rsidR="007268FF">
        <w:t xml:space="preserve"> </w:t>
      </w:r>
      <w:r w:rsidR="00113B13">
        <w:t>Additionally</w:t>
      </w:r>
      <w:r w:rsidR="007268FF">
        <w:t>:</w:t>
      </w:r>
    </w:p>
    <w:p w14:paraId="079B30B9" w14:textId="68E16E4C" w:rsidR="007268FF" w:rsidRPr="007268FF" w:rsidRDefault="00430EE6" w:rsidP="005479A1">
      <w:pPr>
        <w:pStyle w:val="Bullet"/>
      </w:pPr>
      <w:r w:rsidRPr="007268FF">
        <w:t xml:space="preserve">Treating team to </w:t>
      </w:r>
      <w:r w:rsidR="007268FF">
        <w:t>d</w:t>
      </w:r>
      <w:r w:rsidRPr="007268FF">
        <w:t xml:space="preserve">ischarge </w:t>
      </w:r>
      <w:r w:rsidR="007F6AAE">
        <w:t xml:space="preserve">patient </w:t>
      </w:r>
      <w:r w:rsidRPr="007268FF">
        <w:t>with a script for 1 month’s supply of</w:t>
      </w:r>
      <w:r w:rsidR="007268FF" w:rsidRPr="007268FF">
        <w:t xml:space="preserve"> medication. </w:t>
      </w:r>
    </w:p>
    <w:p w14:paraId="7ED292FE" w14:textId="5F48E29A" w:rsidR="00430EE6" w:rsidRPr="007268FF" w:rsidRDefault="00430EE6" w:rsidP="005479A1">
      <w:pPr>
        <w:pStyle w:val="Bullet"/>
      </w:pPr>
      <w:r w:rsidRPr="007268FF">
        <w:t>Blood screening tests will be routinely performed every 12 months</w:t>
      </w:r>
      <w:r w:rsidR="007268FF" w:rsidRPr="007268FF">
        <w:t xml:space="preserve"> with GP. </w:t>
      </w:r>
    </w:p>
    <w:p w14:paraId="1D068C29" w14:textId="710A587D" w:rsidR="00430EE6" w:rsidRPr="00445683" w:rsidRDefault="00430EE6" w:rsidP="005479A1">
      <w:pPr>
        <w:pStyle w:val="Bullet"/>
      </w:pPr>
      <w:r w:rsidRPr="007268FF">
        <w:t xml:space="preserve">Movement Disorder APN/or </w:t>
      </w:r>
      <w:r w:rsidR="007268FF" w:rsidRPr="007268FF">
        <w:t>Company Product</w:t>
      </w:r>
      <w:r w:rsidRPr="007268FF">
        <w:t xml:space="preserve"> nurse will remain in contact </w:t>
      </w:r>
      <w:r w:rsidR="002F63FF">
        <w:t xml:space="preserve">with patient </w:t>
      </w:r>
      <w:r w:rsidRPr="007268FF">
        <w:t>as needed.</w:t>
      </w:r>
    </w:p>
    <w:p w14:paraId="5C84D0AD" w14:textId="77777777" w:rsidR="0078367D" w:rsidRDefault="0078367D" w:rsidP="00A6051F">
      <w:pPr>
        <w:pStyle w:val="Heading4"/>
      </w:pPr>
      <w:bookmarkStart w:id="17" w:name="_Toc176348490"/>
      <w:bookmarkStart w:id="18" w:name="_Toc222385557"/>
      <w:r>
        <w:t>Evaluation</w:t>
      </w:r>
      <w:bookmarkStart w:id="19" w:name="_Hlk43366294"/>
      <w:bookmarkEnd w:id="17"/>
      <w:bookmarkEnd w:id="18"/>
    </w:p>
    <w:p w14:paraId="367B04CF" w14:textId="77777777" w:rsidR="00481A6C" w:rsidRDefault="00481A6C" w:rsidP="00C34A10">
      <w:pPr>
        <w:pStyle w:val="Heading5"/>
      </w:pPr>
      <w:bookmarkStart w:id="20" w:name="_Hlk170467190"/>
      <w:bookmarkStart w:id="21" w:name="_Hlk222383759"/>
      <w:bookmarkEnd w:id="19"/>
      <w:r w:rsidRPr="00C34A10">
        <w:lastRenderedPageBreak/>
        <w:t>Outcome</w:t>
      </w:r>
    </w:p>
    <w:p w14:paraId="67AC2102" w14:textId="3303DBE6" w:rsidR="00A96584" w:rsidRPr="00A96584" w:rsidRDefault="00A96584" w:rsidP="00A96584">
      <w:pPr>
        <w:pStyle w:val="BodyCopy"/>
      </w:pPr>
      <w:r>
        <w:t>Adults with Parkinson’s disease on advanced pharmaceutical therapies will be managed as per this procedure</w:t>
      </w:r>
    </w:p>
    <w:p w14:paraId="0626D981" w14:textId="180D6981" w:rsidR="00C34A10" w:rsidRDefault="00C34A10" w:rsidP="00A96584">
      <w:pPr>
        <w:pStyle w:val="Heading5"/>
      </w:pPr>
      <w:bookmarkStart w:id="22" w:name="_Hlk170467240"/>
      <w:bookmarkEnd w:id="20"/>
      <w:r>
        <w:t>Measures</w:t>
      </w:r>
      <w:bookmarkEnd w:id="22"/>
    </w:p>
    <w:p w14:paraId="1B72E12A" w14:textId="77777777" w:rsidR="00481A6C" w:rsidRDefault="00481A6C" w:rsidP="00C34A10">
      <w:pPr>
        <w:pStyle w:val="Bullet"/>
      </w:pPr>
      <w:bookmarkStart w:id="23" w:name="_Hlk222383726"/>
      <w:r w:rsidRPr="00C34A10">
        <w:t>Regular review and reporting to relevant managers of clinical activity, referrals received, and waitlist times.</w:t>
      </w:r>
    </w:p>
    <w:p w14:paraId="744EBC94" w14:textId="57543438" w:rsidR="00A96584" w:rsidRPr="00C34A10" w:rsidRDefault="00A96584" w:rsidP="00C34A10">
      <w:pPr>
        <w:pStyle w:val="Bullet"/>
      </w:pPr>
      <w:r>
        <w:t xml:space="preserve">Regular review of </w:t>
      </w:r>
      <w:r w:rsidR="005479A1">
        <w:t xml:space="preserve">the Clinical Incident Reporting System for </w:t>
      </w:r>
      <w:r>
        <w:t>adverse events with advanced therapies</w:t>
      </w:r>
    </w:p>
    <w:bookmarkEnd w:id="23"/>
    <w:bookmarkEnd w:id="21"/>
    <w:p w14:paraId="7F5DA99A" w14:textId="77777777" w:rsidR="00481A6C" w:rsidRDefault="00481A6C" w:rsidP="002D7682">
      <w:pPr>
        <w:pStyle w:val="BodyCopy"/>
        <w:spacing w:after="120"/>
        <w:rPr>
          <w:rStyle w:val="Hyperlink"/>
          <w:iCs w:val="0"/>
        </w:rPr>
      </w:pPr>
      <w:r>
        <w:fldChar w:fldCharType="begin"/>
      </w:r>
      <w:r>
        <w:instrText>HYPERLINK \l "_top"</w:instrText>
      </w:r>
      <w:r>
        <w:fldChar w:fldCharType="separate"/>
      </w:r>
      <w:r w:rsidRPr="00481A6C">
        <w:rPr>
          <w:rStyle w:val="Hyperlink"/>
          <w:iCs w:val="0"/>
        </w:rPr>
        <w:t>Back to Contents</w:t>
      </w:r>
      <w:r>
        <w:fldChar w:fldCharType="end"/>
      </w:r>
    </w:p>
    <w:p w14:paraId="474080A4" w14:textId="77777777" w:rsidR="00A6051F" w:rsidRDefault="00A6051F" w:rsidP="00A6051F">
      <w:pPr>
        <w:pStyle w:val="Heading4"/>
      </w:pPr>
      <w:bookmarkStart w:id="24" w:name="_Toc222385558"/>
      <w:r>
        <w:t>Related policies, procedures, guidelines and legislation</w:t>
      </w:r>
      <w:bookmarkEnd w:id="24"/>
    </w:p>
    <w:p w14:paraId="15C2F6A6" w14:textId="77777777" w:rsidR="00481A6C" w:rsidRPr="00A66966" w:rsidRDefault="00481A6C" w:rsidP="00A6051F">
      <w:pPr>
        <w:pStyle w:val="Heading5"/>
      </w:pPr>
      <w:r w:rsidRPr="00A66966">
        <w:t>Policies</w:t>
      </w:r>
    </w:p>
    <w:p w14:paraId="737D0782" w14:textId="77777777" w:rsidR="00A86197" w:rsidRDefault="00A86197" w:rsidP="00124715">
      <w:pPr>
        <w:pStyle w:val="Bullet"/>
        <w:numPr>
          <w:ilvl w:val="0"/>
          <w:numId w:val="8"/>
        </w:numPr>
      </w:pPr>
      <w:r>
        <w:t>Nursing and Midwifery Board of Australia (NMBA) Requirements for Practice</w:t>
      </w:r>
    </w:p>
    <w:p w14:paraId="2AF58FD8" w14:textId="7A8DA3E9" w:rsidR="0077381E" w:rsidRDefault="0077381E" w:rsidP="00124715">
      <w:pPr>
        <w:pStyle w:val="Bullet"/>
        <w:numPr>
          <w:ilvl w:val="0"/>
          <w:numId w:val="8"/>
        </w:numPr>
      </w:pPr>
      <w:r>
        <w:t>Medication Safety National Standard</w:t>
      </w:r>
    </w:p>
    <w:p w14:paraId="39038D72" w14:textId="285A4AD5" w:rsidR="0077381E" w:rsidRDefault="0077381E" w:rsidP="00124715">
      <w:pPr>
        <w:pStyle w:val="Bullet"/>
        <w:numPr>
          <w:ilvl w:val="0"/>
          <w:numId w:val="8"/>
        </w:numPr>
      </w:pPr>
      <w:r>
        <w:t>Medication Handling</w:t>
      </w:r>
    </w:p>
    <w:p w14:paraId="1E95F1D3" w14:textId="77777777" w:rsidR="00481A6C" w:rsidRDefault="00481A6C" w:rsidP="00A6051F">
      <w:pPr>
        <w:pStyle w:val="Heading5"/>
      </w:pPr>
      <w:r>
        <w:t>Procedures</w:t>
      </w:r>
    </w:p>
    <w:p w14:paraId="1357A7BC" w14:textId="77777777" w:rsidR="00A96584" w:rsidRPr="000E7683" w:rsidRDefault="00A96584" w:rsidP="00A96584">
      <w:pPr>
        <w:pStyle w:val="Bullet"/>
      </w:pPr>
      <w:r>
        <w:t>Admission to Discharge Procedure – (adult and Children)</w:t>
      </w:r>
    </w:p>
    <w:p w14:paraId="796AFF32" w14:textId="7FA25D7A" w:rsidR="00481A6C" w:rsidRPr="000E7683" w:rsidRDefault="00635114" w:rsidP="000E7683">
      <w:pPr>
        <w:pStyle w:val="Bullet"/>
      </w:pPr>
      <w:r>
        <w:t>Infection Prevention and Control</w:t>
      </w:r>
    </w:p>
    <w:p w14:paraId="18CD0F50" w14:textId="54642E78" w:rsidR="00481A6C" w:rsidRPr="000E7683" w:rsidRDefault="00481A6C" w:rsidP="000E7683">
      <w:pPr>
        <w:pStyle w:val="Bullet"/>
      </w:pPr>
      <w:r w:rsidRPr="000E7683">
        <w:t xml:space="preserve">Patient Identification and </w:t>
      </w:r>
      <w:r w:rsidR="009C2AB8">
        <w:t>Healthcare Activity</w:t>
      </w:r>
      <w:r w:rsidR="009C2AB8" w:rsidRPr="000E7683">
        <w:t xml:space="preserve"> </w:t>
      </w:r>
      <w:r w:rsidRPr="000E7683">
        <w:t xml:space="preserve">Matching </w:t>
      </w:r>
    </w:p>
    <w:p w14:paraId="0DD12424" w14:textId="77777777" w:rsidR="00481A6C" w:rsidRDefault="00481A6C" w:rsidP="00A6051F">
      <w:pPr>
        <w:pStyle w:val="Heading5"/>
      </w:pPr>
      <w:r>
        <w:t xml:space="preserve">Guidelines </w:t>
      </w:r>
    </w:p>
    <w:p w14:paraId="2B6435C6" w14:textId="77777777" w:rsidR="009746B1" w:rsidRDefault="009746B1" w:rsidP="009746B1">
      <w:pPr>
        <w:pStyle w:val="Bullet"/>
      </w:pPr>
      <w:r>
        <w:t>Consent for Healthcare Treatment</w:t>
      </w:r>
    </w:p>
    <w:p w14:paraId="3E6FA55A" w14:textId="77777777" w:rsidR="00481A6C" w:rsidRDefault="00481A6C" w:rsidP="00A6051F">
      <w:pPr>
        <w:pStyle w:val="Heading5"/>
      </w:pPr>
      <w:r>
        <w:t>Legislation</w:t>
      </w:r>
    </w:p>
    <w:p w14:paraId="5C273EEB" w14:textId="77777777" w:rsidR="00481A6C" w:rsidRPr="000E7683" w:rsidRDefault="00481A6C" w:rsidP="000E7683">
      <w:pPr>
        <w:pStyle w:val="Bullet"/>
      </w:pPr>
      <w:r w:rsidRPr="00FE46F1">
        <w:rPr>
          <w:i/>
          <w:iCs/>
        </w:rPr>
        <w:t>Health Records (Privacy and Access) Act</w:t>
      </w:r>
      <w:r w:rsidRPr="000E7683">
        <w:t xml:space="preserve"> 1997</w:t>
      </w:r>
    </w:p>
    <w:p w14:paraId="68A59350" w14:textId="77777777" w:rsidR="00481A6C" w:rsidRPr="000E7683" w:rsidRDefault="00481A6C" w:rsidP="000E7683">
      <w:pPr>
        <w:pStyle w:val="Bullet"/>
      </w:pPr>
      <w:r w:rsidRPr="00FE46F1">
        <w:rPr>
          <w:i/>
          <w:iCs/>
        </w:rPr>
        <w:t>Human Rights Act</w:t>
      </w:r>
      <w:r w:rsidRPr="000E7683">
        <w:t xml:space="preserve"> 2004</w:t>
      </w:r>
    </w:p>
    <w:p w14:paraId="33114B04" w14:textId="77777777" w:rsidR="00481A6C" w:rsidRPr="000E7683" w:rsidRDefault="00481A6C" w:rsidP="000E7683">
      <w:pPr>
        <w:pStyle w:val="Bullet"/>
      </w:pPr>
      <w:r w:rsidRPr="00FE46F1">
        <w:rPr>
          <w:i/>
          <w:iCs/>
        </w:rPr>
        <w:t>Work Health and Safety Act</w:t>
      </w:r>
      <w:r w:rsidRPr="000E7683">
        <w:t xml:space="preserve"> 2011</w:t>
      </w:r>
    </w:p>
    <w:p w14:paraId="3977A1F5" w14:textId="77777777" w:rsidR="00481A6C" w:rsidRPr="000E7683" w:rsidRDefault="00481A6C" w:rsidP="000E7683">
      <w:pPr>
        <w:pStyle w:val="Bullet"/>
      </w:pPr>
      <w:r w:rsidRPr="00FE46F1">
        <w:rPr>
          <w:i/>
          <w:iCs/>
        </w:rPr>
        <w:t>Carers Recognition Act</w:t>
      </w:r>
      <w:r w:rsidRPr="000E7683">
        <w:t xml:space="preserve"> 2021</w:t>
      </w:r>
    </w:p>
    <w:p w14:paraId="3D8D151D" w14:textId="77777777" w:rsidR="00481A6C" w:rsidRDefault="00481A6C" w:rsidP="00A6051F">
      <w:pPr>
        <w:pStyle w:val="Heading5"/>
      </w:pPr>
      <w:r>
        <w:t>Other</w:t>
      </w:r>
    </w:p>
    <w:p w14:paraId="686FBC98" w14:textId="77777777" w:rsidR="000E7683" w:rsidRDefault="00481A6C" w:rsidP="00A66966">
      <w:pPr>
        <w:pStyle w:val="Bullet"/>
      </w:pPr>
      <w:r w:rsidRPr="00A66966">
        <w:t>Australian</w:t>
      </w:r>
      <w:r w:rsidRPr="000E7683">
        <w:t xml:space="preserve"> Charter of Healthcare Right</w:t>
      </w:r>
      <w:r w:rsidR="00280C5D" w:rsidRPr="000E7683">
        <w:t>s</w:t>
      </w:r>
    </w:p>
    <w:p w14:paraId="21A302DD" w14:textId="77777777" w:rsidR="000E7683" w:rsidRPr="000E7683" w:rsidRDefault="000E7683" w:rsidP="002D7682">
      <w:pPr>
        <w:pStyle w:val="BodyCopy"/>
      </w:pPr>
      <w:hyperlink w:anchor="_top" w:history="1">
        <w:r w:rsidRPr="004A7A7F">
          <w:rPr>
            <w:rStyle w:val="Hyperlink"/>
          </w:rPr>
          <w:t>Back to Contents</w:t>
        </w:r>
      </w:hyperlink>
    </w:p>
    <w:p w14:paraId="05B1A47E" w14:textId="77777777" w:rsidR="0078367D" w:rsidRPr="0078367D" w:rsidRDefault="0078367D" w:rsidP="00A6051F">
      <w:pPr>
        <w:pStyle w:val="Heading4"/>
      </w:pPr>
      <w:bookmarkStart w:id="25" w:name="_Toc222385559"/>
      <w:r w:rsidRPr="0078367D">
        <w:lastRenderedPageBreak/>
        <w:t>References</w:t>
      </w:r>
      <w:bookmarkEnd w:id="25"/>
    </w:p>
    <w:p w14:paraId="423116AB" w14:textId="77777777" w:rsidR="00A96584" w:rsidRDefault="00A96584" w:rsidP="00A96584">
      <w:pPr>
        <w:pStyle w:val="Bullet"/>
        <w:rPr>
          <w:lang w:eastAsia="en-US"/>
        </w:rPr>
      </w:pPr>
      <w:r>
        <w:rPr>
          <w:lang w:eastAsia="en-US"/>
        </w:rPr>
        <w:t xml:space="preserve">AbbVie AB. (2024, October 2024). Healthcare Professional Instructions for Use of VYAFUSER™ Pump (Version 2.0) [Instruction manual]. Phillips </w:t>
      </w:r>
      <w:proofErr w:type="spellStart"/>
      <w:r>
        <w:rPr>
          <w:lang w:eastAsia="en-US"/>
        </w:rPr>
        <w:t>Medisize</w:t>
      </w:r>
      <w:proofErr w:type="spellEnd"/>
      <w:r>
        <w:rPr>
          <w:lang w:eastAsia="en-US"/>
        </w:rPr>
        <w:t xml:space="preserve"> A/S</w:t>
      </w:r>
    </w:p>
    <w:p w14:paraId="703F6EBE" w14:textId="77777777" w:rsidR="00A96584" w:rsidRDefault="00A96584" w:rsidP="00A96584">
      <w:pPr>
        <w:pStyle w:val="Bullet"/>
        <w:rPr>
          <w:lang w:eastAsia="en-US"/>
        </w:rPr>
      </w:pPr>
      <w:r>
        <w:rPr>
          <w:lang w:eastAsia="en-US"/>
        </w:rPr>
        <w:t xml:space="preserve">Aldred, J., Freire-Alvarez, E., Amelin, A.V. et al. (2023) Continuous Subcutaneous </w:t>
      </w:r>
      <w:proofErr w:type="spellStart"/>
      <w:r>
        <w:rPr>
          <w:lang w:eastAsia="en-US"/>
        </w:rPr>
        <w:t>Foslevodopa</w:t>
      </w:r>
      <w:proofErr w:type="spellEnd"/>
      <w:r>
        <w:rPr>
          <w:lang w:eastAsia="en-US"/>
        </w:rPr>
        <w:t>/</w:t>
      </w:r>
      <w:proofErr w:type="spellStart"/>
      <w:r>
        <w:rPr>
          <w:lang w:eastAsia="en-US"/>
        </w:rPr>
        <w:t>Foscarbidopa</w:t>
      </w:r>
      <w:proofErr w:type="spellEnd"/>
      <w:r>
        <w:rPr>
          <w:lang w:eastAsia="en-US"/>
        </w:rPr>
        <w:t xml:space="preserve"> in Parkinson’s Disease: Safety and Efficacy Results From a 12-Month, Single-Arm, Open-Label, Phase 3 Study. Neurol Ther 12, 1937–1958 (2023). https://doi.org/10.1007/s40120-023-00533-1</w:t>
      </w:r>
    </w:p>
    <w:p w14:paraId="4C8859F2" w14:textId="77777777" w:rsidR="00A96584" w:rsidRDefault="00A96584" w:rsidP="00A96584">
      <w:pPr>
        <w:pStyle w:val="Bullet"/>
        <w:rPr>
          <w:lang w:eastAsia="en-US"/>
        </w:rPr>
      </w:pPr>
      <w:r>
        <w:rPr>
          <w:lang w:eastAsia="en-US"/>
        </w:rPr>
        <w:t xml:space="preserve">Rosebraugh MA, </w:t>
      </w:r>
      <w:proofErr w:type="spellStart"/>
      <w:r>
        <w:rPr>
          <w:lang w:eastAsia="en-US"/>
        </w:rPr>
        <w:t>Stodtmann</w:t>
      </w:r>
      <w:proofErr w:type="spellEnd"/>
      <w:r>
        <w:rPr>
          <w:lang w:eastAsia="en-US"/>
        </w:rPr>
        <w:t xml:space="preserve"> SB, </w:t>
      </w:r>
      <w:proofErr w:type="spellStart"/>
      <w:r>
        <w:rPr>
          <w:lang w:eastAsia="en-US"/>
        </w:rPr>
        <w:t>Facheris</w:t>
      </w:r>
      <w:proofErr w:type="spellEnd"/>
      <w:r>
        <w:rPr>
          <w:lang w:eastAsia="en-US"/>
        </w:rPr>
        <w:t xml:space="preserve"> MB, Liu W. 2023. </w:t>
      </w:r>
      <w:proofErr w:type="spellStart"/>
      <w:r>
        <w:rPr>
          <w:lang w:eastAsia="en-US"/>
        </w:rPr>
        <w:t>Foslevodopa</w:t>
      </w:r>
      <w:proofErr w:type="spellEnd"/>
      <w:r>
        <w:rPr>
          <w:lang w:eastAsia="en-US"/>
        </w:rPr>
        <w:t>/</w:t>
      </w:r>
      <w:proofErr w:type="spellStart"/>
      <w:r>
        <w:rPr>
          <w:lang w:eastAsia="en-US"/>
        </w:rPr>
        <w:t>foscarbidopa</w:t>
      </w:r>
      <w:proofErr w:type="spellEnd"/>
      <w:r>
        <w:rPr>
          <w:lang w:eastAsia="en-US"/>
        </w:rPr>
        <w:t xml:space="preserve"> subcutaneous infusion maintains equivalent levodopa exposure to levodopa-carbidopa intestinal gel delivered to the jejunum. Parkinsonism and related Disorders. 97. 68 – 72. </w:t>
      </w:r>
    </w:p>
    <w:p w14:paraId="25EF7A8C" w14:textId="77777777" w:rsidR="00A96584" w:rsidRDefault="00A96584" w:rsidP="00A96584">
      <w:pPr>
        <w:pStyle w:val="Bullet"/>
        <w:rPr>
          <w:lang w:eastAsia="en-US"/>
        </w:rPr>
      </w:pPr>
      <w:r>
        <w:rPr>
          <w:lang w:eastAsia="en-US"/>
        </w:rPr>
        <w:t xml:space="preserve">Fung, V. S. C., Aldred, J., Arroyo, M. P., Bergquist, F., Hauser, R. A., Bouchard, M., Bray, S., et al. (2024, February 10). Continuous subcutaneous </w:t>
      </w:r>
      <w:proofErr w:type="spellStart"/>
      <w:r>
        <w:rPr>
          <w:lang w:eastAsia="en-US"/>
        </w:rPr>
        <w:t>foslevodopa</w:t>
      </w:r>
      <w:proofErr w:type="spellEnd"/>
      <w:r>
        <w:rPr>
          <w:lang w:eastAsia="en-US"/>
        </w:rPr>
        <w:t>/</w:t>
      </w:r>
      <w:proofErr w:type="spellStart"/>
      <w:r>
        <w:rPr>
          <w:lang w:eastAsia="en-US"/>
        </w:rPr>
        <w:t>foscarbidopa</w:t>
      </w:r>
      <w:proofErr w:type="spellEnd"/>
      <w:r>
        <w:rPr>
          <w:lang w:eastAsia="en-US"/>
        </w:rPr>
        <w:t xml:space="preserve"> infusion for the treatment of motor fluctuations in Parkinson’s disease: Considerations for initiation and maintenance. Clinical Parkinsonism &amp; Related Disorders, 10, 100239. https://doi.org/10.1016/j.prdoa.2024.100239.</w:t>
      </w:r>
    </w:p>
    <w:p w14:paraId="6F3D1A55" w14:textId="77777777" w:rsidR="00A96584" w:rsidRDefault="00A96584" w:rsidP="00A96584">
      <w:pPr>
        <w:pStyle w:val="Bullet"/>
        <w:rPr>
          <w:lang w:eastAsia="en-US"/>
        </w:rPr>
      </w:pPr>
      <w:proofErr w:type="spellStart"/>
      <w:r>
        <w:rPr>
          <w:lang w:eastAsia="en-US"/>
        </w:rPr>
        <w:t>Facheris</w:t>
      </w:r>
      <w:proofErr w:type="spellEnd"/>
      <w:r>
        <w:rPr>
          <w:lang w:eastAsia="en-US"/>
        </w:rPr>
        <w:t xml:space="preserve">, M., Benesh, J., Streit, J., </w:t>
      </w:r>
      <w:proofErr w:type="spellStart"/>
      <w:r>
        <w:rPr>
          <w:lang w:eastAsia="en-US"/>
        </w:rPr>
        <w:t>Robieson</w:t>
      </w:r>
      <w:proofErr w:type="spellEnd"/>
      <w:r>
        <w:rPr>
          <w:lang w:eastAsia="en-US"/>
        </w:rPr>
        <w:t>, W., Zadikoff, C., et al. (2020). Safety and tolerability in Parkinson’s disease patients treated with continuous subcutaneous infusion of ABBV-951: design of a 52-week phase 3 study. Neurology. Apr 2020</w:t>
      </w:r>
    </w:p>
    <w:p w14:paraId="1628280A" w14:textId="77777777" w:rsidR="00A96584" w:rsidRDefault="00A96584" w:rsidP="00A96584">
      <w:pPr>
        <w:pStyle w:val="Bullet"/>
        <w:rPr>
          <w:lang w:eastAsia="en-US"/>
        </w:rPr>
      </w:pPr>
      <w:r>
        <w:rPr>
          <w:lang w:eastAsia="en-US"/>
        </w:rPr>
        <w:t xml:space="preserve">Soileau, M. J., Aldred, J., Budur, K., et al. (2022). Safety and efficacy of continuous subcutaneous </w:t>
      </w:r>
      <w:proofErr w:type="spellStart"/>
      <w:r>
        <w:rPr>
          <w:lang w:eastAsia="en-US"/>
        </w:rPr>
        <w:t>foslevodopa</w:t>
      </w:r>
      <w:proofErr w:type="spellEnd"/>
      <w:r>
        <w:rPr>
          <w:lang w:eastAsia="en-US"/>
        </w:rPr>
        <w:t xml:space="preserve"> </w:t>
      </w:r>
      <w:proofErr w:type="spellStart"/>
      <w:r>
        <w:rPr>
          <w:lang w:eastAsia="en-US"/>
        </w:rPr>
        <w:t>foscarbidopa</w:t>
      </w:r>
      <w:proofErr w:type="spellEnd"/>
      <w:r>
        <w:rPr>
          <w:lang w:eastAsia="en-US"/>
        </w:rPr>
        <w:t xml:space="preserve"> in patients with advanced Parkinson’s disease: a randomized, double blind, active controlled phase 3 trial. The Lancet Neurology, 21(12), 1099–1109. https://doi.org/10.1016/S1474 4422(22)00400 8.</w:t>
      </w:r>
    </w:p>
    <w:p w14:paraId="1D94D689" w14:textId="77777777" w:rsidR="00A96584" w:rsidRDefault="00A96584" w:rsidP="00A96584">
      <w:pPr>
        <w:pStyle w:val="Bullet"/>
        <w:rPr>
          <w:lang w:eastAsia="en-US"/>
        </w:rPr>
      </w:pPr>
      <w:r>
        <w:rPr>
          <w:lang w:eastAsia="en-US"/>
        </w:rPr>
        <w:t xml:space="preserve">Patient Instructions for Use of VYAFUSER™ Pump [Patient guide]. Phillips </w:t>
      </w:r>
      <w:proofErr w:type="spellStart"/>
      <w:r>
        <w:rPr>
          <w:lang w:eastAsia="en-US"/>
        </w:rPr>
        <w:t>Medisize</w:t>
      </w:r>
      <w:proofErr w:type="spellEnd"/>
      <w:r>
        <w:rPr>
          <w:lang w:eastAsia="en-US"/>
        </w:rPr>
        <w:t xml:space="preserve"> A/S. Last revised Oct 2024.</w:t>
      </w:r>
    </w:p>
    <w:p w14:paraId="71F70382" w14:textId="77777777" w:rsidR="00A96584" w:rsidRDefault="00A96584" w:rsidP="00A96584">
      <w:pPr>
        <w:pStyle w:val="Bullet"/>
        <w:ind w:left="357" w:hanging="357"/>
        <w:rPr>
          <w:lang w:eastAsia="en-US"/>
        </w:rPr>
      </w:pPr>
      <w:proofErr w:type="spellStart"/>
      <w:r>
        <w:rPr>
          <w:lang w:eastAsia="en-US"/>
        </w:rPr>
        <w:t>Trenkwalder</w:t>
      </w:r>
      <w:proofErr w:type="spellEnd"/>
      <w:r>
        <w:rPr>
          <w:lang w:eastAsia="en-US"/>
        </w:rPr>
        <w:t xml:space="preserve">, C., Chaudhuri, K. R., Ruiz, P. J. G., LeWitt, P., </w:t>
      </w:r>
      <w:proofErr w:type="spellStart"/>
      <w:r>
        <w:rPr>
          <w:lang w:eastAsia="en-US"/>
        </w:rPr>
        <w:t>Katzenschlager</w:t>
      </w:r>
      <w:proofErr w:type="spellEnd"/>
      <w:r>
        <w:rPr>
          <w:lang w:eastAsia="en-US"/>
        </w:rPr>
        <w:t xml:space="preserve">, R., Sixel-Doring, F., Henriksen, T., Sesar, A., </w:t>
      </w:r>
      <w:proofErr w:type="spellStart"/>
      <w:r>
        <w:rPr>
          <w:lang w:eastAsia="en-US"/>
        </w:rPr>
        <w:t>Poewe</w:t>
      </w:r>
      <w:proofErr w:type="spellEnd"/>
      <w:r>
        <w:rPr>
          <w:lang w:eastAsia="en-US"/>
        </w:rPr>
        <w:t xml:space="preserve">, W., Baker, M., Ceballos-Baumann, A., </w:t>
      </w:r>
      <w:proofErr w:type="spellStart"/>
      <w:r>
        <w:rPr>
          <w:lang w:eastAsia="en-US"/>
        </w:rPr>
        <w:t>Deuschl</w:t>
      </w:r>
      <w:proofErr w:type="spellEnd"/>
      <w:r>
        <w:rPr>
          <w:lang w:eastAsia="en-US"/>
        </w:rPr>
        <w:t xml:space="preserve">, G., Drapier, S., Ebersbach, G., Evans, A., Fernandez, H., Isaacson, S., van Laar, T., Lees, A., Lewis, S., Castrillo, J. C. M., Martinez-Martin, P., Odin, P., O'Sullivan, J., </w:t>
      </w:r>
      <w:proofErr w:type="spellStart"/>
      <w:r>
        <w:rPr>
          <w:lang w:eastAsia="en-US"/>
        </w:rPr>
        <w:t>Tagaris</w:t>
      </w:r>
      <w:proofErr w:type="spellEnd"/>
      <w:r>
        <w:rPr>
          <w:lang w:eastAsia="en-US"/>
        </w:rPr>
        <w:t xml:space="preserve">, G., Wenzel, K. Expert consensus group report on the use of apomorphine in the treatment of Parkinson’s disease - clinical practice recommendations, Parkinsonism </w:t>
      </w:r>
      <w:proofErr w:type="spellStart"/>
      <w:r>
        <w:rPr>
          <w:lang w:eastAsia="en-US"/>
        </w:rPr>
        <w:t>Relat</w:t>
      </w:r>
      <w:proofErr w:type="spellEnd"/>
      <w:r>
        <w:rPr>
          <w:lang w:eastAsia="en-US"/>
        </w:rPr>
        <w:t xml:space="preserve">. </w:t>
      </w:r>
      <w:proofErr w:type="spellStart"/>
      <w:r>
        <w:rPr>
          <w:lang w:eastAsia="en-US"/>
        </w:rPr>
        <w:t>Disord</w:t>
      </w:r>
      <w:proofErr w:type="spellEnd"/>
      <w:r>
        <w:rPr>
          <w:lang w:eastAsia="en-US"/>
        </w:rPr>
        <w:t>. 2015 Sep; 21:1023-1030</w:t>
      </w:r>
    </w:p>
    <w:p w14:paraId="2C4E85D8" w14:textId="77777777" w:rsidR="00A96584" w:rsidRDefault="00A96584" w:rsidP="00A96584">
      <w:pPr>
        <w:pStyle w:val="Bullet"/>
        <w:rPr>
          <w:lang w:eastAsia="en-US"/>
        </w:rPr>
      </w:pPr>
      <w:r w:rsidRPr="00A0630B">
        <w:rPr>
          <w:lang w:val="it-IT" w:eastAsia="en-US"/>
        </w:rPr>
        <w:t xml:space="preserve">Garcia Ruiz PJ, Sesar Ignacio A, Ares Pensado B, Castro García A, Alonso Frech F, Alvarez López M, et al. </w:t>
      </w:r>
      <w:r>
        <w:rPr>
          <w:lang w:eastAsia="en-US"/>
        </w:rPr>
        <w:t xml:space="preserve">Efficacy of long-term continuous subcutaneous apomorphine infusion in advanced Parkinson’s disease with motor fluctuations: a multicentre study. Mov </w:t>
      </w:r>
      <w:proofErr w:type="spellStart"/>
      <w:r>
        <w:rPr>
          <w:lang w:eastAsia="en-US"/>
        </w:rPr>
        <w:t>Disord</w:t>
      </w:r>
      <w:proofErr w:type="spellEnd"/>
      <w:r>
        <w:rPr>
          <w:lang w:eastAsia="en-US"/>
        </w:rPr>
        <w:t xml:space="preserve"> 2008; 23:1130-6.</w:t>
      </w:r>
    </w:p>
    <w:p w14:paraId="40B64E13" w14:textId="77777777" w:rsidR="00A96584" w:rsidRDefault="00A96584" w:rsidP="002D7682">
      <w:pPr>
        <w:pStyle w:val="Bullet"/>
        <w:numPr>
          <w:ilvl w:val="0"/>
          <w:numId w:val="0"/>
        </w:numPr>
        <w:tabs>
          <w:tab w:val="clear" w:pos="425"/>
        </w:tabs>
        <w:spacing w:after="240"/>
        <w:ind w:left="357" w:hanging="357"/>
      </w:pPr>
    </w:p>
    <w:p w14:paraId="24C6D143" w14:textId="6E43F90D" w:rsidR="00280C5D" w:rsidRDefault="00280C5D" w:rsidP="002D7682">
      <w:pPr>
        <w:pStyle w:val="Bullet"/>
        <w:numPr>
          <w:ilvl w:val="0"/>
          <w:numId w:val="0"/>
        </w:numPr>
        <w:tabs>
          <w:tab w:val="clear" w:pos="425"/>
        </w:tabs>
        <w:spacing w:after="240"/>
        <w:ind w:left="357" w:hanging="357"/>
        <w:rPr>
          <w:lang w:eastAsia="en-US"/>
        </w:rPr>
      </w:pPr>
      <w:hyperlink w:anchor="_top" w:history="1">
        <w:r w:rsidRPr="004A7A7F">
          <w:rPr>
            <w:rStyle w:val="Hyperlink"/>
          </w:rPr>
          <w:t>Back to Contents</w:t>
        </w:r>
      </w:hyperlink>
    </w:p>
    <w:p w14:paraId="7A56BA06" w14:textId="739E4943" w:rsidR="0078367D" w:rsidRDefault="0078367D" w:rsidP="00A6051F">
      <w:pPr>
        <w:pStyle w:val="Heading4"/>
      </w:pPr>
      <w:bookmarkStart w:id="26" w:name="_Toc222385560"/>
      <w:r>
        <w:t>Definition of terms</w:t>
      </w:r>
      <w:bookmarkEnd w:id="26"/>
      <w:r>
        <w:t xml:space="preserve"> </w:t>
      </w:r>
    </w:p>
    <w:p w14:paraId="0FBDE9AF" w14:textId="77777777" w:rsidR="00A96584" w:rsidRDefault="00A96584" w:rsidP="00A96584">
      <w:pPr>
        <w:pStyle w:val="BodyCopy"/>
      </w:pPr>
      <w:r>
        <w:t>Bradykinesia – slow or absent movements</w:t>
      </w:r>
    </w:p>
    <w:p w14:paraId="02B86CFA" w14:textId="77777777" w:rsidR="001F505F" w:rsidRDefault="001F505F" w:rsidP="001F505F">
      <w:pPr>
        <w:pStyle w:val="BodyCopy"/>
      </w:pPr>
      <w:r>
        <w:t>Dyskinesia – unnatural involuntary random movement</w:t>
      </w:r>
    </w:p>
    <w:p w14:paraId="1199D4CF" w14:textId="76130FEA" w:rsidR="001F505F" w:rsidRDefault="001F505F" w:rsidP="001F505F">
      <w:pPr>
        <w:pStyle w:val="BodyCopy"/>
      </w:pPr>
      <w:r w:rsidRPr="001F505F">
        <w:t>Extra Dose: bolus dose given when prescribed and required for ‘Off’ symptoms in mL</w:t>
      </w:r>
    </w:p>
    <w:p w14:paraId="6ADBD1BB" w14:textId="74B34A2D" w:rsidR="001F505F" w:rsidRDefault="001F505F" w:rsidP="001F505F">
      <w:pPr>
        <w:pStyle w:val="BodyCopy"/>
      </w:pPr>
      <w:r w:rsidRPr="001F505F">
        <w:t>Initiation: commencement of drug therapy</w:t>
      </w:r>
    </w:p>
    <w:p w14:paraId="091CA125" w14:textId="1D03F12A" w:rsidR="001F505F" w:rsidRDefault="001F505F" w:rsidP="001F505F">
      <w:pPr>
        <w:pStyle w:val="BodyCopy"/>
      </w:pPr>
      <w:r w:rsidRPr="001F505F">
        <w:t>Levodopa Induced Dyskinesia – dyskinesia induced by levodopa treatment.</w:t>
      </w:r>
    </w:p>
    <w:p w14:paraId="462186D5" w14:textId="5EF88881" w:rsidR="004A2ED0" w:rsidRDefault="004A2ED0" w:rsidP="001F505F">
      <w:pPr>
        <w:pStyle w:val="BodyCopy"/>
      </w:pPr>
      <w:r w:rsidRPr="004A2ED0">
        <w:t>‘OFF’ – patient displays bradykinesia/rigidity/tremor</w:t>
      </w:r>
    </w:p>
    <w:p w14:paraId="78395A87" w14:textId="77777777" w:rsidR="001F505F" w:rsidRDefault="001F505F" w:rsidP="001F505F">
      <w:pPr>
        <w:pStyle w:val="BodyCopy"/>
      </w:pPr>
      <w:r>
        <w:t>‘ON’ – patient reports ‘normal’ or optimal movement ability</w:t>
      </w:r>
    </w:p>
    <w:p w14:paraId="6FB975AA" w14:textId="389B5971" w:rsidR="001F505F" w:rsidRDefault="001F505F" w:rsidP="001F505F">
      <w:pPr>
        <w:pStyle w:val="BodyCopy"/>
      </w:pPr>
      <w:r w:rsidRPr="001F505F">
        <w:t>Rigidity – the feeling resistance when moving the patients relaxed limb. The patient will report feeling ‘stiff’</w:t>
      </w:r>
    </w:p>
    <w:p w14:paraId="03BA9E0B" w14:textId="77777777" w:rsidR="00A96584" w:rsidRDefault="00A96584" w:rsidP="00A96584">
      <w:pPr>
        <w:pStyle w:val="BodyCopy"/>
      </w:pPr>
      <w:r>
        <w:t>Tremor – rhythmic involuntary movement at rest or with action</w:t>
      </w:r>
    </w:p>
    <w:p w14:paraId="58C1EFDA" w14:textId="1A6D7266" w:rsidR="00280C5D" w:rsidRDefault="00280C5D" w:rsidP="002D7682">
      <w:pPr>
        <w:pStyle w:val="BodyCopy"/>
      </w:pPr>
      <w:hyperlink w:anchor="_top" w:history="1">
        <w:r w:rsidRPr="00481A6C">
          <w:rPr>
            <w:rStyle w:val="Hyperlink"/>
            <w:iCs w:val="0"/>
          </w:rPr>
          <w:t>Back to Contents</w:t>
        </w:r>
      </w:hyperlink>
    </w:p>
    <w:p w14:paraId="231B52CB" w14:textId="77777777" w:rsidR="0078367D" w:rsidRDefault="0078367D" w:rsidP="00A6051F">
      <w:pPr>
        <w:pStyle w:val="Heading4"/>
      </w:pPr>
      <w:bookmarkStart w:id="27" w:name="_Toc222385561"/>
      <w:r>
        <w:t>Search terms</w:t>
      </w:r>
      <w:bookmarkEnd w:id="27"/>
    </w:p>
    <w:p w14:paraId="6A43EBFE" w14:textId="265FD658" w:rsidR="00280C5D" w:rsidRDefault="00A96584" w:rsidP="00C508F4">
      <w:pPr>
        <w:pStyle w:val="BodyCopy"/>
      </w:pPr>
      <w:r>
        <w:t xml:space="preserve">Parkinson’s disease, pharmaceutical therapy, advanced therapy, </w:t>
      </w:r>
      <w:r w:rsidR="00FC5679">
        <w:t xml:space="preserve">apomorphine, </w:t>
      </w:r>
      <w:proofErr w:type="spellStart"/>
      <w:r w:rsidR="00FC5679">
        <w:rPr>
          <w:lang w:eastAsia="en-US"/>
        </w:rPr>
        <w:t>Foslevodopa</w:t>
      </w:r>
      <w:proofErr w:type="spellEnd"/>
      <w:r>
        <w:rPr>
          <w:lang w:eastAsia="en-US"/>
        </w:rPr>
        <w:t xml:space="preserve">/ </w:t>
      </w:r>
      <w:proofErr w:type="spellStart"/>
      <w:r>
        <w:rPr>
          <w:lang w:eastAsia="en-US"/>
        </w:rPr>
        <w:t>foscarbidopa</w:t>
      </w:r>
      <w:proofErr w:type="spellEnd"/>
      <w:r>
        <w:rPr>
          <w:lang w:eastAsia="en-US"/>
        </w:rPr>
        <w:t xml:space="preserve">, </w:t>
      </w:r>
      <w:proofErr w:type="spellStart"/>
      <w:r>
        <w:rPr>
          <w:lang w:eastAsia="en-US"/>
        </w:rPr>
        <w:t>Vyalev</w:t>
      </w:r>
      <w:proofErr w:type="spellEnd"/>
    </w:p>
    <w:p w14:paraId="4AC15C98" w14:textId="77777777" w:rsidR="00280C5D" w:rsidRDefault="00280C5D" w:rsidP="002D7682">
      <w:pPr>
        <w:pStyle w:val="Bullet"/>
        <w:numPr>
          <w:ilvl w:val="0"/>
          <w:numId w:val="0"/>
        </w:numPr>
        <w:spacing w:after="240"/>
      </w:pPr>
      <w:hyperlink w:anchor="_top" w:history="1">
        <w:r w:rsidRPr="00481A6C">
          <w:rPr>
            <w:rStyle w:val="Hyperlink"/>
          </w:rPr>
          <w:t>Back to Contents</w:t>
        </w:r>
      </w:hyperlink>
    </w:p>
    <w:p w14:paraId="53046C92" w14:textId="77777777" w:rsidR="00DE523E" w:rsidRPr="009A5010" w:rsidRDefault="00DE523E" w:rsidP="00DE523E">
      <w:pPr>
        <w:pStyle w:val="Heading4"/>
      </w:pPr>
      <w:bookmarkStart w:id="28" w:name="_Toc222385562"/>
      <w:r>
        <w:t>Attachments</w:t>
      </w:r>
      <w:bookmarkEnd w:id="28"/>
      <w:r>
        <w:t xml:space="preserve"> </w:t>
      </w:r>
    </w:p>
    <w:p w14:paraId="3AF7D4E0" w14:textId="46DF67A7" w:rsidR="00DE523E" w:rsidRDefault="00DE523E" w:rsidP="00DE523E">
      <w:pPr>
        <w:pStyle w:val="Heading7"/>
      </w:pPr>
      <w:r w:rsidRPr="00DE523E">
        <w:t>Attachment 1 – LED conversion table</w:t>
      </w:r>
    </w:p>
    <w:p w14:paraId="2754CA2B" w14:textId="55829D06" w:rsidR="00DE523E" w:rsidRDefault="00DE523E" w:rsidP="00DE523E">
      <w:pPr>
        <w:pStyle w:val="Heading7"/>
      </w:pPr>
      <w:r w:rsidRPr="00DE523E">
        <w:t xml:space="preserve">Attachment 2 - </w:t>
      </w:r>
      <w:bookmarkStart w:id="29" w:name="_Hlk221696671"/>
      <w:r w:rsidRPr="00DE523E">
        <w:t>Patient Selection Guidelines for Commencement of Apomorphine Therapy</w:t>
      </w:r>
    </w:p>
    <w:bookmarkEnd w:id="29"/>
    <w:p w14:paraId="035D769B" w14:textId="275B43E9" w:rsidR="00DE523E" w:rsidRDefault="00DE523E" w:rsidP="00F93A40">
      <w:pPr>
        <w:pStyle w:val="Heading7"/>
        <w:spacing w:after="240"/>
      </w:pPr>
      <w:r w:rsidRPr="00DE523E">
        <w:t xml:space="preserve">Attachment 3 – </w:t>
      </w:r>
      <w:bookmarkStart w:id="30" w:name="_Hlk221696790"/>
      <w:proofErr w:type="spellStart"/>
      <w:r w:rsidRPr="00DE523E">
        <w:t>Foslevodopa</w:t>
      </w:r>
      <w:proofErr w:type="spellEnd"/>
      <w:r w:rsidRPr="00DE523E">
        <w:t xml:space="preserve">/ </w:t>
      </w:r>
      <w:proofErr w:type="spellStart"/>
      <w:r w:rsidRPr="00DE523E">
        <w:t>foscarbidopa</w:t>
      </w:r>
      <w:proofErr w:type="spellEnd"/>
      <w:r w:rsidRPr="00DE523E">
        <w:t xml:space="preserve"> (</w:t>
      </w:r>
      <w:proofErr w:type="spellStart"/>
      <w:r w:rsidRPr="00DE523E">
        <w:t>Vyalev</w:t>
      </w:r>
      <w:proofErr w:type="spellEnd"/>
      <w:r w:rsidRPr="00DE523E">
        <w:t>) stating infusion rate table</w:t>
      </w:r>
    </w:p>
    <w:bookmarkEnd w:id="30"/>
    <w:p w14:paraId="42CC635D" w14:textId="637954D2" w:rsidR="00DE523E" w:rsidRPr="001F3ED6" w:rsidRDefault="00DE523E" w:rsidP="00DE523E">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DE523E" w14:paraId="7A870A7D" w14:textId="77777777" w:rsidTr="00C2032F">
        <w:trPr>
          <w:cnfStyle w:val="100000000000" w:firstRow="1" w:lastRow="0" w:firstColumn="0" w:lastColumn="0" w:oddVBand="0" w:evenVBand="0" w:oddHBand="0" w:evenHBand="0" w:firstRowFirstColumn="0" w:firstRowLastColumn="0" w:lastRowFirstColumn="0" w:lastRowLastColumn="0"/>
        </w:trPr>
        <w:tc>
          <w:tcPr>
            <w:tcW w:w="2476" w:type="dxa"/>
          </w:tcPr>
          <w:p w14:paraId="360CCFB0" w14:textId="77777777" w:rsidR="00DE523E" w:rsidRDefault="00DE523E" w:rsidP="00C2032F">
            <w:pPr>
              <w:pStyle w:val="Tableheader"/>
            </w:pPr>
            <w:r>
              <w:lastRenderedPageBreak/>
              <w:t>Date amended</w:t>
            </w:r>
          </w:p>
        </w:tc>
        <w:tc>
          <w:tcPr>
            <w:tcW w:w="2477" w:type="dxa"/>
          </w:tcPr>
          <w:p w14:paraId="248851CE" w14:textId="77777777" w:rsidR="00DE523E" w:rsidRDefault="00DE523E" w:rsidP="00C2032F">
            <w:pPr>
              <w:pStyle w:val="Tableheader"/>
            </w:pPr>
            <w:r>
              <w:t>Section amended</w:t>
            </w:r>
          </w:p>
        </w:tc>
        <w:tc>
          <w:tcPr>
            <w:tcW w:w="2555" w:type="dxa"/>
          </w:tcPr>
          <w:p w14:paraId="1CB70E86" w14:textId="77777777" w:rsidR="00DE523E" w:rsidRDefault="00DE523E" w:rsidP="00C2032F">
            <w:pPr>
              <w:pStyle w:val="Tableheader"/>
            </w:pPr>
            <w:r>
              <w:t>Divisional approval</w:t>
            </w:r>
          </w:p>
        </w:tc>
        <w:tc>
          <w:tcPr>
            <w:tcW w:w="2403" w:type="dxa"/>
          </w:tcPr>
          <w:p w14:paraId="35B4F77B" w14:textId="77777777" w:rsidR="00DE523E" w:rsidRDefault="00DE523E" w:rsidP="00C2032F">
            <w:pPr>
              <w:pStyle w:val="Tableheader"/>
            </w:pPr>
            <w:r>
              <w:t>Final approval</w:t>
            </w:r>
          </w:p>
        </w:tc>
      </w:tr>
      <w:tr w:rsidR="00DE523E" w14:paraId="2E773E90" w14:textId="77777777" w:rsidTr="00C2032F">
        <w:tc>
          <w:tcPr>
            <w:tcW w:w="2476" w:type="dxa"/>
          </w:tcPr>
          <w:p w14:paraId="29AA5153" w14:textId="4830AEBC" w:rsidR="00DE523E" w:rsidRDefault="00291A04" w:rsidP="00C2032F">
            <w:pPr>
              <w:pStyle w:val="Tablebody"/>
              <w:rPr>
                <w:lang w:eastAsia="en-US"/>
              </w:rPr>
            </w:pPr>
            <w:r>
              <w:rPr>
                <w:lang w:eastAsia="en-US"/>
              </w:rPr>
              <w:t>27 February 2026</w:t>
            </w:r>
          </w:p>
        </w:tc>
        <w:tc>
          <w:tcPr>
            <w:tcW w:w="2477" w:type="dxa"/>
          </w:tcPr>
          <w:p w14:paraId="05FEB6FF" w14:textId="733489C9" w:rsidR="00DE523E" w:rsidRDefault="00291A04" w:rsidP="00C2032F">
            <w:pPr>
              <w:pStyle w:val="Tablebody"/>
              <w:rPr>
                <w:lang w:eastAsia="en-US"/>
              </w:rPr>
            </w:pPr>
            <w:r>
              <w:rPr>
                <w:lang w:eastAsia="en-US"/>
              </w:rPr>
              <w:t>Complete review</w:t>
            </w:r>
          </w:p>
        </w:tc>
        <w:tc>
          <w:tcPr>
            <w:tcW w:w="2555" w:type="dxa"/>
          </w:tcPr>
          <w:p w14:paraId="17BEFFF3" w14:textId="5205B183" w:rsidR="00DE523E" w:rsidRDefault="00291A04" w:rsidP="00C2032F">
            <w:pPr>
              <w:pStyle w:val="Tablebody"/>
              <w:rPr>
                <w:lang w:eastAsia="en-US"/>
              </w:rPr>
            </w:pPr>
            <w:r>
              <w:rPr>
                <w:lang w:eastAsia="en-US"/>
              </w:rPr>
              <w:t>Rebekah Ogilvie, Executive Director of Medicine</w:t>
            </w:r>
          </w:p>
        </w:tc>
        <w:tc>
          <w:tcPr>
            <w:tcW w:w="2403" w:type="dxa"/>
          </w:tcPr>
          <w:p w14:paraId="156DC04E" w14:textId="324B947E" w:rsidR="00DE523E" w:rsidRDefault="00291A04" w:rsidP="00C2032F">
            <w:pPr>
              <w:pStyle w:val="Tablebody"/>
              <w:rPr>
                <w:lang w:eastAsia="en-US"/>
              </w:rPr>
            </w:pPr>
            <w:r>
              <w:rPr>
                <w:lang w:eastAsia="en-US"/>
              </w:rPr>
              <w:t>CHS Policy Document Review Panel</w:t>
            </w:r>
          </w:p>
        </w:tc>
      </w:tr>
      <w:tr w:rsidR="00DE523E" w14:paraId="7DF02A2A" w14:textId="77777777" w:rsidTr="00C2032F">
        <w:tc>
          <w:tcPr>
            <w:tcW w:w="2476" w:type="dxa"/>
          </w:tcPr>
          <w:p w14:paraId="2FA7E611" w14:textId="77777777" w:rsidR="00DE523E" w:rsidRDefault="00DE523E" w:rsidP="00C2032F">
            <w:pPr>
              <w:pStyle w:val="Tablebody"/>
              <w:rPr>
                <w:lang w:eastAsia="en-US"/>
              </w:rPr>
            </w:pPr>
          </w:p>
        </w:tc>
        <w:tc>
          <w:tcPr>
            <w:tcW w:w="2477" w:type="dxa"/>
          </w:tcPr>
          <w:p w14:paraId="5731E627" w14:textId="77777777" w:rsidR="00DE523E" w:rsidRDefault="00DE523E" w:rsidP="00C2032F">
            <w:pPr>
              <w:pStyle w:val="Tablebody"/>
              <w:rPr>
                <w:lang w:eastAsia="en-US"/>
              </w:rPr>
            </w:pPr>
          </w:p>
        </w:tc>
        <w:tc>
          <w:tcPr>
            <w:tcW w:w="2555" w:type="dxa"/>
          </w:tcPr>
          <w:p w14:paraId="3057470D" w14:textId="77777777" w:rsidR="00DE523E" w:rsidRDefault="00DE523E" w:rsidP="00C2032F">
            <w:pPr>
              <w:pStyle w:val="Tablebody"/>
              <w:rPr>
                <w:lang w:eastAsia="en-US"/>
              </w:rPr>
            </w:pPr>
          </w:p>
        </w:tc>
        <w:tc>
          <w:tcPr>
            <w:tcW w:w="2403" w:type="dxa"/>
          </w:tcPr>
          <w:p w14:paraId="1F4D923E" w14:textId="77777777" w:rsidR="00DE523E" w:rsidRDefault="00DE523E" w:rsidP="00C2032F">
            <w:pPr>
              <w:pStyle w:val="Tablebody"/>
              <w:rPr>
                <w:lang w:eastAsia="en-US"/>
              </w:rPr>
            </w:pPr>
          </w:p>
        </w:tc>
      </w:tr>
    </w:tbl>
    <w:p w14:paraId="018E7EB4" w14:textId="77777777" w:rsidR="00DE523E" w:rsidRDefault="00DE523E" w:rsidP="00DE523E">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DE523E" w14:paraId="2F8F5635" w14:textId="77777777" w:rsidTr="00C2032F">
        <w:trPr>
          <w:cnfStyle w:val="100000000000" w:firstRow="1" w:lastRow="0" w:firstColumn="0" w:lastColumn="0" w:oddVBand="0" w:evenVBand="0" w:oddHBand="0" w:evenHBand="0" w:firstRowFirstColumn="0" w:firstRowLastColumn="0" w:lastRowFirstColumn="0" w:lastRowLastColumn="0"/>
        </w:trPr>
        <w:tc>
          <w:tcPr>
            <w:tcW w:w="2548" w:type="dxa"/>
          </w:tcPr>
          <w:p w14:paraId="529F732A" w14:textId="77777777" w:rsidR="00DE523E" w:rsidRDefault="00DE523E" w:rsidP="00C2032F">
            <w:pPr>
              <w:pStyle w:val="Tableheader"/>
            </w:pPr>
            <w:r>
              <w:t>Document number</w:t>
            </w:r>
          </w:p>
        </w:tc>
        <w:tc>
          <w:tcPr>
            <w:tcW w:w="7653" w:type="dxa"/>
          </w:tcPr>
          <w:p w14:paraId="4A11FFCE" w14:textId="77777777" w:rsidR="00DE523E" w:rsidRDefault="00DE523E" w:rsidP="00C2032F">
            <w:pPr>
              <w:pStyle w:val="Tableheader"/>
            </w:pPr>
            <w:r>
              <w:t>Document name</w:t>
            </w:r>
          </w:p>
        </w:tc>
      </w:tr>
      <w:tr w:rsidR="00DE523E" w14:paraId="7E6D4F2C" w14:textId="77777777" w:rsidTr="00C2032F">
        <w:tc>
          <w:tcPr>
            <w:tcW w:w="2548" w:type="dxa"/>
          </w:tcPr>
          <w:p w14:paraId="28EAF6F6" w14:textId="29F5557D" w:rsidR="00DE523E" w:rsidRDefault="00291A04" w:rsidP="00C2032F">
            <w:pPr>
              <w:pStyle w:val="Tablebody"/>
              <w:rPr>
                <w:lang w:eastAsia="en-US"/>
              </w:rPr>
            </w:pPr>
            <w:r w:rsidRPr="00291A04">
              <w:rPr>
                <w:lang w:val="en-AU" w:eastAsia="en-US"/>
              </w:rPr>
              <w:t>CHS23/328</w:t>
            </w:r>
          </w:p>
        </w:tc>
        <w:tc>
          <w:tcPr>
            <w:tcW w:w="7653" w:type="dxa"/>
          </w:tcPr>
          <w:p w14:paraId="59110EB0" w14:textId="204AFB3A" w:rsidR="00DE523E" w:rsidRDefault="00291A04" w:rsidP="00C2032F">
            <w:pPr>
              <w:pStyle w:val="Tablebody"/>
              <w:rPr>
                <w:lang w:eastAsia="en-US"/>
              </w:rPr>
            </w:pPr>
            <w:r w:rsidRPr="00291A04">
              <w:rPr>
                <w:lang w:val="en-AU" w:eastAsia="en-US"/>
              </w:rPr>
              <w:t>Apomorphine – Treatment Guidelines for Initiation, Administration and Monitoring of Adults with Parkinson’s Disease</w:t>
            </w:r>
          </w:p>
        </w:tc>
      </w:tr>
      <w:tr w:rsidR="00DE523E" w14:paraId="2F4B809B" w14:textId="77777777" w:rsidTr="00C2032F">
        <w:tc>
          <w:tcPr>
            <w:tcW w:w="2548" w:type="dxa"/>
          </w:tcPr>
          <w:p w14:paraId="42835800" w14:textId="77777777" w:rsidR="00DE523E" w:rsidRDefault="00DE523E" w:rsidP="00C2032F">
            <w:pPr>
              <w:pStyle w:val="Tablebody"/>
              <w:rPr>
                <w:lang w:eastAsia="en-US"/>
              </w:rPr>
            </w:pPr>
          </w:p>
        </w:tc>
        <w:tc>
          <w:tcPr>
            <w:tcW w:w="7653" w:type="dxa"/>
          </w:tcPr>
          <w:p w14:paraId="43D3CC25" w14:textId="77777777" w:rsidR="00DE523E" w:rsidRDefault="00DE523E" w:rsidP="00C2032F">
            <w:pPr>
              <w:pStyle w:val="Tablebody"/>
              <w:rPr>
                <w:lang w:eastAsia="en-US"/>
              </w:rPr>
            </w:pPr>
          </w:p>
        </w:tc>
      </w:tr>
    </w:tbl>
    <w:p w14:paraId="7E9199FD" w14:textId="77777777" w:rsidR="00DE523E" w:rsidRPr="001F3ED6" w:rsidRDefault="00DE523E" w:rsidP="00DE523E">
      <w:pPr>
        <w:pStyle w:val="BodyCopy"/>
        <w:rPr>
          <w:rStyle w:val="Bold"/>
        </w:rPr>
      </w:pPr>
      <w:r w:rsidRPr="001F3ED6">
        <w:rPr>
          <w:rStyle w:val="Bold"/>
        </w:rPr>
        <w:t>Disclaimer</w:t>
      </w:r>
    </w:p>
    <w:p w14:paraId="32CD7D64" w14:textId="77777777" w:rsidR="00DE523E" w:rsidRDefault="00DE523E" w:rsidP="00DE523E">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050302F" w14:textId="77777777" w:rsidR="00DE523E" w:rsidRDefault="00DE523E" w:rsidP="00DE523E">
      <w:pPr>
        <w:pStyle w:val="Bullet"/>
        <w:numPr>
          <w:ilvl w:val="0"/>
          <w:numId w:val="0"/>
        </w:numPr>
        <w:rPr>
          <w:rStyle w:val="Hyperlink"/>
        </w:rPr>
      </w:pPr>
      <w:hyperlink w:anchor="_top" w:history="1">
        <w:r w:rsidRPr="00481A6C">
          <w:rPr>
            <w:rStyle w:val="Hyperlink"/>
          </w:rPr>
          <w:t>Back to Contents</w:t>
        </w:r>
      </w:hyperlink>
    </w:p>
    <w:p w14:paraId="6F554028" w14:textId="77777777" w:rsidR="00DE523E" w:rsidRDefault="00DE523E" w:rsidP="00DE523E">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DE523E" w14:paraId="6C44B5BE" w14:textId="77777777" w:rsidTr="00C2032F">
        <w:tc>
          <w:tcPr>
            <w:tcW w:w="5529" w:type="dxa"/>
            <w:shd w:val="clear" w:color="auto" w:fill="F4F3EE"/>
            <w:tcMar>
              <w:top w:w="142" w:type="dxa"/>
              <w:left w:w="170" w:type="dxa"/>
              <w:bottom w:w="142" w:type="dxa"/>
              <w:right w:w="170" w:type="dxa"/>
            </w:tcMar>
          </w:tcPr>
          <w:sdt>
            <w:sdtPr>
              <w:rPr>
                <w:color w:val="auto"/>
                <w:u w:val="single"/>
              </w:rPr>
              <w:id w:val="-1401587979"/>
              <w:placeholder>
                <w:docPart w:val="A558B44D2D7242CFA0BFBC577D36DFA7"/>
              </w:placeholder>
            </w:sdtPr>
            <w:sdtEndPr>
              <w:rPr>
                <w:color w:val="000000" w:themeColor="text1"/>
                <w:u w:val="none"/>
              </w:rPr>
            </w:sdtEndPr>
            <w:sdtContent>
              <w:p w14:paraId="348B2A81" w14:textId="77777777" w:rsidR="00DE523E" w:rsidRPr="00350211" w:rsidRDefault="00DE523E" w:rsidP="00C2032F">
                <w:pPr>
                  <w:pStyle w:val="Bottomblocktext"/>
                  <w:rPr>
                    <w:b/>
                    <w:bCs w:val="0"/>
                    <w:sz w:val="20"/>
                    <w:szCs w:val="20"/>
                  </w:rPr>
                </w:pPr>
                <w:r>
                  <w:rPr>
                    <w:noProof/>
                    <w:sz w:val="20"/>
                    <w:szCs w:val="20"/>
                  </w:rPr>
                  <w:drawing>
                    <wp:inline distT="0" distB="0" distL="0" distR="0" wp14:anchorId="64FAD40F" wp14:editId="05A62682">
                      <wp:extent cx="282575" cy="285750"/>
                      <wp:effectExtent l="0" t="0" r="3175" b="0"/>
                      <wp:docPr id="785405951" name="Picture 78540595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0"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59EA66F6" w14:textId="77777777" w:rsidR="00DE523E" w:rsidRDefault="00DE523E" w:rsidP="00C2032F">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107CCBE1" w14:textId="1ED55B05" w:rsidR="00DE523E" w:rsidRPr="00350211" w:rsidRDefault="00DE523E" w:rsidP="00C2032F">
                <w:pPr>
                  <w:pStyle w:val="Bottomblocktext"/>
                </w:pPr>
                <w:r w:rsidRPr="00AF532B">
                  <w:t>© Australian Capital Territory, C</w:t>
                </w:r>
                <w:r w:rsidRPr="003F6C0E">
                  <w:t>anberra 20</w:t>
                </w:r>
                <w:sdt>
                  <w:sdtPr>
                    <w:alias w:val="Year selector"/>
                    <w:tag w:val="Year selector"/>
                    <w:id w:val="-331761027"/>
                    <w:placeholder>
                      <w:docPart w:val="261126801EF84004A632D1EBFD088689"/>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291A04">
                      <w:t>26</w:t>
                    </w:r>
                  </w:sdtContent>
                </w:sdt>
              </w:p>
            </w:sdtContent>
          </w:sdt>
        </w:tc>
        <w:sdt>
          <w:sdtPr>
            <w:id w:val="-1308388563"/>
            <w:placeholder>
              <w:docPart w:val="B4E09A8932AC46859011F1FD91D1A22B"/>
            </w:placeholder>
            <w:showingPlcHdr/>
          </w:sdtPr>
          <w:sdtEndPr/>
          <w:sdtContent>
            <w:tc>
              <w:tcPr>
                <w:tcW w:w="4665" w:type="dxa"/>
                <w:shd w:val="clear" w:color="auto" w:fill="F4F3EE"/>
                <w:tcMar>
                  <w:top w:w="142" w:type="dxa"/>
                  <w:left w:w="170" w:type="dxa"/>
                  <w:bottom w:w="142" w:type="dxa"/>
                  <w:right w:w="170" w:type="dxa"/>
                </w:tcMar>
              </w:tcPr>
              <w:p w14:paraId="1EA6286B" w14:textId="77777777" w:rsidR="00DE523E" w:rsidRPr="00F26C97" w:rsidRDefault="00DE523E" w:rsidP="00C2032F">
                <w:pPr>
                  <w:pStyle w:val="Bottomblocktext"/>
                  <w:rPr>
                    <w:b/>
                    <w:bCs w:val="0"/>
                    <w:sz w:val="20"/>
                    <w:szCs w:val="20"/>
                  </w:rPr>
                </w:pPr>
                <w:r>
                  <w:rPr>
                    <w:b/>
                    <w:bCs w:val="0"/>
                    <w:noProof/>
                    <w:sz w:val="20"/>
                    <w:szCs w:val="20"/>
                  </w:rPr>
                  <w:drawing>
                    <wp:inline distT="0" distB="0" distL="0" distR="0" wp14:anchorId="522001A6" wp14:editId="30EC0E87">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1"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AF626FC" wp14:editId="00427881">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676954C1" w14:textId="77777777" w:rsidR="00DE523E" w:rsidRPr="00F26C97" w:rsidRDefault="00DE523E" w:rsidP="00C2032F">
                <w:pPr>
                  <w:pStyle w:val="Bottomblocktext"/>
                  <w:rPr>
                    <w:b/>
                    <w:bCs w:val="0"/>
                    <w:sz w:val="20"/>
                    <w:szCs w:val="20"/>
                  </w:rPr>
                </w:pPr>
                <w:r>
                  <w:rPr>
                    <w:b/>
                    <w:bCs w:val="0"/>
                    <w:noProof/>
                    <w:sz w:val="20"/>
                    <w:szCs w:val="20"/>
                  </w:rPr>
                  <w:drawing>
                    <wp:inline distT="0" distB="0" distL="0" distR="0" wp14:anchorId="11159028" wp14:editId="03481738">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3"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FAF622A" wp14:editId="0655D8B6">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4EE55FAE" w14:textId="77777777" w:rsidR="00DE523E" w:rsidRDefault="00DE523E" w:rsidP="00C2032F">
                <w:pPr>
                  <w:pStyle w:val="Bottomblocktext"/>
                  <w:rPr>
                    <w:sz w:val="20"/>
                    <w:szCs w:val="20"/>
                  </w:rPr>
                </w:pPr>
                <w:hyperlink r:id="rId14" w:history="1">
                  <w:r w:rsidRPr="00350211">
                    <w:rPr>
                      <w:rStyle w:val="Hyperlink"/>
                      <w:sz w:val="20"/>
                      <w:szCs w:val="20"/>
                    </w:rPr>
                    <w:t>canberrahealthservices.act.gov.au/accessibility</w:t>
                  </w:r>
                </w:hyperlink>
              </w:p>
              <w:p w14:paraId="509481CF" w14:textId="77777777" w:rsidR="00DE523E" w:rsidRDefault="00DE523E" w:rsidP="00C2032F">
                <w:pPr>
                  <w:pStyle w:val="Bottomblocktext"/>
                </w:pPr>
                <w:r>
                  <w:rPr>
                    <w:b/>
                    <w:bCs w:val="0"/>
                    <w:noProof/>
                  </w:rPr>
                  <w:drawing>
                    <wp:inline distT="0" distB="0" distL="0" distR="0" wp14:anchorId="266766A8" wp14:editId="67D9F8C5">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5"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tbl>
    <w:p w14:paraId="22FD282C" w14:textId="77777777" w:rsidR="00DE523E" w:rsidRDefault="00DE523E" w:rsidP="00DE523E">
      <w:pPr>
        <w:spacing w:before="0" w:after="0" w:line="240" w:lineRule="auto"/>
        <w:rPr>
          <w:lang w:eastAsia="en-US"/>
        </w:rPr>
      </w:pPr>
    </w:p>
    <w:p w14:paraId="3AE62AFA" w14:textId="77777777" w:rsidR="00DE523E" w:rsidRPr="00DE523E" w:rsidRDefault="00DE523E" w:rsidP="00D2257C">
      <w:pPr>
        <w:pStyle w:val="BodyCopy"/>
      </w:pPr>
    </w:p>
    <w:p w14:paraId="51BE0D62" w14:textId="1AF35F4A" w:rsidR="00A96584" w:rsidRPr="00445683" w:rsidRDefault="00A96584" w:rsidP="00445683">
      <w:pPr>
        <w:spacing w:before="0" w:after="0" w:line="240" w:lineRule="auto"/>
        <w:rPr>
          <w:rFonts w:eastAsia="Times New Roman"/>
        </w:rPr>
      </w:pPr>
      <w:r>
        <w:br w:type="page"/>
      </w:r>
    </w:p>
    <w:p w14:paraId="54F57CAB" w14:textId="059B602B" w:rsidR="001D34CD" w:rsidRDefault="001F3ED6" w:rsidP="00DE523E">
      <w:pPr>
        <w:pStyle w:val="Heading4"/>
      </w:pPr>
      <w:bookmarkStart w:id="31" w:name="_Toc222385563"/>
      <w:r>
        <w:lastRenderedPageBreak/>
        <w:t>Attachment 1</w:t>
      </w:r>
      <w:r w:rsidR="001D34CD">
        <w:t xml:space="preserve"> – LED conversion table</w:t>
      </w:r>
      <w:bookmarkEnd w:id="31"/>
    </w:p>
    <w:p w14:paraId="14EAE186" w14:textId="6262EB97" w:rsidR="006E79D2" w:rsidRDefault="006E79D2" w:rsidP="00E71B70">
      <w:pPr>
        <w:pStyle w:val="Bullet"/>
        <w:numPr>
          <w:ilvl w:val="0"/>
          <w:numId w:val="0"/>
        </w:numPr>
        <w:spacing w:after="0"/>
        <w:rPr>
          <w:rStyle w:val="Hyperlink"/>
        </w:rPr>
      </w:pPr>
    </w:p>
    <w:tbl>
      <w:tblPr>
        <w:tblStyle w:val="TableGrid"/>
        <w:tblW w:w="0" w:type="auto"/>
        <w:tblLook w:val="04A0" w:firstRow="1" w:lastRow="0" w:firstColumn="1" w:lastColumn="0" w:noHBand="0" w:noVBand="1"/>
      </w:tblPr>
      <w:tblGrid>
        <w:gridCol w:w="4955"/>
        <w:gridCol w:w="4956"/>
      </w:tblGrid>
      <w:tr w:rsidR="006E79D2" w:rsidRPr="0039364C" w14:paraId="169900C1" w14:textId="77777777" w:rsidTr="00C126D4">
        <w:tc>
          <w:tcPr>
            <w:tcW w:w="4955" w:type="dxa"/>
          </w:tcPr>
          <w:p w14:paraId="2ADE340B" w14:textId="77777777" w:rsidR="006E79D2" w:rsidRPr="0039364C" w:rsidRDefault="006E79D2" w:rsidP="00C126D4">
            <w:pPr>
              <w:pStyle w:val="BodyCopy"/>
              <w:jc w:val="center"/>
              <w:rPr>
                <w:b/>
                <w:bCs w:val="0"/>
              </w:rPr>
            </w:pPr>
            <w:r>
              <w:rPr>
                <w:b/>
                <w:bCs w:val="0"/>
              </w:rPr>
              <w:t>Drug</w:t>
            </w:r>
          </w:p>
        </w:tc>
        <w:tc>
          <w:tcPr>
            <w:tcW w:w="4956" w:type="dxa"/>
          </w:tcPr>
          <w:p w14:paraId="297F602A" w14:textId="77777777" w:rsidR="006E79D2" w:rsidRPr="0039364C" w:rsidRDefault="006E79D2" w:rsidP="00C126D4">
            <w:pPr>
              <w:pStyle w:val="BodyCopy"/>
              <w:jc w:val="center"/>
              <w:rPr>
                <w:b/>
                <w:bCs w:val="0"/>
              </w:rPr>
            </w:pPr>
            <w:r>
              <w:rPr>
                <w:b/>
                <w:bCs w:val="0"/>
              </w:rPr>
              <w:t>Conversion Factor</w:t>
            </w:r>
          </w:p>
        </w:tc>
      </w:tr>
      <w:tr w:rsidR="006E79D2" w14:paraId="7376B153" w14:textId="77777777" w:rsidTr="00C126D4">
        <w:tc>
          <w:tcPr>
            <w:tcW w:w="4955" w:type="dxa"/>
          </w:tcPr>
          <w:p w14:paraId="06BEA942" w14:textId="77777777" w:rsidR="006E79D2" w:rsidRDefault="006E79D2" w:rsidP="00C126D4">
            <w:pPr>
              <w:pStyle w:val="BodyCopy"/>
              <w:jc w:val="center"/>
            </w:pPr>
            <w:r>
              <w:t>Immediate release L-dopa</w:t>
            </w:r>
          </w:p>
        </w:tc>
        <w:tc>
          <w:tcPr>
            <w:tcW w:w="4956" w:type="dxa"/>
          </w:tcPr>
          <w:p w14:paraId="5B7004D8" w14:textId="77777777" w:rsidR="006E79D2" w:rsidRDefault="006E79D2" w:rsidP="00C126D4">
            <w:pPr>
              <w:pStyle w:val="BodyCopy"/>
              <w:jc w:val="center"/>
            </w:pPr>
            <w:r>
              <w:t>X 1</w:t>
            </w:r>
          </w:p>
        </w:tc>
      </w:tr>
      <w:tr w:rsidR="006E79D2" w14:paraId="64352E99" w14:textId="77777777" w:rsidTr="00C126D4">
        <w:tc>
          <w:tcPr>
            <w:tcW w:w="4955" w:type="dxa"/>
          </w:tcPr>
          <w:p w14:paraId="2B7DBBB5" w14:textId="77777777" w:rsidR="006E79D2" w:rsidRDefault="006E79D2" w:rsidP="00C126D4">
            <w:pPr>
              <w:pStyle w:val="BodyCopy"/>
              <w:jc w:val="center"/>
            </w:pPr>
            <w:r>
              <w:t>Controlled release L-dopa</w:t>
            </w:r>
          </w:p>
        </w:tc>
        <w:tc>
          <w:tcPr>
            <w:tcW w:w="4956" w:type="dxa"/>
          </w:tcPr>
          <w:p w14:paraId="1196E0A7" w14:textId="77777777" w:rsidR="006E79D2" w:rsidRDefault="006E79D2" w:rsidP="00C126D4">
            <w:pPr>
              <w:pStyle w:val="BodyCopy"/>
              <w:jc w:val="center"/>
            </w:pPr>
            <w:r>
              <w:t>X 0.75</w:t>
            </w:r>
          </w:p>
        </w:tc>
      </w:tr>
      <w:tr w:rsidR="006E79D2" w14:paraId="14842DAE" w14:textId="77777777" w:rsidTr="00C126D4">
        <w:tc>
          <w:tcPr>
            <w:tcW w:w="4955" w:type="dxa"/>
          </w:tcPr>
          <w:p w14:paraId="67498BCE" w14:textId="3A2349F5" w:rsidR="006E79D2" w:rsidRDefault="006E79D2" w:rsidP="00C126D4">
            <w:pPr>
              <w:pStyle w:val="BodyCopy"/>
              <w:jc w:val="center"/>
            </w:pPr>
            <w:r>
              <w:t xml:space="preserve">Entacapone (or </w:t>
            </w:r>
            <w:r w:rsidR="00E71B70">
              <w:t>Stalevo</w:t>
            </w:r>
            <w:r>
              <w:t>)</w:t>
            </w:r>
          </w:p>
        </w:tc>
        <w:tc>
          <w:tcPr>
            <w:tcW w:w="4956" w:type="dxa"/>
          </w:tcPr>
          <w:p w14:paraId="0B855114" w14:textId="77777777" w:rsidR="006E79D2" w:rsidRDefault="006E79D2" w:rsidP="00C126D4">
            <w:pPr>
              <w:pStyle w:val="BodyCopy"/>
              <w:jc w:val="center"/>
            </w:pPr>
            <w:r>
              <w:t>LD x 0.33</w:t>
            </w:r>
          </w:p>
        </w:tc>
      </w:tr>
      <w:tr w:rsidR="006E79D2" w14:paraId="6C9A9006" w14:textId="77777777" w:rsidTr="00C126D4">
        <w:tc>
          <w:tcPr>
            <w:tcW w:w="4955" w:type="dxa"/>
          </w:tcPr>
          <w:p w14:paraId="2DD935A4" w14:textId="77777777" w:rsidR="006E79D2" w:rsidRDefault="006E79D2" w:rsidP="00C126D4">
            <w:pPr>
              <w:pStyle w:val="BodyCopy"/>
              <w:jc w:val="center"/>
            </w:pPr>
            <w:r>
              <w:t>Tolcapone</w:t>
            </w:r>
          </w:p>
        </w:tc>
        <w:tc>
          <w:tcPr>
            <w:tcW w:w="4956" w:type="dxa"/>
          </w:tcPr>
          <w:p w14:paraId="00EBAEB9" w14:textId="77777777" w:rsidR="006E79D2" w:rsidRDefault="006E79D2" w:rsidP="00C126D4">
            <w:pPr>
              <w:pStyle w:val="BodyCopy"/>
              <w:jc w:val="center"/>
            </w:pPr>
            <w:r>
              <w:t>LD x 0.5</w:t>
            </w:r>
          </w:p>
        </w:tc>
      </w:tr>
      <w:tr w:rsidR="006E79D2" w14:paraId="5B0BAA7C" w14:textId="77777777" w:rsidTr="00C126D4">
        <w:tc>
          <w:tcPr>
            <w:tcW w:w="4955" w:type="dxa"/>
          </w:tcPr>
          <w:p w14:paraId="00942574" w14:textId="77777777" w:rsidR="006E79D2" w:rsidRDefault="006E79D2" w:rsidP="00C126D4">
            <w:pPr>
              <w:pStyle w:val="BodyCopy"/>
              <w:jc w:val="center"/>
            </w:pPr>
            <w:proofErr w:type="spellStart"/>
            <w:r>
              <w:t>Duodopa</w:t>
            </w:r>
            <w:proofErr w:type="spellEnd"/>
          </w:p>
        </w:tc>
        <w:tc>
          <w:tcPr>
            <w:tcW w:w="4956" w:type="dxa"/>
          </w:tcPr>
          <w:p w14:paraId="4E6D881D" w14:textId="77777777" w:rsidR="006E79D2" w:rsidRDefault="006E79D2" w:rsidP="00C126D4">
            <w:pPr>
              <w:pStyle w:val="BodyCopy"/>
              <w:jc w:val="center"/>
            </w:pPr>
            <w:r>
              <w:t>X 1.11</w:t>
            </w:r>
          </w:p>
        </w:tc>
      </w:tr>
      <w:tr w:rsidR="006E79D2" w14:paraId="184EE458" w14:textId="77777777" w:rsidTr="00C126D4">
        <w:tc>
          <w:tcPr>
            <w:tcW w:w="4955" w:type="dxa"/>
          </w:tcPr>
          <w:p w14:paraId="69983634" w14:textId="77777777" w:rsidR="006E79D2" w:rsidRDefault="006E79D2" w:rsidP="00C126D4">
            <w:pPr>
              <w:pStyle w:val="BodyCopy"/>
              <w:jc w:val="center"/>
            </w:pPr>
            <w:r>
              <w:t>Pramipexole (as salt)</w:t>
            </w:r>
          </w:p>
        </w:tc>
        <w:tc>
          <w:tcPr>
            <w:tcW w:w="4956" w:type="dxa"/>
          </w:tcPr>
          <w:p w14:paraId="0F645CF5" w14:textId="77777777" w:rsidR="006E79D2" w:rsidRDefault="006E79D2" w:rsidP="00C126D4">
            <w:pPr>
              <w:pStyle w:val="BodyCopy"/>
              <w:jc w:val="center"/>
            </w:pPr>
            <w:r>
              <w:t>X 100</w:t>
            </w:r>
          </w:p>
        </w:tc>
      </w:tr>
      <w:tr w:rsidR="006E79D2" w14:paraId="54CE7983" w14:textId="77777777" w:rsidTr="00C126D4">
        <w:tc>
          <w:tcPr>
            <w:tcW w:w="4955" w:type="dxa"/>
          </w:tcPr>
          <w:p w14:paraId="259AC66F" w14:textId="77777777" w:rsidR="006E79D2" w:rsidRDefault="006E79D2" w:rsidP="00C126D4">
            <w:pPr>
              <w:pStyle w:val="BodyCopy"/>
              <w:jc w:val="center"/>
            </w:pPr>
            <w:r>
              <w:t>Ropinirole</w:t>
            </w:r>
          </w:p>
        </w:tc>
        <w:tc>
          <w:tcPr>
            <w:tcW w:w="4956" w:type="dxa"/>
          </w:tcPr>
          <w:p w14:paraId="3DBB4839" w14:textId="77777777" w:rsidR="006E79D2" w:rsidRDefault="006E79D2" w:rsidP="00C126D4">
            <w:pPr>
              <w:pStyle w:val="BodyCopy"/>
              <w:jc w:val="center"/>
            </w:pPr>
            <w:r>
              <w:t>X 20</w:t>
            </w:r>
          </w:p>
        </w:tc>
      </w:tr>
      <w:tr w:rsidR="006E79D2" w14:paraId="7DAFC6D4" w14:textId="77777777" w:rsidTr="00C126D4">
        <w:tc>
          <w:tcPr>
            <w:tcW w:w="4955" w:type="dxa"/>
          </w:tcPr>
          <w:p w14:paraId="10188962" w14:textId="77777777" w:rsidR="006E79D2" w:rsidRDefault="006E79D2" w:rsidP="00C126D4">
            <w:pPr>
              <w:pStyle w:val="BodyCopy"/>
              <w:jc w:val="center"/>
            </w:pPr>
            <w:r>
              <w:t>Rotigotine</w:t>
            </w:r>
          </w:p>
        </w:tc>
        <w:tc>
          <w:tcPr>
            <w:tcW w:w="4956" w:type="dxa"/>
          </w:tcPr>
          <w:p w14:paraId="185B3292" w14:textId="77777777" w:rsidR="006E79D2" w:rsidRDefault="006E79D2" w:rsidP="00C126D4">
            <w:pPr>
              <w:pStyle w:val="BodyCopy"/>
              <w:jc w:val="center"/>
            </w:pPr>
            <w:r>
              <w:t>X 30</w:t>
            </w:r>
          </w:p>
        </w:tc>
      </w:tr>
      <w:tr w:rsidR="006E79D2" w14:paraId="3C58BA8E" w14:textId="77777777" w:rsidTr="00C126D4">
        <w:tc>
          <w:tcPr>
            <w:tcW w:w="4955" w:type="dxa"/>
          </w:tcPr>
          <w:p w14:paraId="5B6BB145" w14:textId="77777777" w:rsidR="006E79D2" w:rsidRDefault="006E79D2" w:rsidP="00C126D4">
            <w:pPr>
              <w:pStyle w:val="BodyCopy"/>
              <w:jc w:val="center"/>
            </w:pPr>
            <w:r>
              <w:t>Selegiline - Oral</w:t>
            </w:r>
          </w:p>
        </w:tc>
        <w:tc>
          <w:tcPr>
            <w:tcW w:w="4956" w:type="dxa"/>
          </w:tcPr>
          <w:p w14:paraId="4D7C8074" w14:textId="77777777" w:rsidR="006E79D2" w:rsidRDefault="006E79D2" w:rsidP="00C126D4">
            <w:pPr>
              <w:pStyle w:val="BodyCopy"/>
              <w:jc w:val="center"/>
            </w:pPr>
            <w:r>
              <w:t>X 10</w:t>
            </w:r>
          </w:p>
        </w:tc>
      </w:tr>
      <w:tr w:rsidR="006E79D2" w14:paraId="4BFC0BA6" w14:textId="77777777" w:rsidTr="00C126D4">
        <w:tc>
          <w:tcPr>
            <w:tcW w:w="4955" w:type="dxa"/>
          </w:tcPr>
          <w:p w14:paraId="32F9C050" w14:textId="77777777" w:rsidR="006E79D2" w:rsidRDefault="006E79D2" w:rsidP="00C126D4">
            <w:pPr>
              <w:pStyle w:val="BodyCopy"/>
              <w:jc w:val="center"/>
            </w:pPr>
            <w:r>
              <w:t>Selegiline - Sublingual</w:t>
            </w:r>
          </w:p>
        </w:tc>
        <w:tc>
          <w:tcPr>
            <w:tcW w:w="4956" w:type="dxa"/>
          </w:tcPr>
          <w:p w14:paraId="32539807" w14:textId="77777777" w:rsidR="006E79D2" w:rsidRDefault="006E79D2" w:rsidP="00C126D4">
            <w:pPr>
              <w:pStyle w:val="BodyCopy"/>
              <w:jc w:val="center"/>
            </w:pPr>
            <w:r>
              <w:t>X 80</w:t>
            </w:r>
          </w:p>
        </w:tc>
      </w:tr>
      <w:tr w:rsidR="006E79D2" w14:paraId="341610D3" w14:textId="77777777" w:rsidTr="00C126D4">
        <w:tc>
          <w:tcPr>
            <w:tcW w:w="4955" w:type="dxa"/>
          </w:tcPr>
          <w:p w14:paraId="1F57C79B" w14:textId="77777777" w:rsidR="006E79D2" w:rsidRDefault="006E79D2" w:rsidP="00C126D4">
            <w:pPr>
              <w:pStyle w:val="BodyCopy"/>
              <w:jc w:val="center"/>
            </w:pPr>
            <w:r>
              <w:t>Rasagiline</w:t>
            </w:r>
          </w:p>
        </w:tc>
        <w:tc>
          <w:tcPr>
            <w:tcW w:w="4956" w:type="dxa"/>
          </w:tcPr>
          <w:p w14:paraId="05915928" w14:textId="77777777" w:rsidR="006E79D2" w:rsidRDefault="006E79D2" w:rsidP="00C126D4">
            <w:pPr>
              <w:pStyle w:val="BodyCopy"/>
              <w:jc w:val="center"/>
            </w:pPr>
            <w:r>
              <w:t>X 100</w:t>
            </w:r>
          </w:p>
        </w:tc>
      </w:tr>
      <w:tr w:rsidR="006E79D2" w14:paraId="1EC7F934" w14:textId="77777777" w:rsidTr="00C126D4">
        <w:tc>
          <w:tcPr>
            <w:tcW w:w="4955" w:type="dxa"/>
          </w:tcPr>
          <w:p w14:paraId="4D903875" w14:textId="77777777" w:rsidR="006E79D2" w:rsidRDefault="006E79D2" w:rsidP="00C126D4">
            <w:pPr>
              <w:pStyle w:val="BodyCopy"/>
              <w:jc w:val="center"/>
            </w:pPr>
            <w:r>
              <w:t>Amantadine</w:t>
            </w:r>
          </w:p>
        </w:tc>
        <w:tc>
          <w:tcPr>
            <w:tcW w:w="4956" w:type="dxa"/>
          </w:tcPr>
          <w:p w14:paraId="30D2B71F" w14:textId="77777777" w:rsidR="006E79D2" w:rsidRDefault="006E79D2" w:rsidP="00C126D4">
            <w:pPr>
              <w:pStyle w:val="BodyCopy"/>
              <w:jc w:val="center"/>
            </w:pPr>
            <w:r>
              <w:t>X 1</w:t>
            </w:r>
          </w:p>
        </w:tc>
      </w:tr>
      <w:tr w:rsidR="006E79D2" w14:paraId="5F53ABC0" w14:textId="77777777" w:rsidTr="00C126D4">
        <w:tc>
          <w:tcPr>
            <w:tcW w:w="4955" w:type="dxa"/>
          </w:tcPr>
          <w:p w14:paraId="78B00AAA" w14:textId="77777777" w:rsidR="006E79D2" w:rsidRDefault="006E79D2" w:rsidP="00C126D4">
            <w:pPr>
              <w:pStyle w:val="BodyCopy"/>
              <w:jc w:val="center"/>
            </w:pPr>
            <w:r>
              <w:t>Apomorphine</w:t>
            </w:r>
          </w:p>
        </w:tc>
        <w:tc>
          <w:tcPr>
            <w:tcW w:w="4956" w:type="dxa"/>
          </w:tcPr>
          <w:p w14:paraId="1496269A" w14:textId="77777777" w:rsidR="006E79D2" w:rsidRDefault="006E79D2" w:rsidP="00C126D4">
            <w:pPr>
              <w:pStyle w:val="BodyCopy"/>
              <w:jc w:val="center"/>
            </w:pPr>
            <w:r>
              <w:t>X 10</w:t>
            </w:r>
          </w:p>
        </w:tc>
      </w:tr>
    </w:tbl>
    <w:p w14:paraId="6CC7BE6D" w14:textId="77777777" w:rsidR="006E79D2" w:rsidRDefault="006E79D2">
      <w:pPr>
        <w:spacing w:before="0" w:after="0" w:line="240" w:lineRule="auto"/>
      </w:pPr>
    </w:p>
    <w:p w14:paraId="71E9C82C" w14:textId="77777777" w:rsidR="006E79D2" w:rsidRDefault="006E79D2" w:rsidP="006E79D2">
      <w:pPr>
        <w:rPr>
          <w:lang w:eastAsia="en-US"/>
        </w:rPr>
      </w:pPr>
      <w:r w:rsidRPr="00F920C9">
        <w:rPr>
          <w:lang w:eastAsia="en-US"/>
        </w:rPr>
        <w:t>Tomlinson et al. (2010). Systematic review of levodopa dose equivalency reporting in Parkinson's disease.</w:t>
      </w:r>
    </w:p>
    <w:p w14:paraId="30B1242A" w14:textId="77777777" w:rsidR="006E79D2" w:rsidRDefault="006E79D2" w:rsidP="006E79D2">
      <w:pPr>
        <w:pStyle w:val="Bullet"/>
        <w:numPr>
          <w:ilvl w:val="0"/>
          <w:numId w:val="0"/>
        </w:numPr>
        <w:spacing w:after="240"/>
      </w:pPr>
      <w:hyperlink w:anchor="_top" w:history="1">
        <w:r w:rsidRPr="00481A6C">
          <w:rPr>
            <w:rStyle w:val="Hyperlink"/>
          </w:rPr>
          <w:t>Back to Contents</w:t>
        </w:r>
      </w:hyperlink>
    </w:p>
    <w:p w14:paraId="16C5338E" w14:textId="77777777" w:rsidR="006E79D2" w:rsidRDefault="006E79D2" w:rsidP="006E79D2">
      <w:pPr>
        <w:pStyle w:val="Bullet"/>
        <w:numPr>
          <w:ilvl w:val="0"/>
          <w:numId w:val="0"/>
        </w:numPr>
        <w:spacing w:after="240"/>
        <w:rPr>
          <w:rStyle w:val="Hyperlink"/>
        </w:rPr>
      </w:pPr>
    </w:p>
    <w:p w14:paraId="39E70A80" w14:textId="2AED4DA0" w:rsidR="00A96584" w:rsidRDefault="00A96584">
      <w:pPr>
        <w:spacing w:before="0" w:after="0" w:line="240" w:lineRule="auto"/>
        <w:rPr>
          <w:rFonts w:asciiTheme="majorHAnsi" w:eastAsiaTheme="majorEastAsia" w:hAnsiTheme="majorHAnsi" w:cstheme="majorBidi"/>
          <w:b/>
          <w:iCs/>
        </w:rPr>
      </w:pPr>
      <w:r>
        <w:lastRenderedPageBreak/>
        <w:br w:type="page"/>
      </w:r>
    </w:p>
    <w:p w14:paraId="23E4C902" w14:textId="0314394E" w:rsidR="001D34CD" w:rsidRDefault="00C34A10" w:rsidP="00D2257C">
      <w:pPr>
        <w:pStyle w:val="Heading4"/>
      </w:pPr>
      <w:bookmarkStart w:id="32" w:name="_Toc222385564"/>
      <w:r>
        <w:lastRenderedPageBreak/>
        <w:t xml:space="preserve">Attachment </w:t>
      </w:r>
      <w:r w:rsidR="002D7682">
        <w:t>2</w:t>
      </w:r>
      <w:r w:rsidR="001D34CD">
        <w:t xml:space="preserve"> - </w:t>
      </w:r>
      <w:r w:rsidR="001D34CD" w:rsidRPr="00F920C9">
        <w:t xml:space="preserve">Patient Selection Guidelines for Commencement of </w:t>
      </w:r>
      <w:r w:rsidR="001D34CD" w:rsidRPr="001D34CD">
        <w:t>Apomorphine</w:t>
      </w:r>
      <w:r w:rsidR="001D34CD" w:rsidRPr="00F920C9">
        <w:t xml:space="preserve"> Therapy</w:t>
      </w:r>
      <w:bookmarkEnd w:id="32"/>
    </w:p>
    <w:p w14:paraId="713D2DFE" w14:textId="4CE103EA" w:rsidR="006A44CE" w:rsidRPr="00BC3E20" w:rsidRDefault="006A44CE" w:rsidP="00C508F4">
      <w:pPr>
        <w:pStyle w:val="BodyCopy"/>
        <w:rPr>
          <w:lang w:eastAsia="en-US"/>
        </w:rPr>
      </w:pPr>
      <w:r w:rsidRPr="00BC3E20">
        <w:rPr>
          <w:lang w:eastAsia="en-US"/>
        </w:rPr>
        <w:t xml:space="preserve">Apomorphine is a viable therapy for patients who experience fluctuating motor symptom control using oral dopaminergic therapy. </w:t>
      </w:r>
    </w:p>
    <w:p w14:paraId="531A588B" w14:textId="77777777" w:rsidR="006A44CE" w:rsidRPr="00BC3E20" w:rsidRDefault="006A44CE" w:rsidP="00C508F4">
      <w:pPr>
        <w:pStyle w:val="BodyCopy"/>
        <w:rPr>
          <w:lang w:eastAsia="en-US"/>
        </w:rPr>
      </w:pPr>
      <w:r w:rsidRPr="2999B932">
        <w:rPr>
          <w:lang w:eastAsia="en-US"/>
        </w:rPr>
        <w:t>Candidates must be Levodopa responsive to be considered for Apomorphine therapy. A post Apomorphine percentage response improvement of at least 30% must be achieved during the Apomorphine challenge to proceed with treatment. With physician discretion and patient discussion 25% may be considered acceptable; determined on case-to-case basis.</w:t>
      </w:r>
    </w:p>
    <w:p w14:paraId="4C2CFB2A" w14:textId="071EF829" w:rsidR="005479A1" w:rsidRPr="00BC3E20" w:rsidRDefault="006A44CE" w:rsidP="005479A1">
      <w:pPr>
        <w:pStyle w:val="BodyCopy"/>
        <w:rPr>
          <w:lang w:eastAsia="en-US"/>
        </w:rPr>
      </w:pPr>
      <w:r w:rsidRPr="2999B932">
        <w:rPr>
          <w:lang w:eastAsia="en-US"/>
        </w:rPr>
        <w:t xml:space="preserve">Candidates must be able to, or have a </w:t>
      </w:r>
      <w:r w:rsidR="00CD6F9A" w:rsidRPr="2999B932">
        <w:rPr>
          <w:lang w:eastAsia="en-US"/>
        </w:rPr>
        <w:t>full-time</w:t>
      </w:r>
      <w:r w:rsidRPr="2999B932">
        <w:rPr>
          <w:lang w:eastAsia="en-US"/>
        </w:rPr>
        <w:t xml:space="preserve"> </w:t>
      </w:r>
      <w:proofErr w:type="spellStart"/>
      <w:r w:rsidRPr="2999B932">
        <w:rPr>
          <w:lang w:eastAsia="en-US"/>
        </w:rPr>
        <w:t>carer</w:t>
      </w:r>
      <w:proofErr w:type="spellEnd"/>
      <w:r w:rsidRPr="2999B932">
        <w:rPr>
          <w:lang w:eastAsia="en-US"/>
        </w:rPr>
        <w:t xml:space="preserve"> able to, administer the injections/change pump cartridge.</w:t>
      </w:r>
    </w:p>
    <w:tbl>
      <w:tblPr>
        <w:tblStyle w:val="GridTable4-Accent51"/>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005"/>
        <w:gridCol w:w="3005"/>
        <w:gridCol w:w="3006"/>
      </w:tblGrid>
      <w:tr w:rsidR="006A44CE" w:rsidRPr="00BC3E20" w14:paraId="4FE591F2" w14:textId="77777777" w:rsidTr="001634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A6A6A6"/>
          </w:tcPr>
          <w:p w14:paraId="448E370C" w14:textId="77777777" w:rsidR="006A44CE" w:rsidRPr="00BC3E20" w:rsidRDefault="006A44CE" w:rsidP="00C508F4">
            <w:pPr>
              <w:pStyle w:val="Tableheader-black"/>
            </w:pPr>
            <w:r w:rsidRPr="00BC3E20">
              <w:t>Patient symptoms/indications</w:t>
            </w:r>
          </w:p>
        </w:tc>
        <w:tc>
          <w:tcPr>
            <w:tcW w:w="3005" w:type="dxa"/>
            <w:shd w:val="clear" w:color="auto" w:fill="A6A6A6"/>
          </w:tcPr>
          <w:p w14:paraId="1EE2B01D" w14:textId="77777777" w:rsidR="006A44CE" w:rsidRPr="00BC3E20" w:rsidRDefault="006A44CE" w:rsidP="00C508F4">
            <w:pPr>
              <w:pStyle w:val="Tableheader-black"/>
              <w:cnfStyle w:val="100000000000" w:firstRow="1" w:lastRow="0" w:firstColumn="0" w:lastColumn="0" w:oddVBand="0" w:evenVBand="0" w:oddHBand="0" w:evenHBand="0" w:firstRowFirstColumn="0" w:firstRowLastColumn="0" w:lastRowFirstColumn="0" w:lastRowLastColumn="0"/>
            </w:pPr>
            <w:r w:rsidRPr="00BC3E20">
              <w:t xml:space="preserve">Apomorphine Intermittent Subcutaneous Injection </w:t>
            </w:r>
          </w:p>
          <w:p w14:paraId="798AF976" w14:textId="77777777" w:rsidR="006A44CE" w:rsidRPr="00BC3E20" w:rsidRDefault="006A44CE" w:rsidP="00C508F4">
            <w:pPr>
              <w:pStyle w:val="Tableheader-black"/>
              <w:cnfStyle w:val="100000000000" w:firstRow="1" w:lastRow="0" w:firstColumn="0" w:lastColumn="0" w:oddVBand="0" w:evenVBand="0" w:oddHBand="0" w:evenHBand="0" w:firstRowFirstColumn="0" w:firstRowLastColumn="0" w:lastRowFirstColumn="0" w:lastRowLastColumn="0"/>
            </w:pPr>
            <w:r w:rsidRPr="00BC3E20">
              <w:t>(Pen)</w:t>
            </w:r>
          </w:p>
        </w:tc>
        <w:tc>
          <w:tcPr>
            <w:tcW w:w="3006" w:type="dxa"/>
            <w:shd w:val="clear" w:color="auto" w:fill="A6A6A6"/>
          </w:tcPr>
          <w:p w14:paraId="63911528" w14:textId="77777777" w:rsidR="006A44CE" w:rsidRPr="00BC3E20" w:rsidRDefault="006A44CE" w:rsidP="00C508F4">
            <w:pPr>
              <w:pStyle w:val="Tableheader-black"/>
              <w:cnfStyle w:val="100000000000" w:firstRow="1" w:lastRow="0" w:firstColumn="0" w:lastColumn="0" w:oddVBand="0" w:evenVBand="0" w:oddHBand="0" w:evenHBand="0" w:firstRowFirstColumn="0" w:firstRowLastColumn="0" w:lastRowFirstColumn="0" w:lastRowLastColumn="0"/>
            </w:pPr>
            <w:r w:rsidRPr="00BC3E20">
              <w:t>Apomorphine Continuous Subcutaneous Infusion (Pump)</w:t>
            </w:r>
          </w:p>
        </w:tc>
      </w:tr>
      <w:tr w:rsidR="006A44CE" w:rsidRPr="00BC3E20" w14:paraId="6FF58F49" w14:textId="77777777" w:rsidTr="001634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51CD8C4" w14:textId="77777777" w:rsidR="006A44CE" w:rsidRPr="00BC3E20" w:rsidRDefault="006A44CE" w:rsidP="00D2257C">
            <w:pPr>
              <w:pStyle w:val="Tablebody"/>
            </w:pPr>
            <w:r w:rsidRPr="00BC3E20">
              <w:t xml:space="preserve">Predictable or unpredictable ‘OFF’ periods </w:t>
            </w:r>
          </w:p>
        </w:tc>
        <w:tc>
          <w:tcPr>
            <w:tcW w:w="3005" w:type="dxa"/>
            <w:shd w:val="clear" w:color="auto" w:fill="FFFFFF"/>
            <w:vAlign w:val="center"/>
          </w:tcPr>
          <w:p w14:paraId="2EB4A79A" w14:textId="46DEAFF3" w:rsidR="006A44CE" w:rsidRPr="00BC3E20" w:rsidRDefault="006D0866" w:rsidP="00EE44FA">
            <w:pPr>
              <w:pStyle w:val="Tablebody"/>
              <w:cnfStyle w:val="000000100000" w:firstRow="0" w:lastRow="0" w:firstColumn="0" w:lastColumn="0" w:oddVBand="0" w:evenVBand="0" w:oddHBand="1" w:evenHBand="0" w:firstRowFirstColumn="0" w:firstRowLastColumn="0" w:lastRowFirstColumn="0" w:lastRowLastColumn="0"/>
            </w:pPr>
            <w:r>
              <w:t>Suitable</w:t>
            </w:r>
          </w:p>
        </w:tc>
        <w:tc>
          <w:tcPr>
            <w:tcW w:w="3006" w:type="dxa"/>
            <w:shd w:val="clear" w:color="auto" w:fill="FFFFFF"/>
            <w:vAlign w:val="center"/>
          </w:tcPr>
          <w:p w14:paraId="638E94F6" w14:textId="60BECEA6" w:rsidR="006A44CE" w:rsidRPr="00BC3E20" w:rsidRDefault="006D0866" w:rsidP="00EE44FA">
            <w:pPr>
              <w:pStyle w:val="Tablebody"/>
              <w:cnfStyle w:val="000000100000" w:firstRow="0" w:lastRow="0" w:firstColumn="0" w:lastColumn="0" w:oddVBand="0" w:evenVBand="0" w:oddHBand="1" w:evenHBand="0" w:firstRowFirstColumn="0" w:firstRowLastColumn="0" w:lastRowFirstColumn="0" w:lastRowLastColumn="0"/>
            </w:pPr>
            <w:r w:rsidRPr="006D0866">
              <w:t>Suitable</w:t>
            </w:r>
          </w:p>
        </w:tc>
      </w:tr>
      <w:tr w:rsidR="006A44CE" w:rsidRPr="00BC3E20" w14:paraId="125E82A5" w14:textId="77777777" w:rsidTr="00163448">
        <w:tc>
          <w:tcPr>
            <w:cnfStyle w:val="001000000000" w:firstRow="0" w:lastRow="0" w:firstColumn="1" w:lastColumn="0" w:oddVBand="0" w:evenVBand="0" w:oddHBand="0" w:evenHBand="0" w:firstRowFirstColumn="0" w:firstRowLastColumn="0" w:lastRowFirstColumn="0" w:lastRowLastColumn="0"/>
            <w:tcW w:w="3005" w:type="dxa"/>
          </w:tcPr>
          <w:p w14:paraId="3A86CF44" w14:textId="77777777" w:rsidR="006A44CE" w:rsidRPr="00BC3E20" w:rsidRDefault="006A44CE" w:rsidP="00D2257C">
            <w:pPr>
              <w:pStyle w:val="Tablebody"/>
              <w:rPr>
                <w:szCs w:val="20"/>
              </w:rPr>
            </w:pPr>
            <w:r w:rsidRPr="00BC3E20">
              <w:rPr>
                <w:szCs w:val="20"/>
              </w:rPr>
              <w:t>Impairment of oral levodopa absorption (i.e., gastroparesis)</w:t>
            </w:r>
          </w:p>
        </w:tc>
        <w:tc>
          <w:tcPr>
            <w:tcW w:w="3005" w:type="dxa"/>
            <w:shd w:val="clear" w:color="auto" w:fill="FFFFFF"/>
            <w:vAlign w:val="center"/>
          </w:tcPr>
          <w:p w14:paraId="60CA4555" w14:textId="133F9B8A" w:rsidR="006A44CE" w:rsidRPr="00BC3E20" w:rsidRDefault="006D0866" w:rsidP="00EE44FA">
            <w:pPr>
              <w:pStyle w:val="Tablebody"/>
              <w:cnfStyle w:val="000000000000" w:firstRow="0" w:lastRow="0" w:firstColumn="0" w:lastColumn="0" w:oddVBand="0" w:evenVBand="0" w:oddHBand="0" w:evenHBand="0" w:firstRowFirstColumn="0" w:firstRowLastColumn="0" w:lastRowFirstColumn="0" w:lastRowLastColumn="0"/>
            </w:pPr>
            <w:r w:rsidRPr="006D0866">
              <w:t>Suitable</w:t>
            </w:r>
          </w:p>
        </w:tc>
        <w:tc>
          <w:tcPr>
            <w:tcW w:w="3006" w:type="dxa"/>
            <w:shd w:val="clear" w:color="auto" w:fill="FFFFFF"/>
            <w:vAlign w:val="center"/>
          </w:tcPr>
          <w:p w14:paraId="4AD2C1B8" w14:textId="4792D5B5" w:rsidR="006A44CE" w:rsidRPr="00BC3E20" w:rsidRDefault="006D0866" w:rsidP="00EE44FA">
            <w:pPr>
              <w:pStyle w:val="Tablebody"/>
              <w:cnfStyle w:val="000000000000" w:firstRow="0" w:lastRow="0" w:firstColumn="0" w:lastColumn="0" w:oddVBand="0" w:evenVBand="0" w:oddHBand="0" w:evenHBand="0" w:firstRowFirstColumn="0" w:firstRowLastColumn="0" w:lastRowFirstColumn="0" w:lastRowLastColumn="0"/>
            </w:pPr>
            <w:r w:rsidRPr="006D0866">
              <w:t>Suitable</w:t>
            </w:r>
          </w:p>
        </w:tc>
      </w:tr>
      <w:tr w:rsidR="006A44CE" w:rsidRPr="00BC3E20" w14:paraId="2F390AE2" w14:textId="77777777" w:rsidTr="001634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EC69C67" w14:textId="77777777" w:rsidR="006A44CE" w:rsidRPr="00BC3E20" w:rsidRDefault="006A44CE" w:rsidP="00D2257C">
            <w:pPr>
              <w:pStyle w:val="Tablebody"/>
            </w:pPr>
            <w:r w:rsidRPr="00BC3E20">
              <w:t xml:space="preserve">To treat delayed ‘ON’ </w:t>
            </w:r>
          </w:p>
        </w:tc>
        <w:tc>
          <w:tcPr>
            <w:tcW w:w="3005" w:type="dxa"/>
            <w:shd w:val="clear" w:color="auto" w:fill="FFFFFF"/>
            <w:vAlign w:val="center"/>
          </w:tcPr>
          <w:p w14:paraId="346AF88E" w14:textId="7F77C0A1" w:rsidR="006A44CE" w:rsidRPr="00BC3E20" w:rsidRDefault="006D0866" w:rsidP="00EE44FA">
            <w:pPr>
              <w:pStyle w:val="Tablebody"/>
              <w:cnfStyle w:val="000000100000" w:firstRow="0" w:lastRow="0" w:firstColumn="0" w:lastColumn="0" w:oddVBand="0" w:evenVBand="0" w:oddHBand="1" w:evenHBand="0" w:firstRowFirstColumn="0" w:firstRowLastColumn="0" w:lastRowFirstColumn="0" w:lastRowLastColumn="0"/>
            </w:pPr>
            <w:r w:rsidRPr="006D0866">
              <w:t>Suitable</w:t>
            </w:r>
          </w:p>
        </w:tc>
        <w:tc>
          <w:tcPr>
            <w:tcW w:w="3006" w:type="dxa"/>
            <w:shd w:val="clear" w:color="auto" w:fill="FFFFFF"/>
            <w:vAlign w:val="center"/>
          </w:tcPr>
          <w:p w14:paraId="06CE30F6" w14:textId="77777777" w:rsidR="006A44CE" w:rsidRPr="00BC3E20" w:rsidRDefault="006A44CE" w:rsidP="00EE44FA">
            <w:pPr>
              <w:pStyle w:val="Tablebody"/>
              <w:cnfStyle w:val="000000100000" w:firstRow="0" w:lastRow="0" w:firstColumn="0" w:lastColumn="0" w:oddVBand="0" w:evenVBand="0" w:oddHBand="1" w:evenHBand="0" w:firstRowFirstColumn="0" w:firstRowLastColumn="0" w:lastRowFirstColumn="0" w:lastRowLastColumn="0"/>
            </w:pPr>
            <w:r w:rsidRPr="00BC3E20">
              <w:t>Consider other options first</w:t>
            </w:r>
          </w:p>
        </w:tc>
      </w:tr>
      <w:tr w:rsidR="006A44CE" w:rsidRPr="00BC3E20" w14:paraId="5C65A27C" w14:textId="77777777" w:rsidTr="00163448">
        <w:tc>
          <w:tcPr>
            <w:cnfStyle w:val="001000000000" w:firstRow="0" w:lastRow="0" w:firstColumn="1" w:lastColumn="0" w:oddVBand="0" w:evenVBand="0" w:oddHBand="0" w:evenHBand="0" w:firstRowFirstColumn="0" w:firstRowLastColumn="0" w:lastRowFirstColumn="0" w:lastRowLastColumn="0"/>
            <w:tcW w:w="3005" w:type="dxa"/>
          </w:tcPr>
          <w:p w14:paraId="3A635ED0" w14:textId="77777777" w:rsidR="006A44CE" w:rsidRPr="00BC3E20" w:rsidRDefault="006A44CE" w:rsidP="00D2257C">
            <w:pPr>
              <w:pStyle w:val="Tablebody"/>
            </w:pPr>
            <w:r w:rsidRPr="00BC3E20">
              <w:t>Early morning akinesia/dystonia</w:t>
            </w:r>
          </w:p>
        </w:tc>
        <w:tc>
          <w:tcPr>
            <w:tcW w:w="3005" w:type="dxa"/>
            <w:shd w:val="clear" w:color="auto" w:fill="FFFFFF"/>
            <w:vAlign w:val="center"/>
          </w:tcPr>
          <w:p w14:paraId="11391BD2" w14:textId="1533155F" w:rsidR="006A44CE" w:rsidRPr="00BC3E20" w:rsidRDefault="006D0866" w:rsidP="00EE44FA">
            <w:pPr>
              <w:pStyle w:val="Tablebody"/>
              <w:cnfStyle w:val="000000000000" w:firstRow="0" w:lastRow="0" w:firstColumn="0" w:lastColumn="0" w:oddVBand="0" w:evenVBand="0" w:oddHBand="0" w:evenHBand="0" w:firstRowFirstColumn="0" w:firstRowLastColumn="0" w:lastRowFirstColumn="0" w:lastRowLastColumn="0"/>
            </w:pPr>
            <w:r w:rsidRPr="006D0866">
              <w:t>Suitable</w:t>
            </w:r>
          </w:p>
        </w:tc>
        <w:tc>
          <w:tcPr>
            <w:tcW w:w="3006" w:type="dxa"/>
            <w:shd w:val="clear" w:color="auto" w:fill="FFFFFF"/>
            <w:vAlign w:val="center"/>
          </w:tcPr>
          <w:p w14:paraId="56ECFAFD" w14:textId="77777777" w:rsidR="006A44CE" w:rsidRPr="00BC3E20" w:rsidRDefault="006A44CE" w:rsidP="00EE44FA">
            <w:pPr>
              <w:pStyle w:val="Tablebody"/>
              <w:cnfStyle w:val="000000000000" w:firstRow="0" w:lastRow="0" w:firstColumn="0" w:lastColumn="0" w:oddVBand="0" w:evenVBand="0" w:oddHBand="0" w:evenHBand="0" w:firstRowFirstColumn="0" w:firstRowLastColumn="0" w:lastRowFirstColumn="0" w:lastRowLastColumn="0"/>
            </w:pPr>
            <w:r w:rsidRPr="00BC3E20">
              <w:t>Consider other options first</w:t>
            </w:r>
          </w:p>
        </w:tc>
      </w:tr>
      <w:tr w:rsidR="006A44CE" w:rsidRPr="00BC3E20" w14:paraId="6D52D52D" w14:textId="77777777" w:rsidTr="001634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2176270" w14:textId="77777777" w:rsidR="006A44CE" w:rsidRPr="00BC3E20" w:rsidRDefault="006A44CE" w:rsidP="00D2257C">
            <w:pPr>
              <w:pStyle w:val="Tablebody"/>
            </w:pPr>
            <w:proofErr w:type="gramStart"/>
            <w:r w:rsidRPr="00BC3E20">
              <w:t>Dyskinesia’s limit</w:t>
            </w:r>
            <w:proofErr w:type="gramEnd"/>
            <w:r w:rsidRPr="00BC3E20">
              <w:t xml:space="preserve"> further oral therapy optimisation</w:t>
            </w:r>
          </w:p>
        </w:tc>
        <w:tc>
          <w:tcPr>
            <w:tcW w:w="3005" w:type="dxa"/>
            <w:shd w:val="clear" w:color="auto" w:fill="FFFFFF"/>
            <w:vAlign w:val="center"/>
          </w:tcPr>
          <w:p w14:paraId="1628320A" w14:textId="74EB716A" w:rsidR="006A44CE" w:rsidRPr="00BC3E20" w:rsidRDefault="006D0866" w:rsidP="00EE44FA">
            <w:pPr>
              <w:pStyle w:val="Tablebody"/>
              <w:cnfStyle w:val="000000100000" w:firstRow="0" w:lastRow="0" w:firstColumn="0" w:lastColumn="0" w:oddVBand="0" w:evenVBand="0" w:oddHBand="1" w:evenHBand="0" w:firstRowFirstColumn="0" w:firstRowLastColumn="0" w:lastRowFirstColumn="0" w:lastRowLastColumn="0"/>
            </w:pPr>
            <w:r w:rsidRPr="006D0866">
              <w:t>Suitable</w:t>
            </w:r>
          </w:p>
        </w:tc>
        <w:tc>
          <w:tcPr>
            <w:tcW w:w="3006" w:type="dxa"/>
            <w:shd w:val="clear" w:color="auto" w:fill="FFFFFF"/>
            <w:vAlign w:val="center"/>
          </w:tcPr>
          <w:p w14:paraId="1F146AD3" w14:textId="7F508234" w:rsidR="006A44CE" w:rsidRPr="00BC3E20" w:rsidRDefault="006D0866" w:rsidP="00EE44FA">
            <w:pPr>
              <w:pStyle w:val="Tablebody"/>
              <w:cnfStyle w:val="000000100000" w:firstRow="0" w:lastRow="0" w:firstColumn="0" w:lastColumn="0" w:oddVBand="0" w:evenVBand="0" w:oddHBand="1" w:evenHBand="0" w:firstRowFirstColumn="0" w:firstRowLastColumn="0" w:lastRowFirstColumn="0" w:lastRowLastColumn="0"/>
            </w:pPr>
            <w:r w:rsidRPr="006D0866">
              <w:t>Suitable</w:t>
            </w:r>
          </w:p>
        </w:tc>
      </w:tr>
      <w:tr w:rsidR="006A44CE" w:rsidRPr="00BC3E20" w14:paraId="3DB88BCE" w14:textId="77777777" w:rsidTr="00163448">
        <w:tc>
          <w:tcPr>
            <w:cnfStyle w:val="001000000000" w:firstRow="0" w:lastRow="0" w:firstColumn="1" w:lastColumn="0" w:oddVBand="0" w:evenVBand="0" w:oddHBand="0" w:evenHBand="0" w:firstRowFirstColumn="0" w:firstRowLastColumn="0" w:lastRowFirstColumn="0" w:lastRowLastColumn="0"/>
            <w:tcW w:w="3005" w:type="dxa"/>
          </w:tcPr>
          <w:p w14:paraId="1DC905DA" w14:textId="77777777" w:rsidR="006A44CE" w:rsidRPr="00BC3E20" w:rsidRDefault="006A44CE" w:rsidP="00D2257C">
            <w:pPr>
              <w:pStyle w:val="Tablebody"/>
              <w:rPr>
                <w:szCs w:val="20"/>
              </w:rPr>
            </w:pPr>
            <w:r w:rsidRPr="00BC3E20">
              <w:rPr>
                <w:szCs w:val="20"/>
              </w:rPr>
              <w:t>Complex PD dosing regimen and/or poor adherence to therapy</w:t>
            </w:r>
          </w:p>
        </w:tc>
        <w:tc>
          <w:tcPr>
            <w:tcW w:w="3005" w:type="dxa"/>
            <w:shd w:val="clear" w:color="auto" w:fill="FFFFFF"/>
            <w:vAlign w:val="center"/>
          </w:tcPr>
          <w:p w14:paraId="43F24241" w14:textId="49E47F76" w:rsidR="006A44CE" w:rsidRPr="00BC3E20" w:rsidRDefault="003E6229" w:rsidP="00EE44FA">
            <w:pPr>
              <w:pStyle w:val="Tablebody"/>
              <w:cnfStyle w:val="000000000000" w:firstRow="0" w:lastRow="0" w:firstColumn="0" w:lastColumn="0" w:oddVBand="0" w:evenVBand="0" w:oddHBand="0" w:evenHBand="0" w:firstRowFirstColumn="0" w:firstRowLastColumn="0" w:lastRowFirstColumn="0" w:lastRowLastColumn="0"/>
            </w:pPr>
            <w:r>
              <w:t>Not suitable</w:t>
            </w:r>
          </w:p>
        </w:tc>
        <w:tc>
          <w:tcPr>
            <w:tcW w:w="3006" w:type="dxa"/>
            <w:shd w:val="clear" w:color="auto" w:fill="FFFFFF"/>
            <w:vAlign w:val="center"/>
          </w:tcPr>
          <w:p w14:paraId="3FE48B15" w14:textId="012633FC" w:rsidR="006A44CE" w:rsidRPr="00BC3E20" w:rsidRDefault="006D0866" w:rsidP="00EE44FA">
            <w:pPr>
              <w:pStyle w:val="Tablebody"/>
              <w:cnfStyle w:val="000000000000" w:firstRow="0" w:lastRow="0" w:firstColumn="0" w:lastColumn="0" w:oddVBand="0" w:evenVBand="0" w:oddHBand="0" w:evenHBand="0" w:firstRowFirstColumn="0" w:firstRowLastColumn="0" w:lastRowFirstColumn="0" w:lastRowLastColumn="0"/>
            </w:pPr>
            <w:r w:rsidRPr="006D0866">
              <w:t>Suitable</w:t>
            </w:r>
          </w:p>
        </w:tc>
      </w:tr>
      <w:tr w:rsidR="006A44CE" w:rsidRPr="00BC3E20" w14:paraId="25AE7638" w14:textId="77777777" w:rsidTr="001634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BD83C3E" w14:textId="77777777" w:rsidR="006A44CE" w:rsidRPr="00BC3E20" w:rsidRDefault="006A44CE" w:rsidP="00D2257C">
            <w:pPr>
              <w:pStyle w:val="Tablebody"/>
            </w:pPr>
            <w:r w:rsidRPr="00BC3E20">
              <w:t>Intermittent injections required too often</w:t>
            </w:r>
          </w:p>
        </w:tc>
        <w:tc>
          <w:tcPr>
            <w:tcW w:w="3005" w:type="dxa"/>
            <w:shd w:val="clear" w:color="auto" w:fill="FFFFFF"/>
            <w:vAlign w:val="center"/>
          </w:tcPr>
          <w:p w14:paraId="618C11A1" w14:textId="77777777" w:rsidR="006A44CE" w:rsidRPr="00BC3E20" w:rsidRDefault="006A44CE" w:rsidP="00EE44FA">
            <w:pPr>
              <w:pStyle w:val="Tablebody"/>
              <w:cnfStyle w:val="000000100000" w:firstRow="0" w:lastRow="0" w:firstColumn="0" w:lastColumn="0" w:oddVBand="0" w:evenVBand="0" w:oddHBand="1" w:evenHBand="0" w:firstRowFirstColumn="0" w:firstRowLastColumn="0" w:lastRowFirstColumn="0" w:lastRowLastColumn="0"/>
            </w:pPr>
            <w:r w:rsidRPr="00BC3E20">
              <w:t>N/A</w:t>
            </w:r>
          </w:p>
        </w:tc>
        <w:tc>
          <w:tcPr>
            <w:tcW w:w="3006" w:type="dxa"/>
            <w:shd w:val="clear" w:color="auto" w:fill="FFFFFF"/>
            <w:vAlign w:val="center"/>
          </w:tcPr>
          <w:p w14:paraId="558D381C" w14:textId="5D90D7E6" w:rsidR="006A44CE" w:rsidRPr="00BC3E20" w:rsidRDefault="006D0866" w:rsidP="00EE44FA">
            <w:pPr>
              <w:pStyle w:val="Tablebody"/>
              <w:cnfStyle w:val="000000100000" w:firstRow="0" w:lastRow="0" w:firstColumn="0" w:lastColumn="0" w:oddVBand="0" w:evenVBand="0" w:oddHBand="1" w:evenHBand="0" w:firstRowFirstColumn="0" w:firstRowLastColumn="0" w:lastRowFirstColumn="0" w:lastRowLastColumn="0"/>
            </w:pPr>
            <w:r w:rsidRPr="006D0866">
              <w:t>Suitable</w:t>
            </w:r>
          </w:p>
        </w:tc>
      </w:tr>
    </w:tbl>
    <w:p w14:paraId="05AACDAA" w14:textId="77777777" w:rsidR="006A44CE" w:rsidRPr="00BC3E20" w:rsidRDefault="006A44CE" w:rsidP="00C508F4">
      <w:pPr>
        <w:pStyle w:val="Heading6"/>
        <w:rPr>
          <w:rFonts w:eastAsia="Times New Roman"/>
          <w:lang w:eastAsia="en-US"/>
        </w:rPr>
      </w:pPr>
      <w:r w:rsidRPr="00BC3E20">
        <w:rPr>
          <w:rFonts w:eastAsia="Times New Roman"/>
          <w:lang w:eastAsia="en-US"/>
        </w:rPr>
        <w:t>Contraindications:</w:t>
      </w:r>
    </w:p>
    <w:p w14:paraId="04A0A8EF" w14:textId="77777777" w:rsidR="006A44CE" w:rsidRPr="00BC3E20" w:rsidRDefault="006A44CE" w:rsidP="00C508F4">
      <w:pPr>
        <w:pStyle w:val="Bullet"/>
        <w:rPr>
          <w:lang w:eastAsia="en-US"/>
        </w:rPr>
      </w:pPr>
      <w:r w:rsidRPr="00BC3E20">
        <w:rPr>
          <w:lang w:eastAsia="en-US"/>
        </w:rPr>
        <w:t>Known hypersensitivity or allergy to Apomorphine, morphine, or other sodium metabisulphites (sulphur)</w:t>
      </w:r>
    </w:p>
    <w:p w14:paraId="227D98D1" w14:textId="77777777" w:rsidR="006A44CE" w:rsidRPr="00BC3E20" w:rsidRDefault="006A44CE" w:rsidP="00C508F4">
      <w:pPr>
        <w:pStyle w:val="Bullet"/>
        <w:rPr>
          <w:lang w:eastAsia="en-US"/>
        </w:rPr>
      </w:pPr>
      <w:r w:rsidRPr="00BC3E20">
        <w:rPr>
          <w:lang w:eastAsia="en-US"/>
        </w:rPr>
        <w:t>Known neuropsychiatric condition, or hallucinations with other Dopamine agonists</w:t>
      </w:r>
    </w:p>
    <w:p w14:paraId="475C420C" w14:textId="77777777" w:rsidR="006A44CE" w:rsidRPr="00BC3E20" w:rsidRDefault="006A44CE" w:rsidP="00C508F4">
      <w:pPr>
        <w:pStyle w:val="Bullet"/>
        <w:rPr>
          <w:lang w:eastAsia="en-US"/>
        </w:rPr>
      </w:pPr>
      <w:r w:rsidRPr="00BC3E20">
        <w:rPr>
          <w:lang w:eastAsia="en-US"/>
        </w:rPr>
        <w:t>Diagnosed dementia</w:t>
      </w:r>
    </w:p>
    <w:p w14:paraId="395EA213" w14:textId="77777777" w:rsidR="006A44CE" w:rsidRPr="00BC3E20" w:rsidRDefault="006A44CE" w:rsidP="00C508F4">
      <w:pPr>
        <w:pStyle w:val="Bullet"/>
        <w:rPr>
          <w:lang w:eastAsia="en-US"/>
        </w:rPr>
      </w:pPr>
      <w:r w:rsidRPr="00BC3E20">
        <w:rPr>
          <w:lang w:eastAsia="en-US"/>
        </w:rPr>
        <w:t xml:space="preserve">Severe dyskinesia’s during ‘ON’ periods (dopaminergic therapy should be optimised) </w:t>
      </w:r>
    </w:p>
    <w:p w14:paraId="7E7C72F6" w14:textId="77777777" w:rsidR="006A44CE" w:rsidRPr="00BC3E20" w:rsidRDefault="006A44CE" w:rsidP="00C508F4">
      <w:pPr>
        <w:pStyle w:val="Bullet"/>
        <w:rPr>
          <w:lang w:eastAsia="en-US"/>
        </w:rPr>
      </w:pPr>
      <w:r w:rsidRPr="00BC3E20">
        <w:rPr>
          <w:lang w:eastAsia="en-US"/>
        </w:rPr>
        <w:t>Poor renal/liver function</w:t>
      </w:r>
    </w:p>
    <w:p w14:paraId="07535330" w14:textId="77777777" w:rsidR="006A44CE" w:rsidRPr="00BC3E20" w:rsidRDefault="006A44CE" w:rsidP="00C508F4">
      <w:pPr>
        <w:pStyle w:val="Bullet"/>
        <w:rPr>
          <w:lang w:eastAsia="en-US"/>
        </w:rPr>
      </w:pPr>
      <w:r w:rsidRPr="00BC3E20">
        <w:rPr>
          <w:lang w:eastAsia="en-US"/>
        </w:rPr>
        <w:t>Unstable cardiovascular disease</w:t>
      </w:r>
    </w:p>
    <w:p w14:paraId="22AB09D1" w14:textId="77777777" w:rsidR="006A44CE" w:rsidRPr="00BC3E20" w:rsidRDefault="006A44CE" w:rsidP="00C508F4">
      <w:pPr>
        <w:pStyle w:val="Bullet"/>
        <w:rPr>
          <w:lang w:eastAsia="en-US"/>
        </w:rPr>
      </w:pPr>
      <w:r w:rsidRPr="00BC3E20">
        <w:rPr>
          <w:lang w:eastAsia="en-US"/>
        </w:rPr>
        <w:lastRenderedPageBreak/>
        <w:t>Cerebrovascular disease</w:t>
      </w:r>
    </w:p>
    <w:p w14:paraId="7DF4F1A7" w14:textId="078F08AB" w:rsidR="001D34CD" w:rsidRPr="00445683" w:rsidRDefault="006A44CE" w:rsidP="00C508F4">
      <w:pPr>
        <w:pStyle w:val="Bullet"/>
        <w:rPr>
          <w:lang w:eastAsia="en-US"/>
        </w:rPr>
      </w:pPr>
      <w:r w:rsidRPr="00BC3E20">
        <w:rPr>
          <w:lang w:eastAsia="en-US"/>
        </w:rPr>
        <w:t>Respiratory depression or CNS depression.</w:t>
      </w:r>
    </w:p>
    <w:p w14:paraId="5ABFBF6F" w14:textId="77777777" w:rsidR="006A44CE" w:rsidRDefault="006A44CE" w:rsidP="006A44CE">
      <w:pPr>
        <w:pStyle w:val="Bullet"/>
        <w:numPr>
          <w:ilvl w:val="0"/>
          <w:numId w:val="0"/>
        </w:numPr>
        <w:spacing w:after="240"/>
        <w:rPr>
          <w:rStyle w:val="Hyperlink"/>
        </w:rPr>
      </w:pPr>
      <w:hyperlink w:anchor="_top" w:history="1">
        <w:r w:rsidRPr="00481A6C">
          <w:rPr>
            <w:rStyle w:val="Hyperlink"/>
          </w:rPr>
          <w:t>Back to Contents</w:t>
        </w:r>
      </w:hyperlink>
    </w:p>
    <w:p w14:paraId="4A63C637" w14:textId="77777777" w:rsidR="006A44CE" w:rsidRDefault="006A44CE">
      <w:pPr>
        <w:spacing w:before="0" w:after="0" w:line="240" w:lineRule="auto"/>
        <w:rPr>
          <w:rFonts w:asciiTheme="majorHAnsi" w:eastAsiaTheme="majorEastAsia" w:hAnsiTheme="majorHAnsi" w:cstheme="majorBidi"/>
          <w:b/>
          <w:iCs/>
        </w:rPr>
      </w:pPr>
      <w:r>
        <w:br w:type="page"/>
      </w:r>
    </w:p>
    <w:p w14:paraId="08D64E6C" w14:textId="2345EF33" w:rsidR="0007270D" w:rsidRDefault="002D7682" w:rsidP="00D2257C">
      <w:pPr>
        <w:pStyle w:val="Heading4"/>
      </w:pPr>
      <w:bookmarkStart w:id="33" w:name="_Toc222385565"/>
      <w:r>
        <w:lastRenderedPageBreak/>
        <w:t>Attachment 3</w:t>
      </w:r>
      <w:r w:rsidR="006A44CE">
        <w:t xml:space="preserve"> – </w:t>
      </w:r>
      <w:proofErr w:type="spellStart"/>
      <w:r w:rsidR="00D44D86">
        <w:t>Foslevodopa</w:t>
      </w:r>
      <w:proofErr w:type="spellEnd"/>
      <w:r w:rsidR="00D44D86">
        <w:t xml:space="preserve">/ </w:t>
      </w:r>
      <w:proofErr w:type="spellStart"/>
      <w:r w:rsidR="00D44D86">
        <w:t>foscarbidopa</w:t>
      </w:r>
      <w:proofErr w:type="spellEnd"/>
      <w:r w:rsidR="00D44D86">
        <w:t xml:space="preserve"> (</w:t>
      </w:r>
      <w:proofErr w:type="spellStart"/>
      <w:r w:rsidR="006A44CE">
        <w:t>Vyalev</w:t>
      </w:r>
      <w:proofErr w:type="spellEnd"/>
      <w:r w:rsidR="00D44D86">
        <w:t>)</w:t>
      </w:r>
      <w:r w:rsidR="006A44CE">
        <w:t xml:space="preserve"> stating infusion rate table</w:t>
      </w:r>
      <w:bookmarkEnd w:id="33"/>
      <w:r w:rsidR="006A44CE">
        <w:t xml:space="preserve"> </w:t>
      </w:r>
    </w:p>
    <w:p w14:paraId="259C6573" w14:textId="77777777" w:rsidR="00663F5B" w:rsidRDefault="00663F5B" w:rsidP="00663F5B">
      <w:pPr>
        <w:pStyle w:val="Bullet"/>
        <w:numPr>
          <w:ilvl w:val="0"/>
          <w:numId w:val="0"/>
        </w:numPr>
        <w:spacing w:after="240"/>
      </w:pPr>
    </w:p>
    <w:tbl>
      <w:tblPr>
        <w:tblStyle w:val="TableGrid"/>
        <w:tblW w:w="0" w:type="auto"/>
        <w:tblLook w:val="04A0" w:firstRow="1" w:lastRow="0" w:firstColumn="1" w:lastColumn="0" w:noHBand="0" w:noVBand="1"/>
      </w:tblPr>
      <w:tblGrid>
        <w:gridCol w:w="4955"/>
        <w:gridCol w:w="4956"/>
      </w:tblGrid>
      <w:tr w:rsidR="00663F5B" w14:paraId="7E3F5FE5" w14:textId="77777777" w:rsidTr="00C126D4">
        <w:tc>
          <w:tcPr>
            <w:tcW w:w="4955" w:type="dxa"/>
          </w:tcPr>
          <w:p w14:paraId="7BECAB44" w14:textId="77777777" w:rsidR="00663F5B" w:rsidRPr="0054670B" w:rsidRDefault="00663F5B" w:rsidP="00C126D4">
            <w:pPr>
              <w:pStyle w:val="Bullet"/>
              <w:numPr>
                <w:ilvl w:val="0"/>
                <w:numId w:val="0"/>
              </w:numPr>
              <w:spacing w:after="240"/>
              <w:jc w:val="center"/>
              <w:rPr>
                <w:rStyle w:val="Hyperlink"/>
                <w:rFonts w:ascii="Cambria Math" w:hAnsi="Cambria Math" w:cs="Cambria Math"/>
                <w:b/>
                <w:bCs/>
                <w:u w:val="none"/>
              </w:rPr>
            </w:pPr>
            <w:r w:rsidRPr="0054670B">
              <w:rPr>
                <w:rStyle w:val="Hyperlink"/>
                <w:b/>
                <w:bCs/>
                <w:u w:val="none"/>
              </w:rPr>
              <w:t>LE</w:t>
            </w:r>
            <w:r w:rsidRPr="0054670B">
              <w:rPr>
                <w:rStyle w:val="Hyperlink"/>
                <w:rFonts w:ascii="Cambria Math" w:hAnsi="Cambria Math" w:cs="Cambria Math"/>
                <w:b/>
                <w:bCs/>
                <w:u w:val="none"/>
              </w:rPr>
              <w:t>₁₆</w:t>
            </w:r>
          </w:p>
          <w:p w14:paraId="41733C46" w14:textId="77777777" w:rsidR="00663F5B" w:rsidRPr="0054670B" w:rsidRDefault="00663F5B" w:rsidP="00C126D4">
            <w:pPr>
              <w:pStyle w:val="Bullet"/>
              <w:numPr>
                <w:ilvl w:val="0"/>
                <w:numId w:val="0"/>
              </w:numPr>
              <w:spacing w:after="240"/>
              <w:jc w:val="center"/>
              <w:rPr>
                <w:rStyle w:val="Hyperlink"/>
                <w:b/>
                <w:bCs/>
              </w:rPr>
            </w:pPr>
            <w:r w:rsidRPr="0054670B">
              <w:rPr>
                <w:rStyle w:val="Hyperlink"/>
                <w:b/>
                <w:bCs/>
                <w:u w:val="none"/>
              </w:rPr>
              <w:t>(LE from all oral LD-containing medications taken over 16-hour awake time (mg))</w:t>
            </w:r>
          </w:p>
        </w:tc>
        <w:tc>
          <w:tcPr>
            <w:tcW w:w="4956" w:type="dxa"/>
          </w:tcPr>
          <w:p w14:paraId="7CDC2AE8" w14:textId="77777777" w:rsidR="00663F5B" w:rsidRPr="0054670B" w:rsidRDefault="00663F5B" w:rsidP="00C126D4">
            <w:pPr>
              <w:pStyle w:val="Bullet"/>
              <w:numPr>
                <w:ilvl w:val="0"/>
                <w:numId w:val="0"/>
              </w:numPr>
              <w:spacing w:after="240"/>
              <w:jc w:val="center"/>
              <w:rPr>
                <w:rStyle w:val="Hyperlink"/>
                <w:b/>
                <w:bCs/>
                <w:u w:val="none"/>
              </w:rPr>
            </w:pPr>
            <w:r w:rsidRPr="0054670B">
              <w:rPr>
                <w:rStyle w:val="Hyperlink"/>
                <w:b/>
                <w:bCs/>
                <w:u w:val="none"/>
              </w:rPr>
              <w:t>Suggested VYALEV</w:t>
            </w:r>
          </w:p>
          <w:p w14:paraId="2567128D" w14:textId="77777777" w:rsidR="00663F5B" w:rsidRPr="0054670B" w:rsidRDefault="00663F5B" w:rsidP="00C126D4">
            <w:pPr>
              <w:pStyle w:val="Bullet"/>
              <w:numPr>
                <w:ilvl w:val="0"/>
                <w:numId w:val="0"/>
              </w:numPr>
              <w:spacing w:after="240"/>
              <w:jc w:val="center"/>
              <w:rPr>
                <w:rStyle w:val="Hyperlink"/>
                <w:b/>
                <w:bCs/>
                <w:u w:val="none"/>
              </w:rPr>
            </w:pPr>
            <w:r w:rsidRPr="0054670B">
              <w:rPr>
                <w:rStyle w:val="Hyperlink"/>
                <w:b/>
                <w:bCs/>
                <w:u w:val="none"/>
              </w:rPr>
              <w:t>Starting hourly infusion rate (mL/</w:t>
            </w:r>
            <w:proofErr w:type="spellStart"/>
            <w:r w:rsidRPr="0054670B">
              <w:rPr>
                <w:rStyle w:val="Hyperlink"/>
                <w:b/>
                <w:bCs/>
                <w:u w:val="none"/>
              </w:rPr>
              <w:t>hr</w:t>
            </w:r>
            <w:proofErr w:type="spellEnd"/>
            <w:r w:rsidRPr="0054670B">
              <w:rPr>
                <w:rStyle w:val="Hyperlink"/>
                <w:b/>
                <w:bCs/>
                <w:u w:val="none"/>
              </w:rPr>
              <w:t>)</w:t>
            </w:r>
            <w:r w:rsidRPr="0054670B">
              <w:rPr>
                <w:b/>
                <w:bCs/>
                <w:color w:val="auto"/>
                <w:lang w:val="en-AU"/>
              </w:rPr>
              <w:t>ᵃ</w:t>
            </w:r>
          </w:p>
        </w:tc>
      </w:tr>
      <w:tr w:rsidR="00663F5B" w14:paraId="75B9B014" w14:textId="77777777" w:rsidTr="00C126D4">
        <w:tc>
          <w:tcPr>
            <w:tcW w:w="4955" w:type="dxa"/>
          </w:tcPr>
          <w:p w14:paraId="604EC8A1"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&lt;400</w:t>
            </w:r>
          </w:p>
        </w:tc>
        <w:tc>
          <w:tcPr>
            <w:tcW w:w="4956" w:type="dxa"/>
          </w:tcPr>
          <w:p w14:paraId="4973ACD1"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0.15</w:t>
            </w:r>
          </w:p>
        </w:tc>
      </w:tr>
      <w:tr w:rsidR="00663F5B" w14:paraId="128448E2" w14:textId="77777777" w:rsidTr="00C126D4">
        <w:tc>
          <w:tcPr>
            <w:tcW w:w="4955" w:type="dxa"/>
          </w:tcPr>
          <w:p w14:paraId="6FA4ED84"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400-499</w:t>
            </w:r>
          </w:p>
        </w:tc>
        <w:tc>
          <w:tcPr>
            <w:tcW w:w="4956" w:type="dxa"/>
          </w:tcPr>
          <w:p w14:paraId="2538E3B4"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0.15-0.17</w:t>
            </w:r>
          </w:p>
        </w:tc>
      </w:tr>
      <w:tr w:rsidR="00663F5B" w14:paraId="4404232D" w14:textId="77777777" w:rsidTr="00C126D4">
        <w:tc>
          <w:tcPr>
            <w:tcW w:w="4955" w:type="dxa"/>
          </w:tcPr>
          <w:p w14:paraId="77ECCD6E"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500-599</w:t>
            </w:r>
          </w:p>
        </w:tc>
        <w:tc>
          <w:tcPr>
            <w:tcW w:w="4956" w:type="dxa"/>
          </w:tcPr>
          <w:p w14:paraId="5291F22A"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0.17-0.20</w:t>
            </w:r>
          </w:p>
        </w:tc>
      </w:tr>
      <w:tr w:rsidR="00663F5B" w14:paraId="678C0581" w14:textId="77777777" w:rsidTr="00C126D4">
        <w:tc>
          <w:tcPr>
            <w:tcW w:w="4955" w:type="dxa"/>
          </w:tcPr>
          <w:p w14:paraId="6DC66118"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600-699</w:t>
            </w:r>
          </w:p>
        </w:tc>
        <w:tc>
          <w:tcPr>
            <w:tcW w:w="4956" w:type="dxa"/>
          </w:tcPr>
          <w:p w14:paraId="6E87B733"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0.20-0.24</w:t>
            </w:r>
          </w:p>
        </w:tc>
      </w:tr>
      <w:tr w:rsidR="00663F5B" w14:paraId="2BC5B52E" w14:textId="77777777" w:rsidTr="00C126D4">
        <w:tc>
          <w:tcPr>
            <w:tcW w:w="4955" w:type="dxa"/>
          </w:tcPr>
          <w:p w14:paraId="01BC07F3"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700-799</w:t>
            </w:r>
          </w:p>
        </w:tc>
        <w:tc>
          <w:tcPr>
            <w:tcW w:w="4956" w:type="dxa"/>
          </w:tcPr>
          <w:p w14:paraId="25899FD7"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0.24-0.27</w:t>
            </w:r>
          </w:p>
        </w:tc>
      </w:tr>
      <w:tr w:rsidR="00663F5B" w14:paraId="62E99AC9" w14:textId="77777777" w:rsidTr="00C126D4">
        <w:tc>
          <w:tcPr>
            <w:tcW w:w="4955" w:type="dxa"/>
          </w:tcPr>
          <w:p w14:paraId="5AC4676C"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800-899</w:t>
            </w:r>
          </w:p>
        </w:tc>
        <w:tc>
          <w:tcPr>
            <w:tcW w:w="4956" w:type="dxa"/>
          </w:tcPr>
          <w:p w14:paraId="3BC07F8A"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0.27-0.30</w:t>
            </w:r>
          </w:p>
        </w:tc>
      </w:tr>
      <w:tr w:rsidR="00663F5B" w14:paraId="21276EAB" w14:textId="77777777" w:rsidTr="00C126D4">
        <w:tc>
          <w:tcPr>
            <w:tcW w:w="4955" w:type="dxa"/>
          </w:tcPr>
          <w:p w14:paraId="36E40010"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900-999</w:t>
            </w:r>
          </w:p>
        </w:tc>
        <w:tc>
          <w:tcPr>
            <w:tcW w:w="4956" w:type="dxa"/>
          </w:tcPr>
          <w:p w14:paraId="63E346FE"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0.30-0.34</w:t>
            </w:r>
          </w:p>
        </w:tc>
      </w:tr>
      <w:tr w:rsidR="00663F5B" w14:paraId="1569E934" w14:textId="77777777" w:rsidTr="00C126D4">
        <w:tc>
          <w:tcPr>
            <w:tcW w:w="4955" w:type="dxa"/>
          </w:tcPr>
          <w:p w14:paraId="00CD5B49"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1000-1099</w:t>
            </w:r>
          </w:p>
        </w:tc>
        <w:tc>
          <w:tcPr>
            <w:tcW w:w="4956" w:type="dxa"/>
          </w:tcPr>
          <w:p w14:paraId="6133A5BB"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0.34-0.37</w:t>
            </w:r>
          </w:p>
        </w:tc>
      </w:tr>
      <w:tr w:rsidR="00663F5B" w14:paraId="62CE6AD7" w14:textId="77777777" w:rsidTr="00C126D4">
        <w:tc>
          <w:tcPr>
            <w:tcW w:w="4955" w:type="dxa"/>
          </w:tcPr>
          <w:p w14:paraId="1B242EE8"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1100-1199</w:t>
            </w:r>
          </w:p>
        </w:tc>
        <w:tc>
          <w:tcPr>
            <w:tcW w:w="4956" w:type="dxa"/>
          </w:tcPr>
          <w:p w14:paraId="56284AE7"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0.37-0.40</w:t>
            </w:r>
          </w:p>
        </w:tc>
      </w:tr>
      <w:tr w:rsidR="00663F5B" w14:paraId="7D31FA9E" w14:textId="77777777" w:rsidTr="00C126D4">
        <w:tc>
          <w:tcPr>
            <w:tcW w:w="4955" w:type="dxa"/>
          </w:tcPr>
          <w:p w14:paraId="23E59BAA"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1200-1299</w:t>
            </w:r>
          </w:p>
        </w:tc>
        <w:tc>
          <w:tcPr>
            <w:tcW w:w="4956" w:type="dxa"/>
          </w:tcPr>
          <w:p w14:paraId="3A918F44"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0.40-0.44</w:t>
            </w:r>
          </w:p>
        </w:tc>
      </w:tr>
      <w:tr w:rsidR="00663F5B" w14:paraId="532F6F47" w14:textId="77777777" w:rsidTr="00C126D4">
        <w:tc>
          <w:tcPr>
            <w:tcW w:w="4955" w:type="dxa"/>
          </w:tcPr>
          <w:p w14:paraId="01687437"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1300-1399</w:t>
            </w:r>
          </w:p>
        </w:tc>
        <w:tc>
          <w:tcPr>
            <w:tcW w:w="4956" w:type="dxa"/>
          </w:tcPr>
          <w:p w14:paraId="1F3F1C5A"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0.44-0.47</w:t>
            </w:r>
          </w:p>
        </w:tc>
      </w:tr>
      <w:tr w:rsidR="00663F5B" w14:paraId="669E3A51" w14:textId="77777777" w:rsidTr="00C126D4">
        <w:tc>
          <w:tcPr>
            <w:tcW w:w="4955" w:type="dxa"/>
          </w:tcPr>
          <w:p w14:paraId="5DCCE02E"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1400-1499</w:t>
            </w:r>
          </w:p>
        </w:tc>
        <w:tc>
          <w:tcPr>
            <w:tcW w:w="4956" w:type="dxa"/>
          </w:tcPr>
          <w:p w14:paraId="17C11DBB"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0.47-0.51</w:t>
            </w:r>
          </w:p>
        </w:tc>
      </w:tr>
      <w:tr w:rsidR="00663F5B" w14:paraId="3F7FB9C1" w14:textId="77777777" w:rsidTr="00C126D4">
        <w:tc>
          <w:tcPr>
            <w:tcW w:w="4955" w:type="dxa"/>
          </w:tcPr>
          <w:p w14:paraId="5F3015C8"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1500-1599</w:t>
            </w:r>
          </w:p>
        </w:tc>
        <w:tc>
          <w:tcPr>
            <w:tcW w:w="4956" w:type="dxa"/>
          </w:tcPr>
          <w:p w14:paraId="52C08A1F"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0.51-0.54</w:t>
            </w:r>
          </w:p>
        </w:tc>
      </w:tr>
      <w:tr w:rsidR="00663F5B" w14:paraId="0708C3D2" w14:textId="77777777" w:rsidTr="00C126D4">
        <w:tc>
          <w:tcPr>
            <w:tcW w:w="4955" w:type="dxa"/>
          </w:tcPr>
          <w:p w14:paraId="2205E992"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1600-1699</w:t>
            </w:r>
          </w:p>
        </w:tc>
        <w:tc>
          <w:tcPr>
            <w:tcW w:w="4956" w:type="dxa"/>
          </w:tcPr>
          <w:p w14:paraId="57DE5251"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0.54-0.57</w:t>
            </w:r>
          </w:p>
        </w:tc>
      </w:tr>
      <w:tr w:rsidR="00663F5B" w14:paraId="2A5BD6AD" w14:textId="77777777" w:rsidTr="00C126D4">
        <w:tc>
          <w:tcPr>
            <w:tcW w:w="4955" w:type="dxa"/>
          </w:tcPr>
          <w:p w14:paraId="764D1352"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1700-1799</w:t>
            </w:r>
          </w:p>
        </w:tc>
        <w:tc>
          <w:tcPr>
            <w:tcW w:w="4956" w:type="dxa"/>
          </w:tcPr>
          <w:p w14:paraId="05EB2E4C"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0.57-0.61</w:t>
            </w:r>
          </w:p>
        </w:tc>
      </w:tr>
      <w:tr w:rsidR="00663F5B" w14:paraId="197B86FD" w14:textId="77777777" w:rsidTr="00C126D4">
        <w:tc>
          <w:tcPr>
            <w:tcW w:w="4955" w:type="dxa"/>
          </w:tcPr>
          <w:p w14:paraId="2047861D"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1800-1899</w:t>
            </w:r>
          </w:p>
        </w:tc>
        <w:tc>
          <w:tcPr>
            <w:tcW w:w="4956" w:type="dxa"/>
          </w:tcPr>
          <w:p w14:paraId="72F0C326"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0.61-0.64</w:t>
            </w:r>
          </w:p>
        </w:tc>
      </w:tr>
      <w:tr w:rsidR="00663F5B" w14:paraId="043A032B" w14:textId="77777777" w:rsidTr="00C126D4">
        <w:tc>
          <w:tcPr>
            <w:tcW w:w="4955" w:type="dxa"/>
          </w:tcPr>
          <w:p w14:paraId="32F646E4"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1900-1999</w:t>
            </w:r>
          </w:p>
        </w:tc>
        <w:tc>
          <w:tcPr>
            <w:tcW w:w="4956" w:type="dxa"/>
          </w:tcPr>
          <w:p w14:paraId="2D0A6E66"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0.64-0.68</w:t>
            </w:r>
          </w:p>
        </w:tc>
      </w:tr>
      <w:tr w:rsidR="00663F5B" w14:paraId="530EC545" w14:textId="77777777" w:rsidTr="00C126D4">
        <w:tc>
          <w:tcPr>
            <w:tcW w:w="4955" w:type="dxa"/>
          </w:tcPr>
          <w:p w14:paraId="4098405E"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lastRenderedPageBreak/>
              <w:t>2000-2099</w:t>
            </w:r>
          </w:p>
        </w:tc>
        <w:tc>
          <w:tcPr>
            <w:tcW w:w="4956" w:type="dxa"/>
          </w:tcPr>
          <w:p w14:paraId="2BEA3562"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0.68-0.71</w:t>
            </w:r>
          </w:p>
        </w:tc>
      </w:tr>
      <w:tr w:rsidR="00663F5B" w14:paraId="4730D9D1" w14:textId="77777777" w:rsidTr="00C126D4">
        <w:tc>
          <w:tcPr>
            <w:tcW w:w="4955" w:type="dxa"/>
          </w:tcPr>
          <w:p w14:paraId="78B2CBA5"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2100-2199</w:t>
            </w:r>
          </w:p>
        </w:tc>
        <w:tc>
          <w:tcPr>
            <w:tcW w:w="4956" w:type="dxa"/>
          </w:tcPr>
          <w:p w14:paraId="7E3B6223"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0.71-0.74</w:t>
            </w:r>
          </w:p>
        </w:tc>
      </w:tr>
      <w:tr w:rsidR="00663F5B" w14:paraId="47243C84" w14:textId="77777777" w:rsidTr="00C126D4">
        <w:tc>
          <w:tcPr>
            <w:tcW w:w="4955" w:type="dxa"/>
          </w:tcPr>
          <w:p w14:paraId="3820FF91"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2200-2299</w:t>
            </w:r>
          </w:p>
        </w:tc>
        <w:tc>
          <w:tcPr>
            <w:tcW w:w="4956" w:type="dxa"/>
          </w:tcPr>
          <w:p w14:paraId="64F932F1"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0.74-0.78</w:t>
            </w:r>
          </w:p>
        </w:tc>
      </w:tr>
      <w:tr w:rsidR="00663F5B" w14:paraId="534D6BF4" w14:textId="77777777" w:rsidTr="00C126D4">
        <w:tc>
          <w:tcPr>
            <w:tcW w:w="4955" w:type="dxa"/>
          </w:tcPr>
          <w:p w14:paraId="54325C2F"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2300-2399</w:t>
            </w:r>
          </w:p>
        </w:tc>
        <w:tc>
          <w:tcPr>
            <w:tcW w:w="4956" w:type="dxa"/>
          </w:tcPr>
          <w:p w14:paraId="2B0754D0"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0.78-0.81</w:t>
            </w:r>
          </w:p>
        </w:tc>
      </w:tr>
      <w:tr w:rsidR="00663F5B" w14:paraId="0DC742EE" w14:textId="77777777" w:rsidTr="00C126D4">
        <w:tc>
          <w:tcPr>
            <w:tcW w:w="4955" w:type="dxa"/>
          </w:tcPr>
          <w:p w14:paraId="5C3358EA"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2400-2499</w:t>
            </w:r>
          </w:p>
        </w:tc>
        <w:tc>
          <w:tcPr>
            <w:tcW w:w="4956" w:type="dxa"/>
          </w:tcPr>
          <w:p w14:paraId="38E6EAB7"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0.81-0.84</w:t>
            </w:r>
          </w:p>
        </w:tc>
      </w:tr>
      <w:tr w:rsidR="00663F5B" w:rsidRPr="0054670B" w14:paraId="51B1269A" w14:textId="77777777" w:rsidTr="00C126D4">
        <w:tc>
          <w:tcPr>
            <w:tcW w:w="4955" w:type="dxa"/>
          </w:tcPr>
          <w:p w14:paraId="305F4CC6"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2500-2599</w:t>
            </w:r>
          </w:p>
        </w:tc>
        <w:tc>
          <w:tcPr>
            <w:tcW w:w="4956" w:type="dxa"/>
          </w:tcPr>
          <w:p w14:paraId="53111721"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0.84-0.88</w:t>
            </w:r>
          </w:p>
        </w:tc>
      </w:tr>
      <w:tr w:rsidR="00663F5B" w:rsidRPr="0054670B" w14:paraId="3BCFAD22" w14:textId="77777777" w:rsidTr="00C126D4">
        <w:tc>
          <w:tcPr>
            <w:tcW w:w="4955" w:type="dxa"/>
          </w:tcPr>
          <w:p w14:paraId="1422C514"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2600-2699</w:t>
            </w:r>
          </w:p>
        </w:tc>
        <w:tc>
          <w:tcPr>
            <w:tcW w:w="4956" w:type="dxa"/>
          </w:tcPr>
          <w:p w14:paraId="14EF4FA8"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0.88-0.91</w:t>
            </w:r>
          </w:p>
        </w:tc>
      </w:tr>
      <w:tr w:rsidR="00663F5B" w:rsidRPr="0054670B" w14:paraId="4091D27C" w14:textId="77777777" w:rsidTr="00C126D4">
        <w:tc>
          <w:tcPr>
            <w:tcW w:w="4955" w:type="dxa"/>
          </w:tcPr>
          <w:p w14:paraId="2931C7AC"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2700-2799</w:t>
            </w:r>
          </w:p>
        </w:tc>
        <w:tc>
          <w:tcPr>
            <w:tcW w:w="4956" w:type="dxa"/>
          </w:tcPr>
          <w:p w14:paraId="75C5CE8C"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0.91-0.94</w:t>
            </w:r>
          </w:p>
        </w:tc>
      </w:tr>
      <w:tr w:rsidR="00663F5B" w:rsidRPr="0054670B" w14:paraId="2FC1988C" w14:textId="77777777" w:rsidTr="00C126D4">
        <w:tc>
          <w:tcPr>
            <w:tcW w:w="4955" w:type="dxa"/>
          </w:tcPr>
          <w:p w14:paraId="3544C22E"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2800-2899</w:t>
            </w:r>
          </w:p>
        </w:tc>
        <w:tc>
          <w:tcPr>
            <w:tcW w:w="4956" w:type="dxa"/>
          </w:tcPr>
          <w:p w14:paraId="29DA1E1A"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0.94-0.98</w:t>
            </w:r>
          </w:p>
        </w:tc>
      </w:tr>
      <w:tr w:rsidR="00663F5B" w:rsidRPr="0054670B" w14:paraId="04943B8F" w14:textId="77777777" w:rsidTr="00C126D4">
        <w:tc>
          <w:tcPr>
            <w:tcW w:w="4955" w:type="dxa"/>
          </w:tcPr>
          <w:p w14:paraId="3106092E"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2900-2999</w:t>
            </w:r>
          </w:p>
        </w:tc>
        <w:tc>
          <w:tcPr>
            <w:tcW w:w="4956" w:type="dxa"/>
          </w:tcPr>
          <w:p w14:paraId="4F9AE6C7"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0.98-1.01</w:t>
            </w:r>
          </w:p>
        </w:tc>
      </w:tr>
      <w:tr w:rsidR="00663F5B" w:rsidRPr="0054670B" w14:paraId="7B2CE21D" w14:textId="77777777" w:rsidTr="00C126D4">
        <w:tc>
          <w:tcPr>
            <w:tcW w:w="4955" w:type="dxa"/>
          </w:tcPr>
          <w:p w14:paraId="45BD9991"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3000-3099</w:t>
            </w:r>
          </w:p>
        </w:tc>
        <w:tc>
          <w:tcPr>
            <w:tcW w:w="4956" w:type="dxa"/>
          </w:tcPr>
          <w:p w14:paraId="15B9277F"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1.01-1.04</w:t>
            </w:r>
          </w:p>
        </w:tc>
      </w:tr>
      <w:tr w:rsidR="00663F5B" w:rsidRPr="0054670B" w14:paraId="7BC2583D" w14:textId="77777777" w:rsidTr="00C126D4">
        <w:tc>
          <w:tcPr>
            <w:tcW w:w="4955" w:type="dxa"/>
          </w:tcPr>
          <w:p w14:paraId="03EB6E78"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&gt;3100</w:t>
            </w:r>
          </w:p>
        </w:tc>
        <w:tc>
          <w:tcPr>
            <w:tcW w:w="4956" w:type="dxa"/>
          </w:tcPr>
          <w:p w14:paraId="79F9B5DA" w14:textId="77777777" w:rsidR="00663F5B" w:rsidRPr="0054670B" w:rsidRDefault="00663F5B" w:rsidP="00C126D4">
            <w:pPr>
              <w:pStyle w:val="Bullet"/>
              <w:numPr>
                <w:ilvl w:val="0"/>
                <w:numId w:val="0"/>
              </w:numPr>
              <w:spacing w:after="240"/>
              <w:jc w:val="center"/>
              <w:rPr>
                <w:rStyle w:val="Hyperlink"/>
                <w:u w:val="none"/>
              </w:rPr>
            </w:pPr>
            <w:r w:rsidRPr="0054670B">
              <w:rPr>
                <w:rStyle w:val="Hyperlink"/>
                <w:u w:val="none"/>
              </w:rPr>
              <w:t>1.04</w:t>
            </w:r>
          </w:p>
        </w:tc>
      </w:tr>
    </w:tbl>
    <w:p w14:paraId="3AB8298B" w14:textId="77777777" w:rsidR="00180BE0" w:rsidRDefault="00E4404A" w:rsidP="00180BE0">
      <w:pPr>
        <w:pStyle w:val="Bullet"/>
        <w:numPr>
          <w:ilvl w:val="0"/>
          <w:numId w:val="0"/>
        </w:numPr>
        <w:ind w:left="360" w:hanging="360"/>
      </w:pPr>
      <w:r>
        <w:t>Assumptions used to generate the “Suggested VYALEV starting hourly infusion rate”:</w:t>
      </w:r>
    </w:p>
    <w:p w14:paraId="33A9F0E5" w14:textId="02A623CD" w:rsidR="00E4404A" w:rsidRDefault="00E4404A" w:rsidP="00180BE0">
      <w:pPr>
        <w:pStyle w:val="Bullet"/>
      </w:pPr>
      <w:r>
        <w:t xml:space="preserve">Total daily LE over 16 hours is increased by 50% to account for 24-hour dosing </w:t>
      </w:r>
    </w:p>
    <w:p w14:paraId="198B466E" w14:textId="1C20BD66" w:rsidR="00E4404A" w:rsidRDefault="00E4404A" w:rsidP="00E4404A">
      <w:pPr>
        <w:pStyle w:val="Bullet"/>
      </w:pPr>
      <w:r>
        <w:t xml:space="preserve">Subcutaneous </w:t>
      </w:r>
      <w:proofErr w:type="spellStart"/>
      <w:r>
        <w:t>foslevodopa</w:t>
      </w:r>
      <w:proofErr w:type="spellEnd"/>
      <w:r>
        <w:t xml:space="preserve"> is 8% more bioavailable than enterally absorbed levodopa </w:t>
      </w:r>
    </w:p>
    <w:p w14:paraId="0F199725" w14:textId="602485C6" w:rsidR="00E4404A" w:rsidRDefault="00E4404A" w:rsidP="00E4404A">
      <w:pPr>
        <w:pStyle w:val="Bullet"/>
      </w:pPr>
      <w:r>
        <w:t xml:space="preserve">The molecular weight ratio of </w:t>
      </w:r>
      <w:proofErr w:type="spellStart"/>
      <w:r>
        <w:t>foslevodopa:levodopa</w:t>
      </w:r>
      <w:proofErr w:type="spellEnd"/>
      <w:r>
        <w:t xml:space="preserve"> is 1.41:1  </w:t>
      </w:r>
    </w:p>
    <w:p w14:paraId="63C82E39" w14:textId="7A9D9E14" w:rsidR="00E4404A" w:rsidRDefault="00E4404A" w:rsidP="00E4404A">
      <w:pPr>
        <w:pStyle w:val="Bullet"/>
      </w:pPr>
      <w:r>
        <w:t xml:space="preserve">One millilitre of VYALEV contains 240 mg of </w:t>
      </w:r>
      <w:proofErr w:type="spellStart"/>
      <w:r>
        <w:t>foslevodopa</w:t>
      </w:r>
      <w:proofErr w:type="spellEnd"/>
      <w:r>
        <w:t xml:space="preserve"> and 12 mg of </w:t>
      </w:r>
      <w:proofErr w:type="spellStart"/>
      <w:r>
        <w:t>foscarbidopa</w:t>
      </w:r>
      <w:proofErr w:type="spellEnd"/>
      <w:r>
        <w:t xml:space="preserve"> </w:t>
      </w:r>
    </w:p>
    <w:p w14:paraId="0580A9CC" w14:textId="5A30351B" w:rsidR="00E4404A" w:rsidRDefault="00E4404A" w:rsidP="00180BE0">
      <w:pPr>
        <w:pStyle w:val="Bullet"/>
      </w:pPr>
      <w:r>
        <w:t>Most Parkinson’s disease (PD) patients are treated with oral PD medications during their</w:t>
      </w:r>
      <w:r w:rsidR="00180BE0">
        <w:t xml:space="preserve"> </w:t>
      </w:r>
      <w:r>
        <w:t xml:space="preserve">waking time (typically 16-hour/day treatment period); once the amount of </w:t>
      </w:r>
      <w:proofErr w:type="spellStart"/>
      <w:r>
        <w:t>foslevodopa</w:t>
      </w:r>
      <w:proofErr w:type="spellEnd"/>
      <w:r w:rsidR="00180BE0">
        <w:t xml:space="preserve"> </w:t>
      </w:r>
      <w:r>
        <w:t>needed over the 16-hour period has been calculated, it is divided by 240 mg to determine</w:t>
      </w:r>
      <w:r w:rsidR="00180BE0">
        <w:t xml:space="preserve"> </w:t>
      </w:r>
      <w:r>
        <w:t xml:space="preserve">the number of millilitres needed over the 16-hour period and then divided over 16 hours to establish the hourly infusion rate.  </w:t>
      </w:r>
    </w:p>
    <w:p w14:paraId="33FEB4A0" w14:textId="68F5E9C9" w:rsidR="00E4404A" w:rsidRDefault="00E4404A" w:rsidP="00180BE0">
      <w:pPr>
        <w:pStyle w:val="Bullet"/>
        <w:numPr>
          <w:ilvl w:val="0"/>
          <w:numId w:val="0"/>
        </w:numPr>
      </w:pPr>
      <w:r>
        <w:t>The hourly infusion rate is calculated using the following formula</w:t>
      </w:r>
      <w:r w:rsidR="00180BE0">
        <w:t>.</w:t>
      </w:r>
      <w:r>
        <w:t xml:space="preserve">  </w:t>
      </w:r>
    </w:p>
    <w:p w14:paraId="4D643CD5" w14:textId="4BAAD1FE" w:rsidR="00E4404A" w:rsidRDefault="00E4404A" w:rsidP="00E4404A">
      <w:pPr>
        <w:pStyle w:val="Bullet"/>
      </w:pPr>
      <w:r>
        <w:t>Hourly infusion rate (mL/hr) = [(LE</w:t>
      </w:r>
      <w:r w:rsidR="00786706">
        <w:t>X</w:t>
      </w:r>
      <w:r>
        <w:t xml:space="preserve"> ∙ 0.92 ∙ 1.41) ∕ 240] ∕ X  </w:t>
      </w:r>
    </w:p>
    <w:p w14:paraId="197EA800" w14:textId="77777777" w:rsidR="00E4404A" w:rsidRDefault="00E4404A" w:rsidP="00E4404A">
      <w:pPr>
        <w:pStyle w:val="Bullet"/>
      </w:pPr>
      <w:r>
        <w:t xml:space="preserve">where X is the number of patient’s awake hours used to determine the LE (e.g., X=16, in the table above). </w:t>
      </w:r>
    </w:p>
    <w:p w14:paraId="1D555773" w14:textId="2AFFBBB4" w:rsidR="00382961" w:rsidRPr="00A0630B" w:rsidRDefault="00E4404A" w:rsidP="00E4404A">
      <w:pPr>
        <w:pStyle w:val="Bullet"/>
        <w:numPr>
          <w:ilvl w:val="0"/>
          <w:numId w:val="0"/>
        </w:numPr>
        <w:spacing w:after="240"/>
        <w:rPr>
          <w:lang w:val="it-IT"/>
        </w:rPr>
      </w:pPr>
      <w:r w:rsidRPr="00A0630B">
        <w:rPr>
          <w:lang w:val="it-IT"/>
        </w:rPr>
        <w:t>LE = levodopa equivalents; LD = levodopa.</w:t>
      </w:r>
    </w:p>
    <w:p w14:paraId="2E615E7E" w14:textId="77777777" w:rsidR="00E4404A" w:rsidRPr="00A0630B" w:rsidRDefault="00E4404A" w:rsidP="00D2257C">
      <w:pPr>
        <w:pStyle w:val="Bullet"/>
        <w:numPr>
          <w:ilvl w:val="0"/>
          <w:numId w:val="0"/>
        </w:numPr>
        <w:spacing w:after="240"/>
        <w:rPr>
          <w:lang w:val="it-IT"/>
        </w:rPr>
      </w:pPr>
    </w:p>
    <w:p w14:paraId="5A226079" w14:textId="5B53483B" w:rsidR="00382961" w:rsidRDefault="00382961" w:rsidP="00D2257C">
      <w:pPr>
        <w:pStyle w:val="Bullet"/>
        <w:numPr>
          <w:ilvl w:val="0"/>
          <w:numId w:val="0"/>
        </w:numPr>
        <w:spacing w:after="240"/>
      </w:pPr>
      <w:r w:rsidRPr="00382961">
        <w:lastRenderedPageBreak/>
        <w:t xml:space="preserve">Fung, V. S. C., Aldred, J., Arroyo, M. P., Bergquist, F., Hauser, R. A., Bouchard, M., Bray, S., et al. (2024, February 10). Continuous subcutaneous </w:t>
      </w:r>
      <w:proofErr w:type="spellStart"/>
      <w:r w:rsidRPr="00382961">
        <w:t>foslevodopa</w:t>
      </w:r>
      <w:proofErr w:type="spellEnd"/>
      <w:r w:rsidRPr="00382961">
        <w:t>/</w:t>
      </w:r>
      <w:proofErr w:type="spellStart"/>
      <w:r w:rsidRPr="00382961">
        <w:t>foscarbidopa</w:t>
      </w:r>
      <w:proofErr w:type="spellEnd"/>
      <w:r w:rsidRPr="00382961">
        <w:t xml:space="preserve"> infusion for the treatment of motor fluctuations in Parkinson’s disease: Considerations for initiation and maintenance. Clinical Parkinsonism &amp; Related Disorders, 10, 100239. </w:t>
      </w:r>
      <w:hyperlink r:id="rId16" w:tgtFrame="_new" w:history="1">
        <w:r w:rsidR="00E86898" w:rsidRPr="00E86898">
          <w:rPr>
            <w:rStyle w:val="Hyperlink"/>
          </w:rPr>
          <w:t>https://doi.org/10.1016/j.prdoa.2024.100239</w:t>
        </w:r>
      </w:hyperlink>
      <w:r w:rsidR="00E86898">
        <w:t>.</w:t>
      </w:r>
    </w:p>
    <w:p w14:paraId="5E6EBF8D" w14:textId="77777777" w:rsidR="00E86898" w:rsidRDefault="00E86898" w:rsidP="00D2257C">
      <w:pPr>
        <w:pStyle w:val="Bullet"/>
        <w:numPr>
          <w:ilvl w:val="0"/>
          <w:numId w:val="0"/>
        </w:numPr>
        <w:spacing w:after="240"/>
      </w:pPr>
    </w:p>
    <w:p w14:paraId="3355112F" w14:textId="68213EAF" w:rsidR="001249F2" w:rsidRPr="00445683" w:rsidRDefault="002D7682" w:rsidP="00D2257C">
      <w:pPr>
        <w:pStyle w:val="Bullet"/>
        <w:numPr>
          <w:ilvl w:val="0"/>
          <w:numId w:val="0"/>
        </w:numPr>
        <w:spacing w:after="240"/>
        <w:rPr>
          <w:rStyle w:val="Bold"/>
          <w:b w:val="0"/>
          <w:bCs w:val="0"/>
          <w:lang w:val="en-GB" w:eastAsia="en-US"/>
        </w:rPr>
      </w:pPr>
      <w:hyperlink w:anchor="_top" w:history="1">
        <w:r w:rsidRPr="00481A6C">
          <w:rPr>
            <w:rStyle w:val="Hyperlink"/>
          </w:rPr>
          <w:t>Back to Contents</w:t>
        </w:r>
      </w:hyperlink>
    </w:p>
    <w:p w14:paraId="5B9DCE67" w14:textId="23F20217" w:rsidR="001249F2" w:rsidRDefault="001249F2" w:rsidP="001249F2">
      <w:pPr>
        <w:pStyle w:val="Bullet"/>
        <w:numPr>
          <w:ilvl w:val="0"/>
          <w:numId w:val="0"/>
        </w:numPr>
        <w:spacing w:after="240"/>
        <w:rPr>
          <w:rStyle w:val="Hyperlink"/>
        </w:rPr>
      </w:pPr>
    </w:p>
    <w:bookmarkEnd w:id="0"/>
    <w:p w14:paraId="10E79C43" w14:textId="2BBCD8EB" w:rsidR="00A513AA" w:rsidRPr="00DA2042" w:rsidRDefault="00A513AA" w:rsidP="00113B13">
      <w:pPr>
        <w:spacing w:before="0" w:after="0" w:line="240" w:lineRule="auto"/>
        <w:rPr>
          <w:rFonts w:eastAsia="Times New Roman"/>
          <w:b/>
          <w:iCs/>
        </w:rPr>
      </w:pPr>
    </w:p>
    <w:sectPr w:rsidR="00A513AA" w:rsidRPr="00DA2042" w:rsidSect="0007270D">
      <w:footerReference w:type="default" r:id="rId17"/>
      <w:headerReference w:type="first" r:id="rId18"/>
      <w:footerReference w:type="first" r:id="rId19"/>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9A31" w14:textId="77777777" w:rsidR="00E4557E" w:rsidRDefault="00E4557E" w:rsidP="00225769">
      <w:pPr>
        <w:spacing w:after="0" w:line="240" w:lineRule="auto"/>
      </w:pPr>
      <w:r>
        <w:separator/>
      </w:r>
    </w:p>
    <w:p w14:paraId="07F50C1E" w14:textId="77777777" w:rsidR="00E4557E" w:rsidRDefault="00E4557E"/>
    <w:p w14:paraId="5EDE84DB" w14:textId="77777777" w:rsidR="00E4557E" w:rsidRDefault="00E4557E"/>
    <w:p w14:paraId="199BBAF9" w14:textId="77777777" w:rsidR="00E4557E" w:rsidRDefault="00E4557E"/>
    <w:p w14:paraId="0660AE23" w14:textId="77777777" w:rsidR="00E4557E" w:rsidRDefault="00E4557E"/>
    <w:p w14:paraId="460539B9" w14:textId="77777777" w:rsidR="00E4557E" w:rsidRDefault="00E4557E"/>
    <w:p w14:paraId="51845336" w14:textId="77777777" w:rsidR="00E4557E" w:rsidRDefault="00E4557E"/>
  </w:endnote>
  <w:endnote w:type="continuationSeparator" w:id="0">
    <w:p w14:paraId="2BD19C02" w14:textId="77777777" w:rsidR="00E4557E" w:rsidRDefault="00E4557E" w:rsidP="00225769">
      <w:pPr>
        <w:spacing w:after="0" w:line="240" w:lineRule="auto"/>
      </w:pPr>
      <w:r>
        <w:continuationSeparator/>
      </w:r>
    </w:p>
    <w:p w14:paraId="235AB20C" w14:textId="77777777" w:rsidR="00E4557E" w:rsidRDefault="00E4557E"/>
    <w:p w14:paraId="696D4E79" w14:textId="77777777" w:rsidR="00E4557E" w:rsidRDefault="00E4557E"/>
    <w:p w14:paraId="2168692D" w14:textId="77777777" w:rsidR="00E4557E" w:rsidRDefault="00E4557E"/>
    <w:p w14:paraId="3D97A86F" w14:textId="77777777" w:rsidR="00E4557E" w:rsidRDefault="00E4557E"/>
    <w:p w14:paraId="7E256FEE" w14:textId="77777777" w:rsidR="00E4557E" w:rsidRDefault="00E4557E"/>
    <w:p w14:paraId="7D43F3D8" w14:textId="77777777" w:rsidR="00E4557E" w:rsidRDefault="00E45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11244"/>
      <w:docPartObj>
        <w:docPartGallery w:val="Page Numbers (Bottom of Page)"/>
        <w:docPartUnique/>
      </w:docPartObj>
    </w:sdtPr>
    <w:sdtEndPr>
      <w:rPr>
        <w:noProof/>
      </w:rPr>
    </w:sdtEndPr>
    <w:sdtContent>
      <w:p w14:paraId="03BBBFE1" w14:textId="77777777" w:rsidR="00291A04" w:rsidRDefault="00291A04">
        <w:pPr>
          <w:pStyle w:val="Footer"/>
          <w:jc w:val="center"/>
        </w:pPr>
      </w:p>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734"/>
          <w:gridCol w:w="848"/>
        </w:tblGrid>
        <w:tr w:rsidR="00291A04" w:rsidRPr="006B62B4" w14:paraId="493160B4" w14:textId="77777777" w:rsidTr="000D69F2">
          <w:trPr>
            <w:jc w:val="center"/>
          </w:trPr>
          <w:tc>
            <w:tcPr>
              <w:tcW w:w="1515" w:type="dxa"/>
            </w:tcPr>
            <w:p w14:paraId="54BCDFF9" w14:textId="77777777" w:rsidR="00291A04" w:rsidRPr="006B62B4" w:rsidRDefault="00291A04" w:rsidP="00291A04">
              <w:pPr>
                <w:pStyle w:val="Footer"/>
                <w:jc w:val="center"/>
                <w:rPr>
                  <w:b/>
                  <w:bCs/>
                  <w:iCs/>
                  <w:sz w:val="20"/>
                  <w:szCs w:val="20"/>
                </w:rPr>
              </w:pPr>
              <w:r w:rsidRPr="006B62B4">
                <w:rPr>
                  <w:b/>
                  <w:bCs/>
                  <w:iCs/>
                  <w:sz w:val="20"/>
                  <w:szCs w:val="20"/>
                </w:rPr>
                <w:t>Doc Number</w:t>
              </w:r>
            </w:p>
          </w:tc>
          <w:tc>
            <w:tcPr>
              <w:tcW w:w="965" w:type="dxa"/>
            </w:tcPr>
            <w:p w14:paraId="6CE92700" w14:textId="77777777" w:rsidR="00291A04" w:rsidRPr="006B62B4" w:rsidRDefault="00291A04" w:rsidP="00291A04">
              <w:pPr>
                <w:pStyle w:val="Footer"/>
                <w:jc w:val="center"/>
                <w:rPr>
                  <w:b/>
                  <w:bCs/>
                  <w:iCs/>
                  <w:sz w:val="20"/>
                  <w:szCs w:val="20"/>
                </w:rPr>
              </w:pPr>
              <w:r w:rsidRPr="006B62B4">
                <w:rPr>
                  <w:b/>
                  <w:bCs/>
                  <w:iCs/>
                  <w:sz w:val="20"/>
                  <w:szCs w:val="20"/>
                </w:rPr>
                <w:t>Version</w:t>
              </w:r>
            </w:p>
          </w:tc>
          <w:tc>
            <w:tcPr>
              <w:tcW w:w="1552" w:type="dxa"/>
            </w:tcPr>
            <w:p w14:paraId="478A1925" w14:textId="77777777" w:rsidR="00291A04" w:rsidRPr="006B62B4" w:rsidRDefault="00291A04" w:rsidP="00291A04">
              <w:pPr>
                <w:pStyle w:val="Footer"/>
                <w:jc w:val="center"/>
                <w:rPr>
                  <w:b/>
                  <w:bCs/>
                  <w:iCs/>
                  <w:sz w:val="20"/>
                  <w:szCs w:val="20"/>
                </w:rPr>
              </w:pPr>
              <w:r w:rsidRPr="006B62B4">
                <w:rPr>
                  <w:b/>
                  <w:bCs/>
                  <w:iCs/>
                  <w:sz w:val="20"/>
                  <w:szCs w:val="20"/>
                </w:rPr>
                <w:t>Issued</w:t>
              </w:r>
            </w:p>
          </w:tc>
          <w:tc>
            <w:tcPr>
              <w:tcW w:w="1456" w:type="dxa"/>
            </w:tcPr>
            <w:p w14:paraId="17F37AE2" w14:textId="77777777" w:rsidR="00291A04" w:rsidRPr="006B62B4" w:rsidRDefault="00291A04" w:rsidP="00291A04">
              <w:pPr>
                <w:pStyle w:val="Footer"/>
                <w:jc w:val="center"/>
                <w:rPr>
                  <w:b/>
                  <w:bCs/>
                  <w:iCs/>
                  <w:sz w:val="20"/>
                  <w:szCs w:val="20"/>
                </w:rPr>
              </w:pPr>
              <w:r w:rsidRPr="006B62B4">
                <w:rPr>
                  <w:b/>
                  <w:bCs/>
                  <w:iCs/>
                  <w:sz w:val="20"/>
                  <w:szCs w:val="20"/>
                </w:rPr>
                <w:t>Review Date</w:t>
              </w:r>
            </w:p>
          </w:tc>
          <w:tc>
            <w:tcPr>
              <w:tcW w:w="2734" w:type="dxa"/>
            </w:tcPr>
            <w:p w14:paraId="72BDECCA" w14:textId="77777777" w:rsidR="00291A04" w:rsidRPr="006B62B4" w:rsidRDefault="00291A04" w:rsidP="00291A04">
              <w:pPr>
                <w:pStyle w:val="Footer"/>
                <w:jc w:val="center"/>
                <w:rPr>
                  <w:b/>
                  <w:bCs/>
                  <w:iCs/>
                  <w:sz w:val="20"/>
                  <w:szCs w:val="20"/>
                </w:rPr>
              </w:pPr>
              <w:r w:rsidRPr="006B62B4">
                <w:rPr>
                  <w:b/>
                  <w:bCs/>
                  <w:iCs/>
                  <w:sz w:val="20"/>
                  <w:szCs w:val="20"/>
                </w:rPr>
                <w:t xml:space="preserve">Area </w:t>
              </w:r>
            </w:p>
          </w:tc>
          <w:tc>
            <w:tcPr>
              <w:tcW w:w="848" w:type="dxa"/>
            </w:tcPr>
            <w:p w14:paraId="7B320687" w14:textId="77777777" w:rsidR="00291A04" w:rsidRPr="006B62B4" w:rsidRDefault="00291A04" w:rsidP="00291A04">
              <w:pPr>
                <w:pStyle w:val="Footer"/>
                <w:jc w:val="center"/>
                <w:rPr>
                  <w:b/>
                  <w:bCs/>
                  <w:iCs/>
                  <w:sz w:val="20"/>
                  <w:szCs w:val="20"/>
                </w:rPr>
              </w:pPr>
              <w:r w:rsidRPr="006B62B4">
                <w:rPr>
                  <w:b/>
                  <w:bCs/>
                  <w:iCs/>
                  <w:sz w:val="20"/>
                  <w:szCs w:val="20"/>
                </w:rPr>
                <w:t>Page</w:t>
              </w:r>
            </w:p>
          </w:tc>
        </w:tr>
        <w:tr w:rsidR="00291A04" w:rsidRPr="006B62B4" w14:paraId="625E66B3" w14:textId="77777777" w:rsidTr="000D69F2">
          <w:trPr>
            <w:jc w:val="center"/>
          </w:trPr>
          <w:tc>
            <w:tcPr>
              <w:tcW w:w="1515" w:type="dxa"/>
            </w:tcPr>
            <w:p w14:paraId="0657B661" w14:textId="77777777" w:rsidR="00291A04" w:rsidRPr="00954F7B" w:rsidRDefault="00291A04" w:rsidP="00291A04">
              <w:pPr>
                <w:pStyle w:val="Footer"/>
                <w:jc w:val="center"/>
                <w:rPr>
                  <w:bCs/>
                  <w:iCs/>
                  <w:sz w:val="20"/>
                  <w:szCs w:val="20"/>
                </w:rPr>
              </w:pPr>
              <w:r>
                <w:rPr>
                  <w:bCs/>
                  <w:iCs/>
                  <w:sz w:val="20"/>
                  <w:szCs w:val="20"/>
                </w:rPr>
                <w:t>C</w:t>
              </w:r>
              <w:r>
                <w:rPr>
                  <w:sz w:val="20"/>
                  <w:szCs w:val="20"/>
                </w:rPr>
                <w:t>HS26/062</w:t>
              </w:r>
            </w:p>
          </w:tc>
          <w:tc>
            <w:tcPr>
              <w:tcW w:w="965" w:type="dxa"/>
            </w:tcPr>
            <w:p w14:paraId="6DFC6AAC" w14:textId="77777777" w:rsidR="00291A04" w:rsidRPr="00954F7B" w:rsidRDefault="00291A04" w:rsidP="00291A04">
              <w:pPr>
                <w:pStyle w:val="Footer"/>
                <w:jc w:val="center"/>
                <w:rPr>
                  <w:bCs/>
                  <w:iCs/>
                  <w:sz w:val="20"/>
                  <w:szCs w:val="20"/>
                </w:rPr>
              </w:pPr>
              <w:r>
                <w:rPr>
                  <w:bCs/>
                  <w:iCs/>
                  <w:sz w:val="20"/>
                  <w:szCs w:val="20"/>
                </w:rPr>
                <w:t>1</w:t>
              </w:r>
            </w:p>
          </w:tc>
          <w:tc>
            <w:tcPr>
              <w:tcW w:w="1552" w:type="dxa"/>
            </w:tcPr>
            <w:p w14:paraId="0795349C" w14:textId="77777777" w:rsidR="00291A04" w:rsidRPr="00954F7B" w:rsidRDefault="00291A04" w:rsidP="00291A04">
              <w:pPr>
                <w:pStyle w:val="Footer"/>
                <w:jc w:val="center"/>
                <w:rPr>
                  <w:bCs/>
                  <w:iCs/>
                  <w:sz w:val="20"/>
                  <w:szCs w:val="20"/>
                </w:rPr>
              </w:pPr>
              <w:r>
                <w:rPr>
                  <w:bCs/>
                  <w:iCs/>
                  <w:sz w:val="20"/>
                  <w:szCs w:val="20"/>
                </w:rPr>
                <w:t>2</w:t>
              </w:r>
              <w:r>
                <w:rPr>
                  <w:sz w:val="20"/>
                  <w:szCs w:val="20"/>
                </w:rPr>
                <w:t>7/02/2026</w:t>
              </w:r>
            </w:p>
          </w:tc>
          <w:tc>
            <w:tcPr>
              <w:tcW w:w="1456" w:type="dxa"/>
            </w:tcPr>
            <w:p w14:paraId="020FFC59" w14:textId="77777777" w:rsidR="00291A04" w:rsidRPr="00954F7B" w:rsidRDefault="00291A04" w:rsidP="00291A04">
              <w:pPr>
                <w:pStyle w:val="Footer"/>
                <w:jc w:val="center"/>
                <w:rPr>
                  <w:bCs/>
                  <w:iCs/>
                  <w:sz w:val="20"/>
                  <w:szCs w:val="20"/>
                </w:rPr>
              </w:pPr>
              <w:r>
                <w:rPr>
                  <w:bCs/>
                  <w:iCs/>
                  <w:sz w:val="20"/>
                  <w:szCs w:val="20"/>
                </w:rPr>
                <w:t>0</w:t>
              </w:r>
              <w:r>
                <w:rPr>
                  <w:sz w:val="20"/>
                  <w:szCs w:val="20"/>
                </w:rPr>
                <w:t>1/03/2030</w:t>
              </w:r>
            </w:p>
          </w:tc>
          <w:tc>
            <w:tcPr>
              <w:tcW w:w="2734" w:type="dxa"/>
            </w:tcPr>
            <w:p w14:paraId="3A50943C" w14:textId="77777777" w:rsidR="00291A04" w:rsidRPr="00954F7B" w:rsidRDefault="00291A04" w:rsidP="00291A04">
              <w:pPr>
                <w:pStyle w:val="Footer"/>
                <w:jc w:val="center"/>
                <w:rPr>
                  <w:bCs/>
                  <w:iCs/>
                  <w:sz w:val="20"/>
                  <w:szCs w:val="20"/>
                </w:rPr>
              </w:pPr>
              <w:r>
                <w:rPr>
                  <w:bCs/>
                  <w:iCs/>
                  <w:sz w:val="20"/>
                  <w:szCs w:val="20"/>
                </w:rPr>
                <w:t>Medicine – Neurology</w:t>
              </w:r>
            </w:p>
          </w:tc>
          <w:tc>
            <w:tcPr>
              <w:tcW w:w="848" w:type="dxa"/>
            </w:tcPr>
            <w:p w14:paraId="40539A97" w14:textId="77777777" w:rsidR="00291A04" w:rsidRPr="00954F7B" w:rsidRDefault="00291A04" w:rsidP="00291A04">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3F33DAE9" w14:textId="639D45EB" w:rsidR="007E35CF" w:rsidRDefault="00291A04" w:rsidP="00291A04">
        <w:pPr>
          <w:pStyle w:val="Footer"/>
        </w:pPr>
      </w:p>
    </w:sdtContent>
  </w:sdt>
  <w:p w14:paraId="05058109" w14:textId="77777777" w:rsidR="007E35CF" w:rsidRDefault="007E3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734"/>
      <w:gridCol w:w="848"/>
    </w:tblGrid>
    <w:tr w:rsidR="008A3DD8" w:rsidRPr="006B62B4" w14:paraId="5FCFF286" w14:textId="77777777" w:rsidTr="00291A04">
      <w:trPr>
        <w:jc w:val="center"/>
      </w:trPr>
      <w:tc>
        <w:tcPr>
          <w:tcW w:w="1515" w:type="dxa"/>
        </w:tcPr>
        <w:p w14:paraId="5799B397"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3E8B9387"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0BA77C8F"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33623D9C"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2734" w:type="dxa"/>
        </w:tcPr>
        <w:p w14:paraId="5AE26455"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848" w:type="dxa"/>
        </w:tcPr>
        <w:p w14:paraId="3A3008D7"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18117CDF" w14:textId="77777777" w:rsidTr="00291A04">
      <w:trPr>
        <w:jc w:val="center"/>
      </w:trPr>
      <w:tc>
        <w:tcPr>
          <w:tcW w:w="1515" w:type="dxa"/>
        </w:tcPr>
        <w:p w14:paraId="4797F764" w14:textId="1427DEB5" w:rsidR="008A3DD8" w:rsidRPr="00954F7B" w:rsidRDefault="00291A04" w:rsidP="008A3DD8">
          <w:pPr>
            <w:pStyle w:val="Footer"/>
            <w:jc w:val="center"/>
            <w:rPr>
              <w:bCs/>
              <w:iCs/>
              <w:sz w:val="20"/>
              <w:szCs w:val="20"/>
            </w:rPr>
          </w:pPr>
          <w:r>
            <w:rPr>
              <w:bCs/>
              <w:iCs/>
              <w:sz w:val="20"/>
              <w:szCs w:val="20"/>
            </w:rPr>
            <w:t>C</w:t>
          </w:r>
          <w:r>
            <w:rPr>
              <w:sz w:val="20"/>
              <w:szCs w:val="20"/>
            </w:rPr>
            <w:t>HS26/062</w:t>
          </w:r>
        </w:p>
      </w:tc>
      <w:tc>
        <w:tcPr>
          <w:tcW w:w="965" w:type="dxa"/>
        </w:tcPr>
        <w:p w14:paraId="2BFA82B5" w14:textId="4970F74F" w:rsidR="008A3DD8" w:rsidRPr="00954F7B" w:rsidRDefault="00291A04" w:rsidP="008A3DD8">
          <w:pPr>
            <w:pStyle w:val="Footer"/>
            <w:jc w:val="center"/>
            <w:rPr>
              <w:bCs/>
              <w:iCs/>
              <w:sz w:val="20"/>
              <w:szCs w:val="20"/>
            </w:rPr>
          </w:pPr>
          <w:r>
            <w:rPr>
              <w:bCs/>
              <w:iCs/>
              <w:sz w:val="20"/>
              <w:szCs w:val="20"/>
            </w:rPr>
            <w:t>1</w:t>
          </w:r>
        </w:p>
      </w:tc>
      <w:tc>
        <w:tcPr>
          <w:tcW w:w="1552" w:type="dxa"/>
        </w:tcPr>
        <w:p w14:paraId="44752941" w14:textId="272B66C5" w:rsidR="008A3DD8" w:rsidRPr="00954F7B" w:rsidRDefault="00291A04" w:rsidP="008A3DD8">
          <w:pPr>
            <w:pStyle w:val="Footer"/>
            <w:jc w:val="center"/>
            <w:rPr>
              <w:bCs/>
              <w:iCs/>
              <w:sz w:val="20"/>
              <w:szCs w:val="20"/>
            </w:rPr>
          </w:pPr>
          <w:r>
            <w:rPr>
              <w:bCs/>
              <w:iCs/>
              <w:sz w:val="20"/>
              <w:szCs w:val="20"/>
            </w:rPr>
            <w:t>2</w:t>
          </w:r>
          <w:r>
            <w:rPr>
              <w:sz w:val="20"/>
              <w:szCs w:val="20"/>
            </w:rPr>
            <w:t>7/02/2026</w:t>
          </w:r>
        </w:p>
      </w:tc>
      <w:tc>
        <w:tcPr>
          <w:tcW w:w="1456" w:type="dxa"/>
        </w:tcPr>
        <w:p w14:paraId="5DBC71BC" w14:textId="54984E2E" w:rsidR="008A3DD8" w:rsidRPr="00954F7B" w:rsidRDefault="00291A04" w:rsidP="008A3DD8">
          <w:pPr>
            <w:pStyle w:val="Footer"/>
            <w:jc w:val="center"/>
            <w:rPr>
              <w:bCs/>
              <w:iCs/>
              <w:sz w:val="20"/>
              <w:szCs w:val="20"/>
            </w:rPr>
          </w:pPr>
          <w:r>
            <w:rPr>
              <w:bCs/>
              <w:iCs/>
              <w:sz w:val="20"/>
              <w:szCs w:val="20"/>
            </w:rPr>
            <w:t>0</w:t>
          </w:r>
          <w:r>
            <w:rPr>
              <w:sz w:val="20"/>
              <w:szCs w:val="20"/>
            </w:rPr>
            <w:t>1/03/2030</w:t>
          </w:r>
        </w:p>
      </w:tc>
      <w:tc>
        <w:tcPr>
          <w:tcW w:w="2734" w:type="dxa"/>
        </w:tcPr>
        <w:p w14:paraId="2164324F" w14:textId="0AAF652F" w:rsidR="008A3DD8" w:rsidRPr="00954F7B" w:rsidRDefault="00291A04" w:rsidP="008A3DD8">
          <w:pPr>
            <w:pStyle w:val="Footer"/>
            <w:jc w:val="center"/>
            <w:rPr>
              <w:bCs/>
              <w:iCs/>
              <w:sz w:val="20"/>
              <w:szCs w:val="20"/>
            </w:rPr>
          </w:pPr>
          <w:r>
            <w:rPr>
              <w:bCs/>
              <w:iCs/>
              <w:sz w:val="20"/>
              <w:szCs w:val="20"/>
            </w:rPr>
            <w:t>Medicine – Neurology</w:t>
          </w:r>
        </w:p>
      </w:tc>
      <w:tc>
        <w:tcPr>
          <w:tcW w:w="848" w:type="dxa"/>
        </w:tcPr>
        <w:p w14:paraId="1BEAC197"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71F047A2"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7F3D" w14:textId="77777777" w:rsidR="00E4557E" w:rsidRDefault="00E4557E" w:rsidP="009D493B">
      <w:pPr>
        <w:spacing w:after="0" w:line="240" w:lineRule="auto"/>
      </w:pPr>
      <w:r>
        <w:separator/>
      </w:r>
    </w:p>
  </w:footnote>
  <w:footnote w:type="continuationSeparator" w:id="0">
    <w:p w14:paraId="47F6FB29" w14:textId="77777777" w:rsidR="00E4557E" w:rsidRDefault="00E4557E" w:rsidP="00A9080B">
      <w:pPr>
        <w:spacing w:after="0" w:line="240" w:lineRule="auto"/>
      </w:pPr>
      <w:r>
        <w:continuationSeparator/>
      </w:r>
    </w:p>
    <w:p w14:paraId="690E2B7C" w14:textId="77777777" w:rsidR="00E4557E" w:rsidRDefault="00E4557E"/>
    <w:p w14:paraId="5FA71AD9" w14:textId="77777777" w:rsidR="00E4557E" w:rsidRDefault="00E45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2B02" w14:textId="77777777" w:rsidR="008A3DD8" w:rsidRDefault="008A3DD8">
    <w:pPr>
      <w:pStyle w:val="Header"/>
    </w:pPr>
    <w:r w:rsidRPr="00324CF9">
      <w:rPr>
        <w:noProof/>
      </w:rPr>
      <w:drawing>
        <wp:inline distT="0" distB="0" distL="0" distR="0" wp14:anchorId="150F76CB" wp14:editId="0D4CF62F">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82D"/>
    <w:multiLevelType w:val="hybridMultilevel"/>
    <w:tmpl w:val="44E431EE"/>
    <w:lvl w:ilvl="0" w:tplc="D59E9C28">
      <w:start w:val="1"/>
      <w:numFmt w:val="decimal"/>
      <w:lvlText w:val="%1."/>
      <w:lvlJc w:val="left"/>
      <w:pPr>
        <w:ind w:left="78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A810B1"/>
    <w:multiLevelType w:val="hybridMultilevel"/>
    <w:tmpl w:val="FFFFFFFF"/>
    <w:lvl w:ilvl="0" w:tplc="D902ACCA">
      <w:start w:val="1"/>
      <w:numFmt w:val="lowerLetter"/>
      <w:lvlText w:val="%1."/>
      <w:lvlJc w:val="left"/>
      <w:pPr>
        <w:ind w:left="720" w:hanging="360"/>
      </w:pPr>
    </w:lvl>
    <w:lvl w:ilvl="1" w:tplc="2EDAF0F0">
      <w:start w:val="1"/>
      <w:numFmt w:val="lowerLetter"/>
      <w:lvlText w:val="%2."/>
      <w:lvlJc w:val="left"/>
      <w:pPr>
        <w:ind w:left="1440" w:hanging="360"/>
      </w:pPr>
    </w:lvl>
    <w:lvl w:ilvl="2" w:tplc="A782A8E2">
      <w:start w:val="1"/>
      <w:numFmt w:val="lowerRoman"/>
      <w:lvlText w:val="%3."/>
      <w:lvlJc w:val="right"/>
      <w:pPr>
        <w:ind w:left="2160" w:hanging="180"/>
      </w:pPr>
    </w:lvl>
    <w:lvl w:ilvl="3" w:tplc="77243910">
      <w:start w:val="1"/>
      <w:numFmt w:val="decimal"/>
      <w:lvlText w:val="%4."/>
      <w:lvlJc w:val="left"/>
      <w:pPr>
        <w:ind w:left="2880" w:hanging="360"/>
      </w:pPr>
    </w:lvl>
    <w:lvl w:ilvl="4" w:tplc="AB462B52">
      <w:start w:val="1"/>
      <w:numFmt w:val="lowerLetter"/>
      <w:lvlText w:val="%5."/>
      <w:lvlJc w:val="left"/>
      <w:pPr>
        <w:ind w:left="3600" w:hanging="360"/>
      </w:pPr>
    </w:lvl>
    <w:lvl w:ilvl="5" w:tplc="624C5324">
      <w:start w:val="1"/>
      <w:numFmt w:val="lowerRoman"/>
      <w:lvlText w:val="%6."/>
      <w:lvlJc w:val="right"/>
      <w:pPr>
        <w:ind w:left="4320" w:hanging="180"/>
      </w:pPr>
    </w:lvl>
    <w:lvl w:ilvl="6" w:tplc="06B47B94">
      <w:start w:val="1"/>
      <w:numFmt w:val="decimal"/>
      <w:lvlText w:val="%7."/>
      <w:lvlJc w:val="left"/>
      <w:pPr>
        <w:ind w:left="5040" w:hanging="360"/>
      </w:pPr>
    </w:lvl>
    <w:lvl w:ilvl="7" w:tplc="548ABAE4">
      <w:start w:val="1"/>
      <w:numFmt w:val="lowerLetter"/>
      <w:lvlText w:val="%8."/>
      <w:lvlJc w:val="left"/>
      <w:pPr>
        <w:ind w:left="5760" w:hanging="360"/>
      </w:pPr>
    </w:lvl>
    <w:lvl w:ilvl="8" w:tplc="5F3CE874">
      <w:start w:val="1"/>
      <w:numFmt w:val="lowerRoman"/>
      <w:lvlText w:val="%9."/>
      <w:lvlJc w:val="right"/>
      <w:pPr>
        <w:ind w:left="6480" w:hanging="180"/>
      </w:pPr>
    </w:lvl>
  </w:abstractNum>
  <w:abstractNum w:abstractNumId="2" w15:restartNumberingAfterBreak="0">
    <w:nsid w:val="0B9D3DF7"/>
    <w:multiLevelType w:val="hybridMultilevel"/>
    <w:tmpl w:val="DDF49176"/>
    <w:lvl w:ilvl="0" w:tplc="D59E9C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FF7396"/>
    <w:multiLevelType w:val="hybridMultilevel"/>
    <w:tmpl w:val="5858B7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5" w15:restartNumberingAfterBreak="0">
    <w:nsid w:val="19656062"/>
    <w:multiLevelType w:val="hybridMultilevel"/>
    <w:tmpl w:val="ACAE2C9E"/>
    <w:lvl w:ilvl="0" w:tplc="E7BA5B1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5E4065"/>
    <w:multiLevelType w:val="multilevel"/>
    <w:tmpl w:val="7BF002AE"/>
    <w:lvl w:ilvl="0">
      <w:start w:val="1"/>
      <w:numFmt w:val="decimal"/>
      <w:lvlText w:val="%1."/>
      <w:lvlJc w:val="left"/>
      <w:pPr>
        <w:ind w:left="425" w:hanging="425"/>
      </w:pPr>
      <w:rPr>
        <w:rFonts w:hint="default"/>
      </w:rPr>
    </w:lvl>
    <w:lvl w:ilvl="1">
      <w:start w:val="1"/>
      <w:numFmt w:val="bullet"/>
      <w:lvlText w:val="­"/>
      <w:lvlJc w:val="left"/>
      <w:pPr>
        <w:ind w:left="785" w:hanging="360"/>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1EEB553B"/>
    <w:multiLevelType w:val="hybridMultilevel"/>
    <w:tmpl w:val="00D2B810"/>
    <w:lvl w:ilvl="0" w:tplc="E7BA5B1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25C1073B"/>
    <w:multiLevelType w:val="hybridMultilevel"/>
    <w:tmpl w:val="32BA7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D762A5"/>
    <w:multiLevelType w:val="hybridMultilevel"/>
    <w:tmpl w:val="4F946F94"/>
    <w:lvl w:ilvl="0" w:tplc="E7BA5B1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F259F8"/>
    <w:multiLevelType w:val="multilevel"/>
    <w:tmpl w:val="F162DD0E"/>
    <w:lvl w:ilvl="0">
      <w:start w:val="1"/>
      <w:numFmt w:val="decimal"/>
      <w:lvlText w:val="%1."/>
      <w:lvlJc w:val="left"/>
      <w:pPr>
        <w:ind w:left="425" w:hanging="425"/>
      </w:pPr>
      <w:rPr>
        <w:rFonts w:hint="default"/>
      </w:rPr>
    </w:lvl>
    <w:lvl w:ilvl="1">
      <w:start w:val="1"/>
      <w:numFmt w:val="bullet"/>
      <w:lvlText w:val="­"/>
      <w:lvlJc w:val="left"/>
      <w:pPr>
        <w:ind w:left="785" w:hanging="360"/>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2" w15:restartNumberingAfterBreak="0">
    <w:nsid w:val="32593ADB"/>
    <w:multiLevelType w:val="hybridMultilevel"/>
    <w:tmpl w:val="3CE48042"/>
    <w:lvl w:ilvl="0" w:tplc="D59E9C2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214242"/>
    <w:multiLevelType w:val="hybridMultilevel"/>
    <w:tmpl w:val="3364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0B3417"/>
    <w:multiLevelType w:val="hybridMultilevel"/>
    <w:tmpl w:val="D898C9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EC5F34"/>
    <w:multiLevelType w:val="hybridMultilevel"/>
    <w:tmpl w:val="481AA456"/>
    <w:lvl w:ilvl="0" w:tplc="D59E9C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00672E"/>
    <w:multiLevelType w:val="multilevel"/>
    <w:tmpl w:val="165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60F08"/>
    <w:multiLevelType w:val="hybridMultilevel"/>
    <w:tmpl w:val="6A6C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22" w15:restartNumberingAfterBreak="0">
    <w:nsid w:val="52E3700E"/>
    <w:multiLevelType w:val="hybridMultilevel"/>
    <w:tmpl w:val="FFFFFFFF"/>
    <w:lvl w:ilvl="0" w:tplc="AB5209AC">
      <w:start w:val="1"/>
      <w:numFmt w:val="decimal"/>
      <w:lvlText w:val="%1."/>
      <w:lvlJc w:val="left"/>
      <w:pPr>
        <w:ind w:left="720" w:hanging="360"/>
      </w:pPr>
    </w:lvl>
    <w:lvl w:ilvl="1" w:tplc="7FE621C0">
      <w:start w:val="1"/>
      <w:numFmt w:val="lowerLetter"/>
      <w:lvlText w:val="%2."/>
      <w:lvlJc w:val="left"/>
      <w:pPr>
        <w:ind w:left="1440" w:hanging="360"/>
      </w:pPr>
    </w:lvl>
    <w:lvl w:ilvl="2" w:tplc="28CC5FC6">
      <w:start w:val="1"/>
      <w:numFmt w:val="lowerRoman"/>
      <w:lvlText w:val="%3."/>
      <w:lvlJc w:val="right"/>
      <w:pPr>
        <w:ind w:left="2160" w:hanging="180"/>
      </w:pPr>
    </w:lvl>
    <w:lvl w:ilvl="3" w:tplc="AE40529A">
      <w:start w:val="1"/>
      <w:numFmt w:val="decimal"/>
      <w:lvlText w:val="%4."/>
      <w:lvlJc w:val="left"/>
      <w:pPr>
        <w:ind w:left="2880" w:hanging="360"/>
      </w:pPr>
    </w:lvl>
    <w:lvl w:ilvl="4" w:tplc="47FAC0A8">
      <w:start w:val="1"/>
      <w:numFmt w:val="lowerLetter"/>
      <w:lvlText w:val="%5."/>
      <w:lvlJc w:val="left"/>
      <w:pPr>
        <w:ind w:left="3600" w:hanging="360"/>
      </w:pPr>
    </w:lvl>
    <w:lvl w:ilvl="5" w:tplc="69009688">
      <w:start w:val="1"/>
      <w:numFmt w:val="lowerRoman"/>
      <w:lvlText w:val="%6."/>
      <w:lvlJc w:val="right"/>
      <w:pPr>
        <w:ind w:left="4320" w:hanging="180"/>
      </w:pPr>
    </w:lvl>
    <w:lvl w:ilvl="6" w:tplc="67F6AD62">
      <w:start w:val="1"/>
      <w:numFmt w:val="decimal"/>
      <w:lvlText w:val="%7."/>
      <w:lvlJc w:val="left"/>
      <w:pPr>
        <w:ind w:left="5040" w:hanging="360"/>
      </w:pPr>
    </w:lvl>
    <w:lvl w:ilvl="7" w:tplc="33EAFDFE">
      <w:start w:val="1"/>
      <w:numFmt w:val="lowerLetter"/>
      <w:lvlText w:val="%8."/>
      <w:lvlJc w:val="left"/>
      <w:pPr>
        <w:ind w:left="5760" w:hanging="360"/>
      </w:pPr>
    </w:lvl>
    <w:lvl w:ilvl="8" w:tplc="93546C50">
      <w:start w:val="1"/>
      <w:numFmt w:val="lowerRoman"/>
      <w:lvlText w:val="%9."/>
      <w:lvlJc w:val="right"/>
      <w:pPr>
        <w:ind w:left="6480" w:hanging="180"/>
      </w:pPr>
    </w:lvl>
  </w:abstractNum>
  <w:abstractNum w:abstractNumId="23" w15:restartNumberingAfterBreak="0">
    <w:nsid w:val="55AD0567"/>
    <w:multiLevelType w:val="hybridMultilevel"/>
    <w:tmpl w:val="5EEA9C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5AE2905"/>
    <w:multiLevelType w:val="hybridMultilevel"/>
    <w:tmpl w:val="DDD24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BA5014"/>
    <w:multiLevelType w:val="hybridMultilevel"/>
    <w:tmpl w:val="C4903DB4"/>
    <w:lvl w:ilvl="0" w:tplc="E7BA5B1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EC5EC0"/>
    <w:multiLevelType w:val="hybridMultilevel"/>
    <w:tmpl w:val="88D609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342784"/>
    <w:multiLevelType w:val="hybridMultilevel"/>
    <w:tmpl w:val="04E41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4EE6D2"/>
    <w:multiLevelType w:val="hybridMultilevel"/>
    <w:tmpl w:val="FFFFFFFF"/>
    <w:lvl w:ilvl="0" w:tplc="317CEF1E">
      <w:start w:val="1"/>
      <w:numFmt w:val="decimal"/>
      <w:lvlText w:val="%1."/>
      <w:lvlJc w:val="left"/>
      <w:pPr>
        <w:ind w:left="720" w:hanging="360"/>
      </w:pPr>
    </w:lvl>
    <w:lvl w:ilvl="1" w:tplc="D370FCEE">
      <w:start w:val="1"/>
      <w:numFmt w:val="lowerLetter"/>
      <w:lvlText w:val="%2."/>
      <w:lvlJc w:val="left"/>
      <w:pPr>
        <w:ind w:left="1440" w:hanging="360"/>
      </w:pPr>
    </w:lvl>
    <w:lvl w:ilvl="2" w:tplc="BE707956">
      <w:start w:val="1"/>
      <w:numFmt w:val="lowerRoman"/>
      <w:lvlText w:val="%3."/>
      <w:lvlJc w:val="right"/>
      <w:pPr>
        <w:ind w:left="2160" w:hanging="180"/>
      </w:pPr>
    </w:lvl>
    <w:lvl w:ilvl="3" w:tplc="42F2C322">
      <w:start w:val="1"/>
      <w:numFmt w:val="decimal"/>
      <w:lvlText w:val="%4."/>
      <w:lvlJc w:val="left"/>
      <w:pPr>
        <w:ind w:left="2880" w:hanging="360"/>
      </w:pPr>
    </w:lvl>
    <w:lvl w:ilvl="4" w:tplc="8B9A0EE2">
      <w:start w:val="1"/>
      <w:numFmt w:val="lowerLetter"/>
      <w:lvlText w:val="%5."/>
      <w:lvlJc w:val="left"/>
      <w:pPr>
        <w:ind w:left="3600" w:hanging="360"/>
      </w:pPr>
    </w:lvl>
    <w:lvl w:ilvl="5" w:tplc="791210C6">
      <w:start w:val="1"/>
      <w:numFmt w:val="lowerRoman"/>
      <w:lvlText w:val="%6."/>
      <w:lvlJc w:val="right"/>
      <w:pPr>
        <w:ind w:left="4320" w:hanging="180"/>
      </w:pPr>
    </w:lvl>
    <w:lvl w:ilvl="6" w:tplc="E508EC90">
      <w:start w:val="1"/>
      <w:numFmt w:val="decimal"/>
      <w:lvlText w:val="%7."/>
      <w:lvlJc w:val="left"/>
      <w:pPr>
        <w:ind w:left="5040" w:hanging="360"/>
      </w:pPr>
    </w:lvl>
    <w:lvl w:ilvl="7" w:tplc="ECB0D5FA">
      <w:start w:val="1"/>
      <w:numFmt w:val="lowerLetter"/>
      <w:lvlText w:val="%8."/>
      <w:lvlJc w:val="left"/>
      <w:pPr>
        <w:ind w:left="5760" w:hanging="360"/>
      </w:pPr>
    </w:lvl>
    <w:lvl w:ilvl="8" w:tplc="6568CC5E">
      <w:start w:val="1"/>
      <w:numFmt w:val="lowerRoman"/>
      <w:lvlText w:val="%9."/>
      <w:lvlJc w:val="right"/>
      <w:pPr>
        <w:ind w:left="6480" w:hanging="180"/>
      </w:pPr>
    </w:lvl>
  </w:abstractNum>
  <w:abstractNum w:abstractNumId="29" w15:restartNumberingAfterBreak="0">
    <w:nsid w:val="615275D6"/>
    <w:multiLevelType w:val="hybridMultilevel"/>
    <w:tmpl w:val="FFFFFFFF"/>
    <w:lvl w:ilvl="0" w:tplc="E7BA5B1C">
      <w:start w:val="1"/>
      <w:numFmt w:val="decimal"/>
      <w:lvlText w:val="%1."/>
      <w:lvlJc w:val="left"/>
      <w:pPr>
        <w:ind w:left="720" w:hanging="360"/>
      </w:pPr>
    </w:lvl>
    <w:lvl w:ilvl="1" w:tplc="D45AFBA4">
      <w:start w:val="1"/>
      <w:numFmt w:val="lowerLetter"/>
      <w:lvlText w:val="%2."/>
      <w:lvlJc w:val="left"/>
      <w:pPr>
        <w:ind w:left="1440" w:hanging="360"/>
      </w:pPr>
    </w:lvl>
    <w:lvl w:ilvl="2" w:tplc="700AB8BE">
      <w:start w:val="1"/>
      <w:numFmt w:val="lowerRoman"/>
      <w:lvlText w:val="%3."/>
      <w:lvlJc w:val="right"/>
      <w:pPr>
        <w:ind w:left="2160" w:hanging="180"/>
      </w:pPr>
    </w:lvl>
    <w:lvl w:ilvl="3" w:tplc="BFD83B96">
      <w:start w:val="1"/>
      <w:numFmt w:val="decimal"/>
      <w:lvlText w:val="%4."/>
      <w:lvlJc w:val="left"/>
      <w:pPr>
        <w:ind w:left="2880" w:hanging="360"/>
      </w:pPr>
    </w:lvl>
    <w:lvl w:ilvl="4" w:tplc="7E1692A8">
      <w:start w:val="1"/>
      <w:numFmt w:val="lowerLetter"/>
      <w:lvlText w:val="%5."/>
      <w:lvlJc w:val="left"/>
      <w:pPr>
        <w:ind w:left="3600" w:hanging="360"/>
      </w:pPr>
    </w:lvl>
    <w:lvl w:ilvl="5" w:tplc="9EC6AF5A">
      <w:start w:val="1"/>
      <w:numFmt w:val="lowerRoman"/>
      <w:lvlText w:val="%6."/>
      <w:lvlJc w:val="right"/>
      <w:pPr>
        <w:ind w:left="4320" w:hanging="180"/>
      </w:pPr>
    </w:lvl>
    <w:lvl w:ilvl="6" w:tplc="7AAECC08">
      <w:start w:val="1"/>
      <w:numFmt w:val="decimal"/>
      <w:lvlText w:val="%7."/>
      <w:lvlJc w:val="left"/>
      <w:pPr>
        <w:ind w:left="5040" w:hanging="360"/>
      </w:pPr>
    </w:lvl>
    <w:lvl w:ilvl="7" w:tplc="EED61804">
      <w:start w:val="1"/>
      <w:numFmt w:val="lowerLetter"/>
      <w:lvlText w:val="%8."/>
      <w:lvlJc w:val="left"/>
      <w:pPr>
        <w:ind w:left="5760" w:hanging="360"/>
      </w:pPr>
    </w:lvl>
    <w:lvl w:ilvl="8" w:tplc="9148F69E">
      <w:start w:val="1"/>
      <w:numFmt w:val="lowerRoman"/>
      <w:lvlText w:val="%9."/>
      <w:lvlJc w:val="right"/>
      <w:pPr>
        <w:ind w:left="6480" w:hanging="180"/>
      </w:pPr>
    </w:lvl>
  </w:abstractNum>
  <w:abstractNum w:abstractNumId="30"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1" w15:restartNumberingAfterBreak="0">
    <w:nsid w:val="6D634A5A"/>
    <w:multiLevelType w:val="hybridMultilevel"/>
    <w:tmpl w:val="3E7ED056"/>
    <w:lvl w:ilvl="0" w:tplc="E7BA5B1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E617C1"/>
    <w:multiLevelType w:val="hybridMultilevel"/>
    <w:tmpl w:val="447CC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B53935"/>
    <w:multiLevelType w:val="multilevel"/>
    <w:tmpl w:val="023ACC76"/>
    <w:lvl w:ilvl="0">
      <w:start w:val="1"/>
      <w:numFmt w:val="decimal"/>
      <w:lvlText w:val="%1."/>
      <w:lvlJc w:val="left"/>
      <w:pPr>
        <w:ind w:left="425" w:hanging="425"/>
      </w:pPr>
      <w:rPr>
        <w:rFonts w:hint="default"/>
      </w:rPr>
    </w:lvl>
    <w:lvl w:ilvl="1">
      <w:start w:val="1"/>
      <w:numFmt w:val="bullet"/>
      <w:lvlText w:val="­"/>
      <w:lvlJc w:val="left"/>
      <w:pPr>
        <w:ind w:left="785" w:hanging="360"/>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4" w15:restartNumberingAfterBreak="0">
    <w:nsid w:val="7E386F86"/>
    <w:multiLevelType w:val="multilevel"/>
    <w:tmpl w:val="1494F64E"/>
    <w:lvl w:ilvl="0">
      <w:start w:val="1"/>
      <w:numFmt w:val="decimal"/>
      <w:lvlText w:val="%1."/>
      <w:lvlJc w:val="left"/>
      <w:pPr>
        <w:ind w:left="425" w:hanging="425"/>
      </w:pPr>
      <w:rPr>
        <w:rFonts w:hint="default"/>
      </w:rPr>
    </w:lvl>
    <w:lvl w:ilvl="1">
      <w:start w:val="1"/>
      <w:numFmt w:val="bullet"/>
      <w:lvlText w:val="­"/>
      <w:lvlJc w:val="left"/>
      <w:pPr>
        <w:ind w:left="785" w:hanging="360"/>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8"/>
  </w:num>
  <w:num w:numId="2" w16cid:durableId="842209657">
    <w:abstractNumId w:val="4"/>
  </w:num>
  <w:num w:numId="3" w16cid:durableId="1971085616">
    <w:abstractNumId w:val="17"/>
  </w:num>
  <w:num w:numId="4" w16cid:durableId="252517802">
    <w:abstractNumId w:val="18"/>
  </w:num>
  <w:num w:numId="5" w16cid:durableId="258952063">
    <w:abstractNumId w:val="30"/>
  </w:num>
  <w:num w:numId="6" w16cid:durableId="681904122">
    <w:abstractNumId w:val="15"/>
  </w:num>
  <w:num w:numId="7" w16cid:durableId="836698820">
    <w:abstractNumId w:val="21"/>
  </w:num>
  <w:num w:numId="8" w16cid:durableId="913591473">
    <w:abstractNumId w:val="8"/>
  </w:num>
  <w:num w:numId="9" w16cid:durableId="1299334667">
    <w:abstractNumId w:val="23"/>
  </w:num>
  <w:num w:numId="10" w16cid:durableId="1341007181">
    <w:abstractNumId w:val="9"/>
  </w:num>
  <w:num w:numId="11" w16cid:durableId="628121742">
    <w:abstractNumId w:val="14"/>
  </w:num>
  <w:num w:numId="12" w16cid:durableId="1257639406">
    <w:abstractNumId w:val="3"/>
  </w:num>
  <w:num w:numId="13" w16cid:durableId="314918339">
    <w:abstractNumId w:val="22"/>
  </w:num>
  <w:num w:numId="14" w16cid:durableId="807556354">
    <w:abstractNumId w:val="28"/>
  </w:num>
  <w:num w:numId="15" w16cid:durableId="2087258239">
    <w:abstractNumId w:val="29"/>
  </w:num>
  <w:num w:numId="16" w16cid:durableId="635916516">
    <w:abstractNumId w:val="2"/>
  </w:num>
  <w:num w:numId="17" w16cid:durableId="1787653630">
    <w:abstractNumId w:val="0"/>
  </w:num>
  <w:num w:numId="18" w16cid:durableId="988286547">
    <w:abstractNumId w:val="16"/>
  </w:num>
  <w:num w:numId="19" w16cid:durableId="1436367553">
    <w:abstractNumId w:val="12"/>
  </w:num>
  <w:num w:numId="20" w16cid:durableId="531385314">
    <w:abstractNumId w:val="26"/>
  </w:num>
  <w:num w:numId="21" w16cid:durableId="722558465">
    <w:abstractNumId w:val="5"/>
  </w:num>
  <w:num w:numId="22" w16cid:durableId="173611754">
    <w:abstractNumId w:val="20"/>
  </w:num>
  <w:num w:numId="23" w16cid:durableId="1203710801">
    <w:abstractNumId w:val="32"/>
  </w:num>
  <w:num w:numId="24" w16cid:durableId="1411194817">
    <w:abstractNumId w:val="27"/>
  </w:num>
  <w:num w:numId="25" w16cid:durableId="1571308276">
    <w:abstractNumId w:val="24"/>
  </w:num>
  <w:num w:numId="26" w16cid:durableId="1083526409">
    <w:abstractNumId w:val="10"/>
  </w:num>
  <w:num w:numId="27" w16cid:durableId="1766148683">
    <w:abstractNumId w:val="25"/>
  </w:num>
  <w:num w:numId="28" w16cid:durableId="903102256">
    <w:abstractNumId w:val="19"/>
  </w:num>
  <w:num w:numId="29" w16cid:durableId="1314137117">
    <w:abstractNumId w:val="13"/>
  </w:num>
  <w:num w:numId="30" w16cid:durableId="725372455">
    <w:abstractNumId w:val="31"/>
  </w:num>
  <w:num w:numId="31" w16cid:durableId="1351106958">
    <w:abstractNumId w:val="7"/>
  </w:num>
  <w:num w:numId="32" w16cid:durableId="1970279933">
    <w:abstractNumId w:val="1"/>
  </w:num>
  <w:num w:numId="33" w16cid:durableId="3665632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5775299">
    <w:abstractNumId w:val="34"/>
  </w:num>
  <w:num w:numId="35" w16cid:durableId="1061940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82456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31588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18668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8538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83931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39436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9387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22088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1560365">
    <w:abstractNumId w:val="6"/>
  </w:num>
  <w:num w:numId="45" w16cid:durableId="1564564829">
    <w:abstractNumId w:val="33"/>
  </w:num>
  <w:num w:numId="46" w16cid:durableId="903225528">
    <w:abstractNumId w:val="11"/>
  </w:num>
  <w:num w:numId="47" w16cid:durableId="14951433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6522144">
    <w:abstractNumId w:val="30"/>
    <w:lvlOverride w:ilvl="0">
      <w:startOverride w:val="1"/>
    </w:lvlOverride>
  </w:num>
  <w:num w:numId="49" w16cid:durableId="1782070558">
    <w:abstractNumId w:val="3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67"/>
    <w:rsid w:val="00000822"/>
    <w:rsid w:val="00001458"/>
    <w:rsid w:val="00003728"/>
    <w:rsid w:val="00004B91"/>
    <w:rsid w:val="00006344"/>
    <w:rsid w:val="000068B9"/>
    <w:rsid w:val="000115AB"/>
    <w:rsid w:val="00012DA7"/>
    <w:rsid w:val="00014646"/>
    <w:rsid w:val="0001473F"/>
    <w:rsid w:val="00014D0A"/>
    <w:rsid w:val="00015018"/>
    <w:rsid w:val="00015D76"/>
    <w:rsid w:val="00020E5F"/>
    <w:rsid w:val="000246D6"/>
    <w:rsid w:val="00025C12"/>
    <w:rsid w:val="0003456D"/>
    <w:rsid w:val="000347FB"/>
    <w:rsid w:val="00035A11"/>
    <w:rsid w:val="00036249"/>
    <w:rsid w:val="000363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270D"/>
    <w:rsid w:val="00075506"/>
    <w:rsid w:val="00080F06"/>
    <w:rsid w:val="00080FC2"/>
    <w:rsid w:val="000825CF"/>
    <w:rsid w:val="00082C60"/>
    <w:rsid w:val="00082EB1"/>
    <w:rsid w:val="00083D66"/>
    <w:rsid w:val="000848B6"/>
    <w:rsid w:val="000858DB"/>
    <w:rsid w:val="000905E4"/>
    <w:rsid w:val="0009157D"/>
    <w:rsid w:val="00096D01"/>
    <w:rsid w:val="00097B63"/>
    <w:rsid w:val="00097F70"/>
    <w:rsid w:val="000A0C18"/>
    <w:rsid w:val="000A158C"/>
    <w:rsid w:val="000A3AA0"/>
    <w:rsid w:val="000A3F9B"/>
    <w:rsid w:val="000A4C7E"/>
    <w:rsid w:val="000A6268"/>
    <w:rsid w:val="000B04DE"/>
    <w:rsid w:val="000B4346"/>
    <w:rsid w:val="000B4DF9"/>
    <w:rsid w:val="000B6A88"/>
    <w:rsid w:val="000C00DA"/>
    <w:rsid w:val="000C09EC"/>
    <w:rsid w:val="000C36A3"/>
    <w:rsid w:val="000C3973"/>
    <w:rsid w:val="000C48B1"/>
    <w:rsid w:val="000C57C6"/>
    <w:rsid w:val="000C76AA"/>
    <w:rsid w:val="000D0A42"/>
    <w:rsid w:val="000D1E0F"/>
    <w:rsid w:val="000D1F50"/>
    <w:rsid w:val="000D713F"/>
    <w:rsid w:val="000D742A"/>
    <w:rsid w:val="000E058F"/>
    <w:rsid w:val="000E07C3"/>
    <w:rsid w:val="000E1D08"/>
    <w:rsid w:val="000E5739"/>
    <w:rsid w:val="000E7683"/>
    <w:rsid w:val="000E77F0"/>
    <w:rsid w:val="000F1AA3"/>
    <w:rsid w:val="000F1EB3"/>
    <w:rsid w:val="000F288B"/>
    <w:rsid w:val="000F300A"/>
    <w:rsid w:val="000F3A4B"/>
    <w:rsid w:val="000F5C20"/>
    <w:rsid w:val="000F79EA"/>
    <w:rsid w:val="0010164B"/>
    <w:rsid w:val="00107118"/>
    <w:rsid w:val="00110D97"/>
    <w:rsid w:val="00110E8E"/>
    <w:rsid w:val="00112DAD"/>
    <w:rsid w:val="00113B13"/>
    <w:rsid w:val="001171E4"/>
    <w:rsid w:val="0012007C"/>
    <w:rsid w:val="00120E2E"/>
    <w:rsid w:val="00121181"/>
    <w:rsid w:val="00122329"/>
    <w:rsid w:val="001232C3"/>
    <w:rsid w:val="00124715"/>
    <w:rsid w:val="001249F2"/>
    <w:rsid w:val="00124B00"/>
    <w:rsid w:val="00126471"/>
    <w:rsid w:val="00126ADF"/>
    <w:rsid w:val="00126BEE"/>
    <w:rsid w:val="00127D91"/>
    <w:rsid w:val="001324A3"/>
    <w:rsid w:val="00135EF0"/>
    <w:rsid w:val="0013675B"/>
    <w:rsid w:val="00136C50"/>
    <w:rsid w:val="00137347"/>
    <w:rsid w:val="00143C66"/>
    <w:rsid w:val="00144A90"/>
    <w:rsid w:val="00150C32"/>
    <w:rsid w:val="0015383D"/>
    <w:rsid w:val="00154D8C"/>
    <w:rsid w:val="001575C5"/>
    <w:rsid w:val="001600FA"/>
    <w:rsid w:val="001616DD"/>
    <w:rsid w:val="00161AE4"/>
    <w:rsid w:val="00161FDC"/>
    <w:rsid w:val="00162828"/>
    <w:rsid w:val="00164AA5"/>
    <w:rsid w:val="00166052"/>
    <w:rsid w:val="001660FE"/>
    <w:rsid w:val="00167C17"/>
    <w:rsid w:val="0017051B"/>
    <w:rsid w:val="00173EDD"/>
    <w:rsid w:val="00174ECE"/>
    <w:rsid w:val="00175212"/>
    <w:rsid w:val="00175FF8"/>
    <w:rsid w:val="00176595"/>
    <w:rsid w:val="001767CA"/>
    <w:rsid w:val="00180BE0"/>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6B71"/>
    <w:rsid w:val="00197F2E"/>
    <w:rsid w:val="001A0124"/>
    <w:rsid w:val="001A1DD6"/>
    <w:rsid w:val="001A2273"/>
    <w:rsid w:val="001B0DC3"/>
    <w:rsid w:val="001B1A6A"/>
    <w:rsid w:val="001B3430"/>
    <w:rsid w:val="001B41E3"/>
    <w:rsid w:val="001B5125"/>
    <w:rsid w:val="001C0F5C"/>
    <w:rsid w:val="001C108E"/>
    <w:rsid w:val="001C223C"/>
    <w:rsid w:val="001C24A7"/>
    <w:rsid w:val="001C263F"/>
    <w:rsid w:val="001C5958"/>
    <w:rsid w:val="001D12A9"/>
    <w:rsid w:val="001D140D"/>
    <w:rsid w:val="001D150B"/>
    <w:rsid w:val="001D195F"/>
    <w:rsid w:val="001D34CD"/>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05F"/>
    <w:rsid w:val="001F5AE3"/>
    <w:rsid w:val="001F656A"/>
    <w:rsid w:val="001F68D1"/>
    <w:rsid w:val="001F6D1A"/>
    <w:rsid w:val="001F6E03"/>
    <w:rsid w:val="002012D2"/>
    <w:rsid w:val="00201AF6"/>
    <w:rsid w:val="0020360D"/>
    <w:rsid w:val="0020612C"/>
    <w:rsid w:val="00211BFA"/>
    <w:rsid w:val="00212966"/>
    <w:rsid w:val="00212F1D"/>
    <w:rsid w:val="002140AE"/>
    <w:rsid w:val="00220DF1"/>
    <w:rsid w:val="0022138F"/>
    <w:rsid w:val="00225769"/>
    <w:rsid w:val="00225E3B"/>
    <w:rsid w:val="00227104"/>
    <w:rsid w:val="00230054"/>
    <w:rsid w:val="00234EE9"/>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67246"/>
    <w:rsid w:val="002700D3"/>
    <w:rsid w:val="0027262B"/>
    <w:rsid w:val="00274308"/>
    <w:rsid w:val="00275631"/>
    <w:rsid w:val="00280051"/>
    <w:rsid w:val="00280C5D"/>
    <w:rsid w:val="00281798"/>
    <w:rsid w:val="00281830"/>
    <w:rsid w:val="002827C4"/>
    <w:rsid w:val="00284C55"/>
    <w:rsid w:val="00284D13"/>
    <w:rsid w:val="00285E3C"/>
    <w:rsid w:val="00291A04"/>
    <w:rsid w:val="00292A6B"/>
    <w:rsid w:val="00293B6B"/>
    <w:rsid w:val="002945BA"/>
    <w:rsid w:val="00294B76"/>
    <w:rsid w:val="00294F1A"/>
    <w:rsid w:val="00295D79"/>
    <w:rsid w:val="0029655B"/>
    <w:rsid w:val="002A0163"/>
    <w:rsid w:val="002A157A"/>
    <w:rsid w:val="002A295E"/>
    <w:rsid w:val="002A5B59"/>
    <w:rsid w:val="002B034A"/>
    <w:rsid w:val="002B1ABB"/>
    <w:rsid w:val="002B2713"/>
    <w:rsid w:val="002B3511"/>
    <w:rsid w:val="002B3D19"/>
    <w:rsid w:val="002B3F13"/>
    <w:rsid w:val="002B434C"/>
    <w:rsid w:val="002B5D29"/>
    <w:rsid w:val="002C39F9"/>
    <w:rsid w:val="002C58B8"/>
    <w:rsid w:val="002C7500"/>
    <w:rsid w:val="002C75BC"/>
    <w:rsid w:val="002D0E71"/>
    <w:rsid w:val="002D1CA0"/>
    <w:rsid w:val="002D22CF"/>
    <w:rsid w:val="002D4BB3"/>
    <w:rsid w:val="002D502F"/>
    <w:rsid w:val="002D56A1"/>
    <w:rsid w:val="002D59A9"/>
    <w:rsid w:val="002D5A00"/>
    <w:rsid w:val="002D7682"/>
    <w:rsid w:val="002E1E63"/>
    <w:rsid w:val="002E1FA1"/>
    <w:rsid w:val="002E63E1"/>
    <w:rsid w:val="002E6515"/>
    <w:rsid w:val="002E6517"/>
    <w:rsid w:val="002E6687"/>
    <w:rsid w:val="002F2A26"/>
    <w:rsid w:val="002F63FF"/>
    <w:rsid w:val="002F6957"/>
    <w:rsid w:val="002F6CB3"/>
    <w:rsid w:val="002F7DE5"/>
    <w:rsid w:val="002F7DF1"/>
    <w:rsid w:val="003007EA"/>
    <w:rsid w:val="00300D5E"/>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3E75"/>
    <w:rsid w:val="00354558"/>
    <w:rsid w:val="00355144"/>
    <w:rsid w:val="00363564"/>
    <w:rsid w:val="0036465D"/>
    <w:rsid w:val="00372477"/>
    <w:rsid w:val="00372544"/>
    <w:rsid w:val="0037341B"/>
    <w:rsid w:val="00376B5F"/>
    <w:rsid w:val="00377AD9"/>
    <w:rsid w:val="00380288"/>
    <w:rsid w:val="003817A2"/>
    <w:rsid w:val="00382961"/>
    <w:rsid w:val="00385359"/>
    <w:rsid w:val="00385468"/>
    <w:rsid w:val="00390CE7"/>
    <w:rsid w:val="00390DAE"/>
    <w:rsid w:val="003912BA"/>
    <w:rsid w:val="00393C61"/>
    <w:rsid w:val="00393FF3"/>
    <w:rsid w:val="00395BBE"/>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4430"/>
    <w:rsid w:val="003C4CBC"/>
    <w:rsid w:val="003C5F3E"/>
    <w:rsid w:val="003C7810"/>
    <w:rsid w:val="003D10DD"/>
    <w:rsid w:val="003D1C0C"/>
    <w:rsid w:val="003D3B16"/>
    <w:rsid w:val="003D60E0"/>
    <w:rsid w:val="003D709B"/>
    <w:rsid w:val="003D7463"/>
    <w:rsid w:val="003E0103"/>
    <w:rsid w:val="003E040B"/>
    <w:rsid w:val="003E0A22"/>
    <w:rsid w:val="003E6229"/>
    <w:rsid w:val="003E727F"/>
    <w:rsid w:val="003E7D3D"/>
    <w:rsid w:val="003F01DF"/>
    <w:rsid w:val="003F2C18"/>
    <w:rsid w:val="003F675C"/>
    <w:rsid w:val="003F6C0E"/>
    <w:rsid w:val="00407C75"/>
    <w:rsid w:val="00411B14"/>
    <w:rsid w:val="00412C91"/>
    <w:rsid w:val="004132C5"/>
    <w:rsid w:val="00414064"/>
    <w:rsid w:val="00415DFF"/>
    <w:rsid w:val="00417745"/>
    <w:rsid w:val="00423CA6"/>
    <w:rsid w:val="00430454"/>
    <w:rsid w:val="00430EE6"/>
    <w:rsid w:val="004326A8"/>
    <w:rsid w:val="004328A4"/>
    <w:rsid w:val="00436B86"/>
    <w:rsid w:val="0043706A"/>
    <w:rsid w:val="004401B0"/>
    <w:rsid w:val="00441154"/>
    <w:rsid w:val="00441D90"/>
    <w:rsid w:val="00442224"/>
    <w:rsid w:val="004444EE"/>
    <w:rsid w:val="00445683"/>
    <w:rsid w:val="0044611A"/>
    <w:rsid w:val="004524CF"/>
    <w:rsid w:val="00452582"/>
    <w:rsid w:val="0045393A"/>
    <w:rsid w:val="00454812"/>
    <w:rsid w:val="004549FE"/>
    <w:rsid w:val="00454D38"/>
    <w:rsid w:val="00455C81"/>
    <w:rsid w:val="00455C86"/>
    <w:rsid w:val="00457272"/>
    <w:rsid w:val="00457D10"/>
    <w:rsid w:val="00457DCC"/>
    <w:rsid w:val="00461A18"/>
    <w:rsid w:val="00462060"/>
    <w:rsid w:val="00463C1A"/>
    <w:rsid w:val="00463EEC"/>
    <w:rsid w:val="004640FF"/>
    <w:rsid w:val="004648EC"/>
    <w:rsid w:val="00465490"/>
    <w:rsid w:val="004665FA"/>
    <w:rsid w:val="0047339B"/>
    <w:rsid w:val="00473FD3"/>
    <w:rsid w:val="004746B5"/>
    <w:rsid w:val="00474746"/>
    <w:rsid w:val="00474A6A"/>
    <w:rsid w:val="00475AAB"/>
    <w:rsid w:val="00477432"/>
    <w:rsid w:val="00480537"/>
    <w:rsid w:val="00480DA2"/>
    <w:rsid w:val="00481A6C"/>
    <w:rsid w:val="0048389D"/>
    <w:rsid w:val="00485D35"/>
    <w:rsid w:val="00486165"/>
    <w:rsid w:val="0049014C"/>
    <w:rsid w:val="00492356"/>
    <w:rsid w:val="004957A2"/>
    <w:rsid w:val="004A0201"/>
    <w:rsid w:val="004A178D"/>
    <w:rsid w:val="004A1C33"/>
    <w:rsid w:val="004A2ED0"/>
    <w:rsid w:val="004A7A7F"/>
    <w:rsid w:val="004B031B"/>
    <w:rsid w:val="004B365C"/>
    <w:rsid w:val="004B474F"/>
    <w:rsid w:val="004B7874"/>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D3F"/>
    <w:rsid w:val="004E2E2F"/>
    <w:rsid w:val="004E7A04"/>
    <w:rsid w:val="004E7CE8"/>
    <w:rsid w:val="004F1BEF"/>
    <w:rsid w:val="004F2430"/>
    <w:rsid w:val="004F2B91"/>
    <w:rsid w:val="004F3034"/>
    <w:rsid w:val="004F435E"/>
    <w:rsid w:val="004F6F84"/>
    <w:rsid w:val="00506C17"/>
    <w:rsid w:val="00506D24"/>
    <w:rsid w:val="005077D2"/>
    <w:rsid w:val="005118F6"/>
    <w:rsid w:val="0051350A"/>
    <w:rsid w:val="00517604"/>
    <w:rsid w:val="00517DA5"/>
    <w:rsid w:val="00517FA4"/>
    <w:rsid w:val="005216E4"/>
    <w:rsid w:val="00525801"/>
    <w:rsid w:val="00530642"/>
    <w:rsid w:val="00530F88"/>
    <w:rsid w:val="005313FD"/>
    <w:rsid w:val="00531C74"/>
    <w:rsid w:val="00532B1C"/>
    <w:rsid w:val="00532EB9"/>
    <w:rsid w:val="00533388"/>
    <w:rsid w:val="00534E1F"/>
    <w:rsid w:val="005351C6"/>
    <w:rsid w:val="005355BF"/>
    <w:rsid w:val="00537269"/>
    <w:rsid w:val="005412CE"/>
    <w:rsid w:val="005443C8"/>
    <w:rsid w:val="005451C5"/>
    <w:rsid w:val="0054683B"/>
    <w:rsid w:val="005479A1"/>
    <w:rsid w:val="00552527"/>
    <w:rsid w:val="005558E1"/>
    <w:rsid w:val="005564A4"/>
    <w:rsid w:val="0055674C"/>
    <w:rsid w:val="005606CB"/>
    <w:rsid w:val="00563265"/>
    <w:rsid w:val="00563FD8"/>
    <w:rsid w:val="00564817"/>
    <w:rsid w:val="0056512E"/>
    <w:rsid w:val="0056561D"/>
    <w:rsid w:val="00567861"/>
    <w:rsid w:val="005706E9"/>
    <w:rsid w:val="00570849"/>
    <w:rsid w:val="0057158C"/>
    <w:rsid w:val="00576416"/>
    <w:rsid w:val="005778BD"/>
    <w:rsid w:val="00577C65"/>
    <w:rsid w:val="00581121"/>
    <w:rsid w:val="005840B8"/>
    <w:rsid w:val="005851DD"/>
    <w:rsid w:val="005867DF"/>
    <w:rsid w:val="005900D8"/>
    <w:rsid w:val="005916F1"/>
    <w:rsid w:val="00592081"/>
    <w:rsid w:val="005A0348"/>
    <w:rsid w:val="005A1FA3"/>
    <w:rsid w:val="005A27C0"/>
    <w:rsid w:val="005A4691"/>
    <w:rsid w:val="005A74FF"/>
    <w:rsid w:val="005A7C67"/>
    <w:rsid w:val="005B194A"/>
    <w:rsid w:val="005B234E"/>
    <w:rsid w:val="005B3CDD"/>
    <w:rsid w:val="005B3D8A"/>
    <w:rsid w:val="005B3EC2"/>
    <w:rsid w:val="005C1D68"/>
    <w:rsid w:val="005C58FA"/>
    <w:rsid w:val="005C5F49"/>
    <w:rsid w:val="005C71BC"/>
    <w:rsid w:val="005D2629"/>
    <w:rsid w:val="005D4A78"/>
    <w:rsid w:val="005D54F1"/>
    <w:rsid w:val="005D5820"/>
    <w:rsid w:val="005E03EB"/>
    <w:rsid w:val="005E3D07"/>
    <w:rsid w:val="005E6B49"/>
    <w:rsid w:val="005E7252"/>
    <w:rsid w:val="005E7AA8"/>
    <w:rsid w:val="005F02C2"/>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17F9"/>
    <w:rsid w:val="006349C4"/>
    <w:rsid w:val="00635114"/>
    <w:rsid w:val="00636177"/>
    <w:rsid w:val="006361D0"/>
    <w:rsid w:val="00637BE8"/>
    <w:rsid w:val="00637C90"/>
    <w:rsid w:val="00637D76"/>
    <w:rsid w:val="006408BF"/>
    <w:rsid w:val="00640A07"/>
    <w:rsid w:val="0064271E"/>
    <w:rsid w:val="006431FF"/>
    <w:rsid w:val="0064333A"/>
    <w:rsid w:val="00643AF5"/>
    <w:rsid w:val="00644F89"/>
    <w:rsid w:val="006553EC"/>
    <w:rsid w:val="00655674"/>
    <w:rsid w:val="00656027"/>
    <w:rsid w:val="00656746"/>
    <w:rsid w:val="006623D2"/>
    <w:rsid w:val="00662E20"/>
    <w:rsid w:val="00663F5B"/>
    <w:rsid w:val="00665883"/>
    <w:rsid w:val="00666141"/>
    <w:rsid w:val="0067005A"/>
    <w:rsid w:val="00680130"/>
    <w:rsid w:val="006824E0"/>
    <w:rsid w:val="00684A68"/>
    <w:rsid w:val="00685883"/>
    <w:rsid w:val="00691C90"/>
    <w:rsid w:val="00692458"/>
    <w:rsid w:val="0069339B"/>
    <w:rsid w:val="0069388D"/>
    <w:rsid w:val="006A0160"/>
    <w:rsid w:val="006A31AB"/>
    <w:rsid w:val="006A44CE"/>
    <w:rsid w:val="006A5215"/>
    <w:rsid w:val="006B18B2"/>
    <w:rsid w:val="006B3640"/>
    <w:rsid w:val="006B61AC"/>
    <w:rsid w:val="006B6C90"/>
    <w:rsid w:val="006B7CA7"/>
    <w:rsid w:val="006C0039"/>
    <w:rsid w:val="006C1521"/>
    <w:rsid w:val="006C39B7"/>
    <w:rsid w:val="006C3C89"/>
    <w:rsid w:val="006C4E7E"/>
    <w:rsid w:val="006C7001"/>
    <w:rsid w:val="006C7362"/>
    <w:rsid w:val="006D0866"/>
    <w:rsid w:val="006D11DF"/>
    <w:rsid w:val="006D2547"/>
    <w:rsid w:val="006D3EF5"/>
    <w:rsid w:val="006D4519"/>
    <w:rsid w:val="006D47A7"/>
    <w:rsid w:val="006E0951"/>
    <w:rsid w:val="006E10A6"/>
    <w:rsid w:val="006E4456"/>
    <w:rsid w:val="006E462E"/>
    <w:rsid w:val="006E5856"/>
    <w:rsid w:val="006E635F"/>
    <w:rsid w:val="006E71A5"/>
    <w:rsid w:val="006E73F9"/>
    <w:rsid w:val="006E79D2"/>
    <w:rsid w:val="006F0585"/>
    <w:rsid w:val="006F47AA"/>
    <w:rsid w:val="006F73C8"/>
    <w:rsid w:val="00700549"/>
    <w:rsid w:val="00700B1E"/>
    <w:rsid w:val="00700B46"/>
    <w:rsid w:val="00702088"/>
    <w:rsid w:val="00702564"/>
    <w:rsid w:val="007033DE"/>
    <w:rsid w:val="00703CCF"/>
    <w:rsid w:val="00705460"/>
    <w:rsid w:val="00712F00"/>
    <w:rsid w:val="00717092"/>
    <w:rsid w:val="00721B04"/>
    <w:rsid w:val="00721E2A"/>
    <w:rsid w:val="00724D61"/>
    <w:rsid w:val="007268FF"/>
    <w:rsid w:val="007277AF"/>
    <w:rsid w:val="00735CAA"/>
    <w:rsid w:val="0073719C"/>
    <w:rsid w:val="00742E09"/>
    <w:rsid w:val="00745452"/>
    <w:rsid w:val="00745956"/>
    <w:rsid w:val="00746818"/>
    <w:rsid w:val="007469FA"/>
    <w:rsid w:val="00747FC4"/>
    <w:rsid w:val="00750520"/>
    <w:rsid w:val="00750A14"/>
    <w:rsid w:val="00752457"/>
    <w:rsid w:val="0075311C"/>
    <w:rsid w:val="0075415F"/>
    <w:rsid w:val="00754898"/>
    <w:rsid w:val="00754A51"/>
    <w:rsid w:val="0075730E"/>
    <w:rsid w:val="00760169"/>
    <w:rsid w:val="007606B4"/>
    <w:rsid w:val="00760845"/>
    <w:rsid w:val="007640E0"/>
    <w:rsid w:val="00766E67"/>
    <w:rsid w:val="00767373"/>
    <w:rsid w:val="007678AC"/>
    <w:rsid w:val="007705C6"/>
    <w:rsid w:val="00770769"/>
    <w:rsid w:val="0077225F"/>
    <w:rsid w:val="0077381E"/>
    <w:rsid w:val="00774042"/>
    <w:rsid w:val="007741B9"/>
    <w:rsid w:val="00774FDE"/>
    <w:rsid w:val="00775D89"/>
    <w:rsid w:val="00777EE3"/>
    <w:rsid w:val="007812CF"/>
    <w:rsid w:val="0078367D"/>
    <w:rsid w:val="00784CA8"/>
    <w:rsid w:val="00784D38"/>
    <w:rsid w:val="00785234"/>
    <w:rsid w:val="00786706"/>
    <w:rsid w:val="00794435"/>
    <w:rsid w:val="00794ACF"/>
    <w:rsid w:val="007A04A5"/>
    <w:rsid w:val="007A1603"/>
    <w:rsid w:val="007A3211"/>
    <w:rsid w:val="007A5A2D"/>
    <w:rsid w:val="007A682A"/>
    <w:rsid w:val="007A7F29"/>
    <w:rsid w:val="007B03DA"/>
    <w:rsid w:val="007B1A7B"/>
    <w:rsid w:val="007B3138"/>
    <w:rsid w:val="007B40DC"/>
    <w:rsid w:val="007B6F78"/>
    <w:rsid w:val="007B75F4"/>
    <w:rsid w:val="007C0A43"/>
    <w:rsid w:val="007C10BA"/>
    <w:rsid w:val="007C2324"/>
    <w:rsid w:val="007C2806"/>
    <w:rsid w:val="007C5C1B"/>
    <w:rsid w:val="007D3448"/>
    <w:rsid w:val="007E04CD"/>
    <w:rsid w:val="007E199F"/>
    <w:rsid w:val="007E35CF"/>
    <w:rsid w:val="007E4E9A"/>
    <w:rsid w:val="007E6EE6"/>
    <w:rsid w:val="007F29F8"/>
    <w:rsid w:val="007F2D82"/>
    <w:rsid w:val="007F43F2"/>
    <w:rsid w:val="007F48B2"/>
    <w:rsid w:val="007F4EF0"/>
    <w:rsid w:val="007F5CFF"/>
    <w:rsid w:val="007F6AAE"/>
    <w:rsid w:val="0081013E"/>
    <w:rsid w:val="00810C0D"/>
    <w:rsid w:val="008113B4"/>
    <w:rsid w:val="008114F0"/>
    <w:rsid w:val="00812FDB"/>
    <w:rsid w:val="00814D74"/>
    <w:rsid w:val="00814DE5"/>
    <w:rsid w:val="00820942"/>
    <w:rsid w:val="008248D1"/>
    <w:rsid w:val="0082586A"/>
    <w:rsid w:val="008261B4"/>
    <w:rsid w:val="00827EDE"/>
    <w:rsid w:val="00832EAB"/>
    <w:rsid w:val="008358B4"/>
    <w:rsid w:val="00835CAC"/>
    <w:rsid w:val="00842EF4"/>
    <w:rsid w:val="00843D15"/>
    <w:rsid w:val="00845AA0"/>
    <w:rsid w:val="008510FF"/>
    <w:rsid w:val="008521C9"/>
    <w:rsid w:val="008530BE"/>
    <w:rsid w:val="008540FA"/>
    <w:rsid w:val="00854CA8"/>
    <w:rsid w:val="008606A0"/>
    <w:rsid w:val="00861E1B"/>
    <w:rsid w:val="00863446"/>
    <w:rsid w:val="00863E4E"/>
    <w:rsid w:val="00867895"/>
    <w:rsid w:val="00875FE9"/>
    <w:rsid w:val="0087684F"/>
    <w:rsid w:val="00876CAC"/>
    <w:rsid w:val="008824DE"/>
    <w:rsid w:val="00885A76"/>
    <w:rsid w:val="00886079"/>
    <w:rsid w:val="00891F34"/>
    <w:rsid w:val="00895C04"/>
    <w:rsid w:val="008970B7"/>
    <w:rsid w:val="00897156"/>
    <w:rsid w:val="008A0530"/>
    <w:rsid w:val="008A1B21"/>
    <w:rsid w:val="008A32BD"/>
    <w:rsid w:val="008A335F"/>
    <w:rsid w:val="008A3DD8"/>
    <w:rsid w:val="008A3F85"/>
    <w:rsid w:val="008A47BD"/>
    <w:rsid w:val="008A51E8"/>
    <w:rsid w:val="008A5A89"/>
    <w:rsid w:val="008B0AC9"/>
    <w:rsid w:val="008B0F37"/>
    <w:rsid w:val="008B55D2"/>
    <w:rsid w:val="008B5697"/>
    <w:rsid w:val="008B5C21"/>
    <w:rsid w:val="008B791D"/>
    <w:rsid w:val="008C1C7C"/>
    <w:rsid w:val="008C208A"/>
    <w:rsid w:val="008D0538"/>
    <w:rsid w:val="008D0D9A"/>
    <w:rsid w:val="008D0ED4"/>
    <w:rsid w:val="008D2CA8"/>
    <w:rsid w:val="008D2DBD"/>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3CD0"/>
    <w:rsid w:val="0091437D"/>
    <w:rsid w:val="0091462B"/>
    <w:rsid w:val="009149B8"/>
    <w:rsid w:val="0091550B"/>
    <w:rsid w:val="0091658D"/>
    <w:rsid w:val="00917142"/>
    <w:rsid w:val="0091774D"/>
    <w:rsid w:val="00920EF6"/>
    <w:rsid w:val="00921C0B"/>
    <w:rsid w:val="00921FF8"/>
    <w:rsid w:val="00922A50"/>
    <w:rsid w:val="00923EC8"/>
    <w:rsid w:val="009258EA"/>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109"/>
    <w:rsid w:val="00953E59"/>
    <w:rsid w:val="00954B99"/>
    <w:rsid w:val="0095533A"/>
    <w:rsid w:val="0095646B"/>
    <w:rsid w:val="00957565"/>
    <w:rsid w:val="00957A99"/>
    <w:rsid w:val="00963E9A"/>
    <w:rsid w:val="00964D8D"/>
    <w:rsid w:val="00964EDA"/>
    <w:rsid w:val="00965A01"/>
    <w:rsid w:val="00965EA8"/>
    <w:rsid w:val="0096731B"/>
    <w:rsid w:val="0096785D"/>
    <w:rsid w:val="00970842"/>
    <w:rsid w:val="00971125"/>
    <w:rsid w:val="00971F4F"/>
    <w:rsid w:val="00972D70"/>
    <w:rsid w:val="0097363B"/>
    <w:rsid w:val="009746B1"/>
    <w:rsid w:val="009755D2"/>
    <w:rsid w:val="00975A13"/>
    <w:rsid w:val="0097765A"/>
    <w:rsid w:val="00977BFB"/>
    <w:rsid w:val="00982385"/>
    <w:rsid w:val="00982810"/>
    <w:rsid w:val="009850C8"/>
    <w:rsid w:val="009903CC"/>
    <w:rsid w:val="00995B1B"/>
    <w:rsid w:val="009A1396"/>
    <w:rsid w:val="009A2981"/>
    <w:rsid w:val="009A336D"/>
    <w:rsid w:val="009A5010"/>
    <w:rsid w:val="009A63B5"/>
    <w:rsid w:val="009A7037"/>
    <w:rsid w:val="009C11CF"/>
    <w:rsid w:val="009C13FA"/>
    <w:rsid w:val="009C2AB8"/>
    <w:rsid w:val="009C2AED"/>
    <w:rsid w:val="009C3490"/>
    <w:rsid w:val="009C3BB0"/>
    <w:rsid w:val="009C575D"/>
    <w:rsid w:val="009C72D3"/>
    <w:rsid w:val="009C7DE8"/>
    <w:rsid w:val="009D1FC0"/>
    <w:rsid w:val="009D2863"/>
    <w:rsid w:val="009D4238"/>
    <w:rsid w:val="009D493B"/>
    <w:rsid w:val="009D5E09"/>
    <w:rsid w:val="009D5EE5"/>
    <w:rsid w:val="009D5F1E"/>
    <w:rsid w:val="009D7580"/>
    <w:rsid w:val="009E00C4"/>
    <w:rsid w:val="009E0C7A"/>
    <w:rsid w:val="009E0E38"/>
    <w:rsid w:val="009E2B9F"/>
    <w:rsid w:val="009E31CD"/>
    <w:rsid w:val="009E53F4"/>
    <w:rsid w:val="009E59FA"/>
    <w:rsid w:val="009E67FD"/>
    <w:rsid w:val="009F2385"/>
    <w:rsid w:val="009F72C8"/>
    <w:rsid w:val="00A006D5"/>
    <w:rsid w:val="00A013F3"/>
    <w:rsid w:val="00A01509"/>
    <w:rsid w:val="00A02651"/>
    <w:rsid w:val="00A0337B"/>
    <w:rsid w:val="00A035E4"/>
    <w:rsid w:val="00A03809"/>
    <w:rsid w:val="00A0459A"/>
    <w:rsid w:val="00A0630B"/>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2730"/>
    <w:rsid w:val="00A42DD5"/>
    <w:rsid w:val="00A435C8"/>
    <w:rsid w:val="00A43F33"/>
    <w:rsid w:val="00A449B7"/>
    <w:rsid w:val="00A45D6C"/>
    <w:rsid w:val="00A470E3"/>
    <w:rsid w:val="00A513AA"/>
    <w:rsid w:val="00A6051F"/>
    <w:rsid w:val="00A60EED"/>
    <w:rsid w:val="00A621FE"/>
    <w:rsid w:val="00A6232E"/>
    <w:rsid w:val="00A64430"/>
    <w:rsid w:val="00A65C0A"/>
    <w:rsid w:val="00A66966"/>
    <w:rsid w:val="00A673D4"/>
    <w:rsid w:val="00A721C0"/>
    <w:rsid w:val="00A7294C"/>
    <w:rsid w:val="00A731B8"/>
    <w:rsid w:val="00A7517C"/>
    <w:rsid w:val="00A774B1"/>
    <w:rsid w:val="00A84013"/>
    <w:rsid w:val="00A84E3E"/>
    <w:rsid w:val="00A856B1"/>
    <w:rsid w:val="00A86197"/>
    <w:rsid w:val="00A875F3"/>
    <w:rsid w:val="00A9080B"/>
    <w:rsid w:val="00A90E16"/>
    <w:rsid w:val="00A94E61"/>
    <w:rsid w:val="00A957B0"/>
    <w:rsid w:val="00A96564"/>
    <w:rsid w:val="00A96584"/>
    <w:rsid w:val="00A96CD8"/>
    <w:rsid w:val="00A979FD"/>
    <w:rsid w:val="00AA15EB"/>
    <w:rsid w:val="00AA2D7A"/>
    <w:rsid w:val="00AA2E86"/>
    <w:rsid w:val="00AA3549"/>
    <w:rsid w:val="00AA5307"/>
    <w:rsid w:val="00AB3BAC"/>
    <w:rsid w:val="00AB4AD3"/>
    <w:rsid w:val="00AC0797"/>
    <w:rsid w:val="00AC1EC9"/>
    <w:rsid w:val="00AC2EDE"/>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0CE8"/>
    <w:rsid w:val="00B01322"/>
    <w:rsid w:val="00B024D9"/>
    <w:rsid w:val="00B03FFF"/>
    <w:rsid w:val="00B0502D"/>
    <w:rsid w:val="00B058EF"/>
    <w:rsid w:val="00B07F75"/>
    <w:rsid w:val="00B10AB7"/>
    <w:rsid w:val="00B1151B"/>
    <w:rsid w:val="00B1335F"/>
    <w:rsid w:val="00B1502D"/>
    <w:rsid w:val="00B15AD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2111"/>
    <w:rsid w:val="00B450AD"/>
    <w:rsid w:val="00B46B15"/>
    <w:rsid w:val="00B47F44"/>
    <w:rsid w:val="00B500E8"/>
    <w:rsid w:val="00B506B5"/>
    <w:rsid w:val="00B50E22"/>
    <w:rsid w:val="00B52163"/>
    <w:rsid w:val="00B55EF6"/>
    <w:rsid w:val="00B61582"/>
    <w:rsid w:val="00B6199E"/>
    <w:rsid w:val="00B6217E"/>
    <w:rsid w:val="00B625F2"/>
    <w:rsid w:val="00B627C5"/>
    <w:rsid w:val="00B63C3C"/>
    <w:rsid w:val="00B64367"/>
    <w:rsid w:val="00B64C8C"/>
    <w:rsid w:val="00B65F91"/>
    <w:rsid w:val="00B6769D"/>
    <w:rsid w:val="00B6772A"/>
    <w:rsid w:val="00B81778"/>
    <w:rsid w:val="00B83559"/>
    <w:rsid w:val="00B8375C"/>
    <w:rsid w:val="00B853F1"/>
    <w:rsid w:val="00B86A43"/>
    <w:rsid w:val="00B91976"/>
    <w:rsid w:val="00B92CED"/>
    <w:rsid w:val="00B94117"/>
    <w:rsid w:val="00B968C2"/>
    <w:rsid w:val="00BA028D"/>
    <w:rsid w:val="00BA1722"/>
    <w:rsid w:val="00BA36BE"/>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2C6B"/>
    <w:rsid w:val="00C15F4D"/>
    <w:rsid w:val="00C202F8"/>
    <w:rsid w:val="00C20D92"/>
    <w:rsid w:val="00C221C1"/>
    <w:rsid w:val="00C24670"/>
    <w:rsid w:val="00C247EA"/>
    <w:rsid w:val="00C25557"/>
    <w:rsid w:val="00C25969"/>
    <w:rsid w:val="00C32FD3"/>
    <w:rsid w:val="00C3347F"/>
    <w:rsid w:val="00C338D7"/>
    <w:rsid w:val="00C33B14"/>
    <w:rsid w:val="00C34A10"/>
    <w:rsid w:val="00C34F92"/>
    <w:rsid w:val="00C36B93"/>
    <w:rsid w:val="00C36F3E"/>
    <w:rsid w:val="00C37A4C"/>
    <w:rsid w:val="00C40538"/>
    <w:rsid w:val="00C40F37"/>
    <w:rsid w:val="00C43EF4"/>
    <w:rsid w:val="00C4612C"/>
    <w:rsid w:val="00C47732"/>
    <w:rsid w:val="00C508F4"/>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A0192"/>
    <w:rsid w:val="00CA43F1"/>
    <w:rsid w:val="00CA4FDE"/>
    <w:rsid w:val="00CA70E7"/>
    <w:rsid w:val="00CB228A"/>
    <w:rsid w:val="00CB2E17"/>
    <w:rsid w:val="00CB3056"/>
    <w:rsid w:val="00CB3987"/>
    <w:rsid w:val="00CB7E08"/>
    <w:rsid w:val="00CC4F4F"/>
    <w:rsid w:val="00CC5AD8"/>
    <w:rsid w:val="00CD214C"/>
    <w:rsid w:val="00CD434F"/>
    <w:rsid w:val="00CD6234"/>
    <w:rsid w:val="00CD6F9A"/>
    <w:rsid w:val="00CE1D90"/>
    <w:rsid w:val="00CE2446"/>
    <w:rsid w:val="00CE5F47"/>
    <w:rsid w:val="00CE6986"/>
    <w:rsid w:val="00CE78F5"/>
    <w:rsid w:val="00CF24D4"/>
    <w:rsid w:val="00CF3925"/>
    <w:rsid w:val="00CF67AF"/>
    <w:rsid w:val="00D01536"/>
    <w:rsid w:val="00D027B9"/>
    <w:rsid w:val="00D0489B"/>
    <w:rsid w:val="00D052B4"/>
    <w:rsid w:val="00D07A8B"/>
    <w:rsid w:val="00D10F72"/>
    <w:rsid w:val="00D17891"/>
    <w:rsid w:val="00D206E0"/>
    <w:rsid w:val="00D223CA"/>
    <w:rsid w:val="00D2257C"/>
    <w:rsid w:val="00D228B8"/>
    <w:rsid w:val="00D25E0F"/>
    <w:rsid w:val="00D27637"/>
    <w:rsid w:val="00D30343"/>
    <w:rsid w:val="00D36155"/>
    <w:rsid w:val="00D3635A"/>
    <w:rsid w:val="00D36920"/>
    <w:rsid w:val="00D36B09"/>
    <w:rsid w:val="00D40B08"/>
    <w:rsid w:val="00D41E94"/>
    <w:rsid w:val="00D434D3"/>
    <w:rsid w:val="00D4358F"/>
    <w:rsid w:val="00D443D7"/>
    <w:rsid w:val="00D44D86"/>
    <w:rsid w:val="00D5188B"/>
    <w:rsid w:val="00D520E7"/>
    <w:rsid w:val="00D52C98"/>
    <w:rsid w:val="00D53C66"/>
    <w:rsid w:val="00D56DA0"/>
    <w:rsid w:val="00D609A1"/>
    <w:rsid w:val="00D62793"/>
    <w:rsid w:val="00D627BE"/>
    <w:rsid w:val="00D6578B"/>
    <w:rsid w:val="00D65905"/>
    <w:rsid w:val="00D66BD3"/>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B9E"/>
    <w:rsid w:val="00D92CE7"/>
    <w:rsid w:val="00D931B6"/>
    <w:rsid w:val="00D95849"/>
    <w:rsid w:val="00D9595A"/>
    <w:rsid w:val="00D967DA"/>
    <w:rsid w:val="00D96A05"/>
    <w:rsid w:val="00D96ACC"/>
    <w:rsid w:val="00D974FB"/>
    <w:rsid w:val="00DA031B"/>
    <w:rsid w:val="00DA2042"/>
    <w:rsid w:val="00DA48F8"/>
    <w:rsid w:val="00DA5524"/>
    <w:rsid w:val="00DA60A4"/>
    <w:rsid w:val="00DB0295"/>
    <w:rsid w:val="00DB207B"/>
    <w:rsid w:val="00DB3285"/>
    <w:rsid w:val="00DB5138"/>
    <w:rsid w:val="00DB6108"/>
    <w:rsid w:val="00DC008F"/>
    <w:rsid w:val="00DD4464"/>
    <w:rsid w:val="00DD6074"/>
    <w:rsid w:val="00DD693A"/>
    <w:rsid w:val="00DE125D"/>
    <w:rsid w:val="00DE523E"/>
    <w:rsid w:val="00DE5620"/>
    <w:rsid w:val="00DE5C6B"/>
    <w:rsid w:val="00DE6056"/>
    <w:rsid w:val="00DE6090"/>
    <w:rsid w:val="00DF1CBC"/>
    <w:rsid w:val="00DF2334"/>
    <w:rsid w:val="00DF3EFE"/>
    <w:rsid w:val="00E00537"/>
    <w:rsid w:val="00E02685"/>
    <w:rsid w:val="00E0642F"/>
    <w:rsid w:val="00E104DF"/>
    <w:rsid w:val="00E1071C"/>
    <w:rsid w:val="00E17DC5"/>
    <w:rsid w:val="00E21634"/>
    <w:rsid w:val="00E25BA6"/>
    <w:rsid w:val="00E27141"/>
    <w:rsid w:val="00E272E4"/>
    <w:rsid w:val="00E31382"/>
    <w:rsid w:val="00E31596"/>
    <w:rsid w:val="00E33AB0"/>
    <w:rsid w:val="00E3510F"/>
    <w:rsid w:val="00E3663A"/>
    <w:rsid w:val="00E367AD"/>
    <w:rsid w:val="00E3733D"/>
    <w:rsid w:val="00E40792"/>
    <w:rsid w:val="00E41BFA"/>
    <w:rsid w:val="00E439A6"/>
    <w:rsid w:val="00E43DCB"/>
    <w:rsid w:val="00E4404A"/>
    <w:rsid w:val="00E44EF4"/>
    <w:rsid w:val="00E45226"/>
    <w:rsid w:val="00E45436"/>
    <w:rsid w:val="00E4557E"/>
    <w:rsid w:val="00E47EAF"/>
    <w:rsid w:val="00E55664"/>
    <w:rsid w:val="00E563D9"/>
    <w:rsid w:val="00E56F2D"/>
    <w:rsid w:val="00E5710E"/>
    <w:rsid w:val="00E63F4F"/>
    <w:rsid w:val="00E64DA3"/>
    <w:rsid w:val="00E679F9"/>
    <w:rsid w:val="00E7101C"/>
    <w:rsid w:val="00E710F2"/>
    <w:rsid w:val="00E71B70"/>
    <w:rsid w:val="00E72731"/>
    <w:rsid w:val="00E73A87"/>
    <w:rsid w:val="00E76C52"/>
    <w:rsid w:val="00E80B1C"/>
    <w:rsid w:val="00E86898"/>
    <w:rsid w:val="00E870E4"/>
    <w:rsid w:val="00E8796B"/>
    <w:rsid w:val="00E90C07"/>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3FEB"/>
    <w:rsid w:val="00ED4AAB"/>
    <w:rsid w:val="00EE0C5F"/>
    <w:rsid w:val="00EE0EBE"/>
    <w:rsid w:val="00EE285A"/>
    <w:rsid w:val="00EE3372"/>
    <w:rsid w:val="00EE44FA"/>
    <w:rsid w:val="00EE5549"/>
    <w:rsid w:val="00EE5A45"/>
    <w:rsid w:val="00EE6F7A"/>
    <w:rsid w:val="00EF1F94"/>
    <w:rsid w:val="00EF273A"/>
    <w:rsid w:val="00EF46D9"/>
    <w:rsid w:val="00EF6148"/>
    <w:rsid w:val="00EF7E3E"/>
    <w:rsid w:val="00F03A6B"/>
    <w:rsid w:val="00F04F4D"/>
    <w:rsid w:val="00F071B9"/>
    <w:rsid w:val="00F07604"/>
    <w:rsid w:val="00F109DA"/>
    <w:rsid w:val="00F11220"/>
    <w:rsid w:val="00F122F6"/>
    <w:rsid w:val="00F14625"/>
    <w:rsid w:val="00F15189"/>
    <w:rsid w:val="00F1598A"/>
    <w:rsid w:val="00F203A2"/>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22D7"/>
    <w:rsid w:val="00F658A9"/>
    <w:rsid w:val="00F664CB"/>
    <w:rsid w:val="00F71652"/>
    <w:rsid w:val="00F7432A"/>
    <w:rsid w:val="00F74407"/>
    <w:rsid w:val="00F764BE"/>
    <w:rsid w:val="00F77117"/>
    <w:rsid w:val="00F826D8"/>
    <w:rsid w:val="00F84AF1"/>
    <w:rsid w:val="00F86E9A"/>
    <w:rsid w:val="00F879C4"/>
    <w:rsid w:val="00F87D53"/>
    <w:rsid w:val="00F9196B"/>
    <w:rsid w:val="00F93A40"/>
    <w:rsid w:val="00F942C6"/>
    <w:rsid w:val="00F94451"/>
    <w:rsid w:val="00F9448A"/>
    <w:rsid w:val="00F947D6"/>
    <w:rsid w:val="00F94CDC"/>
    <w:rsid w:val="00F9579E"/>
    <w:rsid w:val="00F961BE"/>
    <w:rsid w:val="00FA029F"/>
    <w:rsid w:val="00FA16AF"/>
    <w:rsid w:val="00FA16F9"/>
    <w:rsid w:val="00FA4E6F"/>
    <w:rsid w:val="00FA5C1A"/>
    <w:rsid w:val="00FA6EFF"/>
    <w:rsid w:val="00FB0F2E"/>
    <w:rsid w:val="00FB3E04"/>
    <w:rsid w:val="00FB4F23"/>
    <w:rsid w:val="00FB6A67"/>
    <w:rsid w:val="00FB7092"/>
    <w:rsid w:val="00FC1860"/>
    <w:rsid w:val="00FC1B7F"/>
    <w:rsid w:val="00FC1F3B"/>
    <w:rsid w:val="00FC4A8E"/>
    <w:rsid w:val="00FC5679"/>
    <w:rsid w:val="00FC5688"/>
    <w:rsid w:val="00FD13BC"/>
    <w:rsid w:val="00FD3169"/>
    <w:rsid w:val="00FD4961"/>
    <w:rsid w:val="00FD7976"/>
    <w:rsid w:val="00FE0686"/>
    <w:rsid w:val="00FE46F1"/>
    <w:rsid w:val="00FE5081"/>
    <w:rsid w:val="00FE70A6"/>
    <w:rsid w:val="00FE7FF1"/>
    <w:rsid w:val="00FF0FE9"/>
    <w:rsid w:val="00FF248A"/>
    <w:rsid w:val="00FF3F96"/>
    <w:rsid w:val="00FF55B2"/>
    <w:rsid w:val="00FF674A"/>
    <w:rsid w:val="00FF680D"/>
    <w:rsid w:val="0EADC993"/>
    <w:rsid w:val="1026C39D"/>
    <w:rsid w:val="16FD7280"/>
    <w:rsid w:val="2AFF1D67"/>
    <w:rsid w:val="2F2DD53F"/>
    <w:rsid w:val="6D4F4F0A"/>
    <w:rsid w:val="75D826AF"/>
    <w:rsid w:val="7DA1D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22A1E48D"/>
  <w15:docId w15:val="{88E044F3-6EA0-46BD-A83A-443296CC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1D34CD"/>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1D34CD"/>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basedOn w:val="Normal"/>
    <w:uiPriority w:val="34"/>
    <w:locked/>
    <w:rsid w:val="001B5125"/>
    <w:pPr>
      <w:ind w:left="720"/>
      <w:contextualSpacing/>
    </w:pPr>
  </w:style>
  <w:style w:type="table" w:customStyle="1" w:styleId="GridTable4-Accent51">
    <w:name w:val="Grid Table 4 - Accent 51"/>
    <w:basedOn w:val="TableNormal"/>
    <w:next w:val="GridTable4-Accent5"/>
    <w:uiPriority w:val="49"/>
    <w:rsid w:val="006A44CE"/>
    <w:rPr>
      <w:rFonts w:ascii="Calibri" w:hAnsi="Calibri" w:cs="Times New Roman"/>
      <w:color w:val="auto"/>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5">
    <w:name w:val="Grid Table 4 Accent 5"/>
    <w:basedOn w:val="TableNormal"/>
    <w:uiPriority w:val="49"/>
    <w:locked/>
    <w:rsid w:val="006A44CE"/>
    <w:tblPr>
      <w:tblStyleRowBandSize w:val="1"/>
      <w:tblStyleColBandSize w:val="1"/>
      <w:tblBorders>
        <w:top w:val="single" w:sz="4" w:space="0" w:color="F6AAC8" w:themeColor="accent5" w:themeTint="99"/>
        <w:left w:val="single" w:sz="4" w:space="0" w:color="F6AAC8" w:themeColor="accent5" w:themeTint="99"/>
        <w:bottom w:val="single" w:sz="4" w:space="0" w:color="F6AAC8" w:themeColor="accent5" w:themeTint="99"/>
        <w:right w:val="single" w:sz="4" w:space="0" w:color="F6AAC8" w:themeColor="accent5" w:themeTint="99"/>
        <w:insideH w:val="single" w:sz="4" w:space="0" w:color="F6AAC8" w:themeColor="accent5" w:themeTint="99"/>
        <w:insideV w:val="single" w:sz="4" w:space="0" w:color="F6AAC8" w:themeColor="accent5" w:themeTint="99"/>
      </w:tblBorders>
    </w:tblPr>
    <w:tblStylePr w:type="firstRow">
      <w:rPr>
        <w:b/>
        <w:bCs/>
        <w:color w:val="FFFFFF" w:themeColor="background1"/>
      </w:rPr>
      <w:tblPr/>
      <w:tcPr>
        <w:tcBorders>
          <w:top w:val="single" w:sz="4" w:space="0" w:color="F172A4" w:themeColor="accent5"/>
          <w:left w:val="single" w:sz="4" w:space="0" w:color="F172A4" w:themeColor="accent5"/>
          <w:bottom w:val="single" w:sz="4" w:space="0" w:color="F172A4" w:themeColor="accent5"/>
          <w:right w:val="single" w:sz="4" w:space="0" w:color="F172A4" w:themeColor="accent5"/>
          <w:insideH w:val="nil"/>
          <w:insideV w:val="nil"/>
        </w:tcBorders>
        <w:shd w:val="clear" w:color="auto" w:fill="F172A4" w:themeFill="accent5"/>
      </w:tcPr>
    </w:tblStylePr>
    <w:tblStylePr w:type="lastRow">
      <w:rPr>
        <w:b/>
        <w:bCs/>
      </w:rPr>
      <w:tblPr/>
      <w:tcPr>
        <w:tcBorders>
          <w:top w:val="double" w:sz="4" w:space="0" w:color="F172A4" w:themeColor="accent5"/>
        </w:tcBorders>
      </w:tcPr>
    </w:tblStylePr>
    <w:tblStylePr w:type="firstCol">
      <w:rPr>
        <w:b/>
        <w:bCs/>
      </w:rPr>
    </w:tblStylePr>
    <w:tblStylePr w:type="lastCol">
      <w:rPr>
        <w:b/>
        <w:bCs/>
      </w:rPr>
    </w:tblStylePr>
    <w:tblStylePr w:type="band1Vert">
      <w:tblPr/>
      <w:tcPr>
        <w:shd w:val="clear" w:color="auto" w:fill="FCE2EC" w:themeFill="accent5" w:themeFillTint="33"/>
      </w:tcPr>
    </w:tblStylePr>
    <w:tblStylePr w:type="band1Horz">
      <w:tblPr/>
      <w:tcPr>
        <w:shd w:val="clear" w:color="auto" w:fill="FCE2EC"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browse/section100-hb"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doi.org/10.1016/j.prdoa.2024.1002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pp.emims.plus/medicineview?id=22b242e5-61d8-4e9f-8364-aa29011e9b0c&amp;type=fullpi" TargetMode="External"/><Relationship Id="rId14" Type="http://schemas.openxmlformats.org/officeDocument/2006/relationships/hyperlink" Target="https://www.canberrahealthservices.act.gov.au/accessibili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58B44D2D7242CFA0BFBC577D36DFA7"/>
        <w:category>
          <w:name w:val="General"/>
          <w:gallery w:val="placeholder"/>
        </w:category>
        <w:types>
          <w:type w:val="bbPlcHdr"/>
        </w:types>
        <w:behaviors>
          <w:behavior w:val="content"/>
        </w:behaviors>
        <w:guid w:val="{42482EED-19CF-4A6C-8581-FE90C7BF04C9}"/>
      </w:docPartPr>
      <w:docPartBody>
        <w:p w:rsidR="00EA0F03" w:rsidRDefault="00EA0F03" w:rsidP="00EA0F03">
          <w:pPr>
            <w:pStyle w:val="A558B44D2D7242CFA0BFBC577D36DFA7"/>
          </w:pPr>
          <w:r>
            <w:rPr>
              <w:noProof/>
              <w:sz w:val="20"/>
              <w:szCs w:val="20"/>
            </w:rPr>
            <w:drawing>
              <wp:inline distT="0" distB="0" distL="0" distR="0" wp14:anchorId="581625FF" wp14:editId="64BC969B">
                <wp:extent cx="282575" cy="285750"/>
                <wp:effectExtent l="0" t="0" r="3175" b="0"/>
                <wp:docPr id="194625917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261126801EF84004A632D1EBFD088689"/>
        <w:category>
          <w:name w:val="General"/>
          <w:gallery w:val="placeholder"/>
        </w:category>
        <w:types>
          <w:type w:val="bbPlcHdr"/>
        </w:types>
        <w:behaviors>
          <w:behavior w:val="content"/>
        </w:behaviors>
        <w:guid w:val="{63668894-C165-490E-B631-93CF49E2F452}"/>
      </w:docPartPr>
      <w:docPartBody>
        <w:p w:rsidR="00EA0F03" w:rsidRDefault="00EA0F03" w:rsidP="00EA0F03">
          <w:pPr>
            <w:pStyle w:val="261126801EF84004A632D1EBFD088689"/>
          </w:pPr>
          <w:r w:rsidRPr="00EE29F8">
            <w:rPr>
              <w:rStyle w:val="PlaceholderText"/>
            </w:rPr>
            <w:t>Choose an item.</w:t>
          </w:r>
        </w:p>
      </w:docPartBody>
    </w:docPart>
    <w:docPart>
      <w:docPartPr>
        <w:name w:val="B4E09A8932AC46859011F1FD91D1A22B"/>
        <w:category>
          <w:name w:val="General"/>
          <w:gallery w:val="placeholder"/>
        </w:category>
        <w:types>
          <w:type w:val="bbPlcHdr"/>
        </w:types>
        <w:behaviors>
          <w:behavior w:val="content"/>
        </w:behaviors>
        <w:guid w:val="{19813061-84EC-434E-B8FB-A10B1F641905}"/>
      </w:docPartPr>
      <w:docPartBody>
        <w:p w:rsidR="00EA0F03" w:rsidRPr="00F26C97" w:rsidRDefault="00EA0F03" w:rsidP="003B0E72">
          <w:pPr>
            <w:pStyle w:val="Bottomblocktext"/>
            <w:rPr>
              <w:b/>
              <w:bCs w:val="0"/>
              <w:sz w:val="20"/>
              <w:szCs w:val="20"/>
            </w:rPr>
          </w:pPr>
          <w:r>
            <w:rPr>
              <w:b/>
              <w:bCs w:val="0"/>
              <w:noProof/>
              <w:sz w:val="20"/>
              <w:szCs w:val="20"/>
            </w:rPr>
            <w:drawing>
              <wp:inline distT="0" distB="0" distL="0" distR="0" wp14:anchorId="72EB2D17" wp14:editId="432DC856">
                <wp:extent cx="338275" cy="331065"/>
                <wp:effectExtent l="0" t="0" r="5080" b="0"/>
                <wp:docPr id="1472357668"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E6B642E" wp14:editId="08EF29DB">
                <wp:extent cx="143919" cy="139700"/>
                <wp:effectExtent l="0" t="0" r="8890" b="0"/>
                <wp:docPr id="620709684"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EA0F03" w:rsidRPr="00F26C97" w:rsidRDefault="00EA0F03" w:rsidP="003B0E72">
          <w:pPr>
            <w:pStyle w:val="Bottomblocktext"/>
            <w:rPr>
              <w:b/>
              <w:bCs w:val="0"/>
              <w:sz w:val="20"/>
              <w:szCs w:val="20"/>
            </w:rPr>
          </w:pPr>
          <w:r>
            <w:rPr>
              <w:b/>
              <w:bCs w:val="0"/>
              <w:noProof/>
              <w:sz w:val="20"/>
              <w:szCs w:val="20"/>
            </w:rPr>
            <w:drawing>
              <wp:inline distT="0" distB="0" distL="0" distR="0" wp14:anchorId="5A2574AC" wp14:editId="69F9DA93">
                <wp:extent cx="326104" cy="323850"/>
                <wp:effectExtent l="0" t="0" r="0" b="0"/>
                <wp:docPr id="131078795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1432F6A" wp14:editId="797ED291">
                <wp:extent cx="143919" cy="139700"/>
                <wp:effectExtent l="0" t="0" r="8890" b="0"/>
                <wp:docPr id="1184738354"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EA0F03" w:rsidRDefault="00EA0F03" w:rsidP="003B0E72">
          <w:pPr>
            <w:pStyle w:val="Bottomblocktext"/>
            <w:rPr>
              <w:sz w:val="20"/>
              <w:szCs w:val="20"/>
            </w:rPr>
          </w:pPr>
          <w:hyperlink r:id="rId8" w:history="1">
            <w:r w:rsidRPr="00350211">
              <w:rPr>
                <w:rStyle w:val="Hyperlink"/>
                <w:sz w:val="20"/>
                <w:szCs w:val="20"/>
              </w:rPr>
              <w:t>canberrahealthservices.act.gov.au/accessibility</w:t>
            </w:r>
          </w:hyperlink>
        </w:p>
        <w:p w:rsidR="00EA0F03" w:rsidRDefault="00EA0F03" w:rsidP="00EA0F03">
          <w:pPr>
            <w:pStyle w:val="B4E09A8932AC46859011F1FD91D1A22B"/>
          </w:pPr>
          <w:r>
            <w:rPr>
              <w:b/>
              <w:bCs/>
              <w:noProof/>
            </w:rPr>
            <w:drawing>
              <wp:inline distT="0" distB="0" distL="0" distR="0" wp14:anchorId="1160F572" wp14:editId="4FB4D820">
                <wp:extent cx="1323833" cy="309418"/>
                <wp:effectExtent l="0" t="0" r="0" b="0"/>
                <wp:docPr id="1426707930"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4C"/>
    <w:rsid w:val="00020E5F"/>
    <w:rsid w:val="00117222"/>
    <w:rsid w:val="00180DF4"/>
    <w:rsid w:val="00196B71"/>
    <w:rsid w:val="001A71E4"/>
    <w:rsid w:val="001E774C"/>
    <w:rsid w:val="00267246"/>
    <w:rsid w:val="002D502F"/>
    <w:rsid w:val="003174FF"/>
    <w:rsid w:val="004B7874"/>
    <w:rsid w:val="004F3D6E"/>
    <w:rsid w:val="00506C17"/>
    <w:rsid w:val="005851DD"/>
    <w:rsid w:val="005F61C4"/>
    <w:rsid w:val="0069339B"/>
    <w:rsid w:val="008A32BD"/>
    <w:rsid w:val="00980FB9"/>
    <w:rsid w:val="009E67FD"/>
    <w:rsid w:val="009F2385"/>
    <w:rsid w:val="00A12CD8"/>
    <w:rsid w:val="00A874E5"/>
    <w:rsid w:val="00AD11FC"/>
    <w:rsid w:val="00AE0449"/>
    <w:rsid w:val="00B42111"/>
    <w:rsid w:val="00BC122F"/>
    <w:rsid w:val="00C307F4"/>
    <w:rsid w:val="00C523F8"/>
    <w:rsid w:val="00D123FD"/>
    <w:rsid w:val="00D82AF7"/>
    <w:rsid w:val="00E1326B"/>
    <w:rsid w:val="00E33AB0"/>
    <w:rsid w:val="00E865AF"/>
    <w:rsid w:val="00EA0F03"/>
    <w:rsid w:val="00EC7A73"/>
    <w:rsid w:val="00F019A8"/>
    <w:rsid w:val="00FA6A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F03"/>
    <w:rPr>
      <w:color w:val="808080"/>
    </w:rPr>
  </w:style>
  <w:style w:type="character" w:styleId="Hyperlink">
    <w:name w:val="Hyperlink"/>
    <w:uiPriority w:val="99"/>
    <w:rsid w:val="00EA0F03"/>
    <w:rPr>
      <w:color w:val="auto"/>
      <w:u w:val="single"/>
    </w:rPr>
  </w:style>
  <w:style w:type="paragraph" w:customStyle="1" w:styleId="Bottomblocktext">
    <w:name w:val="Bottom block text"/>
    <w:basedOn w:val="Normal"/>
    <w:uiPriority w:val="99"/>
    <w:rsid w:val="00EA0F03"/>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A558B44D2D7242CFA0BFBC577D36DFA7">
    <w:name w:val="A558B44D2D7242CFA0BFBC577D36DFA7"/>
    <w:rsid w:val="00EA0F03"/>
  </w:style>
  <w:style w:type="paragraph" w:customStyle="1" w:styleId="261126801EF84004A632D1EBFD088689">
    <w:name w:val="261126801EF84004A632D1EBFD088689"/>
    <w:rsid w:val="00EA0F03"/>
  </w:style>
  <w:style w:type="paragraph" w:customStyle="1" w:styleId="B4E09A8932AC46859011F1FD91D1A22B">
    <w:name w:val="B4E09A8932AC46859011F1FD91D1A22B"/>
    <w:rsid w:val="00EA0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2026-02-26T13:00:00+00:00</Approval_x0020_Date>
    <Review_x0020_Date xmlns="690b2128-8961-48af-a473-22c34a9accba">2030-02-28T13:00:00+00:00</Review_x0020_Date>
    <TaxCatchAll xmlns="c0239a80-7f07-4ed7-82c3-24ad7d76ada5">
      <Value>432</Value>
      <Value>417</Value>
      <Value>416</Value>
      <Value>415</Value>
    </TaxCatchAll>
    <Version_x0020_Number xmlns="690b2128-8961-48af-a473-22c34a9accba">1</Version_x0020_Number>
    <Notes0 xmlns="690b2128-8961-48af-a473-22c34a9accba" xsi:nil="true"/>
    <Key_x0020_Words xmlns="690b2128-8961-48af-a473-22c34a9accba">Parkinson’s disease, pharmaceutical therapy, advanced therapy, apomorphine, Foslevodopa/ foscarbidopa, Vyalev</Key_x0020_Words>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CHS23/328	Apomorphine – Treatment Guidelines for Initiation, Administration and Monitoring of Adults with Parkinson’s Disease</Replaces_x003a_>
    <ISD_x0020_Submitted xmlns="690b2128-8961-48af-a473-22c34a9accba">Not Required</ISD_x0020_Submitted>
    <Risk_x0020_Rating xmlns="690b2128-8961-48af-a473-22c34a9accba">Medium</Risk_x0020_Rating>
    <Description0 xmlns="690b2128-8961-48af-a473-22c34a9accba">The purpose of this procedure is to provide clinicians with information on the care of patients commencing on advanced pharmaceutical therapies for the treatment of advanced Parkinson’s Disease (PD) at Canberra Hospital.</Description0>
    <Display_x0020_on_x0020_Internet xmlns="690b2128-8961-48af-a473-22c34a9accba">true</Display_x0020_on_x0020_Internet>
    <Related_x0020_Documents xmlns="690b2128-8961-48af-a473-22c34a9accba" xsi:nil="true"/>
    <Decision_x0020_Number xmlns="690b2128-8961-48af-a473-22c34a9accba">CHS26/062</Decision_x0020_Number>
    <RelatedPolicies_x002c_ProceduresGuidelines xmlns="690b2128-8961-48af-a473-22c34a9accba">
      <Value>17800</Value>
      <Value>18123</Value>
      <Value>16471</Value>
      <Value>16035</Value>
      <Value>18119</Value>
      <Value>17628</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Medicine - Neurology</New_x0020_Owner>
  </documentManagement>
</p:properties>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91F0FCD8-8834-4F9F-AE80-0D1A2C2818F3}"/>
</file>

<file path=customXml/itemProps3.xml><?xml version="1.0" encoding="utf-8"?>
<ds:datastoreItem xmlns:ds="http://schemas.openxmlformats.org/officeDocument/2006/customXml" ds:itemID="{D5A1A9B2-3107-48A4-99B8-F1B1C22A3FD2}"/>
</file>

<file path=customXml/itemProps4.xml><?xml version="1.0" encoding="utf-8"?>
<ds:datastoreItem xmlns:ds="http://schemas.openxmlformats.org/officeDocument/2006/customXml" ds:itemID="{28A88EC6-B0E2-4813-A697-2D317DCD3A0A}"/>
</file>

<file path=docProps/app.xml><?xml version="1.0" encoding="utf-8"?>
<Properties xmlns="http://schemas.openxmlformats.org/officeDocument/2006/extended-properties" xmlns:vt="http://schemas.openxmlformats.org/officeDocument/2006/docPropsVTypes">
  <Template>Normal</Template>
  <TotalTime>8</TotalTime>
  <Pages>22</Pages>
  <Words>4591</Words>
  <Characters>26173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Pharmaceutical Therapies for Adults with Parkinsons Disease – Canberra Hospital</dc:title>
  <dc:creator>Snodin, Anna</dc:creator>
  <cp:lastModifiedBy>Rusanov, Zoia</cp:lastModifiedBy>
  <cp:revision>3</cp:revision>
  <dcterms:created xsi:type="dcterms:W3CDTF">2026-02-27T00:46:00Z</dcterms:created>
  <dcterms:modified xsi:type="dcterms:W3CDTF">2026-02-27T03:19:00Z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2026-02-18T22:26:36Z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283865cc-a8ee-4160-b3f4-34f7fce39674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ontentTypeId">
    <vt:lpwstr>0x0101002046B23B19A8774893278BE755DCE152</vt:lpwstr>
  </property>
  <property fmtid="{D5CDD505-2E9C-101B-9397-08002B2CF9AE}" pid="11"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2"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