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2ECA" w14:textId="77777777" w:rsidR="00655B88" w:rsidRPr="00DA3910" w:rsidRDefault="00655B88" w:rsidP="00655B88">
      <w:pPr>
        <w:rPr>
          <w:rFonts w:cs="Arial"/>
          <w:b/>
          <w:sz w:val="40"/>
          <w:szCs w:val="40"/>
        </w:rPr>
      </w:pPr>
      <w:r w:rsidRPr="00DA3910">
        <w:rPr>
          <w:rFonts w:cs="Arial"/>
          <w:b/>
          <w:sz w:val="40"/>
          <w:szCs w:val="40"/>
        </w:rPr>
        <w:t>Canberra Health Services</w:t>
      </w:r>
    </w:p>
    <w:p w14:paraId="40C2E58E" w14:textId="4F93BD8E" w:rsidR="00655B88" w:rsidRPr="00DA3910" w:rsidRDefault="00655B88" w:rsidP="00655B88">
      <w:pPr>
        <w:rPr>
          <w:rFonts w:cs="Arial"/>
          <w:b/>
          <w:sz w:val="40"/>
          <w:szCs w:val="40"/>
        </w:rPr>
      </w:pPr>
      <w:r>
        <w:rPr>
          <w:rFonts w:cs="Arial"/>
          <w:b/>
          <w:sz w:val="40"/>
          <w:szCs w:val="40"/>
        </w:rPr>
        <w:t>Guideline</w:t>
      </w:r>
    </w:p>
    <w:p w14:paraId="0FED6130" w14:textId="77777777" w:rsidR="00655B88" w:rsidRDefault="00655B88" w:rsidP="00655B88">
      <w:pPr>
        <w:rPr>
          <w:rFonts w:cs="Arial"/>
          <w:b/>
          <w:sz w:val="36"/>
          <w:szCs w:val="36"/>
        </w:rPr>
      </w:pPr>
      <w:r w:rsidRPr="00FB69FC">
        <w:rPr>
          <w:rFonts w:cs="Arial"/>
          <w:b/>
          <w:iCs/>
          <w:sz w:val="36"/>
          <w:szCs w:val="36"/>
        </w:rPr>
        <w:t>Definitive and Postoperative Stereotactic Radiosurgery for Brain Metastasis(es</w:t>
      </w:r>
      <w:r>
        <w:rPr>
          <w:rFonts w:cs="Arial"/>
          <w:b/>
          <w:i/>
          <w:sz w:val="36"/>
          <w:szCs w:val="36"/>
        </w:rPr>
        <w:t>)</w:t>
      </w:r>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098739EC" w14:textId="77777777" w:rsidTr="007546A2">
        <w:trPr>
          <w:cantSplit/>
          <w:trHeight w:val="285"/>
        </w:trPr>
        <w:tc>
          <w:tcPr>
            <w:tcW w:w="9158" w:type="dxa"/>
            <w:shd w:val="clear" w:color="auto" w:fill="D9D9D9" w:themeFill="background1" w:themeFillShade="D9"/>
          </w:tcPr>
          <w:p w14:paraId="20B637CB" w14:textId="77777777" w:rsidR="00655B88" w:rsidRPr="00CD1C0E" w:rsidRDefault="00655B88" w:rsidP="007546A2">
            <w:pPr>
              <w:pStyle w:val="Heading1"/>
            </w:pPr>
            <w:bookmarkStart w:id="0" w:name="_Toc389473273"/>
            <w:bookmarkStart w:id="1" w:name="_Toc393203330"/>
            <w:bookmarkStart w:id="2" w:name="Contents"/>
            <w:bookmarkStart w:id="3" w:name="_Toc116641210"/>
            <w:r w:rsidRPr="00CD1C0E">
              <w:t>Contents</w:t>
            </w:r>
            <w:bookmarkEnd w:id="0"/>
            <w:bookmarkEnd w:id="1"/>
            <w:bookmarkEnd w:id="2"/>
            <w:bookmarkEnd w:id="3"/>
          </w:p>
        </w:tc>
      </w:tr>
    </w:tbl>
    <w:p w14:paraId="23C5B7AD" w14:textId="77777777" w:rsidR="00655B88" w:rsidRDefault="00655B88" w:rsidP="00655B88"/>
    <w:p w14:paraId="38994204" w14:textId="0AE96D74" w:rsidR="00FB69FC" w:rsidRDefault="00655B88">
      <w:pPr>
        <w:pStyle w:val="TOC1"/>
        <w:tabs>
          <w:tab w:val="right" w:leader="dot" w:pos="9060"/>
        </w:tabs>
        <w:rPr>
          <w:rFonts w:eastAsiaTheme="minorEastAsia" w:cstheme="minorBidi"/>
          <w:noProof/>
          <w:sz w:val="22"/>
          <w:szCs w:val="22"/>
          <w:lang w:eastAsia="en-AU"/>
        </w:rPr>
      </w:pPr>
      <w:r w:rsidRPr="00264C63">
        <w:rPr>
          <w:rFonts w:cs="Arial"/>
          <w:b/>
          <w:sz w:val="36"/>
          <w:szCs w:val="36"/>
        </w:rPr>
        <w:fldChar w:fldCharType="begin"/>
      </w:r>
      <w:r w:rsidRPr="00264C63">
        <w:rPr>
          <w:rFonts w:cs="Arial"/>
          <w:b/>
          <w:sz w:val="36"/>
          <w:szCs w:val="36"/>
        </w:rPr>
        <w:instrText xml:space="preserve"> TOC \h \z \t "Heading 1,1" </w:instrText>
      </w:r>
      <w:r w:rsidRPr="00264C63">
        <w:rPr>
          <w:rFonts w:cs="Arial"/>
          <w:b/>
          <w:sz w:val="36"/>
          <w:szCs w:val="36"/>
        </w:rPr>
        <w:fldChar w:fldCharType="separate"/>
      </w:r>
      <w:hyperlink w:anchor="_Toc116641210" w:history="1">
        <w:r w:rsidR="00FB69FC" w:rsidRPr="00D515FD">
          <w:rPr>
            <w:rStyle w:val="Hyperlink"/>
            <w:noProof/>
          </w:rPr>
          <w:t>Contents</w:t>
        </w:r>
        <w:r w:rsidR="00FB69FC">
          <w:rPr>
            <w:noProof/>
            <w:webHidden/>
          </w:rPr>
          <w:tab/>
        </w:r>
        <w:r w:rsidR="00FB69FC">
          <w:rPr>
            <w:noProof/>
            <w:webHidden/>
          </w:rPr>
          <w:fldChar w:fldCharType="begin"/>
        </w:r>
        <w:r w:rsidR="00FB69FC">
          <w:rPr>
            <w:noProof/>
            <w:webHidden/>
          </w:rPr>
          <w:instrText xml:space="preserve"> PAGEREF _Toc116641210 \h </w:instrText>
        </w:r>
        <w:r w:rsidR="00FB69FC">
          <w:rPr>
            <w:noProof/>
            <w:webHidden/>
          </w:rPr>
        </w:r>
        <w:r w:rsidR="00FB69FC">
          <w:rPr>
            <w:noProof/>
            <w:webHidden/>
          </w:rPr>
          <w:fldChar w:fldCharType="separate"/>
        </w:r>
        <w:r w:rsidR="00FB69FC">
          <w:rPr>
            <w:noProof/>
            <w:webHidden/>
          </w:rPr>
          <w:t>1</w:t>
        </w:r>
        <w:r w:rsidR="00FB69FC">
          <w:rPr>
            <w:noProof/>
            <w:webHidden/>
          </w:rPr>
          <w:fldChar w:fldCharType="end"/>
        </w:r>
      </w:hyperlink>
    </w:p>
    <w:p w14:paraId="6A866D71" w14:textId="75417BE7" w:rsidR="00FB69FC" w:rsidRDefault="007F1B99">
      <w:pPr>
        <w:pStyle w:val="TOC1"/>
        <w:tabs>
          <w:tab w:val="right" w:leader="dot" w:pos="9060"/>
        </w:tabs>
        <w:rPr>
          <w:rFonts w:eastAsiaTheme="minorEastAsia" w:cstheme="minorBidi"/>
          <w:noProof/>
          <w:sz w:val="22"/>
          <w:szCs w:val="22"/>
          <w:lang w:eastAsia="en-AU"/>
        </w:rPr>
      </w:pPr>
      <w:hyperlink w:anchor="_Toc116641211" w:history="1">
        <w:r w:rsidR="00FB69FC" w:rsidRPr="00D515FD">
          <w:rPr>
            <w:rStyle w:val="Hyperlink"/>
            <w:noProof/>
          </w:rPr>
          <w:t>Guideline Statement</w:t>
        </w:r>
        <w:r w:rsidR="00FB69FC">
          <w:rPr>
            <w:noProof/>
            <w:webHidden/>
          </w:rPr>
          <w:tab/>
        </w:r>
        <w:r w:rsidR="00FB69FC">
          <w:rPr>
            <w:noProof/>
            <w:webHidden/>
          </w:rPr>
          <w:fldChar w:fldCharType="begin"/>
        </w:r>
        <w:r w:rsidR="00FB69FC">
          <w:rPr>
            <w:noProof/>
            <w:webHidden/>
          </w:rPr>
          <w:instrText xml:space="preserve"> PAGEREF _Toc116641211 \h </w:instrText>
        </w:r>
        <w:r w:rsidR="00FB69FC">
          <w:rPr>
            <w:noProof/>
            <w:webHidden/>
          </w:rPr>
        </w:r>
        <w:r w:rsidR="00FB69FC">
          <w:rPr>
            <w:noProof/>
            <w:webHidden/>
          </w:rPr>
          <w:fldChar w:fldCharType="separate"/>
        </w:r>
        <w:r w:rsidR="00FB69FC">
          <w:rPr>
            <w:noProof/>
            <w:webHidden/>
          </w:rPr>
          <w:t>2</w:t>
        </w:r>
        <w:r w:rsidR="00FB69FC">
          <w:rPr>
            <w:noProof/>
            <w:webHidden/>
          </w:rPr>
          <w:fldChar w:fldCharType="end"/>
        </w:r>
      </w:hyperlink>
    </w:p>
    <w:p w14:paraId="422167A9" w14:textId="24909CB8" w:rsidR="00FB69FC" w:rsidRDefault="007F1B99">
      <w:pPr>
        <w:pStyle w:val="TOC1"/>
        <w:tabs>
          <w:tab w:val="right" w:leader="dot" w:pos="9060"/>
        </w:tabs>
        <w:rPr>
          <w:rFonts w:eastAsiaTheme="minorEastAsia" w:cstheme="minorBidi"/>
          <w:noProof/>
          <w:sz w:val="22"/>
          <w:szCs w:val="22"/>
          <w:lang w:eastAsia="en-AU"/>
        </w:rPr>
      </w:pPr>
      <w:hyperlink w:anchor="_Toc116641212" w:history="1">
        <w:r w:rsidR="00FB69FC" w:rsidRPr="00D515FD">
          <w:rPr>
            <w:rStyle w:val="Hyperlink"/>
            <w:noProof/>
          </w:rPr>
          <w:t>Scope</w:t>
        </w:r>
        <w:r w:rsidR="00FB69FC">
          <w:rPr>
            <w:noProof/>
            <w:webHidden/>
          </w:rPr>
          <w:tab/>
        </w:r>
        <w:r w:rsidR="00FB69FC">
          <w:rPr>
            <w:noProof/>
            <w:webHidden/>
          </w:rPr>
          <w:fldChar w:fldCharType="begin"/>
        </w:r>
        <w:r w:rsidR="00FB69FC">
          <w:rPr>
            <w:noProof/>
            <w:webHidden/>
          </w:rPr>
          <w:instrText xml:space="preserve"> PAGEREF _Toc116641212 \h </w:instrText>
        </w:r>
        <w:r w:rsidR="00FB69FC">
          <w:rPr>
            <w:noProof/>
            <w:webHidden/>
          </w:rPr>
        </w:r>
        <w:r w:rsidR="00FB69FC">
          <w:rPr>
            <w:noProof/>
            <w:webHidden/>
          </w:rPr>
          <w:fldChar w:fldCharType="separate"/>
        </w:r>
        <w:r w:rsidR="00FB69FC">
          <w:rPr>
            <w:noProof/>
            <w:webHidden/>
          </w:rPr>
          <w:t>2</w:t>
        </w:r>
        <w:r w:rsidR="00FB69FC">
          <w:rPr>
            <w:noProof/>
            <w:webHidden/>
          </w:rPr>
          <w:fldChar w:fldCharType="end"/>
        </w:r>
      </w:hyperlink>
    </w:p>
    <w:p w14:paraId="16928F8B" w14:textId="4C379CC5" w:rsidR="00FB69FC" w:rsidRDefault="007F1B99">
      <w:pPr>
        <w:pStyle w:val="TOC1"/>
        <w:tabs>
          <w:tab w:val="right" w:leader="dot" w:pos="9060"/>
        </w:tabs>
        <w:rPr>
          <w:rFonts w:eastAsiaTheme="minorEastAsia" w:cstheme="minorBidi"/>
          <w:noProof/>
          <w:sz w:val="22"/>
          <w:szCs w:val="22"/>
          <w:lang w:eastAsia="en-AU"/>
        </w:rPr>
      </w:pPr>
      <w:hyperlink w:anchor="_Toc116641213" w:history="1">
        <w:r w:rsidR="00FB69FC" w:rsidRPr="00D515FD">
          <w:rPr>
            <w:rStyle w:val="Hyperlink"/>
            <w:noProof/>
          </w:rPr>
          <w:t>Section 1 – Indications</w:t>
        </w:r>
        <w:r w:rsidR="00FB69FC">
          <w:rPr>
            <w:noProof/>
            <w:webHidden/>
          </w:rPr>
          <w:tab/>
        </w:r>
        <w:r w:rsidR="00FB69FC">
          <w:rPr>
            <w:noProof/>
            <w:webHidden/>
          </w:rPr>
          <w:fldChar w:fldCharType="begin"/>
        </w:r>
        <w:r w:rsidR="00FB69FC">
          <w:rPr>
            <w:noProof/>
            <w:webHidden/>
          </w:rPr>
          <w:instrText xml:space="preserve"> PAGEREF _Toc116641213 \h </w:instrText>
        </w:r>
        <w:r w:rsidR="00FB69FC">
          <w:rPr>
            <w:noProof/>
            <w:webHidden/>
          </w:rPr>
        </w:r>
        <w:r w:rsidR="00FB69FC">
          <w:rPr>
            <w:noProof/>
            <w:webHidden/>
          </w:rPr>
          <w:fldChar w:fldCharType="separate"/>
        </w:r>
        <w:r w:rsidR="00FB69FC">
          <w:rPr>
            <w:noProof/>
            <w:webHidden/>
          </w:rPr>
          <w:t>2</w:t>
        </w:r>
        <w:r w:rsidR="00FB69FC">
          <w:rPr>
            <w:noProof/>
            <w:webHidden/>
          </w:rPr>
          <w:fldChar w:fldCharType="end"/>
        </w:r>
      </w:hyperlink>
    </w:p>
    <w:p w14:paraId="0F999679" w14:textId="76D48B0A" w:rsidR="00FB69FC" w:rsidRDefault="007F1B99">
      <w:pPr>
        <w:pStyle w:val="TOC1"/>
        <w:tabs>
          <w:tab w:val="right" w:leader="dot" w:pos="9060"/>
        </w:tabs>
        <w:rPr>
          <w:rFonts w:eastAsiaTheme="minorEastAsia" w:cstheme="minorBidi"/>
          <w:noProof/>
          <w:sz w:val="22"/>
          <w:szCs w:val="22"/>
          <w:lang w:eastAsia="en-AU"/>
        </w:rPr>
      </w:pPr>
      <w:hyperlink w:anchor="_Toc116641214" w:history="1">
        <w:r w:rsidR="00FB69FC" w:rsidRPr="00D515FD">
          <w:rPr>
            <w:rStyle w:val="Hyperlink"/>
            <w:noProof/>
          </w:rPr>
          <w:t>Section 2 – Contraindications</w:t>
        </w:r>
        <w:r w:rsidR="00FB69FC">
          <w:rPr>
            <w:noProof/>
            <w:webHidden/>
          </w:rPr>
          <w:tab/>
        </w:r>
        <w:r w:rsidR="00FB69FC">
          <w:rPr>
            <w:noProof/>
            <w:webHidden/>
          </w:rPr>
          <w:fldChar w:fldCharType="begin"/>
        </w:r>
        <w:r w:rsidR="00FB69FC">
          <w:rPr>
            <w:noProof/>
            <w:webHidden/>
          </w:rPr>
          <w:instrText xml:space="preserve"> PAGEREF _Toc116641214 \h </w:instrText>
        </w:r>
        <w:r w:rsidR="00FB69FC">
          <w:rPr>
            <w:noProof/>
            <w:webHidden/>
          </w:rPr>
        </w:r>
        <w:r w:rsidR="00FB69FC">
          <w:rPr>
            <w:noProof/>
            <w:webHidden/>
          </w:rPr>
          <w:fldChar w:fldCharType="separate"/>
        </w:r>
        <w:r w:rsidR="00FB69FC">
          <w:rPr>
            <w:noProof/>
            <w:webHidden/>
          </w:rPr>
          <w:t>3</w:t>
        </w:r>
        <w:r w:rsidR="00FB69FC">
          <w:rPr>
            <w:noProof/>
            <w:webHidden/>
          </w:rPr>
          <w:fldChar w:fldCharType="end"/>
        </w:r>
      </w:hyperlink>
    </w:p>
    <w:p w14:paraId="122E64AB" w14:textId="7DFB7F23" w:rsidR="00FB69FC" w:rsidRDefault="007F1B99">
      <w:pPr>
        <w:pStyle w:val="TOC1"/>
        <w:tabs>
          <w:tab w:val="right" w:leader="dot" w:pos="9060"/>
        </w:tabs>
        <w:rPr>
          <w:rFonts w:eastAsiaTheme="minorEastAsia" w:cstheme="minorBidi"/>
          <w:noProof/>
          <w:sz w:val="22"/>
          <w:szCs w:val="22"/>
          <w:lang w:eastAsia="en-AU"/>
        </w:rPr>
      </w:pPr>
      <w:hyperlink w:anchor="_Toc116641215" w:history="1">
        <w:r w:rsidR="00FB69FC" w:rsidRPr="00D515FD">
          <w:rPr>
            <w:rStyle w:val="Hyperlink"/>
            <w:noProof/>
          </w:rPr>
          <w:t>Section 3 – Pre-SRS Considerations</w:t>
        </w:r>
        <w:r w:rsidR="00FB69FC">
          <w:rPr>
            <w:noProof/>
            <w:webHidden/>
          </w:rPr>
          <w:tab/>
        </w:r>
        <w:r w:rsidR="00FB69FC">
          <w:rPr>
            <w:noProof/>
            <w:webHidden/>
          </w:rPr>
          <w:fldChar w:fldCharType="begin"/>
        </w:r>
        <w:r w:rsidR="00FB69FC">
          <w:rPr>
            <w:noProof/>
            <w:webHidden/>
          </w:rPr>
          <w:instrText xml:space="preserve"> PAGEREF _Toc116641215 \h </w:instrText>
        </w:r>
        <w:r w:rsidR="00FB69FC">
          <w:rPr>
            <w:noProof/>
            <w:webHidden/>
          </w:rPr>
        </w:r>
        <w:r w:rsidR="00FB69FC">
          <w:rPr>
            <w:noProof/>
            <w:webHidden/>
          </w:rPr>
          <w:fldChar w:fldCharType="separate"/>
        </w:r>
        <w:r w:rsidR="00FB69FC">
          <w:rPr>
            <w:noProof/>
            <w:webHidden/>
          </w:rPr>
          <w:t>3</w:t>
        </w:r>
        <w:r w:rsidR="00FB69FC">
          <w:rPr>
            <w:noProof/>
            <w:webHidden/>
          </w:rPr>
          <w:fldChar w:fldCharType="end"/>
        </w:r>
      </w:hyperlink>
    </w:p>
    <w:p w14:paraId="18D8BD41" w14:textId="6C18237C" w:rsidR="00FB69FC" w:rsidRDefault="007F1B99">
      <w:pPr>
        <w:pStyle w:val="TOC1"/>
        <w:tabs>
          <w:tab w:val="right" w:leader="dot" w:pos="9060"/>
        </w:tabs>
        <w:rPr>
          <w:rFonts w:eastAsiaTheme="minorEastAsia" w:cstheme="minorBidi"/>
          <w:noProof/>
          <w:sz w:val="22"/>
          <w:szCs w:val="22"/>
          <w:lang w:eastAsia="en-AU"/>
        </w:rPr>
      </w:pPr>
      <w:hyperlink w:anchor="_Toc116641216" w:history="1">
        <w:r w:rsidR="00FB69FC" w:rsidRPr="00D515FD">
          <w:rPr>
            <w:rStyle w:val="Hyperlink"/>
            <w:noProof/>
          </w:rPr>
          <w:t>Section 4 – Pre-simulation Checks</w:t>
        </w:r>
        <w:r w:rsidR="00FB69FC">
          <w:rPr>
            <w:noProof/>
            <w:webHidden/>
          </w:rPr>
          <w:tab/>
        </w:r>
        <w:r w:rsidR="00FB69FC">
          <w:rPr>
            <w:noProof/>
            <w:webHidden/>
          </w:rPr>
          <w:fldChar w:fldCharType="begin"/>
        </w:r>
        <w:r w:rsidR="00FB69FC">
          <w:rPr>
            <w:noProof/>
            <w:webHidden/>
          </w:rPr>
          <w:instrText xml:space="preserve"> PAGEREF _Toc116641216 \h </w:instrText>
        </w:r>
        <w:r w:rsidR="00FB69FC">
          <w:rPr>
            <w:noProof/>
            <w:webHidden/>
          </w:rPr>
        </w:r>
        <w:r w:rsidR="00FB69FC">
          <w:rPr>
            <w:noProof/>
            <w:webHidden/>
          </w:rPr>
          <w:fldChar w:fldCharType="separate"/>
        </w:r>
        <w:r w:rsidR="00FB69FC">
          <w:rPr>
            <w:noProof/>
            <w:webHidden/>
          </w:rPr>
          <w:t>4</w:t>
        </w:r>
        <w:r w:rsidR="00FB69FC">
          <w:rPr>
            <w:noProof/>
            <w:webHidden/>
          </w:rPr>
          <w:fldChar w:fldCharType="end"/>
        </w:r>
      </w:hyperlink>
    </w:p>
    <w:p w14:paraId="4DE124E1" w14:textId="0C14529B" w:rsidR="00FB69FC" w:rsidRDefault="007F1B99">
      <w:pPr>
        <w:pStyle w:val="TOC1"/>
        <w:tabs>
          <w:tab w:val="right" w:leader="dot" w:pos="9060"/>
        </w:tabs>
        <w:rPr>
          <w:rFonts w:eastAsiaTheme="minorEastAsia" w:cstheme="minorBidi"/>
          <w:noProof/>
          <w:sz w:val="22"/>
          <w:szCs w:val="22"/>
          <w:lang w:eastAsia="en-AU"/>
        </w:rPr>
      </w:pPr>
      <w:hyperlink w:anchor="_Toc116641217" w:history="1">
        <w:r w:rsidR="00FB69FC" w:rsidRPr="00D515FD">
          <w:rPr>
            <w:rStyle w:val="Hyperlink"/>
            <w:noProof/>
          </w:rPr>
          <w:t>Section 5 – SRS Technique</w:t>
        </w:r>
        <w:r w:rsidR="00FB69FC">
          <w:rPr>
            <w:noProof/>
            <w:webHidden/>
          </w:rPr>
          <w:tab/>
        </w:r>
        <w:r w:rsidR="00FB69FC">
          <w:rPr>
            <w:noProof/>
            <w:webHidden/>
          </w:rPr>
          <w:fldChar w:fldCharType="begin"/>
        </w:r>
        <w:r w:rsidR="00FB69FC">
          <w:rPr>
            <w:noProof/>
            <w:webHidden/>
          </w:rPr>
          <w:instrText xml:space="preserve"> PAGEREF _Toc116641217 \h </w:instrText>
        </w:r>
        <w:r w:rsidR="00FB69FC">
          <w:rPr>
            <w:noProof/>
            <w:webHidden/>
          </w:rPr>
        </w:r>
        <w:r w:rsidR="00FB69FC">
          <w:rPr>
            <w:noProof/>
            <w:webHidden/>
          </w:rPr>
          <w:fldChar w:fldCharType="separate"/>
        </w:r>
        <w:r w:rsidR="00FB69FC">
          <w:rPr>
            <w:noProof/>
            <w:webHidden/>
          </w:rPr>
          <w:t>4</w:t>
        </w:r>
        <w:r w:rsidR="00FB69FC">
          <w:rPr>
            <w:noProof/>
            <w:webHidden/>
          </w:rPr>
          <w:fldChar w:fldCharType="end"/>
        </w:r>
      </w:hyperlink>
    </w:p>
    <w:p w14:paraId="5150A367" w14:textId="169157EE" w:rsidR="00FB69FC" w:rsidRDefault="007F1B99">
      <w:pPr>
        <w:pStyle w:val="TOC1"/>
        <w:tabs>
          <w:tab w:val="right" w:leader="dot" w:pos="9060"/>
        </w:tabs>
        <w:rPr>
          <w:rFonts w:eastAsiaTheme="minorEastAsia" w:cstheme="minorBidi"/>
          <w:noProof/>
          <w:sz w:val="22"/>
          <w:szCs w:val="22"/>
          <w:lang w:eastAsia="en-AU"/>
        </w:rPr>
      </w:pPr>
      <w:hyperlink w:anchor="_Toc116641218" w:history="1">
        <w:r w:rsidR="00FB69FC" w:rsidRPr="00D515FD">
          <w:rPr>
            <w:rStyle w:val="Hyperlink"/>
            <w:noProof/>
          </w:rPr>
          <w:t>Section 6 – Timing of Post-Operative SRS</w:t>
        </w:r>
        <w:r w:rsidR="00FB69FC">
          <w:rPr>
            <w:noProof/>
            <w:webHidden/>
          </w:rPr>
          <w:tab/>
        </w:r>
        <w:r w:rsidR="00FB69FC">
          <w:rPr>
            <w:noProof/>
            <w:webHidden/>
          </w:rPr>
          <w:fldChar w:fldCharType="begin"/>
        </w:r>
        <w:r w:rsidR="00FB69FC">
          <w:rPr>
            <w:noProof/>
            <w:webHidden/>
          </w:rPr>
          <w:instrText xml:space="preserve"> PAGEREF _Toc116641218 \h </w:instrText>
        </w:r>
        <w:r w:rsidR="00FB69FC">
          <w:rPr>
            <w:noProof/>
            <w:webHidden/>
          </w:rPr>
        </w:r>
        <w:r w:rsidR="00FB69FC">
          <w:rPr>
            <w:noProof/>
            <w:webHidden/>
          </w:rPr>
          <w:fldChar w:fldCharType="separate"/>
        </w:r>
        <w:r w:rsidR="00FB69FC">
          <w:rPr>
            <w:noProof/>
            <w:webHidden/>
          </w:rPr>
          <w:t>9</w:t>
        </w:r>
        <w:r w:rsidR="00FB69FC">
          <w:rPr>
            <w:noProof/>
            <w:webHidden/>
          </w:rPr>
          <w:fldChar w:fldCharType="end"/>
        </w:r>
      </w:hyperlink>
    </w:p>
    <w:p w14:paraId="1D999431" w14:textId="7E080F28" w:rsidR="00FB69FC" w:rsidRDefault="007F1B99">
      <w:pPr>
        <w:pStyle w:val="TOC1"/>
        <w:tabs>
          <w:tab w:val="right" w:leader="dot" w:pos="9060"/>
        </w:tabs>
        <w:rPr>
          <w:rFonts w:eastAsiaTheme="minorEastAsia" w:cstheme="minorBidi"/>
          <w:noProof/>
          <w:sz w:val="22"/>
          <w:szCs w:val="22"/>
          <w:lang w:eastAsia="en-AU"/>
        </w:rPr>
      </w:pPr>
      <w:hyperlink w:anchor="_Toc116641219" w:history="1">
        <w:r w:rsidR="00FB69FC" w:rsidRPr="00D515FD">
          <w:rPr>
            <w:rStyle w:val="Hyperlink"/>
            <w:noProof/>
          </w:rPr>
          <w:t>Section 7 – Concurrent Systemic Cancer Treatment</w:t>
        </w:r>
        <w:r w:rsidR="00FB69FC">
          <w:rPr>
            <w:noProof/>
            <w:webHidden/>
          </w:rPr>
          <w:tab/>
        </w:r>
        <w:r w:rsidR="00FB69FC">
          <w:rPr>
            <w:noProof/>
            <w:webHidden/>
          </w:rPr>
          <w:fldChar w:fldCharType="begin"/>
        </w:r>
        <w:r w:rsidR="00FB69FC">
          <w:rPr>
            <w:noProof/>
            <w:webHidden/>
          </w:rPr>
          <w:instrText xml:space="preserve"> PAGEREF _Toc116641219 \h </w:instrText>
        </w:r>
        <w:r w:rsidR="00FB69FC">
          <w:rPr>
            <w:noProof/>
            <w:webHidden/>
          </w:rPr>
        </w:r>
        <w:r w:rsidR="00FB69FC">
          <w:rPr>
            <w:noProof/>
            <w:webHidden/>
          </w:rPr>
          <w:fldChar w:fldCharType="separate"/>
        </w:r>
        <w:r w:rsidR="00FB69FC">
          <w:rPr>
            <w:noProof/>
            <w:webHidden/>
          </w:rPr>
          <w:t>9</w:t>
        </w:r>
        <w:r w:rsidR="00FB69FC">
          <w:rPr>
            <w:noProof/>
            <w:webHidden/>
          </w:rPr>
          <w:fldChar w:fldCharType="end"/>
        </w:r>
      </w:hyperlink>
    </w:p>
    <w:p w14:paraId="27D6D340" w14:textId="2BB18BCF" w:rsidR="00FB69FC" w:rsidRDefault="007F1B99">
      <w:pPr>
        <w:pStyle w:val="TOC1"/>
        <w:tabs>
          <w:tab w:val="right" w:leader="dot" w:pos="9060"/>
        </w:tabs>
        <w:rPr>
          <w:rFonts w:eastAsiaTheme="minorEastAsia" w:cstheme="minorBidi"/>
          <w:noProof/>
          <w:sz w:val="22"/>
          <w:szCs w:val="22"/>
          <w:lang w:eastAsia="en-AU"/>
        </w:rPr>
      </w:pPr>
      <w:hyperlink w:anchor="_Toc116641220" w:history="1">
        <w:r w:rsidR="00FB69FC" w:rsidRPr="00D515FD">
          <w:rPr>
            <w:rStyle w:val="Hyperlink"/>
            <w:noProof/>
          </w:rPr>
          <w:t>Section 8 – Pre SRS Prophylactic Medications</w:t>
        </w:r>
        <w:r w:rsidR="00FB69FC">
          <w:rPr>
            <w:noProof/>
            <w:webHidden/>
          </w:rPr>
          <w:tab/>
        </w:r>
        <w:r w:rsidR="00FB69FC">
          <w:rPr>
            <w:noProof/>
            <w:webHidden/>
          </w:rPr>
          <w:fldChar w:fldCharType="begin"/>
        </w:r>
        <w:r w:rsidR="00FB69FC">
          <w:rPr>
            <w:noProof/>
            <w:webHidden/>
          </w:rPr>
          <w:instrText xml:space="preserve"> PAGEREF _Toc116641220 \h </w:instrText>
        </w:r>
        <w:r w:rsidR="00FB69FC">
          <w:rPr>
            <w:noProof/>
            <w:webHidden/>
          </w:rPr>
        </w:r>
        <w:r w:rsidR="00FB69FC">
          <w:rPr>
            <w:noProof/>
            <w:webHidden/>
          </w:rPr>
          <w:fldChar w:fldCharType="separate"/>
        </w:r>
        <w:r w:rsidR="00FB69FC">
          <w:rPr>
            <w:noProof/>
            <w:webHidden/>
          </w:rPr>
          <w:t>9</w:t>
        </w:r>
        <w:r w:rsidR="00FB69FC">
          <w:rPr>
            <w:noProof/>
            <w:webHidden/>
          </w:rPr>
          <w:fldChar w:fldCharType="end"/>
        </w:r>
      </w:hyperlink>
    </w:p>
    <w:p w14:paraId="7773019C" w14:textId="0D4CE04E" w:rsidR="00FB69FC" w:rsidRDefault="007F1B99">
      <w:pPr>
        <w:pStyle w:val="TOC1"/>
        <w:tabs>
          <w:tab w:val="right" w:leader="dot" w:pos="9060"/>
        </w:tabs>
        <w:rPr>
          <w:rFonts w:eastAsiaTheme="minorEastAsia" w:cstheme="minorBidi"/>
          <w:noProof/>
          <w:sz w:val="22"/>
          <w:szCs w:val="22"/>
          <w:lang w:eastAsia="en-AU"/>
        </w:rPr>
      </w:pPr>
      <w:hyperlink w:anchor="_Toc116641221" w:history="1">
        <w:r w:rsidR="00FB69FC" w:rsidRPr="00D515FD">
          <w:rPr>
            <w:rStyle w:val="Hyperlink"/>
            <w:noProof/>
          </w:rPr>
          <w:t>Section 9 – Role of SRS with Whole Brain Radiotherapy (WBRT)</w:t>
        </w:r>
        <w:r w:rsidR="00FB69FC">
          <w:rPr>
            <w:noProof/>
            <w:webHidden/>
          </w:rPr>
          <w:tab/>
        </w:r>
        <w:r w:rsidR="00FB69FC">
          <w:rPr>
            <w:noProof/>
            <w:webHidden/>
          </w:rPr>
          <w:fldChar w:fldCharType="begin"/>
        </w:r>
        <w:r w:rsidR="00FB69FC">
          <w:rPr>
            <w:noProof/>
            <w:webHidden/>
          </w:rPr>
          <w:instrText xml:space="preserve"> PAGEREF _Toc116641221 \h </w:instrText>
        </w:r>
        <w:r w:rsidR="00FB69FC">
          <w:rPr>
            <w:noProof/>
            <w:webHidden/>
          </w:rPr>
        </w:r>
        <w:r w:rsidR="00FB69FC">
          <w:rPr>
            <w:noProof/>
            <w:webHidden/>
          </w:rPr>
          <w:fldChar w:fldCharType="separate"/>
        </w:r>
        <w:r w:rsidR="00FB69FC">
          <w:rPr>
            <w:noProof/>
            <w:webHidden/>
          </w:rPr>
          <w:t>9</w:t>
        </w:r>
        <w:r w:rsidR="00FB69FC">
          <w:rPr>
            <w:noProof/>
            <w:webHidden/>
          </w:rPr>
          <w:fldChar w:fldCharType="end"/>
        </w:r>
      </w:hyperlink>
    </w:p>
    <w:p w14:paraId="1211A2D4" w14:textId="410B208F" w:rsidR="00FB69FC" w:rsidRDefault="007F1B99">
      <w:pPr>
        <w:pStyle w:val="TOC1"/>
        <w:tabs>
          <w:tab w:val="right" w:leader="dot" w:pos="9060"/>
        </w:tabs>
        <w:rPr>
          <w:rFonts w:eastAsiaTheme="minorEastAsia" w:cstheme="minorBidi"/>
          <w:noProof/>
          <w:sz w:val="22"/>
          <w:szCs w:val="22"/>
          <w:lang w:eastAsia="en-AU"/>
        </w:rPr>
      </w:pPr>
      <w:hyperlink w:anchor="_Toc116641222" w:history="1">
        <w:r w:rsidR="00FB69FC" w:rsidRPr="00D515FD">
          <w:rPr>
            <w:rStyle w:val="Hyperlink"/>
            <w:noProof/>
          </w:rPr>
          <w:t>Section 10 – Follow Up</w:t>
        </w:r>
        <w:r w:rsidR="00FB69FC">
          <w:rPr>
            <w:noProof/>
            <w:webHidden/>
          </w:rPr>
          <w:tab/>
        </w:r>
        <w:r w:rsidR="00FB69FC">
          <w:rPr>
            <w:noProof/>
            <w:webHidden/>
          </w:rPr>
          <w:fldChar w:fldCharType="begin"/>
        </w:r>
        <w:r w:rsidR="00FB69FC">
          <w:rPr>
            <w:noProof/>
            <w:webHidden/>
          </w:rPr>
          <w:instrText xml:space="preserve"> PAGEREF _Toc116641222 \h </w:instrText>
        </w:r>
        <w:r w:rsidR="00FB69FC">
          <w:rPr>
            <w:noProof/>
            <w:webHidden/>
          </w:rPr>
        </w:r>
        <w:r w:rsidR="00FB69FC">
          <w:rPr>
            <w:noProof/>
            <w:webHidden/>
          </w:rPr>
          <w:fldChar w:fldCharType="separate"/>
        </w:r>
        <w:r w:rsidR="00FB69FC">
          <w:rPr>
            <w:noProof/>
            <w:webHidden/>
          </w:rPr>
          <w:t>10</w:t>
        </w:r>
        <w:r w:rsidR="00FB69FC">
          <w:rPr>
            <w:noProof/>
            <w:webHidden/>
          </w:rPr>
          <w:fldChar w:fldCharType="end"/>
        </w:r>
      </w:hyperlink>
    </w:p>
    <w:p w14:paraId="49A05AE2" w14:textId="28840D70" w:rsidR="00FB69FC" w:rsidRDefault="007F1B99">
      <w:pPr>
        <w:pStyle w:val="TOC1"/>
        <w:tabs>
          <w:tab w:val="right" w:leader="dot" w:pos="9060"/>
        </w:tabs>
        <w:rPr>
          <w:rFonts w:eastAsiaTheme="minorEastAsia" w:cstheme="minorBidi"/>
          <w:noProof/>
          <w:sz w:val="22"/>
          <w:szCs w:val="22"/>
          <w:lang w:eastAsia="en-AU"/>
        </w:rPr>
      </w:pPr>
      <w:hyperlink w:anchor="_Toc116641223" w:history="1">
        <w:r w:rsidR="00FB69FC" w:rsidRPr="00D515FD">
          <w:rPr>
            <w:rStyle w:val="Hyperlink"/>
            <w:noProof/>
          </w:rPr>
          <w:t>Section 11 – SRS Workflow for Clinicians</w:t>
        </w:r>
        <w:r w:rsidR="00FB69FC">
          <w:rPr>
            <w:noProof/>
            <w:webHidden/>
          </w:rPr>
          <w:tab/>
        </w:r>
        <w:r w:rsidR="00FB69FC">
          <w:rPr>
            <w:noProof/>
            <w:webHidden/>
          </w:rPr>
          <w:fldChar w:fldCharType="begin"/>
        </w:r>
        <w:r w:rsidR="00FB69FC">
          <w:rPr>
            <w:noProof/>
            <w:webHidden/>
          </w:rPr>
          <w:instrText xml:space="preserve"> PAGEREF _Toc116641223 \h </w:instrText>
        </w:r>
        <w:r w:rsidR="00FB69FC">
          <w:rPr>
            <w:noProof/>
            <w:webHidden/>
          </w:rPr>
        </w:r>
        <w:r w:rsidR="00FB69FC">
          <w:rPr>
            <w:noProof/>
            <w:webHidden/>
          </w:rPr>
          <w:fldChar w:fldCharType="separate"/>
        </w:r>
        <w:r w:rsidR="00FB69FC">
          <w:rPr>
            <w:noProof/>
            <w:webHidden/>
          </w:rPr>
          <w:t>10</w:t>
        </w:r>
        <w:r w:rsidR="00FB69FC">
          <w:rPr>
            <w:noProof/>
            <w:webHidden/>
          </w:rPr>
          <w:fldChar w:fldCharType="end"/>
        </w:r>
      </w:hyperlink>
    </w:p>
    <w:p w14:paraId="27CB6EF6" w14:textId="37129924" w:rsidR="00FB69FC" w:rsidRDefault="007F1B99">
      <w:pPr>
        <w:pStyle w:val="TOC1"/>
        <w:tabs>
          <w:tab w:val="right" w:leader="dot" w:pos="9060"/>
        </w:tabs>
        <w:rPr>
          <w:rFonts w:eastAsiaTheme="minorEastAsia" w:cstheme="minorBidi"/>
          <w:noProof/>
          <w:sz w:val="22"/>
          <w:szCs w:val="22"/>
          <w:lang w:eastAsia="en-AU"/>
        </w:rPr>
      </w:pPr>
      <w:hyperlink w:anchor="_Toc116641224" w:history="1">
        <w:r w:rsidR="00FB69FC" w:rsidRPr="00D515FD">
          <w:rPr>
            <w:rStyle w:val="Hyperlink"/>
            <w:noProof/>
          </w:rPr>
          <w:t>Section 12 – Using Systemic Treatment Instead of Local Treatment</w:t>
        </w:r>
        <w:r w:rsidR="00FB69FC">
          <w:rPr>
            <w:noProof/>
            <w:webHidden/>
          </w:rPr>
          <w:tab/>
        </w:r>
        <w:r w:rsidR="00FB69FC">
          <w:rPr>
            <w:noProof/>
            <w:webHidden/>
          </w:rPr>
          <w:fldChar w:fldCharType="begin"/>
        </w:r>
        <w:r w:rsidR="00FB69FC">
          <w:rPr>
            <w:noProof/>
            <w:webHidden/>
          </w:rPr>
          <w:instrText xml:space="preserve"> PAGEREF _Toc116641224 \h </w:instrText>
        </w:r>
        <w:r w:rsidR="00FB69FC">
          <w:rPr>
            <w:noProof/>
            <w:webHidden/>
          </w:rPr>
        </w:r>
        <w:r w:rsidR="00FB69FC">
          <w:rPr>
            <w:noProof/>
            <w:webHidden/>
          </w:rPr>
          <w:fldChar w:fldCharType="separate"/>
        </w:r>
        <w:r w:rsidR="00FB69FC">
          <w:rPr>
            <w:noProof/>
            <w:webHidden/>
          </w:rPr>
          <w:t>11</w:t>
        </w:r>
        <w:r w:rsidR="00FB69FC">
          <w:rPr>
            <w:noProof/>
            <w:webHidden/>
          </w:rPr>
          <w:fldChar w:fldCharType="end"/>
        </w:r>
      </w:hyperlink>
    </w:p>
    <w:p w14:paraId="426CAB8F" w14:textId="59F7239A" w:rsidR="00FB69FC" w:rsidRDefault="007F1B99">
      <w:pPr>
        <w:pStyle w:val="TOC1"/>
        <w:tabs>
          <w:tab w:val="right" w:leader="dot" w:pos="9060"/>
        </w:tabs>
        <w:rPr>
          <w:rFonts w:eastAsiaTheme="minorEastAsia" w:cstheme="minorBidi"/>
          <w:noProof/>
          <w:sz w:val="22"/>
          <w:szCs w:val="22"/>
          <w:lang w:eastAsia="en-AU"/>
        </w:rPr>
      </w:pPr>
      <w:hyperlink w:anchor="_Toc116641225" w:history="1">
        <w:r w:rsidR="00FB69FC" w:rsidRPr="00D515FD">
          <w:rPr>
            <w:rStyle w:val="Hyperlink"/>
            <w:noProof/>
          </w:rPr>
          <w:t>Section 13 – Staged or Adaptive SRS</w:t>
        </w:r>
        <w:r w:rsidR="00FB69FC">
          <w:rPr>
            <w:noProof/>
            <w:webHidden/>
          </w:rPr>
          <w:tab/>
        </w:r>
        <w:r w:rsidR="00FB69FC">
          <w:rPr>
            <w:noProof/>
            <w:webHidden/>
          </w:rPr>
          <w:fldChar w:fldCharType="begin"/>
        </w:r>
        <w:r w:rsidR="00FB69FC">
          <w:rPr>
            <w:noProof/>
            <w:webHidden/>
          </w:rPr>
          <w:instrText xml:space="preserve"> PAGEREF _Toc116641225 \h </w:instrText>
        </w:r>
        <w:r w:rsidR="00FB69FC">
          <w:rPr>
            <w:noProof/>
            <w:webHidden/>
          </w:rPr>
        </w:r>
        <w:r w:rsidR="00FB69FC">
          <w:rPr>
            <w:noProof/>
            <w:webHidden/>
          </w:rPr>
          <w:fldChar w:fldCharType="separate"/>
        </w:r>
        <w:r w:rsidR="00FB69FC">
          <w:rPr>
            <w:noProof/>
            <w:webHidden/>
          </w:rPr>
          <w:t>12</w:t>
        </w:r>
        <w:r w:rsidR="00FB69FC">
          <w:rPr>
            <w:noProof/>
            <w:webHidden/>
          </w:rPr>
          <w:fldChar w:fldCharType="end"/>
        </w:r>
      </w:hyperlink>
    </w:p>
    <w:p w14:paraId="5DFE5EC5" w14:textId="4CE6A93C" w:rsidR="00FB69FC" w:rsidRDefault="007F1B99">
      <w:pPr>
        <w:pStyle w:val="TOC1"/>
        <w:tabs>
          <w:tab w:val="right" w:leader="dot" w:pos="9060"/>
        </w:tabs>
        <w:rPr>
          <w:rFonts w:eastAsiaTheme="minorEastAsia" w:cstheme="minorBidi"/>
          <w:noProof/>
          <w:sz w:val="22"/>
          <w:szCs w:val="22"/>
          <w:lang w:eastAsia="en-AU"/>
        </w:rPr>
      </w:pPr>
      <w:hyperlink w:anchor="_Toc116641226" w:history="1">
        <w:r w:rsidR="00FB69FC" w:rsidRPr="00D515FD">
          <w:rPr>
            <w:rStyle w:val="Hyperlink"/>
            <w:noProof/>
          </w:rPr>
          <w:t>Evaluation</w:t>
        </w:r>
        <w:r w:rsidR="00FB69FC">
          <w:rPr>
            <w:noProof/>
            <w:webHidden/>
          </w:rPr>
          <w:tab/>
        </w:r>
        <w:r w:rsidR="00FB69FC">
          <w:rPr>
            <w:noProof/>
            <w:webHidden/>
          </w:rPr>
          <w:fldChar w:fldCharType="begin"/>
        </w:r>
        <w:r w:rsidR="00FB69FC">
          <w:rPr>
            <w:noProof/>
            <w:webHidden/>
          </w:rPr>
          <w:instrText xml:space="preserve"> PAGEREF _Toc116641226 \h </w:instrText>
        </w:r>
        <w:r w:rsidR="00FB69FC">
          <w:rPr>
            <w:noProof/>
            <w:webHidden/>
          </w:rPr>
        </w:r>
        <w:r w:rsidR="00FB69FC">
          <w:rPr>
            <w:noProof/>
            <w:webHidden/>
          </w:rPr>
          <w:fldChar w:fldCharType="separate"/>
        </w:r>
        <w:r w:rsidR="00FB69FC">
          <w:rPr>
            <w:noProof/>
            <w:webHidden/>
          </w:rPr>
          <w:t>12</w:t>
        </w:r>
        <w:r w:rsidR="00FB69FC">
          <w:rPr>
            <w:noProof/>
            <w:webHidden/>
          </w:rPr>
          <w:fldChar w:fldCharType="end"/>
        </w:r>
      </w:hyperlink>
    </w:p>
    <w:p w14:paraId="028692E6" w14:textId="3798CA03" w:rsidR="00FB69FC" w:rsidRDefault="007F1B99">
      <w:pPr>
        <w:pStyle w:val="TOC1"/>
        <w:tabs>
          <w:tab w:val="right" w:leader="dot" w:pos="9060"/>
        </w:tabs>
        <w:rPr>
          <w:rFonts w:eastAsiaTheme="minorEastAsia" w:cstheme="minorBidi"/>
          <w:noProof/>
          <w:sz w:val="22"/>
          <w:szCs w:val="22"/>
          <w:lang w:eastAsia="en-AU"/>
        </w:rPr>
      </w:pPr>
      <w:hyperlink w:anchor="_Toc116641227" w:history="1">
        <w:r w:rsidR="00FB69FC" w:rsidRPr="00D515FD">
          <w:rPr>
            <w:rStyle w:val="Hyperlink"/>
            <w:noProof/>
          </w:rPr>
          <w:t>Related Policies, Procedures, Guidelines and Legislation</w:t>
        </w:r>
        <w:r w:rsidR="00FB69FC">
          <w:rPr>
            <w:noProof/>
            <w:webHidden/>
          </w:rPr>
          <w:tab/>
        </w:r>
        <w:r w:rsidR="00FB69FC">
          <w:rPr>
            <w:noProof/>
            <w:webHidden/>
          </w:rPr>
          <w:fldChar w:fldCharType="begin"/>
        </w:r>
        <w:r w:rsidR="00FB69FC">
          <w:rPr>
            <w:noProof/>
            <w:webHidden/>
          </w:rPr>
          <w:instrText xml:space="preserve"> PAGEREF _Toc116641227 \h </w:instrText>
        </w:r>
        <w:r w:rsidR="00FB69FC">
          <w:rPr>
            <w:noProof/>
            <w:webHidden/>
          </w:rPr>
        </w:r>
        <w:r w:rsidR="00FB69FC">
          <w:rPr>
            <w:noProof/>
            <w:webHidden/>
          </w:rPr>
          <w:fldChar w:fldCharType="separate"/>
        </w:r>
        <w:r w:rsidR="00FB69FC">
          <w:rPr>
            <w:noProof/>
            <w:webHidden/>
          </w:rPr>
          <w:t>12</w:t>
        </w:r>
        <w:r w:rsidR="00FB69FC">
          <w:rPr>
            <w:noProof/>
            <w:webHidden/>
          </w:rPr>
          <w:fldChar w:fldCharType="end"/>
        </w:r>
      </w:hyperlink>
    </w:p>
    <w:p w14:paraId="7FBE212C" w14:textId="6B7AE824" w:rsidR="00FB69FC" w:rsidRDefault="007F1B99">
      <w:pPr>
        <w:pStyle w:val="TOC1"/>
        <w:tabs>
          <w:tab w:val="right" w:leader="dot" w:pos="9060"/>
        </w:tabs>
        <w:rPr>
          <w:rFonts w:eastAsiaTheme="minorEastAsia" w:cstheme="minorBidi"/>
          <w:noProof/>
          <w:sz w:val="22"/>
          <w:szCs w:val="22"/>
          <w:lang w:eastAsia="en-AU"/>
        </w:rPr>
      </w:pPr>
      <w:hyperlink w:anchor="_Toc116641228" w:history="1">
        <w:r w:rsidR="00FB69FC" w:rsidRPr="00D515FD">
          <w:rPr>
            <w:rStyle w:val="Hyperlink"/>
            <w:noProof/>
          </w:rPr>
          <w:t>References</w:t>
        </w:r>
        <w:r w:rsidR="00FB69FC">
          <w:rPr>
            <w:noProof/>
            <w:webHidden/>
          </w:rPr>
          <w:tab/>
        </w:r>
        <w:r w:rsidR="00FB69FC">
          <w:rPr>
            <w:noProof/>
            <w:webHidden/>
          </w:rPr>
          <w:fldChar w:fldCharType="begin"/>
        </w:r>
        <w:r w:rsidR="00FB69FC">
          <w:rPr>
            <w:noProof/>
            <w:webHidden/>
          </w:rPr>
          <w:instrText xml:space="preserve"> PAGEREF _Toc116641228 \h </w:instrText>
        </w:r>
        <w:r w:rsidR="00FB69FC">
          <w:rPr>
            <w:noProof/>
            <w:webHidden/>
          </w:rPr>
        </w:r>
        <w:r w:rsidR="00FB69FC">
          <w:rPr>
            <w:noProof/>
            <w:webHidden/>
          </w:rPr>
          <w:fldChar w:fldCharType="separate"/>
        </w:r>
        <w:r w:rsidR="00FB69FC">
          <w:rPr>
            <w:noProof/>
            <w:webHidden/>
          </w:rPr>
          <w:t>13</w:t>
        </w:r>
        <w:r w:rsidR="00FB69FC">
          <w:rPr>
            <w:noProof/>
            <w:webHidden/>
          </w:rPr>
          <w:fldChar w:fldCharType="end"/>
        </w:r>
      </w:hyperlink>
    </w:p>
    <w:p w14:paraId="3C0B87DA" w14:textId="05D4933D" w:rsidR="00FB69FC" w:rsidRDefault="007F1B99">
      <w:pPr>
        <w:pStyle w:val="TOC1"/>
        <w:tabs>
          <w:tab w:val="right" w:leader="dot" w:pos="9060"/>
        </w:tabs>
        <w:rPr>
          <w:rFonts w:eastAsiaTheme="minorEastAsia" w:cstheme="minorBidi"/>
          <w:noProof/>
          <w:sz w:val="22"/>
          <w:szCs w:val="22"/>
          <w:lang w:eastAsia="en-AU"/>
        </w:rPr>
      </w:pPr>
      <w:hyperlink w:anchor="_Toc116641229" w:history="1">
        <w:r w:rsidR="00FB69FC" w:rsidRPr="00D515FD">
          <w:rPr>
            <w:rStyle w:val="Hyperlink"/>
            <w:noProof/>
          </w:rPr>
          <w:t>Search Terms</w:t>
        </w:r>
        <w:r w:rsidR="00FB69FC">
          <w:rPr>
            <w:noProof/>
            <w:webHidden/>
          </w:rPr>
          <w:tab/>
        </w:r>
        <w:r w:rsidR="00FB69FC">
          <w:rPr>
            <w:noProof/>
            <w:webHidden/>
          </w:rPr>
          <w:fldChar w:fldCharType="begin"/>
        </w:r>
        <w:r w:rsidR="00FB69FC">
          <w:rPr>
            <w:noProof/>
            <w:webHidden/>
          </w:rPr>
          <w:instrText xml:space="preserve"> PAGEREF _Toc116641229 \h </w:instrText>
        </w:r>
        <w:r w:rsidR="00FB69FC">
          <w:rPr>
            <w:noProof/>
            <w:webHidden/>
          </w:rPr>
        </w:r>
        <w:r w:rsidR="00FB69FC">
          <w:rPr>
            <w:noProof/>
            <w:webHidden/>
          </w:rPr>
          <w:fldChar w:fldCharType="separate"/>
        </w:r>
        <w:r w:rsidR="00FB69FC">
          <w:rPr>
            <w:noProof/>
            <w:webHidden/>
          </w:rPr>
          <w:t>16</w:t>
        </w:r>
        <w:r w:rsidR="00FB69FC">
          <w:rPr>
            <w:noProof/>
            <w:webHidden/>
          </w:rPr>
          <w:fldChar w:fldCharType="end"/>
        </w:r>
      </w:hyperlink>
    </w:p>
    <w:p w14:paraId="21679222" w14:textId="67CBD6E7" w:rsidR="00FB69FC" w:rsidRDefault="007F1B99">
      <w:pPr>
        <w:pStyle w:val="TOC1"/>
        <w:tabs>
          <w:tab w:val="right" w:leader="dot" w:pos="9060"/>
        </w:tabs>
        <w:rPr>
          <w:rFonts w:eastAsiaTheme="minorEastAsia" w:cstheme="minorBidi"/>
          <w:noProof/>
          <w:sz w:val="22"/>
          <w:szCs w:val="22"/>
          <w:lang w:eastAsia="en-AU"/>
        </w:rPr>
      </w:pPr>
      <w:hyperlink w:anchor="_Toc116641230" w:history="1">
        <w:r w:rsidR="00FB69FC" w:rsidRPr="00D515FD">
          <w:rPr>
            <w:rStyle w:val="Hyperlink"/>
            <w:noProof/>
          </w:rPr>
          <w:t>Attachme</w:t>
        </w:r>
        <w:r w:rsidR="00FB69FC" w:rsidRPr="00D515FD">
          <w:rPr>
            <w:rStyle w:val="Hyperlink"/>
            <w:noProof/>
          </w:rPr>
          <w:t>n</w:t>
        </w:r>
        <w:r w:rsidR="00FB69FC" w:rsidRPr="00D515FD">
          <w:rPr>
            <w:rStyle w:val="Hyperlink"/>
            <w:noProof/>
          </w:rPr>
          <w:t>ts</w:t>
        </w:r>
        <w:r w:rsidR="00FB69FC">
          <w:rPr>
            <w:noProof/>
            <w:webHidden/>
          </w:rPr>
          <w:tab/>
        </w:r>
        <w:r w:rsidR="00FB69FC">
          <w:rPr>
            <w:noProof/>
            <w:webHidden/>
          </w:rPr>
          <w:fldChar w:fldCharType="begin"/>
        </w:r>
        <w:r w:rsidR="00FB69FC">
          <w:rPr>
            <w:noProof/>
            <w:webHidden/>
          </w:rPr>
          <w:instrText xml:space="preserve"> PAGEREF _Toc116641230 \h </w:instrText>
        </w:r>
        <w:r w:rsidR="00FB69FC">
          <w:rPr>
            <w:noProof/>
            <w:webHidden/>
          </w:rPr>
        </w:r>
        <w:r w:rsidR="00FB69FC">
          <w:rPr>
            <w:noProof/>
            <w:webHidden/>
          </w:rPr>
          <w:fldChar w:fldCharType="separate"/>
        </w:r>
        <w:r w:rsidR="00FB69FC">
          <w:rPr>
            <w:noProof/>
            <w:webHidden/>
          </w:rPr>
          <w:t>16</w:t>
        </w:r>
        <w:r w:rsidR="00FB69FC">
          <w:rPr>
            <w:noProof/>
            <w:webHidden/>
          </w:rPr>
          <w:fldChar w:fldCharType="end"/>
        </w:r>
      </w:hyperlink>
    </w:p>
    <w:p w14:paraId="5AA7A580" w14:textId="1D5DF753" w:rsidR="00655B88" w:rsidRDefault="00655B88" w:rsidP="00655B88">
      <w:r w:rsidRPr="00264C63">
        <w:fldChar w:fldCharType="end"/>
      </w:r>
    </w:p>
    <w:p w14:paraId="6C85125D" w14:textId="77777777" w:rsidR="00655B88" w:rsidRDefault="00655B88" w:rsidP="00655B88">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1B2BAC" w14:paraId="5118B4AA" w14:textId="77777777" w:rsidTr="007546A2">
        <w:trPr>
          <w:cantSplit/>
          <w:trHeight w:val="285"/>
        </w:trPr>
        <w:tc>
          <w:tcPr>
            <w:tcW w:w="9158" w:type="dxa"/>
            <w:shd w:val="clear" w:color="auto" w:fill="D9D9D9" w:themeFill="background1" w:themeFillShade="D9"/>
          </w:tcPr>
          <w:p w14:paraId="481E6515" w14:textId="77777777" w:rsidR="00655B88" w:rsidRPr="002E3BFE" w:rsidRDefault="00655B88" w:rsidP="007546A2">
            <w:pPr>
              <w:pStyle w:val="Heading1"/>
            </w:pPr>
            <w:bookmarkStart w:id="4" w:name="_Toc116641211"/>
            <w:r>
              <w:lastRenderedPageBreak/>
              <w:t>Guideline Statement</w:t>
            </w:r>
            <w:bookmarkEnd w:id="4"/>
          </w:p>
        </w:tc>
      </w:tr>
    </w:tbl>
    <w:p w14:paraId="3BD7B606" w14:textId="77777777" w:rsidR="00655B88" w:rsidRDefault="00655B88" w:rsidP="00655B88">
      <w:pPr>
        <w:rPr>
          <w:rFonts w:cs="Arial"/>
          <w:b/>
          <w:szCs w:val="24"/>
        </w:rPr>
      </w:pPr>
    </w:p>
    <w:p w14:paraId="5D6EDCF8" w14:textId="77777777" w:rsidR="00655B88" w:rsidRDefault="00655B88" w:rsidP="00655B88">
      <w:pPr>
        <w:pStyle w:val="Heading2"/>
      </w:pPr>
      <w:r>
        <w:t>Background</w:t>
      </w:r>
    </w:p>
    <w:p w14:paraId="011FF94E" w14:textId="77CE3CF8" w:rsidR="00655B88" w:rsidRPr="002A1B6C" w:rsidRDefault="00655B88" w:rsidP="002A1B6C">
      <w:pPr>
        <w:rPr>
          <w:iCs/>
        </w:rPr>
      </w:pPr>
      <w:r w:rsidRPr="002A1B6C">
        <w:rPr>
          <w:iCs/>
        </w:rPr>
        <w:t>This document has been created to provide guidance to Radiation Oncologist</w:t>
      </w:r>
      <w:r w:rsidR="001B5256">
        <w:rPr>
          <w:iCs/>
        </w:rPr>
        <w:t>’s</w:t>
      </w:r>
      <w:r w:rsidRPr="002A1B6C">
        <w:rPr>
          <w:iCs/>
        </w:rPr>
        <w:t xml:space="preserve"> (RO) prescribing Stereotactic Radiosurgery (SRS) to patients with brain metastasis(es), and for Radiation Therapist</w:t>
      </w:r>
      <w:r w:rsidR="001B5256">
        <w:rPr>
          <w:iCs/>
        </w:rPr>
        <w:t>’s</w:t>
      </w:r>
      <w:r w:rsidRPr="002A1B6C">
        <w:rPr>
          <w:iCs/>
        </w:rPr>
        <w:t xml:space="preserve"> (RT) planning and treating SRS in definitive and post-operative settings. </w:t>
      </w:r>
    </w:p>
    <w:p w14:paraId="42ABC555" w14:textId="77777777" w:rsidR="00655B88" w:rsidRPr="002A1B6C" w:rsidRDefault="00655B88" w:rsidP="002A1B6C">
      <w:pPr>
        <w:rPr>
          <w:iCs/>
        </w:rPr>
      </w:pPr>
    </w:p>
    <w:p w14:paraId="52BE16DC" w14:textId="77777777" w:rsidR="00655B88" w:rsidRDefault="00655B88" w:rsidP="002A1B6C">
      <w:pPr>
        <w:pStyle w:val="Heading2"/>
      </w:pPr>
      <w:r>
        <w:t>Key Objective</w:t>
      </w:r>
    </w:p>
    <w:p w14:paraId="617FD814" w14:textId="79A1DF6B" w:rsidR="00655B88" w:rsidRPr="002A1B6C" w:rsidRDefault="00655B88" w:rsidP="002A1B6C">
      <w:pPr>
        <w:rPr>
          <w:iCs/>
        </w:rPr>
      </w:pPr>
      <w:r w:rsidRPr="002A1B6C">
        <w:rPr>
          <w:iCs/>
        </w:rPr>
        <w:t>This document will serve as a guide in the clinical decision-making process for RO</w:t>
      </w:r>
      <w:r w:rsidR="00D44B69">
        <w:rPr>
          <w:iCs/>
        </w:rPr>
        <w:t>’</w:t>
      </w:r>
      <w:r w:rsidRPr="002A1B6C">
        <w:rPr>
          <w:iCs/>
        </w:rPr>
        <w:t xml:space="preserve">s prescribing SRS for their patients. </w:t>
      </w:r>
    </w:p>
    <w:p w14:paraId="00914F29" w14:textId="77777777" w:rsidR="00655B88" w:rsidRPr="002A1B6C" w:rsidRDefault="00655B88" w:rsidP="002A1B6C">
      <w:pPr>
        <w:rPr>
          <w:iCs/>
        </w:rPr>
      </w:pPr>
    </w:p>
    <w:p w14:paraId="61968DD7" w14:textId="77777777" w:rsidR="00655B88" w:rsidRPr="00E9552E" w:rsidRDefault="00655B88" w:rsidP="002A1B6C">
      <w:pPr>
        <w:pStyle w:val="Heading2"/>
      </w:pPr>
      <w:r>
        <w:t>Alerts</w:t>
      </w:r>
      <w:r w:rsidRPr="007B6904">
        <w:t xml:space="preserve"> </w:t>
      </w:r>
    </w:p>
    <w:p w14:paraId="67CC68EA" w14:textId="5ABA9C03" w:rsidR="00655B88" w:rsidRPr="002A1B6C" w:rsidRDefault="00655B88" w:rsidP="002A1B6C">
      <w:r w:rsidRPr="002A1B6C">
        <w:t>SRS prescribing, planning and treatment delivery must be carried out by appropriately trained RO</w:t>
      </w:r>
      <w:r w:rsidR="00D44B69">
        <w:t>’</w:t>
      </w:r>
      <w:r w:rsidRPr="002A1B6C">
        <w:t>s and credentialed RT</w:t>
      </w:r>
      <w:r w:rsidR="00D44B69">
        <w:t>’</w:t>
      </w:r>
      <w:r w:rsidRPr="002A1B6C">
        <w:t>s on commissioned planning software, linear accelerator with appropriate image guidance.</w:t>
      </w:r>
    </w:p>
    <w:p w14:paraId="27E1CF52" w14:textId="77777777" w:rsidR="00655B88" w:rsidRDefault="007F1B99" w:rsidP="00655B88">
      <w:pPr>
        <w:jc w:val="right"/>
      </w:pPr>
      <w:hyperlink w:anchor="Contents" w:history="1">
        <w:r w:rsidR="00655B88"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1B2BAC" w14:paraId="24805CB5" w14:textId="77777777" w:rsidTr="007546A2">
        <w:trPr>
          <w:cantSplit/>
          <w:trHeight w:val="285"/>
        </w:trPr>
        <w:tc>
          <w:tcPr>
            <w:tcW w:w="9158" w:type="dxa"/>
            <w:shd w:val="clear" w:color="auto" w:fill="D9D9D9" w:themeFill="background1" w:themeFillShade="D9"/>
          </w:tcPr>
          <w:p w14:paraId="1CDB4F5D" w14:textId="77777777" w:rsidR="00655B88" w:rsidRPr="002E3BFE" w:rsidRDefault="00655B88" w:rsidP="007546A2">
            <w:pPr>
              <w:pStyle w:val="Heading1"/>
            </w:pPr>
            <w:bookmarkStart w:id="5" w:name="_Toc116641212"/>
            <w:r>
              <w:t>Scope</w:t>
            </w:r>
            <w:bookmarkEnd w:id="5"/>
          </w:p>
        </w:tc>
      </w:tr>
    </w:tbl>
    <w:p w14:paraId="6B714EE3" w14:textId="77777777" w:rsidR="00655B88" w:rsidRDefault="00655B88" w:rsidP="00655B88"/>
    <w:p w14:paraId="74EC5113" w14:textId="7E45518B" w:rsidR="00655B88" w:rsidRPr="002A1B6C" w:rsidRDefault="00655B88" w:rsidP="002A1B6C">
      <w:pPr>
        <w:rPr>
          <w:rFonts w:cs="Arial"/>
          <w:iCs/>
          <w:szCs w:val="24"/>
        </w:rPr>
      </w:pPr>
      <w:r w:rsidRPr="002A1B6C">
        <w:rPr>
          <w:rFonts w:cs="Arial"/>
          <w:iCs/>
          <w:szCs w:val="24"/>
        </w:rPr>
        <w:t>This Clinical Guideline</w:t>
      </w:r>
      <w:r w:rsidR="002A1B6C">
        <w:rPr>
          <w:rFonts w:cs="Arial"/>
          <w:iCs/>
          <w:szCs w:val="24"/>
        </w:rPr>
        <w:t xml:space="preserve"> </w:t>
      </w:r>
      <w:r w:rsidRPr="002A1B6C">
        <w:rPr>
          <w:rFonts w:cs="Arial"/>
          <w:iCs/>
          <w:szCs w:val="24"/>
        </w:rPr>
        <w:t>Definitive and Postoperative Stereotactic Radiosurgery for Brain Metastasis(es) applies to all Radiation Oncologist</w:t>
      </w:r>
      <w:r w:rsidR="00D44B69">
        <w:rPr>
          <w:rFonts w:cs="Arial"/>
          <w:iCs/>
          <w:szCs w:val="24"/>
        </w:rPr>
        <w:t>’s</w:t>
      </w:r>
      <w:r w:rsidRPr="002A1B6C">
        <w:rPr>
          <w:rFonts w:cs="Arial"/>
          <w:iCs/>
          <w:szCs w:val="24"/>
        </w:rPr>
        <w:t xml:space="preserve"> and Radiation Therapist</w:t>
      </w:r>
      <w:r w:rsidR="00D44B69">
        <w:rPr>
          <w:rFonts w:cs="Arial"/>
          <w:iCs/>
          <w:szCs w:val="24"/>
        </w:rPr>
        <w:t>’s</w:t>
      </w:r>
      <w:r w:rsidRPr="002A1B6C">
        <w:rPr>
          <w:rFonts w:cs="Arial"/>
          <w:iCs/>
          <w:szCs w:val="24"/>
        </w:rPr>
        <w:t xml:space="preserve"> involved in the SRS service </w:t>
      </w:r>
      <w:r w:rsidR="00FB69FC">
        <w:rPr>
          <w:rFonts w:cs="Arial"/>
          <w:iCs/>
          <w:szCs w:val="24"/>
        </w:rPr>
        <w:t xml:space="preserve">working within their scope of practice </w:t>
      </w:r>
      <w:r w:rsidRPr="002A1B6C">
        <w:rPr>
          <w:rFonts w:cs="Arial"/>
          <w:iCs/>
          <w:szCs w:val="24"/>
        </w:rPr>
        <w:t>in the Radiation Oncology Department</w:t>
      </w:r>
      <w:r w:rsidR="002A1B6C">
        <w:rPr>
          <w:rFonts w:cs="Arial"/>
          <w:iCs/>
          <w:szCs w:val="24"/>
        </w:rPr>
        <w:t xml:space="preserve"> within Canberra Health Services</w:t>
      </w:r>
      <w:r w:rsidRPr="002A1B6C">
        <w:rPr>
          <w:rFonts w:cs="Arial"/>
          <w:iCs/>
          <w:szCs w:val="24"/>
        </w:rPr>
        <w:t xml:space="preserve">. </w:t>
      </w:r>
    </w:p>
    <w:p w14:paraId="28EF346C" w14:textId="77777777" w:rsidR="00655B88" w:rsidRPr="00032890" w:rsidRDefault="007F1B99" w:rsidP="00655B88">
      <w:pPr>
        <w:jc w:val="right"/>
        <w:rPr>
          <w:rFonts w:cs="Arial"/>
          <w:szCs w:val="24"/>
        </w:rPr>
      </w:pPr>
      <w:hyperlink w:anchor="Contents" w:history="1">
        <w:r w:rsidR="00655B88" w:rsidRPr="00C91F3F">
          <w:rPr>
            <w:rStyle w:val="Hyperlink"/>
            <w:rFonts w:eastAsiaTheme="majorEastAsia" w:cs="Arial"/>
            <w:i/>
            <w:szCs w:val="24"/>
          </w:rPr>
          <w:t>B</w:t>
        </w:r>
        <w:r w:rsidR="00655B88" w:rsidRPr="00161806">
          <w:rPr>
            <w:rStyle w:val="Hyperlink"/>
            <w:rFonts w:eastAsiaTheme="majorEastAsia" w:cs="Arial"/>
            <w:i/>
            <w:szCs w:val="24"/>
          </w:rPr>
          <w:t>ack to T</w:t>
        </w:r>
        <w:r w:rsidR="00655B88" w:rsidRPr="00C91F3F">
          <w:rPr>
            <w:rStyle w:val="Hyperlink"/>
            <w:rFonts w:eastAsiaTheme="majorEastAsia" w:cs="Arial"/>
            <w:i/>
            <w:szCs w:val="24"/>
          </w:rPr>
          <w: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4CB2C8BF" w14:textId="77777777" w:rsidTr="007546A2">
        <w:trPr>
          <w:cantSplit/>
          <w:trHeight w:val="285"/>
        </w:trPr>
        <w:tc>
          <w:tcPr>
            <w:tcW w:w="9158" w:type="dxa"/>
            <w:shd w:val="clear" w:color="auto" w:fill="D9D9D9" w:themeFill="background1" w:themeFillShade="D9"/>
          </w:tcPr>
          <w:p w14:paraId="7BBAEA13" w14:textId="77777777" w:rsidR="00655B88" w:rsidRPr="00C76688" w:rsidRDefault="00655B88" w:rsidP="007546A2">
            <w:pPr>
              <w:pStyle w:val="Heading1"/>
            </w:pPr>
            <w:bookmarkStart w:id="6" w:name="_Toc389473278"/>
            <w:bookmarkStart w:id="7" w:name="_Toc393203334"/>
            <w:bookmarkStart w:id="8" w:name="_Toc116641213"/>
            <w:r w:rsidRPr="00C76688">
              <w:t>Section 1 –</w:t>
            </w:r>
            <w:r>
              <w:t xml:space="preserve"> </w:t>
            </w:r>
            <w:bookmarkEnd w:id="6"/>
            <w:bookmarkEnd w:id="7"/>
            <w:r>
              <w:t>Indications</w:t>
            </w:r>
            <w:bookmarkEnd w:id="8"/>
            <w:r>
              <w:t xml:space="preserve"> </w:t>
            </w:r>
          </w:p>
        </w:tc>
      </w:tr>
    </w:tbl>
    <w:p w14:paraId="01CC2C52" w14:textId="77777777" w:rsidR="00655B88" w:rsidRDefault="00655B88" w:rsidP="00655B88">
      <w:pPr>
        <w:outlineLvl w:val="0"/>
        <w:rPr>
          <w:szCs w:val="24"/>
        </w:rPr>
      </w:pPr>
    </w:p>
    <w:p w14:paraId="10CCEC9B" w14:textId="77777777" w:rsidR="00655B88" w:rsidRPr="00E977FA" w:rsidRDefault="00655B88" w:rsidP="00B26EE3">
      <w:pPr>
        <w:numPr>
          <w:ilvl w:val="0"/>
          <w:numId w:val="20"/>
        </w:numPr>
        <w:ind w:left="357" w:hanging="357"/>
        <w:rPr>
          <w:rFonts w:cs="Lucida Grande"/>
          <w:color w:val="000000"/>
          <w:szCs w:val="24"/>
          <w:shd w:val="clear" w:color="auto" w:fill="FFFFFF"/>
        </w:rPr>
      </w:pPr>
      <w:r w:rsidRPr="00E977FA">
        <w:rPr>
          <w:rFonts w:cs="Lucida Grande"/>
          <w:color w:val="000000"/>
          <w:szCs w:val="24"/>
          <w:shd w:val="clear" w:color="auto" w:fill="FFFFFF"/>
        </w:rPr>
        <w:t>Histological diagnosis of a primary solid-organ malignancy.</w:t>
      </w:r>
    </w:p>
    <w:p w14:paraId="209DAD3C" w14:textId="77777777" w:rsidR="00655B88" w:rsidRPr="00E977FA" w:rsidRDefault="00655B88" w:rsidP="00B26EE3">
      <w:pPr>
        <w:numPr>
          <w:ilvl w:val="0"/>
          <w:numId w:val="20"/>
        </w:numPr>
        <w:ind w:left="357" w:hanging="357"/>
        <w:rPr>
          <w:rFonts w:cs="Lucida Grande"/>
          <w:color w:val="000000"/>
          <w:szCs w:val="24"/>
          <w:shd w:val="clear" w:color="auto" w:fill="FFFFFF"/>
        </w:rPr>
      </w:pPr>
      <w:r w:rsidRPr="00E977FA">
        <w:rPr>
          <w:rFonts w:cs="Lucida Grande"/>
          <w:color w:val="000000"/>
          <w:szCs w:val="24"/>
          <w:shd w:val="clear" w:color="auto" w:fill="FFFFFF"/>
        </w:rPr>
        <w:t>1 to 5</w:t>
      </w:r>
      <w:r w:rsidRPr="00E977FA">
        <w:rPr>
          <w:rFonts w:cs="Lucida Grande"/>
          <w:color w:val="000000"/>
          <w:szCs w:val="24"/>
          <w:shd w:val="clear" w:color="auto" w:fill="FFFFFF"/>
          <w:vertAlign w:val="superscript"/>
        </w:rPr>
        <w:t>‡</w:t>
      </w:r>
      <w:r w:rsidRPr="00E977FA">
        <w:rPr>
          <w:rFonts w:cs="Lucida Grande"/>
          <w:color w:val="000000"/>
          <w:szCs w:val="24"/>
          <w:shd w:val="clear" w:color="auto" w:fill="FFFFFF"/>
        </w:rPr>
        <w:t xml:space="preserve"> brain metastasis(es)/tumour cavity(ies) visualised on MRI brain with gadolinium.</w:t>
      </w:r>
    </w:p>
    <w:p w14:paraId="5C0BA6BE" w14:textId="77777777" w:rsidR="00655B88" w:rsidRPr="00E977FA" w:rsidRDefault="00655B88" w:rsidP="00B26EE3">
      <w:pPr>
        <w:numPr>
          <w:ilvl w:val="0"/>
          <w:numId w:val="20"/>
        </w:numPr>
        <w:ind w:left="357" w:hanging="357"/>
        <w:rPr>
          <w:rFonts w:cs="Lucida Grande"/>
          <w:color w:val="000000"/>
          <w:szCs w:val="24"/>
          <w:shd w:val="clear" w:color="auto" w:fill="FFFFFF"/>
        </w:rPr>
      </w:pPr>
      <w:r w:rsidRPr="00E977FA">
        <w:rPr>
          <w:rFonts w:cs="Lucida Grande"/>
          <w:color w:val="000000"/>
          <w:szCs w:val="24"/>
          <w:shd w:val="clear" w:color="auto" w:fill="FFFFFF"/>
        </w:rPr>
        <w:t>Maximum dimension of any single lesion ≤40 mm for intact brain metastasis and ≤50 mm for tumour cavity.</w:t>
      </w:r>
    </w:p>
    <w:p w14:paraId="4608BFF5" w14:textId="77777777" w:rsidR="00655B88" w:rsidRPr="00E977FA" w:rsidRDefault="00655B88" w:rsidP="00B26EE3">
      <w:pPr>
        <w:numPr>
          <w:ilvl w:val="0"/>
          <w:numId w:val="20"/>
        </w:numPr>
        <w:ind w:left="357" w:hanging="357"/>
        <w:rPr>
          <w:rFonts w:cs="Lucida Grande"/>
          <w:color w:val="000000"/>
          <w:szCs w:val="24"/>
          <w:shd w:val="clear" w:color="auto" w:fill="FFFFFF"/>
        </w:rPr>
      </w:pPr>
      <w:r w:rsidRPr="00E977FA">
        <w:rPr>
          <w:rFonts w:cs="Lucida Grande"/>
          <w:color w:val="000000"/>
          <w:szCs w:val="24"/>
          <w:shd w:val="clear" w:color="auto" w:fill="FFFFFF"/>
        </w:rPr>
        <w:t>Minimum lesion dimension of ≥8 mm.</w:t>
      </w:r>
    </w:p>
    <w:p w14:paraId="58B8FA49" w14:textId="77777777" w:rsidR="00655B88" w:rsidRPr="00E977FA" w:rsidRDefault="00655B88" w:rsidP="00B26EE3">
      <w:pPr>
        <w:numPr>
          <w:ilvl w:val="0"/>
          <w:numId w:val="20"/>
        </w:numPr>
        <w:ind w:left="357" w:hanging="357"/>
        <w:rPr>
          <w:rFonts w:cs="Lucida Grande"/>
          <w:color w:val="000000"/>
          <w:szCs w:val="24"/>
          <w:shd w:val="clear" w:color="auto" w:fill="FFFFFF"/>
        </w:rPr>
      </w:pPr>
      <w:r w:rsidRPr="00E977FA">
        <w:rPr>
          <w:rFonts w:cs="Lucida Grande"/>
          <w:color w:val="000000"/>
          <w:szCs w:val="24"/>
          <w:shd w:val="clear" w:color="auto" w:fill="FFFFFF"/>
        </w:rPr>
        <w:t>Maximum volume of any single PTV must be ≤10 cm</w:t>
      </w:r>
      <w:r w:rsidRPr="00E977FA">
        <w:rPr>
          <w:rFonts w:cs="Lucida Grande"/>
          <w:color w:val="000000"/>
          <w:szCs w:val="24"/>
          <w:shd w:val="clear" w:color="auto" w:fill="FFFFFF"/>
          <w:vertAlign w:val="superscript"/>
        </w:rPr>
        <w:t>3</w:t>
      </w:r>
      <w:r w:rsidRPr="00E977FA">
        <w:rPr>
          <w:rFonts w:cs="Lucida Grande"/>
          <w:color w:val="000000"/>
          <w:szCs w:val="24"/>
          <w:shd w:val="clear" w:color="auto" w:fill="FFFFFF"/>
        </w:rPr>
        <w:t xml:space="preserve"> in situ or ≤15 cm</w:t>
      </w:r>
      <w:r w:rsidRPr="00E977FA">
        <w:rPr>
          <w:rFonts w:cs="Lucida Grande"/>
          <w:color w:val="000000"/>
          <w:szCs w:val="24"/>
          <w:shd w:val="clear" w:color="auto" w:fill="FFFFFF"/>
          <w:vertAlign w:val="superscript"/>
        </w:rPr>
        <w:t>3</w:t>
      </w:r>
      <w:r w:rsidRPr="00E977FA">
        <w:rPr>
          <w:rFonts w:cs="Lucida Grande"/>
          <w:color w:val="000000"/>
          <w:szCs w:val="24"/>
          <w:shd w:val="clear" w:color="auto" w:fill="FFFFFF"/>
        </w:rPr>
        <w:t xml:space="preserve"> cavity^.</w:t>
      </w:r>
    </w:p>
    <w:p w14:paraId="4B66AC05" w14:textId="77777777" w:rsidR="00655B88" w:rsidRPr="00E977FA" w:rsidRDefault="00655B88" w:rsidP="00B26EE3">
      <w:pPr>
        <w:numPr>
          <w:ilvl w:val="0"/>
          <w:numId w:val="20"/>
        </w:numPr>
        <w:ind w:left="357" w:hanging="357"/>
        <w:rPr>
          <w:rFonts w:cs="Lucida Grande"/>
          <w:color w:val="000000"/>
          <w:szCs w:val="24"/>
          <w:shd w:val="clear" w:color="auto" w:fill="FFFFFF"/>
        </w:rPr>
      </w:pPr>
      <w:r w:rsidRPr="00E977FA">
        <w:rPr>
          <w:rFonts w:cs="Lucida Grande"/>
          <w:color w:val="000000"/>
          <w:szCs w:val="24"/>
          <w:shd w:val="clear" w:color="auto" w:fill="FFFFFF"/>
        </w:rPr>
        <w:t>Summated volume of all lesions to be treated with SRS must be ≤15 cm</w:t>
      </w:r>
      <w:r w:rsidRPr="00E977FA">
        <w:rPr>
          <w:rFonts w:cs="Lucida Grande"/>
          <w:color w:val="000000"/>
          <w:szCs w:val="24"/>
          <w:shd w:val="clear" w:color="auto" w:fill="FFFFFF"/>
          <w:vertAlign w:val="superscript"/>
        </w:rPr>
        <w:t>3</w:t>
      </w:r>
      <w:r w:rsidRPr="00E977FA">
        <w:rPr>
          <w:rFonts w:cs="Lucida Grande"/>
          <w:color w:val="000000"/>
          <w:szCs w:val="24"/>
          <w:shd w:val="clear" w:color="auto" w:fill="FFFFFF"/>
        </w:rPr>
        <w:t>*.</w:t>
      </w:r>
    </w:p>
    <w:p w14:paraId="3CE20C11" w14:textId="77777777" w:rsidR="00655B88" w:rsidRPr="00161806" w:rsidRDefault="00655B88" w:rsidP="00B26EE3">
      <w:pPr>
        <w:numPr>
          <w:ilvl w:val="0"/>
          <w:numId w:val="20"/>
        </w:numPr>
        <w:ind w:left="357" w:hanging="357"/>
        <w:rPr>
          <w:rFonts w:cs="Lucida Grande"/>
          <w:color w:val="000000"/>
          <w:szCs w:val="24"/>
          <w:shd w:val="clear" w:color="auto" w:fill="FFFFFF"/>
        </w:rPr>
      </w:pPr>
      <w:r w:rsidRPr="00E977FA">
        <w:rPr>
          <w:rFonts w:cs="Lucida Grande"/>
          <w:color w:val="000000"/>
          <w:szCs w:val="24"/>
          <w:shd w:val="clear" w:color="auto" w:fill="FFFFFF"/>
        </w:rPr>
        <w:t>ECOG 0 to 2</w:t>
      </w:r>
      <w:r w:rsidRPr="00E977FA">
        <w:rPr>
          <w:rFonts w:cs="Lucida Grande"/>
          <w:color w:val="000000"/>
          <w:szCs w:val="24"/>
          <w:shd w:val="clear" w:color="auto" w:fill="FFFFFF"/>
          <w:vertAlign w:val="superscript"/>
        </w:rPr>
        <w:t>#</w:t>
      </w:r>
      <w:r w:rsidRPr="00E977FA">
        <w:rPr>
          <w:rFonts w:cs="Lucida Grande"/>
          <w:color w:val="000000"/>
          <w:szCs w:val="24"/>
          <w:shd w:val="clear" w:color="auto" w:fill="FFFFFF"/>
        </w:rPr>
        <w:t>.</w:t>
      </w:r>
    </w:p>
    <w:p w14:paraId="46F5B042" w14:textId="77777777" w:rsidR="00655B88" w:rsidRPr="003363E2" w:rsidRDefault="00655B88" w:rsidP="00DE4737">
      <w:pPr>
        <w:rPr>
          <w:rFonts w:cs="Lucida Grande"/>
          <w:szCs w:val="24"/>
          <w:shd w:val="clear" w:color="auto" w:fill="FFFFFF"/>
        </w:rPr>
      </w:pPr>
    </w:p>
    <w:p w14:paraId="5A77A3C6" w14:textId="77777777" w:rsidR="00655B88" w:rsidRPr="003363E2" w:rsidRDefault="00655B88" w:rsidP="00DE4737">
      <w:pPr>
        <w:rPr>
          <w:rFonts w:cs="Lucida Grande"/>
          <w:szCs w:val="24"/>
          <w:shd w:val="clear" w:color="auto" w:fill="FFFFFF"/>
        </w:rPr>
      </w:pPr>
      <w:r w:rsidRPr="003363E2">
        <w:rPr>
          <w:rFonts w:cs="Lucida Grande"/>
          <w:szCs w:val="24"/>
          <w:shd w:val="clear" w:color="auto" w:fill="FFFFFF"/>
        </w:rPr>
        <w:t>The following deviations from the above indications may be appropriate depending on the clinical context at the discretion of the treating Radiation Oncologist:</w:t>
      </w:r>
    </w:p>
    <w:p w14:paraId="3AD2CDEE" w14:textId="77777777" w:rsidR="00655B88" w:rsidRPr="003363E2" w:rsidRDefault="00655B88" w:rsidP="00B26EE3">
      <w:pPr>
        <w:pStyle w:val="ListParagraph"/>
        <w:numPr>
          <w:ilvl w:val="0"/>
          <w:numId w:val="21"/>
        </w:numPr>
        <w:ind w:left="426" w:hanging="426"/>
        <w:rPr>
          <w:rFonts w:cs="Lucida Grande"/>
          <w:color w:val="000000"/>
          <w:szCs w:val="24"/>
          <w:shd w:val="clear" w:color="auto" w:fill="FFFFFF"/>
        </w:rPr>
      </w:pPr>
      <w:r w:rsidRPr="003363E2">
        <w:rPr>
          <w:rFonts w:cs="Lucida Grande"/>
          <w:color w:val="000000"/>
          <w:szCs w:val="24"/>
          <w:shd w:val="clear" w:color="auto" w:fill="FFFFFF"/>
          <w:vertAlign w:val="superscript"/>
        </w:rPr>
        <w:t>‡</w:t>
      </w:r>
      <w:r w:rsidRPr="003363E2">
        <w:rPr>
          <w:rFonts w:cs="Lucida Grande"/>
          <w:color w:val="000000"/>
          <w:szCs w:val="24"/>
          <w:shd w:val="clear" w:color="auto" w:fill="FFFFFF"/>
        </w:rPr>
        <w:t>SRS for &gt;5 brain metastases (either concurrently or sequentially).</w:t>
      </w:r>
    </w:p>
    <w:p w14:paraId="4432E59F" w14:textId="77777777" w:rsidR="00655B88" w:rsidRPr="003363E2" w:rsidRDefault="00655B88" w:rsidP="00B26EE3">
      <w:pPr>
        <w:pStyle w:val="ListParagraph"/>
        <w:numPr>
          <w:ilvl w:val="0"/>
          <w:numId w:val="21"/>
        </w:numPr>
        <w:ind w:left="426" w:hanging="426"/>
        <w:rPr>
          <w:rFonts w:cs="Lucida Grande"/>
          <w:color w:val="000000"/>
          <w:szCs w:val="24"/>
          <w:shd w:val="clear" w:color="auto" w:fill="FFFFFF"/>
        </w:rPr>
      </w:pPr>
      <w:r w:rsidRPr="003363E2">
        <w:rPr>
          <w:rFonts w:cs="Lucida Grande"/>
          <w:color w:val="000000"/>
          <w:szCs w:val="24"/>
          <w:shd w:val="clear" w:color="auto" w:fill="FFFFFF"/>
        </w:rPr>
        <w:t>^Relates to single fraction SRS. For hypofractionated SRS: the maximum volume of a single PTV is not well defined and can be &gt;10 cm</w:t>
      </w:r>
      <w:r w:rsidRPr="003363E2">
        <w:rPr>
          <w:rFonts w:cs="Lucida Grande"/>
          <w:color w:val="000000"/>
          <w:szCs w:val="24"/>
          <w:shd w:val="clear" w:color="auto" w:fill="FFFFFF"/>
          <w:vertAlign w:val="superscript"/>
        </w:rPr>
        <w:t>3</w:t>
      </w:r>
      <w:r w:rsidRPr="003363E2">
        <w:rPr>
          <w:rFonts w:cs="Lucida Grande"/>
          <w:color w:val="000000"/>
          <w:szCs w:val="24"/>
          <w:shd w:val="clear" w:color="auto" w:fill="FFFFFF"/>
        </w:rPr>
        <w:t xml:space="preserve"> in situ or &gt;15 cm</w:t>
      </w:r>
      <w:r w:rsidRPr="003363E2">
        <w:rPr>
          <w:rFonts w:cs="Lucida Grande"/>
          <w:color w:val="000000"/>
          <w:szCs w:val="24"/>
          <w:shd w:val="clear" w:color="auto" w:fill="FFFFFF"/>
          <w:vertAlign w:val="superscript"/>
        </w:rPr>
        <w:t>3</w:t>
      </w:r>
      <w:r w:rsidRPr="003363E2">
        <w:rPr>
          <w:rFonts w:cs="Lucida Grande"/>
          <w:color w:val="000000"/>
          <w:szCs w:val="24"/>
          <w:shd w:val="clear" w:color="auto" w:fill="FFFFFF"/>
        </w:rPr>
        <w:t xml:space="preserve"> cavity.</w:t>
      </w:r>
    </w:p>
    <w:p w14:paraId="6F9FED82" w14:textId="77777777" w:rsidR="00655B88" w:rsidRPr="003363E2" w:rsidRDefault="00655B88" w:rsidP="00B26EE3">
      <w:pPr>
        <w:pStyle w:val="ListParagraph"/>
        <w:numPr>
          <w:ilvl w:val="0"/>
          <w:numId w:val="21"/>
        </w:numPr>
        <w:ind w:left="426" w:hanging="426"/>
        <w:rPr>
          <w:rFonts w:cs="Lucida Grande"/>
          <w:color w:val="000000"/>
          <w:szCs w:val="24"/>
          <w:shd w:val="clear" w:color="auto" w:fill="FFFFFF"/>
        </w:rPr>
      </w:pPr>
      <w:r w:rsidRPr="003363E2">
        <w:rPr>
          <w:rFonts w:cs="Lucida Grande"/>
          <w:color w:val="000000"/>
          <w:szCs w:val="24"/>
          <w:shd w:val="clear" w:color="auto" w:fill="FFFFFF"/>
        </w:rPr>
        <w:t>*Relates to single fraction SRS. For hypofractionated SRS: the summated volume of all lesions can be &gt;15 cm</w:t>
      </w:r>
      <w:r w:rsidRPr="003363E2">
        <w:rPr>
          <w:rFonts w:cs="Lucida Grande"/>
          <w:color w:val="000000"/>
          <w:szCs w:val="24"/>
          <w:shd w:val="clear" w:color="auto" w:fill="FFFFFF"/>
          <w:vertAlign w:val="superscript"/>
        </w:rPr>
        <w:t>3</w:t>
      </w:r>
      <w:r w:rsidRPr="003363E2">
        <w:rPr>
          <w:rFonts w:cs="Lucida Grande"/>
          <w:color w:val="000000"/>
          <w:szCs w:val="24"/>
          <w:shd w:val="clear" w:color="auto" w:fill="FFFFFF"/>
        </w:rPr>
        <w:t xml:space="preserve"> but must be &lt;35 cm</w:t>
      </w:r>
      <w:r w:rsidRPr="003363E2">
        <w:rPr>
          <w:rFonts w:cs="Lucida Grande"/>
          <w:color w:val="000000"/>
          <w:szCs w:val="24"/>
          <w:shd w:val="clear" w:color="auto" w:fill="FFFFFF"/>
          <w:vertAlign w:val="superscript"/>
        </w:rPr>
        <w:t>3</w:t>
      </w:r>
      <w:r w:rsidRPr="003363E2">
        <w:rPr>
          <w:rFonts w:cs="Lucida Grande"/>
          <w:color w:val="000000"/>
          <w:szCs w:val="24"/>
          <w:shd w:val="clear" w:color="auto" w:fill="FFFFFF"/>
        </w:rPr>
        <w:t>.</w:t>
      </w:r>
    </w:p>
    <w:p w14:paraId="656791E1" w14:textId="77777777" w:rsidR="00655B88" w:rsidRPr="003363E2" w:rsidRDefault="00655B88" w:rsidP="00B26EE3">
      <w:pPr>
        <w:pStyle w:val="ListParagraph"/>
        <w:numPr>
          <w:ilvl w:val="0"/>
          <w:numId w:val="21"/>
        </w:numPr>
        <w:ind w:left="426" w:hanging="426"/>
        <w:rPr>
          <w:rFonts w:cs="Lucida Grande"/>
          <w:color w:val="000000"/>
          <w:szCs w:val="24"/>
          <w:shd w:val="clear" w:color="auto" w:fill="FFFFFF"/>
        </w:rPr>
      </w:pPr>
      <w:r w:rsidRPr="003363E2">
        <w:rPr>
          <w:rFonts w:cs="Lucida Grande"/>
          <w:color w:val="000000"/>
          <w:szCs w:val="24"/>
          <w:shd w:val="clear" w:color="auto" w:fill="FFFFFF"/>
          <w:vertAlign w:val="superscript"/>
        </w:rPr>
        <w:lastRenderedPageBreak/>
        <w:t>#</w:t>
      </w:r>
      <w:r w:rsidRPr="003363E2">
        <w:rPr>
          <w:rFonts w:cs="Lucida Grande"/>
          <w:color w:val="000000"/>
          <w:szCs w:val="24"/>
          <w:shd w:val="clear" w:color="auto" w:fill="FFFFFF"/>
        </w:rPr>
        <w:t>ECOG &gt;2 (particularly if performance status decline is thought to be due to intracranial disease).</w:t>
      </w:r>
    </w:p>
    <w:p w14:paraId="5154561B" w14:textId="77777777" w:rsidR="00655B88" w:rsidRPr="00DA3910" w:rsidRDefault="007F1B99" w:rsidP="00655B88">
      <w:pPr>
        <w:jc w:val="right"/>
        <w:rPr>
          <w:rFonts w:cs="Arial"/>
          <w:i/>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39F6D4BF" w14:textId="77777777" w:rsidTr="007546A2">
        <w:trPr>
          <w:cantSplit/>
          <w:trHeight w:val="285"/>
        </w:trPr>
        <w:tc>
          <w:tcPr>
            <w:tcW w:w="9158" w:type="dxa"/>
            <w:shd w:val="clear" w:color="auto" w:fill="D9D9D9" w:themeFill="background1" w:themeFillShade="D9"/>
          </w:tcPr>
          <w:p w14:paraId="2B781CD5" w14:textId="77777777" w:rsidR="00655B88" w:rsidRPr="00C76688" w:rsidRDefault="00655B88" w:rsidP="007546A2">
            <w:pPr>
              <w:pStyle w:val="Heading1"/>
            </w:pPr>
            <w:bookmarkStart w:id="9" w:name="_Toc389473281"/>
            <w:bookmarkStart w:id="10" w:name="_Toc393203337"/>
            <w:bookmarkStart w:id="11" w:name="_Toc116641214"/>
            <w:r w:rsidRPr="00C76688">
              <w:t xml:space="preserve">Section 2 – </w:t>
            </w:r>
            <w:bookmarkEnd w:id="9"/>
            <w:bookmarkEnd w:id="10"/>
            <w:r>
              <w:t>Contraindications</w:t>
            </w:r>
            <w:bookmarkEnd w:id="11"/>
            <w:r>
              <w:t xml:space="preserve"> </w:t>
            </w:r>
          </w:p>
        </w:tc>
      </w:tr>
    </w:tbl>
    <w:p w14:paraId="4D4C7429" w14:textId="77777777" w:rsidR="00655B88" w:rsidRDefault="00655B88" w:rsidP="00655B88">
      <w:pPr>
        <w:rPr>
          <w:rFonts w:cs="Arial"/>
          <w:i/>
          <w:szCs w:val="24"/>
        </w:rPr>
      </w:pPr>
    </w:p>
    <w:p w14:paraId="09111B65" w14:textId="77777777" w:rsidR="00655B88" w:rsidRPr="00E977FA" w:rsidRDefault="00655B88" w:rsidP="00DE4737">
      <w:pPr>
        <w:rPr>
          <w:b/>
          <w:szCs w:val="24"/>
        </w:rPr>
      </w:pPr>
      <w:r w:rsidRPr="00E977FA">
        <w:rPr>
          <w:b/>
          <w:szCs w:val="24"/>
        </w:rPr>
        <w:t>Absolute contraindications</w:t>
      </w:r>
    </w:p>
    <w:p w14:paraId="7054A4A4" w14:textId="77777777" w:rsidR="00655B88" w:rsidRPr="003363E2" w:rsidRDefault="00655B88" w:rsidP="00B26EE3">
      <w:pPr>
        <w:pStyle w:val="ListParagraph"/>
        <w:numPr>
          <w:ilvl w:val="0"/>
          <w:numId w:val="22"/>
        </w:numPr>
        <w:ind w:left="426" w:hanging="426"/>
        <w:rPr>
          <w:szCs w:val="24"/>
        </w:rPr>
      </w:pPr>
      <w:r w:rsidRPr="003363E2">
        <w:rPr>
          <w:szCs w:val="24"/>
        </w:rPr>
        <w:t>Unable to lie still safely for planning/treatment</w:t>
      </w:r>
    </w:p>
    <w:p w14:paraId="7A3D1532" w14:textId="77777777" w:rsidR="00655B88" w:rsidRPr="003363E2" w:rsidRDefault="00655B88" w:rsidP="00B26EE3">
      <w:pPr>
        <w:pStyle w:val="ListParagraph"/>
        <w:numPr>
          <w:ilvl w:val="0"/>
          <w:numId w:val="22"/>
        </w:numPr>
        <w:ind w:left="426" w:hanging="426"/>
        <w:rPr>
          <w:szCs w:val="24"/>
        </w:rPr>
      </w:pPr>
      <w:r w:rsidRPr="003363E2">
        <w:rPr>
          <w:szCs w:val="24"/>
        </w:rPr>
        <w:t>Diffuse leptomeningeal involvement</w:t>
      </w:r>
    </w:p>
    <w:p w14:paraId="1463157B" w14:textId="77777777" w:rsidR="00655B88" w:rsidRPr="003363E2" w:rsidRDefault="00655B88" w:rsidP="00B26EE3">
      <w:pPr>
        <w:pStyle w:val="ListParagraph"/>
        <w:numPr>
          <w:ilvl w:val="0"/>
          <w:numId w:val="22"/>
        </w:numPr>
        <w:ind w:left="426" w:hanging="426"/>
        <w:rPr>
          <w:szCs w:val="24"/>
        </w:rPr>
      </w:pPr>
      <w:r w:rsidRPr="003363E2">
        <w:rPr>
          <w:szCs w:val="24"/>
        </w:rPr>
        <w:t>Pregnancy</w:t>
      </w:r>
    </w:p>
    <w:p w14:paraId="383BBBF8" w14:textId="77777777" w:rsidR="00655B88" w:rsidRDefault="00655B88" w:rsidP="00DE4737">
      <w:pPr>
        <w:rPr>
          <w:b/>
          <w:szCs w:val="24"/>
        </w:rPr>
      </w:pPr>
    </w:p>
    <w:p w14:paraId="66A6D9FB" w14:textId="77777777" w:rsidR="00655B88" w:rsidRPr="00E977FA" w:rsidRDefault="00655B88" w:rsidP="00DE4737">
      <w:pPr>
        <w:rPr>
          <w:b/>
          <w:szCs w:val="24"/>
        </w:rPr>
      </w:pPr>
      <w:r w:rsidRPr="00E977FA">
        <w:rPr>
          <w:b/>
          <w:szCs w:val="24"/>
        </w:rPr>
        <w:t>Relative contraindications</w:t>
      </w:r>
    </w:p>
    <w:p w14:paraId="2A055790" w14:textId="77777777" w:rsidR="00655B88" w:rsidRPr="00E977FA" w:rsidRDefault="00655B88" w:rsidP="00B26EE3">
      <w:pPr>
        <w:numPr>
          <w:ilvl w:val="0"/>
          <w:numId w:val="23"/>
        </w:numPr>
        <w:rPr>
          <w:szCs w:val="24"/>
        </w:rPr>
      </w:pPr>
      <w:r w:rsidRPr="00E977FA">
        <w:rPr>
          <w:szCs w:val="24"/>
        </w:rPr>
        <w:t>Severe claustrophobia</w:t>
      </w:r>
    </w:p>
    <w:p w14:paraId="29FCFFF0" w14:textId="77777777" w:rsidR="00655B88" w:rsidRPr="00E977FA" w:rsidRDefault="00655B88" w:rsidP="00B26EE3">
      <w:pPr>
        <w:numPr>
          <w:ilvl w:val="0"/>
          <w:numId w:val="23"/>
        </w:numPr>
        <w:rPr>
          <w:szCs w:val="24"/>
        </w:rPr>
      </w:pPr>
      <w:r w:rsidRPr="00E977FA">
        <w:rPr>
          <w:szCs w:val="24"/>
        </w:rPr>
        <w:t>&gt;1 cm midline shift on imaging</w:t>
      </w:r>
    </w:p>
    <w:p w14:paraId="69F35EBF" w14:textId="77777777" w:rsidR="00655B88" w:rsidRPr="00E977FA" w:rsidRDefault="00655B88" w:rsidP="00B26EE3">
      <w:pPr>
        <w:numPr>
          <w:ilvl w:val="0"/>
          <w:numId w:val="23"/>
        </w:numPr>
        <w:rPr>
          <w:szCs w:val="24"/>
        </w:rPr>
      </w:pPr>
      <w:r w:rsidRPr="00E977FA">
        <w:rPr>
          <w:szCs w:val="24"/>
        </w:rPr>
        <w:t>Uncontrolled seizures</w:t>
      </w:r>
    </w:p>
    <w:p w14:paraId="3886A6F2" w14:textId="77777777" w:rsidR="00655B88" w:rsidRPr="00E977FA" w:rsidRDefault="00655B88" w:rsidP="00B26EE3">
      <w:pPr>
        <w:numPr>
          <w:ilvl w:val="0"/>
          <w:numId w:val="23"/>
        </w:numPr>
        <w:rPr>
          <w:szCs w:val="24"/>
        </w:rPr>
      </w:pPr>
      <w:r w:rsidRPr="00E977FA">
        <w:rPr>
          <w:szCs w:val="24"/>
        </w:rPr>
        <w:t>Concurrent use of radiosensitizers</w:t>
      </w:r>
    </w:p>
    <w:p w14:paraId="20BF586C" w14:textId="77777777" w:rsidR="00655B88" w:rsidRPr="00E977FA" w:rsidRDefault="00655B88" w:rsidP="00B26EE3">
      <w:pPr>
        <w:numPr>
          <w:ilvl w:val="0"/>
          <w:numId w:val="23"/>
        </w:numPr>
        <w:rPr>
          <w:szCs w:val="24"/>
        </w:rPr>
      </w:pPr>
      <w:r w:rsidRPr="00E977FA">
        <w:rPr>
          <w:szCs w:val="24"/>
        </w:rPr>
        <w:t>Connective tissue disorder (in particular: scleroderma)</w:t>
      </w:r>
    </w:p>
    <w:p w14:paraId="67AFFE26" w14:textId="77777777" w:rsidR="00655B88" w:rsidRDefault="00655B88" w:rsidP="003363E2">
      <w:pPr>
        <w:rPr>
          <w:rFonts w:cs="Arial"/>
          <w:b/>
          <w:szCs w:val="24"/>
        </w:rPr>
      </w:pPr>
    </w:p>
    <w:p w14:paraId="65B5EC9E" w14:textId="77777777" w:rsidR="00655B88" w:rsidRPr="00DA3910" w:rsidRDefault="007F1B99" w:rsidP="00655B88">
      <w:pPr>
        <w:jc w:val="right"/>
        <w:rPr>
          <w:rFonts w:cs="Arial"/>
          <w:i/>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237CE111" w14:textId="77777777" w:rsidTr="007546A2">
        <w:trPr>
          <w:cantSplit/>
          <w:trHeight w:val="285"/>
        </w:trPr>
        <w:tc>
          <w:tcPr>
            <w:tcW w:w="9158" w:type="dxa"/>
            <w:shd w:val="clear" w:color="auto" w:fill="D9D9D9" w:themeFill="background1" w:themeFillShade="D9"/>
          </w:tcPr>
          <w:p w14:paraId="0F434A0F" w14:textId="77777777" w:rsidR="00655B88" w:rsidRPr="003D2D06" w:rsidRDefault="00655B88" w:rsidP="007546A2">
            <w:pPr>
              <w:pStyle w:val="Heading1"/>
            </w:pPr>
            <w:bookmarkStart w:id="12" w:name="_Toc389473284"/>
            <w:bookmarkStart w:id="13" w:name="_Toc393203340"/>
            <w:bookmarkStart w:id="14" w:name="_Toc116641215"/>
            <w:r w:rsidRPr="003D2D06">
              <w:t xml:space="preserve">Section </w:t>
            </w:r>
            <w:r>
              <w:t>3</w:t>
            </w:r>
            <w:r w:rsidRPr="003D2D06">
              <w:t xml:space="preserve"> – </w:t>
            </w:r>
            <w:bookmarkEnd w:id="12"/>
            <w:bookmarkEnd w:id="13"/>
            <w:r>
              <w:t>Pre-SRS Considerations</w:t>
            </w:r>
            <w:bookmarkEnd w:id="14"/>
          </w:p>
        </w:tc>
      </w:tr>
    </w:tbl>
    <w:p w14:paraId="08D304D3" w14:textId="77777777" w:rsidR="00655B88" w:rsidRDefault="00655B88" w:rsidP="00655B88">
      <w:pPr>
        <w:pStyle w:val="Heading2"/>
      </w:pPr>
    </w:p>
    <w:p w14:paraId="226CB63F" w14:textId="77777777" w:rsidR="00655B88" w:rsidRPr="00E977FA" w:rsidRDefault="00655B88" w:rsidP="00DE4737">
      <w:pPr>
        <w:rPr>
          <w:b/>
          <w:szCs w:val="24"/>
        </w:rPr>
      </w:pPr>
      <w:r w:rsidRPr="00E977FA">
        <w:rPr>
          <w:b/>
          <w:szCs w:val="24"/>
        </w:rPr>
        <w:t>Patient factors</w:t>
      </w:r>
    </w:p>
    <w:p w14:paraId="3F984D14" w14:textId="77777777" w:rsidR="00655B88" w:rsidRPr="00E977FA" w:rsidRDefault="00655B88" w:rsidP="00B26EE3">
      <w:pPr>
        <w:numPr>
          <w:ilvl w:val="0"/>
          <w:numId w:val="24"/>
        </w:numPr>
        <w:rPr>
          <w:szCs w:val="24"/>
        </w:rPr>
      </w:pPr>
      <w:r w:rsidRPr="00E977FA">
        <w:rPr>
          <w:szCs w:val="24"/>
        </w:rPr>
        <w:t>Age</w:t>
      </w:r>
    </w:p>
    <w:p w14:paraId="50D1C8F6" w14:textId="77777777" w:rsidR="00655B88" w:rsidRPr="00E977FA" w:rsidRDefault="00655B88" w:rsidP="00B26EE3">
      <w:pPr>
        <w:numPr>
          <w:ilvl w:val="0"/>
          <w:numId w:val="24"/>
        </w:numPr>
        <w:rPr>
          <w:szCs w:val="24"/>
        </w:rPr>
      </w:pPr>
      <w:r w:rsidRPr="00E977FA">
        <w:rPr>
          <w:szCs w:val="24"/>
        </w:rPr>
        <w:t>Comorbidities/estimated prognosis</w:t>
      </w:r>
    </w:p>
    <w:p w14:paraId="1B177743" w14:textId="77777777" w:rsidR="00655B88" w:rsidRPr="00E977FA" w:rsidRDefault="00655B88" w:rsidP="00B26EE3">
      <w:pPr>
        <w:numPr>
          <w:ilvl w:val="0"/>
          <w:numId w:val="24"/>
        </w:numPr>
        <w:rPr>
          <w:szCs w:val="24"/>
        </w:rPr>
      </w:pPr>
      <w:r w:rsidRPr="00E977FA">
        <w:rPr>
          <w:szCs w:val="24"/>
        </w:rPr>
        <w:t>Performance status</w:t>
      </w:r>
    </w:p>
    <w:p w14:paraId="6E46FC69" w14:textId="77777777" w:rsidR="00655B88" w:rsidRPr="00E977FA" w:rsidRDefault="00655B88" w:rsidP="00B26EE3">
      <w:pPr>
        <w:numPr>
          <w:ilvl w:val="0"/>
          <w:numId w:val="24"/>
        </w:numPr>
        <w:rPr>
          <w:szCs w:val="24"/>
        </w:rPr>
      </w:pPr>
      <w:r w:rsidRPr="00E977FA">
        <w:rPr>
          <w:szCs w:val="24"/>
        </w:rPr>
        <w:t>Preference</w:t>
      </w:r>
    </w:p>
    <w:p w14:paraId="344E3564" w14:textId="77777777" w:rsidR="00655B88" w:rsidRPr="00E977FA" w:rsidRDefault="00655B88" w:rsidP="00B26EE3">
      <w:pPr>
        <w:pStyle w:val="ListParagraph"/>
        <w:numPr>
          <w:ilvl w:val="0"/>
          <w:numId w:val="24"/>
        </w:numPr>
        <w:rPr>
          <w:szCs w:val="24"/>
        </w:rPr>
      </w:pPr>
      <w:r w:rsidRPr="00E977FA">
        <w:rPr>
          <w:szCs w:val="24"/>
        </w:rPr>
        <w:t>Compliance</w:t>
      </w:r>
      <w:r>
        <w:rPr>
          <w:szCs w:val="24"/>
        </w:rPr>
        <w:t xml:space="preserve"> to treatment and follow up</w:t>
      </w:r>
    </w:p>
    <w:p w14:paraId="376310E0" w14:textId="77777777" w:rsidR="00655B88" w:rsidRDefault="00655B88" w:rsidP="00DE4737">
      <w:pPr>
        <w:rPr>
          <w:b/>
          <w:szCs w:val="24"/>
        </w:rPr>
      </w:pPr>
    </w:p>
    <w:p w14:paraId="6E8B2927" w14:textId="77777777" w:rsidR="00655B88" w:rsidRPr="00E977FA" w:rsidRDefault="00655B88" w:rsidP="00DE4737">
      <w:pPr>
        <w:rPr>
          <w:b/>
          <w:szCs w:val="24"/>
        </w:rPr>
      </w:pPr>
      <w:r w:rsidRPr="00E977FA">
        <w:rPr>
          <w:b/>
          <w:szCs w:val="24"/>
        </w:rPr>
        <w:t>Tumour factors</w:t>
      </w:r>
    </w:p>
    <w:p w14:paraId="6BB6BDD1" w14:textId="77777777" w:rsidR="00655B88" w:rsidRPr="00E977FA" w:rsidRDefault="00655B88" w:rsidP="00B26EE3">
      <w:pPr>
        <w:numPr>
          <w:ilvl w:val="0"/>
          <w:numId w:val="25"/>
        </w:numPr>
        <w:rPr>
          <w:szCs w:val="24"/>
        </w:rPr>
      </w:pPr>
      <w:r w:rsidRPr="00E977FA">
        <w:rPr>
          <w:szCs w:val="24"/>
        </w:rPr>
        <w:t>Histopathological/molecular type</w:t>
      </w:r>
    </w:p>
    <w:p w14:paraId="5C9CF67B" w14:textId="77777777" w:rsidR="00655B88" w:rsidRPr="00E977FA" w:rsidRDefault="00655B88" w:rsidP="00B26EE3">
      <w:pPr>
        <w:numPr>
          <w:ilvl w:val="0"/>
          <w:numId w:val="25"/>
        </w:numPr>
        <w:rPr>
          <w:szCs w:val="24"/>
        </w:rPr>
      </w:pPr>
      <w:r w:rsidRPr="00E977FA">
        <w:rPr>
          <w:szCs w:val="24"/>
        </w:rPr>
        <w:t>Size, site (eloquent vs non-eloquent cortex; brainstem), number, and volume of lesions</w:t>
      </w:r>
    </w:p>
    <w:p w14:paraId="0CA8BAC2" w14:textId="77777777" w:rsidR="00655B88" w:rsidRPr="00E977FA" w:rsidRDefault="00655B88" w:rsidP="00B26EE3">
      <w:pPr>
        <w:numPr>
          <w:ilvl w:val="0"/>
          <w:numId w:val="25"/>
        </w:numPr>
        <w:rPr>
          <w:szCs w:val="24"/>
        </w:rPr>
      </w:pPr>
      <w:r w:rsidRPr="00E977FA">
        <w:rPr>
          <w:szCs w:val="24"/>
        </w:rPr>
        <w:t>Presence/extent of leptomeningeal involvement</w:t>
      </w:r>
    </w:p>
    <w:p w14:paraId="4011516F" w14:textId="77777777" w:rsidR="00655B88" w:rsidRPr="00E977FA" w:rsidRDefault="00655B88" w:rsidP="00B26EE3">
      <w:pPr>
        <w:numPr>
          <w:ilvl w:val="0"/>
          <w:numId w:val="25"/>
        </w:numPr>
        <w:rPr>
          <w:szCs w:val="24"/>
        </w:rPr>
      </w:pPr>
      <w:r w:rsidRPr="00E977FA">
        <w:rPr>
          <w:szCs w:val="24"/>
        </w:rPr>
        <w:t xml:space="preserve">Presence/extent and stability of extracranial disease </w:t>
      </w:r>
    </w:p>
    <w:p w14:paraId="736DE890" w14:textId="77777777" w:rsidR="00655B88" w:rsidRDefault="00655B88" w:rsidP="00DE4737">
      <w:pPr>
        <w:rPr>
          <w:b/>
          <w:szCs w:val="24"/>
        </w:rPr>
      </w:pPr>
    </w:p>
    <w:p w14:paraId="5A7FC2F7" w14:textId="77777777" w:rsidR="00655B88" w:rsidRPr="00E977FA" w:rsidRDefault="00655B88" w:rsidP="00DE4737">
      <w:pPr>
        <w:rPr>
          <w:b/>
          <w:szCs w:val="24"/>
        </w:rPr>
      </w:pPr>
      <w:r w:rsidRPr="00E977FA">
        <w:rPr>
          <w:b/>
          <w:szCs w:val="24"/>
        </w:rPr>
        <w:t>Treatment factors</w:t>
      </w:r>
    </w:p>
    <w:p w14:paraId="726751DF" w14:textId="77777777" w:rsidR="00655B88" w:rsidRPr="00E977FA" w:rsidRDefault="00655B88" w:rsidP="00B26EE3">
      <w:pPr>
        <w:numPr>
          <w:ilvl w:val="0"/>
          <w:numId w:val="26"/>
        </w:numPr>
        <w:rPr>
          <w:szCs w:val="24"/>
        </w:rPr>
      </w:pPr>
      <w:r w:rsidRPr="00E977FA">
        <w:rPr>
          <w:szCs w:val="24"/>
        </w:rPr>
        <w:t>Seizure control</w:t>
      </w:r>
    </w:p>
    <w:p w14:paraId="00BCD78B" w14:textId="77777777" w:rsidR="00655B88" w:rsidRPr="00E977FA" w:rsidRDefault="00655B88" w:rsidP="00B26EE3">
      <w:pPr>
        <w:numPr>
          <w:ilvl w:val="0"/>
          <w:numId w:val="26"/>
        </w:numPr>
        <w:rPr>
          <w:szCs w:val="24"/>
        </w:rPr>
      </w:pPr>
      <w:r w:rsidRPr="00E977FA">
        <w:rPr>
          <w:szCs w:val="24"/>
        </w:rPr>
        <w:t>Previous radiotherapy and dose received by the lesion(s) and OARs</w:t>
      </w:r>
    </w:p>
    <w:p w14:paraId="67A5A8F7" w14:textId="77777777" w:rsidR="00655B88" w:rsidRPr="00E977FA" w:rsidRDefault="00655B88" w:rsidP="00B26EE3">
      <w:pPr>
        <w:numPr>
          <w:ilvl w:val="0"/>
          <w:numId w:val="26"/>
        </w:numPr>
        <w:rPr>
          <w:szCs w:val="24"/>
        </w:rPr>
      </w:pPr>
      <w:r w:rsidRPr="00E977FA">
        <w:rPr>
          <w:szCs w:val="24"/>
        </w:rPr>
        <w:t>Suitability for surgery/previous brain surgery</w:t>
      </w:r>
    </w:p>
    <w:p w14:paraId="594FF1C8" w14:textId="77777777" w:rsidR="00655B88" w:rsidRPr="00E977FA" w:rsidRDefault="00655B88" w:rsidP="00B26EE3">
      <w:pPr>
        <w:numPr>
          <w:ilvl w:val="0"/>
          <w:numId w:val="26"/>
        </w:numPr>
        <w:rPr>
          <w:szCs w:val="24"/>
        </w:rPr>
      </w:pPr>
      <w:r w:rsidRPr="00E977FA">
        <w:rPr>
          <w:szCs w:val="24"/>
        </w:rPr>
        <w:t>Available effective systemic treatment options</w:t>
      </w:r>
    </w:p>
    <w:p w14:paraId="6AFB7A18" w14:textId="77777777" w:rsidR="00655B88" w:rsidRPr="00E977FA" w:rsidRDefault="00655B88" w:rsidP="00B26EE3">
      <w:pPr>
        <w:numPr>
          <w:ilvl w:val="0"/>
          <w:numId w:val="26"/>
        </w:numPr>
        <w:rPr>
          <w:szCs w:val="24"/>
        </w:rPr>
      </w:pPr>
      <w:r w:rsidRPr="00E977FA">
        <w:rPr>
          <w:szCs w:val="24"/>
        </w:rPr>
        <w:t>Concurrent systemic treatment (including chemotherapy, immune checkpoint inhibitors, molecular targeted agents, and endocrine treatment)</w:t>
      </w:r>
    </w:p>
    <w:p w14:paraId="4C87CEE6" w14:textId="08623F3A" w:rsidR="00655B88" w:rsidRPr="00E977FA" w:rsidRDefault="00655B88" w:rsidP="00B26EE3">
      <w:pPr>
        <w:numPr>
          <w:ilvl w:val="0"/>
          <w:numId w:val="26"/>
        </w:numPr>
        <w:rPr>
          <w:szCs w:val="24"/>
        </w:rPr>
      </w:pPr>
      <w:r w:rsidRPr="00E977FA">
        <w:rPr>
          <w:szCs w:val="24"/>
        </w:rPr>
        <w:t xml:space="preserve">Ability to tolerate MRI </w:t>
      </w:r>
      <w:r>
        <w:rPr>
          <w:szCs w:val="24"/>
        </w:rPr>
        <w:t>b</w:t>
      </w:r>
      <w:r w:rsidRPr="00E977FA">
        <w:rPr>
          <w:szCs w:val="24"/>
        </w:rPr>
        <w:t xml:space="preserve">rain </w:t>
      </w:r>
    </w:p>
    <w:p w14:paraId="111921DA" w14:textId="77777777" w:rsidR="00655B88" w:rsidRDefault="00655B88" w:rsidP="00DE4737">
      <w:pPr>
        <w:rPr>
          <w:rFonts w:cs="Arial"/>
          <w:b/>
          <w:szCs w:val="24"/>
        </w:rPr>
      </w:pPr>
    </w:p>
    <w:p w14:paraId="0C3468F0" w14:textId="77777777" w:rsidR="00655B88" w:rsidRDefault="007F1B99" w:rsidP="00655B88">
      <w:pPr>
        <w:jc w:val="right"/>
        <w:rPr>
          <w:rFonts w:cs="Arial"/>
          <w:i/>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12A1B992" w14:textId="77777777" w:rsidTr="007546A2">
        <w:trPr>
          <w:cantSplit/>
          <w:trHeight w:val="285"/>
        </w:trPr>
        <w:tc>
          <w:tcPr>
            <w:tcW w:w="9158" w:type="dxa"/>
            <w:shd w:val="clear" w:color="auto" w:fill="D9D9D9" w:themeFill="background1" w:themeFillShade="D9"/>
          </w:tcPr>
          <w:p w14:paraId="51AA7044" w14:textId="77777777" w:rsidR="00655B88" w:rsidRPr="003D2D06" w:rsidRDefault="00655B88" w:rsidP="007546A2">
            <w:pPr>
              <w:pStyle w:val="Heading1"/>
            </w:pPr>
            <w:bookmarkStart w:id="15" w:name="_Toc116641216"/>
            <w:r w:rsidRPr="003D2D06">
              <w:t xml:space="preserve">Section </w:t>
            </w:r>
            <w:r>
              <w:t>4 – Pre-simulation Checks</w:t>
            </w:r>
            <w:bookmarkEnd w:id="15"/>
            <w:r>
              <w:t xml:space="preserve"> </w:t>
            </w:r>
          </w:p>
        </w:tc>
      </w:tr>
    </w:tbl>
    <w:p w14:paraId="6158D9D9" w14:textId="77777777" w:rsidR="00655B88" w:rsidRDefault="00655B88" w:rsidP="00655B88">
      <w:pPr>
        <w:spacing w:line="360" w:lineRule="auto"/>
        <w:jc w:val="both"/>
        <w:rPr>
          <w:szCs w:val="24"/>
        </w:rPr>
      </w:pPr>
    </w:p>
    <w:p w14:paraId="28AA426F" w14:textId="77777777" w:rsidR="00655B88" w:rsidRPr="00984E53" w:rsidRDefault="00655B88" w:rsidP="00B26EE3">
      <w:pPr>
        <w:pStyle w:val="ListParagraph"/>
        <w:numPr>
          <w:ilvl w:val="0"/>
          <w:numId w:val="5"/>
        </w:numPr>
        <w:ind w:left="360" w:hanging="357"/>
        <w:rPr>
          <w:szCs w:val="24"/>
        </w:rPr>
      </w:pPr>
      <w:r w:rsidRPr="00984E53">
        <w:rPr>
          <w:szCs w:val="24"/>
        </w:rPr>
        <w:t>Ensure the following documentations are available prior to simulation:</w:t>
      </w:r>
    </w:p>
    <w:p w14:paraId="26C365AE" w14:textId="77777777" w:rsidR="00655B88" w:rsidRPr="00E977FA" w:rsidRDefault="00655B88" w:rsidP="00DE4737">
      <w:pPr>
        <w:numPr>
          <w:ilvl w:val="0"/>
          <w:numId w:val="3"/>
        </w:numPr>
        <w:ind w:left="850" w:hanging="357"/>
        <w:rPr>
          <w:szCs w:val="24"/>
        </w:rPr>
      </w:pPr>
      <w:r w:rsidRPr="00E977FA">
        <w:rPr>
          <w:szCs w:val="24"/>
        </w:rPr>
        <w:t>History (including neurological symptoms)</w:t>
      </w:r>
    </w:p>
    <w:p w14:paraId="31209762" w14:textId="77777777" w:rsidR="00655B88" w:rsidRPr="00E977FA" w:rsidRDefault="00655B88" w:rsidP="00DE4737">
      <w:pPr>
        <w:numPr>
          <w:ilvl w:val="0"/>
          <w:numId w:val="3"/>
        </w:numPr>
        <w:ind w:left="850" w:hanging="357"/>
        <w:rPr>
          <w:szCs w:val="24"/>
        </w:rPr>
      </w:pPr>
      <w:r w:rsidRPr="00E977FA">
        <w:rPr>
          <w:szCs w:val="24"/>
        </w:rPr>
        <w:t>Examination</w:t>
      </w:r>
    </w:p>
    <w:p w14:paraId="4A5C55E7" w14:textId="77777777" w:rsidR="00655B88" w:rsidRPr="00E977FA" w:rsidRDefault="00655B88" w:rsidP="00DE4737">
      <w:pPr>
        <w:numPr>
          <w:ilvl w:val="0"/>
          <w:numId w:val="3"/>
        </w:numPr>
        <w:ind w:left="850" w:hanging="357"/>
        <w:rPr>
          <w:szCs w:val="24"/>
        </w:rPr>
      </w:pPr>
      <w:r w:rsidRPr="00E977FA">
        <w:rPr>
          <w:szCs w:val="24"/>
        </w:rPr>
        <w:t>Histological confirmation of malignancy</w:t>
      </w:r>
    </w:p>
    <w:p w14:paraId="53586DD0" w14:textId="77777777" w:rsidR="00655B88" w:rsidRPr="00E977FA" w:rsidRDefault="00655B88" w:rsidP="00DE4737">
      <w:pPr>
        <w:numPr>
          <w:ilvl w:val="0"/>
          <w:numId w:val="3"/>
        </w:numPr>
        <w:ind w:left="850" w:hanging="357"/>
        <w:rPr>
          <w:szCs w:val="24"/>
        </w:rPr>
      </w:pPr>
      <w:r w:rsidRPr="00E977FA">
        <w:rPr>
          <w:szCs w:val="24"/>
        </w:rPr>
        <w:t>Reports of relevant radiological investigations</w:t>
      </w:r>
    </w:p>
    <w:p w14:paraId="027997D0" w14:textId="77777777" w:rsidR="00655B88" w:rsidRPr="00240833" w:rsidRDefault="00655B88" w:rsidP="00DE4737">
      <w:pPr>
        <w:numPr>
          <w:ilvl w:val="0"/>
          <w:numId w:val="3"/>
        </w:numPr>
        <w:ind w:left="850" w:hanging="357"/>
        <w:rPr>
          <w:szCs w:val="24"/>
        </w:rPr>
      </w:pPr>
      <w:r w:rsidRPr="00E977FA">
        <w:rPr>
          <w:szCs w:val="24"/>
        </w:rPr>
        <w:t>Consent for treatment</w:t>
      </w:r>
    </w:p>
    <w:p w14:paraId="0DC1B279" w14:textId="77777777" w:rsidR="00655B88" w:rsidRPr="00240833" w:rsidRDefault="00655B88" w:rsidP="00B26EE3">
      <w:pPr>
        <w:pStyle w:val="ListParagraph"/>
        <w:numPr>
          <w:ilvl w:val="0"/>
          <w:numId w:val="27"/>
        </w:numPr>
        <w:ind w:left="426" w:hanging="426"/>
        <w:rPr>
          <w:szCs w:val="24"/>
        </w:rPr>
      </w:pPr>
      <w:r w:rsidRPr="00240833">
        <w:rPr>
          <w:szCs w:val="24"/>
        </w:rPr>
        <w:t>Review planning MRI brain to confirm suitability for SRS.</w:t>
      </w:r>
    </w:p>
    <w:p w14:paraId="5AE8905E" w14:textId="77777777" w:rsidR="00655B88" w:rsidRPr="00240833" w:rsidRDefault="00655B88" w:rsidP="00B26EE3">
      <w:pPr>
        <w:pStyle w:val="ListParagraph"/>
        <w:numPr>
          <w:ilvl w:val="0"/>
          <w:numId w:val="27"/>
        </w:numPr>
        <w:ind w:left="426" w:hanging="426"/>
        <w:rPr>
          <w:szCs w:val="24"/>
        </w:rPr>
      </w:pPr>
      <w:r w:rsidRPr="00240833">
        <w:rPr>
          <w:szCs w:val="24"/>
        </w:rPr>
        <w:t>Consider premedication for anxious patients (lorazepam 0.5 to 1 mg SL).</w:t>
      </w:r>
    </w:p>
    <w:p w14:paraId="26F750C6" w14:textId="77777777" w:rsidR="00655B88" w:rsidRPr="00240833" w:rsidRDefault="00655B88" w:rsidP="00B26EE3">
      <w:pPr>
        <w:pStyle w:val="ListParagraph"/>
        <w:numPr>
          <w:ilvl w:val="0"/>
          <w:numId w:val="27"/>
        </w:numPr>
        <w:ind w:left="426" w:hanging="426"/>
        <w:rPr>
          <w:szCs w:val="24"/>
        </w:rPr>
      </w:pPr>
      <w:r w:rsidRPr="00240833">
        <w:rPr>
          <w:szCs w:val="24"/>
        </w:rPr>
        <w:t>Prescribe pre-SRS dexamethasone.</w:t>
      </w:r>
    </w:p>
    <w:p w14:paraId="78E2819C" w14:textId="77777777" w:rsidR="00655B88" w:rsidRPr="00984E53" w:rsidRDefault="00655B88" w:rsidP="00B26EE3">
      <w:pPr>
        <w:pStyle w:val="ListParagraph"/>
        <w:numPr>
          <w:ilvl w:val="0"/>
          <w:numId w:val="27"/>
        </w:numPr>
        <w:ind w:left="426" w:hanging="426"/>
        <w:rPr>
          <w:szCs w:val="24"/>
        </w:rPr>
      </w:pPr>
      <w:r w:rsidRPr="00240833">
        <w:rPr>
          <w:szCs w:val="24"/>
        </w:rPr>
        <w:t>Advice about driving restrictions (where appropriate).</w:t>
      </w:r>
    </w:p>
    <w:p w14:paraId="3F4C5109" w14:textId="0C2E305B" w:rsidR="00655B88" w:rsidRPr="00A455A0" w:rsidRDefault="007F1B99" w:rsidP="00A455A0">
      <w:pPr>
        <w:jc w:val="right"/>
        <w:rPr>
          <w:rFonts w:cs="Arial"/>
          <w:i/>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05F6F32A" w14:textId="77777777" w:rsidTr="007546A2">
        <w:trPr>
          <w:cantSplit/>
          <w:trHeight w:val="285"/>
        </w:trPr>
        <w:tc>
          <w:tcPr>
            <w:tcW w:w="9158" w:type="dxa"/>
            <w:shd w:val="clear" w:color="auto" w:fill="D9D9D9" w:themeFill="background1" w:themeFillShade="D9"/>
          </w:tcPr>
          <w:p w14:paraId="6DCDA9C6" w14:textId="77777777" w:rsidR="00655B88" w:rsidRPr="003D2D06" w:rsidRDefault="00655B88" w:rsidP="007546A2">
            <w:pPr>
              <w:pStyle w:val="Heading1"/>
            </w:pPr>
            <w:bookmarkStart w:id="16" w:name="_Toc116641217"/>
            <w:r w:rsidRPr="003D2D06">
              <w:t xml:space="preserve">Section </w:t>
            </w:r>
            <w:r>
              <w:t>5</w:t>
            </w:r>
            <w:r w:rsidRPr="003D2D06">
              <w:t xml:space="preserve"> – </w:t>
            </w:r>
            <w:r>
              <w:t>SRS Technique</w:t>
            </w:r>
            <w:bookmarkEnd w:id="16"/>
          </w:p>
        </w:tc>
      </w:tr>
    </w:tbl>
    <w:p w14:paraId="6DDB4AD4" w14:textId="77777777" w:rsidR="00655B88" w:rsidRDefault="00655B88" w:rsidP="00655B88">
      <w:pPr>
        <w:jc w:val="both"/>
        <w:rPr>
          <w:b/>
          <w:szCs w:val="24"/>
        </w:rPr>
      </w:pPr>
    </w:p>
    <w:p w14:paraId="10D2862E" w14:textId="7A08AF7B" w:rsidR="00655B88" w:rsidRDefault="00655B88" w:rsidP="00DE4737">
      <w:pPr>
        <w:rPr>
          <w:szCs w:val="24"/>
        </w:rPr>
      </w:pPr>
      <w:r w:rsidRPr="00D10CAF">
        <w:rPr>
          <w:b/>
          <w:szCs w:val="24"/>
        </w:rPr>
        <w:t>Intent:</w:t>
      </w:r>
      <w:r w:rsidRPr="00D10CAF">
        <w:rPr>
          <w:szCs w:val="24"/>
        </w:rPr>
        <w:t xml:space="preserve"> High dose palliative.</w:t>
      </w:r>
    </w:p>
    <w:p w14:paraId="3A40F526" w14:textId="77777777" w:rsidR="00A455A0" w:rsidRPr="00D10CAF" w:rsidRDefault="00A455A0" w:rsidP="00DE4737">
      <w:pPr>
        <w:rPr>
          <w:szCs w:val="24"/>
        </w:rPr>
      </w:pPr>
    </w:p>
    <w:p w14:paraId="77723A32" w14:textId="69098932" w:rsidR="00655B88" w:rsidRDefault="00655B88" w:rsidP="00DE4737">
      <w:pPr>
        <w:rPr>
          <w:szCs w:val="24"/>
        </w:rPr>
      </w:pPr>
      <w:r w:rsidRPr="00D10CAF">
        <w:rPr>
          <w:b/>
          <w:szCs w:val="24"/>
        </w:rPr>
        <w:t>Rationale</w:t>
      </w:r>
      <w:r w:rsidRPr="00D10CAF">
        <w:rPr>
          <w:b/>
          <w:bCs/>
          <w:szCs w:val="24"/>
        </w:rPr>
        <w:t>:</w:t>
      </w:r>
      <w:r w:rsidRPr="00D10CAF">
        <w:rPr>
          <w:szCs w:val="24"/>
        </w:rPr>
        <w:t xml:space="preserve"> To improve local control and potentially overall survival.</w:t>
      </w:r>
    </w:p>
    <w:p w14:paraId="2DE12D90" w14:textId="77777777" w:rsidR="00A455A0" w:rsidRPr="00D10CAF" w:rsidRDefault="00A455A0" w:rsidP="00DE4737">
      <w:pPr>
        <w:rPr>
          <w:szCs w:val="24"/>
        </w:rPr>
      </w:pPr>
    </w:p>
    <w:p w14:paraId="742F85CC" w14:textId="77777777" w:rsidR="00655B88" w:rsidRPr="00D10CAF" w:rsidRDefault="00655B88" w:rsidP="00DE4737">
      <w:pPr>
        <w:rPr>
          <w:szCs w:val="24"/>
        </w:rPr>
      </w:pPr>
      <w:r w:rsidRPr="00D10CAF">
        <w:rPr>
          <w:b/>
          <w:szCs w:val="24"/>
        </w:rPr>
        <w:t>Simulation</w:t>
      </w:r>
      <w:r>
        <w:rPr>
          <w:b/>
          <w:szCs w:val="24"/>
        </w:rPr>
        <w:t>:</w:t>
      </w:r>
    </w:p>
    <w:p w14:paraId="5E2CEA34" w14:textId="77777777" w:rsidR="00655B88" w:rsidRPr="00D10CAF" w:rsidRDefault="00655B88" w:rsidP="00B26EE3">
      <w:pPr>
        <w:pStyle w:val="ListParagraph"/>
        <w:numPr>
          <w:ilvl w:val="0"/>
          <w:numId w:val="28"/>
        </w:numPr>
        <w:rPr>
          <w:szCs w:val="24"/>
        </w:rPr>
      </w:pPr>
      <w:r w:rsidRPr="00D10CAF">
        <w:rPr>
          <w:szCs w:val="24"/>
        </w:rPr>
        <w:t>Supine with head in neutral position.</w:t>
      </w:r>
    </w:p>
    <w:p w14:paraId="7C21B9E8" w14:textId="77777777" w:rsidR="00655B88" w:rsidRPr="00D10CAF" w:rsidRDefault="00655B88" w:rsidP="00B26EE3">
      <w:pPr>
        <w:pStyle w:val="ListParagraph"/>
        <w:numPr>
          <w:ilvl w:val="0"/>
          <w:numId w:val="28"/>
        </w:numPr>
        <w:rPr>
          <w:szCs w:val="24"/>
        </w:rPr>
      </w:pPr>
      <w:r w:rsidRPr="00D10CAF">
        <w:rPr>
          <w:szCs w:val="24"/>
        </w:rPr>
        <w:t>Immobilised with head rest and frameless Cranial 4Pi stereotactic mask.</w:t>
      </w:r>
    </w:p>
    <w:p w14:paraId="34E60480" w14:textId="77777777" w:rsidR="00655B88" w:rsidRPr="00D10CAF" w:rsidRDefault="00655B88" w:rsidP="00B26EE3">
      <w:pPr>
        <w:pStyle w:val="ListParagraph"/>
        <w:numPr>
          <w:ilvl w:val="0"/>
          <w:numId w:val="28"/>
        </w:numPr>
        <w:rPr>
          <w:szCs w:val="24"/>
        </w:rPr>
      </w:pPr>
      <w:r w:rsidRPr="00D10CAF">
        <w:rPr>
          <w:szCs w:val="24"/>
        </w:rPr>
        <w:t>Acquisition of 1 mm slice CT from above the vertex to the thoracic inlet.</w:t>
      </w:r>
    </w:p>
    <w:p w14:paraId="19425011" w14:textId="77777777" w:rsidR="00A455A0" w:rsidRDefault="00A455A0" w:rsidP="00DE4737">
      <w:pPr>
        <w:rPr>
          <w:b/>
          <w:szCs w:val="24"/>
        </w:rPr>
      </w:pPr>
    </w:p>
    <w:p w14:paraId="774768DB" w14:textId="66EFD16E" w:rsidR="00655B88" w:rsidRPr="00E977FA" w:rsidRDefault="00655B88" w:rsidP="00DE4737">
      <w:pPr>
        <w:rPr>
          <w:b/>
          <w:szCs w:val="24"/>
        </w:rPr>
      </w:pPr>
      <w:r w:rsidRPr="00E977FA">
        <w:rPr>
          <w:b/>
          <w:szCs w:val="24"/>
        </w:rPr>
        <w:t>Post simulation</w:t>
      </w:r>
      <w:r>
        <w:rPr>
          <w:b/>
          <w:szCs w:val="24"/>
        </w:rPr>
        <w:t>:</w:t>
      </w:r>
    </w:p>
    <w:p w14:paraId="098E88E8" w14:textId="77777777" w:rsidR="00655B88" w:rsidRPr="00D10CAF" w:rsidRDefault="00655B88" w:rsidP="00B26EE3">
      <w:pPr>
        <w:pStyle w:val="ListParagraph"/>
        <w:numPr>
          <w:ilvl w:val="0"/>
          <w:numId w:val="7"/>
        </w:numPr>
        <w:rPr>
          <w:szCs w:val="24"/>
        </w:rPr>
      </w:pPr>
      <w:r w:rsidRPr="00D10CAF">
        <w:rPr>
          <w:szCs w:val="24"/>
        </w:rPr>
        <w:t>Gadolinium enhanced planning T1 MRI (5- and 10-min delay sequences) fused with the planning CT scan. Other sequences may be requested at the discretion of treating RO.</w:t>
      </w:r>
    </w:p>
    <w:p w14:paraId="00565A90" w14:textId="77777777" w:rsidR="00A455A0" w:rsidRDefault="00A455A0" w:rsidP="00DE4737">
      <w:pPr>
        <w:rPr>
          <w:b/>
          <w:szCs w:val="24"/>
        </w:rPr>
      </w:pPr>
    </w:p>
    <w:p w14:paraId="3C26DCC3" w14:textId="236BF9AE" w:rsidR="00655B88" w:rsidRPr="00E977FA" w:rsidRDefault="00655B88" w:rsidP="00DE4737">
      <w:pPr>
        <w:rPr>
          <w:szCs w:val="24"/>
        </w:rPr>
      </w:pPr>
      <w:r w:rsidRPr="00E977FA">
        <w:rPr>
          <w:b/>
          <w:szCs w:val="24"/>
        </w:rPr>
        <w:t>Target volume</w:t>
      </w:r>
      <w:r w:rsidRPr="00E977FA">
        <w:rPr>
          <w:szCs w:val="24"/>
        </w:rPr>
        <w:t>:</w:t>
      </w:r>
    </w:p>
    <w:p w14:paraId="39EFEC52" w14:textId="77777777" w:rsidR="00655B88" w:rsidRPr="00D10CAF" w:rsidRDefault="00655B88" w:rsidP="00B26EE3">
      <w:pPr>
        <w:pStyle w:val="ListParagraph"/>
        <w:numPr>
          <w:ilvl w:val="0"/>
          <w:numId w:val="8"/>
        </w:numPr>
        <w:rPr>
          <w:szCs w:val="24"/>
        </w:rPr>
      </w:pPr>
      <w:r w:rsidRPr="00D10CAF">
        <w:rPr>
          <w:szCs w:val="24"/>
        </w:rPr>
        <w:t>Intact tumour:</w:t>
      </w:r>
    </w:p>
    <w:p w14:paraId="4449EA91" w14:textId="77777777" w:rsidR="00655B88" w:rsidRPr="00D10CAF" w:rsidRDefault="00655B88" w:rsidP="00B26EE3">
      <w:pPr>
        <w:pStyle w:val="ListParagraph"/>
        <w:numPr>
          <w:ilvl w:val="0"/>
          <w:numId w:val="45"/>
        </w:numPr>
        <w:rPr>
          <w:szCs w:val="24"/>
        </w:rPr>
      </w:pPr>
      <w:r w:rsidRPr="00D10CAF">
        <w:rPr>
          <w:szCs w:val="24"/>
        </w:rPr>
        <w:t>GTV = visible tumour on gadolinium enhanced T1 MRI and planning CT</w:t>
      </w:r>
    </w:p>
    <w:p w14:paraId="62B8A247" w14:textId="77777777" w:rsidR="00655B88" w:rsidRPr="00D10CAF" w:rsidRDefault="00655B88" w:rsidP="00B26EE3">
      <w:pPr>
        <w:pStyle w:val="ListParagraph"/>
        <w:numPr>
          <w:ilvl w:val="0"/>
          <w:numId w:val="45"/>
        </w:numPr>
        <w:rPr>
          <w:szCs w:val="24"/>
        </w:rPr>
      </w:pPr>
      <w:r w:rsidRPr="00D10CAF">
        <w:rPr>
          <w:szCs w:val="24"/>
        </w:rPr>
        <w:t>CTV = GTV</w:t>
      </w:r>
    </w:p>
    <w:p w14:paraId="60366352" w14:textId="77777777" w:rsidR="00655B88" w:rsidRPr="00D10CAF" w:rsidRDefault="00655B88" w:rsidP="00B26EE3">
      <w:pPr>
        <w:pStyle w:val="ListParagraph"/>
        <w:numPr>
          <w:ilvl w:val="0"/>
          <w:numId w:val="45"/>
        </w:numPr>
        <w:rPr>
          <w:szCs w:val="24"/>
        </w:rPr>
      </w:pPr>
      <w:r w:rsidRPr="00D10CAF">
        <w:rPr>
          <w:szCs w:val="24"/>
        </w:rPr>
        <w:t>PTV = CTV + 1 mm isotropic expansion</w:t>
      </w:r>
    </w:p>
    <w:p w14:paraId="218D1F5A" w14:textId="77777777" w:rsidR="00655B88" w:rsidRPr="00D10CAF" w:rsidRDefault="00655B88" w:rsidP="00B26EE3">
      <w:pPr>
        <w:pStyle w:val="ListParagraph"/>
        <w:numPr>
          <w:ilvl w:val="0"/>
          <w:numId w:val="8"/>
        </w:numPr>
        <w:rPr>
          <w:szCs w:val="24"/>
        </w:rPr>
      </w:pPr>
      <w:r w:rsidRPr="00D10CAF">
        <w:rPr>
          <w:szCs w:val="24"/>
        </w:rPr>
        <w:t>Surgical bed/cavity:</w:t>
      </w:r>
    </w:p>
    <w:p w14:paraId="3DF87C03" w14:textId="77777777" w:rsidR="00655B88" w:rsidRPr="00D10CAF" w:rsidRDefault="00655B88" w:rsidP="00B26EE3">
      <w:pPr>
        <w:pStyle w:val="ListParagraph"/>
        <w:numPr>
          <w:ilvl w:val="0"/>
          <w:numId w:val="46"/>
        </w:numPr>
        <w:rPr>
          <w:szCs w:val="24"/>
        </w:rPr>
      </w:pPr>
      <w:r w:rsidRPr="00D10CAF">
        <w:rPr>
          <w:szCs w:val="24"/>
        </w:rPr>
        <w:t>GTVcavity = gadolinium enhancing resection cavity on T1 MRI + any suspicious residual disease</w:t>
      </w:r>
    </w:p>
    <w:p w14:paraId="00BA6166" w14:textId="77777777" w:rsidR="00655B88" w:rsidRPr="00D10CAF" w:rsidRDefault="00655B88" w:rsidP="00B26EE3">
      <w:pPr>
        <w:pStyle w:val="ListParagraph"/>
        <w:numPr>
          <w:ilvl w:val="0"/>
          <w:numId w:val="46"/>
        </w:numPr>
        <w:rPr>
          <w:szCs w:val="24"/>
        </w:rPr>
      </w:pPr>
      <w:r w:rsidRPr="00D10CAF">
        <w:rPr>
          <w:szCs w:val="24"/>
        </w:rPr>
        <w:t>CTVcavity = GTVcavity + 1mm isotropic expansion</w:t>
      </w:r>
    </w:p>
    <w:p w14:paraId="09374586" w14:textId="77777777" w:rsidR="00655B88" w:rsidRPr="00D10CAF" w:rsidRDefault="00655B88" w:rsidP="00B26EE3">
      <w:pPr>
        <w:pStyle w:val="ListParagraph"/>
        <w:numPr>
          <w:ilvl w:val="0"/>
          <w:numId w:val="46"/>
        </w:numPr>
        <w:rPr>
          <w:szCs w:val="24"/>
        </w:rPr>
      </w:pPr>
      <w:r w:rsidRPr="00D10CAF">
        <w:rPr>
          <w:szCs w:val="24"/>
        </w:rPr>
        <w:t xml:space="preserve">PTVcavity = CTVcavity + 1mm isotropic expansion </w:t>
      </w:r>
    </w:p>
    <w:p w14:paraId="2872D364" w14:textId="77777777" w:rsidR="00655B88" w:rsidRPr="00493CFE" w:rsidRDefault="00655B88" w:rsidP="00DE4737">
      <w:pPr>
        <w:rPr>
          <w:szCs w:val="24"/>
        </w:rPr>
      </w:pPr>
    </w:p>
    <w:p w14:paraId="58245AA9" w14:textId="77777777" w:rsidR="00655B88" w:rsidRPr="00A455A0" w:rsidRDefault="00655B88" w:rsidP="00DE4737">
      <w:pPr>
        <w:rPr>
          <w:szCs w:val="24"/>
        </w:rPr>
      </w:pPr>
      <w:r w:rsidRPr="00A455A0">
        <w:rPr>
          <w:szCs w:val="24"/>
        </w:rPr>
        <w:lastRenderedPageBreak/>
        <w:t xml:space="preserve">ISRS guidelines for CTV delineation of surgical cavity SRS (2021): </w:t>
      </w:r>
    </w:p>
    <w:p w14:paraId="05B6F7DA" w14:textId="77777777" w:rsidR="00655B88" w:rsidRPr="00D10CAF" w:rsidRDefault="00655B88" w:rsidP="00B26EE3">
      <w:pPr>
        <w:pStyle w:val="ListParagraph"/>
        <w:numPr>
          <w:ilvl w:val="0"/>
          <w:numId w:val="29"/>
        </w:numPr>
        <w:ind w:left="426" w:hanging="426"/>
        <w:rPr>
          <w:szCs w:val="24"/>
        </w:rPr>
      </w:pPr>
      <w:r w:rsidRPr="00D10CAF">
        <w:rPr>
          <w:szCs w:val="24"/>
        </w:rPr>
        <w:t>Should include the entire contrast-enhancing surgical cavity as well as surgical tract.</w:t>
      </w:r>
    </w:p>
    <w:p w14:paraId="574F17F2" w14:textId="77777777" w:rsidR="00655B88" w:rsidRPr="00D10CAF" w:rsidRDefault="00655B88" w:rsidP="00B26EE3">
      <w:pPr>
        <w:pStyle w:val="ListParagraph"/>
        <w:numPr>
          <w:ilvl w:val="0"/>
          <w:numId w:val="29"/>
        </w:numPr>
        <w:ind w:left="426" w:hanging="426"/>
        <w:rPr>
          <w:szCs w:val="24"/>
        </w:rPr>
      </w:pPr>
      <w:r w:rsidRPr="00D10CAF">
        <w:rPr>
          <w:szCs w:val="24"/>
        </w:rPr>
        <w:t>For tumours with preoperative involvement of dura, include 5-10mm margin beyond the preoperative region of tumour involvement.</w:t>
      </w:r>
    </w:p>
    <w:p w14:paraId="10569022" w14:textId="77777777" w:rsidR="00655B88" w:rsidRPr="00D10CAF" w:rsidRDefault="00655B88" w:rsidP="00B26EE3">
      <w:pPr>
        <w:pStyle w:val="ListParagraph"/>
        <w:numPr>
          <w:ilvl w:val="0"/>
          <w:numId w:val="29"/>
        </w:numPr>
        <w:ind w:left="426" w:hanging="426"/>
        <w:rPr>
          <w:szCs w:val="24"/>
        </w:rPr>
      </w:pPr>
      <w:r w:rsidRPr="00D10CAF">
        <w:rPr>
          <w:szCs w:val="24"/>
        </w:rPr>
        <w:t>For tumours that did not contact dura or venous sinus, include 1-5mm margin along the bone flap or sinus.</w:t>
      </w:r>
    </w:p>
    <w:p w14:paraId="63E42D6F" w14:textId="32797EF8" w:rsidR="00655B88" w:rsidRPr="00A455A0" w:rsidRDefault="00655B88" w:rsidP="00DE4737">
      <w:pPr>
        <w:rPr>
          <w:szCs w:val="24"/>
        </w:rPr>
      </w:pPr>
    </w:p>
    <w:p w14:paraId="43AFE74C" w14:textId="77777777" w:rsidR="00655B88" w:rsidRPr="00A455A0" w:rsidRDefault="00655B88" w:rsidP="00DE4737">
      <w:pPr>
        <w:rPr>
          <w:b/>
          <w:bCs/>
          <w:szCs w:val="24"/>
        </w:rPr>
      </w:pPr>
      <w:r w:rsidRPr="00A455A0">
        <w:rPr>
          <w:b/>
          <w:bCs/>
          <w:szCs w:val="24"/>
        </w:rPr>
        <w:t>Caveats:</w:t>
      </w:r>
    </w:p>
    <w:p w14:paraId="4E491EA2" w14:textId="4572241C" w:rsidR="00655B88" w:rsidRPr="00A455A0" w:rsidRDefault="00655B88" w:rsidP="00B26EE3">
      <w:pPr>
        <w:pStyle w:val="ListParagraph"/>
        <w:numPr>
          <w:ilvl w:val="0"/>
          <w:numId w:val="30"/>
        </w:numPr>
        <w:ind w:left="426" w:hanging="426"/>
      </w:pPr>
      <w:r w:rsidRPr="00A455A0">
        <w:t>Although the consensus contouring guidelines suggest that the entire surgical corridor leading to the resection cavity be included in the target volume, a pattern of failure analysis published in the interim period failed to show differences in the rate of local control irrespective of whether the surgical corridor was targeted, although rates of leptomeningeal disease were lower when the surgical corridor was included.</w:t>
      </w:r>
    </w:p>
    <w:p w14:paraId="66290664" w14:textId="7A9AAB5C" w:rsidR="00655B88" w:rsidRPr="00A455A0" w:rsidRDefault="00655B88" w:rsidP="00B26EE3">
      <w:pPr>
        <w:pStyle w:val="ListParagraph"/>
        <w:numPr>
          <w:ilvl w:val="0"/>
          <w:numId w:val="30"/>
        </w:numPr>
        <w:ind w:left="426" w:hanging="426"/>
      </w:pPr>
      <w:r w:rsidRPr="00A455A0">
        <w:t>A recent retrospective study suggested that T2-weighted MRI might allow better visuali</w:t>
      </w:r>
      <w:r w:rsidR="00D44B69">
        <w:t>s</w:t>
      </w:r>
      <w:r w:rsidRPr="00A455A0">
        <w:t>ation of the resection cavity while reducing the volume of the target.</w:t>
      </w:r>
    </w:p>
    <w:p w14:paraId="3A4542D1" w14:textId="77777777" w:rsidR="00A455A0" w:rsidRDefault="00A455A0" w:rsidP="00DE4737">
      <w:pPr>
        <w:rPr>
          <w:b/>
          <w:bCs/>
          <w:szCs w:val="24"/>
        </w:rPr>
      </w:pPr>
    </w:p>
    <w:p w14:paraId="4EE7067D" w14:textId="6C635874" w:rsidR="00655B88" w:rsidRPr="00A455A0" w:rsidRDefault="00655B88" w:rsidP="00DE4737">
      <w:pPr>
        <w:rPr>
          <w:b/>
          <w:bCs/>
          <w:szCs w:val="24"/>
        </w:rPr>
      </w:pPr>
      <w:r w:rsidRPr="00A455A0">
        <w:rPr>
          <w:b/>
          <w:bCs/>
          <w:szCs w:val="24"/>
        </w:rPr>
        <w:t>Beams and arrangement:</w:t>
      </w:r>
    </w:p>
    <w:p w14:paraId="0FF0D349" w14:textId="77777777" w:rsidR="00655B88" w:rsidRPr="00A455A0" w:rsidRDefault="00655B88" w:rsidP="00B26EE3">
      <w:pPr>
        <w:pStyle w:val="ListParagraph"/>
        <w:numPr>
          <w:ilvl w:val="0"/>
          <w:numId w:val="9"/>
        </w:numPr>
        <w:rPr>
          <w:szCs w:val="24"/>
        </w:rPr>
      </w:pPr>
      <w:r w:rsidRPr="00A455A0">
        <w:rPr>
          <w:szCs w:val="24"/>
        </w:rPr>
        <w:t>Employing single/multiple fraction(s) SRS dosing technique using 3-5 non-coplanar volumetric modulated arcs of flattening filter free (FFF) 6 MV photon beams.</w:t>
      </w:r>
    </w:p>
    <w:p w14:paraId="53335BA1" w14:textId="77777777" w:rsidR="00A455A0" w:rsidRDefault="00A455A0" w:rsidP="00DE4737">
      <w:pPr>
        <w:rPr>
          <w:b/>
          <w:szCs w:val="24"/>
        </w:rPr>
      </w:pPr>
    </w:p>
    <w:p w14:paraId="24E66440" w14:textId="39A03C3A" w:rsidR="00655B88" w:rsidRPr="00A455A0" w:rsidRDefault="00655B88" w:rsidP="00DE4737">
      <w:pPr>
        <w:rPr>
          <w:szCs w:val="24"/>
        </w:rPr>
      </w:pPr>
      <w:r w:rsidRPr="00A455A0">
        <w:rPr>
          <w:b/>
          <w:szCs w:val="24"/>
        </w:rPr>
        <w:t>Dose and fractionation</w:t>
      </w:r>
      <w:r w:rsidRPr="00A455A0">
        <w:rPr>
          <w:szCs w:val="24"/>
        </w:rPr>
        <w:t>:</w:t>
      </w:r>
    </w:p>
    <w:p w14:paraId="35A09EBA" w14:textId="77777777" w:rsidR="00655B88" w:rsidRPr="00A455A0" w:rsidRDefault="00655B88" w:rsidP="00B26EE3">
      <w:pPr>
        <w:pStyle w:val="ListParagraph"/>
        <w:numPr>
          <w:ilvl w:val="0"/>
          <w:numId w:val="31"/>
        </w:numPr>
        <w:ind w:left="426" w:hanging="426"/>
        <w:rPr>
          <w:szCs w:val="24"/>
        </w:rPr>
      </w:pPr>
      <w:r w:rsidRPr="00A455A0">
        <w:rPr>
          <w:szCs w:val="24"/>
        </w:rPr>
        <w:t>Adjusted according to the tumour size/volume and other clinical parameters, such as, number and site of lesion(s), dose to OARs, and previous radiotherapy.</w:t>
      </w:r>
    </w:p>
    <w:p w14:paraId="6DF6173D" w14:textId="77777777" w:rsidR="00655B88" w:rsidRPr="00A455A0" w:rsidRDefault="00655B88" w:rsidP="00B26EE3">
      <w:pPr>
        <w:pStyle w:val="ListParagraph"/>
        <w:numPr>
          <w:ilvl w:val="0"/>
          <w:numId w:val="31"/>
        </w:numPr>
        <w:ind w:left="426" w:hanging="426"/>
        <w:rPr>
          <w:szCs w:val="24"/>
        </w:rPr>
      </w:pPr>
      <w:r w:rsidRPr="00A455A0">
        <w:rPr>
          <w:szCs w:val="24"/>
        </w:rPr>
        <w:t xml:space="preserve">Prescribed to 100% isodose line conformally encompassing the PTV, ensuring: </w:t>
      </w:r>
    </w:p>
    <w:p w14:paraId="14E67EEA" w14:textId="77777777" w:rsidR="00655B88" w:rsidRPr="00CB5E63" w:rsidRDefault="00655B88" w:rsidP="00B26EE3">
      <w:pPr>
        <w:pStyle w:val="ListParagraph"/>
        <w:numPr>
          <w:ilvl w:val="0"/>
          <w:numId w:val="47"/>
        </w:numPr>
        <w:rPr>
          <w:szCs w:val="24"/>
        </w:rPr>
      </w:pPr>
      <w:r w:rsidRPr="00CB5E63">
        <w:rPr>
          <w:szCs w:val="24"/>
        </w:rPr>
        <w:t>99% of the PTV is covered by 100% of the prescribed dose (D99PTV = 100%)</w:t>
      </w:r>
    </w:p>
    <w:p w14:paraId="699FA54E" w14:textId="77777777" w:rsidR="00655B88" w:rsidRPr="00CB5E63" w:rsidRDefault="00655B88" w:rsidP="00B26EE3">
      <w:pPr>
        <w:pStyle w:val="ListParagraph"/>
        <w:numPr>
          <w:ilvl w:val="0"/>
          <w:numId w:val="47"/>
        </w:numPr>
        <w:rPr>
          <w:szCs w:val="24"/>
        </w:rPr>
      </w:pPr>
      <w:r w:rsidRPr="00CB5E63">
        <w:rPr>
          <w:szCs w:val="24"/>
        </w:rPr>
        <w:t>RTOG CI100 between 1.00 and 2.00 (ideally as close to 1.00 as possible, consider hypofractionation if above 1.50)</w:t>
      </w:r>
    </w:p>
    <w:p w14:paraId="2C959A6C" w14:textId="77777777" w:rsidR="00655B88" w:rsidRPr="00CB5E63" w:rsidRDefault="00655B88" w:rsidP="00B26EE3">
      <w:pPr>
        <w:pStyle w:val="ListParagraph"/>
        <w:numPr>
          <w:ilvl w:val="0"/>
          <w:numId w:val="47"/>
        </w:numPr>
        <w:rPr>
          <w:szCs w:val="24"/>
        </w:rPr>
      </w:pPr>
      <w:r w:rsidRPr="00CB5E63">
        <w:rPr>
          <w:szCs w:val="24"/>
        </w:rPr>
        <w:t>Minimum dose within PTV &gt;95%</w:t>
      </w:r>
    </w:p>
    <w:p w14:paraId="0251E918" w14:textId="77777777" w:rsidR="00655B88" w:rsidRPr="00CB5E63" w:rsidRDefault="00655B88" w:rsidP="00B26EE3">
      <w:pPr>
        <w:pStyle w:val="ListParagraph"/>
        <w:numPr>
          <w:ilvl w:val="0"/>
          <w:numId w:val="47"/>
        </w:numPr>
        <w:rPr>
          <w:szCs w:val="24"/>
        </w:rPr>
      </w:pPr>
      <w:r w:rsidRPr="00CB5E63">
        <w:rPr>
          <w:szCs w:val="24"/>
        </w:rPr>
        <w:t xml:space="preserve">Maximum dose </w:t>
      </w:r>
      <w:r w:rsidRPr="00CB5E63">
        <w:rPr>
          <w:rFonts w:cs="Calibri"/>
          <w:szCs w:val="24"/>
        </w:rPr>
        <w:t>≥</w:t>
      </w:r>
      <w:r w:rsidRPr="00CB5E63">
        <w:rPr>
          <w:szCs w:val="24"/>
        </w:rPr>
        <w:t>125% and ≤142.9% (contained within GTV)</w:t>
      </w:r>
    </w:p>
    <w:p w14:paraId="3419FBAB" w14:textId="3E05E42A" w:rsidR="00FB69FC" w:rsidRDefault="00FB69FC" w:rsidP="00A455A0">
      <w:pPr>
        <w:jc w:val="both"/>
        <w:rPr>
          <w:b/>
          <w:szCs w:val="24"/>
        </w:rPr>
      </w:pPr>
    </w:p>
    <w:p w14:paraId="030EF2A8" w14:textId="6F7FD0E0" w:rsidR="001B5256" w:rsidRDefault="001B5256" w:rsidP="00A455A0">
      <w:pPr>
        <w:jc w:val="both"/>
        <w:rPr>
          <w:b/>
          <w:szCs w:val="24"/>
        </w:rPr>
      </w:pPr>
    </w:p>
    <w:p w14:paraId="157D03E9" w14:textId="77777777" w:rsidR="001B5256" w:rsidRDefault="001B5256" w:rsidP="00A455A0">
      <w:pPr>
        <w:jc w:val="both"/>
        <w:rPr>
          <w:b/>
          <w:szCs w:val="24"/>
        </w:rPr>
      </w:pPr>
    </w:p>
    <w:p w14:paraId="1B67F89D" w14:textId="5A1BFB9A" w:rsidR="00655B88" w:rsidRPr="00A455A0" w:rsidRDefault="00655B88" w:rsidP="00A455A0">
      <w:pPr>
        <w:jc w:val="both"/>
        <w:rPr>
          <w:szCs w:val="24"/>
        </w:rPr>
      </w:pPr>
      <w:r w:rsidRPr="00A455A0">
        <w:rPr>
          <w:b/>
          <w:szCs w:val="24"/>
        </w:rPr>
        <w:t>Diameter based prescription</w:t>
      </w:r>
      <w:r w:rsidRPr="00A455A0">
        <w:rPr>
          <w:szCs w:val="24"/>
        </w:rPr>
        <w:t>:</w:t>
      </w:r>
    </w:p>
    <w:tbl>
      <w:tblPr>
        <w:tblpPr w:leftFromText="180" w:rightFromText="180" w:vertAnchor="text" w:horzAnchor="page" w:tblpX="1383" w:tblpY="234"/>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13"/>
        <w:gridCol w:w="2724"/>
        <w:gridCol w:w="2278"/>
      </w:tblGrid>
      <w:tr w:rsidR="00655B88" w:rsidRPr="00E977FA" w14:paraId="1609702D" w14:textId="77777777" w:rsidTr="00DE4737">
        <w:trPr>
          <w:trHeight w:val="450"/>
        </w:trPr>
        <w:tc>
          <w:tcPr>
            <w:tcW w:w="2271" w:type="dxa"/>
            <w:shd w:val="clear" w:color="auto" w:fill="17365D" w:themeFill="text2" w:themeFillShade="BF"/>
            <w:vAlign w:val="center"/>
          </w:tcPr>
          <w:p w14:paraId="7EB97008" w14:textId="77777777" w:rsidR="00655B88" w:rsidRPr="00A455A0" w:rsidRDefault="00655B88" w:rsidP="00A455A0">
            <w:pPr>
              <w:jc w:val="center"/>
              <w:rPr>
                <w:b/>
                <w:color w:val="FFFFFF"/>
                <w:sz w:val="22"/>
                <w:szCs w:val="22"/>
              </w:rPr>
            </w:pPr>
            <w:r w:rsidRPr="00A455A0">
              <w:rPr>
                <w:b/>
                <w:color w:val="FFFFFF"/>
                <w:sz w:val="22"/>
                <w:szCs w:val="22"/>
              </w:rPr>
              <w:t>Site</w:t>
            </w:r>
          </w:p>
        </w:tc>
        <w:tc>
          <w:tcPr>
            <w:tcW w:w="2513" w:type="dxa"/>
            <w:shd w:val="clear" w:color="auto" w:fill="17365D" w:themeFill="text2" w:themeFillShade="BF"/>
            <w:vAlign w:val="center"/>
          </w:tcPr>
          <w:p w14:paraId="2B0BE150" w14:textId="77777777" w:rsidR="00655B88" w:rsidRPr="00A455A0" w:rsidRDefault="00655B88" w:rsidP="00A455A0">
            <w:pPr>
              <w:jc w:val="center"/>
              <w:rPr>
                <w:b/>
                <w:color w:val="FFFFFF"/>
                <w:sz w:val="22"/>
                <w:szCs w:val="22"/>
              </w:rPr>
            </w:pPr>
            <w:r w:rsidRPr="00A455A0">
              <w:rPr>
                <w:b/>
                <w:color w:val="FFFFFF"/>
                <w:sz w:val="22"/>
                <w:szCs w:val="22"/>
              </w:rPr>
              <w:t>GTV Diameter (mm)</w:t>
            </w:r>
          </w:p>
        </w:tc>
        <w:tc>
          <w:tcPr>
            <w:tcW w:w="2724" w:type="dxa"/>
            <w:shd w:val="clear" w:color="auto" w:fill="17365D" w:themeFill="text2" w:themeFillShade="BF"/>
            <w:vAlign w:val="center"/>
          </w:tcPr>
          <w:p w14:paraId="01CF7E07" w14:textId="77777777" w:rsidR="00655B88" w:rsidRPr="00A455A0" w:rsidRDefault="00655B88" w:rsidP="00A455A0">
            <w:pPr>
              <w:jc w:val="center"/>
              <w:rPr>
                <w:b/>
                <w:color w:val="FFFFFF"/>
                <w:sz w:val="22"/>
                <w:szCs w:val="22"/>
              </w:rPr>
            </w:pPr>
            <w:r w:rsidRPr="00A455A0">
              <w:rPr>
                <w:b/>
                <w:color w:val="FFFFFF"/>
                <w:sz w:val="22"/>
                <w:szCs w:val="22"/>
              </w:rPr>
              <w:t>Dose</w:t>
            </w:r>
          </w:p>
        </w:tc>
        <w:tc>
          <w:tcPr>
            <w:tcW w:w="2278" w:type="dxa"/>
            <w:shd w:val="clear" w:color="auto" w:fill="17365D" w:themeFill="text2" w:themeFillShade="BF"/>
            <w:vAlign w:val="center"/>
          </w:tcPr>
          <w:p w14:paraId="10227C5B" w14:textId="77777777" w:rsidR="00655B88" w:rsidRPr="00A455A0" w:rsidRDefault="00655B88" w:rsidP="00A455A0">
            <w:pPr>
              <w:jc w:val="center"/>
              <w:rPr>
                <w:b/>
                <w:color w:val="FFFFFF"/>
                <w:sz w:val="22"/>
                <w:szCs w:val="22"/>
              </w:rPr>
            </w:pPr>
            <w:r w:rsidRPr="00A455A0">
              <w:rPr>
                <w:b/>
                <w:color w:val="FFFFFF"/>
                <w:sz w:val="22"/>
                <w:szCs w:val="22"/>
              </w:rPr>
              <w:t>Reference</w:t>
            </w:r>
          </w:p>
        </w:tc>
      </w:tr>
      <w:tr w:rsidR="00655B88" w:rsidRPr="00E977FA" w14:paraId="598F1963" w14:textId="77777777" w:rsidTr="001A707E">
        <w:trPr>
          <w:trHeight w:val="426"/>
        </w:trPr>
        <w:tc>
          <w:tcPr>
            <w:tcW w:w="2271" w:type="dxa"/>
            <w:vMerge w:val="restart"/>
            <w:shd w:val="clear" w:color="auto" w:fill="C6D9F1" w:themeFill="text2" w:themeFillTint="33"/>
            <w:vAlign w:val="center"/>
          </w:tcPr>
          <w:p w14:paraId="032132E9" w14:textId="77777777" w:rsidR="00655B88" w:rsidRPr="00A455A0" w:rsidRDefault="00655B88" w:rsidP="00A455A0">
            <w:pPr>
              <w:rPr>
                <w:b/>
                <w:bCs/>
                <w:color w:val="000000"/>
                <w:sz w:val="22"/>
                <w:szCs w:val="22"/>
              </w:rPr>
            </w:pPr>
            <w:r w:rsidRPr="00A455A0">
              <w:rPr>
                <w:b/>
                <w:bCs/>
                <w:color w:val="000000"/>
                <w:sz w:val="22"/>
                <w:szCs w:val="22"/>
              </w:rPr>
              <w:t>Cerebrum/Cerebellum</w:t>
            </w:r>
          </w:p>
        </w:tc>
        <w:tc>
          <w:tcPr>
            <w:tcW w:w="2513" w:type="dxa"/>
            <w:shd w:val="clear" w:color="auto" w:fill="C6D9F1" w:themeFill="text2" w:themeFillTint="33"/>
            <w:vAlign w:val="center"/>
          </w:tcPr>
          <w:p w14:paraId="2BAACFD7" w14:textId="77777777" w:rsidR="00655B88" w:rsidRPr="00A455A0" w:rsidRDefault="00655B88" w:rsidP="00A455A0">
            <w:pPr>
              <w:jc w:val="center"/>
              <w:rPr>
                <w:color w:val="000000"/>
                <w:sz w:val="22"/>
                <w:szCs w:val="22"/>
              </w:rPr>
            </w:pPr>
            <w:r w:rsidRPr="00A455A0">
              <w:rPr>
                <w:color w:val="000000"/>
                <w:sz w:val="22"/>
                <w:szCs w:val="22"/>
              </w:rPr>
              <w:t>≤20</w:t>
            </w:r>
          </w:p>
        </w:tc>
        <w:tc>
          <w:tcPr>
            <w:tcW w:w="2724" w:type="dxa"/>
            <w:shd w:val="clear" w:color="auto" w:fill="C6D9F1" w:themeFill="text2" w:themeFillTint="33"/>
            <w:vAlign w:val="center"/>
          </w:tcPr>
          <w:p w14:paraId="52F4319D" w14:textId="77777777" w:rsidR="00655B88" w:rsidRPr="00A455A0" w:rsidRDefault="00655B88" w:rsidP="00A455A0">
            <w:pPr>
              <w:jc w:val="center"/>
              <w:rPr>
                <w:color w:val="000000"/>
                <w:sz w:val="22"/>
                <w:szCs w:val="22"/>
              </w:rPr>
            </w:pPr>
            <w:r w:rsidRPr="00A455A0">
              <w:rPr>
                <w:color w:val="000000"/>
                <w:sz w:val="22"/>
                <w:szCs w:val="22"/>
              </w:rPr>
              <w:t>18 – 24 Gy in 1#</w:t>
            </w:r>
          </w:p>
        </w:tc>
        <w:tc>
          <w:tcPr>
            <w:tcW w:w="2278" w:type="dxa"/>
            <w:vMerge w:val="restart"/>
            <w:shd w:val="clear" w:color="auto" w:fill="C6D9F1" w:themeFill="text2" w:themeFillTint="33"/>
            <w:vAlign w:val="center"/>
          </w:tcPr>
          <w:p w14:paraId="7D2041F4" w14:textId="77777777" w:rsidR="00655B88" w:rsidRPr="00A455A0" w:rsidRDefault="00655B88" w:rsidP="00A455A0">
            <w:pPr>
              <w:jc w:val="center"/>
              <w:rPr>
                <w:color w:val="000000"/>
                <w:sz w:val="22"/>
                <w:szCs w:val="22"/>
              </w:rPr>
            </w:pPr>
            <w:r w:rsidRPr="00A455A0">
              <w:rPr>
                <w:color w:val="000000"/>
                <w:sz w:val="22"/>
                <w:szCs w:val="22"/>
              </w:rPr>
              <w:t>eviQ</w:t>
            </w:r>
          </w:p>
        </w:tc>
      </w:tr>
      <w:tr w:rsidR="00655B88" w:rsidRPr="00E977FA" w14:paraId="45985B41" w14:textId="77777777" w:rsidTr="001A707E">
        <w:trPr>
          <w:trHeight w:val="419"/>
        </w:trPr>
        <w:tc>
          <w:tcPr>
            <w:tcW w:w="2271" w:type="dxa"/>
            <w:vMerge/>
            <w:shd w:val="clear" w:color="auto" w:fill="C6D9F1" w:themeFill="text2" w:themeFillTint="33"/>
            <w:vAlign w:val="center"/>
          </w:tcPr>
          <w:p w14:paraId="61CDCC98" w14:textId="77777777" w:rsidR="00655B88" w:rsidRPr="00A455A0" w:rsidRDefault="00655B88" w:rsidP="00A455A0">
            <w:pPr>
              <w:rPr>
                <w:color w:val="000000"/>
                <w:sz w:val="22"/>
                <w:szCs w:val="22"/>
              </w:rPr>
            </w:pPr>
          </w:p>
        </w:tc>
        <w:tc>
          <w:tcPr>
            <w:tcW w:w="2513" w:type="dxa"/>
            <w:shd w:val="clear" w:color="auto" w:fill="C6D9F1" w:themeFill="text2" w:themeFillTint="33"/>
            <w:vAlign w:val="center"/>
          </w:tcPr>
          <w:p w14:paraId="2F2ED70F" w14:textId="77777777" w:rsidR="00655B88" w:rsidRPr="00A455A0" w:rsidRDefault="00655B88" w:rsidP="00A455A0">
            <w:pPr>
              <w:jc w:val="center"/>
              <w:rPr>
                <w:color w:val="000000"/>
                <w:sz w:val="22"/>
                <w:szCs w:val="22"/>
              </w:rPr>
            </w:pPr>
            <w:r w:rsidRPr="00A455A0">
              <w:rPr>
                <w:color w:val="000000"/>
                <w:sz w:val="22"/>
                <w:szCs w:val="22"/>
              </w:rPr>
              <w:t>&gt;20 to ≤ 30</w:t>
            </w:r>
          </w:p>
        </w:tc>
        <w:tc>
          <w:tcPr>
            <w:tcW w:w="2724" w:type="dxa"/>
            <w:shd w:val="clear" w:color="auto" w:fill="C6D9F1" w:themeFill="text2" w:themeFillTint="33"/>
            <w:vAlign w:val="center"/>
          </w:tcPr>
          <w:p w14:paraId="32FD2D3F" w14:textId="77777777" w:rsidR="00655B88" w:rsidRPr="00A455A0" w:rsidRDefault="00655B88" w:rsidP="00A455A0">
            <w:pPr>
              <w:jc w:val="center"/>
              <w:rPr>
                <w:color w:val="000000"/>
                <w:sz w:val="22"/>
                <w:szCs w:val="22"/>
              </w:rPr>
            </w:pPr>
            <w:r w:rsidRPr="00A455A0">
              <w:rPr>
                <w:color w:val="000000"/>
                <w:sz w:val="22"/>
                <w:szCs w:val="22"/>
              </w:rPr>
              <w:t>18 Gy in 1#*</w:t>
            </w:r>
          </w:p>
        </w:tc>
        <w:tc>
          <w:tcPr>
            <w:tcW w:w="2278" w:type="dxa"/>
            <w:vMerge/>
            <w:shd w:val="clear" w:color="auto" w:fill="C6D9F1" w:themeFill="text2" w:themeFillTint="33"/>
            <w:vAlign w:val="center"/>
          </w:tcPr>
          <w:p w14:paraId="35BD98B6" w14:textId="77777777" w:rsidR="00655B88" w:rsidRPr="00A455A0" w:rsidRDefault="00655B88" w:rsidP="00A455A0">
            <w:pPr>
              <w:jc w:val="center"/>
              <w:rPr>
                <w:color w:val="000000"/>
                <w:sz w:val="22"/>
                <w:szCs w:val="22"/>
              </w:rPr>
            </w:pPr>
          </w:p>
        </w:tc>
      </w:tr>
      <w:tr w:rsidR="00655B88" w:rsidRPr="00E977FA" w14:paraId="1CCE9AEC" w14:textId="77777777" w:rsidTr="001A707E">
        <w:trPr>
          <w:trHeight w:val="419"/>
        </w:trPr>
        <w:tc>
          <w:tcPr>
            <w:tcW w:w="2271" w:type="dxa"/>
            <w:vMerge/>
            <w:shd w:val="clear" w:color="auto" w:fill="C6D9F1" w:themeFill="text2" w:themeFillTint="33"/>
            <w:vAlign w:val="center"/>
          </w:tcPr>
          <w:p w14:paraId="00F19DFD" w14:textId="77777777" w:rsidR="00655B88" w:rsidRPr="00A455A0" w:rsidRDefault="00655B88" w:rsidP="00A455A0">
            <w:pPr>
              <w:rPr>
                <w:color w:val="000000"/>
                <w:sz w:val="22"/>
                <w:szCs w:val="22"/>
              </w:rPr>
            </w:pPr>
          </w:p>
        </w:tc>
        <w:tc>
          <w:tcPr>
            <w:tcW w:w="2513" w:type="dxa"/>
            <w:shd w:val="clear" w:color="auto" w:fill="C6D9F1" w:themeFill="text2" w:themeFillTint="33"/>
            <w:vAlign w:val="center"/>
          </w:tcPr>
          <w:p w14:paraId="5046B06D" w14:textId="77777777" w:rsidR="00655B88" w:rsidRPr="00A455A0" w:rsidRDefault="00655B88" w:rsidP="00A455A0">
            <w:pPr>
              <w:jc w:val="center"/>
              <w:rPr>
                <w:color w:val="000000"/>
                <w:sz w:val="22"/>
                <w:szCs w:val="22"/>
              </w:rPr>
            </w:pPr>
            <w:r w:rsidRPr="00A455A0">
              <w:rPr>
                <w:color w:val="000000"/>
                <w:sz w:val="22"/>
                <w:szCs w:val="22"/>
              </w:rPr>
              <w:t>&gt;30 to ≤40</w:t>
            </w:r>
          </w:p>
        </w:tc>
        <w:tc>
          <w:tcPr>
            <w:tcW w:w="2724" w:type="dxa"/>
            <w:shd w:val="clear" w:color="auto" w:fill="C6D9F1" w:themeFill="text2" w:themeFillTint="33"/>
            <w:vAlign w:val="center"/>
          </w:tcPr>
          <w:p w14:paraId="42EB244F" w14:textId="77777777" w:rsidR="00655B88" w:rsidRPr="00A455A0" w:rsidRDefault="00655B88" w:rsidP="00A455A0">
            <w:pPr>
              <w:jc w:val="center"/>
              <w:rPr>
                <w:color w:val="000000"/>
                <w:sz w:val="22"/>
                <w:szCs w:val="22"/>
              </w:rPr>
            </w:pPr>
            <w:r w:rsidRPr="00A455A0">
              <w:rPr>
                <w:color w:val="000000"/>
                <w:sz w:val="22"/>
                <w:szCs w:val="22"/>
              </w:rPr>
              <w:t>15-16 Gy in 1#*</w:t>
            </w:r>
          </w:p>
        </w:tc>
        <w:tc>
          <w:tcPr>
            <w:tcW w:w="2278" w:type="dxa"/>
            <w:vMerge/>
            <w:shd w:val="clear" w:color="auto" w:fill="C6D9F1" w:themeFill="text2" w:themeFillTint="33"/>
            <w:vAlign w:val="center"/>
          </w:tcPr>
          <w:p w14:paraId="51DCC06B" w14:textId="77777777" w:rsidR="00655B88" w:rsidRPr="00A455A0" w:rsidRDefault="00655B88" w:rsidP="00A455A0">
            <w:pPr>
              <w:jc w:val="center"/>
              <w:rPr>
                <w:color w:val="000000"/>
                <w:sz w:val="22"/>
                <w:szCs w:val="22"/>
              </w:rPr>
            </w:pPr>
          </w:p>
        </w:tc>
      </w:tr>
      <w:tr w:rsidR="00655B88" w:rsidRPr="00E977FA" w14:paraId="2C4F113A" w14:textId="77777777" w:rsidTr="001A707E">
        <w:trPr>
          <w:trHeight w:val="419"/>
        </w:trPr>
        <w:tc>
          <w:tcPr>
            <w:tcW w:w="2271" w:type="dxa"/>
            <w:vMerge/>
            <w:shd w:val="clear" w:color="auto" w:fill="C6D9F1" w:themeFill="text2" w:themeFillTint="33"/>
            <w:vAlign w:val="center"/>
          </w:tcPr>
          <w:p w14:paraId="3D19FF3D" w14:textId="77777777" w:rsidR="00655B88" w:rsidRPr="00A455A0" w:rsidRDefault="00655B88" w:rsidP="00A455A0">
            <w:pPr>
              <w:rPr>
                <w:color w:val="000000"/>
                <w:sz w:val="22"/>
                <w:szCs w:val="22"/>
              </w:rPr>
            </w:pPr>
          </w:p>
        </w:tc>
        <w:tc>
          <w:tcPr>
            <w:tcW w:w="2513" w:type="dxa"/>
            <w:shd w:val="clear" w:color="auto" w:fill="C6D9F1" w:themeFill="text2" w:themeFillTint="33"/>
            <w:vAlign w:val="center"/>
          </w:tcPr>
          <w:p w14:paraId="2961A725" w14:textId="77777777" w:rsidR="00655B88" w:rsidRPr="00A455A0" w:rsidRDefault="00655B88" w:rsidP="00A455A0">
            <w:pPr>
              <w:jc w:val="center"/>
              <w:rPr>
                <w:color w:val="000000"/>
                <w:sz w:val="22"/>
                <w:szCs w:val="22"/>
              </w:rPr>
            </w:pPr>
            <w:r w:rsidRPr="00A455A0">
              <w:rPr>
                <w:color w:val="000000"/>
                <w:sz w:val="22"/>
                <w:szCs w:val="22"/>
              </w:rPr>
              <w:t>&gt;20 to ≤40</w:t>
            </w:r>
          </w:p>
        </w:tc>
        <w:tc>
          <w:tcPr>
            <w:tcW w:w="2724" w:type="dxa"/>
            <w:shd w:val="clear" w:color="auto" w:fill="C6D9F1" w:themeFill="text2" w:themeFillTint="33"/>
            <w:vAlign w:val="center"/>
          </w:tcPr>
          <w:p w14:paraId="22560412" w14:textId="77777777" w:rsidR="00655B88" w:rsidRPr="00A455A0" w:rsidRDefault="00655B88" w:rsidP="00A455A0">
            <w:pPr>
              <w:jc w:val="center"/>
              <w:rPr>
                <w:color w:val="000000"/>
                <w:sz w:val="22"/>
                <w:szCs w:val="22"/>
              </w:rPr>
            </w:pPr>
            <w:r w:rsidRPr="00A455A0">
              <w:rPr>
                <w:color w:val="000000"/>
                <w:sz w:val="22"/>
                <w:szCs w:val="22"/>
              </w:rPr>
              <w:t>24-30 Gy in 3-5#s</w:t>
            </w:r>
          </w:p>
        </w:tc>
        <w:tc>
          <w:tcPr>
            <w:tcW w:w="2278" w:type="dxa"/>
            <w:vMerge/>
            <w:shd w:val="clear" w:color="auto" w:fill="C6D9F1" w:themeFill="text2" w:themeFillTint="33"/>
            <w:vAlign w:val="center"/>
          </w:tcPr>
          <w:p w14:paraId="58E6E0E8" w14:textId="77777777" w:rsidR="00655B88" w:rsidRPr="00A455A0" w:rsidRDefault="00655B88" w:rsidP="00A455A0">
            <w:pPr>
              <w:jc w:val="center"/>
              <w:rPr>
                <w:color w:val="000000"/>
                <w:sz w:val="22"/>
                <w:szCs w:val="22"/>
              </w:rPr>
            </w:pPr>
          </w:p>
        </w:tc>
      </w:tr>
      <w:tr w:rsidR="00655B88" w:rsidRPr="00E977FA" w14:paraId="1B0D80B8" w14:textId="77777777" w:rsidTr="001A707E">
        <w:trPr>
          <w:trHeight w:val="396"/>
        </w:trPr>
        <w:tc>
          <w:tcPr>
            <w:tcW w:w="2271" w:type="dxa"/>
            <w:vMerge/>
            <w:shd w:val="clear" w:color="auto" w:fill="C6D9F1" w:themeFill="text2" w:themeFillTint="33"/>
            <w:vAlign w:val="center"/>
          </w:tcPr>
          <w:p w14:paraId="7054BBF4" w14:textId="77777777" w:rsidR="00655B88" w:rsidRPr="00A455A0" w:rsidRDefault="00655B88" w:rsidP="00A455A0">
            <w:pPr>
              <w:rPr>
                <w:color w:val="000000"/>
                <w:sz w:val="22"/>
                <w:szCs w:val="22"/>
              </w:rPr>
            </w:pPr>
          </w:p>
        </w:tc>
        <w:tc>
          <w:tcPr>
            <w:tcW w:w="2513" w:type="dxa"/>
            <w:shd w:val="clear" w:color="auto" w:fill="8DB3E2" w:themeFill="text2" w:themeFillTint="66"/>
            <w:vAlign w:val="center"/>
          </w:tcPr>
          <w:p w14:paraId="7DBB7054" w14:textId="77777777" w:rsidR="00655B88" w:rsidRPr="00A455A0" w:rsidRDefault="00655B88" w:rsidP="00A455A0">
            <w:pPr>
              <w:jc w:val="center"/>
              <w:rPr>
                <w:color w:val="000000"/>
                <w:sz w:val="22"/>
                <w:szCs w:val="22"/>
              </w:rPr>
            </w:pPr>
            <w:r w:rsidRPr="00A455A0">
              <w:rPr>
                <w:color w:val="000000"/>
                <w:sz w:val="22"/>
                <w:szCs w:val="22"/>
              </w:rPr>
              <w:t>≤20</w:t>
            </w:r>
          </w:p>
        </w:tc>
        <w:tc>
          <w:tcPr>
            <w:tcW w:w="2724" w:type="dxa"/>
            <w:shd w:val="clear" w:color="auto" w:fill="8DB3E2" w:themeFill="text2" w:themeFillTint="66"/>
            <w:vAlign w:val="center"/>
          </w:tcPr>
          <w:p w14:paraId="1AD14DEA" w14:textId="77777777" w:rsidR="00655B88" w:rsidRPr="00A455A0" w:rsidRDefault="00655B88" w:rsidP="00A455A0">
            <w:pPr>
              <w:jc w:val="center"/>
              <w:rPr>
                <w:color w:val="000000"/>
                <w:sz w:val="22"/>
                <w:szCs w:val="22"/>
              </w:rPr>
            </w:pPr>
            <w:r w:rsidRPr="00A455A0">
              <w:rPr>
                <w:color w:val="000000"/>
                <w:sz w:val="22"/>
                <w:szCs w:val="22"/>
              </w:rPr>
              <w:t>20 (+/- 2) Gy in 1#</w:t>
            </w:r>
          </w:p>
        </w:tc>
        <w:tc>
          <w:tcPr>
            <w:tcW w:w="2278" w:type="dxa"/>
            <w:vMerge w:val="restart"/>
            <w:shd w:val="clear" w:color="auto" w:fill="8DB3E2" w:themeFill="text2" w:themeFillTint="66"/>
            <w:vAlign w:val="center"/>
          </w:tcPr>
          <w:p w14:paraId="6AA6C62C" w14:textId="77777777" w:rsidR="00655B88" w:rsidRPr="00A455A0" w:rsidRDefault="00655B88" w:rsidP="00A455A0">
            <w:pPr>
              <w:jc w:val="center"/>
              <w:rPr>
                <w:color w:val="000000"/>
                <w:sz w:val="22"/>
                <w:szCs w:val="22"/>
              </w:rPr>
            </w:pPr>
            <w:r w:rsidRPr="00A455A0">
              <w:rPr>
                <w:color w:val="000000"/>
                <w:sz w:val="22"/>
                <w:szCs w:val="22"/>
              </w:rPr>
              <w:t xml:space="preserve">TROG </w:t>
            </w:r>
          </w:p>
        </w:tc>
      </w:tr>
      <w:tr w:rsidR="00655B88" w:rsidRPr="00E977FA" w14:paraId="16E35B46" w14:textId="77777777" w:rsidTr="001A707E">
        <w:trPr>
          <w:trHeight w:val="396"/>
        </w:trPr>
        <w:tc>
          <w:tcPr>
            <w:tcW w:w="2271" w:type="dxa"/>
            <w:vMerge/>
            <w:shd w:val="clear" w:color="auto" w:fill="C6D9F1" w:themeFill="text2" w:themeFillTint="33"/>
            <w:vAlign w:val="center"/>
          </w:tcPr>
          <w:p w14:paraId="700FDA8C" w14:textId="77777777" w:rsidR="00655B88" w:rsidRPr="00A455A0" w:rsidRDefault="00655B88" w:rsidP="00A455A0">
            <w:pPr>
              <w:rPr>
                <w:color w:val="000000"/>
                <w:sz w:val="22"/>
                <w:szCs w:val="22"/>
              </w:rPr>
            </w:pPr>
          </w:p>
        </w:tc>
        <w:tc>
          <w:tcPr>
            <w:tcW w:w="2513" w:type="dxa"/>
            <w:shd w:val="clear" w:color="auto" w:fill="C6D9F1" w:themeFill="text2" w:themeFillTint="33"/>
            <w:vAlign w:val="center"/>
          </w:tcPr>
          <w:p w14:paraId="2B40268B" w14:textId="77777777" w:rsidR="00655B88" w:rsidRPr="00A455A0" w:rsidRDefault="00655B88" w:rsidP="00A455A0">
            <w:pPr>
              <w:jc w:val="center"/>
              <w:rPr>
                <w:color w:val="000000"/>
                <w:sz w:val="22"/>
                <w:szCs w:val="22"/>
              </w:rPr>
            </w:pPr>
            <w:r w:rsidRPr="00A455A0">
              <w:rPr>
                <w:color w:val="000000"/>
                <w:sz w:val="22"/>
                <w:szCs w:val="22"/>
              </w:rPr>
              <w:t>&gt;20 to ≤40</w:t>
            </w:r>
          </w:p>
        </w:tc>
        <w:tc>
          <w:tcPr>
            <w:tcW w:w="2724" w:type="dxa"/>
            <w:shd w:val="clear" w:color="auto" w:fill="C6D9F1" w:themeFill="text2" w:themeFillTint="33"/>
            <w:vAlign w:val="center"/>
          </w:tcPr>
          <w:p w14:paraId="57137BBC" w14:textId="77777777" w:rsidR="00655B88" w:rsidRPr="00A455A0" w:rsidRDefault="00655B88" w:rsidP="00A455A0">
            <w:pPr>
              <w:jc w:val="center"/>
              <w:rPr>
                <w:color w:val="000000"/>
                <w:sz w:val="22"/>
                <w:szCs w:val="22"/>
              </w:rPr>
            </w:pPr>
            <w:r w:rsidRPr="00A455A0">
              <w:rPr>
                <w:color w:val="000000"/>
                <w:sz w:val="22"/>
                <w:szCs w:val="22"/>
              </w:rPr>
              <w:t>24 Gy in 3#s</w:t>
            </w:r>
          </w:p>
        </w:tc>
        <w:tc>
          <w:tcPr>
            <w:tcW w:w="2278" w:type="dxa"/>
            <w:vMerge/>
            <w:shd w:val="clear" w:color="auto" w:fill="C5E0B3"/>
            <w:vAlign w:val="center"/>
          </w:tcPr>
          <w:p w14:paraId="217EC1F3" w14:textId="77777777" w:rsidR="00655B88" w:rsidRPr="00A455A0" w:rsidRDefault="00655B88" w:rsidP="00A455A0">
            <w:pPr>
              <w:jc w:val="center"/>
              <w:rPr>
                <w:color w:val="000000"/>
                <w:sz w:val="22"/>
                <w:szCs w:val="22"/>
              </w:rPr>
            </w:pPr>
          </w:p>
        </w:tc>
      </w:tr>
      <w:tr w:rsidR="00655B88" w:rsidRPr="00E977FA" w14:paraId="1A6A8314" w14:textId="77777777" w:rsidTr="001A707E">
        <w:trPr>
          <w:trHeight w:val="396"/>
        </w:trPr>
        <w:tc>
          <w:tcPr>
            <w:tcW w:w="2271" w:type="dxa"/>
            <w:shd w:val="clear" w:color="auto" w:fill="C6D9F1" w:themeFill="text2" w:themeFillTint="33"/>
            <w:vAlign w:val="center"/>
          </w:tcPr>
          <w:p w14:paraId="2B3157A9" w14:textId="77777777" w:rsidR="00655B88" w:rsidRPr="00A455A0" w:rsidRDefault="00655B88" w:rsidP="00A455A0">
            <w:pPr>
              <w:rPr>
                <w:b/>
                <w:bCs/>
                <w:color w:val="000000"/>
                <w:sz w:val="22"/>
                <w:szCs w:val="22"/>
              </w:rPr>
            </w:pPr>
            <w:r w:rsidRPr="00A455A0">
              <w:rPr>
                <w:b/>
                <w:bCs/>
                <w:color w:val="000000"/>
                <w:sz w:val="22"/>
                <w:szCs w:val="22"/>
              </w:rPr>
              <w:lastRenderedPageBreak/>
              <w:t>Brainstem</w:t>
            </w:r>
          </w:p>
        </w:tc>
        <w:tc>
          <w:tcPr>
            <w:tcW w:w="2513" w:type="dxa"/>
            <w:shd w:val="clear" w:color="auto" w:fill="C6D9F1" w:themeFill="text2" w:themeFillTint="33"/>
            <w:vAlign w:val="center"/>
          </w:tcPr>
          <w:p w14:paraId="1EFCAFF6" w14:textId="77777777" w:rsidR="00655B88" w:rsidRPr="00A455A0" w:rsidRDefault="00655B88" w:rsidP="00A455A0">
            <w:pPr>
              <w:jc w:val="center"/>
              <w:rPr>
                <w:color w:val="000000"/>
                <w:sz w:val="22"/>
                <w:szCs w:val="22"/>
              </w:rPr>
            </w:pPr>
          </w:p>
        </w:tc>
        <w:tc>
          <w:tcPr>
            <w:tcW w:w="2724" w:type="dxa"/>
            <w:shd w:val="clear" w:color="auto" w:fill="C6D9F1" w:themeFill="text2" w:themeFillTint="33"/>
            <w:vAlign w:val="center"/>
          </w:tcPr>
          <w:p w14:paraId="5EF7215E" w14:textId="77777777" w:rsidR="00655B88" w:rsidRPr="00A455A0" w:rsidRDefault="00655B88" w:rsidP="00A455A0">
            <w:pPr>
              <w:jc w:val="center"/>
              <w:rPr>
                <w:color w:val="000000"/>
                <w:sz w:val="22"/>
                <w:szCs w:val="22"/>
              </w:rPr>
            </w:pPr>
            <w:r w:rsidRPr="00A455A0">
              <w:rPr>
                <w:color w:val="000000"/>
                <w:sz w:val="22"/>
                <w:szCs w:val="22"/>
              </w:rPr>
              <w:t>22-24 Gy in 3#s</w:t>
            </w:r>
          </w:p>
        </w:tc>
        <w:tc>
          <w:tcPr>
            <w:tcW w:w="2278" w:type="dxa"/>
            <w:vMerge/>
            <w:shd w:val="clear" w:color="auto" w:fill="C5E0B3"/>
            <w:vAlign w:val="center"/>
          </w:tcPr>
          <w:p w14:paraId="49C80B68" w14:textId="77777777" w:rsidR="00655B88" w:rsidRPr="00A455A0" w:rsidRDefault="00655B88" w:rsidP="00A455A0">
            <w:pPr>
              <w:jc w:val="center"/>
              <w:rPr>
                <w:color w:val="000000"/>
                <w:sz w:val="22"/>
                <w:szCs w:val="22"/>
              </w:rPr>
            </w:pPr>
          </w:p>
        </w:tc>
      </w:tr>
      <w:tr w:rsidR="00655B88" w:rsidRPr="00E977FA" w14:paraId="42B2F3F6" w14:textId="77777777" w:rsidTr="001A707E">
        <w:trPr>
          <w:trHeight w:val="450"/>
        </w:trPr>
        <w:tc>
          <w:tcPr>
            <w:tcW w:w="2271" w:type="dxa"/>
            <w:shd w:val="clear" w:color="auto" w:fill="17365D" w:themeFill="text2" w:themeFillShade="BF"/>
            <w:vAlign w:val="center"/>
          </w:tcPr>
          <w:p w14:paraId="03335822" w14:textId="77777777" w:rsidR="00655B88" w:rsidRPr="00A455A0" w:rsidRDefault="00655B88" w:rsidP="00A455A0">
            <w:pPr>
              <w:rPr>
                <w:b/>
                <w:color w:val="FFFFFF"/>
                <w:sz w:val="22"/>
                <w:szCs w:val="22"/>
              </w:rPr>
            </w:pPr>
            <w:r w:rsidRPr="00A455A0">
              <w:rPr>
                <w:b/>
                <w:color w:val="FFFFFF"/>
                <w:sz w:val="22"/>
                <w:szCs w:val="22"/>
              </w:rPr>
              <w:t>Site</w:t>
            </w:r>
          </w:p>
        </w:tc>
        <w:tc>
          <w:tcPr>
            <w:tcW w:w="2513" w:type="dxa"/>
            <w:shd w:val="clear" w:color="auto" w:fill="17365D" w:themeFill="text2" w:themeFillShade="BF"/>
            <w:vAlign w:val="center"/>
          </w:tcPr>
          <w:p w14:paraId="63C8B6DD" w14:textId="77777777" w:rsidR="00655B88" w:rsidRPr="00A455A0" w:rsidRDefault="00655B88" w:rsidP="00A455A0">
            <w:pPr>
              <w:jc w:val="center"/>
              <w:rPr>
                <w:b/>
                <w:color w:val="FFFFFF"/>
                <w:sz w:val="22"/>
                <w:szCs w:val="22"/>
              </w:rPr>
            </w:pPr>
            <w:r w:rsidRPr="00A455A0">
              <w:rPr>
                <w:b/>
                <w:color w:val="FFFFFF"/>
                <w:sz w:val="22"/>
                <w:szCs w:val="22"/>
              </w:rPr>
              <w:t>GTV Diameter (mm)</w:t>
            </w:r>
          </w:p>
        </w:tc>
        <w:tc>
          <w:tcPr>
            <w:tcW w:w="2724" w:type="dxa"/>
            <w:shd w:val="clear" w:color="auto" w:fill="17365D" w:themeFill="text2" w:themeFillShade="BF"/>
            <w:vAlign w:val="center"/>
          </w:tcPr>
          <w:p w14:paraId="261C2411" w14:textId="77777777" w:rsidR="00655B88" w:rsidRPr="00A455A0" w:rsidRDefault="00655B88" w:rsidP="00A455A0">
            <w:pPr>
              <w:jc w:val="center"/>
              <w:rPr>
                <w:b/>
                <w:color w:val="FFFFFF"/>
                <w:sz w:val="22"/>
                <w:szCs w:val="22"/>
              </w:rPr>
            </w:pPr>
            <w:r w:rsidRPr="00A455A0">
              <w:rPr>
                <w:b/>
                <w:color w:val="FFFFFF"/>
                <w:sz w:val="22"/>
                <w:szCs w:val="22"/>
              </w:rPr>
              <w:t>Dose</w:t>
            </w:r>
          </w:p>
        </w:tc>
        <w:tc>
          <w:tcPr>
            <w:tcW w:w="2278" w:type="dxa"/>
            <w:shd w:val="clear" w:color="auto" w:fill="17365D" w:themeFill="text2" w:themeFillShade="BF"/>
            <w:vAlign w:val="center"/>
          </w:tcPr>
          <w:p w14:paraId="20A05A3F" w14:textId="77777777" w:rsidR="00655B88" w:rsidRPr="00A455A0" w:rsidRDefault="00655B88" w:rsidP="00A455A0">
            <w:pPr>
              <w:jc w:val="center"/>
              <w:rPr>
                <w:b/>
                <w:color w:val="FFFFFF"/>
                <w:sz w:val="22"/>
                <w:szCs w:val="22"/>
              </w:rPr>
            </w:pPr>
            <w:r w:rsidRPr="00A455A0">
              <w:rPr>
                <w:b/>
                <w:color w:val="FFFFFF"/>
                <w:sz w:val="22"/>
                <w:szCs w:val="22"/>
              </w:rPr>
              <w:t>Reference</w:t>
            </w:r>
          </w:p>
        </w:tc>
      </w:tr>
      <w:tr w:rsidR="00655B88" w:rsidRPr="00E977FA" w14:paraId="60D0C427" w14:textId="77777777" w:rsidTr="001A707E">
        <w:trPr>
          <w:trHeight w:val="396"/>
        </w:trPr>
        <w:tc>
          <w:tcPr>
            <w:tcW w:w="2271" w:type="dxa"/>
            <w:vMerge w:val="restart"/>
            <w:shd w:val="clear" w:color="auto" w:fill="C6D9F1" w:themeFill="text2" w:themeFillTint="33"/>
            <w:vAlign w:val="center"/>
          </w:tcPr>
          <w:p w14:paraId="6645EC5F" w14:textId="77777777" w:rsidR="00655B88" w:rsidRPr="00A455A0" w:rsidRDefault="00655B88" w:rsidP="00A455A0">
            <w:pPr>
              <w:rPr>
                <w:b/>
                <w:bCs/>
                <w:color w:val="000000"/>
                <w:sz w:val="22"/>
                <w:szCs w:val="22"/>
              </w:rPr>
            </w:pPr>
            <w:r w:rsidRPr="00A455A0">
              <w:rPr>
                <w:b/>
                <w:bCs/>
                <w:color w:val="000000"/>
                <w:sz w:val="22"/>
                <w:szCs w:val="22"/>
              </w:rPr>
              <w:t>Surgical Cavity</w:t>
            </w:r>
          </w:p>
        </w:tc>
        <w:tc>
          <w:tcPr>
            <w:tcW w:w="2513" w:type="dxa"/>
            <w:shd w:val="clear" w:color="auto" w:fill="C6D9F1" w:themeFill="text2" w:themeFillTint="33"/>
            <w:vAlign w:val="center"/>
          </w:tcPr>
          <w:p w14:paraId="2389E7B5" w14:textId="77777777" w:rsidR="00655B88" w:rsidRPr="00A455A0" w:rsidRDefault="00655B88" w:rsidP="00A455A0">
            <w:pPr>
              <w:jc w:val="center"/>
              <w:rPr>
                <w:color w:val="000000"/>
                <w:sz w:val="22"/>
                <w:szCs w:val="22"/>
              </w:rPr>
            </w:pPr>
            <w:r w:rsidRPr="00A455A0">
              <w:rPr>
                <w:color w:val="000000"/>
                <w:sz w:val="22"/>
                <w:szCs w:val="22"/>
              </w:rPr>
              <w:t>≤20</w:t>
            </w:r>
          </w:p>
        </w:tc>
        <w:tc>
          <w:tcPr>
            <w:tcW w:w="2724" w:type="dxa"/>
            <w:shd w:val="clear" w:color="auto" w:fill="C6D9F1" w:themeFill="text2" w:themeFillTint="33"/>
            <w:vAlign w:val="center"/>
          </w:tcPr>
          <w:p w14:paraId="7C8AD382" w14:textId="77777777" w:rsidR="00655B88" w:rsidRPr="00A455A0" w:rsidRDefault="00655B88" w:rsidP="00A455A0">
            <w:pPr>
              <w:jc w:val="center"/>
              <w:rPr>
                <w:color w:val="000000"/>
                <w:sz w:val="22"/>
                <w:szCs w:val="22"/>
              </w:rPr>
            </w:pPr>
            <w:r w:rsidRPr="00A455A0">
              <w:rPr>
                <w:color w:val="000000"/>
                <w:sz w:val="22"/>
                <w:szCs w:val="22"/>
              </w:rPr>
              <w:t>16-20 Gy in 1#</w:t>
            </w:r>
          </w:p>
          <w:p w14:paraId="74E10A60" w14:textId="77777777" w:rsidR="00655B88" w:rsidRPr="00A455A0" w:rsidRDefault="00655B88" w:rsidP="00A455A0">
            <w:pPr>
              <w:jc w:val="center"/>
              <w:rPr>
                <w:color w:val="000000"/>
                <w:sz w:val="22"/>
                <w:szCs w:val="22"/>
              </w:rPr>
            </w:pPr>
            <w:r w:rsidRPr="00A455A0">
              <w:rPr>
                <w:color w:val="000000"/>
                <w:sz w:val="22"/>
                <w:szCs w:val="22"/>
              </w:rPr>
              <w:t>24-30 Gy in 3-5#s</w:t>
            </w:r>
          </w:p>
        </w:tc>
        <w:tc>
          <w:tcPr>
            <w:tcW w:w="2278" w:type="dxa"/>
            <w:vMerge w:val="restart"/>
            <w:shd w:val="clear" w:color="auto" w:fill="C6D9F1" w:themeFill="text2" w:themeFillTint="33"/>
            <w:vAlign w:val="center"/>
          </w:tcPr>
          <w:p w14:paraId="7857F14B" w14:textId="77777777" w:rsidR="00655B88" w:rsidRPr="00A455A0" w:rsidRDefault="00655B88" w:rsidP="00A455A0">
            <w:pPr>
              <w:jc w:val="center"/>
              <w:rPr>
                <w:color w:val="000000"/>
                <w:sz w:val="22"/>
                <w:szCs w:val="22"/>
              </w:rPr>
            </w:pPr>
            <w:r w:rsidRPr="00A455A0">
              <w:rPr>
                <w:color w:val="000000"/>
                <w:sz w:val="22"/>
                <w:szCs w:val="22"/>
              </w:rPr>
              <w:t>eviQ</w:t>
            </w:r>
          </w:p>
        </w:tc>
      </w:tr>
      <w:tr w:rsidR="00655B88" w:rsidRPr="00E977FA" w14:paraId="7C0A7368" w14:textId="77777777" w:rsidTr="001A707E">
        <w:trPr>
          <w:trHeight w:val="396"/>
        </w:trPr>
        <w:tc>
          <w:tcPr>
            <w:tcW w:w="2271" w:type="dxa"/>
            <w:vMerge/>
            <w:shd w:val="clear" w:color="auto" w:fill="EAF1DD" w:themeFill="accent3" w:themeFillTint="33"/>
            <w:vAlign w:val="center"/>
          </w:tcPr>
          <w:p w14:paraId="4401FA63" w14:textId="77777777" w:rsidR="00655B88" w:rsidRPr="00A455A0" w:rsidRDefault="00655B88" w:rsidP="00A455A0">
            <w:pPr>
              <w:jc w:val="center"/>
              <w:rPr>
                <w:color w:val="000000"/>
                <w:sz w:val="22"/>
                <w:szCs w:val="22"/>
              </w:rPr>
            </w:pPr>
          </w:p>
        </w:tc>
        <w:tc>
          <w:tcPr>
            <w:tcW w:w="2513" w:type="dxa"/>
            <w:shd w:val="clear" w:color="auto" w:fill="C6D9F1" w:themeFill="text2" w:themeFillTint="33"/>
            <w:vAlign w:val="center"/>
          </w:tcPr>
          <w:p w14:paraId="1AEF8939" w14:textId="77777777" w:rsidR="00655B88" w:rsidRPr="00A455A0" w:rsidRDefault="00655B88" w:rsidP="00A455A0">
            <w:pPr>
              <w:jc w:val="center"/>
              <w:rPr>
                <w:color w:val="000000"/>
                <w:sz w:val="22"/>
                <w:szCs w:val="22"/>
              </w:rPr>
            </w:pPr>
            <w:r w:rsidRPr="00A455A0">
              <w:rPr>
                <w:color w:val="000000"/>
                <w:sz w:val="22"/>
                <w:szCs w:val="22"/>
              </w:rPr>
              <w:t>&gt;20 to ≤ 30</w:t>
            </w:r>
          </w:p>
        </w:tc>
        <w:tc>
          <w:tcPr>
            <w:tcW w:w="2724" w:type="dxa"/>
            <w:shd w:val="clear" w:color="auto" w:fill="C6D9F1" w:themeFill="text2" w:themeFillTint="33"/>
            <w:vAlign w:val="center"/>
          </w:tcPr>
          <w:p w14:paraId="727020B4" w14:textId="77777777" w:rsidR="00655B88" w:rsidRPr="00A455A0" w:rsidRDefault="00655B88" w:rsidP="00A455A0">
            <w:pPr>
              <w:jc w:val="center"/>
              <w:rPr>
                <w:color w:val="000000"/>
                <w:sz w:val="22"/>
                <w:szCs w:val="22"/>
              </w:rPr>
            </w:pPr>
            <w:r w:rsidRPr="00A455A0">
              <w:rPr>
                <w:color w:val="000000"/>
                <w:sz w:val="22"/>
                <w:szCs w:val="22"/>
              </w:rPr>
              <w:t>14-18Gy in 1#</w:t>
            </w:r>
          </w:p>
          <w:p w14:paraId="52A380CA" w14:textId="77777777" w:rsidR="00655B88" w:rsidRPr="00A455A0" w:rsidRDefault="00655B88" w:rsidP="00A455A0">
            <w:pPr>
              <w:jc w:val="center"/>
              <w:rPr>
                <w:color w:val="000000"/>
                <w:sz w:val="22"/>
                <w:szCs w:val="22"/>
              </w:rPr>
            </w:pPr>
            <w:r w:rsidRPr="00A455A0">
              <w:rPr>
                <w:color w:val="000000"/>
                <w:sz w:val="22"/>
                <w:szCs w:val="22"/>
              </w:rPr>
              <w:t>24-30Gy in 3-5#s</w:t>
            </w:r>
          </w:p>
        </w:tc>
        <w:tc>
          <w:tcPr>
            <w:tcW w:w="2278" w:type="dxa"/>
            <w:vMerge/>
            <w:shd w:val="clear" w:color="auto" w:fill="E2EFD9"/>
            <w:vAlign w:val="center"/>
          </w:tcPr>
          <w:p w14:paraId="6590B8B2" w14:textId="77777777" w:rsidR="00655B88" w:rsidRPr="00A455A0" w:rsidRDefault="00655B88" w:rsidP="00A455A0">
            <w:pPr>
              <w:jc w:val="center"/>
              <w:rPr>
                <w:color w:val="000000"/>
                <w:sz w:val="22"/>
                <w:szCs w:val="22"/>
              </w:rPr>
            </w:pPr>
          </w:p>
        </w:tc>
      </w:tr>
      <w:tr w:rsidR="00655B88" w:rsidRPr="00E977FA" w14:paraId="44E2554E" w14:textId="77777777" w:rsidTr="001A707E">
        <w:trPr>
          <w:trHeight w:val="396"/>
        </w:trPr>
        <w:tc>
          <w:tcPr>
            <w:tcW w:w="2271" w:type="dxa"/>
            <w:vMerge/>
            <w:shd w:val="clear" w:color="auto" w:fill="EAF1DD" w:themeFill="accent3" w:themeFillTint="33"/>
            <w:vAlign w:val="center"/>
          </w:tcPr>
          <w:p w14:paraId="37FA4874" w14:textId="77777777" w:rsidR="00655B88" w:rsidRPr="00A455A0" w:rsidRDefault="00655B88" w:rsidP="00A455A0">
            <w:pPr>
              <w:jc w:val="center"/>
              <w:rPr>
                <w:color w:val="000000"/>
                <w:sz w:val="22"/>
                <w:szCs w:val="22"/>
              </w:rPr>
            </w:pPr>
          </w:p>
        </w:tc>
        <w:tc>
          <w:tcPr>
            <w:tcW w:w="2513" w:type="dxa"/>
            <w:shd w:val="clear" w:color="auto" w:fill="C6D9F1" w:themeFill="text2" w:themeFillTint="33"/>
            <w:vAlign w:val="center"/>
          </w:tcPr>
          <w:p w14:paraId="17BA64BB" w14:textId="77777777" w:rsidR="00655B88" w:rsidRPr="00A455A0" w:rsidRDefault="00655B88" w:rsidP="00A455A0">
            <w:pPr>
              <w:jc w:val="center"/>
              <w:rPr>
                <w:color w:val="000000"/>
                <w:sz w:val="22"/>
                <w:szCs w:val="22"/>
              </w:rPr>
            </w:pPr>
            <w:r w:rsidRPr="00A455A0">
              <w:rPr>
                <w:color w:val="000000"/>
                <w:sz w:val="22"/>
                <w:szCs w:val="22"/>
              </w:rPr>
              <w:t>&gt;30 to ≤50</w:t>
            </w:r>
          </w:p>
        </w:tc>
        <w:tc>
          <w:tcPr>
            <w:tcW w:w="2724" w:type="dxa"/>
            <w:shd w:val="clear" w:color="auto" w:fill="C6D9F1" w:themeFill="text2" w:themeFillTint="33"/>
            <w:vAlign w:val="center"/>
          </w:tcPr>
          <w:p w14:paraId="64B7248F" w14:textId="77777777" w:rsidR="00655B88" w:rsidRPr="00A455A0" w:rsidRDefault="00655B88" w:rsidP="00A455A0">
            <w:pPr>
              <w:jc w:val="center"/>
              <w:rPr>
                <w:color w:val="000000"/>
                <w:sz w:val="22"/>
                <w:szCs w:val="22"/>
              </w:rPr>
            </w:pPr>
            <w:r w:rsidRPr="00A455A0">
              <w:rPr>
                <w:color w:val="000000"/>
                <w:sz w:val="22"/>
                <w:szCs w:val="22"/>
              </w:rPr>
              <w:t>12-14Gy in 1#</w:t>
            </w:r>
          </w:p>
          <w:p w14:paraId="61027EDA" w14:textId="77777777" w:rsidR="00655B88" w:rsidRPr="00A455A0" w:rsidRDefault="00655B88" w:rsidP="00A455A0">
            <w:pPr>
              <w:jc w:val="center"/>
              <w:rPr>
                <w:color w:val="000000"/>
                <w:sz w:val="22"/>
                <w:szCs w:val="22"/>
              </w:rPr>
            </w:pPr>
            <w:r w:rsidRPr="00A455A0">
              <w:rPr>
                <w:color w:val="000000"/>
                <w:sz w:val="22"/>
                <w:szCs w:val="22"/>
              </w:rPr>
              <w:t>25-40Gy in 5-10#s</w:t>
            </w:r>
          </w:p>
        </w:tc>
        <w:tc>
          <w:tcPr>
            <w:tcW w:w="2278" w:type="dxa"/>
            <w:vMerge/>
            <w:shd w:val="clear" w:color="auto" w:fill="E2EFD9"/>
            <w:vAlign w:val="center"/>
          </w:tcPr>
          <w:p w14:paraId="37C96988" w14:textId="77777777" w:rsidR="00655B88" w:rsidRPr="00A455A0" w:rsidRDefault="00655B88" w:rsidP="00A455A0">
            <w:pPr>
              <w:jc w:val="center"/>
              <w:rPr>
                <w:color w:val="000000"/>
                <w:sz w:val="22"/>
                <w:szCs w:val="22"/>
              </w:rPr>
            </w:pPr>
          </w:p>
        </w:tc>
      </w:tr>
      <w:tr w:rsidR="00655B88" w:rsidRPr="00E977FA" w14:paraId="011D2B11" w14:textId="77777777" w:rsidTr="001A707E">
        <w:trPr>
          <w:trHeight w:val="396"/>
        </w:trPr>
        <w:tc>
          <w:tcPr>
            <w:tcW w:w="2271" w:type="dxa"/>
            <w:vMerge/>
            <w:shd w:val="clear" w:color="auto" w:fill="EAF1DD" w:themeFill="accent3" w:themeFillTint="33"/>
            <w:vAlign w:val="center"/>
          </w:tcPr>
          <w:p w14:paraId="39EF7571" w14:textId="77777777" w:rsidR="00655B88" w:rsidRPr="00A455A0" w:rsidRDefault="00655B88" w:rsidP="00A455A0">
            <w:pPr>
              <w:jc w:val="center"/>
              <w:rPr>
                <w:color w:val="000000"/>
                <w:sz w:val="22"/>
                <w:szCs w:val="22"/>
              </w:rPr>
            </w:pPr>
          </w:p>
        </w:tc>
        <w:tc>
          <w:tcPr>
            <w:tcW w:w="2513" w:type="dxa"/>
            <w:shd w:val="clear" w:color="auto" w:fill="8DB3E2" w:themeFill="text2" w:themeFillTint="66"/>
            <w:vAlign w:val="center"/>
          </w:tcPr>
          <w:p w14:paraId="32793D4E" w14:textId="77777777" w:rsidR="00655B88" w:rsidRPr="00A455A0" w:rsidRDefault="00655B88" w:rsidP="00A455A0">
            <w:pPr>
              <w:jc w:val="center"/>
              <w:rPr>
                <w:color w:val="000000"/>
                <w:sz w:val="22"/>
                <w:szCs w:val="22"/>
              </w:rPr>
            </w:pPr>
            <w:r w:rsidRPr="00A455A0">
              <w:rPr>
                <w:color w:val="000000"/>
                <w:sz w:val="22"/>
                <w:szCs w:val="22"/>
              </w:rPr>
              <w:t>≤20</w:t>
            </w:r>
          </w:p>
        </w:tc>
        <w:tc>
          <w:tcPr>
            <w:tcW w:w="2724" w:type="dxa"/>
            <w:shd w:val="clear" w:color="auto" w:fill="8DB3E2" w:themeFill="text2" w:themeFillTint="66"/>
            <w:vAlign w:val="center"/>
          </w:tcPr>
          <w:p w14:paraId="70319739" w14:textId="77777777" w:rsidR="00655B88" w:rsidRPr="00A455A0" w:rsidRDefault="00655B88" w:rsidP="00A455A0">
            <w:pPr>
              <w:jc w:val="center"/>
              <w:rPr>
                <w:color w:val="000000"/>
                <w:sz w:val="22"/>
                <w:szCs w:val="22"/>
              </w:rPr>
            </w:pPr>
            <w:r w:rsidRPr="00A455A0">
              <w:rPr>
                <w:color w:val="000000"/>
                <w:sz w:val="22"/>
                <w:szCs w:val="22"/>
              </w:rPr>
              <w:t>20 (+/- 2) Gy in 1#</w:t>
            </w:r>
          </w:p>
        </w:tc>
        <w:tc>
          <w:tcPr>
            <w:tcW w:w="2278" w:type="dxa"/>
            <w:vMerge w:val="restart"/>
            <w:shd w:val="clear" w:color="auto" w:fill="8DB3E2" w:themeFill="text2" w:themeFillTint="66"/>
            <w:vAlign w:val="center"/>
          </w:tcPr>
          <w:p w14:paraId="39836742" w14:textId="77777777" w:rsidR="00655B88" w:rsidRPr="00A455A0" w:rsidRDefault="00655B88" w:rsidP="00A455A0">
            <w:pPr>
              <w:jc w:val="center"/>
              <w:rPr>
                <w:color w:val="000000"/>
                <w:sz w:val="22"/>
                <w:szCs w:val="22"/>
              </w:rPr>
            </w:pPr>
            <w:r w:rsidRPr="00A455A0">
              <w:rPr>
                <w:color w:val="000000"/>
                <w:sz w:val="22"/>
                <w:szCs w:val="22"/>
              </w:rPr>
              <w:t>TROG</w:t>
            </w:r>
          </w:p>
        </w:tc>
      </w:tr>
      <w:tr w:rsidR="00655B88" w:rsidRPr="00E977FA" w14:paraId="02735B1D" w14:textId="77777777" w:rsidTr="001A707E">
        <w:trPr>
          <w:trHeight w:val="396"/>
        </w:trPr>
        <w:tc>
          <w:tcPr>
            <w:tcW w:w="2271" w:type="dxa"/>
            <w:vMerge/>
            <w:shd w:val="clear" w:color="auto" w:fill="EAF1DD" w:themeFill="accent3" w:themeFillTint="33"/>
            <w:vAlign w:val="center"/>
          </w:tcPr>
          <w:p w14:paraId="5709E7B7" w14:textId="77777777" w:rsidR="00655B88" w:rsidRPr="00E977FA" w:rsidRDefault="00655B88" w:rsidP="00A455A0">
            <w:pPr>
              <w:jc w:val="center"/>
              <w:rPr>
                <w:color w:val="000000"/>
                <w:szCs w:val="24"/>
              </w:rPr>
            </w:pPr>
          </w:p>
        </w:tc>
        <w:tc>
          <w:tcPr>
            <w:tcW w:w="2513" w:type="dxa"/>
            <w:shd w:val="clear" w:color="auto" w:fill="8DB3E2" w:themeFill="text2" w:themeFillTint="66"/>
            <w:vAlign w:val="center"/>
          </w:tcPr>
          <w:p w14:paraId="320B4EB2" w14:textId="77777777" w:rsidR="00655B88" w:rsidRPr="00E977FA" w:rsidRDefault="00655B88" w:rsidP="00A455A0">
            <w:pPr>
              <w:jc w:val="center"/>
              <w:rPr>
                <w:color w:val="000000"/>
                <w:szCs w:val="24"/>
              </w:rPr>
            </w:pPr>
            <w:r w:rsidRPr="00E977FA">
              <w:rPr>
                <w:color w:val="000000"/>
                <w:szCs w:val="24"/>
              </w:rPr>
              <w:t>&gt; 20 mm</w:t>
            </w:r>
          </w:p>
        </w:tc>
        <w:tc>
          <w:tcPr>
            <w:tcW w:w="2724" w:type="dxa"/>
            <w:shd w:val="clear" w:color="auto" w:fill="8DB3E2" w:themeFill="text2" w:themeFillTint="66"/>
            <w:vAlign w:val="center"/>
          </w:tcPr>
          <w:p w14:paraId="76D6C13A" w14:textId="77777777" w:rsidR="00655B88" w:rsidRPr="00E977FA" w:rsidRDefault="00655B88" w:rsidP="00A455A0">
            <w:pPr>
              <w:jc w:val="center"/>
              <w:rPr>
                <w:color w:val="000000"/>
                <w:szCs w:val="24"/>
              </w:rPr>
            </w:pPr>
            <w:r w:rsidRPr="00E977FA">
              <w:rPr>
                <w:color w:val="000000"/>
                <w:szCs w:val="24"/>
              </w:rPr>
              <w:t>24 Gy in 3 #s</w:t>
            </w:r>
          </w:p>
        </w:tc>
        <w:tc>
          <w:tcPr>
            <w:tcW w:w="2278" w:type="dxa"/>
            <w:vMerge/>
            <w:shd w:val="clear" w:color="auto" w:fill="C5E0B3"/>
            <w:vAlign w:val="center"/>
          </w:tcPr>
          <w:p w14:paraId="27BFC19D" w14:textId="77777777" w:rsidR="00655B88" w:rsidRPr="00E977FA" w:rsidRDefault="00655B88" w:rsidP="00A455A0">
            <w:pPr>
              <w:jc w:val="center"/>
              <w:rPr>
                <w:color w:val="000000"/>
                <w:szCs w:val="24"/>
              </w:rPr>
            </w:pPr>
          </w:p>
        </w:tc>
      </w:tr>
    </w:tbl>
    <w:p w14:paraId="1E7B080E" w14:textId="77777777" w:rsidR="00655B88" w:rsidRPr="00E977FA" w:rsidRDefault="00655B88" w:rsidP="00655B88">
      <w:pPr>
        <w:jc w:val="both"/>
        <w:rPr>
          <w:szCs w:val="24"/>
        </w:rPr>
      </w:pPr>
    </w:p>
    <w:p w14:paraId="70F0D47B" w14:textId="77777777" w:rsidR="00655B88" w:rsidRPr="00E977FA" w:rsidRDefault="00655B88" w:rsidP="00B9379D">
      <w:pPr>
        <w:ind w:left="360" w:hanging="360"/>
        <w:rPr>
          <w:szCs w:val="24"/>
        </w:rPr>
      </w:pPr>
      <w:r w:rsidRPr="00E977FA">
        <w:rPr>
          <w:szCs w:val="24"/>
        </w:rPr>
        <w:t xml:space="preserve">*Consider hypofractionation </w:t>
      </w:r>
      <w:r>
        <w:rPr>
          <w:szCs w:val="24"/>
        </w:rPr>
        <w:t xml:space="preserve">or staged/adaptive approach (see Section 13) </w:t>
      </w:r>
      <w:r w:rsidRPr="00E977FA">
        <w:rPr>
          <w:szCs w:val="24"/>
        </w:rPr>
        <w:t>to improve therapeutic ratio:</w:t>
      </w:r>
    </w:p>
    <w:p w14:paraId="621469E5" w14:textId="77777777" w:rsidR="00655B88" w:rsidRPr="00E977FA" w:rsidRDefault="00655B88" w:rsidP="00B26EE3">
      <w:pPr>
        <w:numPr>
          <w:ilvl w:val="0"/>
          <w:numId w:val="32"/>
        </w:numPr>
        <w:ind w:left="426" w:hanging="426"/>
        <w:rPr>
          <w:szCs w:val="24"/>
        </w:rPr>
      </w:pPr>
      <w:r w:rsidRPr="00E977FA">
        <w:rPr>
          <w:szCs w:val="24"/>
        </w:rPr>
        <w:t xml:space="preserve">For tumours </w:t>
      </w:r>
      <w:r w:rsidRPr="00E977FA">
        <w:rPr>
          <w:color w:val="000000"/>
          <w:szCs w:val="24"/>
        </w:rPr>
        <w:t>≤20 mm: lower prescription doses (for example, 18 Gy in a single fraction) are generally associated with excellent local control. For melanoma metastases, higher doses may be beneficial, with 90% local control associated with a single fraction dose of 23.4 Gy.</w:t>
      </w:r>
    </w:p>
    <w:p w14:paraId="442F4FBB" w14:textId="77777777" w:rsidR="00655B88" w:rsidRPr="00E977FA" w:rsidRDefault="00655B88" w:rsidP="00B26EE3">
      <w:pPr>
        <w:numPr>
          <w:ilvl w:val="0"/>
          <w:numId w:val="32"/>
        </w:numPr>
        <w:ind w:left="426" w:hanging="426"/>
        <w:rPr>
          <w:szCs w:val="24"/>
        </w:rPr>
      </w:pPr>
      <w:r w:rsidRPr="00E977FA">
        <w:rPr>
          <w:color w:val="000000"/>
          <w:szCs w:val="24"/>
        </w:rPr>
        <w:t>For tumours &gt;20 to ≤ 30 mm: dose of 18 Gy in a single fraction is associated with a local control rate of ~75%.</w:t>
      </w:r>
    </w:p>
    <w:p w14:paraId="66129518" w14:textId="77777777" w:rsidR="00655B88" w:rsidRPr="00883589" w:rsidRDefault="00655B88" w:rsidP="00B26EE3">
      <w:pPr>
        <w:numPr>
          <w:ilvl w:val="0"/>
          <w:numId w:val="32"/>
        </w:numPr>
        <w:ind w:left="426" w:hanging="426"/>
        <w:rPr>
          <w:szCs w:val="24"/>
        </w:rPr>
      </w:pPr>
      <w:r w:rsidRPr="00E977FA">
        <w:rPr>
          <w:color w:val="000000"/>
          <w:szCs w:val="24"/>
        </w:rPr>
        <w:t>For tumours &gt;30 mm: dose of 15 Gy in a single fraction is associated with a local control rate of ~69%.</w:t>
      </w:r>
    </w:p>
    <w:p w14:paraId="351A3A71" w14:textId="77777777" w:rsidR="00A455A0" w:rsidRDefault="00A455A0" w:rsidP="00B9379D">
      <w:pPr>
        <w:rPr>
          <w:b/>
          <w:szCs w:val="24"/>
        </w:rPr>
      </w:pPr>
    </w:p>
    <w:p w14:paraId="71EEA397" w14:textId="6E32FCD4" w:rsidR="00655B88" w:rsidRDefault="00655B88" w:rsidP="00B9379D">
      <w:pPr>
        <w:rPr>
          <w:szCs w:val="24"/>
        </w:rPr>
      </w:pPr>
      <w:r w:rsidRPr="00E977FA">
        <w:rPr>
          <w:b/>
          <w:szCs w:val="24"/>
        </w:rPr>
        <w:t>Volume based prescription</w:t>
      </w:r>
      <w:r w:rsidRPr="00E977FA">
        <w:rPr>
          <w:szCs w:val="24"/>
        </w:rPr>
        <w:t>:</w:t>
      </w:r>
    </w:p>
    <w:tbl>
      <w:tblPr>
        <w:tblStyle w:val="TableGrid"/>
        <w:tblW w:w="9781" w:type="dxa"/>
        <w:tblInd w:w="-5" w:type="dxa"/>
        <w:tblLayout w:type="fixed"/>
        <w:tblLook w:val="04A0" w:firstRow="1" w:lastRow="0" w:firstColumn="1" w:lastColumn="0" w:noHBand="0" w:noVBand="1"/>
      </w:tblPr>
      <w:tblGrid>
        <w:gridCol w:w="1913"/>
        <w:gridCol w:w="2623"/>
        <w:gridCol w:w="2622"/>
        <w:gridCol w:w="2623"/>
      </w:tblGrid>
      <w:tr w:rsidR="00655B88" w:rsidRPr="00A455A0" w14:paraId="198ECC22" w14:textId="77777777" w:rsidTr="00A455A0">
        <w:trPr>
          <w:trHeight w:val="270"/>
        </w:trPr>
        <w:tc>
          <w:tcPr>
            <w:tcW w:w="1913" w:type="dxa"/>
            <w:shd w:val="clear" w:color="auto" w:fill="17365D" w:themeFill="text2" w:themeFillShade="BF"/>
            <w:vAlign w:val="center"/>
          </w:tcPr>
          <w:p w14:paraId="6B06CAF1" w14:textId="77777777" w:rsidR="00655B88" w:rsidRPr="00A455A0" w:rsidRDefault="00655B88" w:rsidP="007546A2">
            <w:pPr>
              <w:spacing w:before="120" w:after="120"/>
              <w:jc w:val="center"/>
              <w:rPr>
                <w:sz w:val="22"/>
                <w:szCs w:val="22"/>
              </w:rPr>
            </w:pPr>
            <w:r w:rsidRPr="00A455A0">
              <w:rPr>
                <w:b/>
                <w:bCs/>
                <w:color w:val="FFFFFF" w:themeColor="background1"/>
                <w:sz w:val="22"/>
                <w:szCs w:val="22"/>
              </w:rPr>
              <w:t>Site</w:t>
            </w:r>
          </w:p>
        </w:tc>
        <w:tc>
          <w:tcPr>
            <w:tcW w:w="2623" w:type="dxa"/>
            <w:shd w:val="clear" w:color="auto" w:fill="17365D" w:themeFill="text2" w:themeFillShade="BF"/>
            <w:vAlign w:val="center"/>
          </w:tcPr>
          <w:p w14:paraId="7EA47FC0" w14:textId="77777777" w:rsidR="00655B88" w:rsidRPr="00A455A0" w:rsidRDefault="00655B88" w:rsidP="007546A2">
            <w:pPr>
              <w:spacing w:before="120" w:after="120"/>
              <w:jc w:val="center"/>
              <w:rPr>
                <w:sz w:val="22"/>
                <w:szCs w:val="22"/>
              </w:rPr>
            </w:pPr>
            <w:r w:rsidRPr="00A455A0">
              <w:rPr>
                <w:b/>
                <w:color w:val="FFFFFF"/>
                <w:sz w:val="22"/>
                <w:szCs w:val="22"/>
              </w:rPr>
              <w:t>PTV (ml or cm</w:t>
            </w:r>
            <w:r w:rsidRPr="00A455A0">
              <w:rPr>
                <w:b/>
                <w:color w:val="FFFFFF"/>
                <w:sz w:val="22"/>
                <w:szCs w:val="22"/>
                <w:vertAlign w:val="superscript"/>
              </w:rPr>
              <w:t>3</w:t>
            </w:r>
            <w:r w:rsidRPr="00A455A0">
              <w:rPr>
                <w:b/>
                <w:color w:val="FFFFFF"/>
                <w:sz w:val="22"/>
                <w:szCs w:val="22"/>
              </w:rPr>
              <w:t>)</w:t>
            </w:r>
          </w:p>
        </w:tc>
        <w:tc>
          <w:tcPr>
            <w:tcW w:w="2622" w:type="dxa"/>
            <w:shd w:val="clear" w:color="auto" w:fill="17365D" w:themeFill="text2" w:themeFillShade="BF"/>
            <w:vAlign w:val="center"/>
          </w:tcPr>
          <w:p w14:paraId="07C5E0DD" w14:textId="77777777" w:rsidR="00655B88" w:rsidRPr="00A455A0" w:rsidRDefault="00655B88" w:rsidP="007546A2">
            <w:pPr>
              <w:spacing w:before="120" w:after="120"/>
              <w:jc w:val="center"/>
              <w:rPr>
                <w:sz w:val="22"/>
                <w:szCs w:val="22"/>
              </w:rPr>
            </w:pPr>
            <w:r w:rsidRPr="00A455A0">
              <w:rPr>
                <w:b/>
                <w:color w:val="FFFFFF"/>
                <w:sz w:val="22"/>
                <w:szCs w:val="22"/>
              </w:rPr>
              <w:t>Dose (1#)</w:t>
            </w:r>
          </w:p>
        </w:tc>
        <w:tc>
          <w:tcPr>
            <w:tcW w:w="2623" w:type="dxa"/>
            <w:shd w:val="clear" w:color="auto" w:fill="17365D" w:themeFill="text2" w:themeFillShade="BF"/>
            <w:vAlign w:val="center"/>
          </w:tcPr>
          <w:p w14:paraId="4D50385B" w14:textId="77777777" w:rsidR="00655B88" w:rsidRPr="00A455A0" w:rsidRDefault="00655B88" w:rsidP="007546A2">
            <w:pPr>
              <w:spacing w:before="120" w:after="120"/>
              <w:jc w:val="center"/>
              <w:rPr>
                <w:sz w:val="22"/>
                <w:szCs w:val="22"/>
              </w:rPr>
            </w:pPr>
            <w:r w:rsidRPr="00A455A0">
              <w:rPr>
                <w:b/>
                <w:color w:val="FFFFFF"/>
                <w:sz w:val="22"/>
                <w:szCs w:val="22"/>
              </w:rPr>
              <w:t>Reference</w:t>
            </w:r>
          </w:p>
        </w:tc>
      </w:tr>
      <w:tr w:rsidR="00655B88" w:rsidRPr="00A455A0" w14:paraId="6E8761E1" w14:textId="77777777" w:rsidTr="00A455A0">
        <w:tc>
          <w:tcPr>
            <w:tcW w:w="1913" w:type="dxa"/>
            <w:vMerge w:val="restart"/>
            <w:shd w:val="clear" w:color="auto" w:fill="C6D9F1" w:themeFill="text2" w:themeFillTint="33"/>
            <w:vAlign w:val="center"/>
          </w:tcPr>
          <w:p w14:paraId="1639FC5C" w14:textId="77777777" w:rsidR="00655B88" w:rsidRPr="00A455A0" w:rsidRDefault="00655B88" w:rsidP="007546A2">
            <w:pPr>
              <w:spacing w:before="120" w:after="120"/>
              <w:jc w:val="center"/>
              <w:rPr>
                <w:b/>
                <w:bCs/>
                <w:sz w:val="22"/>
                <w:szCs w:val="22"/>
              </w:rPr>
            </w:pPr>
            <w:r w:rsidRPr="00A455A0">
              <w:rPr>
                <w:b/>
                <w:bCs/>
                <w:color w:val="000000"/>
                <w:sz w:val="22"/>
                <w:szCs w:val="22"/>
              </w:rPr>
              <w:t>Cerebrum/Cerebellum</w:t>
            </w:r>
          </w:p>
        </w:tc>
        <w:tc>
          <w:tcPr>
            <w:tcW w:w="2623" w:type="dxa"/>
            <w:shd w:val="clear" w:color="auto" w:fill="C6D9F1" w:themeFill="text2" w:themeFillTint="33"/>
            <w:vAlign w:val="center"/>
          </w:tcPr>
          <w:p w14:paraId="49931E40" w14:textId="77777777" w:rsidR="00655B88" w:rsidRPr="00A455A0" w:rsidRDefault="00655B88" w:rsidP="007546A2">
            <w:pPr>
              <w:spacing w:before="120" w:after="120"/>
              <w:jc w:val="center"/>
              <w:rPr>
                <w:sz w:val="22"/>
                <w:szCs w:val="22"/>
              </w:rPr>
            </w:pPr>
            <w:r w:rsidRPr="00A455A0">
              <w:rPr>
                <w:color w:val="000000"/>
                <w:sz w:val="22"/>
                <w:szCs w:val="22"/>
              </w:rPr>
              <w:t>&lt;4</w:t>
            </w:r>
          </w:p>
        </w:tc>
        <w:tc>
          <w:tcPr>
            <w:tcW w:w="2622" w:type="dxa"/>
            <w:shd w:val="clear" w:color="auto" w:fill="C6D9F1" w:themeFill="text2" w:themeFillTint="33"/>
            <w:vAlign w:val="center"/>
          </w:tcPr>
          <w:p w14:paraId="2BFC6C5F" w14:textId="77777777" w:rsidR="00655B88" w:rsidRPr="00A455A0" w:rsidRDefault="00655B88" w:rsidP="007546A2">
            <w:pPr>
              <w:spacing w:before="120" w:after="120"/>
              <w:jc w:val="center"/>
              <w:rPr>
                <w:sz w:val="22"/>
                <w:szCs w:val="22"/>
              </w:rPr>
            </w:pPr>
            <w:r w:rsidRPr="00A455A0">
              <w:rPr>
                <w:color w:val="000000"/>
                <w:sz w:val="22"/>
                <w:szCs w:val="22"/>
              </w:rPr>
              <w:t>22 (+/- 2) Gy</w:t>
            </w:r>
          </w:p>
        </w:tc>
        <w:tc>
          <w:tcPr>
            <w:tcW w:w="2623" w:type="dxa"/>
            <w:vMerge w:val="restart"/>
            <w:shd w:val="clear" w:color="auto" w:fill="C6D9F1" w:themeFill="text2" w:themeFillTint="33"/>
            <w:vAlign w:val="center"/>
          </w:tcPr>
          <w:p w14:paraId="0DD63A4D" w14:textId="77777777" w:rsidR="00655B88" w:rsidRPr="00A455A0" w:rsidRDefault="00655B88" w:rsidP="007546A2">
            <w:pPr>
              <w:spacing w:before="120" w:after="120"/>
              <w:jc w:val="center"/>
              <w:rPr>
                <w:sz w:val="22"/>
                <w:szCs w:val="22"/>
              </w:rPr>
            </w:pPr>
            <w:r w:rsidRPr="00A455A0">
              <w:rPr>
                <w:color w:val="000000"/>
                <w:sz w:val="22"/>
                <w:szCs w:val="22"/>
              </w:rPr>
              <w:t>JLGKS</w:t>
            </w:r>
          </w:p>
        </w:tc>
      </w:tr>
      <w:tr w:rsidR="00655B88" w:rsidRPr="00A455A0" w14:paraId="54674CEB" w14:textId="77777777" w:rsidTr="00A455A0">
        <w:tc>
          <w:tcPr>
            <w:tcW w:w="1913" w:type="dxa"/>
            <w:vMerge/>
            <w:shd w:val="clear" w:color="auto" w:fill="C6D9F1" w:themeFill="text2" w:themeFillTint="33"/>
            <w:vAlign w:val="center"/>
          </w:tcPr>
          <w:p w14:paraId="5AC2E0A2" w14:textId="77777777" w:rsidR="00655B88" w:rsidRPr="00A455A0" w:rsidRDefault="00655B88" w:rsidP="007546A2">
            <w:pPr>
              <w:spacing w:before="120" w:after="120"/>
              <w:jc w:val="center"/>
              <w:rPr>
                <w:sz w:val="22"/>
                <w:szCs w:val="22"/>
              </w:rPr>
            </w:pPr>
          </w:p>
        </w:tc>
        <w:tc>
          <w:tcPr>
            <w:tcW w:w="2623" w:type="dxa"/>
            <w:shd w:val="clear" w:color="auto" w:fill="C6D9F1" w:themeFill="text2" w:themeFillTint="33"/>
            <w:vAlign w:val="center"/>
          </w:tcPr>
          <w:p w14:paraId="01309646" w14:textId="77777777" w:rsidR="00655B88" w:rsidRPr="00A455A0" w:rsidRDefault="00655B88" w:rsidP="007546A2">
            <w:pPr>
              <w:spacing w:before="120" w:after="120"/>
              <w:jc w:val="center"/>
              <w:rPr>
                <w:sz w:val="22"/>
                <w:szCs w:val="22"/>
              </w:rPr>
            </w:pPr>
            <w:r w:rsidRPr="00A455A0">
              <w:rPr>
                <w:color w:val="000000"/>
                <w:sz w:val="22"/>
                <w:szCs w:val="22"/>
              </w:rPr>
              <w:t>4 – 10</w:t>
            </w:r>
          </w:p>
        </w:tc>
        <w:tc>
          <w:tcPr>
            <w:tcW w:w="2622" w:type="dxa"/>
            <w:shd w:val="clear" w:color="auto" w:fill="C6D9F1" w:themeFill="text2" w:themeFillTint="33"/>
            <w:vAlign w:val="center"/>
          </w:tcPr>
          <w:p w14:paraId="4001B2BA" w14:textId="77777777" w:rsidR="00655B88" w:rsidRPr="00A455A0" w:rsidRDefault="00655B88" w:rsidP="007546A2">
            <w:pPr>
              <w:spacing w:before="120" w:after="120"/>
              <w:jc w:val="center"/>
              <w:rPr>
                <w:sz w:val="22"/>
                <w:szCs w:val="22"/>
              </w:rPr>
            </w:pPr>
            <w:r w:rsidRPr="00A455A0">
              <w:rPr>
                <w:color w:val="000000"/>
                <w:sz w:val="22"/>
                <w:szCs w:val="22"/>
              </w:rPr>
              <w:t>20 (+/- 2) Gy</w:t>
            </w:r>
          </w:p>
        </w:tc>
        <w:tc>
          <w:tcPr>
            <w:tcW w:w="2623" w:type="dxa"/>
            <w:vMerge/>
            <w:shd w:val="clear" w:color="auto" w:fill="C6D9F1" w:themeFill="text2" w:themeFillTint="33"/>
            <w:vAlign w:val="center"/>
          </w:tcPr>
          <w:p w14:paraId="1C32655C" w14:textId="77777777" w:rsidR="00655B88" w:rsidRPr="00A455A0" w:rsidRDefault="00655B88" w:rsidP="007546A2">
            <w:pPr>
              <w:spacing w:before="120" w:after="120"/>
              <w:jc w:val="center"/>
              <w:rPr>
                <w:sz w:val="22"/>
                <w:szCs w:val="22"/>
              </w:rPr>
            </w:pPr>
          </w:p>
        </w:tc>
      </w:tr>
      <w:tr w:rsidR="00655B88" w:rsidRPr="00A455A0" w14:paraId="744A8E33" w14:textId="77777777" w:rsidTr="00A455A0">
        <w:tc>
          <w:tcPr>
            <w:tcW w:w="1913" w:type="dxa"/>
            <w:vMerge w:val="restart"/>
            <w:shd w:val="clear" w:color="auto" w:fill="8DB3E2" w:themeFill="text2" w:themeFillTint="66"/>
            <w:vAlign w:val="center"/>
          </w:tcPr>
          <w:p w14:paraId="19FEACB0" w14:textId="77777777" w:rsidR="00655B88" w:rsidRPr="00A455A0" w:rsidRDefault="00655B88" w:rsidP="007546A2">
            <w:pPr>
              <w:spacing w:before="120" w:after="120"/>
              <w:jc w:val="center"/>
              <w:rPr>
                <w:b/>
                <w:bCs/>
                <w:sz w:val="22"/>
                <w:szCs w:val="22"/>
              </w:rPr>
            </w:pPr>
            <w:r w:rsidRPr="00A455A0">
              <w:rPr>
                <w:b/>
                <w:bCs/>
                <w:color w:val="000000"/>
                <w:sz w:val="22"/>
                <w:szCs w:val="22"/>
              </w:rPr>
              <w:t>Brainstem</w:t>
            </w:r>
          </w:p>
        </w:tc>
        <w:tc>
          <w:tcPr>
            <w:tcW w:w="2623" w:type="dxa"/>
            <w:shd w:val="clear" w:color="auto" w:fill="C6D9F1" w:themeFill="text2" w:themeFillTint="33"/>
            <w:vAlign w:val="center"/>
          </w:tcPr>
          <w:p w14:paraId="5A33A331" w14:textId="77777777" w:rsidR="00655B88" w:rsidRPr="00A455A0" w:rsidRDefault="00655B88" w:rsidP="007546A2">
            <w:pPr>
              <w:spacing w:before="120" w:after="120"/>
              <w:jc w:val="center"/>
              <w:rPr>
                <w:sz w:val="22"/>
                <w:szCs w:val="22"/>
              </w:rPr>
            </w:pPr>
            <w:r w:rsidRPr="00A455A0">
              <w:rPr>
                <w:color w:val="000000"/>
                <w:sz w:val="22"/>
                <w:szCs w:val="22"/>
              </w:rPr>
              <w:t>&lt;1</w:t>
            </w:r>
          </w:p>
        </w:tc>
        <w:tc>
          <w:tcPr>
            <w:tcW w:w="2622" w:type="dxa"/>
            <w:shd w:val="clear" w:color="auto" w:fill="C6D9F1" w:themeFill="text2" w:themeFillTint="33"/>
            <w:vAlign w:val="center"/>
          </w:tcPr>
          <w:p w14:paraId="0A08850B" w14:textId="77777777" w:rsidR="00655B88" w:rsidRPr="00A455A0" w:rsidRDefault="00655B88" w:rsidP="007546A2">
            <w:pPr>
              <w:spacing w:before="120" w:after="120"/>
              <w:jc w:val="center"/>
              <w:rPr>
                <w:sz w:val="22"/>
                <w:szCs w:val="22"/>
              </w:rPr>
            </w:pPr>
            <w:r w:rsidRPr="00A455A0">
              <w:rPr>
                <w:color w:val="000000"/>
                <w:sz w:val="22"/>
                <w:szCs w:val="22"/>
              </w:rPr>
              <w:t>20 Gy</w:t>
            </w:r>
          </w:p>
        </w:tc>
        <w:tc>
          <w:tcPr>
            <w:tcW w:w="2623" w:type="dxa"/>
            <w:vMerge/>
            <w:shd w:val="clear" w:color="auto" w:fill="C6D9F1" w:themeFill="text2" w:themeFillTint="33"/>
            <w:vAlign w:val="center"/>
          </w:tcPr>
          <w:p w14:paraId="03E49C3D" w14:textId="77777777" w:rsidR="00655B88" w:rsidRPr="00A455A0" w:rsidRDefault="00655B88" w:rsidP="007546A2">
            <w:pPr>
              <w:spacing w:before="120" w:after="120"/>
              <w:jc w:val="center"/>
              <w:rPr>
                <w:sz w:val="22"/>
                <w:szCs w:val="22"/>
              </w:rPr>
            </w:pPr>
          </w:p>
        </w:tc>
      </w:tr>
      <w:tr w:rsidR="00655B88" w:rsidRPr="00A455A0" w14:paraId="6CB31ACE" w14:textId="77777777" w:rsidTr="00A455A0">
        <w:tc>
          <w:tcPr>
            <w:tcW w:w="1913" w:type="dxa"/>
            <w:vMerge/>
            <w:shd w:val="clear" w:color="auto" w:fill="8DB3E2" w:themeFill="text2" w:themeFillTint="66"/>
            <w:vAlign w:val="center"/>
          </w:tcPr>
          <w:p w14:paraId="6B3E23A6" w14:textId="77777777" w:rsidR="00655B88" w:rsidRPr="00A455A0" w:rsidRDefault="00655B88" w:rsidP="007546A2">
            <w:pPr>
              <w:spacing w:before="120" w:after="120"/>
              <w:jc w:val="center"/>
              <w:rPr>
                <w:sz w:val="22"/>
                <w:szCs w:val="22"/>
              </w:rPr>
            </w:pPr>
          </w:p>
        </w:tc>
        <w:tc>
          <w:tcPr>
            <w:tcW w:w="2623" w:type="dxa"/>
            <w:shd w:val="clear" w:color="auto" w:fill="C6D9F1" w:themeFill="text2" w:themeFillTint="33"/>
            <w:vAlign w:val="center"/>
          </w:tcPr>
          <w:p w14:paraId="49EA9183" w14:textId="77777777" w:rsidR="00655B88" w:rsidRPr="00A455A0" w:rsidRDefault="00655B88" w:rsidP="007546A2">
            <w:pPr>
              <w:spacing w:before="120" w:after="120"/>
              <w:jc w:val="center"/>
              <w:rPr>
                <w:sz w:val="22"/>
                <w:szCs w:val="22"/>
              </w:rPr>
            </w:pPr>
            <w:r w:rsidRPr="00A455A0">
              <w:rPr>
                <w:color w:val="000000"/>
                <w:sz w:val="22"/>
                <w:szCs w:val="22"/>
              </w:rPr>
              <w:t>1 – 4</w:t>
            </w:r>
          </w:p>
        </w:tc>
        <w:tc>
          <w:tcPr>
            <w:tcW w:w="2622" w:type="dxa"/>
            <w:shd w:val="clear" w:color="auto" w:fill="C6D9F1" w:themeFill="text2" w:themeFillTint="33"/>
            <w:vAlign w:val="center"/>
          </w:tcPr>
          <w:p w14:paraId="46DD3252" w14:textId="77777777" w:rsidR="00655B88" w:rsidRPr="00A455A0" w:rsidRDefault="00655B88" w:rsidP="007546A2">
            <w:pPr>
              <w:spacing w:before="120" w:after="120"/>
              <w:jc w:val="center"/>
              <w:rPr>
                <w:sz w:val="22"/>
                <w:szCs w:val="22"/>
              </w:rPr>
            </w:pPr>
            <w:r w:rsidRPr="00A455A0">
              <w:rPr>
                <w:color w:val="000000"/>
                <w:sz w:val="22"/>
                <w:szCs w:val="22"/>
              </w:rPr>
              <w:t>18 Gy</w:t>
            </w:r>
          </w:p>
        </w:tc>
        <w:tc>
          <w:tcPr>
            <w:tcW w:w="2623" w:type="dxa"/>
            <w:vMerge/>
            <w:shd w:val="clear" w:color="auto" w:fill="C6D9F1" w:themeFill="text2" w:themeFillTint="33"/>
            <w:vAlign w:val="center"/>
          </w:tcPr>
          <w:p w14:paraId="2EE04490" w14:textId="77777777" w:rsidR="00655B88" w:rsidRPr="00A455A0" w:rsidRDefault="00655B88" w:rsidP="007546A2">
            <w:pPr>
              <w:spacing w:before="120" w:after="120"/>
              <w:jc w:val="center"/>
              <w:rPr>
                <w:sz w:val="22"/>
                <w:szCs w:val="22"/>
              </w:rPr>
            </w:pPr>
          </w:p>
        </w:tc>
      </w:tr>
      <w:tr w:rsidR="00655B88" w:rsidRPr="00A455A0" w14:paraId="72A95A04" w14:textId="77777777" w:rsidTr="00A455A0">
        <w:tc>
          <w:tcPr>
            <w:tcW w:w="1913" w:type="dxa"/>
            <w:vMerge/>
            <w:shd w:val="clear" w:color="auto" w:fill="8DB3E2" w:themeFill="text2" w:themeFillTint="66"/>
            <w:vAlign w:val="center"/>
          </w:tcPr>
          <w:p w14:paraId="2E185084" w14:textId="77777777" w:rsidR="00655B88" w:rsidRPr="00A455A0" w:rsidRDefault="00655B88" w:rsidP="007546A2">
            <w:pPr>
              <w:spacing w:before="120" w:after="120"/>
              <w:jc w:val="center"/>
              <w:rPr>
                <w:sz w:val="22"/>
                <w:szCs w:val="22"/>
              </w:rPr>
            </w:pPr>
          </w:p>
        </w:tc>
        <w:tc>
          <w:tcPr>
            <w:tcW w:w="2623" w:type="dxa"/>
            <w:shd w:val="clear" w:color="auto" w:fill="C6D9F1" w:themeFill="text2" w:themeFillTint="33"/>
            <w:vAlign w:val="center"/>
          </w:tcPr>
          <w:p w14:paraId="75D59F35" w14:textId="77777777" w:rsidR="00655B88" w:rsidRPr="00A455A0" w:rsidRDefault="00655B88" w:rsidP="007546A2">
            <w:pPr>
              <w:spacing w:before="120" w:after="120"/>
              <w:jc w:val="center"/>
              <w:rPr>
                <w:sz w:val="22"/>
                <w:szCs w:val="22"/>
              </w:rPr>
            </w:pPr>
            <w:r w:rsidRPr="00A455A0">
              <w:rPr>
                <w:sz w:val="22"/>
                <w:szCs w:val="22"/>
              </w:rPr>
              <w:t>4 – 10</w:t>
            </w:r>
          </w:p>
        </w:tc>
        <w:tc>
          <w:tcPr>
            <w:tcW w:w="2622" w:type="dxa"/>
            <w:shd w:val="clear" w:color="auto" w:fill="C6D9F1" w:themeFill="text2" w:themeFillTint="33"/>
            <w:vAlign w:val="center"/>
          </w:tcPr>
          <w:p w14:paraId="1F49AA7E" w14:textId="77777777" w:rsidR="00655B88" w:rsidRPr="00A455A0" w:rsidRDefault="00655B88" w:rsidP="007546A2">
            <w:pPr>
              <w:spacing w:before="120" w:after="120"/>
              <w:jc w:val="center"/>
              <w:rPr>
                <w:sz w:val="22"/>
                <w:szCs w:val="22"/>
              </w:rPr>
            </w:pPr>
            <w:r w:rsidRPr="00A455A0">
              <w:rPr>
                <w:sz w:val="22"/>
                <w:szCs w:val="22"/>
              </w:rPr>
              <w:t>16 Gy</w:t>
            </w:r>
          </w:p>
        </w:tc>
        <w:tc>
          <w:tcPr>
            <w:tcW w:w="2623" w:type="dxa"/>
            <w:vMerge/>
            <w:shd w:val="clear" w:color="auto" w:fill="C6D9F1" w:themeFill="text2" w:themeFillTint="33"/>
            <w:vAlign w:val="center"/>
          </w:tcPr>
          <w:p w14:paraId="681E6F86" w14:textId="77777777" w:rsidR="00655B88" w:rsidRPr="00A455A0" w:rsidRDefault="00655B88" w:rsidP="007546A2">
            <w:pPr>
              <w:spacing w:before="120" w:after="120"/>
              <w:jc w:val="center"/>
              <w:rPr>
                <w:sz w:val="22"/>
                <w:szCs w:val="22"/>
              </w:rPr>
            </w:pPr>
          </w:p>
        </w:tc>
      </w:tr>
    </w:tbl>
    <w:p w14:paraId="65EF52B2" w14:textId="77777777" w:rsidR="00655B88" w:rsidRDefault="00655B88" w:rsidP="00A455A0">
      <w:pPr>
        <w:jc w:val="both"/>
        <w:rPr>
          <w:b/>
          <w:szCs w:val="24"/>
        </w:rPr>
      </w:pPr>
    </w:p>
    <w:p w14:paraId="294471A0" w14:textId="77777777" w:rsidR="00655B88" w:rsidRPr="00357D4F" w:rsidRDefault="00655B88" w:rsidP="00A455A0">
      <w:pPr>
        <w:jc w:val="both"/>
        <w:rPr>
          <w:rFonts w:cs="Calibri"/>
          <w:b/>
          <w:bCs/>
          <w:szCs w:val="24"/>
        </w:rPr>
      </w:pPr>
      <w:r w:rsidRPr="00357D4F">
        <w:rPr>
          <w:rFonts w:cs="Calibri"/>
          <w:b/>
          <w:bCs/>
          <w:szCs w:val="24"/>
        </w:rPr>
        <w:t>OAR contouring:</w:t>
      </w:r>
    </w:p>
    <w:p w14:paraId="41C7BD60" w14:textId="3A276091" w:rsidR="00655B88" w:rsidRPr="00E977FA" w:rsidRDefault="00655B88" w:rsidP="00B26EE3">
      <w:pPr>
        <w:numPr>
          <w:ilvl w:val="0"/>
          <w:numId w:val="33"/>
        </w:numPr>
        <w:jc w:val="both"/>
        <w:rPr>
          <w:szCs w:val="24"/>
        </w:rPr>
      </w:pPr>
      <w:r w:rsidRPr="00E977FA">
        <w:rPr>
          <w:szCs w:val="24"/>
        </w:rPr>
        <w:t xml:space="preserve">Lenses, eyes, optic apparatus (nerves &amp; chiasm), brainstem, brain parenchyma, and spinal cord are contoured by </w:t>
      </w:r>
      <w:r>
        <w:rPr>
          <w:szCs w:val="24"/>
        </w:rPr>
        <w:t>RT</w:t>
      </w:r>
      <w:r w:rsidR="00D44B69">
        <w:rPr>
          <w:szCs w:val="24"/>
        </w:rPr>
        <w:t>’</w:t>
      </w:r>
      <w:r>
        <w:rPr>
          <w:szCs w:val="24"/>
        </w:rPr>
        <w:t>s and approved by RO</w:t>
      </w:r>
      <w:r w:rsidR="00D44B69">
        <w:rPr>
          <w:szCs w:val="24"/>
        </w:rPr>
        <w:t>’</w:t>
      </w:r>
      <w:r>
        <w:rPr>
          <w:szCs w:val="24"/>
        </w:rPr>
        <w:t>s</w:t>
      </w:r>
      <w:r w:rsidRPr="00E977FA">
        <w:rPr>
          <w:szCs w:val="24"/>
        </w:rPr>
        <w:t>.</w:t>
      </w:r>
    </w:p>
    <w:p w14:paraId="26B8D2D5" w14:textId="1AE3B7AF" w:rsidR="00655B88" w:rsidRPr="00883589" w:rsidRDefault="00655B88" w:rsidP="00B26EE3">
      <w:pPr>
        <w:numPr>
          <w:ilvl w:val="0"/>
          <w:numId w:val="33"/>
        </w:numPr>
        <w:jc w:val="both"/>
        <w:rPr>
          <w:szCs w:val="24"/>
        </w:rPr>
      </w:pPr>
      <w:r w:rsidRPr="00E977FA">
        <w:rPr>
          <w:szCs w:val="24"/>
        </w:rPr>
        <w:t>Contour other OAR</w:t>
      </w:r>
      <w:r w:rsidR="00D44B69">
        <w:rPr>
          <w:szCs w:val="24"/>
        </w:rPr>
        <w:t>’</w:t>
      </w:r>
      <w:r w:rsidRPr="00E977FA">
        <w:rPr>
          <w:szCs w:val="24"/>
        </w:rPr>
        <w:t>s where relevant due to location or previous radiotherapy.</w:t>
      </w:r>
    </w:p>
    <w:p w14:paraId="1B7D0FBF" w14:textId="63D8AB0E" w:rsidR="00655B88" w:rsidRDefault="00655B88" w:rsidP="00A455A0">
      <w:pPr>
        <w:jc w:val="both"/>
        <w:rPr>
          <w:b/>
          <w:szCs w:val="24"/>
        </w:rPr>
      </w:pPr>
    </w:p>
    <w:p w14:paraId="0A27336C" w14:textId="1CEC68F7" w:rsidR="00FB69FC" w:rsidRDefault="00FB69FC" w:rsidP="00A455A0">
      <w:pPr>
        <w:jc w:val="both"/>
        <w:rPr>
          <w:b/>
          <w:szCs w:val="24"/>
        </w:rPr>
      </w:pPr>
    </w:p>
    <w:p w14:paraId="34837E15" w14:textId="3388C7DE" w:rsidR="00FB69FC" w:rsidRDefault="00FB69FC" w:rsidP="00A455A0">
      <w:pPr>
        <w:jc w:val="both"/>
        <w:rPr>
          <w:b/>
          <w:szCs w:val="24"/>
        </w:rPr>
      </w:pPr>
    </w:p>
    <w:p w14:paraId="21685A21" w14:textId="3B566C98" w:rsidR="00FB69FC" w:rsidRDefault="00FB69FC" w:rsidP="00A455A0">
      <w:pPr>
        <w:jc w:val="both"/>
        <w:rPr>
          <w:b/>
          <w:szCs w:val="24"/>
        </w:rPr>
      </w:pPr>
    </w:p>
    <w:p w14:paraId="7D90DD6E" w14:textId="398BB97A" w:rsidR="00FB69FC" w:rsidRDefault="00FB69FC" w:rsidP="00A455A0">
      <w:pPr>
        <w:jc w:val="both"/>
        <w:rPr>
          <w:b/>
          <w:szCs w:val="24"/>
        </w:rPr>
      </w:pPr>
    </w:p>
    <w:p w14:paraId="4057422E" w14:textId="77777777" w:rsidR="00FB69FC" w:rsidRDefault="00FB69FC" w:rsidP="00A455A0">
      <w:pPr>
        <w:jc w:val="both"/>
        <w:rPr>
          <w:b/>
          <w:szCs w:val="24"/>
        </w:rPr>
      </w:pPr>
    </w:p>
    <w:p w14:paraId="27D1C81D" w14:textId="77777777" w:rsidR="00655B88" w:rsidRPr="00883589" w:rsidRDefault="00655B88" w:rsidP="00A455A0">
      <w:pPr>
        <w:jc w:val="both"/>
        <w:rPr>
          <w:szCs w:val="24"/>
        </w:rPr>
      </w:pPr>
      <w:r w:rsidRPr="00154885">
        <w:rPr>
          <w:b/>
          <w:szCs w:val="24"/>
        </w:rPr>
        <w:t>OAR dose constraints</w:t>
      </w:r>
      <w:r>
        <w:rPr>
          <w:szCs w:val="24"/>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969"/>
        <w:gridCol w:w="850"/>
        <w:gridCol w:w="711"/>
        <w:gridCol w:w="849"/>
        <w:gridCol w:w="850"/>
        <w:gridCol w:w="874"/>
        <w:gridCol w:w="1288"/>
        <w:gridCol w:w="1405"/>
      </w:tblGrid>
      <w:tr w:rsidR="00655B88" w:rsidRPr="005A4480" w14:paraId="798ADF3A" w14:textId="77777777" w:rsidTr="00C91F34">
        <w:trPr>
          <w:trHeight w:val="182"/>
          <w:jc w:val="center"/>
        </w:trPr>
        <w:tc>
          <w:tcPr>
            <w:tcW w:w="709" w:type="dxa"/>
            <w:vMerge w:val="restart"/>
            <w:shd w:val="clear" w:color="auto" w:fill="17365D" w:themeFill="text2" w:themeFillShade="BF"/>
            <w:vAlign w:val="center"/>
          </w:tcPr>
          <w:p w14:paraId="35F6BD14" w14:textId="77777777" w:rsidR="00655B88" w:rsidRPr="00AF02BB" w:rsidRDefault="00655B88" w:rsidP="007546A2">
            <w:pPr>
              <w:jc w:val="center"/>
              <w:rPr>
                <w:b/>
                <w:color w:val="FFFFFF"/>
                <w:sz w:val="20"/>
              </w:rPr>
            </w:pPr>
            <w:r w:rsidRPr="00AF02BB">
              <w:rPr>
                <w:b/>
                <w:color w:val="FFFFFF"/>
                <w:sz w:val="20"/>
              </w:rPr>
              <w:t>OAR</w:t>
            </w:r>
          </w:p>
        </w:tc>
        <w:tc>
          <w:tcPr>
            <w:tcW w:w="1134" w:type="dxa"/>
            <w:vMerge w:val="restart"/>
            <w:shd w:val="clear" w:color="auto" w:fill="17365D" w:themeFill="text2" w:themeFillShade="BF"/>
            <w:vAlign w:val="center"/>
          </w:tcPr>
          <w:p w14:paraId="55C0791D" w14:textId="77777777" w:rsidR="00655B88" w:rsidRPr="00840F01" w:rsidRDefault="00655B88" w:rsidP="007546A2">
            <w:pPr>
              <w:jc w:val="center"/>
              <w:rPr>
                <w:b/>
                <w:color w:val="FFFFFF"/>
                <w:sz w:val="20"/>
              </w:rPr>
            </w:pPr>
            <w:r w:rsidRPr="00840F01">
              <w:rPr>
                <w:b/>
                <w:color w:val="FFFFFF"/>
                <w:sz w:val="20"/>
              </w:rPr>
              <w:t>Parameter</w:t>
            </w:r>
          </w:p>
        </w:tc>
        <w:tc>
          <w:tcPr>
            <w:tcW w:w="5103" w:type="dxa"/>
            <w:gridSpan w:val="6"/>
            <w:shd w:val="clear" w:color="auto" w:fill="17365D" w:themeFill="text2" w:themeFillShade="BF"/>
          </w:tcPr>
          <w:p w14:paraId="53F32700" w14:textId="77777777" w:rsidR="00655B88" w:rsidRPr="00840F01" w:rsidRDefault="00655B88" w:rsidP="007546A2">
            <w:pPr>
              <w:jc w:val="center"/>
              <w:rPr>
                <w:b/>
                <w:color w:val="FFFFFF"/>
                <w:sz w:val="20"/>
              </w:rPr>
            </w:pPr>
            <w:r w:rsidRPr="00840F01">
              <w:rPr>
                <w:b/>
                <w:color w:val="FFFFFF"/>
                <w:sz w:val="20"/>
              </w:rPr>
              <w:t>Dose Constraints</w:t>
            </w:r>
          </w:p>
        </w:tc>
        <w:tc>
          <w:tcPr>
            <w:tcW w:w="1288" w:type="dxa"/>
            <w:vMerge w:val="restart"/>
            <w:shd w:val="clear" w:color="auto" w:fill="17365D" w:themeFill="text2" w:themeFillShade="BF"/>
          </w:tcPr>
          <w:p w14:paraId="322C0032" w14:textId="77777777" w:rsidR="00655B88" w:rsidRPr="00840F01" w:rsidRDefault="00655B88" w:rsidP="007546A2">
            <w:pPr>
              <w:jc w:val="center"/>
              <w:rPr>
                <w:b/>
                <w:color w:val="FFFFFF"/>
                <w:sz w:val="20"/>
              </w:rPr>
            </w:pPr>
          </w:p>
          <w:p w14:paraId="5D1045CB" w14:textId="77777777" w:rsidR="00655B88" w:rsidRPr="00840F01" w:rsidRDefault="00655B88" w:rsidP="007546A2">
            <w:pPr>
              <w:jc w:val="center"/>
              <w:rPr>
                <w:b/>
                <w:color w:val="FFFFFF"/>
                <w:sz w:val="20"/>
              </w:rPr>
            </w:pPr>
            <w:r w:rsidRPr="00840F01">
              <w:rPr>
                <w:b/>
                <w:color w:val="FFFFFF"/>
                <w:sz w:val="20"/>
              </w:rPr>
              <w:t>Endpoint</w:t>
            </w:r>
          </w:p>
        </w:tc>
        <w:tc>
          <w:tcPr>
            <w:tcW w:w="1405" w:type="dxa"/>
            <w:vMerge w:val="restart"/>
            <w:shd w:val="clear" w:color="auto" w:fill="17365D" w:themeFill="text2" w:themeFillShade="BF"/>
            <w:vAlign w:val="center"/>
          </w:tcPr>
          <w:p w14:paraId="54526F76" w14:textId="77777777" w:rsidR="00655B88" w:rsidRPr="00840F01" w:rsidRDefault="00655B88" w:rsidP="007546A2">
            <w:pPr>
              <w:jc w:val="center"/>
              <w:rPr>
                <w:b/>
                <w:color w:val="FFFFFF"/>
                <w:sz w:val="20"/>
              </w:rPr>
            </w:pPr>
            <w:r w:rsidRPr="00840F01">
              <w:rPr>
                <w:b/>
                <w:color w:val="FFFFFF"/>
                <w:sz w:val="20"/>
              </w:rPr>
              <w:t>Reference</w:t>
            </w:r>
          </w:p>
        </w:tc>
      </w:tr>
      <w:tr w:rsidR="00655B88" w:rsidRPr="005A4480" w14:paraId="48D279C7" w14:textId="77777777" w:rsidTr="00C91F34">
        <w:trPr>
          <w:trHeight w:val="182"/>
          <w:jc w:val="center"/>
        </w:trPr>
        <w:tc>
          <w:tcPr>
            <w:tcW w:w="709" w:type="dxa"/>
            <w:vMerge/>
            <w:tcBorders>
              <w:bottom w:val="single" w:sz="4" w:space="0" w:color="auto"/>
            </w:tcBorders>
            <w:shd w:val="clear" w:color="auto" w:fill="984806" w:themeFill="accent6" w:themeFillShade="80"/>
            <w:vAlign w:val="center"/>
          </w:tcPr>
          <w:p w14:paraId="5FA29A59" w14:textId="77777777" w:rsidR="00655B88" w:rsidRPr="00840F01" w:rsidRDefault="00655B88" w:rsidP="007546A2">
            <w:pPr>
              <w:jc w:val="center"/>
              <w:rPr>
                <w:b/>
                <w:color w:val="FFFFFF"/>
                <w:sz w:val="20"/>
              </w:rPr>
            </w:pPr>
          </w:p>
        </w:tc>
        <w:tc>
          <w:tcPr>
            <w:tcW w:w="1134" w:type="dxa"/>
            <w:vMerge/>
            <w:tcBorders>
              <w:bottom w:val="single" w:sz="4" w:space="0" w:color="auto"/>
            </w:tcBorders>
            <w:shd w:val="clear" w:color="auto" w:fill="984806" w:themeFill="accent6" w:themeFillShade="80"/>
            <w:vAlign w:val="center"/>
          </w:tcPr>
          <w:p w14:paraId="7C081FEB" w14:textId="77777777" w:rsidR="00655B88" w:rsidRPr="00840F01" w:rsidRDefault="00655B88" w:rsidP="007546A2">
            <w:pPr>
              <w:jc w:val="center"/>
              <w:rPr>
                <w:b/>
                <w:color w:val="FFFFFF"/>
                <w:sz w:val="20"/>
              </w:rPr>
            </w:pPr>
          </w:p>
        </w:tc>
        <w:tc>
          <w:tcPr>
            <w:tcW w:w="1819" w:type="dxa"/>
            <w:gridSpan w:val="2"/>
            <w:tcBorders>
              <w:bottom w:val="single" w:sz="4" w:space="0" w:color="auto"/>
            </w:tcBorders>
            <w:shd w:val="clear" w:color="auto" w:fill="17365D" w:themeFill="text2" w:themeFillShade="BF"/>
            <w:vAlign w:val="center"/>
          </w:tcPr>
          <w:p w14:paraId="5EBD8789" w14:textId="77777777" w:rsidR="00655B88" w:rsidRPr="00840F01" w:rsidDel="00EC4D36" w:rsidRDefault="00655B88" w:rsidP="007546A2">
            <w:pPr>
              <w:jc w:val="center"/>
              <w:rPr>
                <w:b/>
                <w:color w:val="FFFFFF"/>
                <w:sz w:val="20"/>
              </w:rPr>
            </w:pPr>
            <w:r w:rsidRPr="00840F01">
              <w:rPr>
                <w:b/>
                <w:color w:val="FFFFFF"/>
                <w:sz w:val="20"/>
              </w:rPr>
              <w:t>1 Fraction</w:t>
            </w:r>
          </w:p>
        </w:tc>
        <w:tc>
          <w:tcPr>
            <w:tcW w:w="1560" w:type="dxa"/>
            <w:gridSpan w:val="2"/>
            <w:tcBorders>
              <w:bottom w:val="single" w:sz="4" w:space="0" w:color="auto"/>
            </w:tcBorders>
            <w:shd w:val="clear" w:color="auto" w:fill="17365D" w:themeFill="text2" w:themeFillShade="BF"/>
            <w:vAlign w:val="center"/>
          </w:tcPr>
          <w:p w14:paraId="280574B4" w14:textId="77777777" w:rsidR="00655B88" w:rsidRPr="00840F01" w:rsidRDefault="00655B88" w:rsidP="007546A2">
            <w:pPr>
              <w:jc w:val="center"/>
              <w:rPr>
                <w:b/>
                <w:color w:val="FFFFFF"/>
                <w:sz w:val="20"/>
              </w:rPr>
            </w:pPr>
            <w:r w:rsidRPr="00840F01">
              <w:rPr>
                <w:b/>
                <w:color w:val="FFFFFF"/>
                <w:sz w:val="20"/>
              </w:rPr>
              <w:t>3 Fractions</w:t>
            </w:r>
          </w:p>
        </w:tc>
        <w:tc>
          <w:tcPr>
            <w:tcW w:w="1724" w:type="dxa"/>
            <w:gridSpan w:val="2"/>
            <w:tcBorders>
              <w:bottom w:val="single" w:sz="4" w:space="0" w:color="auto"/>
            </w:tcBorders>
            <w:shd w:val="clear" w:color="auto" w:fill="17365D" w:themeFill="text2" w:themeFillShade="BF"/>
            <w:vAlign w:val="center"/>
          </w:tcPr>
          <w:p w14:paraId="745AE060" w14:textId="77777777" w:rsidR="00655B88" w:rsidRPr="00840F01" w:rsidDel="00EC4D36" w:rsidRDefault="00655B88" w:rsidP="007546A2">
            <w:pPr>
              <w:jc w:val="center"/>
              <w:rPr>
                <w:b/>
                <w:color w:val="FFFFFF"/>
                <w:sz w:val="20"/>
              </w:rPr>
            </w:pPr>
            <w:r w:rsidRPr="00840F01">
              <w:rPr>
                <w:b/>
                <w:color w:val="FFFFFF"/>
                <w:sz w:val="20"/>
              </w:rPr>
              <w:t>5 Fractions</w:t>
            </w:r>
          </w:p>
        </w:tc>
        <w:tc>
          <w:tcPr>
            <w:tcW w:w="1288" w:type="dxa"/>
            <w:vMerge/>
            <w:shd w:val="clear" w:color="auto" w:fill="984806" w:themeFill="accent6" w:themeFillShade="80"/>
          </w:tcPr>
          <w:p w14:paraId="5D5EAB8C" w14:textId="77777777" w:rsidR="00655B88" w:rsidRPr="005A4480" w:rsidRDefault="00655B88" w:rsidP="007546A2">
            <w:pPr>
              <w:jc w:val="center"/>
              <w:rPr>
                <w:b/>
                <w:color w:val="FFFFFF"/>
                <w:sz w:val="22"/>
                <w:szCs w:val="22"/>
              </w:rPr>
            </w:pPr>
          </w:p>
        </w:tc>
        <w:tc>
          <w:tcPr>
            <w:tcW w:w="1405" w:type="dxa"/>
            <w:vMerge/>
            <w:shd w:val="clear" w:color="auto" w:fill="984806" w:themeFill="accent6" w:themeFillShade="80"/>
          </w:tcPr>
          <w:p w14:paraId="13E810A0" w14:textId="77777777" w:rsidR="00655B88" w:rsidRPr="005A4480" w:rsidRDefault="00655B88" w:rsidP="007546A2">
            <w:pPr>
              <w:jc w:val="center"/>
              <w:rPr>
                <w:b/>
                <w:color w:val="FFFFFF"/>
                <w:sz w:val="22"/>
                <w:szCs w:val="22"/>
              </w:rPr>
            </w:pPr>
          </w:p>
        </w:tc>
      </w:tr>
      <w:tr w:rsidR="00655B88" w:rsidRPr="005A4480" w14:paraId="2E4FD594" w14:textId="77777777" w:rsidTr="00C91F34">
        <w:trPr>
          <w:trHeight w:val="182"/>
          <w:jc w:val="center"/>
        </w:trPr>
        <w:tc>
          <w:tcPr>
            <w:tcW w:w="709" w:type="dxa"/>
            <w:vMerge/>
            <w:tcBorders>
              <w:bottom w:val="single" w:sz="4" w:space="0" w:color="auto"/>
            </w:tcBorders>
            <w:shd w:val="clear" w:color="auto" w:fill="984806" w:themeFill="accent6" w:themeFillShade="80"/>
            <w:vAlign w:val="center"/>
          </w:tcPr>
          <w:p w14:paraId="4D96B536" w14:textId="77777777" w:rsidR="00655B88" w:rsidRPr="005A4480" w:rsidRDefault="00655B88" w:rsidP="007546A2">
            <w:pPr>
              <w:jc w:val="center"/>
              <w:rPr>
                <w:b/>
                <w:color w:val="FFFFFF"/>
                <w:sz w:val="22"/>
                <w:szCs w:val="22"/>
              </w:rPr>
            </w:pPr>
          </w:p>
        </w:tc>
        <w:tc>
          <w:tcPr>
            <w:tcW w:w="1134" w:type="dxa"/>
            <w:vMerge/>
            <w:tcBorders>
              <w:bottom w:val="single" w:sz="4" w:space="0" w:color="auto"/>
            </w:tcBorders>
            <w:shd w:val="clear" w:color="auto" w:fill="984806" w:themeFill="accent6" w:themeFillShade="80"/>
            <w:vAlign w:val="center"/>
          </w:tcPr>
          <w:p w14:paraId="29B2C45E" w14:textId="77777777" w:rsidR="00655B88" w:rsidRPr="005A4480" w:rsidRDefault="00655B88" w:rsidP="007546A2">
            <w:pPr>
              <w:jc w:val="center"/>
              <w:rPr>
                <w:b/>
                <w:color w:val="FFFFFF"/>
                <w:sz w:val="22"/>
                <w:szCs w:val="22"/>
              </w:rPr>
            </w:pPr>
          </w:p>
        </w:tc>
        <w:tc>
          <w:tcPr>
            <w:tcW w:w="969" w:type="dxa"/>
            <w:tcBorders>
              <w:bottom w:val="single" w:sz="4" w:space="0" w:color="auto"/>
            </w:tcBorders>
            <w:shd w:val="clear" w:color="auto" w:fill="17365D" w:themeFill="text2" w:themeFillShade="BF"/>
            <w:vAlign w:val="center"/>
          </w:tcPr>
          <w:p w14:paraId="4A240544" w14:textId="77777777" w:rsidR="00655B88" w:rsidRPr="00840F01" w:rsidRDefault="00655B88" w:rsidP="007546A2">
            <w:pPr>
              <w:jc w:val="center"/>
              <w:rPr>
                <w:b/>
                <w:color w:val="FFFFFF"/>
                <w:sz w:val="12"/>
                <w:szCs w:val="12"/>
              </w:rPr>
            </w:pPr>
            <w:r w:rsidRPr="00840F01">
              <w:rPr>
                <w:b/>
                <w:color w:val="FFFFFF"/>
                <w:sz w:val="12"/>
                <w:szCs w:val="12"/>
              </w:rPr>
              <w:t>Optimal</w:t>
            </w:r>
          </w:p>
        </w:tc>
        <w:tc>
          <w:tcPr>
            <w:tcW w:w="850" w:type="dxa"/>
            <w:tcBorders>
              <w:bottom w:val="single" w:sz="4" w:space="0" w:color="auto"/>
            </w:tcBorders>
            <w:shd w:val="clear" w:color="auto" w:fill="17365D" w:themeFill="text2" w:themeFillShade="BF"/>
            <w:vAlign w:val="center"/>
          </w:tcPr>
          <w:p w14:paraId="62EAE79B" w14:textId="77777777" w:rsidR="00655B88" w:rsidRPr="00840F01" w:rsidRDefault="00655B88" w:rsidP="007546A2">
            <w:pPr>
              <w:jc w:val="center"/>
              <w:rPr>
                <w:b/>
                <w:color w:val="FFFFFF"/>
                <w:sz w:val="12"/>
                <w:szCs w:val="12"/>
              </w:rPr>
            </w:pPr>
            <w:r w:rsidRPr="00840F01">
              <w:rPr>
                <w:b/>
                <w:color w:val="FFFFFF"/>
                <w:sz w:val="12"/>
                <w:szCs w:val="12"/>
              </w:rPr>
              <w:t>Mandatory</w:t>
            </w:r>
          </w:p>
        </w:tc>
        <w:tc>
          <w:tcPr>
            <w:tcW w:w="711" w:type="dxa"/>
            <w:tcBorders>
              <w:bottom w:val="single" w:sz="4" w:space="0" w:color="auto"/>
            </w:tcBorders>
            <w:shd w:val="clear" w:color="auto" w:fill="17365D" w:themeFill="text2" w:themeFillShade="BF"/>
            <w:vAlign w:val="center"/>
          </w:tcPr>
          <w:p w14:paraId="68C40058" w14:textId="77777777" w:rsidR="00655B88" w:rsidRPr="00840F01" w:rsidRDefault="00655B88" w:rsidP="007546A2">
            <w:pPr>
              <w:jc w:val="center"/>
              <w:rPr>
                <w:b/>
                <w:color w:val="FFFFFF"/>
                <w:sz w:val="12"/>
                <w:szCs w:val="12"/>
              </w:rPr>
            </w:pPr>
            <w:r w:rsidRPr="00840F01">
              <w:rPr>
                <w:b/>
                <w:color w:val="FFFFFF"/>
                <w:sz w:val="12"/>
                <w:szCs w:val="12"/>
              </w:rPr>
              <w:t>Optimal</w:t>
            </w:r>
          </w:p>
        </w:tc>
        <w:tc>
          <w:tcPr>
            <w:tcW w:w="849" w:type="dxa"/>
            <w:tcBorders>
              <w:bottom w:val="single" w:sz="4" w:space="0" w:color="auto"/>
            </w:tcBorders>
            <w:shd w:val="clear" w:color="auto" w:fill="17365D" w:themeFill="text2" w:themeFillShade="BF"/>
            <w:vAlign w:val="center"/>
          </w:tcPr>
          <w:p w14:paraId="424E2468" w14:textId="77777777" w:rsidR="00655B88" w:rsidRPr="00840F01" w:rsidRDefault="00655B88" w:rsidP="007546A2">
            <w:pPr>
              <w:jc w:val="center"/>
              <w:rPr>
                <w:b/>
                <w:color w:val="FFFFFF"/>
                <w:sz w:val="12"/>
                <w:szCs w:val="12"/>
              </w:rPr>
            </w:pPr>
            <w:r w:rsidRPr="00840F01">
              <w:rPr>
                <w:b/>
                <w:color w:val="FFFFFF"/>
                <w:sz w:val="12"/>
                <w:szCs w:val="12"/>
              </w:rPr>
              <w:t>Mandatory</w:t>
            </w:r>
          </w:p>
        </w:tc>
        <w:tc>
          <w:tcPr>
            <w:tcW w:w="850" w:type="dxa"/>
            <w:tcBorders>
              <w:bottom w:val="single" w:sz="4" w:space="0" w:color="auto"/>
            </w:tcBorders>
            <w:shd w:val="clear" w:color="auto" w:fill="17365D" w:themeFill="text2" w:themeFillShade="BF"/>
            <w:vAlign w:val="center"/>
          </w:tcPr>
          <w:p w14:paraId="4AD78DF6" w14:textId="77777777" w:rsidR="00655B88" w:rsidRPr="00840F01" w:rsidRDefault="00655B88" w:rsidP="007546A2">
            <w:pPr>
              <w:tabs>
                <w:tab w:val="left" w:pos="420"/>
                <w:tab w:val="center" w:pos="530"/>
              </w:tabs>
              <w:jc w:val="center"/>
              <w:rPr>
                <w:b/>
                <w:color w:val="FFFFFF"/>
                <w:sz w:val="12"/>
                <w:szCs w:val="12"/>
              </w:rPr>
            </w:pPr>
            <w:r w:rsidRPr="00840F01">
              <w:rPr>
                <w:b/>
                <w:color w:val="FFFFFF"/>
                <w:sz w:val="12"/>
                <w:szCs w:val="12"/>
              </w:rPr>
              <w:t>Optimal</w:t>
            </w:r>
          </w:p>
        </w:tc>
        <w:tc>
          <w:tcPr>
            <w:tcW w:w="874" w:type="dxa"/>
            <w:tcBorders>
              <w:bottom w:val="single" w:sz="4" w:space="0" w:color="auto"/>
            </w:tcBorders>
            <w:shd w:val="clear" w:color="auto" w:fill="17365D" w:themeFill="text2" w:themeFillShade="BF"/>
            <w:vAlign w:val="center"/>
          </w:tcPr>
          <w:p w14:paraId="4A6DEA96" w14:textId="77777777" w:rsidR="00655B88" w:rsidRPr="00840F01" w:rsidRDefault="00655B88" w:rsidP="007546A2">
            <w:pPr>
              <w:tabs>
                <w:tab w:val="left" w:pos="420"/>
                <w:tab w:val="center" w:pos="530"/>
              </w:tabs>
              <w:jc w:val="center"/>
              <w:rPr>
                <w:b/>
                <w:color w:val="FFFFFF"/>
                <w:sz w:val="12"/>
                <w:szCs w:val="12"/>
              </w:rPr>
            </w:pPr>
            <w:r w:rsidRPr="00840F01">
              <w:rPr>
                <w:b/>
                <w:color w:val="FFFFFF"/>
                <w:sz w:val="12"/>
                <w:szCs w:val="12"/>
              </w:rPr>
              <w:t>Mandatory</w:t>
            </w:r>
          </w:p>
        </w:tc>
        <w:tc>
          <w:tcPr>
            <w:tcW w:w="1288" w:type="dxa"/>
            <w:vMerge/>
            <w:tcBorders>
              <w:bottom w:val="single" w:sz="4" w:space="0" w:color="auto"/>
            </w:tcBorders>
            <w:shd w:val="clear" w:color="auto" w:fill="984806" w:themeFill="accent6" w:themeFillShade="80"/>
          </w:tcPr>
          <w:p w14:paraId="75CD5C9F" w14:textId="77777777" w:rsidR="00655B88" w:rsidRPr="005A4480" w:rsidRDefault="00655B88" w:rsidP="007546A2">
            <w:pPr>
              <w:jc w:val="center"/>
              <w:rPr>
                <w:b/>
                <w:color w:val="FFFFFF"/>
                <w:sz w:val="22"/>
                <w:szCs w:val="22"/>
              </w:rPr>
            </w:pPr>
          </w:p>
        </w:tc>
        <w:tc>
          <w:tcPr>
            <w:tcW w:w="1405" w:type="dxa"/>
            <w:vMerge/>
            <w:tcBorders>
              <w:bottom w:val="single" w:sz="4" w:space="0" w:color="auto"/>
            </w:tcBorders>
            <w:shd w:val="clear" w:color="auto" w:fill="984806" w:themeFill="accent6" w:themeFillShade="80"/>
          </w:tcPr>
          <w:p w14:paraId="626741B0" w14:textId="77777777" w:rsidR="00655B88" w:rsidRPr="005A4480" w:rsidRDefault="00655B88" w:rsidP="007546A2">
            <w:pPr>
              <w:jc w:val="center"/>
              <w:rPr>
                <w:b/>
                <w:color w:val="FFFFFF"/>
                <w:sz w:val="22"/>
                <w:szCs w:val="22"/>
              </w:rPr>
            </w:pPr>
          </w:p>
        </w:tc>
      </w:tr>
      <w:tr w:rsidR="00655B88" w:rsidRPr="00840F01" w14:paraId="7FA32265" w14:textId="77777777" w:rsidTr="00C91F34">
        <w:trPr>
          <w:trHeight w:val="417"/>
          <w:jc w:val="center"/>
        </w:trPr>
        <w:tc>
          <w:tcPr>
            <w:tcW w:w="709" w:type="dxa"/>
            <w:vMerge w:val="restart"/>
            <w:shd w:val="clear" w:color="auto" w:fill="C6D9F1" w:themeFill="text2" w:themeFillTint="33"/>
            <w:vAlign w:val="center"/>
          </w:tcPr>
          <w:p w14:paraId="47C16409" w14:textId="77777777" w:rsidR="00655B88" w:rsidRPr="00264C63" w:rsidRDefault="00655B88" w:rsidP="007546A2">
            <w:pPr>
              <w:jc w:val="center"/>
              <w:rPr>
                <w:b/>
                <w:bCs/>
                <w:sz w:val="20"/>
              </w:rPr>
            </w:pPr>
            <w:r w:rsidRPr="00264C63">
              <w:rPr>
                <w:b/>
                <w:bCs/>
                <w:sz w:val="20"/>
              </w:rPr>
              <w:t>Brainstem</w:t>
            </w:r>
          </w:p>
          <w:p w14:paraId="61277BDE" w14:textId="77777777" w:rsidR="00655B88" w:rsidRPr="00534523" w:rsidRDefault="00655B88" w:rsidP="007546A2">
            <w:pPr>
              <w:jc w:val="center"/>
              <w:rPr>
                <w:sz w:val="20"/>
              </w:rPr>
            </w:pPr>
          </w:p>
        </w:tc>
        <w:tc>
          <w:tcPr>
            <w:tcW w:w="1134" w:type="dxa"/>
            <w:tcBorders>
              <w:bottom w:val="single" w:sz="4" w:space="0" w:color="auto"/>
            </w:tcBorders>
            <w:shd w:val="clear" w:color="auto" w:fill="C6D9F1" w:themeFill="text2" w:themeFillTint="33"/>
            <w:vAlign w:val="center"/>
          </w:tcPr>
          <w:p w14:paraId="42C7E23E" w14:textId="77777777" w:rsidR="00655B88" w:rsidRPr="00534523" w:rsidDel="00EC4D36" w:rsidRDefault="00655B88" w:rsidP="007546A2">
            <w:pPr>
              <w:jc w:val="center"/>
              <w:rPr>
                <w:sz w:val="20"/>
              </w:rPr>
            </w:pPr>
            <w:r w:rsidRPr="00534523">
              <w:rPr>
                <w:sz w:val="20"/>
              </w:rPr>
              <w:t>D0.035cc</w:t>
            </w:r>
          </w:p>
        </w:tc>
        <w:tc>
          <w:tcPr>
            <w:tcW w:w="969" w:type="dxa"/>
            <w:tcBorders>
              <w:bottom w:val="single" w:sz="4" w:space="0" w:color="auto"/>
            </w:tcBorders>
            <w:shd w:val="clear" w:color="auto" w:fill="C6D9F1" w:themeFill="text2" w:themeFillTint="33"/>
            <w:vAlign w:val="center"/>
          </w:tcPr>
          <w:p w14:paraId="093F4243" w14:textId="77777777" w:rsidR="00655B88" w:rsidRPr="00534523" w:rsidRDefault="00655B88" w:rsidP="007546A2">
            <w:pPr>
              <w:jc w:val="center"/>
              <w:rPr>
                <w:sz w:val="20"/>
              </w:rPr>
            </w:pPr>
            <w:r w:rsidRPr="00534523">
              <w:rPr>
                <w:sz w:val="20"/>
              </w:rPr>
              <w:t>10 Gy</w:t>
            </w:r>
          </w:p>
        </w:tc>
        <w:tc>
          <w:tcPr>
            <w:tcW w:w="850" w:type="dxa"/>
            <w:tcBorders>
              <w:bottom w:val="single" w:sz="4" w:space="0" w:color="auto"/>
            </w:tcBorders>
            <w:shd w:val="clear" w:color="auto" w:fill="C6D9F1" w:themeFill="text2" w:themeFillTint="33"/>
            <w:vAlign w:val="center"/>
          </w:tcPr>
          <w:p w14:paraId="5ADDC0BB" w14:textId="77777777" w:rsidR="00655B88" w:rsidRPr="00534523" w:rsidRDefault="00655B88" w:rsidP="007546A2">
            <w:pPr>
              <w:jc w:val="center"/>
              <w:rPr>
                <w:sz w:val="20"/>
              </w:rPr>
            </w:pPr>
            <w:r w:rsidRPr="00534523">
              <w:rPr>
                <w:sz w:val="20"/>
              </w:rPr>
              <w:t>15 Gy</w:t>
            </w:r>
          </w:p>
        </w:tc>
        <w:tc>
          <w:tcPr>
            <w:tcW w:w="711" w:type="dxa"/>
            <w:tcBorders>
              <w:bottom w:val="single" w:sz="4" w:space="0" w:color="auto"/>
            </w:tcBorders>
            <w:shd w:val="clear" w:color="auto" w:fill="C6D9F1" w:themeFill="text2" w:themeFillTint="33"/>
            <w:vAlign w:val="center"/>
          </w:tcPr>
          <w:p w14:paraId="0837AF36" w14:textId="77777777" w:rsidR="00655B88" w:rsidRPr="00534523" w:rsidRDefault="00655B88" w:rsidP="007546A2">
            <w:pPr>
              <w:jc w:val="center"/>
              <w:rPr>
                <w:sz w:val="20"/>
              </w:rPr>
            </w:pPr>
            <w:r w:rsidRPr="00534523">
              <w:rPr>
                <w:sz w:val="20"/>
              </w:rPr>
              <w:t>18 Gy</w:t>
            </w:r>
          </w:p>
        </w:tc>
        <w:tc>
          <w:tcPr>
            <w:tcW w:w="849" w:type="dxa"/>
            <w:tcBorders>
              <w:bottom w:val="single" w:sz="4" w:space="0" w:color="auto"/>
            </w:tcBorders>
            <w:shd w:val="clear" w:color="auto" w:fill="C6D9F1" w:themeFill="text2" w:themeFillTint="33"/>
            <w:vAlign w:val="center"/>
          </w:tcPr>
          <w:p w14:paraId="5B4965F6" w14:textId="77777777" w:rsidR="00655B88" w:rsidRPr="00534523" w:rsidRDefault="00655B88" w:rsidP="007546A2">
            <w:pPr>
              <w:jc w:val="center"/>
              <w:rPr>
                <w:sz w:val="20"/>
              </w:rPr>
            </w:pPr>
            <w:r w:rsidRPr="00534523">
              <w:rPr>
                <w:sz w:val="20"/>
              </w:rPr>
              <w:t>23.1 Gy</w:t>
            </w:r>
          </w:p>
        </w:tc>
        <w:tc>
          <w:tcPr>
            <w:tcW w:w="850" w:type="dxa"/>
            <w:tcBorders>
              <w:bottom w:val="single" w:sz="4" w:space="0" w:color="auto"/>
            </w:tcBorders>
            <w:shd w:val="clear" w:color="auto" w:fill="C6D9F1" w:themeFill="text2" w:themeFillTint="33"/>
            <w:vAlign w:val="center"/>
          </w:tcPr>
          <w:p w14:paraId="29D962D0" w14:textId="77777777" w:rsidR="00655B88" w:rsidRPr="00534523" w:rsidRDefault="00655B88" w:rsidP="007546A2">
            <w:pPr>
              <w:jc w:val="center"/>
              <w:rPr>
                <w:sz w:val="20"/>
              </w:rPr>
            </w:pPr>
            <w:r w:rsidRPr="00534523">
              <w:rPr>
                <w:sz w:val="20"/>
              </w:rPr>
              <w:t>23 Gy</w:t>
            </w:r>
          </w:p>
        </w:tc>
        <w:tc>
          <w:tcPr>
            <w:tcW w:w="874" w:type="dxa"/>
            <w:tcBorders>
              <w:bottom w:val="single" w:sz="4" w:space="0" w:color="auto"/>
            </w:tcBorders>
            <w:shd w:val="clear" w:color="auto" w:fill="C6D9F1" w:themeFill="text2" w:themeFillTint="33"/>
            <w:vAlign w:val="center"/>
          </w:tcPr>
          <w:p w14:paraId="13B0943E" w14:textId="77777777" w:rsidR="00655B88" w:rsidRPr="00534523" w:rsidRDefault="00655B88" w:rsidP="007546A2">
            <w:pPr>
              <w:jc w:val="center"/>
              <w:rPr>
                <w:sz w:val="20"/>
              </w:rPr>
            </w:pPr>
            <w:r w:rsidRPr="00534523">
              <w:rPr>
                <w:sz w:val="20"/>
              </w:rPr>
              <w:t>31 Gy</w:t>
            </w:r>
          </w:p>
        </w:tc>
        <w:tc>
          <w:tcPr>
            <w:tcW w:w="1288" w:type="dxa"/>
            <w:tcBorders>
              <w:bottom w:val="single" w:sz="4" w:space="0" w:color="auto"/>
            </w:tcBorders>
            <w:shd w:val="clear" w:color="auto" w:fill="C6D9F1" w:themeFill="text2" w:themeFillTint="33"/>
          </w:tcPr>
          <w:p w14:paraId="7833B75B" w14:textId="77777777" w:rsidR="00655B88" w:rsidRPr="00534523" w:rsidRDefault="00655B88" w:rsidP="007546A2">
            <w:pPr>
              <w:jc w:val="center"/>
              <w:rPr>
                <w:sz w:val="20"/>
              </w:rPr>
            </w:pPr>
            <w:r w:rsidRPr="00534523">
              <w:rPr>
                <w:sz w:val="20"/>
              </w:rPr>
              <w:t>G3+ CN neuropathy or myelitis</w:t>
            </w:r>
          </w:p>
        </w:tc>
        <w:tc>
          <w:tcPr>
            <w:tcW w:w="1405" w:type="dxa"/>
            <w:tcBorders>
              <w:bottom w:val="single" w:sz="4" w:space="0" w:color="auto"/>
            </w:tcBorders>
            <w:shd w:val="clear" w:color="auto" w:fill="C6D9F1" w:themeFill="text2" w:themeFillTint="33"/>
            <w:vAlign w:val="center"/>
          </w:tcPr>
          <w:p w14:paraId="730E1E09" w14:textId="77777777" w:rsidR="00655B88" w:rsidRPr="00534523" w:rsidRDefault="00655B88" w:rsidP="007546A2">
            <w:pPr>
              <w:jc w:val="center"/>
              <w:rPr>
                <w:sz w:val="20"/>
              </w:rPr>
            </w:pPr>
            <w:r w:rsidRPr="00534523">
              <w:rPr>
                <w:sz w:val="20"/>
              </w:rPr>
              <w:t xml:space="preserve"> UK Consensus</w:t>
            </w:r>
          </w:p>
        </w:tc>
      </w:tr>
      <w:tr w:rsidR="00655B88" w:rsidRPr="00840F01" w14:paraId="1916E241" w14:textId="77777777" w:rsidTr="00C91F34">
        <w:trPr>
          <w:trHeight w:val="417"/>
          <w:jc w:val="center"/>
        </w:trPr>
        <w:tc>
          <w:tcPr>
            <w:tcW w:w="709" w:type="dxa"/>
            <w:vMerge/>
            <w:shd w:val="clear" w:color="auto" w:fill="FDE9D9" w:themeFill="accent6" w:themeFillTint="33"/>
            <w:vAlign w:val="center"/>
          </w:tcPr>
          <w:p w14:paraId="306B88E2" w14:textId="77777777" w:rsidR="00655B88" w:rsidRPr="00534523" w:rsidRDefault="00655B88" w:rsidP="007546A2">
            <w:pPr>
              <w:jc w:val="center"/>
              <w:rPr>
                <w:sz w:val="20"/>
              </w:rPr>
            </w:pPr>
          </w:p>
        </w:tc>
        <w:tc>
          <w:tcPr>
            <w:tcW w:w="1134" w:type="dxa"/>
            <w:shd w:val="clear" w:color="auto" w:fill="8DB3E2" w:themeFill="text2" w:themeFillTint="66"/>
            <w:vAlign w:val="center"/>
          </w:tcPr>
          <w:p w14:paraId="286F1A3F" w14:textId="77777777" w:rsidR="00655B88" w:rsidRPr="00534523" w:rsidRDefault="00655B88" w:rsidP="007546A2">
            <w:pPr>
              <w:jc w:val="center"/>
              <w:rPr>
                <w:sz w:val="20"/>
              </w:rPr>
            </w:pPr>
            <w:r w:rsidRPr="00534523">
              <w:rPr>
                <w:sz w:val="20"/>
              </w:rPr>
              <w:t>D0.3cc</w:t>
            </w:r>
          </w:p>
        </w:tc>
        <w:tc>
          <w:tcPr>
            <w:tcW w:w="969" w:type="dxa"/>
            <w:shd w:val="clear" w:color="auto" w:fill="8DB3E2" w:themeFill="text2" w:themeFillTint="66"/>
            <w:vAlign w:val="center"/>
          </w:tcPr>
          <w:p w14:paraId="494EBC0D" w14:textId="77777777" w:rsidR="00655B88" w:rsidRPr="00534523" w:rsidRDefault="00655B88" w:rsidP="007546A2">
            <w:pPr>
              <w:jc w:val="center"/>
              <w:rPr>
                <w:sz w:val="20"/>
              </w:rPr>
            </w:pPr>
          </w:p>
        </w:tc>
        <w:tc>
          <w:tcPr>
            <w:tcW w:w="850" w:type="dxa"/>
            <w:shd w:val="clear" w:color="auto" w:fill="8DB3E2" w:themeFill="text2" w:themeFillTint="66"/>
            <w:vAlign w:val="center"/>
          </w:tcPr>
          <w:p w14:paraId="6C911E67" w14:textId="77777777" w:rsidR="00655B88" w:rsidRPr="00534523" w:rsidRDefault="00655B88" w:rsidP="007546A2">
            <w:pPr>
              <w:jc w:val="center"/>
              <w:rPr>
                <w:sz w:val="20"/>
              </w:rPr>
            </w:pPr>
            <w:r w:rsidRPr="00534523">
              <w:rPr>
                <w:sz w:val="20"/>
              </w:rPr>
              <w:t>12 Gy</w:t>
            </w:r>
          </w:p>
        </w:tc>
        <w:tc>
          <w:tcPr>
            <w:tcW w:w="711" w:type="dxa"/>
            <w:shd w:val="clear" w:color="auto" w:fill="8DB3E2" w:themeFill="text2" w:themeFillTint="66"/>
            <w:vAlign w:val="center"/>
          </w:tcPr>
          <w:p w14:paraId="164853E6" w14:textId="77777777" w:rsidR="00655B88" w:rsidRPr="00534523" w:rsidRDefault="00655B88" w:rsidP="007546A2">
            <w:pPr>
              <w:jc w:val="center"/>
              <w:rPr>
                <w:sz w:val="20"/>
              </w:rPr>
            </w:pPr>
          </w:p>
        </w:tc>
        <w:tc>
          <w:tcPr>
            <w:tcW w:w="849" w:type="dxa"/>
            <w:shd w:val="clear" w:color="auto" w:fill="8DB3E2" w:themeFill="text2" w:themeFillTint="66"/>
            <w:vAlign w:val="center"/>
          </w:tcPr>
          <w:p w14:paraId="6FC76968" w14:textId="77777777" w:rsidR="00655B88" w:rsidRPr="00534523" w:rsidRDefault="00655B88" w:rsidP="007546A2">
            <w:pPr>
              <w:jc w:val="center"/>
              <w:rPr>
                <w:sz w:val="20"/>
              </w:rPr>
            </w:pPr>
            <w:r w:rsidRPr="00534523">
              <w:rPr>
                <w:sz w:val="20"/>
              </w:rPr>
              <w:t>21 Gy</w:t>
            </w:r>
          </w:p>
        </w:tc>
        <w:tc>
          <w:tcPr>
            <w:tcW w:w="850" w:type="dxa"/>
            <w:shd w:val="clear" w:color="auto" w:fill="8DB3E2" w:themeFill="text2" w:themeFillTint="66"/>
            <w:vAlign w:val="center"/>
          </w:tcPr>
          <w:p w14:paraId="5023A63A" w14:textId="77777777" w:rsidR="00655B88" w:rsidRPr="00534523" w:rsidRDefault="00655B88" w:rsidP="007546A2">
            <w:pPr>
              <w:jc w:val="center"/>
              <w:rPr>
                <w:sz w:val="20"/>
              </w:rPr>
            </w:pPr>
          </w:p>
        </w:tc>
        <w:tc>
          <w:tcPr>
            <w:tcW w:w="874" w:type="dxa"/>
            <w:shd w:val="clear" w:color="auto" w:fill="8DB3E2" w:themeFill="text2" w:themeFillTint="66"/>
            <w:vAlign w:val="center"/>
          </w:tcPr>
          <w:p w14:paraId="02ACEB32" w14:textId="77777777" w:rsidR="00655B88" w:rsidRPr="00534523" w:rsidRDefault="00655B88" w:rsidP="007546A2">
            <w:pPr>
              <w:jc w:val="center"/>
              <w:rPr>
                <w:sz w:val="20"/>
              </w:rPr>
            </w:pPr>
          </w:p>
        </w:tc>
        <w:tc>
          <w:tcPr>
            <w:tcW w:w="1288" w:type="dxa"/>
            <w:shd w:val="clear" w:color="auto" w:fill="8DB3E2" w:themeFill="text2" w:themeFillTint="66"/>
            <w:vAlign w:val="center"/>
          </w:tcPr>
          <w:p w14:paraId="3EC794C3" w14:textId="77777777" w:rsidR="00655B88" w:rsidRPr="00534523" w:rsidRDefault="00655B88" w:rsidP="007546A2">
            <w:pPr>
              <w:jc w:val="center"/>
              <w:rPr>
                <w:sz w:val="20"/>
              </w:rPr>
            </w:pPr>
          </w:p>
        </w:tc>
        <w:tc>
          <w:tcPr>
            <w:tcW w:w="1405" w:type="dxa"/>
            <w:shd w:val="clear" w:color="auto" w:fill="8DB3E2" w:themeFill="text2" w:themeFillTint="66"/>
            <w:vAlign w:val="center"/>
          </w:tcPr>
          <w:p w14:paraId="09A2CE25" w14:textId="77777777" w:rsidR="00655B88" w:rsidRPr="00534523" w:rsidRDefault="00655B88" w:rsidP="007546A2">
            <w:pPr>
              <w:jc w:val="center"/>
              <w:rPr>
                <w:sz w:val="20"/>
              </w:rPr>
            </w:pPr>
            <w:r w:rsidRPr="00534523">
              <w:rPr>
                <w:sz w:val="20"/>
              </w:rPr>
              <w:t xml:space="preserve">TROG </w:t>
            </w:r>
          </w:p>
          <w:p w14:paraId="45CB08A1" w14:textId="77777777" w:rsidR="00655B88" w:rsidRPr="00534523" w:rsidRDefault="00655B88" w:rsidP="007546A2">
            <w:pPr>
              <w:jc w:val="center"/>
              <w:rPr>
                <w:sz w:val="20"/>
              </w:rPr>
            </w:pPr>
            <w:r w:rsidRPr="00534523">
              <w:rPr>
                <w:sz w:val="20"/>
              </w:rPr>
              <w:t>Local HERO</w:t>
            </w:r>
          </w:p>
        </w:tc>
      </w:tr>
      <w:tr w:rsidR="00655B88" w:rsidRPr="00840F01" w14:paraId="2FB2F900" w14:textId="77777777" w:rsidTr="00C91F34">
        <w:trPr>
          <w:trHeight w:val="417"/>
          <w:jc w:val="center"/>
        </w:trPr>
        <w:tc>
          <w:tcPr>
            <w:tcW w:w="709" w:type="dxa"/>
            <w:vMerge/>
            <w:shd w:val="clear" w:color="auto" w:fill="FDE9D9" w:themeFill="accent6" w:themeFillTint="33"/>
            <w:vAlign w:val="center"/>
          </w:tcPr>
          <w:p w14:paraId="1DF2A252" w14:textId="77777777" w:rsidR="00655B88" w:rsidRPr="00534523" w:rsidRDefault="00655B88" w:rsidP="007546A2">
            <w:pPr>
              <w:jc w:val="center"/>
              <w:rPr>
                <w:sz w:val="20"/>
              </w:rPr>
            </w:pPr>
          </w:p>
        </w:tc>
        <w:tc>
          <w:tcPr>
            <w:tcW w:w="1134" w:type="dxa"/>
            <w:shd w:val="clear" w:color="auto" w:fill="8DB3E2" w:themeFill="text2" w:themeFillTint="66"/>
            <w:vAlign w:val="center"/>
          </w:tcPr>
          <w:p w14:paraId="0049DAF1" w14:textId="77777777" w:rsidR="00655B88" w:rsidRPr="00534523" w:rsidRDefault="00655B88" w:rsidP="007546A2">
            <w:pPr>
              <w:jc w:val="center"/>
              <w:rPr>
                <w:sz w:val="20"/>
              </w:rPr>
            </w:pPr>
            <w:r w:rsidRPr="00534523">
              <w:rPr>
                <w:sz w:val="20"/>
              </w:rPr>
              <w:t>D0.5cc</w:t>
            </w:r>
          </w:p>
        </w:tc>
        <w:tc>
          <w:tcPr>
            <w:tcW w:w="969" w:type="dxa"/>
            <w:shd w:val="clear" w:color="auto" w:fill="8DB3E2" w:themeFill="text2" w:themeFillTint="66"/>
            <w:vAlign w:val="center"/>
          </w:tcPr>
          <w:p w14:paraId="2C60F70A" w14:textId="77777777" w:rsidR="00655B88" w:rsidRPr="00534523" w:rsidRDefault="00655B88" w:rsidP="007546A2">
            <w:pPr>
              <w:jc w:val="center"/>
              <w:rPr>
                <w:sz w:val="20"/>
              </w:rPr>
            </w:pPr>
          </w:p>
        </w:tc>
        <w:tc>
          <w:tcPr>
            <w:tcW w:w="850" w:type="dxa"/>
            <w:shd w:val="clear" w:color="auto" w:fill="8DB3E2" w:themeFill="text2" w:themeFillTint="66"/>
            <w:vAlign w:val="center"/>
          </w:tcPr>
          <w:p w14:paraId="1EF209E9" w14:textId="77777777" w:rsidR="00655B88" w:rsidRPr="00534523" w:rsidRDefault="00655B88" w:rsidP="007546A2">
            <w:pPr>
              <w:jc w:val="center"/>
              <w:rPr>
                <w:sz w:val="20"/>
              </w:rPr>
            </w:pPr>
            <w:r w:rsidRPr="00534523">
              <w:rPr>
                <w:sz w:val="20"/>
              </w:rPr>
              <w:t>10 Gy</w:t>
            </w:r>
          </w:p>
        </w:tc>
        <w:tc>
          <w:tcPr>
            <w:tcW w:w="711" w:type="dxa"/>
            <w:shd w:val="clear" w:color="auto" w:fill="8DB3E2" w:themeFill="text2" w:themeFillTint="66"/>
            <w:vAlign w:val="center"/>
          </w:tcPr>
          <w:p w14:paraId="4672F840" w14:textId="77777777" w:rsidR="00655B88" w:rsidRPr="00534523" w:rsidRDefault="00655B88" w:rsidP="007546A2">
            <w:pPr>
              <w:jc w:val="center"/>
              <w:rPr>
                <w:sz w:val="20"/>
              </w:rPr>
            </w:pPr>
          </w:p>
        </w:tc>
        <w:tc>
          <w:tcPr>
            <w:tcW w:w="849" w:type="dxa"/>
            <w:shd w:val="clear" w:color="auto" w:fill="8DB3E2" w:themeFill="text2" w:themeFillTint="66"/>
            <w:vAlign w:val="center"/>
          </w:tcPr>
          <w:p w14:paraId="43AA8977" w14:textId="77777777" w:rsidR="00655B88" w:rsidRPr="00534523" w:rsidRDefault="00655B88" w:rsidP="007546A2">
            <w:pPr>
              <w:jc w:val="center"/>
              <w:rPr>
                <w:sz w:val="20"/>
              </w:rPr>
            </w:pPr>
            <w:r w:rsidRPr="00534523">
              <w:rPr>
                <w:sz w:val="20"/>
              </w:rPr>
              <w:t>15.9 Gy</w:t>
            </w:r>
          </w:p>
        </w:tc>
        <w:tc>
          <w:tcPr>
            <w:tcW w:w="850" w:type="dxa"/>
            <w:shd w:val="clear" w:color="auto" w:fill="8DB3E2" w:themeFill="text2" w:themeFillTint="66"/>
            <w:vAlign w:val="center"/>
          </w:tcPr>
          <w:p w14:paraId="00686863" w14:textId="77777777" w:rsidR="00655B88" w:rsidRPr="00534523" w:rsidRDefault="00655B88" w:rsidP="007546A2">
            <w:pPr>
              <w:jc w:val="center"/>
              <w:rPr>
                <w:sz w:val="20"/>
              </w:rPr>
            </w:pPr>
          </w:p>
        </w:tc>
        <w:tc>
          <w:tcPr>
            <w:tcW w:w="874" w:type="dxa"/>
            <w:shd w:val="clear" w:color="auto" w:fill="8DB3E2" w:themeFill="text2" w:themeFillTint="66"/>
            <w:vAlign w:val="center"/>
          </w:tcPr>
          <w:p w14:paraId="40793C63" w14:textId="77777777" w:rsidR="00655B88" w:rsidRPr="00534523" w:rsidRDefault="00655B88" w:rsidP="007546A2">
            <w:pPr>
              <w:jc w:val="center"/>
              <w:rPr>
                <w:sz w:val="20"/>
              </w:rPr>
            </w:pPr>
            <w:r w:rsidRPr="00534523">
              <w:rPr>
                <w:sz w:val="20"/>
              </w:rPr>
              <w:t>23 Gy</w:t>
            </w:r>
          </w:p>
        </w:tc>
        <w:tc>
          <w:tcPr>
            <w:tcW w:w="1288" w:type="dxa"/>
            <w:shd w:val="clear" w:color="auto" w:fill="8DB3E2" w:themeFill="text2" w:themeFillTint="66"/>
            <w:vAlign w:val="center"/>
          </w:tcPr>
          <w:p w14:paraId="060E7212" w14:textId="77777777" w:rsidR="00655B88" w:rsidRPr="00534523" w:rsidRDefault="00655B88" w:rsidP="007546A2">
            <w:pPr>
              <w:jc w:val="center"/>
              <w:rPr>
                <w:sz w:val="20"/>
              </w:rPr>
            </w:pPr>
          </w:p>
        </w:tc>
        <w:tc>
          <w:tcPr>
            <w:tcW w:w="1405" w:type="dxa"/>
            <w:shd w:val="clear" w:color="auto" w:fill="8DB3E2" w:themeFill="text2" w:themeFillTint="66"/>
            <w:vAlign w:val="center"/>
          </w:tcPr>
          <w:p w14:paraId="733ABEB4" w14:textId="77777777" w:rsidR="00655B88" w:rsidRPr="00534523" w:rsidRDefault="00655B88" w:rsidP="007546A2">
            <w:pPr>
              <w:jc w:val="center"/>
              <w:rPr>
                <w:sz w:val="20"/>
              </w:rPr>
            </w:pPr>
            <w:r w:rsidRPr="00534523">
              <w:rPr>
                <w:sz w:val="20"/>
              </w:rPr>
              <w:t>TROG AVATAR</w:t>
            </w:r>
          </w:p>
        </w:tc>
      </w:tr>
      <w:tr w:rsidR="00655B88" w:rsidRPr="005A4480" w14:paraId="4A3BED4C" w14:textId="77777777" w:rsidTr="00C91F34">
        <w:trPr>
          <w:trHeight w:val="417"/>
          <w:jc w:val="center"/>
        </w:trPr>
        <w:tc>
          <w:tcPr>
            <w:tcW w:w="709" w:type="dxa"/>
            <w:tcBorders>
              <w:bottom w:val="single" w:sz="4" w:space="0" w:color="auto"/>
            </w:tcBorders>
            <w:shd w:val="clear" w:color="auto" w:fill="8DB3E2" w:themeFill="text2" w:themeFillTint="66"/>
            <w:vAlign w:val="center"/>
          </w:tcPr>
          <w:p w14:paraId="0007475A" w14:textId="77777777" w:rsidR="00655B88" w:rsidRPr="00264C63" w:rsidRDefault="00655B88" w:rsidP="007546A2">
            <w:pPr>
              <w:jc w:val="center"/>
              <w:rPr>
                <w:b/>
                <w:bCs/>
                <w:sz w:val="20"/>
              </w:rPr>
            </w:pPr>
            <w:r w:rsidRPr="00264C63">
              <w:rPr>
                <w:b/>
                <w:bCs/>
                <w:sz w:val="20"/>
              </w:rPr>
              <w:t xml:space="preserve">Brainstem </w:t>
            </w:r>
            <w:r w:rsidRPr="00264C63">
              <w:rPr>
                <w:b/>
                <w:bCs/>
                <w:sz w:val="20"/>
              </w:rPr>
              <w:br/>
              <w:t>excl PTV</w:t>
            </w:r>
          </w:p>
          <w:p w14:paraId="3248ECB6" w14:textId="77777777" w:rsidR="00655B88" w:rsidRPr="00534523" w:rsidRDefault="00655B88" w:rsidP="007546A2">
            <w:pPr>
              <w:jc w:val="center"/>
              <w:rPr>
                <w:sz w:val="20"/>
              </w:rPr>
            </w:pPr>
            <w:r w:rsidRPr="00264C63">
              <w:rPr>
                <w:b/>
                <w:bCs/>
                <w:sz w:val="20"/>
              </w:rPr>
              <w:t>(for brainstem lesion)</w:t>
            </w:r>
          </w:p>
        </w:tc>
        <w:tc>
          <w:tcPr>
            <w:tcW w:w="1134" w:type="dxa"/>
            <w:tcBorders>
              <w:bottom w:val="single" w:sz="4" w:space="0" w:color="auto"/>
            </w:tcBorders>
            <w:shd w:val="clear" w:color="auto" w:fill="C6D9F1" w:themeFill="text2" w:themeFillTint="33"/>
            <w:vAlign w:val="center"/>
          </w:tcPr>
          <w:p w14:paraId="32ADD19E" w14:textId="77777777" w:rsidR="00655B88" w:rsidRPr="00534523" w:rsidDel="00EC4D36" w:rsidRDefault="00655B88" w:rsidP="007546A2">
            <w:pPr>
              <w:jc w:val="center"/>
              <w:rPr>
                <w:sz w:val="20"/>
              </w:rPr>
            </w:pPr>
            <w:r w:rsidRPr="00534523">
              <w:rPr>
                <w:sz w:val="20"/>
              </w:rPr>
              <w:t>D0.3cc</w:t>
            </w:r>
          </w:p>
        </w:tc>
        <w:tc>
          <w:tcPr>
            <w:tcW w:w="969" w:type="dxa"/>
            <w:tcBorders>
              <w:bottom w:val="single" w:sz="4" w:space="0" w:color="auto"/>
            </w:tcBorders>
            <w:shd w:val="clear" w:color="auto" w:fill="C6D9F1" w:themeFill="text2" w:themeFillTint="33"/>
            <w:vAlign w:val="center"/>
          </w:tcPr>
          <w:p w14:paraId="514F7729" w14:textId="77777777" w:rsidR="00655B88" w:rsidRPr="00534523" w:rsidRDefault="00655B88" w:rsidP="007546A2">
            <w:pPr>
              <w:jc w:val="center"/>
              <w:rPr>
                <w:sz w:val="20"/>
              </w:rPr>
            </w:pPr>
          </w:p>
        </w:tc>
        <w:tc>
          <w:tcPr>
            <w:tcW w:w="850" w:type="dxa"/>
            <w:tcBorders>
              <w:bottom w:val="single" w:sz="4" w:space="0" w:color="auto"/>
            </w:tcBorders>
            <w:shd w:val="clear" w:color="auto" w:fill="C6D9F1" w:themeFill="text2" w:themeFillTint="33"/>
            <w:vAlign w:val="center"/>
          </w:tcPr>
          <w:p w14:paraId="709B34C9" w14:textId="77777777" w:rsidR="00655B88" w:rsidRPr="00534523" w:rsidRDefault="00655B88" w:rsidP="007546A2">
            <w:pPr>
              <w:jc w:val="center"/>
              <w:rPr>
                <w:sz w:val="20"/>
              </w:rPr>
            </w:pPr>
            <w:r w:rsidRPr="00534523">
              <w:rPr>
                <w:sz w:val="20"/>
              </w:rPr>
              <w:t>20 Gy</w:t>
            </w:r>
          </w:p>
        </w:tc>
        <w:tc>
          <w:tcPr>
            <w:tcW w:w="711" w:type="dxa"/>
            <w:tcBorders>
              <w:bottom w:val="single" w:sz="4" w:space="0" w:color="auto"/>
            </w:tcBorders>
            <w:shd w:val="clear" w:color="auto" w:fill="C6D9F1" w:themeFill="text2" w:themeFillTint="33"/>
            <w:vAlign w:val="center"/>
          </w:tcPr>
          <w:p w14:paraId="0D44FB82" w14:textId="77777777" w:rsidR="00655B88" w:rsidRPr="00534523" w:rsidRDefault="00655B88" w:rsidP="007546A2">
            <w:pPr>
              <w:jc w:val="center"/>
              <w:rPr>
                <w:sz w:val="20"/>
              </w:rPr>
            </w:pPr>
          </w:p>
        </w:tc>
        <w:tc>
          <w:tcPr>
            <w:tcW w:w="849" w:type="dxa"/>
            <w:tcBorders>
              <w:bottom w:val="single" w:sz="4" w:space="0" w:color="auto"/>
            </w:tcBorders>
            <w:shd w:val="clear" w:color="auto" w:fill="C6D9F1" w:themeFill="text2" w:themeFillTint="33"/>
            <w:vAlign w:val="center"/>
          </w:tcPr>
          <w:p w14:paraId="2A7160B3" w14:textId="77777777" w:rsidR="00655B88" w:rsidRPr="00534523" w:rsidRDefault="00655B88" w:rsidP="007546A2">
            <w:pPr>
              <w:jc w:val="center"/>
              <w:rPr>
                <w:sz w:val="20"/>
              </w:rPr>
            </w:pPr>
            <w:r w:rsidRPr="00534523">
              <w:rPr>
                <w:sz w:val="20"/>
              </w:rPr>
              <w:t>24 Gy</w:t>
            </w:r>
          </w:p>
        </w:tc>
        <w:tc>
          <w:tcPr>
            <w:tcW w:w="850" w:type="dxa"/>
            <w:tcBorders>
              <w:bottom w:val="single" w:sz="4" w:space="0" w:color="auto"/>
            </w:tcBorders>
            <w:shd w:val="clear" w:color="auto" w:fill="C6D9F1" w:themeFill="text2" w:themeFillTint="33"/>
            <w:vAlign w:val="center"/>
          </w:tcPr>
          <w:p w14:paraId="5A978EE3" w14:textId="77777777" w:rsidR="00655B88" w:rsidRPr="00534523" w:rsidRDefault="00655B88" w:rsidP="007546A2">
            <w:pPr>
              <w:jc w:val="center"/>
              <w:rPr>
                <w:sz w:val="20"/>
              </w:rPr>
            </w:pPr>
          </w:p>
        </w:tc>
        <w:tc>
          <w:tcPr>
            <w:tcW w:w="874" w:type="dxa"/>
            <w:tcBorders>
              <w:bottom w:val="single" w:sz="4" w:space="0" w:color="auto"/>
            </w:tcBorders>
            <w:shd w:val="clear" w:color="auto" w:fill="C6D9F1" w:themeFill="text2" w:themeFillTint="33"/>
            <w:vAlign w:val="center"/>
          </w:tcPr>
          <w:p w14:paraId="03518ED5" w14:textId="77777777" w:rsidR="00655B88" w:rsidRPr="00534523" w:rsidRDefault="00655B88" w:rsidP="007546A2">
            <w:pPr>
              <w:jc w:val="center"/>
              <w:rPr>
                <w:sz w:val="20"/>
              </w:rPr>
            </w:pPr>
          </w:p>
        </w:tc>
        <w:tc>
          <w:tcPr>
            <w:tcW w:w="1288" w:type="dxa"/>
            <w:tcBorders>
              <w:bottom w:val="single" w:sz="4" w:space="0" w:color="auto"/>
            </w:tcBorders>
            <w:shd w:val="clear" w:color="auto" w:fill="C6D9F1" w:themeFill="text2" w:themeFillTint="33"/>
            <w:vAlign w:val="center"/>
          </w:tcPr>
          <w:p w14:paraId="6AE13839" w14:textId="77777777" w:rsidR="00655B88" w:rsidRPr="00534523" w:rsidRDefault="00655B88" w:rsidP="007546A2">
            <w:pPr>
              <w:jc w:val="center"/>
              <w:rPr>
                <w:sz w:val="20"/>
              </w:rPr>
            </w:pPr>
          </w:p>
        </w:tc>
        <w:tc>
          <w:tcPr>
            <w:tcW w:w="1405" w:type="dxa"/>
            <w:tcBorders>
              <w:bottom w:val="single" w:sz="4" w:space="0" w:color="auto"/>
            </w:tcBorders>
            <w:shd w:val="clear" w:color="auto" w:fill="C6D9F1" w:themeFill="text2" w:themeFillTint="33"/>
            <w:vAlign w:val="center"/>
          </w:tcPr>
          <w:p w14:paraId="5D36E169" w14:textId="77777777" w:rsidR="00655B88" w:rsidRPr="00534523" w:rsidRDefault="00655B88" w:rsidP="007546A2">
            <w:pPr>
              <w:jc w:val="center"/>
              <w:rPr>
                <w:sz w:val="20"/>
              </w:rPr>
            </w:pPr>
            <w:r w:rsidRPr="00534523">
              <w:rPr>
                <w:sz w:val="20"/>
              </w:rPr>
              <w:t>TROG</w:t>
            </w:r>
          </w:p>
          <w:p w14:paraId="1D726FE9" w14:textId="77777777" w:rsidR="00655B88" w:rsidRPr="00534523" w:rsidRDefault="00655B88" w:rsidP="007546A2">
            <w:pPr>
              <w:jc w:val="center"/>
              <w:rPr>
                <w:sz w:val="20"/>
              </w:rPr>
            </w:pPr>
            <w:r w:rsidRPr="00534523">
              <w:rPr>
                <w:sz w:val="20"/>
              </w:rPr>
              <w:t>Local HERO</w:t>
            </w:r>
          </w:p>
        </w:tc>
      </w:tr>
      <w:tr w:rsidR="00655B88" w:rsidRPr="005A4480" w14:paraId="570CAEB6" w14:textId="77777777" w:rsidTr="00C91F34">
        <w:trPr>
          <w:trHeight w:val="417"/>
          <w:jc w:val="center"/>
        </w:trPr>
        <w:tc>
          <w:tcPr>
            <w:tcW w:w="709" w:type="dxa"/>
            <w:vMerge w:val="restart"/>
            <w:tcBorders>
              <w:top w:val="single" w:sz="4" w:space="0" w:color="auto"/>
            </w:tcBorders>
            <w:shd w:val="clear" w:color="auto" w:fill="C6D9F1" w:themeFill="text2" w:themeFillTint="33"/>
            <w:vAlign w:val="center"/>
          </w:tcPr>
          <w:p w14:paraId="780B6A87" w14:textId="77777777" w:rsidR="00655B88" w:rsidRPr="00264C63" w:rsidRDefault="00655B88" w:rsidP="007546A2">
            <w:pPr>
              <w:jc w:val="center"/>
              <w:rPr>
                <w:b/>
                <w:bCs/>
                <w:sz w:val="20"/>
              </w:rPr>
            </w:pPr>
            <w:r w:rsidRPr="00264C63">
              <w:rPr>
                <w:b/>
                <w:bCs/>
                <w:sz w:val="20"/>
              </w:rPr>
              <w:t>Optic Apparatus</w:t>
            </w:r>
          </w:p>
        </w:tc>
        <w:tc>
          <w:tcPr>
            <w:tcW w:w="1134" w:type="dxa"/>
            <w:tcBorders>
              <w:top w:val="single" w:sz="4" w:space="0" w:color="auto"/>
            </w:tcBorders>
            <w:shd w:val="clear" w:color="auto" w:fill="C6D9F1" w:themeFill="text2" w:themeFillTint="33"/>
            <w:vAlign w:val="center"/>
          </w:tcPr>
          <w:p w14:paraId="6902A8CA" w14:textId="77777777" w:rsidR="00655B88" w:rsidRPr="00534523" w:rsidRDefault="00655B88" w:rsidP="007546A2">
            <w:pPr>
              <w:jc w:val="center"/>
              <w:rPr>
                <w:sz w:val="20"/>
              </w:rPr>
            </w:pPr>
            <w:r w:rsidRPr="00534523">
              <w:rPr>
                <w:sz w:val="20"/>
              </w:rPr>
              <w:t>D0.035cc</w:t>
            </w:r>
          </w:p>
        </w:tc>
        <w:tc>
          <w:tcPr>
            <w:tcW w:w="969" w:type="dxa"/>
            <w:tcBorders>
              <w:top w:val="single" w:sz="4" w:space="0" w:color="auto"/>
            </w:tcBorders>
            <w:shd w:val="clear" w:color="auto" w:fill="C6D9F1" w:themeFill="text2" w:themeFillTint="33"/>
            <w:vAlign w:val="center"/>
          </w:tcPr>
          <w:p w14:paraId="26122F04" w14:textId="77777777" w:rsidR="00655B88" w:rsidRPr="00534523" w:rsidRDefault="00655B88" w:rsidP="007546A2">
            <w:pPr>
              <w:jc w:val="center"/>
              <w:rPr>
                <w:sz w:val="20"/>
              </w:rPr>
            </w:pPr>
            <w:r w:rsidRPr="00534523">
              <w:rPr>
                <w:sz w:val="20"/>
              </w:rPr>
              <w:t>8 Gy</w:t>
            </w:r>
          </w:p>
        </w:tc>
        <w:tc>
          <w:tcPr>
            <w:tcW w:w="850" w:type="dxa"/>
            <w:tcBorders>
              <w:top w:val="single" w:sz="4" w:space="0" w:color="auto"/>
            </w:tcBorders>
            <w:shd w:val="clear" w:color="auto" w:fill="C6D9F1" w:themeFill="text2" w:themeFillTint="33"/>
            <w:vAlign w:val="center"/>
          </w:tcPr>
          <w:p w14:paraId="22A279EE" w14:textId="77777777" w:rsidR="00655B88" w:rsidRPr="00534523" w:rsidRDefault="00655B88" w:rsidP="007546A2">
            <w:pPr>
              <w:jc w:val="center"/>
              <w:rPr>
                <w:sz w:val="20"/>
              </w:rPr>
            </w:pPr>
            <w:r w:rsidRPr="00534523">
              <w:rPr>
                <w:sz w:val="20"/>
              </w:rPr>
              <w:t>10 Gy</w:t>
            </w:r>
            <w:r w:rsidRPr="00534523">
              <w:rPr>
                <w:rFonts w:cs="Calibri"/>
                <w:color w:val="000000"/>
                <w:sz w:val="20"/>
                <w:vertAlign w:val="superscript"/>
              </w:rPr>
              <w:t>‡</w:t>
            </w:r>
          </w:p>
        </w:tc>
        <w:tc>
          <w:tcPr>
            <w:tcW w:w="711" w:type="dxa"/>
            <w:tcBorders>
              <w:top w:val="single" w:sz="4" w:space="0" w:color="auto"/>
            </w:tcBorders>
            <w:shd w:val="clear" w:color="auto" w:fill="C6D9F1" w:themeFill="text2" w:themeFillTint="33"/>
            <w:vAlign w:val="center"/>
          </w:tcPr>
          <w:p w14:paraId="4E2C7242" w14:textId="77777777" w:rsidR="00655B88" w:rsidRPr="00534523" w:rsidRDefault="00655B88" w:rsidP="007546A2">
            <w:pPr>
              <w:jc w:val="center"/>
              <w:rPr>
                <w:sz w:val="20"/>
              </w:rPr>
            </w:pPr>
            <w:r w:rsidRPr="00534523">
              <w:rPr>
                <w:sz w:val="20"/>
              </w:rPr>
              <w:t>15 Gy</w:t>
            </w:r>
          </w:p>
        </w:tc>
        <w:tc>
          <w:tcPr>
            <w:tcW w:w="849" w:type="dxa"/>
            <w:tcBorders>
              <w:top w:val="single" w:sz="4" w:space="0" w:color="auto"/>
            </w:tcBorders>
            <w:shd w:val="clear" w:color="auto" w:fill="C6D9F1" w:themeFill="text2" w:themeFillTint="33"/>
            <w:vAlign w:val="center"/>
          </w:tcPr>
          <w:p w14:paraId="1A281CCE" w14:textId="77777777" w:rsidR="00655B88" w:rsidRPr="00534523" w:rsidRDefault="00655B88" w:rsidP="007546A2">
            <w:pPr>
              <w:jc w:val="center"/>
              <w:rPr>
                <w:sz w:val="20"/>
              </w:rPr>
            </w:pPr>
            <w:r w:rsidRPr="00534523">
              <w:rPr>
                <w:sz w:val="20"/>
              </w:rPr>
              <w:t>20 Gy</w:t>
            </w:r>
            <w:r w:rsidRPr="00534523">
              <w:rPr>
                <w:rFonts w:cs="Calibri"/>
                <w:color w:val="000000"/>
                <w:sz w:val="20"/>
                <w:vertAlign w:val="superscript"/>
              </w:rPr>
              <w:t>‡</w:t>
            </w:r>
          </w:p>
        </w:tc>
        <w:tc>
          <w:tcPr>
            <w:tcW w:w="850" w:type="dxa"/>
            <w:tcBorders>
              <w:top w:val="single" w:sz="4" w:space="0" w:color="auto"/>
            </w:tcBorders>
            <w:shd w:val="clear" w:color="auto" w:fill="C6D9F1" w:themeFill="text2" w:themeFillTint="33"/>
            <w:vAlign w:val="center"/>
          </w:tcPr>
          <w:p w14:paraId="0FE5C19D" w14:textId="77777777" w:rsidR="00655B88" w:rsidRPr="00534523" w:rsidRDefault="00655B88" w:rsidP="007546A2">
            <w:pPr>
              <w:jc w:val="center"/>
              <w:rPr>
                <w:sz w:val="20"/>
              </w:rPr>
            </w:pPr>
            <w:r w:rsidRPr="00534523">
              <w:rPr>
                <w:sz w:val="20"/>
              </w:rPr>
              <w:t>22.5 Gy</w:t>
            </w:r>
          </w:p>
        </w:tc>
        <w:tc>
          <w:tcPr>
            <w:tcW w:w="874" w:type="dxa"/>
            <w:tcBorders>
              <w:top w:val="single" w:sz="4" w:space="0" w:color="auto"/>
            </w:tcBorders>
            <w:shd w:val="clear" w:color="auto" w:fill="C6D9F1" w:themeFill="text2" w:themeFillTint="33"/>
            <w:vAlign w:val="center"/>
          </w:tcPr>
          <w:p w14:paraId="7C414F0A" w14:textId="77777777" w:rsidR="00655B88" w:rsidRPr="00534523" w:rsidRDefault="00655B88" w:rsidP="007546A2">
            <w:pPr>
              <w:jc w:val="center"/>
              <w:rPr>
                <w:sz w:val="20"/>
              </w:rPr>
            </w:pPr>
            <w:r w:rsidRPr="00534523">
              <w:rPr>
                <w:sz w:val="20"/>
              </w:rPr>
              <w:t>25 Gy</w:t>
            </w:r>
            <w:r w:rsidRPr="00534523">
              <w:rPr>
                <w:rFonts w:cs="Calibri"/>
                <w:color w:val="000000"/>
                <w:sz w:val="20"/>
                <w:vertAlign w:val="superscript"/>
              </w:rPr>
              <w:t>‡</w:t>
            </w:r>
          </w:p>
        </w:tc>
        <w:tc>
          <w:tcPr>
            <w:tcW w:w="1288" w:type="dxa"/>
            <w:tcBorders>
              <w:top w:val="single" w:sz="4" w:space="0" w:color="auto"/>
            </w:tcBorders>
            <w:shd w:val="clear" w:color="auto" w:fill="C6D9F1" w:themeFill="text2" w:themeFillTint="33"/>
            <w:vAlign w:val="center"/>
          </w:tcPr>
          <w:p w14:paraId="70823CDF" w14:textId="77777777" w:rsidR="00655B88" w:rsidRPr="00534523" w:rsidRDefault="00655B88" w:rsidP="007546A2">
            <w:pPr>
              <w:jc w:val="center"/>
              <w:rPr>
                <w:sz w:val="20"/>
              </w:rPr>
            </w:pPr>
            <w:r w:rsidRPr="00534523">
              <w:rPr>
                <w:sz w:val="20"/>
              </w:rPr>
              <w:t>&lt;1% risk of RION</w:t>
            </w:r>
          </w:p>
        </w:tc>
        <w:tc>
          <w:tcPr>
            <w:tcW w:w="1405" w:type="dxa"/>
            <w:tcBorders>
              <w:top w:val="single" w:sz="4" w:space="0" w:color="auto"/>
            </w:tcBorders>
            <w:shd w:val="clear" w:color="auto" w:fill="C6D9F1" w:themeFill="text2" w:themeFillTint="33"/>
            <w:vAlign w:val="center"/>
          </w:tcPr>
          <w:p w14:paraId="4F663C29" w14:textId="77777777" w:rsidR="00655B88" w:rsidRPr="00534523" w:rsidRDefault="00655B88" w:rsidP="007546A2">
            <w:pPr>
              <w:jc w:val="center"/>
              <w:rPr>
                <w:sz w:val="20"/>
              </w:rPr>
            </w:pPr>
            <w:r w:rsidRPr="00534523">
              <w:rPr>
                <w:sz w:val="20"/>
              </w:rPr>
              <w:t>UK Consensus</w:t>
            </w:r>
          </w:p>
          <w:p w14:paraId="201EC232" w14:textId="77777777" w:rsidR="00655B88" w:rsidRPr="00534523" w:rsidRDefault="00655B88" w:rsidP="007546A2">
            <w:pPr>
              <w:jc w:val="center"/>
              <w:rPr>
                <w:sz w:val="20"/>
              </w:rPr>
            </w:pPr>
            <w:r w:rsidRPr="00534523">
              <w:rPr>
                <w:sz w:val="20"/>
              </w:rPr>
              <w:t>&amp;</w:t>
            </w:r>
            <w:r>
              <w:rPr>
                <w:sz w:val="20"/>
              </w:rPr>
              <w:t xml:space="preserve"> </w:t>
            </w:r>
            <w:r w:rsidRPr="00534523">
              <w:rPr>
                <w:sz w:val="20"/>
              </w:rPr>
              <w:t>HyTEC</w:t>
            </w:r>
            <w:r w:rsidRPr="00534523">
              <w:rPr>
                <w:rFonts w:cs="Calibri"/>
                <w:color w:val="000000"/>
                <w:sz w:val="20"/>
                <w:vertAlign w:val="superscript"/>
              </w:rPr>
              <w:t>‡</w:t>
            </w:r>
          </w:p>
        </w:tc>
      </w:tr>
      <w:tr w:rsidR="00655B88" w:rsidRPr="005A4480" w14:paraId="4FFDCC4D" w14:textId="77777777" w:rsidTr="00C91F34">
        <w:trPr>
          <w:trHeight w:val="417"/>
          <w:jc w:val="center"/>
        </w:trPr>
        <w:tc>
          <w:tcPr>
            <w:tcW w:w="709" w:type="dxa"/>
            <w:vMerge/>
            <w:shd w:val="clear" w:color="auto" w:fill="C6D9F1" w:themeFill="text2" w:themeFillTint="33"/>
            <w:vAlign w:val="center"/>
          </w:tcPr>
          <w:p w14:paraId="1C975EF3" w14:textId="77777777" w:rsidR="00655B88" w:rsidRPr="00534523" w:rsidRDefault="00655B88" w:rsidP="007546A2">
            <w:pPr>
              <w:jc w:val="center"/>
              <w:rPr>
                <w:sz w:val="20"/>
              </w:rPr>
            </w:pPr>
          </w:p>
        </w:tc>
        <w:tc>
          <w:tcPr>
            <w:tcW w:w="1134" w:type="dxa"/>
            <w:shd w:val="clear" w:color="auto" w:fill="8DB3E2" w:themeFill="text2" w:themeFillTint="66"/>
            <w:vAlign w:val="center"/>
          </w:tcPr>
          <w:p w14:paraId="76225A27" w14:textId="77777777" w:rsidR="00655B88" w:rsidRPr="00534523" w:rsidRDefault="00655B88" w:rsidP="007546A2">
            <w:pPr>
              <w:jc w:val="center"/>
              <w:rPr>
                <w:sz w:val="20"/>
              </w:rPr>
            </w:pPr>
            <w:r w:rsidRPr="00534523">
              <w:rPr>
                <w:sz w:val="20"/>
              </w:rPr>
              <w:t>D0.2cc</w:t>
            </w:r>
          </w:p>
        </w:tc>
        <w:tc>
          <w:tcPr>
            <w:tcW w:w="969" w:type="dxa"/>
            <w:shd w:val="clear" w:color="auto" w:fill="8DB3E2" w:themeFill="text2" w:themeFillTint="66"/>
            <w:vAlign w:val="center"/>
          </w:tcPr>
          <w:p w14:paraId="1EE98E1E" w14:textId="77777777" w:rsidR="00655B88" w:rsidRPr="00534523" w:rsidRDefault="00655B88" w:rsidP="007546A2">
            <w:pPr>
              <w:jc w:val="center"/>
              <w:rPr>
                <w:sz w:val="20"/>
              </w:rPr>
            </w:pPr>
          </w:p>
        </w:tc>
        <w:tc>
          <w:tcPr>
            <w:tcW w:w="850" w:type="dxa"/>
            <w:shd w:val="clear" w:color="auto" w:fill="8DB3E2" w:themeFill="text2" w:themeFillTint="66"/>
            <w:vAlign w:val="center"/>
          </w:tcPr>
          <w:p w14:paraId="00FDE9CC" w14:textId="77777777" w:rsidR="00655B88" w:rsidRPr="00534523" w:rsidRDefault="00655B88" w:rsidP="007546A2">
            <w:pPr>
              <w:jc w:val="center"/>
              <w:rPr>
                <w:sz w:val="20"/>
              </w:rPr>
            </w:pPr>
            <w:r w:rsidRPr="00534523">
              <w:rPr>
                <w:sz w:val="20"/>
              </w:rPr>
              <w:t>8 Gy</w:t>
            </w:r>
          </w:p>
        </w:tc>
        <w:tc>
          <w:tcPr>
            <w:tcW w:w="711" w:type="dxa"/>
            <w:shd w:val="clear" w:color="auto" w:fill="8DB3E2" w:themeFill="text2" w:themeFillTint="66"/>
            <w:vAlign w:val="center"/>
          </w:tcPr>
          <w:p w14:paraId="27FEE2DF" w14:textId="77777777" w:rsidR="00655B88" w:rsidRPr="00534523" w:rsidRDefault="00655B88" w:rsidP="007546A2">
            <w:pPr>
              <w:jc w:val="center"/>
              <w:rPr>
                <w:sz w:val="20"/>
              </w:rPr>
            </w:pPr>
          </w:p>
        </w:tc>
        <w:tc>
          <w:tcPr>
            <w:tcW w:w="849" w:type="dxa"/>
            <w:shd w:val="clear" w:color="auto" w:fill="8DB3E2" w:themeFill="text2" w:themeFillTint="66"/>
            <w:vAlign w:val="center"/>
          </w:tcPr>
          <w:p w14:paraId="78523B7C" w14:textId="77777777" w:rsidR="00655B88" w:rsidRPr="00534523" w:rsidRDefault="00655B88" w:rsidP="007546A2">
            <w:pPr>
              <w:jc w:val="center"/>
              <w:rPr>
                <w:sz w:val="20"/>
              </w:rPr>
            </w:pPr>
            <w:r w:rsidRPr="00534523">
              <w:rPr>
                <w:sz w:val="20"/>
              </w:rPr>
              <w:t>15.3 Gy</w:t>
            </w:r>
          </w:p>
        </w:tc>
        <w:tc>
          <w:tcPr>
            <w:tcW w:w="850" w:type="dxa"/>
            <w:shd w:val="clear" w:color="auto" w:fill="8DB3E2" w:themeFill="text2" w:themeFillTint="66"/>
            <w:vAlign w:val="center"/>
          </w:tcPr>
          <w:p w14:paraId="05C0EB6A" w14:textId="77777777" w:rsidR="00655B88" w:rsidRPr="00534523" w:rsidRDefault="00655B88" w:rsidP="007546A2">
            <w:pPr>
              <w:jc w:val="center"/>
              <w:rPr>
                <w:sz w:val="20"/>
              </w:rPr>
            </w:pPr>
          </w:p>
        </w:tc>
        <w:tc>
          <w:tcPr>
            <w:tcW w:w="874" w:type="dxa"/>
            <w:shd w:val="clear" w:color="auto" w:fill="8DB3E2" w:themeFill="text2" w:themeFillTint="66"/>
            <w:vAlign w:val="center"/>
          </w:tcPr>
          <w:p w14:paraId="5513F7D4" w14:textId="77777777" w:rsidR="00655B88" w:rsidRPr="00534523" w:rsidRDefault="00655B88" w:rsidP="007546A2">
            <w:pPr>
              <w:jc w:val="center"/>
              <w:rPr>
                <w:sz w:val="20"/>
              </w:rPr>
            </w:pPr>
            <w:r w:rsidRPr="00534523">
              <w:rPr>
                <w:sz w:val="20"/>
              </w:rPr>
              <w:t>23 Gy</w:t>
            </w:r>
          </w:p>
        </w:tc>
        <w:tc>
          <w:tcPr>
            <w:tcW w:w="1288" w:type="dxa"/>
            <w:shd w:val="clear" w:color="auto" w:fill="8DB3E2" w:themeFill="text2" w:themeFillTint="66"/>
            <w:vAlign w:val="center"/>
          </w:tcPr>
          <w:p w14:paraId="7A17744D" w14:textId="77777777" w:rsidR="00655B88" w:rsidRPr="00534523" w:rsidRDefault="00655B88" w:rsidP="007546A2">
            <w:pPr>
              <w:jc w:val="center"/>
              <w:rPr>
                <w:sz w:val="20"/>
              </w:rPr>
            </w:pPr>
          </w:p>
        </w:tc>
        <w:tc>
          <w:tcPr>
            <w:tcW w:w="1405" w:type="dxa"/>
            <w:shd w:val="clear" w:color="auto" w:fill="8DB3E2" w:themeFill="text2" w:themeFillTint="66"/>
            <w:vAlign w:val="center"/>
          </w:tcPr>
          <w:p w14:paraId="70D5AA93" w14:textId="77777777" w:rsidR="00655B88" w:rsidRPr="00534523" w:rsidRDefault="00655B88" w:rsidP="007546A2">
            <w:pPr>
              <w:jc w:val="center"/>
              <w:rPr>
                <w:sz w:val="20"/>
              </w:rPr>
            </w:pPr>
            <w:r w:rsidRPr="00534523">
              <w:rPr>
                <w:sz w:val="20"/>
              </w:rPr>
              <w:t>TG101</w:t>
            </w:r>
          </w:p>
        </w:tc>
      </w:tr>
      <w:tr w:rsidR="00655B88" w:rsidRPr="005A4480" w14:paraId="781E0D33" w14:textId="77777777" w:rsidTr="00C91F34">
        <w:trPr>
          <w:trHeight w:val="417"/>
          <w:jc w:val="center"/>
        </w:trPr>
        <w:tc>
          <w:tcPr>
            <w:tcW w:w="709" w:type="dxa"/>
            <w:vMerge w:val="restart"/>
            <w:tcBorders>
              <w:top w:val="single" w:sz="4" w:space="0" w:color="auto"/>
            </w:tcBorders>
            <w:shd w:val="clear" w:color="auto" w:fill="8DB3E2" w:themeFill="text2" w:themeFillTint="66"/>
            <w:vAlign w:val="center"/>
          </w:tcPr>
          <w:p w14:paraId="56938C66" w14:textId="77777777" w:rsidR="00655B88" w:rsidRPr="00264C63" w:rsidRDefault="00655B88" w:rsidP="007546A2">
            <w:pPr>
              <w:jc w:val="center"/>
              <w:rPr>
                <w:b/>
                <w:bCs/>
                <w:sz w:val="20"/>
              </w:rPr>
            </w:pPr>
            <w:r w:rsidRPr="00264C63">
              <w:rPr>
                <w:b/>
                <w:bCs/>
                <w:sz w:val="20"/>
              </w:rPr>
              <w:t>Brain incl PTV</w:t>
            </w:r>
            <w:r>
              <w:rPr>
                <w:b/>
                <w:bCs/>
                <w:sz w:val="20"/>
              </w:rPr>
              <w:t xml:space="preserve"> per target </w:t>
            </w:r>
            <w:r w:rsidRPr="00264C63">
              <w:rPr>
                <w:b/>
                <w:bCs/>
                <w:sz w:val="20"/>
              </w:rPr>
              <w:t>^*</w:t>
            </w:r>
            <w:r w:rsidRPr="00264C63">
              <w:rPr>
                <w:b/>
                <w:bCs/>
                <w:sz w:val="20"/>
                <w:vertAlign w:val="superscript"/>
              </w:rPr>
              <w:t>#</w:t>
            </w:r>
          </w:p>
        </w:tc>
        <w:tc>
          <w:tcPr>
            <w:tcW w:w="1134" w:type="dxa"/>
            <w:tcBorders>
              <w:top w:val="single" w:sz="4" w:space="0" w:color="auto"/>
            </w:tcBorders>
            <w:shd w:val="clear" w:color="auto" w:fill="C6D9F1" w:themeFill="text2" w:themeFillTint="33"/>
            <w:vAlign w:val="center"/>
          </w:tcPr>
          <w:p w14:paraId="757E0A81" w14:textId="77777777" w:rsidR="00655B88" w:rsidRPr="00534523" w:rsidRDefault="00655B88" w:rsidP="007546A2">
            <w:pPr>
              <w:jc w:val="center"/>
              <w:rPr>
                <w:sz w:val="20"/>
              </w:rPr>
            </w:pPr>
            <w:r w:rsidRPr="00534523">
              <w:rPr>
                <w:sz w:val="20"/>
              </w:rPr>
              <w:t>V10 Gy</w:t>
            </w:r>
          </w:p>
        </w:tc>
        <w:tc>
          <w:tcPr>
            <w:tcW w:w="969" w:type="dxa"/>
            <w:tcBorders>
              <w:top w:val="single" w:sz="4" w:space="0" w:color="auto"/>
            </w:tcBorders>
            <w:shd w:val="clear" w:color="auto" w:fill="C6D9F1" w:themeFill="text2" w:themeFillTint="33"/>
            <w:vAlign w:val="center"/>
          </w:tcPr>
          <w:p w14:paraId="7F65F4D0" w14:textId="77777777" w:rsidR="00655B88" w:rsidRPr="00534523" w:rsidRDefault="00655B88" w:rsidP="007546A2">
            <w:pPr>
              <w:jc w:val="center"/>
              <w:rPr>
                <w:sz w:val="20"/>
              </w:rPr>
            </w:pPr>
          </w:p>
        </w:tc>
        <w:tc>
          <w:tcPr>
            <w:tcW w:w="850" w:type="dxa"/>
            <w:tcBorders>
              <w:top w:val="single" w:sz="4" w:space="0" w:color="auto"/>
            </w:tcBorders>
            <w:shd w:val="clear" w:color="auto" w:fill="C6D9F1" w:themeFill="text2" w:themeFillTint="33"/>
            <w:vAlign w:val="center"/>
          </w:tcPr>
          <w:p w14:paraId="056DDCCE" w14:textId="77777777" w:rsidR="00655B88" w:rsidRPr="00534523" w:rsidRDefault="00655B88" w:rsidP="007546A2">
            <w:pPr>
              <w:jc w:val="center"/>
              <w:rPr>
                <w:sz w:val="20"/>
              </w:rPr>
            </w:pPr>
            <w:r w:rsidRPr="00534523">
              <w:rPr>
                <w:sz w:val="20"/>
              </w:rPr>
              <w:t>10cc</w:t>
            </w:r>
          </w:p>
        </w:tc>
        <w:tc>
          <w:tcPr>
            <w:tcW w:w="711" w:type="dxa"/>
            <w:tcBorders>
              <w:top w:val="single" w:sz="4" w:space="0" w:color="auto"/>
            </w:tcBorders>
            <w:shd w:val="clear" w:color="auto" w:fill="C6D9F1" w:themeFill="text2" w:themeFillTint="33"/>
            <w:vAlign w:val="center"/>
          </w:tcPr>
          <w:p w14:paraId="62BC8D72" w14:textId="77777777" w:rsidR="00655B88" w:rsidRPr="00534523" w:rsidRDefault="00655B88" w:rsidP="007546A2">
            <w:pPr>
              <w:jc w:val="center"/>
              <w:rPr>
                <w:sz w:val="20"/>
              </w:rPr>
            </w:pPr>
          </w:p>
        </w:tc>
        <w:tc>
          <w:tcPr>
            <w:tcW w:w="849" w:type="dxa"/>
            <w:tcBorders>
              <w:top w:val="single" w:sz="4" w:space="0" w:color="auto"/>
            </w:tcBorders>
            <w:shd w:val="clear" w:color="auto" w:fill="C6D9F1" w:themeFill="text2" w:themeFillTint="33"/>
            <w:vAlign w:val="center"/>
          </w:tcPr>
          <w:p w14:paraId="768B3A9C" w14:textId="77777777" w:rsidR="00655B88" w:rsidRPr="00534523" w:rsidRDefault="00655B88" w:rsidP="007546A2">
            <w:pPr>
              <w:jc w:val="center"/>
              <w:rPr>
                <w:sz w:val="20"/>
              </w:rPr>
            </w:pPr>
          </w:p>
        </w:tc>
        <w:tc>
          <w:tcPr>
            <w:tcW w:w="850" w:type="dxa"/>
            <w:tcBorders>
              <w:top w:val="single" w:sz="4" w:space="0" w:color="auto"/>
            </w:tcBorders>
            <w:shd w:val="clear" w:color="auto" w:fill="C6D9F1" w:themeFill="text2" w:themeFillTint="33"/>
            <w:vAlign w:val="center"/>
          </w:tcPr>
          <w:p w14:paraId="56545799" w14:textId="77777777" w:rsidR="00655B88" w:rsidRPr="00534523" w:rsidRDefault="00655B88" w:rsidP="007546A2">
            <w:pPr>
              <w:jc w:val="center"/>
              <w:rPr>
                <w:sz w:val="20"/>
              </w:rPr>
            </w:pPr>
          </w:p>
        </w:tc>
        <w:tc>
          <w:tcPr>
            <w:tcW w:w="874" w:type="dxa"/>
            <w:tcBorders>
              <w:top w:val="single" w:sz="4" w:space="0" w:color="auto"/>
            </w:tcBorders>
            <w:shd w:val="clear" w:color="auto" w:fill="C6D9F1" w:themeFill="text2" w:themeFillTint="33"/>
            <w:vAlign w:val="center"/>
          </w:tcPr>
          <w:p w14:paraId="7CB17C31" w14:textId="77777777" w:rsidR="00655B88" w:rsidRPr="00534523" w:rsidRDefault="00655B88" w:rsidP="007546A2">
            <w:pPr>
              <w:jc w:val="center"/>
              <w:rPr>
                <w:sz w:val="20"/>
              </w:rPr>
            </w:pPr>
          </w:p>
        </w:tc>
        <w:tc>
          <w:tcPr>
            <w:tcW w:w="1288" w:type="dxa"/>
            <w:tcBorders>
              <w:top w:val="single" w:sz="4" w:space="0" w:color="auto"/>
            </w:tcBorders>
            <w:shd w:val="clear" w:color="auto" w:fill="C6D9F1" w:themeFill="text2" w:themeFillTint="33"/>
          </w:tcPr>
          <w:p w14:paraId="3FF66E6B" w14:textId="77777777" w:rsidR="00655B88" w:rsidRPr="00534523" w:rsidRDefault="00655B88" w:rsidP="007546A2">
            <w:pPr>
              <w:jc w:val="center"/>
              <w:rPr>
                <w:sz w:val="20"/>
              </w:rPr>
            </w:pPr>
          </w:p>
        </w:tc>
        <w:tc>
          <w:tcPr>
            <w:tcW w:w="1405" w:type="dxa"/>
            <w:vMerge w:val="restart"/>
            <w:tcBorders>
              <w:top w:val="single" w:sz="4" w:space="0" w:color="auto"/>
            </w:tcBorders>
            <w:shd w:val="clear" w:color="auto" w:fill="C6D9F1" w:themeFill="text2" w:themeFillTint="33"/>
            <w:vAlign w:val="center"/>
          </w:tcPr>
          <w:p w14:paraId="6BF6DA35" w14:textId="77777777" w:rsidR="00655B88" w:rsidRPr="00534523" w:rsidRDefault="00655B88" w:rsidP="007546A2">
            <w:pPr>
              <w:jc w:val="center"/>
              <w:rPr>
                <w:sz w:val="20"/>
              </w:rPr>
            </w:pPr>
            <w:r w:rsidRPr="00534523">
              <w:rPr>
                <w:sz w:val="20"/>
              </w:rPr>
              <w:t>QUANTEC</w:t>
            </w:r>
          </w:p>
        </w:tc>
      </w:tr>
      <w:tr w:rsidR="00655B88" w:rsidRPr="005A4480" w14:paraId="2BE3F9AD" w14:textId="77777777" w:rsidTr="00C91F34">
        <w:trPr>
          <w:trHeight w:val="417"/>
          <w:jc w:val="center"/>
        </w:trPr>
        <w:tc>
          <w:tcPr>
            <w:tcW w:w="709" w:type="dxa"/>
            <w:vMerge/>
            <w:shd w:val="clear" w:color="auto" w:fill="8DB3E2" w:themeFill="text2" w:themeFillTint="66"/>
            <w:vAlign w:val="center"/>
          </w:tcPr>
          <w:p w14:paraId="33ED57BD" w14:textId="77777777" w:rsidR="00655B88" w:rsidRPr="00534523" w:rsidRDefault="00655B88" w:rsidP="007546A2">
            <w:pPr>
              <w:jc w:val="center"/>
              <w:rPr>
                <w:sz w:val="20"/>
              </w:rPr>
            </w:pPr>
          </w:p>
        </w:tc>
        <w:tc>
          <w:tcPr>
            <w:tcW w:w="1134" w:type="dxa"/>
            <w:shd w:val="clear" w:color="auto" w:fill="C6D9F1" w:themeFill="text2" w:themeFillTint="33"/>
            <w:vAlign w:val="center"/>
          </w:tcPr>
          <w:p w14:paraId="334BAB07" w14:textId="77777777" w:rsidR="00655B88" w:rsidRPr="00534523" w:rsidRDefault="00655B88" w:rsidP="007546A2">
            <w:pPr>
              <w:jc w:val="center"/>
              <w:rPr>
                <w:sz w:val="20"/>
              </w:rPr>
            </w:pPr>
            <w:r w:rsidRPr="00534523">
              <w:rPr>
                <w:sz w:val="20"/>
              </w:rPr>
              <w:t>V12 Gy</w:t>
            </w:r>
          </w:p>
        </w:tc>
        <w:tc>
          <w:tcPr>
            <w:tcW w:w="969" w:type="dxa"/>
            <w:shd w:val="clear" w:color="auto" w:fill="C6D9F1" w:themeFill="text2" w:themeFillTint="33"/>
            <w:vAlign w:val="center"/>
          </w:tcPr>
          <w:p w14:paraId="78ECFC50" w14:textId="77777777" w:rsidR="00655B88" w:rsidRPr="00534523" w:rsidRDefault="00655B88" w:rsidP="007546A2">
            <w:pPr>
              <w:jc w:val="center"/>
              <w:rPr>
                <w:sz w:val="20"/>
              </w:rPr>
            </w:pPr>
          </w:p>
        </w:tc>
        <w:tc>
          <w:tcPr>
            <w:tcW w:w="850" w:type="dxa"/>
            <w:shd w:val="clear" w:color="auto" w:fill="C6D9F1" w:themeFill="text2" w:themeFillTint="33"/>
            <w:vAlign w:val="center"/>
          </w:tcPr>
          <w:p w14:paraId="369881EC" w14:textId="77777777" w:rsidR="00655B88" w:rsidRPr="00534523" w:rsidRDefault="00655B88" w:rsidP="007546A2">
            <w:pPr>
              <w:jc w:val="center"/>
              <w:rPr>
                <w:sz w:val="20"/>
              </w:rPr>
            </w:pPr>
            <w:r w:rsidRPr="00534523">
              <w:rPr>
                <w:sz w:val="20"/>
              </w:rPr>
              <w:t>5-10cc</w:t>
            </w:r>
          </w:p>
        </w:tc>
        <w:tc>
          <w:tcPr>
            <w:tcW w:w="711" w:type="dxa"/>
            <w:shd w:val="clear" w:color="auto" w:fill="C6D9F1" w:themeFill="text2" w:themeFillTint="33"/>
            <w:vAlign w:val="center"/>
          </w:tcPr>
          <w:p w14:paraId="13BD1420" w14:textId="77777777" w:rsidR="00655B88" w:rsidRPr="00534523" w:rsidRDefault="00655B88" w:rsidP="007546A2">
            <w:pPr>
              <w:jc w:val="center"/>
              <w:rPr>
                <w:sz w:val="20"/>
              </w:rPr>
            </w:pPr>
          </w:p>
        </w:tc>
        <w:tc>
          <w:tcPr>
            <w:tcW w:w="849" w:type="dxa"/>
            <w:shd w:val="clear" w:color="auto" w:fill="C6D9F1" w:themeFill="text2" w:themeFillTint="33"/>
            <w:vAlign w:val="center"/>
          </w:tcPr>
          <w:p w14:paraId="57B9DDD9" w14:textId="77777777" w:rsidR="00655B88" w:rsidRPr="00534523" w:rsidRDefault="00655B88" w:rsidP="007546A2">
            <w:pPr>
              <w:jc w:val="center"/>
              <w:rPr>
                <w:sz w:val="20"/>
              </w:rPr>
            </w:pPr>
          </w:p>
        </w:tc>
        <w:tc>
          <w:tcPr>
            <w:tcW w:w="850" w:type="dxa"/>
            <w:shd w:val="clear" w:color="auto" w:fill="C6D9F1" w:themeFill="text2" w:themeFillTint="33"/>
            <w:vAlign w:val="center"/>
          </w:tcPr>
          <w:p w14:paraId="1080BFF3" w14:textId="77777777" w:rsidR="00655B88" w:rsidRPr="00534523" w:rsidRDefault="00655B88" w:rsidP="007546A2">
            <w:pPr>
              <w:jc w:val="center"/>
              <w:rPr>
                <w:sz w:val="20"/>
              </w:rPr>
            </w:pPr>
          </w:p>
        </w:tc>
        <w:tc>
          <w:tcPr>
            <w:tcW w:w="874" w:type="dxa"/>
            <w:shd w:val="clear" w:color="auto" w:fill="C6D9F1" w:themeFill="text2" w:themeFillTint="33"/>
            <w:vAlign w:val="center"/>
          </w:tcPr>
          <w:p w14:paraId="36509941" w14:textId="77777777" w:rsidR="00655B88" w:rsidRPr="00534523" w:rsidRDefault="00655B88" w:rsidP="007546A2">
            <w:pPr>
              <w:jc w:val="center"/>
              <w:rPr>
                <w:sz w:val="20"/>
              </w:rPr>
            </w:pPr>
          </w:p>
        </w:tc>
        <w:tc>
          <w:tcPr>
            <w:tcW w:w="1288" w:type="dxa"/>
            <w:shd w:val="clear" w:color="auto" w:fill="C6D9F1" w:themeFill="text2" w:themeFillTint="33"/>
          </w:tcPr>
          <w:p w14:paraId="4D14337F" w14:textId="77777777" w:rsidR="00655B88" w:rsidRPr="00534523" w:rsidRDefault="00655B88" w:rsidP="007546A2">
            <w:pPr>
              <w:jc w:val="center"/>
              <w:rPr>
                <w:sz w:val="20"/>
              </w:rPr>
            </w:pPr>
          </w:p>
        </w:tc>
        <w:tc>
          <w:tcPr>
            <w:tcW w:w="1405" w:type="dxa"/>
            <w:vMerge/>
            <w:shd w:val="clear" w:color="auto" w:fill="FDE9D9" w:themeFill="accent6" w:themeFillTint="33"/>
            <w:vAlign w:val="center"/>
          </w:tcPr>
          <w:p w14:paraId="1B0863A9" w14:textId="77777777" w:rsidR="00655B88" w:rsidRPr="00534523" w:rsidRDefault="00655B88" w:rsidP="007546A2">
            <w:pPr>
              <w:jc w:val="center"/>
              <w:rPr>
                <w:sz w:val="20"/>
              </w:rPr>
            </w:pPr>
          </w:p>
        </w:tc>
      </w:tr>
      <w:tr w:rsidR="00655B88" w:rsidRPr="005A4480" w14:paraId="594D9FF5" w14:textId="77777777" w:rsidTr="00C91F34">
        <w:trPr>
          <w:trHeight w:val="417"/>
          <w:jc w:val="center"/>
        </w:trPr>
        <w:tc>
          <w:tcPr>
            <w:tcW w:w="709" w:type="dxa"/>
            <w:vMerge/>
            <w:shd w:val="clear" w:color="auto" w:fill="8DB3E2" w:themeFill="text2" w:themeFillTint="66"/>
            <w:vAlign w:val="center"/>
          </w:tcPr>
          <w:p w14:paraId="63EE2CED" w14:textId="77777777" w:rsidR="00655B88" w:rsidRPr="00534523" w:rsidRDefault="00655B88" w:rsidP="007546A2">
            <w:pPr>
              <w:jc w:val="center"/>
              <w:rPr>
                <w:sz w:val="20"/>
              </w:rPr>
            </w:pPr>
          </w:p>
        </w:tc>
        <w:tc>
          <w:tcPr>
            <w:tcW w:w="1134" w:type="dxa"/>
            <w:shd w:val="clear" w:color="auto" w:fill="8DB3E2" w:themeFill="text2" w:themeFillTint="66"/>
            <w:vAlign w:val="center"/>
          </w:tcPr>
          <w:p w14:paraId="433E5A16" w14:textId="77777777" w:rsidR="00655B88" w:rsidRPr="00534523" w:rsidRDefault="00655B88" w:rsidP="007546A2">
            <w:pPr>
              <w:jc w:val="center"/>
              <w:rPr>
                <w:sz w:val="20"/>
              </w:rPr>
            </w:pPr>
            <w:r w:rsidRPr="00534523">
              <w:rPr>
                <w:sz w:val="20"/>
              </w:rPr>
              <w:t>V12 Gy</w:t>
            </w:r>
          </w:p>
        </w:tc>
        <w:tc>
          <w:tcPr>
            <w:tcW w:w="1819" w:type="dxa"/>
            <w:gridSpan w:val="2"/>
            <w:shd w:val="clear" w:color="auto" w:fill="8DB3E2" w:themeFill="text2" w:themeFillTint="66"/>
            <w:vAlign w:val="center"/>
          </w:tcPr>
          <w:p w14:paraId="4A12DD9A" w14:textId="77777777" w:rsidR="00655B88" w:rsidRPr="00534523" w:rsidRDefault="00655B88" w:rsidP="007546A2">
            <w:pPr>
              <w:jc w:val="center"/>
              <w:rPr>
                <w:sz w:val="20"/>
              </w:rPr>
            </w:pPr>
            <w:r w:rsidRPr="00534523">
              <w:rPr>
                <w:sz w:val="20"/>
              </w:rPr>
              <w:t>8.5cc</w:t>
            </w:r>
          </w:p>
        </w:tc>
        <w:tc>
          <w:tcPr>
            <w:tcW w:w="711" w:type="dxa"/>
            <w:shd w:val="clear" w:color="auto" w:fill="8DB3E2" w:themeFill="text2" w:themeFillTint="66"/>
            <w:vAlign w:val="center"/>
          </w:tcPr>
          <w:p w14:paraId="50CC2E18" w14:textId="77777777" w:rsidR="00655B88" w:rsidRPr="00534523" w:rsidRDefault="00655B88" w:rsidP="007546A2">
            <w:pPr>
              <w:jc w:val="center"/>
              <w:rPr>
                <w:sz w:val="20"/>
              </w:rPr>
            </w:pPr>
          </w:p>
        </w:tc>
        <w:tc>
          <w:tcPr>
            <w:tcW w:w="849" w:type="dxa"/>
            <w:shd w:val="clear" w:color="auto" w:fill="8DB3E2" w:themeFill="text2" w:themeFillTint="66"/>
            <w:vAlign w:val="center"/>
          </w:tcPr>
          <w:p w14:paraId="44111DB1" w14:textId="77777777" w:rsidR="00655B88" w:rsidRPr="00534523" w:rsidRDefault="00655B88" w:rsidP="007546A2">
            <w:pPr>
              <w:jc w:val="center"/>
              <w:rPr>
                <w:sz w:val="20"/>
              </w:rPr>
            </w:pPr>
          </w:p>
        </w:tc>
        <w:tc>
          <w:tcPr>
            <w:tcW w:w="850" w:type="dxa"/>
            <w:shd w:val="clear" w:color="auto" w:fill="8DB3E2" w:themeFill="text2" w:themeFillTint="66"/>
            <w:vAlign w:val="center"/>
          </w:tcPr>
          <w:p w14:paraId="5FACFA5F" w14:textId="77777777" w:rsidR="00655B88" w:rsidRPr="00534523" w:rsidRDefault="00655B88" w:rsidP="007546A2">
            <w:pPr>
              <w:jc w:val="center"/>
              <w:rPr>
                <w:sz w:val="20"/>
              </w:rPr>
            </w:pPr>
          </w:p>
        </w:tc>
        <w:tc>
          <w:tcPr>
            <w:tcW w:w="874" w:type="dxa"/>
            <w:shd w:val="clear" w:color="auto" w:fill="8DB3E2" w:themeFill="text2" w:themeFillTint="66"/>
            <w:vAlign w:val="center"/>
          </w:tcPr>
          <w:p w14:paraId="0A0DFE02" w14:textId="77777777" w:rsidR="00655B88" w:rsidRPr="00534523" w:rsidRDefault="00655B88" w:rsidP="007546A2">
            <w:pPr>
              <w:jc w:val="center"/>
              <w:rPr>
                <w:sz w:val="20"/>
              </w:rPr>
            </w:pPr>
          </w:p>
        </w:tc>
        <w:tc>
          <w:tcPr>
            <w:tcW w:w="1288" w:type="dxa"/>
            <w:shd w:val="clear" w:color="auto" w:fill="8DB3E2" w:themeFill="text2" w:themeFillTint="66"/>
          </w:tcPr>
          <w:p w14:paraId="55D650FE" w14:textId="77777777" w:rsidR="00655B88" w:rsidRPr="00534523" w:rsidRDefault="00655B88" w:rsidP="007546A2">
            <w:pPr>
              <w:jc w:val="center"/>
              <w:rPr>
                <w:sz w:val="20"/>
              </w:rPr>
            </w:pPr>
          </w:p>
        </w:tc>
        <w:tc>
          <w:tcPr>
            <w:tcW w:w="1405" w:type="dxa"/>
            <w:shd w:val="clear" w:color="auto" w:fill="8DB3E2" w:themeFill="text2" w:themeFillTint="66"/>
            <w:vAlign w:val="center"/>
          </w:tcPr>
          <w:p w14:paraId="19EDF7F1" w14:textId="77777777" w:rsidR="00655B88" w:rsidRPr="00534523" w:rsidRDefault="00655B88" w:rsidP="007546A2">
            <w:pPr>
              <w:jc w:val="center"/>
              <w:rPr>
                <w:sz w:val="20"/>
              </w:rPr>
            </w:pPr>
            <w:r w:rsidRPr="00534523">
              <w:rPr>
                <w:sz w:val="20"/>
              </w:rPr>
              <w:t>Minniti</w:t>
            </w:r>
            <w:r w:rsidRPr="00357D4F">
              <w:rPr>
                <w:rFonts w:cs="Calibri"/>
                <w:sz w:val="20"/>
                <w:vertAlign w:val="superscript"/>
              </w:rPr>
              <w:t>ᴥ</w:t>
            </w:r>
          </w:p>
        </w:tc>
      </w:tr>
      <w:tr w:rsidR="00655B88" w:rsidRPr="005A4480" w14:paraId="756B23C1" w14:textId="77777777" w:rsidTr="00C91F34">
        <w:trPr>
          <w:trHeight w:val="417"/>
          <w:jc w:val="center"/>
        </w:trPr>
        <w:tc>
          <w:tcPr>
            <w:tcW w:w="709" w:type="dxa"/>
            <w:vMerge/>
            <w:shd w:val="clear" w:color="auto" w:fill="8DB3E2" w:themeFill="text2" w:themeFillTint="66"/>
            <w:vAlign w:val="center"/>
          </w:tcPr>
          <w:p w14:paraId="11FE57D1" w14:textId="77777777" w:rsidR="00655B88" w:rsidRPr="00534523" w:rsidRDefault="00655B88" w:rsidP="007546A2">
            <w:pPr>
              <w:jc w:val="center"/>
              <w:rPr>
                <w:sz w:val="20"/>
              </w:rPr>
            </w:pPr>
          </w:p>
        </w:tc>
        <w:tc>
          <w:tcPr>
            <w:tcW w:w="1134" w:type="dxa"/>
            <w:shd w:val="clear" w:color="auto" w:fill="C6D9F1" w:themeFill="text2" w:themeFillTint="33"/>
            <w:vAlign w:val="center"/>
          </w:tcPr>
          <w:p w14:paraId="657BB049" w14:textId="77777777" w:rsidR="00655B88" w:rsidRPr="00534523" w:rsidRDefault="00655B88" w:rsidP="007546A2">
            <w:pPr>
              <w:jc w:val="center"/>
              <w:rPr>
                <w:sz w:val="20"/>
              </w:rPr>
            </w:pPr>
            <w:r w:rsidRPr="00534523">
              <w:rPr>
                <w:sz w:val="20"/>
              </w:rPr>
              <w:t>D10-15cc</w:t>
            </w:r>
          </w:p>
        </w:tc>
        <w:tc>
          <w:tcPr>
            <w:tcW w:w="969" w:type="dxa"/>
            <w:shd w:val="clear" w:color="auto" w:fill="C6D9F1" w:themeFill="text2" w:themeFillTint="33"/>
            <w:vAlign w:val="center"/>
          </w:tcPr>
          <w:p w14:paraId="5526C5AC" w14:textId="77777777" w:rsidR="00655B88" w:rsidRPr="00534523" w:rsidRDefault="00655B88" w:rsidP="007546A2">
            <w:pPr>
              <w:jc w:val="center"/>
              <w:rPr>
                <w:sz w:val="20"/>
              </w:rPr>
            </w:pPr>
            <w:r w:rsidRPr="00534523">
              <w:rPr>
                <w:sz w:val="20"/>
              </w:rPr>
              <w:t>12 Gy</w:t>
            </w:r>
          </w:p>
        </w:tc>
        <w:tc>
          <w:tcPr>
            <w:tcW w:w="850" w:type="dxa"/>
            <w:shd w:val="clear" w:color="auto" w:fill="C6D9F1" w:themeFill="text2" w:themeFillTint="33"/>
            <w:vAlign w:val="center"/>
          </w:tcPr>
          <w:p w14:paraId="4B7A3991" w14:textId="77777777" w:rsidR="00655B88" w:rsidRPr="00534523" w:rsidRDefault="00655B88" w:rsidP="007546A2">
            <w:pPr>
              <w:jc w:val="center"/>
              <w:rPr>
                <w:sz w:val="20"/>
              </w:rPr>
            </w:pPr>
          </w:p>
        </w:tc>
        <w:tc>
          <w:tcPr>
            <w:tcW w:w="711" w:type="dxa"/>
            <w:shd w:val="clear" w:color="auto" w:fill="C6D9F1" w:themeFill="text2" w:themeFillTint="33"/>
            <w:vAlign w:val="center"/>
          </w:tcPr>
          <w:p w14:paraId="2AFF409A" w14:textId="77777777" w:rsidR="00655B88" w:rsidRPr="00534523" w:rsidRDefault="00655B88" w:rsidP="007546A2">
            <w:pPr>
              <w:jc w:val="center"/>
              <w:rPr>
                <w:sz w:val="20"/>
              </w:rPr>
            </w:pPr>
          </w:p>
        </w:tc>
        <w:tc>
          <w:tcPr>
            <w:tcW w:w="849" w:type="dxa"/>
            <w:shd w:val="clear" w:color="auto" w:fill="C6D9F1" w:themeFill="text2" w:themeFillTint="33"/>
            <w:vAlign w:val="center"/>
          </w:tcPr>
          <w:p w14:paraId="1D5E0E04" w14:textId="77777777" w:rsidR="00655B88" w:rsidRPr="00534523" w:rsidRDefault="00655B88" w:rsidP="007546A2">
            <w:pPr>
              <w:jc w:val="center"/>
              <w:rPr>
                <w:sz w:val="20"/>
              </w:rPr>
            </w:pPr>
          </w:p>
        </w:tc>
        <w:tc>
          <w:tcPr>
            <w:tcW w:w="850" w:type="dxa"/>
            <w:shd w:val="clear" w:color="auto" w:fill="C6D9F1" w:themeFill="text2" w:themeFillTint="33"/>
            <w:vAlign w:val="center"/>
          </w:tcPr>
          <w:p w14:paraId="3C4C8087" w14:textId="77777777" w:rsidR="00655B88" w:rsidRPr="00534523" w:rsidRDefault="00655B88" w:rsidP="007546A2">
            <w:pPr>
              <w:jc w:val="center"/>
              <w:rPr>
                <w:sz w:val="20"/>
              </w:rPr>
            </w:pPr>
          </w:p>
        </w:tc>
        <w:tc>
          <w:tcPr>
            <w:tcW w:w="874" w:type="dxa"/>
            <w:shd w:val="clear" w:color="auto" w:fill="C6D9F1" w:themeFill="text2" w:themeFillTint="33"/>
            <w:vAlign w:val="center"/>
          </w:tcPr>
          <w:p w14:paraId="5DEB830C" w14:textId="77777777" w:rsidR="00655B88" w:rsidRPr="00534523" w:rsidRDefault="00655B88" w:rsidP="007546A2">
            <w:pPr>
              <w:jc w:val="center"/>
              <w:rPr>
                <w:sz w:val="20"/>
              </w:rPr>
            </w:pPr>
          </w:p>
        </w:tc>
        <w:tc>
          <w:tcPr>
            <w:tcW w:w="1288" w:type="dxa"/>
            <w:shd w:val="clear" w:color="auto" w:fill="C6D9F1" w:themeFill="text2" w:themeFillTint="33"/>
          </w:tcPr>
          <w:p w14:paraId="2F0F528E" w14:textId="77777777" w:rsidR="00655B88" w:rsidRPr="00534523" w:rsidRDefault="00655B88" w:rsidP="007546A2">
            <w:pPr>
              <w:jc w:val="center"/>
              <w:rPr>
                <w:sz w:val="20"/>
              </w:rPr>
            </w:pPr>
          </w:p>
        </w:tc>
        <w:tc>
          <w:tcPr>
            <w:tcW w:w="1405" w:type="dxa"/>
            <w:vMerge w:val="restart"/>
            <w:shd w:val="clear" w:color="auto" w:fill="C6D9F1" w:themeFill="text2" w:themeFillTint="33"/>
            <w:vAlign w:val="center"/>
          </w:tcPr>
          <w:p w14:paraId="79DEDA57" w14:textId="77777777" w:rsidR="00655B88" w:rsidRPr="00534523" w:rsidRDefault="00655B88" w:rsidP="007546A2">
            <w:pPr>
              <w:jc w:val="center"/>
              <w:rPr>
                <w:sz w:val="20"/>
              </w:rPr>
            </w:pPr>
            <w:r w:rsidRPr="00534523">
              <w:rPr>
                <w:sz w:val="20"/>
              </w:rPr>
              <w:t xml:space="preserve">UK Consensus </w:t>
            </w:r>
          </w:p>
        </w:tc>
      </w:tr>
      <w:tr w:rsidR="00655B88" w:rsidRPr="005A4480" w14:paraId="4A0B2CEA" w14:textId="77777777" w:rsidTr="00C91F34">
        <w:trPr>
          <w:trHeight w:val="417"/>
          <w:jc w:val="center"/>
        </w:trPr>
        <w:tc>
          <w:tcPr>
            <w:tcW w:w="709" w:type="dxa"/>
            <w:vMerge/>
            <w:shd w:val="clear" w:color="auto" w:fill="8DB3E2" w:themeFill="text2" w:themeFillTint="66"/>
            <w:vAlign w:val="center"/>
          </w:tcPr>
          <w:p w14:paraId="2A478F89" w14:textId="77777777" w:rsidR="00655B88" w:rsidRPr="00534523" w:rsidRDefault="00655B88" w:rsidP="007546A2">
            <w:pPr>
              <w:jc w:val="center"/>
              <w:rPr>
                <w:sz w:val="20"/>
              </w:rPr>
            </w:pPr>
          </w:p>
        </w:tc>
        <w:tc>
          <w:tcPr>
            <w:tcW w:w="1134" w:type="dxa"/>
            <w:shd w:val="clear" w:color="auto" w:fill="C6D9F1" w:themeFill="text2" w:themeFillTint="33"/>
            <w:vAlign w:val="center"/>
          </w:tcPr>
          <w:p w14:paraId="165A4E51" w14:textId="77777777" w:rsidR="00655B88" w:rsidRPr="00534523" w:rsidRDefault="00655B88" w:rsidP="007546A2">
            <w:pPr>
              <w:jc w:val="center"/>
              <w:rPr>
                <w:sz w:val="20"/>
              </w:rPr>
            </w:pPr>
            <w:r w:rsidRPr="00534523">
              <w:rPr>
                <w:sz w:val="20"/>
              </w:rPr>
              <w:t>D20cc</w:t>
            </w:r>
          </w:p>
        </w:tc>
        <w:tc>
          <w:tcPr>
            <w:tcW w:w="969" w:type="dxa"/>
            <w:shd w:val="clear" w:color="auto" w:fill="C6D9F1" w:themeFill="text2" w:themeFillTint="33"/>
            <w:vAlign w:val="center"/>
          </w:tcPr>
          <w:p w14:paraId="217B4136" w14:textId="77777777" w:rsidR="00655B88" w:rsidRPr="00534523" w:rsidRDefault="00655B88" w:rsidP="007546A2">
            <w:pPr>
              <w:jc w:val="center"/>
              <w:rPr>
                <w:sz w:val="20"/>
              </w:rPr>
            </w:pPr>
          </w:p>
        </w:tc>
        <w:tc>
          <w:tcPr>
            <w:tcW w:w="850" w:type="dxa"/>
            <w:shd w:val="clear" w:color="auto" w:fill="C6D9F1" w:themeFill="text2" w:themeFillTint="33"/>
            <w:vAlign w:val="center"/>
          </w:tcPr>
          <w:p w14:paraId="1081688C" w14:textId="77777777" w:rsidR="00655B88" w:rsidRPr="00534523" w:rsidRDefault="00655B88" w:rsidP="007546A2">
            <w:pPr>
              <w:jc w:val="center"/>
              <w:rPr>
                <w:sz w:val="20"/>
              </w:rPr>
            </w:pPr>
          </w:p>
        </w:tc>
        <w:tc>
          <w:tcPr>
            <w:tcW w:w="711" w:type="dxa"/>
            <w:shd w:val="clear" w:color="auto" w:fill="C6D9F1" w:themeFill="text2" w:themeFillTint="33"/>
            <w:vAlign w:val="center"/>
          </w:tcPr>
          <w:p w14:paraId="4F94719D" w14:textId="77777777" w:rsidR="00655B88" w:rsidRPr="00534523" w:rsidRDefault="00655B88" w:rsidP="007546A2">
            <w:pPr>
              <w:jc w:val="center"/>
              <w:rPr>
                <w:sz w:val="20"/>
              </w:rPr>
            </w:pPr>
            <w:r w:rsidRPr="00534523">
              <w:rPr>
                <w:sz w:val="20"/>
              </w:rPr>
              <w:t>20 Gy</w:t>
            </w:r>
          </w:p>
        </w:tc>
        <w:tc>
          <w:tcPr>
            <w:tcW w:w="849" w:type="dxa"/>
            <w:shd w:val="clear" w:color="auto" w:fill="C6D9F1" w:themeFill="text2" w:themeFillTint="33"/>
            <w:vAlign w:val="center"/>
          </w:tcPr>
          <w:p w14:paraId="0CD77B11" w14:textId="77777777" w:rsidR="00655B88" w:rsidRPr="00534523" w:rsidRDefault="00655B88" w:rsidP="007546A2">
            <w:pPr>
              <w:jc w:val="center"/>
              <w:rPr>
                <w:sz w:val="20"/>
              </w:rPr>
            </w:pPr>
          </w:p>
        </w:tc>
        <w:tc>
          <w:tcPr>
            <w:tcW w:w="850" w:type="dxa"/>
            <w:shd w:val="clear" w:color="auto" w:fill="C6D9F1" w:themeFill="text2" w:themeFillTint="33"/>
            <w:vAlign w:val="center"/>
          </w:tcPr>
          <w:p w14:paraId="4198E549" w14:textId="77777777" w:rsidR="00655B88" w:rsidRPr="00534523" w:rsidRDefault="00655B88" w:rsidP="007546A2">
            <w:pPr>
              <w:jc w:val="center"/>
              <w:rPr>
                <w:sz w:val="20"/>
              </w:rPr>
            </w:pPr>
            <w:r w:rsidRPr="00534523">
              <w:rPr>
                <w:sz w:val="20"/>
              </w:rPr>
              <w:t>24 Gy</w:t>
            </w:r>
          </w:p>
        </w:tc>
        <w:tc>
          <w:tcPr>
            <w:tcW w:w="874" w:type="dxa"/>
            <w:shd w:val="clear" w:color="auto" w:fill="C6D9F1" w:themeFill="text2" w:themeFillTint="33"/>
            <w:vAlign w:val="center"/>
          </w:tcPr>
          <w:p w14:paraId="21A0FE82" w14:textId="77777777" w:rsidR="00655B88" w:rsidRPr="00534523" w:rsidRDefault="00655B88" w:rsidP="007546A2">
            <w:pPr>
              <w:jc w:val="center"/>
              <w:rPr>
                <w:sz w:val="20"/>
              </w:rPr>
            </w:pPr>
          </w:p>
        </w:tc>
        <w:tc>
          <w:tcPr>
            <w:tcW w:w="1288" w:type="dxa"/>
            <w:shd w:val="clear" w:color="auto" w:fill="C6D9F1" w:themeFill="text2" w:themeFillTint="33"/>
          </w:tcPr>
          <w:p w14:paraId="385084AA" w14:textId="77777777" w:rsidR="00655B88" w:rsidRPr="00534523" w:rsidRDefault="00655B88" w:rsidP="007546A2">
            <w:pPr>
              <w:jc w:val="center"/>
              <w:rPr>
                <w:sz w:val="20"/>
              </w:rPr>
            </w:pPr>
          </w:p>
        </w:tc>
        <w:tc>
          <w:tcPr>
            <w:tcW w:w="1405" w:type="dxa"/>
            <w:vMerge/>
            <w:shd w:val="clear" w:color="auto" w:fill="FDE9D9" w:themeFill="accent6" w:themeFillTint="33"/>
            <w:vAlign w:val="center"/>
          </w:tcPr>
          <w:p w14:paraId="03FE3385" w14:textId="77777777" w:rsidR="00655B88" w:rsidRPr="00534523" w:rsidRDefault="00655B88" w:rsidP="007546A2">
            <w:pPr>
              <w:jc w:val="center"/>
              <w:rPr>
                <w:sz w:val="20"/>
              </w:rPr>
            </w:pPr>
          </w:p>
        </w:tc>
      </w:tr>
      <w:tr w:rsidR="00655B88" w:rsidRPr="005A4480" w14:paraId="7C26058B" w14:textId="77777777" w:rsidTr="00C91F34">
        <w:trPr>
          <w:trHeight w:val="417"/>
          <w:jc w:val="center"/>
        </w:trPr>
        <w:tc>
          <w:tcPr>
            <w:tcW w:w="709" w:type="dxa"/>
            <w:vMerge/>
            <w:shd w:val="clear" w:color="auto" w:fill="8DB3E2" w:themeFill="text2" w:themeFillTint="66"/>
            <w:vAlign w:val="center"/>
          </w:tcPr>
          <w:p w14:paraId="29C6DE4F" w14:textId="77777777" w:rsidR="00655B88" w:rsidRPr="00534523" w:rsidRDefault="00655B88" w:rsidP="007546A2">
            <w:pPr>
              <w:jc w:val="center"/>
              <w:rPr>
                <w:sz w:val="20"/>
              </w:rPr>
            </w:pPr>
          </w:p>
        </w:tc>
        <w:tc>
          <w:tcPr>
            <w:tcW w:w="1134" w:type="dxa"/>
            <w:shd w:val="clear" w:color="auto" w:fill="8DB3E2" w:themeFill="text2" w:themeFillTint="66"/>
            <w:vAlign w:val="center"/>
          </w:tcPr>
          <w:p w14:paraId="4D4B333F" w14:textId="77777777" w:rsidR="00655B88" w:rsidRPr="00534523" w:rsidRDefault="00655B88" w:rsidP="007546A2">
            <w:pPr>
              <w:jc w:val="center"/>
              <w:rPr>
                <w:sz w:val="20"/>
              </w:rPr>
            </w:pPr>
            <w:r w:rsidRPr="00534523">
              <w:rPr>
                <w:sz w:val="20"/>
              </w:rPr>
              <w:t>V12 Gy</w:t>
            </w:r>
          </w:p>
        </w:tc>
        <w:tc>
          <w:tcPr>
            <w:tcW w:w="1819" w:type="dxa"/>
            <w:gridSpan w:val="2"/>
            <w:shd w:val="clear" w:color="auto" w:fill="8DB3E2" w:themeFill="text2" w:themeFillTint="66"/>
            <w:vAlign w:val="center"/>
          </w:tcPr>
          <w:p w14:paraId="58F9DAB7" w14:textId="77777777" w:rsidR="00655B88" w:rsidRPr="00534523" w:rsidRDefault="00655B88" w:rsidP="007546A2">
            <w:pPr>
              <w:jc w:val="center"/>
              <w:rPr>
                <w:sz w:val="20"/>
              </w:rPr>
            </w:pPr>
            <w:r w:rsidRPr="00534523">
              <w:rPr>
                <w:sz w:val="20"/>
              </w:rPr>
              <w:t xml:space="preserve">5cc: 10% </w:t>
            </w:r>
          </w:p>
          <w:p w14:paraId="04488EBA" w14:textId="77777777" w:rsidR="00655B88" w:rsidRPr="00534523" w:rsidRDefault="00655B88" w:rsidP="007546A2">
            <w:pPr>
              <w:jc w:val="center"/>
              <w:rPr>
                <w:sz w:val="20"/>
              </w:rPr>
            </w:pPr>
            <w:r w:rsidRPr="00534523">
              <w:rPr>
                <w:sz w:val="20"/>
              </w:rPr>
              <w:t>10cc: 10-15%</w:t>
            </w:r>
          </w:p>
          <w:p w14:paraId="6E982CCA" w14:textId="77777777" w:rsidR="00655B88" w:rsidRPr="00534523" w:rsidRDefault="00655B88" w:rsidP="007546A2">
            <w:pPr>
              <w:jc w:val="center"/>
              <w:rPr>
                <w:sz w:val="20"/>
              </w:rPr>
            </w:pPr>
            <w:r w:rsidRPr="00534523">
              <w:rPr>
                <w:sz w:val="20"/>
              </w:rPr>
              <w:t>20cc: 20%</w:t>
            </w:r>
          </w:p>
        </w:tc>
        <w:tc>
          <w:tcPr>
            <w:tcW w:w="711" w:type="dxa"/>
            <w:shd w:val="clear" w:color="auto" w:fill="8DB3E2" w:themeFill="text2" w:themeFillTint="66"/>
            <w:vAlign w:val="center"/>
          </w:tcPr>
          <w:p w14:paraId="5EFB3C90" w14:textId="77777777" w:rsidR="00655B88" w:rsidRPr="00534523" w:rsidRDefault="00655B88" w:rsidP="007546A2">
            <w:pPr>
              <w:jc w:val="center"/>
              <w:rPr>
                <w:sz w:val="20"/>
              </w:rPr>
            </w:pPr>
          </w:p>
        </w:tc>
        <w:tc>
          <w:tcPr>
            <w:tcW w:w="849" w:type="dxa"/>
            <w:shd w:val="clear" w:color="auto" w:fill="8DB3E2" w:themeFill="text2" w:themeFillTint="66"/>
            <w:vAlign w:val="center"/>
          </w:tcPr>
          <w:p w14:paraId="674F51D4" w14:textId="77777777" w:rsidR="00655B88" w:rsidRPr="00534523" w:rsidRDefault="00655B88" w:rsidP="007546A2">
            <w:pPr>
              <w:jc w:val="center"/>
              <w:rPr>
                <w:sz w:val="20"/>
              </w:rPr>
            </w:pPr>
          </w:p>
        </w:tc>
        <w:tc>
          <w:tcPr>
            <w:tcW w:w="850" w:type="dxa"/>
            <w:shd w:val="clear" w:color="auto" w:fill="8DB3E2" w:themeFill="text2" w:themeFillTint="66"/>
            <w:vAlign w:val="center"/>
          </w:tcPr>
          <w:p w14:paraId="690312F8" w14:textId="77777777" w:rsidR="00655B88" w:rsidRPr="00534523" w:rsidRDefault="00655B88" w:rsidP="007546A2">
            <w:pPr>
              <w:jc w:val="center"/>
              <w:rPr>
                <w:sz w:val="20"/>
              </w:rPr>
            </w:pPr>
          </w:p>
        </w:tc>
        <w:tc>
          <w:tcPr>
            <w:tcW w:w="874" w:type="dxa"/>
            <w:shd w:val="clear" w:color="auto" w:fill="8DB3E2" w:themeFill="text2" w:themeFillTint="66"/>
            <w:vAlign w:val="center"/>
          </w:tcPr>
          <w:p w14:paraId="35FBB5F2" w14:textId="77777777" w:rsidR="00655B88" w:rsidRPr="00534523" w:rsidRDefault="00655B88" w:rsidP="007546A2">
            <w:pPr>
              <w:jc w:val="center"/>
              <w:rPr>
                <w:sz w:val="20"/>
              </w:rPr>
            </w:pPr>
          </w:p>
        </w:tc>
        <w:tc>
          <w:tcPr>
            <w:tcW w:w="1288" w:type="dxa"/>
            <w:shd w:val="clear" w:color="auto" w:fill="8DB3E2" w:themeFill="text2" w:themeFillTint="66"/>
            <w:vAlign w:val="center"/>
          </w:tcPr>
          <w:p w14:paraId="147FD670" w14:textId="77777777" w:rsidR="00655B88" w:rsidRPr="00534523" w:rsidRDefault="00655B88" w:rsidP="007546A2">
            <w:pPr>
              <w:jc w:val="center"/>
              <w:rPr>
                <w:sz w:val="20"/>
              </w:rPr>
            </w:pPr>
            <w:r w:rsidRPr="00534523">
              <w:rPr>
                <w:sz w:val="20"/>
              </w:rPr>
              <w:t>G2+ RN</w:t>
            </w:r>
          </w:p>
        </w:tc>
        <w:tc>
          <w:tcPr>
            <w:tcW w:w="1405" w:type="dxa"/>
            <w:vMerge w:val="restart"/>
            <w:shd w:val="clear" w:color="auto" w:fill="8DB3E2" w:themeFill="text2" w:themeFillTint="66"/>
            <w:vAlign w:val="center"/>
          </w:tcPr>
          <w:p w14:paraId="07525225" w14:textId="77777777" w:rsidR="00655B88" w:rsidRPr="00357D4F" w:rsidRDefault="00655B88" w:rsidP="007546A2">
            <w:pPr>
              <w:jc w:val="center"/>
              <w:rPr>
                <w:sz w:val="20"/>
                <w:shd w:val="clear" w:color="auto" w:fill="FDF3ED"/>
              </w:rPr>
            </w:pPr>
            <w:r>
              <w:rPr>
                <w:sz w:val="20"/>
              </w:rPr>
              <w:t>HyTEC</w:t>
            </w:r>
          </w:p>
        </w:tc>
      </w:tr>
      <w:tr w:rsidR="00655B88" w:rsidRPr="005A4480" w14:paraId="6466239C" w14:textId="77777777" w:rsidTr="00C91F34">
        <w:trPr>
          <w:trHeight w:val="417"/>
          <w:jc w:val="center"/>
        </w:trPr>
        <w:tc>
          <w:tcPr>
            <w:tcW w:w="709" w:type="dxa"/>
            <w:vMerge/>
            <w:shd w:val="clear" w:color="auto" w:fill="8DB3E2" w:themeFill="text2" w:themeFillTint="66"/>
            <w:vAlign w:val="center"/>
          </w:tcPr>
          <w:p w14:paraId="59AF96DD" w14:textId="77777777" w:rsidR="00655B88" w:rsidRPr="00534523" w:rsidRDefault="00655B88" w:rsidP="007546A2">
            <w:pPr>
              <w:jc w:val="center"/>
              <w:rPr>
                <w:sz w:val="20"/>
              </w:rPr>
            </w:pPr>
          </w:p>
        </w:tc>
        <w:tc>
          <w:tcPr>
            <w:tcW w:w="1134" w:type="dxa"/>
            <w:shd w:val="clear" w:color="auto" w:fill="8DB3E2" w:themeFill="text2" w:themeFillTint="66"/>
            <w:vAlign w:val="center"/>
          </w:tcPr>
          <w:p w14:paraId="403B6F62" w14:textId="77777777" w:rsidR="00655B88" w:rsidRPr="00534523" w:rsidRDefault="00655B88" w:rsidP="007546A2">
            <w:pPr>
              <w:jc w:val="center"/>
              <w:rPr>
                <w:sz w:val="20"/>
              </w:rPr>
            </w:pPr>
            <w:r w:rsidRPr="00534523">
              <w:rPr>
                <w:sz w:val="20"/>
              </w:rPr>
              <w:t>V14 Gy</w:t>
            </w:r>
          </w:p>
        </w:tc>
        <w:tc>
          <w:tcPr>
            <w:tcW w:w="1819" w:type="dxa"/>
            <w:gridSpan w:val="2"/>
            <w:shd w:val="clear" w:color="auto" w:fill="8DB3E2" w:themeFill="text2" w:themeFillTint="66"/>
            <w:vAlign w:val="center"/>
          </w:tcPr>
          <w:p w14:paraId="432CC6F0" w14:textId="77777777" w:rsidR="00655B88" w:rsidRPr="00534523" w:rsidRDefault="00655B88" w:rsidP="007546A2">
            <w:pPr>
              <w:jc w:val="center"/>
              <w:rPr>
                <w:sz w:val="20"/>
              </w:rPr>
            </w:pPr>
            <w:r w:rsidRPr="00534523">
              <w:rPr>
                <w:sz w:val="20"/>
              </w:rPr>
              <w:t>5cc: 0.4%</w:t>
            </w:r>
          </w:p>
          <w:p w14:paraId="27D8B1D7" w14:textId="77777777" w:rsidR="00655B88" w:rsidRPr="00534523" w:rsidRDefault="00655B88" w:rsidP="007546A2">
            <w:pPr>
              <w:jc w:val="center"/>
              <w:rPr>
                <w:sz w:val="20"/>
              </w:rPr>
            </w:pPr>
            <w:r w:rsidRPr="00534523">
              <w:rPr>
                <w:sz w:val="20"/>
              </w:rPr>
              <w:t>10cc: 0.8%</w:t>
            </w:r>
          </w:p>
          <w:p w14:paraId="3F2B57FA" w14:textId="77777777" w:rsidR="00655B88" w:rsidRPr="00534523" w:rsidRDefault="00655B88" w:rsidP="007546A2">
            <w:pPr>
              <w:jc w:val="center"/>
              <w:rPr>
                <w:sz w:val="20"/>
              </w:rPr>
            </w:pPr>
            <w:r w:rsidRPr="00534523">
              <w:rPr>
                <w:sz w:val="20"/>
              </w:rPr>
              <w:t>20cc: 3.4%</w:t>
            </w:r>
          </w:p>
        </w:tc>
        <w:tc>
          <w:tcPr>
            <w:tcW w:w="711" w:type="dxa"/>
            <w:shd w:val="clear" w:color="auto" w:fill="8DB3E2" w:themeFill="text2" w:themeFillTint="66"/>
            <w:vAlign w:val="center"/>
          </w:tcPr>
          <w:p w14:paraId="7CDAE79C" w14:textId="77777777" w:rsidR="00655B88" w:rsidRPr="00534523" w:rsidRDefault="00655B88" w:rsidP="007546A2">
            <w:pPr>
              <w:jc w:val="center"/>
              <w:rPr>
                <w:sz w:val="20"/>
              </w:rPr>
            </w:pPr>
          </w:p>
        </w:tc>
        <w:tc>
          <w:tcPr>
            <w:tcW w:w="849" w:type="dxa"/>
            <w:shd w:val="clear" w:color="auto" w:fill="8DB3E2" w:themeFill="text2" w:themeFillTint="66"/>
            <w:vAlign w:val="center"/>
          </w:tcPr>
          <w:p w14:paraId="74F44B0C" w14:textId="77777777" w:rsidR="00655B88" w:rsidRPr="00534523" w:rsidRDefault="00655B88" w:rsidP="007546A2">
            <w:pPr>
              <w:jc w:val="center"/>
              <w:rPr>
                <w:sz w:val="20"/>
              </w:rPr>
            </w:pPr>
          </w:p>
        </w:tc>
        <w:tc>
          <w:tcPr>
            <w:tcW w:w="850" w:type="dxa"/>
            <w:shd w:val="clear" w:color="auto" w:fill="8DB3E2" w:themeFill="text2" w:themeFillTint="66"/>
            <w:vAlign w:val="center"/>
          </w:tcPr>
          <w:p w14:paraId="5AF00378" w14:textId="77777777" w:rsidR="00655B88" w:rsidRPr="00534523" w:rsidRDefault="00655B88" w:rsidP="007546A2">
            <w:pPr>
              <w:jc w:val="center"/>
              <w:rPr>
                <w:sz w:val="20"/>
              </w:rPr>
            </w:pPr>
          </w:p>
        </w:tc>
        <w:tc>
          <w:tcPr>
            <w:tcW w:w="874" w:type="dxa"/>
            <w:shd w:val="clear" w:color="auto" w:fill="8DB3E2" w:themeFill="text2" w:themeFillTint="66"/>
            <w:vAlign w:val="center"/>
          </w:tcPr>
          <w:p w14:paraId="44C1F307" w14:textId="77777777" w:rsidR="00655B88" w:rsidRPr="00534523" w:rsidRDefault="00655B88" w:rsidP="007546A2">
            <w:pPr>
              <w:jc w:val="center"/>
              <w:rPr>
                <w:sz w:val="20"/>
              </w:rPr>
            </w:pPr>
          </w:p>
        </w:tc>
        <w:tc>
          <w:tcPr>
            <w:tcW w:w="1288" w:type="dxa"/>
            <w:shd w:val="clear" w:color="auto" w:fill="8DB3E2" w:themeFill="text2" w:themeFillTint="66"/>
            <w:vAlign w:val="center"/>
          </w:tcPr>
          <w:p w14:paraId="5F95249D" w14:textId="77777777" w:rsidR="00655B88" w:rsidRPr="00534523" w:rsidRDefault="00655B88" w:rsidP="007546A2">
            <w:pPr>
              <w:jc w:val="center"/>
              <w:rPr>
                <w:sz w:val="20"/>
              </w:rPr>
            </w:pPr>
            <w:r w:rsidRPr="00534523">
              <w:rPr>
                <w:sz w:val="20"/>
              </w:rPr>
              <w:t xml:space="preserve">G3 RN </w:t>
            </w:r>
          </w:p>
        </w:tc>
        <w:tc>
          <w:tcPr>
            <w:tcW w:w="1405" w:type="dxa"/>
            <w:vMerge/>
            <w:shd w:val="clear" w:color="auto" w:fill="8DB3E2" w:themeFill="text2" w:themeFillTint="66"/>
            <w:vAlign w:val="center"/>
          </w:tcPr>
          <w:p w14:paraId="77AA8967" w14:textId="77777777" w:rsidR="00655B88" w:rsidRPr="00534523" w:rsidRDefault="00655B88" w:rsidP="007546A2">
            <w:pPr>
              <w:jc w:val="center"/>
              <w:rPr>
                <w:sz w:val="20"/>
              </w:rPr>
            </w:pPr>
          </w:p>
        </w:tc>
      </w:tr>
      <w:tr w:rsidR="00655B88" w:rsidRPr="005A4480" w14:paraId="21A84A8D" w14:textId="77777777" w:rsidTr="00C91F34">
        <w:trPr>
          <w:trHeight w:val="417"/>
          <w:jc w:val="center"/>
        </w:trPr>
        <w:tc>
          <w:tcPr>
            <w:tcW w:w="709" w:type="dxa"/>
            <w:vMerge/>
            <w:shd w:val="clear" w:color="auto" w:fill="8DB3E2" w:themeFill="text2" w:themeFillTint="66"/>
            <w:vAlign w:val="center"/>
          </w:tcPr>
          <w:p w14:paraId="3D7106CA" w14:textId="77777777" w:rsidR="00655B88" w:rsidRPr="00534523" w:rsidRDefault="00655B88" w:rsidP="007546A2">
            <w:pPr>
              <w:jc w:val="center"/>
              <w:rPr>
                <w:sz w:val="20"/>
              </w:rPr>
            </w:pPr>
          </w:p>
        </w:tc>
        <w:tc>
          <w:tcPr>
            <w:tcW w:w="1134" w:type="dxa"/>
            <w:shd w:val="clear" w:color="auto" w:fill="8DB3E2" w:themeFill="text2" w:themeFillTint="66"/>
            <w:vAlign w:val="center"/>
          </w:tcPr>
          <w:p w14:paraId="341E5B89" w14:textId="77777777" w:rsidR="00655B88" w:rsidRPr="00534523" w:rsidRDefault="00655B88" w:rsidP="007546A2">
            <w:pPr>
              <w:jc w:val="center"/>
              <w:rPr>
                <w:sz w:val="20"/>
              </w:rPr>
            </w:pPr>
            <w:r w:rsidRPr="00534523">
              <w:rPr>
                <w:sz w:val="20"/>
              </w:rPr>
              <w:t>V20 Gy</w:t>
            </w:r>
          </w:p>
        </w:tc>
        <w:tc>
          <w:tcPr>
            <w:tcW w:w="1819" w:type="dxa"/>
            <w:gridSpan w:val="2"/>
            <w:shd w:val="clear" w:color="auto" w:fill="8DB3E2" w:themeFill="text2" w:themeFillTint="66"/>
            <w:vAlign w:val="center"/>
          </w:tcPr>
          <w:p w14:paraId="0BAA5CAE" w14:textId="77777777" w:rsidR="00655B88" w:rsidRPr="00534523" w:rsidRDefault="00655B88" w:rsidP="007546A2">
            <w:pPr>
              <w:jc w:val="center"/>
              <w:rPr>
                <w:sz w:val="20"/>
              </w:rPr>
            </w:pPr>
          </w:p>
        </w:tc>
        <w:tc>
          <w:tcPr>
            <w:tcW w:w="1560" w:type="dxa"/>
            <w:gridSpan w:val="2"/>
            <w:shd w:val="clear" w:color="auto" w:fill="8DB3E2" w:themeFill="text2" w:themeFillTint="66"/>
            <w:vAlign w:val="center"/>
          </w:tcPr>
          <w:p w14:paraId="21B244BF" w14:textId="77777777" w:rsidR="00655B88" w:rsidRPr="00534523" w:rsidRDefault="00655B88" w:rsidP="007546A2">
            <w:pPr>
              <w:jc w:val="center"/>
              <w:rPr>
                <w:sz w:val="20"/>
              </w:rPr>
            </w:pPr>
            <w:r w:rsidRPr="00534523">
              <w:rPr>
                <w:sz w:val="20"/>
              </w:rPr>
              <w:t>20cc: 10%</w:t>
            </w:r>
          </w:p>
          <w:p w14:paraId="4F041C71" w14:textId="77777777" w:rsidR="00655B88" w:rsidRPr="00534523" w:rsidRDefault="00655B88" w:rsidP="007546A2">
            <w:pPr>
              <w:jc w:val="center"/>
              <w:rPr>
                <w:sz w:val="20"/>
              </w:rPr>
            </w:pPr>
            <w:r w:rsidRPr="00534523">
              <w:rPr>
                <w:sz w:val="20"/>
              </w:rPr>
              <w:t>30cc: 20%</w:t>
            </w:r>
          </w:p>
        </w:tc>
        <w:tc>
          <w:tcPr>
            <w:tcW w:w="850" w:type="dxa"/>
            <w:shd w:val="clear" w:color="auto" w:fill="8DB3E2" w:themeFill="text2" w:themeFillTint="66"/>
            <w:vAlign w:val="center"/>
          </w:tcPr>
          <w:p w14:paraId="6BC3F8B5" w14:textId="77777777" w:rsidR="00655B88" w:rsidRPr="00534523" w:rsidRDefault="00655B88" w:rsidP="007546A2">
            <w:pPr>
              <w:jc w:val="center"/>
              <w:rPr>
                <w:sz w:val="20"/>
              </w:rPr>
            </w:pPr>
          </w:p>
        </w:tc>
        <w:tc>
          <w:tcPr>
            <w:tcW w:w="874" w:type="dxa"/>
            <w:shd w:val="clear" w:color="auto" w:fill="8DB3E2" w:themeFill="text2" w:themeFillTint="66"/>
            <w:vAlign w:val="center"/>
          </w:tcPr>
          <w:p w14:paraId="582939E7" w14:textId="77777777" w:rsidR="00655B88" w:rsidRPr="00534523" w:rsidRDefault="00655B88" w:rsidP="007546A2">
            <w:pPr>
              <w:jc w:val="center"/>
              <w:rPr>
                <w:sz w:val="20"/>
              </w:rPr>
            </w:pPr>
          </w:p>
        </w:tc>
        <w:tc>
          <w:tcPr>
            <w:tcW w:w="1288" w:type="dxa"/>
            <w:shd w:val="clear" w:color="auto" w:fill="8DB3E2" w:themeFill="text2" w:themeFillTint="66"/>
            <w:vAlign w:val="center"/>
          </w:tcPr>
          <w:p w14:paraId="409F4063" w14:textId="77777777" w:rsidR="00655B88" w:rsidRPr="00534523" w:rsidRDefault="00655B88" w:rsidP="007546A2">
            <w:pPr>
              <w:jc w:val="center"/>
              <w:rPr>
                <w:sz w:val="20"/>
              </w:rPr>
            </w:pPr>
            <w:r>
              <w:rPr>
                <w:sz w:val="20"/>
              </w:rPr>
              <w:t>Oe</w:t>
            </w:r>
            <w:r w:rsidRPr="00534523">
              <w:rPr>
                <w:sz w:val="20"/>
              </w:rPr>
              <w:t>dema</w:t>
            </w:r>
            <w:r>
              <w:rPr>
                <w:sz w:val="20"/>
              </w:rPr>
              <w:t>/</w:t>
            </w:r>
            <w:r w:rsidRPr="00534523">
              <w:rPr>
                <w:sz w:val="20"/>
              </w:rPr>
              <w:t>RN</w:t>
            </w:r>
          </w:p>
        </w:tc>
        <w:tc>
          <w:tcPr>
            <w:tcW w:w="1405" w:type="dxa"/>
            <w:vMerge/>
            <w:shd w:val="clear" w:color="auto" w:fill="8DB3E2" w:themeFill="text2" w:themeFillTint="66"/>
            <w:vAlign w:val="center"/>
          </w:tcPr>
          <w:p w14:paraId="3875FE44" w14:textId="77777777" w:rsidR="00655B88" w:rsidRPr="00534523" w:rsidRDefault="00655B88" w:rsidP="007546A2">
            <w:pPr>
              <w:jc w:val="center"/>
              <w:rPr>
                <w:sz w:val="20"/>
              </w:rPr>
            </w:pPr>
          </w:p>
        </w:tc>
      </w:tr>
      <w:tr w:rsidR="00655B88" w:rsidRPr="005A4480" w14:paraId="3328AF0F" w14:textId="77777777" w:rsidTr="00C91F34">
        <w:trPr>
          <w:trHeight w:val="417"/>
          <w:jc w:val="center"/>
        </w:trPr>
        <w:tc>
          <w:tcPr>
            <w:tcW w:w="709" w:type="dxa"/>
            <w:vMerge/>
            <w:shd w:val="clear" w:color="auto" w:fill="8DB3E2" w:themeFill="text2" w:themeFillTint="66"/>
            <w:vAlign w:val="center"/>
          </w:tcPr>
          <w:p w14:paraId="5040C083" w14:textId="77777777" w:rsidR="00655B88" w:rsidRPr="00534523" w:rsidRDefault="00655B88" w:rsidP="007546A2">
            <w:pPr>
              <w:jc w:val="center"/>
              <w:rPr>
                <w:sz w:val="20"/>
              </w:rPr>
            </w:pPr>
          </w:p>
        </w:tc>
        <w:tc>
          <w:tcPr>
            <w:tcW w:w="1134" w:type="dxa"/>
            <w:shd w:val="clear" w:color="auto" w:fill="8DB3E2" w:themeFill="text2" w:themeFillTint="66"/>
            <w:vAlign w:val="center"/>
          </w:tcPr>
          <w:p w14:paraId="5F2651C2" w14:textId="77777777" w:rsidR="00655B88" w:rsidRPr="00534523" w:rsidRDefault="00655B88" w:rsidP="007546A2">
            <w:pPr>
              <w:jc w:val="center"/>
              <w:rPr>
                <w:sz w:val="20"/>
              </w:rPr>
            </w:pPr>
            <w:r w:rsidRPr="00534523">
              <w:rPr>
                <w:sz w:val="20"/>
              </w:rPr>
              <w:t>V23 Gy</w:t>
            </w:r>
          </w:p>
        </w:tc>
        <w:tc>
          <w:tcPr>
            <w:tcW w:w="1819" w:type="dxa"/>
            <w:gridSpan w:val="2"/>
            <w:shd w:val="clear" w:color="auto" w:fill="8DB3E2" w:themeFill="text2" w:themeFillTint="66"/>
            <w:vAlign w:val="center"/>
          </w:tcPr>
          <w:p w14:paraId="5C1B5618" w14:textId="77777777" w:rsidR="00655B88" w:rsidRPr="00534523" w:rsidRDefault="00655B88" w:rsidP="007546A2">
            <w:pPr>
              <w:jc w:val="center"/>
              <w:rPr>
                <w:sz w:val="20"/>
              </w:rPr>
            </w:pPr>
          </w:p>
        </w:tc>
        <w:tc>
          <w:tcPr>
            <w:tcW w:w="1560" w:type="dxa"/>
            <w:gridSpan w:val="2"/>
            <w:shd w:val="clear" w:color="auto" w:fill="8DB3E2" w:themeFill="text2" w:themeFillTint="66"/>
            <w:vAlign w:val="center"/>
          </w:tcPr>
          <w:p w14:paraId="1FC2AFA9" w14:textId="77777777" w:rsidR="00655B88" w:rsidRPr="00534523" w:rsidRDefault="00655B88" w:rsidP="007546A2">
            <w:pPr>
              <w:jc w:val="center"/>
              <w:rPr>
                <w:sz w:val="20"/>
              </w:rPr>
            </w:pPr>
            <w:r w:rsidRPr="00534523">
              <w:rPr>
                <w:sz w:val="20"/>
              </w:rPr>
              <w:t>5cc: 0.4%</w:t>
            </w:r>
          </w:p>
          <w:p w14:paraId="0AD9B12D" w14:textId="77777777" w:rsidR="00655B88" w:rsidRPr="00534523" w:rsidRDefault="00655B88" w:rsidP="007546A2">
            <w:pPr>
              <w:jc w:val="center"/>
              <w:rPr>
                <w:sz w:val="20"/>
              </w:rPr>
            </w:pPr>
            <w:r w:rsidRPr="00534523">
              <w:rPr>
                <w:sz w:val="20"/>
              </w:rPr>
              <w:t>10cc: 0.8%</w:t>
            </w:r>
          </w:p>
          <w:p w14:paraId="5C6EC976" w14:textId="77777777" w:rsidR="00655B88" w:rsidRPr="00534523" w:rsidRDefault="00655B88" w:rsidP="007546A2">
            <w:pPr>
              <w:jc w:val="center"/>
              <w:rPr>
                <w:sz w:val="20"/>
              </w:rPr>
            </w:pPr>
            <w:r w:rsidRPr="00534523">
              <w:rPr>
                <w:sz w:val="20"/>
              </w:rPr>
              <w:t>20cc: 3.4%</w:t>
            </w:r>
          </w:p>
        </w:tc>
        <w:tc>
          <w:tcPr>
            <w:tcW w:w="850" w:type="dxa"/>
            <w:shd w:val="clear" w:color="auto" w:fill="8DB3E2" w:themeFill="text2" w:themeFillTint="66"/>
            <w:vAlign w:val="center"/>
          </w:tcPr>
          <w:p w14:paraId="2133A3F6" w14:textId="77777777" w:rsidR="00655B88" w:rsidRPr="00534523" w:rsidRDefault="00655B88" w:rsidP="007546A2">
            <w:pPr>
              <w:jc w:val="center"/>
              <w:rPr>
                <w:sz w:val="20"/>
              </w:rPr>
            </w:pPr>
          </w:p>
        </w:tc>
        <w:tc>
          <w:tcPr>
            <w:tcW w:w="874" w:type="dxa"/>
            <w:shd w:val="clear" w:color="auto" w:fill="8DB3E2" w:themeFill="text2" w:themeFillTint="66"/>
            <w:vAlign w:val="center"/>
          </w:tcPr>
          <w:p w14:paraId="5525E404" w14:textId="77777777" w:rsidR="00655B88" w:rsidRPr="00534523" w:rsidRDefault="00655B88" w:rsidP="007546A2">
            <w:pPr>
              <w:jc w:val="center"/>
              <w:rPr>
                <w:sz w:val="20"/>
              </w:rPr>
            </w:pPr>
          </w:p>
        </w:tc>
        <w:tc>
          <w:tcPr>
            <w:tcW w:w="1288" w:type="dxa"/>
            <w:shd w:val="clear" w:color="auto" w:fill="8DB3E2" w:themeFill="text2" w:themeFillTint="66"/>
            <w:vAlign w:val="center"/>
          </w:tcPr>
          <w:p w14:paraId="29A94A84" w14:textId="77777777" w:rsidR="00655B88" w:rsidRPr="00534523" w:rsidRDefault="00655B88" w:rsidP="007546A2">
            <w:pPr>
              <w:jc w:val="center"/>
              <w:rPr>
                <w:sz w:val="20"/>
              </w:rPr>
            </w:pPr>
            <w:r w:rsidRPr="00534523">
              <w:rPr>
                <w:sz w:val="20"/>
              </w:rPr>
              <w:t>G3 RN</w:t>
            </w:r>
          </w:p>
        </w:tc>
        <w:tc>
          <w:tcPr>
            <w:tcW w:w="1405" w:type="dxa"/>
            <w:vMerge/>
            <w:shd w:val="clear" w:color="auto" w:fill="8DB3E2" w:themeFill="text2" w:themeFillTint="66"/>
            <w:vAlign w:val="center"/>
          </w:tcPr>
          <w:p w14:paraId="5E9C745B" w14:textId="77777777" w:rsidR="00655B88" w:rsidRPr="00534523" w:rsidRDefault="00655B88" w:rsidP="007546A2">
            <w:pPr>
              <w:jc w:val="center"/>
              <w:rPr>
                <w:sz w:val="20"/>
              </w:rPr>
            </w:pPr>
          </w:p>
        </w:tc>
      </w:tr>
      <w:tr w:rsidR="00655B88" w:rsidRPr="005A4480" w14:paraId="568BADBD" w14:textId="77777777" w:rsidTr="00C91F34">
        <w:trPr>
          <w:trHeight w:val="417"/>
          <w:jc w:val="center"/>
        </w:trPr>
        <w:tc>
          <w:tcPr>
            <w:tcW w:w="709" w:type="dxa"/>
            <w:vMerge/>
            <w:shd w:val="clear" w:color="auto" w:fill="8DB3E2" w:themeFill="text2" w:themeFillTint="66"/>
            <w:vAlign w:val="center"/>
          </w:tcPr>
          <w:p w14:paraId="3AD0B0C9" w14:textId="77777777" w:rsidR="00655B88" w:rsidRPr="00534523" w:rsidRDefault="00655B88" w:rsidP="007546A2">
            <w:pPr>
              <w:jc w:val="center"/>
              <w:rPr>
                <w:sz w:val="20"/>
              </w:rPr>
            </w:pPr>
          </w:p>
        </w:tc>
        <w:tc>
          <w:tcPr>
            <w:tcW w:w="1134" w:type="dxa"/>
            <w:shd w:val="clear" w:color="auto" w:fill="8DB3E2" w:themeFill="text2" w:themeFillTint="66"/>
            <w:vAlign w:val="center"/>
          </w:tcPr>
          <w:p w14:paraId="731ADCCB" w14:textId="77777777" w:rsidR="00655B88" w:rsidRPr="00534523" w:rsidRDefault="00655B88" w:rsidP="007546A2">
            <w:pPr>
              <w:jc w:val="center"/>
              <w:rPr>
                <w:sz w:val="20"/>
              </w:rPr>
            </w:pPr>
            <w:r w:rsidRPr="00534523">
              <w:rPr>
                <w:sz w:val="20"/>
              </w:rPr>
              <w:t>V24 Gy</w:t>
            </w:r>
          </w:p>
        </w:tc>
        <w:tc>
          <w:tcPr>
            <w:tcW w:w="1819" w:type="dxa"/>
            <w:gridSpan w:val="2"/>
            <w:shd w:val="clear" w:color="auto" w:fill="8DB3E2" w:themeFill="text2" w:themeFillTint="66"/>
            <w:vAlign w:val="center"/>
          </w:tcPr>
          <w:p w14:paraId="6895466A" w14:textId="77777777" w:rsidR="00655B88" w:rsidRPr="00534523" w:rsidRDefault="00655B88" w:rsidP="007546A2">
            <w:pPr>
              <w:jc w:val="center"/>
              <w:rPr>
                <w:sz w:val="20"/>
              </w:rPr>
            </w:pPr>
          </w:p>
        </w:tc>
        <w:tc>
          <w:tcPr>
            <w:tcW w:w="1560" w:type="dxa"/>
            <w:gridSpan w:val="2"/>
            <w:shd w:val="clear" w:color="auto" w:fill="8DB3E2" w:themeFill="text2" w:themeFillTint="66"/>
            <w:vAlign w:val="center"/>
          </w:tcPr>
          <w:p w14:paraId="41BB3549" w14:textId="77777777" w:rsidR="00655B88" w:rsidRPr="00534523" w:rsidRDefault="00655B88" w:rsidP="007546A2">
            <w:pPr>
              <w:jc w:val="center"/>
              <w:rPr>
                <w:sz w:val="20"/>
              </w:rPr>
            </w:pPr>
          </w:p>
        </w:tc>
        <w:tc>
          <w:tcPr>
            <w:tcW w:w="1724" w:type="dxa"/>
            <w:gridSpan w:val="2"/>
            <w:shd w:val="clear" w:color="auto" w:fill="8DB3E2" w:themeFill="text2" w:themeFillTint="66"/>
            <w:vAlign w:val="center"/>
          </w:tcPr>
          <w:p w14:paraId="45F8171F" w14:textId="77777777" w:rsidR="00655B88" w:rsidRPr="00534523" w:rsidRDefault="00655B88" w:rsidP="007546A2">
            <w:pPr>
              <w:jc w:val="center"/>
              <w:rPr>
                <w:sz w:val="20"/>
              </w:rPr>
            </w:pPr>
            <w:r w:rsidRPr="00534523">
              <w:rPr>
                <w:sz w:val="20"/>
              </w:rPr>
              <w:t>20cc: 10%</w:t>
            </w:r>
          </w:p>
          <w:p w14:paraId="599BE5CA" w14:textId="77777777" w:rsidR="00655B88" w:rsidRPr="00534523" w:rsidRDefault="00655B88" w:rsidP="007546A2">
            <w:pPr>
              <w:jc w:val="center"/>
              <w:rPr>
                <w:sz w:val="20"/>
              </w:rPr>
            </w:pPr>
            <w:r w:rsidRPr="00534523">
              <w:rPr>
                <w:sz w:val="20"/>
              </w:rPr>
              <w:t>30cc: 20%</w:t>
            </w:r>
          </w:p>
        </w:tc>
        <w:tc>
          <w:tcPr>
            <w:tcW w:w="1288" w:type="dxa"/>
            <w:shd w:val="clear" w:color="auto" w:fill="8DB3E2" w:themeFill="text2" w:themeFillTint="66"/>
            <w:vAlign w:val="center"/>
          </w:tcPr>
          <w:p w14:paraId="4CCB54F1" w14:textId="77777777" w:rsidR="00655B88" w:rsidRPr="00534523" w:rsidRDefault="00655B88" w:rsidP="007546A2">
            <w:pPr>
              <w:jc w:val="center"/>
              <w:rPr>
                <w:sz w:val="20"/>
              </w:rPr>
            </w:pPr>
            <w:r>
              <w:rPr>
                <w:sz w:val="20"/>
              </w:rPr>
              <w:t>Oe</w:t>
            </w:r>
            <w:r w:rsidRPr="00534523">
              <w:rPr>
                <w:sz w:val="20"/>
              </w:rPr>
              <w:t>dema</w:t>
            </w:r>
            <w:r>
              <w:rPr>
                <w:sz w:val="20"/>
              </w:rPr>
              <w:t>/</w:t>
            </w:r>
            <w:r w:rsidRPr="00534523">
              <w:rPr>
                <w:sz w:val="20"/>
              </w:rPr>
              <w:t>RN</w:t>
            </w:r>
          </w:p>
        </w:tc>
        <w:tc>
          <w:tcPr>
            <w:tcW w:w="1405" w:type="dxa"/>
            <w:vMerge/>
            <w:shd w:val="clear" w:color="auto" w:fill="8DB3E2" w:themeFill="text2" w:themeFillTint="66"/>
            <w:vAlign w:val="center"/>
          </w:tcPr>
          <w:p w14:paraId="2F86843C" w14:textId="77777777" w:rsidR="00655B88" w:rsidRPr="00534523" w:rsidRDefault="00655B88" w:rsidP="007546A2">
            <w:pPr>
              <w:jc w:val="center"/>
              <w:rPr>
                <w:sz w:val="20"/>
              </w:rPr>
            </w:pPr>
          </w:p>
        </w:tc>
      </w:tr>
      <w:tr w:rsidR="00655B88" w:rsidRPr="005A4480" w14:paraId="6305D03D" w14:textId="77777777" w:rsidTr="00C91F34">
        <w:trPr>
          <w:trHeight w:val="417"/>
          <w:jc w:val="center"/>
        </w:trPr>
        <w:tc>
          <w:tcPr>
            <w:tcW w:w="709" w:type="dxa"/>
            <w:vMerge/>
            <w:shd w:val="clear" w:color="auto" w:fill="8DB3E2" w:themeFill="text2" w:themeFillTint="66"/>
            <w:vAlign w:val="center"/>
          </w:tcPr>
          <w:p w14:paraId="4795117D" w14:textId="77777777" w:rsidR="00655B88" w:rsidRPr="00534523" w:rsidRDefault="00655B88" w:rsidP="007546A2">
            <w:pPr>
              <w:jc w:val="center"/>
              <w:rPr>
                <w:sz w:val="20"/>
              </w:rPr>
            </w:pPr>
          </w:p>
        </w:tc>
        <w:tc>
          <w:tcPr>
            <w:tcW w:w="1134" w:type="dxa"/>
            <w:shd w:val="clear" w:color="auto" w:fill="8DB3E2" w:themeFill="text2" w:themeFillTint="66"/>
            <w:vAlign w:val="center"/>
          </w:tcPr>
          <w:p w14:paraId="3CCCBC7B" w14:textId="77777777" w:rsidR="00655B88" w:rsidRPr="00534523" w:rsidRDefault="00655B88" w:rsidP="007546A2">
            <w:pPr>
              <w:jc w:val="center"/>
              <w:rPr>
                <w:sz w:val="20"/>
              </w:rPr>
            </w:pPr>
            <w:r w:rsidRPr="00534523">
              <w:rPr>
                <w:sz w:val="20"/>
              </w:rPr>
              <w:t>V29 Gy</w:t>
            </w:r>
          </w:p>
        </w:tc>
        <w:tc>
          <w:tcPr>
            <w:tcW w:w="1819" w:type="dxa"/>
            <w:gridSpan w:val="2"/>
            <w:shd w:val="clear" w:color="auto" w:fill="8DB3E2" w:themeFill="text2" w:themeFillTint="66"/>
            <w:vAlign w:val="center"/>
          </w:tcPr>
          <w:p w14:paraId="15678CE2" w14:textId="77777777" w:rsidR="00655B88" w:rsidRPr="00534523" w:rsidRDefault="00655B88" w:rsidP="007546A2">
            <w:pPr>
              <w:jc w:val="center"/>
              <w:rPr>
                <w:sz w:val="20"/>
              </w:rPr>
            </w:pPr>
          </w:p>
        </w:tc>
        <w:tc>
          <w:tcPr>
            <w:tcW w:w="1560" w:type="dxa"/>
            <w:gridSpan w:val="2"/>
            <w:shd w:val="clear" w:color="auto" w:fill="8DB3E2" w:themeFill="text2" w:themeFillTint="66"/>
            <w:vAlign w:val="center"/>
          </w:tcPr>
          <w:p w14:paraId="4094778B" w14:textId="77777777" w:rsidR="00655B88" w:rsidRPr="00534523" w:rsidRDefault="00655B88" w:rsidP="007546A2">
            <w:pPr>
              <w:jc w:val="center"/>
              <w:rPr>
                <w:sz w:val="20"/>
              </w:rPr>
            </w:pPr>
          </w:p>
        </w:tc>
        <w:tc>
          <w:tcPr>
            <w:tcW w:w="1724" w:type="dxa"/>
            <w:gridSpan w:val="2"/>
            <w:shd w:val="clear" w:color="auto" w:fill="8DB3E2" w:themeFill="text2" w:themeFillTint="66"/>
            <w:vAlign w:val="center"/>
          </w:tcPr>
          <w:p w14:paraId="1ABAE73D" w14:textId="77777777" w:rsidR="00655B88" w:rsidRPr="00534523" w:rsidRDefault="00655B88" w:rsidP="007546A2">
            <w:pPr>
              <w:jc w:val="center"/>
              <w:rPr>
                <w:sz w:val="20"/>
              </w:rPr>
            </w:pPr>
            <w:r w:rsidRPr="00534523">
              <w:rPr>
                <w:sz w:val="20"/>
              </w:rPr>
              <w:t>5cc: 0.4%</w:t>
            </w:r>
          </w:p>
          <w:p w14:paraId="0F45DD8A" w14:textId="77777777" w:rsidR="00655B88" w:rsidRPr="00534523" w:rsidRDefault="00655B88" w:rsidP="007546A2">
            <w:pPr>
              <w:jc w:val="center"/>
              <w:rPr>
                <w:sz w:val="20"/>
              </w:rPr>
            </w:pPr>
            <w:r w:rsidRPr="00534523">
              <w:rPr>
                <w:sz w:val="20"/>
              </w:rPr>
              <w:t>10cc: 0.8%</w:t>
            </w:r>
          </w:p>
          <w:p w14:paraId="0650AA76" w14:textId="77777777" w:rsidR="00655B88" w:rsidRPr="00534523" w:rsidRDefault="00655B88" w:rsidP="007546A2">
            <w:pPr>
              <w:jc w:val="center"/>
              <w:rPr>
                <w:sz w:val="20"/>
              </w:rPr>
            </w:pPr>
            <w:r w:rsidRPr="00534523">
              <w:rPr>
                <w:sz w:val="20"/>
              </w:rPr>
              <w:t>20cc: 3.4%</w:t>
            </w:r>
          </w:p>
        </w:tc>
        <w:tc>
          <w:tcPr>
            <w:tcW w:w="1288" w:type="dxa"/>
            <w:shd w:val="clear" w:color="auto" w:fill="8DB3E2" w:themeFill="text2" w:themeFillTint="66"/>
            <w:vAlign w:val="center"/>
          </w:tcPr>
          <w:p w14:paraId="5FA8349A" w14:textId="77777777" w:rsidR="00655B88" w:rsidRPr="00534523" w:rsidRDefault="00655B88" w:rsidP="007546A2">
            <w:pPr>
              <w:jc w:val="center"/>
              <w:rPr>
                <w:sz w:val="20"/>
              </w:rPr>
            </w:pPr>
            <w:r w:rsidRPr="00534523">
              <w:rPr>
                <w:sz w:val="20"/>
              </w:rPr>
              <w:t>G3 RN</w:t>
            </w:r>
          </w:p>
        </w:tc>
        <w:tc>
          <w:tcPr>
            <w:tcW w:w="1405" w:type="dxa"/>
            <w:vMerge/>
            <w:shd w:val="clear" w:color="auto" w:fill="8DB3E2" w:themeFill="text2" w:themeFillTint="66"/>
            <w:vAlign w:val="center"/>
          </w:tcPr>
          <w:p w14:paraId="52F6D993" w14:textId="77777777" w:rsidR="00655B88" w:rsidRPr="00534523" w:rsidRDefault="00655B88" w:rsidP="007546A2">
            <w:pPr>
              <w:jc w:val="center"/>
              <w:rPr>
                <w:sz w:val="20"/>
              </w:rPr>
            </w:pPr>
          </w:p>
        </w:tc>
      </w:tr>
      <w:tr w:rsidR="00655B88" w:rsidRPr="005A4480" w14:paraId="4D10B849" w14:textId="77777777" w:rsidTr="00C91F34">
        <w:trPr>
          <w:trHeight w:val="417"/>
          <w:jc w:val="center"/>
        </w:trPr>
        <w:tc>
          <w:tcPr>
            <w:tcW w:w="709" w:type="dxa"/>
            <w:tcBorders>
              <w:top w:val="single" w:sz="4" w:space="0" w:color="auto"/>
              <w:bottom w:val="single" w:sz="4" w:space="0" w:color="auto"/>
            </w:tcBorders>
            <w:shd w:val="clear" w:color="auto" w:fill="C6D9F1" w:themeFill="text2" w:themeFillTint="33"/>
            <w:vAlign w:val="center"/>
          </w:tcPr>
          <w:p w14:paraId="7112AD51" w14:textId="77777777" w:rsidR="00655B88" w:rsidRPr="00264C63" w:rsidRDefault="00655B88" w:rsidP="007546A2">
            <w:pPr>
              <w:jc w:val="center"/>
              <w:rPr>
                <w:b/>
                <w:bCs/>
                <w:sz w:val="20"/>
              </w:rPr>
            </w:pPr>
            <w:r w:rsidRPr="00264C63">
              <w:rPr>
                <w:b/>
                <w:bCs/>
                <w:sz w:val="20"/>
              </w:rPr>
              <w:t>Cochlea</w:t>
            </w:r>
          </w:p>
        </w:tc>
        <w:tc>
          <w:tcPr>
            <w:tcW w:w="1134" w:type="dxa"/>
            <w:tcBorders>
              <w:top w:val="single" w:sz="4" w:space="0" w:color="auto"/>
              <w:bottom w:val="single" w:sz="4" w:space="0" w:color="auto"/>
            </w:tcBorders>
            <w:shd w:val="clear" w:color="auto" w:fill="8DB3E2" w:themeFill="text2" w:themeFillTint="66"/>
            <w:vAlign w:val="center"/>
          </w:tcPr>
          <w:p w14:paraId="748FF19C" w14:textId="77777777" w:rsidR="00655B88" w:rsidRPr="00534523" w:rsidRDefault="00655B88" w:rsidP="007546A2">
            <w:pPr>
              <w:jc w:val="center"/>
              <w:rPr>
                <w:sz w:val="20"/>
              </w:rPr>
            </w:pPr>
            <w:r w:rsidRPr="00534523">
              <w:rPr>
                <w:sz w:val="20"/>
              </w:rPr>
              <w:t>Dmean</w:t>
            </w:r>
          </w:p>
        </w:tc>
        <w:tc>
          <w:tcPr>
            <w:tcW w:w="1819" w:type="dxa"/>
            <w:gridSpan w:val="2"/>
            <w:tcBorders>
              <w:top w:val="single" w:sz="4" w:space="0" w:color="auto"/>
              <w:bottom w:val="single" w:sz="4" w:space="0" w:color="auto"/>
            </w:tcBorders>
            <w:shd w:val="clear" w:color="auto" w:fill="8DB3E2" w:themeFill="text2" w:themeFillTint="66"/>
            <w:vAlign w:val="center"/>
          </w:tcPr>
          <w:p w14:paraId="5134F12C" w14:textId="77777777" w:rsidR="00655B88" w:rsidRPr="00534523" w:rsidRDefault="00655B88" w:rsidP="007546A2">
            <w:pPr>
              <w:jc w:val="center"/>
              <w:rPr>
                <w:sz w:val="20"/>
              </w:rPr>
            </w:pPr>
            <w:r w:rsidRPr="00534523">
              <w:rPr>
                <w:sz w:val="20"/>
              </w:rPr>
              <w:t>9 Gy</w:t>
            </w:r>
          </w:p>
        </w:tc>
        <w:tc>
          <w:tcPr>
            <w:tcW w:w="1560" w:type="dxa"/>
            <w:gridSpan w:val="2"/>
            <w:tcBorders>
              <w:top w:val="single" w:sz="4" w:space="0" w:color="auto"/>
              <w:bottom w:val="single" w:sz="4" w:space="0" w:color="auto"/>
            </w:tcBorders>
            <w:shd w:val="clear" w:color="auto" w:fill="8DB3E2" w:themeFill="text2" w:themeFillTint="66"/>
            <w:vAlign w:val="center"/>
          </w:tcPr>
          <w:p w14:paraId="7714F66E" w14:textId="77777777" w:rsidR="00655B88" w:rsidRPr="00534523" w:rsidRDefault="00655B88" w:rsidP="007546A2">
            <w:pPr>
              <w:jc w:val="center"/>
              <w:rPr>
                <w:sz w:val="20"/>
              </w:rPr>
            </w:pPr>
            <w:r w:rsidRPr="00534523">
              <w:rPr>
                <w:sz w:val="20"/>
              </w:rPr>
              <w:t>17.1 Gy</w:t>
            </w:r>
          </w:p>
        </w:tc>
        <w:tc>
          <w:tcPr>
            <w:tcW w:w="1724" w:type="dxa"/>
            <w:gridSpan w:val="2"/>
            <w:tcBorders>
              <w:top w:val="single" w:sz="4" w:space="0" w:color="auto"/>
              <w:bottom w:val="single" w:sz="4" w:space="0" w:color="auto"/>
            </w:tcBorders>
            <w:shd w:val="clear" w:color="auto" w:fill="8DB3E2" w:themeFill="text2" w:themeFillTint="66"/>
            <w:vAlign w:val="center"/>
          </w:tcPr>
          <w:p w14:paraId="7A3EC4CE" w14:textId="77777777" w:rsidR="00655B88" w:rsidRPr="00534523" w:rsidRDefault="00655B88" w:rsidP="007546A2">
            <w:pPr>
              <w:jc w:val="center"/>
              <w:rPr>
                <w:sz w:val="20"/>
              </w:rPr>
            </w:pPr>
            <w:r w:rsidRPr="00534523">
              <w:rPr>
                <w:sz w:val="20"/>
              </w:rPr>
              <w:t>25 Gy</w:t>
            </w:r>
          </w:p>
        </w:tc>
        <w:tc>
          <w:tcPr>
            <w:tcW w:w="1288" w:type="dxa"/>
            <w:tcBorders>
              <w:top w:val="single" w:sz="4" w:space="0" w:color="auto"/>
              <w:bottom w:val="single" w:sz="4" w:space="0" w:color="auto"/>
            </w:tcBorders>
            <w:shd w:val="clear" w:color="auto" w:fill="8DB3E2" w:themeFill="text2" w:themeFillTint="66"/>
            <w:vAlign w:val="center"/>
          </w:tcPr>
          <w:p w14:paraId="551113F0" w14:textId="77777777" w:rsidR="00655B88" w:rsidRPr="00534523" w:rsidRDefault="00655B88" w:rsidP="007546A2">
            <w:pPr>
              <w:jc w:val="center"/>
              <w:rPr>
                <w:sz w:val="20"/>
              </w:rPr>
            </w:pPr>
            <w:r w:rsidRPr="00534523">
              <w:rPr>
                <w:sz w:val="20"/>
              </w:rPr>
              <w:t>G3+ hearing loss</w:t>
            </w:r>
          </w:p>
        </w:tc>
        <w:tc>
          <w:tcPr>
            <w:tcW w:w="1405" w:type="dxa"/>
            <w:vMerge w:val="restart"/>
            <w:tcBorders>
              <w:top w:val="single" w:sz="4" w:space="0" w:color="auto"/>
              <w:bottom w:val="single" w:sz="4" w:space="0" w:color="auto"/>
            </w:tcBorders>
            <w:shd w:val="clear" w:color="auto" w:fill="8DB3E2" w:themeFill="text2" w:themeFillTint="66"/>
            <w:vAlign w:val="center"/>
          </w:tcPr>
          <w:p w14:paraId="0B36B6D5" w14:textId="77777777" w:rsidR="00655B88" w:rsidRPr="00534523" w:rsidRDefault="00655B88" w:rsidP="007546A2">
            <w:pPr>
              <w:jc w:val="center"/>
              <w:rPr>
                <w:sz w:val="20"/>
              </w:rPr>
            </w:pPr>
            <w:r w:rsidRPr="00534523">
              <w:rPr>
                <w:sz w:val="20"/>
              </w:rPr>
              <w:t xml:space="preserve">UK Consensus </w:t>
            </w:r>
          </w:p>
        </w:tc>
      </w:tr>
      <w:tr w:rsidR="00655B88" w:rsidRPr="005A4480" w14:paraId="63EA907C" w14:textId="77777777" w:rsidTr="00C91F34">
        <w:trPr>
          <w:trHeight w:val="417"/>
          <w:jc w:val="center"/>
        </w:trPr>
        <w:tc>
          <w:tcPr>
            <w:tcW w:w="709" w:type="dxa"/>
            <w:tcBorders>
              <w:top w:val="single" w:sz="4" w:space="0" w:color="auto"/>
              <w:bottom w:val="single" w:sz="4" w:space="0" w:color="auto"/>
            </w:tcBorders>
            <w:shd w:val="clear" w:color="auto" w:fill="8DB3E2" w:themeFill="text2" w:themeFillTint="66"/>
            <w:vAlign w:val="center"/>
          </w:tcPr>
          <w:p w14:paraId="157A971F" w14:textId="77777777" w:rsidR="00655B88" w:rsidRPr="00264C63" w:rsidRDefault="00655B88" w:rsidP="007546A2">
            <w:pPr>
              <w:jc w:val="center"/>
              <w:rPr>
                <w:b/>
                <w:bCs/>
                <w:sz w:val="20"/>
              </w:rPr>
            </w:pPr>
            <w:r w:rsidRPr="00264C63">
              <w:rPr>
                <w:b/>
                <w:bCs/>
                <w:sz w:val="20"/>
              </w:rPr>
              <w:lastRenderedPageBreak/>
              <w:t>Lens</w:t>
            </w:r>
          </w:p>
        </w:tc>
        <w:tc>
          <w:tcPr>
            <w:tcW w:w="1134" w:type="dxa"/>
            <w:tcBorders>
              <w:top w:val="single" w:sz="4" w:space="0" w:color="auto"/>
              <w:bottom w:val="single" w:sz="4" w:space="0" w:color="auto"/>
            </w:tcBorders>
            <w:shd w:val="clear" w:color="auto" w:fill="C6D9F1" w:themeFill="text2" w:themeFillTint="33"/>
            <w:vAlign w:val="center"/>
          </w:tcPr>
          <w:p w14:paraId="1B04487F" w14:textId="77777777" w:rsidR="00655B88" w:rsidRPr="00534523" w:rsidRDefault="00655B88" w:rsidP="007546A2">
            <w:pPr>
              <w:jc w:val="center"/>
              <w:rPr>
                <w:sz w:val="20"/>
              </w:rPr>
            </w:pPr>
            <w:r w:rsidRPr="00534523">
              <w:rPr>
                <w:sz w:val="20"/>
              </w:rPr>
              <w:t>D0.1cc</w:t>
            </w:r>
          </w:p>
        </w:tc>
        <w:tc>
          <w:tcPr>
            <w:tcW w:w="1819" w:type="dxa"/>
            <w:gridSpan w:val="2"/>
            <w:tcBorders>
              <w:top w:val="single" w:sz="4" w:space="0" w:color="auto"/>
              <w:bottom w:val="single" w:sz="4" w:space="0" w:color="auto"/>
            </w:tcBorders>
            <w:shd w:val="clear" w:color="auto" w:fill="C6D9F1" w:themeFill="text2" w:themeFillTint="33"/>
            <w:vAlign w:val="center"/>
          </w:tcPr>
          <w:p w14:paraId="0E5DE783" w14:textId="77777777" w:rsidR="00655B88" w:rsidRPr="00534523" w:rsidRDefault="00655B88" w:rsidP="007546A2">
            <w:pPr>
              <w:jc w:val="center"/>
              <w:rPr>
                <w:sz w:val="20"/>
              </w:rPr>
            </w:pPr>
            <w:r w:rsidRPr="00534523">
              <w:rPr>
                <w:sz w:val="20"/>
              </w:rPr>
              <w:t>1.5 Gy</w:t>
            </w:r>
          </w:p>
        </w:tc>
        <w:tc>
          <w:tcPr>
            <w:tcW w:w="1560" w:type="dxa"/>
            <w:gridSpan w:val="2"/>
            <w:tcBorders>
              <w:top w:val="single" w:sz="4" w:space="0" w:color="auto"/>
              <w:bottom w:val="single" w:sz="4" w:space="0" w:color="auto"/>
            </w:tcBorders>
            <w:shd w:val="clear" w:color="auto" w:fill="C6D9F1" w:themeFill="text2" w:themeFillTint="33"/>
            <w:vAlign w:val="center"/>
          </w:tcPr>
          <w:p w14:paraId="438748FB" w14:textId="77777777" w:rsidR="00655B88" w:rsidRPr="00534523" w:rsidRDefault="00655B88" w:rsidP="007546A2">
            <w:pPr>
              <w:jc w:val="center"/>
              <w:rPr>
                <w:sz w:val="20"/>
              </w:rPr>
            </w:pPr>
          </w:p>
        </w:tc>
        <w:tc>
          <w:tcPr>
            <w:tcW w:w="1724" w:type="dxa"/>
            <w:gridSpan w:val="2"/>
            <w:tcBorders>
              <w:top w:val="single" w:sz="4" w:space="0" w:color="auto"/>
              <w:bottom w:val="single" w:sz="4" w:space="0" w:color="auto"/>
            </w:tcBorders>
            <w:shd w:val="clear" w:color="auto" w:fill="C6D9F1" w:themeFill="text2" w:themeFillTint="33"/>
            <w:vAlign w:val="center"/>
          </w:tcPr>
          <w:p w14:paraId="3807AE75" w14:textId="77777777" w:rsidR="00655B88" w:rsidRPr="00534523" w:rsidRDefault="00655B88" w:rsidP="007546A2">
            <w:pPr>
              <w:jc w:val="center"/>
              <w:rPr>
                <w:sz w:val="20"/>
              </w:rPr>
            </w:pPr>
          </w:p>
        </w:tc>
        <w:tc>
          <w:tcPr>
            <w:tcW w:w="1288" w:type="dxa"/>
            <w:tcBorders>
              <w:top w:val="single" w:sz="4" w:space="0" w:color="auto"/>
              <w:bottom w:val="single" w:sz="4" w:space="0" w:color="auto"/>
            </w:tcBorders>
            <w:shd w:val="clear" w:color="auto" w:fill="C6D9F1" w:themeFill="text2" w:themeFillTint="33"/>
            <w:vAlign w:val="center"/>
          </w:tcPr>
          <w:p w14:paraId="19BCA037" w14:textId="77777777" w:rsidR="00655B88" w:rsidRPr="00534523" w:rsidRDefault="00655B88" w:rsidP="007546A2">
            <w:pPr>
              <w:jc w:val="center"/>
              <w:rPr>
                <w:sz w:val="20"/>
              </w:rPr>
            </w:pPr>
          </w:p>
        </w:tc>
        <w:tc>
          <w:tcPr>
            <w:tcW w:w="1405" w:type="dxa"/>
            <w:vMerge/>
            <w:tcBorders>
              <w:top w:val="single" w:sz="4" w:space="0" w:color="auto"/>
              <w:bottom w:val="single" w:sz="4" w:space="0" w:color="auto"/>
            </w:tcBorders>
            <w:shd w:val="clear" w:color="auto" w:fill="FBE4D5"/>
            <w:vAlign w:val="center"/>
          </w:tcPr>
          <w:p w14:paraId="745B0C0F" w14:textId="77777777" w:rsidR="00655B88" w:rsidRPr="005A4480" w:rsidRDefault="00655B88" w:rsidP="007546A2">
            <w:pPr>
              <w:jc w:val="center"/>
              <w:rPr>
                <w:sz w:val="18"/>
                <w:szCs w:val="18"/>
              </w:rPr>
            </w:pPr>
          </w:p>
        </w:tc>
      </w:tr>
      <w:tr w:rsidR="00655B88" w:rsidRPr="005A4480" w14:paraId="76082A7E" w14:textId="77777777" w:rsidTr="00C91F34">
        <w:trPr>
          <w:trHeight w:val="417"/>
          <w:jc w:val="center"/>
        </w:trPr>
        <w:tc>
          <w:tcPr>
            <w:tcW w:w="709" w:type="dxa"/>
            <w:tcBorders>
              <w:top w:val="single" w:sz="4" w:space="0" w:color="auto"/>
            </w:tcBorders>
            <w:shd w:val="clear" w:color="auto" w:fill="C6D9F1" w:themeFill="text2" w:themeFillTint="33"/>
            <w:vAlign w:val="center"/>
          </w:tcPr>
          <w:p w14:paraId="38B5DAC3" w14:textId="77777777" w:rsidR="00655B88" w:rsidRPr="00264C63" w:rsidRDefault="00655B88" w:rsidP="007546A2">
            <w:pPr>
              <w:jc w:val="center"/>
              <w:rPr>
                <w:b/>
                <w:bCs/>
                <w:sz w:val="20"/>
              </w:rPr>
            </w:pPr>
            <w:r w:rsidRPr="00264C63">
              <w:rPr>
                <w:b/>
                <w:bCs/>
                <w:sz w:val="20"/>
              </w:rPr>
              <w:t>Eye</w:t>
            </w:r>
          </w:p>
        </w:tc>
        <w:tc>
          <w:tcPr>
            <w:tcW w:w="1134" w:type="dxa"/>
            <w:tcBorders>
              <w:top w:val="single" w:sz="4" w:space="0" w:color="auto"/>
            </w:tcBorders>
            <w:shd w:val="clear" w:color="auto" w:fill="C6D9F1" w:themeFill="text2" w:themeFillTint="33"/>
            <w:vAlign w:val="center"/>
          </w:tcPr>
          <w:p w14:paraId="33962C07" w14:textId="77777777" w:rsidR="00655B88" w:rsidRPr="00534523" w:rsidRDefault="00655B88" w:rsidP="007546A2">
            <w:pPr>
              <w:jc w:val="center"/>
              <w:rPr>
                <w:sz w:val="20"/>
              </w:rPr>
            </w:pPr>
            <w:r w:rsidRPr="00534523">
              <w:rPr>
                <w:sz w:val="20"/>
              </w:rPr>
              <w:t>D0.1cc</w:t>
            </w:r>
          </w:p>
        </w:tc>
        <w:tc>
          <w:tcPr>
            <w:tcW w:w="1819" w:type="dxa"/>
            <w:gridSpan w:val="2"/>
            <w:tcBorders>
              <w:top w:val="single" w:sz="4" w:space="0" w:color="auto"/>
            </w:tcBorders>
            <w:shd w:val="clear" w:color="auto" w:fill="C6D9F1" w:themeFill="text2" w:themeFillTint="33"/>
            <w:vAlign w:val="center"/>
          </w:tcPr>
          <w:p w14:paraId="2323E36F" w14:textId="77777777" w:rsidR="00655B88" w:rsidRPr="00534523" w:rsidRDefault="00655B88" w:rsidP="007546A2">
            <w:pPr>
              <w:jc w:val="center"/>
              <w:rPr>
                <w:sz w:val="20"/>
              </w:rPr>
            </w:pPr>
            <w:r w:rsidRPr="00534523">
              <w:rPr>
                <w:sz w:val="20"/>
              </w:rPr>
              <w:t>8 Gy</w:t>
            </w:r>
          </w:p>
        </w:tc>
        <w:tc>
          <w:tcPr>
            <w:tcW w:w="1560" w:type="dxa"/>
            <w:gridSpan w:val="2"/>
            <w:tcBorders>
              <w:top w:val="single" w:sz="4" w:space="0" w:color="auto"/>
            </w:tcBorders>
            <w:shd w:val="clear" w:color="auto" w:fill="C6D9F1" w:themeFill="text2" w:themeFillTint="33"/>
            <w:vAlign w:val="center"/>
          </w:tcPr>
          <w:p w14:paraId="32D8D977" w14:textId="77777777" w:rsidR="00655B88" w:rsidRPr="00534523" w:rsidRDefault="00655B88" w:rsidP="007546A2">
            <w:pPr>
              <w:jc w:val="center"/>
              <w:rPr>
                <w:sz w:val="20"/>
              </w:rPr>
            </w:pPr>
          </w:p>
        </w:tc>
        <w:tc>
          <w:tcPr>
            <w:tcW w:w="1724" w:type="dxa"/>
            <w:gridSpan w:val="2"/>
            <w:tcBorders>
              <w:top w:val="single" w:sz="4" w:space="0" w:color="auto"/>
            </w:tcBorders>
            <w:shd w:val="clear" w:color="auto" w:fill="C6D9F1" w:themeFill="text2" w:themeFillTint="33"/>
            <w:vAlign w:val="center"/>
          </w:tcPr>
          <w:p w14:paraId="441B704A" w14:textId="77777777" w:rsidR="00655B88" w:rsidRPr="00534523" w:rsidRDefault="00655B88" w:rsidP="007546A2">
            <w:pPr>
              <w:jc w:val="center"/>
              <w:rPr>
                <w:sz w:val="20"/>
              </w:rPr>
            </w:pPr>
          </w:p>
        </w:tc>
        <w:tc>
          <w:tcPr>
            <w:tcW w:w="1288" w:type="dxa"/>
            <w:tcBorders>
              <w:top w:val="single" w:sz="4" w:space="0" w:color="auto"/>
            </w:tcBorders>
            <w:shd w:val="clear" w:color="auto" w:fill="C6D9F1" w:themeFill="text2" w:themeFillTint="33"/>
            <w:vAlign w:val="center"/>
          </w:tcPr>
          <w:p w14:paraId="6BAF9A5A" w14:textId="77777777" w:rsidR="00655B88" w:rsidRPr="00534523" w:rsidRDefault="00655B88" w:rsidP="007546A2">
            <w:pPr>
              <w:jc w:val="center"/>
              <w:rPr>
                <w:sz w:val="20"/>
              </w:rPr>
            </w:pPr>
            <w:r>
              <w:rPr>
                <w:sz w:val="20"/>
              </w:rPr>
              <w:t>R</w:t>
            </w:r>
            <w:r w:rsidRPr="00534523">
              <w:rPr>
                <w:sz w:val="20"/>
              </w:rPr>
              <w:t>etinopathy</w:t>
            </w:r>
          </w:p>
        </w:tc>
        <w:tc>
          <w:tcPr>
            <w:tcW w:w="1405" w:type="dxa"/>
            <w:vMerge/>
            <w:tcBorders>
              <w:top w:val="single" w:sz="4" w:space="0" w:color="auto"/>
            </w:tcBorders>
            <w:shd w:val="clear" w:color="auto" w:fill="FBE4D5"/>
            <w:vAlign w:val="center"/>
          </w:tcPr>
          <w:p w14:paraId="4AC155DF" w14:textId="77777777" w:rsidR="00655B88" w:rsidRPr="005A4480" w:rsidRDefault="00655B88" w:rsidP="007546A2">
            <w:pPr>
              <w:jc w:val="center"/>
              <w:rPr>
                <w:sz w:val="18"/>
                <w:szCs w:val="18"/>
              </w:rPr>
            </w:pPr>
          </w:p>
        </w:tc>
      </w:tr>
    </w:tbl>
    <w:p w14:paraId="3911B56E" w14:textId="77777777" w:rsidR="00655B88" w:rsidRPr="00096925" w:rsidRDefault="00655B88" w:rsidP="005E5DBE">
      <w:pPr>
        <w:pStyle w:val="NormalWeb"/>
        <w:spacing w:before="0" w:beforeAutospacing="0" w:after="0" w:afterAutospacing="0"/>
        <w:rPr>
          <w:rFonts w:ascii="Calibri" w:hAnsi="Calibri" w:cs="Calibri"/>
          <w:b/>
          <w:bCs/>
        </w:rPr>
      </w:pPr>
      <w:r w:rsidRPr="00096925">
        <w:rPr>
          <w:rFonts w:ascii="Calibri" w:hAnsi="Calibri" w:cs="Calibri"/>
          <w:b/>
          <w:bCs/>
          <w:color w:val="000000"/>
          <w:shd w:val="clear" w:color="auto" w:fill="FFFFFF"/>
          <w:vertAlign w:val="superscript"/>
        </w:rPr>
        <w:t>‡</w:t>
      </w:r>
      <w:r w:rsidRPr="00096925">
        <w:rPr>
          <w:rFonts w:ascii="Calibri" w:hAnsi="Calibri" w:cs="Calibri"/>
          <w:b/>
          <w:bCs/>
        </w:rPr>
        <w:t>Hy-TEC recommendations:</w:t>
      </w:r>
    </w:p>
    <w:p w14:paraId="776A148D" w14:textId="77777777" w:rsidR="00655B88" w:rsidRDefault="00655B88" w:rsidP="00B26EE3">
      <w:pPr>
        <w:pStyle w:val="NormalWeb"/>
        <w:numPr>
          <w:ilvl w:val="0"/>
          <w:numId w:val="34"/>
        </w:numPr>
        <w:spacing w:before="0" w:beforeAutospacing="0" w:after="0" w:afterAutospacing="0"/>
        <w:rPr>
          <w:rFonts w:ascii="Calibri" w:hAnsi="Calibri" w:cs="Calibri"/>
        </w:rPr>
      </w:pPr>
      <w:r w:rsidRPr="00E977FA">
        <w:rPr>
          <w:rFonts w:ascii="Calibri" w:hAnsi="Calibri" w:cs="Calibri"/>
        </w:rPr>
        <w:t xml:space="preserve">Risk of neuropathy </w:t>
      </w:r>
      <w:r w:rsidRPr="00E977FA">
        <w:rPr>
          <w:rFonts w:ascii="Calibri" w:hAnsi="Calibri"/>
          <w:color w:val="000000"/>
        </w:rPr>
        <w:t>≤</w:t>
      </w:r>
      <w:r w:rsidRPr="00E977FA">
        <w:rPr>
          <w:rFonts w:ascii="Calibri" w:hAnsi="Calibri" w:cs="Calibri"/>
        </w:rPr>
        <w:t xml:space="preserve">1% with no prior radiation treatment. </w:t>
      </w:r>
    </w:p>
    <w:p w14:paraId="3BA34C06" w14:textId="77777777" w:rsidR="00655B88" w:rsidRPr="00E977FA" w:rsidRDefault="00655B88" w:rsidP="00B26EE3">
      <w:pPr>
        <w:pStyle w:val="NormalWeb"/>
        <w:numPr>
          <w:ilvl w:val="0"/>
          <w:numId w:val="34"/>
        </w:numPr>
        <w:spacing w:before="0" w:beforeAutospacing="0" w:after="0" w:afterAutospacing="0"/>
        <w:rPr>
          <w:rFonts w:ascii="Calibri" w:hAnsi="Calibri" w:cs="Calibri"/>
        </w:rPr>
      </w:pPr>
      <w:r w:rsidRPr="00E977FA">
        <w:rPr>
          <w:rFonts w:ascii="Calibri" w:hAnsi="Calibri" w:cs="Calibri"/>
        </w:rPr>
        <w:t xml:space="preserve">Risk of neuropathy &gt;10% with prior SRS or WBRT (although not accounting </w:t>
      </w:r>
      <w:r>
        <w:rPr>
          <w:rFonts w:ascii="Calibri" w:hAnsi="Calibri" w:cs="Calibri"/>
        </w:rPr>
        <w:t xml:space="preserve">for </w:t>
      </w:r>
      <w:r w:rsidRPr="00E977FA">
        <w:rPr>
          <w:rFonts w:ascii="Calibri" w:hAnsi="Calibri" w:cs="Calibri"/>
        </w:rPr>
        <w:t>dose-time factors).</w:t>
      </w:r>
    </w:p>
    <w:p w14:paraId="02A8641D" w14:textId="2B93B01E" w:rsidR="00655B88" w:rsidRPr="00096925" w:rsidRDefault="00655B88" w:rsidP="005E5DBE">
      <w:pPr>
        <w:pStyle w:val="NormalWeb"/>
        <w:spacing w:before="0" w:beforeAutospacing="0" w:after="0" w:afterAutospacing="0"/>
        <w:rPr>
          <w:rFonts w:ascii="Calibri" w:hAnsi="Calibri" w:cs="Calibri"/>
          <w:b/>
          <w:bCs/>
        </w:rPr>
      </w:pPr>
      <w:r w:rsidRPr="00096925">
        <w:rPr>
          <w:rFonts w:ascii="Calibri" w:hAnsi="Calibri" w:cs="Calibri"/>
          <w:b/>
          <w:bCs/>
          <w:vertAlign w:val="superscript"/>
        </w:rPr>
        <w:t>^</w:t>
      </w:r>
      <w:r w:rsidRPr="00096925">
        <w:rPr>
          <w:rFonts w:ascii="Calibri" w:hAnsi="Calibri" w:cs="Calibri"/>
          <w:b/>
          <w:bCs/>
        </w:rPr>
        <w:t>Hy-TEC recommendations:</w:t>
      </w:r>
    </w:p>
    <w:p w14:paraId="11156F86" w14:textId="77777777" w:rsidR="00655B88" w:rsidRPr="00E977FA" w:rsidRDefault="00655B88" w:rsidP="00B26EE3">
      <w:pPr>
        <w:pStyle w:val="NormalWeb"/>
        <w:numPr>
          <w:ilvl w:val="0"/>
          <w:numId w:val="35"/>
        </w:numPr>
        <w:spacing w:before="0" w:beforeAutospacing="0" w:after="0" w:afterAutospacing="0"/>
        <w:rPr>
          <w:rFonts w:ascii="Calibri" w:hAnsi="Calibri" w:cs="Calibri"/>
        </w:rPr>
      </w:pPr>
      <w:r w:rsidRPr="00E977FA">
        <w:rPr>
          <w:rFonts w:ascii="Calibri" w:hAnsi="Calibri" w:cs="Calibri"/>
        </w:rPr>
        <w:t>Risks of grade 3 necrosis are approximately 0.4%, 0.8%, and 3.4% for the total irradiated volumes (including target volume) receiving a single-fraction equivalent dose of 14 Gy (V14) of 5 cm</w:t>
      </w:r>
      <w:r w:rsidRPr="00E977FA">
        <w:rPr>
          <w:rFonts w:ascii="Calibri" w:hAnsi="Calibri" w:cs="Calibri"/>
          <w:vertAlign w:val="superscript"/>
        </w:rPr>
        <w:t>3</w:t>
      </w:r>
      <w:r w:rsidRPr="00E977FA">
        <w:rPr>
          <w:rFonts w:ascii="Calibri" w:hAnsi="Calibri" w:cs="Calibri"/>
        </w:rPr>
        <w:t>, 10 cm</w:t>
      </w:r>
      <w:r w:rsidRPr="00E977FA">
        <w:rPr>
          <w:rFonts w:ascii="Calibri" w:hAnsi="Calibri" w:cs="Calibri"/>
          <w:vertAlign w:val="superscript"/>
        </w:rPr>
        <w:t>3</w:t>
      </w:r>
      <w:r w:rsidRPr="00E977FA">
        <w:rPr>
          <w:rFonts w:ascii="Calibri" w:hAnsi="Calibri" w:cs="Calibri"/>
        </w:rPr>
        <w:t>, and 20 cm</w:t>
      </w:r>
      <w:r w:rsidRPr="00E977FA">
        <w:rPr>
          <w:rFonts w:ascii="Calibri" w:hAnsi="Calibri" w:cs="Calibri"/>
          <w:vertAlign w:val="superscript"/>
        </w:rPr>
        <w:t>3</w:t>
      </w:r>
      <w:r w:rsidRPr="00E977FA">
        <w:rPr>
          <w:rFonts w:ascii="Calibri" w:hAnsi="Calibri" w:cs="Calibri"/>
        </w:rPr>
        <w:t xml:space="preserve"> respectively. V14 of 20 cm</w:t>
      </w:r>
      <w:r w:rsidRPr="00E977FA">
        <w:rPr>
          <w:rFonts w:ascii="Calibri" w:hAnsi="Calibri" w:cs="Calibri"/>
          <w:vertAlign w:val="superscript"/>
        </w:rPr>
        <w:t>3</w:t>
      </w:r>
      <w:r w:rsidRPr="00E977FA">
        <w:rPr>
          <w:rFonts w:ascii="Calibri" w:hAnsi="Calibri" w:cs="Calibri"/>
        </w:rPr>
        <w:t xml:space="preserve"> would approximately correspond to a V23 in 3 fractions and V29 in 5 fractions using an alpha-beta ratio of 2.</w:t>
      </w:r>
    </w:p>
    <w:p w14:paraId="3D0CDC24" w14:textId="77777777" w:rsidR="00C17006" w:rsidRPr="00C17006" w:rsidRDefault="00655B88" w:rsidP="00B26EE3">
      <w:pPr>
        <w:pStyle w:val="NormalWeb"/>
        <w:numPr>
          <w:ilvl w:val="0"/>
          <w:numId w:val="35"/>
        </w:numPr>
        <w:spacing w:before="0" w:beforeAutospacing="0" w:after="0" w:afterAutospacing="0"/>
        <w:rPr>
          <w:rFonts w:cs="Calibri"/>
        </w:rPr>
      </w:pPr>
      <w:r w:rsidRPr="00C17006">
        <w:rPr>
          <w:rFonts w:ascii="Calibri" w:hAnsi="Calibri" w:cs="Calibri"/>
        </w:rPr>
        <w:t>Risk of symptomatic necrosis with a V12 of 10 cm</w:t>
      </w:r>
      <w:r w:rsidRPr="00C17006">
        <w:rPr>
          <w:rFonts w:ascii="Calibri" w:hAnsi="Calibri" w:cs="Calibri"/>
          <w:vertAlign w:val="superscript"/>
        </w:rPr>
        <w:t>3</w:t>
      </w:r>
      <w:r w:rsidRPr="00C17006">
        <w:rPr>
          <w:rFonts w:ascii="Calibri" w:hAnsi="Calibri" w:cs="Calibri"/>
        </w:rPr>
        <w:t xml:space="preserve"> with single fraction SRS is in the order of 15%. However, the risk appears to be location dependent (and was not accounted for). With fractionated SRS, single-fraction equivalent V12 of 10 cm</w:t>
      </w:r>
      <w:r w:rsidRPr="00C17006">
        <w:rPr>
          <w:rFonts w:ascii="Calibri" w:hAnsi="Calibri" w:cs="Calibri"/>
          <w:vertAlign w:val="superscript"/>
        </w:rPr>
        <w:t>3</w:t>
      </w:r>
      <w:r w:rsidRPr="00C17006">
        <w:rPr>
          <w:rFonts w:ascii="Calibri" w:hAnsi="Calibri" w:cs="Calibri"/>
        </w:rPr>
        <w:t xml:space="preserve"> is associated with a ~5% to 10% risk of symptomatic necrosis.</w:t>
      </w:r>
    </w:p>
    <w:p w14:paraId="358F61CE" w14:textId="77777777" w:rsidR="00C17006" w:rsidRDefault="00C17006" w:rsidP="00C17006">
      <w:pPr>
        <w:pStyle w:val="NormalWeb"/>
        <w:spacing w:before="0" w:beforeAutospacing="0" w:after="0" w:afterAutospacing="0"/>
        <w:rPr>
          <w:rFonts w:ascii="Calibri" w:hAnsi="Calibri" w:cs="Calibri"/>
        </w:rPr>
      </w:pPr>
    </w:p>
    <w:p w14:paraId="63ABDC99" w14:textId="6FE9CFA9" w:rsidR="00655B88" w:rsidRDefault="00655B88" w:rsidP="005E5DBE">
      <w:pPr>
        <w:pStyle w:val="NormalWeb"/>
        <w:spacing w:before="0" w:beforeAutospacing="0" w:after="0" w:afterAutospacing="0"/>
        <w:rPr>
          <w:rFonts w:asciiTheme="minorHAnsi" w:hAnsiTheme="minorHAnsi" w:cstheme="minorHAnsi"/>
        </w:rPr>
      </w:pPr>
      <w:r w:rsidRPr="00C17006">
        <w:rPr>
          <w:rFonts w:cs="Calibri"/>
        </w:rPr>
        <w:t>*</w:t>
      </w:r>
      <w:r w:rsidRPr="00C17006">
        <w:rPr>
          <w:rFonts w:asciiTheme="minorHAnsi" w:hAnsiTheme="minorHAnsi" w:cstheme="minorHAnsi"/>
        </w:rPr>
        <w:t xml:space="preserve">When treating 2 separate PTVs within 2 cm: limit the intervening tissue dose to 13 Gy for single fraction treatments. </w:t>
      </w:r>
    </w:p>
    <w:p w14:paraId="65184A5D" w14:textId="77777777" w:rsidR="00C17006" w:rsidRPr="00C17006" w:rsidRDefault="00C17006" w:rsidP="005E5DBE">
      <w:pPr>
        <w:pStyle w:val="NormalWeb"/>
        <w:spacing w:before="0" w:beforeAutospacing="0" w:after="0" w:afterAutospacing="0"/>
        <w:rPr>
          <w:rFonts w:asciiTheme="minorHAnsi" w:hAnsiTheme="minorHAnsi" w:cstheme="minorHAnsi"/>
        </w:rPr>
      </w:pPr>
    </w:p>
    <w:p w14:paraId="533AC601" w14:textId="77777777" w:rsidR="00655B88" w:rsidRPr="00C17006" w:rsidRDefault="00655B88" w:rsidP="005E5DBE">
      <w:pPr>
        <w:rPr>
          <w:rFonts w:asciiTheme="minorHAnsi" w:hAnsiTheme="minorHAnsi" w:cstheme="minorHAnsi"/>
          <w:szCs w:val="24"/>
        </w:rPr>
      </w:pPr>
      <w:r w:rsidRPr="00C17006">
        <w:rPr>
          <w:rFonts w:asciiTheme="minorHAnsi" w:hAnsiTheme="minorHAnsi" w:cstheme="minorHAnsi"/>
          <w:szCs w:val="24"/>
          <w:vertAlign w:val="superscript"/>
        </w:rPr>
        <w:t>#</w:t>
      </w:r>
      <w:r w:rsidRPr="00C17006">
        <w:rPr>
          <w:rFonts w:asciiTheme="minorHAnsi" w:hAnsiTheme="minorHAnsi" w:cstheme="minorHAnsi"/>
          <w:szCs w:val="24"/>
        </w:rPr>
        <w:t>Aim to limit uninvolved motor strip dose to 15 Gy for single fraction treatments.</w:t>
      </w:r>
    </w:p>
    <w:p w14:paraId="10CAE7D6" w14:textId="77777777" w:rsidR="00655B88" w:rsidRPr="00C17006" w:rsidRDefault="00655B88" w:rsidP="005E5DBE">
      <w:pPr>
        <w:rPr>
          <w:rFonts w:asciiTheme="minorHAnsi" w:hAnsiTheme="minorHAnsi" w:cstheme="minorHAnsi"/>
          <w:szCs w:val="24"/>
        </w:rPr>
      </w:pPr>
      <w:r w:rsidRPr="00C17006">
        <w:rPr>
          <w:rFonts w:asciiTheme="minorHAnsi" w:hAnsiTheme="minorHAnsi" w:cstheme="minorHAnsi"/>
          <w:szCs w:val="24"/>
          <w:vertAlign w:val="superscript"/>
        </w:rPr>
        <w:t>ᴥ</w:t>
      </w:r>
      <w:r w:rsidRPr="00C17006">
        <w:rPr>
          <w:rFonts w:asciiTheme="minorHAnsi" w:hAnsiTheme="minorHAnsi" w:cstheme="minorHAnsi"/>
          <w:szCs w:val="24"/>
        </w:rPr>
        <w:t xml:space="preserve">Minniti et al (2020): </w:t>
      </w:r>
    </w:p>
    <w:p w14:paraId="532CBD8E" w14:textId="77777777" w:rsidR="00655B88" w:rsidRPr="00C17006" w:rsidRDefault="00655B88" w:rsidP="00B26EE3">
      <w:pPr>
        <w:pStyle w:val="ListParagraph"/>
        <w:numPr>
          <w:ilvl w:val="0"/>
          <w:numId w:val="36"/>
        </w:numPr>
        <w:rPr>
          <w:rFonts w:asciiTheme="minorHAnsi" w:hAnsiTheme="minorHAnsi" w:cstheme="minorHAnsi"/>
          <w:szCs w:val="24"/>
        </w:rPr>
      </w:pPr>
      <w:r w:rsidRPr="00C17006">
        <w:rPr>
          <w:rFonts w:asciiTheme="minorHAnsi" w:hAnsiTheme="minorHAnsi" w:cstheme="minorHAnsi"/>
          <w:szCs w:val="24"/>
        </w:rPr>
        <w:t xml:space="preserve">Prospective single institution study on the outcome of single-isocentre DCA single fraction SRS to </w:t>
      </w:r>
      <w:r w:rsidRPr="00C17006">
        <w:rPr>
          <w:rFonts w:asciiTheme="minorHAnsi" w:hAnsiTheme="minorHAnsi" w:cstheme="minorHAnsi"/>
          <w:szCs w:val="24"/>
          <w:u w:val="single"/>
        </w:rPr>
        <w:t>&gt;</w:t>
      </w:r>
      <w:r w:rsidRPr="00C17006">
        <w:rPr>
          <w:rFonts w:asciiTheme="minorHAnsi" w:hAnsiTheme="minorHAnsi" w:cstheme="minorHAnsi"/>
          <w:szCs w:val="24"/>
        </w:rPr>
        <w:t xml:space="preserve"> 10 metastases (total volume &lt; 15cc) in 40 patients.</w:t>
      </w:r>
    </w:p>
    <w:p w14:paraId="7670CEFE" w14:textId="77777777" w:rsidR="00655B88" w:rsidRPr="00C17006" w:rsidRDefault="00655B88" w:rsidP="00B26EE3">
      <w:pPr>
        <w:pStyle w:val="ListParagraph"/>
        <w:numPr>
          <w:ilvl w:val="0"/>
          <w:numId w:val="36"/>
        </w:numPr>
        <w:rPr>
          <w:rFonts w:asciiTheme="minorHAnsi" w:hAnsiTheme="minorHAnsi" w:cstheme="minorHAnsi"/>
          <w:szCs w:val="24"/>
        </w:rPr>
      </w:pPr>
      <w:r w:rsidRPr="00C17006">
        <w:rPr>
          <w:rFonts w:asciiTheme="minorHAnsi" w:hAnsiTheme="minorHAnsi" w:cstheme="minorHAnsi"/>
          <w:szCs w:val="24"/>
        </w:rPr>
        <w:t xml:space="preserve">At 11 months the RN (radiological and symptomatic) rate was 17.5% with estimated 1-year symptomatic RN rate of 9%. </w:t>
      </w:r>
    </w:p>
    <w:p w14:paraId="60C1E161" w14:textId="77777777" w:rsidR="00655B88" w:rsidRPr="00C17006" w:rsidRDefault="00655B88" w:rsidP="00B26EE3">
      <w:pPr>
        <w:pStyle w:val="ListParagraph"/>
        <w:numPr>
          <w:ilvl w:val="0"/>
          <w:numId w:val="36"/>
        </w:numPr>
        <w:rPr>
          <w:rFonts w:asciiTheme="minorHAnsi" w:hAnsiTheme="minorHAnsi" w:cstheme="minorHAnsi"/>
          <w:szCs w:val="24"/>
        </w:rPr>
      </w:pPr>
      <w:r w:rsidRPr="00C17006">
        <w:rPr>
          <w:rFonts w:asciiTheme="minorHAnsi" w:hAnsiTheme="minorHAnsi" w:cstheme="minorHAnsi"/>
          <w:szCs w:val="24"/>
        </w:rPr>
        <w:t>The predictors of RN were individual target V12 &gt; 8.5cc</w:t>
      </w:r>
      <w:r w:rsidRPr="00C17006">
        <w:rPr>
          <w:rFonts w:asciiTheme="minorHAnsi" w:hAnsiTheme="minorHAnsi" w:cstheme="minorHAnsi"/>
          <w:b/>
          <w:bCs/>
          <w:szCs w:val="24"/>
        </w:rPr>
        <w:t xml:space="preserve"> </w:t>
      </w:r>
      <w:r w:rsidRPr="00C17006">
        <w:rPr>
          <w:rFonts w:asciiTheme="minorHAnsi" w:hAnsiTheme="minorHAnsi" w:cstheme="minorHAnsi"/>
          <w:szCs w:val="24"/>
        </w:rPr>
        <w:t xml:space="preserve">(NOT total V12) and lesion size &gt;2cm.  </w:t>
      </w:r>
    </w:p>
    <w:p w14:paraId="36A5E54D" w14:textId="77777777" w:rsidR="002B1F4C" w:rsidRDefault="002B1F4C" w:rsidP="005E5DBE">
      <w:pPr>
        <w:rPr>
          <w:b/>
          <w:szCs w:val="24"/>
        </w:rPr>
      </w:pPr>
    </w:p>
    <w:p w14:paraId="018F53F9" w14:textId="4AD05DA8" w:rsidR="00655B88" w:rsidRPr="00E977FA" w:rsidRDefault="00655B88" w:rsidP="005E5DBE">
      <w:pPr>
        <w:rPr>
          <w:b/>
          <w:szCs w:val="24"/>
        </w:rPr>
      </w:pPr>
      <w:r w:rsidRPr="00E977FA">
        <w:rPr>
          <w:b/>
          <w:szCs w:val="24"/>
        </w:rPr>
        <w:t>Target verification</w:t>
      </w:r>
      <w:r>
        <w:rPr>
          <w:b/>
          <w:szCs w:val="24"/>
        </w:rPr>
        <w:t>:</w:t>
      </w:r>
    </w:p>
    <w:p w14:paraId="72952815" w14:textId="1B26F428" w:rsidR="00655B88" w:rsidRPr="00E977FA" w:rsidRDefault="00655B88" w:rsidP="00B26EE3">
      <w:pPr>
        <w:numPr>
          <w:ilvl w:val="0"/>
          <w:numId w:val="38"/>
        </w:numPr>
        <w:rPr>
          <w:szCs w:val="24"/>
        </w:rPr>
      </w:pPr>
      <w:r w:rsidRPr="00E977FA">
        <w:rPr>
          <w:szCs w:val="24"/>
        </w:rPr>
        <w:t>Online</w:t>
      </w:r>
      <w:r w:rsidR="001B5256">
        <w:rPr>
          <w:szCs w:val="24"/>
        </w:rPr>
        <w:t xml:space="preserve"> kilovoltage imaging</w:t>
      </w:r>
      <w:r w:rsidRPr="00E977FA">
        <w:rPr>
          <w:szCs w:val="24"/>
        </w:rPr>
        <w:t xml:space="preserve"> </w:t>
      </w:r>
      <w:r w:rsidR="001B5256">
        <w:rPr>
          <w:szCs w:val="24"/>
        </w:rPr>
        <w:t>(</w:t>
      </w:r>
      <w:r w:rsidRPr="00E977FA">
        <w:rPr>
          <w:szCs w:val="24"/>
        </w:rPr>
        <w:t>KVI</w:t>
      </w:r>
      <w:r w:rsidR="001B5256">
        <w:rPr>
          <w:szCs w:val="24"/>
        </w:rPr>
        <w:t>)</w:t>
      </w:r>
      <w:r w:rsidRPr="00E977FA">
        <w:rPr>
          <w:szCs w:val="24"/>
        </w:rPr>
        <w:t xml:space="preserve"> with bone matching (ExacTrac system)</w:t>
      </w:r>
      <w:r>
        <w:rPr>
          <w:szCs w:val="24"/>
        </w:rPr>
        <w:t>.</w:t>
      </w:r>
    </w:p>
    <w:p w14:paraId="5F2FA969" w14:textId="77777777" w:rsidR="00655B88" w:rsidRPr="00E977FA" w:rsidRDefault="00655B88" w:rsidP="00B26EE3">
      <w:pPr>
        <w:numPr>
          <w:ilvl w:val="0"/>
          <w:numId w:val="38"/>
        </w:numPr>
        <w:rPr>
          <w:szCs w:val="24"/>
        </w:rPr>
      </w:pPr>
      <w:r w:rsidRPr="00E977FA">
        <w:rPr>
          <w:szCs w:val="24"/>
        </w:rPr>
        <w:t>At minimum: image prior to commencement of SRS delivery and after every couch rotation</w:t>
      </w:r>
      <w:r>
        <w:rPr>
          <w:szCs w:val="24"/>
        </w:rPr>
        <w:t>.</w:t>
      </w:r>
    </w:p>
    <w:p w14:paraId="42830938" w14:textId="77777777" w:rsidR="00655B88" w:rsidRPr="00E977FA" w:rsidRDefault="00655B88" w:rsidP="00B26EE3">
      <w:pPr>
        <w:numPr>
          <w:ilvl w:val="0"/>
          <w:numId w:val="38"/>
        </w:numPr>
        <w:rPr>
          <w:szCs w:val="24"/>
        </w:rPr>
      </w:pPr>
      <w:r w:rsidRPr="00E977FA">
        <w:rPr>
          <w:szCs w:val="24"/>
        </w:rPr>
        <w:t>Action thresholds: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260"/>
        <w:gridCol w:w="3395"/>
      </w:tblGrid>
      <w:tr w:rsidR="00655B88" w:rsidRPr="00E977FA" w14:paraId="091E728C" w14:textId="77777777" w:rsidTr="00187434">
        <w:trPr>
          <w:trHeight w:val="488"/>
        </w:trPr>
        <w:tc>
          <w:tcPr>
            <w:tcW w:w="1984" w:type="dxa"/>
            <w:tcBorders>
              <w:bottom w:val="single" w:sz="4" w:space="0" w:color="auto"/>
            </w:tcBorders>
            <w:shd w:val="clear" w:color="auto" w:fill="17365D" w:themeFill="text2" w:themeFillShade="BF"/>
            <w:vAlign w:val="center"/>
          </w:tcPr>
          <w:p w14:paraId="38058EA6" w14:textId="77777777" w:rsidR="00655B88" w:rsidRPr="00E977FA" w:rsidRDefault="00655B88" w:rsidP="007546A2">
            <w:pPr>
              <w:jc w:val="center"/>
              <w:rPr>
                <w:b/>
                <w:color w:val="FFFFFF"/>
                <w:szCs w:val="24"/>
              </w:rPr>
            </w:pPr>
          </w:p>
        </w:tc>
        <w:tc>
          <w:tcPr>
            <w:tcW w:w="3260" w:type="dxa"/>
            <w:tcBorders>
              <w:bottom w:val="single" w:sz="4" w:space="0" w:color="auto"/>
            </w:tcBorders>
            <w:shd w:val="clear" w:color="auto" w:fill="17365D" w:themeFill="text2" w:themeFillShade="BF"/>
            <w:vAlign w:val="center"/>
          </w:tcPr>
          <w:p w14:paraId="483E3FF6" w14:textId="77777777" w:rsidR="00655B88" w:rsidRPr="00E977FA" w:rsidRDefault="00655B88" w:rsidP="007546A2">
            <w:pPr>
              <w:jc w:val="center"/>
              <w:rPr>
                <w:b/>
                <w:color w:val="FFFFFF"/>
                <w:szCs w:val="24"/>
              </w:rPr>
            </w:pPr>
            <w:r w:rsidRPr="00E977FA">
              <w:rPr>
                <w:b/>
                <w:color w:val="FFFFFF"/>
                <w:szCs w:val="24"/>
              </w:rPr>
              <w:t>Ant/Post/Sup/Inf/Right/Left</w:t>
            </w:r>
          </w:p>
        </w:tc>
        <w:tc>
          <w:tcPr>
            <w:tcW w:w="3395" w:type="dxa"/>
            <w:tcBorders>
              <w:bottom w:val="single" w:sz="4" w:space="0" w:color="auto"/>
            </w:tcBorders>
            <w:shd w:val="clear" w:color="auto" w:fill="17365D" w:themeFill="text2" w:themeFillShade="BF"/>
            <w:vAlign w:val="center"/>
          </w:tcPr>
          <w:p w14:paraId="1728890D" w14:textId="77777777" w:rsidR="00655B88" w:rsidRPr="00E977FA" w:rsidRDefault="00655B88" w:rsidP="007546A2">
            <w:pPr>
              <w:jc w:val="center"/>
              <w:rPr>
                <w:b/>
                <w:color w:val="FFFFFF"/>
                <w:szCs w:val="24"/>
              </w:rPr>
            </w:pPr>
            <w:r w:rsidRPr="00E977FA">
              <w:rPr>
                <w:b/>
                <w:color w:val="FFFFFF"/>
                <w:szCs w:val="24"/>
              </w:rPr>
              <w:t>Rotation</w:t>
            </w:r>
          </w:p>
        </w:tc>
      </w:tr>
      <w:tr w:rsidR="00655B88" w:rsidRPr="00E977FA" w14:paraId="20C0AA5E" w14:textId="77777777" w:rsidTr="007546A2">
        <w:trPr>
          <w:trHeight w:val="410"/>
        </w:trPr>
        <w:tc>
          <w:tcPr>
            <w:tcW w:w="1984" w:type="dxa"/>
            <w:shd w:val="clear" w:color="auto" w:fill="C6D9F1"/>
            <w:vAlign w:val="center"/>
          </w:tcPr>
          <w:p w14:paraId="701D0886" w14:textId="77777777" w:rsidR="00655B88" w:rsidRPr="00E977FA" w:rsidRDefault="00655B88" w:rsidP="007546A2">
            <w:pPr>
              <w:rPr>
                <w:szCs w:val="24"/>
              </w:rPr>
            </w:pPr>
            <w:r w:rsidRPr="00E977FA">
              <w:rPr>
                <w:szCs w:val="24"/>
              </w:rPr>
              <w:t>Initial imaging</w:t>
            </w:r>
          </w:p>
        </w:tc>
        <w:tc>
          <w:tcPr>
            <w:tcW w:w="3260" w:type="dxa"/>
            <w:shd w:val="clear" w:color="auto" w:fill="C6D9F1"/>
            <w:vAlign w:val="center"/>
          </w:tcPr>
          <w:p w14:paraId="24DCE834" w14:textId="77777777" w:rsidR="00655B88" w:rsidRPr="00E977FA" w:rsidRDefault="00655B88" w:rsidP="007546A2">
            <w:pPr>
              <w:jc w:val="center"/>
              <w:rPr>
                <w:szCs w:val="24"/>
              </w:rPr>
            </w:pPr>
            <w:r w:rsidRPr="00E977FA">
              <w:rPr>
                <w:szCs w:val="24"/>
              </w:rPr>
              <w:t>0 mm</w:t>
            </w:r>
          </w:p>
        </w:tc>
        <w:tc>
          <w:tcPr>
            <w:tcW w:w="3395" w:type="dxa"/>
            <w:shd w:val="clear" w:color="auto" w:fill="C6D9F1"/>
            <w:vAlign w:val="center"/>
          </w:tcPr>
          <w:p w14:paraId="49C4DF8B" w14:textId="77777777" w:rsidR="00655B88" w:rsidRPr="00E977FA" w:rsidRDefault="00655B88" w:rsidP="007546A2">
            <w:pPr>
              <w:jc w:val="center"/>
              <w:rPr>
                <w:szCs w:val="24"/>
              </w:rPr>
            </w:pPr>
            <w:r w:rsidRPr="00E977FA">
              <w:rPr>
                <w:szCs w:val="24"/>
              </w:rPr>
              <w:t>0</w:t>
            </w:r>
            <w:r w:rsidRPr="00E977FA">
              <w:rPr>
                <w:szCs w:val="24"/>
              </w:rPr>
              <w:sym w:font="Symbol" w:char="F0B0"/>
            </w:r>
          </w:p>
        </w:tc>
      </w:tr>
      <w:tr w:rsidR="00655B88" w:rsidRPr="00E977FA" w14:paraId="62507297" w14:textId="77777777" w:rsidTr="007546A2">
        <w:trPr>
          <w:trHeight w:val="415"/>
        </w:trPr>
        <w:tc>
          <w:tcPr>
            <w:tcW w:w="1984" w:type="dxa"/>
            <w:shd w:val="clear" w:color="auto" w:fill="C6D9F1"/>
            <w:vAlign w:val="center"/>
          </w:tcPr>
          <w:p w14:paraId="1A54ADF2" w14:textId="77777777" w:rsidR="00655B88" w:rsidRPr="00E977FA" w:rsidRDefault="00655B88" w:rsidP="007546A2">
            <w:pPr>
              <w:rPr>
                <w:szCs w:val="24"/>
              </w:rPr>
            </w:pPr>
            <w:r w:rsidRPr="00E977FA">
              <w:rPr>
                <w:szCs w:val="24"/>
              </w:rPr>
              <w:t>During treatment</w:t>
            </w:r>
          </w:p>
        </w:tc>
        <w:tc>
          <w:tcPr>
            <w:tcW w:w="3260" w:type="dxa"/>
            <w:shd w:val="clear" w:color="auto" w:fill="C6D9F1"/>
            <w:vAlign w:val="center"/>
          </w:tcPr>
          <w:p w14:paraId="3DA1CF91" w14:textId="77777777" w:rsidR="00655B88" w:rsidRPr="00E977FA" w:rsidRDefault="00655B88" w:rsidP="007546A2">
            <w:pPr>
              <w:jc w:val="center"/>
              <w:rPr>
                <w:szCs w:val="24"/>
              </w:rPr>
            </w:pPr>
            <w:r w:rsidRPr="00E977FA">
              <w:rPr>
                <w:szCs w:val="24"/>
              </w:rPr>
              <w:t>+/- 0.7 mm</w:t>
            </w:r>
          </w:p>
        </w:tc>
        <w:tc>
          <w:tcPr>
            <w:tcW w:w="3395" w:type="dxa"/>
            <w:shd w:val="clear" w:color="auto" w:fill="C6D9F1"/>
            <w:vAlign w:val="center"/>
          </w:tcPr>
          <w:p w14:paraId="03A4BF6D" w14:textId="77777777" w:rsidR="00655B88" w:rsidRPr="00E977FA" w:rsidRDefault="00655B88" w:rsidP="007546A2">
            <w:pPr>
              <w:jc w:val="center"/>
              <w:rPr>
                <w:szCs w:val="24"/>
              </w:rPr>
            </w:pPr>
            <w:r w:rsidRPr="00E977FA">
              <w:rPr>
                <w:szCs w:val="24"/>
              </w:rPr>
              <w:t>+/- 0.5</w:t>
            </w:r>
            <w:r w:rsidRPr="00E977FA">
              <w:rPr>
                <w:szCs w:val="24"/>
              </w:rPr>
              <w:sym w:font="Symbol" w:char="F0B0"/>
            </w:r>
          </w:p>
        </w:tc>
      </w:tr>
    </w:tbl>
    <w:p w14:paraId="4348FB53" w14:textId="77777777" w:rsidR="00655B88" w:rsidRPr="00E977FA" w:rsidRDefault="00655B88" w:rsidP="00F07560">
      <w:pPr>
        <w:rPr>
          <w:b/>
          <w:szCs w:val="24"/>
        </w:rPr>
      </w:pPr>
    </w:p>
    <w:p w14:paraId="61DE6B47" w14:textId="77777777" w:rsidR="00655B88" w:rsidRPr="00E977FA" w:rsidRDefault="00655B88" w:rsidP="00F07560">
      <w:pPr>
        <w:rPr>
          <w:b/>
          <w:szCs w:val="24"/>
        </w:rPr>
      </w:pPr>
      <w:r w:rsidRPr="00E977FA">
        <w:rPr>
          <w:b/>
          <w:szCs w:val="24"/>
        </w:rPr>
        <w:t>Treatment sequencing</w:t>
      </w:r>
      <w:r>
        <w:rPr>
          <w:b/>
          <w:szCs w:val="24"/>
        </w:rPr>
        <w:t>:</w:t>
      </w:r>
    </w:p>
    <w:p w14:paraId="2CC6719D" w14:textId="77777777" w:rsidR="00655B88" w:rsidRPr="00264C63" w:rsidRDefault="00655B88" w:rsidP="00B26EE3">
      <w:pPr>
        <w:pStyle w:val="ListParagraph"/>
        <w:numPr>
          <w:ilvl w:val="0"/>
          <w:numId w:val="39"/>
        </w:numPr>
        <w:rPr>
          <w:rFonts w:cs="Arial"/>
          <w:iCs/>
          <w:szCs w:val="24"/>
          <w:u w:val="single"/>
        </w:rPr>
      </w:pPr>
      <w:r w:rsidRPr="006105CA">
        <w:rPr>
          <w:rFonts w:cs="Arial"/>
          <w:iCs/>
          <w:szCs w:val="24"/>
        </w:rPr>
        <w:t xml:space="preserve">SRS </w:t>
      </w:r>
      <w:r>
        <w:rPr>
          <w:rFonts w:cs="Arial"/>
          <w:iCs/>
          <w:szCs w:val="24"/>
        </w:rPr>
        <w:t>d</w:t>
      </w:r>
      <w:r w:rsidRPr="006105CA">
        <w:rPr>
          <w:rFonts w:cs="Arial"/>
          <w:iCs/>
          <w:szCs w:val="24"/>
        </w:rPr>
        <w:t xml:space="preserve">elivery must commence within 48-96 hours of </w:t>
      </w:r>
      <w:r>
        <w:rPr>
          <w:rFonts w:cs="Arial"/>
          <w:iCs/>
          <w:szCs w:val="24"/>
        </w:rPr>
        <w:t xml:space="preserve">acquisition of the </w:t>
      </w:r>
      <w:r w:rsidRPr="006105CA">
        <w:rPr>
          <w:rFonts w:cs="Arial"/>
          <w:iCs/>
          <w:szCs w:val="24"/>
        </w:rPr>
        <w:t>planning MRI</w:t>
      </w:r>
      <w:r>
        <w:rPr>
          <w:rFonts w:cs="Arial"/>
          <w:iCs/>
          <w:szCs w:val="24"/>
        </w:rPr>
        <w:t>.</w:t>
      </w:r>
      <w:r w:rsidRPr="006105CA">
        <w:rPr>
          <w:rFonts w:cs="Arial"/>
          <w:iCs/>
          <w:szCs w:val="24"/>
        </w:rPr>
        <w:t xml:space="preserve"> </w:t>
      </w:r>
      <w:r w:rsidRPr="00AA16F7">
        <w:rPr>
          <w:rFonts w:cs="Arial"/>
          <w:iCs/>
          <w:szCs w:val="24"/>
          <w:u w:val="single"/>
        </w:rPr>
        <w:t xml:space="preserve"> </w:t>
      </w:r>
    </w:p>
    <w:p w14:paraId="54016050" w14:textId="77777777" w:rsidR="00655B88" w:rsidRPr="00154885" w:rsidRDefault="00655B88" w:rsidP="00B26EE3">
      <w:pPr>
        <w:numPr>
          <w:ilvl w:val="0"/>
          <w:numId w:val="39"/>
        </w:numPr>
        <w:rPr>
          <w:b/>
          <w:szCs w:val="24"/>
        </w:rPr>
      </w:pPr>
      <w:r w:rsidRPr="00E977FA">
        <w:rPr>
          <w:szCs w:val="24"/>
        </w:rPr>
        <w:t>Hypofractionated SRS must be delivered on consecutive days.</w:t>
      </w:r>
    </w:p>
    <w:p w14:paraId="53D8B374" w14:textId="6E92B5C6" w:rsidR="00655B88" w:rsidRDefault="007F1B99" w:rsidP="00655B88">
      <w:pPr>
        <w:jc w:val="right"/>
        <w:rPr>
          <w:rFonts w:cs="Arial"/>
          <w:i/>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p w14:paraId="0D546FAF" w14:textId="7B4D3EB3" w:rsidR="00FB69FC" w:rsidRDefault="00FB69FC" w:rsidP="00655B88">
      <w:pPr>
        <w:jc w:val="right"/>
        <w:rPr>
          <w:rFonts w:cs="Arial"/>
          <w:i/>
          <w:szCs w:val="24"/>
        </w:rPr>
      </w:pPr>
    </w:p>
    <w:p w14:paraId="5D6B46B9" w14:textId="27FBAFD2" w:rsidR="00FB69FC" w:rsidRDefault="00FB69FC" w:rsidP="00655B88">
      <w:pPr>
        <w:jc w:val="right"/>
        <w:rPr>
          <w:rFonts w:cs="Arial"/>
          <w:i/>
          <w:szCs w:val="24"/>
        </w:rPr>
      </w:pPr>
    </w:p>
    <w:p w14:paraId="7D94D876" w14:textId="77777777" w:rsidR="00FB69FC" w:rsidRDefault="00FB69FC" w:rsidP="00655B88">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6105CA" w14:paraId="52B6AC46" w14:textId="77777777" w:rsidTr="007546A2">
        <w:trPr>
          <w:cantSplit/>
          <w:trHeight w:val="285"/>
        </w:trPr>
        <w:tc>
          <w:tcPr>
            <w:tcW w:w="9158" w:type="dxa"/>
            <w:shd w:val="clear" w:color="auto" w:fill="D9D9D9" w:themeFill="background1" w:themeFillShade="D9"/>
          </w:tcPr>
          <w:p w14:paraId="3B69538A" w14:textId="77777777" w:rsidR="00655B88" w:rsidRPr="006105CA" w:rsidRDefault="00655B88" w:rsidP="007546A2">
            <w:pPr>
              <w:pStyle w:val="Heading1"/>
            </w:pPr>
            <w:bookmarkStart w:id="17" w:name="_Toc116641218"/>
            <w:r w:rsidRPr="006105CA">
              <w:t xml:space="preserve">Section </w:t>
            </w:r>
            <w:r>
              <w:t>6</w:t>
            </w:r>
            <w:r w:rsidRPr="006105CA">
              <w:t xml:space="preserve"> – </w:t>
            </w:r>
            <w:r>
              <w:t>Timing of Post-Operative SRS</w:t>
            </w:r>
            <w:bookmarkEnd w:id="17"/>
            <w:r w:rsidRPr="006105CA">
              <w:t xml:space="preserve"> </w:t>
            </w:r>
          </w:p>
        </w:tc>
      </w:tr>
    </w:tbl>
    <w:p w14:paraId="44FBDCC9" w14:textId="77777777" w:rsidR="00655B88" w:rsidRDefault="00655B88" w:rsidP="00655B88">
      <w:pPr>
        <w:rPr>
          <w:rFonts w:cs="Arial"/>
          <w:iCs/>
          <w:szCs w:val="24"/>
          <w:u w:val="single"/>
        </w:rPr>
      </w:pPr>
    </w:p>
    <w:p w14:paraId="0D51DF51" w14:textId="77777777" w:rsidR="00655B88" w:rsidRPr="00264C63" w:rsidRDefault="00655B88" w:rsidP="00B26EE3">
      <w:pPr>
        <w:pStyle w:val="ListParagraph"/>
        <w:numPr>
          <w:ilvl w:val="0"/>
          <w:numId w:val="40"/>
        </w:numPr>
        <w:autoSpaceDE w:val="0"/>
        <w:autoSpaceDN w:val="0"/>
        <w:adjustRightInd w:val="0"/>
        <w:ind w:left="426" w:hanging="426"/>
        <w:rPr>
          <w:rFonts w:asciiTheme="minorHAnsi" w:eastAsiaTheme="minorHAnsi" w:hAnsiTheme="minorHAnsi" w:cstheme="minorHAnsi"/>
          <w:color w:val="231F20"/>
          <w:szCs w:val="24"/>
        </w:rPr>
      </w:pPr>
      <w:r>
        <w:rPr>
          <w:rFonts w:asciiTheme="minorHAnsi" w:eastAsiaTheme="minorHAnsi" w:hAnsiTheme="minorHAnsi" w:cstheme="minorHAnsi"/>
          <w:color w:val="231F20"/>
          <w:szCs w:val="24"/>
        </w:rPr>
        <w:t>N</w:t>
      </w:r>
      <w:r w:rsidRPr="00B8455A">
        <w:rPr>
          <w:rFonts w:asciiTheme="minorHAnsi" w:eastAsiaTheme="minorHAnsi" w:hAnsiTheme="minorHAnsi" w:cstheme="minorHAnsi"/>
          <w:color w:val="231F20"/>
          <w:szCs w:val="24"/>
        </w:rPr>
        <w:t xml:space="preserve">o </w:t>
      </w:r>
      <w:r>
        <w:rPr>
          <w:rFonts w:asciiTheme="minorHAnsi" w:eastAsiaTheme="minorHAnsi" w:hAnsiTheme="minorHAnsi" w:cstheme="minorHAnsi"/>
          <w:color w:val="231F20"/>
          <w:szCs w:val="24"/>
        </w:rPr>
        <w:t xml:space="preserve">significant </w:t>
      </w:r>
      <w:r w:rsidRPr="00B8455A">
        <w:rPr>
          <w:rFonts w:asciiTheme="minorHAnsi" w:eastAsiaTheme="minorHAnsi" w:hAnsiTheme="minorHAnsi" w:cstheme="minorHAnsi"/>
          <w:color w:val="231F20"/>
          <w:szCs w:val="24"/>
        </w:rPr>
        <w:t>cavity shrinkage</w:t>
      </w:r>
      <w:r>
        <w:rPr>
          <w:rFonts w:asciiTheme="minorHAnsi" w:eastAsiaTheme="minorHAnsi" w:hAnsiTheme="minorHAnsi" w:cstheme="minorHAnsi"/>
          <w:color w:val="231F20"/>
          <w:szCs w:val="24"/>
        </w:rPr>
        <w:t xml:space="preserve"> is expected </w:t>
      </w:r>
      <w:r w:rsidRPr="00B8455A">
        <w:rPr>
          <w:rFonts w:asciiTheme="minorHAnsi" w:eastAsiaTheme="minorHAnsi" w:hAnsiTheme="minorHAnsi" w:cstheme="minorHAnsi"/>
          <w:color w:val="231F20"/>
          <w:szCs w:val="24"/>
        </w:rPr>
        <w:t>in</w:t>
      </w:r>
      <w:r>
        <w:rPr>
          <w:rFonts w:asciiTheme="minorHAnsi" w:eastAsiaTheme="minorHAnsi" w:hAnsiTheme="minorHAnsi" w:cstheme="minorHAnsi"/>
          <w:color w:val="231F20"/>
          <w:szCs w:val="24"/>
        </w:rPr>
        <w:t xml:space="preserve"> </w:t>
      </w:r>
      <w:r w:rsidRPr="00B8455A">
        <w:rPr>
          <w:rFonts w:asciiTheme="minorHAnsi" w:eastAsiaTheme="minorHAnsi" w:hAnsiTheme="minorHAnsi" w:cstheme="minorHAnsi"/>
          <w:color w:val="231F20"/>
          <w:szCs w:val="24"/>
        </w:rPr>
        <w:t xml:space="preserve">waiting longer than the first 1 to 2 weeks </w:t>
      </w:r>
      <w:r>
        <w:rPr>
          <w:rFonts w:asciiTheme="minorHAnsi" w:eastAsiaTheme="minorHAnsi" w:hAnsiTheme="minorHAnsi" w:cstheme="minorHAnsi"/>
          <w:color w:val="231F20"/>
          <w:szCs w:val="24"/>
        </w:rPr>
        <w:t xml:space="preserve">following surgery </w:t>
      </w:r>
      <w:r w:rsidRPr="00B8455A">
        <w:rPr>
          <w:rFonts w:asciiTheme="minorHAnsi" w:eastAsiaTheme="minorHAnsi" w:hAnsiTheme="minorHAnsi" w:cstheme="minorHAnsi"/>
          <w:color w:val="231F20"/>
          <w:szCs w:val="24"/>
        </w:rPr>
        <w:t>to perform cavity SRS</w:t>
      </w:r>
      <w:r>
        <w:rPr>
          <w:rFonts w:asciiTheme="minorHAnsi" w:eastAsiaTheme="minorHAnsi" w:hAnsiTheme="minorHAnsi" w:cstheme="minorHAnsi"/>
          <w:color w:val="231F20"/>
          <w:szCs w:val="24"/>
        </w:rPr>
        <w:t xml:space="preserve"> as t</w:t>
      </w:r>
      <w:r w:rsidRPr="00264C63">
        <w:rPr>
          <w:rFonts w:asciiTheme="minorHAnsi" w:eastAsiaTheme="minorHAnsi" w:hAnsiTheme="minorHAnsi" w:cstheme="minorHAnsi"/>
          <w:color w:val="231F20"/>
          <w:szCs w:val="24"/>
        </w:rPr>
        <w:t xml:space="preserve">he greatest volume change </w:t>
      </w:r>
      <w:r>
        <w:rPr>
          <w:rFonts w:asciiTheme="minorHAnsi" w:eastAsiaTheme="minorHAnsi" w:hAnsiTheme="minorHAnsi" w:cstheme="minorHAnsi"/>
          <w:color w:val="231F20"/>
          <w:szCs w:val="24"/>
        </w:rPr>
        <w:t xml:space="preserve">of the surgical cavity </w:t>
      </w:r>
      <w:r w:rsidRPr="00264C63">
        <w:rPr>
          <w:rFonts w:asciiTheme="minorHAnsi" w:eastAsiaTheme="minorHAnsi" w:hAnsiTheme="minorHAnsi" w:cstheme="minorHAnsi"/>
          <w:color w:val="231F20"/>
          <w:szCs w:val="24"/>
        </w:rPr>
        <w:t>occurs immediately after surgery</w:t>
      </w:r>
      <w:r>
        <w:rPr>
          <w:rFonts w:asciiTheme="minorHAnsi" w:eastAsiaTheme="minorHAnsi" w:hAnsiTheme="minorHAnsi" w:cstheme="minorHAnsi"/>
          <w:color w:val="231F20"/>
          <w:szCs w:val="24"/>
        </w:rPr>
        <w:t xml:space="preserve"> </w:t>
      </w:r>
      <w:r w:rsidRPr="00264C63">
        <w:rPr>
          <w:rFonts w:asciiTheme="minorHAnsi" w:eastAsiaTheme="minorHAnsi" w:hAnsiTheme="minorHAnsi" w:cstheme="minorHAnsi"/>
          <w:color w:val="231F20"/>
          <w:szCs w:val="24"/>
        </w:rPr>
        <w:t>(postoperative</w:t>
      </w:r>
      <w:r>
        <w:rPr>
          <w:rFonts w:asciiTheme="minorHAnsi" w:eastAsiaTheme="minorHAnsi" w:hAnsiTheme="minorHAnsi" w:cstheme="minorHAnsi"/>
          <w:color w:val="231F20"/>
          <w:szCs w:val="24"/>
        </w:rPr>
        <w:t xml:space="preserve"> </w:t>
      </w:r>
      <w:r w:rsidRPr="00264C63">
        <w:rPr>
          <w:rFonts w:asciiTheme="minorHAnsi" w:eastAsiaTheme="minorHAnsi" w:hAnsiTheme="minorHAnsi" w:cstheme="minorHAnsi"/>
          <w:color w:val="231F20"/>
          <w:szCs w:val="24"/>
        </w:rPr>
        <w:t>days 0-3).</w:t>
      </w:r>
    </w:p>
    <w:p w14:paraId="18F0E72B" w14:textId="77777777" w:rsidR="00655B88" w:rsidRPr="00264C63" w:rsidRDefault="00655B88" w:rsidP="00B26EE3">
      <w:pPr>
        <w:pStyle w:val="ListParagraph"/>
        <w:numPr>
          <w:ilvl w:val="0"/>
          <w:numId w:val="40"/>
        </w:numPr>
        <w:ind w:left="426" w:hanging="426"/>
        <w:rPr>
          <w:rFonts w:asciiTheme="minorHAnsi" w:hAnsiTheme="minorHAnsi" w:cstheme="minorHAnsi"/>
          <w:iCs/>
          <w:szCs w:val="24"/>
          <w:u w:val="single"/>
        </w:rPr>
      </w:pPr>
      <w:r w:rsidRPr="00264C63">
        <w:rPr>
          <w:rFonts w:asciiTheme="minorHAnsi" w:hAnsiTheme="minorHAnsi" w:cstheme="minorHAnsi"/>
          <w:iCs/>
          <w:szCs w:val="24"/>
        </w:rPr>
        <w:t>Post-operative SRS to the surgical cavity should ideally be delivered within 4 weeks of surgical resection</w:t>
      </w:r>
      <w:r>
        <w:rPr>
          <w:rFonts w:asciiTheme="minorHAnsi" w:hAnsiTheme="minorHAnsi" w:cstheme="minorHAnsi"/>
          <w:iCs/>
          <w:szCs w:val="24"/>
        </w:rPr>
        <w:t>.</w:t>
      </w:r>
    </w:p>
    <w:p w14:paraId="5E9EDA87" w14:textId="3A91656A" w:rsidR="000A1CB6" w:rsidRPr="00CB5E63" w:rsidRDefault="007F1B99" w:rsidP="00CB5E63">
      <w:pPr>
        <w:jc w:val="right"/>
        <w:rPr>
          <w:rFonts w:eastAsiaTheme="majorEastAsia" w:cs="Arial"/>
          <w:i/>
          <w:color w:val="0000FF"/>
          <w:szCs w:val="24"/>
          <w:u w:val="single"/>
        </w:rPr>
      </w:pPr>
      <w:hyperlink w:anchor="Contents" w:history="1">
        <w:r w:rsidR="00655B88" w:rsidRPr="00266555">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32466927" w14:textId="77777777" w:rsidTr="007546A2">
        <w:trPr>
          <w:cantSplit/>
          <w:trHeight w:val="285"/>
        </w:trPr>
        <w:tc>
          <w:tcPr>
            <w:tcW w:w="9158" w:type="dxa"/>
            <w:shd w:val="clear" w:color="auto" w:fill="D9D9D9" w:themeFill="background1" w:themeFillShade="D9"/>
          </w:tcPr>
          <w:p w14:paraId="10D764E5" w14:textId="397F2AEF" w:rsidR="00655B88" w:rsidRPr="003D2D06" w:rsidRDefault="00655B88" w:rsidP="007546A2">
            <w:pPr>
              <w:pStyle w:val="Heading1"/>
            </w:pPr>
            <w:bookmarkStart w:id="18" w:name="_Toc116641219"/>
            <w:r w:rsidRPr="003D2D06">
              <w:t xml:space="preserve">Section </w:t>
            </w:r>
            <w:r>
              <w:t>7</w:t>
            </w:r>
            <w:r w:rsidRPr="003D2D06">
              <w:t xml:space="preserve"> – Con</w:t>
            </w:r>
            <w:r>
              <w:t>current Systemic Cancer Treatment</w:t>
            </w:r>
            <w:bookmarkEnd w:id="18"/>
          </w:p>
        </w:tc>
      </w:tr>
    </w:tbl>
    <w:p w14:paraId="523CCD57" w14:textId="77777777" w:rsidR="00655B88" w:rsidRDefault="00655B88" w:rsidP="00655B88">
      <w:pPr>
        <w:jc w:val="both"/>
        <w:rPr>
          <w:szCs w:val="24"/>
        </w:rPr>
      </w:pPr>
    </w:p>
    <w:p w14:paraId="019E6A16" w14:textId="1AACF30B" w:rsidR="00655B88" w:rsidRPr="00E977FA" w:rsidRDefault="00655B88" w:rsidP="00B26EE3">
      <w:pPr>
        <w:numPr>
          <w:ilvl w:val="0"/>
          <w:numId w:val="41"/>
        </w:numPr>
        <w:rPr>
          <w:szCs w:val="24"/>
        </w:rPr>
      </w:pPr>
      <w:r w:rsidRPr="00E977FA">
        <w:rPr>
          <w:szCs w:val="24"/>
        </w:rPr>
        <w:t>Radiation sensiti</w:t>
      </w:r>
      <w:r w:rsidR="003F792D">
        <w:rPr>
          <w:szCs w:val="24"/>
        </w:rPr>
        <w:t>s</w:t>
      </w:r>
      <w:r w:rsidRPr="00E977FA">
        <w:rPr>
          <w:szCs w:val="24"/>
        </w:rPr>
        <w:t xml:space="preserve">ing agents should not be offered </w:t>
      </w:r>
      <w:r>
        <w:rPr>
          <w:szCs w:val="24"/>
        </w:rPr>
        <w:t xml:space="preserve">concurrently </w:t>
      </w:r>
      <w:r w:rsidRPr="00E977FA">
        <w:rPr>
          <w:szCs w:val="24"/>
        </w:rPr>
        <w:t>to patients.</w:t>
      </w:r>
    </w:p>
    <w:p w14:paraId="35587B8D" w14:textId="77777777" w:rsidR="00655B88" w:rsidRPr="00E977FA" w:rsidRDefault="00655B88" w:rsidP="00B26EE3">
      <w:pPr>
        <w:numPr>
          <w:ilvl w:val="0"/>
          <w:numId w:val="41"/>
        </w:numPr>
        <w:rPr>
          <w:szCs w:val="24"/>
        </w:rPr>
      </w:pPr>
      <w:r>
        <w:rPr>
          <w:szCs w:val="24"/>
        </w:rPr>
        <w:t>Paucity of</w:t>
      </w:r>
      <w:r w:rsidRPr="00E977FA">
        <w:rPr>
          <w:szCs w:val="24"/>
        </w:rPr>
        <w:t xml:space="preserve"> data regarding safety of SRS delivered </w:t>
      </w:r>
      <w:r w:rsidRPr="00264C63">
        <w:rPr>
          <w:szCs w:val="24"/>
        </w:rPr>
        <w:t>concurrently</w:t>
      </w:r>
      <w:r w:rsidRPr="00E977FA">
        <w:rPr>
          <w:szCs w:val="24"/>
        </w:rPr>
        <w:t xml:space="preserve"> with novel systemic agents.</w:t>
      </w:r>
    </w:p>
    <w:p w14:paraId="1E88947C" w14:textId="77777777" w:rsidR="00655B88" w:rsidRPr="00E977FA" w:rsidRDefault="00655B88" w:rsidP="00F07560">
      <w:pPr>
        <w:numPr>
          <w:ilvl w:val="0"/>
          <w:numId w:val="2"/>
        </w:numPr>
        <w:ind w:hanging="357"/>
        <w:rPr>
          <w:szCs w:val="24"/>
        </w:rPr>
      </w:pPr>
      <w:r w:rsidRPr="00E977FA">
        <w:rPr>
          <w:szCs w:val="24"/>
        </w:rPr>
        <w:t xml:space="preserve">Ensure patient is off: </w:t>
      </w:r>
    </w:p>
    <w:p w14:paraId="78B52A3B" w14:textId="77777777" w:rsidR="00655B88" w:rsidRPr="00D076CC" w:rsidRDefault="00655B88" w:rsidP="00B26EE3">
      <w:pPr>
        <w:pStyle w:val="ListParagraph"/>
        <w:numPr>
          <w:ilvl w:val="0"/>
          <w:numId w:val="42"/>
        </w:numPr>
        <w:rPr>
          <w:szCs w:val="24"/>
        </w:rPr>
      </w:pPr>
      <w:r>
        <w:rPr>
          <w:szCs w:val="24"/>
        </w:rPr>
        <w:t>C</w:t>
      </w:r>
      <w:r w:rsidRPr="00264C63">
        <w:rPr>
          <w:szCs w:val="24"/>
        </w:rPr>
        <w:t>hemotherapy for at least 7 days prior to receiving SRS</w:t>
      </w:r>
      <w:r>
        <w:rPr>
          <w:szCs w:val="24"/>
        </w:rPr>
        <w:t>.</w:t>
      </w:r>
    </w:p>
    <w:p w14:paraId="5921FF13" w14:textId="77777777" w:rsidR="00655B88" w:rsidRPr="00D076CC" w:rsidRDefault="00655B88" w:rsidP="00B26EE3">
      <w:pPr>
        <w:pStyle w:val="ListParagraph"/>
        <w:numPr>
          <w:ilvl w:val="0"/>
          <w:numId w:val="42"/>
        </w:numPr>
        <w:rPr>
          <w:szCs w:val="24"/>
        </w:rPr>
      </w:pPr>
      <w:r w:rsidRPr="00D076CC">
        <w:rPr>
          <w:szCs w:val="24"/>
        </w:rPr>
        <w:t>BRAF and MEK inhibitors for at least 1 day before and after receiving SRS</w:t>
      </w:r>
      <w:r>
        <w:rPr>
          <w:szCs w:val="24"/>
        </w:rPr>
        <w:t>.</w:t>
      </w:r>
    </w:p>
    <w:p w14:paraId="084351D9" w14:textId="77777777" w:rsidR="00655B88" w:rsidRPr="00E977FA" w:rsidRDefault="00655B88" w:rsidP="00F07560">
      <w:pPr>
        <w:numPr>
          <w:ilvl w:val="0"/>
          <w:numId w:val="2"/>
        </w:numPr>
        <w:ind w:hanging="357"/>
        <w:rPr>
          <w:szCs w:val="24"/>
        </w:rPr>
      </w:pPr>
      <w:r w:rsidRPr="00E977FA">
        <w:rPr>
          <w:szCs w:val="24"/>
        </w:rPr>
        <w:t xml:space="preserve">With mean elimination half-lives of ~26 days for nivolumab and pembrolizumab, </w:t>
      </w:r>
      <w:r>
        <w:rPr>
          <w:szCs w:val="24"/>
        </w:rPr>
        <w:t xml:space="preserve">temporarily </w:t>
      </w:r>
      <w:r w:rsidRPr="00E977FA">
        <w:rPr>
          <w:szCs w:val="24"/>
        </w:rPr>
        <w:t xml:space="preserve">stopping these agents for SRS delivery may not alter their systemic bioavailability. </w:t>
      </w:r>
    </w:p>
    <w:p w14:paraId="19A7B26C" w14:textId="77777777" w:rsidR="00655B88" w:rsidRPr="00E977FA" w:rsidRDefault="00655B88" w:rsidP="00F07560">
      <w:pPr>
        <w:numPr>
          <w:ilvl w:val="0"/>
          <w:numId w:val="2"/>
        </w:numPr>
        <w:ind w:hanging="357"/>
        <w:rPr>
          <w:szCs w:val="24"/>
        </w:rPr>
      </w:pPr>
      <w:r w:rsidRPr="00E977FA">
        <w:rPr>
          <w:szCs w:val="24"/>
        </w:rPr>
        <w:t>SRS can be delivered concurrently with trastuzumab, endocrine treatment, and bisphosphonates</w:t>
      </w:r>
      <w:r>
        <w:rPr>
          <w:szCs w:val="24"/>
        </w:rPr>
        <w:t xml:space="preserve">; however, </w:t>
      </w:r>
      <w:r w:rsidRPr="00264C63">
        <w:rPr>
          <w:szCs w:val="24"/>
          <w:u w:val="single"/>
        </w:rPr>
        <w:t>trastuzumab emtansine</w:t>
      </w:r>
      <w:r>
        <w:rPr>
          <w:szCs w:val="24"/>
        </w:rPr>
        <w:t xml:space="preserve"> following SRS is associated with an increased risk of radionecrosis in patients with HER2 positive breast cancer.</w:t>
      </w:r>
    </w:p>
    <w:p w14:paraId="02940DC5" w14:textId="77777777" w:rsidR="00655B88" w:rsidRDefault="007F1B99" w:rsidP="00F07560">
      <w:pPr>
        <w:jc w:val="right"/>
        <w:rPr>
          <w:rFonts w:cs="Arial"/>
          <w:i/>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tbl>
      <w:tblPr>
        <w:tblpPr w:leftFromText="180" w:rightFromText="180" w:vertAnchor="text" w:horzAnchor="margin" w:tblpY="208"/>
        <w:tblW w:w="9158" w:type="dxa"/>
        <w:tblLook w:val="0000" w:firstRow="0" w:lastRow="0" w:firstColumn="0" w:lastColumn="0" w:noHBand="0" w:noVBand="0"/>
      </w:tblPr>
      <w:tblGrid>
        <w:gridCol w:w="9158"/>
      </w:tblGrid>
      <w:tr w:rsidR="00655B88" w:rsidRPr="00CD1C0E" w14:paraId="470846C5" w14:textId="77777777" w:rsidTr="007546A2">
        <w:trPr>
          <w:cantSplit/>
          <w:trHeight w:val="285"/>
        </w:trPr>
        <w:tc>
          <w:tcPr>
            <w:tcW w:w="9158" w:type="dxa"/>
            <w:shd w:val="clear" w:color="auto" w:fill="D9D9D9" w:themeFill="background1" w:themeFillShade="D9"/>
          </w:tcPr>
          <w:p w14:paraId="04E101A2" w14:textId="77777777" w:rsidR="00655B88" w:rsidRPr="003D2D06" w:rsidRDefault="00655B88" w:rsidP="007546A2">
            <w:pPr>
              <w:pStyle w:val="Heading1"/>
            </w:pPr>
            <w:bookmarkStart w:id="19" w:name="_Toc116641220"/>
            <w:r w:rsidRPr="003D2D06">
              <w:t xml:space="preserve">Section </w:t>
            </w:r>
            <w:r>
              <w:t>8</w:t>
            </w:r>
            <w:r w:rsidRPr="003D2D06">
              <w:t xml:space="preserve"> – </w:t>
            </w:r>
            <w:r>
              <w:t>Pre SRS Prophylactic Medications</w:t>
            </w:r>
            <w:bookmarkEnd w:id="19"/>
          </w:p>
        </w:tc>
      </w:tr>
    </w:tbl>
    <w:p w14:paraId="238FD6C4" w14:textId="77777777" w:rsidR="00655B88" w:rsidRDefault="00655B88" w:rsidP="00655B88">
      <w:pPr>
        <w:jc w:val="both"/>
        <w:rPr>
          <w:szCs w:val="24"/>
        </w:rPr>
      </w:pPr>
    </w:p>
    <w:p w14:paraId="602ED446" w14:textId="77777777" w:rsidR="00655B88" w:rsidRPr="00E977FA" w:rsidRDefault="00655B88" w:rsidP="00F07560">
      <w:pPr>
        <w:numPr>
          <w:ilvl w:val="0"/>
          <w:numId w:val="2"/>
        </w:numPr>
        <w:rPr>
          <w:szCs w:val="24"/>
        </w:rPr>
      </w:pPr>
      <w:r w:rsidRPr="00E977FA">
        <w:rPr>
          <w:szCs w:val="24"/>
        </w:rPr>
        <w:t>Dexamethasone 4-8 mg PO stat before SRS delivery (in addition to baseline steroid requirement)</w:t>
      </w:r>
    </w:p>
    <w:p w14:paraId="7F926EAC" w14:textId="77777777" w:rsidR="00655B88" w:rsidRPr="00E977FA" w:rsidRDefault="00655B88" w:rsidP="00F07560">
      <w:pPr>
        <w:numPr>
          <w:ilvl w:val="0"/>
          <w:numId w:val="2"/>
        </w:numPr>
        <w:rPr>
          <w:szCs w:val="24"/>
        </w:rPr>
      </w:pPr>
      <w:r w:rsidRPr="00E977FA">
        <w:rPr>
          <w:szCs w:val="24"/>
        </w:rPr>
        <w:t>Lorazepam 0.5 – 1.0 mg SL stat (for anxious patients)</w:t>
      </w:r>
    </w:p>
    <w:p w14:paraId="0FD848CF" w14:textId="77777777" w:rsidR="00655B88" w:rsidRPr="00154885" w:rsidRDefault="007F1B99" w:rsidP="00655B88">
      <w:pPr>
        <w:jc w:val="right"/>
        <w:rPr>
          <w:rFonts w:cs="Arial"/>
          <w:i/>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tbl>
      <w:tblPr>
        <w:tblpPr w:leftFromText="180" w:rightFromText="180" w:vertAnchor="text" w:horzAnchor="margin" w:tblpY="208"/>
        <w:tblW w:w="9158" w:type="dxa"/>
        <w:tblLook w:val="0000" w:firstRow="0" w:lastRow="0" w:firstColumn="0" w:lastColumn="0" w:noHBand="0" w:noVBand="0"/>
      </w:tblPr>
      <w:tblGrid>
        <w:gridCol w:w="9158"/>
      </w:tblGrid>
      <w:tr w:rsidR="00655B88" w:rsidRPr="00CD1C0E" w14:paraId="4FA9E37D" w14:textId="77777777" w:rsidTr="007546A2">
        <w:trPr>
          <w:cantSplit/>
          <w:trHeight w:val="285"/>
        </w:trPr>
        <w:tc>
          <w:tcPr>
            <w:tcW w:w="9158" w:type="dxa"/>
            <w:shd w:val="clear" w:color="auto" w:fill="D9D9D9" w:themeFill="background1" w:themeFillShade="D9"/>
          </w:tcPr>
          <w:p w14:paraId="776DF055" w14:textId="77777777" w:rsidR="00655B88" w:rsidRPr="003D2D06" w:rsidRDefault="00655B88" w:rsidP="007546A2">
            <w:pPr>
              <w:pStyle w:val="Heading1"/>
            </w:pPr>
            <w:bookmarkStart w:id="20" w:name="_Toc116641221"/>
            <w:r w:rsidRPr="003D2D06">
              <w:t xml:space="preserve">Section </w:t>
            </w:r>
            <w:r>
              <w:t>9</w:t>
            </w:r>
            <w:r w:rsidRPr="003D2D06">
              <w:t xml:space="preserve"> – </w:t>
            </w:r>
            <w:r>
              <w:t>Role of SRS with Whole Brain Radiotherapy (WBRT)</w:t>
            </w:r>
            <w:bookmarkEnd w:id="20"/>
            <w:r>
              <w:t xml:space="preserve"> </w:t>
            </w:r>
          </w:p>
        </w:tc>
      </w:tr>
    </w:tbl>
    <w:p w14:paraId="438920EE" w14:textId="77777777" w:rsidR="00655B88" w:rsidRDefault="00655B88" w:rsidP="00F07560">
      <w:pPr>
        <w:rPr>
          <w:szCs w:val="24"/>
        </w:rPr>
      </w:pPr>
    </w:p>
    <w:p w14:paraId="7EC12139" w14:textId="77777777" w:rsidR="00655B88" w:rsidRPr="00E977FA" w:rsidRDefault="00655B88" w:rsidP="00B26EE3">
      <w:pPr>
        <w:numPr>
          <w:ilvl w:val="0"/>
          <w:numId w:val="4"/>
        </w:numPr>
        <w:rPr>
          <w:szCs w:val="24"/>
        </w:rPr>
      </w:pPr>
      <w:r w:rsidRPr="00E977FA">
        <w:rPr>
          <w:szCs w:val="24"/>
        </w:rPr>
        <w:t xml:space="preserve">SRS alone should be offered to patients with 1-4 unresected brain metastases, excluding small-cell carcinoma. </w:t>
      </w:r>
    </w:p>
    <w:p w14:paraId="522494F2" w14:textId="77777777" w:rsidR="00655B88" w:rsidRPr="00E977FA" w:rsidRDefault="00655B88" w:rsidP="00B26EE3">
      <w:pPr>
        <w:numPr>
          <w:ilvl w:val="0"/>
          <w:numId w:val="4"/>
        </w:numPr>
        <w:rPr>
          <w:szCs w:val="24"/>
        </w:rPr>
      </w:pPr>
      <w:r w:rsidRPr="00E977FA">
        <w:rPr>
          <w:szCs w:val="24"/>
        </w:rPr>
        <w:t>SRS alone should be offered to patients with 1-2 resected brain metastases if the surgical cavity can be safely treated and considering the extent of remaining intracranial disease.</w:t>
      </w:r>
    </w:p>
    <w:p w14:paraId="6072F0E3" w14:textId="77777777" w:rsidR="00655B88" w:rsidRPr="00E977FA" w:rsidRDefault="00655B88" w:rsidP="00B26EE3">
      <w:pPr>
        <w:numPr>
          <w:ilvl w:val="0"/>
          <w:numId w:val="4"/>
        </w:numPr>
        <w:rPr>
          <w:szCs w:val="24"/>
        </w:rPr>
      </w:pPr>
      <w:r w:rsidRPr="00E977FA">
        <w:rPr>
          <w:szCs w:val="24"/>
        </w:rPr>
        <w:t xml:space="preserve">SRS, WBRT, and the combination of SRS plus WBRT are all reasonable options for patients with more than four unresected or more than two resected brain metastases </w:t>
      </w:r>
      <w:r w:rsidRPr="00E977FA">
        <w:rPr>
          <w:szCs w:val="24"/>
        </w:rPr>
        <w:lastRenderedPageBreak/>
        <w:t xml:space="preserve">and better performance status. SRS may be preferred for patients with better prognosis or where systemic therapy that is known to be active in the CNS is available. </w:t>
      </w:r>
    </w:p>
    <w:p w14:paraId="349020AA" w14:textId="77777777" w:rsidR="00655B88" w:rsidRPr="00E977FA" w:rsidRDefault="00655B88" w:rsidP="00B26EE3">
      <w:pPr>
        <w:numPr>
          <w:ilvl w:val="0"/>
          <w:numId w:val="4"/>
        </w:numPr>
        <w:rPr>
          <w:szCs w:val="24"/>
        </w:rPr>
      </w:pPr>
      <w:r w:rsidRPr="00E977FA">
        <w:rPr>
          <w:szCs w:val="24"/>
        </w:rPr>
        <w:t>Commonly used WBRT fractionation schemes in clinical trials are:</w:t>
      </w:r>
    </w:p>
    <w:p w14:paraId="1841D853" w14:textId="77777777" w:rsidR="00655B88" w:rsidRPr="00D076CC" w:rsidRDefault="00655B88" w:rsidP="00B26EE3">
      <w:pPr>
        <w:pStyle w:val="ListParagraph"/>
        <w:numPr>
          <w:ilvl w:val="0"/>
          <w:numId w:val="11"/>
        </w:numPr>
        <w:rPr>
          <w:szCs w:val="24"/>
        </w:rPr>
      </w:pPr>
      <w:r w:rsidRPr="00D076CC">
        <w:rPr>
          <w:szCs w:val="24"/>
        </w:rPr>
        <w:t>30 Gy in 10#s at 3 Gy/#, 1#/day, 10 #s/fortnight</w:t>
      </w:r>
    </w:p>
    <w:p w14:paraId="3114B554" w14:textId="77777777" w:rsidR="00655B88" w:rsidRPr="00264C63" w:rsidRDefault="00655B88" w:rsidP="00B26EE3">
      <w:pPr>
        <w:pStyle w:val="ListParagraph"/>
        <w:numPr>
          <w:ilvl w:val="0"/>
          <w:numId w:val="11"/>
        </w:numPr>
        <w:rPr>
          <w:szCs w:val="24"/>
        </w:rPr>
      </w:pPr>
      <w:r w:rsidRPr="00264C63">
        <w:rPr>
          <w:szCs w:val="24"/>
        </w:rPr>
        <w:t>37.5 Gy in 15#s, 2.5 Gy/#, 1#/day, 10 #s/fortnight</w:t>
      </w:r>
    </w:p>
    <w:p w14:paraId="027D34CE" w14:textId="77777777" w:rsidR="00655B88" w:rsidRPr="00E977FA" w:rsidRDefault="00655B88" w:rsidP="00B26EE3">
      <w:pPr>
        <w:numPr>
          <w:ilvl w:val="0"/>
          <w:numId w:val="4"/>
        </w:numPr>
        <w:rPr>
          <w:szCs w:val="24"/>
        </w:rPr>
      </w:pPr>
      <w:r w:rsidRPr="00E977FA">
        <w:rPr>
          <w:szCs w:val="24"/>
        </w:rPr>
        <w:t>However, 20 Gy in 5#s at 4 Gy/#, 1#/day, over 5 days may be preferable over the above fractionation schedules given similar clinical efficacy with lower EQD2 values enabling safer dose escalation in subsequent SRS treatments, if required.</w:t>
      </w:r>
    </w:p>
    <w:p w14:paraId="043C9EF9" w14:textId="1B9BC6D0" w:rsidR="004D0C67" w:rsidRPr="000A1CB6" w:rsidRDefault="007F1B99" w:rsidP="000A1CB6">
      <w:pPr>
        <w:jc w:val="right"/>
        <w:rPr>
          <w:rFonts w:cs="Arial"/>
          <w:i/>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tbl>
      <w:tblPr>
        <w:tblpPr w:leftFromText="180" w:rightFromText="180" w:vertAnchor="text" w:horzAnchor="margin" w:tblpY="208"/>
        <w:tblW w:w="9158" w:type="dxa"/>
        <w:tblLook w:val="0000" w:firstRow="0" w:lastRow="0" w:firstColumn="0" w:lastColumn="0" w:noHBand="0" w:noVBand="0"/>
      </w:tblPr>
      <w:tblGrid>
        <w:gridCol w:w="9158"/>
      </w:tblGrid>
      <w:tr w:rsidR="00655B88" w:rsidRPr="00CD1C0E" w14:paraId="1C9E6244" w14:textId="77777777" w:rsidTr="007546A2">
        <w:trPr>
          <w:cantSplit/>
          <w:trHeight w:val="285"/>
        </w:trPr>
        <w:tc>
          <w:tcPr>
            <w:tcW w:w="9158" w:type="dxa"/>
            <w:shd w:val="clear" w:color="auto" w:fill="D9D9D9" w:themeFill="background1" w:themeFillShade="D9"/>
          </w:tcPr>
          <w:p w14:paraId="3AE5CAB5" w14:textId="77777777" w:rsidR="00655B88" w:rsidRPr="003D2D06" w:rsidRDefault="00655B88" w:rsidP="007546A2">
            <w:pPr>
              <w:pStyle w:val="Heading1"/>
            </w:pPr>
            <w:bookmarkStart w:id="21" w:name="_Toc116641222"/>
            <w:r w:rsidRPr="003D2D06">
              <w:t xml:space="preserve">Section </w:t>
            </w:r>
            <w:r>
              <w:t>10</w:t>
            </w:r>
            <w:r w:rsidRPr="003D2D06">
              <w:t xml:space="preserve"> – </w:t>
            </w:r>
            <w:r>
              <w:t>Follow Up</w:t>
            </w:r>
            <w:bookmarkEnd w:id="21"/>
          </w:p>
        </w:tc>
      </w:tr>
    </w:tbl>
    <w:p w14:paraId="5CAC7F7C" w14:textId="3A911B13" w:rsidR="00655B88" w:rsidRPr="00264C63" w:rsidRDefault="00655B88" w:rsidP="00F07560">
      <w:pPr>
        <w:rPr>
          <w:b/>
          <w:bCs/>
          <w:szCs w:val="24"/>
        </w:rPr>
      </w:pPr>
      <w:r w:rsidRPr="00264C63">
        <w:rPr>
          <w:b/>
          <w:bCs/>
          <w:szCs w:val="24"/>
        </w:rPr>
        <w:t xml:space="preserve">Where all known brain lesion(s) treated with SRS/WBRT/Surgery: </w:t>
      </w:r>
    </w:p>
    <w:p w14:paraId="60A3A79E" w14:textId="77777777" w:rsidR="00655B88" w:rsidRPr="00240833" w:rsidRDefault="00655B88" w:rsidP="00B26EE3">
      <w:pPr>
        <w:numPr>
          <w:ilvl w:val="0"/>
          <w:numId w:val="4"/>
        </w:numPr>
        <w:rPr>
          <w:szCs w:val="24"/>
        </w:rPr>
      </w:pPr>
      <w:r>
        <w:rPr>
          <w:szCs w:val="24"/>
        </w:rPr>
        <w:t>F</w:t>
      </w:r>
      <w:r w:rsidRPr="00240833">
        <w:rPr>
          <w:szCs w:val="24"/>
        </w:rPr>
        <w:t>irst post SRS follow up at 2 to 3 months with repeat MRI brain</w:t>
      </w:r>
    </w:p>
    <w:p w14:paraId="016234A4" w14:textId="40716AEA" w:rsidR="00655B88" w:rsidRPr="00240833" w:rsidRDefault="00655B88" w:rsidP="00B26EE3">
      <w:pPr>
        <w:numPr>
          <w:ilvl w:val="0"/>
          <w:numId w:val="4"/>
        </w:numPr>
        <w:rPr>
          <w:szCs w:val="24"/>
        </w:rPr>
      </w:pPr>
      <w:r>
        <w:rPr>
          <w:szCs w:val="24"/>
        </w:rPr>
        <w:t>T</w:t>
      </w:r>
      <w:r w:rsidRPr="00240833">
        <w:rPr>
          <w:szCs w:val="24"/>
        </w:rPr>
        <w:t>hereafter, 3 monthly with repeat MRI brain</w:t>
      </w:r>
    </w:p>
    <w:p w14:paraId="185A11F3" w14:textId="77777777" w:rsidR="00215AFE" w:rsidRDefault="00215AFE" w:rsidP="00F07560">
      <w:pPr>
        <w:rPr>
          <w:b/>
          <w:bCs/>
          <w:szCs w:val="24"/>
        </w:rPr>
      </w:pPr>
    </w:p>
    <w:p w14:paraId="2F8A1BB2" w14:textId="0CEDC2E2" w:rsidR="00655B88" w:rsidRPr="00264C63" w:rsidRDefault="00655B88" w:rsidP="00F07560">
      <w:pPr>
        <w:rPr>
          <w:b/>
          <w:bCs/>
          <w:szCs w:val="24"/>
        </w:rPr>
      </w:pPr>
      <w:r w:rsidRPr="00264C63">
        <w:rPr>
          <w:b/>
          <w:bCs/>
          <w:szCs w:val="24"/>
        </w:rPr>
        <w:t>Where all known brain lesion(s) not treated with SRS/WBRT/Surgery:</w:t>
      </w:r>
    </w:p>
    <w:p w14:paraId="60554445" w14:textId="77777777" w:rsidR="00655B88" w:rsidRPr="00240833" w:rsidRDefault="00655B88" w:rsidP="00B26EE3">
      <w:pPr>
        <w:numPr>
          <w:ilvl w:val="0"/>
          <w:numId w:val="4"/>
        </w:numPr>
        <w:rPr>
          <w:szCs w:val="24"/>
        </w:rPr>
      </w:pPr>
      <w:r>
        <w:rPr>
          <w:szCs w:val="24"/>
        </w:rPr>
        <w:t>F</w:t>
      </w:r>
      <w:r w:rsidRPr="00240833">
        <w:rPr>
          <w:szCs w:val="24"/>
        </w:rPr>
        <w:t>irst post SRS follow up at 6 weeks with repeat MRI brain</w:t>
      </w:r>
    </w:p>
    <w:p w14:paraId="4228F0C8" w14:textId="5A1F5851" w:rsidR="00655B88" w:rsidRPr="00140078" w:rsidRDefault="00655B88" w:rsidP="00B26EE3">
      <w:pPr>
        <w:numPr>
          <w:ilvl w:val="0"/>
          <w:numId w:val="4"/>
        </w:numPr>
        <w:rPr>
          <w:szCs w:val="24"/>
        </w:rPr>
      </w:pPr>
      <w:r w:rsidRPr="00140078">
        <w:rPr>
          <w:szCs w:val="24"/>
        </w:rPr>
        <w:t>Thereafter, 2 to 3 monthly with repeat MRI brain</w:t>
      </w:r>
    </w:p>
    <w:p w14:paraId="37AA056B" w14:textId="77777777" w:rsidR="00655B88" w:rsidRDefault="007F1B99" w:rsidP="00655B88">
      <w:pPr>
        <w:jc w:val="right"/>
        <w:rPr>
          <w:rFonts w:cs="Arial"/>
          <w:b/>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tbl>
      <w:tblPr>
        <w:tblpPr w:leftFromText="180" w:rightFromText="180" w:vertAnchor="text" w:horzAnchor="margin" w:tblpY="208"/>
        <w:tblW w:w="9158" w:type="dxa"/>
        <w:tblLook w:val="0000" w:firstRow="0" w:lastRow="0" w:firstColumn="0" w:lastColumn="0" w:noHBand="0" w:noVBand="0"/>
      </w:tblPr>
      <w:tblGrid>
        <w:gridCol w:w="9158"/>
      </w:tblGrid>
      <w:tr w:rsidR="00655B88" w:rsidRPr="00CD1C0E" w14:paraId="32A36753" w14:textId="77777777" w:rsidTr="007546A2">
        <w:trPr>
          <w:cantSplit/>
          <w:trHeight w:val="285"/>
        </w:trPr>
        <w:tc>
          <w:tcPr>
            <w:tcW w:w="9158" w:type="dxa"/>
            <w:shd w:val="clear" w:color="auto" w:fill="D9D9D9" w:themeFill="background1" w:themeFillShade="D9"/>
          </w:tcPr>
          <w:p w14:paraId="109EAEC5" w14:textId="77777777" w:rsidR="00655B88" w:rsidRPr="003D2D06" w:rsidRDefault="00655B88" w:rsidP="007546A2">
            <w:pPr>
              <w:pStyle w:val="Heading1"/>
            </w:pPr>
            <w:bookmarkStart w:id="22" w:name="_Toc116641223"/>
            <w:r w:rsidRPr="003D2D06">
              <w:t xml:space="preserve">Section </w:t>
            </w:r>
            <w:r>
              <w:t>11</w:t>
            </w:r>
            <w:r w:rsidRPr="003D2D06">
              <w:t xml:space="preserve"> – </w:t>
            </w:r>
            <w:r>
              <w:t>SRS Workflow for Clinicians</w:t>
            </w:r>
            <w:bookmarkEnd w:id="22"/>
            <w:r>
              <w:t xml:space="preserve"> </w:t>
            </w:r>
          </w:p>
        </w:tc>
      </w:tr>
    </w:tbl>
    <w:p w14:paraId="41BFB7FD" w14:textId="77777777" w:rsidR="00655B88" w:rsidRDefault="00655B88" w:rsidP="00655B88">
      <w:pPr>
        <w:jc w:val="right"/>
      </w:pPr>
    </w:p>
    <w:p w14:paraId="730240C5" w14:textId="134CC05B" w:rsidR="00655B88" w:rsidRDefault="00655B88" w:rsidP="004D0C67">
      <w:pPr>
        <w:rPr>
          <w:szCs w:val="24"/>
        </w:rPr>
      </w:pPr>
      <w:r w:rsidRPr="00240833">
        <w:rPr>
          <w:szCs w:val="24"/>
        </w:rPr>
        <w:t>To ensure timely planning and delivery of SRS to the patients, adherence to following workflow is recommended:</w:t>
      </w:r>
    </w:p>
    <w:p w14:paraId="027C1411" w14:textId="77777777" w:rsidR="004D0C67" w:rsidRPr="00240833" w:rsidRDefault="004D0C67" w:rsidP="004D0C67">
      <w:pPr>
        <w:rPr>
          <w:szCs w:val="24"/>
        </w:rPr>
      </w:pPr>
    </w:p>
    <w:p w14:paraId="387BB9EE" w14:textId="77777777" w:rsidR="00655B88" w:rsidRPr="00D076CC" w:rsidRDefault="00655B88" w:rsidP="00B26EE3">
      <w:pPr>
        <w:pStyle w:val="ListParagraph"/>
        <w:numPr>
          <w:ilvl w:val="0"/>
          <w:numId w:val="12"/>
        </w:numPr>
        <w:rPr>
          <w:szCs w:val="24"/>
        </w:rPr>
      </w:pPr>
      <w:r w:rsidRPr="00D076CC">
        <w:rPr>
          <w:szCs w:val="24"/>
        </w:rPr>
        <w:t xml:space="preserve">Radiation Oncologist </w:t>
      </w:r>
    </w:p>
    <w:p w14:paraId="7D98BCBE" w14:textId="39C6B127" w:rsidR="00655B88" w:rsidRPr="00D076CC" w:rsidRDefault="00CB5E63" w:rsidP="00B26EE3">
      <w:pPr>
        <w:pStyle w:val="ListParagraph"/>
        <w:numPr>
          <w:ilvl w:val="0"/>
          <w:numId w:val="13"/>
        </w:numPr>
        <w:rPr>
          <w:szCs w:val="24"/>
        </w:rPr>
      </w:pPr>
      <w:r>
        <w:rPr>
          <w:szCs w:val="24"/>
        </w:rPr>
        <w:t>O</w:t>
      </w:r>
      <w:r w:rsidR="00655B88" w:rsidRPr="00D076CC">
        <w:rPr>
          <w:szCs w:val="24"/>
        </w:rPr>
        <w:t xml:space="preserve">btains written consent </w:t>
      </w:r>
      <w:r w:rsidR="00655B88">
        <w:rPr>
          <w:szCs w:val="24"/>
        </w:rPr>
        <w:t>where</w:t>
      </w:r>
      <w:r w:rsidR="00655B88" w:rsidRPr="00D076CC">
        <w:rPr>
          <w:szCs w:val="24"/>
        </w:rPr>
        <w:t xml:space="preserve"> feasible; if not possible, then request for a pre-sim</w:t>
      </w:r>
      <w:r w:rsidR="003F792D">
        <w:rPr>
          <w:szCs w:val="24"/>
        </w:rPr>
        <w:t>ulation</w:t>
      </w:r>
      <w:r w:rsidR="00655B88" w:rsidRPr="00D076CC">
        <w:rPr>
          <w:szCs w:val="24"/>
        </w:rPr>
        <w:t xml:space="preserve"> consultation to be booked </w:t>
      </w:r>
      <w:r w:rsidR="00655B88" w:rsidRPr="00264C63">
        <w:rPr>
          <w:szCs w:val="24"/>
        </w:rPr>
        <w:t>before CT simulation appointment</w:t>
      </w:r>
      <w:r w:rsidR="00655B88">
        <w:rPr>
          <w:szCs w:val="24"/>
        </w:rPr>
        <w:t>.</w:t>
      </w:r>
    </w:p>
    <w:p w14:paraId="678DCAB2" w14:textId="18A20363" w:rsidR="00655B88" w:rsidRPr="00264C63" w:rsidRDefault="00CB5E63" w:rsidP="00B26EE3">
      <w:pPr>
        <w:pStyle w:val="ListParagraph"/>
        <w:numPr>
          <w:ilvl w:val="0"/>
          <w:numId w:val="13"/>
        </w:numPr>
        <w:rPr>
          <w:szCs w:val="24"/>
        </w:rPr>
      </w:pPr>
      <w:r>
        <w:rPr>
          <w:szCs w:val="24"/>
        </w:rPr>
        <w:t>C</w:t>
      </w:r>
      <w:r w:rsidR="00655B88" w:rsidRPr="00264C63">
        <w:rPr>
          <w:szCs w:val="24"/>
        </w:rPr>
        <w:t>hecks availability of treatment appointment with SRS Radiation Therapist</w:t>
      </w:r>
      <w:r w:rsidR="00655B88">
        <w:rPr>
          <w:szCs w:val="24"/>
        </w:rPr>
        <w:t>.</w:t>
      </w:r>
    </w:p>
    <w:p w14:paraId="45A5EA4D" w14:textId="64F717F7" w:rsidR="00655B88" w:rsidRPr="00264C63" w:rsidRDefault="00FB69FC" w:rsidP="00B26EE3">
      <w:pPr>
        <w:pStyle w:val="ListParagraph"/>
        <w:numPr>
          <w:ilvl w:val="0"/>
          <w:numId w:val="13"/>
        </w:numPr>
        <w:rPr>
          <w:szCs w:val="24"/>
        </w:rPr>
      </w:pPr>
      <w:r>
        <w:rPr>
          <w:szCs w:val="24"/>
        </w:rPr>
        <w:t>Ready for Care (</w:t>
      </w:r>
      <w:r w:rsidR="00655B88" w:rsidRPr="00264C63">
        <w:rPr>
          <w:szCs w:val="24"/>
        </w:rPr>
        <w:t>RFC</w:t>
      </w:r>
      <w:r>
        <w:rPr>
          <w:szCs w:val="24"/>
        </w:rPr>
        <w:t>)</w:t>
      </w:r>
      <w:r w:rsidR="00655B88" w:rsidRPr="00264C63">
        <w:rPr>
          <w:szCs w:val="24"/>
        </w:rPr>
        <w:t xml:space="preserve"> must be in by Wednesday mid</w:t>
      </w:r>
      <w:r w:rsidR="00655B88">
        <w:rPr>
          <w:szCs w:val="24"/>
        </w:rPr>
        <w:t>-</w:t>
      </w:r>
      <w:r w:rsidR="00655B88" w:rsidRPr="00D076CC">
        <w:rPr>
          <w:szCs w:val="24"/>
        </w:rPr>
        <w:t>day for treatment to commence the week after if there is an available slot</w:t>
      </w:r>
      <w:r w:rsidR="00655B88">
        <w:rPr>
          <w:szCs w:val="24"/>
        </w:rPr>
        <w:t>.</w:t>
      </w:r>
    </w:p>
    <w:p w14:paraId="091A6B6F" w14:textId="3A33687C" w:rsidR="00655B88" w:rsidRPr="00D076CC" w:rsidRDefault="00CB5E63" w:rsidP="00B26EE3">
      <w:pPr>
        <w:pStyle w:val="ListParagraph"/>
        <w:numPr>
          <w:ilvl w:val="0"/>
          <w:numId w:val="13"/>
        </w:numPr>
        <w:rPr>
          <w:szCs w:val="24"/>
        </w:rPr>
      </w:pPr>
      <w:r>
        <w:rPr>
          <w:szCs w:val="24"/>
        </w:rPr>
        <w:t>C</w:t>
      </w:r>
      <w:r w:rsidR="00655B88" w:rsidRPr="00264C63">
        <w:rPr>
          <w:szCs w:val="24"/>
        </w:rPr>
        <w:t>ompletes booking checklist and prescription</w:t>
      </w:r>
      <w:r w:rsidR="00655B88">
        <w:rPr>
          <w:szCs w:val="24"/>
        </w:rPr>
        <w:t>.</w:t>
      </w:r>
    </w:p>
    <w:p w14:paraId="55984489" w14:textId="5AD0D9A4" w:rsidR="00655B88" w:rsidRPr="00264C63" w:rsidRDefault="00CB5E63" w:rsidP="00B26EE3">
      <w:pPr>
        <w:pStyle w:val="ListParagraph"/>
        <w:numPr>
          <w:ilvl w:val="0"/>
          <w:numId w:val="13"/>
        </w:numPr>
        <w:rPr>
          <w:szCs w:val="24"/>
        </w:rPr>
      </w:pPr>
      <w:r>
        <w:rPr>
          <w:szCs w:val="24"/>
        </w:rPr>
        <w:t>R</w:t>
      </w:r>
      <w:r w:rsidR="00655B88" w:rsidRPr="00264C63">
        <w:rPr>
          <w:szCs w:val="24"/>
        </w:rPr>
        <w:t>equests planning MRI at the Medical Imaging Department on the available dedicated Radiation Oncology slot</w:t>
      </w:r>
      <w:r w:rsidR="00655B88">
        <w:rPr>
          <w:szCs w:val="24"/>
        </w:rPr>
        <w:t>.</w:t>
      </w:r>
    </w:p>
    <w:p w14:paraId="4D8A12FC" w14:textId="77777777" w:rsidR="00655B88" w:rsidRPr="00D076CC" w:rsidRDefault="00655B88" w:rsidP="00B26EE3">
      <w:pPr>
        <w:pStyle w:val="ListParagraph"/>
        <w:numPr>
          <w:ilvl w:val="0"/>
          <w:numId w:val="12"/>
        </w:numPr>
        <w:rPr>
          <w:szCs w:val="24"/>
        </w:rPr>
      </w:pPr>
      <w:r w:rsidRPr="00264C63">
        <w:rPr>
          <w:szCs w:val="24"/>
        </w:rPr>
        <w:t>Radiation Oncologist or Radiation Oncology Registrar</w:t>
      </w:r>
      <w:r>
        <w:rPr>
          <w:szCs w:val="24"/>
        </w:rPr>
        <w:t>/Fellow</w:t>
      </w:r>
    </w:p>
    <w:p w14:paraId="450737DF" w14:textId="6BE1CB3B" w:rsidR="00655B88" w:rsidRPr="00D076CC" w:rsidRDefault="00CB5E63" w:rsidP="00B26EE3">
      <w:pPr>
        <w:pStyle w:val="ListParagraph"/>
        <w:numPr>
          <w:ilvl w:val="0"/>
          <w:numId w:val="14"/>
        </w:numPr>
        <w:rPr>
          <w:szCs w:val="24"/>
        </w:rPr>
      </w:pPr>
      <w:r>
        <w:rPr>
          <w:szCs w:val="24"/>
        </w:rPr>
        <w:t>R</w:t>
      </w:r>
      <w:r w:rsidR="00655B88" w:rsidRPr="00D076CC">
        <w:rPr>
          <w:szCs w:val="24"/>
        </w:rPr>
        <w:t xml:space="preserve">eviews planning MRI scan by 0930 hrs on the same day </w:t>
      </w:r>
      <w:r w:rsidR="00655B88" w:rsidRPr="00264C63">
        <w:rPr>
          <w:szCs w:val="24"/>
        </w:rPr>
        <w:t>to confirm suitability to proceed with the mask-making and CT simulation</w:t>
      </w:r>
      <w:r w:rsidR="00655B88">
        <w:rPr>
          <w:szCs w:val="24"/>
        </w:rPr>
        <w:t>.</w:t>
      </w:r>
    </w:p>
    <w:p w14:paraId="40F7362F" w14:textId="07DBAE5E" w:rsidR="00655B88" w:rsidRDefault="00CB5E63" w:rsidP="00B26EE3">
      <w:pPr>
        <w:numPr>
          <w:ilvl w:val="0"/>
          <w:numId w:val="14"/>
        </w:numPr>
        <w:rPr>
          <w:szCs w:val="24"/>
        </w:rPr>
      </w:pPr>
      <w:r>
        <w:rPr>
          <w:szCs w:val="24"/>
        </w:rPr>
        <w:t>I</w:t>
      </w:r>
      <w:r w:rsidR="00655B88" w:rsidRPr="00240833">
        <w:rPr>
          <w:szCs w:val="24"/>
        </w:rPr>
        <w:t xml:space="preserve">t is recommended that this scan is not utilised to assess the progress of intracranial disease but rather </w:t>
      </w:r>
      <w:r w:rsidR="00655B88">
        <w:rPr>
          <w:szCs w:val="24"/>
        </w:rPr>
        <w:t xml:space="preserve">be </w:t>
      </w:r>
      <w:r w:rsidR="00655B88" w:rsidRPr="00240833">
        <w:rPr>
          <w:szCs w:val="24"/>
        </w:rPr>
        <w:t xml:space="preserve">used only for </w:t>
      </w:r>
      <w:r w:rsidR="00655B88">
        <w:rPr>
          <w:szCs w:val="24"/>
        </w:rPr>
        <w:t>SRS planning purposes.</w:t>
      </w:r>
    </w:p>
    <w:p w14:paraId="66E6908C" w14:textId="77777777" w:rsidR="00655B88" w:rsidRPr="00D076CC" w:rsidRDefault="00655B88" w:rsidP="00B26EE3">
      <w:pPr>
        <w:pStyle w:val="ListParagraph"/>
        <w:numPr>
          <w:ilvl w:val="0"/>
          <w:numId w:val="12"/>
        </w:numPr>
        <w:rPr>
          <w:szCs w:val="24"/>
        </w:rPr>
      </w:pPr>
      <w:r w:rsidRPr="00D076CC">
        <w:rPr>
          <w:szCs w:val="24"/>
        </w:rPr>
        <w:t>Radiation Oncologist needs to provide approved and reviewed contours by 1700 hrs on the same day for 1-3 fraction(s) course</w:t>
      </w:r>
    </w:p>
    <w:p w14:paraId="36444525" w14:textId="77777777" w:rsidR="00655B88" w:rsidRPr="00264C63" w:rsidRDefault="00655B88" w:rsidP="00B26EE3">
      <w:pPr>
        <w:pStyle w:val="ListParagraph"/>
        <w:numPr>
          <w:ilvl w:val="0"/>
          <w:numId w:val="12"/>
        </w:numPr>
        <w:rPr>
          <w:szCs w:val="24"/>
        </w:rPr>
      </w:pPr>
      <w:r w:rsidRPr="00264C63">
        <w:rPr>
          <w:szCs w:val="24"/>
        </w:rPr>
        <w:t>Radiation Oncologist needs to approve SRS plan at least 24 hours prior to commencement of treatment</w:t>
      </w:r>
    </w:p>
    <w:p w14:paraId="741D60B3" w14:textId="77777777" w:rsidR="00655B88" w:rsidRDefault="00655B88" w:rsidP="00B26EE3">
      <w:pPr>
        <w:pStyle w:val="ListParagraph"/>
        <w:numPr>
          <w:ilvl w:val="0"/>
          <w:numId w:val="12"/>
        </w:numPr>
        <w:rPr>
          <w:szCs w:val="24"/>
        </w:rPr>
      </w:pPr>
      <w:r w:rsidRPr="00264C63">
        <w:rPr>
          <w:szCs w:val="24"/>
        </w:rPr>
        <w:lastRenderedPageBreak/>
        <w:t>SRS to commence on Wednesday/Thursday of the same week for 1-3 fraction(s) course</w:t>
      </w:r>
    </w:p>
    <w:p w14:paraId="774B3CE2" w14:textId="765F43A8" w:rsidR="00655B88" w:rsidRDefault="00655B88" w:rsidP="004D0C67">
      <w:pPr>
        <w:rPr>
          <w:szCs w:val="24"/>
        </w:rPr>
      </w:pPr>
    </w:p>
    <w:p w14:paraId="3FB37792" w14:textId="62FEF979" w:rsidR="00FB69FC" w:rsidRDefault="00FB69FC" w:rsidP="004D0C67">
      <w:pPr>
        <w:rPr>
          <w:szCs w:val="24"/>
        </w:rPr>
      </w:pPr>
    </w:p>
    <w:p w14:paraId="6AB58433" w14:textId="77777777" w:rsidR="00FB69FC" w:rsidRPr="00D076CC" w:rsidRDefault="00FB69FC" w:rsidP="004D0C67">
      <w:pPr>
        <w:rPr>
          <w:szCs w:val="24"/>
        </w:rPr>
      </w:pPr>
    </w:p>
    <w:p w14:paraId="59CA730B" w14:textId="77777777" w:rsidR="00655B88" w:rsidRPr="00264C63" w:rsidRDefault="00655B88" w:rsidP="004D0C67">
      <w:pPr>
        <w:rPr>
          <w:b/>
          <w:bCs/>
          <w:szCs w:val="24"/>
        </w:rPr>
      </w:pPr>
      <w:r w:rsidRPr="00264C63">
        <w:rPr>
          <w:b/>
          <w:bCs/>
          <w:szCs w:val="24"/>
        </w:rPr>
        <w:t>Recommended timeline for SRS planning and delivery workflow</w:t>
      </w:r>
    </w:p>
    <w:tbl>
      <w:tblPr>
        <w:tblStyle w:val="TableGrid"/>
        <w:tblW w:w="0" w:type="auto"/>
        <w:shd w:val="clear" w:color="auto" w:fill="E5DFEC" w:themeFill="accent4" w:themeFillTint="33"/>
        <w:tblLook w:val="04A0" w:firstRow="1" w:lastRow="0" w:firstColumn="1" w:lastColumn="0" w:noHBand="0" w:noVBand="1"/>
      </w:tblPr>
      <w:tblGrid>
        <w:gridCol w:w="2265"/>
        <w:gridCol w:w="2265"/>
        <w:gridCol w:w="2265"/>
        <w:gridCol w:w="2265"/>
      </w:tblGrid>
      <w:tr w:rsidR="00655B88" w:rsidRPr="002B654C" w14:paraId="43051545" w14:textId="77777777" w:rsidTr="004D0C67">
        <w:tc>
          <w:tcPr>
            <w:tcW w:w="2265" w:type="dxa"/>
            <w:shd w:val="clear" w:color="auto" w:fill="17365D" w:themeFill="text2" w:themeFillShade="BF"/>
            <w:vAlign w:val="center"/>
          </w:tcPr>
          <w:p w14:paraId="46AC505A" w14:textId="77777777" w:rsidR="00655B88" w:rsidRPr="00264C63" w:rsidRDefault="00655B88" w:rsidP="007546A2">
            <w:pPr>
              <w:spacing w:before="120" w:after="120"/>
              <w:jc w:val="center"/>
              <w:rPr>
                <w:b/>
                <w:bCs/>
                <w:szCs w:val="24"/>
              </w:rPr>
            </w:pPr>
          </w:p>
        </w:tc>
        <w:tc>
          <w:tcPr>
            <w:tcW w:w="2265" w:type="dxa"/>
            <w:shd w:val="clear" w:color="auto" w:fill="17365D" w:themeFill="text2" w:themeFillShade="BF"/>
            <w:vAlign w:val="center"/>
          </w:tcPr>
          <w:p w14:paraId="5B9360FD" w14:textId="77777777" w:rsidR="00655B88" w:rsidRPr="00264C63" w:rsidRDefault="00655B88" w:rsidP="007546A2">
            <w:pPr>
              <w:spacing w:before="120" w:after="120"/>
              <w:jc w:val="center"/>
              <w:rPr>
                <w:b/>
                <w:bCs/>
                <w:szCs w:val="24"/>
              </w:rPr>
            </w:pPr>
            <w:r w:rsidRPr="00264C63">
              <w:rPr>
                <w:b/>
                <w:bCs/>
                <w:szCs w:val="24"/>
              </w:rPr>
              <w:t>1 fraction SRS</w:t>
            </w:r>
          </w:p>
        </w:tc>
        <w:tc>
          <w:tcPr>
            <w:tcW w:w="2265" w:type="dxa"/>
            <w:shd w:val="clear" w:color="auto" w:fill="17365D" w:themeFill="text2" w:themeFillShade="BF"/>
            <w:vAlign w:val="center"/>
          </w:tcPr>
          <w:p w14:paraId="3FFCB103" w14:textId="77777777" w:rsidR="00655B88" w:rsidRPr="00264C63" w:rsidRDefault="00655B88" w:rsidP="007546A2">
            <w:pPr>
              <w:spacing w:before="120" w:after="120"/>
              <w:jc w:val="center"/>
              <w:rPr>
                <w:b/>
                <w:bCs/>
                <w:szCs w:val="24"/>
              </w:rPr>
            </w:pPr>
            <w:r w:rsidRPr="00264C63">
              <w:rPr>
                <w:b/>
                <w:bCs/>
                <w:szCs w:val="24"/>
              </w:rPr>
              <w:t>3 fractions SRS</w:t>
            </w:r>
          </w:p>
        </w:tc>
        <w:tc>
          <w:tcPr>
            <w:tcW w:w="2265" w:type="dxa"/>
            <w:shd w:val="clear" w:color="auto" w:fill="17365D" w:themeFill="text2" w:themeFillShade="BF"/>
            <w:vAlign w:val="center"/>
          </w:tcPr>
          <w:p w14:paraId="5C1F9788" w14:textId="77777777" w:rsidR="00655B88" w:rsidRPr="00264C63" w:rsidRDefault="00655B88" w:rsidP="007546A2">
            <w:pPr>
              <w:spacing w:before="120" w:after="120"/>
              <w:jc w:val="center"/>
              <w:rPr>
                <w:b/>
                <w:bCs/>
                <w:szCs w:val="24"/>
              </w:rPr>
            </w:pPr>
            <w:r w:rsidRPr="00264C63">
              <w:rPr>
                <w:b/>
                <w:bCs/>
                <w:szCs w:val="24"/>
              </w:rPr>
              <w:t>5 factions SRS</w:t>
            </w:r>
          </w:p>
        </w:tc>
      </w:tr>
      <w:tr w:rsidR="00655B88" w14:paraId="160B4B6B" w14:textId="77777777" w:rsidTr="004D0C67">
        <w:tc>
          <w:tcPr>
            <w:tcW w:w="2265" w:type="dxa"/>
            <w:shd w:val="clear" w:color="auto" w:fill="8DB3E2" w:themeFill="text2" w:themeFillTint="66"/>
            <w:vAlign w:val="center"/>
          </w:tcPr>
          <w:p w14:paraId="350DE23E" w14:textId="77777777" w:rsidR="00655B88" w:rsidRPr="00264C63" w:rsidRDefault="00655B88" w:rsidP="007546A2">
            <w:pPr>
              <w:spacing w:before="120" w:after="120"/>
              <w:rPr>
                <w:b/>
                <w:bCs/>
                <w:szCs w:val="24"/>
              </w:rPr>
            </w:pPr>
            <w:r w:rsidRPr="00264C63">
              <w:rPr>
                <w:b/>
                <w:bCs/>
                <w:szCs w:val="24"/>
              </w:rPr>
              <w:t>Planning MRI</w:t>
            </w:r>
          </w:p>
        </w:tc>
        <w:tc>
          <w:tcPr>
            <w:tcW w:w="2265" w:type="dxa"/>
            <w:shd w:val="clear" w:color="auto" w:fill="C6D9F1" w:themeFill="text2" w:themeFillTint="33"/>
            <w:vAlign w:val="center"/>
          </w:tcPr>
          <w:p w14:paraId="70AD26C2" w14:textId="77777777" w:rsidR="00655B88" w:rsidRDefault="00655B88" w:rsidP="007546A2">
            <w:pPr>
              <w:spacing w:before="120" w:after="120"/>
              <w:jc w:val="center"/>
              <w:rPr>
                <w:szCs w:val="24"/>
              </w:rPr>
            </w:pPr>
            <w:r>
              <w:rPr>
                <w:szCs w:val="24"/>
              </w:rPr>
              <w:t>Mon – Wed AM</w:t>
            </w:r>
          </w:p>
        </w:tc>
        <w:tc>
          <w:tcPr>
            <w:tcW w:w="2265" w:type="dxa"/>
            <w:shd w:val="clear" w:color="auto" w:fill="C6D9F1" w:themeFill="text2" w:themeFillTint="33"/>
            <w:vAlign w:val="center"/>
          </w:tcPr>
          <w:p w14:paraId="3DB4D032" w14:textId="77777777" w:rsidR="00655B88" w:rsidRDefault="00655B88" w:rsidP="007546A2">
            <w:pPr>
              <w:spacing w:before="120" w:after="120"/>
              <w:jc w:val="center"/>
              <w:rPr>
                <w:szCs w:val="24"/>
              </w:rPr>
            </w:pPr>
            <w:r>
              <w:rPr>
                <w:szCs w:val="24"/>
              </w:rPr>
              <w:t>Mon AM</w:t>
            </w:r>
          </w:p>
        </w:tc>
        <w:tc>
          <w:tcPr>
            <w:tcW w:w="2265" w:type="dxa"/>
            <w:shd w:val="clear" w:color="auto" w:fill="C6D9F1" w:themeFill="text2" w:themeFillTint="33"/>
            <w:vAlign w:val="center"/>
          </w:tcPr>
          <w:p w14:paraId="5CA3E168" w14:textId="77777777" w:rsidR="00655B88" w:rsidRDefault="00655B88" w:rsidP="007546A2">
            <w:pPr>
              <w:spacing w:before="120" w:after="120"/>
              <w:jc w:val="center"/>
              <w:rPr>
                <w:szCs w:val="24"/>
              </w:rPr>
            </w:pPr>
            <w:r>
              <w:rPr>
                <w:szCs w:val="24"/>
              </w:rPr>
              <w:t>Fri AM</w:t>
            </w:r>
          </w:p>
        </w:tc>
      </w:tr>
      <w:tr w:rsidR="00655B88" w14:paraId="69B872C0" w14:textId="77777777" w:rsidTr="004D0C67">
        <w:tc>
          <w:tcPr>
            <w:tcW w:w="2265" w:type="dxa"/>
            <w:shd w:val="clear" w:color="auto" w:fill="8DB3E2" w:themeFill="text2" w:themeFillTint="66"/>
            <w:vAlign w:val="center"/>
          </w:tcPr>
          <w:p w14:paraId="4A590C48" w14:textId="77777777" w:rsidR="00655B88" w:rsidRPr="00264C63" w:rsidRDefault="00655B88" w:rsidP="007546A2">
            <w:pPr>
              <w:spacing w:before="120" w:after="120"/>
              <w:rPr>
                <w:b/>
                <w:bCs/>
                <w:szCs w:val="24"/>
              </w:rPr>
            </w:pPr>
            <w:r w:rsidRPr="00264C63">
              <w:rPr>
                <w:b/>
                <w:bCs/>
                <w:szCs w:val="24"/>
              </w:rPr>
              <w:t>Volumes completed and peer reviewed</w:t>
            </w:r>
          </w:p>
        </w:tc>
        <w:tc>
          <w:tcPr>
            <w:tcW w:w="2265" w:type="dxa"/>
            <w:shd w:val="clear" w:color="auto" w:fill="C6D9F1" w:themeFill="text2" w:themeFillTint="33"/>
            <w:vAlign w:val="center"/>
          </w:tcPr>
          <w:p w14:paraId="5538F9C6" w14:textId="77777777" w:rsidR="00655B88" w:rsidRDefault="00655B88" w:rsidP="007546A2">
            <w:pPr>
              <w:spacing w:before="120" w:after="120"/>
              <w:jc w:val="center"/>
              <w:rPr>
                <w:szCs w:val="24"/>
              </w:rPr>
            </w:pPr>
            <w:r>
              <w:rPr>
                <w:szCs w:val="24"/>
              </w:rPr>
              <w:t>17:00 on the day of planning MRI</w:t>
            </w:r>
          </w:p>
        </w:tc>
        <w:tc>
          <w:tcPr>
            <w:tcW w:w="2265" w:type="dxa"/>
            <w:shd w:val="clear" w:color="auto" w:fill="C6D9F1" w:themeFill="text2" w:themeFillTint="33"/>
            <w:vAlign w:val="center"/>
          </w:tcPr>
          <w:p w14:paraId="05D3160C" w14:textId="77777777" w:rsidR="00655B88" w:rsidRDefault="00655B88" w:rsidP="007546A2">
            <w:pPr>
              <w:spacing w:before="120" w:after="120"/>
              <w:jc w:val="center"/>
              <w:rPr>
                <w:szCs w:val="24"/>
              </w:rPr>
            </w:pPr>
            <w:r>
              <w:rPr>
                <w:szCs w:val="24"/>
              </w:rPr>
              <w:t>Mon 17:00</w:t>
            </w:r>
          </w:p>
        </w:tc>
        <w:tc>
          <w:tcPr>
            <w:tcW w:w="2265" w:type="dxa"/>
            <w:shd w:val="clear" w:color="auto" w:fill="C6D9F1" w:themeFill="text2" w:themeFillTint="33"/>
            <w:vAlign w:val="center"/>
          </w:tcPr>
          <w:p w14:paraId="0E017A2B" w14:textId="77777777" w:rsidR="00655B88" w:rsidRDefault="00655B88" w:rsidP="007546A2">
            <w:pPr>
              <w:spacing w:before="120" w:after="120"/>
              <w:jc w:val="center"/>
              <w:rPr>
                <w:szCs w:val="24"/>
              </w:rPr>
            </w:pPr>
            <w:r>
              <w:rPr>
                <w:szCs w:val="24"/>
              </w:rPr>
              <w:t>Fri 14:00</w:t>
            </w:r>
          </w:p>
        </w:tc>
      </w:tr>
      <w:tr w:rsidR="00655B88" w14:paraId="196B6A94" w14:textId="77777777" w:rsidTr="004D0C67">
        <w:tc>
          <w:tcPr>
            <w:tcW w:w="2265" w:type="dxa"/>
            <w:shd w:val="clear" w:color="auto" w:fill="8DB3E2" w:themeFill="text2" w:themeFillTint="66"/>
            <w:vAlign w:val="center"/>
          </w:tcPr>
          <w:p w14:paraId="64171341" w14:textId="77777777" w:rsidR="00655B88" w:rsidRPr="00264C63" w:rsidRDefault="00655B88" w:rsidP="007546A2">
            <w:pPr>
              <w:spacing w:before="120" w:after="120"/>
              <w:rPr>
                <w:b/>
                <w:bCs/>
                <w:szCs w:val="24"/>
              </w:rPr>
            </w:pPr>
            <w:r w:rsidRPr="00264C63">
              <w:rPr>
                <w:b/>
                <w:bCs/>
                <w:szCs w:val="24"/>
              </w:rPr>
              <w:t xml:space="preserve">Approve </w:t>
            </w:r>
            <w:r>
              <w:rPr>
                <w:b/>
                <w:bCs/>
                <w:szCs w:val="24"/>
              </w:rPr>
              <w:t>p</w:t>
            </w:r>
            <w:r w:rsidRPr="00264C63">
              <w:rPr>
                <w:b/>
                <w:bCs/>
                <w:szCs w:val="24"/>
              </w:rPr>
              <w:t>lan</w:t>
            </w:r>
          </w:p>
        </w:tc>
        <w:tc>
          <w:tcPr>
            <w:tcW w:w="2265" w:type="dxa"/>
            <w:shd w:val="clear" w:color="auto" w:fill="C6D9F1" w:themeFill="text2" w:themeFillTint="33"/>
            <w:vAlign w:val="center"/>
          </w:tcPr>
          <w:p w14:paraId="644A86D8" w14:textId="77777777" w:rsidR="00655B88" w:rsidRDefault="00655B88" w:rsidP="007546A2">
            <w:pPr>
              <w:spacing w:before="120" w:after="120"/>
              <w:jc w:val="center"/>
              <w:rPr>
                <w:szCs w:val="24"/>
              </w:rPr>
            </w:pPr>
            <w:r>
              <w:rPr>
                <w:szCs w:val="24"/>
              </w:rPr>
              <w:t>12-24 hours before commencement of treatment</w:t>
            </w:r>
          </w:p>
        </w:tc>
        <w:tc>
          <w:tcPr>
            <w:tcW w:w="2265" w:type="dxa"/>
            <w:shd w:val="clear" w:color="auto" w:fill="C6D9F1" w:themeFill="text2" w:themeFillTint="33"/>
            <w:vAlign w:val="center"/>
          </w:tcPr>
          <w:p w14:paraId="1A23EB55" w14:textId="77777777" w:rsidR="00655B88" w:rsidRDefault="00655B88" w:rsidP="007546A2">
            <w:pPr>
              <w:spacing w:before="120" w:after="120"/>
              <w:jc w:val="center"/>
              <w:rPr>
                <w:szCs w:val="24"/>
              </w:rPr>
            </w:pPr>
            <w:r>
              <w:rPr>
                <w:szCs w:val="24"/>
              </w:rPr>
              <w:t>Tue 17:00</w:t>
            </w:r>
          </w:p>
        </w:tc>
        <w:tc>
          <w:tcPr>
            <w:tcW w:w="2265" w:type="dxa"/>
            <w:shd w:val="clear" w:color="auto" w:fill="C6D9F1" w:themeFill="text2" w:themeFillTint="33"/>
            <w:vAlign w:val="center"/>
          </w:tcPr>
          <w:p w14:paraId="6F07CDB4" w14:textId="77777777" w:rsidR="00655B88" w:rsidRDefault="00655B88" w:rsidP="007546A2">
            <w:pPr>
              <w:spacing w:before="120" w:after="120"/>
              <w:jc w:val="center"/>
              <w:rPr>
                <w:szCs w:val="24"/>
              </w:rPr>
            </w:pPr>
            <w:r>
              <w:rPr>
                <w:szCs w:val="24"/>
              </w:rPr>
              <w:t>Mon before 12:00</w:t>
            </w:r>
          </w:p>
        </w:tc>
      </w:tr>
      <w:tr w:rsidR="00655B88" w14:paraId="069194AF" w14:textId="77777777" w:rsidTr="004D0C67">
        <w:tc>
          <w:tcPr>
            <w:tcW w:w="2265" w:type="dxa"/>
            <w:shd w:val="clear" w:color="auto" w:fill="8DB3E2" w:themeFill="text2" w:themeFillTint="66"/>
            <w:vAlign w:val="center"/>
          </w:tcPr>
          <w:p w14:paraId="48E470BA" w14:textId="77777777" w:rsidR="00655B88" w:rsidRPr="00264C63" w:rsidRDefault="00655B88" w:rsidP="007546A2">
            <w:pPr>
              <w:spacing w:before="120" w:after="120"/>
              <w:rPr>
                <w:b/>
                <w:bCs/>
                <w:szCs w:val="24"/>
              </w:rPr>
            </w:pPr>
            <w:r w:rsidRPr="00264C63">
              <w:rPr>
                <w:b/>
                <w:bCs/>
                <w:szCs w:val="24"/>
              </w:rPr>
              <w:t>Treatment commences</w:t>
            </w:r>
          </w:p>
        </w:tc>
        <w:tc>
          <w:tcPr>
            <w:tcW w:w="2265" w:type="dxa"/>
            <w:shd w:val="clear" w:color="auto" w:fill="C6D9F1" w:themeFill="text2" w:themeFillTint="33"/>
            <w:vAlign w:val="center"/>
          </w:tcPr>
          <w:p w14:paraId="7EC57BEA" w14:textId="77777777" w:rsidR="00655B88" w:rsidRDefault="00655B88" w:rsidP="007546A2">
            <w:pPr>
              <w:spacing w:before="120" w:after="120"/>
              <w:jc w:val="center"/>
              <w:rPr>
                <w:szCs w:val="24"/>
              </w:rPr>
            </w:pPr>
            <w:r>
              <w:rPr>
                <w:szCs w:val="24"/>
              </w:rPr>
              <w:t>Wed-Fri (48-60 hours post MRI)</w:t>
            </w:r>
          </w:p>
        </w:tc>
        <w:tc>
          <w:tcPr>
            <w:tcW w:w="2265" w:type="dxa"/>
            <w:shd w:val="clear" w:color="auto" w:fill="C6D9F1" w:themeFill="text2" w:themeFillTint="33"/>
            <w:vAlign w:val="center"/>
          </w:tcPr>
          <w:p w14:paraId="792FB2DF" w14:textId="77777777" w:rsidR="00655B88" w:rsidRDefault="00655B88" w:rsidP="007546A2">
            <w:pPr>
              <w:spacing w:before="120" w:after="120"/>
              <w:jc w:val="center"/>
              <w:rPr>
                <w:szCs w:val="24"/>
              </w:rPr>
            </w:pPr>
            <w:r>
              <w:rPr>
                <w:szCs w:val="24"/>
              </w:rPr>
              <w:t>Wed PM (48-60 hours post MRI)</w:t>
            </w:r>
          </w:p>
        </w:tc>
        <w:tc>
          <w:tcPr>
            <w:tcW w:w="2265" w:type="dxa"/>
            <w:shd w:val="clear" w:color="auto" w:fill="C6D9F1" w:themeFill="text2" w:themeFillTint="33"/>
            <w:vAlign w:val="center"/>
          </w:tcPr>
          <w:p w14:paraId="35EE0063" w14:textId="77777777" w:rsidR="00655B88" w:rsidRDefault="00655B88" w:rsidP="007546A2">
            <w:pPr>
              <w:spacing w:before="120" w:after="120"/>
              <w:jc w:val="center"/>
              <w:rPr>
                <w:szCs w:val="24"/>
              </w:rPr>
            </w:pPr>
            <w:r>
              <w:rPr>
                <w:szCs w:val="24"/>
              </w:rPr>
              <w:t>Mon PM (~80 hours post MRI)</w:t>
            </w:r>
          </w:p>
        </w:tc>
      </w:tr>
    </w:tbl>
    <w:p w14:paraId="1A01B254" w14:textId="77777777" w:rsidR="00655B88" w:rsidRPr="00240833" w:rsidRDefault="00655B88" w:rsidP="00655B88">
      <w:pPr>
        <w:spacing w:line="360" w:lineRule="auto"/>
        <w:jc w:val="both"/>
        <w:rPr>
          <w:szCs w:val="24"/>
        </w:rPr>
      </w:pPr>
    </w:p>
    <w:p w14:paraId="4E22EF32" w14:textId="53251251" w:rsidR="00655B88" w:rsidRPr="00264C63" w:rsidRDefault="00655B88" w:rsidP="004D0C67">
      <w:pPr>
        <w:rPr>
          <w:b/>
          <w:bCs/>
          <w:szCs w:val="24"/>
        </w:rPr>
      </w:pPr>
      <w:r w:rsidRPr="00264C63">
        <w:rPr>
          <w:b/>
          <w:bCs/>
          <w:szCs w:val="24"/>
        </w:rPr>
        <w:t xml:space="preserve">Workflow for changing from SRS to WBRT or </w:t>
      </w:r>
      <w:r w:rsidR="001B5256">
        <w:rPr>
          <w:b/>
          <w:bCs/>
          <w:szCs w:val="24"/>
        </w:rPr>
        <w:t>Hippocampal Avoidance (</w:t>
      </w:r>
      <w:r w:rsidRPr="00264C63">
        <w:rPr>
          <w:b/>
          <w:bCs/>
          <w:szCs w:val="24"/>
        </w:rPr>
        <w:t>HA</w:t>
      </w:r>
      <w:r w:rsidR="001B5256">
        <w:rPr>
          <w:b/>
          <w:bCs/>
          <w:szCs w:val="24"/>
        </w:rPr>
        <w:t>)</w:t>
      </w:r>
      <w:r w:rsidRPr="00264C63">
        <w:rPr>
          <w:b/>
          <w:bCs/>
          <w:szCs w:val="24"/>
        </w:rPr>
        <w:t>-WBRT</w:t>
      </w:r>
    </w:p>
    <w:p w14:paraId="2D3F3139" w14:textId="2ECC0421" w:rsidR="00655B88" w:rsidRDefault="00655B88" w:rsidP="004D0C67">
      <w:pPr>
        <w:rPr>
          <w:szCs w:val="24"/>
        </w:rPr>
      </w:pPr>
      <w:r w:rsidRPr="00264C63">
        <w:rPr>
          <w:szCs w:val="24"/>
        </w:rPr>
        <w:t>In</w:t>
      </w:r>
      <w:r>
        <w:rPr>
          <w:szCs w:val="24"/>
        </w:rPr>
        <w:t xml:space="preserve"> instances</w:t>
      </w:r>
      <w:r w:rsidRPr="00264C63">
        <w:rPr>
          <w:szCs w:val="24"/>
        </w:rPr>
        <w:t xml:space="preserve"> where SRS is found to be no longer suitable after the planning MRI is reviewed, the following workflow is recommended</w:t>
      </w:r>
      <w:r>
        <w:rPr>
          <w:szCs w:val="24"/>
        </w:rPr>
        <w:t>:</w:t>
      </w:r>
    </w:p>
    <w:p w14:paraId="63C72839" w14:textId="77777777" w:rsidR="004D0C67" w:rsidRPr="00264C63" w:rsidRDefault="004D0C67" w:rsidP="004D0C67">
      <w:pPr>
        <w:rPr>
          <w:szCs w:val="24"/>
        </w:rPr>
      </w:pPr>
    </w:p>
    <w:p w14:paraId="6C502C4C" w14:textId="77777777" w:rsidR="00655B88" w:rsidRDefault="00655B88" w:rsidP="00B26EE3">
      <w:pPr>
        <w:pStyle w:val="ListParagraph"/>
        <w:numPr>
          <w:ilvl w:val="0"/>
          <w:numId w:val="6"/>
        </w:numPr>
        <w:ind w:left="360"/>
        <w:rPr>
          <w:szCs w:val="24"/>
        </w:rPr>
      </w:pPr>
      <w:r>
        <w:rPr>
          <w:szCs w:val="24"/>
        </w:rPr>
        <w:t>Radiation Oncologist</w:t>
      </w:r>
    </w:p>
    <w:p w14:paraId="5AC06295" w14:textId="77777777" w:rsidR="00655B88" w:rsidRDefault="00655B88" w:rsidP="00B26EE3">
      <w:pPr>
        <w:pStyle w:val="ListParagraph"/>
        <w:numPr>
          <w:ilvl w:val="0"/>
          <w:numId w:val="15"/>
        </w:numPr>
        <w:rPr>
          <w:szCs w:val="24"/>
        </w:rPr>
      </w:pPr>
      <w:r>
        <w:rPr>
          <w:szCs w:val="24"/>
        </w:rPr>
        <w:t>Liaises with SRS RT to ensure resources and appointments are available for the change in technique/additional fractions required.</w:t>
      </w:r>
    </w:p>
    <w:p w14:paraId="2192DB74" w14:textId="77777777" w:rsidR="00655B88" w:rsidRDefault="00655B88" w:rsidP="00B26EE3">
      <w:pPr>
        <w:pStyle w:val="ListParagraph"/>
        <w:numPr>
          <w:ilvl w:val="0"/>
          <w:numId w:val="15"/>
        </w:numPr>
        <w:rPr>
          <w:szCs w:val="24"/>
        </w:rPr>
      </w:pPr>
      <w:r>
        <w:rPr>
          <w:szCs w:val="24"/>
        </w:rPr>
        <w:t xml:space="preserve">Discuss the change in management with the patient and reconsent, if required. </w:t>
      </w:r>
    </w:p>
    <w:p w14:paraId="19F9A525" w14:textId="77777777" w:rsidR="00655B88" w:rsidRDefault="00655B88" w:rsidP="00B26EE3">
      <w:pPr>
        <w:pStyle w:val="ListParagraph"/>
        <w:numPr>
          <w:ilvl w:val="0"/>
          <w:numId w:val="15"/>
        </w:numPr>
        <w:rPr>
          <w:szCs w:val="24"/>
        </w:rPr>
      </w:pPr>
      <w:r>
        <w:rPr>
          <w:szCs w:val="24"/>
        </w:rPr>
        <w:t xml:space="preserve">Expect treatment to commence 2-3 days for WBRT and 3-4 days for HA-WBRT at the earliest depending on availability of machine/resources </w:t>
      </w:r>
    </w:p>
    <w:p w14:paraId="1941322B" w14:textId="77777777" w:rsidR="00655B88" w:rsidRDefault="00655B88" w:rsidP="00B26EE3">
      <w:pPr>
        <w:pStyle w:val="ListParagraph"/>
        <w:numPr>
          <w:ilvl w:val="0"/>
          <w:numId w:val="6"/>
        </w:numPr>
        <w:ind w:left="360"/>
        <w:rPr>
          <w:szCs w:val="24"/>
        </w:rPr>
      </w:pPr>
      <w:r>
        <w:rPr>
          <w:szCs w:val="24"/>
        </w:rPr>
        <w:t>SRS Radiation Therapist</w:t>
      </w:r>
    </w:p>
    <w:p w14:paraId="752E5829" w14:textId="77777777" w:rsidR="00655B88" w:rsidRDefault="00655B88" w:rsidP="00B26EE3">
      <w:pPr>
        <w:pStyle w:val="ListParagraph"/>
        <w:numPr>
          <w:ilvl w:val="0"/>
          <w:numId w:val="16"/>
        </w:numPr>
        <w:rPr>
          <w:szCs w:val="24"/>
        </w:rPr>
      </w:pPr>
      <w:r>
        <w:rPr>
          <w:szCs w:val="24"/>
        </w:rPr>
        <w:t>Inform CT and planning seniors of the change in management.</w:t>
      </w:r>
    </w:p>
    <w:p w14:paraId="0DF9141C" w14:textId="77777777" w:rsidR="00655B88" w:rsidRDefault="00655B88" w:rsidP="00B26EE3">
      <w:pPr>
        <w:pStyle w:val="ListParagraph"/>
        <w:numPr>
          <w:ilvl w:val="0"/>
          <w:numId w:val="16"/>
        </w:numPr>
        <w:rPr>
          <w:szCs w:val="24"/>
        </w:rPr>
      </w:pPr>
      <w:r>
        <w:rPr>
          <w:szCs w:val="24"/>
        </w:rPr>
        <w:t>Cancel SRS treatments and care-path.</w:t>
      </w:r>
    </w:p>
    <w:p w14:paraId="2785295A" w14:textId="77777777" w:rsidR="00655B88" w:rsidRDefault="00655B88" w:rsidP="00B26EE3">
      <w:pPr>
        <w:pStyle w:val="ListParagraph"/>
        <w:numPr>
          <w:ilvl w:val="0"/>
          <w:numId w:val="16"/>
        </w:numPr>
        <w:rPr>
          <w:szCs w:val="24"/>
        </w:rPr>
      </w:pPr>
      <w:r>
        <w:rPr>
          <w:szCs w:val="24"/>
        </w:rPr>
        <w:t>Create appropriate care-path.</w:t>
      </w:r>
    </w:p>
    <w:p w14:paraId="3A90177F" w14:textId="676521FF" w:rsidR="00655B88" w:rsidRDefault="00655B88" w:rsidP="00B26EE3">
      <w:pPr>
        <w:pStyle w:val="ListParagraph"/>
        <w:numPr>
          <w:ilvl w:val="0"/>
          <w:numId w:val="16"/>
        </w:numPr>
        <w:rPr>
          <w:szCs w:val="24"/>
        </w:rPr>
      </w:pPr>
      <w:r>
        <w:rPr>
          <w:szCs w:val="24"/>
        </w:rPr>
        <w:t>Inform Head of Treatment if there are issues with booking additional fractions.</w:t>
      </w:r>
    </w:p>
    <w:p w14:paraId="2DD63171" w14:textId="77777777" w:rsidR="00187434" w:rsidRPr="00264C63" w:rsidRDefault="00187434" w:rsidP="00187434">
      <w:pPr>
        <w:pStyle w:val="ListParagraph"/>
        <w:rPr>
          <w:szCs w:val="24"/>
        </w:rPr>
      </w:pPr>
    </w:p>
    <w:p w14:paraId="32F17B08" w14:textId="51542711" w:rsidR="00655B88" w:rsidRPr="00187434" w:rsidRDefault="007F1B99" w:rsidP="00187434">
      <w:pPr>
        <w:jc w:val="right"/>
        <w:rPr>
          <w:rFonts w:cs="Arial"/>
          <w:i/>
          <w:szCs w:val="24"/>
        </w:rPr>
      </w:pPr>
      <w:hyperlink w:anchor="Contents" w:history="1">
        <w:r w:rsidR="00655B88" w:rsidRPr="00F93337">
          <w:rPr>
            <w:rStyle w:val="Hyperlink"/>
            <w:rFonts w:eastAsiaTheme="majorEastAsia" w:cs="Arial"/>
            <w:i/>
            <w:szCs w:val="24"/>
          </w:rPr>
          <w:t>Back to Table of Contents</w:t>
        </w:r>
      </w:hyperlink>
      <w:r w:rsidR="00655B88" w:rsidRPr="00F93337">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11746010" w14:textId="77777777" w:rsidTr="007546A2">
        <w:trPr>
          <w:cantSplit/>
          <w:trHeight w:val="285"/>
        </w:trPr>
        <w:tc>
          <w:tcPr>
            <w:tcW w:w="9158" w:type="dxa"/>
            <w:shd w:val="clear" w:color="auto" w:fill="D9D9D9" w:themeFill="background1" w:themeFillShade="D9"/>
          </w:tcPr>
          <w:p w14:paraId="7509BBBE" w14:textId="77777777" w:rsidR="00655B88" w:rsidRPr="003D2D06" w:rsidRDefault="00655B88" w:rsidP="007546A2">
            <w:pPr>
              <w:pStyle w:val="Heading1"/>
            </w:pPr>
            <w:bookmarkStart w:id="23" w:name="_Toc116641224"/>
            <w:r w:rsidRPr="003D2D06">
              <w:t xml:space="preserve">Section </w:t>
            </w:r>
            <w:r>
              <w:t>12</w:t>
            </w:r>
            <w:r w:rsidRPr="003D2D06">
              <w:t xml:space="preserve"> – </w:t>
            </w:r>
            <w:r>
              <w:t>Using Systemic Treatment Instead of Local Treatment</w:t>
            </w:r>
            <w:bookmarkEnd w:id="23"/>
            <w:r>
              <w:t xml:space="preserve"> </w:t>
            </w:r>
          </w:p>
        </w:tc>
      </w:tr>
    </w:tbl>
    <w:p w14:paraId="3895F8FD" w14:textId="77777777" w:rsidR="00655B88" w:rsidRDefault="00655B88" w:rsidP="0011698D">
      <w:pPr>
        <w:rPr>
          <w:szCs w:val="24"/>
        </w:rPr>
      </w:pPr>
    </w:p>
    <w:p w14:paraId="6C7DDE12" w14:textId="77777777" w:rsidR="00655B88" w:rsidRPr="00E977FA" w:rsidRDefault="00655B88" w:rsidP="0011698D">
      <w:pPr>
        <w:rPr>
          <w:szCs w:val="24"/>
        </w:rPr>
      </w:pPr>
      <w:r>
        <w:rPr>
          <w:szCs w:val="24"/>
        </w:rPr>
        <w:t>I</w:t>
      </w:r>
      <w:r w:rsidRPr="00E977FA">
        <w:rPr>
          <w:szCs w:val="24"/>
        </w:rPr>
        <w:t xml:space="preserve">n patients with </w:t>
      </w:r>
      <w:r w:rsidRPr="00E977FA">
        <w:rPr>
          <w:szCs w:val="24"/>
          <w:u w:val="single"/>
        </w:rPr>
        <w:t>asymptomatic</w:t>
      </w:r>
      <w:r w:rsidRPr="00E977FA">
        <w:rPr>
          <w:szCs w:val="24"/>
        </w:rPr>
        <w:t xml:space="preserve"> brain metastases, local therapy may be deferred until there is evidence of intracranial progression in specific circumstances where following systemic agents are offered:</w:t>
      </w:r>
    </w:p>
    <w:p w14:paraId="33BD426A" w14:textId="77777777" w:rsidR="00655B88" w:rsidRPr="00E977FA" w:rsidRDefault="00655B88" w:rsidP="00B26EE3">
      <w:pPr>
        <w:numPr>
          <w:ilvl w:val="0"/>
          <w:numId w:val="10"/>
        </w:numPr>
        <w:rPr>
          <w:szCs w:val="24"/>
        </w:rPr>
      </w:pPr>
      <w:r w:rsidRPr="00E977FA">
        <w:rPr>
          <w:szCs w:val="24"/>
        </w:rPr>
        <w:t>Osimertinib or icotinib in EGFR-mutant NSCLC</w:t>
      </w:r>
      <w:r>
        <w:rPr>
          <w:szCs w:val="24"/>
        </w:rPr>
        <w:t>.</w:t>
      </w:r>
    </w:p>
    <w:p w14:paraId="7EA9A94E" w14:textId="77777777" w:rsidR="00655B88" w:rsidRPr="00E977FA" w:rsidRDefault="00655B88" w:rsidP="00B26EE3">
      <w:pPr>
        <w:numPr>
          <w:ilvl w:val="0"/>
          <w:numId w:val="10"/>
        </w:numPr>
        <w:rPr>
          <w:szCs w:val="24"/>
        </w:rPr>
      </w:pPr>
      <w:r w:rsidRPr="00E977FA">
        <w:rPr>
          <w:szCs w:val="24"/>
        </w:rPr>
        <w:lastRenderedPageBreak/>
        <w:t>Alectinib, brigatinib or ceritinib in ALK-rearranged NSCLC</w:t>
      </w:r>
      <w:r>
        <w:rPr>
          <w:szCs w:val="24"/>
        </w:rPr>
        <w:t>.</w:t>
      </w:r>
    </w:p>
    <w:p w14:paraId="4DD11C82" w14:textId="77777777" w:rsidR="00655B88" w:rsidRPr="00E977FA" w:rsidRDefault="00655B88" w:rsidP="00B26EE3">
      <w:pPr>
        <w:numPr>
          <w:ilvl w:val="0"/>
          <w:numId w:val="10"/>
        </w:numPr>
        <w:rPr>
          <w:szCs w:val="24"/>
        </w:rPr>
      </w:pPr>
      <w:r w:rsidRPr="00E977FA">
        <w:rPr>
          <w:szCs w:val="24"/>
        </w:rPr>
        <w:t>Pembrolizumab in immunotherapy-naïve PD-L1 expressing NSCLC who are also receiving pemetrexed and a platinum agent</w:t>
      </w:r>
      <w:r>
        <w:rPr>
          <w:szCs w:val="24"/>
        </w:rPr>
        <w:t>.</w:t>
      </w:r>
    </w:p>
    <w:p w14:paraId="6A3F74C6" w14:textId="77777777" w:rsidR="00655B88" w:rsidRPr="00E977FA" w:rsidRDefault="00655B88" w:rsidP="00B26EE3">
      <w:pPr>
        <w:numPr>
          <w:ilvl w:val="0"/>
          <w:numId w:val="10"/>
        </w:numPr>
        <w:rPr>
          <w:szCs w:val="24"/>
        </w:rPr>
      </w:pPr>
      <w:r w:rsidRPr="00E977FA">
        <w:rPr>
          <w:szCs w:val="24"/>
        </w:rPr>
        <w:t>Ipilimumab plus nivolumab in melanoma (regardless of BRAF status)</w:t>
      </w:r>
      <w:r>
        <w:rPr>
          <w:szCs w:val="24"/>
        </w:rPr>
        <w:t>.</w:t>
      </w:r>
    </w:p>
    <w:p w14:paraId="1F6FD00F" w14:textId="77777777" w:rsidR="00655B88" w:rsidRPr="00E977FA" w:rsidRDefault="00655B88" w:rsidP="00B26EE3">
      <w:pPr>
        <w:numPr>
          <w:ilvl w:val="0"/>
          <w:numId w:val="10"/>
        </w:numPr>
        <w:rPr>
          <w:szCs w:val="24"/>
        </w:rPr>
      </w:pPr>
      <w:r w:rsidRPr="00E977FA">
        <w:rPr>
          <w:szCs w:val="24"/>
        </w:rPr>
        <w:t>Dabrafenib plus trametinib in BRAF-V600E mutant melanoma</w:t>
      </w:r>
      <w:r>
        <w:rPr>
          <w:szCs w:val="24"/>
        </w:rPr>
        <w:t>.</w:t>
      </w:r>
    </w:p>
    <w:p w14:paraId="1F8D9A28" w14:textId="16D383BB" w:rsidR="00655B88" w:rsidRPr="0011698D" w:rsidRDefault="00655B88" w:rsidP="00B26EE3">
      <w:pPr>
        <w:numPr>
          <w:ilvl w:val="0"/>
          <w:numId w:val="10"/>
        </w:numPr>
        <w:rPr>
          <w:rFonts w:cs="Calibri"/>
          <w:szCs w:val="24"/>
        </w:rPr>
      </w:pPr>
      <w:r w:rsidRPr="00E977FA">
        <w:rPr>
          <w:szCs w:val="24"/>
        </w:rPr>
        <w:t>Combination of tucatinib, trastuzumab, and capecitabine in HER2-positive breast cancer who progressed on previous trastuzumab, pertuzumab, and/or trastuzumab emtansine-based therapy</w:t>
      </w:r>
      <w:r>
        <w:rPr>
          <w:szCs w:val="24"/>
        </w:rPr>
        <w:t>.</w:t>
      </w:r>
    </w:p>
    <w:p w14:paraId="4B715009" w14:textId="77777777" w:rsidR="0011698D" w:rsidRPr="00E977FA" w:rsidRDefault="0011698D" w:rsidP="0011698D">
      <w:pPr>
        <w:ind w:left="360"/>
        <w:rPr>
          <w:rFonts w:cs="Calibri"/>
          <w:szCs w:val="24"/>
        </w:rPr>
      </w:pPr>
    </w:p>
    <w:p w14:paraId="165FA7AE" w14:textId="77777777" w:rsidR="00655B88" w:rsidRPr="00154885" w:rsidRDefault="00655B88" w:rsidP="0011698D">
      <w:pPr>
        <w:rPr>
          <w:szCs w:val="24"/>
        </w:rPr>
      </w:pPr>
      <w:r w:rsidRPr="00E977FA">
        <w:rPr>
          <w:szCs w:val="24"/>
        </w:rPr>
        <w:t xml:space="preserve">Patients with </w:t>
      </w:r>
      <w:r w:rsidRPr="00E977FA">
        <w:rPr>
          <w:szCs w:val="24"/>
          <w:u w:val="single"/>
        </w:rPr>
        <w:t>symptomatic and asymptomatic (other than the specific circumstances mentioned above) brain metastases</w:t>
      </w:r>
      <w:r w:rsidRPr="00E977FA">
        <w:rPr>
          <w:szCs w:val="24"/>
        </w:rPr>
        <w:t xml:space="preserve"> should be offered local therapy regardless of the systemic therapy currently being used.</w:t>
      </w:r>
    </w:p>
    <w:p w14:paraId="6EB08C0F" w14:textId="77777777" w:rsidR="00655B88" w:rsidRPr="00264C63" w:rsidRDefault="007F1B99" w:rsidP="00655B88">
      <w:pPr>
        <w:jc w:val="right"/>
        <w:rPr>
          <w:rFonts w:cs="Arial"/>
          <w:i/>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656E59B9" w14:textId="77777777" w:rsidTr="007546A2">
        <w:trPr>
          <w:cantSplit/>
          <w:trHeight w:val="285"/>
        </w:trPr>
        <w:tc>
          <w:tcPr>
            <w:tcW w:w="9158" w:type="dxa"/>
            <w:shd w:val="clear" w:color="auto" w:fill="D9D9D9" w:themeFill="background1" w:themeFillShade="D9"/>
          </w:tcPr>
          <w:p w14:paraId="05FA1117" w14:textId="77777777" w:rsidR="00655B88" w:rsidRPr="003D2D06" w:rsidRDefault="00655B88" w:rsidP="007546A2">
            <w:pPr>
              <w:pStyle w:val="Heading1"/>
            </w:pPr>
            <w:bookmarkStart w:id="24" w:name="_Toc116641225"/>
            <w:r w:rsidRPr="003D2D06">
              <w:t xml:space="preserve">Section </w:t>
            </w:r>
            <w:r>
              <w:t>13</w:t>
            </w:r>
            <w:r w:rsidRPr="003D2D06">
              <w:t xml:space="preserve"> – </w:t>
            </w:r>
            <w:r>
              <w:t>Staged or Adaptive SRS</w:t>
            </w:r>
            <w:bookmarkEnd w:id="24"/>
          </w:p>
        </w:tc>
      </w:tr>
    </w:tbl>
    <w:p w14:paraId="5574FB27" w14:textId="77777777" w:rsidR="00655B88" w:rsidRDefault="00655B88" w:rsidP="00655B88">
      <w:pPr>
        <w:jc w:val="both"/>
        <w:rPr>
          <w:szCs w:val="24"/>
        </w:rPr>
      </w:pPr>
    </w:p>
    <w:p w14:paraId="03D3E50F" w14:textId="77777777" w:rsidR="00655B88" w:rsidRDefault="00655B88" w:rsidP="004247AC">
      <w:pPr>
        <w:rPr>
          <w:szCs w:val="24"/>
        </w:rPr>
      </w:pPr>
      <w:r>
        <w:rPr>
          <w:szCs w:val="24"/>
        </w:rPr>
        <w:t>For larger brain metastasis (</w:t>
      </w:r>
      <w:r>
        <w:t>≥</w:t>
      </w:r>
      <w:r>
        <w:rPr>
          <w:szCs w:val="24"/>
        </w:rPr>
        <w:t xml:space="preserve">4 to 15 cc in volume or </w:t>
      </w:r>
      <w:r>
        <w:t>≥</w:t>
      </w:r>
      <w:r>
        <w:rPr>
          <w:szCs w:val="24"/>
        </w:rPr>
        <w:t>2-4 cm in diameter), instead of hypofractionation, a staged/adaptive approach could also be considered, as follows:</w:t>
      </w:r>
    </w:p>
    <w:p w14:paraId="7794B9AF" w14:textId="77777777" w:rsidR="004247AC" w:rsidRDefault="004247AC" w:rsidP="004247AC">
      <w:pPr>
        <w:rPr>
          <w:b/>
          <w:bCs/>
          <w:szCs w:val="24"/>
        </w:rPr>
      </w:pPr>
    </w:p>
    <w:p w14:paraId="73071469" w14:textId="4A6AA04E" w:rsidR="00655B88" w:rsidRPr="00264C63" w:rsidRDefault="00655B88" w:rsidP="004247AC">
      <w:pPr>
        <w:rPr>
          <w:b/>
          <w:bCs/>
          <w:szCs w:val="24"/>
        </w:rPr>
      </w:pPr>
      <w:r w:rsidRPr="00264C63">
        <w:rPr>
          <w:b/>
          <w:bCs/>
          <w:szCs w:val="24"/>
        </w:rPr>
        <w:t>Two-staged SRS</w:t>
      </w:r>
    </w:p>
    <w:p w14:paraId="71A7078A" w14:textId="77777777" w:rsidR="00655B88" w:rsidRPr="00264C63" w:rsidRDefault="00655B88" w:rsidP="00B26EE3">
      <w:pPr>
        <w:pStyle w:val="ListParagraph"/>
        <w:numPr>
          <w:ilvl w:val="0"/>
          <w:numId w:val="17"/>
        </w:numPr>
        <w:rPr>
          <w:szCs w:val="24"/>
        </w:rPr>
      </w:pPr>
      <w:r w:rsidRPr="00264C63">
        <w:rPr>
          <w:szCs w:val="24"/>
        </w:rPr>
        <w:t>Total dose equalling 30 Gy in 2 fractions</w:t>
      </w:r>
    </w:p>
    <w:p w14:paraId="2FD91BAA" w14:textId="77777777" w:rsidR="00655B88" w:rsidRPr="00264C63" w:rsidRDefault="00655B88" w:rsidP="00B26EE3">
      <w:pPr>
        <w:pStyle w:val="ListParagraph"/>
        <w:numPr>
          <w:ilvl w:val="0"/>
          <w:numId w:val="17"/>
        </w:numPr>
        <w:rPr>
          <w:szCs w:val="24"/>
        </w:rPr>
      </w:pPr>
      <w:r w:rsidRPr="00264C63">
        <w:rPr>
          <w:szCs w:val="24"/>
        </w:rPr>
        <w:t xml:space="preserve">Fraction 1: 15 Gy (range 10-21 Gy) </w:t>
      </w:r>
      <w:r>
        <w:sym w:font="Wingdings 3" w:char="F067"/>
      </w:r>
      <w:r w:rsidRPr="00264C63">
        <w:rPr>
          <w:szCs w:val="24"/>
        </w:rPr>
        <w:t xml:space="preserve"> 4 weeks interval </w:t>
      </w:r>
      <w:r>
        <w:sym w:font="Wingdings 3" w:char="F067"/>
      </w:r>
      <w:r w:rsidRPr="00264C63">
        <w:rPr>
          <w:szCs w:val="24"/>
        </w:rPr>
        <w:t xml:space="preserve"> </w:t>
      </w:r>
      <w:r>
        <w:rPr>
          <w:szCs w:val="24"/>
        </w:rPr>
        <w:t>resim/</w:t>
      </w:r>
      <w:r w:rsidRPr="00264C63">
        <w:rPr>
          <w:szCs w:val="24"/>
        </w:rPr>
        <w:t>replan and fraction 2: 1</w:t>
      </w:r>
      <w:r>
        <w:rPr>
          <w:szCs w:val="24"/>
        </w:rPr>
        <w:t>5</w:t>
      </w:r>
      <w:r w:rsidRPr="00264C63">
        <w:rPr>
          <w:szCs w:val="24"/>
        </w:rPr>
        <w:t xml:space="preserve"> Gy (10-18 Gy)</w:t>
      </w:r>
    </w:p>
    <w:p w14:paraId="70FBBDB7" w14:textId="77777777" w:rsidR="004247AC" w:rsidRDefault="004247AC" w:rsidP="004247AC">
      <w:pPr>
        <w:rPr>
          <w:b/>
          <w:bCs/>
          <w:szCs w:val="24"/>
        </w:rPr>
      </w:pPr>
    </w:p>
    <w:p w14:paraId="37071D34" w14:textId="16B9CD0A" w:rsidR="00655B88" w:rsidRPr="00264C63" w:rsidRDefault="00655B88" w:rsidP="004247AC">
      <w:pPr>
        <w:rPr>
          <w:b/>
          <w:bCs/>
          <w:szCs w:val="24"/>
        </w:rPr>
      </w:pPr>
      <w:r w:rsidRPr="00264C63">
        <w:rPr>
          <w:b/>
          <w:bCs/>
          <w:szCs w:val="24"/>
        </w:rPr>
        <w:t>Three-staged SRS</w:t>
      </w:r>
    </w:p>
    <w:p w14:paraId="26F82291" w14:textId="77777777" w:rsidR="00655B88" w:rsidRPr="00264C63" w:rsidRDefault="00655B88" w:rsidP="00B26EE3">
      <w:pPr>
        <w:pStyle w:val="ListParagraph"/>
        <w:numPr>
          <w:ilvl w:val="0"/>
          <w:numId w:val="18"/>
        </w:numPr>
        <w:rPr>
          <w:szCs w:val="24"/>
        </w:rPr>
      </w:pPr>
      <w:r w:rsidRPr="00264C63">
        <w:rPr>
          <w:szCs w:val="24"/>
        </w:rPr>
        <w:t>Total dose equalling 30 Gy in 30 fractions</w:t>
      </w:r>
    </w:p>
    <w:p w14:paraId="1852E3E1" w14:textId="77777777" w:rsidR="00655B88" w:rsidRPr="00264C63" w:rsidRDefault="00655B88" w:rsidP="00B26EE3">
      <w:pPr>
        <w:pStyle w:val="ListParagraph"/>
        <w:numPr>
          <w:ilvl w:val="0"/>
          <w:numId w:val="18"/>
        </w:numPr>
        <w:rPr>
          <w:szCs w:val="24"/>
        </w:rPr>
      </w:pPr>
      <w:r w:rsidRPr="00264C63">
        <w:rPr>
          <w:szCs w:val="24"/>
        </w:rPr>
        <w:t xml:space="preserve">Fraction 1: 10 Gy </w:t>
      </w:r>
      <w:r>
        <w:sym w:font="Wingdings 3" w:char="F067"/>
      </w:r>
      <w:r w:rsidRPr="00264C63">
        <w:rPr>
          <w:szCs w:val="24"/>
        </w:rPr>
        <w:t xml:space="preserve"> 2 weeks interval </w:t>
      </w:r>
      <w:r>
        <w:sym w:font="Wingdings 3" w:char="F067"/>
      </w:r>
      <w:r w:rsidRPr="00264C63">
        <w:rPr>
          <w:szCs w:val="24"/>
        </w:rPr>
        <w:t xml:space="preserve"> </w:t>
      </w:r>
      <w:r>
        <w:rPr>
          <w:szCs w:val="24"/>
        </w:rPr>
        <w:t>resim/</w:t>
      </w:r>
      <w:r w:rsidRPr="00264C63">
        <w:rPr>
          <w:szCs w:val="24"/>
        </w:rPr>
        <w:t xml:space="preserve">replan and fraction 2: 10 Gy </w:t>
      </w:r>
      <w:r>
        <w:sym w:font="Wingdings 3" w:char="F067"/>
      </w:r>
      <w:r w:rsidRPr="00264C63">
        <w:rPr>
          <w:szCs w:val="24"/>
        </w:rPr>
        <w:t xml:space="preserve"> 2 weeks interval </w:t>
      </w:r>
      <w:r>
        <w:sym w:font="Wingdings 3" w:char="F067"/>
      </w:r>
      <w:r w:rsidRPr="00264C63">
        <w:rPr>
          <w:szCs w:val="24"/>
        </w:rPr>
        <w:t xml:space="preserve"> </w:t>
      </w:r>
      <w:r>
        <w:rPr>
          <w:szCs w:val="24"/>
        </w:rPr>
        <w:t>resim/</w:t>
      </w:r>
      <w:r w:rsidRPr="00264C63">
        <w:rPr>
          <w:szCs w:val="24"/>
        </w:rPr>
        <w:t>replan and fraction 3: 10 Gy</w:t>
      </w:r>
    </w:p>
    <w:p w14:paraId="3EFCE1FD" w14:textId="77777777" w:rsidR="00655B88" w:rsidRDefault="00655B88" w:rsidP="004247AC">
      <w:pPr>
        <w:rPr>
          <w:szCs w:val="24"/>
        </w:rPr>
      </w:pPr>
    </w:p>
    <w:p w14:paraId="06768A0B" w14:textId="77777777" w:rsidR="00655B88" w:rsidRDefault="007F1B99" w:rsidP="00655B88">
      <w:pPr>
        <w:jc w:val="right"/>
        <w:rPr>
          <w:rFonts w:cs="Arial"/>
          <w:i/>
          <w:szCs w:val="24"/>
        </w:rPr>
      </w:pPr>
      <w:hyperlink w:anchor="Contents" w:history="1">
        <w:r w:rsidR="00655B88" w:rsidRPr="00C91F3F">
          <w:rPr>
            <w:rStyle w:val="Hyperlink"/>
            <w:rFonts w:eastAsiaTheme="majorEastAsia" w:cs="Arial"/>
            <w:i/>
            <w:szCs w:val="24"/>
          </w:rPr>
          <w:t>Back to Table of Contents</w:t>
        </w:r>
      </w:hyperlink>
      <w:r w:rsidR="00655B8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1F48AE12" w14:textId="77777777" w:rsidTr="007546A2">
        <w:trPr>
          <w:cantSplit/>
          <w:trHeight w:val="285"/>
        </w:trPr>
        <w:tc>
          <w:tcPr>
            <w:tcW w:w="9158" w:type="dxa"/>
            <w:shd w:val="clear" w:color="auto" w:fill="D9D9D9" w:themeFill="background1" w:themeFillShade="D9"/>
          </w:tcPr>
          <w:p w14:paraId="0C9A8764" w14:textId="77777777" w:rsidR="00655B88" w:rsidRPr="00CD1C0E" w:rsidRDefault="00655B88" w:rsidP="007546A2">
            <w:pPr>
              <w:pStyle w:val="Heading1"/>
            </w:pPr>
            <w:bookmarkStart w:id="25" w:name="_Toc116641226"/>
            <w:r>
              <w:t>Evaluation</w:t>
            </w:r>
            <w:bookmarkEnd w:id="25"/>
            <w:r>
              <w:t xml:space="preserve"> </w:t>
            </w:r>
          </w:p>
        </w:tc>
      </w:tr>
    </w:tbl>
    <w:p w14:paraId="69243D73" w14:textId="77777777" w:rsidR="00655B88" w:rsidRDefault="00655B88" w:rsidP="004247AC">
      <w:pPr>
        <w:pStyle w:val="Default"/>
        <w:rPr>
          <w:rFonts w:ascii="Calibri" w:hAnsi="Calibri" w:cs="Arial"/>
          <w:i/>
          <w:color w:val="auto"/>
          <w:lang w:eastAsia="en-US"/>
        </w:rPr>
      </w:pPr>
    </w:p>
    <w:p w14:paraId="2E565638" w14:textId="77777777" w:rsidR="00655B88" w:rsidRDefault="00655B88" w:rsidP="004247AC">
      <w:pPr>
        <w:pStyle w:val="Default"/>
        <w:rPr>
          <w:rFonts w:ascii="Calibri" w:hAnsi="Calibri" w:cs="Arial"/>
          <w:b/>
          <w:bCs/>
          <w:iCs/>
          <w:color w:val="auto"/>
          <w:lang w:eastAsia="en-US"/>
        </w:rPr>
      </w:pPr>
      <w:r>
        <w:rPr>
          <w:rFonts w:ascii="Calibri" w:hAnsi="Calibri" w:cs="Arial"/>
          <w:b/>
          <w:bCs/>
          <w:iCs/>
          <w:color w:val="auto"/>
          <w:lang w:eastAsia="en-US"/>
        </w:rPr>
        <w:t>Outcome</w:t>
      </w:r>
    </w:p>
    <w:p w14:paraId="28A167B7" w14:textId="7B1704D0" w:rsidR="00D75083" w:rsidRPr="00D75083" w:rsidRDefault="00766B97" w:rsidP="00B26EE3">
      <w:pPr>
        <w:pStyle w:val="Default"/>
        <w:numPr>
          <w:ilvl w:val="0"/>
          <w:numId w:val="19"/>
        </w:numPr>
        <w:rPr>
          <w:rFonts w:ascii="Calibri" w:hAnsi="Calibri" w:cs="Arial"/>
          <w:b/>
          <w:bCs/>
          <w:iCs/>
          <w:color w:val="auto"/>
          <w:lang w:eastAsia="en-US"/>
        </w:rPr>
      </w:pPr>
      <w:r>
        <w:rPr>
          <w:rFonts w:ascii="Calibri" w:hAnsi="Calibri" w:cs="Arial"/>
          <w:iCs/>
          <w:color w:val="auto"/>
          <w:lang w:eastAsia="en-US"/>
        </w:rPr>
        <w:t>Consistency in the treatment of Stereotactic Radiosurgery for definitive and postoperative brain metastasis(es)</w:t>
      </w:r>
      <w:r w:rsidR="00D75083">
        <w:rPr>
          <w:rFonts w:ascii="Calibri" w:hAnsi="Calibri" w:cs="Arial"/>
          <w:iCs/>
          <w:color w:val="auto"/>
          <w:lang w:eastAsia="en-US"/>
        </w:rPr>
        <w:t xml:space="preserve"> across all patients receiving this treatment at CHS</w:t>
      </w:r>
    </w:p>
    <w:p w14:paraId="7E5E330F" w14:textId="3F717129" w:rsidR="00766B97" w:rsidRPr="00766B97" w:rsidRDefault="00766B97" w:rsidP="004247AC">
      <w:pPr>
        <w:pStyle w:val="Default"/>
        <w:rPr>
          <w:rFonts w:ascii="Calibri" w:hAnsi="Calibri" w:cs="Arial"/>
          <w:b/>
          <w:bCs/>
          <w:iCs/>
          <w:color w:val="auto"/>
          <w:lang w:eastAsia="en-US"/>
        </w:rPr>
      </w:pPr>
    </w:p>
    <w:p w14:paraId="27BDF655" w14:textId="77777777" w:rsidR="00655B88" w:rsidRDefault="00655B88" w:rsidP="004247AC">
      <w:pPr>
        <w:pStyle w:val="Default"/>
        <w:rPr>
          <w:rFonts w:ascii="Calibri" w:hAnsi="Calibri" w:cs="Arial"/>
          <w:b/>
          <w:bCs/>
          <w:iCs/>
          <w:color w:val="auto"/>
          <w:lang w:eastAsia="en-US"/>
        </w:rPr>
      </w:pPr>
      <w:r>
        <w:rPr>
          <w:rFonts w:ascii="Calibri" w:hAnsi="Calibri" w:cs="Arial"/>
          <w:b/>
          <w:bCs/>
          <w:iCs/>
          <w:color w:val="auto"/>
          <w:lang w:eastAsia="en-US"/>
        </w:rPr>
        <w:t>Measures</w:t>
      </w:r>
    </w:p>
    <w:p w14:paraId="17717894" w14:textId="1AE9FFB2" w:rsidR="00655B88" w:rsidRPr="001B5256" w:rsidRDefault="001B5256" w:rsidP="00B26EE3">
      <w:pPr>
        <w:pStyle w:val="ListParagraph"/>
        <w:numPr>
          <w:ilvl w:val="0"/>
          <w:numId w:val="19"/>
        </w:numPr>
        <w:rPr>
          <w:i/>
          <w:iCs/>
          <w:szCs w:val="24"/>
        </w:rPr>
      </w:pPr>
      <w:r>
        <w:rPr>
          <w:szCs w:val="24"/>
        </w:rPr>
        <w:t>Review of f</w:t>
      </w:r>
      <w:r w:rsidR="00D75083">
        <w:rPr>
          <w:szCs w:val="24"/>
        </w:rPr>
        <w:t>eedback from Radiation Oncologist group at monthly Stereotactic meetings</w:t>
      </w:r>
    </w:p>
    <w:p w14:paraId="1E03119A" w14:textId="77777777" w:rsidR="001B5256" w:rsidRPr="001B5256" w:rsidRDefault="001B5256" w:rsidP="001B5256">
      <w:pPr>
        <w:rPr>
          <w:i/>
          <w:iCs/>
          <w:szCs w:val="24"/>
        </w:rPr>
      </w:pPr>
    </w:p>
    <w:p w14:paraId="772B8920" w14:textId="77777777" w:rsidR="00655B88" w:rsidRDefault="007F1B99" w:rsidP="00655B88">
      <w:pPr>
        <w:jc w:val="right"/>
      </w:pPr>
      <w:hyperlink r:id="rId11" w:anchor="Contents" w:history="1">
        <w:r w:rsidR="00655B88">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7D0B3585" w14:textId="77777777" w:rsidTr="007546A2">
        <w:trPr>
          <w:cantSplit/>
          <w:trHeight w:val="285"/>
        </w:trPr>
        <w:tc>
          <w:tcPr>
            <w:tcW w:w="9158" w:type="dxa"/>
            <w:shd w:val="clear" w:color="auto" w:fill="D9D9D9" w:themeFill="background1" w:themeFillShade="D9"/>
          </w:tcPr>
          <w:p w14:paraId="5C3875C7" w14:textId="77777777" w:rsidR="00655B88" w:rsidRPr="00CD1C0E" w:rsidRDefault="00655B88" w:rsidP="007546A2">
            <w:pPr>
              <w:pStyle w:val="Heading1"/>
            </w:pPr>
            <w:bookmarkStart w:id="26" w:name="_Toc389473287"/>
            <w:bookmarkStart w:id="27" w:name="_Toc393203347"/>
            <w:bookmarkStart w:id="28" w:name="_Toc116641227"/>
            <w:r>
              <w:t>Related Policies, Procedures</w:t>
            </w:r>
            <w:bookmarkEnd w:id="26"/>
            <w:r>
              <w:t>, Guidelines and Legislation</w:t>
            </w:r>
            <w:bookmarkEnd w:id="27"/>
            <w:bookmarkEnd w:id="28"/>
          </w:p>
        </w:tc>
      </w:tr>
    </w:tbl>
    <w:p w14:paraId="3F1683B7" w14:textId="77777777" w:rsidR="00655B88" w:rsidRDefault="00655B88" w:rsidP="00655B88"/>
    <w:p w14:paraId="5DC7E290" w14:textId="77777777" w:rsidR="00655B88" w:rsidRPr="006743DB" w:rsidRDefault="00655B88" w:rsidP="007B67A0">
      <w:pPr>
        <w:rPr>
          <w:b/>
        </w:rPr>
      </w:pPr>
      <w:r w:rsidRPr="006743DB">
        <w:rPr>
          <w:b/>
        </w:rPr>
        <w:lastRenderedPageBreak/>
        <w:t>Policies</w:t>
      </w:r>
    </w:p>
    <w:p w14:paraId="45F99523" w14:textId="77777777" w:rsidR="007B67A0" w:rsidRPr="00D13A7D" w:rsidRDefault="007B67A0" w:rsidP="00B26EE3">
      <w:pPr>
        <w:numPr>
          <w:ilvl w:val="0"/>
          <w:numId w:val="43"/>
        </w:numPr>
        <w:autoSpaceDE w:val="0"/>
        <w:autoSpaceDN w:val="0"/>
        <w:adjustRightInd w:val="0"/>
        <w:ind w:left="426" w:hanging="426"/>
        <w:rPr>
          <w:rFonts w:asciiTheme="minorHAnsi" w:hAnsiTheme="minorHAnsi" w:cstheme="minorHAnsi"/>
          <w:color w:val="000000"/>
          <w:szCs w:val="24"/>
          <w:lang w:eastAsia="en-AU"/>
        </w:rPr>
      </w:pPr>
      <w:r>
        <w:rPr>
          <w:rFonts w:asciiTheme="minorHAnsi" w:hAnsiTheme="minorHAnsi" w:cstheme="minorHAnsi"/>
          <w:color w:val="000000"/>
          <w:szCs w:val="24"/>
          <w:lang w:eastAsia="en-AU"/>
        </w:rPr>
        <w:t>Informed Consent- Clinical</w:t>
      </w:r>
    </w:p>
    <w:p w14:paraId="63ECE571" w14:textId="77777777" w:rsidR="007B67A0" w:rsidRPr="007B67A0" w:rsidRDefault="007B67A0" w:rsidP="007B67A0">
      <w:pPr>
        <w:pStyle w:val="ListBullet"/>
        <w:numPr>
          <w:ilvl w:val="0"/>
          <w:numId w:val="0"/>
        </w:numPr>
        <w:ind w:left="426" w:hanging="426"/>
      </w:pPr>
    </w:p>
    <w:p w14:paraId="6DC6E078" w14:textId="77777777" w:rsidR="00655B88" w:rsidRPr="006743DB" w:rsidRDefault="00655B88" w:rsidP="007B67A0">
      <w:pPr>
        <w:rPr>
          <w:b/>
        </w:rPr>
      </w:pPr>
      <w:r w:rsidRPr="006743DB">
        <w:rPr>
          <w:b/>
        </w:rPr>
        <w:t>Procedures</w:t>
      </w:r>
    </w:p>
    <w:p w14:paraId="74F4B2E0" w14:textId="77777777" w:rsidR="007B67A0" w:rsidRPr="00A429AE" w:rsidRDefault="007B67A0" w:rsidP="00B26EE3">
      <w:pPr>
        <w:pStyle w:val="ListParagraph"/>
        <w:numPr>
          <w:ilvl w:val="0"/>
          <w:numId w:val="44"/>
        </w:numPr>
        <w:ind w:left="426" w:hanging="426"/>
        <w:rPr>
          <w:szCs w:val="24"/>
        </w:rPr>
      </w:pPr>
      <w:r w:rsidRPr="00D13A7D">
        <w:rPr>
          <w:rFonts w:cs="Arial"/>
          <w:szCs w:val="24"/>
        </w:rPr>
        <w:t>Patient Identification and Procedure Matching</w:t>
      </w:r>
    </w:p>
    <w:p w14:paraId="6A7F2BC4" w14:textId="2D36AF9C" w:rsidR="007B67A0" w:rsidRPr="00D13A7D" w:rsidRDefault="007B67A0" w:rsidP="00B26EE3">
      <w:pPr>
        <w:numPr>
          <w:ilvl w:val="0"/>
          <w:numId w:val="44"/>
        </w:numPr>
        <w:ind w:left="426" w:hanging="426"/>
        <w:rPr>
          <w:rFonts w:cs="Arial"/>
          <w:szCs w:val="24"/>
        </w:rPr>
      </w:pPr>
      <w:r>
        <w:rPr>
          <w:rFonts w:cs="Arial"/>
          <w:szCs w:val="24"/>
        </w:rPr>
        <w:t xml:space="preserve">Infection </w:t>
      </w:r>
      <w:r w:rsidR="00FB69FC">
        <w:rPr>
          <w:rFonts w:cs="Arial"/>
          <w:szCs w:val="24"/>
        </w:rPr>
        <w:t>P</w:t>
      </w:r>
      <w:r>
        <w:rPr>
          <w:rFonts w:cs="Arial"/>
          <w:szCs w:val="24"/>
        </w:rPr>
        <w:t xml:space="preserve">revention </w:t>
      </w:r>
      <w:r w:rsidR="00FB69FC">
        <w:rPr>
          <w:rFonts w:cs="Arial"/>
          <w:szCs w:val="24"/>
        </w:rPr>
        <w:t xml:space="preserve">and </w:t>
      </w:r>
      <w:r>
        <w:rPr>
          <w:rFonts w:cs="Arial"/>
          <w:szCs w:val="24"/>
        </w:rPr>
        <w:t>Control</w:t>
      </w:r>
    </w:p>
    <w:p w14:paraId="2BBEE9BA" w14:textId="726F1A98" w:rsidR="007B67A0" w:rsidRDefault="007B67A0" w:rsidP="00B26EE3">
      <w:pPr>
        <w:numPr>
          <w:ilvl w:val="0"/>
          <w:numId w:val="44"/>
        </w:numPr>
        <w:ind w:left="426" w:hanging="426"/>
        <w:contextualSpacing/>
        <w:rPr>
          <w:rFonts w:cs="Calibri"/>
          <w:szCs w:val="24"/>
        </w:rPr>
      </w:pPr>
      <w:r w:rsidRPr="00D13A7D">
        <w:rPr>
          <w:rFonts w:cs="Calibri"/>
          <w:szCs w:val="24"/>
        </w:rPr>
        <w:t xml:space="preserve">Clinical Handover </w:t>
      </w:r>
    </w:p>
    <w:p w14:paraId="56195125" w14:textId="50D410B9" w:rsidR="007B67A0" w:rsidRPr="00D13A7D" w:rsidRDefault="007B67A0" w:rsidP="00B26EE3">
      <w:pPr>
        <w:numPr>
          <w:ilvl w:val="0"/>
          <w:numId w:val="44"/>
        </w:numPr>
        <w:ind w:left="426" w:hanging="426"/>
        <w:contextualSpacing/>
        <w:rPr>
          <w:rFonts w:cs="Calibri"/>
          <w:szCs w:val="24"/>
        </w:rPr>
      </w:pPr>
      <w:r w:rsidRPr="00D13A7D">
        <w:rPr>
          <w:rFonts w:cs="Calibri"/>
          <w:szCs w:val="24"/>
        </w:rPr>
        <w:t xml:space="preserve">Clinical Records Management </w:t>
      </w:r>
    </w:p>
    <w:p w14:paraId="4B35A7C3" w14:textId="77777777" w:rsidR="007B67A0" w:rsidRPr="00D13A7D" w:rsidRDefault="007B67A0" w:rsidP="00B26EE3">
      <w:pPr>
        <w:numPr>
          <w:ilvl w:val="0"/>
          <w:numId w:val="44"/>
        </w:numPr>
        <w:ind w:left="426" w:hanging="426"/>
        <w:contextualSpacing/>
        <w:rPr>
          <w:rFonts w:cs="Calibri"/>
          <w:szCs w:val="24"/>
        </w:rPr>
      </w:pPr>
      <w:r>
        <w:rPr>
          <w:rFonts w:cs="Calibri"/>
          <w:szCs w:val="24"/>
        </w:rPr>
        <w:t>Aseptic Technique.</w:t>
      </w:r>
    </w:p>
    <w:p w14:paraId="2D4851B3" w14:textId="77777777" w:rsidR="00CF7A0F" w:rsidRPr="00CF7A0F" w:rsidRDefault="00CF7A0F" w:rsidP="00CF7A0F">
      <w:pPr>
        <w:pStyle w:val="ListBullet"/>
        <w:numPr>
          <w:ilvl w:val="0"/>
          <w:numId w:val="0"/>
        </w:numPr>
      </w:pPr>
    </w:p>
    <w:p w14:paraId="7BB63B6E" w14:textId="77777777" w:rsidR="00655B88" w:rsidRPr="006743DB" w:rsidRDefault="00655B88" w:rsidP="007B67A0">
      <w:pPr>
        <w:rPr>
          <w:b/>
        </w:rPr>
      </w:pPr>
      <w:r w:rsidRPr="006743DB">
        <w:rPr>
          <w:b/>
        </w:rPr>
        <w:t>Legislation</w:t>
      </w:r>
    </w:p>
    <w:p w14:paraId="07122674" w14:textId="77777777" w:rsidR="00CF7A0F" w:rsidRPr="00FB69FC" w:rsidRDefault="00CF7A0F" w:rsidP="00CF7A0F">
      <w:pPr>
        <w:pStyle w:val="ListBullet"/>
        <w:rPr>
          <w:i/>
          <w:iCs/>
        </w:rPr>
      </w:pPr>
      <w:r w:rsidRPr="00FB69FC">
        <w:rPr>
          <w:i/>
          <w:iCs/>
        </w:rPr>
        <w:t>Health Records (Privacy and Access) Act 1997</w:t>
      </w:r>
    </w:p>
    <w:p w14:paraId="5E59D321" w14:textId="77777777" w:rsidR="00CF7A0F" w:rsidRPr="00FB69FC" w:rsidRDefault="00CF7A0F" w:rsidP="00CF7A0F">
      <w:pPr>
        <w:pStyle w:val="ListBullet"/>
        <w:rPr>
          <w:i/>
          <w:iCs/>
        </w:rPr>
      </w:pPr>
      <w:r w:rsidRPr="00FB69FC">
        <w:rPr>
          <w:i/>
          <w:iCs/>
        </w:rPr>
        <w:t>Human Rights Act 2004</w:t>
      </w:r>
    </w:p>
    <w:p w14:paraId="37059286" w14:textId="729260B8" w:rsidR="00CF7A0F" w:rsidRDefault="00CF7A0F" w:rsidP="00CF7A0F">
      <w:pPr>
        <w:pStyle w:val="ListBullet"/>
        <w:rPr>
          <w:i/>
          <w:iCs/>
        </w:rPr>
      </w:pPr>
      <w:r w:rsidRPr="00FB69FC">
        <w:rPr>
          <w:i/>
          <w:iCs/>
        </w:rPr>
        <w:t>Work Health and Safety Act 2011</w:t>
      </w:r>
    </w:p>
    <w:p w14:paraId="7495790A" w14:textId="38EEBC00" w:rsidR="00FB69FC" w:rsidRPr="00FB69FC" w:rsidRDefault="00FB69FC" w:rsidP="00CF7A0F">
      <w:pPr>
        <w:pStyle w:val="ListBullet"/>
        <w:rPr>
          <w:i/>
          <w:iCs/>
        </w:rPr>
      </w:pPr>
      <w:r>
        <w:rPr>
          <w:i/>
          <w:iCs/>
        </w:rPr>
        <w:t>Carers Recognition Act 2021</w:t>
      </w:r>
    </w:p>
    <w:p w14:paraId="6BD2E9FB" w14:textId="77777777" w:rsidR="00CF7A0F" w:rsidRPr="005813B8" w:rsidRDefault="00CF7A0F" w:rsidP="00CF7A0F">
      <w:pPr>
        <w:pStyle w:val="ListBullet"/>
      </w:pPr>
      <w:r w:rsidRPr="00A92941">
        <w:rPr>
          <w:i/>
        </w:rPr>
        <w:t xml:space="preserve">Radiation </w:t>
      </w:r>
      <w:r>
        <w:rPr>
          <w:i/>
        </w:rPr>
        <w:t xml:space="preserve">Protection </w:t>
      </w:r>
      <w:r w:rsidRPr="00A92941">
        <w:rPr>
          <w:i/>
        </w:rPr>
        <w:t>Act</w:t>
      </w:r>
      <w:r w:rsidRPr="005C4802">
        <w:t xml:space="preserve"> 2006 (Australian Capital Territory). Available at </w:t>
      </w:r>
      <w:hyperlink r:id="rId12" w:history="1">
        <w:r w:rsidRPr="00FF7D86">
          <w:rPr>
            <w:rStyle w:val="Hyperlink"/>
            <w:rFonts w:asciiTheme="minorHAnsi" w:hAnsiTheme="minorHAnsi"/>
            <w:szCs w:val="24"/>
          </w:rPr>
          <w:t>http://www.legislation.act.gov.au/a/2006-33/</w:t>
        </w:r>
      </w:hyperlink>
      <w:r w:rsidRPr="005C4802">
        <w:t xml:space="preserve"> </w:t>
      </w:r>
    </w:p>
    <w:p w14:paraId="29A4580C" w14:textId="1E2185AE" w:rsidR="00655B88" w:rsidRPr="00CF7A0F" w:rsidRDefault="00655B88" w:rsidP="00CF7A0F">
      <w:pPr>
        <w:pStyle w:val="ListBullet"/>
        <w:numPr>
          <w:ilvl w:val="0"/>
          <w:numId w:val="0"/>
        </w:numPr>
        <w:rPr>
          <w:iCs/>
        </w:rPr>
      </w:pPr>
    </w:p>
    <w:p w14:paraId="20D29F2D" w14:textId="77777777" w:rsidR="00655B88" w:rsidRDefault="00655B88" w:rsidP="007B67A0">
      <w:pPr>
        <w:rPr>
          <w:b/>
        </w:rPr>
      </w:pPr>
      <w:r w:rsidRPr="00752315">
        <w:rPr>
          <w:b/>
        </w:rPr>
        <w:t>Other</w:t>
      </w:r>
    </w:p>
    <w:p w14:paraId="4B313A85" w14:textId="325628B1" w:rsidR="00655B88" w:rsidRPr="00CF7A0F" w:rsidRDefault="00CF7A0F" w:rsidP="00B26EE3">
      <w:pPr>
        <w:pStyle w:val="ListParagraph"/>
        <w:numPr>
          <w:ilvl w:val="0"/>
          <w:numId w:val="19"/>
        </w:numPr>
      </w:pPr>
      <w:r>
        <w:t>Australian Charter of Healthcare Rights.</w:t>
      </w:r>
    </w:p>
    <w:p w14:paraId="28497B59" w14:textId="548933E3" w:rsidR="00BE2C81" w:rsidRPr="00C448A3" w:rsidRDefault="007F1B99" w:rsidP="00C448A3">
      <w:pPr>
        <w:pStyle w:val="ListParagraph"/>
        <w:jc w:val="right"/>
        <w:rPr>
          <w:rFonts w:eastAsiaTheme="majorEastAsia" w:cs="Arial"/>
          <w:i/>
          <w:color w:val="0000FF"/>
          <w:szCs w:val="24"/>
          <w:u w:val="single"/>
        </w:rPr>
      </w:pPr>
      <w:hyperlink w:anchor="Contents" w:history="1">
        <w:r w:rsidR="00655B88"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1B2BAC" w14:paraId="27F8EB22" w14:textId="77777777" w:rsidTr="007546A2">
        <w:trPr>
          <w:cantSplit/>
          <w:trHeight w:val="285"/>
        </w:trPr>
        <w:tc>
          <w:tcPr>
            <w:tcW w:w="9158" w:type="dxa"/>
            <w:shd w:val="clear" w:color="auto" w:fill="D9D9D9" w:themeFill="background1" w:themeFillShade="D9"/>
          </w:tcPr>
          <w:p w14:paraId="78CB3D3B" w14:textId="77777777" w:rsidR="00655B88" w:rsidRPr="002E3BFE" w:rsidRDefault="00655B88" w:rsidP="007546A2">
            <w:pPr>
              <w:pStyle w:val="Heading1"/>
              <w:rPr>
                <w:szCs w:val="24"/>
              </w:rPr>
            </w:pPr>
            <w:bookmarkStart w:id="29" w:name="_Toc116641228"/>
            <w:r>
              <w:rPr>
                <w:szCs w:val="24"/>
              </w:rPr>
              <w:t>References</w:t>
            </w:r>
            <w:bookmarkEnd w:id="29"/>
          </w:p>
        </w:tc>
      </w:tr>
    </w:tbl>
    <w:p w14:paraId="13614402" w14:textId="77777777" w:rsidR="00655B88" w:rsidRDefault="00655B88" w:rsidP="00655B88">
      <w:pPr>
        <w:jc w:val="both"/>
        <w:rPr>
          <w:rFonts w:cs="Arial"/>
          <w:b/>
          <w:szCs w:val="24"/>
        </w:rPr>
      </w:pPr>
    </w:p>
    <w:p w14:paraId="157AAD3D"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Gaspar et al. Recursive partitioning analysis (RPA) of prognostic factors in three Radiation Therapy Oncology Group brain metastases trials. IJROBP 1997.</w:t>
      </w:r>
    </w:p>
    <w:p w14:paraId="1E54AC98"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Shaw et al. Single Dose Radiosurgical Treatment of Recurrent Previously Irradiated Primary Brain Tumours and Brain Metastases: Final Report of RTOG Protocol 90-05 IJROBP 2000.</w:t>
      </w:r>
    </w:p>
    <w:p w14:paraId="316DF5DF"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Noel et al. Radiosurgery for brain metastasis: impact of CTV on local control. Radiotherapy and Oncology 2003.</w:t>
      </w:r>
    </w:p>
    <w:p w14:paraId="627E3DC2"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Andrews DW et al. Whole brain radiation therapy with or without stereotactic radiosurgery boost for patients with one to three brain metastases: Phase III results of the RTOG 9508 randomised trial. The Lancet 2004.</w:t>
      </w:r>
    </w:p>
    <w:p w14:paraId="20141BD6"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Aoyama et al. Stereotactic radiosurgery plus whole brain radiotherapy vs stereotactic radiosurgery alone for the treatment of brain metastases: A randomized controlled trial. JAMA 2006.</w:t>
      </w:r>
    </w:p>
    <w:p w14:paraId="3E7CAAD9"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Baumert et al. A Pathology-based substrate for target definition in radiosurgery of brain metastases. IJROBP 2006.</w:t>
      </w:r>
    </w:p>
    <w:p w14:paraId="4FB312F5"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IRSA. Radiosurgery Practice Guideline Initiative Stereotactic Radiosurgery for Patients with Metastatic Brain Tumours (Radiosurgery Practice Guideline Report #5-08) 2008.</w:t>
      </w:r>
    </w:p>
    <w:p w14:paraId="23EB2FD3"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lang w:val="en"/>
        </w:rPr>
        <w:lastRenderedPageBreak/>
        <w:t>Chang et al. Neurocognition in patients with brain metastases treated with radiosurgery or radiosurgery plus whole-brain irradiation: a randomized controlled trial. Lancet 2009.</w:t>
      </w:r>
    </w:p>
    <w:p w14:paraId="10967DEF"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Linskey ME et al. The role of stereotactic radiosurgery in the management of patients with newly diagnosed brain metastases: a systematic review and evidence-based clinical practice guideline. J Neurooncol 2010.</w:t>
      </w:r>
    </w:p>
    <w:p w14:paraId="7869E9DA"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QUANTEC. IJROBP 2010.</w:t>
      </w:r>
    </w:p>
    <w:p w14:paraId="123D3A99"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Sahgal et al. Prescription Dose Guideline based on physical criterion for multiple metastatic brain tumours treated with stereotactic radiosurgery. IJROBP 2010.</w:t>
      </w:r>
    </w:p>
    <w:p w14:paraId="51FDB05C"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lang w:val="en"/>
        </w:rPr>
        <w:t>Kocher et al. Adjuvant whole-brain radiotherapy versus observation after radiosurgery or surgical resection of one to three cerebral metastases: Results of the EORTC 22952-26001 study. J Clin Oncol 2011.</w:t>
      </w:r>
    </w:p>
    <w:p w14:paraId="0C639CC8"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Milano et al. Stereotactic radiosurgery and hypofractionated stereotactic radiotherapy: Normal tissue dose constraints of the CNS. Cancer Treatment Reviews 2011.</w:t>
      </w:r>
    </w:p>
    <w:p w14:paraId="64825296"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Minniti et al. Stereotactic radiosurgery for brain metastases: analysis of outcome and risk of brain radionecrosis. Radiation Oncology 2011.</w:t>
      </w:r>
    </w:p>
    <w:p w14:paraId="76A72B97"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ACR-ASTRO practice guideline for the performance of stereotactic radiosurgery. Revised 2011.</w:t>
      </w:r>
    </w:p>
    <w:p w14:paraId="06403DAA"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Patil et al. Whole brain radiation therapy alone versus WBRT and radiosurgery for the treatment of brain metastases. Cochrane Database Systematic Review 2012.</w:t>
      </w:r>
    </w:p>
    <w:p w14:paraId="698A5555"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lang w:val="en"/>
        </w:rPr>
        <w:t>Gondi V et al. Decline in tested and self-reported cognitive functioning after prophylactic cranial irradiation for lung cancer: Pooled secondary analysis of Radiation Therapy Oncology Group randomized trials 0212 and 0214. IJROBP 2013.</w:t>
      </w:r>
    </w:p>
    <w:p w14:paraId="7AF88F04"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lang w:val="en"/>
        </w:rPr>
        <w:t>Soffietti et al. A European organisation for research and treatment of cancer phase III trial of adjuvant whole-brain radiotherapy versus observation in patients with one to three brain metastases from solid tumors after surgical resection or radiosurgery: quality-of-life results. J Clin Oncol 2013.</w:t>
      </w:r>
    </w:p>
    <w:p w14:paraId="2C93974C"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bCs/>
          <w:color w:val="000000"/>
          <w:szCs w:val="24"/>
          <w:lang w:val="en-GB" w:eastAsia="en-GB"/>
        </w:rPr>
        <w:t>Yamamoto et al. Stereotactic radiosurgery for patients with multiple brain metastases (JLGK0901): a multi-institutional prospective observational study. Lancet Oncology 2014.</w:t>
      </w:r>
    </w:p>
    <w:p w14:paraId="3520086A"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ASTRO Choosing Wisely List 2014.</w:t>
      </w:r>
    </w:p>
    <w:p w14:paraId="28EFA120"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RANZCR FRO Choosing Wisely List (Proposed) 2016.</w:t>
      </w:r>
    </w:p>
    <w:p w14:paraId="0C052192"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RTOG 0320 protocol: A phase III trial comparing whole brain radiation and stereotactic radiosurgery alone versus with temozolomide or erlotinib in patients with NSCLC and 1-3 Brain Metastases.</w:t>
      </w:r>
    </w:p>
    <w:p w14:paraId="3BE58274"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 xml:space="preserve">Salkeld et al. </w:t>
      </w:r>
      <w:r w:rsidRPr="00B175CB">
        <w:rPr>
          <w:rFonts w:asciiTheme="minorHAnsi" w:hAnsiTheme="minorHAnsi" w:cstheme="minorHAnsi"/>
          <w:color w:val="333333"/>
          <w:szCs w:val="24"/>
        </w:rPr>
        <w:t>PV-0088:</w:t>
      </w:r>
      <w:r w:rsidRPr="00B175CB">
        <w:rPr>
          <w:rStyle w:val="apple-converted-space"/>
          <w:rFonts w:asciiTheme="minorHAnsi" w:hAnsiTheme="minorHAnsi" w:cstheme="minorHAnsi"/>
          <w:color w:val="333333"/>
          <w:szCs w:val="24"/>
        </w:rPr>
        <w:t> </w:t>
      </w:r>
      <w:r w:rsidRPr="00B175CB">
        <w:rPr>
          <w:rFonts w:asciiTheme="minorHAnsi" w:hAnsiTheme="minorHAnsi" w:cstheme="minorHAnsi"/>
          <w:color w:val="333333"/>
          <w:szCs w:val="24"/>
        </w:rPr>
        <w:t>Rapid changes in brain metastasis during radiosurgical planning – implications for MRI timing</w:t>
      </w:r>
      <w:r w:rsidRPr="00B175CB">
        <w:rPr>
          <w:rFonts w:asciiTheme="minorHAnsi" w:hAnsiTheme="minorHAnsi" w:cstheme="minorHAnsi"/>
          <w:bCs/>
          <w:color w:val="333333"/>
          <w:szCs w:val="24"/>
        </w:rPr>
        <w:t xml:space="preserve">. </w:t>
      </w:r>
      <w:r w:rsidRPr="00B175CB">
        <w:rPr>
          <w:rFonts w:asciiTheme="minorHAnsi" w:hAnsiTheme="minorHAnsi" w:cstheme="minorHAnsi"/>
          <w:color w:val="333333"/>
          <w:szCs w:val="24"/>
          <w:shd w:val="clear" w:color="auto" w:fill="FFFFFF"/>
          <w:lang w:val="en-GB" w:eastAsia="en-GB"/>
        </w:rPr>
        <w:t>Radiotherapy and Oncology, Volume 119, S42.</w:t>
      </w:r>
    </w:p>
    <w:p w14:paraId="6ECA809E"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color w:val="333333"/>
          <w:szCs w:val="24"/>
          <w:shd w:val="clear" w:color="auto" w:fill="FFFFFF"/>
          <w:lang w:val="en-GB" w:eastAsia="en-GB"/>
        </w:rPr>
        <w:lastRenderedPageBreak/>
        <w:t xml:space="preserve">Anker et al. </w:t>
      </w:r>
      <w:r w:rsidRPr="00B175CB">
        <w:rPr>
          <w:rFonts w:asciiTheme="minorHAnsi" w:hAnsiTheme="minorHAnsi" w:cstheme="minorHAnsi"/>
          <w:color w:val="000000"/>
          <w:szCs w:val="24"/>
          <w:lang w:val="en-GB" w:eastAsia="en-GB"/>
        </w:rPr>
        <w:t>Avoiding Severe Toxicity from Combined BRAF Inhibitor and Radiation Treatment: Consensus Guidelines from the Eastern Cooperative Oncology Group (ECOG). IJROBP 2016.</w:t>
      </w:r>
    </w:p>
    <w:p w14:paraId="69B51D7D"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color w:val="101951"/>
          <w:szCs w:val="24"/>
          <w:lang w:val="en-GB" w:eastAsia="en-GB"/>
        </w:rPr>
        <w:t xml:space="preserve">TROG 16.02: </w:t>
      </w:r>
      <w:r w:rsidRPr="00B175CB">
        <w:rPr>
          <w:rFonts w:asciiTheme="minorHAnsi" w:hAnsiTheme="minorHAnsi" w:cstheme="minorHAnsi"/>
          <w:bCs/>
          <w:color w:val="000000"/>
          <w:szCs w:val="24"/>
          <w:lang w:val="en-GB" w:eastAsia="en-GB"/>
        </w:rPr>
        <w:t>A Phase II study of local therapy only (stereotactic radiosurgery and/or surgery) for treatment of up to 5 brain metastases from HER2 positive Breast Cancer: Local HER-0 Trial Protocol 2016.</w:t>
      </w:r>
    </w:p>
    <w:p w14:paraId="64393A6C"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Stereotactic Hypofractionated Radiosurgery Including Neurological and Cognitive assessment (SHRINC) Trial Protocol: 2016, Dally et al, Epworth Richmond, Australia.</w:t>
      </w:r>
    </w:p>
    <w:p w14:paraId="02831E4D"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Myrehaug et al. Hypofractionated Stereotactic Radiation Therapy for Intact Brain Metastases in 5 Daily Fractions: Effect of Dose on Treatment Response.</w:t>
      </w:r>
      <w:r>
        <w:rPr>
          <w:rFonts w:asciiTheme="minorHAnsi" w:hAnsiTheme="minorHAnsi" w:cstheme="minorHAnsi"/>
          <w:szCs w:val="24"/>
        </w:rPr>
        <w:t xml:space="preserve"> </w:t>
      </w:r>
      <w:r w:rsidRPr="00B175CB">
        <w:rPr>
          <w:rFonts w:asciiTheme="minorHAnsi" w:hAnsiTheme="minorHAnsi" w:cstheme="minorHAnsi"/>
          <w:szCs w:val="24"/>
        </w:rPr>
        <w:t xml:space="preserve">International Journal of Radiation Oncology 2021. </w:t>
      </w:r>
    </w:p>
    <w:p w14:paraId="7B2E1403"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Vogelbaum et al. Treatment for Brain Metastases: ASCO-SNO-ASTRO Guideline. JCO 2021.</w:t>
      </w:r>
    </w:p>
    <w:p w14:paraId="31C29F18"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Redmond et al. Tumor Control Probability of Radiosurgery and Fractionated Stereotactic Radiosurgery for Brain Metastases. IJROBP 2020</w:t>
      </w:r>
    </w:p>
    <w:p w14:paraId="125E2AC5"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Milano et al. Single- and Multifraction Stereotactic Radiosurgery Dose/Volume Tolerances of the Brain. IJROBP 2021.</w:t>
      </w:r>
    </w:p>
    <w:p w14:paraId="419B933F"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 xml:space="preserve">Diez et al. UK 2022 Consensus on Normal Tissue Dose-Volume Constraints for Oligometastatic, Primary Lung and Hepatocellular Carcinoma Stereotactic Ablative Radiotherapy. Clinical Oncology 2022. </w:t>
      </w:r>
    </w:p>
    <w:p w14:paraId="086C9CE6"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Milano et al. Single- and Multi-Fraction Stereotactic Radiosurgery Dose Tolerances of the Optic pathways. IJROBP 2021.</w:t>
      </w:r>
    </w:p>
    <w:p w14:paraId="49CBE232"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Grimm et al. High Does per Fraction, Hypofractionat</w:t>
      </w:r>
      <w:r>
        <w:rPr>
          <w:rFonts w:asciiTheme="minorHAnsi" w:hAnsiTheme="minorHAnsi" w:cstheme="minorHAnsi"/>
          <w:szCs w:val="24"/>
        </w:rPr>
        <w:t>e</w:t>
      </w:r>
      <w:r w:rsidRPr="00B175CB">
        <w:rPr>
          <w:rFonts w:asciiTheme="minorHAnsi" w:hAnsiTheme="minorHAnsi" w:cstheme="minorHAnsi"/>
          <w:szCs w:val="24"/>
        </w:rPr>
        <w:t xml:space="preserve">d Treatment Effects in the Clinic (HyTEC): An Overview. </w:t>
      </w:r>
    </w:p>
    <w:p w14:paraId="2DB16C4F"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 xml:space="preserve">Redmond et al. Stereotactic Radiosurgery for Postoperative Metastatic Surgical Cavities: A Critical Review and International Stereotactic Radiosurgery Society (ISRS) Practice Guidelines. IJROBP. 2021. </w:t>
      </w:r>
    </w:p>
    <w:p w14:paraId="0A94EBDE"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Minniti et al. Neurological outcome and memory performance in patients with 10 or more brain metastases treated with frameless linear accelerator (LINAC)</w:t>
      </w:r>
      <w:r w:rsidRPr="00B175CB">
        <w:rPr>
          <w:rFonts w:ascii="Cambria Math" w:hAnsi="Cambria Math" w:cs="Cambria Math"/>
          <w:szCs w:val="24"/>
        </w:rPr>
        <w:t>‑</w:t>
      </w:r>
      <w:r w:rsidRPr="00B175CB">
        <w:rPr>
          <w:rFonts w:asciiTheme="minorHAnsi" w:hAnsiTheme="minorHAnsi" w:cstheme="minorHAnsi"/>
          <w:szCs w:val="24"/>
        </w:rPr>
        <w:t xml:space="preserve">based stereotactic radiosurgery. JNO. 2020. </w:t>
      </w:r>
    </w:p>
    <w:p w14:paraId="0E295CF9"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 xml:space="preserve">O’Brien et al. Timing of Adjuvant Fractionated Stereotactic Radiosurgery Affects Local Control of Resected Brain Metastases. PRO 2021. </w:t>
      </w:r>
    </w:p>
    <w:p w14:paraId="63E06E35"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Atalar et al. Cavity Volume Dynamics After Resection of Brain Metastases and Timing of Postresection Cavity Stereotactic Radiosurgery. Research Human l=Clinical Studies 2012.</w:t>
      </w:r>
    </w:p>
    <w:p w14:paraId="33F0D879"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Soliman et al. Consensus Contouring Guidelines for Postoperative Completely Resected Cavity Stereotactic Radiosurgery for Brain Metastases. IJROBP 2017.</w:t>
      </w:r>
    </w:p>
    <w:p w14:paraId="39AD5F0B" w14:textId="77777777" w:rsidR="00655B88" w:rsidRDefault="00655B88" w:rsidP="00B26EE3">
      <w:pPr>
        <w:numPr>
          <w:ilvl w:val="0"/>
          <w:numId w:val="37"/>
        </w:numPr>
        <w:spacing w:after="120"/>
        <w:ind w:left="426" w:hanging="426"/>
        <w:rPr>
          <w:rFonts w:asciiTheme="minorHAnsi" w:hAnsiTheme="minorHAnsi" w:cstheme="minorHAnsi"/>
          <w:szCs w:val="24"/>
        </w:rPr>
      </w:pPr>
      <w:r w:rsidRPr="00B175CB">
        <w:rPr>
          <w:rFonts w:asciiTheme="minorHAnsi" w:hAnsiTheme="minorHAnsi" w:cstheme="minorHAnsi"/>
          <w:szCs w:val="24"/>
        </w:rPr>
        <w:t xml:space="preserve">Id Said et al. Trastuzumab emtansine increases the risk of stereotactic radiosurgery-induced radionecrosis in HER2+ breast cancer. JNO 2022. </w:t>
      </w:r>
    </w:p>
    <w:p w14:paraId="4B23EE9B" w14:textId="77777777" w:rsidR="00655B88" w:rsidRDefault="00655B88" w:rsidP="00B26EE3">
      <w:pPr>
        <w:numPr>
          <w:ilvl w:val="0"/>
          <w:numId w:val="37"/>
        </w:numPr>
        <w:spacing w:after="120"/>
        <w:ind w:left="426" w:hanging="426"/>
        <w:rPr>
          <w:rFonts w:asciiTheme="minorHAnsi" w:hAnsiTheme="minorHAnsi" w:cstheme="minorHAnsi"/>
          <w:szCs w:val="24"/>
        </w:rPr>
      </w:pPr>
      <w:r>
        <w:rPr>
          <w:rFonts w:asciiTheme="minorHAnsi" w:hAnsiTheme="minorHAnsi" w:cstheme="minorHAnsi"/>
          <w:szCs w:val="24"/>
        </w:rPr>
        <w:lastRenderedPageBreak/>
        <w:t>Dohm et al. Staged Stereotactic Radiosurgery for Large Brian Metastases: Local Control and Clinical Outcomes of a One-Two Punch Technique. Neurosurgery 2018.</w:t>
      </w:r>
    </w:p>
    <w:p w14:paraId="3C858055" w14:textId="77777777" w:rsidR="00655B88" w:rsidRPr="00264C63" w:rsidRDefault="00655B88" w:rsidP="00B26EE3">
      <w:pPr>
        <w:numPr>
          <w:ilvl w:val="0"/>
          <w:numId w:val="37"/>
        </w:numPr>
        <w:spacing w:after="120"/>
        <w:ind w:left="426" w:hanging="426"/>
        <w:rPr>
          <w:rFonts w:asciiTheme="minorHAnsi" w:hAnsiTheme="minorHAnsi" w:cstheme="minorHAnsi"/>
          <w:szCs w:val="24"/>
        </w:rPr>
      </w:pPr>
      <w:r>
        <w:rPr>
          <w:rFonts w:asciiTheme="minorHAnsi" w:hAnsiTheme="minorHAnsi" w:cstheme="minorHAnsi"/>
          <w:szCs w:val="24"/>
        </w:rPr>
        <w:t xml:space="preserve">Angelov et al. Impact of 2-staged stereotactic radiosurgery for brain metastases </w:t>
      </w:r>
      <w:r>
        <w:t>≥2 cm. J Neurosurg 2018.</w:t>
      </w:r>
    </w:p>
    <w:p w14:paraId="6899166B" w14:textId="77777777" w:rsidR="00655B88" w:rsidRPr="00B175CB" w:rsidRDefault="00655B88" w:rsidP="00B26EE3">
      <w:pPr>
        <w:numPr>
          <w:ilvl w:val="0"/>
          <w:numId w:val="37"/>
        </w:numPr>
        <w:spacing w:after="120"/>
        <w:ind w:left="426" w:hanging="426"/>
        <w:rPr>
          <w:rFonts w:asciiTheme="minorHAnsi" w:hAnsiTheme="minorHAnsi" w:cstheme="minorHAnsi"/>
          <w:szCs w:val="24"/>
        </w:rPr>
      </w:pPr>
      <w:r>
        <w:t>Rozati et al. Three-staged stereotactic radiosurgery for brain metastases: A single institution experience. Neuro-Oncology 2021.</w:t>
      </w:r>
    </w:p>
    <w:p w14:paraId="53FDE308" w14:textId="77777777" w:rsidR="00655B88" w:rsidRDefault="00655B88" w:rsidP="00655B88">
      <w:pPr>
        <w:jc w:val="right"/>
      </w:pPr>
    </w:p>
    <w:p w14:paraId="0A8E8ABD" w14:textId="5C65430B" w:rsidR="00655B88" w:rsidRDefault="007F1B99" w:rsidP="00FB69FC">
      <w:pPr>
        <w:jc w:val="right"/>
      </w:pPr>
      <w:hyperlink w:anchor="Contents" w:history="1">
        <w:r w:rsidR="00655B88"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CD1C0E" w14:paraId="09B28F06" w14:textId="77777777" w:rsidTr="007546A2">
        <w:trPr>
          <w:cantSplit/>
          <w:trHeight w:val="285"/>
        </w:trPr>
        <w:tc>
          <w:tcPr>
            <w:tcW w:w="9158" w:type="dxa"/>
            <w:shd w:val="clear" w:color="auto" w:fill="D9D9D9" w:themeFill="background1" w:themeFillShade="D9"/>
          </w:tcPr>
          <w:p w14:paraId="196D1B07" w14:textId="77777777" w:rsidR="00655B88" w:rsidRPr="00CD1C0E" w:rsidRDefault="00655B88" w:rsidP="007546A2">
            <w:pPr>
              <w:pStyle w:val="Heading1"/>
            </w:pPr>
            <w:bookmarkStart w:id="30" w:name="_Toc389473290"/>
            <w:bookmarkStart w:id="31" w:name="_Toc396290589"/>
            <w:bookmarkStart w:id="32" w:name="_Toc116641229"/>
            <w:r>
              <w:t>Search Terms</w:t>
            </w:r>
            <w:bookmarkEnd w:id="30"/>
            <w:bookmarkEnd w:id="31"/>
            <w:bookmarkEnd w:id="32"/>
            <w:r>
              <w:t xml:space="preserve"> </w:t>
            </w:r>
          </w:p>
        </w:tc>
      </w:tr>
    </w:tbl>
    <w:p w14:paraId="2225847E" w14:textId="77777777" w:rsidR="00655B88" w:rsidRDefault="00655B88" w:rsidP="00655B88">
      <w:pPr>
        <w:rPr>
          <w:rFonts w:cs="Calibri,Bold"/>
          <w:bCs/>
          <w:i/>
          <w:szCs w:val="24"/>
          <w:lang w:eastAsia="en-AU"/>
        </w:rPr>
      </w:pPr>
    </w:p>
    <w:p w14:paraId="145888CD" w14:textId="7B12AF1F" w:rsidR="00655B88" w:rsidRPr="00C448A3" w:rsidRDefault="00187434" w:rsidP="00655B88">
      <w:pPr>
        <w:rPr>
          <w:rFonts w:cs="Calibri,Bold"/>
          <w:bCs/>
          <w:iCs/>
          <w:szCs w:val="24"/>
          <w:lang w:eastAsia="en-AU"/>
        </w:rPr>
      </w:pPr>
      <w:r w:rsidRPr="00187434">
        <w:rPr>
          <w:rFonts w:cs="Arial"/>
          <w:bCs/>
          <w:iCs/>
          <w:szCs w:val="24"/>
        </w:rPr>
        <w:t>Stereotactic</w:t>
      </w:r>
      <w:r>
        <w:rPr>
          <w:rFonts w:cs="Calibri,Bold"/>
          <w:bCs/>
          <w:iCs/>
          <w:szCs w:val="24"/>
          <w:lang w:eastAsia="en-AU"/>
        </w:rPr>
        <w:t>,</w:t>
      </w:r>
      <w:r w:rsidRPr="00187434">
        <w:rPr>
          <w:rFonts w:cs="Calibri,Bold"/>
          <w:bCs/>
          <w:iCs/>
          <w:szCs w:val="24"/>
          <w:lang w:eastAsia="en-AU"/>
        </w:rPr>
        <w:t xml:space="preserve"> </w:t>
      </w:r>
      <w:r w:rsidR="00C448A3" w:rsidRPr="00C448A3">
        <w:rPr>
          <w:rFonts w:cs="Calibri,Bold"/>
          <w:bCs/>
          <w:iCs/>
          <w:szCs w:val="24"/>
          <w:lang w:eastAsia="en-AU"/>
        </w:rPr>
        <w:t xml:space="preserve">SRS, Brain </w:t>
      </w:r>
      <w:r w:rsidR="002E0ADD" w:rsidRPr="00C448A3">
        <w:rPr>
          <w:rFonts w:cs="Calibri,Bold"/>
          <w:bCs/>
          <w:iCs/>
          <w:szCs w:val="24"/>
          <w:lang w:eastAsia="en-AU"/>
        </w:rPr>
        <w:t>Metastasis</w:t>
      </w:r>
      <w:r w:rsidR="00C448A3">
        <w:rPr>
          <w:rFonts w:cs="Calibri,Bold"/>
          <w:bCs/>
          <w:iCs/>
          <w:szCs w:val="24"/>
          <w:lang w:eastAsia="en-AU"/>
        </w:rPr>
        <w:t xml:space="preserve">, </w:t>
      </w:r>
      <w:r w:rsidR="00055B42">
        <w:rPr>
          <w:rFonts w:cs="Calibri,Bold"/>
          <w:bCs/>
          <w:iCs/>
          <w:szCs w:val="24"/>
          <w:lang w:eastAsia="en-AU"/>
        </w:rPr>
        <w:t xml:space="preserve">Radiosurgery, </w:t>
      </w:r>
      <w:r w:rsidR="00C448A3">
        <w:rPr>
          <w:rFonts w:cs="Calibri,Bold"/>
          <w:bCs/>
          <w:iCs/>
          <w:szCs w:val="24"/>
          <w:lang w:eastAsia="en-AU"/>
        </w:rPr>
        <w:t xml:space="preserve">Radiation Therapy, </w:t>
      </w:r>
    </w:p>
    <w:p w14:paraId="2384EEB3" w14:textId="77777777" w:rsidR="00655B88" w:rsidRPr="00901883" w:rsidRDefault="00655B88" w:rsidP="00655B88">
      <w:pPr>
        <w:jc w:val="both"/>
        <w:rPr>
          <w:rFonts w:asciiTheme="minorHAnsi" w:hAnsiTheme="minorHAnsi" w:cs="Arial"/>
          <w:b/>
          <w:i/>
          <w:sz w:val="22"/>
          <w:szCs w:val="22"/>
        </w:rPr>
      </w:pPr>
    </w:p>
    <w:p w14:paraId="3DC614C8" w14:textId="77777777" w:rsidR="00655B88" w:rsidRPr="00E41A47" w:rsidRDefault="007F1B99" w:rsidP="00655B88">
      <w:pPr>
        <w:jc w:val="right"/>
      </w:pPr>
      <w:hyperlink w:anchor="_top" w:history="1">
        <w:r w:rsidR="00655B88"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55B88" w:rsidRPr="001B2BAC" w14:paraId="7C100FBB" w14:textId="77777777" w:rsidTr="007546A2">
        <w:trPr>
          <w:cantSplit/>
          <w:trHeight w:val="285"/>
        </w:trPr>
        <w:tc>
          <w:tcPr>
            <w:tcW w:w="9158" w:type="dxa"/>
            <w:shd w:val="clear" w:color="auto" w:fill="D9D9D9" w:themeFill="background1" w:themeFillShade="D9"/>
          </w:tcPr>
          <w:p w14:paraId="731808A1" w14:textId="77777777" w:rsidR="00655B88" w:rsidRPr="002E3BFE" w:rsidRDefault="00655B88" w:rsidP="007546A2">
            <w:pPr>
              <w:pStyle w:val="Heading1"/>
              <w:rPr>
                <w:szCs w:val="24"/>
              </w:rPr>
            </w:pPr>
            <w:bookmarkStart w:id="33" w:name="_Toc116641230"/>
            <w:r>
              <w:rPr>
                <w:szCs w:val="24"/>
              </w:rPr>
              <w:t>Attachments</w:t>
            </w:r>
            <w:bookmarkEnd w:id="33"/>
          </w:p>
        </w:tc>
      </w:tr>
    </w:tbl>
    <w:p w14:paraId="63796BE0" w14:textId="77777777" w:rsidR="00655B88" w:rsidRDefault="00655B88" w:rsidP="00655B88">
      <w:pPr>
        <w:rPr>
          <w:rFonts w:cs="Arial"/>
          <w:iCs/>
          <w:sz w:val="20"/>
        </w:rPr>
      </w:pPr>
    </w:p>
    <w:p w14:paraId="442C6CFB" w14:textId="77777777" w:rsidR="00655B88" w:rsidRDefault="00655B88" w:rsidP="00655B88">
      <w:pPr>
        <w:rPr>
          <w:rFonts w:cs="Arial"/>
          <w:iCs/>
          <w:sz w:val="20"/>
        </w:rPr>
      </w:pPr>
    </w:p>
    <w:p w14:paraId="775DB5A4" w14:textId="77777777" w:rsidR="00655B88" w:rsidRPr="003E167B" w:rsidRDefault="00655B88" w:rsidP="00655B88">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610E5A53" w14:textId="77777777" w:rsidR="00655B88" w:rsidRPr="003E167B" w:rsidRDefault="00655B88" w:rsidP="00655B88">
      <w:pPr>
        <w:rPr>
          <w:rFonts w:cs="Arial"/>
          <w:i/>
          <w:iCs/>
          <w:sz w:val="20"/>
        </w:rPr>
      </w:pPr>
    </w:p>
    <w:p w14:paraId="7EAC04D4" w14:textId="77777777" w:rsidR="00655B88" w:rsidRPr="003E167B" w:rsidRDefault="00655B88" w:rsidP="00655B88">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655B88" w:rsidRPr="003E167B" w14:paraId="13699E1E" w14:textId="77777777" w:rsidTr="007546A2">
        <w:tc>
          <w:tcPr>
            <w:tcW w:w="2265" w:type="dxa"/>
          </w:tcPr>
          <w:p w14:paraId="284241B0" w14:textId="77777777" w:rsidR="00655B88" w:rsidRPr="003E167B" w:rsidRDefault="00655B88" w:rsidP="007546A2">
            <w:pPr>
              <w:rPr>
                <w:i/>
                <w:sz w:val="20"/>
              </w:rPr>
            </w:pPr>
            <w:r w:rsidRPr="003E167B">
              <w:rPr>
                <w:i/>
                <w:sz w:val="20"/>
              </w:rPr>
              <w:t>Date Amended</w:t>
            </w:r>
          </w:p>
        </w:tc>
        <w:tc>
          <w:tcPr>
            <w:tcW w:w="2265" w:type="dxa"/>
          </w:tcPr>
          <w:p w14:paraId="10DEBC68" w14:textId="77777777" w:rsidR="00655B88" w:rsidRPr="003E167B" w:rsidRDefault="00655B88" w:rsidP="007546A2">
            <w:pPr>
              <w:rPr>
                <w:i/>
                <w:sz w:val="20"/>
              </w:rPr>
            </w:pPr>
            <w:r w:rsidRPr="003E167B">
              <w:rPr>
                <w:i/>
                <w:sz w:val="20"/>
              </w:rPr>
              <w:t>Section Amended</w:t>
            </w:r>
          </w:p>
        </w:tc>
        <w:tc>
          <w:tcPr>
            <w:tcW w:w="2265" w:type="dxa"/>
          </w:tcPr>
          <w:p w14:paraId="4BEE8F7D" w14:textId="77777777" w:rsidR="00655B88" w:rsidRPr="003E167B" w:rsidRDefault="00655B88" w:rsidP="007546A2">
            <w:pPr>
              <w:rPr>
                <w:i/>
                <w:sz w:val="20"/>
              </w:rPr>
            </w:pPr>
            <w:r w:rsidRPr="003E167B">
              <w:rPr>
                <w:i/>
                <w:sz w:val="20"/>
              </w:rPr>
              <w:t>Divisional Approval</w:t>
            </w:r>
          </w:p>
        </w:tc>
        <w:tc>
          <w:tcPr>
            <w:tcW w:w="2265" w:type="dxa"/>
          </w:tcPr>
          <w:p w14:paraId="1A03809C" w14:textId="77777777" w:rsidR="00655B88" w:rsidRPr="003E167B" w:rsidRDefault="00655B88" w:rsidP="007546A2">
            <w:pPr>
              <w:rPr>
                <w:i/>
                <w:sz w:val="20"/>
              </w:rPr>
            </w:pPr>
            <w:r w:rsidRPr="003E167B">
              <w:rPr>
                <w:i/>
                <w:sz w:val="20"/>
              </w:rPr>
              <w:t xml:space="preserve">Final Approval </w:t>
            </w:r>
          </w:p>
        </w:tc>
      </w:tr>
      <w:tr w:rsidR="00655B88" w:rsidRPr="003E167B" w14:paraId="53DAC6BD" w14:textId="77777777" w:rsidTr="007546A2">
        <w:tc>
          <w:tcPr>
            <w:tcW w:w="2265" w:type="dxa"/>
          </w:tcPr>
          <w:p w14:paraId="55E39646" w14:textId="2D4AA45C" w:rsidR="00655B88" w:rsidRPr="003E167B" w:rsidRDefault="007F1B99" w:rsidP="007546A2">
            <w:pPr>
              <w:rPr>
                <w:i/>
                <w:sz w:val="20"/>
              </w:rPr>
            </w:pPr>
            <w:r>
              <w:rPr>
                <w:i/>
                <w:sz w:val="20"/>
              </w:rPr>
              <w:t>31/10/2022</w:t>
            </w:r>
          </w:p>
        </w:tc>
        <w:tc>
          <w:tcPr>
            <w:tcW w:w="2265" w:type="dxa"/>
          </w:tcPr>
          <w:p w14:paraId="1708F02C" w14:textId="1D1E515D" w:rsidR="00655B88" w:rsidRPr="003E167B" w:rsidRDefault="007F1B99" w:rsidP="007546A2">
            <w:pPr>
              <w:rPr>
                <w:i/>
                <w:sz w:val="20"/>
              </w:rPr>
            </w:pPr>
            <w:r>
              <w:rPr>
                <w:i/>
                <w:sz w:val="20"/>
              </w:rPr>
              <w:t>Full review</w:t>
            </w:r>
          </w:p>
        </w:tc>
        <w:tc>
          <w:tcPr>
            <w:tcW w:w="2265" w:type="dxa"/>
          </w:tcPr>
          <w:p w14:paraId="4CF27B4F" w14:textId="1827FA9B" w:rsidR="00655B88" w:rsidRPr="003E167B" w:rsidRDefault="007F1B99" w:rsidP="007546A2">
            <w:pPr>
              <w:rPr>
                <w:i/>
                <w:sz w:val="20"/>
              </w:rPr>
            </w:pPr>
            <w:r>
              <w:rPr>
                <w:i/>
                <w:sz w:val="20"/>
              </w:rPr>
              <w:t>Melissa O’Brien a/g ED CAS</w:t>
            </w:r>
          </w:p>
        </w:tc>
        <w:tc>
          <w:tcPr>
            <w:tcW w:w="2265" w:type="dxa"/>
          </w:tcPr>
          <w:p w14:paraId="0D716FCD" w14:textId="303B5A81" w:rsidR="00655B88" w:rsidRPr="003E167B" w:rsidRDefault="007F1B99" w:rsidP="007546A2">
            <w:pPr>
              <w:rPr>
                <w:i/>
                <w:sz w:val="20"/>
              </w:rPr>
            </w:pPr>
            <w:r>
              <w:rPr>
                <w:i/>
                <w:sz w:val="20"/>
              </w:rPr>
              <w:t>CHS Policy COmmittee</w:t>
            </w:r>
          </w:p>
        </w:tc>
      </w:tr>
      <w:tr w:rsidR="00655B88" w:rsidRPr="003E167B" w14:paraId="08CE5E51" w14:textId="77777777" w:rsidTr="007546A2">
        <w:tc>
          <w:tcPr>
            <w:tcW w:w="2265" w:type="dxa"/>
          </w:tcPr>
          <w:p w14:paraId="0B073481" w14:textId="77777777" w:rsidR="00655B88" w:rsidRPr="003E167B" w:rsidRDefault="00655B88" w:rsidP="007546A2">
            <w:pPr>
              <w:rPr>
                <w:i/>
                <w:sz w:val="20"/>
              </w:rPr>
            </w:pPr>
          </w:p>
        </w:tc>
        <w:tc>
          <w:tcPr>
            <w:tcW w:w="2265" w:type="dxa"/>
          </w:tcPr>
          <w:p w14:paraId="2E75E54C" w14:textId="77777777" w:rsidR="00655B88" w:rsidRPr="003E167B" w:rsidRDefault="00655B88" w:rsidP="007546A2">
            <w:pPr>
              <w:rPr>
                <w:i/>
                <w:sz w:val="20"/>
              </w:rPr>
            </w:pPr>
          </w:p>
        </w:tc>
        <w:tc>
          <w:tcPr>
            <w:tcW w:w="2265" w:type="dxa"/>
          </w:tcPr>
          <w:p w14:paraId="7BEA636E" w14:textId="77777777" w:rsidR="00655B88" w:rsidRPr="003E167B" w:rsidRDefault="00655B88" w:rsidP="007546A2">
            <w:pPr>
              <w:rPr>
                <w:i/>
                <w:sz w:val="20"/>
              </w:rPr>
            </w:pPr>
          </w:p>
        </w:tc>
        <w:tc>
          <w:tcPr>
            <w:tcW w:w="2265" w:type="dxa"/>
          </w:tcPr>
          <w:p w14:paraId="69F57675" w14:textId="77777777" w:rsidR="00655B88" w:rsidRPr="003E167B" w:rsidRDefault="00655B88" w:rsidP="007546A2">
            <w:pPr>
              <w:rPr>
                <w:i/>
                <w:sz w:val="20"/>
              </w:rPr>
            </w:pPr>
          </w:p>
        </w:tc>
      </w:tr>
    </w:tbl>
    <w:p w14:paraId="70050DE8" w14:textId="77777777" w:rsidR="00655B88" w:rsidRPr="003E167B" w:rsidRDefault="00655B88" w:rsidP="00655B88">
      <w:pPr>
        <w:rPr>
          <w:rFonts w:cs="Arial"/>
          <w:sz w:val="20"/>
        </w:rPr>
      </w:pPr>
    </w:p>
    <w:p w14:paraId="0CF37E3C" w14:textId="77777777" w:rsidR="00655B88" w:rsidRPr="003E167B" w:rsidRDefault="00655B88" w:rsidP="00655B88">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655B88" w:rsidRPr="003E167B" w14:paraId="1D6D1AF1" w14:textId="77777777" w:rsidTr="007546A2">
        <w:tc>
          <w:tcPr>
            <w:tcW w:w="2122" w:type="dxa"/>
          </w:tcPr>
          <w:p w14:paraId="743E8E7F" w14:textId="77777777" w:rsidR="00655B88" w:rsidRPr="003E167B" w:rsidRDefault="00655B88" w:rsidP="007546A2">
            <w:pPr>
              <w:rPr>
                <w:i/>
                <w:sz w:val="20"/>
              </w:rPr>
            </w:pPr>
            <w:r w:rsidRPr="003E167B">
              <w:rPr>
                <w:i/>
                <w:sz w:val="20"/>
              </w:rPr>
              <w:t>Document Number</w:t>
            </w:r>
          </w:p>
        </w:tc>
        <w:tc>
          <w:tcPr>
            <w:tcW w:w="6938" w:type="dxa"/>
          </w:tcPr>
          <w:p w14:paraId="1EEDA203" w14:textId="77777777" w:rsidR="00655B88" w:rsidRPr="003E167B" w:rsidRDefault="00655B88" w:rsidP="007546A2">
            <w:pPr>
              <w:rPr>
                <w:i/>
                <w:sz w:val="20"/>
              </w:rPr>
            </w:pPr>
            <w:r w:rsidRPr="003E167B">
              <w:rPr>
                <w:i/>
                <w:sz w:val="20"/>
              </w:rPr>
              <w:t>Document Name</w:t>
            </w:r>
          </w:p>
        </w:tc>
      </w:tr>
      <w:tr w:rsidR="00655B88" w:rsidRPr="003E167B" w14:paraId="5E30CDE1" w14:textId="77777777" w:rsidTr="007546A2">
        <w:tc>
          <w:tcPr>
            <w:tcW w:w="2122" w:type="dxa"/>
          </w:tcPr>
          <w:p w14:paraId="7DAF5ED2" w14:textId="77777777" w:rsidR="00655B88" w:rsidRPr="003E167B" w:rsidRDefault="00655B88" w:rsidP="007546A2">
            <w:pPr>
              <w:rPr>
                <w:i/>
                <w:sz w:val="20"/>
              </w:rPr>
            </w:pPr>
          </w:p>
        </w:tc>
        <w:tc>
          <w:tcPr>
            <w:tcW w:w="6938" w:type="dxa"/>
          </w:tcPr>
          <w:p w14:paraId="4BD5A53C" w14:textId="77777777" w:rsidR="00655B88" w:rsidRPr="003E167B" w:rsidRDefault="00655B88" w:rsidP="007546A2">
            <w:pPr>
              <w:rPr>
                <w:i/>
                <w:sz w:val="20"/>
              </w:rPr>
            </w:pPr>
          </w:p>
        </w:tc>
      </w:tr>
      <w:tr w:rsidR="00655B88" w:rsidRPr="003E167B" w14:paraId="33176CFA" w14:textId="77777777" w:rsidTr="007546A2">
        <w:tc>
          <w:tcPr>
            <w:tcW w:w="2122" w:type="dxa"/>
          </w:tcPr>
          <w:p w14:paraId="11571DD6" w14:textId="77777777" w:rsidR="00655B88" w:rsidRPr="003E167B" w:rsidRDefault="00655B88" w:rsidP="007546A2">
            <w:pPr>
              <w:rPr>
                <w:i/>
                <w:sz w:val="20"/>
              </w:rPr>
            </w:pPr>
          </w:p>
        </w:tc>
        <w:tc>
          <w:tcPr>
            <w:tcW w:w="6938" w:type="dxa"/>
          </w:tcPr>
          <w:p w14:paraId="56206033" w14:textId="77777777" w:rsidR="00655B88" w:rsidRPr="003E167B" w:rsidRDefault="00655B88" w:rsidP="007546A2">
            <w:pPr>
              <w:rPr>
                <w:i/>
                <w:sz w:val="20"/>
              </w:rPr>
            </w:pPr>
          </w:p>
        </w:tc>
      </w:tr>
    </w:tbl>
    <w:p w14:paraId="24BC949B" w14:textId="77777777" w:rsidR="00655B88" w:rsidRPr="00010E74" w:rsidRDefault="00655B88" w:rsidP="00655B88">
      <w:pPr>
        <w:rPr>
          <w:i/>
          <w:sz w:val="20"/>
          <w:szCs w:val="24"/>
        </w:rPr>
      </w:pPr>
    </w:p>
    <w:p w14:paraId="08682A6D" w14:textId="77777777" w:rsidR="00010E74" w:rsidRPr="00655B88" w:rsidRDefault="00010E74" w:rsidP="00655B88"/>
    <w:sectPr w:rsidR="00010E74" w:rsidRPr="00655B88" w:rsidSect="004C0577">
      <w:headerReference w:type="default" r:id="rId13"/>
      <w:footerReference w:type="default" r:id="rId1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2A70" w14:textId="77777777" w:rsidR="001670BB" w:rsidRDefault="001670BB" w:rsidP="00F66CB0">
      <w:r>
        <w:separator/>
      </w:r>
    </w:p>
  </w:endnote>
  <w:endnote w:type="continuationSeparator" w:id="0">
    <w:p w14:paraId="08682A71" w14:textId="77777777" w:rsidR="001670BB" w:rsidRDefault="001670BB"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5EE52AD9" w:rsidR="001670BB" w:rsidRPr="00542EE6" w:rsidRDefault="007F1B99" w:rsidP="00B10F87">
          <w:pPr>
            <w:pStyle w:val="Footer"/>
            <w:rPr>
              <w:rFonts w:cs="Arial"/>
              <w:b/>
              <w:bCs/>
              <w:sz w:val="20"/>
            </w:rPr>
          </w:pPr>
          <w:r>
            <w:rPr>
              <w:b/>
              <w:bCs/>
              <w:sz w:val="20"/>
            </w:rPr>
            <w:t>CHS22/397</w:t>
          </w:r>
        </w:p>
      </w:tc>
      <w:tc>
        <w:tcPr>
          <w:tcW w:w="965" w:type="dxa"/>
        </w:tcPr>
        <w:p w14:paraId="08682A7E" w14:textId="3F0FB1F3" w:rsidR="001670BB" w:rsidRPr="00B3752F" w:rsidRDefault="007F1B99" w:rsidP="00B10F87">
          <w:pPr>
            <w:pStyle w:val="Footer"/>
            <w:rPr>
              <w:rFonts w:cs="Arial"/>
              <w:b/>
              <w:bCs/>
              <w:sz w:val="20"/>
            </w:rPr>
          </w:pPr>
          <w:r>
            <w:rPr>
              <w:rFonts w:cs="Arial"/>
              <w:b/>
              <w:bCs/>
              <w:sz w:val="20"/>
            </w:rPr>
            <w:t>1</w:t>
          </w:r>
        </w:p>
      </w:tc>
      <w:tc>
        <w:tcPr>
          <w:tcW w:w="1552" w:type="dxa"/>
        </w:tcPr>
        <w:p w14:paraId="08682A7F" w14:textId="2978109D" w:rsidR="001670BB" w:rsidRPr="00B3752F" w:rsidRDefault="007F1B99" w:rsidP="00B10F87">
          <w:pPr>
            <w:pStyle w:val="Footer"/>
            <w:rPr>
              <w:rFonts w:cs="Arial"/>
              <w:b/>
              <w:bCs/>
              <w:sz w:val="20"/>
            </w:rPr>
          </w:pPr>
          <w:r>
            <w:rPr>
              <w:rFonts w:cs="Arial"/>
              <w:b/>
              <w:bCs/>
              <w:sz w:val="20"/>
            </w:rPr>
            <w:t>31/10/2022</w:t>
          </w:r>
        </w:p>
      </w:tc>
      <w:tc>
        <w:tcPr>
          <w:tcW w:w="1456" w:type="dxa"/>
        </w:tcPr>
        <w:p w14:paraId="08682A80" w14:textId="36C030C9" w:rsidR="001670BB" w:rsidRPr="00B3752F" w:rsidRDefault="007F1B99" w:rsidP="00470E63">
          <w:pPr>
            <w:pStyle w:val="Footer"/>
            <w:rPr>
              <w:rFonts w:cs="Arial"/>
              <w:b/>
              <w:bCs/>
              <w:sz w:val="20"/>
            </w:rPr>
          </w:pPr>
          <w:r>
            <w:rPr>
              <w:rFonts w:cs="Arial"/>
              <w:b/>
              <w:bCs/>
              <w:sz w:val="20"/>
            </w:rPr>
            <w:t>1/11/2025</w:t>
          </w:r>
        </w:p>
      </w:tc>
      <w:tc>
        <w:tcPr>
          <w:tcW w:w="1746" w:type="dxa"/>
        </w:tcPr>
        <w:p w14:paraId="08682A81" w14:textId="37550602" w:rsidR="001670BB" w:rsidRPr="00B3752F" w:rsidRDefault="007F1B99" w:rsidP="00B10F87">
          <w:pPr>
            <w:pStyle w:val="Footer"/>
            <w:rPr>
              <w:rFonts w:cs="Arial"/>
              <w:b/>
              <w:bCs/>
              <w:sz w:val="20"/>
            </w:rPr>
          </w:pPr>
          <w:r>
            <w:rPr>
              <w:rFonts w:cs="Arial"/>
              <w:b/>
              <w:bCs/>
              <w:sz w:val="20"/>
            </w:rPr>
            <w:t>CAS – Radiation Oncology</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2A6E" w14:textId="77777777" w:rsidR="001670BB" w:rsidRDefault="001670BB" w:rsidP="00F66CB0">
      <w:r>
        <w:separator/>
      </w:r>
    </w:p>
  </w:footnote>
  <w:footnote w:type="continuationSeparator" w:id="0">
    <w:p w14:paraId="08682A6F" w14:textId="77777777" w:rsidR="001670BB" w:rsidRDefault="001670BB"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333A3013" w:rsidR="00A939DF" w:rsidRDefault="00A939DF" w:rsidP="00A939DF">
          <w:pPr>
            <w:pStyle w:val="Header"/>
            <w:tabs>
              <w:tab w:val="left" w:pos="720"/>
            </w:tabs>
            <w:jc w:val="right"/>
            <w:rPr>
              <w:sz w:val="20"/>
            </w:rPr>
          </w:pPr>
          <w:bookmarkStart w:id="34" w:name="_top"/>
          <w:bookmarkEnd w:id="34"/>
          <w:r>
            <w:rPr>
              <w:sz w:val="20"/>
            </w:rPr>
            <w:t>CHS</w:t>
          </w:r>
          <w:r w:rsidR="007F1B99">
            <w:rPr>
              <w:sz w:val="20"/>
            </w:rPr>
            <w:t>22/397</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D77073"/>
    <w:multiLevelType w:val="hybridMultilevel"/>
    <w:tmpl w:val="68BEDF7A"/>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A719B5"/>
    <w:multiLevelType w:val="hybridMultilevel"/>
    <w:tmpl w:val="110C5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D23094"/>
    <w:multiLevelType w:val="hybridMultilevel"/>
    <w:tmpl w:val="6F0CC024"/>
    <w:lvl w:ilvl="0" w:tplc="DFA0B9D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1D0528"/>
    <w:multiLevelType w:val="hybridMultilevel"/>
    <w:tmpl w:val="23802B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C97587"/>
    <w:multiLevelType w:val="hybridMultilevel"/>
    <w:tmpl w:val="6DD62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400758"/>
    <w:multiLevelType w:val="hybridMultilevel"/>
    <w:tmpl w:val="BC2EEBB0"/>
    <w:lvl w:ilvl="0" w:tplc="0C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444353B"/>
    <w:multiLevelType w:val="hybridMultilevel"/>
    <w:tmpl w:val="B6E03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C0172"/>
    <w:multiLevelType w:val="hybridMultilevel"/>
    <w:tmpl w:val="C6B0E4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FD6801"/>
    <w:multiLevelType w:val="hybridMultilevel"/>
    <w:tmpl w:val="5B424E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A61AF8"/>
    <w:multiLevelType w:val="hybridMultilevel"/>
    <w:tmpl w:val="86CC9F0A"/>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35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B764535"/>
    <w:multiLevelType w:val="hybridMultilevel"/>
    <w:tmpl w:val="8ED62B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4D40E3"/>
    <w:multiLevelType w:val="hybridMultilevel"/>
    <w:tmpl w:val="EDB28A32"/>
    <w:lvl w:ilvl="0" w:tplc="F5F20B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385865"/>
    <w:multiLevelType w:val="hybridMultilevel"/>
    <w:tmpl w:val="A9E444C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E007D8"/>
    <w:multiLevelType w:val="hybridMultilevel"/>
    <w:tmpl w:val="2A3CA47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BB47CE"/>
    <w:multiLevelType w:val="hybridMultilevel"/>
    <w:tmpl w:val="D1B24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DE42AF"/>
    <w:multiLevelType w:val="hybridMultilevel"/>
    <w:tmpl w:val="E620FD2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6F49AA"/>
    <w:multiLevelType w:val="hybridMultilevel"/>
    <w:tmpl w:val="76E6DB5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B1A4395"/>
    <w:multiLevelType w:val="hybridMultilevel"/>
    <w:tmpl w:val="E70C3CF0"/>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036E2C"/>
    <w:multiLevelType w:val="hybridMultilevel"/>
    <w:tmpl w:val="CEB4790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1F32D1"/>
    <w:multiLevelType w:val="hybridMultilevel"/>
    <w:tmpl w:val="61520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C950ED"/>
    <w:multiLevelType w:val="hybridMultilevel"/>
    <w:tmpl w:val="9B9E6F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496DA5"/>
    <w:multiLevelType w:val="hybridMultilevel"/>
    <w:tmpl w:val="2012B6BE"/>
    <w:lvl w:ilvl="0" w:tplc="0C09000F">
      <w:start w:val="1"/>
      <w:numFmt w:val="decimal"/>
      <w:lvlText w:val="%1."/>
      <w:lvlJc w:val="left"/>
      <w:pPr>
        <w:ind w:left="121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93178B"/>
    <w:multiLevelType w:val="hybridMultilevel"/>
    <w:tmpl w:val="D7DA463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8106B5B"/>
    <w:multiLevelType w:val="hybridMultilevel"/>
    <w:tmpl w:val="C8D67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9081A80"/>
    <w:multiLevelType w:val="hybridMultilevel"/>
    <w:tmpl w:val="B4AE0492"/>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655" w:hanging="360"/>
      </w:pPr>
      <w:rPr>
        <w:rFonts w:ascii="Symbol" w:hAnsi="Symbol" w:hint="default"/>
      </w:rPr>
    </w:lvl>
    <w:lvl w:ilvl="2" w:tplc="FFFFFFFF">
      <w:start w:val="1"/>
      <w:numFmt w:val="bullet"/>
      <w:lvlText w:val=""/>
      <w:lvlJc w:val="left"/>
      <w:pPr>
        <w:ind w:left="927" w:hanging="360"/>
      </w:pPr>
      <w:rPr>
        <w:rFonts w:ascii="Symbol" w:hAnsi="Symbol" w:hint="default"/>
      </w:rPr>
    </w:lvl>
    <w:lvl w:ilvl="3" w:tplc="FFFFFFFF">
      <w:start w:val="1"/>
      <w:numFmt w:val="bullet"/>
      <w:lvlText w:val=""/>
      <w:lvlJc w:val="left"/>
      <w:pPr>
        <w:ind w:left="927"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26" w15:restartNumberingAfterBreak="0">
    <w:nsid w:val="3D84321B"/>
    <w:multiLevelType w:val="hybridMultilevel"/>
    <w:tmpl w:val="C0005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B64649"/>
    <w:multiLevelType w:val="hybridMultilevel"/>
    <w:tmpl w:val="486CDC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630644"/>
    <w:multiLevelType w:val="hybridMultilevel"/>
    <w:tmpl w:val="0D9A26E4"/>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69" w:hanging="360"/>
      </w:pPr>
      <w:rPr>
        <w:rFonts w:ascii="Symbol" w:hAnsi="Symbol" w:hint="default"/>
      </w:rPr>
    </w:lvl>
    <w:lvl w:ilvl="2" w:tplc="FFFFFFFF">
      <w:start w:val="1"/>
      <w:numFmt w:val="bullet"/>
      <w:lvlText w:val=""/>
      <w:lvlJc w:val="left"/>
      <w:pPr>
        <w:ind w:left="2062" w:hanging="360"/>
      </w:pPr>
      <w:rPr>
        <w:rFonts w:ascii="Symbol" w:hAnsi="Symbol" w:hint="default"/>
      </w:rPr>
    </w:lvl>
    <w:lvl w:ilvl="3" w:tplc="FFFFFFFF">
      <w:start w:val="1"/>
      <w:numFmt w:val="bullet"/>
      <w:lvlText w:val=""/>
      <w:lvlJc w:val="left"/>
      <w:pPr>
        <w:ind w:left="927"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29" w15:restartNumberingAfterBreak="0">
    <w:nsid w:val="4E9C754D"/>
    <w:multiLevelType w:val="hybridMultilevel"/>
    <w:tmpl w:val="5FEAE97E"/>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762F3A"/>
    <w:multiLevelType w:val="hybridMultilevel"/>
    <w:tmpl w:val="C910E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FCE5353"/>
    <w:multiLevelType w:val="hybridMultilevel"/>
    <w:tmpl w:val="9E0CDD3C"/>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69" w:hanging="360"/>
      </w:pPr>
      <w:rPr>
        <w:rFonts w:ascii="Symbol" w:hAnsi="Symbol" w:hint="default"/>
      </w:rPr>
    </w:lvl>
    <w:lvl w:ilvl="2" w:tplc="FFFFFFFF">
      <w:start w:val="1"/>
      <w:numFmt w:val="bullet"/>
      <w:lvlText w:val=""/>
      <w:lvlJc w:val="left"/>
      <w:pPr>
        <w:ind w:left="2062" w:hanging="360"/>
      </w:pPr>
      <w:rPr>
        <w:rFonts w:ascii="Symbol" w:hAnsi="Symbol" w:hint="default"/>
      </w:rPr>
    </w:lvl>
    <w:lvl w:ilvl="3" w:tplc="FFFFFFFF">
      <w:start w:val="1"/>
      <w:numFmt w:val="bullet"/>
      <w:lvlText w:val=""/>
      <w:lvlJc w:val="left"/>
      <w:pPr>
        <w:ind w:left="927"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32" w15:restartNumberingAfterBreak="0">
    <w:nsid w:val="54627A75"/>
    <w:multiLevelType w:val="hybridMultilevel"/>
    <w:tmpl w:val="B24ECE88"/>
    <w:lvl w:ilvl="0" w:tplc="0C090001">
      <w:start w:val="1"/>
      <w:numFmt w:val="bullet"/>
      <w:lvlText w:val=""/>
      <w:lvlJc w:val="left"/>
      <w:pPr>
        <w:ind w:left="360" w:hanging="360"/>
      </w:pPr>
      <w:rPr>
        <w:rFonts w:ascii="Symbol" w:hAnsi="Symbol" w:hint="default"/>
      </w:rPr>
    </w:lvl>
    <w:lvl w:ilvl="1" w:tplc="F5F20B26">
      <w:start w:val="1"/>
      <w:numFmt w:val="bullet"/>
      <w:lvlText w:val=""/>
      <w:lvlJc w:val="left"/>
      <w:pPr>
        <w:ind w:left="1069" w:hanging="360"/>
      </w:pPr>
      <w:rPr>
        <w:rFonts w:ascii="Symbol" w:hAnsi="Symbol" w:hint="default"/>
      </w:rPr>
    </w:lvl>
    <w:lvl w:ilvl="2" w:tplc="F5F20B26">
      <w:start w:val="1"/>
      <w:numFmt w:val="bullet"/>
      <w:lvlText w:val=""/>
      <w:lvlJc w:val="left"/>
      <w:pPr>
        <w:ind w:left="2062" w:hanging="360"/>
      </w:pPr>
      <w:rPr>
        <w:rFonts w:ascii="Symbol" w:hAnsi="Symbol" w:hint="default"/>
      </w:rPr>
    </w:lvl>
    <w:lvl w:ilvl="3" w:tplc="F5F20B26">
      <w:start w:val="1"/>
      <w:numFmt w:val="bullet"/>
      <w:lvlText w:val=""/>
      <w:lvlJc w:val="left"/>
      <w:pPr>
        <w:ind w:left="927" w:hanging="360"/>
      </w:pPr>
      <w:rPr>
        <w:rFonts w:ascii="Symbol" w:hAnsi="Symbol" w:hint="default"/>
      </w:rPr>
    </w:lvl>
    <w:lvl w:ilvl="4" w:tplc="0C090003" w:tentative="1">
      <w:start w:val="1"/>
      <w:numFmt w:val="bullet"/>
      <w:lvlText w:val="o"/>
      <w:lvlJc w:val="left"/>
      <w:pPr>
        <w:ind w:left="2815" w:hanging="360"/>
      </w:pPr>
      <w:rPr>
        <w:rFonts w:ascii="Courier New" w:hAnsi="Courier New" w:cs="Courier New" w:hint="default"/>
      </w:rPr>
    </w:lvl>
    <w:lvl w:ilvl="5" w:tplc="0C090005" w:tentative="1">
      <w:start w:val="1"/>
      <w:numFmt w:val="bullet"/>
      <w:lvlText w:val=""/>
      <w:lvlJc w:val="left"/>
      <w:pPr>
        <w:ind w:left="3535" w:hanging="360"/>
      </w:pPr>
      <w:rPr>
        <w:rFonts w:ascii="Wingdings" w:hAnsi="Wingdings" w:hint="default"/>
      </w:rPr>
    </w:lvl>
    <w:lvl w:ilvl="6" w:tplc="0C090001" w:tentative="1">
      <w:start w:val="1"/>
      <w:numFmt w:val="bullet"/>
      <w:lvlText w:val=""/>
      <w:lvlJc w:val="left"/>
      <w:pPr>
        <w:ind w:left="4255" w:hanging="360"/>
      </w:pPr>
      <w:rPr>
        <w:rFonts w:ascii="Symbol" w:hAnsi="Symbol" w:hint="default"/>
      </w:rPr>
    </w:lvl>
    <w:lvl w:ilvl="7" w:tplc="0C090003" w:tentative="1">
      <w:start w:val="1"/>
      <w:numFmt w:val="bullet"/>
      <w:lvlText w:val="o"/>
      <w:lvlJc w:val="left"/>
      <w:pPr>
        <w:ind w:left="4975" w:hanging="360"/>
      </w:pPr>
      <w:rPr>
        <w:rFonts w:ascii="Courier New" w:hAnsi="Courier New" w:cs="Courier New" w:hint="default"/>
      </w:rPr>
    </w:lvl>
    <w:lvl w:ilvl="8" w:tplc="0C090005" w:tentative="1">
      <w:start w:val="1"/>
      <w:numFmt w:val="bullet"/>
      <w:lvlText w:val=""/>
      <w:lvlJc w:val="left"/>
      <w:pPr>
        <w:ind w:left="5695" w:hanging="360"/>
      </w:pPr>
      <w:rPr>
        <w:rFonts w:ascii="Wingdings" w:hAnsi="Wingdings" w:hint="default"/>
      </w:rPr>
    </w:lvl>
  </w:abstractNum>
  <w:abstractNum w:abstractNumId="33" w15:restartNumberingAfterBreak="0">
    <w:nsid w:val="55C241B2"/>
    <w:multiLevelType w:val="hybridMultilevel"/>
    <w:tmpl w:val="70F0498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AA09E8"/>
    <w:multiLevelType w:val="hybridMultilevel"/>
    <w:tmpl w:val="248C7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7977F3"/>
    <w:multiLevelType w:val="hybridMultilevel"/>
    <w:tmpl w:val="BF28FE4A"/>
    <w:lvl w:ilvl="0" w:tplc="0C090001">
      <w:start w:val="1"/>
      <w:numFmt w:val="bullet"/>
      <w:lvlText w:val=""/>
      <w:lvlJc w:val="left"/>
      <w:pPr>
        <w:ind w:left="360" w:hanging="360"/>
      </w:pPr>
      <w:rPr>
        <w:rFonts w:ascii="Symbol" w:hAnsi="Symbol" w:hint="default"/>
      </w:rPr>
    </w:lvl>
    <w:lvl w:ilvl="1" w:tplc="F5F20B26">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534F46"/>
    <w:multiLevelType w:val="hybridMultilevel"/>
    <w:tmpl w:val="0D3E48BE"/>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0FF726C"/>
    <w:multiLevelType w:val="hybridMultilevel"/>
    <w:tmpl w:val="F62A645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27575FB"/>
    <w:multiLevelType w:val="hybridMultilevel"/>
    <w:tmpl w:val="0418495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7211D1D"/>
    <w:multiLevelType w:val="hybridMultilevel"/>
    <w:tmpl w:val="4A3A2886"/>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69" w:hanging="360"/>
      </w:pPr>
      <w:rPr>
        <w:rFonts w:ascii="Symbol" w:hAnsi="Symbol" w:hint="default"/>
      </w:rPr>
    </w:lvl>
    <w:lvl w:ilvl="2" w:tplc="FFFFFFFF">
      <w:start w:val="1"/>
      <w:numFmt w:val="bullet"/>
      <w:lvlText w:val=""/>
      <w:lvlJc w:val="left"/>
      <w:pPr>
        <w:ind w:left="2062" w:hanging="360"/>
      </w:pPr>
      <w:rPr>
        <w:rFonts w:ascii="Symbol" w:hAnsi="Symbol" w:hint="default"/>
      </w:rPr>
    </w:lvl>
    <w:lvl w:ilvl="3" w:tplc="FFFFFFFF">
      <w:start w:val="1"/>
      <w:numFmt w:val="bullet"/>
      <w:lvlText w:val=""/>
      <w:lvlJc w:val="left"/>
      <w:pPr>
        <w:ind w:left="927"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0" w15:restartNumberingAfterBreak="0">
    <w:nsid w:val="68183D65"/>
    <w:multiLevelType w:val="hybridMultilevel"/>
    <w:tmpl w:val="FB545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3F01D9"/>
    <w:multiLevelType w:val="hybridMultilevel"/>
    <w:tmpl w:val="1598AF7A"/>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69" w:hanging="360"/>
      </w:pPr>
      <w:rPr>
        <w:rFonts w:ascii="Symbol" w:hAnsi="Symbol" w:hint="default"/>
      </w:rPr>
    </w:lvl>
    <w:lvl w:ilvl="2" w:tplc="FFFFFFFF">
      <w:start w:val="1"/>
      <w:numFmt w:val="bullet"/>
      <w:lvlText w:val=""/>
      <w:lvlJc w:val="left"/>
      <w:pPr>
        <w:ind w:left="2062" w:hanging="360"/>
      </w:pPr>
      <w:rPr>
        <w:rFonts w:ascii="Symbol" w:hAnsi="Symbol" w:hint="default"/>
      </w:rPr>
    </w:lvl>
    <w:lvl w:ilvl="3" w:tplc="FFFFFFFF">
      <w:start w:val="1"/>
      <w:numFmt w:val="bullet"/>
      <w:lvlText w:val=""/>
      <w:lvlJc w:val="left"/>
      <w:pPr>
        <w:ind w:left="927"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2" w15:restartNumberingAfterBreak="0">
    <w:nsid w:val="72017273"/>
    <w:multiLevelType w:val="hybridMultilevel"/>
    <w:tmpl w:val="E500EF8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27139DF"/>
    <w:multiLevelType w:val="hybridMultilevel"/>
    <w:tmpl w:val="9B3CDB2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4" w15:restartNumberingAfterBreak="0">
    <w:nsid w:val="734D16A4"/>
    <w:multiLevelType w:val="hybridMultilevel"/>
    <w:tmpl w:val="81D418AE"/>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942800"/>
    <w:multiLevelType w:val="hybridMultilevel"/>
    <w:tmpl w:val="A412B4A2"/>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69" w:hanging="360"/>
      </w:pPr>
      <w:rPr>
        <w:rFonts w:ascii="Symbol" w:hAnsi="Symbol" w:hint="default"/>
      </w:rPr>
    </w:lvl>
    <w:lvl w:ilvl="2" w:tplc="FFFFFFFF">
      <w:start w:val="1"/>
      <w:numFmt w:val="bullet"/>
      <w:lvlText w:val=""/>
      <w:lvlJc w:val="left"/>
      <w:pPr>
        <w:ind w:left="2062" w:hanging="360"/>
      </w:pPr>
      <w:rPr>
        <w:rFonts w:ascii="Symbol" w:hAnsi="Symbol" w:hint="default"/>
      </w:rPr>
    </w:lvl>
    <w:lvl w:ilvl="3" w:tplc="FFFFFFFF">
      <w:start w:val="1"/>
      <w:numFmt w:val="bullet"/>
      <w:lvlText w:val=""/>
      <w:lvlJc w:val="left"/>
      <w:pPr>
        <w:ind w:left="927"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6" w15:restartNumberingAfterBreak="0">
    <w:nsid w:val="79837006"/>
    <w:multiLevelType w:val="hybridMultilevel"/>
    <w:tmpl w:val="128C0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2"/>
  </w:num>
  <w:num w:numId="4">
    <w:abstractNumId w:val="35"/>
  </w:num>
  <w:num w:numId="5">
    <w:abstractNumId w:val="7"/>
  </w:num>
  <w:num w:numId="6">
    <w:abstractNumId w:val="3"/>
  </w:num>
  <w:num w:numId="7">
    <w:abstractNumId w:val="2"/>
  </w:num>
  <w:num w:numId="8">
    <w:abstractNumId w:val="8"/>
  </w:num>
  <w:num w:numId="9">
    <w:abstractNumId w:val="5"/>
  </w:num>
  <w:num w:numId="10">
    <w:abstractNumId w:val="25"/>
  </w:num>
  <w:num w:numId="11">
    <w:abstractNumId w:val="12"/>
  </w:num>
  <w:num w:numId="12">
    <w:abstractNumId w:val="4"/>
  </w:num>
  <w:num w:numId="13">
    <w:abstractNumId w:val="19"/>
  </w:num>
  <w:num w:numId="14">
    <w:abstractNumId w:val="33"/>
  </w:num>
  <w:num w:numId="15">
    <w:abstractNumId w:val="29"/>
  </w:num>
  <w:num w:numId="16">
    <w:abstractNumId w:val="18"/>
  </w:num>
  <w:num w:numId="17">
    <w:abstractNumId w:val="30"/>
  </w:num>
  <w:num w:numId="18">
    <w:abstractNumId w:val="34"/>
  </w:num>
  <w:num w:numId="19">
    <w:abstractNumId w:val="24"/>
  </w:num>
  <w:num w:numId="20">
    <w:abstractNumId w:val="38"/>
  </w:num>
  <w:num w:numId="21">
    <w:abstractNumId w:val="26"/>
  </w:num>
  <w:num w:numId="22">
    <w:abstractNumId w:val="20"/>
  </w:num>
  <w:num w:numId="23">
    <w:abstractNumId w:val="36"/>
  </w:num>
  <w:num w:numId="24">
    <w:abstractNumId w:val="1"/>
  </w:num>
  <w:num w:numId="25">
    <w:abstractNumId w:val="23"/>
  </w:num>
  <w:num w:numId="26">
    <w:abstractNumId w:val="37"/>
  </w:num>
  <w:num w:numId="27">
    <w:abstractNumId w:val="27"/>
  </w:num>
  <w:num w:numId="28">
    <w:abstractNumId w:val="42"/>
  </w:num>
  <w:num w:numId="29">
    <w:abstractNumId w:val="9"/>
  </w:num>
  <w:num w:numId="30">
    <w:abstractNumId w:val="21"/>
  </w:num>
  <w:num w:numId="31">
    <w:abstractNumId w:val="14"/>
  </w:num>
  <w:num w:numId="32">
    <w:abstractNumId w:val="6"/>
  </w:num>
  <w:num w:numId="33">
    <w:abstractNumId w:val="45"/>
  </w:num>
  <w:num w:numId="34">
    <w:abstractNumId w:val="28"/>
  </w:num>
  <w:num w:numId="35">
    <w:abstractNumId w:val="31"/>
  </w:num>
  <w:num w:numId="36">
    <w:abstractNumId w:val="17"/>
  </w:num>
  <w:num w:numId="37">
    <w:abstractNumId w:val="11"/>
  </w:num>
  <w:num w:numId="38">
    <w:abstractNumId w:val="41"/>
  </w:num>
  <w:num w:numId="39">
    <w:abstractNumId w:val="10"/>
  </w:num>
  <w:num w:numId="40">
    <w:abstractNumId w:val="40"/>
  </w:num>
  <w:num w:numId="41">
    <w:abstractNumId w:val="39"/>
  </w:num>
  <w:num w:numId="42">
    <w:abstractNumId w:val="13"/>
  </w:num>
  <w:num w:numId="43">
    <w:abstractNumId w:val="46"/>
  </w:num>
  <w:num w:numId="44">
    <w:abstractNumId w:val="15"/>
  </w:num>
  <w:num w:numId="45">
    <w:abstractNumId w:val="44"/>
  </w:num>
  <w:num w:numId="46">
    <w:abstractNumId w:val="16"/>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55B42"/>
    <w:rsid w:val="000602B9"/>
    <w:rsid w:val="000728F3"/>
    <w:rsid w:val="000910E7"/>
    <w:rsid w:val="00096925"/>
    <w:rsid w:val="000A1CB6"/>
    <w:rsid w:val="000A2272"/>
    <w:rsid w:val="000A3D5E"/>
    <w:rsid w:val="000A77BB"/>
    <w:rsid w:val="000B5C8C"/>
    <w:rsid w:val="000C59E2"/>
    <w:rsid w:val="000C7B2D"/>
    <w:rsid w:val="000E7135"/>
    <w:rsid w:val="000F7B7E"/>
    <w:rsid w:val="0010015B"/>
    <w:rsid w:val="00103EEA"/>
    <w:rsid w:val="00113AC1"/>
    <w:rsid w:val="0011698D"/>
    <w:rsid w:val="00140078"/>
    <w:rsid w:val="0014661D"/>
    <w:rsid w:val="00153FB3"/>
    <w:rsid w:val="00154885"/>
    <w:rsid w:val="00161806"/>
    <w:rsid w:val="001650F9"/>
    <w:rsid w:val="001668CA"/>
    <w:rsid w:val="001670BB"/>
    <w:rsid w:val="0018239D"/>
    <w:rsid w:val="00187434"/>
    <w:rsid w:val="00191109"/>
    <w:rsid w:val="001A0053"/>
    <w:rsid w:val="001A1133"/>
    <w:rsid w:val="001A6118"/>
    <w:rsid w:val="001A707E"/>
    <w:rsid w:val="001B1FD1"/>
    <w:rsid w:val="001B2465"/>
    <w:rsid w:val="001B5256"/>
    <w:rsid w:val="001B7F4C"/>
    <w:rsid w:val="001C0F5A"/>
    <w:rsid w:val="001E64DB"/>
    <w:rsid w:val="001F2829"/>
    <w:rsid w:val="001F2C50"/>
    <w:rsid w:val="001F580D"/>
    <w:rsid w:val="001F6D2D"/>
    <w:rsid w:val="00205AF9"/>
    <w:rsid w:val="00215AFE"/>
    <w:rsid w:val="002221EE"/>
    <w:rsid w:val="00230D46"/>
    <w:rsid w:val="00240833"/>
    <w:rsid w:val="00240B97"/>
    <w:rsid w:val="00247815"/>
    <w:rsid w:val="0025382D"/>
    <w:rsid w:val="00253F5A"/>
    <w:rsid w:val="00263BA6"/>
    <w:rsid w:val="00264C63"/>
    <w:rsid w:val="00266379"/>
    <w:rsid w:val="00266555"/>
    <w:rsid w:val="0026690C"/>
    <w:rsid w:val="0027264D"/>
    <w:rsid w:val="00280DC9"/>
    <w:rsid w:val="002872C6"/>
    <w:rsid w:val="00293E43"/>
    <w:rsid w:val="002A1B6C"/>
    <w:rsid w:val="002B069A"/>
    <w:rsid w:val="002B1F4C"/>
    <w:rsid w:val="002B478A"/>
    <w:rsid w:val="002B5F43"/>
    <w:rsid w:val="002B654C"/>
    <w:rsid w:val="002C05A8"/>
    <w:rsid w:val="002C33AF"/>
    <w:rsid w:val="002E0ADD"/>
    <w:rsid w:val="002E6EC2"/>
    <w:rsid w:val="002F7AFC"/>
    <w:rsid w:val="00313707"/>
    <w:rsid w:val="003363E2"/>
    <w:rsid w:val="00357D4F"/>
    <w:rsid w:val="00370AB0"/>
    <w:rsid w:val="00376A6D"/>
    <w:rsid w:val="00380B98"/>
    <w:rsid w:val="00391C23"/>
    <w:rsid w:val="00396023"/>
    <w:rsid w:val="00396F11"/>
    <w:rsid w:val="003A5DF8"/>
    <w:rsid w:val="003C4BB5"/>
    <w:rsid w:val="003E167B"/>
    <w:rsid w:val="003E44D4"/>
    <w:rsid w:val="003E4CC0"/>
    <w:rsid w:val="003F3D8F"/>
    <w:rsid w:val="003F6580"/>
    <w:rsid w:val="003F792D"/>
    <w:rsid w:val="00412CED"/>
    <w:rsid w:val="004247AC"/>
    <w:rsid w:val="004263C4"/>
    <w:rsid w:val="00427139"/>
    <w:rsid w:val="004358E9"/>
    <w:rsid w:val="00447B55"/>
    <w:rsid w:val="00465C91"/>
    <w:rsid w:val="00470E63"/>
    <w:rsid w:val="00485C1F"/>
    <w:rsid w:val="00487DD5"/>
    <w:rsid w:val="00492019"/>
    <w:rsid w:val="00493CFE"/>
    <w:rsid w:val="004A2E02"/>
    <w:rsid w:val="004A2F58"/>
    <w:rsid w:val="004A6A76"/>
    <w:rsid w:val="004B0C69"/>
    <w:rsid w:val="004B7C43"/>
    <w:rsid w:val="004C0577"/>
    <w:rsid w:val="004C2B20"/>
    <w:rsid w:val="004D0C67"/>
    <w:rsid w:val="004D6533"/>
    <w:rsid w:val="004E28AD"/>
    <w:rsid w:val="004F1D05"/>
    <w:rsid w:val="0050147B"/>
    <w:rsid w:val="00503F75"/>
    <w:rsid w:val="0052443C"/>
    <w:rsid w:val="0052775E"/>
    <w:rsid w:val="00534523"/>
    <w:rsid w:val="0053637A"/>
    <w:rsid w:val="00537834"/>
    <w:rsid w:val="00542514"/>
    <w:rsid w:val="00546AED"/>
    <w:rsid w:val="005621E4"/>
    <w:rsid w:val="005736DB"/>
    <w:rsid w:val="005743AC"/>
    <w:rsid w:val="00596FD7"/>
    <w:rsid w:val="005A3625"/>
    <w:rsid w:val="005B4738"/>
    <w:rsid w:val="005C212D"/>
    <w:rsid w:val="005C3CB0"/>
    <w:rsid w:val="005C54B8"/>
    <w:rsid w:val="005D241B"/>
    <w:rsid w:val="005E5DBE"/>
    <w:rsid w:val="005F5CDF"/>
    <w:rsid w:val="006105CA"/>
    <w:rsid w:val="00612231"/>
    <w:rsid w:val="00614380"/>
    <w:rsid w:val="00635EB1"/>
    <w:rsid w:val="006473BB"/>
    <w:rsid w:val="0065246A"/>
    <w:rsid w:val="00655B88"/>
    <w:rsid w:val="0066495D"/>
    <w:rsid w:val="006659AC"/>
    <w:rsid w:val="006743DB"/>
    <w:rsid w:val="00681B23"/>
    <w:rsid w:val="00695EB6"/>
    <w:rsid w:val="006A4D46"/>
    <w:rsid w:val="006A6024"/>
    <w:rsid w:val="006C216C"/>
    <w:rsid w:val="006C31FF"/>
    <w:rsid w:val="006C6B6C"/>
    <w:rsid w:val="006C704D"/>
    <w:rsid w:val="0070331D"/>
    <w:rsid w:val="00723C69"/>
    <w:rsid w:val="00741B43"/>
    <w:rsid w:val="0075072E"/>
    <w:rsid w:val="00752315"/>
    <w:rsid w:val="00756537"/>
    <w:rsid w:val="00766B97"/>
    <w:rsid w:val="007670E5"/>
    <w:rsid w:val="00775280"/>
    <w:rsid w:val="00776587"/>
    <w:rsid w:val="007A0EBC"/>
    <w:rsid w:val="007A4329"/>
    <w:rsid w:val="007B45B7"/>
    <w:rsid w:val="007B4ABB"/>
    <w:rsid w:val="007B4AC3"/>
    <w:rsid w:val="007B67A0"/>
    <w:rsid w:val="007B6904"/>
    <w:rsid w:val="007E38E7"/>
    <w:rsid w:val="007F1B99"/>
    <w:rsid w:val="00816782"/>
    <w:rsid w:val="0082141D"/>
    <w:rsid w:val="00827F24"/>
    <w:rsid w:val="00840F01"/>
    <w:rsid w:val="00855DA8"/>
    <w:rsid w:val="008568DC"/>
    <w:rsid w:val="00865480"/>
    <w:rsid w:val="008732E4"/>
    <w:rsid w:val="00883589"/>
    <w:rsid w:val="008846B5"/>
    <w:rsid w:val="00886399"/>
    <w:rsid w:val="008974CA"/>
    <w:rsid w:val="008D0CBA"/>
    <w:rsid w:val="008D6C9B"/>
    <w:rsid w:val="008D7A2C"/>
    <w:rsid w:val="008E1CB4"/>
    <w:rsid w:val="008E1F7F"/>
    <w:rsid w:val="008E3427"/>
    <w:rsid w:val="008E74FD"/>
    <w:rsid w:val="008E7509"/>
    <w:rsid w:val="008F00E8"/>
    <w:rsid w:val="008F2F5F"/>
    <w:rsid w:val="008F52AA"/>
    <w:rsid w:val="008F6921"/>
    <w:rsid w:val="008F6D84"/>
    <w:rsid w:val="00915A2D"/>
    <w:rsid w:val="00933EED"/>
    <w:rsid w:val="0093761F"/>
    <w:rsid w:val="00940CDE"/>
    <w:rsid w:val="009506C0"/>
    <w:rsid w:val="00950DB2"/>
    <w:rsid w:val="0097742A"/>
    <w:rsid w:val="00980AE7"/>
    <w:rsid w:val="00980EED"/>
    <w:rsid w:val="0098312B"/>
    <w:rsid w:val="00984E53"/>
    <w:rsid w:val="0098579F"/>
    <w:rsid w:val="00991670"/>
    <w:rsid w:val="009A19B6"/>
    <w:rsid w:val="009A534C"/>
    <w:rsid w:val="009A7440"/>
    <w:rsid w:val="009B0E44"/>
    <w:rsid w:val="009B4A8F"/>
    <w:rsid w:val="009B6C8C"/>
    <w:rsid w:val="009B6F42"/>
    <w:rsid w:val="009C0FCA"/>
    <w:rsid w:val="009C3963"/>
    <w:rsid w:val="009D323C"/>
    <w:rsid w:val="009E741C"/>
    <w:rsid w:val="009F6D8B"/>
    <w:rsid w:val="00A063FE"/>
    <w:rsid w:val="00A13087"/>
    <w:rsid w:val="00A26A33"/>
    <w:rsid w:val="00A3469C"/>
    <w:rsid w:val="00A350E5"/>
    <w:rsid w:val="00A35E2D"/>
    <w:rsid w:val="00A455A0"/>
    <w:rsid w:val="00A52F8E"/>
    <w:rsid w:val="00A56552"/>
    <w:rsid w:val="00A6019F"/>
    <w:rsid w:val="00A602B8"/>
    <w:rsid w:val="00A66895"/>
    <w:rsid w:val="00A74B8A"/>
    <w:rsid w:val="00A85F61"/>
    <w:rsid w:val="00A86A9D"/>
    <w:rsid w:val="00A86DB3"/>
    <w:rsid w:val="00A939DF"/>
    <w:rsid w:val="00AA25DC"/>
    <w:rsid w:val="00AE666D"/>
    <w:rsid w:val="00B10F87"/>
    <w:rsid w:val="00B11471"/>
    <w:rsid w:val="00B11FDB"/>
    <w:rsid w:val="00B164C6"/>
    <w:rsid w:val="00B17115"/>
    <w:rsid w:val="00B21043"/>
    <w:rsid w:val="00B26EE3"/>
    <w:rsid w:val="00B30DA2"/>
    <w:rsid w:val="00B44CAC"/>
    <w:rsid w:val="00B453FC"/>
    <w:rsid w:val="00B537ED"/>
    <w:rsid w:val="00B56B2B"/>
    <w:rsid w:val="00B573D6"/>
    <w:rsid w:val="00B61F35"/>
    <w:rsid w:val="00B634F1"/>
    <w:rsid w:val="00B81455"/>
    <w:rsid w:val="00B93668"/>
    <w:rsid w:val="00B9379D"/>
    <w:rsid w:val="00B9627F"/>
    <w:rsid w:val="00BA0A1B"/>
    <w:rsid w:val="00BA2415"/>
    <w:rsid w:val="00BA4F95"/>
    <w:rsid w:val="00BA5B60"/>
    <w:rsid w:val="00BB33F9"/>
    <w:rsid w:val="00BC3CE6"/>
    <w:rsid w:val="00BD03DB"/>
    <w:rsid w:val="00BD12A6"/>
    <w:rsid w:val="00BE2C81"/>
    <w:rsid w:val="00BE5E41"/>
    <w:rsid w:val="00C13D33"/>
    <w:rsid w:val="00C17006"/>
    <w:rsid w:val="00C21AED"/>
    <w:rsid w:val="00C24EDC"/>
    <w:rsid w:val="00C25A76"/>
    <w:rsid w:val="00C27C0F"/>
    <w:rsid w:val="00C31BD5"/>
    <w:rsid w:val="00C32206"/>
    <w:rsid w:val="00C448A3"/>
    <w:rsid w:val="00C45B40"/>
    <w:rsid w:val="00C45C67"/>
    <w:rsid w:val="00C523FF"/>
    <w:rsid w:val="00C532D4"/>
    <w:rsid w:val="00C606F3"/>
    <w:rsid w:val="00C71C3C"/>
    <w:rsid w:val="00C91F34"/>
    <w:rsid w:val="00C9490E"/>
    <w:rsid w:val="00CA593D"/>
    <w:rsid w:val="00CB28CE"/>
    <w:rsid w:val="00CB5E63"/>
    <w:rsid w:val="00CE460A"/>
    <w:rsid w:val="00CF7A0F"/>
    <w:rsid w:val="00D006EF"/>
    <w:rsid w:val="00D027C0"/>
    <w:rsid w:val="00D06786"/>
    <w:rsid w:val="00D076CC"/>
    <w:rsid w:val="00D10CAF"/>
    <w:rsid w:val="00D12F53"/>
    <w:rsid w:val="00D16211"/>
    <w:rsid w:val="00D21780"/>
    <w:rsid w:val="00D23346"/>
    <w:rsid w:val="00D243B8"/>
    <w:rsid w:val="00D34794"/>
    <w:rsid w:val="00D42B85"/>
    <w:rsid w:val="00D44B69"/>
    <w:rsid w:val="00D4502D"/>
    <w:rsid w:val="00D45447"/>
    <w:rsid w:val="00D462B2"/>
    <w:rsid w:val="00D530CE"/>
    <w:rsid w:val="00D53E3C"/>
    <w:rsid w:val="00D54ED5"/>
    <w:rsid w:val="00D73E65"/>
    <w:rsid w:val="00D75083"/>
    <w:rsid w:val="00D7517E"/>
    <w:rsid w:val="00D77950"/>
    <w:rsid w:val="00DB763D"/>
    <w:rsid w:val="00DC3762"/>
    <w:rsid w:val="00DC739E"/>
    <w:rsid w:val="00DD0346"/>
    <w:rsid w:val="00DD09F9"/>
    <w:rsid w:val="00DD616A"/>
    <w:rsid w:val="00DE0465"/>
    <w:rsid w:val="00DE2F65"/>
    <w:rsid w:val="00DE4737"/>
    <w:rsid w:val="00DF2E14"/>
    <w:rsid w:val="00E049ED"/>
    <w:rsid w:val="00E06021"/>
    <w:rsid w:val="00E24BC5"/>
    <w:rsid w:val="00E32C59"/>
    <w:rsid w:val="00E34E6D"/>
    <w:rsid w:val="00E373FC"/>
    <w:rsid w:val="00E37CD4"/>
    <w:rsid w:val="00E41A47"/>
    <w:rsid w:val="00E53B9C"/>
    <w:rsid w:val="00E57848"/>
    <w:rsid w:val="00E7052D"/>
    <w:rsid w:val="00E80DC5"/>
    <w:rsid w:val="00E85776"/>
    <w:rsid w:val="00E9552E"/>
    <w:rsid w:val="00E977FA"/>
    <w:rsid w:val="00EA1A1E"/>
    <w:rsid w:val="00EA3CC8"/>
    <w:rsid w:val="00ED21AA"/>
    <w:rsid w:val="00ED21C3"/>
    <w:rsid w:val="00ED388C"/>
    <w:rsid w:val="00EF02B0"/>
    <w:rsid w:val="00F01B61"/>
    <w:rsid w:val="00F07560"/>
    <w:rsid w:val="00F13DD8"/>
    <w:rsid w:val="00F149FD"/>
    <w:rsid w:val="00F4262F"/>
    <w:rsid w:val="00F53719"/>
    <w:rsid w:val="00F565DA"/>
    <w:rsid w:val="00F57291"/>
    <w:rsid w:val="00F66CB0"/>
    <w:rsid w:val="00F72D0E"/>
    <w:rsid w:val="00F76C89"/>
    <w:rsid w:val="00F83FBF"/>
    <w:rsid w:val="00F8617E"/>
    <w:rsid w:val="00F93337"/>
    <w:rsid w:val="00FA29B8"/>
    <w:rsid w:val="00FB69FC"/>
    <w:rsid w:val="00FC0D0A"/>
    <w:rsid w:val="00FC1583"/>
    <w:rsid w:val="00FC56FC"/>
    <w:rsid w:val="00FD3D92"/>
    <w:rsid w:val="00FE36A3"/>
    <w:rsid w:val="00FF389E"/>
    <w:rsid w:val="00FF4C21"/>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nhideWhenUsed/>
    <w:rsid w:val="00D7517E"/>
    <w:rPr>
      <w:sz w:val="16"/>
      <w:szCs w:val="16"/>
    </w:rPr>
  </w:style>
  <w:style w:type="paragraph" w:styleId="CommentText">
    <w:name w:val="annotation text"/>
    <w:basedOn w:val="Normal"/>
    <w:link w:val="CommentTextChar"/>
    <w:unhideWhenUsed/>
    <w:rsid w:val="00D7517E"/>
    <w:rPr>
      <w:sz w:val="20"/>
    </w:rPr>
  </w:style>
  <w:style w:type="character" w:customStyle="1" w:styleId="CommentTextChar">
    <w:name w:val="Comment Text Char"/>
    <w:basedOn w:val="DefaultParagraphFont"/>
    <w:link w:val="CommentText"/>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NormalWeb">
    <w:name w:val="Normal (Web)"/>
    <w:basedOn w:val="Normal"/>
    <w:uiPriority w:val="99"/>
    <w:unhideWhenUsed/>
    <w:rsid w:val="00E977FA"/>
    <w:pPr>
      <w:spacing w:before="100" w:beforeAutospacing="1" w:after="100" w:afterAutospacing="1"/>
    </w:pPr>
    <w:rPr>
      <w:rFonts w:ascii="Times New Roman" w:hAnsi="Times New Roman"/>
      <w:szCs w:val="24"/>
      <w:lang w:eastAsia="en-GB"/>
    </w:rPr>
  </w:style>
  <w:style w:type="character" w:customStyle="1" w:styleId="apple-converted-space">
    <w:name w:val="apple-converted-space"/>
    <w:rsid w:val="00240833"/>
  </w:style>
  <w:style w:type="paragraph" w:styleId="Revision">
    <w:name w:val="Revision"/>
    <w:hidden/>
    <w:uiPriority w:val="99"/>
    <w:semiHidden/>
    <w:rsid w:val="00E80DC5"/>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act.gov.au/a/2006-3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DC44B-71B7-4995-8E5F-F0CBB4CC20A7}">
  <ds:schemaRefs>
    <ds:schemaRef ds:uri="http://purl.org/dc/elements/1.1/"/>
    <ds:schemaRef ds:uri="http://schemas.microsoft.com/office/2006/metadata/properties"/>
    <ds:schemaRef ds:uri="0c8e588b-9c83-49d3-a6c8-a54de8f95e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a20ae6d-faeb-4fb7-a10f-722643f1ac14"/>
    <ds:schemaRef ds:uri="http://www.w3.org/XML/1998/namespace"/>
    <ds:schemaRef ds:uri="http://purl.org/dc/dcmitype/"/>
  </ds:schemaRefs>
</ds:datastoreItem>
</file>

<file path=customXml/itemProps2.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3.xml><?xml version="1.0" encoding="utf-8"?>
<ds:datastoreItem xmlns:ds="http://schemas.openxmlformats.org/officeDocument/2006/customXml" ds:itemID="{21F3DD75-BBCD-448F-AFCA-C47474EC7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Clissold, Jacqui (Health)</cp:lastModifiedBy>
  <cp:revision>5</cp:revision>
  <cp:lastPrinted>2014-07-16T01:36:00Z</cp:lastPrinted>
  <dcterms:created xsi:type="dcterms:W3CDTF">2022-10-28T05:45:00Z</dcterms:created>
  <dcterms:modified xsi:type="dcterms:W3CDTF">2022-10-31T05:22:00Z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ies>
</file>