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9D35" w14:textId="77777777" w:rsidR="004E0648" w:rsidRPr="00DA3910" w:rsidRDefault="004E0648" w:rsidP="004E0648">
      <w:pPr>
        <w:rPr>
          <w:rFonts w:cs="Arial"/>
          <w:b/>
          <w:sz w:val="40"/>
          <w:szCs w:val="40"/>
        </w:rPr>
      </w:pPr>
      <w:r w:rsidRPr="00DA3910">
        <w:rPr>
          <w:rFonts w:cs="Arial"/>
          <w:b/>
          <w:sz w:val="40"/>
          <w:szCs w:val="40"/>
        </w:rPr>
        <w:t xml:space="preserve">Canberra </w:t>
      </w:r>
      <w:r>
        <w:rPr>
          <w:rFonts w:cs="Arial"/>
          <w:b/>
          <w:sz w:val="40"/>
          <w:szCs w:val="40"/>
        </w:rPr>
        <w:t>H</w:t>
      </w:r>
      <w:r w:rsidRPr="00DA3910">
        <w:rPr>
          <w:rFonts w:cs="Arial"/>
          <w:b/>
          <w:sz w:val="40"/>
          <w:szCs w:val="40"/>
        </w:rPr>
        <w:t>ealth Services</w:t>
      </w:r>
    </w:p>
    <w:p w14:paraId="643AC482" w14:textId="77777777" w:rsidR="004E0648" w:rsidRPr="00DA3910" w:rsidRDefault="004E0648" w:rsidP="004E0648">
      <w:pPr>
        <w:rPr>
          <w:rFonts w:cs="Arial"/>
          <w:b/>
          <w:sz w:val="40"/>
          <w:szCs w:val="40"/>
        </w:rPr>
      </w:pPr>
      <w:r>
        <w:rPr>
          <w:rFonts w:cs="Arial"/>
          <w:b/>
          <w:sz w:val="40"/>
          <w:szCs w:val="40"/>
        </w:rPr>
        <w:t>Guideline</w:t>
      </w:r>
    </w:p>
    <w:p w14:paraId="3D91894A" w14:textId="77777777" w:rsidR="004E0648" w:rsidRPr="00564DD7" w:rsidRDefault="004E0648" w:rsidP="004E0648">
      <w:pPr>
        <w:rPr>
          <w:rFonts w:cs="Arial"/>
          <w:b/>
          <w:iCs/>
          <w:sz w:val="36"/>
          <w:szCs w:val="36"/>
        </w:rPr>
      </w:pPr>
      <w:r w:rsidRPr="00564DD7">
        <w:rPr>
          <w:rFonts w:cs="Arial"/>
          <w:b/>
          <w:iCs/>
          <w:sz w:val="36"/>
          <w:szCs w:val="36"/>
        </w:rPr>
        <w:t xml:space="preserve">Management and Prevention of Prolonged Pregnancy </w:t>
      </w:r>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CD1C0E" w14:paraId="02CCF5E6" w14:textId="77777777" w:rsidTr="00793A93">
        <w:trPr>
          <w:cantSplit/>
          <w:trHeight w:val="285"/>
        </w:trPr>
        <w:tc>
          <w:tcPr>
            <w:tcW w:w="9158" w:type="dxa"/>
            <w:shd w:val="clear" w:color="auto" w:fill="D9D9D9" w:themeFill="background1" w:themeFillShade="D9"/>
          </w:tcPr>
          <w:p w14:paraId="134CC276" w14:textId="77777777" w:rsidR="004E0648" w:rsidRPr="00CD1C0E" w:rsidRDefault="004E0648" w:rsidP="00793A93">
            <w:pPr>
              <w:pStyle w:val="Heading1"/>
            </w:pPr>
            <w:bookmarkStart w:id="0" w:name="_Toc389473273"/>
            <w:bookmarkStart w:id="1" w:name="_Toc393203330"/>
            <w:bookmarkStart w:id="2" w:name="Contents"/>
            <w:bookmarkStart w:id="3" w:name="_Toc165021508"/>
            <w:r w:rsidRPr="00CD1C0E">
              <w:t>Contents</w:t>
            </w:r>
            <w:bookmarkEnd w:id="0"/>
            <w:bookmarkEnd w:id="1"/>
            <w:bookmarkEnd w:id="2"/>
            <w:bookmarkEnd w:id="3"/>
          </w:p>
        </w:tc>
      </w:tr>
    </w:tbl>
    <w:p w14:paraId="0C02218B" w14:textId="77777777" w:rsidR="004E0648" w:rsidRDefault="004E0648" w:rsidP="004E0648"/>
    <w:p w14:paraId="48CD92B0" w14:textId="77777777" w:rsidR="004E0648" w:rsidRDefault="004E0648" w:rsidP="004E0648">
      <w:pPr>
        <w:pStyle w:val="TOC1"/>
        <w:tabs>
          <w:tab w:val="right" w:leader="dot" w:pos="9060"/>
        </w:tabs>
        <w:rPr>
          <w:rFonts w:eastAsiaTheme="minorEastAsia" w:cstheme="minorBidi"/>
          <w:noProof/>
          <w:sz w:val="22"/>
          <w:szCs w:val="22"/>
          <w:lang w:eastAsia="en-AU"/>
        </w:rPr>
      </w:pPr>
      <w:r>
        <w:rPr>
          <w:rFonts w:cs="Arial"/>
          <w:b/>
          <w:sz w:val="36"/>
          <w:szCs w:val="36"/>
        </w:rPr>
        <w:fldChar w:fldCharType="begin"/>
      </w:r>
      <w:r>
        <w:rPr>
          <w:rFonts w:cs="Arial"/>
          <w:b/>
          <w:sz w:val="36"/>
          <w:szCs w:val="36"/>
        </w:rPr>
        <w:instrText xml:space="preserve"> TOC \h \z \t "Heading 1,1" </w:instrText>
      </w:r>
      <w:r>
        <w:rPr>
          <w:rFonts w:cs="Arial"/>
          <w:b/>
          <w:sz w:val="36"/>
          <w:szCs w:val="36"/>
        </w:rPr>
        <w:fldChar w:fldCharType="separate"/>
      </w:r>
      <w:hyperlink w:anchor="_Toc165021508" w:history="1">
        <w:r w:rsidRPr="00B410CF">
          <w:rPr>
            <w:rStyle w:val="Hyperlink"/>
            <w:noProof/>
          </w:rPr>
          <w:t>Contents</w:t>
        </w:r>
        <w:r>
          <w:rPr>
            <w:noProof/>
            <w:webHidden/>
          </w:rPr>
          <w:tab/>
        </w:r>
        <w:r>
          <w:rPr>
            <w:noProof/>
            <w:webHidden/>
          </w:rPr>
          <w:fldChar w:fldCharType="begin"/>
        </w:r>
        <w:r>
          <w:rPr>
            <w:noProof/>
            <w:webHidden/>
          </w:rPr>
          <w:instrText xml:space="preserve"> PAGEREF _Toc165021508 \h </w:instrText>
        </w:r>
        <w:r>
          <w:rPr>
            <w:noProof/>
            <w:webHidden/>
          </w:rPr>
        </w:r>
        <w:r>
          <w:rPr>
            <w:noProof/>
            <w:webHidden/>
          </w:rPr>
          <w:fldChar w:fldCharType="separate"/>
        </w:r>
        <w:r>
          <w:rPr>
            <w:noProof/>
            <w:webHidden/>
          </w:rPr>
          <w:t>1</w:t>
        </w:r>
        <w:r>
          <w:rPr>
            <w:noProof/>
            <w:webHidden/>
          </w:rPr>
          <w:fldChar w:fldCharType="end"/>
        </w:r>
      </w:hyperlink>
    </w:p>
    <w:p w14:paraId="11813576"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09" w:history="1">
        <w:r w:rsidRPr="00B410CF">
          <w:rPr>
            <w:rStyle w:val="Hyperlink"/>
            <w:noProof/>
          </w:rPr>
          <w:t>Guideline Statement</w:t>
        </w:r>
        <w:r>
          <w:rPr>
            <w:noProof/>
            <w:webHidden/>
          </w:rPr>
          <w:tab/>
        </w:r>
        <w:r>
          <w:rPr>
            <w:noProof/>
            <w:webHidden/>
          </w:rPr>
          <w:fldChar w:fldCharType="begin"/>
        </w:r>
        <w:r>
          <w:rPr>
            <w:noProof/>
            <w:webHidden/>
          </w:rPr>
          <w:instrText xml:space="preserve"> PAGEREF _Toc165021509 \h </w:instrText>
        </w:r>
        <w:r>
          <w:rPr>
            <w:noProof/>
            <w:webHidden/>
          </w:rPr>
        </w:r>
        <w:r>
          <w:rPr>
            <w:noProof/>
            <w:webHidden/>
          </w:rPr>
          <w:fldChar w:fldCharType="separate"/>
        </w:r>
        <w:r>
          <w:rPr>
            <w:noProof/>
            <w:webHidden/>
          </w:rPr>
          <w:t>3</w:t>
        </w:r>
        <w:r>
          <w:rPr>
            <w:noProof/>
            <w:webHidden/>
          </w:rPr>
          <w:fldChar w:fldCharType="end"/>
        </w:r>
      </w:hyperlink>
    </w:p>
    <w:p w14:paraId="24EC97A8"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10" w:history="1">
        <w:r w:rsidRPr="00B410CF">
          <w:rPr>
            <w:rStyle w:val="Hyperlink"/>
            <w:noProof/>
          </w:rPr>
          <w:t>Scope</w:t>
        </w:r>
        <w:r>
          <w:rPr>
            <w:noProof/>
            <w:webHidden/>
          </w:rPr>
          <w:tab/>
        </w:r>
        <w:r>
          <w:rPr>
            <w:noProof/>
            <w:webHidden/>
          </w:rPr>
          <w:fldChar w:fldCharType="begin"/>
        </w:r>
        <w:r>
          <w:rPr>
            <w:noProof/>
            <w:webHidden/>
          </w:rPr>
          <w:instrText xml:space="preserve"> PAGEREF _Toc165021510 \h </w:instrText>
        </w:r>
        <w:r>
          <w:rPr>
            <w:noProof/>
            <w:webHidden/>
          </w:rPr>
        </w:r>
        <w:r>
          <w:rPr>
            <w:noProof/>
            <w:webHidden/>
          </w:rPr>
          <w:fldChar w:fldCharType="separate"/>
        </w:r>
        <w:r>
          <w:rPr>
            <w:noProof/>
            <w:webHidden/>
          </w:rPr>
          <w:t>4</w:t>
        </w:r>
        <w:r>
          <w:rPr>
            <w:noProof/>
            <w:webHidden/>
          </w:rPr>
          <w:fldChar w:fldCharType="end"/>
        </w:r>
      </w:hyperlink>
    </w:p>
    <w:p w14:paraId="2382CCD1"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11" w:history="1">
        <w:r w:rsidRPr="00B410CF">
          <w:rPr>
            <w:rStyle w:val="Hyperlink"/>
            <w:noProof/>
          </w:rPr>
          <w:t>Section 1 – Prolonged pregnancy management strategies</w:t>
        </w:r>
        <w:r>
          <w:rPr>
            <w:noProof/>
            <w:webHidden/>
          </w:rPr>
          <w:tab/>
        </w:r>
        <w:r>
          <w:rPr>
            <w:noProof/>
            <w:webHidden/>
          </w:rPr>
          <w:fldChar w:fldCharType="begin"/>
        </w:r>
        <w:r>
          <w:rPr>
            <w:noProof/>
            <w:webHidden/>
          </w:rPr>
          <w:instrText xml:space="preserve"> PAGEREF _Toc165021511 \h </w:instrText>
        </w:r>
        <w:r>
          <w:rPr>
            <w:noProof/>
            <w:webHidden/>
          </w:rPr>
        </w:r>
        <w:r>
          <w:rPr>
            <w:noProof/>
            <w:webHidden/>
          </w:rPr>
          <w:fldChar w:fldCharType="separate"/>
        </w:r>
        <w:r>
          <w:rPr>
            <w:noProof/>
            <w:webHidden/>
          </w:rPr>
          <w:t>4</w:t>
        </w:r>
        <w:r>
          <w:rPr>
            <w:noProof/>
            <w:webHidden/>
          </w:rPr>
          <w:fldChar w:fldCharType="end"/>
        </w:r>
      </w:hyperlink>
    </w:p>
    <w:p w14:paraId="6BF83E06"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12" w:history="1">
        <w:r w:rsidRPr="00B410CF">
          <w:rPr>
            <w:rStyle w:val="Hyperlink"/>
            <w:noProof/>
          </w:rPr>
          <w:t>Section 2 – 38-40 weeks gestation management strategies</w:t>
        </w:r>
        <w:r>
          <w:rPr>
            <w:noProof/>
            <w:webHidden/>
          </w:rPr>
          <w:tab/>
        </w:r>
        <w:r>
          <w:rPr>
            <w:noProof/>
            <w:webHidden/>
          </w:rPr>
          <w:fldChar w:fldCharType="begin"/>
        </w:r>
        <w:r>
          <w:rPr>
            <w:noProof/>
            <w:webHidden/>
          </w:rPr>
          <w:instrText xml:space="preserve"> PAGEREF _Toc165021512 \h </w:instrText>
        </w:r>
        <w:r>
          <w:rPr>
            <w:noProof/>
            <w:webHidden/>
          </w:rPr>
        </w:r>
        <w:r>
          <w:rPr>
            <w:noProof/>
            <w:webHidden/>
          </w:rPr>
          <w:fldChar w:fldCharType="separate"/>
        </w:r>
        <w:r>
          <w:rPr>
            <w:noProof/>
            <w:webHidden/>
          </w:rPr>
          <w:t>5</w:t>
        </w:r>
        <w:r>
          <w:rPr>
            <w:noProof/>
            <w:webHidden/>
          </w:rPr>
          <w:fldChar w:fldCharType="end"/>
        </w:r>
      </w:hyperlink>
    </w:p>
    <w:p w14:paraId="2D704CB0"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13" w:history="1">
        <w:r w:rsidRPr="00B410CF">
          <w:rPr>
            <w:rStyle w:val="Hyperlink"/>
            <w:noProof/>
          </w:rPr>
          <w:t>Section 3 – 40-41 weeks gestation, management strategies</w:t>
        </w:r>
        <w:r>
          <w:rPr>
            <w:noProof/>
            <w:webHidden/>
          </w:rPr>
          <w:tab/>
        </w:r>
        <w:r>
          <w:rPr>
            <w:noProof/>
            <w:webHidden/>
          </w:rPr>
          <w:fldChar w:fldCharType="begin"/>
        </w:r>
        <w:r>
          <w:rPr>
            <w:noProof/>
            <w:webHidden/>
          </w:rPr>
          <w:instrText xml:space="preserve"> PAGEREF _Toc165021513 \h </w:instrText>
        </w:r>
        <w:r>
          <w:rPr>
            <w:noProof/>
            <w:webHidden/>
          </w:rPr>
        </w:r>
        <w:r>
          <w:rPr>
            <w:noProof/>
            <w:webHidden/>
          </w:rPr>
          <w:fldChar w:fldCharType="separate"/>
        </w:r>
        <w:r>
          <w:rPr>
            <w:noProof/>
            <w:webHidden/>
          </w:rPr>
          <w:t>5</w:t>
        </w:r>
        <w:r>
          <w:rPr>
            <w:noProof/>
            <w:webHidden/>
          </w:rPr>
          <w:fldChar w:fldCharType="end"/>
        </w:r>
      </w:hyperlink>
    </w:p>
    <w:p w14:paraId="483AD3FA"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14" w:history="1">
        <w:r w:rsidRPr="00B410CF">
          <w:rPr>
            <w:rStyle w:val="Hyperlink"/>
            <w:noProof/>
          </w:rPr>
          <w:t>Section 4 – 41-42 weeks gestation, management strategies</w:t>
        </w:r>
        <w:r>
          <w:rPr>
            <w:noProof/>
            <w:webHidden/>
          </w:rPr>
          <w:tab/>
        </w:r>
        <w:r>
          <w:rPr>
            <w:noProof/>
            <w:webHidden/>
          </w:rPr>
          <w:fldChar w:fldCharType="begin"/>
        </w:r>
        <w:r>
          <w:rPr>
            <w:noProof/>
            <w:webHidden/>
          </w:rPr>
          <w:instrText xml:space="preserve"> PAGEREF _Toc165021514 \h </w:instrText>
        </w:r>
        <w:r>
          <w:rPr>
            <w:noProof/>
            <w:webHidden/>
          </w:rPr>
        </w:r>
        <w:r>
          <w:rPr>
            <w:noProof/>
            <w:webHidden/>
          </w:rPr>
          <w:fldChar w:fldCharType="separate"/>
        </w:r>
        <w:r>
          <w:rPr>
            <w:noProof/>
            <w:webHidden/>
          </w:rPr>
          <w:t>6</w:t>
        </w:r>
        <w:r>
          <w:rPr>
            <w:noProof/>
            <w:webHidden/>
          </w:rPr>
          <w:fldChar w:fldCharType="end"/>
        </w:r>
      </w:hyperlink>
    </w:p>
    <w:p w14:paraId="13E30812"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15" w:history="1">
        <w:r w:rsidRPr="00B410CF">
          <w:rPr>
            <w:rStyle w:val="Hyperlink"/>
            <w:noProof/>
          </w:rPr>
          <w:t>Section 5 – 42 weeks gestation or greater, management strategies</w:t>
        </w:r>
        <w:r>
          <w:rPr>
            <w:noProof/>
            <w:webHidden/>
          </w:rPr>
          <w:tab/>
        </w:r>
        <w:r>
          <w:rPr>
            <w:noProof/>
            <w:webHidden/>
          </w:rPr>
          <w:fldChar w:fldCharType="begin"/>
        </w:r>
        <w:r>
          <w:rPr>
            <w:noProof/>
            <w:webHidden/>
          </w:rPr>
          <w:instrText xml:space="preserve"> PAGEREF _Toc165021515 \h </w:instrText>
        </w:r>
        <w:r>
          <w:rPr>
            <w:noProof/>
            <w:webHidden/>
          </w:rPr>
        </w:r>
        <w:r>
          <w:rPr>
            <w:noProof/>
            <w:webHidden/>
          </w:rPr>
          <w:fldChar w:fldCharType="separate"/>
        </w:r>
        <w:r>
          <w:rPr>
            <w:noProof/>
            <w:webHidden/>
          </w:rPr>
          <w:t>6</w:t>
        </w:r>
        <w:r>
          <w:rPr>
            <w:noProof/>
            <w:webHidden/>
          </w:rPr>
          <w:fldChar w:fldCharType="end"/>
        </w:r>
      </w:hyperlink>
    </w:p>
    <w:p w14:paraId="07B963BF"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16" w:history="1">
        <w:r w:rsidRPr="00B410CF">
          <w:rPr>
            <w:rStyle w:val="Hyperlink"/>
            <w:noProof/>
          </w:rPr>
          <w:t>Section 6 – Intrapartum Management</w:t>
        </w:r>
        <w:r>
          <w:rPr>
            <w:noProof/>
            <w:webHidden/>
          </w:rPr>
          <w:tab/>
        </w:r>
        <w:r>
          <w:rPr>
            <w:noProof/>
            <w:webHidden/>
          </w:rPr>
          <w:fldChar w:fldCharType="begin"/>
        </w:r>
        <w:r>
          <w:rPr>
            <w:noProof/>
            <w:webHidden/>
          </w:rPr>
          <w:instrText xml:space="preserve"> PAGEREF _Toc165021516 \h </w:instrText>
        </w:r>
        <w:r>
          <w:rPr>
            <w:noProof/>
            <w:webHidden/>
          </w:rPr>
        </w:r>
        <w:r>
          <w:rPr>
            <w:noProof/>
            <w:webHidden/>
          </w:rPr>
          <w:fldChar w:fldCharType="separate"/>
        </w:r>
        <w:r>
          <w:rPr>
            <w:noProof/>
            <w:webHidden/>
          </w:rPr>
          <w:t>7</w:t>
        </w:r>
        <w:r>
          <w:rPr>
            <w:noProof/>
            <w:webHidden/>
          </w:rPr>
          <w:fldChar w:fldCharType="end"/>
        </w:r>
      </w:hyperlink>
    </w:p>
    <w:p w14:paraId="6E345B9E"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17" w:history="1">
        <w:r w:rsidRPr="00B410CF">
          <w:rPr>
            <w:rStyle w:val="Hyperlink"/>
            <w:noProof/>
          </w:rPr>
          <w:t>Evaluation</w:t>
        </w:r>
        <w:r>
          <w:rPr>
            <w:noProof/>
            <w:webHidden/>
          </w:rPr>
          <w:tab/>
        </w:r>
        <w:r>
          <w:rPr>
            <w:noProof/>
            <w:webHidden/>
          </w:rPr>
          <w:fldChar w:fldCharType="begin"/>
        </w:r>
        <w:r>
          <w:rPr>
            <w:noProof/>
            <w:webHidden/>
          </w:rPr>
          <w:instrText xml:space="preserve"> PAGEREF _Toc165021517 \h </w:instrText>
        </w:r>
        <w:r>
          <w:rPr>
            <w:noProof/>
            <w:webHidden/>
          </w:rPr>
        </w:r>
        <w:r>
          <w:rPr>
            <w:noProof/>
            <w:webHidden/>
          </w:rPr>
          <w:fldChar w:fldCharType="separate"/>
        </w:r>
        <w:r>
          <w:rPr>
            <w:noProof/>
            <w:webHidden/>
          </w:rPr>
          <w:t>7</w:t>
        </w:r>
        <w:r>
          <w:rPr>
            <w:noProof/>
            <w:webHidden/>
          </w:rPr>
          <w:fldChar w:fldCharType="end"/>
        </w:r>
      </w:hyperlink>
    </w:p>
    <w:p w14:paraId="69ABB64E"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18" w:history="1">
        <w:r w:rsidRPr="00B410CF">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_Toc165021518 \h </w:instrText>
        </w:r>
        <w:r>
          <w:rPr>
            <w:noProof/>
            <w:webHidden/>
          </w:rPr>
        </w:r>
        <w:r>
          <w:rPr>
            <w:noProof/>
            <w:webHidden/>
          </w:rPr>
          <w:fldChar w:fldCharType="separate"/>
        </w:r>
        <w:r>
          <w:rPr>
            <w:noProof/>
            <w:webHidden/>
          </w:rPr>
          <w:t>7</w:t>
        </w:r>
        <w:r>
          <w:rPr>
            <w:noProof/>
            <w:webHidden/>
          </w:rPr>
          <w:fldChar w:fldCharType="end"/>
        </w:r>
      </w:hyperlink>
    </w:p>
    <w:p w14:paraId="7B7DBC8D"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19" w:history="1">
        <w:r w:rsidRPr="00B410CF">
          <w:rPr>
            <w:rStyle w:val="Hyperlink"/>
            <w:noProof/>
          </w:rPr>
          <w:t>References</w:t>
        </w:r>
        <w:r>
          <w:rPr>
            <w:noProof/>
            <w:webHidden/>
          </w:rPr>
          <w:tab/>
        </w:r>
        <w:r>
          <w:rPr>
            <w:noProof/>
            <w:webHidden/>
          </w:rPr>
          <w:fldChar w:fldCharType="begin"/>
        </w:r>
        <w:r>
          <w:rPr>
            <w:noProof/>
            <w:webHidden/>
          </w:rPr>
          <w:instrText xml:space="preserve"> PAGEREF _Toc165021519 \h </w:instrText>
        </w:r>
        <w:r>
          <w:rPr>
            <w:noProof/>
            <w:webHidden/>
          </w:rPr>
        </w:r>
        <w:r>
          <w:rPr>
            <w:noProof/>
            <w:webHidden/>
          </w:rPr>
          <w:fldChar w:fldCharType="separate"/>
        </w:r>
        <w:r>
          <w:rPr>
            <w:noProof/>
            <w:webHidden/>
          </w:rPr>
          <w:t>8</w:t>
        </w:r>
        <w:r>
          <w:rPr>
            <w:noProof/>
            <w:webHidden/>
          </w:rPr>
          <w:fldChar w:fldCharType="end"/>
        </w:r>
      </w:hyperlink>
    </w:p>
    <w:p w14:paraId="21B774D8"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20" w:history="1">
        <w:r w:rsidRPr="00B410CF">
          <w:rPr>
            <w:rStyle w:val="Hyperlink"/>
            <w:noProof/>
          </w:rPr>
          <w:t>Definition of Terms</w:t>
        </w:r>
        <w:r>
          <w:rPr>
            <w:noProof/>
            <w:webHidden/>
          </w:rPr>
          <w:tab/>
        </w:r>
        <w:r>
          <w:rPr>
            <w:noProof/>
            <w:webHidden/>
          </w:rPr>
          <w:fldChar w:fldCharType="begin"/>
        </w:r>
        <w:r>
          <w:rPr>
            <w:noProof/>
            <w:webHidden/>
          </w:rPr>
          <w:instrText xml:space="preserve"> PAGEREF _Toc165021520 \h </w:instrText>
        </w:r>
        <w:r>
          <w:rPr>
            <w:noProof/>
            <w:webHidden/>
          </w:rPr>
        </w:r>
        <w:r>
          <w:rPr>
            <w:noProof/>
            <w:webHidden/>
          </w:rPr>
          <w:fldChar w:fldCharType="separate"/>
        </w:r>
        <w:r>
          <w:rPr>
            <w:noProof/>
            <w:webHidden/>
          </w:rPr>
          <w:t>9</w:t>
        </w:r>
        <w:r>
          <w:rPr>
            <w:noProof/>
            <w:webHidden/>
          </w:rPr>
          <w:fldChar w:fldCharType="end"/>
        </w:r>
      </w:hyperlink>
    </w:p>
    <w:p w14:paraId="160A539E" w14:textId="77777777" w:rsidR="004E0648" w:rsidRDefault="004E0648" w:rsidP="004E0648">
      <w:pPr>
        <w:pStyle w:val="TOC1"/>
        <w:tabs>
          <w:tab w:val="right" w:leader="dot" w:pos="9060"/>
        </w:tabs>
        <w:rPr>
          <w:rFonts w:eastAsiaTheme="minorEastAsia" w:cstheme="minorBidi"/>
          <w:noProof/>
          <w:sz w:val="22"/>
          <w:szCs w:val="22"/>
          <w:lang w:eastAsia="en-AU"/>
        </w:rPr>
      </w:pPr>
      <w:hyperlink w:anchor="_Toc165021521" w:history="1">
        <w:r w:rsidRPr="00B410CF">
          <w:rPr>
            <w:rStyle w:val="Hyperlink"/>
            <w:noProof/>
          </w:rPr>
          <w:t>Search Terms</w:t>
        </w:r>
        <w:r>
          <w:rPr>
            <w:noProof/>
            <w:webHidden/>
          </w:rPr>
          <w:tab/>
        </w:r>
        <w:r>
          <w:rPr>
            <w:noProof/>
            <w:webHidden/>
          </w:rPr>
          <w:fldChar w:fldCharType="begin"/>
        </w:r>
        <w:r>
          <w:rPr>
            <w:noProof/>
            <w:webHidden/>
          </w:rPr>
          <w:instrText xml:space="preserve"> PAGEREF _Toc165021521 \h </w:instrText>
        </w:r>
        <w:r>
          <w:rPr>
            <w:noProof/>
            <w:webHidden/>
          </w:rPr>
        </w:r>
        <w:r>
          <w:rPr>
            <w:noProof/>
            <w:webHidden/>
          </w:rPr>
          <w:fldChar w:fldCharType="separate"/>
        </w:r>
        <w:r>
          <w:rPr>
            <w:noProof/>
            <w:webHidden/>
          </w:rPr>
          <w:t>9</w:t>
        </w:r>
        <w:r>
          <w:rPr>
            <w:noProof/>
            <w:webHidden/>
          </w:rPr>
          <w:fldChar w:fldCharType="end"/>
        </w:r>
      </w:hyperlink>
    </w:p>
    <w:p w14:paraId="2536A360" w14:textId="77777777" w:rsidR="004E0648" w:rsidRDefault="004E0648" w:rsidP="004E0648">
      <w:pPr>
        <w:rPr>
          <w:rFonts w:cs="Arial"/>
          <w:b/>
          <w:sz w:val="36"/>
          <w:szCs w:val="36"/>
        </w:rPr>
      </w:pPr>
      <w:r>
        <w:rPr>
          <w:rFonts w:cs="Arial"/>
          <w:b/>
          <w:sz w:val="36"/>
          <w:szCs w:val="36"/>
        </w:rPr>
        <w:fldChar w:fldCharType="end"/>
      </w:r>
    </w:p>
    <w:p w14:paraId="3C265E96" w14:textId="77777777" w:rsidR="004E0648" w:rsidRDefault="004E0648" w:rsidP="004E0648">
      <w:pPr>
        <w:rPr>
          <w:rFonts w:cs="Arial"/>
          <w:b/>
          <w:sz w:val="36"/>
          <w:szCs w:val="36"/>
        </w:rPr>
      </w:pPr>
      <w:r>
        <w:rPr>
          <w:rFonts w:cs="Arial"/>
          <w:b/>
          <w:sz w:val="36"/>
          <w:szCs w:val="36"/>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1B2BAC" w14:paraId="626BDD63" w14:textId="77777777" w:rsidTr="00793A93">
        <w:trPr>
          <w:cantSplit/>
          <w:trHeight w:val="285"/>
        </w:trPr>
        <w:tc>
          <w:tcPr>
            <w:tcW w:w="9158" w:type="dxa"/>
            <w:shd w:val="clear" w:color="auto" w:fill="D9D9D9" w:themeFill="background1" w:themeFillShade="D9"/>
          </w:tcPr>
          <w:p w14:paraId="270769A0" w14:textId="77777777" w:rsidR="004E0648" w:rsidRPr="002E3BFE" w:rsidRDefault="004E0648" w:rsidP="00793A93">
            <w:pPr>
              <w:pStyle w:val="Heading1"/>
            </w:pPr>
            <w:bookmarkStart w:id="4" w:name="_Toc165021509"/>
            <w:r>
              <w:lastRenderedPageBreak/>
              <w:t>Guideline Statement</w:t>
            </w:r>
            <w:bookmarkEnd w:id="4"/>
          </w:p>
        </w:tc>
      </w:tr>
    </w:tbl>
    <w:p w14:paraId="5F191CFE" w14:textId="77777777" w:rsidR="004E0648" w:rsidRPr="00CA244A" w:rsidRDefault="004E0648" w:rsidP="004E0648">
      <w:pPr>
        <w:autoSpaceDE w:val="0"/>
        <w:autoSpaceDN w:val="0"/>
        <w:adjustRightInd w:val="0"/>
        <w:rPr>
          <w:rFonts w:asciiTheme="minorHAnsi" w:eastAsiaTheme="minorHAnsi" w:hAnsiTheme="minorHAnsi" w:cs="Arial"/>
          <w:sz w:val="22"/>
          <w:szCs w:val="22"/>
        </w:rPr>
      </w:pPr>
    </w:p>
    <w:p w14:paraId="617A2A0B" w14:textId="77777777" w:rsidR="004E0648" w:rsidRPr="004A4A9D" w:rsidRDefault="004E0648" w:rsidP="004E0648">
      <w:pPr>
        <w:rPr>
          <w:rFonts w:eastAsiaTheme="minorHAnsi"/>
          <w:szCs w:val="24"/>
        </w:rPr>
      </w:pPr>
      <w:r w:rsidRPr="004A4A9D">
        <w:rPr>
          <w:rFonts w:eastAsiaTheme="minorHAnsi"/>
          <w:szCs w:val="24"/>
        </w:rPr>
        <w:t xml:space="preserve">The purpose of this document is to provide guidance for the clinical management and provision of </w:t>
      </w:r>
      <w:proofErr w:type="gramStart"/>
      <w:r w:rsidRPr="004A4A9D">
        <w:rPr>
          <w:rFonts w:eastAsiaTheme="minorHAnsi"/>
          <w:szCs w:val="24"/>
        </w:rPr>
        <w:t>evidence based</w:t>
      </w:r>
      <w:proofErr w:type="gramEnd"/>
      <w:r w:rsidRPr="004A4A9D">
        <w:rPr>
          <w:rFonts w:eastAsiaTheme="minorHAnsi"/>
          <w:szCs w:val="24"/>
        </w:rPr>
        <w:t xml:space="preserve"> information to women with low risk, singleton pregnancies who have crossed their </w:t>
      </w:r>
      <w:r>
        <w:rPr>
          <w:rFonts w:eastAsiaTheme="minorHAnsi"/>
          <w:szCs w:val="24"/>
        </w:rPr>
        <w:t xml:space="preserve">due </w:t>
      </w:r>
      <w:r w:rsidRPr="004A4A9D">
        <w:rPr>
          <w:rFonts w:eastAsiaTheme="minorHAnsi"/>
          <w:szCs w:val="24"/>
        </w:rPr>
        <w:t xml:space="preserve">date and tending to extend beyond 42+0 weeks gestation, a condition referred to as post-term or prolonged pregnancy. It is important to assess each woman individually and base the management plan for pregnancy beyond their expected dates of delivery to avoid the risks of post-term pregnancy. </w:t>
      </w:r>
    </w:p>
    <w:p w14:paraId="26ABC5CF" w14:textId="77777777" w:rsidR="004E0648" w:rsidRPr="004A4A9D" w:rsidRDefault="004E0648" w:rsidP="004E0648">
      <w:pPr>
        <w:rPr>
          <w:rFonts w:eastAsiaTheme="minorHAnsi"/>
          <w:szCs w:val="24"/>
        </w:rPr>
      </w:pPr>
    </w:p>
    <w:p w14:paraId="26D05990" w14:textId="77777777" w:rsidR="004E0648" w:rsidRPr="004A4A9D" w:rsidRDefault="004E0648" w:rsidP="004E0648">
      <w:pPr>
        <w:rPr>
          <w:rFonts w:eastAsiaTheme="minorHAnsi"/>
          <w:b/>
          <w:bCs/>
          <w:szCs w:val="24"/>
        </w:rPr>
      </w:pPr>
      <w:r w:rsidRPr="004A4A9D">
        <w:rPr>
          <w:rFonts w:eastAsiaTheme="minorHAnsi"/>
          <w:b/>
          <w:bCs/>
          <w:szCs w:val="24"/>
        </w:rPr>
        <w:t>Background</w:t>
      </w:r>
    </w:p>
    <w:p w14:paraId="2208A81B" w14:textId="77777777" w:rsidR="004E0648" w:rsidRDefault="004E0648" w:rsidP="004E0648">
      <w:pPr>
        <w:rPr>
          <w:rFonts w:eastAsiaTheme="minorEastAsia"/>
        </w:rPr>
      </w:pPr>
      <w:r w:rsidRPr="27E69E8B">
        <w:rPr>
          <w:rFonts w:eastAsiaTheme="minorEastAsia"/>
        </w:rPr>
        <w:t xml:space="preserve">Evidence suggests that the overall perinatal mortality rate increases with increasing maternal and gestational age in late </w:t>
      </w:r>
      <w:r>
        <w:rPr>
          <w:rFonts w:eastAsiaTheme="minorEastAsia"/>
        </w:rPr>
        <w:t xml:space="preserve">and post </w:t>
      </w:r>
      <w:r w:rsidRPr="27E69E8B">
        <w:rPr>
          <w:rFonts w:eastAsiaTheme="minorEastAsia"/>
        </w:rPr>
        <w:t xml:space="preserve">term pregnancies. </w:t>
      </w:r>
    </w:p>
    <w:p w14:paraId="4125CF87" w14:textId="77777777" w:rsidR="004E0648" w:rsidRDefault="004E0648" w:rsidP="004E0648">
      <w:pPr>
        <w:rPr>
          <w:rFonts w:eastAsiaTheme="minorEastAsia"/>
        </w:rPr>
      </w:pPr>
    </w:p>
    <w:p w14:paraId="62973EF7" w14:textId="77777777" w:rsidR="004E0648" w:rsidRDefault="004E0648" w:rsidP="004E0648">
      <w:pPr>
        <w:rPr>
          <w:rFonts w:eastAsiaTheme="minorEastAsia"/>
        </w:rPr>
      </w:pPr>
      <w:r w:rsidRPr="00677EB1">
        <w:rPr>
          <w:rFonts w:eastAsiaTheme="minorEastAsia"/>
        </w:rPr>
        <w:t>Among babies born post-term in Australia in 201</w:t>
      </w:r>
      <w:r>
        <w:rPr>
          <w:rFonts w:eastAsiaTheme="minorEastAsia"/>
        </w:rPr>
        <w:t>8</w:t>
      </w:r>
      <w:r>
        <w:rPr>
          <w:noProof/>
        </w:rPr>
        <w:t xml:space="preserve"> (Australian Institute of Health and Welfare (AIHW) Australia’s mothers and babies 2018)</w:t>
      </w:r>
      <w:r w:rsidRPr="00677EB1">
        <w:rPr>
          <w:rFonts w:eastAsiaTheme="minorEastAsia"/>
        </w:rPr>
        <w:t xml:space="preserve"> </w:t>
      </w:r>
    </w:p>
    <w:p w14:paraId="5F576A29" w14:textId="77777777" w:rsidR="004E0648" w:rsidRDefault="004E0648" w:rsidP="004E0648">
      <w:pPr>
        <w:pStyle w:val="ListBullet"/>
        <w:rPr>
          <w:rFonts w:eastAsiaTheme="minorEastAsia"/>
        </w:rPr>
      </w:pPr>
      <w:r w:rsidRPr="003A5752">
        <w:rPr>
          <w:rFonts w:eastAsiaTheme="minorEastAsia"/>
        </w:rPr>
        <w:t>0.4%</w:t>
      </w:r>
      <w:r>
        <w:rPr>
          <w:rFonts w:eastAsiaTheme="minorEastAsia"/>
        </w:rPr>
        <w:t xml:space="preserve"> </w:t>
      </w:r>
      <w:r w:rsidRPr="003A5752">
        <w:rPr>
          <w:rFonts w:eastAsiaTheme="minorEastAsia"/>
        </w:rPr>
        <w:t>of babies were born post-term</w:t>
      </w:r>
      <w:r>
        <w:rPr>
          <w:rFonts w:eastAsiaTheme="minorEastAsia"/>
        </w:rPr>
        <w:t xml:space="preserve"> (42 weeks and over)</w:t>
      </w:r>
    </w:p>
    <w:p w14:paraId="37909E55" w14:textId="77777777" w:rsidR="004E0648" w:rsidRDefault="004E0648" w:rsidP="004E0648">
      <w:pPr>
        <w:pStyle w:val="ListBullet"/>
        <w:rPr>
          <w:rFonts w:eastAsiaTheme="minorEastAsia"/>
        </w:rPr>
      </w:pPr>
      <w:r>
        <w:rPr>
          <w:rFonts w:eastAsiaTheme="minorEastAsia"/>
        </w:rPr>
        <w:t>The majority of babies of Indigenous mothers were born at term, with less than 1% born post-</w:t>
      </w:r>
      <w:proofErr w:type="gramStart"/>
      <w:r>
        <w:rPr>
          <w:rFonts w:eastAsiaTheme="minorEastAsia"/>
        </w:rPr>
        <w:t>term</w:t>
      </w:r>
      <w:proofErr w:type="gramEnd"/>
    </w:p>
    <w:p w14:paraId="4216EAE3" w14:textId="77777777" w:rsidR="004E0648" w:rsidRPr="003A5752" w:rsidRDefault="004E0648" w:rsidP="004E0648">
      <w:pPr>
        <w:pStyle w:val="ListBullet"/>
        <w:rPr>
          <w:rFonts w:eastAsiaTheme="minorEastAsia"/>
        </w:rPr>
      </w:pPr>
      <w:r w:rsidRPr="003A5752">
        <w:rPr>
          <w:rFonts w:eastAsiaTheme="minorEastAsia"/>
        </w:rPr>
        <w:t xml:space="preserve">2.2% </w:t>
      </w:r>
      <w:r>
        <w:rPr>
          <w:rFonts w:eastAsiaTheme="minorEastAsia"/>
        </w:rPr>
        <w:t xml:space="preserve">of babies born post-term </w:t>
      </w:r>
      <w:r w:rsidRPr="003A5752">
        <w:rPr>
          <w:rFonts w:eastAsiaTheme="minorEastAsia"/>
        </w:rPr>
        <w:t>had Apgar scores lower than seven at 5 minutes (compared with 1.3% of babies born at 37 to 41 weeks).</w:t>
      </w:r>
    </w:p>
    <w:p w14:paraId="043DCF4D" w14:textId="77777777" w:rsidR="004E0648" w:rsidRDefault="004E0648" w:rsidP="004E0648">
      <w:pPr>
        <w:rPr>
          <w:rFonts w:eastAsiaTheme="minorEastAsia"/>
        </w:rPr>
      </w:pPr>
    </w:p>
    <w:p w14:paraId="52465F5D" w14:textId="77777777" w:rsidR="004E0648" w:rsidRPr="00625CD5" w:rsidRDefault="004E0648" w:rsidP="004E0648">
      <w:r w:rsidRPr="00677EB1">
        <w:t xml:space="preserve">Potential risks for the mother associated with post-term pregnancy include prolonged </w:t>
      </w:r>
      <w:r w:rsidRPr="004A02F0">
        <w:t>labour, postpartum haemorrhage, and perineal tears. Women may also experience anxiety, particularly if the woman perceives her prolonged pregnancy as high risk.</w:t>
      </w:r>
    </w:p>
    <w:p w14:paraId="70C55AEF" w14:textId="77777777" w:rsidR="004E0648" w:rsidRDefault="004E0648" w:rsidP="004E0648">
      <w:pPr>
        <w:rPr>
          <w:rFonts w:eastAsiaTheme="minorEastAsia"/>
        </w:rPr>
      </w:pPr>
    </w:p>
    <w:p w14:paraId="5E3E6F18" w14:textId="77777777" w:rsidR="004E0648" w:rsidRPr="004A4A9D" w:rsidRDefault="004E0648" w:rsidP="004E0648">
      <w:r w:rsidRPr="27E69E8B">
        <w:rPr>
          <w:rFonts w:eastAsiaTheme="minorEastAsia"/>
        </w:rPr>
        <w:t xml:space="preserve">The reduction in these adverse perinatal outcomes can be achieved if birth occurs prior to 42+0 weeks gestation. </w:t>
      </w:r>
      <w:r>
        <w:t>Women with uncomplicated pregnancies should be given every opportunity to go into spontaneous labour. Women with uncomplicated pregnancies should usually be offered induction of labour between 41+0 and 42+0 weeks to avoid the risks of prolonged pregnancy</w:t>
      </w:r>
      <w:r w:rsidRPr="27E69E8B">
        <w:rPr>
          <w:vertAlign w:val="superscript"/>
        </w:rPr>
        <w:t>7, 11</w:t>
      </w:r>
      <w:r>
        <w:t xml:space="preserve">. The exact timing should </w:t>
      </w:r>
      <w:proofErr w:type="gramStart"/>
      <w:r>
        <w:t>take into account</w:t>
      </w:r>
      <w:proofErr w:type="gramEnd"/>
      <w:r>
        <w:t xml:space="preserve"> the woman's preferences and circumstances.</w:t>
      </w:r>
      <w:r w:rsidRPr="27E69E8B">
        <w:rPr>
          <w:rFonts w:eastAsiaTheme="minorEastAsia"/>
        </w:rPr>
        <w:t xml:space="preserve"> </w:t>
      </w:r>
      <w:r>
        <w:t xml:space="preserve">At 42 weeks gestation women </w:t>
      </w:r>
      <w:proofErr w:type="gramStart"/>
      <w:r>
        <w:t>are considered to be</w:t>
      </w:r>
      <w:proofErr w:type="gramEnd"/>
      <w:r>
        <w:t xml:space="preserve"> high risk and should be given an appointment with an obstetrician to discuss ongoing pregnancy management and birth planning to mitigate these risks</w:t>
      </w:r>
      <w:r w:rsidRPr="27E69E8B">
        <w:rPr>
          <w:rFonts w:eastAsiaTheme="minorEastAsia"/>
        </w:rPr>
        <w:t xml:space="preserve">. </w:t>
      </w:r>
      <w:r>
        <w:t xml:space="preserve">From 42 weeks, women who decline induction of labour should be offered increased antenatal </w:t>
      </w:r>
      <w:proofErr w:type="spellStart"/>
      <w:r>
        <w:t>fetal</w:t>
      </w:r>
      <w:proofErr w:type="spellEnd"/>
      <w:r>
        <w:t xml:space="preserve"> monitoring consisting of at least twice weekly cardiotocography (CTG) and ultrasound estimation of maximum amniotic pool </w:t>
      </w:r>
      <w:proofErr w:type="gramStart"/>
      <w:r>
        <w:t>depth</w:t>
      </w:r>
      <w:proofErr w:type="gramEnd"/>
    </w:p>
    <w:p w14:paraId="1C38D7B1" w14:textId="77777777" w:rsidR="004E0648" w:rsidRPr="004A4A9D" w:rsidRDefault="004E0648" w:rsidP="004E0648">
      <w:pPr>
        <w:rPr>
          <w:szCs w:val="24"/>
        </w:rPr>
      </w:pPr>
    </w:p>
    <w:p w14:paraId="4BB77153" w14:textId="77777777" w:rsidR="004E0648" w:rsidRPr="004A4A9D" w:rsidRDefault="004E0648" w:rsidP="004E0648">
      <w:pPr>
        <w:rPr>
          <w:b/>
          <w:bCs/>
          <w:szCs w:val="24"/>
        </w:rPr>
      </w:pPr>
      <w:r w:rsidRPr="004A4A9D">
        <w:rPr>
          <w:rFonts w:eastAsiaTheme="minorHAnsi"/>
          <w:b/>
          <w:bCs/>
          <w:szCs w:val="24"/>
        </w:rPr>
        <w:t>Key Objectives</w:t>
      </w:r>
    </w:p>
    <w:p w14:paraId="578356B1" w14:textId="77777777" w:rsidR="004E0648" w:rsidRPr="004A4A9D" w:rsidRDefault="004E0648" w:rsidP="004E0648">
      <w:pPr>
        <w:rPr>
          <w:b/>
          <w:szCs w:val="24"/>
        </w:rPr>
      </w:pPr>
      <w:r w:rsidRPr="004A4A9D">
        <w:rPr>
          <w:szCs w:val="24"/>
        </w:rPr>
        <w:t xml:space="preserve">To provide guidelines for the management of prolonged pregnancy </w:t>
      </w:r>
      <w:r w:rsidRPr="004A4A9D">
        <w:rPr>
          <w:rFonts w:eastAsia="OptimaLTStd"/>
          <w:szCs w:val="24"/>
          <w:lang w:val="en-US"/>
        </w:rPr>
        <w:t>for women who</w:t>
      </w:r>
      <w:r w:rsidRPr="004A4A9D">
        <w:rPr>
          <w:szCs w:val="24"/>
          <w:lang w:val="en-US"/>
        </w:rPr>
        <w:t xml:space="preserve"> are otherwise healthy</w:t>
      </w:r>
      <w:r w:rsidRPr="004A4A9D">
        <w:rPr>
          <w:rFonts w:eastAsia="OptimaLTStd"/>
          <w:szCs w:val="24"/>
          <w:lang w:val="en-US"/>
        </w:rPr>
        <w:t xml:space="preserve"> with an uncomplicated pregnancy</w:t>
      </w:r>
      <w:r w:rsidRPr="004A4A9D">
        <w:rPr>
          <w:rFonts w:eastAsia="OptimaLTStd"/>
          <w:b/>
          <w:szCs w:val="24"/>
          <w:lang w:val="en-US"/>
        </w:rPr>
        <w:t>.</w:t>
      </w:r>
    </w:p>
    <w:p w14:paraId="64A1A076" w14:textId="77777777" w:rsidR="004E0648" w:rsidRPr="002E3573" w:rsidRDefault="004E0648" w:rsidP="004E0648">
      <w:pPr>
        <w:rPr>
          <w:rFonts w:eastAsiaTheme="minorHAnsi"/>
        </w:rPr>
      </w:pPr>
    </w:p>
    <w:p w14:paraId="2795B8BE" w14:textId="77777777" w:rsidR="004E0648" w:rsidRDefault="004E0648" w:rsidP="004E0648">
      <w:pPr>
        <w:jc w:val="right"/>
        <w:rPr>
          <w:rStyle w:val="Hyperlink"/>
          <w:rFonts w:eastAsiaTheme="majorEastAsia" w:cs="Arial"/>
          <w:i/>
          <w:szCs w:val="24"/>
        </w:rPr>
      </w:pPr>
      <w:hyperlink w:anchor="Contents" w:history="1">
        <w:r w:rsidRPr="00C91F3F">
          <w:rPr>
            <w:rStyle w:val="Hyperlink"/>
            <w:rFonts w:eastAsiaTheme="majorEastAsia" w:cs="Arial"/>
            <w:i/>
            <w:szCs w:val="24"/>
          </w:rPr>
          <w:t>Back to Table of Contents</w:t>
        </w:r>
      </w:hyperlink>
    </w:p>
    <w:p w14:paraId="35DD1DC0" w14:textId="77777777" w:rsidR="004E0648" w:rsidRDefault="004E0648" w:rsidP="004E0648">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1B2BAC" w14:paraId="52E0FA87" w14:textId="77777777" w:rsidTr="00793A93">
        <w:trPr>
          <w:cantSplit/>
          <w:trHeight w:val="285"/>
        </w:trPr>
        <w:tc>
          <w:tcPr>
            <w:tcW w:w="9158" w:type="dxa"/>
            <w:shd w:val="clear" w:color="auto" w:fill="D9D9D9" w:themeFill="background1" w:themeFillShade="D9"/>
          </w:tcPr>
          <w:p w14:paraId="7ECB2896" w14:textId="77777777" w:rsidR="004E0648" w:rsidRPr="002E3BFE" w:rsidRDefault="004E0648" w:rsidP="00793A93">
            <w:pPr>
              <w:pStyle w:val="Heading1"/>
            </w:pPr>
            <w:bookmarkStart w:id="5" w:name="_Toc165021510"/>
            <w:r>
              <w:lastRenderedPageBreak/>
              <w:t>Scope</w:t>
            </w:r>
            <w:bookmarkEnd w:id="5"/>
          </w:p>
        </w:tc>
      </w:tr>
    </w:tbl>
    <w:p w14:paraId="1BF7E696" w14:textId="77777777" w:rsidR="004E0648" w:rsidRDefault="004E0648" w:rsidP="004E0648">
      <w:pPr>
        <w:ind w:right="-830"/>
        <w:rPr>
          <w:rFonts w:cs="Arial"/>
          <w:sz w:val="22"/>
          <w:szCs w:val="22"/>
        </w:rPr>
      </w:pPr>
    </w:p>
    <w:p w14:paraId="1055BE4B" w14:textId="77777777" w:rsidR="004E0648" w:rsidRPr="00C17CC0" w:rsidRDefault="004E0648" w:rsidP="004E0648">
      <w:r w:rsidRPr="00C17CC0">
        <w:t xml:space="preserve">The </w:t>
      </w:r>
      <w:r>
        <w:t>guideline</w:t>
      </w:r>
      <w:r w:rsidRPr="00C17CC0">
        <w:t xml:space="preserve"> pertains to </w:t>
      </w:r>
      <w:r>
        <w:t xml:space="preserve">Canberra Health Services </w:t>
      </w:r>
      <w:r w:rsidRPr="00C17CC0">
        <w:t xml:space="preserve">Midwifery and Medical Staff. </w:t>
      </w:r>
      <w:bookmarkStart w:id="6" w:name="_Hlk61532036"/>
      <w:r w:rsidRPr="00C17CC0">
        <w:t>This document refers to the care of women experiencing prolonged pregnancy</w:t>
      </w:r>
      <w:r>
        <w:t>.</w:t>
      </w:r>
    </w:p>
    <w:bookmarkEnd w:id="6"/>
    <w:p w14:paraId="447206C2" w14:textId="77777777" w:rsidR="004E0648" w:rsidRDefault="004E0648" w:rsidP="004E0648">
      <w:pPr>
        <w:pStyle w:val="Default"/>
        <w:jc w:val="right"/>
      </w:pPr>
    </w:p>
    <w:p w14:paraId="657A0D34" w14:textId="77777777" w:rsidR="004E0648" w:rsidRPr="00A350E5" w:rsidRDefault="004E0648" w:rsidP="004E0648">
      <w:pPr>
        <w:pStyle w:val="Default"/>
        <w:jc w:val="right"/>
        <w:rPr>
          <w:rFonts w:asciiTheme="minorHAnsi" w:hAnsiTheme="minorHAnsi" w:cstheme="minorHAnsi"/>
        </w:rPr>
      </w:pPr>
      <w:hyperlink w:anchor="Contents" w:history="1">
        <w:r w:rsidRPr="00A350E5">
          <w:rPr>
            <w:rStyle w:val="Hyperlink"/>
            <w:rFonts w:asciiTheme="minorHAnsi" w:eastAsiaTheme="majorEastAsia" w:hAnsiTheme="minorHAns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CD1C0E" w14:paraId="7D6DA09A" w14:textId="77777777" w:rsidTr="00793A93">
        <w:trPr>
          <w:cantSplit/>
          <w:trHeight w:val="285"/>
        </w:trPr>
        <w:tc>
          <w:tcPr>
            <w:tcW w:w="9158" w:type="dxa"/>
            <w:shd w:val="clear" w:color="auto" w:fill="D9D9D9" w:themeFill="background1" w:themeFillShade="D9"/>
          </w:tcPr>
          <w:p w14:paraId="16595DBC" w14:textId="77777777" w:rsidR="004E0648" w:rsidRPr="00C76688" w:rsidRDefault="004E0648" w:rsidP="00793A93">
            <w:pPr>
              <w:pStyle w:val="Heading1"/>
            </w:pPr>
            <w:bookmarkStart w:id="7" w:name="_Toc389473278"/>
            <w:bookmarkStart w:id="8" w:name="_Toc393203334"/>
            <w:bookmarkStart w:id="9" w:name="_Toc165021511"/>
            <w:r w:rsidRPr="00C76688">
              <w:t>Section 1 –</w:t>
            </w:r>
            <w:r>
              <w:t xml:space="preserve"> </w:t>
            </w:r>
            <w:bookmarkEnd w:id="7"/>
            <w:bookmarkEnd w:id="8"/>
            <w:r>
              <w:t>Prolonged pregnancy management strategies</w:t>
            </w:r>
            <w:bookmarkEnd w:id="9"/>
          </w:p>
        </w:tc>
      </w:tr>
    </w:tbl>
    <w:p w14:paraId="71B733B2" w14:textId="77777777" w:rsidR="004E0648" w:rsidRPr="004A4A9D" w:rsidRDefault="004E0648" w:rsidP="004E0648">
      <w:pPr>
        <w:rPr>
          <w:szCs w:val="24"/>
        </w:rPr>
      </w:pPr>
    </w:p>
    <w:p w14:paraId="1C472854" w14:textId="77777777" w:rsidR="004E0648" w:rsidRPr="004A4A9D" w:rsidRDefault="004E0648" w:rsidP="004E0648">
      <w:pPr>
        <w:rPr>
          <w:rFonts w:cs="Arial"/>
          <w:szCs w:val="24"/>
        </w:rPr>
      </w:pPr>
      <w:r w:rsidRPr="004A4A9D">
        <w:rPr>
          <w:rFonts w:cs="Arial"/>
          <w:szCs w:val="24"/>
        </w:rPr>
        <w:t>Antenatal education and assessment should be provided for women with potential prolonged pregnancies.</w:t>
      </w:r>
    </w:p>
    <w:p w14:paraId="70E2F14F" w14:textId="77777777" w:rsidR="004E0648" w:rsidRPr="004A4A9D" w:rsidRDefault="004E0648" w:rsidP="004E0648">
      <w:pPr>
        <w:rPr>
          <w:rFonts w:cs="Arial"/>
          <w:szCs w:val="24"/>
        </w:rPr>
      </w:pPr>
    </w:p>
    <w:p w14:paraId="4D5058E3" w14:textId="77777777" w:rsidR="004E0648" w:rsidRDefault="004E0648" w:rsidP="004E0648">
      <w:pPr>
        <w:rPr>
          <w:rFonts w:cs="Arial"/>
          <w:szCs w:val="24"/>
        </w:rPr>
      </w:pPr>
      <w:r w:rsidRPr="004A4A9D">
        <w:rPr>
          <w:rFonts w:cs="Arial"/>
          <w:szCs w:val="24"/>
        </w:rPr>
        <w:t xml:space="preserve">It is important to discuss the benefits and risks of continuing a pregnancy post-term for both the woman and her baby antenatally and intrapartum so that women can make an appropriately informed decision. </w:t>
      </w:r>
    </w:p>
    <w:p w14:paraId="1E6ED99A" w14:textId="77777777" w:rsidR="004E0648" w:rsidRPr="004A4A9D" w:rsidRDefault="004E0648" w:rsidP="004E0648">
      <w:pPr>
        <w:rPr>
          <w:rFonts w:cs="Arial"/>
          <w:szCs w:val="24"/>
        </w:rPr>
      </w:pPr>
    </w:p>
    <w:p w14:paraId="1D9EBA52" w14:textId="77777777" w:rsidR="004E0648" w:rsidRPr="004A4A9D" w:rsidRDefault="004E0648" w:rsidP="004E0648">
      <w:pPr>
        <w:rPr>
          <w:szCs w:val="24"/>
        </w:rPr>
      </w:pPr>
      <w:r w:rsidRPr="004A4A9D">
        <w:rPr>
          <w:rFonts w:cs="Arial"/>
          <w:szCs w:val="24"/>
          <w:lang w:val="en-US"/>
        </w:rPr>
        <w:t xml:space="preserve">Women should be informed that perinatal mortality and morbidity rates are increased in pregnancies longer than 42 weeks duration. </w:t>
      </w:r>
      <w:r w:rsidRPr="004A4A9D">
        <w:rPr>
          <w:szCs w:val="24"/>
        </w:rPr>
        <w:t xml:space="preserve">Induction of labour </w:t>
      </w:r>
      <w:r w:rsidRPr="004A4A9D">
        <w:rPr>
          <w:rFonts w:cs="Arial"/>
          <w:szCs w:val="24"/>
          <w:lang w:val="en-US"/>
        </w:rPr>
        <w:t xml:space="preserve">compared to awaiting spontaneous </w:t>
      </w:r>
      <w:proofErr w:type="spellStart"/>
      <w:r w:rsidRPr="004A4A9D">
        <w:rPr>
          <w:rFonts w:cs="Arial"/>
          <w:szCs w:val="24"/>
          <w:lang w:val="en-US"/>
        </w:rPr>
        <w:t>labour</w:t>
      </w:r>
      <w:proofErr w:type="spellEnd"/>
      <w:r w:rsidRPr="004A4A9D">
        <w:rPr>
          <w:rFonts w:cs="Arial"/>
          <w:szCs w:val="24"/>
          <w:lang w:val="en-US"/>
        </w:rPr>
        <w:t xml:space="preserve"> </w:t>
      </w:r>
      <w:r w:rsidRPr="004A4A9D">
        <w:rPr>
          <w:szCs w:val="24"/>
        </w:rPr>
        <w:t xml:space="preserve">at 41 weeks of gestation up until 42 completed weeks </w:t>
      </w:r>
      <w:r w:rsidRPr="004A4A9D">
        <w:rPr>
          <w:rFonts w:cs="Arial"/>
          <w:szCs w:val="24"/>
          <w:lang w:val="en-US"/>
        </w:rPr>
        <w:t>is associated with fewer perinatal deaths and meconium aspiration syndrome</w:t>
      </w:r>
      <w:r w:rsidRPr="004A4A9D">
        <w:rPr>
          <w:szCs w:val="24"/>
        </w:rPr>
        <w:t xml:space="preserve"> without an increased risk of caesarean section. In fact, studies have shown a reduction in Caesarean rates and Meconium aspiration syndromes wit</w:t>
      </w:r>
      <w:r>
        <w:rPr>
          <w:szCs w:val="24"/>
        </w:rPr>
        <w:t>h i</w:t>
      </w:r>
      <w:r w:rsidRPr="004A4A9D">
        <w:rPr>
          <w:szCs w:val="24"/>
        </w:rPr>
        <w:t>nduction</w:t>
      </w:r>
      <w:r>
        <w:rPr>
          <w:szCs w:val="24"/>
        </w:rPr>
        <w:t xml:space="preserve"> of labour</w:t>
      </w:r>
      <w:r w:rsidRPr="004A4A9D">
        <w:rPr>
          <w:szCs w:val="24"/>
        </w:rPr>
        <w:t xml:space="preserve"> between 41-42 weeks compared to expectant management</w:t>
      </w:r>
      <w:r w:rsidRPr="004A4A9D">
        <w:rPr>
          <w:szCs w:val="24"/>
          <w:vertAlign w:val="superscript"/>
        </w:rPr>
        <w:t>4, 11</w:t>
      </w:r>
      <w:r w:rsidRPr="004A4A9D">
        <w:rPr>
          <w:szCs w:val="24"/>
        </w:rPr>
        <w:t xml:space="preserve">.  Women should also be informed of the induction of labour process and associated risks. </w:t>
      </w:r>
    </w:p>
    <w:p w14:paraId="6D5E994E" w14:textId="77777777" w:rsidR="004E0648" w:rsidRPr="004A4A9D" w:rsidRDefault="004E0648" w:rsidP="004E0648">
      <w:pPr>
        <w:rPr>
          <w:rFonts w:cs="Arial"/>
          <w:szCs w:val="24"/>
          <w:lang w:val="en-US"/>
        </w:rPr>
      </w:pPr>
    </w:p>
    <w:p w14:paraId="612C240B" w14:textId="77777777" w:rsidR="004E0648" w:rsidRPr="004A4A9D" w:rsidRDefault="004E0648" w:rsidP="004E0648">
      <w:pPr>
        <w:rPr>
          <w:rFonts w:cs="Arial"/>
          <w:szCs w:val="24"/>
          <w:lang w:val="en-US"/>
        </w:rPr>
      </w:pPr>
      <w:r w:rsidRPr="004A4A9D">
        <w:rPr>
          <w:rFonts w:cs="Arial"/>
          <w:szCs w:val="24"/>
          <w:lang w:val="en-US"/>
        </w:rPr>
        <w:t xml:space="preserve">Population studies show that the risk of stillbirth increases from: </w:t>
      </w:r>
    </w:p>
    <w:p w14:paraId="756FAA9C" w14:textId="77777777" w:rsidR="004E0648" w:rsidRPr="00FF5DE2" w:rsidRDefault="004E0648" w:rsidP="004E0648">
      <w:pPr>
        <w:pStyle w:val="ListBullet"/>
        <w:rPr>
          <w:lang w:val="en-US"/>
        </w:rPr>
      </w:pPr>
      <w:r w:rsidRPr="00FF5DE2">
        <w:rPr>
          <w:lang w:val="en-US"/>
        </w:rPr>
        <w:t xml:space="preserve">1 per 3000 ongoing pregnancies at 37 weeks to </w:t>
      </w:r>
    </w:p>
    <w:p w14:paraId="57F12319" w14:textId="77777777" w:rsidR="004E0648" w:rsidRPr="00FF5DE2" w:rsidRDefault="004E0648" w:rsidP="004E0648">
      <w:pPr>
        <w:pStyle w:val="ListBullet"/>
        <w:rPr>
          <w:lang w:val="en-US"/>
        </w:rPr>
      </w:pPr>
      <w:r w:rsidRPr="00FF5DE2">
        <w:rPr>
          <w:lang w:val="en-US"/>
        </w:rPr>
        <w:t xml:space="preserve">1 per 1000 ongoing pregnancies at 41 weeks to </w:t>
      </w:r>
    </w:p>
    <w:p w14:paraId="58DC5CCF" w14:textId="77777777" w:rsidR="004E0648" w:rsidRPr="00FF5DE2" w:rsidRDefault="004E0648" w:rsidP="004E0648">
      <w:pPr>
        <w:pStyle w:val="ListBullet"/>
        <w:rPr>
          <w:lang w:val="en-US"/>
        </w:rPr>
      </w:pPr>
      <w:r w:rsidRPr="00FF5DE2">
        <w:rPr>
          <w:lang w:val="en-US"/>
        </w:rPr>
        <w:t>3+ per 1000 ongoing pregnancies at 42 or more weeks.</w:t>
      </w:r>
      <w:r>
        <w:rPr>
          <w:lang w:val="en-US"/>
        </w:rPr>
        <w:t xml:space="preserve"> </w:t>
      </w:r>
      <w:r w:rsidRPr="00EF51FD">
        <w:rPr>
          <w:sz w:val="18"/>
          <w:szCs w:val="14"/>
          <w:vertAlign w:val="superscript"/>
          <w:lang w:val="en-US"/>
        </w:rPr>
        <w:t>16</w:t>
      </w:r>
      <w:r w:rsidRPr="00FF5DE2">
        <w:rPr>
          <w:lang w:val="en-US"/>
        </w:rPr>
        <w:t xml:space="preserve"> </w:t>
      </w:r>
    </w:p>
    <w:p w14:paraId="18E14C2A" w14:textId="77777777" w:rsidR="004E0648" w:rsidRPr="00C17CC0" w:rsidRDefault="004E0648" w:rsidP="004E0648"/>
    <w:p w14:paraId="1633AE5E" w14:textId="77777777" w:rsidR="004E0648" w:rsidRDefault="004E0648" w:rsidP="004E0648">
      <w:pPr>
        <w:rPr>
          <w:lang w:val="en-US"/>
        </w:rPr>
      </w:pPr>
      <w:r w:rsidRPr="00C17CC0">
        <w:t xml:space="preserve">As part of antenatal care discuss with the woman </w:t>
      </w:r>
      <w:r>
        <w:t xml:space="preserve">available </w:t>
      </w:r>
      <w:r w:rsidRPr="00C17CC0">
        <w:t>options</w:t>
      </w:r>
      <w:r>
        <w:t xml:space="preserve"> and recommendations</w:t>
      </w:r>
      <w:r w:rsidRPr="00C17CC0">
        <w:t xml:space="preserve"> should their pregnancy proceed beyond 41 completed weeks. Inform the woman that </w:t>
      </w:r>
      <w:r>
        <w:t>98%</w:t>
      </w:r>
      <w:r w:rsidRPr="00C17CC0">
        <w:rPr>
          <w:lang w:val="en-US"/>
        </w:rPr>
        <w:t xml:space="preserve"> of women will </w:t>
      </w:r>
      <w:r>
        <w:rPr>
          <w:lang w:val="en-US"/>
        </w:rPr>
        <w:t>give birth before</w:t>
      </w:r>
      <w:r w:rsidRPr="00C17CC0">
        <w:rPr>
          <w:lang w:val="en-US"/>
        </w:rPr>
        <w:t xml:space="preserve"> 42 completed weeks. </w:t>
      </w:r>
    </w:p>
    <w:p w14:paraId="57B50E16" w14:textId="77777777" w:rsidR="004E0648" w:rsidRPr="00C17CC0" w:rsidRDefault="004E0648" w:rsidP="004E0648"/>
    <w:p w14:paraId="57EA35D6" w14:textId="77777777" w:rsidR="004E0648" w:rsidRDefault="004E0648" w:rsidP="004E0648">
      <w:r w:rsidRPr="00C17CC0">
        <w:t>Document the discussion and plan for the woman’s ongoing care beyond 41 weeks gestation.</w:t>
      </w:r>
    </w:p>
    <w:p w14:paraId="4F203665" w14:textId="77777777" w:rsidR="004E0648" w:rsidRPr="00C17CC0" w:rsidRDefault="004E0648" w:rsidP="004E0648"/>
    <w:p w14:paraId="21D3B0DC" w14:textId="77777777" w:rsidR="004E0648" w:rsidRDefault="004E0648" w:rsidP="004E0648">
      <w:pPr>
        <w:rPr>
          <w:rFonts w:eastAsia="OptimaLTStd"/>
          <w:lang w:val="en-US"/>
        </w:rPr>
      </w:pPr>
      <w:r w:rsidRPr="00C17CC0">
        <w:rPr>
          <w:rFonts w:eastAsia="OptimaLTStd"/>
          <w:lang w:val="en-US"/>
        </w:rPr>
        <w:t xml:space="preserve">Women should be </w:t>
      </w:r>
      <w:r>
        <w:rPr>
          <w:rFonts w:eastAsia="OptimaLTStd"/>
          <w:lang w:val="en-US"/>
        </w:rPr>
        <w:t>given the option</w:t>
      </w:r>
      <w:r w:rsidRPr="00C17CC0">
        <w:rPr>
          <w:rFonts w:eastAsia="OptimaLTStd"/>
          <w:lang w:val="en-US"/>
        </w:rPr>
        <w:t xml:space="preserve"> to have an induction of </w:t>
      </w:r>
      <w:proofErr w:type="spellStart"/>
      <w:r w:rsidRPr="00C17CC0">
        <w:rPr>
          <w:rFonts w:eastAsia="OptimaLTStd"/>
          <w:lang w:val="en-US"/>
        </w:rPr>
        <w:t>labour</w:t>
      </w:r>
      <w:proofErr w:type="spellEnd"/>
      <w:r w:rsidRPr="00C17CC0">
        <w:rPr>
          <w:rFonts w:eastAsia="OptimaLTStd"/>
          <w:lang w:val="en-US"/>
        </w:rPr>
        <w:t xml:space="preserve"> between </w:t>
      </w:r>
      <w:r>
        <w:rPr>
          <w:rFonts w:eastAsia="OptimaLTStd"/>
          <w:lang w:val="en-US"/>
        </w:rPr>
        <w:t xml:space="preserve">41+0 </w:t>
      </w:r>
      <w:r w:rsidRPr="00C17CC0">
        <w:rPr>
          <w:rFonts w:eastAsia="OptimaLTStd"/>
          <w:lang w:val="en-US"/>
        </w:rPr>
        <w:t>and 42+0 weeks to prevent prolonged pregnancy and its subsequent risks</w:t>
      </w:r>
      <w:r>
        <w:rPr>
          <w:rFonts w:eastAsia="OptimaLTStd"/>
          <w:lang w:val="en-US"/>
        </w:rPr>
        <w:t xml:space="preserve"> while allowing maximum opportunity for spontaneous </w:t>
      </w:r>
      <w:proofErr w:type="spellStart"/>
      <w:r>
        <w:rPr>
          <w:rFonts w:eastAsia="OptimaLTStd"/>
          <w:lang w:val="en-US"/>
        </w:rPr>
        <w:t>labour</w:t>
      </w:r>
      <w:proofErr w:type="spellEnd"/>
      <w:r>
        <w:rPr>
          <w:rFonts w:eastAsia="OptimaLTStd"/>
          <w:lang w:val="en-US"/>
        </w:rPr>
        <w:t xml:space="preserve"> to happen</w:t>
      </w:r>
      <w:r w:rsidRPr="00C17CC0">
        <w:rPr>
          <w:rFonts w:eastAsia="OptimaLTStd"/>
          <w:lang w:val="en-US"/>
        </w:rPr>
        <w:t>.</w:t>
      </w:r>
    </w:p>
    <w:p w14:paraId="5134BE8A" w14:textId="77777777" w:rsidR="004E0648" w:rsidRPr="007639FB" w:rsidRDefault="004E0648" w:rsidP="004E0648"/>
    <w:p w14:paraId="6F7E8D12" w14:textId="77777777" w:rsidR="004E0648" w:rsidRPr="004B30D0" w:rsidRDefault="004E0648" w:rsidP="004E0648">
      <w:r w:rsidRPr="004B30D0">
        <w:rPr>
          <w:rFonts w:eastAsia="OptimaLTStd"/>
        </w:rPr>
        <w:t xml:space="preserve">Advise the woman that there will be an increase in recommended monitoring which will include a bed side </w:t>
      </w:r>
      <w:r>
        <w:rPr>
          <w:rFonts w:eastAsia="OptimaLTStd"/>
        </w:rPr>
        <w:t>Amniotic Fluid Index volume (</w:t>
      </w:r>
      <w:r w:rsidRPr="004B30D0">
        <w:rPr>
          <w:rFonts w:eastAsia="OptimaLTStd"/>
        </w:rPr>
        <w:t>AFI</w:t>
      </w:r>
      <w:r>
        <w:rPr>
          <w:rFonts w:eastAsia="OptimaLTStd"/>
        </w:rPr>
        <w:t>)</w:t>
      </w:r>
      <w:r w:rsidRPr="004B30D0">
        <w:rPr>
          <w:rFonts w:eastAsia="OptimaLTStd"/>
        </w:rPr>
        <w:t xml:space="preserve"> after 42 weeks, twice weekly </w:t>
      </w:r>
      <w:r w:rsidRPr="004B30D0">
        <w:rPr>
          <w:rFonts w:eastAsia="OptimaLTStd"/>
        </w:rPr>
        <w:lastRenderedPageBreak/>
        <w:t>assessment in Maternity Assessment Unit (MAU</w:t>
      </w:r>
      <w:r>
        <w:rPr>
          <w:rFonts w:eastAsia="OptimaLTStd"/>
        </w:rPr>
        <w:t>, CHWC</w:t>
      </w:r>
      <w:r w:rsidRPr="004B30D0">
        <w:rPr>
          <w:rFonts w:eastAsia="OptimaLTStd"/>
        </w:rPr>
        <w:t xml:space="preserve">) </w:t>
      </w:r>
      <w:r>
        <w:rPr>
          <w:rFonts w:eastAsia="OptimaLTStd"/>
        </w:rPr>
        <w:t xml:space="preserve">or Maternity Assessment Area (MAA, NCH) </w:t>
      </w:r>
      <w:r w:rsidRPr="004B30D0">
        <w:rPr>
          <w:rFonts w:eastAsia="OptimaLTStd"/>
        </w:rPr>
        <w:t>with CTG and continuous CTG monitoring in labour</w:t>
      </w:r>
      <w:r>
        <w:rPr>
          <w:rFonts w:eastAsia="OptimaLTStd"/>
        </w:rPr>
        <w:t>.</w:t>
      </w:r>
    </w:p>
    <w:p w14:paraId="64F6DCAE" w14:textId="77777777" w:rsidR="004E0648" w:rsidRPr="00FF56DD" w:rsidRDefault="004E0648" w:rsidP="004E0648">
      <w:pPr>
        <w:ind w:left="720"/>
        <w:rPr>
          <w:rFonts w:cs="Arial"/>
          <w:i/>
          <w:szCs w:val="24"/>
        </w:rPr>
      </w:pPr>
    </w:p>
    <w:p w14:paraId="6D7CE3D6" w14:textId="77777777" w:rsidR="004E0648" w:rsidRPr="002E3573" w:rsidRDefault="004E0648" w:rsidP="004E0648">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CD1C0E" w14:paraId="3268217D" w14:textId="77777777" w:rsidTr="00793A93">
        <w:trPr>
          <w:cantSplit/>
          <w:trHeight w:val="285"/>
        </w:trPr>
        <w:tc>
          <w:tcPr>
            <w:tcW w:w="9158" w:type="dxa"/>
            <w:shd w:val="clear" w:color="auto" w:fill="D9D9D9" w:themeFill="background1" w:themeFillShade="D9"/>
          </w:tcPr>
          <w:p w14:paraId="6B3D86C5" w14:textId="77777777" w:rsidR="004E0648" w:rsidRPr="00C76688" w:rsidRDefault="004E0648" w:rsidP="00793A93">
            <w:pPr>
              <w:pStyle w:val="Heading1"/>
            </w:pPr>
            <w:bookmarkStart w:id="10" w:name="_Toc165021512"/>
            <w:r w:rsidRPr="00C76688">
              <w:t xml:space="preserve">Section </w:t>
            </w:r>
            <w:r>
              <w:t>2</w:t>
            </w:r>
            <w:r w:rsidRPr="00C76688">
              <w:t xml:space="preserve"> –</w:t>
            </w:r>
            <w:r>
              <w:t xml:space="preserve"> </w:t>
            </w:r>
            <w:r w:rsidRPr="00295835">
              <w:t>38-40 weeks gestation</w:t>
            </w:r>
            <w:r>
              <w:t xml:space="preserve"> management strategies</w:t>
            </w:r>
            <w:bookmarkEnd w:id="10"/>
            <w:r>
              <w:t xml:space="preserve"> </w:t>
            </w:r>
          </w:p>
        </w:tc>
      </w:tr>
    </w:tbl>
    <w:p w14:paraId="5FD97DDE" w14:textId="77777777" w:rsidR="004E0648" w:rsidRDefault="004E0648" w:rsidP="004E0648">
      <w:pPr>
        <w:outlineLvl w:val="0"/>
        <w:rPr>
          <w:rFonts w:cs="Arial"/>
          <w:b/>
          <w:szCs w:val="24"/>
        </w:rPr>
      </w:pPr>
    </w:p>
    <w:p w14:paraId="35BE9619" w14:textId="77777777" w:rsidR="004E0648" w:rsidRPr="00C17CC0" w:rsidRDefault="004E0648" w:rsidP="004E0648">
      <w:r>
        <w:t xml:space="preserve">When performing the woman’s </w:t>
      </w:r>
      <w:r w:rsidRPr="00C17CC0">
        <w:t>usual antenatal visit assessment</w:t>
      </w:r>
      <w:r>
        <w:t>, it is important to attend to the following:</w:t>
      </w:r>
      <w:r w:rsidRPr="00C17CC0">
        <w:t xml:space="preserve"> </w:t>
      </w:r>
    </w:p>
    <w:p w14:paraId="6B911EDC" w14:textId="77777777" w:rsidR="004E0648" w:rsidRPr="00C17CC0" w:rsidRDefault="004E0648" w:rsidP="004E0648">
      <w:pPr>
        <w:pStyle w:val="ListBullet"/>
      </w:pPr>
      <w:r w:rsidRPr="00C17CC0">
        <w:rPr>
          <w:rFonts w:eastAsia="OptimaLTStd"/>
          <w:lang w:eastAsia="en-AU"/>
        </w:rPr>
        <w:t>Confirm gestational age</w:t>
      </w:r>
      <w:r>
        <w:rPr>
          <w:rFonts w:eastAsia="OptimaLTStd"/>
          <w:lang w:eastAsia="en-AU"/>
        </w:rPr>
        <w:t xml:space="preserve"> and discuss the risks of a pregnancy beyond 42 weeks and that it is preferable for the baby in born before 42 weeks </w:t>
      </w:r>
      <w:proofErr w:type="gramStart"/>
      <w:r>
        <w:rPr>
          <w:rFonts w:eastAsia="OptimaLTStd"/>
          <w:lang w:eastAsia="en-AU"/>
        </w:rPr>
        <w:t>gestation</w:t>
      </w:r>
      <w:proofErr w:type="gramEnd"/>
      <w:r>
        <w:rPr>
          <w:rFonts w:eastAsia="OptimaLTStd"/>
          <w:lang w:eastAsia="en-AU"/>
        </w:rPr>
        <w:t xml:space="preserve"> </w:t>
      </w:r>
    </w:p>
    <w:p w14:paraId="3959DFB3" w14:textId="77777777" w:rsidR="004E0648" w:rsidRPr="00C17CC0" w:rsidRDefault="004E0648" w:rsidP="004E0648">
      <w:pPr>
        <w:pStyle w:val="ListBullet"/>
        <w:rPr>
          <w:rFonts w:eastAsia="OptimaLTStd"/>
          <w:lang w:val="en-US"/>
        </w:rPr>
      </w:pPr>
      <w:r w:rsidRPr="00C17CC0">
        <w:rPr>
          <w:rFonts w:eastAsia="OptimaLTStd"/>
          <w:lang w:val="en-US"/>
        </w:rPr>
        <w:t xml:space="preserve">Reassure the woman that the majority of normal pregnancies will result in spontaneous onset of </w:t>
      </w:r>
      <w:proofErr w:type="spellStart"/>
      <w:r w:rsidRPr="00C17CC0">
        <w:rPr>
          <w:rFonts w:eastAsia="OptimaLTStd"/>
          <w:lang w:val="en-US"/>
        </w:rPr>
        <w:t>labour</w:t>
      </w:r>
      <w:proofErr w:type="spellEnd"/>
      <w:r w:rsidRPr="00C17CC0">
        <w:rPr>
          <w:rFonts w:eastAsia="OptimaLTStd"/>
          <w:lang w:val="en-US"/>
        </w:rPr>
        <w:t xml:space="preserve"> </w:t>
      </w:r>
      <w:r>
        <w:rPr>
          <w:rFonts w:eastAsia="OptimaLTStd"/>
          <w:lang w:val="en-US"/>
        </w:rPr>
        <w:t>before</w:t>
      </w:r>
      <w:r w:rsidRPr="00C17CC0">
        <w:rPr>
          <w:rFonts w:eastAsia="OptimaLTStd"/>
          <w:lang w:val="en-US"/>
        </w:rPr>
        <w:t xml:space="preserve"> 42 </w:t>
      </w:r>
      <w:proofErr w:type="gramStart"/>
      <w:r w:rsidRPr="00C17CC0">
        <w:rPr>
          <w:rFonts w:eastAsia="OptimaLTStd"/>
          <w:lang w:val="en-US"/>
        </w:rPr>
        <w:t>weeks</w:t>
      </w:r>
      <w:proofErr w:type="gramEnd"/>
      <w:r w:rsidRPr="00C17CC0">
        <w:rPr>
          <w:rFonts w:eastAsia="OptimaLTStd"/>
          <w:lang w:val="en-US"/>
        </w:rPr>
        <w:t xml:space="preserve"> </w:t>
      </w:r>
    </w:p>
    <w:p w14:paraId="47E7A095" w14:textId="77777777" w:rsidR="004E0648" w:rsidRDefault="004E0648" w:rsidP="004E0648">
      <w:pPr>
        <w:pStyle w:val="ListBullet"/>
        <w:rPr>
          <w:rFonts w:eastAsia="OptimaLTStd"/>
          <w:lang w:val="en-US"/>
        </w:rPr>
      </w:pPr>
      <w:r w:rsidRPr="00D01E5C">
        <w:rPr>
          <w:rFonts w:eastAsia="OptimaLTStd"/>
          <w:lang w:val="en-US"/>
        </w:rPr>
        <w:t>Routine antenatal observations</w:t>
      </w:r>
      <w:r>
        <w:rPr>
          <w:rFonts w:eastAsia="OptimaLTStd"/>
          <w:lang w:val="en-US"/>
        </w:rPr>
        <w:t xml:space="preserve">, as per the </w:t>
      </w:r>
      <w:r w:rsidRPr="009214A1">
        <w:rPr>
          <w:rFonts w:eastAsia="OptimaLTStd"/>
          <w:lang w:val="en-US"/>
        </w:rPr>
        <w:t>Pregnancy Care</w:t>
      </w:r>
      <w:r>
        <w:rPr>
          <w:rFonts w:eastAsia="OptimaLTStd"/>
          <w:lang w:val="en-US"/>
        </w:rPr>
        <w:t xml:space="preserve"> Clinical Practice Guidelines, available on the Policy and Guidance Documents Register (</w:t>
      </w:r>
      <w:hyperlink r:id="rId11" w:history="1">
        <w:r w:rsidRPr="00E16B7B">
          <w:rPr>
            <w:rStyle w:val="Hyperlink"/>
            <w:rFonts w:eastAsia="OptimaLTStd"/>
            <w:lang w:val="en-US"/>
          </w:rPr>
          <w:t>https://actgovernment.sharepoint.com/sites/intranet-health/PPR/default.aspx</w:t>
        </w:r>
      </w:hyperlink>
      <w:r>
        <w:rPr>
          <w:rFonts w:eastAsia="OptimaLTStd"/>
          <w:lang w:val="en-US"/>
        </w:rPr>
        <w:t xml:space="preserve">). </w:t>
      </w:r>
    </w:p>
    <w:p w14:paraId="1C0843B5" w14:textId="77777777" w:rsidR="004E0648" w:rsidRDefault="004E0648" w:rsidP="004E0648">
      <w:pPr>
        <w:pStyle w:val="ListBullet"/>
        <w:numPr>
          <w:ilvl w:val="0"/>
          <w:numId w:val="0"/>
        </w:numPr>
        <w:ind w:left="426" w:hanging="426"/>
        <w:rPr>
          <w:rFonts w:eastAsia="OptimaLTStd"/>
          <w:lang w:val="en-US"/>
        </w:rPr>
      </w:pPr>
    </w:p>
    <w:p w14:paraId="041A267D" w14:textId="77777777" w:rsidR="004E0648" w:rsidRPr="002263B9" w:rsidRDefault="004E0648" w:rsidP="004E0648">
      <w:pPr>
        <w:pStyle w:val="ListParagraph"/>
        <w:jc w:val="right"/>
        <w:rPr>
          <w:rStyle w:val="Hyperlink"/>
          <w:rFonts w:eastAsiaTheme="majorEastAsia" w:cs="Arial"/>
          <w:i/>
          <w:szCs w:val="24"/>
        </w:rPr>
      </w:pPr>
      <w:r w:rsidRPr="002263B9">
        <w:rPr>
          <w:rStyle w:val="Hyperlink"/>
          <w:rFonts w:eastAsiaTheme="majorEastAsia" w:cs="Arial"/>
          <w:i/>
          <w:szCs w:val="24"/>
        </w:rPr>
        <w:t>Back to Table of contents</w:t>
      </w:r>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CD1C0E" w14:paraId="7ED195A9" w14:textId="77777777" w:rsidTr="00793A93">
        <w:trPr>
          <w:cantSplit/>
          <w:trHeight w:val="285"/>
        </w:trPr>
        <w:tc>
          <w:tcPr>
            <w:tcW w:w="9158" w:type="dxa"/>
            <w:shd w:val="clear" w:color="auto" w:fill="D9D9D9" w:themeFill="background1" w:themeFillShade="D9"/>
          </w:tcPr>
          <w:p w14:paraId="7A433192" w14:textId="77777777" w:rsidR="004E0648" w:rsidRPr="00C76688" w:rsidRDefault="004E0648" w:rsidP="00793A93">
            <w:pPr>
              <w:pStyle w:val="Heading1"/>
            </w:pPr>
            <w:bookmarkStart w:id="11" w:name="_Toc165021513"/>
            <w:r w:rsidRPr="00C76688">
              <w:t xml:space="preserve">Section </w:t>
            </w:r>
            <w:r>
              <w:t>3</w:t>
            </w:r>
            <w:r w:rsidRPr="00C76688">
              <w:t xml:space="preserve"> –</w:t>
            </w:r>
            <w:r>
              <w:t xml:space="preserve"> 40-41</w:t>
            </w:r>
            <w:r w:rsidRPr="00295835">
              <w:t xml:space="preserve"> weeks gestation</w:t>
            </w:r>
            <w:r>
              <w:t>, management strategies</w:t>
            </w:r>
            <w:bookmarkEnd w:id="11"/>
            <w:r>
              <w:t xml:space="preserve"> </w:t>
            </w:r>
          </w:p>
        </w:tc>
      </w:tr>
    </w:tbl>
    <w:p w14:paraId="49677CB0" w14:textId="77777777" w:rsidR="004E0648" w:rsidRPr="004B30D0" w:rsidRDefault="004E0648" w:rsidP="004E0648">
      <w:pPr>
        <w:rPr>
          <w:sz w:val="28"/>
          <w:szCs w:val="22"/>
        </w:rPr>
      </w:pPr>
    </w:p>
    <w:p w14:paraId="2227555D" w14:textId="77777777" w:rsidR="004E0648" w:rsidRPr="004B30D0" w:rsidRDefault="004E0648" w:rsidP="004E0648">
      <w:pPr>
        <w:rPr>
          <w:szCs w:val="24"/>
        </w:rPr>
      </w:pPr>
      <w:r w:rsidRPr="004B30D0">
        <w:rPr>
          <w:szCs w:val="24"/>
        </w:rPr>
        <w:t xml:space="preserve">When performing the woman’s usual antenatal visit assessment, it is important to attend to the following: </w:t>
      </w:r>
    </w:p>
    <w:p w14:paraId="5A029A10" w14:textId="77777777" w:rsidR="004E0648" w:rsidRPr="00D01E5C" w:rsidRDefault="004E0648" w:rsidP="004E0648">
      <w:pPr>
        <w:pStyle w:val="ListBullet"/>
      </w:pPr>
      <w:r>
        <w:rPr>
          <w:rFonts w:eastAsia="OptimaLTStd"/>
          <w:lang w:eastAsia="en-AU"/>
        </w:rPr>
        <w:t xml:space="preserve">Confirm gestational </w:t>
      </w:r>
      <w:proofErr w:type="gramStart"/>
      <w:r>
        <w:rPr>
          <w:rFonts w:eastAsia="OptimaLTStd"/>
          <w:lang w:eastAsia="en-AU"/>
        </w:rPr>
        <w:t>age</w:t>
      </w:r>
      <w:proofErr w:type="gramEnd"/>
    </w:p>
    <w:p w14:paraId="30DD4A61" w14:textId="77777777" w:rsidR="004E0648" w:rsidRPr="00D01E5C" w:rsidRDefault="004E0648" w:rsidP="004E0648">
      <w:pPr>
        <w:pStyle w:val="ListBullet"/>
        <w:rPr>
          <w:rFonts w:eastAsia="OptimaLTStd"/>
          <w:lang w:val="en-US"/>
        </w:rPr>
      </w:pPr>
      <w:r w:rsidRPr="00D01E5C">
        <w:rPr>
          <w:rFonts w:eastAsia="OptimaLTStd"/>
          <w:lang w:val="en-US"/>
        </w:rPr>
        <w:t>Routine antenatal observations</w:t>
      </w:r>
      <w:r>
        <w:rPr>
          <w:rFonts w:eastAsia="OptimaLTStd"/>
          <w:lang w:val="en-US"/>
        </w:rPr>
        <w:t xml:space="preserve">, as per the </w:t>
      </w:r>
      <w:r w:rsidRPr="009214A1">
        <w:rPr>
          <w:rFonts w:eastAsia="OptimaLTStd"/>
          <w:lang w:val="en-US"/>
        </w:rPr>
        <w:t>Pregnancy Care</w:t>
      </w:r>
      <w:r>
        <w:rPr>
          <w:rFonts w:eastAsia="OptimaLTStd"/>
          <w:lang w:val="en-US"/>
        </w:rPr>
        <w:t xml:space="preserve"> Clinical Practice Guidelines, available on the Policy and Guidance Documents Register (</w:t>
      </w:r>
      <w:hyperlink r:id="rId12" w:history="1">
        <w:r w:rsidRPr="00E16B7B">
          <w:rPr>
            <w:rStyle w:val="Hyperlink"/>
            <w:rFonts w:eastAsia="OptimaLTStd"/>
            <w:lang w:val="en-US"/>
          </w:rPr>
          <w:t>https://actgovernment.sharepoint.com/sites/intranet-health/PPR/default.aspx</w:t>
        </w:r>
      </w:hyperlink>
      <w:r>
        <w:rPr>
          <w:rFonts w:eastAsia="OptimaLTStd"/>
          <w:lang w:val="en-US"/>
        </w:rPr>
        <w:t>).</w:t>
      </w:r>
    </w:p>
    <w:p w14:paraId="347B3AAA" w14:textId="77777777" w:rsidR="004E0648" w:rsidRPr="00C17CC0" w:rsidRDefault="004E0648" w:rsidP="004E0648">
      <w:pPr>
        <w:pStyle w:val="ListBullet"/>
      </w:pPr>
      <w:r w:rsidRPr="00C17CC0">
        <w:rPr>
          <w:rFonts w:eastAsia="OptimaLTStd"/>
          <w:lang w:eastAsia="en-AU"/>
        </w:rPr>
        <w:t xml:space="preserve">Exclude any </w:t>
      </w:r>
      <w:proofErr w:type="spellStart"/>
      <w:r w:rsidRPr="00C17CC0">
        <w:rPr>
          <w:rFonts w:eastAsia="OptimaLTStd"/>
          <w:lang w:eastAsia="en-AU"/>
        </w:rPr>
        <w:t>fetal</w:t>
      </w:r>
      <w:proofErr w:type="spellEnd"/>
      <w:r w:rsidRPr="00C17CC0">
        <w:rPr>
          <w:rFonts w:eastAsia="OptimaLTStd"/>
          <w:lang w:eastAsia="en-AU"/>
        </w:rPr>
        <w:t>, maternal or obstetric risks</w:t>
      </w:r>
      <w:r>
        <w:rPr>
          <w:rFonts w:eastAsia="OptimaLTStd"/>
          <w:lang w:eastAsia="en-AU"/>
        </w:rPr>
        <w:t xml:space="preserve"> and if present, refer to obstetric registrar or consultant for obstetric </w:t>
      </w:r>
      <w:proofErr w:type="gramStart"/>
      <w:r>
        <w:rPr>
          <w:rFonts w:eastAsia="OptimaLTStd"/>
          <w:lang w:eastAsia="en-AU"/>
        </w:rPr>
        <w:t>assessment</w:t>
      </w:r>
      <w:proofErr w:type="gramEnd"/>
    </w:p>
    <w:p w14:paraId="768653E9" w14:textId="77777777" w:rsidR="004E0648" w:rsidRPr="00984134" w:rsidRDefault="004E0648" w:rsidP="004E0648">
      <w:pPr>
        <w:pStyle w:val="ListBullet"/>
        <w:rPr>
          <w:rFonts w:eastAsia="OptimaLTStd"/>
          <w:lang w:val="en-US"/>
        </w:rPr>
      </w:pPr>
      <w:r w:rsidRPr="00C17CC0">
        <w:t xml:space="preserve">Advise the woman </w:t>
      </w:r>
      <w:r>
        <w:t xml:space="preserve">regarding </w:t>
      </w:r>
      <w:r w:rsidRPr="00C17CC0">
        <w:t xml:space="preserve">options for management </w:t>
      </w:r>
      <w:r>
        <w:t>and</w:t>
      </w:r>
      <w:r w:rsidRPr="00C17CC0">
        <w:t xml:space="preserve"> prevention of prolonged pregnancy and about the risks associated with pregnancies that progress longer than 42 </w:t>
      </w:r>
      <w:proofErr w:type="gramStart"/>
      <w:r w:rsidRPr="00C17CC0">
        <w:t>weeks</w:t>
      </w:r>
      <w:proofErr w:type="gramEnd"/>
      <w:r w:rsidRPr="00C17CC0">
        <w:t xml:space="preserve"> </w:t>
      </w:r>
    </w:p>
    <w:p w14:paraId="1A4E0EC7" w14:textId="77777777" w:rsidR="004E0648" w:rsidRPr="008565AE" w:rsidRDefault="004E0648" w:rsidP="004E0648">
      <w:pPr>
        <w:pStyle w:val="ListBullet"/>
        <w:rPr>
          <w:rFonts w:eastAsia="OptimaLTStd"/>
          <w:lang w:val="en-US"/>
        </w:rPr>
      </w:pPr>
      <w:r w:rsidRPr="00C17CC0">
        <w:t xml:space="preserve">Develop a plan of care </w:t>
      </w:r>
      <w:r>
        <w:t xml:space="preserve">with the woman. If she wishes to undergo induction of labour between 41 and 42 weeks, this can be arranged as per induction of labour guidelines either by a midwife or obstetric staff member for an otherwise low risk pregnancy. If there are other risk factors requiring discussion, the woman should be booked into an obstetric clinic to discuss her care </w:t>
      </w:r>
      <w:proofErr w:type="gramStart"/>
      <w:r>
        <w:t>plan</w:t>
      </w:r>
      <w:proofErr w:type="gramEnd"/>
    </w:p>
    <w:p w14:paraId="3F99A8F5" w14:textId="77777777" w:rsidR="004E0648" w:rsidRPr="007F2C2D" w:rsidRDefault="004E0648" w:rsidP="004E0648">
      <w:pPr>
        <w:pStyle w:val="ListBullet"/>
        <w:rPr>
          <w:rFonts w:eastAsia="OptimaLTStd"/>
          <w:lang w:val="en-US"/>
        </w:rPr>
      </w:pPr>
      <w:r w:rsidRPr="007F2C2D">
        <w:t xml:space="preserve">Discuss with her the importance of perception of </w:t>
      </w:r>
      <w:proofErr w:type="spellStart"/>
      <w:r w:rsidRPr="007F2C2D">
        <w:t>fetal</w:t>
      </w:r>
      <w:proofErr w:type="spellEnd"/>
      <w:r w:rsidRPr="007F2C2D">
        <w:t xml:space="preserve"> movements and in case of reduction to contact Birthing Suite or her continuity midwife immediately</w:t>
      </w:r>
      <w:r>
        <w:rPr>
          <w:vertAlign w:val="superscript"/>
        </w:rPr>
        <w:t>3</w:t>
      </w:r>
      <w:r w:rsidRPr="007F2C2D">
        <w:t xml:space="preserve">. </w:t>
      </w:r>
    </w:p>
    <w:p w14:paraId="04F38F7B" w14:textId="77777777" w:rsidR="004E0648" w:rsidRPr="00C15388" w:rsidRDefault="004E0648" w:rsidP="004E0648">
      <w:pPr>
        <w:pStyle w:val="ListBullet"/>
      </w:pPr>
      <w:r w:rsidRPr="00984134">
        <w:rPr>
          <w:rFonts w:eastAsia="OptimaLTStd"/>
          <w:lang w:val="en-US"/>
        </w:rPr>
        <w:t xml:space="preserve">Document the examination findings including a modified Bishops score </w:t>
      </w:r>
      <w:r>
        <w:rPr>
          <w:rFonts w:eastAsia="OptimaLTStd"/>
          <w:lang w:val="en-US"/>
        </w:rPr>
        <w:t xml:space="preserve">as per induction of </w:t>
      </w:r>
      <w:proofErr w:type="spellStart"/>
      <w:r>
        <w:rPr>
          <w:rFonts w:eastAsia="OptimaLTStd"/>
          <w:lang w:val="en-US"/>
        </w:rPr>
        <w:t>labour</w:t>
      </w:r>
      <w:proofErr w:type="spellEnd"/>
      <w:r>
        <w:rPr>
          <w:rFonts w:eastAsia="OptimaLTStd"/>
          <w:lang w:val="en-US"/>
        </w:rPr>
        <w:t xml:space="preserve"> policy.</w:t>
      </w:r>
    </w:p>
    <w:p w14:paraId="0ED4184F" w14:textId="77777777" w:rsidR="004E0648" w:rsidRDefault="004E0648" w:rsidP="004E0648">
      <w:pPr>
        <w:pStyle w:val="ListBullet"/>
        <w:numPr>
          <w:ilvl w:val="0"/>
          <w:numId w:val="0"/>
        </w:numPr>
        <w:ind w:left="426" w:hanging="426"/>
      </w:pPr>
    </w:p>
    <w:p w14:paraId="79B55222" w14:textId="77777777" w:rsidR="004E0648" w:rsidRDefault="004E0648" w:rsidP="004E0648">
      <w:pPr>
        <w:pStyle w:val="ListBullet"/>
        <w:numPr>
          <w:ilvl w:val="0"/>
          <w:numId w:val="0"/>
        </w:numPr>
        <w:ind w:left="426" w:hanging="426"/>
      </w:pPr>
    </w:p>
    <w:p w14:paraId="3C1CCE79" w14:textId="77777777" w:rsidR="004E0648" w:rsidRPr="00984134" w:rsidRDefault="004E0648" w:rsidP="004E0648">
      <w:pPr>
        <w:pStyle w:val="ListBullet"/>
        <w:numPr>
          <w:ilvl w:val="0"/>
          <w:numId w:val="0"/>
        </w:numPr>
        <w:ind w:left="426" w:hanging="426"/>
      </w:pPr>
    </w:p>
    <w:p w14:paraId="3829D5FE" w14:textId="77777777" w:rsidR="004E0648" w:rsidRDefault="004E0648" w:rsidP="004E0648">
      <w:pPr>
        <w:rPr>
          <w:rFonts w:cs="Arial"/>
          <w:b/>
          <w:szCs w:val="24"/>
        </w:rPr>
      </w:pPr>
    </w:p>
    <w:p w14:paraId="3803498A" w14:textId="77777777" w:rsidR="004E0648" w:rsidRPr="002E3573" w:rsidRDefault="004E0648" w:rsidP="004E0648">
      <w:pPr>
        <w:pStyle w:val="ListParagraph"/>
        <w:jc w:val="right"/>
        <w:rPr>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CD1C0E" w14:paraId="4EBB3FF0" w14:textId="77777777" w:rsidTr="00793A93">
        <w:trPr>
          <w:cantSplit/>
          <w:trHeight w:val="285"/>
        </w:trPr>
        <w:tc>
          <w:tcPr>
            <w:tcW w:w="9158" w:type="dxa"/>
            <w:shd w:val="clear" w:color="auto" w:fill="D9D9D9" w:themeFill="background1" w:themeFillShade="D9"/>
          </w:tcPr>
          <w:p w14:paraId="71290BEC" w14:textId="77777777" w:rsidR="004E0648" w:rsidRPr="00C76688" w:rsidRDefault="004E0648" w:rsidP="00793A93">
            <w:pPr>
              <w:pStyle w:val="Heading1"/>
            </w:pPr>
            <w:bookmarkStart w:id="12" w:name="_Toc165021514"/>
            <w:r w:rsidRPr="00C76688">
              <w:t xml:space="preserve">Section </w:t>
            </w:r>
            <w:r>
              <w:t>4</w:t>
            </w:r>
            <w:r w:rsidRPr="00C76688">
              <w:t xml:space="preserve"> –</w:t>
            </w:r>
            <w:r>
              <w:t xml:space="preserve"> 41-42 weeks gestation, management strategies</w:t>
            </w:r>
            <w:bookmarkEnd w:id="12"/>
          </w:p>
        </w:tc>
      </w:tr>
    </w:tbl>
    <w:p w14:paraId="0090C6EA" w14:textId="77777777" w:rsidR="004E0648" w:rsidRPr="004B30D0" w:rsidRDefault="004E0648" w:rsidP="004E0648">
      <w:r>
        <w:t xml:space="preserve"> </w:t>
      </w:r>
    </w:p>
    <w:p w14:paraId="4D2BA1A0" w14:textId="77777777" w:rsidR="004E0648" w:rsidRPr="004B30D0" w:rsidRDefault="004E0648" w:rsidP="004E0648">
      <w:pPr>
        <w:rPr>
          <w:szCs w:val="24"/>
        </w:rPr>
      </w:pPr>
      <w:r w:rsidRPr="004B30D0">
        <w:rPr>
          <w:szCs w:val="24"/>
        </w:rPr>
        <w:t xml:space="preserve">When performing the woman’s usual antenatal visit assessment, it is important to attend to the following: </w:t>
      </w:r>
    </w:p>
    <w:p w14:paraId="1DE44DD2" w14:textId="77777777" w:rsidR="004E0648" w:rsidRPr="002E7322" w:rsidRDefault="004E0648" w:rsidP="004E0648">
      <w:pPr>
        <w:pStyle w:val="ListBullet"/>
      </w:pPr>
      <w:r>
        <w:rPr>
          <w:rFonts w:eastAsia="OptimaLTStd"/>
          <w:lang w:eastAsia="en-AU"/>
        </w:rPr>
        <w:t xml:space="preserve">Confirm gestational </w:t>
      </w:r>
      <w:proofErr w:type="gramStart"/>
      <w:r>
        <w:rPr>
          <w:rFonts w:eastAsia="OptimaLTStd"/>
          <w:lang w:eastAsia="en-AU"/>
        </w:rPr>
        <w:t>age</w:t>
      </w:r>
      <w:proofErr w:type="gramEnd"/>
    </w:p>
    <w:p w14:paraId="5A8A364C" w14:textId="77777777" w:rsidR="004E0648" w:rsidRPr="002E7322" w:rsidRDefault="004E0648" w:rsidP="004E0648">
      <w:pPr>
        <w:pStyle w:val="ListBullet"/>
        <w:rPr>
          <w:rFonts w:eastAsia="OptimaLTStd"/>
          <w:lang w:eastAsia="en-AU"/>
        </w:rPr>
      </w:pPr>
      <w:r w:rsidRPr="002E7322">
        <w:rPr>
          <w:rFonts w:eastAsia="OptimaLTStd"/>
          <w:lang w:eastAsia="en-AU"/>
        </w:rPr>
        <w:t>Routine antenatal observations</w:t>
      </w:r>
      <w:r>
        <w:rPr>
          <w:rFonts w:eastAsia="OptimaLTStd"/>
          <w:lang w:eastAsia="en-AU"/>
        </w:rPr>
        <w:t xml:space="preserve">, </w:t>
      </w:r>
      <w:r>
        <w:rPr>
          <w:rFonts w:eastAsia="OptimaLTStd"/>
          <w:lang w:val="en-US"/>
        </w:rPr>
        <w:t xml:space="preserve">as per the </w:t>
      </w:r>
      <w:r w:rsidRPr="009214A1">
        <w:rPr>
          <w:rFonts w:eastAsia="OptimaLTStd"/>
          <w:lang w:val="en-US"/>
        </w:rPr>
        <w:t>Pregnancy Care</w:t>
      </w:r>
      <w:r>
        <w:rPr>
          <w:rFonts w:eastAsia="OptimaLTStd"/>
          <w:lang w:val="en-US"/>
        </w:rPr>
        <w:t xml:space="preserve"> Clinical Practice Guidelines, available on the Policy and Guidance Documents Register (</w:t>
      </w:r>
      <w:hyperlink r:id="rId13" w:history="1">
        <w:r w:rsidRPr="00E16B7B">
          <w:rPr>
            <w:rStyle w:val="Hyperlink"/>
            <w:rFonts w:eastAsia="OptimaLTStd"/>
            <w:lang w:val="en-US"/>
          </w:rPr>
          <w:t>https://actgovernment.sharepoint.com/sites/intranet-health/PPR/default.aspx</w:t>
        </w:r>
      </w:hyperlink>
      <w:r>
        <w:rPr>
          <w:rFonts w:eastAsia="OptimaLTStd"/>
          <w:lang w:val="en-US"/>
        </w:rPr>
        <w:t>).</w:t>
      </w:r>
    </w:p>
    <w:p w14:paraId="0351E69E" w14:textId="77777777" w:rsidR="004E0648" w:rsidRPr="00C17CC0" w:rsidRDefault="004E0648" w:rsidP="004E0648">
      <w:pPr>
        <w:pStyle w:val="ListBullet"/>
      </w:pPr>
      <w:r w:rsidRPr="00C17CC0">
        <w:rPr>
          <w:rFonts w:eastAsia="OptimaLTStd"/>
          <w:lang w:eastAsia="en-AU"/>
        </w:rPr>
        <w:t xml:space="preserve">Exclude any </w:t>
      </w:r>
      <w:proofErr w:type="spellStart"/>
      <w:r w:rsidRPr="00C17CC0">
        <w:rPr>
          <w:rFonts w:eastAsia="OptimaLTStd"/>
          <w:lang w:eastAsia="en-AU"/>
        </w:rPr>
        <w:t>fet</w:t>
      </w:r>
      <w:r>
        <w:rPr>
          <w:rFonts w:eastAsia="OptimaLTStd"/>
          <w:lang w:eastAsia="en-AU"/>
        </w:rPr>
        <w:t>al</w:t>
      </w:r>
      <w:proofErr w:type="spellEnd"/>
      <w:r>
        <w:rPr>
          <w:rFonts w:eastAsia="OptimaLTStd"/>
          <w:lang w:eastAsia="en-AU"/>
        </w:rPr>
        <w:t xml:space="preserve">, maternal or obstetric </w:t>
      </w:r>
      <w:proofErr w:type="gramStart"/>
      <w:r>
        <w:rPr>
          <w:rFonts w:eastAsia="OptimaLTStd"/>
          <w:lang w:eastAsia="en-AU"/>
        </w:rPr>
        <w:t>risks</w:t>
      </w:r>
      <w:proofErr w:type="gramEnd"/>
    </w:p>
    <w:p w14:paraId="7808E92D" w14:textId="77777777" w:rsidR="004E0648" w:rsidRDefault="004E0648" w:rsidP="004E0648">
      <w:pPr>
        <w:pStyle w:val="ListBullet"/>
      </w:pPr>
      <w:r w:rsidRPr="00C17CC0">
        <w:rPr>
          <w:lang w:eastAsia="en-AU"/>
        </w:rPr>
        <w:t xml:space="preserve">Refer to the </w:t>
      </w:r>
      <w:r>
        <w:rPr>
          <w:lang w:eastAsia="en-AU"/>
        </w:rPr>
        <w:t xml:space="preserve">appropriate obstetric team </w:t>
      </w:r>
      <w:r w:rsidRPr="00C17CC0">
        <w:rPr>
          <w:lang w:eastAsia="en-AU"/>
        </w:rPr>
        <w:t>if there are</w:t>
      </w:r>
      <w:r>
        <w:rPr>
          <w:lang w:eastAsia="en-AU"/>
        </w:rPr>
        <w:t xml:space="preserve"> any </w:t>
      </w:r>
      <w:proofErr w:type="gramStart"/>
      <w:r>
        <w:rPr>
          <w:lang w:eastAsia="en-AU"/>
        </w:rPr>
        <w:t>risks</w:t>
      </w:r>
      <w:proofErr w:type="gramEnd"/>
    </w:p>
    <w:p w14:paraId="08E662E2" w14:textId="77777777" w:rsidR="004E0648" w:rsidRPr="00EF51FD" w:rsidRDefault="004E0648" w:rsidP="004E0648">
      <w:pPr>
        <w:pStyle w:val="ListBullet"/>
      </w:pPr>
      <w:r>
        <w:t xml:space="preserve">Discuss with </w:t>
      </w:r>
      <w:r w:rsidRPr="007F2C2D">
        <w:t xml:space="preserve">the woman that </w:t>
      </w:r>
      <w:r w:rsidRPr="007F2C2D">
        <w:rPr>
          <w:rFonts w:eastAsia="OptimaLTStd"/>
          <w:lang w:val="en-US"/>
        </w:rPr>
        <w:t>if her cervix is favourable, membranes sweeping decreases the likelihood of requiring an induction</w:t>
      </w:r>
      <w:r>
        <w:rPr>
          <w:rFonts w:eastAsia="OptimaLTStd"/>
          <w:lang w:val="en-US"/>
        </w:rPr>
        <w:t xml:space="preserve"> of </w:t>
      </w:r>
      <w:proofErr w:type="spellStart"/>
      <w:r>
        <w:rPr>
          <w:rFonts w:eastAsia="OptimaLTStd"/>
          <w:lang w:val="en-US"/>
        </w:rPr>
        <w:t>labour</w:t>
      </w:r>
      <w:proofErr w:type="spellEnd"/>
      <w:r>
        <w:rPr>
          <w:rFonts w:eastAsia="OptimaLTStd"/>
          <w:lang w:val="en-US"/>
        </w:rPr>
        <w:t xml:space="preserve"> (IOL)</w:t>
      </w:r>
      <w:r w:rsidRPr="007F2C2D">
        <w:rPr>
          <w:rFonts w:eastAsia="OptimaLTStd"/>
          <w:lang w:val="en-US"/>
        </w:rPr>
        <w:t xml:space="preserve"> for prolonged pregnancy compared with women who have not had this performed. </w:t>
      </w:r>
    </w:p>
    <w:p w14:paraId="096C2224" w14:textId="77777777" w:rsidR="004E0648" w:rsidRDefault="004E0648" w:rsidP="004E0648">
      <w:pPr>
        <w:pStyle w:val="ListBullet"/>
      </w:pPr>
      <w:r>
        <w:t>Offer a vaginal examination,</w:t>
      </w:r>
      <w:r w:rsidRPr="007F2C2D">
        <w:t xml:space="preserve"> cervical assessment, and membrane sweep.  </w:t>
      </w:r>
    </w:p>
    <w:p w14:paraId="14666EBC" w14:textId="77777777" w:rsidR="004E0648" w:rsidRPr="007F2C2D" w:rsidRDefault="004E0648" w:rsidP="004E0648">
      <w:pPr>
        <w:pStyle w:val="ListBullet"/>
      </w:pPr>
      <w:r w:rsidRPr="007F2C2D">
        <w:rPr>
          <w:rFonts w:eastAsia="OptimaLTStd"/>
          <w:lang w:val="en-US"/>
        </w:rPr>
        <w:t xml:space="preserve">Advise the woman about the possibility of irregular contractions and vaginal bleeding following the membranes sweeping. </w:t>
      </w:r>
      <w:r w:rsidRPr="007F2C2D">
        <w:rPr>
          <w:lang w:eastAsia="en-AU"/>
        </w:rPr>
        <w:t xml:space="preserve">Document modified Bishops </w:t>
      </w:r>
      <w:proofErr w:type="gramStart"/>
      <w:r w:rsidRPr="007F2C2D">
        <w:rPr>
          <w:lang w:eastAsia="en-AU"/>
        </w:rPr>
        <w:t>score</w:t>
      </w:r>
      <w:proofErr w:type="gramEnd"/>
    </w:p>
    <w:p w14:paraId="38B2E9DB" w14:textId="77777777" w:rsidR="004E0648" w:rsidRPr="00C17CC0" w:rsidRDefault="004E0648" w:rsidP="004E0648">
      <w:pPr>
        <w:pStyle w:val="ListBullet"/>
      </w:pPr>
      <w:r w:rsidRPr="00C17CC0">
        <w:rPr>
          <w:lang w:eastAsia="en-AU"/>
        </w:rPr>
        <w:t xml:space="preserve">Perform an </w:t>
      </w:r>
      <w:r>
        <w:rPr>
          <w:lang w:eastAsia="en-AU"/>
        </w:rPr>
        <w:t>ultrasound to assess the AFI</w:t>
      </w:r>
      <w:r w:rsidRPr="00C17CC0">
        <w:rPr>
          <w:lang w:eastAsia="en-AU"/>
        </w:rPr>
        <w:t xml:space="preserve">. If </w:t>
      </w:r>
      <w:r>
        <w:rPr>
          <w:lang w:eastAsia="en-AU"/>
        </w:rPr>
        <w:t>AFI</w:t>
      </w:r>
      <w:r w:rsidRPr="00C17CC0">
        <w:rPr>
          <w:lang w:eastAsia="en-AU"/>
        </w:rPr>
        <w:t>&gt;5</w:t>
      </w:r>
      <w:r>
        <w:rPr>
          <w:lang w:eastAsia="en-AU"/>
        </w:rPr>
        <w:t xml:space="preserve"> centimetres (cm) or Single Deepest Pocket (SDP) of amniotic fluid &gt;1 cm</w:t>
      </w:r>
      <w:r w:rsidRPr="00C17CC0">
        <w:rPr>
          <w:lang w:eastAsia="en-AU"/>
        </w:rPr>
        <w:t xml:space="preserve"> then there is less </w:t>
      </w:r>
      <w:r>
        <w:rPr>
          <w:lang w:eastAsia="en-AU"/>
        </w:rPr>
        <w:t>urgency</w:t>
      </w:r>
      <w:r w:rsidRPr="00C17CC0">
        <w:rPr>
          <w:lang w:eastAsia="en-AU"/>
        </w:rPr>
        <w:t xml:space="preserve"> </w:t>
      </w:r>
      <w:r>
        <w:rPr>
          <w:lang w:eastAsia="en-AU"/>
        </w:rPr>
        <w:t>to proceed immediately with IOL</w:t>
      </w:r>
    </w:p>
    <w:p w14:paraId="42C23BF1" w14:textId="77777777" w:rsidR="004E0648" w:rsidRDefault="004E0648" w:rsidP="004E0648">
      <w:pPr>
        <w:pStyle w:val="ListBullet"/>
      </w:pPr>
      <w:r w:rsidRPr="00C17CC0">
        <w:rPr>
          <w:lang w:val="en-US"/>
        </w:rPr>
        <w:t xml:space="preserve">Advise the woman of the unit guideline </w:t>
      </w:r>
      <w:r>
        <w:rPr>
          <w:lang w:val="en-US"/>
        </w:rPr>
        <w:t>recommending</w:t>
      </w:r>
      <w:r w:rsidRPr="00C17CC0">
        <w:rPr>
          <w:lang w:val="en-US"/>
        </w:rPr>
        <w:t xml:space="preserve"> an </w:t>
      </w:r>
      <w:r w:rsidRPr="00C17CC0">
        <w:t>IOL between 41+</w:t>
      </w:r>
      <w:r>
        <w:t>0</w:t>
      </w:r>
      <w:r w:rsidRPr="00C17CC0">
        <w:t xml:space="preserve"> and 42 </w:t>
      </w:r>
      <w:proofErr w:type="gramStart"/>
      <w:r w:rsidRPr="00C17CC0">
        <w:t>weeks</w:t>
      </w:r>
      <w:proofErr w:type="gramEnd"/>
    </w:p>
    <w:p w14:paraId="30826E09" w14:textId="77777777" w:rsidR="004E0648" w:rsidRDefault="004E0648" w:rsidP="004E0648">
      <w:pPr>
        <w:pStyle w:val="ListBullet"/>
        <w:numPr>
          <w:ilvl w:val="0"/>
          <w:numId w:val="0"/>
        </w:numPr>
        <w:ind w:left="426"/>
      </w:pPr>
      <w:r w:rsidRPr="00C17CC0">
        <w:t xml:space="preserve">Book IOL </w:t>
      </w:r>
      <w:r>
        <w:t>as per CHS Induction of Labour Guideline, which can be found on the CHS Policy and Guidance Documents Register (</w:t>
      </w:r>
      <w:hyperlink r:id="rId14" w:history="1">
        <w:r w:rsidRPr="00A04325">
          <w:rPr>
            <w:rStyle w:val="Hyperlink"/>
          </w:rPr>
          <w:t>https://actgovernment.sharepoint.com/sites/intranet-health/PPR/default.aspx</w:t>
        </w:r>
      </w:hyperlink>
      <w:r>
        <w:t xml:space="preserve">) </w:t>
      </w:r>
    </w:p>
    <w:p w14:paraId="16C40ED0" w14:textId="77777777" w:rsidR="004E0648" w:rsidRPr="007F2C2D" w:rsidRDefault="004E0648" w:rsidP="004E0648">
      <w:pPr>
        <w:pStyle w:val="ListBullet"/>
        <w:rPr>
          <w:rFonts w:eastAsia="OptimaLTStd"/>
          <w:lang w:val="en-US"/>
        </w:rPr>
      </w:pPr>
      <w:r w:rsidRPr="007F2C2D">
        <w:t xml:space="preserve">Discuss with her the importance of perception of </w:t>
      </w:r>
      <w:proofErr w:type="spellStart"/>
      <w:r w:rsidRPr="007F2C2D">
        <w:t>fetal</w:t>
      </w:r>
      <w:proofErr w:type="spellEnd"/>
      <w:r w:rsidRPr="007F2C2D">
        <w:t xml:space="preserve"> movements and in case of reduction to contact Birthing Suite or her continuity midwife immediately. </w:t>
      </w:r>
    </w:p>
    <w:p w14:paraId="7A78F63C" w14:textId="77777777" w:rsidR="004E0648" w:rsidRPr="00C17CC0" w:rsidRDefault="004E0648" w:rsidP="004E0648">
      <w:pPr>
        <w:pStyle w:val="ListBullet"/>
        <w:rPr>
          <w:lang w:eastAsia="en-AU"/>
        </w:rPr>
      </w:pPr>
      <w:r>
        <w:rPr>
          <w:lang w:eastAsia="en-AU"/>
        </w:rPr>
        <w:t>If the woman declines IOL make a 42-week gestation appointment in the antenatal clinic</w:t>
      </w:r>
      <w:r w:rsidRPr="00190938">
        <w:t xml:space="preserve"> </w:t>
      </w:r>
      <w:r>
        <w:t>to be seen by</w:t>
      </w:r>
      <w:r w:rsidRPr="00C17CC0">
        <w:t xml:space="preserve"> an Obstetric Registrar or Consultant</w:t>
      </w:r>
      <w:r>
        <w:t>.</w:t>
      </w:r>
    </w:p>
    <w:p w14:paraId="0D8B503D" w14:textId="77777777" w:rsidR="004E0648" w:rsidRPr="00FF56DD" w:rsidRDefault="004E0648" w:rsidP="004E0648">
      <w:pPr>
        <w:ind w:left="720"/>
        <w:rPr>
          <w:rFonts w:cs="Arial"/>
          <w:i/>
          <w:szCs w:val="24"/>
        </w:rPr>
      </w:pPr>
      <w:r w:rsidRPr="00C17CC0">
        <w:rPr>
          <w:rFonts w:cs="Arial"/>
          <w:sz w:val="22"/>
          <w:szCs w:val="22"/>
          <w:lang w:eastAsia="en-AU"/>
        </w:rPr>
        <w:t xml:space="preserve"> </w:t>
      </w:r>
    </w:p>
    <w:p w14:paraId="3491F220" w14:textId="77777777" w:rsidR="004E0648" w:rsidRPr="002E3573" w:rsidRDefault="004E0648" w:rsidP="004E0648">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CD1C0E" w14:paraId="2485AB8D" w14:textId="77777777" w:rsidTr="00793A93">
        <w:trPr>
          <w:cantSplit/>
          <w:trHeight w:val="285"/>
        </w:trPr>
        <w:tc>
          <w:tcPr>
            <w:tcW w:w="9158" w:type="dxa"/>
            <w:shd w:val="clear" w:color="auto" w:fill="D9D9D9" w:themeFill="background1" w:themeFillShade="D9"/>
          </w:tcPr>
          <w:p w14:paraId="5E0297C8" w14:textId="77777777" w:rsidR="004E0648" w:rsidRPr="00C76688" w:rsidRDefault="004E0648" w:rsidP="00793A93">
            <w:pPr>
              <w:pStyle w:val="Heading1"/>
            </w:pPr>
            <w:bookmarkStart w:id="13" w:name="_Toc165021515"/>
            <w:r w:rsidRPr="00C76688">
              <w:t xml:space="preserve">Section </w:t>
            </w:r>
            <w:r>
              <w:t>5</w:t>
            </w:r>
            <w:r w:rsidRPr="00C76688">
              <w:t xml:space="preserve"> –</w:t>
            </w:r>
            <w:r>
              <w:t xml:space="preserve"> 42</w:t>
            </w:r>
            <w:r w:rsidRPr="00295835">
              <w:t xml:space="preserve"> weeks gestation</w:t>
            </w:r>
            <w:r>
              <w:t xml:space="preserve"> or greater, management strategies</w:t>
            </w:r>
            <w:bookmarkEnd w:id="13"/>
          </w:p>
        </w:tc>
      </w:tr>
    </w:tbl>
    <w:p w14:paraId="3712F62C" w14:textId="77777777" w:rsidR="004E0648" w:rsidRPr="00C17CC0" w:rsidRDefault="004E0648" w:rsidP="004E0648">
      <w:pPr>
        <w:autoSpaceDE w:val="0"/>
        <w:autoSpaceDN w:val="0"/>
        <w:adjustRightInd w:val="0"/>
        <w:rPr>
          <w:rFonts w:cs="Arial"/>
          <w:sz w:val="22"/>
          <w:szCs w:val="22"/>
          <w:lang w:val="en-US"/>
        </w:rPr>
      </w:pPr>
    </w:p>
    <w:p w14:paraId="6D7AC76E" w14:textId="77777777" w:rsidR="004E0648" w:rsidRPr="00362968" w:rsidRDefault="004E0648" w:rsidP="004E0648">
      <w:pPr>
        <w:rPr>
          <w:rFonts w:eastAsia="OptimaLTStd"/>
          <w:lang w:val="en-US"/>
        </w:rPr>
      </w:pPr>
      <w:r w:rsidRPr="00362968">
        <w:rPr>
          <w:rFonts w:eastAsia="OptimaLTStd"/>
          <w:lang w:val="en-US"/>
        </w:rPr>
        <w:t>In the event of the woman</w:t>
      </w:r>
      <w:r>
        <w:rPr>
          <w:rFonts w:eastAsia="OptimaLTStd"/>
          <w:lang w:val="en-US"/>
        </w:rPr>
        <w:t xml:space="preserve"> having not had her baby</w:t>
      </w:r>
      <w:r w:rsidRPr="00362968">
        <w:rPr>
          <w:rFonts w:eastAsia="OptimaLTStd"/>
          <w:lang w:val="en-US"/>
        </w:rPr>
        <w:t xml:space="preserve"> by 42 completed weeks </w:t>
      </w:r>
      <w:r>
        <w:rPr>
          <w:rFonts w:eastAsia="OptimaLTStd"/>
          <w:lang w:val="en-US"/>
        </w:rPr>
        <w:t>gestation</w:t>
      </w:r>
      <w:r w:rsidRPr="00362968">
        <w:rPr>
          <w:rFonts w:eastAsia="OptimaLTStd"/>
          <w:lang w:val="en-US"/>
        </w:rPr>
        <w:t xml:space="preserve"> the following should be done:</w:t>
      </w:r>
    </w:p>
    <w:p w14:paraId="1A41B1D0" w14:textId="77777777" w:rsidR="004E0648" w:rsidRPr="00362968" w:rsidRDefault="004E0648" w:rsidP="004E0648">
      <w:pPr>
        <w:pStyle w:val="ListBullet"/>
        <w:rPr>
          <w:rFonts w:eastAsia="OptimaLTStd"/>
          <w:lang w:val="en-US"/>
        </w:rPr>
      </w:pPr>
      <w:r w:rsidRPr="00362968">
        <w:rPr>
          <w:rFonts w:eastAsia="OptimaLTStd"/>
          <w:lang w:val="en-US"/>
        </w:rPr>
        <w:t>Confirm gestational age.</w:t>
      </w:r>
    </w:p>
    <w:p w14:paraId="654F2CEF" w14:textId="77777777" w:rsidR="004E0648" w:rsidRPr="00362968" w:rsidRDefault="004E0648" w:rsidP="004E0648">
      <w:pPr>
        <w:pStyle w:val="ListBullet"/>
        <w:rPr>
          <w:rFonts w:eastAsia="OptimaLTStd"/>
          <w:lang w:val="en-US"/>
        </w:rPr>
      </w:pPr>
      <w:r>
        <w:rPr>
          <w:rFonts w:eastAsia="OptimaLTStd"/>
          <w:lang w:val="en-US"/>
        </w:rPr>
        <w:t>Arrange immediate obstetric review, either in the antenatal clinic, the Maternity Assessment Unit (CHWC), Maternity Assessment Area (NCH) or by contacting the Obstetric Registrar on call</w:t>
      </w:r>
    </w:p>
    <w:p w14:paraId="297BCBC1" w14:textId="77777777" w:rsidR="004E0648" w:rsidRDefault="004E0648" w:rsidP="004E0648">
      <w:pPr>
        <w:pStyle w:val="ListBullet"/>
        <w:rPr>
          <w:rFonts w:eastAsia="OptimaLTStd"/>
          <w:lang w:val="en-US"/>
        </w:rPr>
      </w:pPr>
      <w:r w:rsidRPr="00362968">
        <w:rPr>
          <w:rFonts w:eastAsia="OptimaLTStd"/>
          <w:lang w:val="en-US"/>
        </w:rPr>
        <w:t xml:space="preserve">Perform a baseline CTG and </w:t>
      </w:r>
      <w:r>
        <w:rPr>
          <w:rFonts w:eastAsia="OptimaLTStd"/>
          <w:lang w:val="en-US"/>
        </w:rPr>
        <w:t xml:space="preserve">a bedside </w:t>
      </w:r>
      <w:r w:rsidRPr="00362968">
        <w:rPr>
          <w:rFonts w:eastAsia="OptimaLTStd"/>
          <w:lang w:val="en-US"/>
        </w:rPr>
        <w:t xml:space="preserve">ultrasound </w:t>
      </w:r>
      <w:r>
        <w:rPr>
          <w:rFonts w:eastAsia="OptimaLTStd"/>
          <w:lang w:val="en-US"/>
        </w:rPr>
        <w:t xml:space="preserve">for AFI.  </w:t>
      </w:r>
    </w:p>
    <w:p w14:paraId="0D44796B" w14:textId="77777777" w:rsidR="004E0648" w:rsidRDefault="004E0648" w:rsidP="004E0648">
      <w:pPr>
        <w:pStyle w:val="ListBullet"/>
        <w:rPr>
          <w:rFonts w:eastAsia="OptimaLTStd"/>
          <w:lang w:val="en-US"/>
        </w:rPr>
      </w:pPr>
      <w:r>
        <w:rPr>
          <w:rFonts w:eastAsia="OptimaLTStd"/>
          <w:lang w:val="en-US"/>
        </w:rPr>
        <w:t>Offer IOL with a repeat discussion regarding risks to the pregnancy after 42 weeks.</w:t>
      </w:r>
    </w:p>
    <w:p w14:paraId="16F2AA3B" w14:textId="77777777" w:rsidR="004E0648" w:rsidRDefault="004E0648" w:rsidP="004E0648">
      <w:pPr>
        <w:pStyle w:val="ListBullet"/>
        <w:rPr>
          <w:rFonts w:eastAsia="OptimaLTStd"/>
          <w:lang w:val="en-US"/>
        </w:rPr>
      </w:pPr>
      <w:r w:rsidRPr="00A47DFF">
        <w:rPr>
          <w:rFonts w:eastAsia="OptimaLTStd"/>
          <w:lang w:val="en-US"/>
        </w:rPr>
        <w:t xml:space="preserve">Offer women who choose expectant management increased antenatal monitoring consisting of at least twice weekly </w:t>
      </w:r>
      <w:r>
        <w:rPr>
          <w:rFonts w:eastAsia="OptimaLTStd"/>
          <w:lang w:val="en-US"/>
        </w:rPr>
        <w:t>CTG</w:t>
      </w:r>
      <w:r w:rsidRPr="00A47DFF">
        <w:rPr>
          <w:rFonts w:eastAsia="OptimaLTStd"/>
          <w:lang w:val="en-US"/>
        </w:rPr>
        <w:t xml:space="preserve"> and assessment of </w:t>
      </w:r>
      <w:r>
        <w:rPr>
          <w:rFonts w:eastAsia="OptimaLTStd"/>
          <w:lang w:val="en-US"/>
        </w:rPr>
        <w:t>AFI.</w:t>
      </w:r>
    </w:p>
    <w:p w14:paraId="76796149" w14:textId="77777777" w:rsidR="004E0648" w:rsidRPr="00362968" w:rsidRDefault="004E0648" w:rsidP="004E0648">
      <w:pPr>
        <w:pStyle w:val="ListBullet"/>
        <w:rPr>
          <w:rFonts w:eastAsia="OptimaLTStd"/>
          <w:lang w:val="en-US"/>
        </w:rPr>
      </w:pPr>
      <w:r>
        <w:rPr>
          <w:rFonts w:eastAsia="OptimaLTStd"/>
          <w:lang w:val="en-US"/>
        </w:rPr>
        <w:lastRenderedPageBreak/>
        <w:t>Clearly document the agreed plan and timing of subsequent reviews.</w:t>
      </w:r>
    </w:p>
    <w:p w14:paraId="29963524" w14:textId="77777777" w:rsidR="004E0648" w:rsidRPr="002E3573" w:rsidRDefault="004E0648" w:rsidP="004E0648">
      <w:pPr>
        <w:pStyle w:val="ListParagraph"/>
        <w:rPr>
          <w:rFonts w:cs="Arial"/>
          <w:i/>
          <w:szCs w:val="24"/>
        </w:rPr>
      </w:pPr>
    </w:p>
    <w:p w14:paraId="0281773B" w14:textId="77777777" w:rsidR="004E0648" w:rsidRPr="002E3573" w:rsidRDefault="004E0648" w:rsidP="004E0648">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CD1C0E" w14:paraId="785F8011" w14:textId="77777777" w:rsidTr="00793A93">
        <w:trPr>
          <w:cantSplit/>
          <w:trHeight w:val="285"/>
        </w:trPr>
        <w:tc>
          <w:tcPr>
            <w:tcW w:w="9158" w:type="dxa"/>
            <w:shd w:val="clear" w:color="auto" w:fill="D9D9D9" w:themeFill="background1" w:themeFillShade="D9"/>
          </w:tcPr>
          <w:p w14:paraId="3BC7BB0C" w14:textId="77777777" w:rsidR="004E0648" w:rsidRPr="00C76688" w:rsidRDefault="004E0648" w:rsidP="00793A93">
            <w:pPr>
              <w:pStyle w:val="Heading1"/>
            </w:pPr>
            <w:bookmarkStart w:id="14" w:name="_Toc165021516"/>
            <w:r w:rsidRPr="00C76688">
              <w:t xml:space="preserve">Section </w:t>
            </w:r>
            <w:r>
              <w:t>6</w:t>
            </w:r>
            <w:r w:rsidRPr="00C76688">
              <w:t xml:space="preserve"> –</w:t>
            </w:r>
            <w:r>
              <w:t xml:space="preserve"> Intrapartum Management</w:t>
            </w:r>
            <w:bookmarkEnd w:id="14"/>
            <w:r>
              <w:t xml:space="preserve">  </w:t>
            </w:r>
          </w:p>
        </w:tc>
      </w:tr>
    </w:tbl>
    <w:p w14:paraId="02C112AD" w14:textId="77777777" w:rsidR="004E0648" w:rsidRPr="004B30D0" w:rsidRDefault="004E0648" w:rsidP="004E0648">
      <w:pPr>
        <w:rPr>
          <w:rFonts w:cs="Arial"/>
          <w:szCs w:val="24"/>
        </w:rPr>
      </w:pPr>
    </w:p>
    <w:p w14:paraId="43F62C1F" w14:textId="77777777" w:rsidR="004E0648" w:rsidRPr="004B30D0" w:rsidRDefault="004E0648" w:rsidP="004E0648">
      <w:pPr>
        <w:rPr>
          <w:rFonts w:eastAsia="OptimaLTStd" w:cs="Arial"/>
          <w:szCs w:val="24"/>
          <w:lang w:val="en-US"/>
        </w:rPr>
      </w:pPr>
      <w:r w:rsidRPr="004B30D0">
        <w:rPr>
          <w:rFonts w:eastAsia="OptimaLTStd" w:cs="Arial"/>
          <w:szCs w:val="24"/>
          <w:lang w:val="en-US"/>
        </w:rPr>
        <w:t xml:space="preserve">Women who </w:t>
      </w:r>
      <w:proofErr w:type="spellStart"/>
      <w:r w:rsidRPr="004B30D0">
        <w:rPr>
          <w:rFonts w:eastAsia="OptimaLTStd" w:cs="Arial"/>
          <w:szCs w:val="24"/>
          <w:lang w:val="en-US"/>
        </w:rPr>
        <w:t>labour</w:t>
      </w:r>
      <w:proofErr w:type="spellEnd"/>
      <w:r w:rsidRPr="004B30D0">
        <w:rPr>
          <w:rFonts w:eastAsia="OptimaLTStd" w:cs="Arial"/>
          <w:szCs w:val="24"/>
          <w:lang w:val="en-US"/>
        </w:rPr>
        <w:t xml:space="preserve"> after 42 completed weeks </w:t>
      </w:r>
    </w:p>
    <w:p w14:paraId="560780B9" w14:textId="77777777" w:rsidR="004E0648" w:rsidRDefault="004E0648" w:rsidP="004E0648">
      <w:pPr>
        <w:pStyle w:val="ListBullet"/>
        <w:rPr>
          <w:rFonts w:eastAsia="OptimaLTStd"/>
          <w:lang w:val="en-US"/>
        </w:rPr>
      </w:pPr>
      <w:r>
        <w:rPr>
          <w:rFonts w:eastAsia="OptimaLTStd"/>
          <w:lang w:val="en-US"/>
        </w:rPr>
        <w:t>M</w:t>
      </w:r>
      <w:r w:rsidRPr="00362968">
        <w:rPr>
          <w:rFonts w:eastAsia="OptimaLTStd"/>
          <w:lang w:val="en-US"/>
        </w:rPr>
        <w:t xml:space="preserve">anage in </w:t>
      </w:r>
      <w:r>
        <w:rPr>
          <w:rFonts w:eastAsia="OptimaLTStd"/>
          <w:lang w:val="en-US"/>
        </w:rPr>
        <w:t>Birthing Suite</w:t>
      </w:r>
    </w:p>
    <w:p w14:paraId="78E2136B" w14:textId="77777777" w:rsidR="004E0648" w:rsidRDefault="004E0648" w:rsidP="004E0648">
      <w:pPr>
        <w:pStyle w:val="ListBullet"/>
      </w:pPr>
      <w:r w:rsidRPr="00362968">
        <w:rPr>
          <w:rFonts w:eastAsia="OptimaLTStd"/>
          <w:lang w:val="en-US"/>
        </w:rPr>
        <w:t>Continuous fetal monitoring</w:t>
      </w:r>
      <w:r>
        <w:rPr>
          <w:rFonts w:eastAsia="OptimaLTStd"/>
          <w:lang w:val="en-US"/>
        </w:rPr>
        <w:t xml:space="preserve"> </w:t>
      </w:r>
      <w:r w:rsidRPr="00362968">
        <w:t xml:space="preserve">refer to </w:t>
      </w:r>
      <w:r>
        <w:t xml:space="preserve">the CHS </w:t>
      </w:r>
      <w:r w:rsidRPr="00362968">
        <w:t xml:space="preserve">guideline </w:t>
      </w:r>
      <w:proofErr w:type="spellStart"/>
      <w:r>
        <w:t>Fetal</w:t>
      </w:r>
      <w:proofErr w:type="spellEnd"/>
      <w:r>
        <w:t xml:space="preserve"> Surveillance, which can be found on the CHS Policy and Guidance Documents Register (</w:t>
      </w:r>
      <w:hyperlink r:id="rId15" w:history="1">
        <w:r w:rsidRPr="00A04325">
          <w:rPr>
            <w:rStyle w:val="Hyperlink"/>
          </w:rPr>
          <w:t>https://actgovernment.sharepoint.com/sites/intranet-health/PPR/default.aspx</w:t>
        </w:r>
      </w:hyperlink>
      <w:r>
        <w:t>)</w:t>
      </w:r>
    </w:p>
    <w:p w14:paraId="140FE463" w14:textId="77777777" w:rsidR="004E0648" w:rsidRPr="007C0C85" w:rsidRDefault="004E0648" w:rsidP="004E0648">
      <w:pPr>
        <w:pStyle w:val="ListBullet"/>
        <w:rPr>
          <w:rFonts w:eastAsia="OptimaLTStd"/>
          <w:lang w:val="en-US"/>
        </w:rPr>
      </w:pPr>
      <w:r w:rsidRPr="00362968">
        <w:t xml:space="preserve">Refer to </w:t>
      </w:r>
      <w:r>
        <w:t xml:space="preserve">CHS </w:t>
      </w:r>
      <w:r w:rsidRPr="00362968">
        <w:t>I</w:t>
      </w:r>
      <w:r>
        <w:t>nduction of Labour</w:t>
      </w:r>
      <w:r w:rsidRPr="00362968">
        <w:t xml:space="preserve"> </w:t>
      </w:r>
      <w:r w:rsidRPr="00362968">
        <w:rPr>
          <w:rFonts w:eastAsia="OptimaLTStd"/>
          <w:lang w:val="en-US"/>
        </w:rPr>
        <w:t xml:space="preserve">guideline </w:t>
      </w:r>
      <w:r w:rsidRPr="00362968">
        <w:t xml:space="preserve">for additional management </w:t>
      </w:r>
      <w:proofErr w:type="gramStart"/>
      <w:r w:rsidRPr="00362968">
        <w:t>guidelines</w:t>
      </w:r>
      <w:proofErr w:type="gramEnd"/>
    </w:p>
    <w:p w14:paraId="40B96ED3" w14:textId="77777777" w:rsidR="004E0648" w:rsidRDefault="004E0648" w:rsidP="004E0648">
      <w:pPr>
        <w:rPr>
          <w:rFonts w:cs="Arial"/>
          <w:b/>
          <w:szCs w:val="24"/>
        </w:rPr>
      </w:pPr>
    </w:p>
    <w:p w14:paraId="24DD6BB9" w14:textId="77777777" w:rsidR="004E0648" w:rsidRDefault="004E0648" w:rsidP="004E0648">
      <w:pPr>
        <w:jc w:val="right"/>
        <w:rPr>
          <w:rFonts w:cs="Arial"/>
          <w:b/>
          <w:szCs w:val="24"/>
        </w:rPr>
      </w:pPr>
      <w:hyperlink w:anchor="Contents" w:history="1">
        <w:r w:rsidRPr="00C91F3F">
          <w:rPr>
            <w:rStyle w:val="Hyperlink"/>
            <w:rFonts w:eastAsiaTheme="majorEastAsia" w:cs="Arial"/>
            <w:i/>
            <w:szCs w:val="24"/>
          </w:rPr>
          <w:t>Back to Table of Contents</w:t>
        </w:r>
      </w:hyperlink>
    </w:p>
    <w:p w14:paraId="5D7A4E3B" w14:textId="77777777" w:rsidR="004E0648" w:rsidRPr="00DA3910" w:rsidRDefault="004E0648" w:rsidP="004E0648">
      <w:pPr>
        <w:jc w:val="right"/>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CD1C0E" w14:paraId="0CA53C90" w14:textId="77777777" w:rsidTr="00793A93">
        <w:trPr>
          <w:cantSplit/>
          <w:trHeight w:val="285"/>
        </w:trPr>
        <w:tc>
          <w:tcPr>
            <w:tcW w:w="9158" w:type="dxa"/>
            <w:shd w:val="clear" w:color="auto" w:fill="D9D9D9" w:themeFill="background1" w:themeFillShade="D9"/>
          </w:tcPr>
          <w:p w14:paraId="381805DA" w14:textId="77777777" w:rsidR="004E0648" w:rsidRPr="00CD1C0E" w:rsidRDefault="004E0648" w:rsidP="00793A93">
            <w:pPr>
              <w:pStyle w:val="Heading1"/>
            </w:pPr>
            <w:bookmarkStart w:id="15" w:name="_Toc165021517"/>
            <w:r>
              <w:t>Evaluation</w:t>
            </w:r>
            <w:bookmarkEnd w:id="15"/>
          </w:p>
        </w:tc>
      </w:tr>
    </w:tbl>
    <w:p w14:paraId="3A1114EA" w14:textId="77777777" w:rsidR="004E0648" w:rsidRDefault="004E0648" w:rsidP="004E0648">
      <w:pPr>
        <w:pStyle w:val="Default"/>
        <w:rPr>
          <w:rFonts w:ascii="Calibri" w:hAnsi="Calibri"/>
        </w:rPr>
      </w:pPr>
    </w:p>
    <w:p w14:paraId="3C5C1C1E" w14:textId="77777777" w:rsidR="004E0648" w:rsidRPr="003A0A3F" w:rsidRDefault="004E0648" w:rsidP="004E0648">
      <w:pPr>
        <w:rPr>
          <w:b/>
          <w:bCs/>
        </w:rPr>
      </w:pPr>
      <w:r w:rsidRPr="003A0A3F">
        <w:rPr>
          <w:b/>
          <w:bCs/>
        </w:rPr>
        <w:t>Outcome</w:t>
      </w:r>
    </w:p>
    <w:p w14:paraId="34AF6CD6" w14:textId="77777777" w:rsidR="004E0648" w:rsidRPr="00C17CC0" w:rsidRDefault="004E0648" w:rsidP="004E0648">
      <w:pPr>
        <w:pStyle w:val="ListBullet"/>
      </w:pPr>
      <w:r>
        <w:t>W</w:t>
      </w:r>
      <w:r w:rsidRPr="00C17CC0">
        <w:t>omen experiencing prolonged pregnancy</w:t>
      </w:r>
      <w:r>
        <w:t>, will be identified early. Care to manage and/or prevent prolonged pregnancy and to decrease the number of babies born after 42 weeks will be provided as per this document.</w:t>
      </w:r>
    </w:p>
    <w:p w14:paraId="48EF2196" w14:textId="77777777" w:rsidR="004E0648" w:rsidRDefault="004E0648" w:rsidP="004E0648"/>
    <w:p w14:paraId="18E85B26" w14:textId="77777777" w:rsidR="004E0648" w:rsidRPr="003A0A3F" w:rsidRDefault="004E0648" w:rsidP="004E0648">
      <w:pPr>
        <w:rPr>
          <w:b/>
          <w:bCs/>
        </w:rPr>
      </w:pPr>
      <w:r w:rsidRPr="003A0A3F">
        <w:rPr>
          <w:b/>
          <w:bCs/>
        </w:rPr>
        <w:t>Measure</w:t>
      </w:r>
    </w:p>
    <w:p w14:paraId="24FD8A9C" w14:textId="77777777" w:rsidR="004E0648" w:rsidRDefault="004E0648" w:rsidP="004E0648">
      <w:pPr>
        <w:pStyle w:val="ListBullet"/>
      </w:pPr>
      <w:proofErr w:type="spellStart"/>
      <w:r>
        <w:t>Riskman</w:t>
      </w:r>
      <w:proofErr w:type="spellEnd"/>
      <w:r>
        <w:t xml:space="preserve"> reports pertaining to patient incidents relating to prolonged pregnancy management will be reviewed yearly.</w:t>
      </w:r>
    </w:p>
    <w:p w14:paraId="2DBB594A" w14:textId="77777777" w:rsidR="004E0648" w:rsidRDefault="004E0648" w:rsidP="004E0648">
      <w:pPr>
        <w:pStyle w:val="ListBullet"/>
      </w:pPr>
      <w:r>
        <w:t xml:space="preserve">Still born babies and babies born with low </w:t>
      </w:r>
      <w:proofErr w:type="spellStart"/>
      <w:r>
        <w:t>apgar</w:t>
      </w:r>
      <w:proofErr w:type="spellEnd"/>
      <w:r>
        <w:t xml:space="preserve"> scores at 5 minutes are reported via the Women’s Health Australasia (WHA) benchmarking and through the Maternity Morbidity and Mortality </w:t>
      </w:r>
      <w:proofErr w:type="gramStart"/>
      <w:r>
        <w:t>meeting</w:t>
      </w:r>
      <w:proofErr w:type="gramEnd"/>
    </w:p>
    <w:p w14:paraId="075D44D4" w14:textId="77777777" w:rsidR="004E0648" w:rsidRDefault="004E0648" w:rsidP="004E0648">
      <w:pPr>
        <w:pStyle w:val="Default"/>
        <w:rPr>
          <w:rFonts w:ascii="Calibri" w:hAnsi="Calibri" w:cs="Arial"/>
          <w:color w:val="auto"/>
          <w:sz w:val="22"/>
          <w:szCs w:val="22"/>
          <w:lang w:eastAsia="en-US"/>
        </w:rPr>
      </w:pPr>
    </w:p>
    <w:p w14:paraId="20261D6F" w14:textId="77777777" w:rsidR="004E0648" w:rsidRPr="0074502D" w:rsidRDefault="004E0648" w:rsidP="004E0648">
      <w:pPr>
        <w:pStyle w:val="ListParagraph"/>
        <w:jc w:val="right"/>
        <w:rPr>
          <w:rStyle w:val="Hyperlink"/>
          <w:rFonts w:eastAsiaTheme="majorEastAsia" w:cs="Arial"/>
          <w:i/>
          <w:szCs w:val="24"/>
        </w:rPr>
      </w:pPr>
      <w:hyperlink w:anchor="Contents" w:history="1">
        <w:r w:rsidRPr="0074502D">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CD1C0E" w14:paraId="555F5DC7" w14:textId="77777777" w:rsidTr="00793A93">
        <w:trPr>
          <w:cantSplit/>
          <w:trHeight w:val="285"/>
        </w:trPr>
        <w:tc>
          <w:tcPr>
            <w:tcW w:w="9158" w:type="dxa"/>
            <w:shd w:val="clear" w:color="auto" w:fill="D9D9D9" w:themeFill="background1" w:themeFillShade="D9"/>
          </w:tcPr>
          <w:p w14:paraId="7143E970" w14:textId="77777777" w:rsidR="004E0648" w:rsidRPr="00CD1C0E" w:rsidRDefault="004E0648" w:rsidP="00793A93">
            <w:pPr>
              <w:pStyle w:val="Heading1"/>
            </w:pPr>
            <w:bookmarkStart w:id="16" w:name="_Toc389473287"/>
            <w:bookmarkStart w:id="17" w:name="_Toc393203347"/>
            <w:bookmarkStart w:id="18" w:name="_Toc165021518"/>
            <w:r>
              <w:t>Related Policies, Procedures</w:t>
            </w:r>
            <w:bookmarkEnd w:id="16"/>
            <w:r>
              <w:t>, Guidelines and Legislation</w:t>
            </w:r>
            <w:bookmarkEnd w:id="17"/>
            <w:bookmarkEnd w:id="18"/>
          </w:p>
        </w:tc>
      </w:tr>
    </w:tbl>
    <w:p w14:paraId="469D914E" w14:textId="77777777" w:rsidR="004E0648" w:rsidRPr="00944A75" w:rsidRDefault="004E0648" w:rsidP="004E0648">
      <w:pPr>
        <w:rPr>
          <w:szCs w:val="24"/>
        </w:rPr>
      </w:pPr>
    </w:p>
    <w:p w14:paraId="25DC3A66" w14:textId="77777777" w:rsidR="004E0648" w:rsidRPr="006743DB" w:rsidRDefault="004E0648" w:rsidP="004E0648">
      <w:pPr>
        <w:rPr>
          <w:b/>
        </w:rPr>
      </w:pPr>
      <w:bookmarkStart w:id="19" w:name="_Toc393203350"/>
      <w:r w:rsidRPr="006743DB">
        <w:rPr>
          <w:b/>
        </w:rPr>
        <w:t>Policies</w:t>
      </w:r>
    </w:p>
    <w:p w14:paraId="0CB92576" w14:textId="77777777" w:rsidR="004E0648" w:rsidRPr="00B61F35" w:rsidRDefault="004E0648" w:rsidP="004E0648">
      <w:pPr>
        <w:pStyle w:val="ListBullet"/>
      </w:pPr>
      <w:r>
        <w:t xml:space="preserve">CHS </w:t>
      </w:r>
      <w:r w:rsidRPr="00B61F35">
        <w:t xml:space="preserve">Nursing and Midwifery </w:t>
      </w:r>
      <w:r>
        <w:t>Policy</w:t>
      </w:r>
      <w:r w:rsidRPr="00E4211B">
        <w:t xml:space="preserve"> </w:t>
      </w:r>
      <w:r w:rsidRPr="00B61F35">
        <w:t>Continuing Competence</w:t>
      </w:r>
      <w:r>
        <w:t xml:space="preserve"> Policy </w:t>
      </w:r>
    </w:p>
    <w:p w14:paraId="35DEE181" w14:textId="77777777" w:rsidR="004E0648" w:rsidRPr="00B61F35" w:rsidRDefault="004E0648" w:rsidP="004E0648">
      <w:pPr>
        <w:pStyle w:val="ListBullet"/>
      </w:pPr>
      <w:r>
        <w:t xml:space="preserve">CHS Informed Consent (Clinical) </w:t>
      </w:r>
    </w:p>
    <w:p w14:paraId="427DF033" w14:textId="77777777" w:rsidR="004E0648" w:rsidRDefault="004E0648" w:rsidP="004E0648">
      <w:pPr>
        <w:pStyle w:val="Heading2"/>
        <w:rPr>
          <w:szCs w:val="24"/>
        </w:rPr>
      </w:pPr>
    </w:p>
    <w:p w14:paraId="7474A24D" w14:textId="77777777" w:rsidR="004E0648" w:rsidRPr="006743DB" w:rsidRDefault="004E0648" w:rsidP="004E0648">
      <w:pPr>
        <w:rPr>
          <w:b/>
        </w:rPr>
      </w:pPr>
      <w:r w:rsidRPr="006743DB">
        <w:rPr>
          <w:b/>
        </w:rPr>
        <w:t>Procedures</w:t>
      </w:r>
    </w:p>
    <w:p w14:paraId="398352A4" w14:textId="77777777" w:rsidR="004E0648" w:rsidRPr="00B61F35" w:rsidRDefault="004E0648" w:rsidP="004E0648">
      <w:pPr>
        <w:pStyle w:val="ListBullet"/>
      </w:pPr>
      <w:r>
        <w:t xml:space="preserve">CHS Infection Prevention and Control – </w:t>
      </w:r>
      <w:r w:rsidRPr="00B61F35">
        <w:t xml:space="preserve">Healthcare Associated Infections </w:t>
      </w:r>
      <w:r>
        <w:t>Procedure</w:t>
      </w:r>
    </w:p>
    <w:p w14:paraId="7E06425A" w14:textId="77777777" w:rsidR="004E0648" w:rsidRPr="00B61F35" w:rsidRDefault="004E0648" w:rsidP="004E0648">
      <w:pPr>
        <w:pStyle w:val="ListBullet"/>
      </w:pPr>
      <w:r>
        <w:t xml:space="preserve">CHS </w:t>
      </w:r>
      <w:r w:rsidRPr="00B61F35">
        <w:t xml:space="preserve">Patient Identification and Procedure Matching </w:t>
      </w:r>
      <w:r>
        <w:t xml:space="preserve">Procedure </w:t>
      </w:r>
    </w:p>
    <w:p w14:paraId="512C82A9" w14:textId="77777777" w:rsidR="004E0648" w:rsidRDefault="004E0648" w:rsidP="004E0648">
      <w:pPr>
        <w:pStyle w:val="Heading2"/>
        <w:rPr>
          <w:szCs w:val="24"/>
        </w:rPr>
      </w:pPr>
    </w:p>
    <w:p w14:paraId="339D72EC" w14:textId="77777777" w:rsidR="004E0648" w:rsidRPr="006743DB" w:rsidRDefault="004E0648" w:rsidP="004E0648">
      <w:pPr>
        <w:rPr>
          <w:b/>
        </w:rPr>
      </w:pPr>
      <w:r w:rsidRPr="006743DB">
        <w:rPr>
          <w:b/>
        </w:rPr>
        <w:t xml:space="preserve">Guidelines </w:t>
      </w:r>
    </w:p>
    <w:p w14:paraId="3A4EA64B" w14:textId="77777777" w:rsidR="004E0648" w:rsidRPr="00E4211B" w:rsidRDefault="004E0648" w:rsidP="004E0648">
      <w:pPr>
        <w:pStyle w:val="ListBullet"/>
        <w:rPr>
          <w:szCs w:val="24"/>
        </w:rPr>
      </w:pPr>
      <w:r>
        <w:t>CHS Hypertension in Pregnancy Guideline</w:t>
      </w:r>
      <w:bookmarkEnd w:id="19"/>
      <w:r>
        <w:t xml:space="preserve"> </w:t>
      </w:r>
    </w:p>
    <w:p w14:paraId="764E6DEC" w14:textId="77777777" w:rsidR="004E0648" w:rsidRDefault="004E0648" w:rsidP="004E0648">
      <w:pPr>
        <w:pStyle w:val="ListBullet"/>
        <w:rPr>
          <w:szCs w:val="24"/>
        </w:rPr>
      </w:pPr>
      <w:r>
        <w:rPr>
          <w:szCs w:val="24"/>
        </w:rPr>
        <w:t xml:space="preserve">CHS guideline </w:t>
      </w:r>
      <w:proofErr w:type="spellStart"/>
      <w:r>
        <w:rPr>
          <w:szCs w:val="24"/>
        </w:rPr>
        <w:t>Fetal</w:t>
      </w:r>
      <w:proofErr w:type="spellEnd"/>
      <w:r>
        <w:rPr>
          <w:szCs w:val="24"/>
        </w:rPr>
        <w:t xml:space="preserve"> </w:t>
      </w:r>
      <w:r w:rsidRPr="00E4211B">
        <w:rPr>
          <w:szCs w:val="24"/>
        </w:rPr>
        <w:t>surveillance</w:t>
      </w:r>
      <w:r>
        <w:rPr>
          <w:szCs w:val="24"/>
        </w:rPr>
        <w:t xml:space="preserve"> </w:t>
      </w:r>
    </w:p>
    <w:p w14:paraId="39DBFF67" w14:textId="77777777" w:rsidR="004E0648" w:rsidRPr="00E4211B" w:rsidRDefault="004E0648" w:rsidP="004E0648">
      <w:pPr>
        <w:pStyle w:val="ListBullet"/>
        <w:rPr>
          <w:rFonts w:eastAsia="OptimaLTStd"/>
          <w:lang w:val="en-US"/>
        </w:rPr>
      </w:pPr>
      <w:r w:rsidRPr="00E4211B">
        <w:rPr>
          <w:szCs w:val="24"/>
        </w:rPr>
        <w:lastRenderedPageBreak/>
        <w:t>CHS</w:t>
      </w:r>
      <w:r>
        <w:rPr>
          <w:szCs w:val="24"/>
        </w:rPr>
        <w:t xml:space="preserve"> </w:t>
      </w:r>
      <w:r w:rsidRPr="00E4211B">
        <w:rPr>
          <w:szCs w:val="24"/>
        </w:rPr>
        <w:t>Induction of Labour</w:t>
      </w:r>
      <w:r>
        <w:rPr>
          <w:szCs w:val="24"/>
        </w:rPr>
        <w:t xml:space="preserve"> </w:t>
      </w:r>
    </w:p>
    <w:p w14:paraId="47E1F83F" w14:textId="77777777" w:rsidR="004E0648" w:rsidRPr="00E4211B" w:rsidRDefault="004E0648" w:rsidP="004E0648">
      <w:pPr>
        <w:pStyle w:val="ListBullet"/>
        <w:rPr>
          <w:rFonts w:eastAsia="OptimaLTStd"/>
          <w:lang w:val="en-US"/>
        </w:rPr>
      </w:pPr>
      <w:r>
        <w:rPr>
          <w:rFonts w:eastAsia="OptimaLTStd"/>
          <w:lang w:val="en-US"/>
        </w:rPr>
        <w:t xml:space="preserve">CHS </w:t>
      </w:r>
      <w:r w:rsidRPr="00E4211B">
        <w:rPr>
          <w:rFonts w:eastAsia="OptimaLTStd"/>
          <w:lang w:val="en-US"/>
        </w:rPr>
        <w:t>Clinical Guidelines: Pregnancy Care</w:t>
      </w:r>
      <w:r>
        <w:rPr>
          <w:rFonts w:eastAsia="OptimaLTStd"/>
          <w:lang w:val="en-US"/>
        </w:rPr>
        <w:t xml:space="preserve"> </w:t>
      </w:r>
    </w:p>
    <w:p w14:paraId="42FD5CF5" w14:textId="77777777" w:rsidR="004E0648" w:rsidRDefault="004E0648" w:rsidP="004E0648">
      <w:pPr>
        <w:rPr>
          <w:szCs w:val="24"/>
        </w:rPr>
      </w:pPr>
    </w:p>
    <w:p w14:paraId="0CE3F534" w14:textId="77777777" w:rsidR="004E0648" w:rsidRPr="006743DB" w:rsidRDefault="004E0648" w:rsidP="004E0648">
      <w:pPr>
        <w:rPr>
          <w:b/>
        </w:rPr>
      </w:pPr>
      <w:r w:rsidRPr="006743DB">
        <w:rPr>
          <w:b/>
        </w:rPr>
        <w:t>Legislation</w:t>
      </w:r>
    </w:p>
    <w:p w14:paraId="20428956" w14:textId="77777777" w:rsidR="004E0648" w:rsidRPr="00BA5B60" w:rsidRDefault="004E0648" w:rsidP="004E0648">
      <w:pPr>
        <w:pStyle w:val="ListBullet"/>
        <w:rPr>
          <w:i/>
        </w:rPr>
      </w:pPr>
      <w:r w:rsidRPr="00BA5B60">
        <w:rPr>
          <w:i/>
        </w:rPr>
        <w:t>Health Records (Privacy and Access) Act 1997</w:t>
      </w:r>
    </w:p>
    <w:p w14:paraId="339B599F" w14:textId="77777777" w:rsidR="004E0648" w:rsidRPr="00BA5B60" w:rsidRDefault="004E0648" w:rsidP="004E0648">
      <w:pPr>
        <w:pStyle w:val="ListBullet"/>
        <w:rPr>
          <w:i/>
        </w:rPr>
      </w:pPr>
      <w:r w:rsidRPr="00BA5B60">
        <w:rPr>
          <w:i/>
        </w:rPr>
        <w:t>Human Rights Act 2004</w:t>
      </w:r>
    </w:p>
    <w:p w14:paraId="69C9F722" w14:textId="77777777" w:rsidR="004E0648" w:rsidRDefault="004E0648" w:rsidP="004E0648">
      <w:pPr>
        <w:pStyle w:val="ListBullet"/>
        <w:rPr>
          <w:i/>
        </w:rPr>
      </w:pPr>
      <w:r w:rsidRPr="00BA5B60">
        <w:rPr>
          <w:i/>
        </w:rPr>
        <w:t>Work Health and Safety Act 2011</w:t>
      </w:r>
    </w:p>
    <w:p w14:paraId="041AD368" w14:textId="77777777" w:rsidR="004E0648" w:rsidRPr="00BA5B60" w:rsidRDefault="004E0648" w:rsidP="004E0648">
      <w:pPr>
        <w:pStyle w:val="ListBullet"/>
        <w:rPr>
          <w:i/>
        </w:rPr>
      </w:pPr>
      <w:r>
        <w:rPr>
          <w:i/>
        </w:rPr>
        <w:t>Charter of Health Care Rights</w:t>
      </w:r>
    </w:p>
    <w:p w14:paraId="142D0085" w14:textId="77777777" w:rsidR="004E0648" w:rsidRPr="00AB3DD8" w:rsidRDefault="004E0648" w:rsidP="004E0648">
      <w:pPr>
        <w:pStyle w:val="ListBullet"/>
        <w:numPr>
          <w:ilvl w:val="0"/>
          <w:numId w:val="0"/>
        </w:numPr>
        <w:ind w:left="426" w:hanging="426"/>
        <w:rPr>
          <w:iCs/>
        </w:rPr>
      </w:pPr>
    </w:p>
    <w:p w14:paraId="1D79A996" w14:textId="77777777" w:rsidR="004E0648" w:rsidRPr="00DA3910" w:rsidRDefault="004E0648" w:rsidP="004E0648">
      <w:pPr>
        <w:pStyle w:val="ListParagraph"/>
        <w:jc w:val="right"/>
        <w:rPr>
          <w:szCs w:val="24"/>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1B2BAC" w14:paraId="40D778E4" w14:textId="77777777" w:rsidTr="00793A93">
        <w:trPr>
          <w:cantSplit/>
          <w:trHeight w:val="285"/>
        </w:trPr>
        <w:tc>
          <w:tcPr>
            <w:tcW w:w="9158" w:type="dxa"/>
            <w:shd w:val="clear" w:color="auto" w:fill="D9D9D9" w:themeFill="background1" w:themeFillShade="D9"/>
          </w:tcPr>
          <w:p w14:paraId="5F6BACF7" w14:textId="77777777" w:rsidR="004E0648" w:rsidRPr="002E3BFE" w:rsidRDefault="004E0648" w:rsidP="00793A93">
            <w:pPr>
              <w:pStyle w:val="Heading1"/>
              <w:rPr>
                <w:szCs w:val="24"/>
              </w:rPr>
            </w:pPr>
            <w:bookmarkStart w:id="20" w:name="_Toc165021519"/>
            <w:r>
              <w:rPr>
                <w:szCs w:val="24"/>
              </w:rPr>
              <w:t>References</w:t>
            </w:r>
            <w:bookmarkEnd w:id="20"/>
          </w:p>
        </w:tc>
      </w:tr>
    </w:tbl>
    <w:p w14:paraId="254591A8" w14:textId="77777777" w:rsidR="004E0648" w:rsidRPr="00B66FFD" w:rsidRDefault="004E0648" w:rsidP="004E0648">
      <w:pPr>
        <w:rPr>
          <w:rFonts w:eastAsia="OptimaLTStd"/>
          <w:szCs w:val="24"/>
          <w:lang w:val="en-US"/>
        </w:rPr>
      </w:pPr>
    </w:p>
    <w:p w14:paraId="78F190CD" w14:textId="77777777" w:rsidR="004E0648" w:rsidRDefault="004E0648" w:rsidP="004E0648">
      <w:pPr>
        <w:pStyle w:val="ListParagraph"/>
        <w:numPr>
          <w:ilvl w:val="0"/>
          <w:numId w:val="22"/>
        </w:numPr>
        <w:rPr>
          <w:rFonts w:eastAsiaTheme="minorEastAsia"/>
        </w:rPr>
      </w:pPr>
      <w:r>
        <w:rPr>
          <w:noProof/>
        </w:rPr>
        <w:t>(Australian Institute of Health and Welfare (AIHW) Australia’s mothers and babies 2018)</w:t>
      </w:r>
      <w:r w:rsidRPr="00B0312C">
        <w:rPr>
          <w:rFonts w:eastAsiaTheme="minorEastAsia"/>
        </w:rPr>
        <w:t xml:space="preserve"> </w:t>
      </w:r>
    </w:p>
    <w:p w14:paraId="664D0035" w14:textId="77777777" w:rsidR="004E0648" w:rsidRPr="00B0312C" w:rsidRDefault="004E0648" w:rsidP="004E0648">
      <w:pPr>
        <w:pStyle w:val="ListParagraph"/>
        <w:numPr>
          <w:ilvl w:val="0"/>
          <w:numId w:val="22"/>
        </w:numPr>
        <w:rPr>
          <w:rFonts w:eastAsiaTheme="minorEastAsia"/>
        </w:rPr>
      </w:pPr>
      <w:r w:rsidRPr="00B0312C">
        <w:rPr>
          <w:rFonts w:asciiTheme="minorHAnsi" w:eastAsia="OptimaLTStd" w:hAnsiTheme="minorHAnsi" w:cstheme="minorHAnsi"/>
          <w:szCs w:val="24"/>
          <w:lang w:val="en-US"/>
        </w:rPr>
        <w:t xml:space="preserve">Royal College of Obstetricians and </w:t>
      </w:r>
      <w:proofErr w:type="spellStart"/>
      <w:r w:rsidRPr="00B0312C">
        <w:rPr>
          <w:rFonts w:asciiTheme="minorHAnsi" w:eastAsia="OptimaLTStd" w:hAnsiTheme="minorHAnsi" w:cstheme="minorHAnsi"/>
          <w:szCs w:val="24"/>
          <w:lang w:val="en-US"/>
        </w:rPr>
        <w:t>Gynaecologists</w:t>
      </w:r>
      <w:proofErr w:type="spellEnd"/>
      <w:r w:rsidRPr="00B0312C">
        <w:rPr>
          <w:rFonts w:asciiTheme="minorHAnsi" w:eastAsia="OptimaLTStd" w:hAnsiTheme="minorHAnsi" w:cstheme="minorHAnsi"/>
          <w:szCs w:val="24"/>
          <w:lang w:val="en-US"/>
        </w:rPr>
        <w:t xml:space="preserve">, 2008, 2nd edition, Induction of </w:t>
      </w:r>
      <w:proofErr w:type="spellStart"/>
      <w:r w:rsidRPr="00B0312C">
        <w:rPr>
          <w:rFonts w:asciiTheme="minorHAnsi" w:eastAsia="OptimaLTStd" w:hAnsiTheme="minorHAnsi" w:cstheme="minorHAnsi"/>
          <w:szCs w:val="24"/>
          <w:lang w:val="en-US"/>
        </w:rPr>
        <w:t>labour</w:t>
      </w:r>
      <w:proofErr w:type="spellEnd"/>
      <w:r w:rsidRPr="00B0312C">
        <w:rPr>
          <w:rFonts w:asciiTheme="minorHAnsi" w:eastAsia="OptimaLTStd" w:hAnsiTheme="minorHAnsi" w:cstheme="minorHAnsi"/>
          <w:szCs w:val="24"/>
          <w:lang w:val="en-US"/>
        </w:rPr>
        <w:t xml:space="preserve"> clinical guideline, </w:t>
      </w:r>
    </w:p>
    <w:p w14:paraId="330DD549" w14:textId="77777777" w:rsidR="004E0648" w:rsidRPr="00B66FFD" w:rsidRDefault="004E0648" w:rsidP="004E0648">
      <w:pPr>
        <w:pStyle w:val="ListParagraph"/>
        <w:ind w:left="357"/>
        <w:rPr>
          <w:rFonts w:asciiTheme="minorHAnsi" w:hAnsiTheme="minorHAnsi" w:cstheme="minorHAnsi"/>
          <w:szCs w:val="24"/>
        </w:rPr>
      </w:pPr>
      <w:hyperlink r:id="rId16" w:history="1">
        <w:r w:rsidRPr="00B66FFD">
          <w:rPr>
            <w:rStyle w:val="Hyperlink"/>
            <w:rFonts w:asciiTheme="minorHAnsi" w:hAnsiTheme="minorHAnsi" w:cstheme="minorHAnsi"/>
            <w:szCs w:val="24"/>
            <w:lang w:val="en-GB"/>
          </w:rPr>
          <w:t>http://www.nice.org.uk/nicemedia/pdf/CG070FullGuideline.pdf</w:t>
        </w:r>
      </w:hyperlink>
      <w:r w:rsidRPr="00B66FFD">
        <w:rPr>
          <w:rFonts w:asciiTheme="minorHAnsi" w:hAnsiTheme="minorHAnsi" w:cstheme="minorHAnsi"/>
          <w:szCs w:val="24"/>
          <w:lang w:val="en-GB"/>
        </w:rPr>
        <w:t xml:space="preserve"> </w:t>
      </w:r>
    </w:p>
    <w:p w14:paraId="34BC17CE" w14:textId="77777777" w:rsidR="004E0648" w:rsidRPr="00B66FFD" w:rsidRDefault="004E0648" w:rsidP="004E0648">
      <w:pPr>
        <w:pStyle w:val="ListParagraph"/>
        <w:numPr>
          <w:ilvl w:val="0"/>
          <w:numId w:val="22"/>
        </w:numPr>
        <w:autoSpaceDE w:val="0"/>
        <w:autoSpaceDN w:val="0"/>
        <w:adjustRightInd w:val="0"/>
        <w:ind w:left="357"/>
        <w:outlineLvl w:val="0"/>
        <w:rPr>
          <w:rFonts w:asciiTheme="minorHAnsi" w:eastAsia="OptimaLTStd" w:hAnsiTheme="minorHAnsi" w:cstheme="minorHAnsi"/>
          <w:szCs w:val="24"/>
          <w:lang w:val="en-US"/>
        </w:rPr>
      </w:pPr>
      <w:r w:rsidRPr="00B66FFD">
        <w:rPr>
          <w:rFonts w:asciiTheme="minorHAnsi" w:eastAsia="OptimaLTStd" w:hAnsiTheme="minorHAnsi" w:cstheme="minorHAnsi"/>
          <w:szCs w:val="24"/>
          <w:lang w:val="en-US"/>
        </w:rPr>
        <w:t xml:space="preserve">Royal College of Obstetricians and </w:t>
      </w:r>
      <w:proofErr w:type="spellStart"/>
      <w:r w:rsidRPr="00B66FFD">
        <w:rPr>
          <w:rFonts w:asciiTheme="minorHAnsi" w:eastAsia="OptimaLTStd" w:hAnsiTheme="minorHAnsi" w:cstheme="minorHAnsi"/>
          <w:szCs w:val="24"/>
          <w:lang w:val="en-US"/>
        </w:rPr>
        <w:t>Gynaecologists</w:t>
      </w:r>
      <w:proofErr w:type="spellEnd"/>
      <w:r w:rsidRPr="00B66FFD">
        <w:rPr>
          <w:rFonts w:asciiTheme="minorHAnsi" w:eastAsia="OptimaLTStd" w:hAnsiTheme="minorHAnsi" w:cstheme="minorHAnsi"/>
          <w:szCs w:val="24"/>
          <w:lang w:val="en-US"/>
        </w:rPr>
        <w:t xml:space="preserve">, 2008, 2nd edition, </w:t>
      </w:r>
      <w:r w:rsidRPr="00B66FFD">
        <w:rPr>
          <w:rFonts w:asciiTheme="minorHAnsi" w:eastAsia="OptimaLTStd-Bold" w:hAnsiTheme="minorHAnsi" w:cstheme="minorHAnsi"/>
          <w:szCs w:val="24"/>
          <w:lang w:val="en-US"/>
        </w:rPr>
        <w:t xml:space="preserve">Antenatal care </w:t>
      </w:r>
      <w:r w:rsidRPr="00B66FFD">
        <w:rPr>
          <w:rFonts w:asciiTheme="minorHAnsi" w:eastAsia="OptimaLTStd" w:hAnsiTheme="minorHAnsi" w:cstheme="minorHAnsi"/>
          <w:szCs w:val="24"/>
          <w:lang w:val="en-US"/>
        </w:rPr>
        <w:t>Routine care for the healthy pregnant woman</w:t>
      </w:r>
    </w:p>
    <w:p w14:paraId="2EE9FBD9" w14:textId="77777777" w:rsidR="004E0648" w:rsidRPr="00B66FFD" w:rsidRDefault="004E0648" w:rsidP="004E0648">
      <w:pPr>
        <w:pStyle w:val="ListParagraph"/>
        <w:ind w:left="357"/>
        <w:rPr>
          <w:rFonts w:asciiTheme="minorHAnsi" w:hAnsiTheme="minorHAnsi" w:cstheme="minorHAnsi"/>
          <w:szCs w:val="24"/>
        </w:rPr>
      </w:pPr>
      <w:hyperlink r:id="rId17" w:history="1">
        <w:r w:rsidRPr="00B66FFD">
          <w:rPr>
            <w:rStyle w:val="Hyperlink"/>
            <w:rFonts w:asciiTheme="minorHAnsi" w:hAnsiTheme="minorHAnsi" w:cstheme="minorHAnsi"/>
            <w:szCs w:val="24"/>
            <w:lang w:val="en-US"/>
          </w:rPr>
          <w:t>http://www.nice.org.uk/nicemedia/pdf/CG62FullGuidelineCorrectedJune2008July2009.pdf</w:t>
        </w:r>
      </w:hyperlink>
    </w:p>
    <w:p w14:paraId="616F8EA5" w14:textId="77777777" w:rsidR="004E0648" w:rsidRPr="00B66FFD" w:rsidRDefault="004E0648" w:rsidP="004E0648">
      <w:pPr>
        <w:pStyle w:val="ListParagraph"/>
        <w:numPr>
          <w:ilvl w:val="0"/>
          <w:numId w:val="22"/>
        </w:numPr>
        <w:ind w:left="357"/>
        <w:rPr>
          <w:rFonts w:asciiTheme="minorHAnsi" w:hAnsiTheme="minorHAnsi" w:cstheme="minorHAnsi"/>
          <w:szCs w:val="24"/>
          <w:u w:val="single"/>
        </w:rPr>
      </w:pPr>
      <w:r w:rsidRPr="00B66FFD">
        <w:rPr>
          <w:rFonts w:asciiTheme="minorHAnsi" w:hAnsiTheme="minorHAnsi" w:cstheme="minorHAnsi"/>
          <w:szCs w:val="24"/>
        </w:rPr>
        <w:t xml:space="preserve">The Australian and New Zealand Stillbirth Alliance (ANZSA).2009, </w:t>
      </w:r>
      <w:bookmarkStart w:id="21" w:name="_Toc233015050"/>
      <w:bookmarkStart w:id="22" w:name="_Toc233015344"/>
      <w:bookmarkStart w:id="23" w:name="_Toc233015790"/>
      <w:bookmarkStart w:id="24" w:name="_Toc233016332"/>
      <w:bookmarkStart w:id="25" w:name="_Toc234825266"/>
      <w:bookmarkStart w:id="26" w:name="_Toc234825364"/>
      <w:bookmarkStart w:id="27" w:name="_Toc234825775"/>
      <w:bookmarkStart w:id="28" w:name="_Toc234826161"/>
      <w:bookmarkStart w:id="29" w:name="_Toc237143334"/>
      <w:bookmarkStart w:id="30" w:name="_Toc237167898"/>
      <w:bookmarkStart w:id="31" w:name="_Toc237167925"/>
      <w:bookmarkStart w:id="32" w:name="_Toc237236536"/>
      <w:r w:rsidRPr="00B66FFD">
        <w:rPr>
          <w:rFonts w:asciiTheme="minorHAnsi" w:hAnsiTheme="minorHAnsi" w:cstheme="minorHAnsi"/>
          <w:szCs w:val="24"/>
        </w:rPr>
        <w:t>Clinical Practice, Guideline</w:t>
      </w:r>
      <w:bookmarkEnd w:id="21"/>
      <w:bookmarkEnd w:id="22"/>
      <w:bookmarkEnd w:id="23"/>
      <w:bookmarkEnd w:id="24"/>
      <w:bookmarkEnd w:id="25"/>
      <w:bookmarkEnd w:id="26"/>
      <w:bookmarkEnd w:id="27"/>
      <w:bookmarkEnd w:id="28"/>
      <w:bookmarkEnd w:id="29"/>
      <w:bookmarkEnd w:id="30"/>
      <w:bookmarkEnd w:id="31"/>
      <w:bookmarkEnd w:id="32"/>
      <w:r w:rsidRPr="00B66FFD">
        <w:rPr>
          <w:rFonts w:asciiTheme="minorHAnsi" w:hAnsiTheme="minorHAnsi" w:cstheme="minorHAnsi"/>
          <w:szCs w:val="24"/>
        </w:rPr>
        <w:t xml:space="preserve"> for the Management of Women who report Decreased </w:t>
      </w:r>
      <w:proofErr w:type="spellStart"/>
      <w:r w:rsidRPr="00B66FFD">
        <w:rPr>
          <w:rFonts w:asciiTheme="minorHAnsi" w:hAnsiTheme="minorHAnsi" w:cstheme="minorHAnsi"/>
          <w:szCs w:val="24"/>
        </w:rPr>
        <w:t>Fetal</w:t>
      </w:r>
      <w:proofErr w:type="spellEnd"/>
      <w:r w:rsidRPr="00B66FFD">
        <w:rPr>
          <w:rFonts w:asciiTheme="minorHAnsi" w:hAnsiTheme="minorHAnsi" w:cstheme="minorHAnsi"/>
          <w:szCs w:val="24"/>
        </w:rPr>
        <w:t xml:space="preserve"> Movements</w:t>
      </w:r>
      <w:r w:rsidRPr="00B66FFD">
        <w:rPr>
          <w:rFonts w:asciiTheme="minorHAnsi" w:hAnsiTheme="minorHAnsi" w:cstheme="minorHAnsi"/>
          <w:szCs w:val="24"/>
          <w:u w:val="single"/>
        </w:rPr>
        <w:t>.</w:t>
      </w:r>
    </w:p>
    <w:p w14:paraId="0FC02F7A" w14:textId="77777777" w:rsidR="004E0648" w:rsidRPr="00B66FFD" w:rsidRDefault="004E0648" w:rsidP="004E0648">
      <w:pPr>
        <w:pStyle w:val="ListParagraph"/>
        <w:ind w:left="357"/>
        <w:rPr>
          <w:rStyle w:val="Hyperlink"/>
          <w:rFonts w:asciiTheme="minorHAnsi" w:hAnsiTheme="minorHAnsi" w:cstheme="minorHAnsi"/>
          <w:szCs w:val="24"/>
        </w:rPr>
      </w:pPr>
      <w:hyperlink r:id="rId18" w:history="1">
        <w:r w:rsidRPr="00B66FFD">
          <w:rPr>
            <w:rStyle w:val="Hyperlink"/>
            <w:rFonts w:asciiTheme="minorHAnsi" w:hAnsiTheme="minorHAnsi" w:cstheme="minorHAnsi"/>
            <w:szCs w:val="24"/>
          </w:rPr>
          <w:t>http://www.stillbirthalliance.org.au/doc/DFM_Guideline_Consultation.pdf</w:t>
        </w:r>
      </w:hyperlink>
    </w:p>
    <w:p w14:paraId="5AEA257F" w14:textId="77777777" w:rsidR="004E0648" w:rsidRPr="00B66FFD" w:rsidRDefault="004E0648" w:rsidP="004E0648">
      <w:pPr>
        <w:pStyle w:val="ListParagraph"/>
        <w:numPr>
          <w:ilvl w:val="0"/>
          <w:numId w:val="22"/>
        </w:numPr>
        <w:ind w:left="357"/>
        <w:rPr>
          <w:rStyle w:val="Hyperlink"/>
          <w:rFonts w:asciiTheme="minorHAnsi" w:hAnsiTheme="minorHAnsi" w:cstheme="minorHAnsi"/>
          <w:szCs w:val="24"/>
        </w:rPr>
      </w:pPr>
      <w:r w:rsidRPr="00B66FFD">
        <w:rPr>
          <w:rFonts w:asciiTheme="minorHAnsi" w:hAnsiTheme="minorHAnsi" w:cstheme="minorHAnsi"/>
          <w:szCs w:val="24"/>
          <w:shd w:val="clear" w:color="auto" w:fill="FFFFFF"/>
        </w:rPr>
        <w:t xml:space="preserve">Induction of </w:t>
      </w:r>
      <w:proofErr w:type="spellStart"/>
      <w:r w:rsidRPr="00B66FFD">
        <w:rPr>
          <w:rFonts w:asciiTheme="minorHAnsi" w:hAnsiTheme="minorHAnsi" w:cstheme="minorHAnsi"/>
          <w:szCs w:val="24"/>
          <w:shd w:val="clear" w:color="auto" w:fill="FFFFFF"/>
        </w:rPr>
        <w:t>labor</w:t>
      </w:r>
      <w:proofErr w:type="spellEnd"/>
      <w:r w:rsidRPr="00B66FFD">
        <w:rPr>
          <w:rFonts w:asciiTheme="minorHAnsi" w:hAnsiTheme="minorHAnsi" w:cstheme="minorHAnsi"/>
          <w:szCs w:val="24"/>
          <w:shd w:val="clear" w:color="auto" w:fill="FFFFFF"/>
        </w:rPr>
        <w:t xml:space="preserve"> as compared with serial antenatal monitoring in post-term pregnancy. A randomized controlled trial. The Canadian </w:t>
      </w:r>
      <w:proofErr w:type="spellStart"/>
      <w:r w:rsidRPr="00B66FFD">
        <w:rPr>
          <w:rFonts w:asciiTheme="minorHAnsi" w:hAnsiTheme="minorHAnsi" w:cstheme="minorHAnsi"/>
          <w:szCs w:val="24"/>
          <w:shd w:val="clear" w:color="auto" w:fill="FFFFFF"/>
        </w:rPr>
        <w:t>Multicenter</w:t>
      </w:r>
      <w:proofErr w:type="spellEnd"/>
      <w:r w:rsidRPr="00B66FFD">
        <w:rPr>
          <w:rFonts w:asciiTheme="minorHAnsi" w:hAnsiTheme="minorHAnsi" w:cstheme="minorHAnsi"/>
          <w:szCs w:val="24"/>
          <w:shd w:val="clear" w:color="auto" w:fill="FFFFFF"/>
        </w:rPr>
        <w:t xml:space="preserve"> Post-</w:t>
      </w:r>
      <w:proofErr w:type="gramStart"/>
      <w:r w:rsidRPr="00B66FFD">
        <w:rPr>
          <w:rFonts w:asciiTheme="minorHAnsi" w:hAnsiTheme="minorHAnsi" w:cstheme="minorHAnsi"/>
          <w:szCs w:val="24"/>
          <w:shd w:val="clear" w:color="auto" w:fill="FFFFFF"/>
        </w:rPr>
        <w:t>term</w:t>
      </w:r>
      <w:proofErr w:type="gramEnd"/>
      <w:r w:rsidRPr="00B66FFD">
        <w:rPr>
          <w:rFonts w:asciiTheme="minorHAnsi" w:hAnsiTheme="minorHAnsi" w:cstheme="minorHAnsi"/>
          <w:szCs w:val="24"/>
          <w:shd w:val="clear" w:color="auto" w:fill="FFFFFF"/>
        </w:rPr>
        <w:t xml:space="preserve"> Pregnancy Trial Group. </w:t>
      </w:r>
      <w:r w:rsidRPr="00C54E2E">
        <w:rPr>
          <w:rFonts w:asciiTheme="minorHAnsi" w:hAnsiTheme="minorHAnsi" w:cstheme="minorHAnsi"/>
          <w:szCs w:val="24"/>
          <w:shd w:val="clear" w:color="auto" w:fill="FFFFFF"/>
        </w:rPr>
        <w:t>Hannah ME, Hannah WJ, Hellmann J, Hewson S, Milner R, Willan A.  1992</w:t>
      </w:r>
      <w:r w:rsidRPr="00B66FFD">
        <w:rPr>
          <w:rFonts w:asciiTheme="minorHAnsi" w:hAnsiTheme="minorHAnsi" w:cstheme="minorHAnsi"/>
          <w:szCs w:val="24"/>
          <w:shd w:val="clear" w:color="auto" w:fill="FFFFFF"/>
        </w:rPr>
        <w:t xml:space="preserve"> </w:t>
      </w:r>
      <w:hyperlink r:id="rId19" w:history="1">
        <w:r w:rsidRPr="00B66FFD">
          <w:rPr>
            <w:rStyle w:val="Hyperlink"/>
            <w:rFonts w:asciiTheme="minorHAnsi" w:hAnsiTheme="minorHAnsi" w:cstheme="minorHAnsi"/>
            <w:szCs w:val="24"/>
            <w:shd w:val="clear" w:color="auto" w:fill="FFFFFF"/>
          </w:rPr>
          <w:t>http://www.ncbi.nlm.nih.gov/pubmed/1584259</w:t>
        </w:r>
      </w:hyperlink>
      <w:r w:rsidRPr="00B66FFD">
        <w:rPr>
          <w:rFonts w:asciiTheme="minorHAnsi" w:hAnsiTheme="minorHAnsi" w:cstheme="minorHAnsi"/>
          <w:color w:val="393D3F"/>
          <w:szCs w:val="24"/>
          <w:shd w:val="clear" w:color="auto" w:fill="FFFFFF"/>
        </w:rPr>
        <w:t xml:space="preserve"> </w:t>
      </w:r>
    </w:p>
    <w:p w14:paraId="63AD7298" w14:textId="77777777" w:rsidR="004E0648" w:rsidRPr="00C54E2E" w:rsidRDefault="004E0648" w:rsidP="004E0648">
      <w:pPr>
        <w:pStyle w:val="ListParagraph"/>
        <w:numPr>
          <w:ilvl w:val="0"/>
          <w:numId w:val="22"/>
        </w:numPr>
        <w:ind w:left="357"/>
        <w:rPr>
          <w:rFonts w:asciiTheme="minorHAnsi" w:hAnsiTheme="minorHAnsi" w:cstheme="minorHAnsi"/>
          <w:szCs w:val="24"/>
          <w:shd w:val="clear" w:color="auto" w:fill="FFFFFF"/>
        </w:rPr>
      </w:pPr>
      <w:bookmarkStart w:id="33" w:name="_Toc55482744"/>
      <w:r w:rsidRPr="00C54E2E">
        <w:rPr>
          <w:rFonts w:asciiTheme="minorHAnsi" w:hAnsiTheme="minorHAnsi" w:cstheme="minorHAnsi"/>
          <w:szCs w:val="24"/>
          <w:shd w:val="clear" w:color="auto" w:fill="FFFFFF"/>
        </w:rPr>
        <w:t>Induction of labour at 41 weeks versus expectant management and induction of labour at 42 weeks (</w:t>
      </w:r>
      <w:proofErr w:type="spellStart"/>
      <w:r w:rsidRPr="00C54E2E">
        <w:rPr>
          <w:rFonts w:asciiTheme="minorHAnsi" w:hAnsiTheme="minorHAnsi" w:cstheme="minorHAnsi"/>
          <w:szCs w:val="24"/>
          <w:shd w:val="clear" w:color="auto" w:fill="FFFFFF"/>
        </w:rPr>
        <w:t>SWEdish</w:t>
      </w:r>
      <w:proofErr w:type="spellEnd"/>
      <w:r w:rsidRPr="00C54E2E">
        <w:rPr>
          <w:rFonts w:asciiTheme="minorHAnsi" w:hAnsiTheme="minorHAnsi" w:cstheme="minorHAnsi"/>
          <w:szCs w:val="24"/>
          <w:shd w:val="clear" w:color="auto" w:fill="FFFFFF"/>
        </w:rPr>
        <w:t xml:space="preserve"> Post-term Induction Study, SWEPIS): multicentre, open label, randomised, superiority trial BMJ 2019; 367 </w:t>
      </w:r>
      <w:proofErr w:type="spellStart"/>
      <w:r w:rsidRPr="00C54E2E">
        <w:rPr>
          <w:rFonts w:asciiTheme="minorHAnsi" w:hAnsiTheme="minorHAnsi" w:cstheme="minorHAnsi"/>
          <w:szCs w:val="24"/>
          <w:shd w:val="clear" w:color="auto" w:fill="FFFFFF"/>
        </w:rPr>
        <w:t>doi</w:t>
      </w:r>
      <w:proofErr w:type="spellEnd"/>
      <w:r w:rsidRPr="00C54E2E">
        <w:rPr>
          <w:rFonts w:asciiTheme="minorHAnsi" w:hAnsiTheme="minorHAnsi" w:cstheme="minorHAnsi"/>
          <w:szCs w:val="24"/>
          <w:shd w:val="clear" w:color="auto" w:fill="FFFFFF"/>
        </w:rPr>
        <w:t xml:space="preserve">: </w:t>
      </w:r>
      <w:hyperlink r:id="rId20" w:history="1">
        <w:r w:rsidRPr="00C54E2E">
          <w:rPr>
            <w:rFonts w:asciiTheme="minorHAnsi" w:hAnsiTheme="minorHAnsi" w:cstheme="minorHAnsi"/>
            <w:color w:val="0000FF"/>
            <w:szCs w:val="24"/>
            <w:u w:val="single"/>
            <w:shd w:val="clear" w:color="auto" w:fill="FFFFFF"/>
          </w:rPr>
          <w:t>https://doi.org/10.1136/bmj.l6131</w:t>
        </w:r>
      </w:hyperlink>
      <w:r w:rsidRPr="00C54E2E">
        <w:rPr>
          <w:rFonts w:asciiTheme="minorHAnsi" w:hAnsiTheme="minorHAnsi" w:cstheme="minorHAnsi"/>
          <w:szCs w:val="24"/>
          <w:shd w:val="clear" w:color="auto" w:fill="FFFFFF"/>
        </w:rPr>
        <w:t xml:space="preserve"> (Published 20 November 2019</w:t>
      </w:r>
      <w:bookmarkEnd w:id="33"/>
      <w:r w:rsidRPr="00C54E2E">
        <w:rPr>
          <w:rFonts w:asciiTheme="minorHAnsi" w:hAnsiTheme="minorHAnsi" w:cstheme="minorHAnsi"/>
          <w:szCs w:val="24"/>
          <w:shd w:val="clear" w:color="auto" w:fill="FFFFFF"/>
        </w:rPr>
        <w:t>)</w:t>
      </w:r>
    </w:p>
    <w:p w14:paraId="10121BEB" w14:textId="77777777" w:rsidR="004E0648" w:rsidRPr="00B66FFD" w:rsidRDefault="004E0648" w:rsidP="004E0648">
      <w:pPr>
        <w:pStyle w:val="ListParagraph"/>
        <w:numPr>
          <w:ilvl w:val="0"/>
          <w:numId w:val="22"/>
        </w:numPr>
        <w:rPr>
          <w:rFonts w:asciiTheme="minorHAnsi" w:hAnsiTheme="minorHAnsi" w:cstheme="minorHAnsi"/>
          <w:szCs w:val="24"/>
        </w:rPr>
      </w:pPr>
      <w:r w:rsidRPr="00B66FFD">
        <w:rPr>
          <w:rFonts w:asciiTheme="minorHAnsi" w:hAnsiTheme="minorHAnsi" w:cstheme="minorHAnsi"/>
          <w:szCs w:val="24"/>
        </w:rPr>
        <w:t xml:space="preserve">RCOG Response to BMJ study on IOL - 21 Nov 2019  </w:t>
      </w:r>
      <w:hyperlink r:id="rId21" w:history="1">
        <w:r w:rsidRPr="00B66FFD">
          <w:rPr>
            <w:rStyle w:val="Hyperlink"/>
            <w:rFonts w:asciiTheme="minorHAnsi" w:hAnsiTheme="minorHAnsi" w:cstheme="minorHAnsi"/>
            <w:szCs w:val="24"/>
          </w:rPr>
          <w:t>https://www.rcog.org.uk/en/news/rcog-response-to-study-on-induction-of-labour-and-stillbirth-risk/</w:t>
        </w:r>
      </w:hyperlink>
      <w:r w:rsidRPr="00B66FFD">
        <w:rPr>
          <w:rFonts w:asciiTheme="minorHAnsi" w:hAnsiTheme="minorHAnsi" w:cstheme="minorHAnsi"/>
          <w:szCs w:val="24"/>
        </w:rPr>
        <w:t xml:space="preserve">  </w:t>
      </w:r>
    </w:p>
    <w:p w14:paraId="21C5D306" w14:textId="77777777" w:rsidR="004E0648" w:rsidRPr="00B66FFD" w:rsidRDefault="004E0648" w:rsidP="004E0648">
      <w:pPr>
        <w:pStyle w:val="ListParagraph"/>
        <w:numPr>
          <w:ilvl w:val="0"/>
          <w:numId w:val="22"/>
        </w:numPr>
        <w:rPr>
          <w:rFonts w:asciiTheme="minorHAnsi" w:hAnsiTheme="minorHAnsi" w:cstheme="minorHAnsi"/>
          <w:szCs w:val="24"/>
        </w:rPr>
      </w:pPr>
      <w:r w:rsidRPr="00B66FFD">
        <w:rPr>
          <w:rFonts w:asciiTheme="minorHAnsi" w:hAnsiTheme="minorHAnsi" w:cstheme="minorHAnsi"/>
          <w:szCs w:val="24"/>
        </w:rPr>
        <w:t>Queensland Cli</w:t>
      </w:r>
      <w:r>
        <w:rPr>
          <w:rFonts w:asciiTheme="minorHAnsi" w:hAnsiTheme="minorHAnsi" w:cstheme="minorHAnsi"/>
          <w:szCs w:val="24"/>
        </w:rPr>
        <w:t>ni</w:t>
      </w:r>
      <w:r w:rsidRPr="00B66FFD">
        <w:rPr>
          <w:rFonts w:asciiTheme="minorHAnsi" w:hAnsiTheme="minorHAnsi" w:cstheme="minorHAnsi"/>
          <w:szCs w:val="24"/>
        </w:rPr>
        <w:t xml:space="preserve">cal Guidelines on Induction of Labour March 2017   </w:t>
      </w:r>
      <w:hyperlink r:id="rId22" w:history="1">
        <w:r w:rsidRPr="00B66FFD">
          <w:rPr>
            <w:rStyle w:val="Hyperlink"/>
            <w:rFonts w:asciiTheme="minorHAnsi" w:hAnsiTheme="minorHAnsi" w:cstheme="minorHAnsi"/>
            <w:szCs w:val="24"/>
          </w:rPr>
          <w:t>https://www.health.qld.gov.au/__data/assets/pdf_file/0020/641423/g-iol.pdf</w:t>
        </w:r>
      </w:hyperlink>
    </w:p>
    <w:p w14:paraId="3D3D600D" w14:textId="77777777" w:rsidR="004E0648" w:rsidRPr="00B66FFD" w:rsidRDefault="004E0648" w:rsidP="004E0648">
      <w:pPr>
        <w:pStyle w:val="ListParagraph"/>
        <w:numPr>
          <w:ilvl w:val="0"/>
          <w:numId w:val="22"/>
        </w:numPr>
        <w:outlineLvl w:val="0"/>
        <w:rPr>
          <w:rFonts w:asciiTheme="minorHAnsi" w:hAnsiTheme="minorHAnsi" w:cstheme="minorHAnsi"/>
          <w:szCs w:val="24"/>
        </w:rPr>
      </w:pPr>
      <w:r w:rsidRPr="00B66FFD">
        <w:rPr>
          <w:rFonts w:asciiTheme="minorHAnsi" w:hAnsiTheme="minorHAnsi" w:cstheme="minorHAnsi"/>
          <w:szCs w:val="24"/>
        </w:rPr>
        <w:t>ACT Health (2008) Maternity Shared Care Guidelines</w:t>
      </w:r>
    </w:p>
    <w:p w14:paraId="769AA883" w14:textId="77777777" w:rsidR="004E0648" w:rsidRPr="00B66FFD" w:rsidRDefault="004E0648" w:rsidP="004E0648">
      <w:pPr>
        <w:pStyle w:val="ListParagraph"/>
        <w:ind w:left="360"/>
        <w:rPr>
          <w:rFonts w:asciiTheme="minorHAnsi" w:hAnsiTheme="minorHAnsi" w:cstheme="minorHAnsi"/>
          <w:szCs w:val="24"/>
        </w:rPr>
      </w:pPr>
      <w:hyperlink r:id="rId23" w:history="1">
        <w:r w:rsidRPr="00B66FFD">
          <w:rPr>
            <w:rStyle w:val="Hyperlink"/>
            <w:rFonts w:asciiTheme="minorHAnsi" w:hAnsiTheme="minorHAnsi" w:cstheme="minorHAnsi"/>
            <w:szCs w:val="24"/>
          </w:rPr>
          <w:t>http://health.act.gov.au/c/health?a=dldivpoldoc&amp;document=813</w:t>
        </w:r>
      </w:hyperlink>
    </w:p>
    <w:p w14:paraId="263FA8F8" w14:textId="77777777" w:rsidR="004E0648" w:rsidRPr="00B66FFD" w:rsidRDefault="004E0648" w:rsidP="004E0648">
      <w:pPr>
        <w:pStyle w:val="ListParagraph"/>
        <w:numPr>
          <w:ilvl w:val="0"/>
          <w:numId w:val="22"/>
        </w:numPr>
        <w:autoSpaceDE w:val="0"/>
        <w:autoSpaceDN w:val="0"/>
        <w:adjustRightInd w:val="0"/>
        <w:rPr>
          <w:rFonts w:asciiTheme="minorHAnsi" w:eastAsiaTheme="minorHAnsi" w:hAnsiTheme="minorHAnsi" w:cstheme="minorHAnsi"/>
          <w:color w:val="000000"/>
          <w:szCs w:val="24"/>
        </w:rPr>
      </w:pPr>
      <w:r w:rsidRPr="00B66FFD">
        <w:rPr>
          <w:rFonts w:asciiTheme="minorHAnsi" w:eastAsiaTheme="minorHAnsi" w:hAnsiTheme="minorHAnsi" w:cstheme="minorHAnsi"/>
          <w:color w:val="000000"/>
          <w:szCs w:val="24"/>
        </w:rPr>
        <w:t xml:space="preserve">Australian Health Ministers’ Advisory Council 2012, </w:t>
      </w:r>
      <w:r w:rsidRPr="00B66FFD">
        <w:rPr>
          <w:rFonts w:asciiTheme="minorHAnsi" w:eastAsiaTheme="minorHAnsi" w:hAnsiTheme="minorHAnsi" w:cstheme="minorHAnsi"/>
          <w:i/>
          <w:iCs/>
          <w:color w:val="000000"/>
          <w:szCs w:val="24"/>
        </w:rPr>
        <w:t>Clinical Practice Guidelines: Antenatal Care – Module 1</w:t>
      </w:r>
      <w:r w:rsidRPr="00B66FFD">
        <w:rPr>
          <w:rFonts w:asciiTheme="minorHAnsi" w:eastAsiaTheme="minorHAnsi" w:hAnsiTheme="minorHAnsi" w:cstheme="minorHAnsi"/>
          <w:color w:val="000000"/>
          <w:szCs w:val="24"/>
        </w:rPr>
        <w:t xml:space="preserve">. Australian Government Department of Health and Ageing, Canberra. </w:t>
      </w:r>
      <w:hyperlink r:id="rId24" w:history="1">
        <w:r w:rsidRPr="00B66FFD">
          <w:rPr>
            <w:rStyle w:val="Hyperlink"/>
            <w:rFonts w:asciiTheme="minorHAnsi" w:eastAsiaTheme="minorHAnsi" w:hAnsiTheme="minorHAnsi" w:cstheme="minorHAnsi"/>
            <w:szCs w:val="24"/>
          </w:rPr>
          <w:t>http://www.health.gov.au/antenatal</w:t>
        </w:r>
      </w:hyperlink>
      <w:r w:rsidRPr="00B66FFD">
        <w:rPr>
          <w:rFonts w:asciiTheme="minorHAnsi" w:eastAsiaTheme="minorHAnsi" w:hAnsiTheme="minorHAnsi" w:cstheme="minorHAnsi"/>
          <w:color w:val="000000"/>
          <w:szCs w:val="24"/>
        </w:rPr>
        <w:t>.</w:t>
      </w:r>
    </w:p>
    <w:p w14:paraId="734203D6" w14:textId="77777777" w:rsidR="004E0648" w:rsidRPr="00B66FFD" w:rsidRDefault="004E0648" w:rsidP="004E0648">
      <w:pPr>
        <w:pStyle w:val="ListParagraph"/>
        <w:numPr>
          <w:ilvl w:val="0"/>
          <w:numId w:val="22"/>
        </w:numPr>
        <w:autoSpaceDE w:val="0"/>
        <w:autoSpaceDN w:val="0"/>
        <w:adjustRightInd w:val="0"/>
        <w:spacing w:before="60" w:after="60"/>
        <w:rPr>
          <w:rStyle w:val="source-copyright1"/>
          <w:rFonts w:asciiTheme="minorHAnsi" w:hAnsiTheme="minorHAnsi" w:cstheme="minorHAnsi"/>
          <w:sz w:val="24"/>
          <w:szCs w:val="24"/>
        </w:rPr>
      </w:pPr>
      <w:proofErr w:type="spellStart"/>
      <w:r w:rsidRPr="00B66FFD">
        <w:rPr>
          <w:rStyle w:val="author-info1"/>
          <w:rFonts w:asciiTheme="minorHAnsi" w:hAnsiTheme="minorHAnsi" w:cstheme="minorHAnsi"/>
          <w:sz w:val="24"/>
          <w:szCs w:val="24"/>
        </w:rPr>
        <w:t>Boulvain</w:t>
      </w:r>
      <w:proofErr w:type="spellEnd"/>
      <w:r w:rsidRPr="00B66FFD">
        <w:rPr>
          <w:rStyle w:val="author-info1"/>
          <w:rFonts w:asciiTheme="minorHAnsi" w:hAnsiTheme="minorHAnsi" w:cstheme="minorHAnsi"/>
          <w:sz w:val="24"/>
          <w:szCs w:val="24"/>
        </w:rPr>
        <w:t xml:space="preserve">, M, Stan, C.M., Irion, O. (2005), </w:t>
      </w:r>
      <w:r w:rsidRPr="00B66FFD">
        <w:rPr>
          <w:rStyle w:val="article-title1"/>
          <w:rFonts w:asciiTheme="minorHAnsi" w:hAnsiTheme="minorHAnsi" w:cstheme="minorHAnsi"/>
          <w:b w:val="0"/>
          <w:bCs w:val="0"/>
          <w:sz w:val="24"/>
          <w:szCs w:val="24"/>
        </w:rPr>
        <w:t xml:space="preserve">Membrane sweeping for induction of labour, </w:t>
      </w:r>
      <w:r w:rsidRPr="00B66FFD">
        <w:rPr>
          <w:rStyle w:val="source-copyright1"/>
          <w:rFonts w:asciiTheme="minorHAnsi" w:hAnsiTheme="minorHAnsi" w:cstheme="minorHAnsi"/>
          <w:sz w:val="24"/>
          <w:szCs w:val="24"/>
        </w:rPr>
        <w:t>Cochrane Database of Systematic Reviews, Issue 4.</w:t>
      </w:r>
    </w:p>
    <w:p w14:paraId="469A2F77" w14:textId="77777777" w:rsidR="004E0648" w:rsidRDefault="004E0648" w:rsidP="004E0648">
      <w:pPr>
        <w:pStyle w:val="ListParagraph"/>
        <w:numPr>
          <w:ilvl w:val="0"/>
          <w:numId w:val="22"/>
        </w:numPr>
        <w:autoSpaceDE w:val="0"/>
        <w:autoSpaceDN w:val="0"/>
        <w:adjustRightInd w:val="0"/>
        <w:spacing w:before="60" w:after="60"/>
        <w:rPr>
          <w:rFonts w:asciiTheme="minorHAnsi" w:hAnsiTheme="minorHAnsi" w:cstheme="minorHAnsi"/>
          <w:szCs w:val="24"/>
          <w:lang w:val="en-US"/>
        </w:rPr>
      </w:pPr>
      <w:proofErr w:type="spellStart"/>
      <w:r w:rsidRPr="00B66FFD">
        <w:rPr>
          <w:rFonts w:asciiTheme="minorHAnsi" w:hAnsiTheme="minorHAnsi" w:cstheme="minorHAnsi"/>
          <w:szCs w:val="24"/>
          <w:lang w:val="en-US"/>
        </w:rPr>
        <w:lastRenderedPageBreak/>
        <w:t>Gulmezoglu</w:t>
      </w:r>
      <w:proofErr w:type="spellEnd"/>
      <w:r w:rsidRPr="00B66FFD">
        <w:rPr>
          <w:rFonts w:asciiTheme="minorHAnsi" w:hAnsiTheme="minorHAnsi" w:cstheme="minorHAnsi"/>
          <w:szCs w:val="24"/>
          <w:lang w:val="en-US"/>
        </w:rPr>
        <w:t xml:space="preserve"> AM, Crowther CA, Middleton P, Heatley E. Induction of </w:t>
      </w:r>
      <w:proofErr w:type="spellStart"/>
      <w:r w:rsidRPr="00B66FFD">
        <w:rPr>
          <w:rFonts w:asciiTheme="minorHAnsi" w:hAnsiTheme="minorHAnsi" w:cstheme="minorHAnsi"/>
          <w:szCs w:val="24"/>
          <w:lang w:val="en-US"/>
        </w:rPr>
        <w:t>labour</w:t>
      </w:r>
      <w:proofErr w:type="spellEnd"/>
      <w:r w:rsidRPr="00B66FFD">
        <w:rPr>
          <w:rFonts w:asciiTheme="minorHAnsi" w:hAnsiTheme="minorHAnsi" w:cstheme="minorHAnsi"/>
          <w:szCs w:val="24"/>
          <w:lang w:val="en-US"/>
        </w:rPr>
        <w:t xml:space="preserve"> for improving birth outcomes for women at or beyond term. Cochrane Database of Systematic Reviews 2012(6</w:t>
      </w:r>
      <w:proofErr w:type="gramStart"/>
      <w:r w:rsidRPr="00B66FFD">
        <w:rPr>
          <w:rFonts w:asciiTheme="minorHAnsi" w:hAnsiTheme="minorHAnsi" w:cstheme="minorHAnsi"/>
          <w:szCs w:val="24"/>
          <w:lang w:val="en-US"/>
        </w:rPr>
        <w:t>):Art.</w:t>
      </w:r>
      <w:proofErr w:type="gramEnd"/>
      <w:r w:rsidRPr="00B66FFD">
        <w:rPr>
          <w:rFonts w:asciiTheme="minorHAnsi" w:hAnsiTheme="minorHAnsi" w:cstheme="minorHAnsi"/>
          <w:szCs w:val="24"/>
          <w:lang w:val="en-US"/>
        </w:rPr>
        <w:t xml:space="preserve"> No.:CD004945. DOI: 10.1002/14651858.CD004945.pub3. </w:t>
      </w:r>
    </w:p>
    <w:p w14:paraId="241BB27D" w14:textId="77777777" w:rsidR="004E0648" w:rsidRPr="005801F9" w:rsidRDefault="004E0648" w:rsidP="004E0648">
      <w:pPr>
        <w:pStyle w:val="ListParagraph"/>
        <w:numPr>
          <w:ilvl w:val="0"/>
          <w:numId w:val="22"/>
        </w:numPr>
        <w:autoSpaceDE w:val="0"/>
        <w:autoSpaceDN w:val="0"/>
        <w:adjustRightInd w:val="0"/>
        <w:spacing w:before="60" w:after="60"/>
        <w:rPr>
          <w:rFonts w:asciiTheme="minorHAnsi" w:hAnsiTheme="minorHAnsi" w:cstheme="minorHAnsi"/>
          <w:szCs w:val="24"/>
          <w:lang w:val="en-US"/>
        </w:rPr>
      </w:pPr>
      <w:r w:rsidRPr="005801F9">
        <w:rPr>
          <w:rFonts w:asciiTheme="minorHAnsi" w:hAnsiTheme="minorHAnsi" w:cstheme="minorHAnsi"/>
          <w:szCs w:val="24"/>
          <w:lang w:val="en-US"/>
        </w:rPr>
        <w:t xml:space="preserve">King Edward Memorial Hospital Women and Newborn Health Service “Clinical Guidelines: “Pregnancy beyond 41 weeks: management of” 2016.    </w:t>
      </w:r>
      <w:hyperlink r:id="rId25" w:history="1">
        <w:r w:rsidRPr="005801F9">
          <w:rPr>
            <w:rFonts w:asciiTheme="minorHAnsi" w:hAnsiTheme="minorHAnsi" w:cstheme="minorHAnsi"/>
            <w:szCs w:val="24"/>
            <w:lang w:val="en-US"/>
          </w:rPr>
          <w:t>http://kemh.health.wa.gov.au/development/manuals/O&amp;G_guidelines/sectionb/2/b2.9.pdf</w:t>
        </w:r>
      </w:hyperlink>
      <w:r w:rsidRPr="005801F9">
        <w:rPr>
          <w:rFonts w:asciiTheme="minorHAnsi" w:hAnsiTheme="minorHAnsi" w:cstheme="minorHAnsi"/>
          <w:szCs w:val="24"/>
          <w:lang w:val="en-US"/>
        </w:rPr>
        <w:t xml:space="preserve"> (Accessed 1/3/2018)</w:t>
      </w:r>
    </w:p>
    <w:p w14:paraId="559B191C" w14:textId="77777777" w:rsidR="004E0648" w:rsidRPr="00B66FFD" w:rsidRDefault="004E0648" w:rsidP="004E0648">
      <w:pPr>
        <w:pStyle w:val="ListParagraph"/>
        <w:numPr>
          <w:ilvl w:val="0"/>
          <w:numId w:val="22"/>
        </w:numPr>
        <w:rPr>
          <w:rFonts w:asciiTheme="minorHAnsi" w:hAnsiTheme="minorHAnsi" w:cstheme="minorHAnsi"/>
          <w:i/>
          <w:szCs w:val="24"/>
        </w:rPr>
      </w:pPr>
      <w:r w:rsidRPr="00B66FFD">
        <w:rPr>
          <w:rFonts w:asciiTheme="minorHAnsi" w:hAnsiTheme="minorHAnsi" w:cstheme="minorHAnsi"/>
          <w:szCs w:val="24"/>
        </w:rPr>
        <w:t>NSW Health</w:t>
      </w:r>
      <w:r w:rsidRPr="00B66FFD">
        <w:rPr>
          <w:rFonts w:asciiTheme="minorHAnsi" w:hAnsiTheme="minorHAnsi" w:cstheme="minorHAnsi"/>
          <w:i/>
          <w:szCs w:val="24"/>
        </w:rPr>
        <w:t>. Maternity-Management of Pregnancy Beyond 41 weeks Gestation (2014).</w:t>
      </w:r>
    </w:p>
    <w:p w14:paraId="3A1F2DC0" w14:textId="77777777" w:rsidR="004E0648" w:rsidRPr="00B66FFD" w:rsidRDefault="004E0648" w:rsidP="004E0648">
      <w:pPr>
        <w:pStyle w:val="ListParagraph"/>
        <w:ind w:left="360"/>
        <w:rPr>
          <w:rFonts w:asciiTheme="minorHAnsi" w:hAnsiTheme="minorHAnsi" w:cstheme="minorHAnsi"/>
          <w:szCs w:val="24"/>
          <w:lang w:val="en-US"/>
        </w:rPr>
      </w:pPr>
      <w:hyperlink r:id="rId26" w:history="1">
        <w:r w:rsidRPr="00B66FFD">
          <w:rPr>
            <w:rStyle w:val="Hyperlink"/>
            <w:rFonts w:asciiTheme="minorHAnsi" w:hAnsiTheme="minorHAnsi" w:cstheme="minorHAnsi"/>
            <w:szCs w:val="24"/>
            <w:lang w:val="en-US"/>
          </w:rPr>
          <w:t>http://www0.health.nsw.gov.au/policies/gl/2014/pdf/GL2014_015.pdf</w:t>
        </w:r>
      </w:hyperlink>
    </w:p>
    <w:p w14:paraId="592AEBC6" w14:textId="77777777" w:rsidR="004E0648" w:rsidRPr="009E4985" w:rsidRDefault="004E0648" w:rsidP="004E0648">
      <w:pPr>
        <w:pStyle w:val="ListParagraph"/>
        <w:numPr>
          <w:ilvl w:val="0"/>
          <w:numId w:val="22"/>
        </w:numPr>
        <w:autoSpaceDE w:val="0"/>
        <w:autoSpaceDN w:val="0"/>
        <w:adjustRightInd w:val="0"/>
        <w:spacing w:before="60" w:after="60"/>
        <w:rPr>
          <w:rFonts w:asciiTheme="minorHAnsi" w:hAnsiTheme="minorHAnsi" w:cstheme="minorHAnsi"/>
          <w:szCs w:val="24"/>
          <w:lang w:val="en-US"/>
        </w:rPr>
      </w:pPr>
      <w:r w:rsidRPr="009E4985">
        <w:rPr>
          <w:rFonts w:asciiTheme="minorHAnsi" w:hAnsiTheme="minorHAnsi" w:cstheme="minorHAnsi"/>
          <w:szCs w:val="24"/>
          <w:lang w:val="en-US"/>
        </w:rPr>
        <w:t xml:space="preserve">Page JM, Snowden JM, Cheng YW, Doss AE, Rosenstein MG, </w:t>
      </w:r>
      <w:proofErr w:type="spellStart"/>
      <w:r w:rsidRPr="009E4985">
        <w:rPr>
          <w:rFonts w:asciiTheme="minorHAnsi" w:hAnsiTheme="minorHAnsi" w:cstheme="minorHAnsi"/>
          <w:szCs w:val="24"/>
          <w:lang w:val="en-US"/>
        </w:rPr>
        <w:t>Caughey</w:t>
      </w:r>
      <w:proofErr w:type="spellEnd"/>
      <w:r w:rsidRPr="009E4985">
        <w:rPr>
          <w:rFonts w:asciiTheme="minorHAnsi" w:hAnsiTheme="minorHAnsi" w:cstheme="minorHAnsi"/>
          <w:szCs w:val="24"/>
          <w:lang w:val="en-US"/>
        </w:rPr>
        <w:t xml:space="preserve"> AB (2013). The risk of stillbirth and infant death by each additional week of expectant management stratified by maternal age. Am J </w:t>
      </w:r>
      <w:proofErr w:type="spellStart"/>
      <w:r w:rsidRPr="009E4985">
        <w:rPr>
          <w:rFonts w:asciiTheme="minorHAnsi" w:hAnsiTheme="minorHAnsi" w:cstheme="minorHAnsi"/>
          <w:szCs w:val="24"/>
          <w:lang w:val="en-US"/>
        </w:rPr>
        <w:t>Obstet</w:t>
      </w:r>
      <w:proofErr w:type="spellEnd"/>
      <w:r w:rsidRPr="009E4985">
        <w:rPr>
          <w:rFonts w:asciiTheme="minorHAnsi" w:hAnsiTheme="minorHAnsi" w:cstheme="minorHAnsi"/>
          <w:szCs w:val="24"/>
          <w:lang w:val="en-US"/>
        </w:rPr>
        <w:t xml:space="preserve"> Gynecol. Oct;209(4</w:t>
      </w:r>
      <w:proofErr w:type="gramStart"/>
      <w:r w:rsidRPr="009E4985">
        <w:rPr>
          <w:rFonts w:asciiTheme="minorHAnsi" w:hAnsiTheme="minorHAnsi" w:cstheme="minorHAnsi"/>
          <w:szCs w:val="24"/>
          <w:lang w:val="en-US"/>
        </w:rPr>
        <w:t>):375.e</w:t>
      </w:r>
      <w:proofErr w:type="gramEnd"/>
      <w:r w:rsidRPr="009E4985">
        <w:rPr>
          <w:rFonts w:asciiTheme="minorHAnsi" w:hAnsiTheme="minorHAnsi" w:cstheme="minorHAnsi"/>
          <w:szCs w:val="24"/>
          <w:lang w:val="en-US"/>
        </w:rPr>
        <w:t>1-7</w:t>
      </w:r>
    </w:p>
    <w:p w14:paraId="5EA400A4" w14:textId="77777777" w:rsidR="004E0648" w:rsidRDefault="004E0648" w:rsidP="004E0648">
      <w:pPr>
        <w:pStyle w:val="ListParagraph"/>
        <w:numPr>
          <w:ilvl w:val="0"/>
          <w:numId w:val="22"/>
        </w:numPr>
        <w:shd w:val="clear" w:color="auto" w:fill="FFFFFF"/>
        <w:autoSpaceDE w:val="0"/>
        <w:autoSpaceDN w:val="0"/>
        <w:adjustRightInd w:val="0"/>
        <w:spacing w:before="60" w:after="60"/>
        <w:rPr>
          <w:rFonts w:asciiTheme="minorHAnsi" w:hAnsiTheme="minorHAnsi" w:cstheme="minorHAnsi"/>
          <w:szCs w:val="24"/>
          <w:lang w:val="en-US"/>
        </w:rPr>
      </w:pPr>
      <w:r w:rsidRPr="009E4985">
        <w:rPr>
          <w:rFonts w:asciiTheme="minorHAnsi" w:hAnsiTheme="minorHAnsi" w:cstheme="minorHAnsi"/>
          <w:szCs w:val="24"/>
          <w:lang w:val="en-US"/>
        </w:rPr>
        <w:t>PLOS Medicine Risks of stillbirth and neonatal death with advancing gestation at term: A systematic review and meta-analysis of cohort studies of 15 million pregnancies.</w:t>
      </w:r>
    </w:p>
    <w:p w14:paraId="54B97B21" w14:textId="77777777" w:rsidR="004E0648" w:rsidRPr="009E4985" w:rsidRDefault="004E0648" w:rsidP="004E0648">
      <w:pPr>
        <w:shd w:val="clear" w:color="auto" w:fill="FFFFFF"/>
        <w:autoSpaceDE w:val="0"/>
        <w:autoSpaceDN w:val="0"/>
        <w:adjustRightInd w:val="0"/>
        <w:spacing w:before="60" w:after="60"/>
        <w:ind w:left="360"/>
        <w:rPr>
          <w:rFonts w:asciiTheme="minorHAnsi" w:hAnsiTheme="minorHAnsi" w:cstheme="minorHAnsi"/>
          <w:szCs w:val="24"/>
          <w:lang w:val="en-US"/>
        </w:rPr>
      </w:pPr>
      <w:proofErr w:type="spellStart"/>
      <w:r w:rsidRPr="009E4985">
        <w:rPr>
          <w:rFonts w:asciiTheme="minorHAnsi" w:hAnsiTheme="minorHAnsi" w:cstheme="minorHAnsi"/>
          <w:szCs w:val="24"/>
          <w:lang w:val="en-US"/>
        </w:rPr>
        <w:t>Muglu</w:t>
      </w:r>
      <w:proofErr w:type="spellEnd"/>
      <w:r w:rsidRPr="009E4985">
        <w:rPr>
          <w:rFonts w:asciiTheme="minorHAnsi" w:hAnsiTheme="minorHAnsi" w:cstheme="minorHAnsi"/>
          <w:szCs w:val="24"/>
          <w:lang w:val="en-US"/>
        </w:rPr>
        <w:t xml:space="preserve">, Javaid, Rather Henna, Arroyo-Manzano David, Bhattacharya </w:t>
      </w:r>
      <w:proofErr w:type="spellStart"/>
      <w:proofErr w:type="gramStart"/>
      <w:r w:rsidRPr="009E4985">
        <w:rPr>
          <w:rFonts w:asciiTheme="minorHAnsi" w:hAnsiTheme="minorHAnsi" w:cstheme="minorHAnsi"/>
          <w:szCs w:val="24"/>
          <w:lang w:val="en-US"/>
        </w:rPr>
        <w:t>Sohinee</w:t>
      </w:r>
      <w:proofErr w:type="spellEnd"/>
      <w:r w:rsidRPr="009E4985">
        <w:rPr>
          <w:rFonts w:asciiTheme="minorHAnsi" w:hAnsiTheme="minorHAnsi" w:cstheme="minorHAnsi"/>
          <w:szCs w:val="24"/>
          <w:lang w:val="en-US"/>
        </w:rPr>
        <w:t xml:space="preserve"> ,</w:t>
      </w:r>
      <w:proofErr w:type="gramEnd"/>
      <w:r w:rsidRPr="009E4985">
        <w:rPr>
          <w:rFonts w:asciiTheme="minorHAnsi" w:hAnsiTheme="minorHAnsi" w:cstheme="minorHAnsi"/>
          <w:szCs w:val="24"/>
          <w:lang w:val="en-US"/>
        </w:rPr>
        <w:t xml:space="preserve"> and </w:t>
      </w:r>
      <w:proofErr w:type="spellStart"/>
      <w:r w:rsidRPr="009E4985">
        <w:rPr>
          <w:rFonts w:asciiTheme="minorHAnsi" w:hAnsiTheme="minorHAnsi" w:cstheme="minorHAnsi"/>
          <w:szCs w:val="24"/>
          <w:lang w:val="en-US"/>
        </w:rPr>
        <w:t>Balchin</w:t>
      </w:r>
      <w:proofErr w:type="spellEnd"/>
      <w:r w:rsidRPr="009E4985">
        <w:rPr>
          <w:rFonts w:asciiTheme="minorHAnsi" w:hAnsiTheme="minorHAnsi" w:cstheme="minorHAnsi"/>
          <w:szCs w:val="24"/>
          <w:lang w:val="en-US"/>
        </w:rPr>
        <w:t xml:space="preserve"> Imelda. July 2, </w:t>
      </w:r>
      <w:proofErr w:type="gramStart"/>
      <w:r w:rsidRPr="009E4985">
        <w:rPr>
          <w:rFonts w:asciiTheme="minorHAnsi" w:hAnsiTheme="minorHAnsi" w:cstheme="minorHAnsi"/>
          <w:szCs w:val="24"/>
          <w:lang w:val="en-US"/>
        </w:rPr>
        <w:t>2019</w:t>
      </w:r>
      <w:proofErr w:type="gramEnd"/>
      <w:r w:rsidRPr="009E4985">
        <w:rPr>
          <w:rFonts w:asciiTheme="minorHAnsi" w:hAnsiTheme="minorHAnsi" w:cstheme="minorHAnsi"/>
          <w:szCs w:val="24"/>
          <w:lang w:val="en-US"/>
        </w:rPr>
        <w:t xml:space="preserve"> </w:t>
      </w:r>
      <w:hyperlink r:id="rId27" w:history="1">
        <w:r w:rsidRPr="009E4985">
          <w:rPr>
            <w:rFonts w:asciiTheme="minorHAnsi" w:hAnsiTheme="minorHAnsi" w:cstheme="minorHAnsi"/>
            <w:szCs w:val="24"/>
            <w:lang w:val="en-US"/>
          </w:rPr>
          <w:t>https://doi.org/10.1371/journal.pmed.1002838</w:t>
        </w:r>
      </w:hyperlink>
    </w:p>
    <w:p w14:paraId="6AB57BE0" w14:textId="77777777" w:rsidR="004E0648" w:rsidRPr="00B66FFD" w:rsidRDefault="004E0648" w:rsidP="004E0648">
      <w:pPr>
        <w:rPr>
          <w:rFonts w:cs="Arial"/>
          <w:szCs w:val="24"/>
          <w:lang w:val="en-US"/>
        </w:rPr>
      </w:pPr>
    </w:p>
    <w:p w14:paraId="4F5E26E0" w14:textId="77777777" w:rsidR="004E0648" w:rsidRPr="00B66FFD" w:rsidRDefault="004E0648" w:rsidP="004E0648">
      <w:pPr>
        <w:jc w:val="right"/>
        <w:rPr>
          <w:szCs w:val="24"/>
        </w:rPr>
      </w:pPr>
      <w:hyperlink w:anchor="Contents" w:history="1">
        <w:r w:rsidRPr="00B66FFD">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0F1F60" w14:paraId="0E96A495" w14:textId="77777777" w:rsidTr="00793A93">
        <w:trPr>
          <w:cantSplit/>
          <w:trHeight w:val="285"/>
        </w:trPr>
        <w:tc>
          <w:tcPr>
            <w:tcW w:w="9158" w:type="dxa"/>
            <w:shd w:val="clear" w:color="auto" w:fill="D9D9D9" w:themeFill="background1" w:themeFillShade="D9"/>
          </w:tcPr>
          <w:p w14:paraId="6A064BCB" w14:textId="77777777" w:rsidR="004E0648" w:rsidRPr="000F1F60" w:rsidRDefault="004E0648" w:rsidP="00793A93">
            <w:pPr>
              <w:pStyle w:val="Heading1"/>
            </w:pPr>
            <w:bookmarkStart w:id="34" w:name="_Toc396290588"/>
            <w:bookmarkStart w:id="35" w:name="_Toc165021520"/>
            <w:r>
              <w:t>Definition of Terms</w:t>
            </w:r>
            <w:bookmarkEnd w:id="34"/>
            <w:bookmarkEnd w:id="35"/>
          </w:p>
        </w:tc>
      </w:tr>
    </w:tbl>
    <w:p w14:paraId="4434A8F1" w14:textId="77777777" w:rsidR="004E0648" w:rsidRDefault="004E0648" w:rsidP="004E0648">
      <w:pPr>
        <w:rPr>
          <w:rFonts w:cs="Arial"/>
          <w:szCs w:val="24"/>
        </w:rPr>
      </w:pPr>
    </w:p>
    <w:p w14:paraId="334203F6" w14:textId="77777777" w:rsidR="004E0648" w:rsidRDefault="004E0648" w:rsidP="004E0648">
      <w:pPr>
        <w:rPr>
          <w:rFonts w:cs="Arial"/>
          <w:szCs w:val="24"/>
        </w:rPr>
      </w:pPr>
      <w:r>
        <w:rPr>
          <w:rFonts w:cs="Arial"/>
          <w:szCs w:val="24"/>
        </w:rPr>
        <w:t xml:space="preserve">CTG: Cardiotocography, a method of </w:t>
      </w:r>
      <w:proofErr w:type="spellStart"/>
      <w:r>
        <w:rPr>
          <w:rFonts w:cs="Arial"/>
          <w:szCs w:val="24"/>
        </w:rPr>
        <w:t>fetal</w:t>
      </w:r>
      <w:proofErr w:type="spellEnd"/>
      <w:r>
        <w:rPr>
          <w:rFonts w:cs="Arial"/>
          <w:szCs w:val="24"/>
        </w:rPr>
        <w:t xml:space="preserve"> surveillance which traces the </w:t>
      </w:r>
      <w:proofErr w:type="spellStart"/>
      <w:r>
        <w:rPr>
          <w:rFonts w:cs="Arial"/>
          <w:szCs w:val="24"/>
        </w:rPr>
        <w:t>fetal</w:t>
      </w:r>
      <w:proofErr w:type="spellEnd"/>
      <w:r>
        <w:rPr>
          <w:rFonts w:cs="Arial"/>
          <w:szCs w:val="24"/>
        </w:rPr>
        <w:t xml:space="preserve"> heart </w:t>
      </w:r>
      <w:proofErr w:type="gramStart"/>
      <w:r>
        <w:rPr>
          <w:rFonts w:cs="Arial"/>
          <w:szCs w:val="24"/>
        </w:rPr>
        <w:t>and also</w:t>
      </w:r>
      <w:proofErr w:type="gramEnd"/>
      <w:r>
        <w:rPr>
          <w:rFonts w:cs="Arial"/>
          <w:szCs w:val="24"/>
        </w:rPr>
        <w:t xml:space="preserve"> the uterine activity.</w:t>
      </w:r>
    </w:p>
    <w:p w14:paraId="069EC91D" w14:textId="77777777" w:rsidR="004E0648" w:rsidRDefault="004E0648" w:rsidP="004E0648">
      <w:pPr>
        <w:rPr>
          <w:rFonts w:cs="Arial"/>
          <w:szCs w:val="24"/>
        </w:rPr>
      </w:pPr>
      <w:r>
        <w:rPr>
          <w:rFonts w:cs="Arial"/>
          <w:szCs w:val="24"/>
        </w:rPr>
        <w:t xml:space="preserve">AFI: Amniotic Fluid Index, is the amount of measured (by ultrasound) amniotic fluid around the </w:t>
      </w:r>
      <w:proofErr w:type="spellStart"/>
      <w:proofErr w:type="gramStart"/>
      <w:r>
        <w:rPr>
          <w:rFonts w:cs="Arial"/>
          <w:szCs w:val="24"/>
        </w:rPr>
        <w:t>fetus</w:t>
      </w:r>
      <w:proofErr w:type="spellEnd"/>
      <w:proofErr w:type="gramEnd"/>
    </w:p>
    <w:p w14:paraId="149621B9" w14:textId="77777777" w:rsidR="004E0648" w:rsidRDefault="004E0648" w:rsidP="004E0648">
      <w:pPr>
        <w:rPr>
          <w:rFonts w:cs="Arial"/>
          <w:szCs w:val="24"/>
        </w:rPr>
      </w:pPr>
      <w:r>
        <w:rPr>
          <w:rFonts w:cs="Arial"/>
          <w:szCs w:val="24"/>
        </w:rPr>
        <w:t>SDP: Single Deepest Pocket (of amniotic fluid)</w:t>
      </w:r>
    </w:p>
    <w:p w14:paraId="5E9874EC" w14:textId="77777777" w:rsidR="004E0648" w:rsidRDefault="004E0648" w:rsidP="004E0648">
      <w:pPr>
        <w:rPr>
          <w:rFonts w:cs="Arial"/>
          <w:szCs w:val="24"/>
        </w:rPr>
      </w:pPr>
      <w:r>
        <w:rPr>
          <w:rFonts w:cs="Arial"/>
          <w:szCs w:val="24"/>
        </w:rPr>
        <w:t xml:space="preserve">IOL: Induction of labour, where labour is brought about by physical and pharmacological </w:t>
      </w:r>
      <w:proofErr w:type="gramStart"/>
      <w:r>
        <w:rPr>
          <w:rFonts w:cs="Arial"/>
          <w:szCs w:val="24"/>
        </w:rPr>
        <w:t>methods</w:t>
      </w:r>
      <w:proofErr w:type="gramEnd"/>
      <w:r>
        <w:rPr>
          <w:rFonts w:cs="Arial"/>
          <w:szCs w:val="24"/>
        </w:rPr>
        <w:t xml:space="preserve"> </w:t>
      </w:r>
    </w:p>
    <w:p w14:paraId="19CA5CDA" w14:textId="77777777" w:rsidR="004E0648" w:rsidRDefault="004E0648" w:rsidP="004E0648">
      <w:pPr>
        <w:rPr>
          <w:rFonts w:cs="Arial"/>
          <w:szCs w:val="24"/>
        </w:rPr>
      </w:pPr>
      <w:r>
        <w:rPr>
          <w:rFonts w:cs="Arial"/>
          <w:szCs w:val="24"/>
        </w:rPr>
        <w:t xml:space="preserve">EFM: Electronic </w:t>
      </w:r>
      <w:proofErr w:type="spellStart"/>
      <w:r>
        <w:rPr>
          <w:rFonts w:cs="Arial"/>
          <w:szCs w:val="24"/>
        </w:rPr>
        <w:t>fetal</w:t>
      </w:r>
      <w:proofErr w:type="spellEnd"/>
      <w:r>
        <w:rPr>
          <w:rFonts w:cs="Arial"/>
          <w:szCs w:val="24"/>
        </w:rPr>
        <w:t xml:space="preserve"> monitoring, </w:t>
      </w:r>
    </w:p>
    <w:p w14:paraId="0358C5E1" w14:textId="77777777" w:rsidR="004E0648" w:rsidRDefault="004E0648" w:rsidP="004E0648">
      <w:pPr>
        <w:rPr>
          <w:rFonts w:cs="Arial"/>
          <w:szCs w:val="24"/>
        </w:rPr>
      </w:pPr>
      <w:r>
        <w:rPr>
          <w:rFonts w:cs="Arial"/>
          <w:szCs w:val="24"/>
        </w:rPr>
        <w:t>MAU: Maternity Assessment unit</w:t>
      </w:r>
    </w:p>
    <w:p w14:paraId="7FAC026E" w14:textId="77777777" w:rsidR="004E0648" w:rsidRDefault="004E0648" w:rsidP="004E0648">
      <w:pPr>
        <w:autoSpaceDE w:val="0"/>
        <w:autoSpaceDN w:val="0"/>
        <w:adjustRightInd w:val="0"/>
        <w:spacing w:line="276" w:lineRule="auto"/>
        <w:rPr>
          <w:rFonts w:cs="Arial"/>
          <w:szCs w:val="24"/>
        </w:rPr>
      </w:pPr>
      <w:r>
        <w:rPr>
          <w:rFonts w:cs="Arial"/>
          <w:szCs w:val="24"/>
        </w:rPr>
        <w:t xml:space="preserve">Prolonged pregnancy: a </w:t>
      </w:r>
      <w:r w:rsidRPr="005F3F3B">
        <w:rPr>
          <w:rFonts w:cs="Arial"/>
        </w:rPr>
        <w:t>pregnancy that has progressed beyond 42</w:t>
      </w:r>
      <w:r>
        <w:rPr>
          <w:rFonts w:cs="Arial"/>
        </w:rPr>
        <w:t xml:space="preserve"> </w:t>
      </w:r>
      <w:r w:rsidRPr="005F3F3B">
        <w:rPr>
          <w:rFonts w:cs="Arial"/>
        </w:rPr>
        <w:t>weeks gestation, although the terms prolonged pregnancy and post term pregnancy</w:t>
      </w:r>
      <w:r>
        <w:rPr>
          <w:rFonts w:cs="Arial"/>
        </w:rPr>
        <w:t xml:space="preserve"> </w:t>
      </w:r>
      <w:r w:rsidRPr="005F3F3B">
        <w:rPr>
          <w:rFonts w:cs="Arial"/>
        </w:rPr>
        <w:t xml:space="preserve">are </w:t>
      </w:r>
      <w:r>
        <w:rPr>
          <w:rFonts w:cs="Arial"/>
        </w:rPr>
        <w:t xml:space="preserve">interchangeable </w:t>
      </w:r>
      <w:r w:rsidRPr="005F3F3B">
        <w:rPr>
          <w:rFonts w:cs="Arial"/>
        </w:rPr>
        <w:t>depending on the author</w:t>
      </w:r>
      <w:r>
        <w:rPr>
          <w:rFonts w:cs="Arial"/>
        </w:rPr>
        <w:t xml:space="preserve"> cited</w:t>
      </w:r>
      <w:r w:rsidRPr="005F3F3B">
        <w:rPr>
          <w:rFonts w:cs="Arial"/>
        </w:rPr>
        <w:t>.</w:t>
      </w:r>
      <w:r>
        <w:rPr>
          <w:rFonts w:cs="Arial"/>
        </w:rPr>
        <w:t xml:space="preserve"> </w:t>
      </w:r>
      <w:r w:rsidRPr="005F3F3B">
        <w:rPr>
          <w:rFonts w:cs="Arial"/>
        </w:rPr>
        <w:t xml:space="preserve">10% of all pregnancies are </w:t>
      </w:r>
      <w:r>
        <w:rPr>
          <w:rFonts w:cs="Arial"/>
        </w:rPr>
        <w:t>prolonged</w:t>
      </w:r>
      <w:r w:rsidRPr="005F3F3B">
        <w:rPr>
          <w:rFonts w:cs="Arial"/>
        </w:rPr>
        <w:t>,</w:t>
      </w:r>
      <w:r>
        <w:rPr>
          <w:rFonts w:cs="Arial"/>
        </w:rPr>
        <w:t xml:space="preserve"> </w:t>
      </w:r>
      <w:r w:rsidRPr="005F3F3B">
        <w:rPr>
          <w:rFonts w:cs="Arial"/>
        </w:rPr>
        <w:t>although the rate is declining in Australia possibly due to different intervention</w:t>
      </w:r>
      <w:r>
        <w:rPr>
          <w:rFonts w:cs="Arial"/>
        </w:rPr>
        <w:t xml:space="preserve"> s</w:t>
      </w:r>
      <w:r w:rsidRPr="005F3F3B">
        <w:rPr>
          <w:rFonts w:cs="Arial"/>
        </w:rPr>
        <w:t>trategies</w:t>
      </w:r>
      <w:r>
        <w:rPr>
          <w:rFonts w:cs="Arial"/>
        </w:rPr>
        <w:t>.</w:t>
      </w:r>
    </w:p>
    <w:p w14:paraId="04E630EC" w14:textId="77777777" w:rsidR="004E0648" w:rsidRDefault="004E0648" w:rsidP="004E0648">
      <w:pPr>
        <w:rPr>
          <w:rFonts w:cs="Arial"/>
          <w:szCs w:val="24"/>
        </w:rPr>
      </w:pPr>
    </w:p>
    <w:p w14:paraId="0DEF8410" w14:textId="77777777" w:rsidR="004E0648" w:rsidRDefault="004E0648" w:rsidP="004E0648">
      <w:pPr>
        <w:jc w:val="right"/>
      </w:pPr>
      <w:hyperlink w:anchor="Contents" w:history="1">
        <w:r w:rsidRPr="00C91F3F">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E0648" w:rsidRPr="00CD1C0E" w14:paraId="6D03961D" w14:textId="77777777" w:rsidTr="00793A93">
        <w:trPr>
          <w:cantSplit/>
          <w:trHeight w:val="285"/>
        </w:trPr>
        <w:tc>
          <w:tcPr>
            <w:tcW w:w="9158" w:type="dxa"/>
            <w:shd w:val="clear" w:color="auto" w:fill="D9D9D9" w:themeFill="background1" w:themeFillShade="D9"/>
          </w:tcPr>
          <w:p w14:paraId="38AA0160" w14:textId="77777777" w:rsidR="004E0648" w:rsidRPr="00CD1C0E" w:rsidRDefault="004E0648" w:rsidP="00793A93">
            <w:pPr>
              <w:pStyle w:val="Heading1"/>
            </w:pPr>
            <w:bookmarkStart w:id="36" w:name="_Toc389473290"/>
            <w:bookmarkStart w:id="37" w:name="_Toc396290589"/>
            <w:bookmarkStart w:id="38" w:name="_Toc165021521"/>
            <w:r>
              <w:t>Search Terms</w:t>
            </w:r>
            <w:bookmarkEnd w:id="36"/>
            <w:bookmarkEnd w:id="37"/>
            <w:bookmarkEnd w:id="38"/>
            <w:r>
              <w:t xml:space="preserve"> </w:t>
            </w:r>
          </w:p>
        </w:tc>
      </w:tr>
    </w:tbl>
    <w:p w14:paraId="3DA2D95C" w14:textId="77777777" w:rsidR="004E0648" w:rsidRDefault="004E0648" w:rsidP="004E0648">
      <w:pPr>
        <w:rPr>
          <w:rFonts w:cs="Calibri,Bold"/>
          <w:bCs/>
          <w:i/>
          <w:szCs w:val="24"/>
          <w:lang w:eastAsia="en-AU"/>
        </w:rPr>
      </w:pPr>
    </w:p>
    <w:p w14:paraId="2B797DF5" w14:textId="77777777" w:rsidR="004E0648" w:rsidRDefault="004E0648" w:rsidP="004E0648">
      <w:r>
        <w:t xml:space="preserve">Post-dates, Prolonged pregnancy, Induction of labour, Maternity, Antenatal </w:t>
      </w:r>
    </w:p>
    <w:p w14:paraId="6EE1EA2E" w14:textId="77777777" w:rsidR="004E0648" w:rsidRDefault="004E0648" w:rsidP="004E0648">
      <w:pPr>
        <w:rPr>
          <w:rFonts w:cs="Arial"/>
          <w:b/>
          <w:sz w:val="20"/>
        </w:rPr>
      </w:pPr>
    </w:p>
    <w:p w14:paraId="6BE1E02B" w14:textId="77777777" w:rsidR="004E0648" w:rsidRPr="003E167B" w:rsidRDefault="004E0648" w:rsidP="004E0648">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5361BC65" w14:textId="77777777" w:rsidR="004E0648" w:rsidRPr="003E167B" w:rsidRDefault="004E0648" w:rsidP="004E0648">
      <w:pPr>
        <w:rPr>
          <w:rFonts w:cs="Arial"/>
          <w:i/>
          <w:iCs/>
          <w:sz w:val="20"/>
        </w:rPr>
      </w:pPr>
    </w:p>
    <w:p w14:paraId="67854262" w14:textId="77777777" w:rsidR="004E0648" w:rsidRPr="003E167B" w:rsidRDefault="004E0648" w:rsidP="004E0648">
      <w:pPr>
        <w:rPr>
          <w:rFonts w:cs="Arial"/>
          <w:i/>
          <w:iCs/>
          <w:sz w:val="20"/>
        </w:rPr>
      </w:pPr>
      <w:r w:rsidRPr="003E167B">
        <w:rPr>
          <w:rFonts w:cs="Arial"/>
          <w:i/>
          <w:iCs/>
          <w:sz w:val="20"/>
        </w:rPr>
        <w:lastRenderedPageBreak/>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4E0648" w:rsidRPr="003E167B" w14:paraId="26FBD659" w14:textId="77777777" w:rsidTr="00793A93">
        <w:tc>
          <w:tcPr>
            <w:tcW w:w="2265" w:type="dxa"/>
          </w:tcPr>
          <w:p w14:paraId="7E50A5AE" w14:textId="77777777" w:rsidR="004E0648" w:rsidRPr="003E167B" w:rsidRDefault="004E0648" w:rsidP="00793A93">
            <w:pPr>
              <w:rPr>
                <w:i/>
                <w:sz w:val="20"/>
              </w:rPr>
            </w:pPr>
            <w:r w:rsidRPr="003E167B">
              <w:rPr>
                <w:i/>
                <w:sz w:val="20"/>
              </w:rPr>
              <w:t>Date Amended</w:t>
            </w:r>
          </w:p>
        </w:tc>
        <w:tc>
          <w:tcPr>
            <w:tcW w:w="2265" w:type="dxa"/>
          </w:tcPr>
          <w:p w14:paraId="76F0FC9E" w14:textId="77777777" w:rsidR="004E0648" w:rsidRPr="003E167B" w:rsidRDefault="004E0648" w:rsidP="00793A93">
            <w:pPr>
              <w:rPr>
                <w:i/>
                <w:sz w:val="20"/>
              </w:rPr>
            </w:pPr>
            <w:r w:rsidRPr="003E167B">
              <w:rPr>
                <w:i/>
                <w:sz w:val="20"/>
              </w:rPr>
              <w:t>Section Amended</w:t>
            </w:r>
          </w:p>
        </w:tc>
        <w:tc>
          <w:tcPr>
            <w:tcW w:w="2265" w:type="dxa"/>
          </w:tcPr>
          <w:p w14:paraId="161835B5" w14:textId="77777777" w:rsidR="004E0648" w:rsidRPr="003E167B" w:rsidRDefault="004E0648" w:rsidP="00793A93">
            <w:pPr>
              <w:rPr>
                <w:i/>
                <w:sz w:val="20"/>
              </w:rPr>
            </w:pPr>
            <w:r w:rsidRPr="003E167B">
              <w:rPr>
                <w:i/>
                <w:sz w:val="20"/>
              </w:rPr>
              <w:t>Divisional Approval</w:t>
            </w:r>
          </w:p>
        </w:tc>
        <w:tc>
          <w:tcPr>
            <w:tcW w:w="2265" w:type="dxa"/>
          </w:tcPr>
          <w:p w14:paraId="39D1216B" w14:textId="77777777" w:rsidR="004E0648" w:rsidRPr="003E167B" w:rsidRDefault="004E0648" w:rsidP="00793A93">
            <w:pPr>
              <w:rPr>
                <w:i/>
                <w:sz w:val="20"/>
              </w:rPr>
            </w:pPr>
            <w:r w:rsidRPr="003E167B">
              <w:rPr>
                <w:i/>
                <w:sz w:val="20"/>
              </w:rPr>
              <w:t xml:space="preserve">Final Approval </w:t>
            </w:r>
          </w:p>
        </w:tc>
      </w:tr>
      <w:tr w:rsidR="004E0648" w:rsidRPr="003E167B" w14:paraId="56990D31" w14:textId="77777777" w:rsidTr="00793A93">
        <w:tc>
          <w:tcPr>
            <w:tcW w:w="2265" w:type="dxa"/>
          </w:tcPr>
          <w:p w14:paraId="265ACAF5" w14:textId="77777777" w:rsidR="004E0648" w:rsidRPr="003E167B" w:rsidRDefault="004E0648" w:rsidP="00793A93">
            <w:pPr>
              <w:rPr>
                <w:i/>
                <w:sz w:val="20"/>
              </w:rPr>
            </w:pPr>
            <w:r>
              <w:rPr>
                <w:i/>
                <w:sz w:val="20"/>
              </w:rPr>
              <w:t>10/03/2021</w:t>
            </w:r>
          </w:p>
        </w:tc>
        <w:tc>
          <w:tcPr>
            <w:tcW w:w="2265" w:type="dxa"/>
          </w:tcPr>
          <w:p w14:paraId="0428DC71" w14:textId="77777777" w:rsidR="004E0648" w:rsidRPr="003E167B" w:rsidRDefault="004E0648" w:rsidP="00793A93">
            <w:pPr>
              <w:rPr>
                <w:i/>
                <w:sz w:val="20"/>
              </w:rPr>
            </w:pPr>
            <w:r>
              <w:rPr>
                <w:i/>
                <w:sz w:val="20"/>
              </w:rPr>
              <w:t xml:space="preserve">Complete Review </w:t>
            </w:r>
          </w:p>
        </w:tc>
        <w:tc>
          <w:tcPr>
            <w:tcW w:w="2265" w:type="dxa"/>
          </w:tcPr>
          <w:p w14:paraId="2E9DA0CF" w14:textId="77777777" w:rsidR="004E0648" w:rsidRPr="003E167B" w:rsidRDefault="004E0648" w:rsidP="00793A93">
            <w:pPr>
              <w:rPr>
                <w:i/>
                <w:sz w:val="20"/>
              </w:rPr>
            </w:pPr>
            <w:r>
              <w:rPr>
                <w:i/>
                <w:sz w:val="20"/>
              </w:rPr>
              <w:t>Boon Lim, ED, WY&amp;C</w:t>
            </w:r>
          </w:p>
        </w:tc>
        <w:tc>
          <w:tcPr>
            <w:tcW w:w="2265" w:type="dxa"/>
          </w:tcPr>
          <w:p w14:paraId="702F0328" w14:textId="77777777" w:rsidR="004E0648" w:rsidRPr="003E167B" w:rsidRDefault="004E0648" w:rsidP="00793A93">
            <w:pPr>
              <w:rPr>
                <w:i/>
                <w:sz w:val="20"/>
              </w:rPr>
            </w:pPr>
            <w:r>
              <w:rPr>
                <w:i/>
                <w:sz w:val="20"/>
              </w:rPr>
              <w:t>CHS Policy Committee</w:t>
            </w:r>
          </w:p>
        </w:tc>
      </w:tr>
      <w:tr w:rsidR="004E0648" w:rsidRPr="003E167B" w14:paraId="3FEA3016" w14:textId="77777777" w:rsidTr="00793A93">
        <w:tc>
          <w:tcPr>
            <w:tcW w:w="2265" w:type="dxa"/>
          </w:tcPr>
          <w:p w14:paraId="489BEDC9" w14:textId="77777777" w:rsidR="004E0648" w:rsidRPr="003E167B" w:rsidRDefault="004E0648" w:rsidP="00793A93">
            <w:pPr>
              <w:rPr>
                <w:i/>
                <w:sz w:val="20"/>
              </w:rPr>
            </w:pPr>
          </w:p>
        </w:tc>
        <w:tc>
          <w:tcPr>
            <w:tcW w:w="2265" w:type="dxa"/>
          </w:tcPr>
          <w:p w14:paraId="20FE21D2" w14:textId="77777777" w:rsidR="004E0648" w:rsidRPr="003E167B" w:rsidRDefault="004E0648" w:rsidP="00793A93">
            <w:pPr>
              <w:rPr>
                <w:i/>
                <w:sz w:val="20"/>
              </w:rPr>
            </w:pPr>
          </w:p>
        </w:tc>
        <w:tc>
          <w:tcPr>
            <w:tcW w:w="2265" w:type="dxa"/>
          </w:tcPr>
          <w:p w14:paraId="50643B0C" w14:textId="77777777" w:rsidR="004E0648" w:rsidRPr="003E167B" w:rsidRDefault="004E0648" w:rsidP="00793A93">
            <w:pPr>
              <w:rPr>
                <w:i/>
                <w:sz w:val="20"/>
              </w:rPr>
            </w:pPr>
          </w:p>
        </w:tc>
        <w:tc>
          <w:tcPr>
            <w:tcW w:w="2265" w:type="dxa"/>
          </w:tcPr>
          <w:p w14:paraId="303A1952" w14:textId="77777777" w:rsidR="004E0648" w:rsidRPr="003E167B" w:rsidRDefault="004E0648" w:rsidP="00793A93">
            <w:pPr>
              <w:rPr>
                <w:i/>
                <w:sz w:val="20"/>
              </w:rPr>
            </w:pPr>
          </w:p>
        </w:tc>
      </w:tr>
    </w:tbl>
    <w:p w14:paraId="164398E8" w14:textId="77777777" w:rsidR="004E0648" w:rsidRPr="003E167B" w:rsidRDefault="004E0648" w:rsidP="004E0648">
      <w:pPr>
        <w:rPr>
          <w:rFonts w:cs="Arial"/>
          <w:sz w:val="20"/>
        </w:rPr>
      </w:pPr>
    </w:p>
    <w:p w14:paraId="3A4DB8C0" w14:textId="77777777" w:rsidR="004E0648" w:rsidRPr="003E167B" w:rsidRDefault="004E0648" w:rsidP="004E0648">
      <w:pPr>
        <w:rPr>
          <w:rFonts w:cs="Arial"/>
          <w:i/>
          <w:sz w:val="20"/>
        </w:rPr>
      </w:pPr>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4E0648" w:rsidRPr="003E167B" w14:paraId="2BACD2B9" w14:textId="77777777" w:rsidTr="00793A93">
        <w:tc>
          <w:tcPr>
            <w:tcW w:w="2122" w:type="dxa"/>
          </w:tcPr>
          <w:p w14:paraId="52B567A1" w14:textId="77777777" w:rsidR="004E0648" w:rsidRPr="003E167B" w:rsidRDefault="004E0648" w:rsidP="00793A93">
            <w:pPr>
              <w:rPr>
                <w:i/>
                <w:sz w:val="20"/>
              </w:rPr>
            </w:pPr>
            <w:r w:rsidRPr="003E167B">
              <w:rPr>
                <w:i/>
                <w:sz w:val="20"/>
              </w:rPr>
              <w:t>Document Number</w:t>
            </w:r>
          </w:p>
        </w:tc>
        <w:tc>
          <w:tcPr>
            <w:tcW w:w="6938" w:type="dxa"/>
          </w:tcPr>
          <w:p w14:paraId="14556914" w14:textId="77777777" w:rsidR="004E0648" w:rsidRPr="003E167B" w:rsidRDefault="004E0648" w:rsidP="00793A93">
            <w:pPr>
              <w:rPr>
                <w:i/>
                <w:sz w:val="20"/>
              </w:rPr>
            </w:pPr>
            <w:r w:rsidRPr="003E167B">
              <w:rPr>
                <w:i/>
                <w:sz w:val="20"/>
              </w:rPr>
              <w:t>Document Name</w:t>
            </w:r>
          </w:p>
        </w:tc>
      </w:tr>
      <w:tr w:rsidR="004E0648" w:rsidRPr="003E167B" w14:paraId="15BAE4BB" w14:textId="77777777" w:rsidTr="00793A93">
        <w:tc>
          <w:tcPr>
            <w:tcW w:w="2122" w:type="dxa"/>
          </w:tcPr>
          <w:p w14:paraId="201CCE5D" w14:textId="77777777" w:rsidR="004E0648" w:rsidRPr="003E167B" w:rsidRDefault="004E0648" w:rsidP="00793A93">
            <w:pPr>
              <w:rPr>
                <w:i/>
                <w:sz w:val="20"/>
              </w:rPr>
            </w:pPr>
            <w:r>
              <w:rPr>
                <w:i/>
                <w:sz w:val="20"/>
              </w:rPr>
              <w:t>CHHS15/094</w:t>
            </w:r>
          </w:p>
        </w:tc>
        <w:tc>
          <w:tcPr>
            <w:tcW w:w="6938" w:type="dxa"/>
          </w:tcPr>
          <w:p w14:paraId="0C258062" w14:textId="77777777" w:rsidR="004E0648" w:rsidRPr="003E167B" w:rsidRDefault="004E0648" w:rsidP="00793A93">
            <w:pPr>
              <w:rPr>
                <w:i/>
                <w:sz w:val="20"/>
              </w:rPr>
            </w:pPr>
            <w:r>
              <w:rPr>
                <w:i/>
                <w:sz w:val="20"/>
              </w:rPr>
              <w:t xml:space="preserve">Management and Prevention of Prolonged Pregnancy </w:t>
            </w:r>
          </w:p>
        </w:tc>
      </w:tr>
      <w:tr w:rsidR="004E0648" w:rsidRPr="003E167B" w14:paraId="26462F74" w14:textId="77777777" w:rsidTr="00793A93">
        <w:tc>
          <w:tcPr>
            <w:tcW w:w="2122" w:type="dxa"/>
          </w:tcPr>
          <w:p w14:paraId="3DE58518" w14:textId="77777777" w:rsidR="004E0648" w:rsidRPr="003E167B" w:rsidRDefault="004E0648" w:rsidP="00793A93">
            <w:pPr>
              <w:rPr>
                <w:i/>
                <w:sz w:val="20"/>
              </w:rPr>
            </w:pPr>
          </w:p>
        </w:tc>
        <w:tc>
          <w:tcPr>
            <w:tcW w:w="6938" w:type="dxa"/>
          </w:tcPr>
          <w:p w14:paraId="292FB52C" w14:textId="77777777" w:rsidR="004E0648" w:rsidRPr="003E167B" w:rsidRDefault="004E0648" w:rsidP="00793A93">
            <w:pPr>
              <w:rPr>
                <w:i/>
                <w:sz w:val="20"/>
              </w:rPr>
            </w:pPr>
          </w:p>
        </w:tc>
      </w:tr>
    </w:tbl>
    <w:p w14:paraId="6D974024" w14:textId="77777777" w:rsidR="004E0648" w:rsidRPr="009A534C" w:rsidRDefault="004E0648" w:rsidP="004E0648">
      <w:pPr>
        <w:rPr>
          <w:szCs w:val="24"/>
        </w:rPr>
      </w:pPr>
    </w:p>
    <w:p w14:paraId="105BCA8F" w14:textId="77777777" w:rsidR="00DC739E" w:rsidRPr="004E0648" w:rsidRDefault="00DC739E" w:rsidP="004E0648"/>
    <w:sectPr w:rsidR="00DC739E" w:rsidRPr="004E0648" w:rsidSect="000E7C1C">
      <w:headerReference w:type="even" r:id="rId28"/>
      <w:headerReference w:type="default" r:id="rId29"/>
      <w:footerReference w:type="even" r:id="rId30"/>
      <w:footerReference w:type="default" r:id="rId31"/>
      <w:headerReference w:type="first" r:id="rId32"/>
      <w:footerReference w:type="first" r:id="rId3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8427" w14:textId="77777777" w:rsidR="00FB2BA1" w:rsidRDefault="00FB2BA1" w:rsidP="00F66CB0">
      <w:r>
        <w:separator/>
      </w:r>
    </w:p>
  </w:endnote>
  <w:endnote w:type="continuationSeparator" w:id="0">
    <w:p w14:paraId="3A138F85" w14:textId="77777777" w:rsidR="00FB2BA1" w:rsidRDefault="00FB2BA1"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LTStd">
    <w:altName w:val="Arial Unicode MS"/>
    <w:panose1 w:val="00000000000000000000"/>
    <w:charset w:val="80"/>
    <w:family w:val="swiss"/>
    <w:notTrueType/>
    <w:pitch w:val="default"/>
    <w:sig w:usb0="00000001" w:usb1="08070000" w:usb2="00000010" w:usb3="00000000" w:csb0="00020000" w:csb1="00000000"/>
  </w:font>
  <w:font w:name="OptimaLTStd-Bold">
    <w:panose1 w:val="00000000000000000000"/>
    <w:charset w:val="80"/>
    <w:family w:val="swiss"/>
    <w:notTrueType/>
    <w:pitch w:val="default"/>
    <w:sig w:usb0="00000001" w:usb1="08070000" w:usb2="00000010" w:usb3="00000000" w:csb0="00020000"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AE81" w14:textId="77777777" w:rsidR="004E0648" w:rsidRDefault="004E0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A4A9D" w:rsidRPr="00AE7C5C" w14:paraId="027ECA11" w14:textId="77777777" w:rsidTr="005E3503">
      <w:tc>
        <w:tcPr>
          <w:tcW w:w="1515" w:type="dxa"/>
        </w:tcPr>
        <w:p w14:paraId="5079A5D0" w14:textId="77777777" w:rsidR="004A4A9D" w:rsidRPr="00B3752F" w:rsidRDefault="004A4A9D" w:rsidP="004A4A9D">
          <w:pPr>
            <w:pStyle w:val="Footer"/>
            <w:rPr>
              <w:rFonts w:cs="Arial"/>
              <w:b/>
              <w:bCs/>
              <w:i/>
              <w:sz w:val="20"/>
            </w:rPr>
          </w:pPr>
          <w:r w:rsidRPr="00B3752F">
            <w:rPr>
              <w:rFonts w:cs="Arial"/>
              <w:b/>
              <w:bCs/>
              <w:i/>
              <w:sz w:val="20"/>
            </w:rPr>
            <w:t>Doc Number</w:t>
          </w:r>
        </w:p>
      </w:tc>
      <w:tc>
        <w:tcPr>
          <w:tcW w:w="965" w:type="dxa"/>
        </w:tcPr>
        <w:p w14:paraId="65DB090F" w14:textId="77777777" w:rsidR="004A4A9D" w:rsidRPr="00B3752F" w:rsidRDefault="004A4A9D" w:rsidP="004A4A9D">
          <w:pPr>
            <w:pStyle w:val="Footer"/>
            <w:rPr>
              <w:rFonts w:cs="Arial"/>
              <w:b/>
              <w:bCs/>
              <w:i/>
              <w:sz w:val="20"/>
            </w:rPr>
          </w:pPr>
          <w:r w:rsidRPr="00B3752F">
            <w:rPr>
              <w:rFonts w:cs="Arial"/>
              <w:b/>
              <w:bCs/>
              <w:i/>
              <w:sz w:val="20"/>
            </w:rPr>
            <w:t>Version</w:t>
          </w:r>
        </w:p>
      </w:tc>
      <w:tc>
        <w:tcPr>
          <w:tcW w:w="1552" w:type="dxa"/>
        </w:tcPr>
        <w:p w14:paraId="1EF75EE4" w14:textId="77777777" w:rsidR="004A4A9D" w:rsidRPr="00B3752F" w:rsidRDefault="004A4A9D" w:rsidP="004A4A9D">
          <w:pPr>
            <w:pStyle w:val="Footer"/>
            <w:rPr>
              <w:rFonts w:cs="Arial"/>
              <w:b/>
              <w:bCs/>
              <w:i/>
              <w:sz w:val="20"/>
            </w:rPr>
          </w:pPr>
          <w:r w:rsidRPr="00B3752F">
            <w:rPr>
              <w:rFonts w:cs="Arial"/>
              <w:b/>
              <w:bCs/>
              <w:i/>
              <w:sz w:val="20"/>
            </w:rPr>
            <w:t>Issued</w:t>
          </w:r>
        </w:p>
      </w:tc>
      <w:tc>
        <w:tcPr>
          <w:tcW w:w="1456" w:type="dxa"/>
        </w:tcPr>
        <w:p w14:paraId="13000D86" w14:textId="77777777" w:rsidR="004A4A9D" w:rsidRPr="00B3752F" w:rsidRDefault="004A4A9D" w:rsidP="004A4A9D">
          <w:pPr>
            <w:pStyle w:val="Footer"/>
            <w:rPr>
              <w:rFonts w:cs="Arial"/>
              <w:b/>
              <w:bCs/>
              <w:i/>
              <w:sz w:val="20"/>
            </w:rPr>
          </w:pPr>
          <w:r w:rsidRPr="00B3752F">
            <w:rPr>
              <w:rFonts w:cs="Arial"/>
              <w:b/>
              <w:bCs/>
              <w:i/>
              <w:sz w:val="20"/>
            </w:rPr>
            <w:t>Review Date</w:t>
          </w:r>
        </w:p>
      </w:tc>
      <w:tc>
        <w:tcPr>
          <w:tcW w:w="1746" w:type="dxa"/>
        </w:tcPr>
        <w:p w14:paraId="0413861B" w14:textId="77777777" w:rsidR="004A4A9D" w:rsidRPr="00B3752F" w:rsidRDefault="004A4A9D" w:rsidP="004A4A9D">
          <w:pPr>
            <w:pStyle w:val="Footer"/>
            <w:rPr>
              <w:rFonts w:cs="Arial"/>
              <w:b/>
              <w:bCs/>
              <w:i/>
              <w:sz w:val="20"/>
            </w:rPr>
          </w:pPr>
          <w:r w:rsidRPr="00B3752F">
            <w:rPr>
              <w:rFonts w:cs="Arial"/>
              <w:b/>
              <w:bCs/>
              <w:i/>
              <w:sz w:val="20"/>
            </w:rPr>
            <w:t>Area Responsible</w:t>
          </w:r>
        </w:p>
      </w:tc>
      <w:tc>
        <w:tcPr>
          <w:tcW w:w="1836" w:type="dxa"/>
        </w:tcPr>
        <w:p w14:paraId="7C0C64AA" w14:textId="77777777" w:rsidR="004A4A9D" w:rsidRPr="00B3752F" w:rsidRDefault="004A4A9D" w:rsidP="004A4A9D">
          <w:pPr>
            <w:pStyle w:val="Footer"/>
            <w:rPr>
              <w:rFonts w:cs="Arial"/>
              <w:b/>
              <w:bCs/>
              <w:i/>
              <w:sz w:val="20"/>
            </w:rPr>
          </w:pPr>
          <w:r w:rsidRPr="00B3752F">
            <w:rPr>
              <w:rFonts w:cs="Arial"/>
              <w:b/>
              <w:bCs/>
              <w:i/>
              <w:sz w:val="20"/>
            </w:rPr>
            <w:t>Page</w:t>
          </w:r>
        </w:p>
      </w:tc>
    </w:tr>
    <w:tr w:rsidR="004A4A9D" w14:paraId="41B90B7C" w14:textId="77777777" w:rsidTr="005E3503">
      <w:tc>
        <w:tcPr>
          <w:tcW w:w="1515" w:type="dxa"/>
        </w:tcPr>
        <w:p w14:paraId="551AAED7" w14:textId="05708CBF" w:rsidR="004A4A9D" w:rsidRPr="00542EE6" w:rsidRDefault="005A2707" w:rsidP="004A4A9D">
          <w:pPr>
            <w:pStyle w:val="Footer"/>
            <w:rPr>
              <w:rFonts w:cs="Arial"/>
              <w:b/>
              <w:bCs/>
              <w:sz w:val="20"/>
            </w:rPr>
          </w:pPr>
          <w:r>
            <w:rPr>
              <w:b/>
              <w:sz w:val="20"/>
            </w:rPr>
            <w:t>CHS21/197</w:t>
          </w:r>
        </w:p>
      </w:tc>
      <w:tc>
        <w:tcPr>
          <w:tcW w:w="965" w:type="dxa"/>
        </w:tcPr>
        <w:p w14:paraId="7BB23E94" w14:textId="6CE87C84" w:rsidR="004A4A9D" w:rsidRPr="00B3752F" w:rsidRDefault="005A2707" w:rsidP="004A4A9D">
          <w:pPr>
            <w:pStyle w:val="Footer"/>
            <w:rPr>
              <w:rFonts w:cs="Arial"/>
              <w:b/>
              <w:bCs/>
              <w:sz w:val="20"/>
            </w:rPr>
          </w:pPr>
          <w:r>
            <w:rPr>
              <w:rFonts w:cs="Arial"/>
              <w:b/>
              <w:bCs/>
              <w:sz w:val="20"/>
            </w:rPr>
            <w:t>1</w:t>
          </w:r>
        </w:p>
      </w:tc>
      <w:tc>
        <w:tcPr>
          <w:tcW w:w="1552" w:type="dxa"/>
        </w:tcPr>
        <w:p w14:paraId="0017A7C2" w14:textId="7C806491" w:rsidR="004A4A9D" w:rsidRPr="00B3752F" w:rsidRDefault="005A2707" w:rsidP="004A4A9D">
          <w:pPr>
            <w:pStyle w:val="Footer"/>
            <w:rPr>
              <w:rFonts w:cs="Arial"/>
              <w:b/>
              <w:bCs/>
              <w:sz w:val="20"/>
            </w:rPr>
          </w:pPr>
          <w:r>
            <w:rPr>
              <w:rFonts w:cs="Arial"/>
              <w:b/>
              <w:bCs/>
              <w:sz w:val="20"/>
            </w:rPr>
            <w:t>01/04/2021</w:t>
          </w:r>
        </w:p>
      </w:tc>
      <w:tc>
        <w:tcPr>
          <w:tcW w:w="1456" w:type="dxa"/>
        </w:tcPr>
        <w:p w14:paraId="268B77D9" w14:textId="28460AF8" w:rsidR="004A4A9D" w:rsidRPr="00B3752F" w:rsidRDefault="005A2707" w:rsidP="004A4A9D">
          <w:pPr>
            <w:pStyle w:val="Footer"/>
            <w:rPr>
              <w:rFonts w:cs="Arial"/>
              <w:b/>
              <w:bCs/>
              <w:sz w:val="20"/>
            </w:rPr>
          </w:pPr>
          <w:r>
            <w:rPr>
              <w:rFonts w:cs="Arial"/>
              <w:b/>
              <w:bCs/>
              <w:sz w:val="20"/>
            </w:rPr>
            <w:t>01/04/2024</w:t>
          </w:r>
        </w:p>
      </w:tc>
      <w:tc>
        <w:tcPr>
          <w:tcW w:w="1746" w:type="dxa"/>
        </w:tcPr>
        <w:p w14:paraId="4F81866A" w14:textId="44C1152E" w:rsidR="004A4A9D" w:rsidRPr="00B3752F" w:rsidRDefault="005A2707" w:rsidP="004A4A9D">
          <w:pPr>
            <w:pStyle w:val="Footer"/>
            <w:rPr>
              <w:rFonts w:cs="Arial"/>
              <w:b/>
              <w:bCs/>
              <w:sz w:val="20"/>
            </w:rPr>
          </w:pPr>
          <w:r>
            <w:rPr>
              <w:rFonts w:cs="Arial"/>
              <w:b/>
              <w:bCs/>
              <w:sz w:val="20"/>
            </w:rPr>
            <w:t xml:space="preserve">WY&amp;C-Maternity </w:t>
          </w:r>
        </w:p>
      </w:tc>
      <w:tc>
        <w:tcPr>
          <w:tcW w:w="1836" w:type="dxa"/>
        </w:tcPr>
        <w:p w14:paraId="370E7C08" w14:textId="77777777" w:rsidR="004A4A9D" w:rsidRPr="00B3752F" w:rsidRDefault="004A4A9D" w:rsidP="004A4A9D">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5</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5</w:t>
          </w:r>
          <w:r w:rsidRPr="00B3752F">
            <w:rPr>
              <w:rStyle w:val="PageNumber"/>
              <w:sz w:val="20"/>
            </w:rPr>
            <w:fldChar w:fldCharType="end"/>
          </w:r>
        </w:p>
      </w:tc>
    </w:tr>
    <w:tr w:rsidR="004A4A9D" w14:paraId="0A3FC732" w14:textId="77777777" w:rsidTr="005E3503">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72FA5FF2" w14:textId="77777777" w:rsidR="004A4A9D" w:rsidRPr="002C1428" w:rsidRDefault="004A4A9D" w:rsidP="004A4A9D">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105BCAA9" w14:textId="77777777" w:rsidR="008B158E" w:rsidRPr="00AE7C5C" w:rsidRDefault="008B158E" w:rsidP="000E7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B856" w14:textId="77777777" w:rsidR="004E0648" w:rsidRDefault="004E0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C53E" w14:textId="77777777" w:rsidR="00FB2BA1" w:rsidRDefault="00FB2BA1" w:rsidP="00F66CB0">
      <w:r>
        <w:separator/>
      </w:r>
    </w:p>
  </w:footnote>
  <w:footnote w:type="continuationSeparator" w:id="0">
    <w:p w14:paraId="0FAE3072" w14:textId="77777777" w:rsidR="00FB2BA1" w:rsidRDefault="00FB2BA1"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ABFF" w14:textId="77777777" w:rsidR="004E0648" w:rsidRDefault="004E0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8B158E" w14:paraId="105BCA97" w14:textId="77777777" w:rsidTr="27E69E8B">
      <w:trPr>
        <w:trHeight w:val="1276"/>
      </w:trPr>
      <w:tc>
        <w:tcPr>
          <w:tcW w:w="5556" w:type="dxa"/>
          <w:vAlign w:val="center"/>
        </w:tcPr>
        <w:p w14:paraId="105BCA95" w14:textId="194EF5D9" w:rsidR="008B158E" w:rsidRPr="00EF02B0" w:rsidRDefault="27E69E8B" w:rsidP="00564DD7">
          <w:pPr>
            <w:pStyle w:val="Header"/>
            <w:rPr>
              <w:sz w:val="20"/>
            </w:rPr>
          </w:pPr>
          <w:r>
            <w:rPr>
              <w:noProof/>
            </w:rPr>
            <w:drawing>
              <wp:inline distT="0" distB="0" distL="0" distR="0" wp14:anchorId="6A393093" wp14:editId="27E69E8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tcPr>
        <w:p w14:paraId="105BCA96" w14:textId="31DB2696" w:rsidR="008B158E" w:rsidRDefault="005A2707" w:rsidP="00366C99">
          <w:pPr>
            <w:pStyle w:val="Header"/>
            <w:tabs>
              <w:tab w:val="clear" w:pos="4153"/>
              <w:tab w:val="clear" w:pos="8306"/>
            </w:tabs>
            <w:jc w:val="right"/>
            <w:rPr>
              <w:sz w:val="20"/>
            </w:rPr>
          </w:pPr>
          <w:bookmarkStart w:id="39" w:name="_top"/>
          <w:bookmarkEnd w:id="39"/>
          <w:r>
            <w:rPr>
              <w:sz w:val="20"/>
            </w:rPr>
            <w:t xml:space="preserve"> CHS21/197 </w:t>
          </w:r>
          <w:r w:rsidR="00450212">
            <w:rPr>
              <w:sz w:val="20"/>
            </w:rPr>
            <w:t xml:space="preserve"> </w:t>
          </w:r>
        </w:p>
      </w:tc>
    </w:tr>
  </w:tbl>
  <w:p w14:paraId="105BCA98" w14:textId="77777777" w:rsidR="008B158E" w:rsidRPr="00FC3538" w:rsidRDefault="008B158E">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9A5B" w14:textId="77777777" w:rsidR="004E0648" w:rsidRDefault="004E0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D42BB8"/>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4667CBB"/>
    <w:multiLevelType w:val="hybridMultilevel"/>
    <w:tmpl w:val="0E68F51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15:restartNumberingAfterBreak="0">
    <w:nsid w:val="10E847A7"/>
    <w:multiLevelType w:val="hybridMultilevel"/>
    <w:tmpl w:val="EBB2B546"/>
    <w:lvl w:ilvl="0" w:tplc="0C090001">
      <w:start w:val="1"/>
      <w:numFmt w:val="bullet"/>
      <w:lvlText w:val=""/>
      <w:lvlJc w:val="left"/>
      <w:pPr>
        <w:tabs>
          <w:tab w:val="num" w:pos="786"/>
        </w:tabs>
        <w:ind w:left="786" w:hanging="360"/>
      </w:pPr>
      <w:rPr>
        <w:rFonts w:ascii="Symbol" w:hAnsi="Symbol" w:hint="default"/>
      </w:rPr>
    </w:lvl>
    <w:lvl w:ilvl="1" w:tplc="0C090003" w:tentative="1">
      <w:start w:val="1"/>
      <w:numFmt w:val="bullet"/>
      <w:lvlText w:val="o"/>
      <w:lvlJc w:val="left"/>
      <w:pPr>
        <w:tabs>
          <w:tab w:val="num" w:pos="2356"/>
        </w:tabs>
        <w:ind w:left="2356" w:hanging="360"/>
      </w:pPr>
      <w:rPr>
        <w:rFonts w:ascii="Courier New" w:hAnsi="Courier New" w:hint="default"/>
      </w:rPr>
    </w:lvl>
    <w:lvl w:ilvl="2" w:tplc="0C090005" w:tentative="1">
      <w:start w:val="1"/>
      <w:numFmt w:val="bullet"/>
      <w:lvlText w:val=""/>
      <w:lvlJc w:val="left"/>
      <w:pPr>
        <w:tabs>
          <w:tab w:val="num" w:pos="3076"/>
        </w:tabs>
        <w:ind w:left="3076" w:hanging="360"/>
      </w:pPr>
      <w:rPr>
        <w:rFonts w:ascii="Wingdings" w:hAnsi="Wingdings" w:hint="default"/>
      </w:rPr>
    </w:lvl>
    <w:lvl w:ilvl="3" w:tplc="0C090001" w:tentative="1">
      <w:start w:val="1"/>
      <w:numFmt w:val="bullet"/>
      <w:lvlText w:val=""/>
      <w:lvlJc w:val="left"/>
      <w:pPr>
        <w:tabs>
          <w:tab w:val="num" w:pos="3796"/>
        </w:tabs>
        <w:ind w:left="3796" w:hanging="360"/>
      </w:pPr>
      <w:rPr>
        <w:rFonts w:ascii="Symbol" w:hAnsi="Symbol" w:hint="default"/>
      </w:rPr>
    </w:lvl>
    <w:lvl w:ilvl="4" w:tplc="0C090003" w:tentative="1">
      <w:start w:val="1"/>
      <w:numFmt w:val="bullet"/>
      <w:lvlText w:val="o"/>
      <w:lvlJc w:val="left"/>
      <w:pPr>
        <w:tabs>
          <w:tab w:val="num" w:pos="4516"/>
        </w:tabs>
        <w:ind w:left="4516" w:hanging="360"/>
      </w:pPr>
      <w:rPr>
        <w:rFonts w:ascii="Courier New" w:hAnsi="Courier New" w:hint="default"/>
      </w:rPr>
    </w:lvl>
    <w:lvl w:ilvl="5" w:tplc="0C090005" w:tentative="1">
      <w:start w:val="1"/>
      <w:numFmt w:val="bullet"/>
      <w:lvlText w:val=""/>
      <w:lvlJc w:val="left"/>
      <w:pPr>
        <w:tabs>
          <w:tab w:val="num" w:pos="5236"/>
        </w:tabs>
        <w:ind w:left="5236" w:hanging="360"/>
      </w:pPr>
      <w:rPr>
        <w:rFonts w:ascii="Wingdings" w:hAnsi="Wingdings" w:hint="default"/>
      </w:rPr>
    </w:lvl>
    <w:lvl w:ilvl="6" w:tplc="0C090001" w:tentative="1">
      <w:start w:val="1"/>
      <w:numFmt w:val="bullet"/>
      <w:lvlText w:val=""/>
      <w:lvlJc w:val="left"/>
      <w:pPr>
        <w:tabs>
          <w:tab w:val="num" w:pos="5956"/>
        </w:tabs>
        <w:ind w:left="5956" w:hanging="360"/>
      </w:pPr>
      <w:rPr>
        <w:rFonts w:ascii="Symbol" w:hAnsi="Symbol" w:hint="default"/>
      </w:rPr>
    </w:lvl>
    <w:lvl w:ilvl="7" w:tplc="0C090003" w:tentative="1">
      <w:start w:val="1"/>
      <w:numFmt w:val="bullet"/>
      <w:lvlText w:val="o"/>
      <w:lvlJc w:val="left"/>
      <w:pPr>
        <w:tabs>
          <w:tab w:val="num" w:pos="6676"/>
        </w:tabs>
        <w:ind w:left="6676" w:hanging="360"/>
      </w:pPr>
      <w:rPr>
        <w:rFonts w:ascii="Courier New" w:hAnsi="Courier New" w:hint="default"/>
      </w:rPr>
    </w:lvl>
    <w:lvl w:ilvl="8" w:tplc="0C090005" w:tentative="1">
      <w:start w:val="1"/>
      <w:numFmt w:val="bullet"/>
      <w:lvlText w:val=""/>
      <w:lvlJc w:val="left"/>
      <w:pPr>
        <w:tabs>
          <w:tab w:val="num" w:pos="7396"/>
        </w:tabs>
        <w:ind w:left="7396" w:hanging="360"/>
      </w:pPr>
      <w:rPr>
        <w:rFonts w:ascii="Wingdings" w:hAnsi="Wingdings" w:hint="default"/>
      </w:rPr>
    </w:lvl>
  </w:abstractNum>
  <w:abstractNum w:abstractNumId="4" w15:restartNumberingAfterBreak="0">
    <w:nsid w:val="13666CDB"/>
    <w:multiLevelType w:val="multilevel"/>
    <w:tmpl w:val="98D2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40F13"/>
    <w:multiLevelType w:val="hybridMultilevel"/>
    <w:tmpl w:val="D9DA3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653AF6"/>
    <w:multiLevelType w:val="hybridMultilevel"/>
    <w:tmpl w:val="F6D852C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481269"/>
    <w:multiLevelType w:val="hybridMultilevel"/>
    <w:tmpl w:val="EE3AD22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7F598F"/>
    <w:multiLevelType w:val="hybridMultilevel"/>
    <w:tmpl w:val="FEF227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A7A4A"/>
    <w:multiLevelType w:val="hybridMultilevel"/>
    <w:tmpl w:val="61DA7DF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7770EE3"/>
    <w:multiLevelType w:val="hybridMultilevel"/>
    <w:tmpl w:val="663A54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1484B"/>
    <w:multiLevelType w:val="multilevel"/>
    <w:tmpl w:val="7044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C6310"/>
    <w:multiLevelType w:val="hybridMultilevel"/>
    <w:tmpl w:val="CD3ABA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0B38F2"/>
    <w:multiLevelType w:val="hybridMultilevel"/>
    <w:tmpl w:val="1ED8CAD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207658"/>
    <w:multiLevelType w:val="hybridMultilevel"/>
    <w:tmpl w:val="F8C8B2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C13077A"/>
    <w:multiLevelType w:val="multilevel"/>
    <w:tmpl w:val="1E7A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51A70"/>
    <w:multiLevelType w:val="hybridMultilevel"/>
    <w:tmpl w:val="B9C06A50"/>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0B0720"/>
    <w:multiLevelType w:val="hybridMultilevel"/>
    <w:tmpl w:val="206071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15417DA"/>
    <w:multiLevelType w:val="hybridMultilevel"/>
    <w:tmpl w:val="5C7C5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7EF08BA"/>
    <w:multiLevelType w:val="hybridMultilevel"/>
    <w:tmpl w:val="98187B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6771F0"/>
    <w:multiLevelType w:val="hybridMultilevel"/>
    <w:tmpl w:val="8E525D8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23" w15:restartNumberingAfterBreak="0">
    <w:nsid w:val="74761DAC"/>
    <w:multiLevelType w:val="multilevel"/>
    <w:tmpl w:val="100C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F09DD"/>
    <w:multiLevelType w:val="hybridMultilevel"/>
    <w:tmpl w:val="373659C8"/>
    <w:lvl w:ilvl="0" w:tplc="5D9EF09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A67AE2"/>
    <w:multiLevelType w:val="hybridMultilevel"/>
    <w:tmpl w:val="3CE800D2"/>
    <w:lvl w:ilvl="0" w:tplc="F38CF3A0">
      <w:start w:val="1"/>
      <w:numFmt w:val="decimal"/>
      <w:lvlText w:val="%1."/>
      <w:lvlJc w:val="left"/>
      <w:pPr>
        <w:ind w:left="360" w:hanging="360"/>
      </w:pPr>
      <w:rPr>
        <w:b w:val="0"/>
        <w:bCs/>
        <w:i w:val="0"/>
        <w:iCs/>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22120093">
    <w:abstractNumId w:val="0"/>
  </w:num>
  <w:num w:numId="2" w16cid:durableId="177475033">
    <w:abstractNumId w:val="1"/>
  </w:num>
  <w:num w:numId="3" w16cid:durableId="1158811764">
    <w:abstractNumId w:val="25"/>
  </w:num>
  <w:num w:numId="4" w16cid:durableId="905259685">
    <w:abstractNumId w:val="5"/>
  </w:num>
  <w:num w:numId="5" w16cid:durableId="1966497679">
    <w:abstractNumId w:val="7"/>
  </w:num>
  <w:num w:numId="6" w16cid:durableId="1227571691">
    <w:abstractNumId w:val="20"/>
  </w:num>
  <w:num w:numId="7" w16cid:durableId="1848978242">
    <w:abstractNumId w:val="15"/>
  </w:num>
  <w:num w:numId="8" w16cid:durableId="1143079610">
    <w:abstractNumId w:val="14"/>
  </w:num>
  <w:num w:numId="9" w16cid:durableId="1557812325">
    <w:abstractNumId w:val="12"/>
  </w:num>
  <w:num w:numId="10" w16cid:durableId="1823422444">
    <w:abstractNumId w:val="3"/>
  </w:num>
  <w:num w:numId="11" w16cid:durableId="1452627844">
    <w:abstractNumId w:val="10"/>
  </w:num>
  <w:num w:numId="12" w16cid:durableId="1077628179">
    <w:abstractNumId w:val="18"/>
  </w:num>
  <w:num w:numId="13" w16cid:durableId="228541930">
    <w:abstractNumId w:val="11"/>
  </w:num>
  <w:num w:numId="14" w16cid:durableId="307395505">
    <w:abstractNumId w:val="24"/>
  </w:num>
  <w:num w:numId="15" w16cid:durableId="2125229257">
    <w:abstractNumId w:val="8"/>
  </w:num>
  <w:num w:numId="16" w16cid:durableId="79453593">
    <w:abstractNumId w:val="9"/>
  </w:num>
  <w:num w:numId="17" w16cid:durableId="9718382">
    <w:abstractNumId w:val="2"/>
  </w:num>
  <w:num w:numId="18" w16cid:durableId="331033647">
    <w:abstractNumId w:val="22"/>
  </w:num>
  <w:num w:numId="19" w16cid:durableId="754014199">
    <w:abstractNumId w:val="21"/>
  </w:num>
  <w:num w:numId="20" w16cid:durableId="10970977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1019294">
    <w:abstractNumId w:val="16"/>
  </w:num>
  <w:num w:numId="22" w16cid:durableId="911501173">
    <w:abstractNumId w:val="26"/>
  </w:num>
  <w:num w:numId="23" w16cid:durableId="505440508">
    <w:abstractNumId w:val="19"/>
  </w:num>
  <w:num w:numId="24" w16cid:durableId="1087308649">
    <w:abstractNumId w:val="13"/>
  </w:num>
  <w:num w:numId="25" w16cid:durableId="1115636745">
    <w:abstractNumId w:val="6"/>
  </w:num>
  <w:num w:numId="26" w16cid:durableId="1805544202">
    <w:abstractNumId w:val="23"/>
  </w:num>
  <w:num w:numId="27" w16cid:durableId="330837437">
    <w:abstractNumId w:val="4"/>
  </w:num>
  <w:num w:numId="28" w16cid:durableId="17791825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4"/>
    <w:rsid w:val="00002272"/>
    <w:rsid w:val="00002A08"/>
    <w:rsid w:val="00004E17"/>
    <w:rsid w:val="000050B2"/>
    <w:rsid w:val="000121C3"/>
    <w:rsid w:val="00015B90"/>
    <w:rsid w:val="0001607A"/>
    <w:rsid w:val="000314A1"/>
    <w:rsid w:val="000366BC"/>
    <w:rsid w:val="00037328"/>
    <w:rsid w:val="00055BAE"/>
    <w:rsid w:val="00064BA5"/>
    <w:rsid w:val="000869DB"/>
    <w:rsid w:val="000977E4"/>
    <w:rsid w:val="000A3D5E"/>
    <w:rsid w:val="000B4CB0"/>
    <w:rsid w:val="000B5C8C"/>
    <w:rsid w:val="000B639A"/>
    <w:rsid w:val="000C59E2"/>
    <w:rsid w:val="000C7B2D"/>
    <w:rsid w:val="000E7C1C"/>
    <w:rsid w:val="000F7B7E"/>
    <w:rsid w:val="001001B4"/>
    <w:rsid w:val="00103EEA"/>
    <w:rsid w:val="00151AFC"/>
    <w:rsid w:val="0015248C"/>
    <w:rsid w:val="0018239D"/>
    <w:rsid w:val="001856B2"/>
    <w:rsid w:val="00191109"/>
    <w:rsid w:val="001A0053"/>
    <w:rsid w:val="001B2465"/>
    <w:rsid w:val="001F6D2D"/>
    <w:rsid w:val="001F7F9C"/>
    <w:rsid w:val="002053A6"/>
    <w:rsid w:val="00212409"/>
    <w:rsid w:val="0021647D"/>
    <w:rsid w:val="00216B0D"/>
    <w:rsid w:val="002209F5"/>
    <w:rsid w:val="0023438C"/>
    <w:rsid w:val="0023492B"/>
    <w:rsid w:val="00240B97"/>
    <w:rsid w:val="0025382D"/>
    <w:rsid w:val="00256324"/>
    <w:rsid w:val="00263BA6"/>
    <w:rsid w:val="00265025"/>
    <w:rsid w:val="0027264D"/>
    <w:rsid w:val="00293E43"/>
    <w:rsid w:val="00295835"/>
    <w:rsid w:val="002B5F43"/>
    <w:rsid w:val="002C05A8"/>
    <w:rsid w:val="002E3573"/>
    <w:rsid w:val="002E39DA"/>
    <w:rsid w:val="002E7322"/>
    <w:rsid w:val="00313707"/>
    <w:rsid w:val="00361FF3"/>
    <w:rsid w:val="0036520D"/>
    <w:rsid w:val="00366C99"/>
    <w:rsid w:val="00376A6D"/>
    <w:rsid w:val="00380B98"/>
    <w:rsid w:val="00396023"/>
    <w:rsid w:val="00396F11"/>
    <w:rsid w:val="003A09B6"/>
    <w:rsid w:val="003A0A3F"/>
    <w:rsid w:val="003A4DAB"/>
    <w:rsid w:val="003A5752"/>
    <w:rsid w:val="003C4BB5"/>
    <w:rsid w:val="003E4CC0"/>
    <w:rsid w:val="003E73E8"/>
    <w:rsid w:val="003F3D8F"/>
    <w:rsid w:val="003F5268"/>
    <w:rsid w:val="00403A2B"/>
    <w:rsid w:val="00412CED"/>
    <w:rsid w:val="00427139"/>
    <w:rsid w:val="004358E9"/>
    <w:rsid w:val="00436A7F"/>
    <w:rsid w:val="00450212"/>
    <w:rsid w:val="00461437"/>
    <w:rsid w:val="00465C91"/>
    <w:rsid w:val="00487DD5"/>
    <w:rsid w:val="004A02F0"/>
    <w:rsid w:val="004A2E02"/>
    <w:rsid w:val="004A4A9D"/>
    <w:rsid w:val="004A6A76"/>
    <w:rsid w:val="004B22AB"/>
    <w:rsid w:val="004B30D0"/>
    <w:rsid w:val="004B7C43"/>
    <w:rsid w:val="004C03EA"/>
    <w:rsid w:val="004C2B20"/>
    <w:rsid w:val="004C742D"/>
    <w:rsid w:val="004E0648"/>
    <w:rsid w:val="004E28AD"/>
    <w:rsid w:val="004E4A49"/>
    <w:rsid w:val="004F16F6"/>
    <w:rsid w:val="004F1D05"/>
    <w:rsid w:val="00503F75"/>
    <w:rsid w:val="005129D6"/>
    <w:rsid w:val="005207EB"/>
    <w:rsid w:val="0052443C"/>
    <w:rsid w:val="0052775E"/>
    <w:rsid w:val="00532FA1"/>
    <w:rsid w:val="00542514"/>
    <w:rsid w:val="00546AED"/>
    <w:rsid w:val="00550916"/>
    <w:rsid w:val="00561A7A"/>
    <w:rsid w:val="005621E4"/>
    <w:rsid w:val="00564DD7"/>
    <w:rsid w:val="005743AC"/>
    <w:rsid w:val="00596FD7"/>
    <w:rsid w:val="005A2707"/>
    <w:rsid w:val="005A3625"/>
    <w:rsid w:val="005A3A18"/>
    <w:rsid w:val="005A5D89"/>
    <w:rsid w:val="005B4738"/>
    <w:rsid w:val="005C212D"/>
    <w:rsid w:val="005C3CB0"/>
    <w:rsid w:val="005E372C"/>
    <w:rsid w:val="00612231"/>
    <w:rsid w:val="006204E7"/>
    <w:rsid w:val="00625CD5"/>
    <w:rsid w:val="00635EB1"/>
    <w:rsid w:val="00641C15"/>
    <w:rsid w:val="00644F0F"/>
    <w:rsid w:val="00646B93"/>
    <w:rsid w:val="006473BB"/>
    <w:rsid w:val="0065246A"/>
    <w:rsid w:val="0066495D"/>
    <w:rsid w:val="00666180"/>
    <w:rsid w:val="00677EB1"/>
    <w:rsid w:val="00685B74"/>
    <w:rsid w:val="0069158B"/>
    <w:rsid w:val="00695EB6"/>
    <w:rsid w:val="006A37B5"/>
    <w:rsid w:val="006A4D46"/>
    <w:rsid w:val="006A555F"/>
    <w:rsid w:val="006A6024"/>
    <w:rsid w:val="006C31FF"/>
    <w:rsid w:val="006C6B6C"/>
    <w:rsid w:val="006C704D"/>
    <w:rsid w:val="006E0401"/>
    <w:rsid w:val="006E6A51"/>
    <w:rsid w:val="0070331D"/>
    <w:rsid w:val="00711B4E"/>
    <w:rsid w:val="00741B43"/>
    <w:rsid w:val="00744C77"/>
    <w:rsid w:val="00756537"/>
    <w:rsid w:val="007606D9"/>
    <w:rsid w:val="007631ED"/>
    <w:rsid w:val="00766CF5"/>
    <w:rsid w:val="00786FC1"/>
    <w:rsid w:val="007A0EBC"/>
    <w:rsid w:val="007B14D4"/>
    <w:rsid w:val="007B4ABB"/>
    <w:rsid w:val="007B6904"/>
    <w:rsid w:val="007C0C85"/>
    <w:rsid w:val="007D54DC"/>
    <w:rsid w:val="007F003F"/>
    <w:rsid w:val="007F2C2D"/>
    <w:rsid w:val="00803D14"/>
    <w:rsid w:val="00816782"/>
    <w:rsid w:val="0082141D"/>
    <w:rsid w:val="00821DB0"/>
    <w:rsid w:val="00827F24"/>
    <w:rsid w:val="00850B08"/>
    <w:rsid w:val="00855DA8"/>
    <w:rsid w:val="008565AE"/>
    <w:rsid w:val="008575C0"/>
    <w:rsid w:val="0088339F"/>
    <w:rsid w:val="00886399"/>
    <w:rsid w:val="008974CA"/>
    <w:rsid w:val="00897C99"/>
    <w:rsid w:val="00897E6A"/>
    <w:rsid w:val="008B158E"/>
    <w:rsid w:val="008B3CCF"/>
    <w:rsid w:val="008B7D72"/>
    <w:rsid w:val="008C5818"/>
    <w:rsid w:val="008D505F"/>
    <w:rsid w:val="008E1F7F"/>
    <w:rsid w:val="008F00E8"/>
    <w:rsid w:val="008F6921"/>
    <w:rsid w:val="00902CF2"/>
    <w:rsid w:val="0091229D"/>
    <w:rsid w:val="009214A1"/>
    <w:rsid w:val="00931491"/>
    <w:rsid w:val="00933EED"/>
    <w:rsid w:val="00940CDE"/>
    <w:rsid w:val="00944A75"/>
    <w:rsid w:val="00954E8F"/>
    <w:rsid w:val="0097742A"/>
    <w:rsid w:val="00980EED"/>
    <w:rsid w:val="00981D17"/>
    <w:rsid w:val="00981F6E"/>
    <w:rsid w:val="0098280B"/>
    <w:rsid w:val="0098312B"/>
    <w:rsid w:val="00983B52"/>
    <w:rsid w:val="00984134"/>
    <w:rsid w:val="0098579F"/>
    <w:rsid w:val="009866BC"/>
    <w:rsid w:val="00991670"/>
    <w:rsid w:val="009924E5"/>
    <w:rsid w:val="009A534C"/>
    <w:rsid w:val="009B5720"/>
    <w:rsid w:val="009B6C8C"/>
    <w:rsid w:val="009C0FCA"/>
    <w:rsid w:val="009C3963"/>
    <w:rsid w:val="009C68C6"/>
    <w:rsid w:val="009D1205"/>
    <w:rsid w:val="009D323C"/>
    <w:rsid w:val="009E4985"/>
    <w:rsid w:val="00A17CD4"/>
    <w:rsid w:val="00A349F4"/>
    <w:rsid w:val="00A350E5"/>
    <w:rsid w:val="00A35E2D"/>
    <w:rsid w:val="00A47DFF"/>
    <w:rsid w:val="00A56A20"/>
    <w:rsid w:val="00A574B1"/>
    <w:rsid w:val="00A60E83"/>
    <w:rsid w:val="00A62650"/>
    <w:rsid w:val="00A74B8A"/>
    <w:rsid w:val="00A80902"/>
    <w:rsid w:val="00A85F61"/>
    <w:rsid w:val="00A86A9D"/>
    <w:rsid w:val="00A86DB3"/>
    <w:rsid w:val="00AA1265"/>
    <w:rsid w:val="00AA25DC"/>
    <w:rsid w:val="00AB0FA8"/>
    <w:rsid w:val="00AB3DD8"/>
    <w:rsid w:val="00AE4E57"/>
    <w:rsid w:val="00AF0466"/>
    <w:rsid w:val="00AF3BC9"/>
    <w:rsid w:val="00AF534A"/>
    <w:rsid w:val="00B0312C"/>
    <w:rsid w:val="00B11471"/>
    <w:rsid w:val="00B17145"/>
    <w:rsid w:val="00B21043"/>
    <w:rsid w:val="00B3058B"/>
    <w:rsid w:val="00B30DA2"/>
    <w:rsid w:val="00B341D2"/>
    <w:rsid w:val="00B44CAC"/>
    <w:rsid w:val="00B453FC"/>
    <w:rsid w:val="00B573D6"/>
    <w:rsid w:val="00B66FFD"/>
    <w:rsid w:val="00B720E7"/>
    <w:rsid w:val="00B749BA"/>
    <w:rsid w:val="00B81455"/>
    <w:rsid w:val="00B94950"/>
    <w:rsid w:val="00B9627F"/>
    <w:rsid w:val="00BA2415"/>
    <w:rsid w:val="00BA4F95"/>
    <w:rsid w:val="00BA6ED5"/>
    <w:rsid w:val="00BB33F9"/>
    <w:rsid w:val="00BC30C5"/>
    <w:rsid w:val="00BC3CE6"/>
    <w:rsid w:val="00BC451C"/>
    <w:rsid w:val="00BC7166"/>
    <w:rsid w:val="00BD03DB"/>
    <w:rsid w:val="00BE5E41"/>
    <w:rsid w:val="00C019E7"/>
    <w:rsid w:val="00C24EDC"/>
    <w:rsid w:val="00C25A76"/>
    <w:rsid w:val="00C32188"/>
    <w:rsid w:val="00C32206"/>
    <w:rsid w:val="00C37036"/>
    <w:rsid w:val="00C4571D"/>
    <w:rsid w:val="00C45B40"/>
    <w:rsid w:val="00C45C67"/>
    <w:rsid w:val="00C523FF"/>
    <w:rsid w:val="00C532D4"/>
    <w:rsid w:val="00C54E2E"/>
    <w:rsid w:val="00C71C3C"/>
    <w:rsid w:val="00C97FD4"/>
    <w:rsid w:val="00CA0A80"/>
    <w:rsid w:val="00CA244A"/>
    <w:rsid w:val="00CA48C1"/>
    <w:rsid w:val="00CA593D"/>
    <w:rsid w:val="00CD3B68"/>
    <w:rsid w:val="00CE5714"/>
    <w:rsid w:val="00CF4504"/>
    <w:rsid w:val="00D01E5C"/>
    <w:rsid w:val="00D06786"/>
    <w:rsid w:val="00D06AD0"/>
    <w:rsid w:val="00D21780"/>
    <w:rsid w:val="00D23346"/>
    <w:rsid w:val="00D243B8"/>
    <w:rsid w:val="00D25CA9"/>
    <w:rsid w:val="00D34794"/>
    <w:rsid w:val="00D4502D"/>
    <w:rsid w:val="00D530CE"/>
    <w:rsid w:val="00D53E3C"/>
    <w:rsid w:val="00D54ED5"/>
    <w:rsid w:val="00D63EAD"/>
    <w:rsid w:val="00D722BB"/>
    <w:rsid w:val="00D7517E"/>
    <w:rsid w:val="00D75185"/>
    <w:rsid w:val="00D77950"/>
    <w:rsid w:val="00D84B55"/>
    <w:rsid w:val="00DB7E1B"/>
    <w:rsid w:val="00DC2D51"/>
    <w:rsid w:val="00DC3762"/>
    <w:rsid w:val="00DC6AA0"/>
    <w:rsid w:val="00DC739E"/>
    <w:rsid w:val="00DD05DF"/>
    <w:rsid w:val="00DD616A"/>
    <w:rsid w:val="00DE0465"/>
    <w:rsid w:val="00DF5BE4"/>
    <w:rsid w:val="00DF6191"/>
    <w:rsid w:val="00E049ED"/>
    <w:rsid w:val="00E2526C"/>
    <w:rsid w:val="00E34E6D"/>
    <w:rsid w:val="00E37CD4"/>
    <w:rsid w:val="00E41A47"/>
    <w:rsid w:val="00E4211B"/>
    <w:rsid w:val="00E5532B"/>
    <w:rsid w:val="00E57848"/>
    <w:rsid w:val="00E70FDA"/>
    <w:rsid w:val="00ED0682"/>
    <w:rsid w:val="00ED0747"/>
    <w:rsid w:val="00ED21C3"/>
    <w:rsid w:val="00ED388C"/>
    <w:rsid w:val="00EF02B0"/>
    <w:rsid w:val="00EF51FD"/>
    <w:rsid w:val="00EF6B82"/>
    <w:rsid w:val="00F01B61"/>
    <w:rsid w:val="00F149FD"/>
    <w:rsid w:val="00F14C71"/>
    <w:rsid w:val="00F22358"/>
    <w:rsid w:val="00F4262F"/>
    <w:rsid w:val="00F53719"/>
    <w:rsid w:val="00F57291"/>
    <w:rsid w:val="00F63DBF"/>
    <w:rsid w:val="00F66CB0"/>
    <w:rsid w:val="00F753F1"/>
    <w:rsid w:val="00F76C89"/>
    <w:rsid w:val="00F83FBF"/>
    <w:rsid w:val="00F913AF"/>
    <w:rsid w:val="00F92269"/>
    <w:rsid w:val="00FA28EE"/>
    <w:rsid w:val="00FA29B8"/>
    <w:rsid w:val="00FB2BA1"/>
    <w:rsid w:val="00FB5AFA"/>
    <w:rsid w:val="00FD3D92"/>
    <w:rsid w:val="00FE3AFF"/>
    <w:rsid w:val="00FE74D9"/>
    <w:rsid w:val="00FF389E"/>
    <w:rsid w:val="00FF56DD"/>
    <w:rsid w:val="00FF5DE2"/>
    <w:rsid w:val="27E69E8B"/>
    <w:rsid w:val="3269E1CF"/>
    <w:rsid w:val="45B2214D"/>
    <w:rsid w:val="65D750AA"/>
    <w:rsid w:val="6A04B335"/>
    <w:rsid w:val="7EF92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5BC980"/>
  <w15:docId w15:val="{5C0507E9-F359-49B6-BB4E-E3195AA0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paragraph" w:styleId="BodyText">
    <w:name w:val="Body Text"/>
    <w:basedOn w:val="Normal"/>
    <w:link w:val="BodyTextChar"/>
    <w:uiPriority w:val="99"/>
    <w:rsid w:val="00981F6E"/>
    <w:rPr>
      <w:rFonts w:ascii="Times New Roman" w:hAnsi="Times New Roman"/>
      <w:sz w:val="22"/>
    </w:rPr>
  </w:style>
  <w:style w:type="character" w:customStyle="1" w:styleId="BodyTextChar">
    <w:name w:val="Body Text Char"/>
    <w:basedOn w:val="DefaultParagraphFont"/>
    <w:link w:val="BodyText"/>
    <w:uiPriority w:val="99"/>
    <w:rsid w:val="00981F6E"/>
    <w:rPr>
      <w:rFonts w:ascii="Times New Roman" w:eastAsia="Times New Roman" w:hAnsi="Times New Roman" w:cs="Times New Roman"/>
      <w:szCs w:val="20"/>
    </w:rPr>
  </w:style>
  <w:style w:type="character" w:customStyle="1" w:styleId="author-info1">
    <w:name w:val="author-info1"/>
    <w:basedOn w:val="DefaultParagraphFont"/>
    <w:rsid w:val="004C03EA"/>
    <w:rPr>
      <w:rFonts w:cs="Times New Roman"/>
      <w:sz w:val="20"/>
      <w:szCs w:val="20"/>
    </w:rPr>
  </w:style>
  <w:style w:type="character" w:customStyle="1" w:styleId="article-title1">
    <w:name w:val="article-title1"/>
    <w:basedOn w:val="DefaultParagraphFont"/>
    <w:rsid w:val="004C03EA"/>
    <w:rPr>
      <w:rFonts w:cs="Times New Roman"/>
      <w:b/>
      <w:bCs/>
      <w:sz w:val="34"/>
      <w:szCs w:val="34"/>
    </w:rPr>
  </w:style>
  <w:style w:type="character" w:customStyle="1" w:styleId="source-copyright1">
    <w:name w:val="source-copyright1"/>
    <w:basedOn w:val="DefaultParagraphFont"/>
    <w:rsid w:val="004C03EA"/>
    <w:rPr>
      <w:rFonts w:cs="Times New Roman"/>
      <w:sz w:val="20"/>
      <w:szCs w:val="20"/>
    </w:rPr>
  </w:style>
  <w:style w:type="paragraph" w:customStyle="1" w:styleId="numbered-paragraph">
    <w:name w:val="numbered-paragraph"/>
    <w:basedOn w:val="Normal"/>
    <w:rsid w:val="001001B4"/>
    <w:pPr>
      <w:spacing w:before="100" w:beforeAutospacing="1" w:after="100" w:afterAutospacing="1"/>
    </w:pPr>
    <w:rPr>
      <w:rFonts w:ascii="Times New Roman" w:hAnsi="Times New Roman"/>
      <w:szCs w:val="24"/>
      <w:lang w:eastAsia="en-AU"/>
    </w:rPr>
  </w:style>
  <w:style w:type="character" w:customStyle="1" w:styleId="highwire-cite-journal">
    <w:name w:val="highwire-cite-journal"/>
    <w:basedOn w:val="DefaultParagraphFont"/>
    <w:rsid w:val="00A62650"/>
  </w:style>
  <w:style w:type="character" w:customStyle="1" w:styleId="highwire-cite-published-year">
    <w:name w:val="highwire-cite-published-year"/>
    <w:basedOn w:val="DefaultParagraphFont"/>
    <w:rsid w:val="00A62650"/>
  </w:style>
  <w:style w:type="character" w:customStyle="1" w:styleId="highwire-cite-volume-issue">
    <w:name w:val="highwire-cite-volume-issue"/>
    <w:basedOn w:val="DefaultParagraphFont"/>
    <w:rsid w:val="00A62650"/>
  </w:style>
  <w:style w:type="character" w:customStyle="1" w:styleId="highwire-cite-doi">
    <w:name w:val="highwire-cite-doi"/>
    <w:basedOn w:val="DefaultParagraphFont"/>
    <w:rsid w:val="00A62650"/>
  </w:style>
  <w:style w:type="character" w:customStyle="1" w:styleId="highwire-cite-date">
    <w:name w:val="highwire-cite-date"/>
    <w:basedOn w:val="DefaultParagraphFont"/>
    <w:rsid w:val="00A62650"/>
  </w:style>
  <w:style w:type="character" w:customStyle="1" w:styleId="highwire-cite-article-as">
    <w:name w:val="highwire-cite-article-as"/>
    <w:basedOn w:val="DefaultParagraphFont"/>
    <w:rsid w:val="00A62650"/>
  </w:style>
  <w:style w:type="character" w:customStyle="1" w:styleId="italic">
    <w:name w:val="italic"/>
    <w:basedOn w:val="DefaultParagraphFont"/>
    <w:rsid w:val="00A62650"/>
  </w:style>
  <w:style w:type="character" w:styleId="UnresolvedMention">
    <w:name w:val="Unresolved Mention"/>
    <w:basedOn w:val="DefaultParagraphFont"/>
    <w:uiPriority w:val="99"/>
    <w:semiHidden/>
    <w:unhideWhenUsed/>
    <w:rsid w:val="00A62650"/>
    <w:rPr>
      <w:color w:val="605E5C"/>
      <w:shd w:val="clear" w:color="auto" w:fill="E1DFDD"/>
    </w:rPr>
  </w:style>
  <w:style w:type="paragraph" w:styleId="NormalWeb">
    <w:name w:val="Normal (Web)"/>
    <w:basedOn w:val="Normal"/>
    <w:uiPriority w:val="99"/>
    <w:semiHidden/>
    <w:unhideWhenUsed/>
    <w:rsid w:val="00744C77"/>
    <w:pPr>
      <w:spacing w:before="100" w:beforeAutospacing="1" w:after="100" w:afterAutospacing="1"/>
    </w:pPr>
    <w:rPr>
      <w:rFonts w:ascii="Times New Roman" w:hAnsi="Times New Roman"/>
      <w:szCs w:val="24"/>
      <w:lang w:eastAsia="en-AU"/>
    </w:rPr>
  </w:style>
  <w:style w:type="character" w:customStyle="1" w:styleId="health-referenceslinks">
    <w:name w:val="health-references__links"/>
    <w:basedOn w:val="DefaultParagraphFont"/>
    <w:rsid w:val="00744C77"/>
  </w:style>
  <w:style w:type="character" w:customStyle="1" w:styleId="health-referenceslink">
    <w:name w:val="health-references__link"/>
    <w:basedOn w:val="DefaultParagraphFont"/>
    <w:rsid w:val="00744C77"/>
  </w:style>
  <w:style w:type="character" w:customStyle="1" w:styleId="definition--candidate">
    <w:name w:val="definition--candidate"/>
    <w:basedOn w:val="DefaultParagraphFont"/>
    <w:rsid w:val="00744C77"/>
  </w:style>
  <w:style w:type="paragraph" w:customStyle="1" w:styleId="remove">
    <w:name w:val="remove"/>
    <w:basedOn w:val="Normal"/>
    <w:rsid w:val="009E4985"/>
    <w:pPr>
      <w:spacing w:before="100" w:beforeAutospacing="1" w:after="100" w:afterAutospacing="1"/>
    </w:pPr>
    <w:rPr>
      <w:rFonts w:ascii="Times New Roman" w:hAnsi="Times New Roman"/>
      <w:szCs w:val="24"/>
      <w:lang w:eastAsia="en-AU"/>
    </w:rPr>
  </w:style>
  <w:style w:type="character" w:customStyle="1" w:styleId="ListParagraphChar">
    <w:name w:val="List Paragraph Char"/>
    <w:basedOn w:val="DefaultParagraphFont"/>
    <w:link w:val="ListParagraph"/>
    <w:uiPriority w:val="34"/>
    <w:rsid w:val="004E0648"/>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679">
      <w:bodyDiv w:val="1"/>
      <w:marLeft w:val="0"/>
      <w:marRight w:val="0"/>
      <w:marTop w:val="0"/>
      <w:marBottom w:val="0"/>
      <w:divBdr>
        <w:top w:val="none" w:sz="0" w:space="0" w:color="auto"/>
        <w:left w:val="none" w:sz="0" w:space="0" w:color="auto"/>
        <w:bottom w:val="none" w:sz="0" w:space="0" w:color="auto"/>
        <w:right w:val="none" w:sz="0" w:space="0" w:color="auto"/>
      </w:divBdr>
    </w:div>
    <w:div w:id="376205929">
      <w:bodyDiv w:val="1"/>
      <w:marLeft w:val="0"/>
      <w:marRight w:val="0"/>
      <w:marTop w:val="0"/>
      <w:marBottom w:val="0"/>
      <w:divBdr>
        <w:top w:val="none" w:sz="0" w:space="0" w:color="auto"/>
        <w:left w:val="none" w:sz="0" w:space="0" w:color="auto"/>
        <w:bottom w:val="none" w:sz="0" w:space="0" w:color="auto"/>
        <w:right w:val="none" w:sz="0" w:space="0" w:color="auto"/>
      </w:divBdr>
    </w:div>
    <w:div w:id="853232526">
      <w:bodyDiv w:val="1"/>
      <w:marLeft w:val="0"/>
      <w:marRight w:val="0"/>
      <w:marTop w:val="0"/>
      <w:marBottom w:val="0"/>
      <w:divBdr>
        <w:top w:val="none" w:sz="0" w:space="0" w:color="auto"/>
        <w:left w:val="none" w:sz="0" w:space="0" w:color="auto"/>
        <w:bottom w:val="none" w:sz="0" w:space="0" w:color="auto"/>
        <w:right w:val="none" w:sz="0" w:space="0" w:color="auto"/>
      </w:divBdr>
    </w:div>
    <w:div w:id="1941183263">
      <w:bodyDiv w:val="1"/>
      <w:marLeft w:val="0"/>
      <w:marRight w:val="0"/>
      <w:marTop w:val="0"/>
      <w:marBottom w:val="0"/>
      <w:divBdr>
        <w:top w:val="none" w:sz="0" w:space="0" w:color="auto"/>
        <w:left w:val="none" w:sz="0" w:space="0" w:color="auto"/>
        <w:bottom w:val="none" w:sz="0" w:space="0" w:color="auto"/>
        <w:right w:val="none" w:sz="0" w:space="0" w:color="auto"/>
      </w:divBdr>
    </w:div>
    <w:div w:id="2139176116">
      <w:bodyDiv w:val="1"/>
      <w:marLeft w:val="0"/>
      <w:marRight w:val="0"/>
      <w:marTop w:val="0"/>
      <w:marBottom w:val="0"/>
      <w:divBdr>
        <w:top w:val="none" w:sz="0" w:space="0" w:color="auto"/>
        <w:left w:val="none" w:sz="0" w:space="0" w:color="auto"/>
        <w:bottom w:val="none" w:sz="0" w:space="0" w:color="auto"/>
        <w:right w:val="none" w:sz="0" w:space="0" w:color="auto"/>
      </w:divBdr>
      <w:divsChild>
        <w:div w:id="2129273495">
          <w:marLeft w:val="0"/>
          <w:marRight w:val="0"/>
          <w:marTop w:val="0"/>
          <w:marBottom w:val="0"/>
          <w:divBdr>
            <w:top w:val="none" w:sz="0" w:space="0" w:color="auto"/>
            <w:left w:val="none" w:sz="0" w:space="0" w:color="auto"/>
            <w:bottom w:val="none" w:sz="0" w:space="0" w:color="auto"/>
            <w:right w:val="none" w:sz="0" w:space="0" w:color="auto"/>
          </w:divBdr>
        </w:div>
        <w:div w:id="1920947105">
          <w:marLeft w:val="0"/>
          <w:marRight w:val="0"/>
          <w:marTop w:val="0"/>
          <w:marBottom w:val="0"/>
          <w:divBdr>
            <w:top w:val="none" w:sz="0" w:space="0" w:color="auto"/>
            <w:left w:val="none" w:sz="0" w:space="0" w:color="auto"/>
            <w:bottom w:val="single" w:sz="6" w:space="0" w:color="C0C0C0"/>
            <w:right w:val="none" w:sz="0" w:space="0" w:color="auto"/>
          </w:divBdr>
          <w:divsChild>
            <w:div w:id="276839314">
              <w:marLeft w:val="0"/>
              <w:marRight w:val="0"/>
              <w:marTop w:val="0"/>
              <w:marBottom w:val="0"/>
              <w:divBdr>
                <w:top w:val="none" w:sz="0" w:space="0" w:color="auto"/>
                <w:left w:val="none" w:sz="0" w:space="0" w:color="auto"/>
                <w:bottom w:val="none" w:sz="0" w:space="0" w:color="auto"/>
                <w:right w:val="none" w:sz="0" w:space="0" w:color="auto"/>
              </w:divBdr>
              <w:divsChild>
                <w:div w:id="791095203">
                  <w:marLeft w:val="0"/>
                  <w:marRight w:val="0"/>
                  <w:marTop w:val="0"/>
                  <w:marBottom w:val="0"/>
                  <w:divBdr>
                    <w:top w:val="none" w:sz="0" w:space="0" w:color="auto"/>
                    <w:left w:val="none" w:sz="0" w:space="0" w:color="auto"/>
                    <w:bottom w:val="none" w:sz="0" w:space="0" w:color="auto"/>
                    <w:right w:val="none" w:sz="0" w:space="0" w:color="auto"/>
                  </w:divBdr>
                </w:div>
                <w:div w:id="4736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ctgovernment.sharepoint.com/sites/intranet-health/PPR/default.aspx" TargetMode="External"/><Relationship Id="rId18" Type="http://schemas.openxmlformats.org/officeDocument/2006/relationships/hyperlink" Target="http://www.stillbirthalliance.org.au/doc/DFM_Guideline_Consultation.pdf" TargetMode="External"/><Relationship Id="rId26" Type="http://schemas.openxmlformats.org/officeDocument/2006/relationships/hyperlink" Target="http://www0.health.nsw.gov.au/policies/gl/2014/pdf/GL2014_015.pdf" TargetMode="External"/><Relationship Id="rId3" Type="http://schemas.openxmlformats.org/officeDocument/2006/relationships/customXml" Target="../customXml/item3.xml"/><Relationship Id="rId21" Type="http://schemas.openxmlformats.org/officeDocument/2006/relationships/hyperlink" Target="https://www.rcog.org.uk/en/news/rcog-response-to-study-on-induction-of-labour-and-stillbirth-ris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ctgovernment.sharepoint.com/sites/intranet-health/PPR/default.aspx" TargetMode="External"/><Relationship Id="rId17" Type="http://schemas.openxmlformats.org/officeDocument/2006/relationships/hyperlink" Target="http://www.nice.org.uk/nicemedia/pdf/CG62FullGuidelineCorrectedJune2008July2009.pdf" TargetMode="External"/><Relationship Id="rId25" Type="http://schemas.openxmlformats.org/officeDocument/2006/relationships/hyperlink" Target="http://kemh.health.wa.gov.au/development/manuals/O&amp;G_guidelines/sectionb/2/b2.9.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nice.org.uk/nicemedia/pdf/CG070FullGuideline.pdf" TargetMode="External"/><Relationship Id="rId20" Type="http://schemas.openxmlformats.org/officeDocument/2006/relationships/hyperlink" Target="https://doi.org/10.1136/bmj.l613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sites/intranet-health/PPR/default.aspx" TargetMode="External"/><Relationship Id="rId24" Type="http://schemas.openxmlformats.org/officeDocument/2006/relationships/hyperlink" Target="http://www.health.gov.au/antenata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ctgovernment.sharepoint.com/sites/intranet-health/PPR/default.aspx" TargetMode="External"/><Relationship Id="rId23" Type="http://schemas.openxmlformats.org/officeDocument/2006/relationships/hyperlink" Target="http://health.act.gov.au/c/health?a=dldivpoldoc&amp;document=813"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ncbi.nlm.nih.gov/pubmed/1584259"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government.sharepoint.com/sites/intranet-health/PPR/default.aspx" TargetMode="External"/><Relationship Id="rId22" Type="http://schemas.openxmlformats.org/officeDocument/2006/relationships/hyperlink" Target="https://www.health.qld.gov.au/__data/assets/pdf_file/0020/641423/g-iol.pdf" TargetMode="External"/><Relationship Id="rId27" Type="http://schemas.openxmlformats.org/officeDocument/2006/relationships/hyperlink" Target="https://doi.org/10.1371/journal.pmed.1002838"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CHS21/197</Decision_x0020_Number>
    <Description0 xmlns="690b2128-8961-48af-a473-22c34a9accba">The purpose of this document is to provide guidance for the clinical management and provision of evidence based information to women with low risk, singleton pregnancies who have crossed their due date and tending to extend beyond 42+0 weeks gestation.</Description0>
    <Display_x0020_on_x0020_Internet xmlns="690b2128-8961-48af-a473-22c34a9accba">true</Display_x0020_on_x0020_Internet>
    <Review_x0020_Date xmlns="690b2128-8961-48af-a473-22c34a9accba">2024-06-27T14:00:00+00:00</Review_x0020_Date>
    <Approval_x0020_Name_x007c_Committee xmlns="690b2128-8961-48af-a473-22c34a9accba">CHS Policy Committee</Approval_x0020_Name_x007c_Committee>
    <Risk_x0020_Rating xmlns="690b2128-8961-48af-a473-22c34a9accba">High</Risk_x0020_Rating>
    <Related_x0020_Documents xmlns="690b2128-8961-48af-a473-22c34a9accba" xsi:nil="true"/>
    <Replaces_x003a_ xmlns="690b2128-8961-48af-a473-22c34a9accba">CHHS15/094 Management and Prevention of Prolonged Pregnancy </Replaces_x003a_>
    <Progress xmlns="690b2128-8961-48af-a473-22c34a9accba" xsi:nil="true"/>
    <TaxCatchAll xmlns="c0239a80-7f07-4ed7-82c3-24ad7d76ada5" xsi:nil="true"/>
    <Key_x0020_Words xmlns="690b2128-8961-48af-a473-22c34a9accba">Post-dates, Prolonged pregnancy, Induction of labour, Maternity, Antenatal </Key_x0020_Words>
    <Type_x0020_of_x0020_Document xmlns="690b2128-8961-48af-a473-22c34a9accba">Guideline</Type_x0020_of_x0020_Document>
    <Version_x0020_Number xmlns="690b2128-8961-48af-a473-22c34a9accba">1</Version_x0020_Number>
    <Approval_x0020_Date xmlns="690b2128-8961-48af-a473-22c34a9accba">2021-03-09T13:00:00+00:00</Approval_x0020_Date>
    <Notes0 xmlns="690b2128-8961-48af-a473-22c34a9accba">26/03 - Review date changed to 28 June 2024 as approved by Director, Policy
18/07/2024 - HCCA to review</Notes0>
    <New_x0020_Applies_x0020_To xmlns="690b2128-8961-48af-a473-22c34a9accba">Canberra Health Services</New_x0020_Applies_x0020_To>
    <New_x0020_Owner xmlns="690b2128-8961-48af-a473-22c34a9accba">Women, Youth and Children (WY&amp;C) - Women's and Babies</New_x0020_Owner>
    <Status xmlns="690b2128-8961-48af-a473-22c34a9accba">Approved</Status>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DC44B-71B7-4995-8E5F-F0CBB4CC20A7}">
  <ds:schemaRefs>
    <ds:schemaRef ds:uri="http://schemas.openxmlformats.org/package/2006/metadata/core-properties"/>
    <ds:schemaRef ds:uri="http://purl.org/dc/elements/1.1/"/>
    <ds:schemaRef ds:uri="690b2128-8961-48af-a473-22c34a9accba"/>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c0239a80-7f07-4ed7-82c3-24ad7d76ada5"/>
    <ds:schemaRef ds:uri="http://schemas.microsoft.com/office/infopath/2007/PartnerControls"/>
  </ds:schemaRefs>
</ds:datastoreItem>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51E62CFA-5E36-4EF0-950C-618654E7E161}">
  <ds:schemaRefs>
    <ds:schemaRef ds:uri="http://schemas.openxmlformats.org/officeDocument/2006/bibliography"/>
  </ds:schemaRefs>
</ds:datastoreItem>
</file>

<file path=customXml/itemProps4.xml><?xml version="1.0" encoding="utf-8"?>
<ds:datastoreItem xmlns:ds="http://schemas.openxmlformats.org/officeDocument/2006/customXml" ds:itemID="{EB7CDD4D-B915-4627-8558-5753C8F4CBA2}"/>
</file>

<file path=docProps/app.xml><?xml version="1.0" encoding="utf-8"?>
<Properties xmlns="http://schemas.openxmlformats.org/officeDocument/2006/extended-properties" xmlns:vt="http://schemas.openxmlformats.org/officeDocument/2006/docPropsVTypes">
  <Template>Normal</Template>
  <TotalTime>129</TotalTime>
  <Pages>9</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Management and prevention of prolonged pregnancy</vt:lpstr>
    </vt:vector>
  </TitlesOfParts>
  <Company>ACT Government</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prevention of prolonged pregnancy</dc:title>
  <dc:subject>9;#;#25;#</dc:subject>
  <dc:creator>Kerryn Hunter</dc:creator>
  <cp:keywords/>
  <cp:lastModifiedBy>Hoffmann, Cameron (Health)</cp:lastModifiedBy>
  <cp:revision>12</cp:revision>
  <cp:lastPrinted>2021-01-14T02:45:00Z</cp:lastPrinted>
  <dcterms:created xsi:type="dcterms:W3CDTF">2021-03-09T00:49:00Z</dcterms:created>
  <dcterms:modified xsi:type="dcterms:W3CDTF">2024-04-26T05:50:00Z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4" name="_ExtendedDescription">
    <vt:lpwstr/>
  </property>
  <property fmtid="{D5CDD505-2E9C-101B-9397-08002B2CF9AE}" pid="5" name="Rank">
    <vt:lpwstr>AND</vt:lpwstr>
  </property>
  <property fmtid="{D5CDD505-2E9C-101B-9397-08002B2CF9AE}" pid="6" name="Manager Contact">
    <vt:lpwstr/>
  </property>
  <property fmtid="{D5CDD505-2E9C-101B-9397-08002B2CF9AE}" pid="7" name="Related Legislation &amp; Guidelines">
    <vt:lpwstr/>
  </property>
  <property fmtid="{D5CDD505-2E9C-101B-9397-08002B2CF9AE}" pid="8" name="MSIP_Label_69af8531-eb46-4968-8cb3-105d2f5ea87e_Enabled">
    <vt:lpwstr>true</vt:lpwstr>
  </property>
  <property fmtid="{D5CDD505-2E9C-101B-9397-08002B2CF9AE}" pid="9" name="MSIP_Label_69af8531-eb46-4968-8cb3-105d2f5ea87e_SetDate">
    <vt:lpwstr>2024-04-26T05:50:15Z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a21ecd5a-1448-4e6a-8fbb-a29f7789f01e</vt:lpwstr>
  </property>
  <property fmtid="{D5CDD505-2E9C-101B-9397-08002B2CF9AE}" pid="14" name="MSIP_Label_69af8531-eb46-4968-8cb3-105d2f5ea87e_ContentBits">
    <vt:lpwstr>0</vt:lpwstr>
  </property>
</Properties>
</file>