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D78E5" w14:textId="77777777" w:rsidR="00662491" w:rsidRPr="00DA3910" w:rsidRDefault="00662491" w:rsidP="00662491">
      <w:pPr>
        <w:rPr>
          <w:rFonts w:cs="Arial"/>
          <w:b/>
          <w:sz w:val="40"/>
          <w:szCs w:val="40"/>
        </w:rPr>
      </w:pPr>
      <w:r w:rsidRPr="00DA3910">
        <w:rPr>
          <w:rFonts w:cs="Arial"/>
          <w:b/>
          <w:sz w:val="40"/>
          <w:szCs w:val="40"/>
        </w:rPr>
        <w:t>Canberra Health Services</w:t>
      </w:r>
    </w:p>
    <w:p w14:paraId="1D13AD01" w14:textId="77777777" w:rsidR="00662491" w:rsidRPr="00DA3910" w:rsidRDefault="00662491" w:rsidP="00662491">
      <w:pPr>
        <w:rPr>
          <w:rFonts w:cs="Arial"/>
          <w:b/>
          <w:sz w:val="40"/>
          <w:szCs w:val="40"/>
        </w:rPr>
      </w:pPr>
      <w:r>
        <w:rPr>
          <w:rFonts w:cs="Arial"/>
          <w:b/>
          <w:sz w:val="40"/>
          <w:szCs w:val="40"/>
        </w:rPr>
        <w:t>Guideline</w:t>
      </w:r>
    </w:p>
    <w:p w14:paraId="16E0C19A" w14:textId="77777777" w:rsidR="00662491" w:rsidRDefault="00662491" w:rsidP="00662491">
      <w:pPr>
        <w:rPr>
          <w:rFonts w:cs="Arial"/>
          <w:b/>
          <w:sz w:val="36"/>
          <w:szCs w:val="36"/>
        </w:rPr>
      </w:pPr>
      <w:r w:rsidRPr="005404E3">
        <w:rPr>
          <w:rFonts w:cs="Arial"/>
          <w:b/>
          <w:sz w:val="36"/>
          <w:szCs w:val="36"/>
        </w:rPr>
        <w:t xml:space="preserve">Intravenous </w:t>
      </w:r>
      <w:r>
        <w:rPr>
          <w:rFonts w:cs="Arial"/>
          <w:b/>
          <w:sz w:val="36"/>
          <w:szCs w:val="36"/>
        </w:rPr>
        <w:t>Lidocaine</w:t>
      </w:r>
      <w:r w:rsidRPr="005404E3">
        <w:rPr>
          <w:rFonts w:cs="Arial"/>
          <w:b/>
          <w:sz w:val="36"/>
          <w:szCs w:val="36"/>
        </w:rPr>
        <w:t xml:space="preserve"> Infusion for Headache </w:t>
      </w:r>
      <w:r w:rsidRPr="005404E3">
        <w:rPr>
          <w:rFonts w:cs="Arial"/>
          <w:b/>
          <w:sz w:val="28"/>
          <w:szCs w:val="28"/>
        </w:rPr>
        <w:t xml:space="preserve">– </w:t>
      </w:r>
      <w:r w:rsidRPr="005404E3">
        <w:rPr>
          <w:rFonts w:cs="Arial"/>
          <w:b/>
          <w:sz w:val="36"/>
          <w:szCs w:val="36"/>
        </w:rPr>
        <w:t>Adults Only</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2DE22F25" w14:textId="77777777" w:rsidTr="00C44682">
        <w:trPr>
          <w:cantSplit/>
          <w:trHeight w:val="285"/>
        </w:trPr>
        <w:tc>
          <w:tcPr>
            <w:tcW w:w="9158" w:type="dxa"/>
            <w:shd w:val="clear" w:color="auto" w:fill="D9D9D9" w:themeFill="background1" w:themeFillShade="D9"/>
          </w:tcPr>
          <w:p w14:paraId="476FFA4D" w14:textId="77777777" w:rsidR="00662491" w:rsidRPr="00CD1C0E" w:rsidRDefault="00662491" w:rsidP="00C44682">
            <w:pPr>
              <w:pStyle w:val="Heading1"/>
            </w:pPr>
            <w:bookmarkStart w:id="0" w:name="_Toc389473273"/>
            <w:bookmarkStart w:id="1" w:name="_Toc393203330"/>
            <w:bookmarkStart w:id="2" w:name="Contents"/>
            <w:bookmarkStart w:id="3" w:name="_Toc163213798"/>
            <w:r w:rsidRPr="00CD1C0E">
              <w:t>Contents</w:t>
            </w:r>
            <w:bookmarkEnd w:id="0"/>
            <w:bookmarkEnd w:id="1"/>
            <w:bookmarkEnd w:id="2"/>
            <w:bookmarkEnd w:id="3"/>
          </w:p>
        </w:tc>
      </w:tr>
    </w:tbl>
    <w:p w14:paraId="593769BE" w14:textId="77777777" w:rsidR="00662491" w:rsidRDefault="00662491" w:rsidP="00662491"/>
    <w:p w14:paraId="3DE08CEB" w14:textId="77777777" w:rsidR="00662491" w:rsidRDefault="00662491" w:rsidP="00662491">
      <w:pPr>
        <w:pStyle w:val="TOC1"/>
        <w:tabs>
          <w:tab w:val="right" w:leader="dot" w:pos="9060"/>
        </w:tabs>
        <w:rPr>
          <w:rFonts w:eastAsiaTheme="minorEastAsia" w:cstheme="minorBidi"/>
          <w:noProof/>
          <w:kern w:val="2"/>
          <w:sz w:val="22"/>
          <w:szCs w:val="22"/>
          <w:lang w:eastAsia="en-AU"/>
          <w14:ligatures w14:val="standardContextual"/>
        </w:rPr>
      </w:pPr>
      <w:r>
        <w:rPr>
          <w:rFonts w:cs="Arial"/>
          <w:b/>
          <w:sz w:val="36"/>
          <w:szCs w:val="36"/>
        </w:rPr>
        <w:fldChar w:fldCharType="begin"/>
      </w:r>
      <w:r>
        <w:rPr>
          <w:rFonts w:cs="Arial"/>
          <w:b/>
          <w:sz w:val="36"/>
          <w:szCs w:val="36"/>
        </w:rPr>
        <w:instrText xml:space="preserve"> TOC \h \z \t "Heading 1,1" </w:instrText>
      </w:r>
      <w:r>
        <w:rPr>
          <w:rFonts w:cs="Arial"/>
          <w:b/>
          <w:sz w:val="36"/>
          <w:szCs w:val="36"/>
        </w:rPr>
        <w:fldChar w:fldCharType="separate"/>
      </w:r>
      <w:hyperlink w:anchor="_Toc163213798" w:history="1">
        <w:r w:rsidRPr="007F225F">
          <w:rPr>
            <w:rStyle w:val="Hyperlink"/>
            <w:noProof/>
          </w:rPr>
          <w:t>Contents</w:t>
        </w:r>
        <w:r>
          <w:rPr>
            <w:noProof/>
            <w:webHidden/>
          </w:rPr>
          <w:tab/>
        </w:r>
        <w:r>
          <w:rPr>
            <w:noProof/>
            <w:webHidden/>
          </w:rPr>
          <w:fldChar w:fldCharType="begin"/>
        </w:r>
        <w:r>
          <w:rPr>
            <w:noProof/>
            <w:webHidden/>
          </w:rPr>
          <w:instrText xml:space="preserve"> PAGEREF _Toc163213798 \h </w:instrText>
        </w:r>
        <w:r>
          <w:rPr>
            <w:noProof/>
            <w:webHidden/>
          </w:rPr>
        </w:r>
        <w:r>
          <w:rPr>
            <w:noProof/>
            <w:webHidden/>
          </w:rPr>
          <w:fldChar w:fldCharType="separate"/>
        </w:r>
        <w:r>
          <w:rPr>
            <w:noProof/>
            <w:webHidden/>
          </w:rPr>
          <w:t>1</w:t>
        </w:r>
        <w:r>
          <w:rPr>
            <w:noProof/>
            <w:webHidden/>
          </w:rPr>
          <w:fldChar w:fldCharType="end"/>
        </w:r>
      </w:hyperlink>
    </w:p>
    <w:p w14:paraId="6A8AE69D"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799" w:history="1">
        <w:r w:rsidR="00662491" w:rsidRPr="007F225F">
          <w:rPr>
            <w:rStyle w:val="Hyperlink"/>
            <w:noProof/>
          </w:rPr>
          <w:t>Guideline Statement</w:t>
        </w:r>
        <w:r w:rsidR="00662491">
          <w:rPr>
            <w:noProof/>
            <w:webHidden/>
          </w:rPr>
          <w:tab/>
        </w:r>
        <w:r w:rsidR="00662491">
          <w:rPr>
            <w:noProof/>
            <w:webHidden/>
          </w:rPr>
          <w:fldChar w:fldCharType="begin"/>
        </w:r>
        <w:r w:rsidR="00662491">
          <w:rPr>
            <w:noProof/>
            <w:webHidden/>
          </w:rPr>
          <w:instrText xml:space="preserve"> PAGEREF _Toc163213799 \h </w:instrText>
        </w:r>
        <w:r w:rsidR="00662491">
          <w:rPr>
            <w:noProof/>
            <w:webHidden/>
          </w:rPr>
        </w:r>
        <w:r w:rsidR="00662491">
          <w:rPr>
            <w:noProof/>
            <w:webHidden/>
          </w:rPr>
          <w:fldChar w:fldCharType="separate"/>
        </w:r>
        <w:r w:rsidR="00662491">
          <w:rPr>
            <w:noProof/>
            <w:webHidden/>
          </w:rPr>
          <w:t>2</w:t>
        </w:r>
        <w:r w:rsidR="00662491">
          <w:rPr>
            <w:noProof/>
            <w:webHidden/>
          </w:rPr>
          <w:fldChar w:fldCharType="end"/>
        </w:r>
      </w:hyperlink>
    </w:p>
    <w:p w14:paraId="6DBE0DAB"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0" w:history="1">
        <w:r w:rsidR="00662491" w:rsidRPr="007F225F">
          <w:rPr>
            <w:rStyle w:val="Hyperlink"/>
            <w:noProof/>
          </w:rPr>
          <w:t>Scope</w:t>
        </w:r>
        <w:r w:rsidR="00662491">
          <w:rPr>
            <w:noProof/>
            <w:webHidden/>
          </w:rPr>
          <w:tab/>
        </w:r>
        <w:r w:rsidR="00662491">
          <w:rPr>
            <w:noProof/>
            <w:webHidden/>
          </w:rPr>
          <w:fldChar w:fldCharType="begin"/>
        </w:r>
        <w:r w:rsidR="00662491">
          <w:rPr>
            <w:noProof/>
            <w:webHidden/>
          </w:rPr>
          <w:instrText xml:space="preserve"> PAGEREF _Toc163213800 \h </w:instrText>
        </w:r>
        <w:r w:rsidR="00662491">
          <w:rPr>
            <w:noProof/>
            <w:webHidden/>
          </w:rPr>
        </w:r>
        <w:r w:rsidR="00662491">
          <w:rPr>
            <w:noProof/>
            <w:webHidden/>
          </w:rPr>
          <w:fldChar w:fldCharType="separate"/>
        </w:r>
        <w:r w:rsidR="00662491">
          <w:rPr>
            <w:noProof/>
            <w:webHidden/>
          </w:rPr>
          <w:t>2</w:t>
        </w:r>
        <w:r w:rsidR="00662491">
          <w:rPr>
            <w:noProof/>
            <w:webHidden/>
          </w:rPr>
          <w:fldChar w:fldCharType="end"/>
        </w:r>
      </w:hyperlink>
    </w:p>
    <w:p w14:paraId="2F1F43E5"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1" w:history="1">
        <w:r w:rsidR="00662491" w:rsidRPr="007F225F">
          <w:rPr>
            <w:rStyle w:val="Hyperlink"/>
            <w:noProof/>
          </w:rPr>
          <w:t>Section 1 – Mechanism of Action and Indications</w:t>
        </w:r>
        <w:r w:rsidR="00662491">
          <w:rPr>
            <w:noProof/>
            <w:webHidden/>
          </w:rPr>
          <w:tab/>
        </w:r>
        <w:r w:rsidR="00662491">
          <w:rPr>
            <w:noProof/>
            <w:webHidden/>
          </w:rPr>
          <w:fldChar w:fldCharType="begin"/>
        </w:r>
        <w:r w:rsidR="00662491">
          <w:rPr>
            <w:noProof/>
            <w:webHidden/>
          </w:rPr>
          <w:instrText xml:space="preserve"> PAGEREF _Toc163213801 \h </w:instrText>
        </w:r>
        <w:r w:rsidR="00662491">
          <w:rPr>
            <w:noProof/>
            <w:webHidden/>
          </w:rPr>
        </w:r>
        <w:r w:rsidR="00662491">
          <w:rPr>
            <w:noProof/>
            <w:webHidden/>
          </w:rPr>
          <w:fldChar w:fldCharType="separate"/>
        </w:r>
        <w:r w:rsidR="00662491">
          <w:rPr>
            <w:noProof/>
            <w:webHidden/>
          </w:rPr>
          <w:t>3</w:t>
        </w:r>
        <w:r w:rsidR="00662491">
          <w:rPr>
            <w:noProof/>
            <w:webHidden/>
          </w:rPr>
          <w:fldChar w:fldCharType="end"/>
        </w:r>
      </w:hyperlink>
    </w:p>
    <w:p w14:paraId="5D7C7BE3"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2" w:history="1">
        <w:r w:rsidR="00662491" w:rsidRPr="007F225F">
          <w:rPr>
            <w:rStyle w:val="Hyperlink"/>
            <w:noProof/>
          </w:rPr>
          <w:t>Section 2 – Contraindications, Precautions &amp; Drug Interactions</w:t>
        </w:r>
        <w:r w:rsidR="00662491">
          <w:rPr>
            <w:noProof/>
            <w:webHidden/>
          </w:rPr>
          <w:tab/>
        </w:r>
        <w:r w:rsidR="00662491">
          <w:rPr>
            <w:noProof/>
            <w:webHidden/>
          </w:rPr>
          <w:fldChar w:fldCharType="begin"/>
        </w:r>
        <w:r w:rsidR="00662491">
          <w:rPr>
            <w:noProof/>
            <w:webHidden/>
          </w:rPr>
          <w:instrText xml:space="preserve"> PAGEREF _Toc163213802 \h </w:instrText>
        </w:r>
        <w:r w:rsidR="00662491">
          <w:rPr>
            <w:noProof/>
            <w:webHidden/>
          </w:rPr>
        </w:r>
        <w:r w:rsidR="00662491">
          <w:rPr>
            <w:noProof/>
            <w:webHidden/>
          </w:rPr>
          <w:fldChar w:fldCharType="separate"/>
        </w:r>
        <w:r w:rsidR="00662491">
          <w:rPr>
            <w:noProof/>
            <w:webHidden/>
          </w:rPr>
          <w:t>3</w:t>
        </w:r>
        <w:r w:rsidR="00662491">
          <w:rPr>
            <w:noProof/>
            <w:webHidden/>
          </w:rPr>
          <w:fldChar w:fldCharType="end"/>
        </w:r>
      </w:hyperlink>
    </w:p>
    <w:p w14:paraId="0BA98930"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3" w:history="1">
        <w:r w:rsidR="00662491" w:rsidRPr="007F225F">
          <w:rPr>
            <w:rStyle w:val="Hyperlink"/>
            <w:noProof/>
          </w:rPr>
          <w:t>Section 3 – Baseline monitoring</w:t>
        </w:r>
        <w:r w:rsidR="00662491">
          <w:rPr>
            <w:noProof/>
            <w:webHidden/>
          </w:rPr>
          <w:tab/>
        </w:r>
        <w:r w:rsidR="00662491">
          <w:rPr>
            <w:noProof/>
            <w:webHidden/>
          </w:rPr>
          <w:fldChar w:fldCharType="begin"/>
        </w:r>
        <w:r w:rsidR="00662491">
          <w:rPr>
            <w:noProof/>
            <w:webHidden/>
          </w:rPr>
          <w:instrText xml:space="preserve"> PAGEREF _Toc163213803 \h </w:instrText>
        </w:r>
        <w:r w:rsidR="00662491">
          <w:rPr>
            <w:noProof/>
            <w:webHidden/>
          </w:rPr>
        </w:r>
        <w:r w:rsidR="00662491">
          <w:rPr>
            <w:noProof/>
            <w:webHidden/>
          </w:rPr>
          <w:fldChar w:fldCharType="separate"/>
        </w:r>
        <w:r w:rsidR="00662491">
          <w:rPr>
            <w:noProof/>
            <w:webHidden/>
          </w:rPr>
          <w:t>4</w:t>
        </w:r>
        <w:r w:rsidR="00662491">
          <w:rPr>
            <w:noProof/>
            <w:webHidden/>
          </w:rPr>
          <w:fldChar w:fldCharType="end"/>
        </w:r>
      </w:hyperlink>
    </w:p>
    <w:p w14:paraId="0200A220"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4" w:history="1">
        <w:r w:rsidR="00662491" w:rsidRPr="007F225F">
          <w:rPr>
            <w:rStyle w:val="Hyperlink"/>
            <w:noProof/>
          </w:rPr>
          <w:t>Section 4 – Prescription</w:t>
        </w:r>
        <w:r w:rsidR="00662491">
          <w:rPr>
            <w:noProof/>
            <w:webHidden/>
          </w:rPr>
          <w:tab/>
        </w:r>
        <w:r w:rsidR="00662491">
          <w:rPr>
            <w:noProof/>
            <w:webHidden/>
          </w:rPr>
          <w:fldChar w:fldCharType="begin"/>
        </w:r>
        <w:r w:rsidR="00662491">
          <w:rPr>
            <w:noProof/>
            <w:webHidden/>
          </w:rPr>
          <w:instrText xml:space="preserve"> PAGEREF _Toc163213804 \h </w:instrText>
        </w:r>
        <w:r w:rsidR="00662491">
          <w:rPr>
            <w:noProof/>
            <w:webHidden/>
          </w:rPr>
        </w:r>
        <w:r w:rsidR="00662491">
          <w:rPr>
            <w:noProof/>
            <w:webHidden/>
          </w:rPr>
          <w:fldChar w:fldCharType="separate"/>
        </w:r>
        <w:r w:rsidR="00662491">
          <w:rPr>
            <w:noProof/>
            <w:webHidden/>
          </w:rPr>
          <w:t>5</w:t>
        </w:r>
        <w:r w:rsidR="00662491">
          <w:rPr>
            <w:noProof/>
            <w:webHidden/>
          </w:rPr>
          <w:fldChar w:fldCharType="end"/>
        </w:r>
      </w:hyperlink>
    </w:p>
    <w:p w14:paraId="6D585521"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5" w:history="1">
        <w:r w:rsidR="00662491" w:rsidRPr="007F225F">
          <w:rPr>
            <w:rStyle w:val="Hyperlink"/>
            <w:noProof/>
          </w:rPr>
          <w:t>Section 5 – Supply</w:t>
        </w:r>
        <w:r w:rsidR="00662491">
          <w:rPr>
            <w:noProof/>
            <w:webHidden/>
          </w:rPr>
          <w:tab/>
        </w:r>
        <w:r w:rsidR="00662491">
          <w:rPr>
            <w:noProof/>
            <w:webHidden/>
          </w:rPr>
          <w:fldChar w:fldCharType="begin"/>
        </w:r>
        <w:r w:rsidR="00662491">
          <w:rPr>
            <w:noProof/>
            <w:webHidden/>
          </w:rPr>
          <w:instrText xml:space="preserve"> PAGEREF _Toc163213805 \h </w:instrText>
        </w:r>
        <w:r w:rsidR="00662491">
          <w:rPr>
            <w:noProof/>
            <w:webHidden/>
          </w:rPr>
        </w:r>
        <w:r w:rsidR="00662491">
          <w:rPr>
            <w:noProof/>
            <w:webHidden/>
          </w:rPr>
          <w:fldChar w:fldCharType="separate"/>
        </w:r>
        <w:r w:rsidR="00662491">
          <w:rPr>
            <w:noProof/>
            <w:webHidden/>
          </w:rPr>
          <w:t>5</w:t>
        </w:r>
        <w:r w:rsidR="00662491">
          <w:rPr>
            <w:noProof/>
            <w:webHidden/>
          </w:rPr>
          <w:fldChar w:fldCharType="end"/>
        </w:r>
      </w:hyperlink>
    </w:p>
    <w:p w14:paraId="70C6B2F9"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6" w:history="1">
        <w:r w:rsidR="00662491" w:rsidRPr="007F225F">
          <w:rPr>
            <w:rStyle w:val="Hyperlink"/>
            <w:noProof/>
          </w:rPr>
          <w:t>Section 6 – Preparation</w:t>
        </w:r>
        <w:r w:rsidR="00662491">
          <w:rPr>
            <w:noProof/>
            <w:webHidden/>
          </w:rPr>
          <w:tab/>
        </w:r>
        <w:r w:rsidR="00662491">
          <w:rPr>
            <w:noProof/>
            <w:webHidden/>
          </w:rPr>
          <w:fldChar w:fldCharType="begin"/>
        </w:r>
        <w:r w:rsidR="00662491">
          <w:rPr>
            <w:noProof/>
            <w:webHidden/>
          </w:rPr>
          <w:instrText xml:space="preserve"> PAGEREF _Toc163213806 \h </w:instrText>
        </w:r>
        <w:r w:rsidR="00662491">
          <w:rPr>
            <w:noProof/>
            <w:webHidden/>
          </w:rPr>
        </w:r>
        <w:r w:rsidR="00662491">
          <w:rPr>
            <w:noProof/>
            <w:webHidden/>
          </w:rPr>
          <w:fldChar w:fldCharType="separate"/>
        </w:r>
        <w:r w:rsidR="00662491">
          <w:rPr>
            <w:noProof/>
            <w:webHidden/>
          </w:rPr>
          <w:t>6</w:t>
        </w:r>
        <w:r w:rsidR="00662491">
          <w:rPr>
            <w:noProof/>
            <w:webHidden/>
          </w:rPr>
          <w:fldChar w:fldCharType="end"/>
        </w:r>
      </w:hyperlink>
    </w:p>
    <w:p w14:paraId="11CCDF17"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7" w:history="1">
        <w:r w:rsidR="00662491" w:rsidRPr="007F225F">
          <w:rPr>
            <w:rStyle w:val="Hyperlink"/>
            <w:noProof/>
          </w:rPr>
          <w:t>Section 7 – Administration and monitoring</w:t>
        </w:r>
        <w:r w:rsidR="00662491">
          <w:rPr>
            <w:noProof/>
            <w:webHidden/>
          </w:rPr>
          <w:tab/>
        </w:r>
        <w:r w:rsidR="00662491">
          <w:rPr>
            <w:noProof/>
            <w:webHidden/>
          </w:rPr>
          <w:fldChar w:fldCharType="begin"/>
        </w:r>
        <w:r w:rsidR="00662491">
          <w:rPr>
            <w:noProof/>
            <w:webHidden/>
          </w:rPr>
          <w:instrText xml:space="preserve"> PAGEREF _Toc163213807 \h </w:instrText>
        </w:r>
        <w:r w:rsidR="00662491">
          <w:rPr>
            <w:noProof/>
            <w:webHidden/>
          </w:rPr>
        </w:r>
        <w:r w:rsidR="00662491">
          <w:rPr>
            <w:noProof/>
            <w:webHidden/>
          </w:rPr>
          <w:fldChar w:fldCharType="separate"/>
        </w:r>
        <w:r w:rsidR="00662491">
          <w:rPr>
            <w:noProof/>
            <w:webHidden/>
          </w:rPr>
          <w:t>7</w:t>
        </w:r>
        <w:r w:rsidR="00662491">
          <w:rPr>
            <w:noProof/>
            <w:webHidden/>
          </w:rPr>
          <w:fldChar w:fldCharType="end"/>
        </w:r>
      </w:hyperlink>
    </w:p>
    <w:p w14:paraId="7B9726BB"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8" w:history="1">
        <w:r w:rsidR="00662491" w:rsidRPr="007F225F">
          <w:rPr>
            <w:rStyle w:val="Hyperlink"/>
            <w:noProof/>
          </w:rPr>
          <w:t>Section 8 – Adverse Effects and Symptoms of Toxicity</w:t>
        </w:r>
        <w:r w:rsidR="00662491">
          <w:rPr>
            <w:noProof/>
            <w:webHidden/>
          </w:rPr>
          <w:tab/>
        </w:r>
        <w:r w:rsidR="00662491">
          <w:rPr>
            <w:noProof/>
            <w:webHidden/>
          </w:rPr>
          <w:fldChar w:fldCharType="begin"/>
        </w:r>
        <w:r w:rsidR="00662491">
          <w:rPr>
            <w:noProof/>
            <w:webHidden/>
          </w:rPr>
          <w:instrText xml:space="preserve"> PAGEREF _Toc163213808 \h </w:instrText>
        </w:r>
        <w:r w:rsidR="00662491">
          <w:rPr>
            <w:noProof/>
            <w:webHidden/>
          </w:rPr>
        </w:r>
        <w:r w:rsidR="00662491">
          <w:rPr>
            <w:noProof/>
            <w:webHidden/>
          </w:rPr>
          <w:fldChar w:fldCharType="separate"/>
        </w:r>
        <w:r w:rsidR="00662491">
          <w:rPr>
            <w:noProof/>
            <w:webHidden/>
          </w:rPr>
          <w:t>8</w:t>
        </w:r>
        <w:r w:rsidR="00662491">
          <w:rPr>
            <w:noProof/>
            <w:webHidden/>
          </w:rPr>
          <w:fldChar w:fldCharType="end"/>
        </w:r>
      </w:hyperlink>
    </w:p>
    <w:p w14:paraId="70B5C8AB"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09" w:history="1">
        <w:r w:rsidR="00662491" w:rsidRPr="007F225F">
          <w:rPr>
            <w:rStyle w:val="Hyperlink"/>
            <w:noProof/>
          </w:rPr>
          <w:t>Evaluation</w:t>
        </w:r>
        <w:r w:rsidR="00662491">
          <w:rPr>
            <w:noProof/>
            <w:webHidden/>
          </w:rPr>
          <w:tab/>
        </w:r>
        <w:r w:rsidR="00662491">
          <w:rPr>
            <w:noProof/>
            <w:webHidden/>
          </w:rPr>
          <w:fldChar w:fldCharType="begin"/>
        </w:r>
        <w:r w:rsidR="00662491">
          <w:rPr>
            <w:noProof/>
            <w:webHidden/>
          </w:rPr>
          <w:instrText xml:space="preserve"> PAGEREF _Toc163213809 \h </w:instrText>
        </w:r>
        <w:r w:rsidR="00662491">
          <w:rPr>
            <w:noProof/>
            <w:webHidden/>
          </w:rPr>
        </w:r>
        <w:r w:rsidR="00662491">
          <w:rPr>
            <w:noProof/>
            <w:webHidden/>
          </w:rPr>
          <w:fldChar w:fldCharType="separate"/>
        </w:r>
        <w:r w:rsidR="00662491">
          <w:rPr>
            <w:noProof/>
            <w:webHidden/>
          </w:rPr>
          <w:t>9</w:t>
        </w:r>
        <w:r w:rsidR="00662491">
          <w:rPr>
            <w:noProof/>
            <w:webHidden/>
          </w:rPr>
          <w:fldChar w:fldCharType="end"/>
        </w:r>
      </w:hyperlink>
    </w:p>
    <w:p w14:paraId="08E04854"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10" w:history="1">
        <w:r w:rsidR="00662491" w:rsidRPr="007F225F">
          <w:rPr>
            <w:rStyle w:val="Hyperlink"/>
            <w:noProof/>
          </w:rPr>
          <w:t>Related Policies, Procedures, Guidelines and Legislation</w:t>
        </w:r>
        <w:r w:rsidR="00662491">
          <w:rPr>
            <w:noProof/>
            <w:webHidden/>
          </w:rPr>
          <w:tab/>
        </w:r>
        <w:r w:rsidR="00662491">
          <w:rPr>
            <w:noProof/>
            <w:webHidden/>
          </w:rPr>
          <w:fldChar w:fldCharType="begin"/>
        </w:r>
        <w:r w:rsidR="00662491">
          <w:rPr>
            <w:noProof/>
            <w:webHidden/>
          </w:rPr>
          <w:instrText xml:space="preserve"> PAGEREF _Toc163213810 \h </w:instrText>
        </w:r>
        <w:r w:rsidR="00662491">
          <w:rPr>
            <w:noProof/>
            <w:webHidden/>
          </w:rPr>
        </w:r>
        <w:r w:rsidR="00662491">
          <w:rPr>
            <w:noProof/>
            <w:webHidden/>
          </w:rPr>
          <w:fldChar w:fldCharType="separate"/>
        </w:r>
        <w:r w:rsidR="00662491">
          <w:rPr>
            <w:noProof/>
            <w:webHidden/>
          </w:rPr>
          <w:t>9</w:t>
        </w:r>
        <w:r w:rsidR="00662491">
          <w:rPr>
            <w:noProof/>
            <w:webHidden/>
          </w:rPr>
          <w:fldChar w:fldCharType="end"/>
        </w:r>
      </w:hyperlink>
    </w:p>
    <w:p w14:paraId="1F4369E7"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11" w:history="1">
        <w:r w:rsidR="00662491" w:rsidRPr="007F225F">
          <w:rPr>
            <w:rStyle w:val="Hyperlink"/>
            <w:noProof/>
          </w:rPr>
          <w:t>References</w:t>
        </w:r>
        <w:r w:rsidR="00662491">
          <w:rPr>
            <w:noProof/>
            <w:webHidden/>
          </w:rPr>
          <w:tab/>
        </w:r>
        <w:r w:rsidR="00662491">
          <w:rPr>
            <w:noProof/>
            <w:webHidden/>
          </w:rPr>
          <w:fldChar w:fldCharType="begin"/>
        </w:r>
        <w:r w:rsidR="00662491">
          <w:rPr>
            <w:noProof/>
            <w:webHidden/>
          </w:rPr>
          <w:instrText xml:space="preserve"> PAGEREF _Toc163213811 \h </w:instrText>
        </w:r>
        <w:r w:rsidR="00662491">
          <w:rPr>
            <w:noProof/>
            <w:webHidden/>
          </w:rPr>
        </w:r>
        <w:r w:rsidR="00662491">
          <w:rPr>
            <w:noProof/>
            <w:webHidden/>
          </w:rPr>
          <w:fldChar w:fldCharType="separate"/>
        </w:r>
        <w:r w:rsidR="00662491">
          <w:rPr>
            <w:noProof/>
            <w:webHidden/>
          </w:rPr>
          <w:t>10</w:t>
        </w:r>
        <w:r w:rsidR="00662491">
          <w:rPr>
            <w:noProof/>
            <w:webHidden/>
          </w:rPr>
          <w:fldChar w:fldCharType="end"/>
        </w:r>
      </w:hyperlink>
    </w:p>
    <w:p w14:paraId="78427CE9" w14:textId="77777777" w:rsidR="00662491" w:rsidRDefault="00DB1D1B" w:rsidP="00662491">
      <w:pPr>
        <w:pStyle w:val="TOC1"/>
        <w:tabs>
          <w:tab w:val="right" w:leader="dot" w:pos="9060"/>
        </w:tabs>
        <w:rPr>
          <w:rFonts w:eastAsiaTheme="minorEastAsia" w:cstheme="minorBidi"/>
          <w:noProof/>
          <w:kern w:val="2"/>
          <w:sz w:val="22"/>
          <w:szCs w:val="22"/>
          <w:lang w:eastAsia="en-AU"/>
          <w14:ligatures w14:val="standardContextual"/>
        </w:rPr>
      </w:pPr>
      <w:hyperlink w:anchor="_Toc163213812" w:history="1">
        <w:r w:rsidR="00662491" w:rsidRPr="007F225F">
          <w:rPr>
            <w:rStyle w:val="Hyperlink"/>
            <w:noProof/>
          </w:rPr>
          <w:t>Search Terms</w:t>
        </w:r>
        <w:r w:rsidR="00662491">
          <w:rPr>
            <w:noProof/>
            <w:webHidden/>
          </w:rPr>
          <w:tab/>
        </w:r>
        <w:r w:rsidR="00662491">
          <w:rPr>
            <w:noProof/>
            <w:webHidden/>
          </w:rPr>
          <w:fldChar w:fldCharType="begin"/>
        </w:r>
        <w:r w:rsidR="00662491">
          <w:rPr>
            <w:noProof/>
            <w:webHidden/>
          </w:rPr>
          <w:instrText xml:space="preserve"> PAGEREF _Toc163213812 \h </w:instrText>
        </w:r>
        <w:r w:rsidR="00662491">
          <w:rPr>
            <w:noProof/>
            <w:webHidden/>
          </w:rPr>
        </w:r>
        <w:r w:rsidR="00662491">
          <w:rPr>
            <w:noProof/>
            <w:webHidden/>
          </w:rPr>
          <w:fldChar w:fldCharType="separate"/>
        </w:r>
        <w:r w:rsidR="00662491">
          <w:rPr>
            <w:noProof/>
            <w:webHidden/>
          </w:rPr>
          <w:t>11</w:t>
        </w:r>
        <w:r w:rsidR="00662491">
          <w:rPr>
            <w:noProof/>
            <w:webHidden/>
          </w:rPr>
          <w:fldChar w:fldCharType="end"/>
        </w:r>
      </w:hyperlink>
    </w:p>
    <w:p w14:paraId="29BEE71D" w14:textId="77777777" w:rsidR="00662491" w:rsidRDefault="00662491" w:rsidP="00662491">
      <w:r>
        <w:fldChar w:fldCharType="end"/>
      </w:r>
    </w:p>
    <w:p w14:paraId="1BB50FBD" w14:textId="77777777" w:rsidR="00662491" w:rsidRDefault="00662491" w:rsidP="00662491">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1B2BAC" w14:paraId="32493526" w14:textId="77777777" w:rsidTr="00C44682">
        <w:trPr>
          <w:cantSplit/>
          <w:trHeight w:val="285"/>
        </w:trPr>
        <w:tc>
          <w:tcPr>
            <w:tcW w:w="9158" w:type="dxa"/>
            <w:shd w:val="clear" w:color="auto" w:fill="D9D9D9" w:themeFill="background1" w:themeFillShade="D9"/>
          </w:tcPr>
          <w:p w14:paraId="0C299516" w14:textId="77777777" w:rsidR="00662491" w:rsidRPr="002E3BFE" w:rsidRDefault="00662491" w:rsidP="00C44682">
            <w:pPr>
              <w:pStyle w:val="Heading1"/>
            </w:pPr>
            <w:bookmarkStart w:id="4" w:name="_Toc163213799"/>
            <w:r>
              <w:lastRenderedPageBreak/>
              <w:t>Guideline Statement</w:t>
            </w:r>
            <w:bookmarkEnd w:id="4"/>
          </w:p>
        </w:tc>
      </w:tr>
    </w:tbl>
    <w:p w14:paraId="3D88C992" w14:textId="77777777" w:rsidR="00662491" w:rsidRDefault="00662491" w:rsidP="00662491">
      <w:pPr>
        <w:rPr>
          <w:rFonts w:cs="Arial"/>
          <w:b/>
          <w:szCs w:val="24"/>
        </w:rPr>
      </w:pPr>
    </w:p>
    <w:p w14:paraId="43A9CCEA" w14:textId="77777777" w:rsidR="00662491" w:rsidRDefault="00662491" w:rsidP="00662491">
      <w:pPr>
        <w:pStyle w:val="Heading2"/>
      </w:pPr>
      <w:r>
        <w:t>Background</w:t>
      </w:r>
    </w:p>
    <w:p w14:paraId="642715E8" w14:textId="77777777" w:rsidR="00662491" w:rsidRPr="00035477" w:rsidRDefault="00662491" w:rsidP="00662491">
      <w:pPr>
        <w:rPr>
          <w:rFonts w:asciiTheme="minorHAnsi" w:hAnsiTheme="minorHAnsi" w:cstheme="minorHAnsi"/>
        </w:rPr>
      </w:pPr>
      <w:r>
        <w:rPr>
          <w:rFonts w:cs="Arial"/>
          <w:szCs w:val="24"/>
        </w:rPr>
        <w:t xml:space="preserve">An intravenous </w:t>
      </w:r>
      <w:r>
        <w:rPr>
          <w:rFonts w:asciiTheme="minorHAnsi" w:hAnsiTheme="minorHAnsi" w:cstheme="minorHAnsi"/>
          <w:szCs w:val="24"/>
        </w:rPr>
        <w:t xml:space="preserve">lidocaine </w:t>
      </w:r>
      <w:r>
        <w:rPr>
          <w:rFonts w:cs="Arial"/>
          <w:szCs w:val="24"/>
        </w:rPr>
        <w:t xml:space="preserve">infusion can provide analgesia for patients with analgesic rebound or refractory headache/migraine.  However, the </w:t>
      </w:r>
      <w:r>
        <w:rPr>
          <w:rFonts w:asciiTheme="minorHAnsi" w:hAnsiTheme="minorHAnsi" w:cstheme="minorHAnsi"/>
        </w:rPr>
        <w:t>a</w:t>
      </w:r>
      <w:r w:rsidRPr="00035477">
        <w:rPr>
          <w:rFonts w:asciiTheme="minorHAnsi" w:hAnsiTheme="minorHAnsi" w:cstheme="minorHAnsi"/>
        </w:rPr>
        <w:t xml:space="preserve">dministration of intravenous lidocaine infusions </w:t>
      </w:r>
      <w:r>
        <w:rPr>
          <w:rFonts w:asciiTheme="minorHAnsi" w:hAnsiTheme="minorHAnsi" w:cstheme="minorHAnsi"/>
        </w:rPr>
        <w:t xml:space="preserve">for these indications </w:t>
      </w:r>
      <w:r w:rsidRPr="00035477">
        <w:rPr>
          <w:rFonts w:asciiTheme="minorHAnsi" w:hAnsiTheme="minorHAnsi" w:cstheme="minorHAnsi"/>
        </w:rPr>
        <w:t>is not a common procedure</w:t>
      </w:r>
      <w:r>
        <w:rPr>
          <w:rFonts w:asciiTheme="minorHAnsi" w:hAnsiTheme="minorHAnsi" w:cstheme="minorHAnsi"/>
        </w:rPr>
        <w:t xml:space="preserve"> and comprehensive information on how to safely prescribe, administer and monitor lidocaine infusions is not readily available.</w:t>
      </w:r>
    </w:p>
    <w:p w14:paraId="4A804A82" w14:textId="77777777" w:rsidR="00662491" w:rsidRPr="00010E74" w:rsidRDefault="00662491" w:rsidP="00662491">
      <w:pPr>
        <w:rPr>
          <w:i/>
        </w:rPr>
      </w:pPr>
    </w:p>
    <w:p w14:paraId="36B74647" w14:textId="77777777" w:rsidR="00662491" w:rsidRDefault="00662491" w:rsidP="00662491">
      <w:pPr>
        <w:pStyle w:val="Heading2"/>
      </w:pPr>
      <w:r>
        <w:t>Key Objective</w:t>
      </w:r>
    </w:p>
    <w:p w14:paraId="300FDE99" w14:textId="77777777" w:rsidR="00662491" w:rsidRDefault="00662491" w:rsidP="00662491">
      <w:pPr>
        <w:rPr>
          <w:rFonts w:asciiTheme="minorHAnsi" w:hAnsiTheme="minorHAnsi" w:cstheme="minorHAnsi"/>
          <w:szCs w:val="24"/>
        </w:rPr>
      </w:pPr>
      <w:r>
        <w:rPr>
          <w:rFonts w:asciiTheme="minorHAnsi" w:hAnsiTheme="minorHAnsi" w:cstheme="minorHAnsi"/>
          <w:szCs w:val="24"/>
        </w:rPr>
        <w:t>This document aims to provide information to enable the</w:t>
      </w:r>
      <w:r w:rsidRPr="00DA20EE">
        <w:rPr>
          <w:rFonts w:asciiTheme="minorHAnsi" w:hAnsiTheme="minorHAnsi" w:cstheme="minorHAnsi"/>
          <w:szCs w:val="24"/>
        </w:rPr>
        <w:t xml:space="preserve"> safe prescribing, administration and monitoring of intravenous </w:t>
      </w:r>
      <w:r>
        <w:rPr>
          <w:rFonts w:asciiTheme="minorHAnsi" w:hAnsiTheme="minorHAnsi" w:cstheme="minorHAnsi"/>
          <w:szCs w:val="24"/>
        </w:rPr>
        <w:t>lidocaine</w:t>
      </w:r>
      <w:r w:rsidRPr="00DA20EE">
        <w:rPr>
          <w:rFonts w:asciiTheme="minorHAnsi" w:hAnsiTheme="minorHAnsi" w:cstheme="minorHAnsi"/>
          <w:szCs w:val="24"/>
        </w:rPr>
        <w:t xml:space="preserve"> infusions used for t</w:t>
      </w:r>
      <w:r>
        <w:rPr>
          <w:rFonts w:asciiTheme="minorHAnsi" w:hAnsiTheme="minorHAnsi" w:cstheme="minorHAnsi"/>
          <w:szCs w:val="24"/>
        </w:rPr>
        <w:t>he t</w:t>
      </w:r>
      <w:r w:rsidRPr="00DA20EE">
        <w:rPr>
          <w:rFonts w:asciiTheme="minorHAnsi" w:hAnsiTheme="minorHAnsi" w:cstheme="minorHAnsi"/>
          <w:szCs w:val="24"/>
        </w:rPr>
        <w:t xml:space="preserve">reatment of </w:t>
      </w:r>
      <w:r>
        <w:t xml:space="preserve">chronic headache with analgesic overuse (rebound headache, transformed migraine) or prolonged headache (migraine, cluster) refractory to other treatments </w:t>
      </w:r>
      <w:r>
        <w:rPr>
          <w:rFonts w:asciiTheme="minorHAnsi" w:hAnsiTheme="minorHAnsi" w:cstheme="minorHAnsi"/>
          <w:szCs w:val="24"/>
        </w:rPr>
        <w:t>in</w:t>
      </w:r>
      <w:r w:rsidRPr="00DA20EE">
        <w:rPr>
          <w:rFonts w:asciiTheme="minorHAnsi" w:hAnsiTheme="minorHAnsi" w:cstheme="minorHAnsi"/>
          <w:szCs w:val="24"/>
        </w:rPr>
        <w:t xml:space="preserve"> adult </w:t>
      </w:r>
      <w:r>
        <w:rPr>
          <w:rFonts w:asciiTheme="minorHAnsi" w:hAnsiTheme="minorHAnsi" w:cstheme="minorHAnsi"/>
          <w:szCs w:val="24"/>
        </w:rPr>
        <w:t>patients admitted to Canberra Health Services (CHS) Network.</w:t>
      </w:r>
    </w:p>
    <w:p w14:paraId="6BDB4E06" w14:textId="77777777" w:rsidR="00662491" w:rsidRPr="00DA20EE" w:rsidRDefault="00662491" w:rsidP="00662491">
      <w:pPr>
        <w:rPr>
          <w:rFonts w:asciiTheme="minorHAnsi" w:hAnsiTheme="minorHAnsi" w:cstheme="minorHAnsi"/>
          <w:szCs w:val="24"/>
        </w:rPr>
      </w:pPr>
      <w:r>
        <w:rPr>
          <w:rFonts w:asciiTheme="minorHAnsi" w:hAnsiTheme="minorHAnsi" w:cstheme="minorHAnsi"/>
          <w:szCs w:val="24"/>
        </w:rPr>
        <w:br/>
        <w:t xml:space="preserve">CHS Network </w:t>
      </w:r>
      <w:r>
        <w:t xml:space="preserve">includes the inpatient facilities at Canberra Hospital, Clare Holland House, North Canberra Hospital, and University of Canberra Hospital and </w:t>
      </w:r>
      <w:proofErr w:type="gramStart"/>
      <w:r>
        <w:t>community based</w:t>
      </w:r>
      <w:proofErr w:type="gramEnd"/>
      <w:r>
        <w:t xml:space="preserve"> services.</w:t>
      </w:r>
    </w:p>
    <w:p w14:paraId="574D3018" w14:textId="77777777" w:rsidR="00662491" w:rsidRPr="00010E74" w:rsidRDefault="00662491" w:rsidP="00662491"/>
    <w:p w14:paraId="473AE28F" w14:textId="77777777" w:rsidR="00662491" w:rsidRPr="007B6904" w:rsidRDefault="00662491" w:rsidP="00662491">
      <w:pPr>
        <w:pStyle w:val="Heading2"/>
      </w:pPr>
      <w:r>
        <w:t>Alerts</w:t>
      </w:r>
      <w:r w:rsidRPr="007B6904">
        <w:t xml:space="preserve"> </w:t>
      </w:r>
    </w:p>
    <w:p w14:paraId="3912599F" w14:textId="77777777" w:rsidR="00662491" w:rsidRDefault="00662491" w:rsidP="00662491">
      <w:pPr>
        <w:pStyle w:val="ListParagraph"/>
        <w:numPr>
          <w:ilvl w:val="0"/>
          <w:numId w:val="13"/>
        </w:numPr>
        <w:jc w:val="both"/>
        <w:rPr>
          <w:rFonts w:cs="Arial"/>
          <w:szCs w:val="24"/>
        </w:rPr>
      </w:pPr>
      <w:r>
        <w:rPr>
          <w:rFonts w:cs="Arial"/>
          <w:szCs w:val="24"/>
        </w:rPr>
        <w:t>A lidocaine infusion can only be commenced for a patient who is receiving care from a neurologist who is monitoring the indication and response to treatment.</w:t>
      </w:r>
    </w:p>
    <w:p w14:paraId="10050228" w14:textId="77777777" w:rsidR="00662491" w:rsidRDefault="00662491" w:rsidP="00662491">
      <w:pPr>
        <w:pStyle w:val="ListParagraph"/>
        <w:numPr>
          <w:ilvl w:val="0"/>
          <w:numId w:val="13"/>
        </w:numPr>
        <w:jc w:val="both"/>
        <w:rPr>
          <w:rFonts w:cs="Arial"/>
          <w:szCs w:val="24"/>
        </w:rPr>
      </w:pPr>
      <w:r>
        <w:rPr>
          <w:rFonts w:cs="Arial"/>
          <w:szCs w:val="24"/>
        </w:rPr>
        <w:t>Due to potential risks associated with treatment, patients must remain on the ward for the duration of the continuous infusion.</w:t>
      </w:r>
    </w:p>
    <w:p w14:paraId="2B306065" w14:textId="77777777" w:rsidR="00662491" w:rsidRPr="005B7F4B" w:rsidRDefault="00662491" w:rsidP="00662491">
      <w:pPr>
        <w:pStyle w:val="ListParagraph"/>
        <w:numPr>
          <w:ilvl w:val="0"/>
          <w:numId w:val="13"/>
        </w:numPr>
        <w:jc w:val="both"/>
        <w:rPr>
          <w:rFonts w:cs="Arial"/>
          <w:szCs w:val="24"/>
        </w:rPr>
      </w:pPr>
      <w:r w:rsidRPr="005B7F4B">
        <w:rPr>
          <w:rFonts w:cs="Arial"/>
          <w:szCs w:val="24"/>
        </w:rPr>
        <w:t xml:space="preserve">Due to the required frequency of monitoring when initiating a lidocaine infusion, </w:t>
      </w:r>
      <w:r>
        <w:rPr>
          <w:rFonts w:cs="Arial"/>
          <w:szCs w:val="24"/>
        </w:rPr>
        <w:t xml:space="preserve">wherever possible </w:t>
      </w:r>
      <w:r w:rsidRPr="005B7F4B">
        <w:rPr>
          <w:rFonts w:cs="Arial"/>
          <w:szCs w:val="24"/>
        </w:rPr>
        <w:t>the infusion</w:t>
      </w:r>
      <w:r>
        <w:rPr>
          <w:rFonts w:cs="Arial"/>
          <w:szCs w:val="24"/>
        </w:rPr>
        <w:t xml:space="preserve"> should</w:t>
      </w:r>
      <w:r w:rsidRPr="005B7F4B">
        <w:rPr>
          <w:rFonts w:cs="Arial"/>
          <w:szCs w:val="24"/>
        </w:rPr>
        <w:t xml:space="preserve"> be initiated in daylight hours</w:t>
      </w:r>
      <w:r>
        <w:rPr>
          <w:rFonts w:cs="Arial"/>
          <w:szCs w:val="24"/>
        </w:rPr>
        <w:t>.</w:t>
      </w:r>
    </w:p>
    <w:p w14:paraId="79EECE71" w14:textId="77777777" w:rsidR="00662491" w:rsidRDefault="00662491" w:rsidP="00662491">
      <w:pPr>
        <w:pStyle w:val="ListParagraph"/>
        <w:numPr>
          <w:ilvl w:val="0"/>
          <w:numId w:val="13"/>
        </w:numPr>
        <w:jc w:val="both"/>
        <w:rPr>
          <w:rFonts w:cs="Arial"/>
          <w:szCs w:val="24"/>
        </w:rPr>
      </w:pPr>
      <w:r>
        <w:rPr>
          <w:rFonts w:cs="Arial"/>
          <w:szCs w:val="24"/>
        </w:rPr>
        <w:t>Patients experiencing s</w:t>
      </w:r>
      <w:r w:rsidRPr="003B1DD6">
        <w:rPr>
          <w:rFonts w:cs="Arial"/>
          <w:szCs w:val="24"/>
        </w:rPr>
        <w:t>erious</w:t>
      </w:r>
      <w:r>
        <w:rPr>
          <w:rFonts w:cs="Arial"/>
          <w:szCs w:val="24"/>
        </w:rPr>
        <w:t xml:space="preserve"> cardiac, neurological, or respiratory adverse effects should have lidocaine infusion ceased immediately and code blue activated. Patients experiencing minor adverse effects should have lidocaine infusion ceased with urgent review by a Medical Officer.</w:t>
      </w:r>
    </w:p>
    <w:p w14:paraId="5972B764" w14:textId="77777777" w:rsidR="00662491" w:rsidRPr="001F0832" w:rsidRDefault="00662491" w:rsidP="00662491">
      <w:pPr>
        <w:pStyle w:val="ListParagraph"/>
        <w:numPr>
          <w:ilvl w:val="0"/>
          <w:numId w:val="13"/>
        </w:numPr>
        <w:jc w:val="both"/>
        <w:rPr>
          <w:rFonts w:cs="Arial"/>
          <w:szCs w:val="24"/>
        </w:rPr>
      </w:pPr>
      <w:r w:rsidRPr="00B42135">
        <w:rPr>
          <w:rFonts w:asciiTheme="minorHAnsi" w:hAnsiTheme="minorHAnsi" w:cstheme="minorHAnsi"/>
          <w:color w:val="000000"/>
          <w:szCs w:val="24"/>
        </w:rPr>
        <w:t xml:space="preserve">Lidocaine 10% </w:t>
      </w:r>
      <w:r>
        <w:rPr>
          <w:rFonts w:asciiTheme="minorHAnsi" w:hAnsiTheme="minorHAnsi" w:cstheme="minorHAnsi"/>
          <w:color w:val="000000"/>
          <w:szCs w:val="24"/>
        </w:rPr>
        <w:t>(500mg/5mL) (</w:t>
      </w:r>
      <w:proofErr w:type="spellStart"/>
      <w:r>
        <w:rPr>
          <w:rFonts w:asciiTheme="minorHAnsi" w:hAnsiTheme="minorHAnsi" w:cstheme="minorHAnsi"/>
          <w:color w:val="000000"/>
          <w:szCs w:val="24"/>
        </w:rPr>
        <w:t>Xylocard</w:t>
      </w:r>
      <w:proofErr w:type="spellEnd"/>
      <w:r>
        <w:rPr>
          <w:rFonts w:asciiTheme="minorHAnsi" w:hAnsiTheme="minorHAnsi" w:cstheme="minorHAnsi"/>
          <w:color w:val="000000"/>
          <w:szCs w:val="24"/>
        </w:rPr>
        <w:t xml:space="preserve"> 500) </w:t>
      </w:r>
      <w:r w:rsidRPr="00B42135">
        <w:rPr>
          <w:rFonts w:asciiTheme="minorHAnsi" w:hAnsiTheme="minorHAnsi" w:cstheme="minorHAnsi"/>
          <w:color w:val="000000"/>
          <w:szCs w:val="24"/>
        </w:rPr>
        <w:t>is 5 to 10 times more concentrated than preparations used as a local anaesthetic.</w:t>
      </w:r>
      <w:r>
        <w:rPr>
          <w:rFonts w:asciiTheme="minorHAnsi" w:hAnsiTheme="minorHAnsi" w:cstheme="minorHAnsi"/>
          <w:color w:val="000000"/>
        </w:rPr>
        <w:t xml:space="preserve"> </w:t>
      </w:r>
      <w:r w:rsidRPr="00B42135">
        <w:rPr>
          <w:rFonts w:asciiTheme="minorHAnsi" w:hAnsiTheme="minorHAnsi" w:cstheme="minorHAnsi"/>
          <w:color w:val="000000"/>
          <w:szCs w:val="24"/>
        </w:rPr>
        <w:t>Lidocaine 10% must be diluted and infused slowly using an infusion pump. Failing to do this can be fatal</w:t>
      </w:r>
      <w:r>
        <w:rPr>
          <w:rFonts w:asciiTheme="minorHAnsi" w:hAnsiTheme="minorHAnsi" w:cstheme="minorHAnsi"/>
          <w:color w:val="000000"/>
          <w:szCs w:val="24"/>
        </w:rPr>
        <w:t>.</w:t>
      </w:r>
      <w:r w:rsidRPr="00B42135">
        <w:rPr>
          <w:rFonts w:asciiTheme="minorHAnsi" w:hAnsiTheme="minorHAnsi" w:cstheme="minorHAnsi"/>
          <w:color w:val="000000"/>
          <w:szCs w:val="24"/>
          <w:vertAlign w:val="superscript"/>
        </w:rPr>
        <w:t>1</w:t>
      </w:r>
    </w:p>
    <w:p w14:paraId="20F2585D" w14:textId="77777777" w:rsidR="00662491" w:rsidRPr="00BA57BA" w:rsidRDefault="00662491" w:rsidP="00662491">
      <w:pPr>
        <w:pStyle w:val="ListParagraph"/>
        <w:ind w:left="360"/>
        <w:jc w:val="both"/>
        <w:rPr>
          <w:rFonts w:cs="Arial"/>
          <w:szCs w:val="24"/>
        </w:rPr>
      </w:pPr>
    </w:p>
    <w:p w14:paraId="0C34A3E2" w14:textId="77777777" w:rsidR="00662491" w:rsidRDefault="00DB1D1B" w:rsidP="00662491">
      <w:pPr>
        <w:jc w:val="right"/>
      </w:pPr>
      <w:hyperlink w:anchor="Contents" w:history="1">
        <w:r w:rsidR="0066249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1B2BAC" w14:paraId="71617CE7" w14:textId="77777777" w:rsidTr="00C44682">
        <w:trPr>
          <w:cantSplit/>
          <w:trHeight w:val="285"/>
        </w:trPr>
        <w:tc>
          <w:tcPr>
            <w:tcW w:w="9158" w:type="dxa"/>
            <w:shd w:val="clear" w:color="auto" w:fill="D9D9D9" w:themeFill="background1" w:themeFillShade="D9"/>
          </w:tcPr>
          <w:p w14:paraId="5A7FBC23" w14:textId="77777777" w:rsidR="00662491" w:rsidRPr="002E3BFE" w:rsidRDefault="00662491" w:rsidP="00C44682">
            <w:pPr>
              <w:pStyle w:val="Heading1"/>
            </w:pPr>
            <w:bookmarkStart w:id="5" w:name="_Toc163213800"/>
            <w:r>
              <w:t>Scope</w:t>
            </w:r>
            <w:bookmarkEnd w:id="5"/>
          </w:p>
        </w:tc>
      </w:tr>
    </w:tbl>
    <w:p w14:paraId="4401A33A" w14:textId="77777777" w:rsidR="00662491" w:rsidRDefault="00662491" w:rsidP="00662491">
      <w:pPr>
        <w:rPr>
          <w:rFonts w:asciiTheme="minorHAnsi" w:hAnsiTheme="minorHAnsi" w:cstheme="minorHAnsi"/>
          <w:szCs w:val="24"/>
        </w:rPr>
      </w:pPr>
    </w:p>
    <w:p w14:paraId="0DDFC4E9" w14:textId="77777777" w:rsidR="00662491" w:rsidRDefault="00662491" w:rsidP="00662491">
      <w:pPr>
        <w:rPr>
          <w:rFonts w:asciiTheme="minorHAnsi" w:hAnsiTheme="minorHAnsi" w:cstheme="minorHAnsi"/>
          <w:szCs w:val="24"/>
        </w:rPr>
      </w:pPr>
      <w:r w:rsidRPr="00DA20EE">
        <w:rPr>
          <w:rFonts w:asciiTheme="minorHAnsi" w:hAnsiTheme="minorHAnsi" w:cstheme="minorHAnsi"/>
          <w:szCs w:val="24"/>
        </w:rPr>
        <w:t xml:space="preserve">This document is relevant to all </w:t>
      </w:r>
      <w:r>
        <w:rPr>
          <w:rFonts w:asciiTheme="minorHAnsi" w:hAnsiTheme="minorHAnsi" w:cstheme="minorHAnsi"/>
          <w:szCs w:val="24"/>
        </w:rPr>
        <w:t xml:space="preserve">CHS Network </w:t>
      </w:r>
      <w:r w:rsidRPr="00DA20EE">
        <w:rPr>
          <w:rFonts w:asciiTheme="minorHAnsi" w:hAnsiTheme="minorHAnsi" w:cstheme="minorHAnsi"/>
          <w:szCs w:val="24"/>
        </w:rPr>
        <w:t xml:space="preserve">staff working within their scope of practice </w:t>
      </w:r>
      <w:r>
        <w:rPr>
          <w:rFonts w:asciiTheme="minorHAnsi" w:hAnsiTheme="minorHAnsi" w:cstheme="minorHAnsi"/>
          <w:szCs w:val="24"/>
        </w:rPr>
        <w:t xml:space="preserve">who </w:t>
      </w:r>
      <w:r w:rsidRPr="005854C9">
        <w:rPr>
          <w:rFonts w:asciiTheme="minorHAnsi" w:hAnsiTheme="minorHAnsi" w:cstheme="minorHAnsi"/>
          <w:szCs w:val="24"/>
        </w:rPr>
        <w:t xml:space="preserve">prescribe, </w:t>
      </w:r>
      <w:proofErr w:type="gramStart"/>
      <w:r w:rsidRPr="005854C9">
        <w:rPr>
          <w:rFonts w:asciiTheme="minorHAnsi" w:hAnsiTheme="minorHAnsi" w:cstheme="minorHAnsi"/>
          <w:szCs w:val="24"/>
        </w:rPr>
        <w:t>administer</w:t>
      </w:r>
      <w:proofErr w:type="gramEnd"/>
      <w:r w:rsidRPr="005854C9">
        <w:rPr>
          <w:rFonts w:asciiTheme="minorHAnsi" w:hAnsiTheme="minorHAnsi" w:cstheme="minorHAnsi"/>
          <w:szCs w:val="24"/>
        </w:rPr>
        <w:t xml:space="preserve"> or monitor adult patients receiving intravenous </w:t>
      </w:r>
      <w:r>
        <w:rPr>
          <w:rFonts w:asciiTheme="minorHAnsi" w:hAnsiTheme="minorHAnsi" w:cstheme="minorHAnsi"/>
          <w:szCs w:val="24"/>
        </w:rPr>
        <w:t>lidocaine</w:t>
      </w:r>
      <w:r w:rsidRPr="005854C9">
        <w:rPr>
          <w:rFonts w:asciiTheme="minorHAnsi" w:hAnsiTheme="minorHAnsi" w:cstheme="minorHAnsi"/>
          <w:szCs w:val="24"/>
        </w:rPr>
        <w:t xml:space="preserve"> infusions or provide advice pertaining to adult patients receiving </w:t>
      </w:r>
      <w:r>
        <w:rPr>
          <w:rFonts w:asciiTheme="minorHAnsi" w:hAnsiTheme="minorHAnsi" w:cstheme="minorHAnsi"/>
          <w:szCs w:val="24"/>
        </w:rPr>
        <w:t>intravenous lidocaine</w:t>
      </w:r>
      <w:r w:rsidRPr="005854C9">
        <w:rPr>
          <w:rFonts w:asciiTheme="minorHAnsi" w:hAnsiTheme="minorHAnsi" w:cstheme="minorHAnsi"/>
          <w:szCs w:val="24"/>
        </w:rPr>
        <w:t xml:space="preserve"> infusions</w:t>
      </w:r>
      <w:r>
        <w:rPr>
          <w:rFonts w:asciiTheme="minorHAnsi" w:hAnsiTheme="minorHAnsi" w:cstheme="minorHAnsi"/>
          <w:szCs w:val="24"/>
        </w:rPr>
        <w:t>.</w:t>
      </w:r>
    </w:p>
    <w:p w14:paraId="5C91D424" w14:textId="77777777" w:rsidR="00662491" w:rsidRDefault="00662491" w:rsidP="00662491">
      <w:pPr>
        <w:rPr>
          <w:rFonts w:asciiTheme="minorHAnsi" w:hAnsiTheme="minorHAnsi" w:cstheme="minorHAnsi"/>
          <w:szCs w:val="24"/>
        </w:rPr>
      </w:pPr>
      <w:r>
        <w:rPr>
          <w:rFonts w:asciiTheme="minorHAnsi" w:hAnsiTheme="minorHAnsi" w:cstheme="minorHAnsi"/>
          <w:szCs w:val="24"/>
        </w:rPr>
        <w:t xml:space="preserve"> </w:t>
      </w:r>
    </w:p>
    <w:p w14:paraId="61845D71" w14:textId="77777777" w:rsidR="00662491" w:rsidRDefault="00662491" w:rsidP="00662491">
      <w:pPr>
        <w:rPr>
          <w:rFonts w:asciiTheme="minorHAnsi" w:hAnsiTheme="minorHAnsi" w:cstheme="minorHAnsi"/>
          <w:szCs w:val="24"/>
        </w:rPr>
      </w:pPr>
      <w:r>
        <w:rPr>
          <w:rFonts w:asciiTheme="minorHAnsi" w:hAnsiTheme="minorHAnsi" w:cstheme="minorHAnsi"/>
          <w:szCs w:val="24"/>
        </w:rPr>
        <w:lastRenderedPageBreak/>
        <w:t xml:space="preserve">This document applies only to adult patients, under the supervision of a neurology specialist, who are receiving an intravenous lidocaine infusion for the treatment of </w:t>
      </w:r>
      <w:r>
        <w:t>chronic headache with analgesic overuse (rebound headache, transformed migraine) or prolonged headache (migraine, cluster) refractory to other treatments.</w:t>
      </w:r>
    </w:p>
    <w:p w14:paraId="2E019543" w14:textId="77777777" w:rsidR="00662491" w:rsidRDefault="00662491" w:rsidP="00662491">
      <w:pPr>
        <w:rPr>
          <w:rFonts w:asciiTheme="minorHAnsi" w:hAnsiTheme="minorHAnsi" w:cstheme="minorHAnsi"/>
          <w:szCs w:val="24"/>
        </w:rPr>
      </w:pPr>
    </w:p>
    <w:p w14:paraId="0DC803AF" w14:textId="77777777" w:rsidR="00662491" w:rsidRDefault="00662491" w:rsidP="00662491">
      <w:pPr>
        <w:rPr>
          <w:rFonts w:cs="Arial"/>
          <w:szCs w:val="24"/>
        </w:rPr>
      </w:pPr>
      <w:r>
        <w:rPr>
          <w:rFonts w:cs="Arial"/>
          <w:szCs w:val="24"/>
        </w:rPr>
        <w:t>This document does not apply to patients receiving lidocaine for other indications such as serious arrythmia or neuropathic pain.</w:t>
      </w:r>
    </w:p>
    <w:p w14:paraId="4D4209F8" w14:textId="77777777" w:rsidR="00662491" w:rsidRDefault="00662491" w:rsidP="00662491">
      <w:pPr>
        <w:rPr>
          <w:rFonts w:cs="Arial"/>
          <w:szCs w:val="24"/>
        </w:rPr>
      </w:pPr>
    </w:p>
    <w:p w14:paraId="79854E2D" w14:textId="77777777" w:rsidR="00662491" w:rsidRPr="00032890" w:rsidRDefault="00DB1D1B" w:rsidP="00662491">
      <w:pPr>
        <w:jc w:val="right"/>
        <w:rPr>
          <w:rFonts w:cs="Arial"/>
          <w:szCs w:val="24"/>
        </w:rPr>
      </w:pPr>
      <w:hyperlink w:anchor="Contents" w:history="1">
        <w:r w:rsidR="0066249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62E537DF" w14:textId="77777777" w:rsidTr="00C44682">
        <w:trPr>
          <w:cantSplit/>
          <w:trHeight w:val="285"/>
        </w:trPr>
        <w:tc>
          <w:tcPr>
            <w:tcW w:w="9158" w:type="dxa"/>
            <w:shd w:val="clear" w:color="auto" w:fill="D9D9D9" w:themeFill="background1" w:themeFillShade="D9"/>
          </w:tcPr>
          <w:p w14:paraId="0A150172" w14:textId="77777777" w:rsidR="00662491" w:rsidRPr="00C76688" w:rsidRDefault="00662491" w:rsidP="00C44682">
            <w:pPr>
              <w:pStyle w:val="Heading1"/>
            </w:pPr>
            <w:bookmarkStart w:id="6" w:name="_Toc389473278"/>
            <w:bookmarkStart w:id="7" w:name="_Toc393203334"/>
            <w:bookmarkStart w:id="8" w:name="_Toc163213801"/>
            <w:r w:rsidRPr="00C76688">
              <w:t xml:space="preserve">Section 1 </w:t>
            </w:r>
            <w:bookmarkEnd w:id="6"/>
            <w:bookmarkEnd w:id="7"/>
            <w:r w:rsidRPr="00C76688">
              <w:t>–</w:t>
            </w:r>
            <w:r>
              <w:t xml:space="preserve"> Mechanism of Action and Indications</w:t>
            </w:r>
            <w:bookmarkEnd w:id="8"/>
          </w:p>
        </w:tc>
      </w:tr>
    </w:tbl>
    <w:p w14:paraId="0E9D4E77" w14:textId="77777777" w:rsidR="00662491" w:rsidRDefault="00662491" w:rsidP="00662491">
      <w:pPr>
        <w:outlineLvl w:val="0"/>
        <w:rPr>
          <w:szCs w:val="24"/>
        </w:rPr>
      </w:pPr>
    </w:p>
    <w:p w14:paraId="43D7E6A6" w14:textId="77777777" w:rsidR="00662491" w:rsidRDefault="00662491" w:rsidP="00662491">
      <w:pPr>
        <w:rPr>
          <w:rFonts w:cs="Arial"/>
          <w:b/>
          <w:szCs w:val="24"/>
        </w:rPr>
      </w:pPr>
      <w:r>
        <w:rPr>
          <w:rFonts w:cs="Arial"/>
          <w:b/>
          <w:szCs w:val="24"/>
        </w:rPr>
        <w:t>Mechanism of Action</w:t>
      </w:r>
    </w:p>
    <w:p w14:paraId="4CB849B7" w14:textId="77777777" w:rsidR="00662491" w:rsidRDefault="00662491" w:rsidP="00662491">
      <w:r>
        <w:rPr>
          <w:rFonts w:asciiTheme="minorHAnsi" w:hAnsiTheme="minorHAnsi" w:cstheme="minorHAnsi"/>
          <w:szCs w:val="24"/>
        </w:rPr>
        <w:t xml:space="preserve">Lidocaine </w:t>
      </w:r>
      <w:r>
        <w:t xml:space="preserve">stabilises neuronal membranes, blocking conduction of nerve impulses. While the exact mechanism by which </w:t>
      </w:r>
      <w:r>
        <w:rPr>
          <w:rFonts w:asciiTheme="minorHAnsi" w:hAnsiTheme="minorHAnsi" w:cstheme="minorHAnsi"/>
          <w:szCs w:val="24"/>
        </w:rPr>
        <w:t xml:space="preserve">lidocaine </w:t>
      </w:r>
      <w:r>
        <w:t>provides analgesia is not known, it may be due to interruption of the nociceptive pathway</w:t>
      </w:r>
      <w:r w:rsidRPr="001C50AF">
        <w:rPr>
          <w:rFonts w:cs="Arial"/>
          <w:szCs w:val="24"/>
          <w:vertAlign w:val="superscript"/>
        </w:rPr>
        <w:t>2</w:t>
      </w:r>
      <w:r>
        <w:t>.</w:t>
      </w:r>
    </w:p>
    <w:p w14:paraId="54F0E265" w14:textId="77777777" w:rsidR="00662491" w:rsidRDefault="00662491" w:rsidP="00662491">
      <w:pPr>
        <w:rPr>
          <w:rFonts w:cs="Arial"/>
          <w:b/>
          <w:szCs w:val="24"/>
        </w:rPr>
      </w:pPr>
    </w:p>
    <w:p w14:paraId="382A32A1" w14:textId="77777777" w:rsidR="00662491" w:rsidRPr="00241DFB" w:rsidRDefault="00662491" w:rsidP="00662491">
      <w:pPr>
        <w:rPr>
          <w:rFonts w:cs="Arial"/>
          <w:b/>
          <w:szCs w:val="24"/>
        </w:rPr>
      </w:pPr>
      <w:r>
        <w:rPr>
          <w:rFonts w:cs="Arial"/>
          <w:b/>
          <w:szCs w:val="24"/>
        </w:rPr>
        <w:t>Indication for Use</w:t>
      </w:r>
    </w:p>
    <w:p w14:paraId="45E52095" w14:textId="77777777" w:rsidR="00662491" w:rsidRDefault="00662491" w:rsidP="00662491">
      <w:r>
        <w:t>In consultation with a neurologist, a lidocaine infusion may be prescribed (to a maximum rate of 2 mg/min)</w:t>
      </w:r>
      <w:r w:rsidRPr="00C653D7">
        <w:rPr>
          <w:rFonts w:cs="Arial"/>
          <w:szCs w:val="24"/>
          <w:vertAlign w:val="superscript"/>
        </w:rPr>
        <w:t xml:space="preserve"> </w:t>
      </w:r>
      <w:r>
        <w:t>for relief of</w:t>
      </w:r>
      <w:r w:rsidRPr="001C50AF">
        <w:rPr>
          <w:rFonts w:cs="Arial"/>
          <w:szCs w:val="24"/>
          <w:vertAlign w:val="superscript"/>
        </w:rPr>
        <w:t>2</w:t>
      </w:r>
      <w:r>
        <w:t>:</w:t>
      </w:r>
    </w:p>
    <w:p w14:paraId="021FC2A8" w14:textId="77777777" w:rsidR="00662491" w:rsidRDefault="00662491" w:rsidP="00662491">
      <w:pPr>
        <w:pStyle w:val="ListParagraph"/>
        <w:numPr>
          <w:ilvl w:val="0"/>
          <w:numId w:val="14"/>
        </w:numPr>
      </w:pPr>
      <w:r>
        <w:t xml:space="preserve">Chronic headache with analgesic overuse (rebound headache, transformed migraine). </w:t>
      </w:r>
    </w:p>
    <w:p w14:paraId="177B684C" w14:textId="77777777" w:rsidR="00662491" w:rsidRDefault="00662491" w:rsidP="00662491">
      <w:pPr>
        <w:pStyle w:val="ListParagraph"/>
        <w:numPr>
          <w:ilvl w:val="0"/>
          <w:numId w:val="14"/>
        </w:numPr>
      </w:pPr>
      <w:r>
        <w:t>Prolonged headache (migraine, cluster) refractory to other treatments.</w:t>
      </w:r>
    </w:p>
    <w:p w14:paraId="745CE71A" w14:textId="77777777" w:rsidR="00662491" w:rsidRPr="00BA57BA" w:rsidRDefault="00662491" w:rsidP="00662491">
      <w:pPr>
        <w:pStyle w:val="ListParagraph"/>
        <w:ind w:left="360"/>
      </w:pPr>
    </w:p>
    <w:p w14:paraId="2B1AC9D5" w14:textId="77777777" w:rsidR="00662491" w:rsidRPr="00DA3910" w:rsidRDefault="00DB1D1B" w:rsidP="00662491">
      <w:pPr>
        <w:jc w:val="right"/>
        <w:rPr>
          <w:rFonts w:cs="Arial"/>
          <w:i/>
          <w:szCs w:val="24"/>
        </w:rPr>
      </w:pPr>
      <w:hyperlink w:anchor="Contents" w:history="1">
        <w:r w:rsidR="00662491" w:rsidRPr="00C91F3F">
          <w:rPr>
            <w:rStyle w:val="Hyperlink"/>
            <w:rFonts w:eastAsiaTheme="majorEastAsia" w:cs="Arial"/>
            <w:i/>
            <w:szCs w:val="24"/>
          </w:rPr>
          <w:t>Back to Table of Contents</w:t>
        </w:r>
      </w:hyperlink>
      <w:r w:rsidR="0066249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30BF4929" w14:textId="77777777" w:rsidTr="00C44682">
        <w:trPr>
          <w:cantSplit/>
          <w:trHeight w:val="285"/>
        </w:trPr>
        <w:tc>
          <w:tcPr>
            <w:tcW w:w="9158" w:type="dxa"/>
            <w:shd w:val="clear" w:color="auto" w:fill="D9D9D9" w:themeFill="background1" w:themeFillShade="D9"/>
          </w:tcPr>
          <w:p w14:paraId="3DBDADBF" w14:textId="77777777" w:rsidR="00662491" w:rsidRPr="00C76688" w:rsidRDefault="00662491" w:rsidP="00C44682">
            <w:pPr>
              <w:pStyle w:val="Heading1"/>
            </w:pPr>
            <w:bookmarkStart w:id="9" w:name="_Toc389473281"/>
            <w:bookmarkStart w:id="10" w:name="_Toc393203337"/>
            <w:bookmarkStart w:id="11" w:name="_Toc163213802"/>
            <w:r w:rsidRPr="00C76688">
              <w:t>Section 2 –</w:t>
            </w:r>
            <w:bookmarkEnd w:id="9"/>
            <w:bookmarkEnd w:id="10"/>
            <w:r>
              <w:t xml:space="preserve"> Contraindications, Precautions &amp; Drug Interactions</w:t>
            </w:r>
            <w:bookmarkEnd w:id="11"/>
          </w:p>
        </w:tc>
      </w:tr>
    </w:tbl>
    <w:p w14:paraId="35667C64" w14:textId="77777777" w:rsidR="00662491" w:rsidRDefault="00662491" w:rsidP="00662491">
      <w:pPr>
        <w:rPr>
          <w:rFonts w:cs="Arial"/>
          <w:i/>
          <w:szCs w:val="24"/>
        </w:rPr>
      </w:pPr>
    </w:p>
    <w:p w14:paraId="37BEE1A5" w14:textId="77777777" w:rsidR="00662491" w:rsidRPr="00BF16E4" w:rsidRDefault="00662491" w:rsidP="00662491">
      <w:pPr>
        <w:jc w:val="both"/>
        <w:rPr>
          <w:rFonts w:cs="Arial"/>
          <w:b/>
          <w:bCs/>
          <w:szCs w:val="24"/>
        </w:rPr>
      </w:pPr>
      <w:r w:rsidRPr="00BF16E4">
        <w:rPr>
          <w:rFonts w:cs="Arial"/>
          <w:b/>
          <w:bCs/>
          <w:szCs w:val="24"/>
        </w:rPr>
        <w:t>Contraindications</w:t>
      </w:r>
    </w:p>
    <w:p w14:paraId="30E33E33" w14:textId="77777777" w:rsidR="00662491" w:rsidRPr="00DA20EE" w:rsidRDefault="00662491" w:rsidP="00662491">
      <w:pPr>
        <w:jc w:val="both"/>
        <w:rPr>
          <w:rFonts w:cs="Arial"/>
          <w:szCs w:val="24"/>
        </w:rPr>
      </w:pPr>
      <w:r w:rsidRPr="00DA20EE">
        <w:rPr>
          <w:rFonts w:cs="Arial"/>
          <w:szCs w:val="24"/>
        </w:rPr>
        <w:t>Patients with any of the following should not re</w:t>
      </w:r>
      <w:r>
        <w:rPr>
          <w:rFonts w:cs="Arial"/>
          <w:szCs w:val="24"/>
        </w:rPr>
        <w:t>ceive intravenous treatment with lidocaine</w:t>
      </w:r>
      <w:r w:rsidRPr="00DA20EE">
        <w:rPr>
          <w:rFonts w:cs="Arial"/>
          <w:szCs w:val="24"/>
        </w:rPr>
        <w:t>:</w:t>
      </w:r>
    </w:p>
    <w:p w14:paraId="18D5FA67" w14:textId="77777777" w:rsidR="00662491" w:rsidRDefault="00662491" w:rsidP="00662491">
      <w:pPr>
        <w:pStyle w:val="ListBullet"/>
      </w:pPr>
      <w:r w:rsidRPr="00DA20EE">
        <w:t xml:space="preserve">hypersensitivity to </w:t>
      </w:r>
      <w:r>
        <w:rPr>
          <w:rFonts w:asciiTheme="minorHAnsi" w:hAnsiTheme="minorHAnsi" w:cstheme="minorHAnsi"/>
          <w:szCs w:val="24"/>
        </w:rPr>
        <w:t>lidocaine</w:t>
      </w:r>
      <w:r w:rsidRPr="00DA20EE">
        <w:rPr>
          <w:rFonts w:asciiTheme="minorHAnsi" w:hAnsiTheme="minorHAnsi" w:cstheme="minorHAnsi"/>
          <w:szCs w:val="24"/>
        </w:rPr>
        <w:t xml:space="preserve"> </w:t>
      </w:r>
      <w:r w:rsidRPr="00DA20EE">
        <w:t>or other amide anaesthetics</w:t>
      </w:r>
      <w:r>
        <w:rPr>
          <w:vertAlign w:val="superscript"/>
        </w:rPr>
        <w:t>4</w:t>
      </w:r>
      <w:r w:rsidRPr="00DA20EE">
        <w:t xml:space="preserve"> </w:t>
      </w:r>
    </w:p>
    <w:p w14:paraId="63F40D05" w14:textId="77777777" w:rsidR="00662491" w:rsidRPr="00DA20EE" w:rsidRDefault="00662491" w:rsidP="00662491">
      <w:pPr>
        <w:pStyle w:val="ListBullet"/>
      </w:pPr>
      <w:r w:rsidRPr="00DA20EE">
        <w:t>cardiac failure</w:t>
      </w:r>
    </w:p>
    <w:p w14:paraId="24A45D39" w14:textId="77777777" w:rsidR="00662491" w:rsidRPr="00DA20EE" w:rsidRDefault="00662491" w:rsidP="00662491">
      <w:pPr>
        <w:pStyle w:val="ListBullet"/>
      </w:pPr>
      <w:r w:rsidRPr="00DA20EE">
        <w:t>history of significant cardiac disease or known history of arrhythmia</w:t>
      </w:r>
    </w:p>
    <w:p w14:paraId="50991678" w14:textId="77777777" w:rsidR="00662491" w:rsidRPr="00DA20EE" w:rsidRDefault="00662491" w:rsidP="00662491">
      <w:pPr>
        <w:pStyle w:val="ListBullet"/>
      </w:pPr>
      <w:r w:rsidRPr="00DA20EE">
        <w:t xml:space="preserve">any abnormality on electrocardiogram (ECG) related to cardiac conduction or indicative of past or current </w:t>
      </w:r>
      <w:proofErr w:type="gramStart"/>
      <w:r w:rsidRPr="00DA20EE">
        <w:t>ischemia</w:t>
      </w:r>
      <w:proofErr w:type="gramEnd"/>
    </w:p>
    <w:p w14:paraId="1BFFCD5E" w14:textId="77777777" w:rsidR="00662491" w:rsidRPr="00DA20EE" w:rsidRDefault="00662491" w:rsidP="00662491">
      <w:pPr>
        <w:pStyle w:val="ListBullet"/>
      </w:pPr>
      <w:r w:rsidRPr="00DA20EE">
        <w:t xml:space="preserve">severe sinoatrial, </w:t>
      </w:r>
      <w:proofErr w:type="gramStart"/>
      <w:r w:rsidRPr="00DA20EE">
        <w:t>atrioventricular</w:t>
      </w:r>
      <w:proofErr w:type="gramEnd"/>
      <w:r w:rsidRPr="00DA20EE">
        <w:t xml:space="preserve"> or intraventricular heart conduction block</w:t>
      </w:r>
      <w:r>
        <w:rPr>
          <w:vertAlign w:val="superscript"/>
        </w:rPr>
        <w:t>4</w:t>
      </w:r>
    </w:p>
    <w:p w14:paraId="3F764579" w14:textId="77777777" w:rsidR="00662491" w:rsidRDefault="00662491" w:rsidP="00662491">
      <w:pPr>
        <w:pStyle w:val="ListBullet"/>
      </w:pPr>
      <w:r>
        <w:t>p</w:t>
      </w:r>
      <w:r w:rsidRPr="00916C70">
        <w:t>re-existing</w:t>
      </w:r>
      <w:r w:rsidRPr="00190C17">
        <w:t xml:space="preserve"> hypotension</w:t>
      </w:r>
      <w:r>
        <w:t xml:space="preserve"> defined as blood pressure less than 90/60 mmHg</w:t>
      </w:r>
      <w:r w:rsidRPr="00190C17">
        <w:t xml:space="preserve"> (especially if symptomatic</w:t>
      </w:r>
      <w:r>
        <w:t>)</w:t>
      </w:r>
    </w:p>
    <w:p w14:paraId="375400E2" w14:textId="77777777" w:rsidR="00662491" w:rsidRPr="00DA20EE" w:rsidRDefault="00662491" w:rsidP="00662491">
      <w:pPr>
        <w:pStyle w:val="ListBullet"/>
      </w:pPr>
      <w:r>
        <w:t>uncontrolled epilepsy</w:t>
      </w:r>
    </w:p>
    <w:p w14:paraId="2CB2B458" w14:textId="77777777" w:rsidR="00662491" w:rsidRDefault="00662491" w:rsidP="00662491">
      <w:pPr>
        <w:rPr>
          <w:rFonts w:cs="Arial"/>
          <w:i/>
          <w:szCs w:val="24"/>
        </w:rPr>
      </w:pPr>
    </w:p>
    <w:p w14:paraId="5EBD706E" w14:textId="77777777" w:rsidR="00662491" w:rsidRDefault="00662491" w:rsidP="00662491">
      <w:pPr>
        <w:rPr>
          <w:rFonts w:cs="Arial"/>
          <w:b/>
          <w:szCs w:val="24"/>
        </w:rPr>
      </w:pPr>
      <w:r>
        <w:rPr>
          <w:rFonts w:cs="Arial"/>
          <w:b/>
          <w:szCs w:val="24"/>
        </w:rPr>
        <w:t>Precautions</w:t>
      </w:r>
    </w:p>
    <w:p w14:paraId="248F0B59" w14:textId="77777777" w:rsidR="00662491" w:rsidRPr="00BF16E4" w:rsidRDefault="00662491" w:rsidP="00662491">
      <w:pPr>
        <w:pStyle w:val="ListParagraph"/>
        <w:numPr>
          <w:ilvl w:val="0"/>
          <w:numId w:val="15"/>
        </w:numPr>
        <w:rPr>
          <w:rFonts w:cs="Arial"/>
          <w:bCs/>
          <w:szCs w:val="24"/>
        </w:rPr>
      </w:pPr>
      <w:r>
        <w:t xml:space="preserve">Reduce dose in elderly patients and in those with </w:t>
      </w:r>
    </w:p>
    <w:p w14:paraId="1EB31194" w14:textId="77777777" w:rsidR="00662491" w:rsidRPr="00BF16E4" w:rsidRDefault="00662491" w:rsidP="00662491">
      <w:pPr>
        <w:pStyle w:val="ListParagraph"/>
        <w:numPr>
          <w:ilvl w:val="1"/>
          <w:numId w:val="15"/>
        </w:numPr>
        <w:rPr>
          <w:rFonts w:cs="Arial"/>
          <w:bCs/>
          <w:szCs w:val="24"/>
        </w:rPr>
      </w:pPr>
      <w:r>
        <w:t xml:space="preserve"> Low body mass (&lt; 50kg) / small stature </w:t>
      </w:r>
    </w:p>
    <w:p w14:paraId="56B60FBD" w14:textId="77777777" w:rsidR="00662491" w:rsidRPr="00BF16E4" w:rsidRDefault="00662491" w:rsidP="00662491">
      <w:pPr>
        <w:pStyle w:val="ListParagraph"/>
        <w:numPr>
          <w:ilvl w:val="1"/>
          <w:numId w:val="15"/>
        </w:numPr>
        <w:rPr>
          <w:rFonts w:cs="Arial"/>
          <w:bCs/>
          <w:szCs w:val="24"/>
        </w:rPr>
      </w:pPr>
      <w:r>
        <w:t xml:space="preserve"> Obesity (&gt;120kg) </w:t>
      </w:r>
    </w:p>
    <w:p w14:paraId="2186AF9C" w14:textId="77777777" w:rsidR="00662491" w:rsidRPr="00BF16E4" w:rsidRDefault="00662491" w:rsidP="00662491">
      <w:pPr>
        <w:pStyle w:val="ListParagraph"/>
        <w:numPr>
          <w:ilvl w:val="1"/>
          <w:numId w:val="15"/>
        </w:numPr>
        <w:rPr>
          <w:rFonts w:cs="Arial"/>
          <w:bCs/>
          <w:szCs w:val="24"/>
        </w:rPr>
      </w:pPr>
      <w:r>
        <w:t xml:space="preserve"> liver failure – consider halving the dose in those with severe </w:t>
      </w:r>
      <w:proofErr w:type="gramStart"/>
      <w:r>
        <w:t>impairment</w:t>
      </w:r>
      <w:proofErr w:type="gramEnd"/>
    </w:p>
    <w:p w14:paraId="470BC75E" w14:textId="77777777" w:rsidR="00662491" w:rsidRPr="00432CE3" w:rsidRDefault="00662491" w:rsidP="00662491">
      <w:pPr>
        <w:pStyle w:val="ListParagraph"/>
        <w:numPr>
          <w:ilvl w:val="1"/>
          <w:numId w:val="15"/>
        </w:numPr>
        <w:rPr>
          <w:rFonts w:cs="Arial"/>
          <w:bCs/>
          <w:szCs w:val="24"/>
        </w:rPr>
      </w:pPr>
      <w:r>
        <w:lastRenderedPageBreak/>
        <w:t xml:space="preserve"> renal failure (renal impairment is unlikely to affect lignocaine clearance if duration is &lt; 24 hrs, however, toxicity may still develop after prolonged use with accumulation of a less active metabolite)</w:t>
      </w:r>
    </w:p>
    <w:p w14:paraId="29EC36DE" w14:textId="77777777" w:rsidR="00662491" w:rsidRDefault="00662491" w:rsidP="00662491">
      <w:pPr>
        <w:rPr>
          <w:rFonts w:cs="Arial"/>
          <w:szCs w:val="24"/>
        </w:rPr>
      </w:pPr>
    </w:p>
    <w:p w14:paraId="6601B4B1" w14:textId="77777777" w:rsidR="00662491" w:rsidRPr="00432CE3" w:rsidRDefault="00662491" w:rsidP="00662491">
      <w:pPr>
        <w:rPr>
          <w:rFonts w:cs="Arial"/>
          <w:szCs w:val="24"/>
        </w:rPr>
      </w:pPr>
      <w:r w:rsidRPr="00432CE3">
        <w:rPr>
          <w:rFonts w:cs="Arial"/>
          <w:szCs w:val="24"/>
        </w:rPr>
        <w:t xml:space="preserve">The use of intravenous lidocaine infusions to manage migraine in patients who are pregnant must be considered on a case-by-case basis weighing all risks and benefits to the patient and foetus. Extensive consultation involving the patient, the neurologist and obstetrician is required. </w:t>
      </w:r>
      <w:r w:rsidRPr="00432CE3">
        <w:rPr>
          <w:rFonts w:cs="Arial"/>
          <w:szCs w:val="24"/>
        </w:rPr>
        <w:br/>
      </w:r>
    </w:p>
    <w:p w14:paraId="6A7DE688" w14:textId="77777777" w:rsidR="00662491" w:rsidRPr="00432CE3" w:rsidRDefault="00662491" w:rsidP="00662491">
      <w:pPr>
        <w:rPr>
          <w:rFonts w:cs="Arial"/>
          <w:b/>
          <w:szCs w:val="24"/>
        </w:rPr>
      </w:pPr>
      <w:r w:rsidRPr="00432CE3">
        <w:rPr>
          <w:rFonts w:cs="Arial"/>
          <w:b/>
          <w:szCs w:val="24"/>
        </w:rPr>
        <w:t xml:space="preserve">Drug Interactions </w:t>
      </w:r>
    </w:p>
    <w:p w14:paraId="7B01CF63" w14:textId="208953C8" w:rsidR="00662491" w:rsidRDefault="00662491" w:rsidP="00662491">
      <w:r w:rsidRPr="00DA20EE">
        <w:t>When compared to other routes of administration</w:t>
      </w:r>
      <w:r>
        <w:t>,</w:t>
      </w:r>
      <w:r w:rsidRPr="00DA20EE">
        <w:t xml:space="preserve"> </w:t>
      </w:r>
      <w:r>
        <w:t>intravenous</w:t>
      </w:r>
      <w:r w:rsidRPr="00DA20EE">
        <w:t xml:space="preserve"> </w:t>
      </w:r>
      <w:r w:rsidRPr="00432CE3">
        <w:rPr>
          <w:rFonts w:asciiTheme="minorHAnsi" w:hAnsiTheme="minorHAnsi" w:cstheme="minorHAnsi"/>
          <w:szCs w:val="24"/>
        </w:rPr>
        <w:t xml:space="preserve">lidocaine </w:t>
      </w:r>
      <w:r w:rsidRPr="00DA20EE">
        <w:t>can lead to significant drug interactions</w:t>
      </w:r>
      <w:r>
        <w:t xml:space="preserve"> particularly with agents which may prolong QT interval</w:t>
      </w:r>
      <w:r w:rsidRPr="00432CE3">
        <w:rPr>
          <w:vertAlign w:val="superscript"/>
        </w:rPr>
        <w:t>3</w:t>
      </w:r>
      <w:r w:rsidRPr="00DA20EE">
        <w:t>.</w:t>
      </w:r>
      <w:r>
        <w:t xml:space="preserve"> Potential drug interactions must be checked before prescribing intravenous lidocaine. Examples of resources that can be used to check drug interactions include </w:t>
      </w:r>
      <w:proofErr w:type="spellStart"/>
      <w:r w:rsidR="00FC0395">
        <w:t>Lexidrug</w:t>
      </w:r>
      <w:proofErr w:type="spellEnd"/>
      <w:r w:rsidR="00FC0395">
        <w:t xml:space="preserve"> </w:t>
      </w:r>
      <w:r>
        <w:t>Drug Interactions</w:t>
      </w:r>
      <w:r w:rsidR="00E62EE3">
        <w:t xml:space="preserve"> and </w:t>
      </w:r>
      <w:proofErr w:type="spellStart"/>
      <w:r>
        <w:t>MiMS</w:t>
      </w:r>
      <w:proofErr w:type="spellEnd"/>
      <w:r>
        <w:t xml:space="preserve"> Online Drug Interactions.</w:t>
      </w:r>
    </w:p>
    <w:p w14:paraId="0F7DFCF5" w14:textId="77777777" w:rsidR="00662491" w:rsidRPr="00FB3986" w:rsidRDefault="00662491" w:rsidP="00662491"/>
    <w:p w14:paraId="6F5DFD5F" w14:textId="77777777" w:rsidR="00662491" w:rsidRPr="00DA3910" w:rsidRDefault="00DB1D1B" w:rsidP="00662491">
      <w:pPr>
        <w:jc w:val="right"/>
        <w:rPr>
          <w:rFonts w:cs="Arial"/>
          <w:i/>
          <w:szCs w:val="24"/>
        </w:rPr>
      </w:pPr>
      <w:hyperlink w:anchor="Contents" w:history="1">
        <w:r w:rsidR="00662491" w:rsidRPr="00C91F3F">
          <w:rPr>
            <w:rStyle w:val="Hyperlink"/>
            <w:rFonts w:eastAsiaTheme="majorEastAsia" w:cs="Arial"/>
            <w:i/>
            <w:szCs w:val="24"/>
          </w:rPr>
          <w:t>Back to Table of Contents</w:t>
        </w:r>
      </w:hyperlink>
      <w:r w:rsidR="0066249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13A6F08B" w14:textId="77777777" w:rsidTr="00C44682">
        <w:trPr>
          <w:cantSplit/>
          <w:trHeight w:val="285"/>
        </w:trPr>
        <w:tc>
          <w:tcPr>
            <w:tcW w:w="9158" w:type="dxa"/>
            <w:shd w:val="clear" w:color="auto" w:fill="D9D9D9" w:themeFill="background1" w:themeFillShade="D9"/>
          </w:tcPr>
          <w:p w14:paraId="03CE1276" w14:textId="77777777" w:rsidR="00662491" w:rsidRPr="003D2D06" w:rsidRDefault="00662491" w:rsidP="00C44682">
            <w:pPr>
              <w:pStyle w:val="Heading1"/>
            </w:pPr>
            <w:bookmarkStart w:id="12" w:name="_Toc389473284"/>
            <w:bookmarkStart w:id="13" w:name="_Toc393203340"/>
            <w:bookmarkStart w:id="14" w:name="_Toc163213803"/>
            <w:r w:rsidRPr="003D2D06">
              <w:t xml:space="preserve">Section </w:t>
            </w:r>
            <w:r>
              <w:t>3</w:t>
            </w:r>
            <w:r w:rsidRPr="003D2D06">
              <w:t xml:space="preserve"> – </w:t>
            </w:r>
            <w:bookmarkEnd w:id="12"/>
            <w:bookmarkEnd w:id="13"/>
            <w:r>
              <w:t>Baseline monitoring</w:t>
            </w:r>
            <w:bookmarkEnd w:id="14"/>
          </w:p>
        </w:tc>
      </w:tr>
    </w:tbl>
    <w:p w14:paraId="0666B667" w14:textId="77777777" w:rsidR="00662491" w:rsidRDefault="00662491" w:rsidP="00662491">
      <w:pPr>
        <w:pStyle w:val="Heading2"/>
      </w:pPr>
    </w:p>
    <w:p w14:paraId="2D703FD9" w14:textId="77777777" w:rsidR="00662491" w:rsidRDefault="00662491" w:rsidP="00662491">
      <w:r>
        <w:t xml:space="preserve">Prior to the commencement of the lidocaine infusion the neurology team must confirm if the patient can safely receive the lidocaine infusion with frequent regular observations or whether continuous cardiac monitoring is required. </w:t>
      </w:r>
    </w:p>
    <w:p w14:paraId="464E24AC" w14:textId="77777777" w:rsidR="00662491" w:rsidRDefault="00662491" w:rsidP="00662491"/>
    <w:p w14:paraId="3EE1C735" w14:textId="77777777" w:rsidR="00662491" w:rsidRDefault="00662491" w:rsidP="00662491">
      <w:r>
        <w:rPr>
          <w:color w:val="000000"/>
          <w:szCs w:val="24"/>
        </w:rPr>
        <w:t>A cardiology specialist may request that p</w:t>
      </w:r>
      <w:r w:rsidRPr="006E540C">
        <w:rPr>
          <w:color w:val="000000"/>
          <w:szCs w:val="24"/>
        </w:rPr>
        <w:t xml:space="preserve">atients with pre-existing first-degree heart block </w:t>
      </w:r>
      <w:r>
        <w:rPr>
          <w:color w:val="000000"/>
          <w:szCs w:val="24"/>
        </w:rPr>
        <w:t xml:space="preserve">undergo </w:t>
      </w:r>
      <w:r w:rsidRPr="006E540C">
        <w:rPr>
          <w:color w:val="000000"/>
          <w:szCs w:val="24"/>
        </w:rPr>
        <w:t>continuous cardiac monitoring</w:t>
      </w:r>
      <w:r>
        <w:rPr>
          <w:color w:val="000000"/>
          <w:szCs w:val="24"/>
        </w:rPr>
        <w:t xml:space="preserve"> whilst receiving a lidocaine infusion.</w:t>
      </w:r>
    </w:p>
    <w:p w14:paraId="76A4053B" w14:textId="77777777" w:rsidR="00662491" w:rsidRDefault="00662491" w:rsidP="00662491">
      <w:pPr>
        <w:pStyle w:val="NormalWeb"/>
        <w:rPr>
          <w:rFonts w:asciiTheme="minorHAnsi" w:hAnsiTheme="minorHAnsi" w:cstheme="minorHAnsi"/>
          <w:color w:val="000000"/>
        </w:rPr>
      </w:pPr>
      <w:r>
        <w:rPr>
          <w:rFonts w:asciiTheme="minorHAnsi" w:hAnsiTheme="minorHAnsi" w:cstheme="minorHAnsi"/>
          <w:color w:val="000000"/>
        </w:rPr>
        <w:t xml:space="preserve">Perform the </w:t>
      </w:r>
      <w:r w:rsidRPr="006E540C">
        <w:rPr>
          <w:rFonts w:asciiTheme="minorHAnsi" w:hAnsiTheme="minorHAnsi" w:cstheme="minorHAnsi"/>
          <w:color w:val="000000"/>
        </w:rPr>
        <w:t>following:</w:t>
      </w:r>
    </w:p>
    <w:p w14:paraId="0D69A57E" w14:textId="77777777" w:rsidR="00662491" w:rsidRPr="006E540C" w:rsidRDefault="00662491" w:rsidP="00662491">
      <w:pPr>
        <w:pStyle w:val="NormalWeb"/>
        <w:numPr>
          <w:ilvl w:val="0"/>
          <w:numId w:val="15"/>
        </w:numPr>
        <w:rPr>
          <w:rFonts w:asciiTheme="minorHAnsi" w:hAnsiTheme="minorHAnsi" w:cstheme="minorHAnsi"/>
          <w:color w:val="000000"/>
        </w:rPr>
      </w:pPr>
      <w:r w:rsidRPr="006E540C">
        <w:rPr>
          <w:rFonts w:asciiTheme="minorHAnsi" w:hAnsiTheme="minorHAnsi" w:cstheme="minorHAnsi"/>
          <w:color w:val="000000"/>
        </w:rPr>
        <w:t xml:space="preserve">Baseline serum electrolytes (including phosphate and magnesium), </w:t>
      </w:r>
      <w:r>
        <w:rPr>
          <w:rFonts w:asciiTheme="minorHAnsi" w:hAnsiTheme="minorHAnsi" w:cstheme="minorHAnsi"/>
          <w:color w:val="000000"/>
        </w:rPr>
        <w:t xml:space="preserve">LFT’s, </w:t>
      </w:r>
      <w:r w:rsidRPr="006E540C">
        <w:rPr>
          <w:rFonts w:asciiTheme="minorHAnsi" w:hAnsiTheme="minorHAnsi" w:cstheme="minorHAnsi"/>
          <w:color w:val="000000"/>
        </w:rPr>
        <w:t xml:space="preserve">urea, creatinine and full blood count; correct hypokalaemia and hypomagnesaemia prior to initiating the infusion to reduce the likelihood of cardiac arrhythmia including prolongation of the QT </w:t>
      </w:r>
      <w:proofErr w:type="gramStart"/>
      <w:r w:rsidRPr="006E540C">
        <w:rPr>
          <w:rFonts w:asciiTheme="minorHAnsi" w:hAnsiTheme="minorHAnsi" w:cstheme="minorHAnsi"/>
          <w:color w:val="000000"/>
        </w:rPr>
        <w:t>interval</w:t>
      </w:r>
      <w:proofErr w:type="gramEnd"/>
    </w:p>
    <w:p w14:paraId="28FE8C65" w14:textId="77777777" w:rsidR="00662491" w:rsidRPr="006E540C" w:rsidRDefault="00662491" w:rsidP="00662491">
      <w:pPr>
        <w:pStyle w:val="NormalWeb"/>
        <w:numPr>
          <w:ilvl w:val="0"/>
          <w:numId w:val="15"/>
        </w:numPr>
        <w:rPr>
          <w:rFonts w:asciiTheme="minorHAnsi" w:hAnsiTheme="minorHAnsi" w:cstheme="minorHAnsi"/>
          <w:color w:val="000000"/>
        </w:rPr>
      </w:pPr>
      <w:r w:rsidRPr="006E540C">
        <w:rPr>
          <w:rFonts w:asciiTheme="minorHAnsi" w:hAnsiTheme="minorHAnsi" w:cstheme="minorHAnsi"/>
          <w:color w:val="000000"/>
        </w:rPr>
        <w:t>Baseline 12-lead ECG</w:t>
      </w:r>
    </w:p>
    <w:p w14:paraId="485CCC51" w14:textId="77777777" w:rsidR="00662491" w:rsidRPr="00404336" w:rsidRDefault="00662491" w:rsidP="00662491">
      <w:pPr>
        <w:pStyle w:val="NormalWeb"/>
        <w:numPr>
          <w:ilvl w:val="0"/>
          <w:numId w:val="15"/>
        </w:numPr>
        <w:rPr>
          <w:rFonts w:asciiTheme="minorHAnsi" w:hAnsiTheme="minorHAnsi" w:cstheme="minorHAnsi"/>
          <w:color w:val="000000"/>
        </w:rPr>
      </w:pPr>
      <w:r>
        <w:rPr>
          <w:rFonts w:asciiTheme="minorHAnsi" w:hAnsiTheme="minorHAnsi" w:cstheme="minorHAnsi"/>
          <w:color w:val="000000"/>
        </w:rPr>
        <w:t>B</w:t>
      </w:r>
      <w:r w:rsidRPr="00404336">
        <w:rPr>
          <w:rFonts w:asciiTheme="minorHAnsi" w:hAnsiTheme="minorHAnsi" w:cstheme="minorHAnsi"/>
          <w:color w:val="000000"/>
        </w:rPr>
        <w:t>aseline vital signs – weight, blood pressure, heart rate, respiratory rate, oxygen saturation.</w:t>
      </w:r>
      <w:r w:rsidRPr="00404336">
        <w:rPr>
          <w:rFonts w:asciiTheme="minorHAnsi" w:hAnsiTheme="minorHAnsi" w:cstheme="minorHAnsi"/>
          <w:color w:val="000000"/>
        </w:rPr>
        <w:tab/>
      </w:r>
      <w:r w:rsidRPr="00404336">
        <w:rPr>
          <w:rFonts w:asciiTheme="minorHAnsi" w:hAnsiTheme="minorHAnsi" w:cstheme="minorHAnsi"/>
          <w:color w:val="000000"/>
        </w:rPr>
        <w:tab/>
      </w:r>
      <w:r w:rsidRPr="00404336">
        <w:rPr>
          <w:rFonts w:asciiTheme="minorHAnsi" w:hAnsiTheme="minorHAnsi" w:cstheme="minorHAnsi"/>
          <w:color w:val="000000"/>
        </w:rPr>
        <w:tab/>
      </w:r>
      <w:r w:rsidRPr="00404336">
        <w:rPr>
          <w:rFonts w:asciiTheme="minorHAnsi" w:hAnsiTheme="minorHAnsi" w:cstheme="minorHAnsi"/>
          <w:color w:val="000000"/>
        </w:rPr>
        <w:tab/>
      </w:r>
      <w:r w:rsidRPr="00404336">
        <w:rPr>
          <w:rFonts w:asciiTheme="minorHAnsi" w:hAnsiTheme="minorHAnsi" w:cstheme="minorHAnsi"/>
          <w:color w:val="000000"/>
        </w:rPr>
        <w:tab/>
      </w:r>
      <w:r w:rsidRPr="00404336">
        <w:rPr>
          <w:rFonts w:asciiTheme="minorHAnsi" w:hAnsiTheme="minorHAnsi" w:cstheme="minorHAnsi"/>
          <w:color w:val="000000"/>
        </w:rPr>
        <w:tab/>
      </w:r>
      <w:r w:rsidRPr="00404336">
        <w:rPr>
          <w:rFonts w:asciiTheme="minorHAnsi" w:hAnsiTheme="minorHAnsi" w:cstheme="minorHAnsi"/>
          <w:color w:val="000000"/>
        </w:rPr>
        <w:tab/>
      </w:r>
      <w:r w:rsidRPr="00404336">
        <w:rPr>
          <w:rFonts w:asciiTheme="minorHAnsi" w:hAnsiTheme="minorHAnsi" w:cstheme="minorHAnsi"/>
          <w:color w:val="000000"/>
        </w:rPr>
        <w:tab/>
      </w:r>
    </w:p>
    <w:p w14:paraId="2B172029" w14:textId="77777777" w:rsidR="00662491" w:rsidRPr="001F0832" w:rsidRDefault="00662491" w:rsidP="00662491">
      <w:pPr>
        <w:pStyle w:val="NormalWeb"/>
        <w:rPr>
          <w:rFonts w:asciiTheme="minorHAnsi" w:hAnsiTheme="minorHAnsi" w:cstheme="minorHAnsi"/>
          <w:color w:val="000000"/>
        </w:rPr>
      </w:pPr>
      <w:r>
        <w:rPr>
          <w:rFonts w:asciiTheme="minorHAnsi" w:hAnsiTheme="minorHAnsi" w:cstheme="minorHAnsi"/>
          <w:color w:val="000000"/>
        </w:rPr>
        <w:t xml:space="preserve">Document the patient’s pain score on the </w:t>
      </w:r>
      <w:proofErr w:type="gramStart"/>
      <w:r>
        <w:rPr>
          <w:rFonts w:asciiTheme="minorHAnsi" w:hAnsiTheme="minorHAnsi" w:cstheme="minorHAnsi"/>
          <w:color w:val="000000"/>
        </w:rPr>
        <w:t>patients</w:t>
      </w:r>
      <w:proofErr w:type="gramEnd"/>
      <w:r>
        <w:rPr>
          <w:rFonts w:asciiTheme="minorHAnsi" w:hAnsiTheme="minorHAnsi" w:cstheme="minorHAnsi"/>
          <w:color w:val="000000"/>
        </w:rPr>
        <w:t xml:space="preserve"> pain </w:t>
      </w:r>
      <w:r w:rsidRPr="001F0832">
        <w:rPr>
          <w:rFonts w:asciiTheme="minorHAnsi" w:hAnsiTheme="minorHAnsi" w:cstheme="minorHAnsi"/>
          <w:color w:val="000000"/>
        </w:rPr>
        <w:t>assessment flowsheet.</w:t>
      </w:r>
    </w:p>
    <w:p w14:paraId="31398B7A" w14:textId="77777777" w:rsidR="00662491" w:rsidRDefault="00662491" w:rsidP="00662491">
      <w:pPr>
        <w:pStyle w:val="NormalWeb"/>
        <w:spacing w:after="0" w:afterAutospacing="0"/>
        <w:jc w:val="right"/>
        <w:rPr>
          <w:rFonts w:cs="Arial"/>
          <w:i/>
        </w:rPr>
      </w:pPr>
      <w:r w:rsidRPr="001F0832">
        <w:rPr>
          <w:rFonts w:asciiTheme="minorHAnsi" w:hAnsiTheme="minorHAnsi" w:cstheme="minorHAnsi"/>
          <w:iCs/>
        </w:rPr>
        <w:tab/>
      </w:r>
      <w:r w:rsidRPr="001F0832">
        <w:rPr>
          <w:rFonts w:asciiTheme="minorHAnsi" w:hAnsiTheme="minorHAnsi" w:cstheme="minorHAnsi"/>
          <w:iCs/>
        </w:rPr>
        <w:tab/>
      </w:r>
      <w:r w:rsidRPr="001F0832">
        <w:rPr>
          <w:rFonts w:asciiTheme="minorHAnsi" w:hAnsiTheme="minorHAnsi" w:cstheme="minorHAnsi"/>
          <w:iCs/>
        </w:rPr>
        <w:tab/>
      </w:r>
      <w:r w:rsidRPr="001F0832">
        <w:rPr>
          <w:rFonts w:asciiTheme="minorHAnsi" w:hAnsiTheme="minorHAnsi" w:cstheme="minorHAnsi"/>
          <w:iCs/>
        </w:rPr>
        <w:tab/>
      </w:r>
      <w:r w:rsidRPr="001F0832">
        <w:rPr>
          <w:rFonts w:asciiTheme="minorHAnsi" w:hAnsiTheme="minorHAnsi" w:cstheme="minorHAnsi"/>
          <w:iCs/>
        </w:rPr>
        <w:tab/>
      </w:r>
      <w:r w:rsidRPr="001F0832">
        <w:rPr>
          <w:rFonts w:asciiTheme="minorHAnsi" w:hAnsiTheme="minorHAnsi" w:cstheme="minorHAnsi"/>
          <w:iCs/>
        </w:rPr>
        <w:tab/>
      </w:r>
      <w:r w:rsidRPr="001F0832">
        <w:rPr>
          <w:rFonts w:asciiTheme="minorHAnsi" w:hAnsiTheme="minorHAnsi" w:cstheme="minorHAnsi"/>
          <w:iCs/>
        </w:rPr>
        <w:tab/>
      </w:r>
      <w:r w:rsidRPr="001F0832">
        <w:rPr>
          <w:rFonts w:asciiTheme="minorHAnsi" w:hAnsiTheme="minorHAnsi" w:cstheme="minorHAnsi"/>
          <w:iCs/>
        </w:rPr>
        <w:tab/>
      </w:r>
      <w:hyperlink w:anchor="Contents" w:history="1">
        <w:r w:rsidRPr="001F0832">
          <w:rPr>
            <w:rStyle w:val="Hyperlink"/>
            <w:rFonts w:asciiTheme="minorHAnsi" w:eastAsiaTheme="majorEastAsia" w:hAnsiTheme="minorHAnsi" w:cstheme="minorHAnsi"/>
            <w:i/>
          </w:rPr>
          <w:t>Back to Table of Contents</w:t>
        </w:r>
      </w:hyperlink>
      <w:r w:rsidRPr="00404336">
        <w:rPr>
          <w:rFonts w:cs="Arial"/>
          <w:i/>
        </w:rPr>
        <w:t xml:space="preserve"> </w:t>
      </w:r>
    </w:p>
    <w:p w14:paraId="07A8A536" w14:textId="77777777" w:rsidR="00662491" w:rsidRDefault="00662491" w:rsidP="00662491">
      <w:pPr>
        <w:pStyle w:val="NormalWeb"/>
        <w:spacing w:after="0" w:afterAutospacing="0"/>
        <w:jc w:val="right"/>
        <w:rPr>
          <w:rFonts w:cs="Arial"/>
          <w:i/>
        </w:rPr>
      </w:pPr>
    </w:p>
    <w:p w14:paraId="6BD6AC95" w14:textId="77777777" w:rsidR="00662491" w:rsidRPr="00404336" w:rsidRDefault="00662491" w:rsidP="00662491">
      <w:pPr>
        <w:pStyle w:val="NormalWeb"/>
        <w:spacing w:after="0" w:afterAutospacing="0"/>
        <w:jc w:val="right"/>
        <w:rPr>
          <w:rFonts w:asciiTheme="minorHAnsi" w:hAnsiTheme="minorHAnsi" w:cstheme="minorHAnsi"/>
          <w:color w:val="000000"/>
        </w:rPr>
      </w:pP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2D44546D" w14:textId="77777777" w:rsidTr="00C44682">
        <w:trPr>
          <w:cantSplit/>
          <w:trHeight w:val="285"/>
        </w:trPr>
        <w:tc>
          <w:tcPr>
            <w:tcW w:w="9158" w:type="dxa"/>
            <w:shd w:val="clear" w:color="auto" w:fill="D9D9D9" w:themeFill="background1" w:themeFillShade="D9"/>
          </w:tcPr>
          <w:p w14:paraId="25A7B12A" w14:textId="77777777" w:rsidR="00662491" w:rsidRPr="003D2D06" w:rsidRDefault="00662491" w:rsidP="00C44682">
            <w:pPr>
              <w:pStyle w:val="Heading1"/>
            </w:pPr>
            <w:bookmarkStart w:id="15" w:name="_Toc163213804"/>
            <w:r w:rsidRPr="003D2D06">
              <w:lastRenderedPageBreak/>
              <w:t xml:space="preserve">Section </w:t>
            </w:r>
            <w:r>
              <w:t>4</w:t>
            </w:r>
            <w:r w:rsidRPr="003D2D06">
              <w:t xml:space="preserve"> – </w:t>
            </w:r>
            <w:r>
              <w:t>Prescription</w:t>
            </w:r>
            <w:bookmarkEnd w:id="15"/>
          </w:p>
        </w:tc>
      </w:tr>
    </w:tbl>
    <w:p w14:paraId="3167ADF8" w14:textId="77777777" w:rsidR="00662491" w:rsidRDefault="00662491" w:rsidP="00662491"/>
    <w:p w14:paraId="7189CACC" w14:textId="77777777" w:rsidR="00662491" w:rsidRDefault="00662491" w:rsidP="00662491">
      <w:r>
        <w:t>Prior to prescribing the infusion a medical review of the baseline measurements must occur.</w:t>
      </w:r>
    </w:p>
    <w:p w14:paraId="4E35EDCB" w14:textId="77777777" w:rsidR="00662491" w:rsidRDefault="00662491" w:rsidP="00662491"/>
    <w:p w14:paraId="05F05DFD" w14:textId="77777777" w:rsidR="00662491" w:rsidRDefault="00662491" w:rsidP="00662491">
      <w:r>
        <w:t>To enhance the safety of patients receiving lidocaine infusions, every effort should be made to ensure that the prescription and supply of lidocaine infusion bags occurs during daylight hours.</w:t>
      </w:r>
    </w:p>
    <w:p w14:paraId="71527332" w14:textId="77777777" w:rsidR="00662491" w:rsidRDefault="00662491" w:rsidP="00662491">
      <w:pPr>
        <w:pStyle w:val="Heading2"/>
        <w:rPr>
          <w:b w:val="0"/>
          <w:bCs w:val="0"/>
          <w:highlight w:val="yellow"/>
        </w:rPr>
      </w:pPr>
    </w:p>
    <w:p w14:paraId="031A3F87" w14:textId="77777777" w:rsidR="00662491" w:rsidRPr="00DA20EE" w:rsidRDefault="00662491" w:rsidP="00662491">
      <w:r w:rsidRPr="0055335D">
        <w:t xml:space="preserve">Intravenous lidocaine infusions </w:t>
      </w:r>
      <w:r>
        <w:t xml:space="preserve">for headache </w:t>
      </w:r>
      <w:r w:rsidRPr="0055335D">
        <w:t xml:space="preserve">are to be prescribed by a Medical Officer in the patients DHR as lidocaine 2000mg in glucose 5% </w:t>
      </w:r>
      <w:r>
        <w:t>500mL (4mg/mL) infusion</w:t>
      </w:r>
      <w:r w:rsidRPr="0055335D">
        <w:t xml:space="preserve">.  </w:t>
      </w:r>
      <w:r w:rsidRPr="00A64751">
        <w:t>Note that sodium chloride 0.9% can be used for patients where glucose is not appropriate</w:t>
      </w:r>
      <w:r>
        <w:t>.</w:t>
      </w:r>
    </w:p>
    <w:p w14:paraId="2103C2FC" w14:textId="77777777" w:rsidR="00662491" w:rsidRDefault="00662491" w:rsidP="00662491">
      <w:pPr>
        <w:pStyle w:val="Heading2"/>
        <w:rPr>
          <w:b w:val="0"/>
          <w:bCs w:val="0"/>
          <w:highlight w:val="yellow"/>
        </w:rPr>
      </w:pPr>
    </w:p>
    <w:p w14:paraId="285C0615" w14:textId="77777777" w:rsidR="00662491" w:rsidRPr="00A64751" w:rsidRDefault="00662491" w:rsidP="00662491">
      <w:pPr>
        <w:pStyle w:val="Heading2"/>
        <w:rPr>
          <w:b w:val="0"/>
          <w:bCs w:val="0"/>
        </w:rPr>
      </w:pPr>
      <w:r w:rsidRPr="00A64751">
        <w:rPr>
          <w:b w:val="0"/>
          <w:bCs w:val="0"/>
        </w:rPr>
        <w:t xml:space="preserve">The infusion is commenced at a rate of 1 mg/min (15 mL/hour). </w:t>
      </w:r>
    </w:p>
    <w:p w14:paraId="6D621783" w14:textId="77777777" w:rsidR="00662491" w:rsidRPr="00A64751" w:rsidRDefault="00662491" w:rsidP="00662491"/>
    <w:p w14:paraId="672CEC28" w14:textId="77777777" w:rsidR="00662491" w:rsidRDefault="00662491" w:rsidP="00662491">
      <w:r w:rsidRPr="00A64751">
        <w:t>If there is no therapeutic benefit after 24 hours, the neurology team can prescribe an increase in the infusion rate to a maximum of 2 mg/min (30 mL/hour)</w:t>
      </w:r>
    </w:p>
    <w:p w14:paraId="416CA634" w14:textId="77777777" w:rsidR="00662491" w:rsidRDefault="00662491" w:rsidP="00662491"/>
    <w:p w14:paraId="0030F369" w14:textId="77777777" w:rsidR="00662491" w:rsidRPr="00A64751" w:rsidRDefault="00662491" w:rsidP="00662491">
      <w:r w:rsidRPr="00B35EA1">
        <w:rPr>
          <w:color w:val="000000"/>
          <w:szCs w:val="24"/>
        </w:rPr>
        <w:t>Continue with treatment until patient has been headache free for a minimum of 12 hours. The maximum number of days of continuous lidocaine infusion is 10 days</w:t>
      </w:r>
      <w:r w:rsidRPr="00B35EA1">
        <w:rPr>
          <w:color w:val="000000"/>
          <w:szCs w:val="24"/>
          <w:vertAlign w:val="superscript"/>
        </w:rPr>
        <w:t>6</w:t>
      </w:r>
      <w:r w:rsidRPr="00B35EA1">
        <w:rPr>
          <w:color w:val="000000"/>
          <w:sz w:val="27"/>
          <w:szCs w:val="27"/>
          <w:vertAlign w:val="superscript"/>
        </w:rPr>
        <w:t>.</w:t>
      </w:r>
    </w:p>
    <w:p w14:paraId="70F6A070" w14:textId="77777777" w:rsidR="00662491" w:rsidRDefault="00662491" w:rsidP="00662491">
      <w:pPr>
        <w:rPr>
          <w:rFonts w:cs="Arial"/>
          <w:i/>
          <w:szCs w:val="24"/>
        </w:rPr>
      </w:pPr>
    </w:p>
    <w:bookmarkStart w:id="16" w:name="_Hlk139966298"/>
    <w:p w14:paraId="4075E9B7" w14:textId="77777777" w:rsidR="00662491" w:rsidRPr="00912A7F" w:rsidRDefault="00662491" w:rsidP="00662491">
      <w:pPr>
        <w:jc w:val="right"/>
        <w:rPr>
          <w:rFonts w:cs="Arial"/>
          <w:i/>
          <w:szCs w:val="24"/>
        </w:rPr>
      </w:pPr>
      <w:r>
        <w:fldChar w:fldCharType="begin"/>
      </w:r>
      <w:r>
        <w:instrText>HYPERLINK \l "Contents"</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74A32FDA" w14:textId="77777777" w:rsidTr="00C44682">
        <w:trPr>
          <w:cantSplit/>
          <w:trHeight w:val="285"/>
        </w:trPr>
        <w:tc>
          <w:tcPr>
            <w:tcW w:w="9158" w:type="dxa"/>
            <w:shd w:val="clear" w:color="auto" w:fill="D9D9D9" w:themeFill="background1" w:themeFillShade="D9"/>
          </w:tcPr>
          <w:p w14:paraId="0693F178" w14:textId="77777777" w:rsidR="00662491" w:rsidRPr="003D2D06" w:rsidRDefault="00662491" w:rsidP="00C44682">
            <w:pPr>
              <w:pStyle w:val="Heading1"/>
            </w:pPr>
            <w:bookmarkStart w:id="17" w:name="_Toc163213805"/>
            <w:bookmarkEnd w:id="16"/>
            <w:r w:rsidRPr="003D2D06">
              <w:t xml:space="preserve">Section </w:t>
            </w:r>
            <w:r>
              <w:t>5</w:t>
            </w:r>
            <w:r w:rsidRPr="003D2D06">
              <w:t xml:space="preserve"> – </w:t>
            </w:r>
            <w:r>
              <w:t>Supply</w:t>
            </w:r>
            <w:bookmarkEnd w:id="17"/>
          </w:p>
        </w:tc>
      </w:tr>
    </w:tbl>
    <w:p w14:paraId="336FC54B" w14:textId="77777777" w:rsidR="00662491" w:rsidRDefault="00662491" w:rsidP="00662491">
      <w:pPr>
        <w:tabs>
          <w:tab w:val="left" w:pos="225"/>
        </w:tabs>
        <w:rPr>
          <w:rFonts w:cs="Arial"/>
          <w:b/>
          <w:szCs w:val="24"/>
        </w:rPr>
      </w:pPr>
      <w:r>
        <w:rPr>
          <w:rFonts w:cs="Arial"/>
          <w:b/>
          <w:szCs w:val="24"/>
        </w:rPr>
        <w:tab/>
      </w:r>
    </w:p>
    <w:p w14:paraId="61F094E7" w14:textId="77777777" w:rsidR="00662491" w:rsidRPr="00141D43" w:rsidRDefault="00662491" w:rsidP="00662491">
      <w:pPr>
        <w:pStyle w:val="paragraph"/>
        <w:spacing w:before="0" w:beforeAutospacing="0" w:after="0" w:afterAutospacing="0"/>
        <w:textAlignment w:val="baseline"/>
        <w:rPr>
          <w:rFonts w:ascii="Calibri" w:hAnsi="Calibri" w:cs="Calibri"/>
        </w:rPr>
      </w:pPr>
      <w:r w:rsidRPr="00141D43">
        <w:rPr>
          <w:rStyle w:val="normaltextrun"/>
          <w:rFonts w:ascii="Calibri" w:hAnsi="Calibri" w:cs="Calibri"/>
        </w:rPr>
        <w:t>Supply after hours is discouraged due to the required frequency of monitoring when commencing an infusion. Every effort should be made to ensure that the prescription and supply of lidocaine occurs during standard business hours.</w:t>
      </w:r>
      <w:r w:rsidRPr="00141D43">
        <w:rPr>
          <w:rStyle w:val="eop"/>
          <w:rFonts w:ascii="Calibri" w:hAnsi="Calibri" w:cs="Calibri"/>
        </w:rPr>
        <w:t> </w:t>
      </w:r>
    </w:p>
    <w:p w14:paraId="658D46C5" w14:textId="77777777" w:rsidR="00662491" w:rsidRDefault="00662491" w:rsidP="00662491">
      <w:pPr>
        <w:pStyle w:val="paragraph"/>
        <w:spacing w:before="0" w:beforeAutospacing="0" w:after="0" w:afterAutospacing="0"/>
        <w:ind w:left="420" w:hanging="420"/>
        <w:textAlignment w:val="baseline"/>
        <w:rPr>
          <w:rFonts w:ascii="Calibri" w:hAnsi="Calibri" w:cs="Calibri"/>
        </w:rPr>
      </w:pPr>
      <w:r>
        <w:rPr>
          <w:rStyle w:val="eop"/>
          <w:rFonts w:ascii="Calibri" w:hAnsi="Calibri" w:cs="Calibri"/>
          <w:color w:val="D13438"/>
        </w:rPr>
        <w:t> </w:t>
      </w:r>
    </w:p>
    <w:tbl>
      <w:tblPr>
        <w:tblW w:w="904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1851"/>
        <w:gridCol w:w="5919"/>
      </w:tblGrid>
      <w:tr w:rsidR="00662491" w:rsidRPr="004D47D9" w14:paraId="27DFD4E6" w14:textId="77777777" w:rsidTr="00C44682">
        <w:trPr>
          <w:trHeight w:val="300"/>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7E0E022" w14:textId="77777777" w:rsidR="00662491" w:rsidRPr="00141D43" w:rsidRDefault="00662491" w:rsidP="00C44682">
            <w:pPr>
              <w:textAlignment w:val="baseline"/>
              <w:rPr>
                <w:rFonts w:cs="Calibri"/>
                <w:szCs w:val="24"/>
                <w:lang w:eastAsia="en-AU"/>
              </w:rPr>
            </w:pPr>
            <w:r w:rsidRPr="00141D43">
              <w:rPr>
                <w:rFonts w:cs="Calibri"/>
                <w:color w:val="D13438"/>
                <w:szCs w:val="24"/>
                <w:lang w:eastAsia="en-AU"/>
              </w:rPr>
              <w:t> </w:t>
            </w:r>
          </w:p>
          <w:p w14:paraId="09038020" w14:textId="77777777" w:rsidR="00662491" w:rsidRPr="00141D43" w:rsidRDefault="00662491" w:rsidP="00C44682">
            <w:pPr>
              <w:textAlignment w:val="baseline"/>
              <w:rPr>
                <w:rFonts w:cs="Calibri"/>
                <w:szCs w:val="24"/>
                <w:lang w:eastAsia="en-AU"/>
              </w:rPr>
            </w:pPr>
            <w:r w:rsidRPr="00141D43">
              <w:rPr>
                <w:rFonts w:cs="Calibri"/>
                <w:b/>
                <w:bCs/>
                <w:szCs w:val="24"/>
                <w:lang w:eastAsia="en-AU"/>
              </w:rPr>
              <w:t>Canberra Hospital</w:t>
            </w:r>
            <w:r w:rsidRPr="00141D43">
              <w:rPr>
                <w:rFonts w:cs="Calibri"/>
                <w:szCs w:val="24"/>
                <w:lang w:eastAsia="en-AU"/>
              </w:rPr>
              <w:t> </w:t>
            </w: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70432" w14:textId="77777777" w:rsidR="00662491" w:rsidRPr="00141D43" w:rsidRDefault="00662491" w:rsidP="00C44682">
            <w:pPr>
              <w:textAlignment w:val="baseline"/>
              <w:rPr>
                <w:rFonts w:cs="Calibri"/>
                <w:szCs w:val="24"/>
                <w:lang w:eastAsia="en-AU"/>
              </w:rPr>
            </w:pPr>
            <w:r w:rsidRPr="00141D43">
              <w:rPr>
                <w:rFonts w:cs="Calibri"/>
                <w:b/>
                <w:bCs/>
                <w:szCs w:val="24"/>
                <w:lang w:eastAsia="en-AU"/>
              </w:rPr>
              <w:t>Within Pharmacy opening hours (0830-1900)</w:t>
            </w:r>
            <w:r w:rsidRPr="00141D43">
              <w:rPr>
                <w:rFonts w:cs="Calibri"/>
                <w:szCs w:val="24"/>
                <w:lang w:eastAsia="en-AU"/>
              </w:rPr>
              <w:t> </w:t>
            </w:r>
          </w:p>
        </w:tc>
        <w:tc>
          <w:tcPr>
            <w:tcW w:w="5919" w:type="dxa"/>
            <w:tcBorders>
              <w:top w:val="single" w:sz="6" w:space="0" w:color="auto"/>
              <w:left w:val="single" w:sz="6" w:space="0" w:color="auto"/>
              <w:bottom w:val="single" w:sz="6" w:space="0" w:color="auto"/>
              <w:right w:val="single" w:sz="6" w:space="0" w:color="auto"/>
            </w:tcBorders>
            <w:shd w:val="clear" w:color="auto" w:fill="auto"/>
            <w:hideMark/>
          </w:tcPr>
          <w:p w14:paraId="3348D153" w14:textId="77777777" w:rsidR="00662491" w:rsidRDefault="00662491" w:rsidP="00C44682">
            <w:pPr>
              <w:jc w:val="both"/>
              <w:textAlignment w:val="baseline"/>
              <w:rPr>
                <w:rFonts w:cs="Calibri"/>
                <w:szCs w:val="24"/>
                <w:lang w:eastAsia="en-AU"/>
              </w:rPr>
            </w:pPr>
            <w:r w:rsidRPr="00141D43">
              <w:rPr>
                <w:rFonts w:cs="Calibri"/>
                <w:szCs w:val="24"/>
                <w:lang w:eastAsia="en-AU"/>
              </w:rPr>
              <w:t xml:space="preserve">During the hours of 0830 and 1900 on </w:t>
            </w:r>
            <w:proofErr w:type="gramStart"/>
            <w:r w:rsidRPr="00141D43">
              <w:rPr>
                <w:rFonts w:cs="Calibri"/>
                <w:szCs w:val="24"/>
                <w:lang w:eastAsia="en-AU"/>
              </w:rPr>
              <w:t>weekdays ,</w:t>
            </w:r>
            <w:proofErr w:type="gramEnd"/>
            <w:r w:rsidRPr="00141D43">
              <w:rPr>
                <w:rFonts w:cs="Calibri"/>
                <w:szCs w:val="24"/>
                <w:lang w:eastAsia="en-AU"/>
              </w:rPr>
              <w:t xml:space="preserve"> or 0900 and 1700 on weekends, the pharmacy dispensary will dispense 4 x lidocaine 500mg in 5mL(10%) (</w:t>
            </w:r>
            <w:proofErr w:type="spellStart"/>
            <w:r w:rsidRPr="00141D43">
              <w:rPr>
                <w:rFonts w:cs="Calibri"/>
                <w:szCs w:val="24"/>
                <w:lang w:eastAsia="en-AU"/>
              </w:rPr>
              <w:t>Xylocard</w:t>
            </w:r>
            <w:proofErr w:type="spellEnd"/>
            <w:r w:rsidRPr="00141D43">
              <w:rPr>
                <w:rFonts w:cs="Calibri"/>
                <w:szCs w:val="24"/>
                <w:lang w:eastAsia="en-AU"/>
              </w:rPr>
              <w:t xml:space="preserve"> 500) </w:t>
            </w:r>
            <w:proofErr w:type="spellStart"/>
            <w:r w:rsidRPr="00141D43">
              <w:rPr>
                <w:rFonts w:cs="Calibri"/>
                <w:szCs w:val="24"/>
                <w:lang w:eastAsia="en-AU"/>
              </w:rPr>
              <w:t>polyamps</w:t>
            </w:r>
            <w:proofErr w:type="spellEnd"/>
            <w:r w:rsidRPr="00141D43">
              <w:rPr>
                <w:rFonts w:cs="Calibri"/>
                <w:szCs w:val="24"/>
                <w:lang w:eastAsia="en-AU"/>
              </w:rPr>
              <w:t xml:space="preserve"> to the patient</w:t>
            </w:r>
          </w:p>
          <w:p w14:paraId="0B932ADB" w14:textId="77777777" w:rsidR="00662491" w:rsidRPr="00141D43" w:rsidRDefault="00662491" w:rsidP="00C44682">
            <w:pPr>
              <w:jc w:val="both"/>
              <w:textAlignment w:val="baseline"/>
              <w:rPr>
                <w:rFonts w:cs="Calibri"/>
                <w:szCs w:val="24"/>
                <w:lang w:eastAsia="en-AU"/>
              </w:rPr>
            </w:pPr>
          </w:p>
        </w:tc>
      </w:tr>
      <w:tr w:rsidR="00662491" w:rsidRPr="004D47D9" w14:paraId="00B62E08" w14:textId="77777777" w:rsidTr="00C4468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F73E04" w14:textId="77777777" w:rsidR="00662491" w:rsidRPr="00141D43" w:rsidRDefault="00662491" w:rsidP="00C44682">
            <w:pPr>
              <w:rPr>
                <w:rFonts w:cs="Calibri"/>
                <w:szCs w:val="24"/>
                <w:lang w:eastAsia="en-AU"/>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12FDB7" w14:textId="77777777" w:rsidR="00662491" w:rsidRPr="00141D43" w:rsidRDefault="00662491" w:rsidP="00C44682">
            <w:pPr>
              <w:textAlignment w:val="baseline"/>
              <w:rPr>
                <w:rFonts w:cs="Calibri"/>
                <w:szCs w:val="24"/>
                <w:lang w:eastAsia="en-AU"/>
              </w:rPr>
            </w:pPr>
            <w:r w:rsidRPr="00141D43">
              <w:rPr>
                <w:rFonts w:cs="Calibri"/>
                <w:b/>
                <w:bCs/>
                <w:szCs w:val="24"/>
                <w:lang w:eastAsia="en-AU"/>
              </w:rPr>
              <w:t>When pharmacy is closed (Outside of 0830-1900)</w:t>
            </w:r>
            <w:r w:rsidRPr="00141D43">
              <w:rPr>
                <w:rFonts w:cs="Calibri"/>
                <w:szCs w:val="24"/>
                <w:lang w:eastAsia="en-AU"/>
              </w:rPr>
              <w:t> </w:t>
            </w:r>
          </w:p>
        </w:tc>
        <w:tc>
          <w:tcPr>
            <w:tcW w:w="5919" w:type="dxa"/>
            <w:tcBorders>
              <w:top w:val="single" w:sz="6" w:space="0" w:color="auto"/>
              <w:left w:val="single" w:sz="6" w:space="0" w:color="auto"/>
              <w:bottom w:val="single" w:sz="6" w:space="0" w:color="auto"/>
              <w:right w:val="single" w:sz="6" w:space="0" w:color="auto"/>
            </w:tcBorders>
            <w:shd w:val="clear" w:color="auto" w:fill="auto"/>
            <w:hideMark/>
          </w:tcPr>
          <w:p w14:paraId="4B9C1C4A" w14:textId="77777777" w:rsidR="00662491" w:rsidRDefault="00662491" w:rsidP="00C44682">
            <w:pPr>
              <w:jc w:val="both"/>
              <w:textAlignment w:val="baseline"/>
              <w:rPr>
                <w:rFonts w:cs="Calibri"/>
                <w:szCs w:val="24"/>
                <w:lang w:eastAsia="en-AU"/>
              </w:rPr>
            </w:pPr>
            <w:r w:rsidRPr="00141D43">
              <w:t xml:space="preserve">In exceptional circumstances the </w:t>
            </w:r>
            <w:hyperlink r:id="rId11" w:history="1">
              <w:r w:rsidRPr="00141D43">
                <w:rPr>
                  <w:rStyle w:val="Hyperlink"/>
                  <w:u w:val="none"/>
                </w:rPr>
                <w:t xml:space="preserve">CHS Global </w:t>
              </w:r>
              <w:proofErr w:type="spellStart"/>
              <w:r w:rsidRPr="00141D43">
                <w:rPr>
                  <w:rStyle w:val="Hyperlink"/>
                  <w:u w:val="none"/>
                </w:rPr>
                <w:t>Imprest</w:t>
              </w:r>
              <w:proofErr w:type="spellEnd"/>
              <w:r w:rsidRPr="00141D43">
                <w:rPr>
                  <w:rStyle w:val="Hyperlink"/>
                  <w:u w:val="none"/>
                </w:rPr>
                <w:t xml:space="preserve"> List</w:t>
              </w:r>
            </w:hyperlink>
            <w:r w:rsidRPr="00141D43">
              <w:rPr>
                <w:rStyle w:val="Hyperlink"/>
                <w:u w:val="none"/>
              </w:rPr>
              <w:t xml:space="preserve"> </w:t>
            </w:r>
            <w:r w:rsidRPr="00141D43">
              <w:rPr>
                <w:rStyle w:val="Hyperlink"/>
                <w:color w:val="auto"/>
                <w:u w:val="none"/>
              </w:rPr>
              <w:t xml:space="preserve">(accessed through </w:t>
            </w:r>
            <w:hyperlink r:id="rId12" w:history="1">
              <w:r w:rsidRPr="00141D43">
                <w:rPr>
                  <w:rStyle w:val="Hyperlink"/>
                  <w:u w:val="none"/>
                </w:rPr>
                <w:t>the Formulary page</w:t>
              </w:r>
            </w:hyperlink>
            <w:r w:rsidRPr="00141D43">
              <w:rPr>
                <w:rStyle w:val="Hyperlink"/>
                <w:u w:val="none"/>
              </w:rPr>
              <w:t>)</w:t>
            </w:r>
            <w:r w:rsidRPr="00141D43">
              <w:rPr>
                <w:rFonts w:cs="Calibri"/>
                <w:color w:val="D13438"/>
                <w:szCs w:val="24"/>
                <w:lang w:eastAsia="en-AU"/>
              </w:rPr>
              <w:t xml:space="preserve"> </w:t>
            </w:r>
            <w:r w:rsidRPr="00141D43">
              <w:rPr>
                <w:rFonts w:cs="Calibri"/>
                <w:szCs w:val="24"/>
                <w:lang w:eastAsia="en-AU"/>
              </w:rPr>
              <w:t xml:space="preserve">can be used to identify location of stock. Due to medication safety concerns ampoules of lidocaine 500mg in 5mL must not be removed from authorised </w:t>
            </w:r>
            <w:proofErr w:type="spellStart"/>
            <w:r w:rsidRPr="00141D43">
              <w:rPr>
                <w:rFonts w:cs="Calibri"/>
                <w:szCs w:val="24"/>
                <w:lang w:eastAsia="en-AU"/>
              </w:rPr>
              <w:t>imprest</w:t>
            </w:r>
            <w:proofErr w:type="spellEnd"/>
            <w:r w:rsidRPr="00141D43">
              <w:rPr>
                <w:rFonts w:cs="Calibri"/>
                <w:szCs w:val="24"/>
                <w:lang w:eastAsia="en-AU"/>
              </w:rPr>
              <w:t xml:space="preserve"> holding sited but can be used to manufacture the lidocaine infusion in the location of the lidocaine holding </w:t>
            </w:r>
            <w:proofErr w:type="gramStart"/>
            <w:r w:rsidRPr="00141D43">
              <w:rPr>
                <w:rFonts w:cs="Calibri"/>
                <w:szCs w:val="24"/>
                <w:lang w:eastAsia="en-AU"/>
              </w:rPr>
              <w:t>site</w:t>
            </w:r>
            <w:proofErr w:type="gramEnd"/>
            <w:r w:rsidRPr="00141D43">
              <w:rPr>
                <w:rFonts w:cs="Calibri"/>
                <w:szCs w:val="24"/>
                <w:lang w:eastAsia="en-AU"/>
              </w:rPr>
              <w:t> </w:t>
            </w:r>
          </w:p>
          <w:p w14:paraId="3EF60F4F" w14:textId="77777777" w:rsidR="00662491" w:rsidRPr="00141D43" w:rsidRDefault="00662491" w:rsidP="00C44682">
            <w:pPr>
              <w:jc w:val="both"/>
              <w:textAlignment w:val="baseline"/>
              <w:rPr>
                <w:rFonts w:cs="Calibri"/>
                <w:szCs w:val="24"/>
                <w:lang w:eastAsia="en-AU"/>
              </w:rPr>
            </w:pPr>
          </w:p>
        </w:tc>
      </w:tr>
      <w:tr w:rsidR="00662491" w:rsidRPr="004D47D9" w14:paraId="79E213EF" w14:textId="77777777" w:rsidTr="00C44682">
        <w:trPr>
          <w:trHeight w:val="300"/>
        </w:trPr>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810A4B2" w14:textId="77777777" w:rsidR="00662491" w:rsidRPr="00141D43" w:rsidRDefault="00662491" w:rsidP="00C44682">
            <w:pPr>
              <w:textAlignment w:val="baseline"/>
              <w:rPr>
                <w:rFonts w:cs="Calibri"/>
                <w:szCs w:val="24"/>
                <w:lang w:eastAsia="en-AU"/>
              </w:rPr>
            </w:pPr>
            <w:r w:rsidRPr="00141D43">
              <w:rPr>
                <w:rFonts w:cs="Calibri"/>
                <w:szCs w:val="24"/>
                <w:lang w:eastAsia="en-AU"/>
              </w:rPr>
              <w:t> </w:t>
            </w:r>
          </w:p>
          <w:p w14:paraId="618B3EEB" w14:textId="77777777" w:rsidR="00662491" w:rsidRPr="00141D43" w:rsidRDefault="00662491" w:rsidP="00C44682">
            <w:pPr>
              <w:textAlignment w:val="baseline"/>
              <w:rPr>
                <w:rFonts w:cs="Calibri"/>
                <w:szCs w:val="24"/>
                <w:lang w:eastAsia="en-AU"/>
              </w:rPr>
            </w:pPr>
            <w:r w:rsidRPr="00141D43">
              <w:rPr>
                <w:rFonts w:cs="Calibri"/>
                <w:b/>
                <w:bCs/>
                <w:szCs w:val="24"/>
                <w:lang w:eastAsia="en-AU"/>
              </w:rPr>
              <w:lastRenderedPageBreak/>
              <w:t>North Canberra Hospital</w:t>
            </w:r>
            <w:r w:rsidRPr="00141D43">
              <w:rPr>
                <w:rFonts w:cs="Calibri"/>
                <w:szCs w:val="24"/>
                <w:lang w:eastAsia="en-AU"/>
              </w:rPr>
              <w:t> </w:t>
            </w: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F9A526" w14:textId="77777777" w:rsidR="00662491" w:rsidRPr="00141D43" w:rsidRDefault="00662491" w:rsidP="00C44682">
            <w:pPr>
              <w:textAlignment w:val="baseline"/>
              <w:rPr>
                <w:rFonts w:cs="Calibri"/>
                <w:szCs w:val="24"/>
                <w:lang w:eastAsia="en-AU"/>
              </w:rPr>
            </w:pPr>
            <w:r w:rsidRPr="00141D43">
              <w:rPr>
                <w:rFonts w:cs="Calibri"/>
                <w:b/>
                <w:bCs/>
                <w:szCs w:val="24"/>
                <w:lang w:eastAsia="en-AU"/>
              </w:rPr>
              <w:lastRenderedPageBreak/>
              <w:t>Within Pharmacy opening hours (0830-1700)</w:t>
            </w:r>
            <w:r w:rsidRPr="00141D43">
              <w:rPr>
                <w:rFonts w:cs="Calibri"/>
                <w:szCs w:val="24"/>
                <w:lang w:eastAsia="en-AU"/>
              </w:rPr>
              <w:t> </w:t>
            </w:r>
          </w:p>
        </w:tc>
        <w:tc>
          <w:tcPr>
            <w:tcW w:w="5919" w:type="dxa"/>
            <w:tcBorders>
              <w:top w:val="single" w:sz="6" w:space="0" w:color="auto"/>
              <w:left w:val="single" w:sz="6" w:space="0" w:color="auto"/>
              <w:bottom w:val="single" w:sz="6" w:space="0" w:color="auto"/>
              <w:right w:val="single" w:sz="6" w:space="0" w:color="auto"/>
            </w:tcBorders>
            <w:shd w:val="clear" w:color="auto" w:fill="auto"/>
            <w:hideMark/>
          </w:tcPr>
          <w:p w14:paraId="45416C3C" w14:textId="77777777" w:rsidR="00662491" w:rsidRPr="00141D43" w:rsidRDefault="00662491" w:rsidP="00C44682">
            <w:pPr>
              <w:jc w:val="both"/>
              <w:textAlignment w:val="baseline"/>
              <w:rPr>
                <w:rFonts w:cs="Calibri"/>
                <w:szCs w:val="24"/>
                <w:lang w:eastAsia="en-AU"/>
              </w:rPr>
            </w:pPr>
            <w:r w:rsidRPr="00141D43">
              <w:rPr>
                <w:rFonts w:cs="Calibri"/>
                <w:szCs w:val="24"/>
                <w:lang w:eastAsia="en-AU"/>
              </w:rPr>
              <w:t>The pharmacy will dispense 4 x lidocaine 500mg in 5</w:t>
            </w:r>
            <w:proofErr w:type="gramStart"/>
            <w:r w:rsidRPr="00141D43">
              <w:rPr>
                <w:rFonts w:cs="Calibri"/>
                <w:szCs w:val="24"/>
                <w:lang w:eastAsia="en-AU"/>
              </w:rPr>
              <w:t>mL(</w:t>
            </w:r>
            <w:proofErr w:type="gramEnd"/>
            <w:r w:rsidRPr="00141D43">
              <w:rPr>
                <w:rFonts w:cs="Calibri"/>
                <w:szCs w:val="24"/>
                <w:lang w:eastAsia="en-AU"/>
              </w:rPr>
              <w:t>10%) (</w:t>
            </w:r>
            <w:proofErr w:type="spellStart"/>
            <w:r w:rsidRPr="00141D43">
              <w:rPr>
                <w:rFonts w:cs="Calibri"/>
                <w:szCs w:val="24"/>
                <w:lang w:eastAsia="en-AU"/>
              </w:rPr>
              <w:t>Xylocard</w:t>
            </w:r>
            <w:proofErr w:type="spellEnd"/>
            <w:r w:rsidRPr="00141D43">
              <w:rPr>
                <w:rFonts w:cs="Calibri"/>
                <w:szCs w:val="24"/>
                <w:lang w:eastAsia="en-AU"/>
              </w:rPr>
              <w:t xml:space="preserve"> 500) </w:t>
            </w:r>
            <w:proofErr w:type="spellStart"/>
            <w:r w:rsidRPr="00141D43">
              <w:rPr>
                <w:rFonts w:cs="Calibri"/>
                <w:szCs w:val="24"/>
                <w:lang w:eastAsia="en-AU"/>
              </w:rPr>
              <w:t>polyamps</w:t>
            </w:r>
            <w:proofErr w:type="spellEnd"/>
            <w:r w:rsidRPr="00141D43">
              <w:rPr>
                <w:rFonts w:cs="Calibri"/>
                <w:szCs w:val="24"/>
                <w:lang w:eastAsia="en-AU"/>
              </w:rPr>
              <w:t xml:space="preserve"> to the patient to allow the infusion to be made up on the ward </w:t>
            </w:r>
          </w:p>
        </w:tc>
      </w:tr>
      <w:tr w:rsidR="00662491" w:rsidRPr="004D47D9" w14:paraId="0D19D7B7" w14:textId="77777777" w:rsidTr="00C4468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23A55E" w14:textId="77777777" w:rsidR="00662491" w:rsidRPr="00141D43" w:rsidRDefault="00662491" w:rsidP="00C44682">
            <w:pPr>
              <w:rPr>
                <w:rFonts w:cs="Calibri"/>
                <w:szCs w:val="24"/>
                <w:lang w:eastAsia="en-AU"/>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8BF690" w14:textId="77777777" w:rsidR="00662491" w:rsidRPr="00141D43" w:rsidRDefault="00662491" w:rsidP="00C44682">
            <w:pPr>
              <w:textAlignment w:val="baseline"/>
              <w:rPr>
                <w:rFonts w:cs="Calibri"/>
                <w:szCs w:val="24"/>
                <w:lang w:eastAsia="en-AU"/>
              </w:rPr>
            </w:pPr>
            <w:r w:rsidRPr="00141D43">
              <w:rPr>
                <w:rFonts w:cs="Calibri"/>
                <w:b/>
                <w:bCs/>
                <w:szCs w:val="24"/>
                <w:lang w:eastAsia="en-AU"/>
              </w:rPr>
              <w:t>When pharmacy is closed (Outside of 0830- 1700)</w:t>
            </w:r>
            <w:r w:rsidRPr="00141D43">
              <w:rPr>
                <w:rFonts w:cs="Calibri"/>
                <w:szCs w:val="24"/>
                <w:lang w:eastAsia="en-AU"/>
              </w:rPr>
              <w:t> </w:t>
            </w:r>
          </w:p>
        </w:tc>
        <w:tc>
          <w:tcPr>
            <w:tcW w:w="5919" w:type="dxa"/>
            <w:tcBorders>
              <w:top w:val="single" w:sz="6" w:space="0" w:color="auto"/>
              <w:left w:val="single" w:sz="6" w:space="0" w:color="auto"/>
              <w:bottom w:val="single" w:sz="6" w:space="0" w:color="auto"/>
              <w:right w:val="single" w:sz="6" w:space="0" w:color="auto"/>
            </w:tcBorders>
            <w:shd w:val="clear" w:color="auto" w:fill="auto"/>
            <w:hideMark/>
          </w:tcPr>
          <w:p w14:paraId="377EF669" w14:textId="77777777" w:rsidR="00662491" w:rsidRPr="00141D43" w:rsidRDefault="00662491" w:rsidP="00C44682">
            <w:pPr>
              <w:jc w:val="both"/>
              <w:textAlignment w:val="baseline"/>
              <w:rPr>
                <w:rFonts w:cs="Calibri"/>
                <w:szCs w:val="24"/>
                <w:lang w:eastAsia="en-AU"/>
              </w:rPr>
            </w:pPr>
            <w:r w:rsidRPr="00141D43">
              <w:rPr>
                <w:rFonts w:cs="Calibri"/>
                <w:szCs w:val="24"/>
                <w:lang w:eastAsia="en-AU"/>
              </w:rPr>
              <w:t>In exceptional circumstances, a lidocaine infusion kit is available from the ‘After Hours Cupboard’ for preparation on the ward.  </w:t>
            </w:r>
          </w:p>
          <w:p w14:paraId="1CBFFCFA" w14:textId="77777777" w:rsidR="00662491" w:rsidRPr="00141D43" w:rsidRDefault="00662491" w:rsidP="00C44682">
            <w:pPr>
              <w:jc w:val="both"/>
              <w:textAlignment w:val="baseline"/>
              <w:rPr>
                <w:rFonts w:cs="Calibri"/>
                <w:szCs w:val="24"/>
                <w:lang w:eastAsia="en-AU"/>
              </w:rPr>
            </w:pPr>
            <w:r w:rsidRPr="00141D43">
              <w:rPr>
                <w:rFonts w:cs="Calibri"/>
                <w:szCs w:val="24"/>
                <w:lang w:eastAsia="en-AU"/>
              </w:rPr>
              <w:t xml:space="preserve">The kits </w:t>
            </w:r>
            <w:proofErr w:type="gramStart"/>
            <w:r w:rsidRPr="00141D43">
              <w:rPr>
                <w:rFonts w:cs="Calibri"/>
                <w:szCs w:val="24"/>
                <w:lang w:eastAsia="en-AU"/>
              </w:rPr>
              <w:t>contains</w:t>
            </w:r>
            <w:proofErr w:type="gramEnd"/>
            <w:r w:rsidRPr="00141D43">
              <w:rPr>
                <w:rFonts w:cs="Calibri"/>
                <w:szCs w:val="24"/>
                <w:lang w:eastAsia="en-AU"/>
              </w:rPr>
              <w:t>: </w:t>
            </w:r>
          </w:p>
          <w:p w14:paraId="0C58CCB4" w14:textId="77777777" w:rsidR="00662491" w:rsidRPr="00141D43" w:rsidRDefault="00662491" w:rsidP="00662491">
            <w:pPr>
              <w:numPr>
                <w:ilvl w:val="0"/>
                <w:numId w:val="28"/>
              </w:numPr>
              <w:ind w:left="360" w:firstLine="0"/>
              <w:jc w:val="both"/>
              <w:textAlignment w:val="baseline"/>
              <w:rPr>
                <w:rFonts w:cs="Calibri"/>
                <w:szCs w:val="24"/>
                <w:lang w:eastAsia="en-AU"/>
              </w:rPr>
            </w:pPr>
            <w:r w:rsidRPr="00141D43">
              <w:rPr>
                <w:rFonts w:cs="Calibri"/>
                <w:szCs w:val="24"/>
                <w:lang w:eastAsia="en-AU"/>
              </w:rPr>
              <w:t>4 x Lidocaine 500mg ampoules </w:t>
            </w:r>
          </w:p>
          <w:p w14:paraId="45B1CC9D" w14:textId="77777777" w:rsidR="00662491" w:rsidRPr="00141D43" w:rsidRDefault="00662491" w:rsidP="00662491">
            <w:pPr>
              <w:numPr>
                <w:ilvl w:val="0"/>
                <w:numId w:val="28"/>
              </w:numPr>
              <w:ind w:left="360" w:firstLine="0"/>
              <w:jc w:val="both"/>
              <w:textAlignment w:val="baseline"/>
              <w:rPr>
                <w:rFonts w:cs="Calibri"/>
                <w:szCs w:val="24"/>
                <w:lang w:eastAsia="en-AU"/>
              </w:rPr>
            </w:pPr>
            <w:r w:rsidRPr="00141D43">
              <w:rPr>
                <w:rFonts w:cs="Calibri"/>
                <w:szCs w:val="24"/>
                <w:lang w:eastAsia="en-AU"/>
              </w:rPr>
              <w:t>1 x Glucose 5% 500mL bag </w:t>
            </w:r>
          </w:p>
          <w:p w14:paraId="510377DA" w14:textId="77777777" w:rsidR="00662491" w:rsidRPr="00141D43" w:rsidRDefault="00662491" w:rsidP="00662491">
            <w:pPr>
              <w:numPr>
                <w:ilvl w:val="0"/>
                <w:numId w:val="28"/>
              </w:numPr>
              <w:ind w:left="360" w:firstLine="0"/>
              <w:textAlignment w:val="baseline"/>
              <w:rPr>
                <w:rFonts w:cs="Calibri"/>
                <w:szCs w:val="24"/>
                <w:lang w:eastAsia="en-AU"/>
              </w:rPr>
            </w:pPr>
            <w:r w:rsidRPr="00141D43">
              <w:rPr>
                <w:rFonts w:cs="Calibri"/>
                <w:szCs w:val="24"/>
                <w:lang w:eastAsia="en-AU"/>
              </w:rPr>
              <w:t>an instruction sheet with directions on how to prepare the infusion bag (See section 6). </w:t>
            </w:r>
          </w:p>
        </w:tc>
      </w:tr>
    </w:tbl>
    <w:p w14:paraId="33754213" w14:textId="77777777" w:rsidR="00662491" w:rsidRDefault="00662491" w:rsidP="00662491">
      <w:pPr>
        <w:ind w:left="426" w:hanging="426"/>
        <w:rPr>
          <w:b/>
        </w:rPr>
      </w:pPr>
    </w:p>
    <w:p w14:paraId="3474AE64" w14:textId="77777777" w:rsidR="00662491" w:rsidRDefault="00662491" w:rsidP="00662491"/>
    <w:p w14:paraId="7B5303D9" w14:textId="77777777" w:rsidR="00662491" w:rsidRPr="001F0832" w:rsidRDefault="00DB1D1B" w:rsidP="00662491">
      <w:pPr>
        <w:jc w:val="right"/>
        <w:rPr>
          <w:rFonts w:cs="Arial"/>
          <w:i/>
          <w:szCs w:val="24"/>
        </w:rPr>
      </w:pPr>
      <w:hyperlink w:anchor="Contents" w:history="1">
        <w:r w:rsidR="00662491" w:rsidRPr="00C91F3F">
          <w:rPr>
            <w:rStyle w:val="Hyperlink"/>
            <w:rFonts w:eastAsiaTheme="majorEastAsia" w:cs="Arial"/>
            <w:i/>
            <w:szCs w:val="24"/>
          </w:rPr>
          <w:t>Back to Table of Contents</w:t>
        </w:r>
      </w:hyperlink>
      <w:r w:rsidR="0066249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1491EFDA" w14:textId="77777777" w:rsidTr="00C44682">
        <w:trPr>
          <w:cantSplit/>
          <w:trHeight w:val="285"/>
        </w:trPr>
        <w:tc>
          <w:tcPr>
            <w:tcW w:w="9158" w:type="dxa"/>
            <w:shd w:val="clear" w:color="auto" w:fill="D9D9D9" w:themeFill="background1" w:themeFillShade="D9"/>
          </w:tcPr>
          <w:p w14:paraId="3AC78DA6" w14:textId="77777777" w:rsidR="00662491" w:rsidRPr="003D2D06" w:rsidRDefault="00662491" w:rsidP="00C44682">
            <w:pPr>
              <w:pStyle w:val="Heading1"/>
            </w:pPr>
            <w:bookmarkStart w:id="18" w:name="_Toc163213806"/>
            <w:r w:rsidRPr="003D2D06">
              <w:t xml:space="preserve">Section </w:t>
            </w:r>
            <w:r>
              <w:t>6</w:t>
            </w:r>
            <w:r w:rsidRPr="003D2D06">
              <w:t xml:space="preserve"> – </w:t>
            </w:r>
            <w:r>
              <w:t>Preparation</w:t>
            </w:r>
            <w:bookmarkEnd w:id="18"/>
          </w:p>
        </w:tc>
      </w:tr>
    </w:tbl>
    <w:p w14:paraId="3DAB29CE" w14:textId="77777777" w:rsidR="00662491" w:rsidRDefault="00662491" w:rsidP="00662491"/>
    <w:p w14:paraId="6A6F92BC" w14:textId="77777777" w:rsidR="00662491" w:rsidRPr="00141353" w:rsidRDefault="00662491" w:rsidP="00662491">
      <w:pPr>
        <w:jc w:val="center"/>
        <w:rPr>
          <w:u w:val="single"/>
        </w:rPr>
      </w:pPr>
      <w:r w:rsidRPr="0055335D">
        <w:rPr>
          <w:color w:val="000000"/>
          <w:szCs w:val="24"/>
          <w:u w:val="single"/>
        </w:rPr>
        <w:t>To make Lidocaine 2</w:t>
      </w:r>
      <w:r>
        <w:rPr>
          <w:color w:val="000000"/>
          <w:szCs w:val="24"/>
          <w:u w:val="single"/>
        </w:rPr>
        <w:t>000</w:t>
      </w:r>
      <w:r w:rsidRPr="0055335D">
        <w:rPr>
          <w:color w:val="000000"/>
          <w:szCs w:val="24"/>
          <w:u w:val="single"/>
        </w:rPr>
        <w:t xml:space="preserve"> </w:t>
      </w:r>
      <w:r>
        <w:rPr>
          <w:color w:val="000000"/>
          <w:szCs w:val="24"/>
          <w:u w:val="single"/>
        </w:rPr>
        <w:t>m</w:t>
      </w:r>
      <w:r w:rsidRPr="0055335D">
        <w:rPr>
          <w:color w:val="000000"/>
          <w:szCs w:val="24"/>
          <w:u w:val="single"/>
        </w:rPr>
        <w:t>g in Glucose 5% 500mL (to make lidocaine 4 mg/mL)</w:t>
      </w:r>
    </w:p>
    <w:p w14:paraId="555D1A66" w14:textId="77777777" w:rsidR="00662491" w:rsidRPr="00B42135" w:rsidRDefault="00662491" w:rsidP="00662491">
      <w:pPr>
        <w:pStyle w:val="NormalWeb"/>
        <w:rPr>
          <w:rFonts w:asciiTheme="minorHAnsi" w:hAnsiTheme="minorHAnsi" w:cstheme="minorHAnsi"/>
          <w:b/>
          <w:bCs/>
          <w:color w:val="000000"/>
        </w:rPr>
      </w:pPr>
      <w:bookmarkStart w:id="19" w:name="_Hlk142648983"/>
      <w:r w:rsidRPr="00B42135">
        <w:rPr>
          <w:rFonts w:asciiTheme="minorHAnsi" w:hAnsiTheme="minorHAnsi" w:cstheme="minorHAnsi"/>
          <w:b/>
          <w:bCs/>
          <w:color w:val="000000"/>
        </w:rPr>
        <w:t>Method</w:t>
      </w:r>
    </w:p>
    <w:p w14:paraId="6FCAAEAB" w14:textId="77777777" w:rsidR="00662491" w:rsidRDefault="00662491" w:rsidP="00662491">
      <w:pPr>
        <w:pStyle w:val="NormalWeb"/>
        <w:numPr>
          <w:ilvl w:val="0"/>
          <w:numId w:val="26"/>
        </w:numPr>
        <w:rPr>
          <w:rFonts w:asciiTheme="minorHAnsi" w:hAnsiTheme="minorHAnsi" w:cstheme="minorHAnsi"/>
          <w:color w:val="000000"/>
        </w:rPr>
      </w:pPr>
      <w:r>
        <w:rPr>
          <w:rFonts w:asciiTheme="minorHAnsi" w:hAnsiTheme="minorHAnsi" w:cstheme="minorHAnsi"/>
          <w:color w:val="000000"/>
        </w:rPr>
        <w:t>Scan the patient’s wristband.</w:t>
      </w:r>
    </w:p>
    <w:p w14:paraId="4D9BBA60" w14:textId="77777777" w:rsidR="00662491" w:rsidRDefault="00662491" w:rsidP="00662491">
      <w:pPr>
        <w:pStyle w:val="NormalWeb"/>
        <w:numPr>
          <w:ilvl w:val="0"/>
          <w:numId w:val="26"/>
        </w:numPr>
        <w:rPr>
          <w:rFonts w:asciiTheme="minorHAnsi" w:hAnsiTheme="minorHAnsi" w:cstheme="minorHAnsi"/>
          <w:color w:val="000000"/>
        </w:rPr>
      </w:pPr>
      <w:r>
        <w:rPr>
          <w:rFonts w:asciiTheme="minorHAnsi" w:hAnsiTheme="minorHAnsi" w:cstheme="minorHAnsi"/>
          <w:color w:val="000000"/>
        </w:rPr>
        <w:t xml:space="preserve">Scan the </w:t>
      </w:r>
      <w:proofErr w:type="gramStart"/>
      <w:r>
        <w:rPr>
          <w:rFonts w:asciiTheme="minorHAnsi" w:hAnsiTheme="minorHAnsi" w:cstheme="minorHAnsi"/>
          <w:color w:val="000000"/>
        </w:rPr>
        <w:t>4 x</w:t>
      </w:r>
      <w:proofErr w:type="gramEnd"/>
      <w:r>
        <w:rPr>
          <w:rFonts w:asciiTheme="minorHAnsi" w:hAnsiTheme="minorHAnsi" w:cstheme="minorHAnsi"/>
          <w:color w:val="000000"/>
        </w:rPr>
        <w:t xml:space="preserve"> lidocaine 500mg/5mL (</w:t>
      </w:r>
      <w:proofErr w:type="spellStart"/>
      <w:r>
        <w:rPr>
          <w:rFonts w:asciiTheme="minorHAnsi" w:hAnsiTheme="minorHAnsi" w:cstheme="minorHAnsi"/>
          <w:color w:val="000000"/>
        </w:rPr>
        <w:t>Xylocard</w:t>
      </w:r>
      <w:proofErr w:type="spellEnd"/>
      <w:r>
        <w:rPr>
          <w:rFonts w:asciiTheme="minorHAnsi" w:hAnsiTheme="minorHAnsi" w:cstheme="minorHAnsi"/>
          <w:color w:val="000000"/>
        </w:rPr>
        <w:t xml:space="preserve"> 500) and the I.V. Glucose bag.</w:t>
      </w:r>
    </w:p>
    <w:p w14:paraId="6A49D036" w14:textId="77777777" w:rsidR="00662491" w:rsidRDefault="00662491" w:rsidP="00662491">
      <w:pPr>
        <w:pStyle w:val="NormalWeb"/>
        <w:numPr>
          <w:ilvl w:val="0"/>
          <w:numId w:val="26"/>
        </w:numPr>
        <w:rPr>
          <w:rFonts w:asciiTheme="minorHAnsi" w:hAnsiTheme="minorHAnsi" w:cstheme="minorHAnsi"/>
          <w:color w:val="000000"/>
        </w:rPr>
      </w:pPr>
      <w:r w:rsidRPr="00B42135">
        <w:rPr>
          <w:rFonts w:asciiTheme="minorHAnsi" w:hAnsiTheme="minorHAnsi" w:cstheme="minorHAnsi"/>
          <w:color w:val="000000"/>
        </w:rPr>
        <w:t>P</w:t>
      </w:r>
      <w:r>
        <w:rPr>
          <w:rFonts w:asciiTheme="minorHAnsi" w:hAnsiTheme="minorHAnsi" w:cstheme="minorHAnsi"/>
          <w:color w:val="000000"/>
        </w:rPr>
        <w:t>rint the Medication Administration Record (MAR) labels for</w:t>
      </w:r>
      <w:r w:rsidRPr="00B42135">
        <w:rPr>
          <w:rFonts w:asciiTheme="minorHAnsi" w:hAnsiTheme="minorHAnsi" w:cstheme="minorHAnsi"/>
          <w:color w:val="000000"/>
        </w:rPr>
        <w:t xml:space="preserve"> labelling</w:t>
      </w:r>
      <w:r>
        <w:rPr>
          <w:rFonts w:asciiTheme="minorHAnsi" w:hAnsiTheme="minorHAnsi" w:cstheme="minorHAnsi"/>
          <w:color w:val="000000"/>
        </w:rPr>
        <w:t xml:space="preserve"> the infusion</w:t>
      </w:r>
      <w:r w:rsidRPr="00B42135">
        <w:rPr>
          <w:rFonts w:asciiTheme="minorHAnsi" w:hAnsiTheme="minorHAnsi" w:cstheme="minorHAnsi"/>
          <w:color w:val="000000"/>
        </w:rPr>
        <w:t>.</w:t>
      </w:r>
      <w:r>
        <w:rPr>
          <w:rFonts w:asciiTheme="minorHAnsi" w:hAnsiTheme="minorHAnsi" w:cstheme="minorHAnsi"/>
          <w:color w:val="000000"/>
        </w:rPr>
        <w:t xml:space="preserve"> Select a line and click link, this links the line in DHR. If the patient’s line isn’t </w:t>
      </w:r>
      <w:proofErr w:type="gramStart"/>
      <w:r>
        <w:rPr>
          <w:rFonts w:asciiTheme="minorHAnsi" w:hAnsiTheme="minorHAnsi" w:cstheme="minorHAnsi"/>
          <w:color w:val="000000"/>
        </w:rPr>
        <w:t>listed</w:t>
      </w:r>
      <w:proofErr w:type="gramEnd"/>
      <w:r>
        <w:rPr>
          <w:rFonts w:asciiTheme="minorHAnsi" w:hAnsiTheme="minorHAnsi" w:cstheme="minorHAnsi"/>
          <w:color w:val="000000"/>
        </w:rPr>
        <w:t xml:space="preserve"> you need to add it in the Flowsheets activity.</w:t>
      </w:r>
    </w:p>
    <w:p w14:paraId="2CC59191" w14:textId="77777777" w:rsidR="00662491" w:rsidRDefault="00662491" w:rsidP="00662491">
      <w:pPr>
        <w:pStyle w:val="NormalWeb"/>
        <w:numPr>
          <w:ilvl w:val="0"/>
          <w:numId w:val="26"/>
        </w:numPr>
        <w:rPr>
          <w:rFonts w:asciiTheme="minorHAnsi" w:hAnsiTheme="minorHAnsi" w:cstheme="minorHAnsi"/>
          <w:color w:val="000000"/>
        </w:rPr>
      </w:pPr>
      <w:r>
        <w:rPr>
          <w:rFonts w:asciiTheme="minorHAnsi" w:hAnsiTheme="minorHAnsi" w:cstheme="minorHAnsi"/>
          <w:color w:val="000000"/>
        </w:rPr>
        <w:t>In the administration window, document administering the IV. Select an action of New Bag, Click accept when your MAR documentation is complete. The time, action and dose appear on the MAR.</w:t>
      </w:r>
    </w:p>
    <w:bookmarkEnd w:id="19"/>
    <w:p w14:paraId="326E3B5F" w14:textId="77777777" w:rsidR="00662491" w:rsidRPr="00141353" w:rsidRDefault="00662491" w:rsidP="00662491">
      <w:pPr>
        <w:pStyle w:val="NormalWeb"/>
        <w:numPr>
          <w:ilvl w:val="0"/>
          <w:numId w:val="26"/>
        </w:numPr>
        <w:rPr>
          <w:rFonts w:asciiTheme="minorHAnsi" w:hAnsiTheme="minorHAnsi" w:cstheme="minorHAnsi"/>
          <w:color w:val="000000"/>
        </w:rPr>
      </w:pPr>
      <w:r w:rsidRPr="003E76A3">
        <w:rPr>
          <w:rFonts w:asciiTheme="minorHAnsi" w:hAnsiTheme="minorHAnsi" w:cstheme="minorHAnsi"/>
          <w:color w:val="000000"/>
        </w:rPr>
        <w:t xml:space="preserve">Using aseptic technique, draw up contents of each of the </w:t>
      </w:r>
      <w:r>
        <w:rPr>
          <w:rFonts w:asciiTheme="minorHAnsi" w:hAnsiTheme="minorHAnsi" w:cstheme="minorHAnsi"/>
          <w:color w:val="000000"/>
        </w:rPr>
        <w:t xml:space="preserve">four </w:t>
      </w:r>
      <w:r w:rsidRPr="003E76A3">
        <w:rPr>
          <w:rFonts w:asciiTheme="minorHAnsi" w:hAnsiTheme="minorHAnsi" w:cstheme="minorHAnsi"/>
          <w:color w:val="000000"/>
        </w:rPr>
        <w:t>lidocaine ampoules into a</w:t>
      </w:r>
      <w:r>
        <w:rPr>
          <w:rFonts w:asciiTheme="minorHAnsi" w:hAnsiTheme="minorHAnsi" w:cstheme="minorHAnsi"/>
          <w:color w:val="000000"/>
        </w:rPr>
        <w:t xml:space="preserve"> </w:t>
      </w:r>
      <w:r w:rsidRPr="00141353">
        <w:rPr>
          <w:rFonts w:asciiTheme="minorHAnsi" w:hAnsiTheme="minorHAnsi" w:cstheme="minorHAnsi"/>
          <w:color w:val="000000"/>
        </w:rPr>
        <w:t>20 mL syringe.</w:t>
      </w:r>
    </w:p>
    <w:p w14:paraId="49E8813B" w14:textId="77777777" w:rsidR="00662491" w:rsidRPr="00B42135" w:rsidRDefault="00662491" w:rsidP="00662491">
      <w:pPr>
        <w:pStyle w:val="NormalWeb"/>
        <w:numPr>
          <w:ilvl w:val="0"/>
          <w:numId w:val="26"/>
        </w:numPr>
        <w:rPr>
          <w:rFonts w:asciiTheme="minorHAnsi" w:hAnsiTheme="minorHAnsi" w:cstheme="minorHAnsi"/>
          <w:color w:val="000000"/>
        </w:rPr>
      </w:pPr>
      <w:r w:rsidRPr="00B42135">
        <w:rPr>
          <w:rFonts w:asciiTheme="minorHAnsi" w:hAnsiTheme="minorHAnsi" w:cstheme="minorHAnsi"/>
          <w:color w:val="000000"/>
        </w:rPr>
        <w:t xml:space="preserve"> Check that the final volume is 20 mL</w:t>
      </w:r>
      <w:r>
        <w:rPr>
          <w:rFonts w:asciiTheme="minorHAnsi" w:hAnsiTheme="minorHAnsi" w:cstheme="minorHAnsi"/>
          <w:color w:val="000000"/>
        </w:rPr>
        <w:t xml:space="preserve"> and label the syringe as pe</w:t>
      </w:r>
      <w:r w:rsidRPr="00BA79DB">
        <w:rPr>
          <w:rFonts w:asciiTheme="minorHAnsi" w:hAnsiTheme="minorHAnsi" w:cstheme="minorHAnsi"/>
          <w:color w:val="000000"/>
        </w:rPr>
        <w:t xml:space="preserve">r </w:t>
      </w:r>
      <w:r>
        <w:rPr>
          <w:rFonts w:asciiTheme="minorHAnsi" w:hAnsiTheme="minorHAnsi" w:cstheme="minorHAnsi"/>
          <w:color w:val="000000"/>
        </w:rPr>
        <w:t xml:space="preserve">the </w:t>
      </w:r>
      <w:r w:rsidRPr="00BA79DB">
        <w:rPr>
          <w:rStyle w:val="cf01"/>
          <w:rFonts w:asciiTheme="minorHAnsi" w:hAnsiTheme="minorHAnsi" w:cstheme="minorHAnsi"/>
          <w:sz w:val="24"/>
          <w:szCs w:val="24"/>
        </w:rPr>
        <w:t>National Standard for User applied Labelling of Injectable Medicines, Fluids and Line</w:t>
      </w:r>
      <w:r>
        <w:rPr>
          <w:rStyle w:val="cf01"/>
          <w:rFonts w:asciiTheme="minorHAnsi" w:hAnsiTheme="minorHAnsi" w:cstheme="minorHAnsi"/>
          <w:sz w:val="24"/>
          <w:szCs w:val="24"/>
        </w:rPr>
        <w:t>s.</w:t>
      </w:r>
    </w:p>
    <w:p w14:paraId="77B2867A" w14:textId="77777777" w:rsidR="00662491" w:rsidRDefault="00662491" w:rsidP="00662491">
      <w:pPr>
        <w:pStyle w:val="NormalWeb"/>
        <w:numPr>
          <w:ilvl w:val="0"/>
          <w:numId w:val="26"/>
        </w:numPr>
        <w:rPr>
          <w:rFonts w:asciiTheme="minorHAnsi" w:hAnsiTheme="minorHAnsi" w:cstheme="minorHAnsi"/>
          <w:color w:val="000000"/>
        </w:rPr>
      </w:pPr>
      <w:r w:rsidRPr="00B42135">
        <w:rPr>
          <w:rFonts w:asciiTheme="minorHAnsi" w:hAnsiTheme="minorHAnsi" w:cstheme="minorHAnsi"/>
          <w:color w:val="000000"/>
        </w:rPr>
        <w:t xml:space="preserve"> Using aseptic technique, add 20 mL of lidocaine to the glucose 5% 500 mL infusion bag through the (white) additive port. Seal port additive cap.</w:t>
      </w:r>
    </w:p>
    <w:p w14:paraId="16DDF28E" w14:textId="77777777" w:rsidR="00662491" w:rsidRDefault="00662491" w:rsidP="00662491">
      <w:pPr>
        <w:pStyle w:val="NormalWeb"/>
        <w:numPr>
          <w:ilvl w:val="0"/>
          <w:numId w:val="26"/>
        </w:numPr>
        <w:rPr>
          <w:rFonts w:asciiTheme="minorHAnsi" w:hAnsiTheme="minorHAnsi" w:cstheme="minorHAnsi"/>
          <w:color w:val="000000"/>
        </w:rPr>
      </w:pPr>
      <w:r w:rsidRPr="00B42135">
        <w:rPr>
          <w:rFonts w:asciiTheme="minorHAnsi" w:hAnsiTheme="minorHAnsi" w:cstheme="minorHAnsi"/>
          <w:color w:val="000000"/>
        </w:rPr>
        <w:t xml:space="preserve">Invert the bag several times </w:t>
      </w:r>
      <w:r>
        <w:rPr>
          <w:rFonts w:asciiTheme="minorHAnsi" w:hAnsiTheme="minorHAnsi" w:cstheme="minorHAnsi"/>
          <w:color w:val="000000"/>
        </w:rPr>
        <w:t xml:space="preserve">and shake well </w:t>
      </w:r>
      <w:r w:rsidRPr="00B42135">
        <w:rPr>
          <w:rFonts w:asciiTheme="minorHAnsi" w:hAnsiTheme="minorHAnsi" w:cstheme="minorHAnsi"/>
          <w:color w:val="000000"/>
        </w:rPr>
        <w:t>to allow thorough mixing of the solution.</w:t>
      </w:r>
    </w:p>
    <w:p w14:paraId="5BAEEB5B" w14:textId="77777777" w:rsidR="00662491" w:rsidRPr="00B42135" w:rsidRDefault="00662491" w:rsidP="00662491">
      <w:pPr>
        <w:pStyle w:val="NormalWeb"/>
        <w:numPr>
          <w:ilvl w:val="0"/>
          <w:numId w:val="26"/>
        </w:numPr>
        <w:rPr>
          <w:rFonts w:asciiTheme="minorHAnsi" w:hAnsiTheme="minorHAnsi" w:cstheme="minorHAnsi"/>
          <w:color w:val="000000"/>
        </w:rPr>
      </w:pPr>
      <w:r>
        <w:rPr>
          <w:rFonts w:asciiTheme="minorHAnsi" w:hAnsiTheme="minorHAnsi" w:cstheme="minorHAnsi"/>
          <w:color w:val="000000"/>
        </w:rPr>
        <w:t>Print a label using the pestle and mortar icon in the MAR tab and a</w:t>
      </w:r>
      <w:r w:rsidRPr="00B42135">
        <w:rPr>
          <w:rFonts w:asciiTheme="minorHAnsi" w:hAnsiTheme="minorHAnsi" w:cstheme="minorHAnsi"/>
          <w:color w:val="000000"/>
        </w:rPr>
        <w:t xml:space="preserve">pply </w:t>
      </w:r>
      <w:r>
        <w:rPr>
          <w:rFonts w:asciiTheme="minorHAnsi" w:hAnsiTheme="minorHAnsi" w:cstheme="minorHAnsi"/>
          <w:color w:val="000000"/>
        </w:rPr>
        <w:t xml:space="preserve">the </w:t>
      </w:r>
      <w:r w:rsidRPr="00B42135">
        <w:rPr>
          <w:rFonts w:asciiTheme="minorHAnsi" w:hAnsiTheme="minorHAnsi" w:cstheme="minorHAnsi"/>
          <w:color w:val="000000"/>
        </w:rPr>
        <w:t xml:space="preserve">label to the infusion </w:t>
      </w:r>
      <w:proofErr w:type="gramStart"/>
      <w:r w:rsidRPr="00B42135">
        <w:rPr>
          <w:rFonts w:asciiTheme="minorHAnsi" w:hAnsiTheme="minorHAnsi" w:cstheme="minorHAnsi"/>
          <w:color w:val="000000"/>
        </w:rPr>
        <w:t>bag.</w:t>
      </w:r>
      <w:r>
        <w:rPr>
          <w:rFonts w:asciiTheme="minorHAnsi" w:hAnsiTheme="minorHAnsi" w:cstheme="minorHAnsi"/>
          <w:color w:val="000000"/>
        </w:rPr>
        <w:t>.</w:t>
      </w:r>
      <w:proofErr w:type="gramEnd"/>
    </w:p>
    <w:p w14:paraId="6087DD9F" w14:textId="77777777" w:rsidR="00662491" w:rsidRPr="00410211" w:rsidRDefault="00662491" w:rsidP="00662491">
      <w:pPr>
        <w:pStyle w:val="NormalWeb"/>
        <w:numPr>
          <w:ilvl w:val="0"/>
          <w:numId w:val="26"/>
        </w:numPr>
        <w:rPr>
          <w:rFonts w:asciiTheme="minorHAnsi" w:hAnsiTheme="minorHAnsi" w:cstheme="minorHAnsi"/>
        </w:rPr>
      </w:pPr>
      <w:r w:rsidRPr="00141353">
        <w:rPr>
          <w:rFonts w:asciiTheme="minorHAnsi" w:hAnsiTheme="minorHAnsi" w:cstheme="minorHAnsi"/>
          <w:color w:val="000000"/>
        </w:rPr>
        <w:t xml:space="preserve">The diluted infusion bag should be used immediately. Expiry is 24 hours after </w:t>
      </w:r>
      <w:r w:rsidRPr="00410211">
        <w:rPr>
          <w:rFonts w:asciiTheme="minorHAnsi" w:hAnsiTheme="minorHAnsi" w:cstheme="minorHAnsi"/>
        </w:rPr>
        <w:t>preparation when kept at room temperature</w:t>
      </w:r>
      <w:r w:rsidRPr="00410211">
        <w:rPr>
          <w:rFonts w:asciiTheme="minorHAnsi" w:hAnsiTheme="minorHAnsi" w:cstheme="minorHAnsi"/>
          <w:vertAlign w:val="superscript"/>
        </w:rPr>
        <w:t>2</w:t>
      </w:r>
      <w:r w:rsidRPr="00410211">
        <w:rPr>
          <w:rFonts w:asciiTheme="minorHAnsi" w:hAnsiTheme="minorHAnsi" w:cstheme="minorHAnsi"/>
        </w:rPr>
        <w:t>.</w:t>
      </w:r>
    </w:p>
    <w:p w14:paraId="574DF540" w14:textId="77777777" w:rsidR="00662491" w:rsidRPr="00410211" w:rsidRDefault="00662491" w:rsidP="00662491">
      <w:pPr>
        <w:pStyle w:val="NormalWeb"/>
        <w:numPr>
          <w:ilvl w:val="0"/>
          <w:numId w:val="26"/>
        </w:numPr>
        <w:rPr>
          <w:rFonts w:asciiTheme="minorHAnsi" w:hAnsiTheme="minorHAnsi" w:cstheme="minorHAnsi"/>
        </w:rPr>
      </w:pPr>
      <w:r w:rsidRPr="00410211">
        <w:rPr>
          <w:rFonts w:asciiTheme="minorHAnsi" w:hAnsiTheme="minorHAnsi" w:cstheme="minorHAnsi"/>
        </w:rPr>
        <w:t>Open flowsheets and document the completed infusion.</w:t>
      </w:r>
      <w:r w:rsidRPr="00B42135">
        <w:rPr>
          <w:rFonts w:asciiTheme="minorHAnsi" w:hAnsiTheme="minorHAnsi" w:cstheme="minorHAnsi"/>
          <w:noProof/>
          <w:color w:val="000000"/>
        </w:rPr>
        <mc:AlternateContent>
          <mc:Choice Requires="wps">
            <w:drawing>
              <wp:anchor distT="45720" distB="45720" distL="114300" distR="114300" simplePos="0" relativeHeight="251659264" behindDoc="0" locked="0" layoutInCell="1" allowOverlap="1" wp14:anchorId="0669A9F7" wp14:editId="1EAA1D69">
                <wp:simplePos x="0" y="0"/>
                <wp:positionH relativeFrom="column">
                  <wp:posOffset>-128905</wp:posOffset>
                </wp:positionH>
                <wp:positionV relativeFrom="paragraph">
                  <wp:posOffset>366395</wp:posOffset>
                </wp:positionV>
                <wp:extent cx="6067425" cy="704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704850"/>
                        </a:xfrm>
                        <a:prstGeom prst="rect">
                          <a:avLst/>
                        </a:prstGeom>
                        <a:solidFill>
                          <a:srgbClr val="FFFFFF"/>
                        </a:solidFill>
                        <a:ln w="9525">
                          <a:solidFill>
                            <a:srgbClr val="000000"/>
                          </a:solidFill>
                          <a:miter lim="800000"/>
                          <a:headEnd/>
                          <a:tailEnd/>
                        </a:ln>
                      </wps:spPr>
                      <wps:txbx>
                        <w:txbxContent>
                          <w:p w14:paraId="0B605B2B" w14:textId="77777777" w:rsidR="00662491" w:rsidRDefault="00662491" w:rsidP="00662491">
                            <w:pPr>
                              <w:pStyle w:val="NormalWeb"/>
                              <w:rPr>
                                <w:color w:val="000000"/>
                                <w:sz w:val="27"/>
                                <w:szCs w:val="27"/>
                              </w:rPr>
                            </w:pPr>
                            <w:r w:rsidRPr="00B42135">
                              <w:rPr>
                                <w:rFonts w:asciiTheme="minorHAnsi" w:hAnsiTheme="minorHAnsi" w:cstheme="minorHAnsi"/>
                                <w:b/>
                                <w:bCs/>
                                <w:color w:val="000000"/>
                              </w:rPr>
                              <w:t>Caution</w:t>
                            </w:r>
                            <w:r>
                              <w:rPr>
                                <w:rFonts w:asciiTheme="minorHAnsi" w:hAnsiTheme="minorHAnsi" w:cstheme="minorHAnsi"/>
                                <w:color w:val="000000"/>
                              </w:rPr>
                              <w:t xml:space="preserve"> - </w:t>
                            </w:r>
                            <w:r w:rsidRPr="00B42135">
                              <w:rPr>
                                <w:rFonts w:asciiTheme="minorHAnsi" w:hAnsiTheme="minorHAnsi" w:cstheme="minorHAnsi"/>
                                <w:color w:val="000000"/>
                              </w:rPr>
                              <w:t xml:space="preserve">Lidocaine 10% </w:t>
                            </w:r>
                            <w:r>
                              <w:rPr>
                                <w:rFonts w:asciiTheme="minorHAnsi" w:hAnsiTheme="minorHAnsi" w:cstheme="minorHAnsi"/>
                                <w:color w:val="000000"/>
                              </w:rPr>
                              <w:t>(500mg/5mL) (</w:t>
                            </w:r>
                            <w:proofErr w:type="spellStart"/>
                            <w:r>
                              <w:rPr>
                                <w:rFonts w:asciiTheme="minorHAnsi" w:hAnsiTheme="minorHAnsi" w:cstheme="minorHAnsi"/>
                                <w:color w:val="000000"/>
                              </w:rPr>
                              <w:t>Xylocard</w:t>
                            </w:r>
                            <w:proofErr w:type="spellEnd"/>
                            <w:r>
                              <w:rPr>
                                <w:rFonts w:asciiTheme="minorHAnsi" w:hAnsiTheme="minorHAnsi" w:cstheme="minorHAnsi"/>
                                <w:color w:val="000000"/>
                              </w:rPr>
                              <w:t xml:space="preserve"> 500) </w:t>
                            </w:r>
                            <w:r w:rsidRPr="00B42135">
                              <w:rPr>
                                <w:rFonts w:asciiTheme="minorHAnsi" w:hAnsiTheme="minorHAnsi" w:cstheme="minorHAnsi"/>
                                <w:color w:val="000000"/>
                              </w:rPr>
                              <w:t>is 5 to 10 times more concentrated than preparations used as a local anaesthetic.</w:t>
                            </w:r>
                            <w:r>
                              <w:rPr>
                                <w:rFonts w:asciiTheme="minorHAnsi" w:hAnsiTheme="minorHAnsi" w:cstheme="minorHAnsi"/>
                                <w:color w:val="000000"/>
                              </w:rPr>
                              <w:t xml:space="preserve"> </w:t>
                            </w:r>
                            <w:r w:rsidRPr="00B42135">
                              <w:rPr>
                                <w:rFonts w:asciiTheme="minorHAnsi" w:hAnsiTheme="minorHAnsi" w:cstheme="minorHAnsi"/>
                                <w:color w:val="000000"/>
                              </w:rPr>
                              <w:t xml:space="preserve">Lidocaine 10% must be diluted and infused slowly using an infusion pump. Failing to do this can be </w:t>
                            </w:r>
                            <w:proofErr w:type="gramStart"/>
                            <w:r w:rsidRPr="00B42135">
                              <w:rPr>
                                <w:rFonts w:asciiTheme="minorHAnsi" w:hAnsiTheme="minorHAnsi" w:cstheme="minorHAnsi"/>
                                <w:color w:val="000000"/>
                              </w:rPr>
                              <w:t>fatal</w:t>
                            </w:r>
                            <w:r w:rsidRPr="00B42135">
                              <w:rPr>
                                <w:rFonts w:asciiTheme="minorHAnsi" w:hAnsiTheme="minorHAnsi" w:cstheme="minorHAnsi"/>
                                <w:color w:val="000000"/>
                                <w:vertAlign w:val="superscript"/>
                              </w:rPr>
                              <w:t>1</w:t>
                            </w:r>
                            <w:proofErr w:type="gramEnd"/>
                          </w:p>
                          <w:p w14:paraId="0A9631B4" w14:textId="77777777" w:rsidR="00662491" w:rsidRDefault="00662491" w:rsidP="006624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69A9F7" id="_x0000_t202" coordsize="21600,21600" o:spt="202" path="m,l,21600r21600,l21600,xe">
                <v:stroke joinstyle="miter"/>
                <v:path gradientshapeok="t" o:connecttype="rect"/>
              </v:shapetype>
              <v:shape id="Text Box 2" o:spid="_x0000_s1026" type="#_x0000_t202" style="position:absolute;left:0;text-align:left;margin-left:-10.15pt;margin-top:28.85pt;width:477.75pt;height: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">
                <v:textbox>
                  <w:txbxContent>
                    <w:p w14:paraId="0B605B2B" w14:textId="77777777" w:rsidR="00662491" w:rsidRDefault="00662491" w:rsidP="00662491">
                      <w:pPr>
                        <w:pStyle w:val="NormalWeb"/>
                        <w:rPr>
                          <w:color w:val="000000"/>
                          <w:sz w:val="27"/>
                          <w:szCs w:val="27"/>
                        </w:rPr>
                      </w:pPr>
                      <w:r w:rsidRPr="00B42135">
                        <w:rPr>
                          <w:rFonts w:asciiTheme="minorHAnsi" w:hAnsiTheme="minorHAnsi" w:cstheme="minorHAnsi"/>
                          <w:b/>
                          <w:bCs/>
                          <w:color w:val="000000"/>
                        </w:rPr>
                        <w:t>Caution</w:t>
                      </w:r>
                      <w:r>
                        <w:rPr>
                          <w:rFonts w:asciiTheme="minorHAnsi" w:hAnsiTheme="minorHAnsi" w:cstheme="minorHAnsi"/>
                          <w:color w:val="000000"/>
                        </w:rPr>
                        <w:t xml:space="preserve"> - </w:t>
                      </w:r>
                      <w:r w:rsidRPr="00B42135">
                        <w:rPr>
                          <w:rFonts w:asciiTheme="minorHAnsi" w:hAnsiTheme="minorHAnsi" w:cstheme="minorHAnsi"/>
                          <w:color w:val="000000"/>
                        </w:rPr>
                        <w:t xml:space="preserve">Lidocaine 10% </w:t>
                      </w:r>
                      <w:r>
                        <w:rPr>
                          <w:rFonts w:asciiTheme="minorHAnsi" w:hAnsiTheme="minorHAnsi" w:cstheme="minorHAnsi"/>
                          <w:color w:val="000000"/>
                        </w:rPr>
                        <w:t xml:space="preserve">(500mg/5mL) (Xylocard 500) </w:t>
                      </w:r>
                      <w:r w:rsidRPr="00B42135">
                        <w:rPr>
                          <w:rFonts w:asciiTheme="minorHAnsi" w:hAnsiTheme="minorHAnsi" w:cstheme="minorHAnsi"/>
                          <w:color w:val="000000"/>
                        </w:rPr>
                        <w:t>is 5 to 10 times more concentrated than preparations used as a local anaesthetic.</w:t>
                      </w:r>
                      <w:r>
                        <w:rPr>
                          <w:rFonts w:asciiTheme="minorHAnsi" w:hAnsiTheme="minorHAnsi" w:cstheme="minorHAnsi"/>
                          <w:color w:val="000000"/>
                        </w:rPr>
                        <w:t xml:space="preserve"> </w:t>
                      </w:r>
                      <w:r w:rsidRPr="00B42135">
                        <w:rPr>
                          <w:rFonts w:asciiTheme="minorHAnsi" w:hAnsiTheme="minorHAnsi" w:cstheme="minorHAnsi"/>
                          <w:color w:val="000000"/>
                        </w:rPr>
                        <w:t>Lidocaine 10% must be diluted and infused slowly using an infusion pump. Failing to do this can be fatal</w:t>
                      </w:r>
                      <w:r w:rsidRPr="00B42135">
                        <w:rPr>
                          <w:rFonts w:asciiTheme="minorHAnsi" w:hAnsiTheme="minorHAnsi" w:cstheme="minorHAnsi"/>
                          <w:color w:val="000000"/>
                          <w:vertAlign w:val="superscript"/>
                        </w:rPr>
                        <w:t>1</w:t>
                      </w:r>
                    </w:p>
                    <w:p w14:paraId="0A9631B4" w14:textId="77777777" w:rsidR="00662491" w:rsidRDefault="00662491" w:rsidP="00662491"/>
                  </w:txbxContent>
                </v:textbox>
                <w10:wrap type="square"/>
              </v:shape>
            </w:pict>
          </mc:Fallback>
        </mc:AlternateContent>
      </w:r>
    </w:p>
    <w:p w14:paraId="64C685F1" w14:textId="77777777" w:rsidR="00662491" w:rsidRDefault="00662491" w:rsidP="00662491">
      <w:pPr>
        <w:jc w:val="right"/>
        <w:rPr>
          <w:rFonts w:asciiTheme="minorHAnsi" w:hAnsiTheme="minorHAnsi" w:cstheme="minorHAnsi"/>
          <w:color w:val="000000"/>
        </w:rPr>
      </w:pP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p>
    <w:p w14:paraId="2F0D6BC2" w14:textId="77777777" w:rsidR="00662491" w:rsidRPr="00BA57BA" w:rsidRDefault="00DB1D1B" w:rsidP="00662491">
      <w:pPr>
        <w:jc w:val="right"/>
        <w:rPr>
          <w:rFonts w:cs="Arial"/>
          <w:i/>
          <w:szCs w:val="24"/>
        </w:rPr>
      </w:pPr>
      <w:hyperlink w:anchor="Contents" w:history="1">
        <w:r w:rsidR="00662491" w:rsidRPr="00C91F3F">
          <w:rPr>
            <w:rStyle w:val="Hyperlink"/>
            <w:rFonts w:eastAsiaTheme="majorEastAsia" w:cs="Arial"/>
            <w:i/>
            <w:szCs w:val="24"/>
          </w:rPr>
          <w:t>Back to Table of Contents</w:t>
        </w:r>
      </w:hyperlink>
      <w:r w:rsidR="0066249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5E2373C8" w14:textId="77777777" w:rsidTr="00C44682">
        <w:trPr>
          <w:cantSplit/>
          <w:trHeight w:val="285"/>
        </w:trPr>
        <w:tc>
          <w:tcPr>
            <w:tcW w:w="9158" w:type="dxa"/>
            <w:shd w:val="clear" w:color="auto" w:fill="D9D9D9" w:themeFill="background1" w:themeFillShade="D9"/>
          </w:tcPr>
          <w:p w14:paraId="30EBB8F6" w14:textId="77777777" w:rsidR="00662491" w:rsidRPr="003D2D06" w:rsidRDefault="00662491" w:rsidP="00C44682">
            <w:pPr>
              <w:pStyle w:val="Heading1"/>
            </w:pPr>
            <w:bookmarkStart w:id="20" w:name="_Toc163213807"/>
            <w:r w:rsidRPr="003D2D06">
              <w:lastRenderedPageBreak/>
              <w:t xml:space="preserve">Section </w:t>
            </w:r>
            <w:r>
              <w:t>7</w:t>
            </w:r>
            <w:r w:rsidRPr="003D2D06">
              <w:t xml:space="preserve"> – </w:t>
            </w:r>
            <w:r>
              <w:t>Administration and monitoring</w:t>
            </w:r>
            <w:bookmarkEnd w:id="20"/>
          </w:p>
        </w:tc>
      </w:tr>
    </w:tbl>
    <w:p w14:paraId="111DA543" w14:textId="77777777" w:rsidR="00662491" w:rsidRDefault="00662491" w:rsidP="00662491"/>
    <w:p w14:paraId="3959BA81" w14:textId="77777777" w:rsidR="00662491" w:rsidRPr="00F440C3" w:rsidRDefault="00662491" w:rsidP="00662491">
      <w:pPr>
        <w:rPr>
          <w:color w:val="000000"/>
          <w:szCs w:val="24"/>
        </w:rPr>
      </w:pPr>
      <w:r w:rsidRPr="00F440C3">
        <w:rPr>
          <w:color w:val="000000"/>
          <w:szCs w:val="24"/>
        </w:rPr>
        <w:t>Ensure resuscitation equipment is readily available.</w:t>
      </w:r>
    </w:p>
    <w:p w14:paraId="4254C56C" w14:textId="77777777" w:rsidR="00662491" w:rsidRPr="00F440C3" w:rsidRDefault="00662491" w:rsidP="00662491">
      <w:pPr>
        <w:rPr>
          <w:szCs w:val="24"/>
        </w:rPr>
      </w:pPr>
    </w:p>
    <w:p w14:paraId="4926A2EA" w14:textId="77777777" w:rsidR="00662491" w:rsidRPr="00F440C3" w:rsidRDefault="00662491" w:rsidP="00662491">
      <w:pPr>
        <w:rPr>
          <w:szCs w:val="24"/>
        </w:rPr>
      </w:pPr>
      <w:r w:rsidRPr="00F440C3">
        <w:rPr>
          <w:szCs w:val="24"/>
        </w:rPr>
        <w:t>The patient requires a peripheral intravenous cannula dedicated to the lidocaine infusion.</w:t>
      </w:r>
    </w:p>
    <w:p w14:paraId="6A44CD50" w14:textId="77777777" w:rsidR="00662491" w:rsidRPr="00F440C3" w:rsidRDefault="00662491" w:rsidP="00662491">
      <w:pPr>
        <w:rPr>
          <w:szCs w:val="24"/>
        </w:rPr>
      </w:pPr>
    </w:p>
    <w:p w14:paraId="6C855BE3" w14:textId="77777777" w:rsidR="00662491" w:rsidRDefault="00662491" w:rsidP="00662491">
      <w:pPr>
        <w:rPr>
          <w:color w:val="000000"/>
          <w:szCs w:val="24"/>
        </w:rPr>
      </w:pPr>
      <w:r w:rsidRPr="00F440C3">
        <w:rPr>
          <w:color w:val="000000"/>
          <w:szCs w:val="24"/>
        </w:rPr>
        <w:t xml:space="preserve">Using the </w:t>
      </w:r>
      <w:r>
        <w:rPr>
          <w:color w:val="000000"/>
          <w:szCs w:val="24"/>
        </w:rPr>
        <w:t xml:space="preserve">lidocaine library setting in the </w:t>
      </w:r>
      <w:r w:rsidRPr="00F440C3">
        <w:rPr>
          <w:color w:val="000000"/>
          <w:szCs w:val="24"/>
        </w:rPr>
        <w:t xml:space="preserve">smart infusion pump, commence infusion at a rate of 1 mg/min (15 mL/hour). Patients who show no therapeutic benefit after 24 hours may be prescribed a </w:t>
      </w:r>
      <w:r w:rsidRPr="00F440C3">
        <w:rPr>
          <w:b/>
          <w:bCs/>
          <w:color w:val="000000"/>
          <w:szCs w:val="24"/>
        </w:rPr>
        <w:t xml:space="preserve">maximum </w:t>
      </w:r>
      <w:r w:rsidRPr="00F440C3">
        <w:rPr>
          <w:color w:val="000000"/>
          <w:szCs w:val="24"/>
        </w:rPr>
        <w:t>of 2</w:t>
      </w:r>
      <w:r>
        <w:rPr>
          <w:color w:val="000000"/>
          <w:szCs w:val="24"/>
        </w:rPr>
        <w:t xml:space="preserve"> </w:t>
      </w:r>
      <w:r w:rsidRPr="00F440C3">
        <w:rPr>
          <w:color w:val="000000"/>
          <w:szCs w:val="24"/>
        </w:rPr>
        <w:t>mg/min (30</w:t>
      </w:r>
      <w:r>
        <w:rPr>
          <w:color w:val="000000"/>
          <w:szCs w:val="24"/>
        </w:rPr>
        <w:t xml:space="preserve"> </w:t>
      </w:r>
      <w:r w:rsidRPr="00F440C3">
        <w:rPr>
          <w:color w:val="000000"/>
          <w:szCs w:val="24"/>
        </w:rPr>
        <w:t>mL/hr)</w:t>
      </w:r>
      <w:r>
        <w:rPr>
          <w:color w:val="000000"/>
          <w:szCs w:val="24"/>
        </w:rPr>
        <w:t>.</w:t>
      </w:r>
    </w:p>
    <w:p w14:paraId="53230DE6" w14:textId="77777777" w:rsidR="00662491" w:rsidRPr="00F440C3" w:rsidRDefault="00662491" w:rsidP="00662491">
      <w:pPr>
        <w:rPr>
          <w:color w:val="000000"/>
          <w:szCs w:val="24"/>
        </w:rPr>
      </w:pPr>
    </w:p>
    <w:p w14:paraId="02D902E8" w14:textId="77777777" w:rsidR="00662491" w:rsidRDefault="00662491" w:rsidP="00662491">
      <w:pPr>
        <w:rPr>
          <w:color w:val="000000"/>
          <w:szCs w:val="24"/>
        </w:rPr>
      </w:pPr>
      <w:r w:rsidRPr="00F440C3">
        <w:rPr>
          <w:b/>
          <w:bCs/>
          <w:color w:val="000000"/>
          <w:szCs w:val="24"/>
        </w:rPr>
        <w:t>Initial monitoring</w:t>
      </w:r>
      <w:r w:rsidRPr="00F440C3">
        <w:rPr>
          <w:color w:val="000000"/>
          <w:szCs w:val="24"/>
        </w:rPr>
        <w:t xml:space="preserve"> during first 30 minutes</w:t>
      </w:r>
      <w:r w:rsidRPr="00F440C3">
        <w:rPr>
          <w:color w:val="000000"/>
          <w:szCs w:val="24"/>
          <w:vertAlign w:val="superscript"/>
        </w:rPr>
        <w:t>5</w:t>
      </w:r>
      <w:r w:rsidRPr="00F440C3">
        <w:rPr>
          <w:color w:val="000000"/>
          <w:szCs w:val="24"/>
        </w:rPr>
        <w:t xml:space="preserve"> to be completed by nursing staff: </w:t>
      </w:r>
    </w:p>
    <w:p w14:paraId="5A51234B" w14:textId="77777777" w:rsidR="00662491" w:rsidRPr="00F440C3" w:rsidRDefault="00662491" w:rsidP="00662491">
      <w:pPr>
        <w:pStyle w:val="ListParagraph"/>
        <w:numPr>
          <w:ilvl w:val="0"/>
          <w:numId w:val="15"/>
        </w:numPr>
        <w:rPr>
          <w:szCs w:val="24"/>
        </w:rPr>
      </w:pPr>
      <w:r w:rsidRPr="00F440C3">
        <w:rPr>
          <w:color w:val="000000"/>
          <w:szCs w:val="24"/>
        </w:rPr>
        <w:t xml:space="preserve">Monitor and record the patient’s blood pressure and pulse rate every 5 minutes for first 30 minutes. </w:t>
      </w:r>
    </w:p>
    <w:p w14:paraId="75C3EA1C" w14:textId="77777777" w:rsidR="00662491" w:rsidRPr="00F440C3" w:rsidRDefault="00662491" w:rsidP="00662491">
      <w:pPr>
        <w:pStyle w:val="ListParagraph"/>
        <w:numPr>
          <w:ilvl w:val="0"/>
          <w:numId w:val="15"/>
        </w:numPr>
        <w:rPr>
          <w:szCs w:val="24"/>
        </w:rPr>
      </w:pPr>
      <w:r w:rsidRPr="00F440C3">
        <w:rPr>
          <w:color w:val="000000"/>
          <w:szCs w:val="24"/>
        </w:rPr>
        <w:t xml:space="preserve">Obtain and review a 12 lead ECG 30 minutes after commencing the infusion to identify any abnormalities or changes from baseline </w:t>
      </w:r>
      <w:r w:rsidRPr="001F0832">
        <w:rPr>
          <w:color w:val="000000"/>
          <w:szCs w:val="24"/>
          <w:vertAlign w:val="superscript"/>
        </w:rPr>
        <w:t>5</w:t>
      </w:r>
      <w:r w:rsidRPr="00F440C3">
        <w:rPr>
          <w:color w:val="000000"/>
          <w:szCs w:val="24"/>
        </w:rPr>
        <w:t xml:space="preserve">. </w:t>
      </w:r>
    </w:p>
    <w:p w14:paraId="77F91A4C" w14:textId="77777777" w:rsidR="00662491" w:rsidRPr="00F440C3" w:rsidRDefault="00662491" w:rsidP="00662491">
      <w:pPr>
        <w:pStyle w:val="ListParagraph"/>
        <w:rPr>
          <w:szCs w:val="24"/>
        </w:rPr>
      </w:pPr>
    </w:p>
    <w:p w14:paraId="2A72C5A1" w14:textId="77777777" w:rsidR="00662491" w:rsidRDefault="00662491" w:rsidP="00662491">
      <w:pPr>
        <w:rPr>
          <w:color w:val="000000"/>
          <w:szCs w:val="24"/>
        </w:rPr>
      </w:pPr>
      <w:r w:rsidRPr="00F440C3">
        <w:rPr>
          <w:b/>
          <w:bCs/>
          <w:color w:val="000000"/>
          <w:szCs w:val="24"/>
        </w:rPr>
        <w:t>Subsequent monitoring</w:t>
      </w:r>
      <w:r w:rsidRPr="00F440C3">
        <w:rPr>
          <w:color w:val="000000"/>
          <w:szCs w:val="24"/>
        </w:rPr>
        <w:t xml:space="preserve"> to be completed by nursing staff: </w:t>
      </w:r>
    </w:p>
    <w:p w14:paraId="10147A3F" w14:textId="77777777" w:rsidR="00662491" w:rsidRDefault="00662491" w:rsidP="00662491">
      <w:pPr>
        <w:pStyle w:val="ListParagraph"/>
        <w:numPr>
          <w:ilvl w:val="0"/>
          <w:numId w:val="18"/>
        </w:numPr>
        <w:rPr>
          <w:szCs w:val="24"/>
        </w:rPr>
      </w:pPr>
      <w:r>
        <w:rPr>
          <w:szCs w:val="24"/>
        </w:rPr>
        <w:t>Monitor the infusion sites for signs of irritation.</w:t>
      </w:r>
    </w:p>
    <w:p w14:paraId="7CA284AC" w14:textId="77777777" w:rsidR="00662491" w:rsidRPr="00ED1F22" w:rsidRDefault="00662491" w:rsidP="00662491">
      <w:pPr>
        <w:pStyle w:val="ListParagraph"/>
        <w:numPr>
          <w:ilvl w:val="0"/>
          <w:numId w:val="18"/>
        </w:numPr>
        <w:rPr>
          <w:szCs w:val="24"/>
        </w:rPr>
      </w:pPr>
      <w:r w:rsidRPr="00F440C3">
        <w:rPr>
          <w:color w:val="000000"/>
          <w:szCs w:val="24"/>
        </w:rPr>
        <w:t>Monitor and record the patient’s blood pressure and pulse rate every 15 minutes for 3 hours, then every 2 hours thereafter including during sleep</w:t>
      </w:r>
      <w:r w:rsidRPr="00F440C3">
        <w:rPr>
          <w:color w:val="000000"/>
          <w:szCs w:val="24"/>
          <w:vertAlign w:val="superscript"/>
        </w:rPr>
        <w:t>6</w:t>
      </w:r>
    </w:p>
    <w:p w14:paraId="01C8A6C3" w14:textId="77777777" w:rsidR="00662491" w:rsidRPr="00F440C3" w:rsidRDefault="00662491" w:rsidP="00662491">
      <w:pPr>
        <w:pStyle w:val="ListParagraph"/>
        <w:numPr>
          <w:ilvl w:val="0"/>
          <w:numId w:val="18"/>
        </w:numPr>
        <w:rPr>
          <w:szCs w:val="24"/>
        </w:rPr>
      </w:pPr>
      <w:r w:rsidRPr="00F440C3">
        <w:rPr>
          <w:color w:val="000000"/>
          <w:szCs w:val="24"/>
        </w:rPr>
        <w:t xml:space="preserve">Obtain and review a 12 lead ECG 6 hours after commencing the infusion to identify any abnormalities or changes from </w:t>
      </w:r>
      <w:r>
        <w:rPr>
          <w:color w:val="000000"/>
          <w:szCs w:val="24"/>
        </w:rPr>
        <w:t>baseline.</w:t>
      </w:r>
    </w:p>
    <w:p w14:paraId="09B22617" w14:textId="77777777" w:rsidR="00662491" w:rsidRDefault="00662491" w:rsidP="00662491">
      <w:pPr>
        <w:rPr>
          <w:szCs w:val="24"/>
        </w:rPr>
      </w:pPr>
    </w:p>
    <w:p w14:paraId="126BEA05" w14:textId="77777777" w:rsidR="00662491" w:rsidRDefault="00662491" w:rsidP="00662491">
      <w:pPr>
        <w:rPr>
          <w:szCs w:val="24"/>
        </w:rPr>
      </w:pPr>
      <w:r w:rsidRPr="00BE1906">
        <w:rPr>
          <w:b/>
          <w:bCs/>
          <w:szCs w:val="24"/>
        </w:rPr>
        <w:t>Patients on continuous cardiac monitoring</w:t>
      </w:r>
      <w:r w:rsidRPr="00F440C3">
        <w:rPr>
          <w:szCs w:val="24"/>
        </w:rPr>
        <w:t xml:space="preserve"> </w:t>
      </w:r>
    </w:p>
    <w:p w14:paraId="50FD8BFC" w14:textId="77777777" w:rsidR="00662491" w:rsidRPr="00BE1906" w:rsidRDefault="00662491" w:rsidP="00662491">
      <w:pPr>
        <w:pStyle w:val="ListParagraph"/>
        <w:numPr>
          <w:ilvl w:val="0"/>
          <w:numId w:val="27"/>
        </w:numPr>
        <w:rPr>
          <w:szCs w:val="24"/>
        </w:rPr>
      </w:pPr>
      <w:r>
        <w:t xml:space="preserve">Cardiac monitoring should continue for the duration of therapy including during sleep.  </w:t>
      </w:r>
    </w:p>
    <w:p w14:paraId="29F02CC2" w14:textId="77777777" w:rsidR="00662491" w:rsidRPr="00BE1906" w:rsidRDefault="00662491" w:rsidP="00662491">
      <w:pPr>
        <w:pStyle w:val="ListParagraph"/>
        <w:numPr>
          <w:ilvl w:val="0"/>
          <w:numId w:val="27"/>
        </w:numPr>
        <w:rPr>
          <w:szCs w:val="24"/>
        </w:rPr>
      </w:pPr>
      <w:r>
        <w:t xml:space="preserve">An ECG rhythm strip should be obtained every 5 minutes for the first 30 minutes of the infusion, then every 15 minutes for 3 hours, and thereafter 2 </w:t>
      </w:r>
      <w:proofErr w:type="gramStart"/>
      <w:r>
        <w:t>hourly</w:t>
      </w:r>
      <w:proofErr w:type="gramEnd"/>
      <w:r>
        <w:t xml:space="preserve">, including during sleep. </w:t>
      </w:r>
    </w:p>
    <w:p w14:paraId="7DF1E757" w14:textId="77777777" w:rsidR="00662491" w:rsidRPr="00BE1906" w:rsidRDefault="00662491" w:rsidP="00662491">
      <w:pPr>
        <w:pStyle w:val="ListParagraph"/>
        <w:numPr>
          <w:ilvl w:val="0"/>
          <w:numId w:val="27"/>
        </w:numPr>
        <w:rPr>
          <w:szCs w:val="24"/>
        </w:rPr>
      </w:pPr>
      <w:r>
        <w:t>Pulse and Blood Pressure should be measured every 5 minutes for the first 30 minutes, then every 15 minutes for 3 hours, and then 2 hourly thereafter while the patient is awake.</w:t>
      </w:r>
    </w:p>
    <w:p w14:paraId="4444DEC7" w14:textId="77777777" w:rsidR="00662491" w:rsidRDefault="00662491" w:rsidP="00662491">
      <w:pPr>
        <w:rPr>
          <w:szCs w:val="24"/>
        </w:rPr>
      </w:pPr>
    </w:p>
    <w:p w14:paraId="212360F8" w14:textId="77777777" w:rsidR="00662491" w:rsidRPr="00B35EA1" w:rsidRDefault="00662491" w:rsidP="00662491">
      <w:pPr>
        <w:rPr>
          <w:b/>
          <w:bCs/>
        </w:rPr>
      </w:pPr>
      <w:r w:rsidRPr="00B35EA1">
        <w:rPr>
          <w:b/>
          <w:bCs/>
        </w:rPr>
        <w:t>While on maintenance infusion</w:t>
      </w:r>
    </w:p>
    <w:p w14:paraId="654BDA6A" w14:textId="77777777" w:rsidR="00662491" w:rsidRDefault="00662491" w:rsidP="00662491">
      <w:pPr>
        <w:pStyle w:val="ListParagraph"/>
        <w:numPr>
          <w:ilvl w:val="0"/>
          <w:numId w:val="20"/>
        </w:numPr>
      </w:pPr>
      <w:r w:rsidRPr="00B35EA1">
        <w:t xml:space="preserve">Serum electrolytes, urea, </w:t>
      </w:r>
      <w:proofErr w:type="gramStart"/>
      <w:r w:rsidRPr="00B35EA1">
        <w:t>creatinine</w:t>
      </w:r>
      <w:proofErr w:type="gramEnd"/>
      <w:r w:rsidRPr="00B35EA1">
        <w:t xml:space="preserve"> and a 12 lead ECG are to be monitored and reviewed once daily for the duration of the infusion.</w:t>
      </w:r>
    </w:p>
    <w:p w14:paraId="2A0709EC" w14:textId="77777777" w:rsidR="00662491" w:rsidRPr="00B35EA1" w:rsidRDefault="00662491" w:rsidP="00662491">
      <w:pPr>
        <w:pStyle w:val="ListParagraph"/>
        <w:numPr>
          <w:ilvl w:val="0"/>
          <w:numId w:val="20"/>
        </w:numPr>
      </w:pPr>
      <w:r w:rsidRPr="00B35EA1">
        <w:rPr>
          <w:rFonts w:asciiTheme="minorHAnsi" w:hAnsiTheme="minorHAnsi" w:cstheme="minorHAnsi"/>
          <w:color w:val="000000"/>
        </w:rPr>
        <w:t>Monitor and record the patient’s pain score once daily.</w:t>
      </w:r>
    </w:p>
    <w:p w14:paraId="6B146E69" w14:textId="77777777" w:rsidR="00662491" w:rsidRPr="00B35EA1" w:rsidRDefault="00662491" w:rsidP="00662491">
      <w:pPr>
        <w:pStyle w:val="ListParagraph"/>
        <w:numPr>
          <w:ilvl w:val="0"/>
          <w:numId w:val="20"/>
        </w:numPr>
      </w:pPr>
      <w:r w:rsidRPr="00B35EA1">
        <w:rPr>
          <w:rFonts w:asciiTheme="minorHAnsi" w:hAnsiTheme="minorHAnsi" w:cstheme="minorHAnsi"/>
          <w:color w:val="000000"/>
        </w:rPr>
        <w:t xml:space="preserve">If, after 24 hours of the infusion at a constant dose, the patient’s observations are within normal limits and there are no signs or symptoms of toxicity, the neurology team can consider reducing the frequency of observations to 4 </w:t>
      </w:r>
      <w:proofErr w:type="gramStart"/>
      <w:r w:rsidRPr="00B35EA1">
        <w:rPr>
          <w:rFonts w:asciiTheme="minorHAnsi" w:hAnsiTheme="minorHAnsi" w:cstheme="minorHAnsi"/>
          <w:color w:val="000000"/>
        </w:rPr>
        <w:t>hourly</w:t>
      </w:r>
      <w:proofErr w:type="gramEnd"/>
      <w:r w:rsidRPr="00B35EA1">
        <w:rPr>
          <w:rFonts w:asciiTheme="minorHAnsi" w:hAnsiTheme="minorHAnsi" w:cstheme="minorHAnsi"/>
          <w:color w:val="000000"/>
        </w:rPr>
        <w:t xml:space="preserve"> from 2200 to 0600 to allow the patient to sleep</w:t>
      </w:r>
      <w:r w:rsidRPr="00B35EA1">
        <w:rPr>
          <w:color w:val="000000"/>
          <w:sz w:val="27"/>
          <w:szCs w:val="27"/>
        </w:rPr>
        <w:t>.</w:t>
      </w:r>
    </w:p>
    <w:p w14:paraId="09DC9D85" w14:textId="77777777" w:rsidR="00662491" w:rsidRDefault="00662491" w:rsidP="00662491">
      <w:pPr>
        <w:rPr>
          <w:szCs w:val="24"/>
        </w:rPr>
      </w:pPr>
    </w:p>
    <w:p w14:paraId="6F93B607" w14:textId="77777777" w:rsidR="00662491" w:rsidRPr="00B35EA1" w:rsidRDefault="00662491" w:rsidP="00662491">
      <w:pPr>
        <w:rPr>
          <w:b/>
          <w:bCs/>
          <w:szCs w:val="24"/>
        </w:rPr>
      </w:pPr>
      <w:r w:rsidRPr="00B35EA1">
        <w:rPr>
          <w:b/>
          <w:bCs/>
          <w:color w:val="000000"/>
          <w:szCs w:val="24"/>
        </w:rPr>
        <w:t>Increasing infusion rate</w:t>
      </w:r>
      <w:r w:rsidRPr="00B35EA1">
        <w:rPr>
          <w:b/>
          <w:bCs/>
          <w:szCs w:val="24"/>
        </w:rPr>
        <w:t xml:space="preserve"> </w:t>
      </w:r>
    </w:p>
    <w:p w14:paraId="10BB2C06" w14:textId="77777777" w:rsidR="00662491" w:rsidRPr="00B35EA1" w:rsidRDefault="00662491" w:rsidP="00662491">
      <w:pPr>
        <w:pStyle w:val="ListParagraph"/>
        <w:numPr>
          <w:ilvl w:val="0"/>
          <w:numId w:val="22"/>
        </w:numPr>
        <w:rPr>
          <w:szCs w:val="24"/>
        </w:rPr>
      </w:pPr>
      <w:r w:rsidRPr="00B35EA1">
        <w:rPr>
          <w:color w:val="000000"/>
          <w:szCs w:val="24"/>
        </w:rPr>
        <w:lastRenderedPageBreak/>
        <w:t>If there is no therapeutic benefit after 24 hours, the neurology team can prescribe an increase in the infusion rate to a maximum of 2 mg/min (30 mL/hour)</w:t>
      </w:r>
      <w:r w:rsidRPr="0055335D">
        <w:rPr>
          <w:color w:val="000000"/>
          <w:szCs w:val="24"/>
          <w:vertAlign w:val="superscript"/>
        </w:rPr>
        <w:t>6</w:t>
      </w:r>
      <w:r w:rsidRPr="00B35EA1">
        <w:rPr>
          <w:color w:val="000000"/>
          <w:szCs w:val="24"/>
        </w:rPr>
        <w:t xml:space="preserve">. If the infusion rate is increased, to ensure safety using the higher dose, the monitoring parameters set out in </w:t>
      </w:r>
      <w:r w:rsidRPr="00BA57BA">
        <w:rPr>
          <w:b/>
          <w:bCs/>
          <w:color w:val="000000"/>
          <w:szCs w:val="24"/>
        </w:rPr>
        <w:t>Initial monitoring</w:t>
      </w:r>
      <w:r w:rsidRPr="00B35EA1">
        <w:rPr>
          <w:color w:val="000000"/>
          <w:szCs w:val="24"/>
        </w:rPr>
        <w:t xml:space="preserve"> </w:t>
      </w:r>
      <w:r>
        <w:rPr>
          <w:color w:val="000000"/>
          <w:szCs w:val="24"/>
        </w:rPr>
        <w:t xml:space="preserve">(and then subsequent monitoring if tolerated) </w:t>
      </w:r>
      <w:r w:rsidRPr="00B35EA1">
        <w:rPr>
          <w:color w:val="000000"/>
          <w:szCs w:val="24"/>
        </w:rPr>
        <w:t>must be followed again.</w:t>
      </w:r>
      <w:r>
        <w:rPr>
          <w:color w:val="000000"/>
          <w:szCs w:val="24"/>
        </w:rPr>
        <w:t xml:space="preserve"> This should also be documented in the Flowsheets to validate fluid balance chart in DHR. If the patient tolerates the dose increase monitoring can return to a</w:t>
      </w:r>
    </w:p>
    <w:p w14:paraId="779490DB" w14:textId="77777777" w:rsidR="00662491" w:rsidRDefault="00662491" w:rsidP="00662491"/>
    <w:p w14:paraId="198627FC" w14:textId="77777777" w:rsidR="00662491" w:rsidRPr="00B35EA1" w:rsidRDefault="00662491" w:rsidP="00662491">
      <w:pPr>
        <w:rPr>
          <w:b/>
          <w:bCs/>
        </w:rPr>
      </w:pPr>
      <w:r w:rsidRPr="00B35EA1">
        <w:rPr>
          <w:b/>
          <w:bCs/>
        </w:rPr>
        <w:t>Ceasing the infusion</w:t>
      </w:r>
    </w:p>
    <w:p w14:paraId="4AB89CED" w14:textId="77777777" w:rsidR="00662491" w:rsidRPr="00B35EA1" w:rsidRDefault="00662491" w:rsidP="00662491">
      <w:pPr>
        <w:pStyle w:val="ListParagraph"/>
        <w:numPr>
          <w:ilvl w:val="0"/>
          <w:numId w:val="22"/>
        </w:numPr>
      </w:pPr>
      <w:r w:rsidRPr="00B35EA1">
        <w:rPr>
          <w:rFonts w:asciiTheme="minorHAnsi" w:hAnsiTheme="minorHAnsi" w:cstheme="minorHAnsi"/>
          <w:color w:val="000000"/>
          <w:szCs w:val="24"/>
        </w:rPr>
        <w:t>The infusion can be ceased abruptly without weaning. Once the infusion has been ceased, patients should be observed for at least 4 hours prior to discharge to ensure blood pressure is within acceptable limits</w:t>
      </w:r>
      <w:r>
        <w:rPr>
          <w:rFonts w:asciiTheme="minorHAnsi" w:hAnsiTheme="minorHAnsi" w:cstheme="minorHAnsi"/>
          <w:color w:val="000000"/>
          <w:szCs w:val="24"/>
        </w:rPr>
        <w:t>.</w:t>
      </w:r>
    </w:p>
    <w:p w14:paraId="27691AA6" w14:textId="77777777" w:rsidR="00662491" w:rsidRPr="00BA57BA" w:rsidRDefault="00DB1D1B" w:rsidP="00662491">
      <w:pPr>
        <w:pStyle w:val="ListParagraph"/>
        <w:ind w:left="5760" w:firstLine="720"/>
        <w:jc w:val="center"/>
        <w:rPr>
          <w:rFonts w:cs="Arial"/>
          <w:i/>
          <w:szCs w:val="24"/>
        </w:rPr>
      </w:pPr>
      <w:hyperlink w:anchor="Contents" w:history="1">
        <w:r w:rsidR="00662491" w:rsidRPr="00BA57BA">
          <w:rPr>
            <w:rStyle w:val="Hyperlink"/>
            <w:rFonts w:eastAsiaTheme="majorEastAsia" w:cs="Arial"/>
            <w:i/>
            <w:szCs w:val="24"/>
          </w:rPr>
          <w:t>Back to Table of Contents</w:t>
        </w:r>
      </w:hyperlink>
      <w:r w:rsidR="00662491" w:rsidRPr="00BA57B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7D09C7ED" w14:textId="77777777" w:rsidTr="00C44682">
        <w:trPr>
          <w:cantSplit/>
          <w:trHeight w:val="285"/>
        </w:trPr>
        <w:tc>
          <w:tcPr>
            <w:tcW w:w="9158" w:type="dxa"/>
            <w:shd w:val="clear" w:color="auto" w:fill="D9D9D9" w:themeFill="background1" w:themeFillShade="D9"/>
          </w:tcPr>
          <w:p w14:paraId="06301106" w14:textId="77777777" w:rsidR="00662491" w:rsidRPr="003D2D06" w:rsidRDefault="00662491" w:rsidP="00C44682">
            <w:pPr>
              <w:pStyle w:val="Heading1"/>
            </w:pPr>
            <w:bookmarkStart w:id="21" w:name="_Toc2671968"/>
            <w:bookmarkStart w:id="22" w:name="_Toc163213808"/>
            <w:r>
              <w:t>Section 8</w:t>
            </w:r>
            <w:r w:rsidRPr="003D2D06">
              <w:t xml:space="preserve"> – </w:t>
            </w:r>
            <w:r>
              <w:t>Adverse Effects and Symptoms of Toxicity</w:t>
            </w:r>
            <w:bookmarkEnd w:id="21"/>
            <w:bookmarkEnd w:id="22"/>
          </w:p>
        </w:tc>
      </w:tr>
    </w:tbl>
    <w:p w14:paraId="7B47CA80" w14:textId="77777777" w:rsidR="00662491" w:rsidRDefault="00662491" w:rsidP="00662491"/>
    <w:p w14:paraId="0C309700" w14:textId="77777777" w:rsidR="00662491" w:rsidRPr="00AE105C" w:rsidRDefault="00662491" w:rsidP="00662491">
      <w:pPr>
        <w:rPr>
          <w:b/>
        </w:rPr>
      </w:pPr>
      <w:r w:rsidRPr="00AE105C">
        <w:rPr>
          <w:b/>
        </w:rPr>
        <w:t>Adverse Effects</w:t>
      </w:r>
    </w:p>
    <w:p w14:paraId="3F1D9046" w14:textId="77777777" w:rsidR="00662491" w:rsidRPr="00DA20EE" w:rsidRDefault="00662491" w:rsidP="00662491">
      <w:r w:rsidRPr="00DA20EE">
        <w:t xml:space="preserve">Adverse effects are dose-related and </w:t>
      </w:r>
      <w:r>
        <w:t>occur less frequently at doses of lidocaine 1 mg/min and 2 mg/min</w:t>
      </w:r>
      <w:r>
        <w:rPr>
          <w:vertAlign w:val="superscript"/>
        </w:rPr>
        <w:t xml:space="preserve">3 </w:t>
      </w:r>
      <w:r>
        <w:t xml:space="preserve">which are used for treatment of headache. For management of adverse effects refer to the </w:t>
      </w:r>
      <w:r w:rsidRPr="00390406">
        <w:rPr>
          <w:i/>
        </w:rPr>
        <w:t>CHS Medication Handling Policy</w:t>
      </w:r>
      <w:r>
        <w:t xml:space="preserve">. </w:t>
      </w:r>
    </w:p>
    <w:p w14:paraId="6C34ACE3" w14:textId="77777777" w:rsidR="00662491" w:rsidRPr="00DA20EE" w:rsidRDefault="00662491" w:rsidP="00662491"/>
    <w:p w14:paraId="3BD96A0A" w14:textId="77777777" w:rsidR="00662491" w:rsidRPr="00C74070" w:rsidRDefault="00662491" w:rsidP="00662491">
      <w:pPr>
        <w:rPr>
          <w:vertAlign w:val="superscript"/>
        </w:rPr>
      </w:pPr>
      <w:r w:rsidRPr="00DA20EE">
        <w:t xml:space="preserve">Adverse </w:t>
      </w:r>
      <w:r>
        <w:t>e</w:t>
      </w:r>
      <w:r w:rsidRPr="00DA20EE">
        <w:t>ffects</w:t>
      </w:r>
      <w:r>
        <w:rPr>
          <w:vertAlign w:val="superscript"/>
        </w:rPr>
        <w:t>3</w:t>
      </w:r>
      <w:r w:rsidRPr="00390406">
        <w:t>:</w:t>
      </w:r>
    </w:p>
    <w:p w14:paraId="1EC5D8ED" w14:textId="77777777" w:rsidR="00662491" w:rsidRPr="00DA20EE" w:rsidRDefault="00662491" w:rsidP="00662491">
      <w:pPr>
        <w:rPr>
          <w:i/>
        </w:rPr>
      </w:pPr>
      <w:r w:rsidRPr="00DA20EE">
        <w:rPr>
          <w:i/>
        </w:rPr>
        <w:t xml:space="preserve">Common </w:t>
      </w:r>
      <w:r w:rsidRPr="00DA20EE">
        <w:rPr>
          <w:i/>
          <w:sz w:val="20"/>
        </w:rPr>
        <w:t>(&gt;1% of patients)</w:t>
      </w:r>
    </w:p>
    <w:p w14:paraId="271FC707" w14:textId="77777777" w:rsidR="00662491" w:rsidRPr="00DA20EE" w:rsidRDefault="00662491" w:rsidP="00662491">
      <w:r w:rsidRPr="00DA20EE">
        <w:t>headache, dizziness, drowsiness, confusion, visual disturbances, tinnitus, tremor, paraesthesia</w:t>
      </w:r>
    </w:p>
    <w:p w14:paraId="09232399" w14:textId="77777777" w:rsidR="00662491" w:rsidRPr="00DA20EE" w:rsidRDefault="00662491" w:rsidP="00662491"/>
    <w:p w14:paraId="24196612" w14:textId="77777777" w:rsidR="00662491" w:rsidRPr="00DA20EE" w:rsidRDefault="00662491" w:rsidP="00662491">
      <w:pPr>
        <w:rPr>
          <w:i/>
          <w:sz w:val="20"/>
        </w:rPr>
      </w:pPr>
      <w:r w:rsidRPr="00DA20EE">
        <w:rPr>
          <w:i/>
        </w:rPr>
        <w:t xml:space="preserve">Infrequent </w:t>
      </w:r>
      <w:r w:rsidRPr="00DA20EE">
        <w:rPr>
          <w:i/>
          <w:sz w:val="20"/>
        </w:rPr>
        <w:t>(0.1 to 1%% of patients)</w:t>
      </w:r>
    </w:p>
    <w:p w14:paraId="7D6D90EF" w14:textId="77777777" w:rsidR="00662491" w:rsidRPr="00DA20EE" w:rsidRDefault="00662491" w:rsidP="00662491">
      <w:pPr>
        <w:spacing w:after="200" w:line="276" w:lineRule="auto"/>
        <w:rPr>
          <w:i/>
        </w:rPr>
      </w:pPr>
      <w:r w:rsidRPr="00DA20EE">
        <w:t>hypotension, bradycardia, arrhythmias, cardiac arrest, muscle twitching, seizures, coma, respiratory depression</w:t>
      </w:r>
    </w:p>
    <w:p w14:paraId="6F5E1D34" w14:textId="77777777" w:rsidR="00662491" w:rsidRPr="00DA20EE" w:rsidRDefault="00662491" w:rsidP="00662491">
      <w:pPr>
        <w:rPr>
          <w:i/>
        </w:rPr>
      </w:pPr>
      <w:r w:rsidRPr="00DA20EE">
        <w:rPr>
          <w:i/>
        </w:rPr>
        <w:t xml:space="preserve">Rare </w:t>
      </w:r>
      <w:r w:rsidRPr="00DA20EE">
        <w:rPr>
          <w:i/>
          <w:sz w:val="20"/>
        </w:rPr>
        <w:t>(&lt;0.1% of patients)</w:t>
      </w:r>
    </w:p>
    <w:p w14:paraId="089341D0" w14:textId="77777777" w:rsidR="00662491" w:rsidRPr="00DA20EE" w:rsidRDefault="00662491" w:rsidP="00662491">
      <w:r w:rsidRPr="00DA20EE">
        <w:t>allergy (e</w:t>
      </w:r>
      <w:r>
        <w:t>.</w:t>
      </w:r>
      <w:r w:rsidRPr="00DA20EE">
        <w:t>g</w:t>
      </w:r>
      <w:r>
        <w:t>.</w:t>
      </w:r>
      <w:r w:rsidRPr="00DA20EE">
        <w:t xml:space="preserve"> urticaria, rash, anaphylactoid reaction)</w:t>
      </w:r>
    </w:p>
    <w:p w14:paraId="14508E06" w14:textId="77777777" w:rsidR="00662491" w:rsidRPr="00DA20EE" w:rsidRDefault="00662491" w:rsidP="00662491"/>
    <w:p w14:paraId="71653E44" w14:textId="77777777" w:rsidR="00662491" w:rsidRPr="00A663F7" w:rsidRDefault="00662491" w:rsidP="00662491">
      <w:pPr>
        <w:rPr>
          <w:vertAlign w:val="superscript"/>
        </w:rPr>
      </w:pPr>
      <w:r w:rsidRPr="00DA20EE">
        <w:rPr>
          <w:b/>
        </w:rPr>
        <w:t>Symptoms of Toxicity</w:t>
      </w:r>
      <w:r>
        <w:rPr>
          <w:vertAlign w:val="superscript"/>
        </w:rPr>
        <w:t>7</w:t>
      </w:r>
    </w:p>
    <w:p w14:paraId="5412987C" w14:textId="77777777" w:rsidR="00662491" w:rsidRPr="00DA20EE" w:rsidRDefault="00662491" w:rsidP="00662491">
      <w:r>
        <w:t xml:space="preserve">Patient characteristics that </w:t>
      </w:r>
      <w:r w:rsidRPr="00DA20EE">
        <w:t xml:space="preserve">increase patient susceptibility to </w:t>
      </w:r>
      <w:r>
        <w:t>lidocaine</w:t>
      </w:r>
      <w:r w:rsidRPr="00DA20EE">
        <w:t xml:space="preserve"> toxicity include: </w:t>
      </w:r>
    </w:p>
    <w:p w14:paraId="6870A888" w14:textId="77777777" w:rsidR="00662491" w:rsidRPr="00DA20EE" w:rsidRDefault="00662491" w:rsidP="00662491">
      <w:pPr>
        <w:pStyle w:val="ListBullet"/>
      </w:pPr>
      <w:r w:rsidRPr="00DA20EE">
        <w:t>older age</w:t>
      </w:r>
      <w:r>
        <w:rPr>
          <w:vertAlign w:val="superscript"/>
        </w:rPr>
        <w:t>7</w:t>
      </w:r>
    </w:p>
    <w:p w14:paraId="44FE614B" w14:textId="77777777" w:rsidR="00662491" w:rsidRPr="00DA20EE" w:rsidRDefault="00662491" w:rsidP="00662491">
      <w:pPr>
        <w:pStyle w:val="ListBullet"/>
      </w:pPr>
      <w:r>
        <w:t>acute myocardial infarction</w:t>
      </w:r>
    </w:p>
    <w:p w14:paraId="6DE745B2" w14:textId="77777777" w:rsidR="00662491" w:rsidRDefault="00662491" w:rsidP="00662491">
      <w:pPr>
        <w:pStyle w:val="ListBullet"/>
      </w:pPr>
      <w:r>
        <w:t>congestive heart failure</w:t>
      </w:r>
      <w:r>
        <w:rPr>
          <w:vertAlign w:val="superscript"/>
        </w:rPr>
        <w:t>3</w:t>
      </w:r>
    </w:p>
    <w:p w14:paraId="5C69BA7E" w14:textId="77777777" w:rsidR="00662491" w:rsidRPr="00DA20EE" w:rsidRDefault="00662491" w:rsidP="00662491">
      <w:pPr>
        <w:pStyle w:val="ListBullet"/>
      </w:pPr>
      <w:r>
        <w:t xml:space="preserve">decreased hepatic </w:t>
      </w:r>
      <w:proofErr w:type="gramStart"/>
      <w:r>
        <w:t>function</w:t>
      </w:r>
      <w:r>
        <w:rPr>
          <w:vertAlign w:val="superscript"/>
        </w:rPr>
        <w:t>7</w:t>
      </w:r>
      <w:proofErr w:type="gramEnd"/>
    </w:p>
    <w:p w14:paraId="5F24654A" w14:textId="77777777" w:rsidR="00662491" w:rsidRPr="00DA20EE" w:rsidRDefault="00662491" w:rsidP="00662491">
      <w:pPr>
        <w:pStyle w:val="ListBullet"/>
      </w:pPr>
      <w:r w:rsidRPr="00DA20EE">
        <w:t xml:space="preserve">concomitant use of drugs that decrease P-450 </w:t>
      </w:r>
      <w:proofErr w:type="gramStart"/>
      <w:r w:rsidRPr="00DA20EE">
        <w:t>activity</w:t>
      </w:r>
      <w:r>
        <w:rPr>
          <w:vertAlign w:val="superscript"/>
        </w:rPr>
        <w:t>3</w:t>
      </w:r>
      <w:proofErr w:type="gramEnd"/>
    </w:p>
    <w:p w14:paraId="124EA8D8" w14:textId="77777777" w:rsidR="00662491" w:rsidRDefault="00662491" w:rsidP="00662491"/>
    <w:p w14:paraId="6EB01B97" w14:textId="77777777" w:rsidR="00662491" w:rsidRPr="00DA20EE" w:rsidRDefault="00662491" w:rsidP="00662491">
      <w:r w:rsidRPr="00DA20EE">
        <w:t>Systemic symptoms of toxicity can occur following intraveno</w:t>
      </w:r>
      <w:r>
        <w:t>us administration of lidocaine</w:t>
      </w:r>
      <w:r w:rsidRPr="00DA20EE">
        <w:t xml:space="preserve">. Any patient </w:t>
      </w:r>
      <w:r>
        <w:t>suspected</w:t>
      </w:r>
      <w:r w:rsidRPr="00DA20EE">
        <w:t xml:space="preserve"> of experiencing serious neurological, </w:t>
      </w:r>
      <w:proofErr w:type="gramStart"/>
      <w:r w:rsidRPr="00DA20EE">
        <w:t>cardiac</w:t>
      </w:r>
      <w:proofErr w:type="gramEnd"/>
      <w:r w:rsidRPr="00DA20EE">
        <w:t xml:space="preserve"> or respiratory adverse effects s</w:t>
      </w:r>
      <w:r>
        <w:t>hould have infusion ceased and c</w:t>
      </w:r>
      <w:r w:rsidRPr="00DA20EE">
        <w:t xml:space="preserve">ode </w:t>
      </w:r>
      <w:r>
        <w:t>b</w:t>
      </w:r>
      <w:r w:rsidRPr="00DA20EE">
        <w:t>lue activated.</w:t>
      </w:r>
    </w:p>
    <w:p w14:paraId="751F67BD" w14:textId="77777777" w:rsidR="00662491" w:rsidRPr="00DA20EE" w:rsidRDefault="00662491" w:rsidP="00662491"/>
    <w:p w14:paraId="50DBAF7A" w14:textId="77777777" w:rsidR="00662491" w:rsidRPr="00DA20EE" w:rsidRDefault="00662491" w:rsidP="00662491">
      <w:r w:rsidRPr="00DA20EE">
        <w:lastRenderedPageBreak/>
        <w:t xml:space="preserve">Signs of </w:t>
      </w:r>
      <w:r>
        <w:t>m</w:t>
      </w:r>
      <w:r w:rsidRPr="00DA20EE">
        <w:t xml:space="preserve">ild </w:t>
      </w:r>
      <w:r>
        <w:t>t</w:t>
      </w:r>
      <w:r w:rsidRPr="00DA20EE">
        <w:t>oxicity</w:t>
      </w:r>
      <w:r>
        <w:t>:</w:t>
      </w:r>
    </w:p>
    <w:p w14:paraId="16E7B1DE" w14:textId="77777777" w:rsidR="00662491" w:rsidRPr="00DA20EE" w:rsidRDefault="00662491" w:rsidP="00662491">
      <w:pPr>
        <w:pStyle w:val="ListBullet"/>
      </w:pPr>
      <w:r w:rsidRPr="00DA20EE">
        <w:t xml:space="preserve">Altered mentation; dizziness, light-headedness, </w:t>
      </w:r>
      <w:proofErr w:type="gramStart"/>
      <w:r w:rsidRPr="00DA20EE">
        <w:t>drowsiness</w:t>
      </w:r>
      <w:proofErr w:type="gramEnd"/>
    </w:p>
    <w:p w14:paraId="519F3D42" w14:textId="77777777" w:rsidR="00662491" w:rsidRPr="00DA20EE" w:rsidRDefault="00662491" w:rsidP="00662491">
      <w:pPr>
        <w:pStyle w:val="ListBullet"/>
      </w:pPr>
      <w:r w:rsidRPr="00DA20EE">
        <w:t>Blurred vision</w:t>
      </w:r>
    </w:p>
    <w:p w14:paraId="64FDDBE0" w14:textId="77777777" w:rsidR="00662491" w:rsidRPr="00DA20EE" w:rsidRDefault="00662491" w:rsidP="00662491">
      <w:pPr>
        <w:pStyle w:val="ListBullet"/>
      </w:pPr>
      <w:r w:rsidRPr="00DA20EE">
        <w:t>Reduced hearing or tinnitus</w:t>
      </w:r>
      <w:r>
        <w:t>.</w:t>
      </w:r>
    </w:p>
    <w:p w14:paraId="79E9047A" w14:textId="77777777" w:rsidR="00662491" w:rsidRPr="00DA20EE" w:rsidRDefault="00662491" w:rsidP="00662491"/>
    <w:p w14:paraId="7B5DAFEE" w14:textId="77777777" w:rsidR="00662491" w:rsidRPr="00DA20EE" w:rsidRDefault="00662491" w:rsidP="00662491">
      <w:r w:rsidRPr="00DA20EE">
        <w:t xml:space="preserve">Signs of </w:t>
      </w:r>
      <w:r>
        <w:t>s</w:t>
      </w:r>
      <w:r w:rsidRPr="00DA20EE">
        <w:t xml:space="preserve">evere </w:t>
      </w:r>
      <w:r>
        <w:t>t</w:t>
      </w:r>
      <w:r w:rsidRPr="00DA20EE">
        <w:t>oxicity</w:t>
      </w:r>
      <w:r>
        <w:t>:</w:t>
      </w:r>
    </w:p>
    <w:p w14:paraId="54334827" w14:textId="77777777" w:rsidR="00662491" w:rsidRPr="00DA20EE" w:rsidRDefault="00662491" w:rsidP="00662491">
      <w:pPr>
        <w:pStyle w:val="ListBullet"/>
      </w:pPr>
      <w:r w:rsidRPr="00DA20EE">
        <w:t>Profound hypotension</w:t>
      </w:r>
    </w:p>
    <w:p w14:paraId="4E63E266" w14:textId="77777777" w:rsidR="00662491" w:rsidRPr="00DA20EE" w:rsidRDefault="00662491" w:rsidP="00662491">
      <w:pPr>
        <w:pStyle w:val="ListBullet"/>
      </w:pPr>
      <w:r w:rsidRPr="00DA20EE">
        <w:t xml:space="preserve">Severe Central Nervous System depression </w:t>
      </w:r>
    </w:p>
    <w:p w14:paraId="68F141E9" w14:textId="77777777" w:rsidR="00662491" w:rsidRPr="00DA20EE" w:rsidRDefault="00662491" w:rsidP="00662491">
      <w:pPr>
        <w:pStyle w:val="ListBullet"/>
      </w:pPr>
      <w:r w:rsidRPr="00DA20EE">
        <w:t>Cardiac arrhythmia</w:t>
      </w:r>
    </w:p>
    <w:p w14:paraId="0A7A8634" w14:textId="77777777" w:rsidR="00662491" w:rsidRPr="00DA20EE" w:rsidRDefault="00662491" w:rsidP="00662491">
      <w:pPr>
        <w:pStyle w:val="ListBullet"/>
      </w:pPr>
      <w:r w:rsidRPr="00DA20EE">
        <w:t>ECG changes</w:t>
      </w:r>
    </w:p>
    <w:p w14:paraId="197B245A" w14:textId="77777777" w:rsidR="00662491" w:rsidRPr="00DA20EE" w:rsidRDefault="00662491" w:rsidP="00662491">
      <w:pPr>
        <w:pStyle w:val="ListBullet"/>
      </w:pPr>
      <w:r w:rsidRPr="00DA20EE">
        <w:t>Seizure</w:t>
      </w:r>
    </w:p>
    <w:p w14:paraId="242E51A9" w14:textId="77777777" w:rsidR="00662491" w:rsidRPr="00DA20EE" w:rsidRDefault="00662491" w:rsidP="00662491">
      <w:pPr>
        <w:pStyle w:val="ListBullet"/>
      </w:pPr>
      <w:r w:rsidRPr="00DA20EE">
        <w:t>Respiratory depression</w:t>
      </w:r>
    </w:p>
    <w:p w14:paraId="1FFF8661" w14:textId="77777777" w:rsidR="00662491" w:rsidRPr="00DA20EE" w:rsidRDefault="00662491" w:rsidP="00662491">
      <w:pPr>
        <w:pStyle w:val="ListBullet"/>
      </w:pPr>
      <w:proofErr w:type="spellStart"/>
      <w:r w:rsidRPr="00DA20EE">
        <w:t>Methaemoglobinaemia</w:t>
      </w:r>
      <w:proofErr w:type="spellEnd"/>
      <w:r w:rsidRPr="00DA20EE">
        <w:t xml:space="preserve"> (Patients with reduced enzyme capacity are more susceptible)</w:t>
      </w:r>
    </w:p>
    <w:p w14:paraId="28D303BE" w14:textId="77777777" w:rsidR="00662491" w:rsidRPr="00DA20EE" w:rsidRDefault="00662491" w:rsidP="00662491">
      <w:pPr>
        <w:pStyle w:val="ListBullet"/>
      </w:pPr>
      <w:r w:rsidRPr="00DA20EE">
        <w:t>Metabolic acidosis</w:t>
      </w:r>
    </w:p>
    <w:p w14:paraId="424354F5" w14:textId="77777777" w:rsidR="00662491" w:rsidRPr="00DA20EE" w:rsidRDefault="00662491" w:rsidP="00662491">
      <w:pPr>
        <w:pStyle w:val="ListBullet"/>
      </w:pPr>
      <w:r w:rsidRPr="00DA20EE">
        <w:t>Cardiac arrest</w:t>
      </w:r>
    </w:p>
    <w:p w14:paraId="2C1F190A" w14:textId="77777777" w:rsidR="00662491" w:rsidRDefault="00662491" w:rsidP="00662491">
      <w:pPr>
        <w:pStyle w:val="ListBullet"/>
      </w:pPr>
      <w:r w:rsidRPr="00DA20EE">
        <w:t>Coma</w:t>
      </w:r>
      <w:r>
        <w:t>.</w:t>
      </w:r>
    </w:p>
    <w:p w14:paraId="40106CE6" w14:textId="77777777" w:rsidR="00662491" w:rsidRDefault="00662491" w:rsidP="00662491"/>
    <w:p w14:paraId="512E8C58" w14:textId="77777777" w:rsidR="00662491" w:rsidRPr="00DA20EE" w:rsidRDefault="00662491" w:rsidP="00662491">
      <w:pPr>
        <w:pBdr>
          <w:top w:val="single" w:sz="4" w:space="1" w:color="auto"/>
          <w:left w:val="single" w:sz="4" w:space="4" w:color="auto"/>
          <w:bottom w:val="single" w:sz="4" w:space="1" w:color="auto"/>
          <w:right w:val="single" w:sz="4" w:space="4" w:color="auto"/>
        </w:pBdr>
        <w:rPr>
          <w:b/>
        </w:rPr>
      </w:pPr>
      <w:r w:rsidRPr="00DA20EE">
        <w:rPr>
          <w:b/>
        </w:rPr>
        <w:t>Treatment of local anaesthetic toxicity</w:t>
      </w:r>
      <w:r>
        <w:rPr>
          <w:b/>
        </w:rPr>
        <w:t xml:space="preserve"> – cardiac arrest</w:t>
      </w:r>
    </w:p>
    <w:p w14:paraId="01CAEF2E" w14:textId="77777777" w:rsidR="00662491" w:rsidRPr="00DA20EE" w:rsidRDefault="00662491" w:rsidP="00662491">
      <w:pPr>
        <w:pBdr>
          <w:top w:val="single" w:sz="4" w:space="1" w:color="auto"/>
          <w:left w:val="single" w:sz="4" w:space="4" w:color="auto"/>
          <w:bottom w:val="single" w:sz="4" w:space="1" w:color="auto"/>
          <w:right w:val="single" w:sz="4" w:space="4" w:color="auto"/>
        </w:pBdr>
      </w:pPr>
      <w:r w:rsidRPr="00DA20EE">
        <w:t xml:space="preserve">Patients suffering cardiac arrest due to </w:t>
      </w:r>
      <w:r>
        <w:rPr>
          <w:rFonts w:asciiTheme="minorHAnsi" w:hAnsiTheme="minorHAnsi" w:cstheme="minorHAnsi"/>
          <w:szCs w:val="24"/>
        </w:rPr>
        <w:t>lidocaine</w:t>
      </w:r>
      <w:r w:rsidRPr="00DA20EE">
        <w:rPr>
          <w:rFonts w:asciiTheme="minorHAnsi" w:hAnsiTheme="minorHAnsi" w:cstheme="minorHAnsi"/>
          <w:szCs w:val="24"/>
        </w:rPr>
        <w:t xml:space="preserve"> </w:t>
      </w:r>
      <w:r w:rsidRPr="00DA20EE">
        <w:t xml:space="preserve">toxicity may benefit from </w:t>
      </w:r>
      <w:r w:rsidRPr="00390406">
        <w:rPr>
          <w:b/>
        </w:rPr>
        <w:t>intravenous lipid rescue therapy</w:t>
      </w:r>
      <w:r>
        <w:t xml:space="preserve"> (</w:t>
      </w:r>
      <w:proofErr w:type="spellStart"/>
      <w:r w:rsidRPr="00DA20EE">
        <w:t>Clinoleic</w:t>
      </w:r>
      <w:proofErr w:type="spellEnd"/>
      <w:r w:rsidRPr="00DA20EE">
        <w:t>®</w:t>
      </w:r>
      <w:r>
        <w:t xml:space="preserve"> soya and olive oil fat emulsion). Stock </w:t>
      </w:r>
      <w:proofErr w:type="gramStart"/>
      <w:r>
        <w:t>is located in</w:t>
      </w:r>
      <w:proofErr w:type="gramEnd"/>
      <w:r>
        <w:t xml:space="preserve"> theatres and ICU and rescue therapy</w:t>
      </w:r>
      <w:r w:rsidRPr="00DA20EE">
        <w:t xml:space="preserve"> should be considered early in clinical management</w:t>
      </w:r>
      <w:r>
        <w:rPr>
          <w:vertAlign w:val="superscript"/>
        </w:rPr>
        <w:t>7</w:t>
      </w:r>
      <w:r w:rsidRPr="00DA20EE">
        <w:t>.</w:t>
      </w:r>
      <w:r>
        <w:t xml:space="preserve"> </w:t>
      </w:r>
    </w:p>
    <w:p w14:paraId="614657B4" w14:textId="77777777" w:rsidR="00662491" w:rsidRDefault="00662491" w:rsidP="00662491"/>
    <w:p w14:paraId="629F83BC" w14:textId="77777777" w:rsidR="00662491" w:rsidRPr="00DA20EE" w:rsidRDefault="00662491" w:rsidP="00662491">
      <w:r w:rsidRPr="00DA20EE">
        <w:t xml:space="preserve">If toxicity is suspected </w:t>
      </w:r>
    </w:p>
    <w:p w14:paraId="1C8DB0FF" w14:textId="77777777" w:rsidR="00662491" w:rsidRPr="00DA20EE" w:rsidRDefault="00662491" w:rsidP="00662491">
      <w:pPr>
        <w:pStyle w:val="ListParagraph"/>
        <w:numPr>
          <w:ilvl w:val="0"/>
          <w:numId w:val="23"/>
        </w:numPr>
      </w:pPr>
      <w:r w:rsidRPr="00DA20EE">
        <w:t xml:space="preserve">Activate </w:t>
      </w:r>
      <w:r>
        <w:t xml:space="preserve">a </w:t>
      </w:r>
      <w:r w:rsidRPr="00DA20EE">
        <w:t>Code Blue</w:t>
      </w:r>
    </w:p>
    <w:p w14:paraId="02CBD71F" w14:textId="77777777" w:rsidR="00662491" w:rsidRPr="00DA20EE" w:rsidRDefault="00662491" w:rsidP="00662491">
      <w:pPr>
        <w:pStyle w:val="ListParagraph"/>
        <w:numPr>
          <w:ilvl w:val="0"/>
          <w:numId w:val="23"/>
        </w:numPr>
      </w:pPr>
      <w:r w:rsidRPr="00DA20EE">
        <w:t xml:space="preserve">Consult </w:t>
      </w:r>
      <w:hyperlink r:id="rId13" w:history="1">
        <w:proofErr w:type="spellStart"/>
        <w:r w:rsidRPr="00743089">
          <w:rPr>
            <w:rStyle w:val="Hyperlink"/>
          </w:rPr>
          <w:t>Toxinz</w:t>
        </w:r>
        <w:proofErr w:type="spellEnd"/>
      </w:hyperlink>
    </w:p>
    <w:p w14:paraId="61086161" w14:textId="77777777" w:rsidR="00662491" w:rsidRPr="00DA20EE" w:rsidRDefault="00662491" w:rsidP="00662491">
      <w:pPr>
        <w:pStyle w:val="ListParagraph"/>
        <w:numPr>
          <w:ilvl w:val="0"/>
          <w:numId w:val="23"/>
        </w:numPr>
      </w:pPr>
      <w:r w:rsidRPr="00DA20EE">
        <w:t>Call Poisons Information Line 24 hours via phone 13 11 26</w:t>
      </w:r>
    </w:p>
    <w:p w14:paraId="198CAB06" w14:textId="77777777" w:rsidR="00662491" w:rsidRDefault="00662491" w:rsidP="00662491"/>
    <w:p w14:paraId="4489B50F" w14:textId="77777777" w:rsidR="00662491" w:rsidRPr="00BA57BA" w:rsidRDefault="00DB1D1B" w:rsidP="00662491">
      <w:pPr>
        <w:jc w:val="right"/>
        <w:rPr>
          <w:rFonts w:cs="Arial"/>
          <w:i/>
          <w:szCs w:val="24"/>
        </w:rPr>
      </w:pPr>
      <w:hyperlink w:anchor="Contents" w:history="1">
        <w:r w:rsidR="00662491" w:rsidRPr="00C91F3F">
          <w:rPr>
            <w:rStyle w:val="Hyperlink"/>
            <w:rFonts w:eastAsiaTheme="majorEastAsia" w:cs="Arial"/>
            <w:i/>
            <w:szCs w:val="24"/>
          </w:rPr>
          <w:t>Back to Table of Contents</w:t>
        </w:r>
      </w:hyperlink>
      <w:r w:rsidR="0066249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336EB608" w14:textId="77777777" w:rsidTr="00C44682">
        <w:trPr>
          <w:cantSplit/>
          <w:trHeight w:val="285"/>
        </w:trPr>
        <w:tc>
          <w:tcPr>
            <w:tcW w:w="9158" w:type="dxa"/>
            <w:shd w:val="clear" w:color="auto" w:fill="D9D9D9" w:themeFill="background1" w:themeFillShade="D9"/>
          </w:tcPr>
          <w:p w14:paraId="71F3DCE8" w14:textId="77777777" w:rsidR="00662491" w:rsidRPr="00CD1C0E" w:rsidRDefault="00662491" w:rsidP="00C44682">
            <w:pPr>
              <w:pStyle w:val="Heading1"/>
            </w:pPr>
            <w:bookmarkStart w:id="23" w:name="_Toc163213809"/>
            <w:r>
              <w:t>Evaluation</w:t>
            </w:r>
            <w:bookmarkEnd w:id="23"/>
            <w:r>
              <w:t xml:space="preserve"> </w:t>
            </w:r>
          </w:p>
        </w:tc>
      </w:tr>
    </w:tbl>
    <w:p w14:paraId="394A0D39" w14:textId="77777777" w:rsidR="00662491" w:rsidRDefault="00662491" w:rsidP="00662491">
      <w:pPr>
        <w:pStyle w:val="Default"/>
        <w:rPr>
          <w:rFonts w:ascii="Calibri" w:hAnsi="Calibri" w:cs="Arial"/>
          <w:i/>
          <w:color w:val="auto"/>
          <w:lang w:eastAsia="en-US"/>
        </w:rPr>
      </w:pPr>
    </w:p>
    <w:p w14:paraId="68EA2603" w14:textId="77777777" w:rsidR="00662491" w:rsidRDefault="00662491" w:rsidP="00662491">
      <w:pPr>
        <w:pStyle w:val="Default"/>
        <w:rPr>
          <w:rFonts w:ascii="Calibri" w:hAnsi="Calibri" w:cs="Arial"/>
          <w:b/>
          <w:bCs/>
          <w:iCs/>
          <w:color w:val="auto"/>
          <w:lang w:eastAsia="en-US"/>
        </w:rPr>
      </w:pPr>
      <w:r>
        <w:rPr>
          <w:rFonts w:ascii="Calibri" w:hAnsi="Calibri" w:cs="Arial"/>
          <w:b/>
          <w:bCs/>
          <w:iCs/>
          <w:color w:val="auto"/>
          <w:lang w:eastAsia="en-US"/>
        </w:rPr>
        <w:t>Outcome</w:t>
      </w:r>
    </w:p>
    <w:p w14:paraId="79C126EA" w14:textId="77777777" w:rsidR="00662491" w:rsidRDefault="00662491" w:rsidP="00662491">
      <w:pPr>
        <w:pStyle w:val="Default"/>
        <w:rPr>
          <w:rFonts w:asciiTheme="minorHAnsi" w:hAnsiTheme="minorHAnsi" w:cstheme="minorHAnsi"/>
        </w:rPr>
      </w:pPr>
      <w:r>
        <w:rPr>
          <w:rFonts w:asciiTheme="minorHAnsi" w:hAnsiTheme="minorHAnsi" w:cstheme="minorHAnsi"/>
        </w:rPr>
        <w:t>This guideline will ensure the safe prescribing and administration of lidocaine infusions for headache and reduce the risk of adverse effects through appropriate monitoring.</w:t>
      </w:r>
    </w:p>
    <w:p w14:paraId="01FED972" w14:textId="77777777" w:rsidR="00662491" w:rsidRDefault="00662491" w:rsidP="00662491">
      <w:pPr>
        <w:pStyle w:val="Default"/>
        <w:rPr>
          <w:rFonts w:ascii="Calibri" w:hAnsi="Calibri" w:cs="Arial"/>
          <w:b/>
          <w:bCs/>
          <w:iCs/>
          <w:color w:val="auto"/>
          <w:lang w:eastAsia="en-US"/>
        </w:rPr>
      </w:pPr>
    </w:p>
    <w:p w14:paraId="28E89666" w14:textId="77777777" w:rsidR="00662491" w:rsidRDefault="00662491" w:rsidP="00662491">
      <w:pPr>
        <w:pStyle w:val="Default"/>
        <w:rPr>
          <w:rFonts w:ascii="Calibri" w:hAnsi="Calibri" w:cs="Arial"/>
          <w:b/>
          <w:bCs/>
          <w:iCs/>
          <w:color w:val="auto"/>
          <w:lang w:eastAsia="en-US"/>
        </w:rPr>
      </w:pPr>
      <w:r>
        <w:rPr>
          <w:rFonts w:ascii="Calibri" w:hAnsi="Calibri" w:cs="Arial"/>
          <w:b/>
          <w:bCs/>
          <w:iCs/>
          <w:color w:val="auto"/>
          <w:lang w:eastAsia="en-US"/>
        </w:rPr>
        <w:t>Measures</w:t>
      </w:r>
    </w:p>
    <w:p w14:paraId="7DDE926E" w14:textId="77777777" w:rsidR="00662491" w:rsidRPr="00651198" w:rsidRDefault="00662491" w:rsidP="00662491">
      <w:pPr>
        <w:pStyle w:val="Default"/>
        <w:rPr>
          <w:rFonts w:asciiTheme="minorHAnsi" w:hAnsiTheme="minorHAnsi" w:cstheme="minorHAnsi"/>
        </w:rPr>
      </w:pPr>
      <w:r>
        <w:rPr>
          <w:rFonts w:asciiTheme="minorHAnsi" w:hAnsiTheme="minorHAnsi" w:cstheme="minorHAnsi"/>
        </w:rPr>
        <w:t xml:space="preserve">Annual </w:t>
      </w:r>
      <w:r w:rsidRPr="00651198">
        <w:rPr>
          <w:rFonts w:asciiTheme="minorHAnsi" w:hAnsiTheme="minorHAnsi" w:cstheme="minorHAnsi"/>
        </w:rPr>
        <w:t xml:space="preserve">audits of compliance with this </w:t>
      </w:r>
      <w:r>
        <w:rPr>
          <w:rFonts w:asciiTheme="minorHAnsi" w:hAnsiTheme="minorHAnsi" w:cstheme="minorHAnsi"/>
        </w:rPr>
        <w:t>guideline</w:t>
      </w:r>
      <w:r w:rsidRPr="00651198">
        <w:rPr>
          <w:rFonts w:asciiTheme="minorHAnsi" w:hAnsiTheme="minorHAnsi" w:cstheme="minorHAnsi"/>
        </w:rPr>
        <w:t xml:space="preserve"> and patient outcomes will be </w:t>
      </w:r>
      <w:proofErr w:type="spellStart"/>
      <w:proofErr w:type="gramStart"/>
      <w:r w:rsidRPr="00651198">
        <w:rPr>
          <w:rFonts w:asciiTheme="minorHAnsi" w:hAnsiTheme="minorHAnsi" w:cstheme="minorHAnsi"/>
        </w:rPr>
        <w:t>conducted</w:t>
      </w:r>
      <w:r>
        <w:rPr>
          <w:rFonts w:asciiTheme="minorHAnsi" w:hAnsiTheme="minorHAnsi" w:cstheme="minorHAnsi"/>
        </w:rPr>
        <w:t>.These</w:t>
      </w:r>
      <w:proofErr w:type="spellEnd"/>
      <w:proofErr w:type="gramEnd"/>
      <w:r>
        <w:rPr>
          <w:rFonts w:asciiTheme="minorHAnsi" w:hAnsiTheme="minorHAnsi" w:cstheme="minorHAnsi"/>
        </w:rPr>
        <w:t xml:space="preserve"> will be reported to the Medication Safety Committee. </w:t>
      </w:r>
    </w:p>
    <w:p w14:paraId="5EA492D3" w14:textId="77777777" w:rsidR="00662491" w:rsidRDefault="00662491" w:rsidP="00662491">
      <w:pPr>
        <w:rPr>
          <w:i/>
          <w:iCs/>
          <w:szCs w:val="24"/>
        </w:rPr>
      </w:pPr>
    </w:p>
    <w:p w14:paraId="6AA19512" w14:textId="77777777" w:rsidR="00662491" w:rsidRDefault="00DB1D1B" w:rsidP="00662491">
      <w:pPr>
        <w:jc w:val="right"/>
      </w:pPr>
      <w:hyperlink r:id="rId14" w:anchor="Contents" w:history="1">
        <w:r w:rsidR="00662491">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72339CAF" w14:textId="77777777" w:rsidTr="00C44682">
        <w:trPr>
          <w:cantSplit/>
          <w:trHeight w:val="285"/>
        </w:trPr>
        <w:tc>
          <w:tcPr>
            <w:tcW w:w="9158" w:type="dxa"/>
            <w:shd w:val="clear" w:color="auto" w:fill="D9D9D9" w:themeFill="background1" w:themeFillShade="D9"/>
          </w:tcPr>
          <w:p w14:paraId="53E0CD5F" w14:textId="77777777" w:rsidR="00662491" w:rsidRPr="00CD1C0E" w:rsidRDefault="00662491" w:rsidP="00C44682">
            <w:pPr>
              <w:pStyle w:val="Heading1"/>
            </w:pPr>
            <w:bookmarkStart w:id="24" w:name="_Toc389473287"/>
            <w:bookmarkStart w:id="25" w:name="_Toc393203347"/>
            <w:bookmarkStart w:id="26" w:name="_Toc163213810"/>
            <w:r>
              <w:t>Related Policies, Procedures</w:t>
            </w:r>
            <w:bookmarkEnd w:id="24"/>
            <w:r>
              <w:t>, Guidelines and Legislation</w:t>
            </w:r>
            <w:bookmarkEnd w:id="25"/>
            <w:bookmarkEnd w:id="26"/>
          </w:p>
        </w:tc>
      </w:tr>
    </w:tbl>
    <w:p w14:paraId="410EEA59" w14:textId="77777777" w:rsidR="00662491" w:rsidRDefault="00662491" w:rsidP="00662491">
      <w:pPr>
        <w:rPr>
          <w:b/>
        </w:rPr>
      </w:pPr>
    </w:p>
    <w:p w14:paraId="74412D13" w14:textId="77777777" w:rsidR="00662491" w:rsidRPr="006743DB" w:rsidRDefault="00662491" w:rsidP="00662491">
      <w:pPr>
        <w:rPr>
          <w:b/>
        </w:rPr>
      </w:pPr>
      <w:r w:rsidRPr="006743DB">
        <w:rPr>
          <w:b/>
        </w:rPr>
        <w:t>Policies</w:t>
      </w:r>
    </w:p>
    <w:p w14:paraId="036B1C74" w14:textId="77777777" w:rsidR="00662491" w:rsidRPr="0009385C" w:rsidRDefault="00662491" w:rsidP="00662491">
      <w:pPr>
        <w:pStyle w:val="ListBullet"/>
        <w:rPr>
          <w:rFonts w:cs="Arial"/>
          <w:szCs w:val="24"/>
        </w:rPr>
      </w:pPr>
      <w:r w:rsidRPr="0009385C">
        <w:lastRenderedPageBreak/>
        <w:t xml:space="preserve">Medication Handling </w:t>
      </w:r>
    </w:p>
    <w:p w14:paraId="3F2F4D01" w14:textId="77777777" w:rsidR="00662491" w:rsidRPr="0009385C" w:rsidRDefault="00662491" w:rsidP="00662491">
      <w:pPr>
        <w:pStyle w:val="ListBullet"/>
        <w:rPr>
          <w:rFonts w:cs="Arial"/>
          <w:szCs w:val="24"/>
        </w:rPr>
      </w:pPr>
      <w:r>
        <w:t xml:space="preserve">Informed Consent – Clinical </w:t>
      </w:r>
    </w:p>
    <w:p w14:paraId="14AA086A" w14:textId="77777777" w:rsidR="00662491" w:rsidRDefault="00662491" w:rsidP="00662491">
      <w:pPr>
        <w:rPr>
          <w:rFonts w:cs="Arial"/>
          <w:iCs/>
          <w:szCs w:val="24"/>
        </w:rPr>
      </w:pPr>
    </w:p>
    <w:p w14:paraId="5A11974F" w14:textId="77777777" w:rsidR="00662491" w:rsidRDefault="00662491" w:rsidP="00662491">
      <w:pPr>
        <w:rPr>
          <w:rFonts w:cs="Arial"/>
          <w:b/>
          <w:bCs/>
          <w:iCs/>
          <w:szCs w:val="24"/>
        </w:rPr>
      </w:pPr>
      <w:r>
        <w:rPr>
          <w:rFonts w:cs="Arial"/>
          <w:b/>
          <w:bCs/>
          <w:iCs/>
          <w:szCs w:val="24"/>
        </w:rPr>
        <w:t>Procedure</w:t>
      </w:r>
    </w:p>
    <w:p w14:paraId="6FE69281" w14:textId="77777777" w:rsidR="00662491" w:rsidRDefault="00662491" w:rsidP="00662491">
      <w:pPr>
        <w:pStyle w:val="ListBullet"/>
      </w:pPr>
      <w:r>
        <w:t>Patient Identification and Procedure Matching</w:t>
      </w:r>
    </w:p>
    <w:p w14:paraId="7B8F52C6" w14:textId="77777777" w:rsidR="00662491" w:rsidRDefault="00662491" w:rsidP="00662491">
      <w:pPr>
        <w:pStyle w:val="ListBullet"/>
      </w:pPr>
      <w:r>
        <w:t>NCH -Vital Signs and Early Warning Scores</w:t>
      </w:r>
    </w:p>
    <w:p w14:paraId="44677622" w14:textId="77777777" w:rsidR="00662491" w:rsidRDefault="00662491" w:rsidP="00662491">
      <w:pPr>
        <w:pStyle w:val="ListBullet"/>
      </w:pPr>
      <w:r>
        <w:t>UCH – Vital Signs and Early Warning Scores</w:t>
      </w:r>
    </w:p>
    <w:p w14:paraId="502BC819" w14:textId="77777777" w:rsidR="00662491" w:rsidRPr="0009385C" w:rsidRDefault="00662491" w:rsidP="00662491">
      <w:pPr>
        <w:pStyle w:val="ListBullet"/>
      </w:pPr>
      <w:r>
        <w:t>Vital Signs and Early Warning Scores – The Canberra Hospital Inpatients</w:t>
      </w:r>
    </w:p>
    <w:p w14:paraId="3AA84771" w14:textId="77777777" w:rsidR="00662491" w:rsidRPr="00141D43" w:rsidRDefault="00662491" w:rsidP="00662491">
      <w:pPr>
        <w:pStyle w:val="ListBullet"/>
        <w:rPr>
          <w:rStyle w:val="cf01"/>
          <w:rFonts w:ascii="Calibri" w:hAnsi="Calibri" w:cs="Times New Roman"/>
          <w:b/>
          <w:bCs/>
          <w:sz w:val="24"/>
          <w:szCs w:val="20"/>
        </w:rPr>
      </w:pPr>
      <w:r w:rsidRPr="0009385C">
        <w:rPr>
          <w:rStyle w:val="cf01"/>
          <w:rFonts w:asciiTheme="minorHAnsi" w:hAnsiTheme="minorHAnsi" w:cstheme="minorHAnsi"/>
          <w:sz w:val="24"/>
          <w:szCs w:val="24"/>
        </w:rPr>
        <w:t>National Standard for User applied Labelling of Injectable Medicines, Fluids and Lines</w:t>
      </w:r>
    </w:p>
    <w:p w14:paraId="64C98427" w14:textId="77777777" w:rsidR="00662491" w:rsidRPr="0009385C" w:rsidRDefault="00662491" w:rsidP="00662491">
      <w:pPr>
        <w:pStyle w:val="ListBullet"/>
        <w:rPr>
          <w:b/>
          <w:bCs/>
        </w:rPr>
      </w:pPr>
      <w:r>
        <w:rPr>
          <w:rStyle w:val="cf01"/>
          <w:rFonts w:asciiTheme="minorHAnsi" w:hAnsiTheme="minorHAnsi" w:cstheme="minorHAnsi"/>
          <w:sz w:val="24"/>
          <w:szCs w:val="24"/>
        </w:rPr>
        <w:t xml:space="preserve">NCH Medication Handling </w:t>
      </w:r>
    </w:p>
    <w:p w14:paraId="21DFBEA9" w14:textId="77777777" w:rsidR="00662491" w:rsidRPr="00B61F35" w:rsidRDefault="00662491" w:rsidP="00662491"/>
    <w:p w14:paraId="1FA221DA" w14:textId="77777777" w:rsidR="00662491" w:rsidRPr="006743DB" w:rsidRDefault="00662491" w:rsidP="00662491">
      <w:pPr>
        <w:rPr>
          <w:b/>
        </w:rPr>
      </w:pPr>
      <w:r w:rsidRPr="006743DB">
        <w:rPr>
          <w:b/>
        </w:rPr>
        <w:t>Legislation</w:t>
      </w:r>
    </w:p>
    <w:p w14:paraId="29F97479" w14:textId="77777777" w:rsidR="00662491" w:rsidRPr="0009385C" w:rsidRDefault="00662491" w:rsidP="00662491">
      <w:pPr>
        <w:pStyle w:val="ListBullet"/>
        <w:rPr>
          <w:i/>
          <w:iCs/>
        </w:rPr>
      </w:pPr>
      <w:r w:rsidRPr="0009385C">
        <w:rPr>
          <w:i/>
          <w:iCs/>
        </w:rPr>
        <w:t>Medicines, Poisons and Therapeutics Goods Act 2008</w:t>
      </w:r>
    </w:p>
    <w:p w14:paraId="61F61C59" w14:textId="77777777" w:rsidR="00662491" w:rsidRDefault="00662491" w:rsidP="00662491">
      <w:pPr>
        <w:pStyle w:val="ListBullet"/>
        <w:rPr>
          <w:i/>
          <w:iCs/>
        </w:rPr>
      </w:pPr>
      <w:r w:rsidRPr="0009385C">
        <w:rPr>
          <w:i/>
          <w:iCs/>
        </w:rPr>
        <w:t>Human Rights Act 2004</w:t>
      </w:r>
    </w:p>
    <w:p w14:paraId="39AA6CBB" w14:textId="77777777" w:rsidR="00662491" w:rsidRPr="0009385C" w:rsidRDefault="00662491" w:rsidP="00662491">
      <w:pPr>
        <w:pStyle w:val="ListBullet"/>
        <w:rPr>
          <w:i/>
          <w:iCs/>
        </w:rPr>
      </w:pPr>
      <w:r>
        <w:rPr>
          <w:i/>
          <w:iCs/>
        </w:rPr>
        <w:t>Health Records (Privacy and Access) Act 1997</w:t>
      </w:r>
    </w:p>
    <w:p w14:paraId="5A1A1913" w14:textId="77777777" w:rsidR="00662491" w:rsidRDefault="00662491" w:rsidP="00662491">
      <w:pPr>
        <w:rPr>
          <w:rFonts w:cs="Arial"/>
          <w:b/>
          <w:bCs/>
          <w:iCs/>
          <w:szCs w:val="24"/>
        </w:rPr>
      </w:pPr>
    </w:p>
    <w:p w14:paraId="3640D142" w14:textId="77777777" w:rsidR="00662491" w:rsidRDefault="00662491" w:rsidP="00662491">
      <w:pPr>
        <w:rPr>
          <w:rFonts w:cs="Arial"/>
          <w:b/>
          <w:bCs/>
          <w:iCs/>
          <w:szCs w:val="24"/>
        </w:rPr>
      </w:pPr>
      <w:r>
        <w:rPr>
          <w:rFonts w:cs="Arial"/>
          <w:b/>
          <w:bCs/>
          <w:iCs/>
          <w:szCs w:val="24"/>
        </w:rPr>
        <w:t>Other</w:t>
      </w:r>
    </w:p>
    <w:p w14:paraId="6FA8A545" w14:textId="77777777" w:rsidR="00662491" w:rsidRPr="0009385C" w:rsidRDefault="00662491" w:rsidP="00662491">
      <w:pPr>
        <w:pStyle w:val="ListBullet"/>
      </w:pPr>
      <w:r>
        <w:t>Australian Charter of Healthcare Rights</w:t>
      </w:r>
    </w:p>
    <w:p w14:paraId="33D92F2B" w14:textId="77777777" w:rsidR="00662491" w:rsidRDefault="00662491" w:rsidP="00662491">
      <w:pPr>
        <w:ind w:left="720"/>
        <w:rPr>
          <w:rFonts w:cs="Arial"/>
          <w:i/>
          <w:szCs w:val="24"/>
        </w:rPr>
      </w:pPr>
    </w:p>
    <w:p w14:paraId="2DF35C10" w14:textId="77777777" w:rsidR="00662491" w:rsidRPr="00CB2792" w:rsidRDefault="00DB1D1B" w:rsidP="00662491">
      <w:pPr>
        <w:pStyle w:val="ListParagraph"/>
        <w:jc w:val="right"/>
        <w:rPr>
          <w:rStyle w:val="Hyperlink"/>
          <w:rFonts w:eastAsiaTheme="majorEastAsia" w:cs="Arial"/>
          <w:szCs w:val="24"/>
        </w:rPr>
      </w:pPr>
      <w:hyperlink w:anchor="Contents" w:history="1">
        <w:r w:rsidR="00662491" w:rsidRPr="00C91F3F">
          <w:rPr>
            <w:rStyle w:val="Hyperlink"/>
            <w:rFonts w:eastAsiaTheme="majorEastAsia" w:cs="Arial"/>
            <w:i/>
            <w:szCs w:val="24"/>
          </w:rPr>
          <w:t>Back to Table of Contents</w:t>
        </w:r>
      </w:hyperlink>
    </w:p>
    <w:p w14:paraId="6C1FAAAD" w14:textId="77777777" w:rsidR="00662491" w:rsidRPr="00DA3910" w:rsidRDefault="00662491" w:rsidP="00662491">
      <w:pPr>
        <w:pStyle w:val="ListParagraph"/>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1B2BAC" w14:paraId="57723D7D" w14:textId="77777777" w:rsidTr="00C44682">
        <w:trPr>
          <w:cantSplit/>
          <w:trHeight w:val="285"/>
        </w:trPr>
        <w:tc>
          <w:tcPr>
            <w:tcW w:w="9158" w:type="dxa"/>
            <w:shd w:val="clear" w:color="auto" w:fill="D9D9D9" w:themeFill="background1" w:themeFillShade="D9"/>
          </w:tcPr>
          <w:p w14:paraId="15E39906" w14:textId="77777777" w:rsidR="00662491" w:rsidRPr="002E3BFE" w:rsidRDefault="00662491" w:rsidP="00C44682">
            <w:pPr>
              <w:pStyle w:val="Heading1"/>
              <w:rPr>
                <w:szCs w:val="24"/>
              </w:rPr>
            </w:pPr>
            <w:bookmarkStart w:id="27" w:name="_Toc163213811"/>
            <w:r>
              <w:rPr>
                <w:szCs w:val="24"/>
              </w:rPr>
              <w:t>References</w:t>
            </w:r>
            <w:bookmarkEnd w:id="27"/>
          </w:p>
        </w:tc>
      </w:tr>
    </w:tbl>
    <w:p w14:paraId="54ADDB18" w14:textId="77777777" w:rsidR="00662491" w:rsidRPr="00C74070" w:rsidRDefault="00662491" w:rsidP="00662491">
      <w:pPr>
        <w:pStyle w:val="ListParagraph"/>
        <w:numPr>
          <w:ilvl w:val="0"/>
          <w:numId w:val="25"/>
        </w:numPr>
        <w:rPr>
          <w:szCs w:val="24"/>
        </w:rPr>
      </w:pPr>
      <w:r w:rsidRPr="00C74070">
        <w:rPr>
          <w:szCs w:val="24"/>
        </w:rPr>
        <w:t xml:space="preserve">Medicines Regulation Division. Australian Government Department of Health Therapeutic Goods Administration. Updating medicine ingredient names - list of affected ingredients. 2016 Nov 28. [cited 2018 Nov 18]. Available from: </w:t>
      </w:r>
      <w:hyperlink r:id="rId15" w:history="1">
        <w:r w:rsidRPr="00C74070">
          <w:rPr>
            <w:rStyle w:val="Hyperlink"/>
            <w:szCs w:val="24"/>
          </w:rPr>
          <w:t>https://www.tga.gov.au/updating-medicine-ingredient-names-list-affected-ingredients</w:t>
        </w:r>
      </w:hyperlink>
      <w:r w:rsidRPr="00C74070">
        <w:rPr>
          <w:szCs w:val="24"/>
        </w:rPr>
        <w:t xml:space="preserve"> </w:t>
      </w:r>
    </w:p>
    <w:p w14:paraId="2CBB1D22" w14:textId="77777777" w:rsidR="00662491" w:rsidRPr="00BD2573" w:rsidRDefault="00662491" w:rsidP="00662491">
      <w:pPr>
        <w:pStyle w:val="ListParagraph"/>
        <w:numPr>
          <w:ilvl w:val="0"/>
          <w:numId w:val="25"/>
        </w:numPr>
        <w:jc w:val="both"/>
        <w:rPr>
          <w:szCs w:val="24"/>
        </w:rPr>
      </w:pPr>
      <w:proofErr w:type="spellStart"/>
      <w:r>
        <w:rPr>
          <w:szCs w:val="24"/>
        </w:rPr>
        <w:t>Marmura</w:t>
      </w:r>
      <w:proofErr w:type="spellEnd"/>
      <w:r>
        <w:rPr>
          <w:szCs w:val="24"/>
        </w:rPr>
        <w:t>, M., et al.</w:t>
      </w:r>
      <w:r w:rsidRPr="00E60383">
        <w:rPr>
          <w:szCs w:val="24"/>
        </w:rPr>
        <w:t xml:space="preserve"> Intravenous lidocaine in the treatment of refractory headache: a retrospective case series. Headache: The Journal of Head and Face Pain</w:t>
      </w:r>
      <w:r>
        <w:rPr>
          <w:szCs w:val="24"/>
        </w:rPr>
        <w:t>. 2009;49(2): 286-291.</w:t>
      </w:r>
    </w:p>
    <w:p w14:paraId="21596D08" w14:textId="77777777" w:rsidR="00662491" w:rsidRPr="00B43BDA" w:rsidRDefault="00662491" w:rsidP="00662491">
      <w:pPr>
        <w:pStyle w:val="ListParagraph"/>
        <w:numPr>
          <w:ilvl w:val="0"/>
          <w:numId w:val="25"/>
        </w:numPr>
        <w:jc w:val="both"/>
        <w:rPr>
          <w:szCs w:val="24"/>
        </w:rPr>
      </w:pPr>
      <w:r w:rsidRPr="00B43BDA">
        <w:rPr>
          <w:szCs w:val="24"/>
        </w:rPr>
        <w:t xml:space="preserve">Australian Medicines Handbook 2018 (online). Adelaide: Australian Medicines Handbook Pty Ltd; 2018 July. Available from: </w:t>
      </w:r>
      <w:hyperlink r:id="rId16" w:history="1">
        <w:r w:rsidRPr="00B43BDA">
          <w:rPr>
            <w:szCs w:val="24"/>
          </w:rPr>
          <w:t>https://amhonline.amh.net.au/</w:t>
        </w:r>
      </w:hyperlink>
    </w:p>
    <w:p w14:paraId="7EB890E9" w14:textId="77777777" w:rsidR="00662491" w:rsidRPr="00C74070" w:rsidRDefault="00662491" w:rsidP="00662491">
      <w:pPr>
        <w:pStyle w:val="ListParagraph"/>
        <w:numPr>
          <w:ilvl w:val="0"/>
          <w:numId w:val="25"/>
        </w:numPr>
        <w:rPr>
          <w:szCs w:val="24"/>
        </w:rPr>
      </w:pPr>
      <w:r>
        <w:rPr>
          <w:szCs w:val="24"/>
        </w:rPr>
        <w:t xml:space="preserve">MIMS online [Internet]. St Leonards (NSW): MIMS Australia; 2018. </w:t>
      </w:r>
      <w:proofErr w:type="spellStart"/>
      <w:r>
        <w:rPr>
          <w:szCs w:val="24"/>
        </w:rPr>
        <w:t>Xylocard</w:t>
      </w:r>
      <w:proofErr w:type="spellEnd"/>
      <w:r>
        <w:rPr>
          <w:szCs w:val="24"/>
        </w:rPr>
        <w:t xml:space="preserve">; [updated 2017 Aug: cited 2018 Oct 19] Available from </w:t>
      </w:r>
      <w:hyperlink r:id="rId17" w:history="1">
        <w:r w:rsidRPr="00792277">
          <w:rPr>
            <w:rStyle w:val="Hyperlink"/>
            <w:szCs w:val="24"/>
          </w:rPr>
          <w:t>https://www.mimsonline.com.au/Search/FullPI.aspx?ModuleName=Product%20Info&amp;searchKeyword=lignocaine&amp;PreviousPage=~/Search/QuickSearch.aspx&amp;SearchType=&amp;ID=1910002_2</w:t>
        </w:r>
      </w:hyperlink>
      <w:r>
        <w:rPr>
          <w:szCs w:val="24"/>
        </w:rPr>
        <w:t xml:space="preserve"> </w:t>
      </w:r>
    </w:p>
    <w:p w14:paraId="099C4604" w14:textId="77777777" w:rsidR="00662491" w:rsidRDefault="00662491" w:rsidP="00662491">
      <w:pPr>
        <w:pStyle w:val="ListParagraph"/>
        <w:numPr>
          <w:ilvl w:val="0"/>
          <w:numId w:val="25"/>
        </w:numPr>
        <w:jc w:val="both"/>
        <w:rPr>
          <w:szCs w:val="24"/>
        </w:rPr>
      </w:pPr>
      <w:r w:rsidRPr="00A11AFB">
        <w:rPr>
          <w:szCs w:val="24"/>
        </w:rPr>
        <w:t>Hand, PJ. and Stark, RJ. Intravenous lidocaine infusions for severe chronic daily headache. Medical Journal of Australia. 2000;172(4): 157-159.</w:t>
      </w:r>
    </w:p>
    <w:p w14:paraId="4B36B53C" w14:textId="77777777" w:rsidR="00662491" w:rsidRPr="005C66A7" w:rsidRDefault="00662491" w:rsidP="00662491">
      <w:pPr>
        <w:pStyle w:val="ListParagraph"/>
        <w:numPr>
          <w:ilvl w:val="0"/>
          <w:numId w:val="25"/>
        </w:numPr>
        <w:rPr>
          <w:szCs w:val="24"/>
        </w:rPr>
      </w:pPr>
      <w:r>
        <w:rPr>
          <w:szCs w:val="24"/>
        </w:rPr>
        <w:t xml:space="preserve">Williams, D., Stark R. Intravenous lignocaine (lidocaine) </w:t>
      </w:r>
      <w:r w:rsidRPr="005C66A7">
        <w:rPr>
          <w:szCs w:val="24"/>
        </w:rPr>
        <w:t xml:space="preserve">infusion for the treatment of chronic daily headache with </w:t>
      </w:r>
      <w:r>
        <w:rPr>
          <w:szCs w:val="24"/>
        </w:rPr>
        <w:t>substantial medication overuse.</w:t>
      </w:r>
      <w:r w:rsidRPr="005C66A7">
        <w:rPr>
          <w:szCs w:val="24"/>
        </w:rPr>
        <w:t xml:space="preserve"> Cephalalgia</w:t>
      </w:r>
      <w:r>
        <w:rPr>
          <w:szCs w:val="24"/>
        </w:rPr>
        <w:t>. 2003;</w:t>
      </w:r>
      <w:r w:rsidRPr="005C66A7">
        <w:rPr>
          <w:szCs w:val="24"/>
        </w:rPr>
        <w:t>23(10): 963-971.</w:t>
      </w:r>
    </w:p>
    <w:p w14:paraId="0CD397F7" w14:textId="77777777" w:rsidR="00662491" w:rsidRDefault="00662491" w:rsidP="00662491">
      <w:pPr>
        <w:pStyle w:val="ListParagraph"/>
        <w:numPr>
          <w:ilvl w:val="0"/>
          <w:numId w:val="25"/>
        </w:numPr>
        <w:rPr>
          <w:szCs w:val="24"/>
        </w:rPr>
      </w:pPr>
      <w:proofErr w:type="spellStart"/>
      <w:r w:rsidRPr="003D1E16">
        <w:rPr>
          <w:szCs w:val="24"/>
        </w:rPr>
        <w:t>To</w:t>
      </w:r>
      <w:r>
        <w:rPr>
          <w:szCs w:val="24"/>
        </w:rPr>
        <w:t>x</w:t>
      </w:r>
      <w:r w:rsidRPr="003D1E16">
        <w:rPr>
          <w:szCs w:val="24"/>
        </w:rPr>
        <w:t>inz</w:t>
      </w:r>
      <w:proofErr w:type="spellEnd"/>
      <w:r w:rsidRPr="003D1E16">
        <w:rPr>
          <w:szCs w:val="24"/>
        </w:rPr>
        <w:t xml:space="preserve"> Poisons Information [online] 2018. National Poisons Centre, New Zealand.</w:t>
      </w:r>
      <w:r>
        <w:rPr>
          <w:szCs w:val="24"/>
        </w:rPr>
        <w:t xml:space="preserve"> Available from toxinz.com.</w:t>
      </w:r>
    </w:p>
    <w:p w14:paraId="2C79980D" w14:textId="77777777" w:rsidR="00662491" w:rsidRPr="0009385C" w:rsidRDefault="00662491" w:rsidP="00662491">
      <w:pPr>
        <w:pStyle w:val="ListParagraph"/>
        <w:numPr>
          <w:ilvl w:val="0"/>
          <w:numId w:val="25"/>
        </w:numPr>
        <w:rPr>
          <w:szCs w:val="24"/>
        </w:rPr>
      </w:pPr>
      <w:r>
        <w:rPr>
          <w:szCs w:val="24"/>
        </w:rPr>
        <w:lastRenderedPageBreak/>
        <w:t xml:space="preserve">Lexicomp Drug Interactions. UpToDate </w:t>
      </w:r>
      <w:hyperlink r:id="rId18" w:anchor="di-druglist" w:history="1">
        <w:r w:rsidRPr="00C10AB0">
          <w:rPr>
            <w:rStyle w:val="Hyperlink"/>
            <w:szCs w:val="24"/>
          </w:rPr>
          <w:t>https://www.uptodate.com/drug-interactions/?source=responsive_home#di-druglist</w:t>
        </w:r>
      </w:hyperlink>
      <w:r>
        <w:rPr>
          <w:szCs w:val="24"/>
        </w:rPr>
        <w:t xml:space="preserve"> </w:t>
      </w:r>
    </w:p>
    <w:p w14:paraId="4FCB02D6" w14:textId="77777777" w:rsidR="00662491" w:rsidRDefault="00DB1D1B" w:rsidP="00662491">
      <w:pPr>
        <w:jc w:val="right"/>
      </w:pPr>
      <w:hyperlink w:anchor="Contents" w:history="1">
        <w:r w:rsidR="0066249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62491" w:rsidRPr="00CD1C0E" w14:paraId="2DB5EE74" w14:textId="77777777" w:rsidTr="00C44682">
        <w:trPr>
          <w:cantSplit/>
          <w:trHeight w:val="285"/>
        </w:trPr>
        <w:tc>
          <w:tcPr>
            <w:tcW w:w="9158" w:type="dxa"/>
            <w:shd w:val="clear" w:color="auto" w:fill="D9D9D9" w:themeFill="background1" w:themeFillShade="D9"/>
          </w:tcPr>
          <w:p w14:paraId="3A38BCF6" w14:textId="77777777" w:rsidR="00662491" w:rsidRPr="00CD1C0E" w:rsidRDefault="00662491" w:rsidP="00C44682">
            <w:pPr>
              <w:pStyle w:val="Heading1"/>
            </w:pPr>
            <w:bookmarkStart w:id="28" w:name="_Toc389473290"/>
            <w:bookmarkStart w:id="29" w:name="_Toc396290589"/>
            <w:bookmarkStart w:id="30" w:name="_Toc163213812"/>
            <w:r>
              <w:t>Search Terms</w:t>
            </w:r>
            <w:bookmarkEnd w:id="28"/>
            <w:bookmarkEnd w:id="29"/>
            <w:bookmarkEnd w:id="30"/>
            <w:r>
              <w:t xml:space="preserve"> </w:t>
            </w:r>
          </w:p>
        </w:tc>
      </w:tr>
    </w:tbl>
    <w:p w14:paraId="37899DC0" w14:textId="77777777" w:rsidR="00662491" w:rsidRPr="0009385C" w:rsidRDefault="00662491" w:rsidP="00662491">
      <w:r w:rsidRPr="00A47FBA">
        <w:t>Headache</w:t>
      </w:r>
      <w:r>
        <w:t xml:space="preserve">, migraine, lidocaine, lignocaine, Medication overuse, status </w:t>
      </w:r>
      <w:proofErr w:type="spellStart"/>
      <w:r>
        <w:t>migrainosus</w:t>
      </w:r>
      <w:proofErr w:type="spellEnd"/>
      <w:r>
        <w:t>, chronic daily headache, lidocaine infusion, lignocaine infusion</w:t>
      </w:r>
    </w:p>
    <w:p w14:paraId="35759EC6" w14:textId="77777777" w:rsidR="00662491" w:rsidRPr="00E41A47" w:rsidRDefault="00DB1D1B" w:rsidP="00662491">
      <w:pPr>
        <w:jc w:val="right"/>
      </w:pPr>
      <w:hyperlink w:anchor="_top" w:history="1">
        <w:r w:rsidR="00662491" w:rsidRPr="00C91F3F">
          <w:rPr>
            <w:rStyle w:val="Hyperlink"/>
            <w:rFonts w:cs="Arial"/>
            <w:i/>
            <w:szCs w:val="24"/>
          </w:rPr>
          <w:t>Back to Table of Contents</w:t>
        </w:r>
      </w:hyperlink>
    </w:p>
    <w:p w14:paraId="7C58EB77" w14:textId="77777777" w:rsidR="00662491" w:rsidRDefault="00662491" w:rsidP="00662491">
      <w:pPr>
        <w:rPr>
          <w:rFonts w:cs="Arial"/>
          <w:iCs/>
          <w:sz w:val="20"/>
        </w:rPr>
      </w:pPr>
    </w:p>
    <w:p w14:paraId="7A4E36C1" w14:textId="77777777" w:rsidR="00662491" w:rsidRPr="003E167B" w:rsidRDefault="00662491" w:rsidP="00662491">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25977424" w14:textId="77777777" w:rsidR="00662491" w:rsidRPr="003E167B" w:rsidRDefault="00662491" w:rsidP="00662491">
      <w:pPr>
        <w:rPr>
          <w:rFonts w:cs="Arial"/>
          <w:i/>
          <w:iCs/>
          <w:sz w:val="20"/>
        </w:rPr>
      </w:pPr>
    </w:p>
    <w:p w14:paraId="3E4F3D74" w14:textId="77777777" w:rsidR="00662491" w:rsidRPr="003E167B" w:rsidRDefault="00662491" w:rsidP="00662491">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122"/>
        <w:gridCol w:w="2268"/>
        <w:gridCol w:w="2405"/>
        <w:gridCol w:w="2265"/>
      </w:tblGrid>
      <w:tr w:rsidR="00662491" w:rsidRPr="003E167B" w14:paraId="5A363B8E" w14:textId="77777777" w:rsidTr="00DB1D1B">
        <w:tc>
          <w:tcPr>
            <w:tcW w:w="2122" w:type="dxa"/>
          </w:tcPr>
          <w:p w14:paraId="00F563B6" w14:textId="77777777" w:rsidR="00662491" w:rsidRPr="003E167B" w:rsidRDefault="00662491" w:rsidP="00C44682">
            <w:pPr>
              <w:rPr>
                <w:i/>
                <w:sz w:val="20"/>
              </w:rPr>
            </w:pPr>
            <w:r w:rsidRPr="003E167B">
              <w:rPr>
                <w:i/>
                <w:sz w:val="20"/>
              </w:rPr>
              <w:t>Date Amended</w:t>
            </w:r>
          </w:p>
        </w:tc>
        <w:tc>
          <w:tcPr>
            <w:tcW w:w="2268" w:type="dxa"/>
          </w:tcPr>
          <w:p w14:paraId="60FEE50D" w14:textId="77777777" w:rsidR="00662491" w:rsidRPr="003E167B" w:rsidRDefault="00662491" w:rsidP="00C44682">
            <w:pPr>
              <w:rPr>
                <w:i/>
                <w:sz w:val="20"/>
              </w:rPr>
            </w:pPr>
            <w:r w:rsidRPr="003E167B">
              <w:rPr>
                <w:i/>
                <w:sz w:val="20"/>
              </w:rPr>
              <w:t>Section Amended</w:t>
            </w:r>
          </w:p>
        </w:tc>
        <w:tc>
          <w:tcPr>
            <w:tcW w:w="2405" w:type="dxa"/>
          </w:tcPr>
          <w:p w14:paraId="2DA61CCF" w14:textId="77777777" w:rsidR="00662491" w:rsidRPr="003E167B" w:rsidRDefault="00662491" w:rsidP="00C44682">
            <w:pPr>
              <w:rPr>
                <w:i/>
                <w:sz w:val="20"/>
              </w:rPr>
            </w:pPr>
            <w:r w:rsidRPr="003E167B">
              <w:rPr>
                <w:i/>
                <w:sz w:val="20"/>
              </w:rPr>
              <w:t>Divisional Approval</w:t>
            </w:r>
          </w:p>
        </w:tc>
        <w:tc>
          <w:tcPr>
            <w:tcW w:w="2265" w:type="dxa"/>
          </w:tcPr>
          <w:p w14:paraId="58AC0485" w14:textId="77777777" w:rsidR="00662491" w:rsidRPr="003E167B" w:rsidRDefault="00662491" w:rsidP="00C44682">
            <w:pPr>
              <w:rPr>
                <w:i/>
                <w:sz w:val="20"/>
              </w:rPr>
            </w:pPr>
            <w:r w:rsidRPr="003E167B">
              <w:rPr>
                <w:i/>
                <w:sz w:val="20"/>
              </w:rPr>
              <w:t xml:space="preserve">Final Approval </w:t>
            </w:r>
          </w:p>
        </w:tc>
      </w:tr>
      <w:tr w:rsidR="00662491" w:rsidRPr="003E167B" w14:paraId="6C06388B" w14:textId="77777777" w:rsidTr="00DB1D1B">
        <w:tc>
          <w:tcPr>
            <w:tcW w:w="2122" w:type="dxa"/>
          </w:tcPr>
          <w:p w14:paraId="6D979D3C" w14:textId="77777777" w:rsidR="00662491" w:rsidRPr="003E167B" w:rsidRDefault="00662491" w:rsidP="00C44682">
            <w:pPr>
              <w:rPr>
                <w:i/>
                <w:sz w:val="20"/>
              </w:rPr>
            </w:pPr>
            <w:r>
              <w:rPr>
                <w:i/>
                <w:sz w:val="20"/>
              </w:rPr>
              <w:t>20/03/2024</w:t>
            </w:r>
          </w:p>
        </w:tc>
        <w:tc>
          <w:tcPr>
            <w:tcW w:w="2268" w:type="dxa"/>
          </w:tcPr>
          <w:p w14:paraId="6C780127" w14:textId="77777777" w:rsidR="00662491" w:rsidRPr="003E167B" w:rsidRDefault="00662491" w:rsidP="00C44682">
            <w:pPr>
              <w:rPr>
                <w:i/>
                <w:sz w:val="20"/>
              </w:rPr>
            </w:pPr>
            <w:r>
              <w:rPr>
                <w:i/>
                <w:sz w:val="20"/>
              </w:rPr>
              <w:t>Reviewed document</w:t>
            </w:r>
          </w:p>
        </w:tc>
        <w:tc>
          <w:tcPr>
            <w:tcW w:w="2405" w:type="dxa"/>
          </w:tcPr>
          <w:p w14:paraId="52D126D5" w14:textId="77777777" w:rsidR="00662491" w:rsidRPr="003E167B" w:rsidRDefault="00662491" w:rsidP="00C44682">
            <w:pPr>
              <w:rPr>
                <w:i/>
                <w:sz w:val="20"/>
              </w:rPr>
            </w:pPr>
            <w:r>
              <w:rPr>
                <w:i/>
                <w:sz w:val="20"/>
              </w:rPr>
              <w:t>Suzanne Smallbane ED Medical Services Group</w:t>
            </w:r>
          </w:p>
        </w:tc>
        <w:tc>
          <w:tcPr>
            <w:tcW w:w="2265" w:type="dxa"/>
          </w:tcPr>
          <w:p w14:paraId="3CCBA859" w14:textId="77777777" w:rsidR="00662491" w:rsidRPr="003E167B" w:rsidRDefault="00662491" w:rsidP="00C44682">
            <w:pPr>
              <w:rPr>
                <w:i/>
                <w:sz w:val="20"/>
              </w:rPr>
            </w:pPr>
            <w:r>
              <w:rPr>
                <w:i/>
                <w:sz w:val="20"/>
              </w:rPr>
              <w:t xml:space="preserve">CHS Policy Committee </w:t>
            </w:r>
          </w:p>
        </w:tc>
      </w:tr>
      <w:tr w:rsidR="00662491" w:rsidRPr="003E167B" w14:paraId="3791E47A" w14:textId="77777777" w:rsidTr="00DB1D1B">
        <w:tc>
          <w:tcPr>
            <w:tcW w:w="2122" w:type="dxa"/>
          </w:tcPr>
          <w:p w14:paraId="45B42102" w14:textId="7E81202B" w:rsidR="00662491" w:rsidRPr="003E167B" w:rsidRDefault="00102C3F" w:rsidP="00C44682">
            <w:pPr>
              <w:rPr>
                <w:i/>
                <w:sz w:val="20"/>
              </w:rPr>
            </w:pPr>
            <w:r>
              <w:rPr>
                <w:i/>
                <w:sz w:val="20"/>
              </w:rPr>
              <w:t>24/06/2024</w:t>
            </w:r>
          </w:p>
        </w:tc>
        <w:tc>
          <w:tcPr>
            <w:tcW w:w="2268" w:type="dxa"/>
          </w:tcPr>
          <w:p w14:paraId="2A6334F3" w14:textId="21E94A3B" w:rsidR="00662491" w:rsidRPr="003E167B" w:rsidRDefault="00102C3F" w:rsidP="00C44682">
            <w:pPr>
              <w:rPr>
                <w:i/>
                <w:sz w:val="20"/>
              </w:rPr>
            </w:pPr>
            <w:r>
              <w:rPr>
                <w:i/>
                <w:sz w:val="20"/>
              </w:rPr>
              <w:t xml:space="preserve">Minor amendment </w:t>
            </w:r>
          </w:p>
        </w:tc>
        <w:tc>
          <w:tcPr>
            <w:tcW w:w="2405" w:type="dxa"/>
          </w:tcPr>
          <w:p w14:paraId="3AF32558" w14:textId="18A7BE9A" w:rsidR="00662491" w:rsidRPr="003E167B" w:rsidRDefault="00102C3F" w:rsidP="00C44682">
            <w:pPr>
              <w:rPr>
                <w:i/>
                <w:sz w:val="20"/>
              </w:rPr>
            </w:pPr>
            <w:r>
              <w:rPr>
                <w:i/>
                <w:sz w:val="20"/>
              </w:rPr>
              <w:t>Debbie Bell, Medication Safety &amp; Quality Pharmacist</w:t>
            </w:r>
          </w:p>
        </w:tc>
        <w:tc>
          <w:tcPr>
            <w:tcW w:w="2265" w:type="dxa"/>
          </w:tcPr>
          <w:p w14:paraId="1CEC7D5C" w14:textId="3C701E5A" w:rsidR="00662491" w:rsidRPr="003E167B" w:rsidRDefault="00DB1D1B" w:rsidP="00C44682">
            <w:pPr>
              <w:rPr>
                <w:i/>
                <w:sz w:val="20"/>
              </w:rPr>
            </w:pPr>
            <w:r>
              <w:rPr>
                <w:i/>
                <w:sz w:val="20"/>
              </w:rPr>
              <w:t>Policy Team</w:t>
            </w:r>
          </w:p>
        </w:tc>
      </w:tr>
    </w:tbl>
    <w:p w14:paraId="72F6DCAE" w14:textId="77777777" w:rsidR="00662491" w:rsidRPr="003E167B" w:rsidRDefault="00662491" w:rsidP="00662491">
      <w:pPr>
        <w:rPr>
          <w:rFonts w:cs="Arial"/>
          <w:sz w:val="20"/>
        </w:rPr>
      </w:pPr>
    </w:p>
    <w:p w14:paraId="037D008B" w14:textId="77777777" w:rsidR="00662491" w:rsidRPr="003E167B" w:rsidRDefault="00662491" w:rsidP="00662491">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62491" w:rsidRPr="003E167B" w14:paraId="198C8FA5" w14:textId="77777777" w:rsidTr="00C44682">
        <w:tc>
          <w:tcPr>
            <w:tcW w:w="2122" w:type="dxa"/>
          </w:tcPr>
          <w:p w14:paraId="6D8A7563" w14:textId="77777777" w:rsidR="00662491" w:rsidRPr="003E167B" w:rsidRDefault="00662491" w:rsidP="00C44682">
            <w:pPr>
              <w:rPr>
                <w:i/>
                <w:sz w:val="20"/>
              </w:rPr>
            </w:pPr>
            <w:r w:rsidRPr="003E167B">
              <w:rPr>
                <w:i/>
                <w:sz w:val="20"/>
              </w:rPr>
              <w:t>Document Number</w:t>
            </w:r>
          </w:p>
        </w:tc>
        <w:tc>
          <w:tcPr>
            <w:tcW w:w="6938" w:type="dxa"/>
          </w:tcPr>
          <w:p w14:paraId="73C64D33" w14:textId="77777777" w:rsidR="00662491" w:rsidRPr="003E167B" w:rsidRDefault="00662491" w:rsidP="00C44682">
            <w:pPr>
              <w:rPr>
                <w:i/>
                <w:sz w:val="20"/>
              </w:rPr>
            </w:pPr>
            <w:r w:rsidRPr="003E167B">
              <w:rPr>
                <w:i/>
                <w:sz w:val="20"/>
              </w:rPr>
              <w:t>Document Name</w:t>
            </w:r>
          </w:p>
        </w:tc>
      </w:tr>
      <w:tr w:rsidR="00662491" w:rsidRPr="003E167B" w14:paraId="7882EC05" w14:textId="77777777" w:rsidTr="00C44682">
        <w:tc>
          <w:tcPr>
            <w:tcW w:w="2122" w:type="dxa"/>
          </w:tcPr>
          <w:p w14:paraId="406F78FE" w14:textId="77777777" w:rsidR="00662491" w:rsidRPr="003E167B" w:rsidRDefault="00662491" w:rsidP="00C44682">
            <w:pPr>
              <w:rPr>
                <w:i/>
                <w:sz w:val="20"/>
              </w:rPr>
            </w:pPr>
            <w:r>
              <w:rPr>
                <w:i/>
                <w:sz w:val="20"/>
              </w:rPr>
              <w:t>CHS 19/099</w:t>
            </w:r>
          </w:p>
        </w:tc>
        <w:tc>
          <w:tcPr>
            <w:tcW w:w="6938" w:type="dxa"/>
          </w:tcPr>
          <w:p w14:paraId="0F819021" w14:textId="77777777" w:rsidR="00662491" w:rsidRPr="003E167B" w:rsidRDefault="00662491" w:rsidP="00C44682">
            <w:pPr>
              <w:rPr>
                <w:i/>
                <w:sz w:val="20"/>
              </w:rPr>
            </w:pPr>
            <w:r>
              <w:rPr>
                <w:i/>
                <w:sz w:val="20"/>
              </w:rPr>
              <w:t xml:space="preserve">Intravenous Lidocaine for Headache – Adults </w:t>
            </w:r>
          </w:p>
        </w:tc>
      </w:tr>
      <w:tr w:rsidR="00662491" w:rsidRPr="003E167B" w14:paraId="46068560" w14:textId="77777777" w:rsidTr="00C44682">
        <w:tc>
          <w:tcPr>
            <w:tcW w:w="2122" w:type="dxa"/>
          </w:tcPr>
          <w:p w14:paraId="51A57832" w14:textId="77777777" w:rsidR="00662491" w:rsidRPr="003E167B" w:rsidRDefault="00662491" w:rsidP="00C44682">
            <w:pPr>
              <w:rPr>
                <w:i/>
                <w:sz w:val="20"/>
              </w:rPr>
            </w:pPr>
          </w:p>
        </w:tc>
        <w:tc>
          <w:tcPr>
            <w:tcW w:w="6938" w:type="dxa"/>
          </w:tcPr>
          <w:p w14:paraId="54010415" w14:textId="77777777" w:rsidR="00662491" w:rsidRPr="003E167B" w:rsidRDefault="00662491" w:rsidP="00C44682">
            <w:pPr>
              <w:rPr>
                <w:i/>
                <w:sz w:val="20"/>
              </w:rPr>
            </w:pPr>
          </w:p>
        </w:tc>
      </w:tr>
    </w:tbl>
    <w:p w14:paraId="0337955C" w14:textId="77777777" w:rsidR="00662491" w:rsidRPr="00010E74" w:rsidRDefault="00662491" w:rsidP="00662491">
      <w:pPr>
        <w:rPr>
          <w:i/>
          <w:sz w:val="20"/>
          <w:szCs w:val="24"/>
        </w:rPr>
      </w:pPr>
    </w:p>
    <w:p w14:paraId="08682A6D" w14:textId="77777777" w:rsidR="00010E74" w:rsidRPr="00662491" w:rsidRDefault="00010E74" w:rsidP="00662491"/>
    <w:sectPr w:rsidR="00010E74" w:rsidRPr="00662491" w:rsidSect="00B10F87">
      <w:headerReference w:type="default" r:id="rId19"/>
      <w:footerReference w:type="default" r:id="rId2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EB4A3" w14:textId="77777777" w:rsidR="006E3EA6" w:rsidRDefault="006E3EA6" w:rsidP="00F66CB0">
      <w:r>
        <w:separator/>
      </w:r>
    </w:p>
  </w:endnote>
  <w:endnote w:type="continuationSeparator" w:id="0">
    <w:p w14:paraId="70BEDC02" w14:textId="77777777" w:rsidR="006E3EA6" w:rsidRDefault="006E3EA6"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0D329B81" w:rsidR="001670BB" w:rsidRPr="00542EE6" w:rsidRDefault="008E2994" w:rsidP="00B10F87">
          <w:pPr>
            <w:pStyle w:val="Footer"/>
            <w:rPr>
              <w:rFonts w:cs="Arial"/>
              <w:b/>
              <w:bCs/>
              <w:sz w:val="20"/>
            </w:rPr>
          </w:pPr>
          <w:r>
            <w:rPr>
              <w:b/>
              <w:sz w:val="20"/>
            </w:rPr>
            <w:t>CHS24/126</w:t>
          </w:r>
        </w:p>
      </w:tc>
      <w:tc>
        <w:tcPr>
          <w:tcW w:w="965" w:type="dxa"/>
        </w:tcPr>
        <w:p w14:paraId="08682A7E" w14:textId="18842ED6" w:rsidR="001670BB" w:rsidRPr="00B3752F" w:rsidRDefault="008E2994" w:rsidP="00B10F87">
          <w:pPr>
            <w:pStyle w:val="Footer"/>
            <w:rPr>
              <w:rFonts w:cs="Arial"/>
              <w:b/>
              <w:bCs/>
              <w:sz w:val="20"/>
            </w:rPr>
          </w:pPr>
          <w:r>
            <w:rPr>
              <w:rFonts w:cs="Arial"/>
              <w:b/>
              <w:bCs/>
              <w:sz w:val="20"/>
            </w:rPr>
            <w:t>1</w:t>
          </w:r>
        </w:p>
      </w:tc>
      <w:tc>
        <w:tcPr>
          <w:tcW w:w="1552" w:type="dxa"/>
        </w:tcPr>
        <w:p w14:paraId="08682A7F" w14:textId="62F67E53" w:rsidR="001670BB" w:rsidRPr="00B3752F" w:rsidRDefault="008E2994" w:rsidP="00B10F87">
          <w:pPr>
            <w:pStyle w:val="Footer"/>
            <w:rPr>
              <w:rFonts w:cs="Arial"/>
              <w:b/>
              <w:bCs/>
              <w:sz w:val="20"/>
            </w:rPr>
          </w:pPr>
          <w:r>
            <w:rPr>
              <w:rFonts w:cs="Arial"/>
              <w:b/>
              <w:bCs/>
              <w:sz w:val="20"/>
            </w:rPr>
            <w:t>20/03/2024</w:t>
          </w:r>
        </w:p>
      </w:tc>
      <w:tc>
        <w:tcPr>
          <w:tcW w:w="1456" w:type="dxa"/>
        </w:tcPr>
        <w:p w14:paraId="08682A80" w14:textId="3C45E9F6" w:rsidR="001670BB" w:rsidRPr="00B3752F" w:rsidRDefault="008E2994" w:rsidP="00470E63">
          <w:pPr>
            <w:pStyle w:val="Footer"/>
            <w:rPr>
              <w:rFonts w:cs="Arial"/>
              <w:b/>
              <w:bCs/>
              <w:sz w:val="20"/>
            </w:rPr>
          </w:pPr>
          <w:r>
            <w:rPr>
              <w:rFonts w:cs="Arial"/>
              <w:b/>
              <w:bCs/>
              <w:sz w:val="20"/>
            </w:rPr>
            <w:t>1/11/2027</w:t>
          </w:r>
        </w:p>
      </w:tc>
      <w:tc>
        <w:tcPr>
          <w:tcW w:w="1746" w:type="dxa"/>
        </w:tcPr>
        <w:p w14:paraId="08682A81" w14:textId="2F5122C4" w:rsidR="001670BB" w:rsidRPr="00B3752F" w:rsidRDefault="008E2994" w:rsidP="00B10F87">
          <w:pPr>
            <w:pStyle w:val="Footer"/>
            <w:rPr>
              <w:rFonts w:cs="Arial"/>
              <w:b/>
              <w:bCs/>
              <w:sz w:val="20"/>
            </w:rPr>
          </w:pPr>
          <w:r>
            <w:rPr>
              <w:rFonts w:cs="Arial"/>
              <w:b/>
              <w:bCs/>
              <w:sz w:val="20"/>
            </w:rPr>
            <w:t>MSG</w:t>
          </w:r>
          <w:r w:rsidR="00636C21">
            <w:rPr>
              <w:rFonts w:cs="Arial"/>
              <w:b/>
              <w:bCs/>
              <w:sz w:val="20"/>
            </w:rPr>
            <w:t xml:space="preserve"> - Pharmacy</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8976B" w14:textId="77777777" w:rsidR="006E3EA6" w:rsidRDefault="006E3EA6" w:rsidP="00F66CB0">
      <w:r>
        <w:separator/>
      </w:r>
    </w:p>
  </w:footnote>
  <w:footnote w:type="continuationSeparator" w:id="0">
    <w:p w14:paraId="46E9D56D" w14:textId="77777777" w:rsidR="006E3EA6" w:rsidRDefault="006E3EA6"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605E3C8" w:rsidR="00A939DF" w:rsidRDefault="008E2994" w:rsidP="00A939DF">
          <w:pPr>
            <w:pStyle w:val="Header"/>
            <w:tabs>
              <w:tab w:val="left" w:pos="720"/>
            </w:tabs>
            <w:jc w:val="right"/>
            <w:rPr>
              <w:sz w:val="20"/>
            </w:rPr>
          </w:pPr>
          <w:bookmarkStart w:id="31" w:name="_top"/>
          <w:bookmarkEnd w:id="31"/>
          <w:r>
            <w:rPr>
              <w:sz w:val="20"/>
            </w:rPr>
            <w:t>CHS24/126</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C05BB2"/>
    <w:multiLevelType w:val="hybridMultilevel"/>
    <w:tmpl w:val="23EA1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467A17"/>
    <w:multiLevelType w:val="hybridMultilevel"/>
    <w:tmpl w:val="4DC86C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A631C7"/>
    <w:multiLevelType w:val="multilevel"/>
    <w:tmpl w:val="C250FD9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 w15:restartNumberingAfterBreak="0">
    <w:nsid w:val="2F3D7029"/>
    <w:multiLevelType w:val="hybridMultilevel"/>
    <w:tmpl w:val="202A36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F27B86"/>
    <w:multiLevelType w:val="hybridMultilevel"/>
    <w:tmpl w:val="71E61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6D780F"/>
    <w:multiLevelType w:val="hybridMultilevel"/>
    <w:tmpl w:val="5B10D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EB14FC6"/>
    <w:multiLevelType w:val="hybridMultilevel"/>
    <w:tmpl w:val="35F69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0C5C15"/>
    <w:multiLevelType w:val="hybridMultilevel"/>
    <w:tmpl w:val="C5DE5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7" w15:restartNumberingAfterBreak="0">
    <w:nsid w:val="516141A5"/>
    <w:multiLevelType w:val="hybridMultilevel"/>
    <w:tmpl w:val="D004D6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815E68"/>
    <w:multiLevelType w:val="hybridMultilevel"/>
    <w:tmpl w:val="772C4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F0A53C6"/>
    <w:multiLevelType w:val="hybridMultilevel"/>
    <w:tmpl w:val="1B864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A04C89"/>
    <w:multiLevelType w:val="hybridMultilevel"/>
    <w:tmpl w:val="6010C4A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A337430"/>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EA91D05"/>
    <w:multiLevelType w:val="hybridMultilevel"/>
    <w:tmpl w:val="39CE1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AA85AC6"/>
    <w:multiLevelType w:val="hybridMultilevel"/>
    <w:tmpl w:val="749E3E6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7B386DDC"/>
    <w:multiLevelType w:val="hybridMultilevel"/>
    <w:tmpl w:val="ACCE0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10327537">
    <w:abstractNumId w:val="0"/>
  </w:num>
  <w:num w:numId="2" w16cid:durableId="24596134">
    <w:abstractNumId w:val="3"/>
  </w:num>
  <w:num w:numId="3" w16cid:durableId="55052131">
    <w:abstractNumId w:val="23"/>
  </w:num>
  <w:num w:numId="4" w16cid:durableId="976882847">
    <w:abstractNumId w:val="5"/>
  </w:num>
  <w:num w:numId="5" w16cid:durableId="1666975455">
    <w:abstractNumId w:val="7"/>
  </w:num>
  <w:num w:numId="6" w16cid:durableId="540751799">
    <w:abstractNumId w:val="4"/>
  </w:num>
  <w:num w:numId="7" w16cid:durableId="1451319392">
    <w:abstractNumId w:val="26"/>
  </w:num>
  <w:num w:numId="8" w16cid:durableId="100804469">
    <w:abstractNumId w:val="16"/>
  </w:num>
  <w:num w:numId="9" w16cid:durableId="2073041246">
    <w:abstractNumId w:val="15"/>
  </w:num>
  <w:num w:numId="10" w16cid:durableId="409355464">
    <w:abstractNumId w:val="15"/>
  </w:num>
  <w:num w:numId="11" w16cid:durableId="1924560054">
    <w:abstractNumId w:val="2"/>
  </w:num>
  <w:num w:numId="12" w16cid:durableId="1900438290">
    <w:abstractNumId w:val="6"/>
  </w:num>
  <w:num w:numId="13" w16cid:durableId="1899855238">
    <w:abstractNumId w:val="10"/>
  </w:num>
  <w:num w:numId="14" w16cid:durableId="977298996">
    <w:abstractNumId w:val="12"/>
  </w:num>
  <w:num w:numId="15" w16cid:durableId="360786444">
    <w:abstractNumId w:val="17"/>
  </w:num>
  <w:num w:numId="16" w16cid:durableId="1895391725">
    <w:abstractNumId w:val="18"/>
  </w:num>
  <w:num w:numId="17" w16cid:durableId="384648422">
    <w:abstractNumId w:val="19"/>
  </w:num>
  <w:num w:numId="18" w16cid:durableId="2056074601">
    <w:abstractNumId w:val="13"/>
  </w:num>
  <w:num w:numId="19" w16cid:durableId="599487392">
    <w:abstractNumId w:val="1"/>
  </w:num>
  <w:num w:numId="20" w16cid:durableId="1598438500">
    <w:abstractNumId w:val="25"/>
  </w:num>
  <w:num w:numId="21" w16cid:durableId="1387677830">
    <w:abstractNumId w:val="24"/>
  </w:num>
  <w:num w:numId="22" w16cid:durableId="1125656384">
    <w:abstractNumId w:val="22"/>
  </w:num>
  <w:num w:numId="23" w16cid:durableId="1876115625">
    <w:abstractNumId w:val="8"/>
  </w:num>
  <w:num w:numId="24" w16cid:durableId="828785207">
    <w:abstractNumId w:val="11"/>
  </w:num>
  <w:num w:numId="25" w16cid:durableId="1443305355">
    <w:abstractNumId w:val="21"/>
  </w:num>
  <w:num w:numId="26" w16cid:durableId="1304772122">
    <w:abstractNumId w:val="20"/>
  </w:num>
  <w:num w:numId="27" w16cid:durableId="488978633">
    <w:abstractNumId w:val="14"/>
  </w:num>
  <w:num w:numId="28" w16cid:durableId="9111132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35477"/>
    <w:rsid w:val="00072071"/>
    <w:rsid w:val="000728F3"/>
    <w:rsid w:val="0009385C"/>
    <w:rsid w:val="000A3D5E"/>
    <w:rsid w:val="000B5C8C"/>
    <w:rsid w:val="000C59E2"/>
    <w:rsid w:val="000C7B2D"/>
    <w:rsid w:val="000F7B7E"/>
    <w:rsid w:val="0010015B"/>
    <w:rsid w:val="00102C3F"/>
    <w:rsid w:val="00103EEA"/>
    <w:rsid w:val="00141353"/>
    <w:rsid w:val="00153FB3"/>
    <w:rsid w:val="001670BB"/>
    <w:rsid w:val="00171059"/>
    <w:rsid w:val="0018239D"/>
    <w:rsid w:val="00191109"/>
    <w:rsid w:val="001A0053"/>
    <w:rsid w:val="001B2465"/>
    <w:rsid w:val="001B2610"/>
    <w:rsid w:val="001E64DB"/>
    <w:rsid w:val="001F0832"/>
    <w:rsid w:val="001F2829"/>
    <w:rsid w:val="001F2C50"/>
    <w:rsid w:val="001F6D2D"/>
    <w:rsid w:val="001F71E8"/>
    <w:rsid w:val="00205AF9"/>
    <w:rsid w:val="00227BDF"/>
    <w:rsid w:val="00231C54"/>
    <w:rsid w:val="00240B97"/>
    <w:rsid w:val="002518E7"/>
    <w:rsid w:val="0025382D"/>
    <w:rsid w:val="00253F5A"/>
    <w:rsid w:val="00263BA6"/>
    <w:rsid w:val="00266379"/>
    <w:rsid w:val="0026690C"/>
    <w:rsid w:val="0027264D"/>
    <w:rsid w:val="002775BB"/>
    <w:rsid w:val="00293E43"/>
    <w:rsid w:val="002B478A"/>
    <w:rsid w:val="002B5F43"/>
    <w:rsid w:val="002C05A8"/>
    <w:rsid w:val="002D1854"/>
    <w:rsid w:val="002F52A7"/>
    <w:rsid w:val="002F7AFC"/>
    <w:rsid w:val="00313707"/>
    <w:rsid w:val="003256B3"/>
    <w:rsid w:val="003621A7"/>
    <w:rsid w:val="00363A87"/>
    <w:rsid w:val="00376A6D"/>
    <w:rsid w:val="00380B98"/>
    <w:rsid w:val="00396023"/>
    <w:rsid w:val="00396F11"/>
    <w:rsid w:val="003C1762"/>
    <w:rsid w:val="003C4BB5"/>
    <w:rsid w:val="003E167B"/>
    <w:rsid w:val="003E4CC0"/>
    <w:rsid w:val="003E76A3"/>
    <w:rsid w:val="003F3D8F"/>
    <w:rsid w:val="00404336"/>
    <w:rsid w:val="00410211"/>
    <w:rsid w:val="00412CED"/>
    <w:rsid w:val="00427139"/>
    <w:rsid w:val="00432CE3"/>
    <w:rsid w:val="004358E9"/>
    <w:rsid w:val="00447B55"/>
    <w:rsid w:val="00465C91"/>
    <w:rsid w:val="00470E63"/>
    <w:rsid w:val="004769C8"/>
    <w:rsid w:val="00487DD5"/>
    <w:rsid w:val="004A2E02"/>
    <w:rsid w:val="004A6A76"/>
    <w:rsid w:val="004A7D4D"/>
    <w:rsid w:val="004B7C43"/>
    <w:rsid w:val="004C2B20"/>
    <w:rsid w:val="004D1B0B"/>
    <w:rsid w:val="004E28AD"/>
    <w:rsid w:val="004F1D05"/>
    <w:rsid w:val="0050147B"/>
    <w:rsid w:val="0050274B"/>
    <w:rsid w:val="00503F75"/>
    <w:rsid w:val="005124B2"/>
    <w:rsid w:val="0052443C"/>
    <w:rsid w:val="0052775E"/>
    <w:rsid w:val="00542514"/>
    <w:rsid w:val="00546AED"/>
    <w:rsid w:val="0055335D"/>
    <w:rsid w:val="005621E4"/>
    <w:rsid w:val="005736DB"/>
    <w:rsid w:val="005743AC"/>
    <w:rsid w:val="00595ACF"/>
    <w:rsid w:val="00596FD7"/>
    <w:rsid w:val="005A3625"/>
    <w:rsid w:val="005B0809"/>
    <w:rsid w:val="005B4738"/>
    <w:rsid w:val="005C212D"/>
    <w:rsid w:val="005C3CB0"/>
    <w:rsid w:val="00612231"/>
    <w:rsid w:val="00614380"/>
    <w:rsid w:val="00632F58"/>
    <w:rsid w:val="00633C8D"/>
    <w:rsid w:val="00635EB1"/>
    <w:rsid w:val="00636C21"/>
    <w:rsid w:val="00644639"/>
    <w:rsid w:val="006473BB"/>
    <w:rsid w:val="0065246A"/>
    <w:rsid w:val="00662491"/>
    <w:rsid w:val="0066495D"/>
    <w:rsid w:val="00664C47"/>
    <w:rsid w:val="006743DB"/>
    <w:rsid w:val="00691E60"/>
    <w:rsid w:val="00695EB6"/>
    <w:rsid w:val="006A4D46"/>
    <w:rsid w:val="006A6024"/>
    <w:rsid w:val="006B4967"/>
    <w:rsid w:val="006C31FF"/>
    <w:rsid w:val="006C6B6C"/>
    <w:rsid w:val="006C704D"/>
    <w:rsid w:val="006D7CCD"/>
    <w:rsid w:val="006E3EA6"/>
    <w:rsid w:val="006E540C"/>
    <w:rsid w:val="0070331D"/>
    <w:rsid w:val="00741B43"/>
    <w:rsid w:val="00746D37"/>
    <w:rsid w:val="00752315"/>
    <w:rsid w:val="00753157"/>
    <w:rsid w:val="0075592E"/>
    <w:rsid w:val="00756537"/>
    <w:rsid w:val="00775280"/>
    <w:rsid w:val="007A0EBC"/>
    <w:rsid w:val="007B4ABB"/>
    <w:rsid w:val="007B6904"/>
    <w:rsid w:val="007C0892"/>
    <w:rsid w:val="00816782"/>
    <w:rsid w:val="0082141D"/>
    <w:rsid w:val="00827F24"/>
    <w:rsid w:val="00855DA8"/>
    <w:rsid w:val="00865480"/>
    <w:rsid w:val="008732E4"/>
    <w:rsid w:val="0088545F"/>
    <w:rsid w:val="00886399"/>
    <w:rsid w:val="008974CA"/>
    <w:rsid w:val="008D0CBA"/>
    <w:rsid w:val="008E1F7F"/>
    <w:rsid w:val="008E2994"/>
    <w:rsid w:val="008E3427"/>
    <w:rsid w:val="008E74FD"/>
    <w:rsid w:val="008E7509"/>
    <w:rsid w:val="008F00E8"/>
    <w:rsid w:val="008F6921"/>
    <w:rsid w:val="00912A7F"/>
    <w:rsid w:val="00917A4F"/>
    <w:rsid w:val="00921D3F"/>
    <w:rsid w:val="00926965"/>
    <w:rsid w:val="00933EED"/>
    <w:rsid w:val="00940CDE"/>
    <w:rsid w:val="009667BC"/>
    <w:rsid w:val="0097742A"/>
    <w:rsid w:val="00980AE7"/>
    <w:rsid w:val="00980EED"/>
    <w:rsid w:val="0098312B"/>
    <w:rsid w:val="00984C37"/>
    <w:rsid w:val="0098579F"/>
    <w:rsid w:val="00991670"/>
    <w:rsid w:val="00993AE7"/>
    <w:rsid w:val="009A3C7D"/>
    <w:rsid w:val="009A534C"/>
    <w:rsid w:val="009B0E44"/>
    <w:rsid w:val="009B4A8F"/>
    <w:rsid w:val="009B6C8C"/>
    <w:rsid w:val="009B6F42"/>
    <w:rsid w:val="009C0FCA"/>
    <w:rsid w:val="009C3963"/>
    <w:rsid w:val="009D323C"/>
    <w:rsid w:val="00A063FE"/>
    <w:rsid w:val="00A13087"/>
    <w:rsid w:val="00A21C0C"/>
    <w:rsid w:val="00A25351"/>
    <w:rsid w:val="00A3469C"/>
    <w:rsid w:val="00A350E5"/>
    <w:rsid w:val="00A35E2D"/>
    <w:rsid w:val="00A64751"/>
    <w:rsid w:val="00A74B8A"/>
    <w:rsid w:val="00A85F61"/>
    <w:rsid w:val="00A86A9D"/>
    <w:rsid w:val="00A86DB3"/>
    <w:rsid w:val="00A939DF"/>
    <w:rsid w:val="00AA25DC"/>
    <w:rsid w:val="00AF11DC"/>
    <w:rsid w:val="00AF1EFF"/>
    <w:rsid w:val="00B10F87"/>
    <w:rsid w:val="00B11471"/>
    <w:rsid w:val="00B17115"/>
    <w:rsid w:val="00B21043"/>
    <w:rsid w:val="00B30DA2"/>
    <w:rsid w:val="00B35EA1"/>
    <w:rsid w:val="00B42135"/>
    <w:rsid w:val="00B43BDA"/>
    <w:rsid w:val="00B44CAC"/>
    <w:rsid w:val="00B453FC"/>
    <w:rsid w:val="00B573D6"/>
    <w:rsid w:val="00B61F35"/>
    <w:rsid w:val="00B634F1"/>
    <w:rsid w:val="00B73D54"/>
    <w:rsid w:val="00B81455"/>
    <w:rsid w:val="00B9627F"/>
    <w:rsid w:val="00BA0A1B"/>
    <w:rsid w:val="00BA2415"/>
    <w:rsid w:val="00BA4F95"/>
    <w:rsid w:val="00BA57BA"/>
    <w:rsid w:val="00BA5B60"/>
    <w:rsid w:val="00BA79DB"/>
    <w:rsid w:val="00BB33F9"/>
    <w:rsid w:val="00BC3CE6"/>
    <w:rsid w:val="00BD03DB"/>
    <w:rsid w:val="00BE1906"/>
    <w:rsid w:val="00BE5E41"/>
    <w:rsid w:val="00BF16E4"/>
    <w:rsid w:val="00C13D33"/>
    <w:rsid w:val="00C24EDC"/>
    <w:rsid w:val="00C25A76"/>
    <w:rsid w:val="00C31BD5"/>
    <w:rsid w:val="00C32206"/>
    <w:rsid w:val="00C32F7E"/>
    <w:rsid w:val="00C3517F"/>
    <w:rsid w:val="00C45B40"/>
    <w:rsid w:val="00C45C67"/>
    <w:rsid w:val="00C523FF"/>
    <w:rsid w:val="00C532D4"/>
    <w:rsid w:val="00C606F3"/>
    <w:rsid w:val="00C71C3C"/>
    <w:rsid w:val="00C74BC1"/>
    <w:rsid w:val="00C768AA"/>
    <w:rsid w:val="00C9490E"/>
    <w:rsid w:val="00C95A6F"/>
    <w:rsid w:val="00CA593D"/>
    <w:rsid w:val="00CD0CFD"/>
    <w:rsid w:val="00D006EF"/>
    <w:rsid w:val="00D03DAD"/>
    <w:rsid w:val="00D06786"/>
    <w:rsid w:val="00D16211"/>
    <w:rsid w:val="00D21780"/>
    <w:rsid w:val="00D23346"/>
    <w:rsid w:val="00D243B8"/>
    <w:rsid w:val="00D34794"/>
    <w:rsid w:val="00D37054"/>
    <w:rsid w:val="00D42B85"/>
    <w:rsid w:val="00D4502D"/>
    <w:rsid w:val="00D530CE"/>
    <w:rsid w:val="00D53E3C"/>
    <w:rsid w:val="00D54ED5"/>
    <w:rsid w:val="00D7517E"/>
    <w:rsid w:val="00D77950"/>
    <w:rsid w:val="00D82670"/>
    <w:rsid w:val="00DB1D1B"/>
    <w:rsid w:val="00DC3762"/>
    <w:rsid w:val="00DC739E"/>
    <w:rsid w:val="00DD0346"/>
    <w:rsid w:val="00DD616A"/>
    <w:rsid w:val="00DD72D1"/>
    <w:rsid w:val="00DE0465"/>
    <w:rsid w:val="00E049ED"/>
    <w:rsid w:val="00E10F2A"/>
    <w:rsid w:val="00E13A4F"/>
    <w:rsid w:val="00E14B8C"/>
    <w:rsid w:val="00E2723D"/>
    <w:rsid w:val="00E34E6D"/>
    <w:rsid w:val="00E37CD4"/>
    <w:rsid w:val="00E41A47"/>
    <w:rsid w:val="00E53B9C"/>
    <w:rsid w:val="00E57848"/>
    <w:rsid w:val="00E62EE3"/>
    <w:rsid w:val="00E67D3B"/>
    <w:rsid w:val="00EA1A1E"/>
    <w:rsid w:val="00EC55AC"/>
    <w:rsid w:val="00ED1F22"/>
    <w:rsid w:val="00ED21C3"/>
    <w:rsid w:val="00ED388C"/>
    <w:rsid w:val="00EF02B0"/>
    <w:rsid w:val="00F01B61"/>
    <w:rsid w:val="00F022A9"/>
    <w:rsid w:val="00F13DD8"/>
    <w:rsid w:val="00F149FD"/>
    <w:rsid w:val="00F16D6B"/>
    <w:rsid w:val="00F229D5"/>
    <w:rsid w:val="00F366E1"/>
    <w:rsid w:val="00F371F3"/>
    <w:rsid w:val="00F4262F"/>
    <w:rsid w:val="00F440C3"/>
    <w:rsid w:val="00F53719"/>
    <w:rsid w:val="00F565DA"/>
    <w:rsid w:val="00F57291"/>
    <w:rsid w:val="00F66CB0"/>
    <w:rsid w:val="00F72D0E"/>
    <w:rsid w:val="00F76C89"/>
    <w:rsid w:val="00F83FBF"/>
    <w:rsid w:val="00F90BA4"/>
    <w:rsid w:val="00FA29B8"/>
    <w:rsid w:val="00FB3986"/>
    <w:rsid w:val="00FC0395"/>
    <w:rsid w:val="00FD3D92"/>
    <w:rsid w:val="00FF389E"/>
    <w:rsid w:val="00FF56DD"/>
    <w:rsid w:val="1D2C03ED"/>
    <w:rsid w:val="2C2C644C"/>
    <w:rsid w:val="2CADF6A7"/>
    <w:rsid w:val="4B4DDC0B"/>
    <w:rsid w:val="54C0415F"/>
    <w:rsid w:val="5D95540B"/>
    <w:rsid w:val="70EC54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NormalWeb">
    <w:name w:val="Normal (Web)"/>
    <w:basedOn w:val="Normal"/>
    <w:uiPriority w:val="99"/>
    <w:unhideWhenUsed/>
    <w:rsid w:val="006E540C"/>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3C1762"/>
    <w:pPr>
      <w:spacing w:after="0" w:line="240" w:lineRule="auto"/>
    </w:pPr>
    <w:rPr>
      <w:rFonts w:ascii="Calibri" w:eastAsia="Times New Roman" w:hAnsi="Calibri" w:cs="Times New Roman"/>
      <w:sz w:val="24"/>
      <w:szCs w:val="20"/>
    </w:rPr>
  </w:style>
  <w:style w:type="character" w:customStyle="1" w:styleId="cf01">
    <w:name w:val="cf01"/>
    <w:basedOn w:val="DefaultParagraphFont"/>
    <w:rsid w:val="006B4967"/>
    <w:rPr>
      <w:rFonts w:ascii="Segoe UI" w:hAnsi="Segoe UI" w:cs="Segoe UI" w:hint="default"/>
      <w:sz w:val="18"/>
      <w:szCs w:val="18"/>
    </w:rPr>
  </w:style>
  <w:style w:type="paragraph" w:customStyle="1" w:styleId="paragraph">
    <w:name w:val="paragraph"/>
    <w:basedOn w:val="Normal"/>
    <w:rsid w:val="00662491"/>
    <w:pPr>
      <w:spacing w:before="100" w:beforeAutospacing="1" w:after="100" w:afterAutospacing="1"/>
    </w:pPr>
    <w:rPr>
      <w:rFonts w:ascii="Times New Roman" w:hAnsi="Times New Roman"/>
      <w:szCs w:val="24"/>
      <w:lang w:eastAsia="en-AU"/>
    </w:rPr>
  </w:style>
  <w:style w:type="character" w:customStyle="1" w:styleId="normaltextrun">
    <w:name w:val="normaltextrun"/>
    <w:basedOn w:val="DefaultParagraphFont"/>
    <w:rsid w:val="00662491"/>
  </w:style>
  <w:style w:type="character" w:customStyle="1" w:styleId="eop">
    <w:name w:val="eop"/>
    <w:basedOn w:val="DefaultParagraphFont"/>
    <w:rsid w:val="00662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98272221">
      <w:bodyDiv w:val="1"/>
      <w:marLeft w:val="0"/>
      <w:marRight w:val="0"/>
      <w:marTop w:val="0"/>
      <w:marBottom w:val="0"/>
      <w:divBdr>
        <w:top w:val="none" w:sz="0" w:space="0" w:color="auto"/>
        <w:left w:val="none" w:sz="0" w:space="0" w:color="auto"/>
        <w:bottom w:val="none" w:sz="0" w:space="0" w:color="auto"/>
        <w:right w:val="none" w:sz="0" w:space="0" w:color="auto"/>
      </w:divBdr>
    </w:div>
    <w:div w:id="509871947">
      <w:bodyDiv w:val="1"/>
      <w:marLeft w:val="0"/>
      <w:marRight w:val="0"/>
      <w:marTop w:val="0"/>
      <w:marBottom w:val="0"/>
      <w:divBdr>
        <w:top w:val="none" w:sz="0" w:space="0" w:color="auto"/>
        <w:left w:val="none" w:sz="0" w:space="0" w:color="auto"/>
        <w:bottom w:val="none" w:sz="0" w:space="0" w:color="auto"/>
        <w:right w:val="none" w:sz="0" w:space="0" w:color="auto"/>
      </w:divBdr>
    </w:div>
    <w:div w:id="893275912">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280257640">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470635198">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oxinz.com/Search" TargetMode="External"/><Relationship Id="rId18" Type="http://schemas.openxmlformats.org/officeDocument/2006/relationships/hyperlink" Target="https://www.uptodate.com/drug-interactions/?source=responsive_hom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ctgovernment.sharepoint.com/sites/Intranet-CHS/SitePages/Formulary.aspx" TargetMode="External"/><Relationship Id="rId17" Type="http://schemas.openxmlformats.org/officeDocument/2006/relationships/hyperlink" Target="https://www.mimsonline.com.au/Search/FullPI.aspx?ModuleName=Product%20Info&amp;searchKeyword=lignocaine&amp;PreviousPage=~/Search/QuickSearch.aspx&amp;SearchType=&amp;ID=1910002_2" TargetMode="External"/><Relationship Id="rId2" Type="http://schemas.openxmlformats.org/officeDocument/2006/relationships/customXml" Target="../customXml/item2.xml"/><Relationship Id="rId16" Type="http://schemas.openxmlformats.org/officeDocument/2006/relationships/hyperlink" Target="https://amhonline.amh.net.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powerbi.com/groups/me/apps/69636396-d155-424b-b21a-02b2f991c20a/reports/aa594e25-b7b3-4b1e-9276-6dbf752f1b7b/ReportSectiond6658bfcee1c924f80e6?ctid=b46c1908-0334-4236-b978-585ee88e4199&amp;experience=power-bi" TargetMode="External"/><Relationship Id="rId5" Type="http://schemas.openxmlformats.org/officeDocument/2006/relationships/numbering" Target="numbering.xml"/><Relationship Id="rId15" Type="http://schemas.openxmlformats.org/officeDocument/2006/relationships/hyperlink" Target="https://www.tga.gov.au/updating-medicine-ingredient-names-list-affected-ingredient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Q:/Quality%20and%20Safety/CET/Policy%20Team/CHS%20PC/Resources/Templates/CHS%20Procedure%20Template.doc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2023-10-24T13:00:00+00:00</Approval_x0020_Date>
    <Review_x0020_Date xmlns="690b2128-8961-48af-a473-22c34a9accba">2027-10-31T13:00:00+00:00</Review_x0020_Date>
    <TaxCatchAll xmlns="c0239a80-7f07-4ed7-82c3-24ad7d76ada5">
      <Value>416</Value>
      <Value>415</Value>
      <Value>435</Value>
    </TaxCatchAll>
    <Version_x0020_Number xmlns="690b2128-8961-48af-a473-22c34a9accba">1</Version_x0020_Number>
    <Notes0 xmlns="690b2128-8961-48af-a473-22c34a9accba" xsi:nil="true"/>
    <Key_x0020_Words xmlns="690b2128-8961-48af-a473-22c34a9accba">Headache, migraine, lidocaine, lignocaine, Medication overuse, migrainosus, chronic daily, infusion, </Key_x0020_Words>
    <Type_x0020_of_x0020_Document xmlns="690b2128-8961-48af-a473-22c34a9accba">Guideline</Type_x0020_of_x0020_Document>
    <Approval_x0020_Name_x007c_Committee xmlns="690b2128-8961-48af-a473-22c34a9accba">CHS Policy Committee </Approval_x0020_Name_x007c_Committee>
    <Status xmlns="690b2128-8961-48af-a473-22c34a9accba">Approved</Status>
    <New_x0020_Applies_x0020_To xmlns="690b2128-8961-48af-a473-22c34a9accba">Canberra Health Services</New_x0020_Applies_x0020_To>
    <Replaces_x003a_ xmlns="690b2128-8961-48af-a473-22c34a9accba">CHS19/099 </Replaces_x003a_>
    <ISD_x0020_Submitted xmlns="690b2128-8961-48af-a473-22c34a9accba">Not Required</ISD_x0020_Submitted>
    <Risk_x0020_Rating xmlns="690b2128-8961-48af-a473-22c34a9accba">Medium</Risk_x0020_Rating>
    <Description0 xmlns="690b2128-8961-48af-a473-22c34a9accba">Provides information about safe prescribing, administration and monitoring of intravenous lidocaine infusions used for the treatment of chronic headache with analgesic overuse or prolonged headache.</Description0>
    <Display_x0020_on_x0020_Internet xmlns="690b2128-8961-48af-a473-22c34a9accba">true</Display_x0020_on_x0020_Internet>
    <Related_x0020_Documents xmlns="690b2128-8961-48af-a473-22c34a9accba" xsi:nil="true"/>
    <Decision_x0020_Number xmlns="690b2128-8961-48af-a473-22c34a9accba">CHS24/126</Decision_x0020_Number>
    <RelatedPolicies_x002c_ProceduresGuidelines xmlns="690b2128-8961-48af-a473-22c34a9accba">
      <Value>16471</Value>
      <Value>14491</Value>
      <Value>15087</Value>
      <Value>16369</Value>
      <Value>17056</Value>
      <Value>15537</Value>
      <Value>16674</Value>
      <Value>13456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Medicines, Poisons and Therapeutic Goods Act 2008 (Territory)</TermName>
          <TermId xmlns="http://schemas.microsoft.com/office/infopath/2007/PartnerControls">e04bb8da-bc44-4cb4-a98e-c18b8e4177ac</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s>
    </k0794e393e1f41c2810d090eedba34a0>
    <New_x0020_Owner xmlns="690b2128-8961-48af-a473-22c34a9accba">Medical Services Group - Pharmacy</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B10B1C-C51C-487B-8FA0-29E932419712}">
  <ds:schemaRefs>
    <ds:schemaRef ds:uri="http://schemas.microsoft.com/sharepoint/v3/contenttype/forms"/>
  </ds:schemaRefs>
</ds:datastoreItem>
</file>

<file path=customXml/itemProps2.xml><?xml version="1.0" encoding="utf-8"?>
<ds:datastoreItem xmlns:ds="http://schemas.openxmlformats.org/officeDocument/2006/customXml" ds:itemID="{3EE490F0-7E16-4E2A-8E87-4655260C8E8D}">
  <ds:schemaRefs>
    <ds:schemaRef ds:uri="http://schemas.microsoft.com/office/infopath/2007/PartnerControls"/>
    <ds:schemaRef ds:uri="c0239a80-7f07-4ed7-82c3-24ad7d76ada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90b2128-8961-48af-a473-22c34a9accba"/>
    <ds:schemaRef ds:uri="http://www.w3.org/XML/1998/namespace"/>
    <ds:schemaRef ds:uri="http://purl.org/dc/dcmitype/"/>
  </ds:schemaRefs>
</ds:datastoreItem>
</file>

<file path=customXml/itemProps3.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4.xml><?xml version="1.0" encoding="utf-8"?>
<ds:datastoreItem xmlns:ds="http://schemas.openxmlformats.org/officeDocument/2006/customXml" ds:itemID="{444B4B51-6186-4B98-8D8B-63CE278E3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3174</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Intravenous Lidocaine Infusion for Headache  Adults Only </dc:title>
  <dc:creator/>
  <cp:lastModifiedBy/>
  <cp:revision>1</cp:revision>
  <dcterms:created xsi:type="dcterms:W3CDTF">2024-02-01T01:39:00Z</dcterms:created>
  <dcterms:modified xsi:type="dcterms:W3CDTF">2024-06-30T12:57:00Z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Related Legislation &amp; Guidelines">
    <vt:lpwstr>435;#Medicines, Poisons and Therapeutic Goods Act 2008 (Territory)|e04bb8da-bc44-4cb4-a98e-c18b8e4177ac;#416;#Human Rights Act 2004 (Territory)|bbb6fb4a-2117-4ff9-8364-021a762deae2;#415;#Health Records (Privacy and Access) Act 1997 (Territory)|d07d1347-0355-417c-badf-2bae9c7c0e3b</vt:lpwstr>
  </property>
  <property fmtid="{D5CDD505-2E9C-101B-9397-08002B2CF9AE}" pid="4" name="MSIP_Label_69af8531-eb46-4968-8cb3-105d2f5ea87e_Enabled">
    <vt:lpwstr>true</vt:lpwstr>
  </property>
  <property fmtid="{D5CDD505-2E9C-101B-9397-08002B2CF9AE}" pid="5" name="MSIP_Label_69af8531-eb46-4968-8cb3-105d2f5ea87e_SetDate">
    <vt:lpwstr>2024-06-30T12:53:39Z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09ecbf37-5b92-4c0a-8cda-3c4da7513a89</vt:lpwstr>
  </property>
  <property fmtid="{D5CDD505-2E9C-101B-9397-08002B2CF9AE}" pid="10" name="MSIP_Label_69af8531-eb46-4968-8cb3-105d2f5ea87e_ContentBits">
    <vt:lpwstr>0</vt:lpwstr>
  </property>
</Properties>
</file>