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1F6E19F4" w:rsidR="009A534C" w:rsidRPr="00DA3910" w:rsidRDefault="00B27E8C" w:rsidP="009A534C">
      <w:pPr>
        <w:rPr>
          <w:rFonts w:cs="Arial"/>
          <w:b/>
          <w:sz w:val="40"/>
          <w:szCs w:val="40"/>
        </w:rPr>
      </w:pPr>
      <w:r>
        <w:rPr>
          <w:rFonts w:cs="Arial"/>
          <w:b/>
          <w:sz w:val="40"/>
          <w:szCs w:val="40"/>
        </w:rPr>
        <w:t xml:space="preserve">Clinical </w:t>
      </w:r>
      <w:r w:rsidR="009A534C">
        <w:rPr>
          <w:rFonts w:cs="Arial"/>
          <w:b/>
          <w:sz w:val="40"/>
          <w:szCs w:val="40"/>
        </w:rPr>
        <w:t>Guideline</w:t>
      </w:r>
    </w:p>
    <w:p w14:paraId="086829D2" w14:textId="5406FE46" w:rsidR="009A534C" w:rsidRDefault="00B27E8C" w:rsidP="009A534C">
      <w:pPr>
        <w:rPr>
          <w:rFonts w:cs="Arial"/>
          <w:b/>
          <w:sz w:val="36"/>
          <w:szCs w:val="36"/>
        </w:rPr>
      </w:pPr>
      <w:r w:rsidRPr="00231DA8">
        <w:rPr>
          <w:rFonts w:cs="Arial"/>
          <w:b/>
          <w:sz w:val="36"/>
          <w:szCs w:val="36"/>
        </w:rPr>
        <w:t xml:space="preserve">Female Genital Cutting (FGC) </w:t>
      </w:r>
      <w:r w:rsidRPr="00231DA8">
        <w:rPr>
          <w:rFonts w:cs="Arial"/>
          <w:b/>
          <w:sz w:val="28"/>
          <w:szCs w:val="28"/>
        </w:rPr>
        <w:t>(applicable to adults and</w:t>
      </w:r>
      <w:r>
        <w:rPr>
          <w:rFonts w:cs="Arial"/>
          <w:b/>
          <w:sz w:val="28"/>
          <w:szCs w:val="28"/>
        </w:rPr>
        <w:t>/</w:t>
      </w:r>
      <w:r w:rsidRPr="00231DA8">
        <w:rPr>
          <w:rFonts w:cs="Arial"/>
          <w:b/>
          <w:sz w:val="28"/>
          <w:szCs w:val="28"/>
        </w:rPr>
        <w:t>or children)</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89634611"/>
            <w:r w:rsidRPr="00CD1C0E">
              <w:t>Contents</w:t>
            </w:r>
            <w:bookmarkEnd w:id="0"/>
            <w:bookmarkEnd w:id="1"/>
            <w:bookmarkEnd w:id="2"/>
            <w:bookmarkEnd w:id="3"/>
          </w:p>
        </w:tc>
      </w:tr>
    </w:tbl>
    <w:p w14:paraId="086829D5" w14:textId="77777777" w:rsidR="009A534C" w:rsidRDefault="009A534C" w:rsidP="00C13D33"/>
    <w:p w14:paraId="50C833AA" w14:textId="30DB17A3" w:rsidR="00ED0ADA" w:rsidRDefault="00A063FE">
      <w:pPr>
        <w:pStyle w:val="TOC1"/>
        <w:tabs>
          <w:tab w:val="right" w:leader="dot" w:pos="9060"/>
        </w:tabs>
        <w:rPr>
          <w:rFonts w:eastAsiaTheme="minorEastAsia" w:cstheme="minorBidi"/>
          <w:noProof/>
          <w:kern w:val="2"/>
          <w:szCs w:val="24"/>
          <w:lang w:eastAsia="en-AU"/>
          <w14:ligatures w14:val="standardContextual"/>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89634611" w:history="1">
        <w:r w:rsidR="00ED0ADA" w:rsidRPr="002F36E7">
          <w:rPr>
            <w:rStyle w:val="Hyperlink"/>
            <w:noProof/>
          </w:rPr>
          <w:t>Contents</w:t>
        </w:r>
        <w:r w:rsidR="00ED0ADA">
          <w:rPr>
            <w:noProof/>
            <w:webHidden/>
          </w:rPr>
          <w:tab/>
        </w:r>
        <w:r w:rsidR="00ED0ADA">
          <w:rPr>
            <w:noProof/>
            <w:webHidden/>
          </w:rPr>
          <w:fldChar w:fldCharType="begin"/>
        </w:r>
        <w:r w:rsidR="00ED0ADA">
          <w:rPr>
            <w:noProof/>
            <w:webHidden/>
          </w:rPr>
          <w:instrText xml:space="preserve"> PAGEREF _Toc189634611 \h </w:instrText>
        </w:r>
        <w:r w:rsidR="00ED0ADA">
          <w:rPr>
            <w:noProof/>
            <w:webHidden/>
          </w:rPr>
        </w:r>
        <w:r w:rsidR="00ED0ADA">
          <w:rPr>
            <w:noProof/>
            <w:webHidden/>
          </w:rPr>
          <w:fldChar w:fldCharType="separate"/>
        </w:r>
        <w:r w:rsidR="00ED0ADA">
          <w:rPr>
            <w:noProof/>
            <w:webHidden/>
          </w:rPr>
          <w:t>1</w:t>
        </w:r>
        <w:r w:rsidR="00ED0ADA">
          <w:rPr>
            <w:noProof/>
            <w:webHidden/>
          </w:rPr>
          <w:fldChar w:fldCharType="end"/>
        </w:r>
      </w:hyperlink>
    </w:p>
    <w:p w14:paraId="2B72D4FB" w14:textId="160CD0BE" w:rsidR="00ED0ADA" w:rsidRDefault="00ED0ADA">
      <w:pPr>
        <w:pStyle w:val="TOC1"/>
        <w:tabs>
          <w:tab w:val="right" w:leader="dot" w:pos="9060"/>
        </w:tabs>
        <w:rPr>
          <w:rFonts w:eastAsiaTheme="minorEastAsia" w:cstheme="minorBidi"/>
          <w:noProof/>
          <w:kern w:val="2"/>
          <w:szCs w:val="24"/>
          <w:lang w:eastAsia="en-AU"/>
          <w14:ligatures w14:val="standardContextual"/>
        </w:rPr>
      </w:pPr>
      <w:hyperlink w:anchor="_Toc189634612" w:history="1">
        <w:r w:rsidRPr="002F36E7">
          <w:rPr>
            <w:rStyle w:val="Hyperlink"/>
            <w:noProof/>
          </w:rPr>
          <w:t>Guideline Statement</w:t>
        </w:r>
        <w:r>
          <w:rPr>
            <w:noProof/>
            <w:webHidden/>
          </w:rPr>
          <w:tab/>
        </w:r>
        <w:r>
          <w:rPr>
            <w:noProof/>
            <w:webHidden/>
          </w:rPr>
          <w:fldChar w:fldCharType="begin"/>
        </w:r>
        <w:r>
          <w:rPr>
            <w:noProof/>
            <w:webHidden/>
          </w:rPr>
          <w:instrText xml:space="preserve"> PAGEREF _Toc189634612 \h </w:instrText>
        </w:r>
        <w:r>
          <w:rPr>
            <w:noProof/>
            <w:webHidden/>
          </w:rPr>
        </w:r>
        <w:r>
          <w:rPr>
            <w:noProof/>
            <w:webHidden/>
          </w:rPr>
          <w:fldChar w:fldCharType="separate"/>
        </w:r>
        <w:r>
          <w:rPr>
            <w:noProof/>
            <w:webHidden/>
          </w:rPr>
          <w:t>2</w:t>
        </w:r>
        <w:r>
          <w:rPr>
            <w:noProof/>
            <w:webHidden/>
          </w:rPr>
          <w:fldChar w:fldCharType="end"/>
        </w:r>
      </w:hyperlink>
    </w:p>
    <w:p w14:paraId="6F615AF3" w14:textId="30742CB7" w:rsidR="00ED0ADA" w:rsidRDefault="00ED0ADA">
      <w:pPr>
        <w:pStyle w:val="TOC1"/>
        <w:tabs>
          <w:tab w:val="right" w:leader="dot" w:pos="9060"/>
        </w:tabs>
        <w:rPr>
          <w:rFonts w:eastAsiaTheme="minorEastAsia" w:cstheme="minorBidi"/>
          <w:noProof/>
          <w:kern w:val="2"/>
          <w:szCs w:val="24"/>
          <w:lang w:eastAsia="en-AU"/>
          <w14:ligatures w14:val="standardContextual"/>
        </w:rPr>
      </w:pPr>
      <w:hyperlink w:anchor="_Toc189634613" w:history="1">
        <w:r w:rsidRPr="002F36E7">
          <w:rPr>
            <w:rStyle w:val="Hyperlink"/>
            <w:noProof/>
          </w:rPr>
          <w:t>Scope</w:t>
        </w:r>
        <w:r>
          <w:rPr>
            <w:noProof/>
            <w:webHidden/>
          </w:rPr>
          <w:tab/>
        </w:r>
        <w:r>
          <w:rPr>
            <w:noProof/>
            <w:webHidden/>
          </w:rPr>
          <w:fldChar w:fldCharType="begin"/>
        </w:r>
        <w:r>
          <w:rPr>
            <w:noProof/>
            <w:webHidden/>
          </w:rPr>
          <w:instrText xml:space="preserve"> PAGEREF _Toc189634613 \h </w:instrText>
        </w:r>
        <w:r>
          <w:rPr>
            <w:noProof/>
            <w:webHidden/>
          </w:rPr>
        </w:r>
        <w:r>
          <w:rPr>
            <w:noProof/>
            <w:webHidden/>
          </w:rPr>
          <w:fldChar w:fldCharType="separate"/>
        </w:r>
        <w:r>
          <w:rPr>
            <w:noProof/>
            <w:webHidden/>
          </w:rPr>
          <w:t>3</w:t>
        </w:r>
        <w:r>
          <w:rPr>
            <w:noProof/>
            <w:webHidden/>
          </w:rPr>
          <w:fldChar w:fldCharType="end"/>
        </w:r>
      </w:hyperlink>
    </w:p>
    <w:p w14:paraId="04EB1E35" w14:textId="450950D9" w:rsidR="00ED0ADA" w:rsidRDefault="00ED0ADA">
      <w:pPr>
        <w:pStyle w:val="TOC1"/>
        <w:tabs>
          <w:tab w:val="right" w:leader="dot" w:pos="9060"/>
        </w:tabs>
        <w:rPr>
          <w:rFonts w:eastAsiaTheme="minorEastAsia" w:cstheme="minorBidi"/>
          <w:noProof/>
          <w:kern w:val="2"/>
          <w:szCs w:val="24"/>
          <w:lang w:eastAsia="en-AU"/>
          <w14:ligatures w14:val="standardContextual"/>
        </w:rPr>
      </w:pPr>
      <w:hyperlink w:anchor="_Toc189634614" w:history="1">
        <w:r w:rsidRPr="002F36E7">
          <w:rPr>
            <w:rStyle w:val="Hyperlink"/>
            <w:noProof/>
          </w:rPr>
          <w:t>Section 1 – Communication</w:t>
        </w:r>
        <w:r>
          <w:rPr>
            <w:noProof/>
            <w:webHidden/>
          </w:rPr>
          <w:tab/>
        </w:r>
        <w:r>
          <w:rPr>
            <w:noProof/>
            <w:webHidden/>
          </w:rPr>
          <w:fldChar w:fldCharType="begin"/>
        </w:r>
        <w:r>
          <w:rPr>
            <w:noProof/>
            <w:webHidden/>
          </w:rPr>
          <w:instrText xml:space="preserve"> PAGEREF _Toc189634614 \h </w:instrText>
        </w:r>
        <w:r>
          <w:rPr>
            <w:noProof/>
            <w:webHidden/>
          </w:rPr>
        </w:r>
        <w:r>
          <w:rPr>
            <w:noProof/>
            <w:webHidden/>
          </w:rPr>
          <w:fldChar w:fldCharType="separate"/>
        </w:r>
        <w:r>
          <w:rPr>
            <w:noProof/>
            <w:webHidden/>
          </w:rPr>
          <w:t>3</w:t>
        </w:r>
        <w:r>
          <w:rPr>
            <w:noProof/>
            <w:webHidden/>
          </w:rPr>
          <w:fldChar w:fldCharType="end"/>
        </w:r>
      </w:hyperlink>
    </w:p>
    <w:p w14:paraId="4AF28988" w14:textId="33C5DED6" w:rsidR="00ED0ADA" w:rsidRDefault="00ED0ADA">
      <w:pPr>
        <w:pStyle w:val="TOC1"/>
        <w:tabs>
          <w:tab w:val="right" w:leader="dot" w:pos="9060"/>
        </w:tabs>
        <w:rPr>
          <w:rFonts w:eastAsiaTheme="minorEastAsia" w:cstheme="minorBidi"/>
          <w:noProof/>
          <w:kern w:val="2"/>
          <w:szCs w:val="24"/>
          <w:lang w:eastAsia="en-AU"/>
          <w14:ligatures w14:val="standardContextual"/>
        </w:rPr>
      </w:pPr>
      <w:hyperlink w:anchor="_Toc189634615" w:history="1">
        <w:r w:rsidRPr="002F36E7">
          <w:rPr>
            <w:rStyle w:val="Hyperlink"/>
            <w:noProof/>
          </w:rPr>
          <w:t>Section 2 – Maternity Services</w:t>
        </w:r>
        <w:r>
          <w:rPr>
            <w:noProof/>
            <w:webHidden/>
          </w:rPr>
          <w:tab/>
        </w:r>
        <w:r>
          <w:rPr>
            <w:noProof/>
            <w:webHidden/>
          </w:rPr>
          <w:fldChar w:fldCharType="begin"/>
        </w:r>
        <w:r>
          <w:rPr>
            <w:noProof/>
            <w:webHidden/>
          </w:rPr>
          <w:instrText xml:space="preserve"> PAGEREF _Toc189634615 \h </w:instrText>
        </w:r>
        <w:r>
          <w:rPr>
            <w:noProof/>
            <w:webHidden/>
          </w:rPr>
        </w:r>
        <w:r>
          <w:rPr>
            <w:noProof/>
            <w:webHidden/>
          </w:rPr>
          <w:fldChar w:fldCharType="separate"/>
        </w:r>
        <w:r>
          <w:rPr>
            <w:noProof/>
            <w:webHidden/>
          </w:rPr>
          <w:t>5</w:t>
        </w:r>
        <w:r>
          <w:rPr>
            <w:noProof/>
            <w:webHidden/>
          </w:rPr>
          <w:fldChar w:fldCharType="end"/>
        </w:r>
      </w:hyperlink>
    </w:p>
    <w:p w14:paraId="5592FBAC" w14:textId="4E98836D" w:rsidR="00ED0ADA" w:rsidRDefault="00ED0ADA">
      <w:pPr>
        <w:pStyle w:val="TOC1"/>
        <w:tabs>
          <w:tab w:val="right" w:leader="dot" w:pos="9060"/>
        </w:tabs>
        <w:rPr>
          <w:rFonts w:eastAsiaTheme="minorEastAsia" w:cstheme="minorBidi"/>
          <w:noProof/>
          <w:kern w:val="2"/>
          <w:szCs w:val="24"/>
          <w:lang w:eastAsia="en-AU"/>
          <w14:ligatures w14:val="standardContextual"/>
        </w:rPr>
      </w:pPr>
      <w:hyperlink w:anchor="_Toc189634616" w:history="1">
        <w:r w:rsidRPr="002F36E7">
          <w:rPr>
            <w:rStyle w:val="Hyperlink"/>
            <w:noProof/>
          </w:rPr>
          <w:t>Section 3 – Other Possible Clinical Presentations Relating to FGC</w:t>
        </w:r>
        <w:r>
          <w:rPr>
            <w:noProof/>
            <w:webHidden/>
          </w:rPr>
          <w:tab/>
        </w:r>
        <w:r>
          <w:rPr>
            <w:noProof/>
            <w:webHidden/>
          </w:rPr>
          <w:fldChar w:fldCharType="begin"/>
        </w:r>
        <w:r>
          <w:rPr>
            <w:noProof/>
            <w:webHidden/>
          </w:rPr>
          <w:instrText xml:space="preserve"> PAGEREF _Toc189634616 \h </w:instrText>
        </w:r>
        <w:r>
          <w:rPr>
            <w:noProof/>
            <w:webHidden/>
          </w:rPr>
        </w:r>
        <w:r>
          <w:rPr>
            <w:noProof/>
            <w:webHidden/>
          </w:rPr>
          <w:fldChar w:fldCharType="separate"/>
        </w:r>
        <w:r>
          <w:rPr>
            <w:noProof/>
            <w:webHidden/>
          </w:rPr>
          <w:t>8</w:t>
        </w:r>
        <w:r>
          <w:rPr>
            <w:noProof/>
            <w:webHidden/>
          </w:rPr>
          <w:fldChar w:fldCharType="end"/>
        </w:r>
      </w:hyperlink>
    </w:p>
    <w:p w14:paraId="02CDEA74" w14:textId="44F7ABDE" w:rsidR="00ED0ADA" w:rsidRDefault="00ED0ADA">
      <w:pPr>
        <w:pStyle w:val="TOC1"/>
        <w:tabs>
          <w:tab w:val="right" w:leader="dot" w:pos="9060"/>
        </w:tabs>
        <w:rPr>
          <w:rFonts w:eastAsiaTheme="minorEastAsia" w:cstheme="minorBidi"/>
          <w:noProof/>
          <w:kern w:val="2"/>
          <w:szCs w:val="24"/>
          <w:lang w:eastAsia="en-AU"/>
          <w14:ligatures w14:val="standardContextual"/>
        </w:rPr>
      </w:pPr>
      <w:hyperlink w:anchor="_Toc189634617" w:history="1">
        <w:r w:rsidRPr="002F36E7">
          <w:rPr>
            <w:rStyle w:val="Hyperlink"/>
            <w:noProof/>
          </w:rPr>
          <w:t>Evaluation</w:t>
        </w:r>
        <w:r>
          <w:rPr>
            <w:noProof/>
            <w:webHidden/>
          </w:rPr>
          <w:tab/>
        </w:r>
        <w:r>
          <w:rPr>
            <w:noProof/>
            <w:webHidden/>
          </w:rPr>
          <w:fldChar w:fldCharType="begin"/>
        </w:r>
        <w:r>
          <w:rPr>
            <w:noProof/>
            <w:webHidden/>
          </w:rPr>
          <w:instrText xml:space="preserve"> PAGEREF _Toc189634617 \h </w:instrText>
        </w:r>
        <w:r>
          <w:rPr>
            <w:noProof/>
            <w:webHidden/>
          </w:rPr>
        </w:r>
        <w:r>
          <w:rPr>
            <w:noProof/>
            <w:webHidden/>
          </w:rPr>
          <w:fldChar w:fldCharType="separate"/>
        </w:r>
        <w:r>
          <w:rPr>
            <w:noProof/>
            <w:webHidden/>
          </w:rPr>
          <w:t>11</w:t>
        </w:r>
        <w:r>
          <w:rPr>
            <w:noProof/>
            <w:webHidden/>
          </w:rPr>
          <w:fldChar w:fldCharType="end"/>
        </w:r>
      </w:hyperlink>
    </w:p>
    <w:p w14:paraId="30A80602" w14:textId="7FA0E8AD" w:rsidR="00ED0ADA" w:rsidRDefault="00ED0ADA">
      <w:pPr>
        <w:pStyle w:val="TOC1"/>
        <w:tabs>
          <w:tab w:val="right" w:leader="dot" w:pos="9060"/>
        </w:tabs>
        <w:rPr>
          <w:rFonts w:eastAsiaTheme="minorEastAsia" w:cstheme="minorBidi"/>
          <w:noProof/>
          <w:kern w:val="2"/>
          <w:szCs w:val="24"/>
          <w:lang w:eastAsia="en-AU"/>
          <w14:ligatures w14:val="standardContextual"/>
        </w:rPr>
      </w:pPr>
      <w:hyperlink w:anchor="_Toc189634618" w:history="1">
        <w:r w:rsidRPr="002F36E7">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_Toc189634618 \h </w:instrText>
        </w:r>
        <w:r>
          <w:rPr>
            <w:noProof/>
            <w:webHidden/>
          </w:rPr>
        </w:r>
        <w:r>
          <w:rPr>
            <w:noProof/>
            <w:webHidden/>
          </w:rPr>
          <w:fldChar w:fldCharType="separate"/>
        </w:r>
        <w:r>
          <w:rPr>
            <w:noProof/>
            <w:webHidden/>
          </w:rPr>
          <w:t>11</w:t>
        </w:r>
        <w:r>
          <w:rPr>
            <w:noProof/>
            <w:webHidden/>
          </w:rPr>
          <w:fldChar w:fldCharType="end"/>
        </w:r>
      </w:hyperlink>
    </w:p>
    <w:p w14:paraId="38FB5877" w14:textId="26BD517E" w:rsidR="00ED0ADA" w:rsidRDefault="00ED0ADA">
      <w:pPr>
        <w:pStyle w:val="TOC1"/>
        <w:tabs>
          <w:tab w:val="right" w:leader="dot" w:pos="9060"/>
        </w:tabs>
        <w:rPr>
          <w:rFonts w:eastAsiaTheme="minorEastAsia" w:cstheme="minorBidi"/>
          <w:noProof/>
          <w:kern w:val="2"/>
          <w:szCs w:val="24"/>
          <w:lang w:eastAsia="en-AU"/>
          <w14:ligatures w14:val="standardContextual"/>
        </w:rPr>
      </w:pPr>
      <w:hyperlink w:anchor="_Toc189634619" w:history="1">
        <w:r w:rsidRPr="002F36E7">
          <w:rPr>
            <w:rStyle w:val="Hyperlink"/>
            <w:noProof/>
          </w:rPr>
          <w:t>References</w:t>
        </w:r>
        <w:r>
          <w:rPr>
            <w:noProof/>
            <w:webHidden/>
          </w:rPr>
          <w:tab/>
        </w:r>
        <w:r>
          <w:rPr>
            <w:noProof/>
            <w:webHidden/>
          </w:rPr>
          <w:fldChar w:fldCharType="begin"/>
        </w:r>
        <w:r>
          <w:rPr>
            <w:noProof/>
            <w:webHidden/>
          </w:rPr>
          <w:instrText xml:space="preserve"> PAGEREF _Toc189634619 \h </w:instrText>
        </w:r>
        <w:r>
          <w:rPr>
            <w:noProof/>
            <w:webHidden/>
          </w:rPr>
        </w:r>
        <w:r>
          <w:rPr>
            <w:noProof/>
            <w:webHidden/>
          </w:rPr>
          <w:fldChar w:fldCharType="separate"/>
        </w:r>
        <w:r>
          <w:rPr>
            <w:noProof/>
            <w:webHidden/>
          </w:rPr>
          <w:t>12</w:t>
        </w:r>
        <w:r>
          <w:rPr>
            <w:noProof/>
            <w:webHidden/>
          </w:rPr>
          <w:fldChar w:fldCharType="end"/>
        </w:r>
      </w:hyperlink>
    </w:p>
    <w:p w14:paraId="1D7DA0A1" w14:textId="0A6B5B7D" w:rsidR="00ED0ADA" w:rsidRDefault="00ED0ADA">
      <w:pPr>
        <w:pStyle w:val="TOC1"/>
        <w:tabs>
          <w:tab w:val="right" w:leader="dot" w:pos="9060"/>
        </w:tabs>
        <w:rPr>
          <w:rFonts w:eastAsiaTheme="minorEastAsia" w:cstheme="minorBidi"/>
          <w:noProof/>
          <w:kern w:val="2"/>
          <w:szCs w:val="24"/>
          <w:lang w:eastAsia="en-AU"/>
          <w14:ligatures w14:val="standardContextual"/>
        </w:rPr>
      </w:pPr>
      <w:hyperlink w:anchor="_Toc189634620" w:history="1">
        <w:r w:rsidRPr="002F36E7">
          <w:rPr>
            <w:rStyle w:val="Hyperlink"/>
            <w:noProof/>
          </w:rPr>
          <w:t>Definition of Terms (if applicable)</w:t>
        </w:r>
        <w:r>
          <w:rPr>
            <w:noProof/>
            <w:webHidden/>
          </w:rPr>
          <w:tab/>
        </w:r>
        <w:r>
          <w:rPr>
            <w:noProof/>
            <w:webHidden/>
          </w:rPr>
          <w:fldChar w:fldCharType="begin"/>
        </w:r>
        <w:r>
          <w:rPr>
            <w:noProof/>
            <w:webHidden/>
          </w:rPr>
          <w:instrText xml:space="preserve"> PAGEREF _Toc189634620 \h </w:instrText>
        </w:r>
        <w:r>
          <w:rPr>
            <w:noProof/>
            <w:webHidden/>
          </w:rPr>
        </w:r>
        <w:r>
          <w:rPr>
            <w:noProof/>
            <w:webHidden/>
          </w:rPr>
          <w:fldChar w:fldCharType="separate"/>
        </w:r>
        <w:r>
          <w:rPr>
            <w:noProof/>
            <w:webHidden/>
          </w:rPr>
          <w:t>13</w:t>
        </w:r>
        <w:r>
          <w:rPr>
            <w:noProof/>
            <w:webHidden/>
          </w:rPr>
          <w:fldChar w:fldCharType="end"/>
        </w:r>
      </w:hyperlink>
    </w:p>
    <w:p w14:paraId="7787FA54" w14:textId="715BB1C7" w:rsidR="00ED0ADA" w:rsidRDefault="00ED0ADA">
      <w:pPr>
        <w:pStyle w:val="TOC1"/>
        <w:tabs>
          <w:tab w:val="right" w:leader="dot" w:pos="9060"/>
        </w:tabs>
        <w:rPr>
          <w:rFonts w:eastAsiaTheme="minorEastAsia" w:cstheme="minorBidi"/>
          <w:noProof/>
          <w:kern w:val="2"/>
          <w:szCs w:val="24"/>
          <w:lang w:eastAsia="en-AU"/>
          <w14:ligatures w14:val="standardContextual"/>
        </w:rPr>
      </w:pPr>
      <w:hyperlink w:anchor="_Toc189634621" w:history="1">
        <w:r w:rsidRPr="002F36E7">
          <w:rPr>
            <w:rStyle w:val="Hyperlink"/>
            <w:noProof/>
          </w:rPr>
          <w:t>Search Terms</w:t>
        </w:r>
        <w:r>
          <w:rPr>
            <w:noProof/>
            <w:webHidden/>
          </w:rPr>
          <w:tab/>
        </w:r>
        <w:r>
          <w:rPr>
            <w:noProof/>
            <w:webHidden/>
          </w:rPr>
          <w:fldChar w:fldCharType="begin"/>
        </w:r>
        <w:r>
          <w:rPr>
            <w:noProof/>
            <w:webHidden/>
          </w:rPr>
          <w:instrText xml:space="preserve"> PAGEREF _Toc189634621 \h </w:instrText>
        </w:r>
        <w:r>
          <w:rPr>
            <w:noProof/>
            <w:webHidden/>
          </w:rPr>
        </w:r>
        <w:r>
          <w:rPr>
            <w:noProof/>
            <w:webHidden/>
          </w:rPr>
          <w:fldChar w:fldCharType="separate"/>
        </w:r>
        <w:r>
          <w:rPr>
            <w:noProof/>
            <w:webHidden/>
          </w:rPr>
          <w:t>14</w:t>
        </w:r>
        <w:r>
          <w:rPr>
            <w:noProof/>
            <w:webHidden/>
          </w:rPr>
          <w:fldChar w:fldCharType="end"/>
        </w:r>
      </w:hyperlink>
    </w:p>
    <w:p w14:paraId="369B7169" w14:textId="086096C3" w:rsidR="00ED0ADA" w:rsidRDefault="00ED0ADA">
      <w:pPr>
        <w:pStyle w:val="TOC1"/>
        <w:tabs>
          <w:tab w:val="right" w:leader="dot" w:pos="9060"/>
        </w:tabs>
        <w:rPr>
          <w:rFonts w:eastAsiaTheme="minorEastAsia" w:cstheme="minorBidi"/>
          <w:noProof/>
          <w:kern w:val="2"/>
          <w:szCs w:val="24"/>
          <w:lang w:eastAsia="en-AU"/>
          <w14:ligatures w14:val="standardContextual"/>
        </w:rPr>
      </w:pPr>
      <w:hyperlink w:anchor="_Toc189634622" w:history="1">
        <w:r w:rsidRPr="002F36E7">
          <w:rPr>
            <w:rStyle w:val="Hyperlink"/>
            <w:noProof/>
          </w:rPr>
          <w:t>Attachments</w:t>
        </w:r>
        <w:r>
          <w:rPr>
            <w:noProof/>
            <w:webHidden/>
          </w:rPr>
          <w:tab/>
        </w:r>
        <w:r>
          <w:rPr>
            <w:noProof/>
            <w:webHidden/>
          </w:rPr>
          <w:fldChar w:fldCharType="begin"/>
        </w:r>
        <w:r>
          <w:rPr>
            <w:noProof/>
            <w:webHidden/>
          </w:rPr>
          <w:instrText xml:space="preserve"> PAGEREF _Toc189634622 \h </w:instrText>
        </w:r>
        <w:r>
          <w:rPr>
            <w:noProof/>
            <w:webHidden/>
          </w:rPr>
        </w:r>
        <w:r>
          <w:rPr>
            <w:noProof/>
            <w:webHidden/>
          </w:rPr>
          <w:fldChar w:fldCharType="separate"/>
        </w:r>
        <w:r>
          <w:rPr>
            <w:noProof/>
            <w:webHidden/>
          </w:rPr>
          <w:t>14</w:t>
        </w:r>
        <w:r>
          <w:rPr>
            <w:noProof/>
            <w:webHidden/>
          </w:rPr>
          <w:fldChar w:fldCharType="end"/>
        </w:r>
      </w:hyperlink>
    </w:p>
    <w:p w14:paraId="086829E2" w14:textId="045A9D98"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89634612"/>
            <w:r>
              <w:lastRenderedPageBreak/>
              <w:t>Guideline Statement</w:t>
            </w:r>
            <w:bookmarkEnd w:id="4"/>
          </w:p>
        </w:tc>
      </w:tr>
    </w:tbl>
    <w:p w14:paraId="086829E6" w14:textId="77777777" w:rsidR="009A534C" w:rsidRDefault="009A534C" w:rsidP="00C13D33">
      <w:pPr>
        <w:rPr>
          <w:rFonts w:cs="Arial"/>
          <w:b/>
          <w:szCs w:val="24"/>
        </w:rPr>
      </w:pPr>
    </w:p>
    <w:p w14:paraId="2309D14A" w14:textId="77777777" w:rsidR="00B27E8C" w:rsidRDefault="00B27E8C" w:rsidP="00B27E8C">
      <w:r w:rsidRPr="00821831">
        <w:t xml:space="preserve">This guideline outlines the requirements for the prevention and management of female genital </w:t>
      </w:r>
      <w:r>
        <w:t>cutting</w:t>
      </w:r>
      <w:r w:rsidRPr="00821831">
        <w:t xml:space="preserve"> (FG</w:t>
      </w:r>
      <w:r>
        <w:t>C</w:t>
      </w:r>
      <w:r w:rsidRPr="00821831">
        <w:t xml:space="preserve">), also sometimes referred to as female genital </w:t>
      </w:r>
      <w:r>
        <w:t xml:space="preserve">mutilation </w:t>
      </w:r>
      <w:r w:rsidRPr="00821831">
        <w:t>(FG</w:t>
      </w:r>
      <w:r>
        <w:t>M</w:t>
      </w:r>
      <w:r w:rsidRPr="00821831">
        <w:t>), female genital mutilation/cutting (FGM/C) or female circumcision</w:t>
      </w:r>
      <w:r>
        <w:t>,</w:t>
      </w:r>
      <w:r w:rsidRPr="00821831">
        <w:t xml:space="preserve"> at the Canberra</w:t>
      </w:r>
      <w:r>
        <w:t xml:space="preserve"> Health Services (CHS). </w:t>
      </w:r>
      <w:r w:rsidRPr="00821831">
        <w:t xml:space="preserve">In this document, </w:t>
      </w:r>
      <w:r>
        <w:t>the abbreviated form will be FGC except when referencing definitions and legislation where it will be referred to as FGM</w:t>
      </w:r>
      <w:r w:rsidRPr="00821831">
        <w:t>.</w:t>
      </w:r>
    </w:p>
    <w:p w14:paraId="4AAEC73E" w14:textId="77777777" w:rsidR="00B27E8C" w:rsidRDefault="00B27E8C" w:rsidP="00B27E8C"/>
    <w:tbl>
      <w:tblPr>
        <w:tblStyle w:val="TableGrid"/>
        <w:tblW w:w="0" w:type="auto"/>
        <w:tblLook w:val="04A0" w:firstRow="1" w:lastRow="0" w:firstColumn="1" w:lastColumn="0" w:noHBand="0" w:noVBand="1"/>
      </w:tblPr>
      <w:tblGrid>
        <w:gridCol w:w="9060"/>
      </w:tblGrid>
      <w:tr w:rsidR="00B27E8C" w14:paraId="262B35AC" w14:textId="77777777" w:rsidTr="003029FB">
        <w:trPr>
          <w:trHeight w:val="4166"/>
        </w:trPr>
        <w:tc>
          <w:tcPr>
            <w:tcW w:w="9286" w:type="dxa"/>
            <w:shd w:val="clear" w:color="auto" w:fill="FFFFFF" w:themeFill="background1"/>
          </w:tcPr>
          <w:p w14:paraId="625520ED" w14:textId="77777777" w:rsidR="00B27E8C" w:rsidRDefault="00B27E8C" w:rsidP="003029FB">
            <w:pPr>
              <w:spacing w:before="120"/>
              <w:rPr>
                <w:rFonts w:cs="Arial"/>
                <w:b/>
                <w:szCs w:val="24"/>
              </w:rPr>
            </w:pPr>
            <w:r w:rsidRPr="00D20CDF">
              <w:rPr>
                <w:rFonts w:cs="Arial"/>
                <w:b/>
                <w:szCs w:val="24"/>
              </w:rPr>
              <w:t>Terminology</w:t>
            </w:r>
          </w:p>
          <w:p w14:paraId="76DD1B61" w14:textId="77777777" w:rsidR="00B27E8C" w:rsidRDefault="00B27E8C" w:rsidP="00135C7A">
            <w:pPr>
              <w:rPr>
                <w:rFonts w:cs="Arial"/>
                <w:szCs w:val="24"/>
              </w:rPr>
            </w:pPr>
            <w:r w:rsidRPr="00D20CDF">
              <w:rPr>
                <w:rFonts w:cs="Arial"/>
                <w:szCs w:val="24"/>
              </w:rPr>
              <w:t>FG</w:t>
            </w:r>
            <w:r>
              <w:rPr>
                <w:rFonts w:cs="Arial"/>
                <w:szCs w:val="24"/>
              </w:rPr>
              <w:t>C</w:t>
            </w:r>
            <w:r w:rsidRPr="00D20CDF">
              <w:rPr>
                <w:rFonts w:cs="Arial"/>
                <w:szCs w:val="24"/>
              </w:rPr>
              <w:t xml:space="preserve"> is a tradition that has many different names and is practiced in many different countries in many ways. </w:t>
            </w:r>
          </w:p>
          <w:p w14:paraId="1B705F09" w14:textId="77777777" w:rsidR="00B27E8C" w:rsidRDefault="00B27E8C" w:rsidP="00135C7A">
            <w:pPr>
              <w:rPr>
                <w:rFonts w:cs="Arial"/>
                <w:szCs w:val="24"/>
              </w:rPr>
            </w:pPr>
          </w:p>
          <w:p w14:paraId="40FAAD6B" w14:textId="77777777" w:rsidR="00B27E8C" w:rsidRDefault="00B27E8C" w:rsidP="00135C7A">
            <w:pPr>
              <w:rPr>
                <w:rFonts w:cs="Arial"/>
                <w:szCs w:val="24"/>
              </w:rPr>
            </w:pPr>
            <w:r w:rsidRPr="00D20CDF">
              <w:rPr>
                <w:rFonts w:cs="Arial"/>
                <w:b/>
                <w:bCs/>
                <w:szCs w:val="24"/>
              </w:rPr>
              <w:t>However, when working with community members, it is recommended to use culturally sensitive language</w:t>
            </w:r>
            <w:r>
              <w:rPr>
                <w:rFonts w:cs="Arial"/>
                <w:b/>
                <w:bCs/>
                <w:szCs w:val="24"/>
              </w:rPr>
              <w:t xml:space="preserve">. </w:t>
            </w:r>
            <w:r w:rsidRPr="00D20CDF">
              <w:rPr>
                <w:rFonts w:cs="Arial"/>
                <w:szCs w:val="24"/>
              </w:rPr>
              <w:t xml:space="preserve">Community members may prefer the term </w:t>
            </w:r>
            <w:r w:rsidRPr="00D20CDF">
              <w:rPr>
                <w:rFonts w:cs="Arial"/>
                <w:b/>
                <w:bCs/>
                <w:szCs w:val="24"/>
              </w:rPr>
              <w:t>traditional cutting</w:t>
            </w:r>
            <w:r w:rsidRPr="00D20CDF">
              <w:rPr>
                <w:rFonts w:cs="Arial"/>
                <w:szCs w:val="24"/>
              </w:rPr>
              <w:t xml:space="preserve"> or </w:t>
            </w:r>
            <w:r w:rsidRPr="00D20CDF">
              <w:rPr>
                <w:rFonts w:cs="Arial"/>
                <w:b/>
                <w:bCs/>
                <w:szCs w:val="24"/>
              </w:rPr>
              <w:t>female circumcision</w:t>
            </w:r>
            <w:r>
              <w:rPr>
                <w:rFonts w:cs="Arial"/>
                <w:b/>
                <w:bCs/>
                <w:szCs w:val="24"/>
              </w:rPr>
              <w:t xml:space="preserve">. </w:t>
            </w:r>
            <w:r>
              <w:rPr>
                <w:rFonts w:cs="Arial"/>
                <w:szCs w:val="24"/>
              </w:rPr>
              <w:t xml:space="preserve">Attachment B </w:t>
            </w:r>
            <w:r w:rsidRPr="00D20CDF">
              <w:rPr>
                <w:rFonts w:cs="Arial"/>
                <w:szCs w:val="24"/>
              </w:rPr>
              <w:t>displays a list of some traditional and local terms for FG</w:t>
            </w:r>
            <w:r>
              <w:rPr>
                <w:rFonts w:cs="Arial"/>
                <w:szCs w:val="24"/>
              </w:rPr>
              <w:t>C</w:t>
            </w:r>
            <w:r w:rsidRPr="00D20CDF">
              <w:rPr>
                <w:rFonts w:cs="Arial"/>
                <w:szCs w:val="24"/>
              </w:rPr>
              <w:t>.</w:t>
            </w:r>
          </w:p>
          <w:p w14:paraId="6BDBB0D8" w14:textId="77777777" w:rsidR="00B27E8C" w:rsidRDefault="00B27E8C" w:rsidP="00135C7A">
            <w:pPr>
              <w:rPr>
                <w:rFonts w:cs="Arial"/>
                <w:b/>
                <w:bCs/>
                <w:szCs w:val="24"/>
              </w:rPr>
            </w:pPr>
          </w:p>
          <w:p w14:paraId="7CE9889F" w14:textId="3BC4506E" w:rsidR="00B27E8C" w:rsidRPr="003029FB" w:rsidRDefault="00B27E8C" w:rsidP="00135C7A">
            <w:pPr>
              <w:rPr>
                <w:vertAlign w:val="superscript"/>
              </w:rPr>
            </w:pPr>
            <w:r w:rsidRPr="00821831">
              <w:t>It is important to use terminology that is</w:t>
            </w:r>
            <w:r>
              <w:t xml:space="preserve"> </w:t>
            </w:r>
            <w:r w:rsidRPr="00821831">
              <w:t xml:space="preserve">acceptable to the woman/girl as the term female genital mutilation may cause offence, result in alienation and be counterproductive in establishing an effective professional relationship. </w:t>
            </w:r>
            <w:r w:rsidRPr="00821831">
              <w:rPr>
                <w:b/>
              </w:rPr>
              <w:t xml:space="preserve">Ask the woman/girl what she calls it in her community and use this terminology in all subsequent interactions. </w:t>
            </w:r>
          </w:p>
        </w:tc>
      </w:tr>
    </w:tbl>
    <w:p w14:paraId="62B6CF57" w14:textId="77777777" w:rsidR="00B27E8C" w:rsidRPr="00821831" w:rsidRDefault="00B27E8C" w:rsidP="00B27E8C">
      <w:pPr>
        <w:rPr>
          <w:noProof/>
          <w:szCs w:val="24"/>
        </w:rPr>
      </w:pPr>
    </w:p>
    <w:p w14:paraId="1A3D1DDD" w14:textId="77777777" w:rsidR="00B27E8C" w:rsidRPr="00821831" w:rsidRDefault="00B27E8C" w:rsidP="00B27E8C">
      <w:pPr>
        <w:pStyle w:val="Heading2"/>
      </w:pPr>
      <w:r w:rsidRPr="00821831">
        <w:t>Background</w:t>
      </w:r>
    </w:p>
    <w:p w14:paraId="35AF7849" w14:textId="77777777" w:rsidR="00B27E8C" w:rsidRPr="00821831" w:rsidRDefault="00B27E8C" w:rsidP="00B27E8C">
      <w:r w:rsidRPr="00821831">
        <w:rPr>
          <w:lang w:val="mn-MN"/>
        </w:rPr>
        <w:t>The World Health Organisation (WHO) defines FG</w:t>
      </w:r>
      <w:r>
        <w:t>C</w:t>
      </w:r>
      <w:r>
        <w:rPr>
          <w:lang w:val="mn-MN"/>
        </w:rPr>
        <w:t xml:space="preserve"> as </w:t>
      </w:r>
      <w:r>
        <w:t xml:space="preserve"> ‘</w:t>
      </w:r>
      <w:r w:rsidRPr="00821831">
        <w:rPr>
          <w:lang w:val="mn-MN"/>
        </w:rPr>
        <w:t>the partial or total removal of the female external genitalia or other injury to the female genital</w:t>
      </w:r>
      <w:r>
        <w:rPr>
          <w:lang w:val="mn-MN"/>
        </w:rPr>
        <w:t xml:space="preserve"> organs for non-medical reasons</w:t>
      </w:r>
      <w:r>
        <w:t>’.</w:t>
      </w:r>
      <w:r>
        <w:rPr>
          <w:vertAlign w:val="superscript"/>
        </w:rPr>
        <w:t>1-2</w:t>
      </w:r>
      <w:r w:rsidRPr="00821831">
        <w:rPr>
          <w:vertAlign w:val="superscript"/>
          <w:lang w:val="mn-MN"/>
        </w:rPr>
        <w:t xml:space="preserve"> </w:t>
      </w:r>
      <w:r w:rsidRPr="00821831">
        <w:rPr>
          <w:lang w:val="mn-MN"/>
        </w:rPr>
        <w:t xml:space="preserve"> </w:t>
      </w:r>
      <w:r w:rsidRPr="00821831">
        <w:t xml:space="preserve"> </w:t>
      </w:r>
    </w:p>
    <w:p w14:paraId="27A6498F" w14:textId="77777777" w:rsidR="00B27E8C" w:rsidRPr="00821831" w:rsidRDefault="00B27E8C" w:rsidP="00B27E8C"/>
    <w:p w14:paraId="3160BFE7" w14:textId="77777777" w:rsidR="00B27E8C" w:rsidRPr="00C860E5" w:rsidRDefault="00B27E8C" w:rsidP="00B27E8C">
      <w:pPr>
        <w:rPr>
          <w:lang w:eastAsia="en-AU"/>
        </w:rPr>
      </w:pPr>
      <w:r w:rsidRPr="00C860E5">
        <w:rPr>
          <w:b/>
          <w:bCs/>
        </w:rPr>
        <w:t>WHO Definitions of FGC</w:t>
      </w:r>
      <w:r w:rsidRPr="00C860E5">
        <w:rPr>
          <w:b/>
          <w:bCs/>
          <w:vertAlign w:val="superscript"/>
        </w:rPr>
        <w:t xml:space="preserve">1                           </w:t>
      </w:r>
      <w:r w:rsidRPr="00C860E5">
        <w:rPr>
          <w:lang w:eastAsia="en-AU"/>
        </w:rPr>
        <w:t xml:space="preserve">  </w:t>
      </w:r>
    </w:p>
    <w:tbl>
      <w:tblPr>
        <w:tblStyle w:val="TableGrid"/>
        <w:tblW w:w="0" w:type="auto"/>
        <w:tblLook w:val="04A0" w:firstRow="1" w:lastRow="0" w:firstColumn="1" w:lastColumn="0" w:noHBand="0" w:noVBand="1"/>
      </w:tblPr>
      <w:tblGrid>
        <w:gridCol w:w="1361"/>
        <w:gridCol w:w="7699"/>
      </w:tblGrid>
      <w:tr w:rsidR="00B27E8C" w:rsidRPr="00821831" w14:paraId="784728AB" w14:textId="77777777" w:rsidTr="00135C7A">
        <w:tc>
          <w:tcPr>
            <w:tcW w:w="1361" w:type="dxa"/>
            <w:shd w:val="clear" w:color="auto" w:fill="FFFFFF" w:themeFill="background1"/>
          </w:tcPr>
          <w:p w14:paraId="67AEC94C" w14:textId="77777777" w:rsidR="00B27E8C" w:rsidRPr="00821831" w:rsidRDefault="00B27E8C" w:rsidP="003029FB">
            <w:pPr>
              <w:spacing w:before="60" w:after="60"/>
            </w:pPr>
            <w:r w:rsidRPr="00821831">
              <w:t>Type I</w:t>
            </w:r>
          </w:p>
        </w:tc>
        <w:tc>
          <w:tcPr>
            <w:tcW w:w="7699" w:type="dxa"/>
          </w:tcPr>
          <w:p w14:paraId="376D5448" w14:textId="77777777" w:rsidR="00B27E8C" w:rsidRPr="00821831" w:rsidRDefault="00B27E8C" w:rsidP="003029FB">
            <w:pPr>
              <w:spacing w:before="60" w:after="60"/>
            </w:pPr>
            <w:r w:rsidRPr="00821831">
              <w:t>Partial or total removal of the clitoris and/or the prepuce (clitoridectomy)</w:t>
            </w:r>
            <w:r>
              <w:t>.</w:t>
            </w:r>
          </w:p>
        </w:tc>
      </w:tr>
      <w:tr w:rsidR="00B27E8C" w:rsidRPr="00821831" w14:paraId="4FAEED47" w14:textId="77777777" w:rsidTr="00135C7A">
        <w:tc>
          <w:tcPr>
            <w:tcW w:w="1361" w:type="dxa"/>
            <w:shd w:val="clear" w:color="auto" w:fill="FFFFFF" w:themeFill="background1"/>
          </w:tcPr>
          <w:p w14:paraId="5CF01225" w14:textId="77777777" w:rsidR="00B27E8C" w:rsidRPr="00821831" w:rsidRDefault="00B27E8C" w:rsidP="003029FB">
            <w:pPr>
              <w:spacing w:before="60" w:after="60"/>
            </w:pPr>
            <w:r w:rsidRPr="00821831">
              <w:t>Type II</w:t>
            </w:r>
          </w:p>
        </w:tc>
        <w:tc>
          <w:tcPr>
            <w:tcW w:w="7699" w:type="dxa"/>
          </w:tcPr>
          <w:p w14:paraId="00F4F02F" w14:textId="77777777" w:rsidR="00B27E8C" w:rsidRPr="00821831" w:rsidRDefault="00B27E8C" w:rsidP="003029FB">
            <w:pPr>
              <w:spacing w:before="60" w:after="60"/>
            </w:pPr>
            <w:r w:rsidRPr="00821831">
              <w:t>Partial or total removal of the clitoris and the labia minora, with or without excision of the labia majora (excision)</w:t>
            </w:r>
            <w:r>
              <w:t>.</w:t>
            </w:r>
          </w:p>
        </w:tc>
      </w:tr>
      <w:tr w:rsidR="00B27E8C" w:rsidRPr="00821831" w14:paraId="12D38520" w14:textId="77777777" w:rsidTr="00135C7A">
        <w:tc>
          <w:tcPr>
            <w:tcW w:w="1361" w:type="dxa"/>
            <w:shd w:val="clear" w:color="auto" w:fill="FFFFFF" w:themeFill="background1"/>
          </w:tcPr>
          <w:p w14:paraId="04D18B19" w14:textId="77777777" w:rsidR="00B27E8C" w:rsidRPr="00821831" w:rsidRDefault="00B27E8C" w:rsidP="003029FB">
            <w:pPr>
              <w:spacing w:before="60" w:after="60"/>
            </w:pPr>
            <w:r w:rsidRPr="00821831">
              <w:t>Type III</w:t>
            </w:r>
          </w:p>
        </w:tc>
        <w:tc>
          <w:tcPr>
            <w:tcW w:w="7699" w:type="dxa"/>
          </w:tcPr>
          <w:p w14:paraId="75D1F5E7" w14:textId="77777777" w:rsidR="00B27E8C" w:rsidRPr="00821831" w:rsidRDefault="00B27E8C" w:rsidP="003029FB">
            <w:pPr>
              <w:spacing w:before="60" w:after="60"/>
            </w:pPr>
            <w:r w:rsidRPr="00821831">
              <w:t>Narrowing of the vaginal orifice with creation of a covering seal by cutting and</w:t>
            </w:r>
            <w:r>
              <w:t xml:space="preserve"> </w:t>
            </w:r>
            <w:proofErr w:type="spellStart"/>
            <w:r w:rsidRPr="00821831">
              <w:t>appositioning</w:t>
            </w:r>
            <w:proofErr w:type="spellEnd"/>
            <w:r w:rsidRPr="00821831">
              <w:t xml:space="preserve"> the labia minora and/or the labia majora, with or without excision of the clitoris (infibulation)</w:t>
            </w:r>
            <w:r>
              <w:t>.</w:t>
            </w:r>
          </w:p>
        </w:tc>
      </w:tr>
      <w:tr w:rsidR="00B27E8C" w:rsidRPr="00821831" w14:paraId="2ABBD8D9" w14:textId="77777777" w:rsidTr="00135C7A">
        <w:tc>
          <w:tcPr>
            <w:tcW w:w="1361" w:type="dxa"/>
            <w:shd w:val="clear" w:color="auto" w:fill="FFFFFF" w:themeFill="background1"/>
          </w:tcPr>
          <w:p w14:paraId="57A6C6CF" w14:textId="77777777" w:rsidR="00B27E8C" w:rsidRPr="00821831" w:rsidRDefault="00B27E8C" w:rsidP="003029FB">
            <w:pPr>
              <w:spacing w:before="60" w:after="60"/>
            </w:pPr>
            <w:r w:rsidRPr="00821831">
              <w:t>Type IV</w:t>
            </w:r>
          </w:p>
        </w:tc>
        <w:tc>
          <w:tcPr>
            <w:tcW w:w="7699" w:type="dxa"/>
          </w:tcPr>
          <w:p w14:paraId="3425D728" w14:textId="77777777" w:rsidR="00B27E8C" w:rsidRPr="00821831" w:rsidRDefault="00B27E8C" w:rsidP="003029FB">
            <w:pPr>
              <w:spacing w:before="60" w:after="60"/>
            </w:pPr>
            <w:r w:rsidRPr="00821831">
              <w:t>All other harmful procedures to the female genitalia for non-medical purposes, for example: pricking, piercing, incising, scraping and cauterization</w:t>
            </w:r>
            <w:r>
              <w:t>.</w:t>
            </w:r>
          </w:p>
        </w:tc>
      </w:tr>
    </w:tbl>
    <w:p w14:paraId="037AC2F8" w14:textId="77777777" w:rsidR="00B27E8C" w:rsidRDefault="00B27E8C" w:rsidP="00B27E8C"/>
    <w:p w14:paraId="1796582C" w14:textId="77777777" w:rsidR="00B27E8C" w:rsidRPr="00C860E5" w:rsidRDefault="00B27E8C" w:rsidP="00B27E8C">
      <w:pPr>
        <w:rPr>
          <w:b/>
          <w:bCs/>
          <w:i/>
        </w:rPr>
      </w:pPr>
      <w:r w:rsidRPr="008E4956">
        <w:rPr>
          <w:b/>
          <w:bCs/>
        </w:rPr>
        <w:t>See Attachment A for diagrams of different types of Female Genital Cutting</w:t>
      </w:r>
      <w:r w:rsidRPr="00C860E5">
        <w:rPr>
          <w:b/>
          <w:bCs/>
        </w:rPr>
        <w:t xml:space="preserve"> </w:t>
      </w:r>
    </w:p>
    <w:p w14:paraId="7DC14CAC" w14:textId="77777777" w:rsidR="00B27E8C" w:rsidRPr="00821831" w:rsidRDefault="00B27E8C" w:rsidP="00B27E8C">
      <w:pPr>
        <w:pStyle w:val="Heading2"/>
      </w:pPr>
      <w:r w:rsidRPr="00821831">
        <w:lastRenderedPageBreak/>
        <w:t>Key Objective</w:t>
      </w:r>
    </w:p>
    <w:p w14:paraId="7BA767A1" w14:textId="77777777" w:rsidR="00B27E8C" w:rsidRPr="00821831" w:rsidRDefault="00B27E8C" w:rsidP="00B27E8C">
      <w:r w:rsidRPr="00821831">
        <w:t xml:space="preserve">This guideline </w:t>
      </w:r>
      <w:r>
        <w:t xml:space="preserve">outlines the </w:t>
      </w:r>
      <w:r w:rsidRPr="00821831">
        <w:t xml:space="preserve">responsibilities </w:t>
      </w:r>
      <w:r>
        <w:t xml:space="preserve">of staff </w:t>
      </w:r>
      <w:r w:rsidRPr="00821831">
        <w:t xml:space="preserve">in relation to </w:t>
      </w:r>
      <w:r>
        <w:t>females under the age of 18 who are</w:t>
      </w:r>
      <w:r w:rsidRPr="00821831">
        <w:t xml:space="preserve"> at risk </w:t>
      </w:r>
      <w:r>
        <w:t>or</w:t>
      </w:r>
      <w:r w:rsidRPr="00821831">
        <w:t xml:space="preserve"> who have had FG</w:t>
      </w:r>
      <w:r>
        <w:t>C</w:t>
      </w:r>
      <w:r w:rsidRPr="00821831">
        <w:t xml:space="preserve"> while living in Australia.</w:t>
      </w:r>
    </w:p>
    <w:p w14:paraId="603F8326" w14:textId="77777777" w:rsidR="00B27E8C" w:rsidRDefault="00B27E8C" w:rsidP="00B27E8C"/>
    <w:p w14:paraId="7F9725CA" w14:textId="77777777" w:rsidR="00B27E8C" w:rsidRDefault="00B27E8C" w:rsidP="00B27E8C">
      <w:r w:rsidRPr="00821831">
        <w:t>The guideline</w:t>
      </w:r>
      <w:r>
        <w:t xml:space="preserve"> </w:t>
      </w:r>
      <w:r w:rsidRPr="00821831">
        <w:t>also outline</w:t>
      </w:r>
      <w:r>
        <w:t>s</w:t>
      </w:r>
      <w:r w:rsidRPr="00821831">
        <w:t xml:space="preserve"> </w:t>
      </w:r>
      <w:bookmarkStart w:id="5" w:name="_Hlk89444695"/>
      <w:r w:rsidRPr="00821831">
        <w:t>appropriate management for women and girls who have had FG</w:t>
      </w:r>
      <w:r>
        <w:t>C</w:t>
      </w:r>
      <w:r w:rsidRPr="00821831">
        <w:t xml:space="preserve"> and establish referral pathway</w:t>
      </w:r>
      <w:bookmarkEnd w:id="5"/>
      <w:r w:rsidRPr="00821831">
        <w:t>s.</w:t>
      </w:r>
    </w:p>
    <w:p w14:paraId="6491A02E" w14:textId="77777777" w:rsidR="00B27E8C" w:rsidRDefault="00B27E8C" w:rsidP="00B27E8C"/>
    <w:tbl>
      <w:tblPr>
        <w:tblStyle w:val="TableGrid"/>
        <w:tblW w:w="0" w:type="auto"/>
        <w:tblLook w:val="04A0" w:firstRow="1" w:lastRow="0" w:firstColumn="1" w:lastColumn="0" w:noHBand="0" w:noVBand="1"/>
      </w:tblPr>
      <w:tblGrid>
        <w:gridCol w:w="9060"/>
      </w:tblGrid>
      <w:tr w:rsidR="00B27E8C" w14:paraId="3BB5F957" w14:textId="77777777" w:rsidTr="00135C7A">
        <w:tc>
          <w:tcPr>
            <w:tcW w:w="9060" w:type="dxa"/>
          </w:tcPr>
          <w:p w14:paraId="41BAF0D5" w14:textId="77777777" w:rsidR="00B27E8C" w:rsidRPr="007275E8" w:rsidRDefault="00B27E8C" w:rsidP="003029FB">
            <w:pPr>
              <w:spacing w:before="120" w:after="120"/>
              <w:rPr>
                <w:b/>
                <w:bCs/>
              </w:rPr>
            </w:pPr>
            <w:r w:rsidRPr="00AA18AD">
              <w:rPr>
                <w:b/>
                <w:bCs/>
              </w:rPr>
              <w:t xml:space="preserve">Female Genital Cutting is illegal in Australia, this makes it a criminal offence to perform FGM (which includes </w:t>
            </w:r>
            <w:proofErr w:type="spellStart"/>
            <w:r w:rsidRPr="00AA18AD">
              <w:rPr>
                <w:b/>
                <w:bCs/>
              </w:rPr>
              <w:t>reinfibulation</w:t>
            </w:r>
            <w:proofErr w:type="spellEnd"/>
            <w:r w:rsidRPr="00AA18AD">
              <w:rPr>
                <w:b/>
                <w:bCs/>
              </w:rPr>
              <w:t xml:space="preserve"> after birth) and/or remove a child from the country to have FGM. Staff are expected to be aware that of specific legislation in the Australian Capital Territory.  </w:t>
            </w:r>
          </w:p>
        </w:tc>
      </w:tr>
    </w:tbl>
    <w:p w14:paraId="4F2B4FE7" w14:textId="77777777" w:rsidR="00B27E8C" w:rsidRDefault="00B27E8C" w:rsidP="00B27E8C"/>
    <w:p w14:paraId="1ADC00D9" w14:textId="77777777" w:rsidR="00B27E8C" w:rsidRDefault="00B27E8C" w:rsidP="00B27E8C">
      <w:pPr>
        <w:rPr>
          <w:b/>
          <w:bCs/>
        </w:rPr>
      </w:pPr>
      <w:r w:rsidRPr="00AA18AD">
        <w:rPr>
          <w:b/>
          <w:bCs/>
        </w:rPr>
        <w:t xml:space="preserve">Please see Attachment </w:t>
      </w:r>
      <w:r>
        <w:rPr>
          <w:b/>
          <w:bCs/>
        </w:rPr>
        <w:t xml:space="preserve">B </w:t>
      </w:r>
      <w:r w:rsidRPr="00AA18AD">
        <w:rPr>
          <w:b/>
          <w:bCs/>
        </w:rPr>
        <w:t>for relevant legislation</w:t>
      </w:r>
    </w:p>
    <w:p w14:paraId="086829F1" w14:textId="77777777" w:rsidR="00010E74" w:rsidRDefault="00010E74" w:rsidP="00C13D33"/>
    <w:p w14:paraId="086829F2" w14:textId="77777777" w:rsidR="0098579F" w:rsidRDefault="009A534C" w:rsidP="00C13D33">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6" w:name="_Toc189634613"/>
            <w:r>
              <w:t>Scope</w:t>
            </w:r>
            <w:bookmarkEnd w:id="6"/>
          </w:p>
        </w:tc>
      </w:tr>
    </w:tbl>
    <w:p w14:paraId="086829F5" w14:textId="77777777" w:rsidR="0098579F" w:rsidRDefault="0098579F" w:rsidP="0098579F"/>
    <w:p w14:paraId="0B084808" w14:textId="77777777" w:rsidR="00B27E8C" w:rsidRDefault="00B27E8C" w:rsidP="00B27E8C">
      <w:pPr>
        <w:rPr>
          <w:rFonts w:cs="Arial"/>
          <w:szCs w:val="24"/>
        </w:rPr>
      </w:pPr>
      <w:r w:rsidRPr="00D20CDF">
        <w:rPr>
          <w:rFonts w:cs="Arial"/>
          <w:szCs w:val="24"/>
        </w:rPr>
        <w:t>This FG</w:t>
      </w:r>
      <w:r>
        <w:rPr>
          <w:rFonts w:cs="Arial"/>
          <w:szCs w:val="24"/>
        </w:rPr>
        <w:t>C</w:t>
      </w:r>
      <w:r w:rsidRPr="00D20CDF">
        <w:rPr>
          <w:rFonts w:cs="Arial"/>
          <w:szCs w:val="24"/>
        </w:rPr>
        <w:t xml:space="preserve"> guideline applies to all CHS staff who have contact with wome</w:t>
      </w:r>
      <w:r>
        <w:rPr>
          <w:rFonts w:cs="Arial"/>
          <w:szCs w:val="24"/>
        </w:rPr>
        <w:t>n and girls who have had FGC or</w:t>
      </w:r>
      <w:r w:rsidRPr="00D20CDF">
        <w:rPr>
          <w:rFonts w:cs="Arial"/>
          <w:szCs w:val="24"/>
        </w:rPr>
        <w:t xml:space="preserve"> are at risk of FG</w:t>
      </w:r>
      <w:r>
        <w:rPr>
          <w:rFonts w:cs="Arial"/>
          <w:szCs w:val="24"/>
        </w:rPr>
        <w:t>C</w:t>
      </w:r>
      <w:r w:rsidRPr="00D20CDF">
        <w:rPr>
          <w:rFonts w:cs="Arial"/>
          <w:szCs w:val="24"/>
        </w:rPr>
        <w:t xml:space="preserve">. </w:t>
      </w:r>
    </w:p>
    <w:p w14:paraId="57C017AC" w14:textId="77777777" w:rsidR="00B27E8C" w:rsidRDefault="00B27E8C" w:rsidP="00B27E8C">
      <w:pPr>
        <w:rPr>
          <w:rFonts w:cs="Arial"/>
          <w:szCs w:val="24"/>
        </w:rPr>
      </w:pPr>
    </w:p>
    <w:p w14:paraId="7F59073C" w14:textId="77777777" w:rsidR="00B27E8C" w:rsidRDefault="00B27E8C" w:rsidP="00B27E8C">
      <w:pPr>
        <w:rPr>
          <w:rFonts w:cs="Arial"/>
          <w:szCs w:val="24"/>
        </w:rPr>
      </w:pPr>
      <w:r>
        <w:rPr>
          <w:rFonts w:cs="Arial"/>
          <w:szCs w:val="24"/>
        </w:rPr>
        <w:t>This document applies to the following CHS staff working within their scope of practice:</w:t>
      </w:r>
    </w:p>
    <w:p w14:paraId="15777C44" w14:textId="77777777" w:rsidR="00B27E8C" w:rsidRDefault="00B27E8C" w:rsidP="003029FB">
      <w:pPr>
        <w:pStyle w:val="ListBullet"/>
        <w:tabs>
          <w:tab w:val="clear" w:pos="1080"/>
        </w:tabs>
        <w:ind w:left="426" w:hanging="426"/>
      </w:pPr>
      <w:r>
        <w:t>Medical officers</w:t>
      </w:r>
    </w:p>
    <w:p w14:paraId="23E6ECBC" w14:textId="77777777" w:rsidR="00B27E8C" w:rsidRDefault="00B27E8C" w:rsidP="003029FB">
      <w:pPr>
        <w:pStyle w:val="ListBullet"/>
        <w:tabs>
          <w:tab w:val="clear" w:pos="1080"/>
        </w:tabs>
        <w:ind w:left="426" w:hanging="426"/>
      </w:pPr>
      <w:r>
        <w:t>Nurse practitioners</w:t>
      </w:r>
    </w:p>
    <w:p w14:paraId="6D14AC54" w14:textId="77777777" w:rsidR="00B27E8C" w:rsidRDefault="00B27E8C" w:rsidP="003029FB">
      <w:pPr>
        <w:pStyle w:val="ListBullet"/>
        <w:tabs>
          <w:tab w:val="clear" w:pos="1080"/>
        </w:tabs>
        <w:ind w:left="426" w:hanging="426"/>
      </w:pPr>
      <w:r>
        <w:t>Registered midwives</w:t>
      </w:r>
    </w:p>
    <w:p w14:paraId="4D241005" w14:textId="77777777" w:rsidR="00B27E8C" w:rsidRDefault="00B27E8C" w:rsidP="003029FB">
      <w:pPr>
        <w:pStyle w:val="ListBullet"/>
        <w:tabs>
          <w:tab w:val="clear" w:pos="1080"/>
        </w:tabs>
        <w:ind w:left="426" w:hanging="426"/>
      </w:pPr>
      <w:r>
        <w:t>Registered nurses</w:t>
      </w:r>
    </w:p>
    <w:p w14:paraId="7B87733E" w14:textId="77777777" w:rsidR="00B27E8C" w:rsidRDefault="00B27E8C" w:rsidP="003029FB">
      <w:pPr>
        <w:pStyle w:val="ListBullet"/>
        <w:tabs>
          <w:tab w:val="clear" w:pos="1080"/>
        </w:tabs>
        <w:ind w:left="426" w:hanging="426"/>
      </w:pPr>
      <w:r>
        <w:t>Allied health</w:t>
      </w:r>
    </w:p>
    <w:p w14:paraId="165D1327" w14:textId="77777777" w:rsidR="00B27E8C" w:rsidRDefault="00B27E8C" w:rsidP="003029FB">
      <w:pPr>
        <w:pStyle w:val="ListBullet"/>
        <w:tabs>
          <w:tab w:val="clear" w:pos="1080"/>
        </w:tabs>
        <w:ind w:left="426" w:hanging="426"/>
      </w:pPr>
      <w:r>
        <w:t>Students under direct supervision</w:t>
      </w:r>
    </w:p>
    <w:p w14:paraId="0BB47BF0" w14:textId="77777777" w:rsidR="00B27E8C" w:rsidRDefault="00B27E8C" w:rsidP="00B27E8C">
      <w:pPr>
        <w:rPr>
          <w:rFonts w:cs="Arial"/>
          <w:szCs w:val="24"/>
        </w:rPr>
      </w:pPr>
    </w:p>
    <w:p w14:paraId="26036594" w14:textId="77777777" w:rsidR="00B27E8C" w:rsidRDefault="00B27E8C" w:rsidP="00B27E8C">
      <w:pPr>
        <w:rPr>
          <w:rFonts w:cs="Arial"/>
          <w:szCs w:val="24"/>
        </w:rPr>
      </w:pPr>
      <w:r>
        <w:rPr>
          <w:rFonts w:cs="Arial"/>
          <w:szCs w:val="24"/>
        </w:rPr>
        <w:t>FGC may be more likely to present in the following areas:</w:t>
      </w:r>
    </w:p>
    <w:p w14:paraId="6B5CABDD" w14:textId="77777777" w:rsidR="00B27E8C" w:rsidRDefault="00B27E8C" w:rsidP="003029FB">
      <w:pPr>
        <w:pStyle w:val="ListBullet"/>
        <w:tabs>
          <w:tab w:val="clear" w:pos="1080"/>
        </w:tabs>
        <w:ind w:left="426" w:hanging="426"/>
      </w:pPr>
      <w:r w:rsidRPr="005A678E">
        <w:t xml:space="preserve">Division of Women, Youth &amp; Children </w:t>
      </w:r>
    </w:p>
    <w:p w14:paraId="5D3A39F7" w14:textId="77777777" w:rsidR="00B27E8C" w:rsidRDefault="00B27E8C" w:rsidP="003029FB">
      <w:pPr>
        <w:pStyle w:val="ListBullet"/>
        <w:tabs>
          <w:tab w:val="clear" w:pos="1080"/>
        </w:tabs>
        <w:ind w:left="426" w:hanging="426"/>
      </w:pPr>
      <w:r w:rsidRPr="005A678E">
        <w:t xml:space="preserve">Emergency Department </w:t>
      </w:r>
    </w:p>
    <w:p w14:paraId="1DCE9C2A" w14:textId="77777777" w:rsidR="00B27E8C" w:rsidRPr="00C22C72" w:rsidRDefault="00B27E8C" w:rsidP="003029FB">
      <w:pPr>
        <w:pStyle w:val="ListBullet"/>
        <w:tabs>
          <w:tab w:val="clear" w:pos="1080"/>
        </w:tabs>
        <w:ind w:left="426" w:hanging="426"/>
      </w:pPr>
      <w:r w:rsidRPr="005A678E">
        <w:t>Canberra Sexual Health Centre</w:t>
      </w:r>
    </w:p>
    <w:p w14:paraId="1A49AC29" w14:textId="77777777" w:rsidR="00B27E8C" w:rsidRDefault="00B27E8C" w:rsidP="003029FB">
      <w:pPr>
        <w:pStyle w:val="ListBullet"/>
        <w:tabs>
          <w:tab w:val="clear" w:pos="1080"/>
        </w:tabs>
        <w:ind w:left="426" w:hanging="426"/>
      </w:pPr>
      <w:r w:rsidRPr="005A678E">
        <w:t>Mental Health Services</w:t>
      </w:r>
      <w:r>
        <w:t>.</w:t>
      </w:r>
    </w:p>
    <w:p w14:paraId="086829FE" w14:textId="77777777" w:rsidR="00C13D33" w:rsidRDefault="00C13D33" w:rsidP="00C13D33">
      <w:pPr>
        <w:rPr>
          <w:rFonts w:cs="Arial"/>
          <w:szCs w:val="24"/>
        </w:rPr>
      </w:pPr>
    </w:p>
    <w:p w14:paraId="086829FF" w14:textId="77777777" w:rsidR="00C13D33" w:rsidRPr="00032890" w:rsidRDefault="00C13D33" w:rsidP="009A534C">
      <w:pPr>
        <w:jc w:val="right"/>
        <w:rPr>
          <w:rFonts w:cs="Arial"/>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30EAD8BB" w:rsidR="009A534C" w:rsidRPr="00C76688" w:rsidRDefault="009A534C" w:rsidP="00B10F87">
            <w:pPr>
              <w:pStyle w:val="Heading1"/>
            </w:pPr>
            <w:bookmarkStart w:id="7" w:name="_Toc389473278"/>
            <w:bookmarkStart w:id="8" w:name="_Toc393203334"/>
            <w:bookmarkStart w:id="9" w:name="_Toc189634614"/>
            <w:r w:rsidRPr="00C76688">
              <w:t>Section 1 –</w:t>
            </w:r>
            <w:r>
              <w:t xml:space="preserve"> </w:t>
            </w:r>
            <w:bookmarkEnd w:id="7"/>
            <w:bookmarkEnd w:id="8"/>
            <w:r w:rsidR="00B27E8C">
              <w:t>Communication</w:t>
            </w:r>
            <w:bookmarkEnd w:id="9"/>
          </w:p>
        </w:tc>
      </w:tr>
    </w:tbl>
    <w:p w14:paraId="08682A02" w14:textId="77777777" w:rsidR="009A534C" w:rsidRDefault="009A534C" w:rsidP="009A534C">
      <w:pPr>
        <w:outlineLvl w:val="0"/>
        <w:rPr>
          <w:szCs w:val="24"/>
        </w:rPr>
      </w:pPr>
    </w:p>
    <w:p w14:paraId="30BA8E9D" w14:textId="77777777" w:rsidR="00B27E8C" w:rsidRPr="00D20CDF" w:rsidRDefault="00B27E8C" w:rsidP="00B27E8C">
      <w:pPr>
        <w:pStyle w:val="Heading2"/>
        <w:ind w:left="567" w:hanging="567"/>
      </w:pPr>
      <w:r>
        <w:t>1.1</w:t>
      </w:r>
      <w:r>
        <w:tab/>
      </w:r>
      <w:r w:rsidRPr="00D20CDF">
        <w:t>Use of Interpreters</w:t>
      </w:r>
    </w:p>
    <w:p w14:paraId="7FFDEEB4" w14:textId="77777777" w:rsidR="00B27E8C" w:rsidRPr="00BA5CE9" w:rsidRDefault="00B27E8C" w:rsidP="00B27E8C">
      <w:pPr>
        <w:rPr>
          <w:rFonts w:cs="Arial"/>
          <w:i/>
          <w:iCs/>
          <w:szCs w:val="24"/>
        </w:rPr>
      </w:pPr>
      <w:r>
        <w:rPr>
          <w:rFonts w:cs="Arial"/>
          <w:szCs w:val="24"/>
        </w:rPr>
        <w:t xml:space="preserve">If a woman or girl requires an interpreter, </w:t>
      </w:r>
      <w:r w:rsidRPr="00D20CDF">
        <w:rPr>
          <w:rFonts w:cs="Arial"/>
          <w:szCs w:val="24"/>
        </w:rPr>
        <w:t xml:space="preserve">staff can access interpreters through </w:t>
      </w:r>
      <w:r>
        <w:rPr>
          <w:rFonts w:cs="Arial"/>
          <w:szCs w:val="24"/>
        </w:rPr>
        <w:t>Translating and Interpreting Services (</w:t>
      </w:r>
      <w:r w:rsidRPr="00D20CDF">
        <w:rPr>
          <w:rFonts w:cs="Arial"/>
          <w:szCs w:val="24"/>
        </w:rPr>
        <w:t>TIS</w:t>
      </w:r>
      <w:r>
        <w:rPr>
          <w:rFonts w:cs="Arial"/>
          <w:szCs w:val="24"/>
        </w:rPr>
        <w:t>)</w:t>
      </w:r>
      <w:r w:rsidRPr="00D20CDF">
        <w:rPr>
          <w:rFonts w:cs="Arial"/>
          <w:szCs w:val="24"/>
        </w:rPr>
        <w:t xml:space="preserve">. </w:t>
      </w:r>
      <w:r>
        <w:rPr>
          <w:rFonts w:cs="Arial"/>
          <w:szCs w:val="24"/>
        </w:rPr>
        <w:t xml:space="preserve">Please refer to the </w:t>
      </w:r>
      <w:r w:rsidRPr="00BA5CE9">
        <w:rPr>
          <w:rFonts w:cs="Arial"/>
          <w:i/>
          <w:iCs/>
          <w:szCs w:val="24"/>
        </w:rPr>
        <w:t xml:space="preserve">Languages Services – Interpreters </w:t>
      </w:r>
      <w:r>
        <w:rPr>
          <w:rFonts w:cs="Arial"/>
          <w:i/>
          <w:iCs/>
          <w:szCs w:val="24"/>
        </w:rPr>
        <w:t xml:space="preserve">and Translated Materials </w:t>
      </w:r>
      <w:r w:rsidRPr="00BA5CE9">
        <w:rPr>
          <w:rFonts w:cs="Arial"/>
          <w:i/>
          <w:iCs/>
          <w:szCs w:val="24"/>
        </w:rPr>
        <w:t>Procedure.</w:t>
      </w:r>
    </w:p>
    <w:p w14:paraId="5226C7BE" w14:textId="77777777" w:rsidR="00B27E8C" w:rsidRPr="00D20CDF" w:rsidRDefault="00B27E8C" w:rsidP="00B27E8C">
      <w:pPr>
        <w:rPr>
          <w:rFonts w:cs="Arial"/>
          <w:szCs w:val="24"/>
        </w:rPr>
      </w:pPr>
      <w:r w:rsidRPr="00D20CDF">
        <w:rPr>
          <w:rFonts w:cs="Arial"/>
          <w:szCs w:val="24"/>
        </w:rPr>
        <w:lastRenderedPageBreak/>
        <w:t>Important points to consider include:</w:t>
      </w:r>
    </w:p>
    <w:p w14:paraId="34C9B23E" w14:textId="77777777" w:rsidR="00B27E8C" w:rsidRPr="00D20CDF" w:rsidRDefault="00B27E8C" w:rsidP="003029FB">
      <w:pPr>
        <w:pStyle w:val="ListBullet"/>
        <w:tabs>
          <w:tab w:val="clear" w:pos="1080"/>
        </w:tabs>
        <w:ind w:left="426" w:hanging="426"/>
      </w:pPr>
      <w:r>
        <w:t xml:space="preserve">Use </w:t>
      </w:r>
      <w:r w:rsidRPr="00D20CDF">
        <w:t>a female interpreter</w:t>
      </w:r>
    </w:p>
    <w:p w14:paraId="38C7D5C8" w14:textId="77777777" w:rsidR="00B27E8C" w:rsidRDefault="00B27E8C" w:rsidP="003029FB">
      <w:pPr>
        <w:pStyle w:val="ListBullet"/>
        <w:tabs>
          <w:tab w:val="clear" w:pos="1080"/>
        </w:tabs>
        <w:ind w:left="426" w:hanging="426"/>
      </w:pPr>
      <w:r w:rsidRPr="00D20CDF">
        <w:t>Be aware that in some small migrant communities, there may be fears about confidentiality as the woman may know the interpreter socially</w:t>
      </w:r>
    </w:p>
    <w:p w14:paraId="65612AA7" w14:textId="77777777" w:rsidR="00B27E8C" w:rsidRPr="00AA4BC5" w:rsidRDefault="00B27E8C" w:rsidP="003029FB">
      <w:pPr>
        <w:pStyle w:val="ListBullet"/>
        <w:tabs>
          <w:tab w:val="clear" w:pos="1080"/>
        </w:tabs>
        <w:ind w:left="426" w:hanging="426"/>
      </w:pPr>
      <w:r w:rsidRPr="00D20CDF">
        <w:t>Consider telephone interpreters</w:t>
      </w:r>
      <w:r>
        <w:t xml:space="preserve"> and provide reassurance that interpreters are bound by a Code of Ethics, which includes maintaining confidentiality</w:t>
      </w:r>
    </w:p>
    <w:p w14:paraId="5BAE3011" w14:textId="77777777" w:rsidR="00B27E8C" w:rsidRPr="00D20CDF" w:rsidRDefault="00B27E8C" w:rsidP="003029FB">
      <w:pPr>
        <w:pStyle w:val="ListBullet"/>
        <w:tabs>
          <w:tab w:val="clear" w:pos="1080"/>
        </w:tabs>
        <w:ind w:left="426" w:hanging="426"/>
      </w:pPr>
      <w:r w:rsidRPr="00D20CDF">
        <w:t>Do not use husbands/relatives or children as interpreters</w:t>
      </w:r>
      <w:r>
        <w:t>.</w:t>
      </w:r>
    </w:p>
    <w:p w14:paraId="4476EF7E" w14:textId="77777777" w:rsidR="00B27E8C" w:rsidRPr="00D20CDF" w:rsidRDefault="00B27E8C" w:rsidP="00B27E8C">
      <w:pPr>
        <w:rPr>
          <w:rFonts w:cs="Arial"/>
          <w:b/>
          <w:szCs w:val="24"/>
        </w:rPr>
      </w:pPr>
    </w:p>
    <w:p w14:paraId="21CE7D28" w14:textId="77777777" w:rsidR="00B27E8C" w:rsidRDefault="00B27E8C" w:rsidP="00B27E8C">
      <w:pPr>
        <w:pStyle w:val="Heading2"/>
        <w:ind w:left="567" w:hanging="567"/>
      </w:pPr>
      <w:r w:rsidRPr="00D20CDF">
        <w:t xml:space="preserve">1.2 </w:t>
      </w:r>
      <w:r>
        <w:tab/>
      </w:r>
      <w:r w:rsidRPr="00D20CDF">
        <w:t>Terminology</w:t>
      </w:r>
    </w:p>
    <w:p w14:paraId="09A42CD8" w14:textId="77777777" w:rsidR="00B27E8C" w:rsidRPr="00616B7B" w:rsidRDefault="00B27E8C" w:rsidP="00B27E8C">
      <w:pPr>
        <w:rPr>
          <w:bCs/>
        </w:rPr>
      </w:pPr>
      <w:r>
        <w:rPr>
          <w:rFonts w:cs="Arial"/>
          <w:b/>
          <w:bCs/>
          <w:szCs w:val="24"/>
        </w:rPr>
        <w:t>Remember</w:t>
      </w:r>
      <w:r w:rsidRPr="00D20CDF">
        <w:rPr>
          <w:rFonts w:cs="Arial"/>
          <w:b/>
          <w:bCs/>
          <w:szCs w:val="24"/>
        </w:rPr>
        <w:t>, when working with community members, it is recommended to use culturally sensitive language</w:t>
      </w:r>
      <w:r>
        <w:rPr>
          <w:rFonts w:cs="Arial"/>
          <w:b/>
          <w:bCs/>
          <w:szCs w:val="24"/>
        </w:rPr>
        <w:t xml:space="preserve">.  </w:t>
      </w:r>
      <w:r w:rsidRPr="00D20CDF">
        <w:rPr>
          <w:rFonts w:cs="Arial"/>
          <w:szCs w:val="24"/>
        </w:rPr>
        <w:t xml:space="preserve">Community members may prefer the term </w:t>
      </w:r>
      <w:r w:rsidRPr="00FB53C3">
        <w:rPr>
          <w:rFonts w:cs="Arial"/>
          <w:bCs/>
          <w:szCs w:val="24"/>
        </w:rPr>
        <w:t>traditional cutting</w:t>
      </w:r>
      <w:r>
        <w:rPr>
          <w:rFonts w:cs="Arial"/>
          <w:szCs w:val="24"/>
        </w:rPr>
        <w:t xml:space="preserve"> or </w:t>
      </w:r>
      <w:r w:rsidRPr="00FB53C3">
        <w:rPr>
          <w:rFonts w:cs="Arial"/>
          <w:bCs/>
          <w:szCs w:val="24"/>
        </w:rPr>
        <w:t>female circumcision</w:t>
      </w:r>
      <w:r>
        <w:rPr>
          <w:rFonts w:cs="Arial"/>
          <w:b/>
          <w:bCs/>
          <w:szCs w:val="24"/>
        </w:rPr>
        <w:t xml:space="preserve">. </w:t>
      </w:r>
      <w:r>
        <w:t xml:space="preserve">  </w:t>
      </w:r>
      <w:r w:rsidRPr="00821831">
        <w:rPr>
          <w:b/>
        </w:rPr>
        <w:t xml:space="preserve">Ask the woman/girl what she calls it in her community and use this terminology in all subsequent interactions. </w:t>
      </w:r>
      <w:r w:rsidRPr="00616B7B">
        <w:rPr>
          <w:bCs/>
        </w:rPr>
        <w:t>Refer to attachment C for traditional and local terms of FGC</w:t>
      </w:r>
    </w:p>
    <w:p w14:paraId="7A590E9E" w14:textId="77777777" w:rsidR="00B27E8C" w:rsidRDefault="00B27E8C" w:rsidP="00B27E8C">
      <w:pPr>
        <w:rPr>
          <w:rFonts w:cs="Arial"/>
          <w:i/>
          <w:szCs w:val="24"/>
        </w:rPr>
      </w:pPr>
    </w:p>
    <w:p w14:paraId="4592AD6C" w14:textId="77777777" w:rsidR="00B27E8C" w:rsidRDefault="00B27E8C" w:rsidP="00B27E8C">
      <w:pPr>
        <w:pStyle w:val="Heading2"/>
        <w:ind w:left="567" w:hanging="567"/>
      </w:pPr>
      <w:r w:rsidRPr="00192C9A">
        <w:t>1.3</w:t>
      </w:r>
      <w:r>
        <w:tab/>
      </w:r>
      <w:r w:rsidRPr="00192C9A">
        <w:t>Knowing when and how to ask is crucial</w:t>
      </w:r>
    </w:p>
    <w:p w14:paraId="2713E2F9" w14:textId="2DAE3B17" w:rsidR="00B27E8C" w:rsidRPr="00616B7B" w:rsidRDefault="00B27E8C" w:rsidP="00B27E8C">
      <w:r>
        <w:rPr>
          <w:rFonts w:cs="Arial"/>
          <w:szCs w:val="24"/>
        </w:rPr>
        <w:t>Depending on the nature of the presentation, where appropriate, b</w:t>
      </w:r>
      <w:r w:rsidRPr="00D20CDF">
        <w:rPr>
          <w:rFonts w:cs="Arial"/>
          <w:szCs w:val="24"/>
        </w:rPr>
        <w:t xml:space="preserve">est practice recommends </w:t>
      </w:r>
      <w:r w:rsidRPr="00D20CDF">
        <w:rPr>
          <w:rFonts w:cs="Arial"/>
          <w:b/>
          <w:szCs w:val="24"/>
        </w:rPr>
        <w:t>asking every woman</w:t>
      </w:r>
      <w:r w:rsidRPr="00D20CDF">
        <w:rPr>
          <w:rFonts w:cs="Arial"/>
          <w:szCs w:val="24"/>
        </w:rPr>
        <w:t xml:space="preserve"> whether they have undergone FG</w:t>
      </w:r>
      <w:r>
        <w:rPr>
          <w:rFonts w:cs="Arial"/>
          <w:szCs w:val="24"/>
        </w:rPr>
        <w:t>C</w:t>
      </w:r>
      <w:r w:rsidRPr="00D20CDF">
        <w:rPr>
          <w:rFonts w:cs="Arial"/>
          <w:szCs w:val="24"/>
        </w:rPr>
        <w:t>.</w:t>
      </w:r>
      <w:r>
        <w:rPr>
          <w:rFonts w:cs="Arial"/>
          <w:szCs w:val="24"/>
        </w:rPr>
        <w:t xml:space="preserve"> </w:t>
      </w:r>
      <w:r w:rsidRPr="00D20CDF">
        <w:rPr>
          <w:rFonts w:cs="Arial"/>
          <w:szCs w:val="24"/>
        </w:rPr>
        <w:t xml:space="preserve"> </w:t>
      </w:r>
      <w:r>
        <w:rPr>
          <w:rFonts w:cs="Arial"/>
          <w:szCs w:val="24"/>
        </w:rPr>
        <w:t>Country of birth or ethnicity may be a useful guide for asking but i</w:t>
      </w:r>
      <w:r w:rsidRPr="00D20CDF">
        <w:rPr>
          <w:rFonts w:cs="Arial"/>
          <w:szCs w:val="24"/>
        </w:rPr>
        <w:t>t is important not to make any assumptions</w:t>
      </w:r>
      <w:r>
        <w:rPr>
          <w:rFonts w:cs="Arial"/>
          <w:szCs w:val="24"/>
        </w:rPr>
        <w:t xml:space="preserve">. </w:t>
      </w:r>
      <w:r w:rsidRPr="00A54B47">
        <w:t xml:space="preserve">Countries where FGC is known to be practiced </w:t>
      </w:r>
      <w:r>
        <w:t>are Egypt (91% prevalence), Ethiopia (74% prevalence), Eritrea (89% prevalence), Somalia (98% prevalence) and Sudan (88% prevalence</w:t>
      </w:r>
      <w:r w:rsidR="003029FB">
        <w:t>).</w:t>
      </w:r>
      <w:r w:rsidR="003029FB" w:rsidRPr="00616B7B">
        <w:t xml:space="preserve"> Refer</w:t>
      </w:r>
      <w:r w:rsidRPr="00616B7B">
        <w:t xml:space="preserve"> </w:t>
      </w:r>
      <w:r w:rsidR="003029FB" w:rsidRPr="00616B7B">
        <w:t>to attachment</w:t>
      </w:r>
      <w:r w:rsidRPr="00616B7B">
        <w:t xml:space="preserve"> D</w:t>
      </w:r>
      <w:r w:rsidR="003029FB">
        <w:t xml:space="preserve"> </w:t>
      </w:r>
      <w:r w:rsidRPr="00616B7B">
        <w:t xml:space="preserve">– Background Countries of Occurrence </w:t>
      </w:r>
    </w:p>
    <w:p w14:paraId="40F74306" w14:textId="77777777" w:rsidR="00B27E8C" w:rsidRPr="00821831" w:rsidRDefault="00B27E8C" w:rsidP="00B27E8C"/>
    <w:p w14:paraId="036C4069" w14:textId="101DB6C7" w:rsidR="00B27E8C" w:rsidRPr="00D20CDF" w:rsidRDefault="00B27E8C" w:rsidP="00B27E8C">
      <w:pPr>
        <w:pStyle w:val="ListParagraph"/>
        <w:ind w:left="0"/>
        <w:rPr>
          <w:rFonts w:cs="Arial"/>
          <w:szCs w:val="24"/>
        </w:rPr>
      </w:pPr>
      <w:r>
        <w:rPr>
          <w:rFonts w:cs="Arial"/>
          <w:szCs w:val="24"/>
        </w:rPr>
        <w:t>I</w:t>
      </w:r>
      <w:r w:rsidRPr="00D20CDF">
        <w:rPr>
          <w:rFonts w:cs="Arial"/>
          <w:szCs w:val="24"/>
        </w:rPr>
        <w:t>t is offensive to stereotype this to all African women and</w:t>
      </w:r>
      <w:r>
        <w:rPr>
          <w:rFonts w:cs="Arial"/>
          <w:szCs w:val="24"/>
        </w:rPr>
        <w:t>,</w:t>
      </w:r>
      <w:r w:rsidRPr="00D20CDF">
        <w:rPr>
          <w:rFonts w:cs="Arial"/>
          <w:szCs w:val="24"/>
        </w:rPr>
        <w:t xml:space="preserve"> likewise, consider that women may marry into cultures where FG</w:t>
      </w:r>
      <w:r>
        <w:rPr>
          <w:rFonts w:cs="Arial"/>
          <w:szCs w:val="24"/>
        </w:rPr>
        <w:t>C</w:t>
      </w:r>
      <w:r w:rsidRPr="00D20CDF">
        <w:rPr>
          <w:rFonts w:cs="Arial"/>
          <w:szCs w:val="24"/>
        </w:rPr>
        <w:t xml:space="preserve"> may be required of them.</w:t>
      </w:r>
      <w:r>
        <w:rPr>
          <w:rFonts w:cs="Arial"/>
          <w:szCs w:val="24"/>
        </w:rPr>
        <w:t xml:space="preserve">  </w:t>
      </w:r>
    </w:p>
    <w:p w14:paraId="6AEF9DA3" w14:textId="77777777" w:rsidR="00B27E8C" w:rsidRDefault="00B27E8C" w:rsidP="00B27E8C">
      <w:pPr>
        <w:rPr>
          <w:rFonts w:cs="Arial"/>
          <w:szCs w:val="24"/>
        </w:rPr>
      </w:pPr>
    </w:p>
    <w:p w14:paraId="057F577A" w14:textId="77777777" w:rsidR="00B27E8C" w:rsidRPr="00D20CDF" w:rsidRDefault="00B27E8C" w:rsidP="00B27E8C">
      <w:pPr>
        <w:rPr>
          <w:rFonts w:cs="Arial"/>
          <w:szCs w:val="24"/>
        </w:rPr>
      </w:pPr>
      <w:r w:rsidRPr="00D20CDF">
        <w:rPr>
          <w:rFonts w:cs="Arial"/>
          <w:szCs w:val="24"/>
        </w:rPr>
        <w:t>Consider asking</w:t>
      </w:r>
      <w:r>
        <w:rPr>
          <w:rFonts w:cs="Arial"/>
          <w:szCs w:val="24"/>
        </w:rPr>
        <w:t xml:space="preserve"> about FGC</w:t>
      </w:r>
      <w:r w:rsidRPr="00D20CDF">
        <w:rPr>
          <w:rFonts w:cs="Arial"/>
          <w:szCs w:val="24"/>
        </w:rPr>
        <w:t xml:space="preserve"> during the initial needs identification and history taking.  </w:t>
      </w:r>
    </w:p>
    <w:p w14:paraId="014B8E1C" w14:textId="77777777" w:rsidR="00B27E8C" w:rsidRPr="00D20CDF" w:rsidRDefault="00B27E8C" w:rsidP="00B27E8C">
      <w:pPr>
        <w:rPr>
          <w:rFonts w:cs="Arial"/>
          <w:szCs w:val="24"/>
        </w:rPr>
      </w:pPr>
      <w:r w:rsidRPr="00D20CDF">
        <w:rPr>
          <w:rFonts w:cs="Arial"/>
          <w:szCs w:val="24"/>
        </w:rPr>
        <w:t>Remember:</w:t>
      </w:r>
    </w:p>
    <w:p w14:paraId="4A9770C8" w14:textId="77777777" w:rsidR="00B27E8C" w:rsidRPr="00D20CDF" w:rsidRDefault="00B27E8C" w:rsidP="003029FB">
      <w:pPr>
        <w:pStyle w:val="ListBullet"/>
        <w:tabs>
          <w:tab w:val="clear" w:pos="1080"/>
        </w:tabs>
        <w:ind w:left="426" w:hanging="426"/>
      </w:pPr>
      <w:r>
        <w:t>t</w:t>
      </w:r>
      <w:r w:rsidRPr="00D20CDF">
        <w:t>o be sensitive, clear and non-judgemental</w:t>
      </w:r>
    </w:p>
    <w:p w14:paraId="2ECE93BB" w14:textId="77777777" w:rsidR="00B27E8C" w:rsidRPr="00D20CDF" w:rsidRDefault="00B27E8C" w:rsidP="003029FB">
      <w:pPr>
        <w:pStyle w:val="ListBullet"/>
        <w:tabs>
          <w:tab w:val="clear" w:pos="1080"/>
        </w:tabs>
        <w:ind w:left="426" w:hanging="426"/>
      </w:pPr>
      <w:r>
        <w:t>t</w:t>
      </w:r>
      <w:r w:rsidRPr="00D20CDF">
        <w:t>o use simple straight forward language</w:t>
      </w:r>
    </w:p>
    <w:p w14:paraId="46064187" w14:textId="77777777" w:rsidR="00B27E8C" w:rsidRDefault="00B27E8C" w:rsidP="003029FB">
      <w:pPr>
        <w:pStyle w:val="ListBullet"/>
        <w:tabs>
          <w:tab w:val="clear" w:pos="1080"/>
        </w:tabs>
        <w:ind w:left="426" w:hanging="426"/>
      </w:pPr>
      <w:r>
        <w:t>t</w:t>
      </w:r>
      <w:r w:rsidRPr="00D20CDF">
        <w:t>hat this is a sensitive and private topic so give a rationale for why you are asking</w:t>
      </w:r>
    </w:p>
    <w:p w14:paraId="790CB4A7" w14:textId="77777777" w:rsidR="00B27E8C" w:rsidRDefault="00B27E8C" w:rsidP="003029FB">
      <w:pPr>
        <w:pStyle w:val="ListBullet"/>
        <w:tabs>
          <w:tab w:val="clear" w:pos="1080"/>
        </w:tabs>
        <w:ind w:left="426" w:hanging="426"/>
        <w:rPr>
          <w:rFonts w:cs="Arial"/>
          <w:szCs w:val="24"/>
        </w:rPr>
      </w:pPr>
      <w:r>
        <w:t>use interpreters whenever needed</w:t>
      </w:r>
    </w:p>
    <w:p w14:paraId="2A740996" w14:textId="77777777" w:rsidR="003029FB" w:rsidRDefault="003029FB" w:rsidP="00B27E8C">
      <w:pPr>
        <w:rPr>
          <w:rFonts w:cs="Arial"/>
          <w:szCs w:val="24"/>
        </w:rPr>
      </w:pPr>
    </w:p>
    <w:p w14:paraId="777B57FC" w14:textId="5EF9A677" w:rsidR="00B27E8C" w:rsidRPr="00D20CDF" w:rsidRDefault="00B27E8C" w:rsidP="00B27E8C">
      <w:pPr>
        <w:rPr>
          <w:rFonts w:cs="Arial"/>
          <w:szCs w:val="24"/>
        </w:rPr>
      </w:pPr>
      <w:r w:rsidRPr="00D20CDF">
        <w:rPr>
          <w:rFonts w:cs="Arial"/>
          <w:szCs w:val="24"/>
        </w:rPr>
        <w:t>Examples of how to ask:</w:t>
      </w:r>
    </w:p>
    <w:p w14:paraId="51EB5F59" w14:textId="77777777" w:rsidR="00B27E8C" w:rsidRPr="00E54C9A" w:rsidRDefault="00B27E8C" w:rsidP="00B27E8C">
      <w:pPr>
        <w:rPr>
          <w:rFonts w:cs="Arial"/>
          <w:szCs w:val="24"/>
        </w:rPr>
      </w:pPr>
      <w:r w:rsidRPr="00E54C9A">
        <w:rPr>
          <w:rFonts w:cs="Arial"/>
          <w:szCs w:val="24"/>
        </w:rPr>
        <w:t xml:space="preserve">Female circumcision occurs in many different countries and communities around the </w:t>
      </w:r>
      <w:proofErr w:type="gramStart"/>
      <w:r w:rsidRPr="00E54C9A">
        <w:rPr>
          <w:rFonts w:cs="Arial"/>
          <w:szCs w:val="24"/>
        </w:rPr>
        <w:t>world,</w:t>
      </w:r>
      <w:proofErr w:type="gramEnd"/>
      <w:r w:rsidRPr="00E54C9A">
        <w:rPr>
          <w:rFonts w:cs="Arial"/>
          <w:szCs w:val="24"/>
        </w:rPr>
        <w:t xml:space="preserve"> </w:t>
      </w:r>
      <w:r>
        <w:rPr>
          <w:rFonts w:cs="Arial"/>
          <w:szCs w:val="24"/>
        </w:rPr>
        <w:t>in order to</w:t>
      </w:r>
      <w:r w:rsidRPr="00E54C9A">
        <w:rPr>
          <w:rFonts w:cs="Arial"/>
          <w:szCs w:val="24"/>
        </w:rPr>
        <w:t xml:space="preserve"> provide </w:t>
      </w:r>
      <w:r>
        <w:rPr>
          <w:rFonts w:cs="Arial"/>
          <w:szCs w:val="24"/>
        </w:rPr>
        <w:t xml:space="preserve">you with </w:t>
      </w:r>
      <w:r w:rsidRPr="00E54C9A">
        <w:rPr>
          <w:rFonts w:cs="Arial"/>
          <w:szCs w:val="24"/>
        </w:rPr>
        <w:t>the best care possible, could you please tell me...</w:t>
      </w:r>
    </w:p>
    <w:p w14:paraId="4DB5BC76" w14:textId="77777777" w:rsidR="00B27E8C" w:rsidRPr="003A6925" w:rsidRDefault="00B27E8C" w:rsidP="003029FB">
      <w:pPr>
        <w:pStyle w:val="ListBullet"/>
        <w:ind w:left="426" w:hanging="426"/>
      </w:pPr>
      <w:r w:rsidRPr="003A6925">
        <w:t>If as a young girl, did you have any cutting to the skin around your vagina/have you had traditional cutting?</w:t>
      </w:r>
    </w:p>
    <w:p w14:paraId="500BE09F" w14:textId="77777777" w:rsidR="00B27E8C" w:rsidRDefault="00B27E8C" w:rsidP="003029FB">
      <w:pPr>
        <w:pStyle w:val="ListBullet"/>
        <w:ind w:left="426" w:hanging="426"/>
      </w:pPr>
      <w:r w:rsidRPr="003A6925">
        <w:t xml:space="preserve">If your daughter(s) have had any cutting to the skin around her vagina/ traditional cutting?  </w:t>
      </w:r>
    </w:p>
    <w:tbl>
      <w:tblPr>
        <w:tblStyle w:val="TableGrid"/>
        <w:tblW w:w="0" w:type="auto"/>
        <w:tblInd w:w="426" w:type="dxa"/>
        <w:tblLook w:val="04A0" w:firstRow="1" w:lastRow="0" w:firstColumn="1" w:lastColumn="0" w:noHBand="0" w:noVBand="1"/>
      </w:tblPr>
      <w:tblGrid>
        <w:gridCol w:w="8634"/>
      </w:tblGrid>
      <w:tr w:rsidR="00B27E8C" w14:paraId="280E5AD9" w14:textId="77777777" w:rsidTr="003029FB">
        <w:tc>
          <w:tcPr>
            <w:tcW w:w="8634" w:type="dxa"/>
          </w:tcPr>
          <w:p w14:paraId="43978D23" w14:textId="2E0A8C22" w:rsidR="00B27E8C" w:rsidRPr="003029FB" w:rsidRDefault="00B27E8C" w:rsidP="003029FB">
            <w:pPr>
              <w:spacing w:before="120" w:after="120"/>
              <w:rPr>
                <w:b/>
                <w:bCs/>
              </w:rPr>
            </w:pPr>
            <w:proofErr w:type="spellStart"/>
            <w:r w:rsidRPr="00192C9A">
              <w:rPr>
                <w:b/>
                <w:bCs/>
              </w:rPr>
              <w:t>Cohealth</w:t>
            </w:r>
            <w:proofErr w:type="spellEnd"/>
            <w:r w:rsidRPr="00192C9A">
              <w:rPr>
                <w:b/>
                <w:bCs/>
              </w:rPr>
              <w:t xml:space="preserve"> has developed a video: Starting conversations about female genital circumcision, which can be found on their website. Female Genital Cutting - </w:t>
            </w:r>
            <w:proofErr w:type="spellStart"/>
            <w:r w:rsidRPr="00192C9A">
              <w:rPr>
                <w:b/>
                <w:bCs/>
              </w:rPr>
              <w:lastRenderedPageBreak/>
              <w:t>cohealth</w:t>
            </w:r>
            <w:proofErr w:type="spellEnd"/>
            <w:r w:rsidRPr="00192C9A">
              <w:rPr>
                <w:b/>
                <w:bCs/>
              </w:rPr>
              <w:t xml:space="preserve"> - Community Health Service</w:t>
            </w:r>
            <w:r>
              <w:rPr>
                <w:b/>
                <w:bCs/>
              </w:rPr>
              <w:t xml:space="preserve">  </w:t>
            </w:r>
            <w:hyperlink r:id="rId11" w:history="1">
              <w:r w:rsidRPr="00F40A38">
                <w:rPr>
                  <w:rStyle w:val="Hyperlink"/>
                  <w:b/>
                  <w:bCs/>
                </w:rPr>
                <w:t>https://www.cohealth.org.au/health-promotion/fgc/</w:t>
              </w:r>
            </w:hyperlink>
            <w:r>
              <w:rPr>
                <w:b/>
                <w:bCs/>
              </w:rPr>
              <w:t xml:space="preserve"> </w:t>
            </w:r>
          </w:p>
        </w:tc>
      </w:tr>
    </w:tbl>
    <w:p w14:paraId="6455B5CE" w14:textId="77777777" w:rsidR="00B27E8C" w:rsidRPr="001A4769" w:rsidRDefault="00B27E8C" w:rsidP="00B27E8C">
      <w:pPr>
        <w:rPr>
          <w:rFonts w:cs="Arial"/>
          <w:szCs w:val="24"/>
        </w:rPr>
      </w:pPr>
      <w:r w:rsidRPr="001A4769">
        <w:rPr>
          <w:rFonts w:cs="Arial"/>
          <w:szCs w:val="24"/>
        </w:rPr>
        <w:lastRenderedPageBreak/>
        <w:t>Depending on the context of the presentation/attendance, other opti</w:t>
      </w:r>
      <w:r>
        <w:rPr>
          <w:rFonts w:cs="Arial"/>
          <w:szCs w:val="24"/>
        </w:rPr>
        <w:t>ons for rationale may include:</w:t>
      </w:r>
    </w:p>
    <w:p w14:paraId="472C9C84" w14:textId="77777777" w:rsidR="00B27E8C" w:rsidRPr="00E54C9A" w:rsidRDefault="00B27E8C" w:rsidP="003029FB">
      <w:pPr>
        <w:pStyle w:val="ListBullet"/>
        <w:tabs>
          <w:tab w:val="clear" w:pos="1080"/>
        </w:tabs>
        <w:ind w:left="426" w:hanging="426"/>
      </w:pPr>
      <w:proofErr w:type="gramStart"/>
      <w:r w:rsidRPr="00E54C9A">
        <w:t>In order to</w:t>
      </w:r>
      <w:proofErr w:type="gramEnd"/>
      <w:r w:rsidRPr="00E54C9A">
        <w:t xml:space="preserve"> conduct a thorough health assessment, I need to ask...</w:t>
      </w:r>
    </w:p>
    <w:p w14:paraId="157D5763" w14:textId="77777777" w:rsidR="00B27E8C" w:rsidRPr="00E54C9A" w:rsidRDefault="00B27E8C" w:rsidP="003029FB">
      <w:pPr>
        <w:pStyle w:val="ListBullet"/>
        <w:tabs>
          <w:tab w:val="clear" w:pos="1080"/>
        </w:tabs>
        <w:ind w:left="426" w:hanging="426"/>
      </w:pPr>
      <w:r w:rsidRPr="00E54C9A">
        <w:t>To help me to develop a labour plan, could you please tell me...</w:t>
      </w:r>
    </w:p>
    <w:p w14:paraId="048E25DE" w14:textId="77777777" w:rsidR="00B27E8C" w:rsidRPr="00E54C9A" w:rsidRDefault="00B27E8C" w:rsidP="003029FB">
      <w:pPr>
        <w:pStyle w:val="ListBullet"/>
        <w:tabs>
          <w:tab w:val="clear" w:pos="1080"/>
        </w:tabs>
        <w:ind w:left="426" w:hanging="426"/>
      </w:pPr>
      <w:proofErr w:type="gramStart"/>
      <w:r w:rsidRPr="00E54C9A">
        <w:t>In order to</w:t>
      </w:r>
      <w:proofErr w:type="gramEnd"/>
      <w:r w:rsidRPr="00E54C9A">
        <w:t xml:space="preserve"> help me identify any potential health complications, could you please tell me...</w:t>
      </w:r>
    </w:p>
    <w:p w14:paraId="5C4F7244" w14:textId="77777777" w:rsidR="00B27E8C" w:rsidRDefault="00B27E8C" w:rsidP="003029FB">
      <w:pPr>
        <w:pStyle w:val="ListBullet"/>
        <w:tabs>
          <w:tab w:val="clear" w:pos="1080"/>
        </w:tabs>
        <w:ind w:left="426" w:hanging="426"/>
      </w:pPr>
      <w:r w:rsidRPr="00E54C9A">
        <w:t>You have told me that you are having pain with intercourse/sex, could you please tell me...</w:t>
      </w:r>
    </w:p>
    <w:p w14:paraId="6EDF7284" w14:textId="77777777" w:rsidR="00B27E8C" w:rsidRDefault="00B27E8C" w:rsidP="00B27E8C">
      <w:pPr>
        <w:pStyle w:val="ListBullet"/>
        <w:numPr>
          <w:ilvl w:val="0"/>
          <w:numId w:val="0"/>
        </w:numPr>
        <w:ind w:left="426" w:hanging="426"/>
      </w:pPr>
    </w:p>
    <w:p w14:paraId="0D392DAA" w14:textId="77777777" w:rsidR="00B27E8C" w:rsidRPr="00D20CDF" w:rsidRDefault="00B27E8C" w:rsidP="003029FB">
      <w:pPr>
        <w:pStyle w:val="Heading2"/>
        <w:ind w:left="567" w:hanging="567"/>
      </w:pPr>
      <w:r>
        <w:t>1.4</w:t>
      </w:r>
      <w:r>
        <w:tab/>
      </w:r>
      <w:r w:rsidRPr="00D20CDF">
        <w:t xml:space="preserve">Legislation </w:t>
      </w:r>
    </w:p>
    <w:p w14:paraId="65998209" w14:textId="77777777" w:rsidR="00B27E8C" w:rsidRPr="00CC363F" w:rsidRDefault="00B27E8C" w:rsidP="00B27E8C">
      <w:r w:rsidRPr="00D20CDF">
        <w:rPr>
          <w:rFonts w:cs="Arial"/>
          <w:szCs w:val="24"/>
        </w:rPr>
        <w:t>Inform the</w:t>
      </w:r>
      <w:r>
        <w:rPr>
          <w:rFonts w:cs="Arial"/>
          <w:szCs w:val="24"/>
        </w:rPr>
        <w:t xml:space="preserve"> woman and family</w:t>
      </w:r>
      <w:r w:rsidRPr="00D20CDF">
        <w:rPr>
          <w:rFonts w:cs="Arial"/>
          <w:szCs w:val="24"/>
        </w:rPr>
        <w:t xml:space="preserve"> that FG</w:t>
      </w:r>
      <w:r>
        <w:rPr>
          <w:rFonts w:cs="Arial"/>
          <w:szCs w:val="24"/>
        </w:rPr>
        <w:t>C</w:t>
      </w:r>
      <w:r w:rsidRPr="00D20CDF">
        <w:rPr>
          <w:rFonts w:cs="Arial"/>
          <w:szCs w:val="24"/>
        </w:rPr>
        <w:t xml:space="preserve"> is illegal in Australia</w:t>
      </w:r>
      <w:r>
        <w:rPr>
          <w:rFonts w:cs="Arial"/>
          <w:szCs w:val="24"/>
        </w:rPr>
        <w:t>. F</w:t>
      </w:r>
      <w:r w:rsidRPr="00882029">
        <w:t>amilies</w:t>
      </w:r>
      <w:r>
        <w:t xml:space="preserve"> </w:t>
      </w:r>
      <w:r w:rsidRPr="00882029">
        <w:t>need to be</w:t>
      </w:r>
      <w:r>
        <w:t xml:space="preserve"> made</w:t>
      </w:r>
      <w:r w:rsidRPr="00882029">
        <w:t xml:space="preserve"> </w:t>
      </w:r>
      <w:r>
        <w:t xml:space="preserve">aware </w:t>
      </w:r>
      <w:r w:rsidRPr="00882029">
        <w:t>of the legislation, penalties and taught about the negative consequences of FG</w:t>
      </w:r>
      <w:r>
        <w:t>C</w:t>
      </w:r>
      <w:r w:rsidRPr="00882029">
        <w:t>.</w:t>
      </w:r>
      <w:r>
        <w:t xml:space="preserve">  </w:t>
      </w:r>
    </w:p>
    <w:p w14:paraId="4D1E84B6" w14:textId="77777777" w:rsidR="00B27E8C" w:rsidRDefault="00B27E8C" w:rsidP="00B27E8C"/>
    <w:p w14:paraId="26D6141C" w14:textId="77777777" w:rsidR="00B27E8C" w:rsidRPr="00E01008" w:rsidRDefault="00B27E8C" w:rsidP="003029FB">
      <w:pPr>
        <w:pStyle w:val="Heading2"/>
        <w:ind w:left="567" w:hanging="567"/>
      </w:pPr>
      <w:r>
        <w:t>1.5</w:t>
      </w:r>
      <w:r>
        <w:tab/>
      </w:r>
      <w:r w:rsidRPr="00E01008">
        <w:t>Referrals</w:t>
      </w:r>
    </w:p>
    <w:p w14:paraId="7DCE2F6A" w14:textId="77777777" w:rsidR="00B27E8C" w:rsidRDefault="00B27E8C" w:rsidP="00B27E8C">
      <w:r>
        <w:t>With consent, depending on the nature and context of their presentation, appropriate referrals will need to be discussed. Key points to remember:</w:t>
      </w:r>
    </w:p>
    <w:p w14:paraId="69FDED04" w14:textId="77777777" w:rsidR="00B27E8C" w:rsidRDefault="00B27E8C" w:rsidP="003029FB">
      <w:pPr>
        <w:pStyle w:val="ListBullet"/>
        <w:tabs>
          <w:tab w:val="clear" w:pos="1080"/>
        </w:tabs>
        <w:ind w:left="426" w:hanging="426"/>
      </w:pPr>
      <w:r>
        <w:t xml:space="preserve">some women do not realise that they are different from other women and girls,  </w:t>
      </w:r>
    </w:p>
    <w:p w14:paraId="4D7AA7DE" w14:textId="77777777" w:rsidR="00B27E8C" w:rsidRDefault="00B27E8C" w:rsidP="003029FB">
      <w:pPr>
        <w:pStyle w:val="ListBullet"/>
        <w:tabs>
          <w:tab w:val="clear" w:pos="1080"/>
        </w:tabs>
        <w:ind w:left="426" w:hanging="426"/>
      </w:pPr>
      <w:r>
        <w:t>some women may not know that they have had the procedure (i.e., performed when they were very young, or they have blocked out the memory)</w:t>
      </w:r>
    </w:p>
    <w:p w14:paraId="7586BB53" w14:textId="77777777" w:rsidR="00B27E8C" w:rsidRDefault="00B27E8C" w:rsidP="00B27E8C"/>
    <w:p w14:paraId="4CCD4A86" w14:textId="77777777" w:rsidR="00B27E8C" w:rsidRPr="00BC1903" w:rsidRDefault="00B27E8C" w:rsidP="00B27E8C">
      <w:r>
        <w:t>Women may require psychological and/or psychosexual counselling. Women may require referral to an obstetrician, gynaecologist, or urologist. Referral pathways can be found in Attachment E</w:t>
      </w:r>
      <w:r w:rsidRPr="0071156F">
        <w:t>.</w:t>
      </w:r>
    </w:p>
    <w:p w14:paraId="7AB0DBC1" w14:textId="77777777" w:rsidR="00B27E8C" w:rsidRPr="00D20CDF" w:rsidRDefault="00B27E8C" w:rsidP="00B27E8C"/>
    <w:p w14:paraId="6DEB7C96" w14:textId="77777777" w:rsidR="00B27E8C" w:rsidRPr="003029FB" w:rsidRDefault="00B27E8C" w:rsidP="003029FB">
      <w:pPr>
        <w:pStyle w:val="Heading2"/>
        <w:ind w:left="567" w:hanging="567"/>
      </w:pPr>
      <w:r>
        <w:t xml:space="preserve">1.6 </w:t>
      </w:r>
      <w:r>
        <w:tab/>
      </w:r>
      <w:r w:rsidRPr="00D20CDF">
        <w:t>FG</w:t>
      </w:r>
      <w:r>
        <w:t>C</w:t>
      </w:r>
      <w:r w:rsidRPr="00D20CDF">
        <w:t xml:space="preserve"> training</w:t>
      </w:r>
    </w:p>
    <w:p w14:paraId="7E1781E5" w14:textId="77777777" w:rsidR="00B27E8C" w:rsidRDefault="00B27E8C" w:rsidP="00B27E8C">
      <w:pPr>
        <w:pStyle w:val="ListParagraph"/>
        <w:ind w:left="0"/>
        <w:rPr>
          <w:rFonts w:cs="Arial"/>
          <w:b/>
          <w:bCs/>
          <w:szCs w:val="24"/>
          <w:u w:val="single"/>
        </w:rPr>
      </w:pPr>
      <w:r w:rsidRPr="00D20CDF">
        <w:rPr>
          <w:rFonts w:cs="Arial"/>
          <w:szCs w:val="24"/>
        </w:rPr>
        <w:t>More information and FG</w:t>
      </w:r>
      <w:r>
        <w:rPr>
          <w:rFonts w:cs="Arial"/>
          <w:szCs w:val="24"/>
        </w:rPr>
        <w:t>C</w:t>
      </w:r>
      <w:r w:rsidRPr="00D20CDF">
        <w:rPr>
          <w:rFonts w:cs="Arial"/>
          <w:szCs w:val="24"/>
        </w:rPr>
        <w:t xml:space="preserve"> training are available through </w:t>
      </w:r>
      <w:r>
        <w:rPr>
          <w:rFonts w:cs="Arial"/>
          <w:szCs w:val="24"/>
        </w:rPr>
        <w:t xml:space="preserve">Canberra Health Services Education and learning platform </w:t>
      </w:r>
      <w:r w:rsidRPr="00D02341">
        <w:rPr>
          <w:rFonts w:cs="Arial"/>
          <w:b/>
          <w:bCs/>
          <w:szCs w:val="24"/>
          <w:u w:val="single"/>
        </w:rPr>
        <w:t>Female Genital Mutilation (eLearning - 2018 V2)</w:t>
      </w:r>
    </w:p>
    <w:p w14:paraId="08682A06" w14:textId="77777777" w:rsidR="009A534C" w:rsidRDefault="009A534C" w:rsidP="009A534C">
      <w:pPr>
        <w:rPr>
          <w:rFonts w:cs="Arial"/>
          <w:i/>
          <w:szCs w:val="24"/>
        </w:rPr>
      </w:pPr>
      <w:r>
        <w:rPr>
          <w:rFonts w:cs="Arial"/>
          <w:i/>
          <w:szCs w:val="24"/>
        </w:rPr>
        <w:t xml:space="preserve"> </w:t>
      </w:r>
    </w:p>
    <w:p w14:paraId="08682A07" w14:textId="77777777" w:rsidR="009A534C" w:rsidRPr="00DA3910" w:rsidRDefault="009A534C" w:rsidP="009A534C">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3C9DBCB2" w:rsidR="009A534C" w:rsidRPr="00C76688" w:rsidRDefault="009A534C" w:rsidP="00010E74">
            <w:pPr>
              <w:pStyle w:val="Heading1"/>
            </w:pPr>
            <w:bookmarkStart w:id="10" w:name="_Toc389473281"/>
            <w:bookmarkStart w:id="11" w:name="_Toc393203337"/>
            <w:bookmarkStart w:id="12" w:name="_Toc189634615"/>
            <w:r w:rsidRPr="00C76688">
              <w:t xml:space="preserve">Section 2 – </w:t>
            </w:r>
            <w:bookmarkEnd w:id="10"/>
            <w:bookmarkEnd w:id="11"/>
            <w:r w:rsidR="00B27E8C">
              <w:t>Maternity Services</w:t>
            </w:r>
            <w:bookmarkEnd w:id="12"/>
          </w:p>
        </w:tc>
      </w:tr>
    </w:tbl>
    <w:p w14:paraId="08682A0B" w14:textId="77777777" w:rsidR="008E74FD" w:rsidRDefault="008E74FD" w:rsidP="00D54ED5">
      <w:pPr>
        <w:rPr>
          <w:rFonts w:cs="Arial"/>
          <w:i/>
          <w:szCs w:val="24"/>
        </w:rPr>
      </w:pPr>
    </w:p>
    <w:p w14:paraId="07FBCF4F" w14:textId="77777777" w:rsidR="00B27E8C" w:rsidRDefault="00B27E8C" w:rsidP="00B27E8C">
      <w:pPr>
        <w:rPr>
          <w:rFonts w:cs="Arial"/>
          <w:szCs w:val="24"/>
        </w:rPr>
      </w:pPr>
      <w:r>
        <w:rPr>
          <w:rFonts w:cs="Arial"/>
          <w:szCs w:val="24"/>
        </w:rPr>
        <w:t xml:space="preserve">Pregnancy and antenatal services present an ideal opportunity to screen for FGC. </w:t>
      </w:r>
    </w:p>
    <w:p w14:paraId="624CCEDB" w14:textId="77777777" w:rsidR="00B27E8C" w:rsidRDefault="00B27E8C" w:rsidP="00B27E8C">
      <w:pPr>
        <w:rPr>
          <w:rFonts w:cs="Arial"/>
          <w:szCs w:val="24"/>
        </w:rPr>
      </w:pPr>
    </w:p>
    <w:p w14:paraId="37A89A80" w14:textId="77777777" w:rsidR="00B27E8C" w:rsidRDefault="00B27E8C" w:rsidP="00DA5FE4">
      <w:pPr>
        <w:pStyle w:val="Heading2"/>
        <w:ind w:left="567" w:hanging="567"/>
      </w:pPr>
      <w:r w:rsidRPr="00955DFD">
        <w:t xml:space="preserve">2.1 </w:t>
      </w:r>
      <w:r>
        <w:tab/>
      </w:r>
      <w:r w:rsidRPr="00955DFD">
        <w:t>Antenatal care</w:t>
      </w:r>
    </w:p>
    <w:p w14:paraId="5A3BEC67" w14:textId="77777777" w:rsidR="00B27E8C" w:rsidRPr="0052355C" w:rsidRDefault="00B27E8C" w:rsidP="00DA5FE4">
      <w:pPr>
        <w:pStyle w:val="ListBullet"/>
        <w:tabs>
          <w:tab w:val="clear" w:pos="1080"/>
        </w:tabs>
        <w:ind w:left="426" w:hanging="426"/>
        <w:rPr>
          <w:rFonts w:cs="Calibri"/>
        </w:rPr>
      </w:pPr>
      <w:r w:rsidRPr="0052355C">
        <w:rPr>
          <w:rFonts w:cs="Calibri"/>
        </w:rPr>
        <w:t xml:space="preserve">At the preadmission visit, </w:t>
      </w:r>
      <w:r>
        <w:t>women from countries known to practice FGC should be asked at their first appointment whether they have undergone FGC or circumcision and if so whether they have experienced any health consequences.</w:t>
      </w:r>
    </w:p>
    <w:p w14:paraId="47E90555" w14:textId="77777777" w:rsidR="00B27E8C" w:rsidRDefault="00B27E8C" w:rsidP="00DA5FE4">
      <w:pPr>
        <w:pStyle w:val="ListBullet"/>
        <w:tabs>
          <w:tab w:val="clear" w:pos="1080"/>
        </w:tabs>
        <w:ind w:left="426" w:hanging="426"/>
        <w:rPr>
          <w:rFonts w:cs="Calibri"/>
        </w:rPr>
      </w:pPr>
      <w:r>
        <w:t xml:space="preserve">Ensure women are informed on the models of care available for pregnancy care through CHS. Continuity of midwifery care through the CALD clinic or Continuity Team practice has been evidenced to improve birthing outcomes. </w:t>
      </w:r>
    </w:p>
    <w:p w14:paraId="517E6685" w14:textId="77777777" w:rsidR="00B27E8C" w:rsidRPr="0052355C" w:rsidRDefault="00B27E8C" w:rsidP="00DA5FE4">
      <w:pPr>
        <w:pStyle w:val="ListBullet"/>
        <w:tabs>
          <w:tab w:val="clear" w:pos="1080"/>
        </w:tabs>
        <w:ind w:left="426" w:hanging="426"/>
        <w:rPr>
          <w:rFonts w:cs="Calibri"/>
        </w:rPr>
      </w:pPr>
      <w:r w:rsidRPr="0052355C">
        <w:rPr>
          <w:rFonts w:cs="Calibri"/>
        </w:rPr>
        <w:lastRenderedPageBreak/>
        <w:t>To plan appropriate care, all women with FGC should be examined by an experienced clinician (preferably female) following informed consent.</w:t>
      </w:r>
    </w:p>
    <w:p w14:paraId="792FD195" w14:textId="77777777" w:rsidR="00B27E8C" w:rsidRDefault="00B27E8C" w:rsidP="00DA5FE4">
      <w:pPr>
        <w:pStyle w:val="ListBullet"/>
        <w:tabs>
          <w:tab w:val="clear" w:pos="1080"/>
        </w:tabs>
        <w:ind w:left="426" w:hanging="426"/>
        <w:rPr>
          <w:rFonts w:cs="Calibri"/>
        </w:rPr>
      </w:pPr>
      <w:r w:rsidRPr="00955DFD">
        <w:rPr>
          <w:rFonts w:cs="Calibri"/>
        </w:rPr>
        <w:t>Explain the importance of a pelvic examination to discuss</w:t>
      </w:r>
      <w:r>
        <w:rPr>
          <w:rFonts w:cs="Calibri"/>
        </w:rPr>
        <w:t xml:space="preserve"> with her the implications FGC</w:t>
      </w:r>
      <w:r w:rsidRPr="00955DFD">
        <w:rPr>
          <w:rFonts w:cs="Calibri"/>
        </w:rPr>
        <w:t xml:space="preserve"> may have on the delivery of her baby</w:t>
      </w:r>
      <w:r>
        <w:rPr>
          <w:rFonts w:cs="Calibri"/>
        </w:rPr>
        <w:t>.</w:t>
      </w:r>
    </w:p>
    <w:p w14:paraId="3A883618" w14:textId="77777777" w:rsidR="00B27E8C" w:rsidRPr="00CF6B33" w:rsidRDefault="00B27E8C" w:rsidP="00DA5FE4">
      <w:pPr>
        <w:pStyle w:val="ListBullet"/>
        <w:tabs>
          <w:tab w:val="clear" w:pos="1080"/>
        </w:tabs>
        <w:ind w:left="426" w:hanging="426"/>
        <w:rPr>
          <w:rFonts w:cs="Calibri"/>
        </w:rPr>
      </w:pPr>
      <w:r w:rsidRPr="00FB55BF">
        <w:rPr>
          <w:rFonts w:cs="Calibri"/>
        </w:rPr>
        <w:t>The pelvic examination will assess the following:</w:t>
      </w:r>
    </w:p>
    <w:p w14:paraId="168FFF07" w14:textId="77777777" w:rsidR="00B27E8C" w:rsidRPr="00FB55BF" w:rsidRDefault="00B27E8C" w:rsidP="00DA5FE4">
      <w:pPr>
        <w:pStyle w:val="ListParagraph"/>
        <w:numPr>
          <w:ilvl w:val="0"/>
          <w:numId w:val="14"/>
        </w:numPr>
        <w:ind w:left="851" w:hanging="425"/>
      </w:pPr>
      <w:r>
        <w:t>Type of FGC</w:t>
      </w:r>
    </w:p>
    <w:p w14:paraId="2D376DE3" w14:textId="77777777" w:rsidR="00B27E8C" w:rsidRPr="00BD345B" w:rsidRDefault="00B27E8C" w:rsidP="00707773">
      <w:pPr>
        <w:pStyle w:val="ListParagraph"/>
        <w:numPr>
          <w:ilvl w:val="0"/>
          <w:numId w:val="37"/>
        </w:numPr>
        <w:ind w:left="1276" w:hanging="425"/>
      </w:pPr>
      <w:r>
        <w:t>Type I and some Type II FGC</w:t>
      </w:r>
      <w:r w:rsidRPr="00BD345B">
        <w:t xml:space="preserve"> with a well healed scar and no complications should have little impact on birth.</w:t>
      </w:r>
    </w:p>
    <w:p w14:paraId="427F55BC" w14:textId="77777777" w:rsidR="00B27E8C" w:rsidRPr="00FB55BF" w:rsidRDefault="00B27E8C" w:rsidP="00707773">
      <w:pPr>
        <w:pStyle w:val="ListParagraph"/>
        <w:numPr>
          <w:ilvl w:val="0"/>
          <w:numId w:val="37"/>
        </w:numPr>
        <w:ind w:left="1276" w:hanging="425"/>
      </w:pPr>
      <w:r>
        <w:t>Type III and some Type II FGC</w:t>
      </w:r>
      <w:r w:rsidRPr="00FB55BF">
        <w:t xml:space="preserve"> may increase the risk for complications</w:t>
      </w:r>
      <w:r>
        <w:t>.</w:t>
      </w:r>
    </w:p>
    <w:p w14:paraId="2A08F6F3" w14:textId="77777777" w:rsidR="00B27E8C" w:rsidRPr="00310798" w:rsidRDefault="00B27E8C" w:rsidP="00DA5FE4">
      <w:pPr>
        <w:pStyle w:val="ListParagraph"/>
        <w:numPr>
          <w:ilvl w:val="0"/>
          <w:numId w:val="14"/>
        </w:numPr>
        <w:ind w:left="851" w:hanging="425"/>
      </w:pPr>
      <w:r w:rsidRPr="00310798">
        <w:t>Adequacy of the vaginal introitus to allow two-digit vaginal examination for progression of labour</w:t>
      </w:r>
    </w:p>
    <w:p w14:paraId="34F6801A" w14:textId="77777777" w:rsidR="00B27E8C" w:rsidRDefault="00B27E8C" w:rsidP="00707773">
      <w:pPr>
        <w:pStyle w:val="ListParagraph"/>
        <w:numPr>
          <w:ilvl w:val="0"/>
          <w:numId w:val="38"/>
        </w:numPr>
        <w:ind w:left="1276" w:hanging="425"/>
      </w:pPr>
      <w:r w:rsidRPr="00310798">
        <w:t>If the vaginal introitus is inadequate, de-infibulation should be discussed.</w:t>
      </w:r>
    </w:p>
    <w:p w14:paraId="6F9D2548" w14:textId="77777777" w:rsidR="00B27E8C" w:rsidRDefault="00B27E8C" w:rsidP="00707773">
      <w:pPr>
        <w:pStyle w:val="ListParagraph"/>
        <w:numPr>
          <w:ilvl w:val="0"/>
          <w:numId w:val="38"/>
        </w:numPr>
        <w:ind w:left="1276" w:hanging="425"/>
      </w:pPr>
      <w:r w:rsidRPr="00310798">
        <w:t xml:space="preserve">De-infibulation is a minor surgical procedure that divides the scar tissue sealing the vaginal introitus in Type III FGC. </w:t>
      </w:r>
      <w:r>
        <w:t>It is important to involve both the woman and her partner in these discussions.</w:t>
      </w:r>
    </w:p>
    <w:p w14:paraId="7A6DA99C" w14:textId="6705358D" w:rsidR="00B27E8C" w:rsidRDefault="00B27E8C" w:rsidP="007B3BE6">
      <w:pPr>
        <w:pStyle w:val="ListBullet"/>
        <w:numPr>
          <w:ilvl w:val="0"/>
          <w:numId w:val="15"/>
        </w:numPr>
        <w:ind w:left="426" w:hanging="426"/>
      </w:pPr>
      <w:r>
        <w:t xml:space="preserve">NSW Health has developed an </w:t>
      </w:r>
      <w:hyperlink r:id="rId12" w:history="1">
        <w:r w:rsidRPr="003A037C">
          <w:rPr>
            <w:rStyle w:val="Hyperlink"/>
            <w:rFonts w:cs="Arial"/>
            <w:szCs w:val="24"/>
          </w:rPr>
          <w:t>educational resource</w:t>
        </w:r>
      </w:hyperlink>
      <w:r w:rsidRPr="003A037C">
        <w:rPr>
          <w:vertAlign w:val="superscript"/>
        </w:rPr>
        <w:t>7</w:t>
      </w:r>
      <w:r>
        <w:t xml:space="preserve"> (Female Genital mutilation/cutting. Talking with families an educational resource</w:t>
      </w:r>
      <w:r w:rsidRPr="007B3BE6">
        <w:t>)</w:t>
      </w:r>
      <w:r w:rsidR="007B3BE6" w:rsidRPr="007B3BE6">
        <w:t xml:space="preserve"> to help support clinicians in their antenatal conversations. The language used is designed to be woman friendly and includes pictures.</w:t>
      </w:r>
    </w:p>
    <w:p w14:paraId="07FD314C" w14:textId="4CA083A6" w:rsidR="00B27E8C" w:rsidRPr="007B3BE6" w:rsidRDefault="00B27E8C" w:rsidP="007B3BE6">
      <w:pPr>
        <w:pStyle w:val="ListBullet"/>
        <w:tabs>
          <w:tab w:val="clear" w:pos="1080"/>
        </w:tabs>
        <w:ind w:left="426" w:hanging="426"/>
        <w:rPr>
          <w:rFonts w:cs="Calibri"/>
        </w:rPr>
      </w:pPr>
      <w:r w:rsidRPr="007B3BE6">
        <w:rPr>
          <w:rFonts w:cs="Calibri"/>
        </w:rPr>
        <w:t>Once type of FGC has been determined women should be counselled on the potential labour risks associated with FGC and labour. This discussion should involve the woman’s’ partner and include maternal and neonatal outcomes including</w:t>
      </w:r>
    </w:p>
    <w:p w14:paraId="1758F818" w14:textId="77777777" w:rsidR="00B27E8C" w:rsidRDefault="00B27E8C" w:rsidP="007B3BE6">
      <w:pPr>
        <w:pStyle w:val="ListBullet"/>
        <w:numPr>
          <w:ilvl w:val="0"/>
          <w:numId w:val="29"/>
        </w:numPr>
        <w:ind w:left="851" w:hanging="425"/>
      </w:pPr>
      <w:r>
        <w:t>prolonged second stage</w:t>
      </w:r>
    </w:p>
    <w:p w14:paraId="4B326F22" w14:textId="77777777" w:rsidR="00B27E8C" w:rsidRDefault="00B27E8C" w:rsidP="007B3BE6">
      <w:pPr>
        <w:pStyle w:val="ListBullet"/>
        <w:numPr>
          <w:ilvl w:val="0"/>
          <w:numId w:val="29"/>
        </w:numPr>
        <w:ind w:left="851" w:hanging="425"/>
      </w:pPr>
      <w:r>
        <w:t>increased risk of caesarean section</w:t>
      </w:r>
    </w:p>
    <w:p w14:paraId="68DE50F4" w14:textId="77777777" w:rsidR="00B27E8C" w:rsidRDefault="00B27E8C" w:rsidP="007B3BE6">
      <w:pPr>
        <w:pStyle w:val="ListBullet"/>
        <w:numPr>
          <w:ilvl w:val="0"/>
          <w:numId w:val="29"/>
        </w:numPr>
        <w:ind w:left="851" w:hanging="425"/>
      </w:pPr>
      <w:r>
        <w:t>postpartum haemorrhage</w:t>
      </w:r>
    </w:p>
    <w:p w14:paraId="33D4862B" w14:textId="77777777" w:rsidR="00B27E8C" w:rsidRDefault="00B27E8C" w:rsidP="007B3BE6">
      <w:pPr>
        <w:pStyle w:val="ListBullet"/>
        <w:numPr>
          <w:ilvl w:val="0"/>
          <w:numId w:val="29"/>
        </w:numPr>
        <w:ind w:left="851" w:hanging="425"/>
      </w:pPr>
      <w:r>
        <w:t>severe perineal trauma including obstetric fistula</w:t>
      </w:r>
    </w:p>
    <w:p w14:paraId="7B2BFE2D" w14:textId="77777777" w:rsidR="00B27E8C" w:rsidRDefault="00B27E8C" w:rsidP="007B3BE6">
      <w:pPr>
        <w:pStyle w:val="ListBullet"/>
        <w:numPr>
          <w:ilvl w:val="0"/>
          <w:numId w:val="29"/>
        </w:numPr>
        <w:ind w:left="851" w:hanging="425"/>
      </w:pPr>
      <w:r>
        <w:t>reduced Apgar scores and higher neonatal death</w:t>
      </w:r>
    </w:p>
    <w:p w14:paraId="12E597B6" w14:textId="77777777" w:rsidR="00B27E8C" w:rsidRDefault="00B27E8C" w:rsidP="00B27E8C">
      <w:pPr>
        <w:pStyle w:val="ListBullet"/>
        <w:numPr>
          <w:ilvl w:val="0"/>
          <w:numId w:val="0"/>
        </w:numPr>
        <w:ind w:left="1080" w:hanging="360"/>
      </w:pPr>
    </w:p>
    <w:tbl>
      <w:tblPr>
        <w:tblStyle w:val="TableGrid"/>
        <w:tblW w:w="0" w:type="auto"/>
        <w:tblInd w:w="540" w:type="dxa"/>
        <w:tblLook w:val="04A0" w:firstRow="1" w:lastRow="0" w:firstColumn="1" w:lastColumn="0" w:noHBand="0" w:noVBand="1"/>
      </w:tblPr>
      <w:tblGrid>
        <w:gridCol w:w="7980"/>
      </w:tblGrid>
      <w:tr w:rsidR="00B27E8C" w14:paraId="08EF568F" w14:textId="77777777" w:rsidTr="00135C7A">
        <w:tc>
          <w:tcPr>
            <w:tcW w:w="7980" w:type="dxa"/>
          </w:tcPr>
          <w:p w14:paraId="6A34DC2B" w14:textId="0D125F18" w:rsidR="00B27E8C" w:rsidRDefault="00B27E8C" w:rsidP="00DA5FE4">
            <w:pPr>
              <w:spacing w:before="120" w:after="120"/>
            </w:pPr>
            <w:r w:rsidRPr="00EB7E3C">
              <w:t xml:space="preserve">For multiparous women with Type III FGC antenatal </w:t>
            </w:r>
            <w:proofErr w:type="spellStart"/>
            <w:r>
              <w:t>d</w:t>
            </w:r>
            <w:r w:rsidRPr="00EB7E3C">
              <w:t>einfibulation</w:t>
            </w:r>
            <w:proofErr w:type="spellEnd"/>
            <w:r w:rsidRPr="00EB7E3C">
              <w:t xml:space="preserve"> should be considered.</w:t>
            </w:r>
          </w:p>
        </w:tc>
      </w:tr>
    </w:tbl>
    <w:p w14:paraId="68C8DF25" w14:textId="77777777" w:rsidR="00B27E8C" w:rsidRPr="00AC1B44" w:rsidRDefault="00B27E8C" w:rsidP="00B27E8C">
      <w:pPr>
        <w:pStyle w:val="ListBullet"/>
        <w:numPr>
          <w:ilvl w:val="0"/>
          <w:numId w:val="0"/>
        </w:numPr>
        <w:rPr>
          <w:rFonts w:cs="Arial"/>
          <w:szCs w:val="24"/>
        </w:rPr>
      </w:pPr>
    </w:p>
    <w:p w14:paraId="7D25850D" w14:textId="77777777" w:rsidR="00B27E8C" w:rsidRPr="00EB7E3C" w:rsidRDefault="00B27E8C" w:rsidP="00DA5FE4">
      <w:pPr>
        <w:pStyle w:val="Heading2"/>
        <w:numPr>
          <w:ilvl w:val="1"/>
          <w:numId w:val="17"/>
        </w:numPr>
        <w:ind w:left="567" w:hanging="567"/>
      </w:pPr>
      <w:r>
        <w:tab/>
      </w:r>
      <w:bookmarkStart w:id="13" w:name="_Hlk86942413"/>
      <w:proofErr w:type="spellStart"/>
      <w:r w:rsidRPr="00955DFD">
        <w:t>De</w:t>
      </w:r>
      <w:r>
        <w:t>i</w:t>
      </w:r>
      <w:r w:rsidRPr="00955DFD">
        <w:t>nfibulation</w:t>
      </w:r>
      <w:proofErr w:type="spellEnd"/>
      <w:r w:rsidRPr="00955DFD">
        <w:t xml:space="preserve"> </w:t>
      </w:r>
      <w:bookmarkEnd w:id="13"/>
      <w:r w:rsidRPr="00955DFD">
        <w:t>during the antenatal period</w:t>
      </w:r>
    </w:p>
    <w:p w14:paraId="236E322B" w14:textId="77777777" w:rsidR="00B27E8C" w:rsidRPr="00627606" w:rsidRDefault="00B27E8C" w:rsidP="00DA5FE4">
      <w:pPr>
        <w:pStyle w:val="ListBullet"/>
        <w:tabs>
          <w:tab w:val="clear" w:pos="1080"/>
        </w:tabs>
        <w:ind w:left="426" w:hanging="426"/>
        <w:rPr>
          <w:rFonts w:cs="Calibri"/>
        </w:rPr>
      </w:pPr>
      <w:r w:rsidRPr="00EB7E3C">
        <w:rPr>
          <w:rFonts w:cs="Calibri"/>
        </w:rPr>
        <w:t xml:space="preserve">The NSW </w:t>
      </w:r>
      <w:r>
        <w:rPr>
          <w:rFonts w:cs="Calibri"/>
        </w:rPr>
        <w:t xml:space="preserve">resource </w:t>
      </w:r>
      <w:r w:rsidRPr="00EB7E3C">
        <w:rPr>
          <w:rFonts w:cs="Calibri"/>
        </w:rPr>
        <w:t>(</w:t>
      </w:r>
      <w:r w:rsidRPr="00EB7E3C">
        <w:rPr>
          <w:rFonts w:cs="Calibri"/>
          <w:b/>
          <w:bCs/>
        </w:rPr>
        <w:t>Female Genital mutilation/cutting. Talking with families an educational resource)</w:t>
      </w:r>
      <w:r>
        <w:rPr>
          <w:rFonts w:cs="Calibri"/>
        </w:rPr>
        <w:t xml:space="preserve"> </w:t>
      </w:r>
      <w:r>
        <w:rPr>
          <w:rFonts w:cs="Arial"/>
        </w:rPr>
        <w:t>contains pictures and descriptions of the de-infibulation procedure which may assist in explaining the procedure.</w:t>
      </w:r>
    </w:p>
    <w:p w14:paraId="55876B92" w14:textId="77777777" w:rsidR="00B27E8C" w:rsidRPr="00001AF9" w:rsidRDefault="00B27E8C" w:rsidP="00DA5FE4">
      <w:pPr>
        <w:pStyle w:val="ListBullet"/>
        <w:tabs>
          <w:tab w:val="clear" w:pos="1080"/>
        </w:tabs>
        <w:ind w:left="426" w:hanging="426"/>
        <w:rPr>
          <w:rFonts w:cs="Calibri"/>
        </w:rPr>
      </w:pPr>
      <w:r>
        <w:rPr>
          <w:rFonts w:cs="Calibri"/>
        </w:rPr>
        <w:t>Women with Type III</w:t>
      </w:r>
      <w:r w:rsidRPr="00955DFD">
        <w:rPr>
          <w:rFonts w:cs="Calibri"/>
        </w:rPr>
        <w:t xml:space="preserve"> FG</w:t>
      </w:r>
      <w:r>
        <w:rPr>
          <w:rFonts w:cs="Calibri"/>
        </w:rPr>
        <w:t>C</w:t>
      </w:r>
      <w:r w:rsidRPr="00955DFD">
        <w:rPr>
          <w:rFonts w:cs="Calibri"/>
        </w:rPr>
        <w:t xml:space="preserve"> who request antenatal de</w:t>
      </w:r>
      <w:r>
        <w:rPr>
          <w:rFonts w:cs="Calibri"/>
        </w:rPr>
        <w:t>-</w:t>
      </w:r>
      <w:r w:rsidRPr="00955DFD">
        <w:rPr>
          <w:rFonts w:cs="Calibri"/>
        </w:rPr>
        <w:t xml:space="preserve">infibulation will be placed on </w:t>
      </w:r>
      <w:r>
        <w:rPr>
          <w:rFonts w:cs="Calibri"/>
        </w:rPr>
        <w:t xml:space="preserve">a </w:t>
      </w:r>
      <w:r w:rsidRPr="00955DFD">
        <w:rPr>
          <w:rFonts w:cs="Calibri"/>
        </w:rPr>
        <w:t>priority list for gyn</w:t>
      </w:r>
      <w:r>
        <w:rPr>
          <w:rFonts w:cs="Calibri"/>
        </w:rPr>
        <w:t>aecology. The best time for de-infibulation</w:t>
      </w:r>
      <w:r w:rsidRPr="00955DFD">
        <w:rPr>
          <w:rFonts w:cs="Calibri"/>
        </w:rPr>
        <w:t xml:space="preserve"> to o</w:t>
      </w:r>
      <w:r>
        <w:rPr>
          <w:rFonts w:cs="Calibri"/>
        </w:rPr>
        <w:t>ccur is between 20 and 30 weeks.</w:t>
      </w:r>
    </w:p>
    <w:p w14:paraId="4736929C" w14:textId="77777777" w:rsidR="00B27E8C" w:rsidRPr="007B3BE6" w:rsidRDefault="00B27E8C" w:rsidP="007B3BE6">
      <w:pPr>
        <w:pStyle w:val="ListBullet"/>
        <w:numPr>
          <w:ilvl w:val="0"/>
          <w:numId w:val="30"/>
        </w:numPr>
        <w:ind w:left="426" w:hanging="426"/>
        <w:rPr>
          <w:rFonts w:cs="Calibri"/>
        </w:rPr>
      </w:pPr>
      <w:r w:rsidRPr="00EB7E3C">
        <w:rPr>
          <w:rFonts w:cs="Calibri"/>
        </w:rPr>
        <w:t>Multiparous women who have birthed in their home countries may be familiar with de-infibulation during labour</w:t>
      </w:r>
      <w:r>
        <w:rPr>
          <w:rFonts w:cs="Calibri"/>
        </w:rPr>
        <w:t xml:space="preserve">. </w:t>
      </w:r>
      <w:r w:rsidRPr="007B3BE6">
        <w:t>Respectfully explain that this is not ideal due to the challenge of having a healthcare professional with FGC expertise at the time of labour.</w:t>
      </w:r>
    </w:p>
    <w:p w14:paraId="13A34AF5" w14:textId="77777777" w:rsidR="00B27E8C" w:rsidRDefault="00B27E8C" w:rsidP="00B27E8C">
      <w:pPr>
        <w:rPr>
          <w:i/>
          <w:iCs/>
        </w:rPr>
      </w:pPr>
    </w:p>
    <w:p w14:paraId="7A7F5C23" w14:textId="77777777" w:rsidR="00B27E8C" w:rsidRPr="00CF6B33" w:rsidRDefault="00B27E8C" w:rsidP="00B27E8C">
      <w:pPr>
        <w:rPr>
          <w:b/>
          <w:bCs/>
        </w:rPr>
      </w:pPr>
      <w:r>
        <w:rPr>
          <w:b/>
          <w:bCs/>
        </w:rPr>
        <w:t xml:space="preserve">Antenatal </w:t>
      </w:r>
      <w:proofErr w:type="spellStart"/>
      <w:r>
        <w:rPr>
          <w:b/>
          <w:bCs/>
        </w:rPr>
        <w:t>de</w:t>
      </w:r>
      <w:r w:rsidRPr="00E60411">
        <w:rPr>
          <w:b/>
          <w:bCs/>
        </w:rPr>
        <w:t>infibulation</w:t>
      </w:r>
      <w:proofErr w:type="spellEnd"/>
      <w:r>
        <w:rPr>
          <w:b/>
          <w:bCs/>
        </w:rPr>
        <w:t xml:space="preserve"> Process </w:t>
      </w:r>
    </w:p>
    <w:p w14:paraId="02FEA155" w14:textId="77777777" w:rsidR="00B27E8C" w:rsidRPr="00747A3B" w:rsidRDefault="00B27E8C" w:rsidP="007B3BE6">
      <w:pPr>
        <w:pStyle w:val="ListBullet"/>
        <w:ind w:left="426" w:hanging="426"/>
      </w:pPr>
      <w:r>
        <w:lastRenderedPageBreak/>
        <w:t>Day surgery will be booked with either general or spinal anaesthesia.</w:t>
      </w:r>
    </w:p>
    <w:p w14:paraId="7D7FDBAB" w14:textId="77777777" w:rsidR="00B27E8C" w:rsidRPr="00E60411" w:rsidRDefault="00B27E8C" w:rsidP="007B3BE6">
      <w:pPr>
        <w:pStyle w:val="ListBullet"/>
        <w:ind w:left="426" w:hanging="426"/>
        <w:rPr>
          <w:i/>
          <w:iCs/>
        </w:rPr>
      </w:pPr>
      <w:r>
        <w:t>Be aware of the potential for ‘</w:t>
      </w:r>
      <w:r w:rsidRPr="00747A3B">
        <w:t>flashbacks</w:t>
      </w:r>
      <w:r>
        <w:t>’</w:t>
      </w:r>
      <w:r w:rsidRPr="00747A3B">
        <w:t xml:space="preserve"> and triggering of past traum</w:t>
      </w:r>
      <w:r>
        <w:t>a associated with original FGC</w:t>
      </w:r>
      <w:r w:rsidRPr="00747A3B">
        <w:t xml:space="preserve"> procedure</w:t>
      </w:r>
      <w:r>
        <w:t xml:space="preserve">. </w:t>
      </w:r>
      <w:r w:rsidRPr="00E60411">
        <w:rPr>
          <w:i/>
          <w:iCs/>
        </w:rPr>
        <w:t xml:space="preserve">Consider Social </w:t>
      </w:r>
      <w:r>
        <w:rPr>
          <w:i/>
          <w:iCs/>
        </w:rPr>
        <w:t>W</w:t>
      </w:r>
      <w:r w:rsidRPr="00E60411">
        <w:rPr>
          <w:i/>
          <w:iCs/>
        </w:rPr>
        <w:t>ork referral for counselling.</w:t>
      </w:r>
    </w:p>
    <w:p w14:paraId="2D1B2C41" w14:textId="77777777" w:rsidR="00B27E8C" w:rsidRPr="00967B29" w:rsidRDefault="00B27E8C" w:rsidP="007B3BE6">
      <w:pPr>
        <w:pStyle w:val="ListBullet"/>
        <w:ind w:left="426" w:hanging="426"/>
      </w:pPr>
      <w:r>
        <w:t>Advise the family and woman that according to legislation, she can</w:t>
      </w:r>
      <w:r w:rsidRPr="00747A3B">
        <w:t>not be re-infibulated after birth</w:t>
      </w:r>
      <w:r>
        <w:t>.</w:t>
      </w:r>
      <w:r w:rsidRPr="00747A3B">
        <w:t xml:space="preserve"> </w:t>
      </w:r>
    </w:p>
    <w:p w14:paraId="1A385EB2" w14:textId="77777777" w:rsidR="00B27E8C" w:rsidRDefault="00B27E8C" w:rsidP="00B27E8C">
      <w:pPr>
        <w:pStyle w:val="ListBullet"/>
        <w:numPr>
          <w:ilvl w:val="0"/>
          <w:numId w:val="0"/>
        </w:numPr>
      </w:pPr>
      <w:r w:rsidRPr="00E60411">
        <w:rPr>
          <w:b/>
          <w:bCs/>
        </w:rPr>
        <w:t xml:space="preserve">Post </w:t>
      </w:r>
      <w:proofErr w:type="spellStart"/>
      <w:r w:rsidRPr="00E60411">
        <w:rPr>
          <w:b/>
          <w:bCs/>
        </w:rPr>
        <w:t>deinfibulation</w:t>
      </w:r>
      <w:proofErr w:type="spellEnd"/>
      <w:r w:rsidRPr="00E60411">
        <w:rPr>
          <w:b/>
          <w:bCs/>
        </w:rPr>
        <w:t xml:space="preserve"> care</w:t>
      </w:r>
      <w:r>
        <w:t xml:space="preserve">: </w:t>
      </w:r>
    </w:p>
    <w:p w14:paraId="7F958E3A" w14:textId="77777777" w:rsidR="00B27E8C" w:rsidRPr="00310798" w:rsidRDefault="00B27E8C" w:rsidP="007B3BE6">
      <w:pPr>
        <w:pStyle w:val="ListParagraph"/>
        <w:numPr>
          <w:ilvl w:val="0"/>
          <w:numId w:val="19"/>
        </w:numPr>
        <w:ind w:left="426" w:hanging="426"/>
      </w:pPr>
      <w:r>
        <w:t xml:space="preserve">Education regarding </w:t>
      </w:r>
      <w:r w:rsidRPr="00310798">
        <w:t xml:space="preserve">changes </w:t>
      </w:r>
      <w:r>
        <w:t>the woman may</w:t>
      </w:r>
      <w:r w:rsidRPr="00310798">
        <w:t xml:space="preserve"> notice:</w:t>
      </w:r>
    </w:p>
    <w:p w14:paraId="277E56C9" w14:textId="77777777" w:rsidR="00B27E8C" w:rsidRPr="00310798" w:rsidRDefault="00B27E8C" w:rsidP="00B841B5">
      <w:pPr>
        <w:pStyle w:val="ListParagraph"/>
        <w:numPr>
          <w:ilvl w:val="0"/>
          <w:numId w:val="20"/>
        </w:numPr>
        <w:ind w:left="851" w:hanging="425"/>
      </w:pPr>
      <w:r w:rsidRPr="00310798">
        <w:t>vaginal looseness/openness</w:t>
      </w:r>
      <w:r>
        <w:t xml:space="preserve"> (</w:t>
      </w:r>
      <w:r w:rsidRPr="00310798">
        <w:t>reassure the woman that her reproductive organs will not fall out</w:t>
      </w:r>
      <w:r>
        <w:t>)</w:t>
      </w:r>
    </w:p>
    <w:p w14:paraId="34D41F7B" w14:textId="77777777" w:rsidR="00B27E8C" w:rsidRPr="00310798" w:rsidRDefault="00B27E8C" w:rsidP="00B841B5">
      <w:pPr>
        <w:pStyle w:val="ListParagraph"/>
        <w:numPr>
          <w:ilvl w:val="0"/>
          <w:numId w:val="20"/>
        </w:numPr>
        <w:ind w:left="851" w:hanging="425"/>
      </w:pPr>
      <w:r w:rsidRPr="00310798">
        <w:t>voiding will be faster and noisier</w:t>
      </w:r>
      <w:r>
        <w:t xml:space="preserve"> and </w:t>
      </w:r>
      <w:r w:rsidRPr="00310798">
        <w:t>there may be some stinging initially,</w:t>
      </w:r>
    </w:p>
    <w:p w14:paraId="48C88FF1" w14:textId="77777777" w:rsidR="00B27E8C" w:rsidRPr="00310798" w:rsidRDefault="00B27E8C" w:rsidP="00B841B5">
      <w:pPr>
        <w:pStyle w:val="ListParagraph"/>
        <w:numPr>
          <w:ilvl w:val="0"/>
          <w:numId w:val="20"/>
        </w:numPr>
        <w:ind w:left="851" w:hanging="425"/>
      </w:pPr>
      <w:r w:rsidRPr="00310798">
        <w:t>menstrual flow will be increased</w:t>
      </w:r>
      <w:r>
        <w:t xml:space="preserve"> (</w:t>
      </w:r>
      <w:r w:rsidRPr="00310798">
        <w:t>reassure the woman that this is normal, she will not have experienced free flowing menstruation</w:t>
      </w:r>
      <w:r>
        <w:t>)</w:t>
      </w:r>
    </w:p>
    <w:p w14:paraId="5146FDB8" w14:textId="77777777" w:rsidR="00B27E8C" w:rsidRDefault="00B27E8C" w:rsidP="007B3BE6">
      <w:pPr>
        <w:pStyle w:val="ListParagraph"/>
        <w:numPr>
          <w:ilvl w:val="0"/>
          <w:numId w:val="19"/>
        </w:numPr>
        <w:ind w:left="426" w:hanging="426"/>
      </w:pPr>
      <w:r w:rsidRPr="00310798">
        <w:t>Ensure adequate analgesia.</w:t>
      </w:r>
    </w:p>
    <w:p w14:paraId="2B806EA3" w14:textId="77777777" w:rsidR="00B27E8C" w:rsidRPr="00310798" w:rsidRDefault="00B27E8C" w:rsidP="007B3BE6">
      <w:pPr>
        <w:pStyle w:val="ListParagraph"/>
        <w:numPr>
          <w:ilvl w:val="0"/>
          <w:numId w:val="19"/>
        </w:numPr>
        <w:ind w:left="426" w:hanging="426"/>
      </w:pPr>
      <w:proofErr w:type="spellStart"/>
      <w:r>
        <w:t>A</w:t>
      </w:r>
      <w:r w:rsidRPr="00310798">
        <w:t>dvise</w:t>
      </w:r>
      <w:proofErr w:type="spellEnd"/>
      <w:r w:rsidRPr="00310798">
        <w:t xml:space="preserve"> re</w:t>
      </w:r>
      <w:r>
        <w:t xml:space="preserve">garding </w:t>
      </w:r>
      <w:r w:rsidRPr="00310798">
        <w:t>vulval wound care</w:t>
      </w:r>
      <w:r>
        <w:t>.</w:t>
      </w:r>
    </w:p>
    <w:p w14:paraId="7921212D" w14:textId="77777777" w:rsidR="00B27E8C" w:rsidRDefault="00B27E8C" w:rsidP="007B3BE6">
      <w:pPr>
        <w:pStyle w:val="ListParagraph"/>
        <w:numPr>
          <w:ilvl w:val="0"/>
          <w:numId w:val="19"/>
        </w:numPr>
        <w:ind w:left="426" w:hanging="426"/>
      </w:pPr>
      <w:r w:rsidRPr="00310798">
        <w:t>Avoid intercourse until vulval wound has healed.</w:t>
      </w:r>
    </w:p>
    <w:p w14:paraId="0702C3DF" w14:textId="77777777" w:rsidR="00B27E8C" w:rsidRDefault="00B27E8C" w:rsidP="007B3BE6">
      <w:pPr>
        <w:pStyle w:val="ListParagraph"/>
        <w:numPr>
          <w:ilvl w:val="0"/>
          <w:numId w:val="19"/>
        </w:numPr>
        <w:ind w:left="426" w:hanging="426"/>
      </w:pPr>
      <w:r>
        <w:t>Reassure l</w:t>
      </w:r>
      <w:r w:rsidRPr="00955DFD">
        <w:t>abour and birth should now be unaffected</w:t>
      </w:r>
      <w:r>
        <w:t>.</w:t>
      </w:r>
    </w:p>
    <w:p w14:paraId="1020F3B1" w14:textId="77777777" w:rsidR="00B27E8C" w:rsidRDefault="00B27E8C" w:rsidP="00B27E8C">
      <w:pPr>
        <w:pStyle w:val="ListBullet"/>
        <w:numPr>
          <w:ilvl w:val="0"/>
          <w:numId w:val="0"/>
        </w:numPr>
        <w:ind w:left="426" w:hanging="426"/>
      </w:pPr>
    </w:p>
    <w:p w14:paraId="5B31912F" w14:textId="77777777" w:rsidR="00B27E8C" w:rsidRDefault="00B27E8C" w:rsidP="00B27E8C">
      <w:pPr>
        <w:pStyle w:val="ListBullet"/>
        <w:numPr>
          <w:ilvl w:val="0"/>
          <w:numId w:val="0"/>
        </w:numPr>
        <w:pBdr>
          <w:top w:val="single" w:sz="4" w:space="1" w:color="auto"/>
          <w:left w:val="single" w:sz="4" w:space="4" w:color="auto"/>
          <w:bottom w:val="single" w:sz="4" w:space="1" w:color="auto"/>
          <w:right w:val="single" w:sz="4" w:space="4" w:color="auto"/>
        </w:pBdr>
        <w:shd w:val="clear" w:color="auto" w:fill="FFFFFF" w:themeFill="background1"/>
        <w:rPr>
          <w:b/>
        </w:rPr>
      </w:pPr>
      <w:r>
        <w:rPr>
          <w:b/>
        </w:rPr>
        <w:t>Alert</w:t>
      </w:r>
    </w:p>
    <w:p w14:paraId="179BA7A5" w14:textId="77777777" w:rsidR="00B27E8C" w:rsidRPr="004367F0" w:rsidRDefault="00B27E8C" w:rsidP="00B27E8C">
      <w:pPr>
        <w:pStyle w:val="ListBullet"/>
        <w:numPr>
          <w:ilvl w:val="0"/>
          <w:numId w:val="0"/>
        </w:numPr>
        <w:pBdr>
          <w:top w:val="single" w:sz="4" w:space="1" w:color="auto"/>
          <w:left w:val="single" w:sz="4" w:space="4" w:color="auto"/>
          <w:bottom w:val="single" w:sz="4" w:space="1" w:color="auto"/>
          <w:right w:val="single" w:sz="4" w:space="4" w:color="auto"/>
        </w:pBdr>
        <w:shd w:val="clear" w:color="auto" w:fill="FFFFFF" w:themeFill="background1"/>
        <w:rPr>
          <w:b/>
        </w:rPr>
      </w:pPr>
      <w:r w:rsidRPr="004367F0">
        <w:rPr>
          <w:b/>
        </w:rPr>
        <w:t xml:space="preserve">If the woman declines </w:t>
      </w:r>
      <w:proofErr w:type="spellStart"/>
      <w:r w:rsidRPr="004367F0">
        <w:rPr>
          <w:b/>
        </w:rPr>
        <w:t>de</w:t>
      </w:r>
      <w:r>
        <w:rPr>
          <w:b/>
        </w:rPr>
        <w:t>i</w:t>
      </w:r>
      <w:r w:rsidRPr="004367F0">
        <w:rPr>
          <w:b/>
        </w:rPr>
        <w:t>nfibulation</w:t>
      </w:r>
      <w:proofErr w:type="spellEnd"/>
      <w:r w:rsidRPr="004367F0">
        <w:rPr>
          <w:b/>
        </w:rPr>
        <w:t>, especially in Type III or II, she should be counselled that caesarean section may be necessary and clearly informed of the added risks of caesarean for both mother and baby.</w:t>
      </w:r>
    </w:p>
    <w:p w14:paraId="497B2A2D" w14:textId="77777777" w:rsidR="00B27E8C" w:rsidRPr="00955DFD" w:rsidRDefault="00B27E8C" w:rsidP="00B27E8C">
      <w:pPr>
        <w:ind w:left="360"/>
        <w:rPr>
          <w:rFonts w:cs="Arial"/>
          <w:szCs w:val="24"/>
        </w:rPr>
      </w:pPr>
    </w:p>
    <w:p w14:paraId="150DD3E5" w14:textId="77777777" w:rsidR="00B27E8C" w:rsidRDefault="00B27E8C" w:rsidP="007B3BE6">
      <w:pPr>
        <w:pStyle w:val="Heading2"/>
        <w:ind w:left="567" w:hanging="567"/>
        <w:rPr>
          <w:color w:val="000000"/>
          <w:lang w:eastAsia="en-AU"/>
        </w:rPr>
      </w:pPr>
      <w:r>
        <w:rPr>
          <w:rFonts w:cs="Arial"/>
        </w:rPr>
        <w:t xml:space="preserve">2.3 </w:t>
      </w:r>
      <w:r>
        <w:rPr>
          <w:rFonts w:cs="Arial"/>
        </w:rPr>
        <w:tab/>
      </w:r>
      <w:proofErr w:type="spellStart"/>
      <w:r w:rsidRPr="002E228A">
        <w:t>Deinfibulation</w:t>
      </w:r>
      <w:proofErr w:type="spellEnd"/>
      <w:r w:rsidRPr="002E228A">
        <w:t xml:space="preserve"> during labour &amp; birth</w:t>
      </w:r>
    </w:p>
    <w:p w14:paraId="4E86BFF9" w14:textId="77777777" w:rsidR="00B27E8C" w:rsidRPr="00C80999" w:rsidRDefault="00B27E8C" w:rsidP="00707773">
      <w:pPr>
        <w:pStyle w:val="ListBullet"/>
        <w:tabs>
          <w:tab w:val="clear" w:pos="1080"/>
        </w:tabs>
        <w:ind w:left="426" w:hanging="426"/>
        <w:rPr>
          <w:b/>
          <w:color w:val="000000"/>
          <w:lang w:eastAsia="en-AU"/>
        </w:rPr>
      </w:pPr>
      <w:r w:rsidRPr="00F06D43">
        <w:rPr>
          <w:b/>
          <w:color w:val="000000"/>
          <w:lang w:eastAsia="en-AU"/>
        </w:rPr>
        <w:t xml:space="preserve">Registrar is to consult with on-call obstetrician to consider a plan. </w:t>
      </w:r>
      <w:r w:rsidRPr="00C80999">
        <w:rPr>
          <w:b/>
          <w:color w:val="000000"/>
          <w:lang w:eastAsia="en-AU"/>
        </w:rPr>
        <w:t>Most infibulated women will require anterior incisions of their scar tissue.</w:t>
      </w:r>
    </w:p>
    <w:p w14:paraId="227F8DBF" w14:textId="77777777" w:rsidR="00B27E8C" w:rsidRDefault="00B27E8C" w:rsidP="007B3BE6">
      <w:pPr>
        <w:pStyle w:val="ListBullet"/>
        <w:ind w:left="426" w:hanging="426"/>
        <w:rPr>
          <w:b/>
          <w:color w:val="000000"/>
          <w:lang w:eastAsia="en-AU"/>
        </w:rPr>
      </w:pPr>
      <w:r>
        <w:rPr>
          <w:b/>
          <w:color w:val="000000"/>
          <w:lang w:eastAsia="en-AU"/>
        </w:rPr>
        <w:t>C</w:t>
      </w:r>
      <w:r w:rsidRPr="00F06D43">
        <w:rPr>
          <w:b/>
          <w:color w:val="000000"/>
          <w:lang w:eastAsia="en-AU"/>
        </w:rPr>
        <w:t xml:space="preserve">onsultants </w:t>
      </w:r>
      <w:r>
        <w:rPr>
          <w:b/>
          <w:color w:val="000000"/>
          <w:lang w:eastAsia="en-AU"/>
        </w:rPr>
        <w:t>or e</w:t>
      </w:r>
      <w:r w:rsidRPr="00C80999">
        <w:rPr>
          <w:b/>
          <w:color w:val="000000"/>
          <w:lang w:eastAsia="en-AU"/>
        </w:rPr>
        <w:t xml:space="preserve">xperienced registrars </w:t>
      </w:r>
      <w:r w:rsidRPr="00F06D43">
        <w:rPr>
          <w:b/>
          <w:color w:val="000000"/>
          <w:lang w:eastAsia="en-AU"/>
        </w:rPr>
        <w:t>are to perform the de-infibulation</w:t>
      </w:r>
      <w:r>
        <w:rPr>
          <w:b/>
          <w:color w:val="000000"/>
          <w:lang w:eastAsia="en-AU"/>
        </w:rPr>
        <w:t xml:space="preserve"> and any perineal management following the birth. </w:t>
      </w:r>
    </w:p>
    <w:p w14:paraId="126DAD82" w14:textId="77777777" w:rsidR="00B27E8C" w:rsidRPr="00F06D43" w:rsidRDefault="00B27E8C" w:rsidP="007B3BE6">
      <w:pPr>
        <w:pStyle w:val="ListBullet"/>
        <w:ind w:left="426" w:hanging="426"/>
        <w:rPr>
          <w:b/>
          <w:color w:val="000000"/>
          <w:lang w:eastAsia="en-AU"/>
        </w:rPr>
      </w:pPr>
      <w:r>
        <w:rPr>
          <w:b/>
          <w:color w:val="000000"/>
          <w:lang w:eastAsia="en-AU"/>
        </w:rPr>
        <w:t xml:space="preserve">Indwelling urinary catheter should be placed during </w:t>
      </w:r>
      <w:proofErr w:type="spellStart"/>
      <w:r>
        <w:rPr>
          <w:b/>
          <w:color w:val="000000"/>
          <w:lang w:eastAsia="en-AU"/>
        </w:rPr>
        <w:t>deinfibulation</w:t>
      </w:r>
      <w:proofErr w:type="spellEnd"/>
      <w:r>
        <w:rPr>
          <w:b/>
          <w:color w:val="000000"/>
          <w:lang w:eastAsia="en-AU"/>
        </w:rPr>
        <w:t xml:space="preserve"> process. </w:t>
      </w:r>
    </w:p>
    <w:p w14:paraId="14A614E5" w14:textId="77777777" w:rsidR="00B27E8C" w:rsidRPr="0079243B" w:rsidRDefault="00B27E8C" w:rsidP="007B3BE6">
      <w:pPr>
        <w:pStyle w:val="ListBullet"/>
        <w:numPr>
          <w:ilvl w:val="0"/>
          <w:numId w:val="18"/>
        </w:numPr>
        <w:ind w:left="851" w:hanging="425"/>
      </w:pPr>
      <w:r w:rsidRPr="00990635">
        <w:t>De-infibulation during labour can be carrie</w:t>
      </w:r>
      <w:r>
        <w:t>d out at any stage</w:t>
      </w:r>
      <w:r w:rsidRPr="00990635">
        <w:t>. Best practice is t</w:t>
      </w:r>
      <w:r>
        <w:t xml:space="preserve">o perform </w:t>
      </w:r>
      <w:proofErr w:type="spellStart"/>
      <w:r>
        <w:t>deinfibulation</w:t>
      </w:r>
      <w:proofErr w:type="spellEnd"/>
      <w:r w:rsidRPr="00990635">
        <w:t xml:space="preserve"> in </w:t>
      </w:r>
      <w:r>
        <w:t xml:space="preserve">the </w:t>
      </w:r>
      <w:r w:rsidRPr="00990635">
        <w:t>second stage</w:t>
      </w:r>
      <w:r>
        <w:t xml:space="preserve"> of labour. Local </w:t>
      </w:r>
      <w:r w:rsidRPr="00990635">
        <w:t>anaesthetic is used unless the patient already has an epidural anaesthesia.</w:t>
      </w:r>
      <w:r>
        <w:rPr>
          <w:color w:val="1F497D"/>
        </w:rPr>
        <w:t xml:space="preserve">  </w:t>
      </w:r>
    </w:p>
    <w:p w14:paraId="427C3F4D" w14:textId="77777777" w:rsidR="00B27E8C" w:rsidRPr="00A64B1D" w:rsidRDefault="00B27E8C" w:rsidP="007B3BE6">
      <w:pPr>
        <w:pStyle w:val="ListBullet"/>
        <w:numPr>
          <w:ilvl w:val="0"/>
          <w:numId w:val="18"/>
        </w:numPr>
        <w:ind w:left="851" w:hanging="425"/>
      </w:pPr>
      <w:r w:rsidRPr="00747A3B">
        <w:t xml:space="preserve">Be aware of the potential for </w:t>
      </w:r>
      <w:r>
        <w:t>‘</w:t>
      </w:r>
      <w:r w:rsidRPr="00747A3B">
        <w:t>flashbacks</w:t>
      </w:r>
      <w:r>
        <w:t>’</w:t>
      </w:r>
      <w:r w:rsidRPr="00747A3B">
        <w:t xml:space="preserve"> and triggering of past traum</w:t>
      </w:r>
      <w:r>
        <w:t>a associated with original FGC</w:t>
      </w:r>
      <w:r w:rsidRPr="00747A3B">
        <w:t xml:space="preserve"> procedure</w:t>
      </w:r>
      <w:r>
        <w:t>.</w:t>
      </w:r>
    </w:p>
    <w:p w14:paraId="339549F6" w14:textId="77777777" w:rsidR="00B27E8C" w:rsidRDefault="00B27E8C" w:rsidP="007B3BE6">
      <w:pPr>
        <w:pStyle w:val="ListBullet"/>
        <w:numPr>
          <w:ilvl w:val="0"/>
          <w:numId w:val="18"/>
        </w:numPr>
        <w:ind w:left="851" w:hanging="425"/>
      </w:pPr>
      <w:r w:rsidRPr="00627606">
        <w:rPr>
          <w:color w:val="000000"/>
          <w:lang w:eastAsia="en-AU"/>
        </w:rPr>
        <w:t xml:space="preserve">Any anterior adhesions should be divided first and then a decision made about the need for a medio-lateral episiotomy. </w:t>
      </w:r>
    </w:p>
    <w:p w14:paraId="014325CF" w14:textId="77777777" w:rsidR="00B27E8C" w:rsidRPr="00F06D43" w:rsidRDefault="00B27E8C" w:rsidP="007B3BE6">
      <w:pPr>
        <w:pStyle w:val="ListBullet"/>
        <w:numPr>
          <w:ilvl w:val="0"/>
          <w:numId w:val="18"/>
        </w:numPr>
        <w:ind w:left="851" w:hanging="425"/>
        <w:rPr>
          <w:b/>
          <w:color w:val="000000"/>
          <w:lang w:eastAsia="en-AU"/>
        </w:rPr>
      </w:pPr>
      <w:r w:rsidRPr="00F06D43">
        <w:rPr>
          <w:color w:val="000000"/>
          <w:lang w:eastAsia="en-AU"/>
        </w:rPr>
        <w:t xml:space="preserve">Inform </w:t>
      </w:r>
      <w:r w:rsidRPr="00F06D43">
        <w:t>the woman that she cannot be re-infibulated after giving birth (i.e. restitched up to the way she was before) and that in Australia, it is against the law to be re-infibul</w:t>
      </w:r>
      <w:r>
        <w:t>a</w:t>
      </w:r>
      <w:r w:rsidRPr="00F06D43">
        <w:t>ted.</w:t>
      </w:r>
    </w:p>
    <w:p w14:paraId="080E1599" w14:textId="77777777" w:rsidR="00B27E8C" w:rsidRDefault="00B27E8C" w:rsidP="00B27E8C">
      <w:pPr>
        <w:pStyle w:val="ListBullet"/>
        <w:numPr>
          <w:ilvl w:val="0"/>
          <w:numId w:val="0"/>
        </w:numPr>
        <w:ind w:left="426"/>
      </w:pPr>
    </w:p>
    <w:p w14:paraId="1F5F462F" w14:textId="77777777" w:rsidR="00B27E8C" w:rsidRPr="00A8037C" w:rsidRDefault="00B27E8C" w:rsidP="007B3BE6">
      <w:pPr>
        <w:pStyle w:val="Heading2"/>
        <w:ind w:left="567" w:hanging="567"/>
      </w:pPr>
      <w:r>
        <w:t xml:space="preserve">2.4 </w:t>
      </w:r>
      <w:r>
        <w:tab/>
      </w:r>
      <w:r w:rsidRPr="00A8037C">
        <w:t>Intra-partum considerations</w:t>
      </w:r>
    </w:p>
    <w:p w14:paraId="25142F83" w14:textId="77777777" w:rsidR="00B27E8C" w:rsidRPr="00A8037C" w:rsidRDefault="00B27E8C" w:rsidP="007B3BE6">
      <w:pPr>
        <w:pStyle w:val="ListBullet"/>
        <w:ind w:left="426" w:hanging="426"/>
        <w:rPr>
          <w:lang w:eastAsia="en-AU"/>
        </w:rPr>
      </w:pPr>
      <w:r w:rsidRPr="00A8037C">
        <w:rPr>
          <w:lang w:eastAsia="en-AU"/>
        </w:rPr>
        <w:t>Speculum and vaginal examination will be difficult, painful and at times impossible.</w:t>
      </w:r>
    </w:p>
    <w:p w14:paraId="126F79CA" w14:textId="77777777" w:rsidR="00B27E8C" w:rsidRPr="00A8037C" w:rsidRDefault="00B27E8C" w:rsidP="007B3BE6">
      <w:pPr>
        <w:pStyle w:val="ListBullet"/>
        <w:ind w:left="426" w:hanging="426"/>
        <w:rPr>
          <w:lang w:eastAsia="en-AU"/>
        </w:rPr>
      </w:pPr>
      <w:r w:rsidRPr="00A8037C">
        <w:rPr>
          <w:lang w:eastAsia="en-AU"/>
        </w:rPr>
        <w:t>Induction of labour may be difficult or impossible</w:t>
      </w:r>
      <w:r>
        <w:rPr>
          <w:lang w:eastAsia="en-AU"/>
        </w:rPr>
        <w:t>.</w:t>
      </w:r>
    </w:p>
    <w:p w14:paraId="599FF743" w14:textId="77777777" w:rsidR="00B27E8C" w:rsidRPr="00A8037C" w:rsidRDefault="00B27E8C" w:rsidP="007B3BE6">
      <w:pPr>
        <w:pStyle w:val="ListBullet"/>
        <w:ind w:left="426" w:hanging="426"/>
        <w:rPr>
          <w:lang w:eastAsia="en-AU"/>
        </w:rPr>
      </w:pPr>
      <w:r w:rsidRPr="00A8037C">
        <w:rPr>
          <w:lang w:eastAsia="en-AU"/>
        </w:rPr>
        <w:t>Catheterisation and bladder management – frequent voiding may avoid bladder over</w:t>
      </w:r>
      <w:r>
        <w:rPr>
          <w:lang w:eastAsia="en-AU"/>
        </w:rPr>
        <w:t xml:space="preserve"> distens</w:t>
      </w:r>
      <w:r w:rsidRPr="00A8037C">
        <w:rPr>
          <w:lang w:eastAsia="en-AU"/>
        </w:rPr>
        <w:t>ion and the need for catheterisation, which may be difficult</w:t>
      </w:r>
      <w:r>
        <w:rPr>
          <w:lang w:eastAsia="en-AU"/>
        </w:rPr>
        <w:t>.</w:t>
      </w:r>
    </w:p>
    <w:p w14:paraId="68DDA25C" w14:textId="77777777" w:rsidR="00B27E8C" w:rsidRDefault="00B27E8C" w:rsidP="00B27E8C">
      <w:pPr>
        <w:ind w:left="360"/>
        <w:rPr>
          <w:rFonts w:cs="Arial"/>
          <w:szCs w:val="24"/>
        </w:rPr>
      </w:pPr>
    </w:p>
    <w:p w14:paraId="19AAA3DA" w14:textId="77777777" w:rsidR="00B27E8C" w:rsidRPr="00A8037C" w:rsidRDefault="00B27E8C" w:rsidP="007B3BE6">
      <w:pPr>
        <w:pStyle w:val="ListParagraph"/>
        <w:numPr>
          <w:ilvl w:val="1"/>
          <w:numId w:val="16"/>
        </w:numPr>
        <w:ind w:left="567" w:hanging="567"/>
        <w:rPr>
          <w:rFonts w:cs="Arial"/>
          <w:b/>
          <w:szCs w:val="24"/>
        </w:rPr>
      </w:pPr>
      <w:r w:rsidRPr="00A8037C">
        <w:rPr>
          <w:rFonts w:cs="Arial"/>
          <w:b/>
          <w:szCs w:val="24"/>
        </w:rPr>
        <w:t xml:space="preserve"> Postnatal care</w:t>
      </w:r>
    </w:p>
    <w:p w14:paraId="425CA269" w14:textId="77777777" w:rsidR="00B27E8C" w:rsidRDefault="00B27E8C" w:rsidP="007B3BE6">
      <w:pPr>
        <w:pStyle w:val="ListBullet"/>
        <w:ind w:left="426" w:hanging="426"/>
      </w:pPr>
      <w:r>
        <w:rPr>
          <w:lang w:eastAsia="en-AU"/>
        </w:rPr>
        <w:t xml:space="preserve">Educate the woman on </w:t>
      </w:r>
      <w:r w:rsidRPr="00A8037C">
        <w:rPr>
          <w:lang w:eastAsia="en-AU"/>
        </w:rPr>
        <w:t>care of any perineal, vulval or vaginal wounds</w:t>
      </w:r>
    </w:p>
    <w:p w14:paraId="76CF632B" w14:textId="77777777" w:rsidR="00B27E8C" w:rsidRPr="00C80999" w:rsidRDefault="00B27E8C" w:rsidP="007B3BE6">
      <w:pPr>
        <w:pStyle w:val="ListBullet"/>
        <w:ind w:left="426" w:hanging="426"/>
        <w:rPr>
          <w:rFonts w:cs="Arial"/>
          <w:b/>
        </w:rPr>
      </w:pPr>
      <w:r w:rsidRPr="00A8037C">
        <w:rPr>
          <w:lang w:eastAsia="en-AU"/>
        </w:rPr>
        <w:t xml:space="preserve">Advise the </w:t>
      </w:r>
      <w:r>
        <w:rPr>
          <w:lang w:eastAsia="en-AU"/>
        </w:rPr>
        <w:t>woman and her partner</w:t>
      </w:r>
      <w:r w:rsidRPr="00A8037C">
        <w:rPr>
          <w:lang w:eastAsia="en-AU"/>
        </w:rPr>
        <w:t xml:space="preserve"> to avoid intercourse until healing of de</w:t>
      </w:r>
      <w:r>
        <w:rPr>
          <w:lang w:eastAsia="en-AU"/>
        </w:rPr>
        <w:t>-</w:t>
      </w:r>
      <w:r w:rsidRPr="00A8037C">
        <w:rPr>
          <w:lang w:eastAsia="en-AU"/>
        </w:rPr>
        <w:t>infibulation is complete and the woman is comfortable</w:t>
      </w:r>
      <w:r>
        <w:rPr>
          <w:lang w:eastAsia="en-AU"/>
        </w:rPr>
        <w:t>.</w:t>
      </w:r>
      <w:r w:rsidRPr="00A8037C">
        <w:rPr>
          <w:lang w:eastAsia="en-AU"/>
        </w:rPr>
        <w:t xml:space="preserve"> </w:t>
      </w:r>
    </w:p>
    <w:p w14:paraId="0D1C5E56" w14:textId="77777777" w:rsidR="00B27E8C" w:rsidRPr="00C80999" w:rsidRDefault="00B27E8C" w:rsidP="007B3BE6">
      <w:pPr>
        <w:pStyle w:val="ListBullet"/>
        <w:ind w:left="426" w:hanging="426"/>
        <w:rPr>
          <w:rFonts w:cs="Arial"/>
          <w:bCs/>
        </w:rPr>
      </w:pPr>
      <w:r w:rsidRPr="00C80999">
        <w:rPr>
          <w:rFonts w:cs="Arial"/>
          <w:bCs/>
        </w:rPr>
        <w:t>Monitor the urine output and advise the woman who has had an anterior episiotomy of changes in her voiding stream.</w:t>
      </w:r>
    </w:p>
    <w:p w14:paraId="145BCA82" w14:textId="77777777" w:rsidR="00B27E8C" w:rsidRPr="00C80999" w:rsidRDefault="00B27E8C" w:rsidP="007B3BE6">
      <w:pPr>
        <w:pStyle w:val="ListBullet"/>
        <w:ind w:left="426" w:hanging="426"/>
        <w:rPr>
          <w:lang w:eastAsia="en-AU"/>
        </w:rPr>
      </w:pPr>
      <w:r w:rsidRPr="00A8037C">
        <w:rPr>
          <w:lang w:eastAsia="en-AU"/>
        </w:rPr>
        <w:t>Ensure that the woman is coping psychologically after the birth</w:t>
      </w:r>
      <w:r>
        <w:rPr>
          <w:lang w:eastAsia="en-AU"/>
        </w:rPr>
        <w:t>.</w:t>
      </w:r>
      <w:r w:rsidRPr="00C80999">
        <w:t xml:space="preserve"> </w:t>
      </w:r>
      <w:r w:rsidRPr="00C80999">
        <w:rPr>
          <w:lang w:eastAsia="en-AU"/>
        </w:rPr>
        <w:t xml:space="preserve">Consider </w:t>
      </w:r>
      <w:r>
        <w:rPr>
          <w:lang w:eastAsia="en-AU"/>
        </w:rPr>
        <w:t>S</w:t>
      </w:r>
      <w:r w:rsidRPr="00C80999">
        <w:rPr>
          <w:lang w:eastAsia="en-AU"/>
        </w:rPr>
        <w:t xml:space="preserve">ocial </w:t>
      </w:r>
      <w:r>
        <w:rPr>
          <w:lang w:eastAsia="en-AU"/>
        </w:rPr>
        <w:t>W</w:t>
      </w:r>
      <w:r w:rsidRPr="00C80999">
        <w:rPr>
          <w:lang w:eastAsia="en-AU"/>
        </w:rPr>
        <w:t xml:space="preserve">ork referral for continuing emotional support. </w:t>
      </w:r>
    </w:p>
    <w:p w14:paraId="207498B9" w14:textId="7E1E56A1" w:rsidR="00B27E8C" w:rsidRPr="00936C0C" w:rsidRDefault="00B27E8C" w:rsidP="007B3BE6">
      <w:pPr>
        <w:pStyle w:val="ListBullet"/>
        <w:ind w:left="426" w:hanging="426"/>
        <w:rPr>
          <w:rFonts w:cs="Arial"/>
          <w:b/>
        </w:rPr>
      </w:pPr>
      <w:r>
        <w:rPr>
          <w:lang w:eastAsia="en-AU"/>
        </w:rPr>
        <w:t>C</w:t>
      </w:r>
      <w:r w:rsidRPr="00936C0C">
        <w:t>ompanion House 6251 4550 offers counselling for women who have experienced FG</w:t>
      </w:r>
      <w:r>
        <w:t>C</w:t>
      </w:r>
      <w:r w:rsidRPr="00936C0C">
        <w:t xml:space="preserve">. The Women’s Health Service </w:t>
      </w:r>
      <w:r w:rsidR="00F90737">
        <w:t>5124</w:t>
      </w:r>
      <w:r w:rsidR="00675045">
        <w:t xml:space="preserve"> 1787</w:t>
      </w:r>
      <w:r w:rsidRPr="00936C0C">
        <w:t xml:space="preserve"> can also assist with trauma informed counselling services.</w:t>
      </w:r>
    </w:p>
    <w:p w14:paraId="3413AD3A" w14:textId="77777777" w:rsidR="00B27E8C" w:rsidRDefault="00B27E8C" w:rsidP="007B3BE6">
      <w:pPr>
        <w:pStyle w:val="ListBullet"/>
        <w:ind w:left="426" w:hanging="426"/>
      </w:pPr>
      <w:r>
        <w:t xml:space="preserve">If a female child is born, remind the woman that it is against the law to perform FGC on the child. Document on Newborn Assessment Form normal intact female genitalia at birth. </w:t>
      </w:r>
    </w:p>
    <w:p w14:paraId="71E95080" w14:textId="77777777" w:rsidR="00B27E8C" w:rsidRDefault="00B27E8C" w:rsidP="00B27E8C">
      <w:pPr>
        <w:pStyle w:val="ListBullet"/>
        <w:numPr>
          <w:ilvl w:val="0"/>
          <w:numId w:val="0"/>
        </w:numPr>
        <w:ind w:left="426"/>
      </w:pPr>
    </w:p>
    <w:p w14:paraId="1EC234D0" w14:textId="77777777" w:rsidR="00B27E8C" w:rsidRDefault="00B27E8C" w:rsidP="00B27E8C">
      <w:pPr>
        <w:pStyle w:val="ListBullet"/>
        <w:numPr>
          <w:ilvl w:val="0"/>
          <w:numId w:val="0"/>
        </w:numPr>
        <w:rPr>
          <w:b/>
        </w:rPr>
      </w:pPr>
      <w:r w:rsidRPr="005939D5">
        <w:rPr>
          <w:b/>
        </w:rPr>
        <w:t xml:space="preserve">FGC referral pathways and flowcharts can be found at Attachment </w:t>
      </w:r>
      <w:r>
        <w:rPr>
          <w:b/>
        </w:rPr>
        <w:t>E</w:t>
      </w:r>
    </w:p>
    <w:p w14:paraId="08682A0F" w14:textId="77777777" w:rsidR="009A534C" w:rsidRDefault="009A534C" w:rsidP="009A534C">
      <w:pPr>
        <w:rPr>
          <w:rFonts w:cs="Arial"/>
          <w:b/>
          <w:szCs w:val="24"/>
        </w:rPr>
      </w:pPr>
    </w:p>
    <w:p w14:paraId="08682A10" w14:textId="77777777" w:rsidR="009A534C" w:rsidRPr="00DA3910" w:rsidRDefault="009A534C" w:rsidP="009A534C">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3D5219DA" w:rsidR="009A534C" w:rsidRPr="003D2D06" w:rsidRDefault="00010E74" w:rsidP="00B10F87">
            <w:pPr>
              <w:pStyle w:val="Heading1"/>
            </w:pPr>
            <w:bookmarkStart w:id="14" w:name="_Toc389473284"/>
            <w:bookmarkStart w:id="15" w:name="_Toc393203340"/>
            <w:bookmarkStart w:id="16" w:name="_Toc189634616"/>
            <w:r w:rsidRPr="003D2D06">
              <w:t xml:space="preserve">Section </w:t>
            </w:r>
            <w:r w:rsidR="00B27E8C">
              <w:t>3</w:t>
            </w:r>
            <w:r w:rsidR="009A534C" w:rsidRPr="003D2D06">
              <w:t xml:space="preserve"> – </w:t>
            </w:r>
            <w:bookmarkEnd w:id="14"/>
            <w:bookmarkEnd w:id="15"/>
            <w:r w:rsidR="00B27E8C">
              <w:t>Other Possible Clinical Presentations Relating to FGC</w:t>
            </w:r>
            <w:bookmarkEnd w:id="16"/>
          </w:p>
        </w:tc>
      </w:tr>
    </w:tbl>
    <w:p w14:paraId="08682A13" w14:textId="77777777" w:rsidR="009A534C" w:rsidRDefault="009A534C" w:rsidP="009A534C">
      <w:pPr>
        <w:pStyle w:val="Heading2"/>
      </w:pPr>
    </w:p>
    <w:p w14:paraId="5D573DED" w14:textId="77777777" w:rsidR="00B27E8C" w:rsidRDefault="00B27E8C" w:rsidP="00B27E8C">
      <w:pPr>
        <w:rPr>
          <w:rFonts w:cs="Arial"/>
          <w:szCs w:val="24"/>
        </w:rPr>
      </w:pPr>
      <w:r w:rsidRPr="003A6925">
        <w:rPr>
          <w:rFonts w:cs="Arial"/>
          <w:szCs w:val="24"/>
        </w:rPr>
        <w:t xml:space="preserve">Most </w:t>
      </w:r>
      <w:r>
        <w:rPr>
          <w:rFonts w:cs="Arial"/>
          <w:szCs w:val="24"/>
        </w:rPr>
        <w:t>often</w:t>
      </w:r>
      <w:r w:rsidRPr="003A6925">
        <w:rPr>
          <w:rFonts w:cs="Arial"/>
          <w:szCs w:val="24"/>
        </w:rPr>
        <w:t>, physical complications/complaints are associated with type III FGC. Considering the context of the presentation, where appropriate, ask all women if they have had traditional cutting or circumcision. Keep in mind that some women may not associate their complaint with their FGC. Provide clear and sensitive information regarding any links between their current complaint and their FGC.</w:t>
      </w:r>
    </w:p>
    <w:p w14:paraId="76EFA342" w14:textId="77777777" w:rsidR="00B27E8C" w:rsidRDefault="00B27E8C" w:rsidP="00B27E8C">
      <w:pPr>
        <w:rPr>
          <w:rFonts w:cs="Arial"/>
          <w:szCs w:val="24"/>
        </w:rPr>
      </w:pPr>
    </w:p>
    <w:p w14:paraId="625705F9" w14:textId="77777777" w:rsidR="00B27E8C" w:rsidRDefault="00B27E8C" w:rsidP="00B27E8C">
      <w:pPr>
        <w:rPr>
          <w:rFonts w:cs="Arial"/>
          <w:szCs w:val="24"/>
        </w:rPr>
      </w:pPr>
      <w:r>
        <w:rPr>
          <w:rFonts w:cs="Arial"/>
          <w:szCs w:val="24"/>
        </w:rPr>
        <w:t>Other opportunities to identify and address FGC may include:</w:t>
      </w:r>
    </w:p>
    <w:p w14:paraId="3F8D09FB" w14:textId="77777777" w:rsidR="00B27E8C" w:rsidRPr="00C13F04" w:rsidRDefault="00B27E8C" w:rsidP="004951CA">
      <w:pPr>
        <w:pStyle w:val="ListBullet"/>
        <w:tabs>
          <w:tab w:val="clear" w:pos="1080"/>
        </w:tabs>
        <w:ind w:left="426" w:hanging="426"/>
        <w:rPr>
          <w:b/>
        </w:rPr>
      </w:pPr>
      <w:r>
        <w:t>presentation for cervical screening</w:t>
      </w:r>
    </w:p>
    <w:p w14:paraId="20C4CAF0" w14:textId="77777777" w:rsidR="00B27E8C" w:rsidRPr="00C13F04" w:rsidRDefault="00B27E8C" w:rsidP="004951CA">
      <w:pPr>
        <w:pStyle w:val="ListBullet"/>
        <w:tabs>
          <w:tab w:val="clear" w:pos="1080"/>
        </w:tabs>
        <w:ind w:left="426" w:hanging="426"/>
        <w:rPr>
          <w:b/>
        </w:rPr>
      </w:pPr>
      <w:r>
        <w:t>gynaecological issues</w:t>
      </w:r>
    </w:p>
    <w:p w14:paraId="38AA0A1E" w14:textId="77777777" w:rsidR="00B27E8C" w:rsidRPr="00C13F04" w:rsidRDefault="00B27E8C" w:rsidP="004951CA">
      <w:pPr>
        <w:pStyle w:val="ListBullet"/>
        <w:tabs>
          <w:tab w:val="clear" w:pos="1080"/>
        </w:tabs>
        <w:ind w:left="426" w:hanging="426"/>
        <w:rPr>
          <w:b/>
        </w:rPr>
      </w:pPr>
      <w:r>
        <w:t>urology issues</w:t>
      </w:r>
    </w:p>
    <w:p w14:paraId="6E52EBD3" w14:textId="77777777" w:rsidR="00B27E8C" w:rsidRPr="00C13F04" w:rsidRDefault="00B27E8C" w:rsidP="004951CA">
      <w:pPr>
        <w:pStyle w:val="ListBullet"/>
        <w:tabs>
          <w:tab w:val="clear" w:pos="1080"/>
        </w:tabs>
        <w:ind w:left="426" w:hanging="426"/>
        <w:rPr>
          <w:b/>
        </w:rPr>
      </w:pPr>
      <w:r>
        <w:t>sexual health issues</w:t>
      </w:r>
    </w:p>
    <w:p w14:paraId="7E2DF010" w14:textId="77777777" w:rsidR="00B27E8C" w:rsidRPr="00EA48D7" w:rsidRDefault="00B27E8C" w:rsidP="004951CA">
      <w:pPr>
        <w:pStyle w:val="ListBullet"/>
        <w:tabs>
          <w:tab w:val="clear" w:pos="1080"/>
        </w:tabs>
        <w:ind w:left="426" w:hanging="426"/>
        <w:rPr>
          <w:b/>
        </w:rPr>
      </w:pPr>
      <w:r>
        <w:t>Emergency Department presentation</w:t>
      </w:r>
    </w:p>
    <w:p w14:paraId="435FA41A" w14:textId="77777777" w:rsidR="00B27E8C" w:rsidRPr="00E95A1D" w:rsidRDefault="00B27E8C" w:rsidP="004951CA">
      <w:pPr>
        <w:pStyle w:val="ListBullet"/>
        <w:tabs>
          <w:tab w:val="clear" w:pos="1080"/>
        </w:tabs>
        <w:ind w:left="426" w:hanging="426"/>
        <w:rPr>
          <w:b/>
        </w:rPr>
      </w:pPr>
      <w:r>
        <w:t>mental health presentations</w:t>
      </w:r>
    </w:p>
    <w:p w14:paraId="472750E3" w14:textId="77777777" w:rsidR="00B27E8C" w:rsidRPr="00640A9D" w:rsidRDefault="00B27E8C" w:rsidP="004951CA">
      <w:pPr>
        <w:pStyle w:val="ListBullet"/>
        <w:tabs>
          <w:tab w:val="clear" w:pos="1080"/>
        </w:tabs>
        <w:ind w:left="426" w:hanging="426"/>
        <w:rPr>
          <w:b/>
        </w:rPr>
      </w:pPr>
      <w:r>
        <w:t>catheterisation</w:t>
      </w:r>
    </w:p>
    <w:p w14:paraId="4A56ED54" w14:textId="77777777" w:rsidR="00B27E8C" w:rsidRDefault="00B27E8C" w:rsidP="00B27E8C">
      <w:pPr>
        <w:rPr>
          <w:rFonts w:cs="Arial"/>
          <w:b/>
          <w:szCs w:val="24"/>
        </w:rPr>
      </w:pPr>
    </w:p>
    <w:p w14:paraId="1AA3DD8A" w14:textId="77777777" w:rsidR="00B27E8C" w:rsidRPr="00A72743" w:rsidRDefault="00B27E8C" w:rsidP="00B27E8C">
      <w:pPr>
        <w:rPr>
          <w:rFonts w:cs="Arial"/>
          <w:b/>
          <w:bCs/>
          <w:szCs w:val="24"/>
        </w:rPr>
      </w:pPr>
      <w:r w:rsidRPr="00A72743">
        <w:rPr>
          <w:rFonts w:cs="Arial"/>
          <w:b/>
          <w:bCs/>
          <w:szCs w:val="24"/>
        </w:rPr>
        <w:t>Health Consequences of FGC</w:t>
      </w:r>
    </w:p>
    <w:p w14:paraId="35C34E95" w14:textId="77777777" w:rsidR="00B27E8C" w:rsidRPr="00A72743" w:rsidRDefault="00B27E8C" w:rsidP="00B27E8C">
      <w:pPr>
        <w:rPr>
          <w:rFonts w:cs="Arial"/>
          <w:szCs w:val="24"/>
        </w:rPr>
      </w:pPr>
      <w:r w:rsidRPr="00A72743">
        <w:rPr>
          <w:rFonts w:cs="Arial"/>
          <w:szCs w:val="24"/>
        </w:rPr>
        <w:t>The effects of FGC will vary depending on the individual.</w:t>
      </w:r>
    </w:p>
    <w:p w14:paraId="20AA756F" w14:textId="77777777" w:rsidR="00B27E8C" w:rsidRPr="00A72743" w:rsidRDefault="00B27E8C" w:rsidP="00B27E8C">
      <w:pPr>
        <w:rPr>
          <w:rFonts w:cs="Arial"/>
          <w:szCs w:val="24"/>
        </w:rPr>
      </w:pPr>
      <w:r w:rsidRPr="00A72743">
        <w:rPr>
          <w:rFonts w:cs="Arial"/>
          <w:szCs w:val="24"/>
        </w:rPr>
        <w:t>Some women will experience severe and life-long physical and mental health problems while others may not feel that FGC has affected their health at all.</w:t>
      </w:r>
    </w:p>
    <w:p w14:paraId="4667EBDB" w14:textId="77777777" w:rsidR="00B27E8C" w:rsidRPr="00A72743" w:rsidRDefault="00B27E8C" w:rsidP="00B27E8C">
      <w:pPr>
        <w:rPr>
          <w:rFonts w:cs="Arial"/>
          <w:szCs w:val="24"/>
        </w:rPr>
      </w:pPr>
      <w:r w:rsidRPr="00A72743">
        <w:rPr>
          <w:rFonts w:cs="Arial"/>
          <w:szCs w:val="24"/>
        </w:rPr>
        <w:t>FGC has no health benefits.</w:t>
      </w:r>
    </w:p>
    <w:p w14:paraId="1BD003CE" w14:textId="77777777" w:rsidR="00B27E8C" w:rsidRPr="00A72743" w:rsidRDefault="00B27E8C" w:rsidP="00B27E8C">
      <w:pPr>
        <w:rPr>
          <w:rFonts w:cs="Arial"/>
          <w:szCs w:val="24"/>
        </w:rPr>
      </w:pPr>
    </w:p>
    <w:p w14:paraId="162EC81C" w14:textId="77777777" w:rsidR="00B27E8C" w:rsidRPr="00A72743" w:rsidRDefault="00B27E8C" w:rsidP="00B27E8C">
      <w:pPr>
        <w:rPr>
          <w:rFonts w:cs="Arial"/>
          <w:szCs w:val="24"/>
        </w:rPr>
      </w:pPr>
      <w:r w:rsidRPr="00A72743">
        <w:rPr>
          <w:rFonts w:cs="Arial"/>
          <w:szCs w:val="24"/>
        </w:rPr>
        <w:t>Immediate complications:</w:t>
      </w:r>
    </w:p>
    <w:p w14:paraId="1BBF9E95" w14:textId="77777777" w:rsidR="00B27E8C" w:rsidRPr="00CF6B33" w:rsidRDefault="00B27E8C" w:rsidP="00B841B5">
      <w:pPr>
        <w:pStyle w:val="ListParagraph"/>
        <w:numPr>
          <w:ilvl w:val="0"/>
          <w:numId w:val="13"/>
        </w:numPr>
        <w:tabs>
          <w:tab w:val="clear" w:pos="360"/>
        </w:tabs>
        <w:ind w:left="426" w:hanging="426"/>
      </w:pPr>
      <w:r w:rsidRPr="00CF6B33">
        <w:lastRenderedPageBreak/>
        <w:t>severe pain</w:t>
      </w:r>
    </w:p>
    <w:p w14:paraId="21338DC0" w14:textId="77777777" w:rsidR="00B27E8C" w:rsidRPr="00CF6B33" w:rsidRDefault="00B27E8C" w:rsidP="00B841B5">
      <w:pPr>
        <w:pStyle w:val="ListParagraph"/>
        <w:numPr>
          <w:ilvl w:val="0"/>
          <w:numId w:val="13"/>
        </w:numPr>
        <w:tabs>
          <w:tab w:val="clear" w:pos="360"/>
        </w:tabs>
        <w:ind w:left="426" w:hanging="426"/>
      </w:pPr>
      <w:r w:rsidRPr="00CF6B33">
        <w:t>shock</w:t>
      </w:r>
    </w:p>
    <w:p w14:paraId="51D1CD80" w14:textId="77777777" w:rsidR="00B27E8C" w:rsidRPr="00CF6B33" w:rsidRDefault="00B27E8C" w:rsidP="00B841B5">
      <w:pPr>
        <w:pStyle w:val="ListParagraph"/>
        <w:numPr>
          <w:ilvl w:val="0"/>
          <w:numId w:val="13"/>
        </w:numPr>
        <w:tabs>
          <w:tab w:val="clear" w:pos="360"/>
        </w:tabs>
        <w:ind w:left="426" w:hanging="426"/>
      </w:pPr>
      <w:r w:rsidRPr="00CF6B33">
        <w:t>haemorrhage</w:t>
      </w:r>
    </w:p>
    <w:p w14:paraId="78C57DAA" w14:textId="77777777" w:rsidR="00B27E8C" w:rsidRPr="00CF6B33" w:rsidRDefault="00B27E8C" w:rsidP="00B841B5">
      <w:pPr>
        <w:pStyle w:val="ListParagraph"/>
        <w:numPr>
          <w:ilvl w:val="0"/>
          <w:numId w:val="13"/>
        </w:numPr>
        <w:tabs>
          <w:tab w:val="clear" w:pos="360"/>
        </w:tabs>
        <w:ind w:left="426" w:hanging="426"/>
      </w:pPr>
      <w:r w:rsidRPr="00CF6B33">
        <w:t>wound infection, tetanus or sepsis</w:t>
      </w:r>
    </w:p>
    <w:p w14:paraId="4B72DE9D" w14:textId="77777777" w:rsidR="00B27E8C" w:rsidRPr="00CF6B33" w:rsidRDefault="00B27E8C" w:rsidP="00B841B5">
      <w:pPr>
        <w:pStyle w:val="ListParagraph"/>
        <w:numPr>
          <w:ilvl w:val="0"/>
          <w:numId w:val="13"/>
        </w:numPr>
        <w:tabs>
          <w:tab w:val="clear" w:pos="360"/>
        </w:tabs>
        <w:ind w:left="426" w:hanging="426"/>
      </w:pPr>
      <w:r w:rsidRPr="00CF6B33">
        <w:t>acute urinary retention</w:t>
      </w:r>
    </w:p>
    <w:p w14:paraId="10D3109E" w14:textId="77777777" w:rsidR="00B27E8C" w:rsidRPr="00CF6B33" w:rsidRDefault="00B27E8C" w:rsidP="00B841B5">
      <w:pPr>
        <w:pStyle w:val="ListParagraph"/>
        <w:numPr>
          <w:ilvl w:val="0"/>
          <w:numId w:val="13"/>
        </w:numPr>
        <w:tabs>
          <w:tab w:val="clear" w:pos="360"/>
        </w:tabs>
        <w:ind w:left="426" w:hanging="426"/>
      </w:pPr>
      <w:r w:rsidRPr="00CF6B33">
        <w:t>injury/trauma to adjacent tissue</w:t>
      </w:r>
    </w:p>
    <w:p w14:paraId="0C31403D" w14:textId="77777777" w:rsidR="00B27E8C" w:rsidRPr="00CF6B33" w:rsidRDefault="00B27E8C" w:rsidP="00B841B5">
      <w:pPr>
        <w:pStyle w:val="ListParagraph"/>
        <w:numPr>
          <w:ilvl w:val="0"/>
          <w:numId w:val="13"/>
        </w:numPr>
        <w:tabs>
          <w:tab w:val="clear" w:pos="360"/>
        </w:tabs>
        <w:ind w:left="426" w:hanging="426"/>
      </w:pPr>
      <w:r w:rsidRPr="00CF6B33">
        <w:t>death</w:t>
      </w:r>
    </w:p>
    <w:p w14:paraId="587A1889" w14:textId="77777777" w:rsidR="00B27E8C" w:rsidRPr="00A72743" w:rsidRDefault="00B27E8C" w:rsidP="00B27E8C">
      <w:pPr>
        <w:rPr>
          <w:rFonts w:cs="Arial"/>
          <w:szCs w:val="24"/>
        </w:rPr>
      </w:pPr>
    </w:p>
    <w:p w14:paraId="5F0C1855" w14:textId="3BE037BF" w:rsidR="00B27E8C" w:rsidRPr="00A72743" w:rsidRDefault="00B27E8C" w:rsidP="00B27E8C">
      <w:pPr>
        <w:rPr>
          <w:rFonts w:cs="Arial"/>
          <w:szCs w:val="24"/>
        </w:rPr>
      </w:pPr>
      <w:r w:rsidRPr="00A72743">
        <w:rPr>
          <w:rFonts w:cs="Arial"/>
          <w:szCs w:val="24"/>
        </w:rPr>
        <w:t xml:space="preserve">Potential </w:t>
      </w:r>
      <w:r w:rsidR="004951CA" w:rsidRPr="00A72743">
        <w:rPr>
          <w:rFonts w:cs="Arial"/>
          <w:szCs w:val="24"/>
        </w:rPr>
        <w:t>long-term</w:t>
      </w:r>
      <w:r w:rsidRPr="00A72743">
        <w:rPr>
          <w:rFonts w:cs="Arial"/>
          <w:szCs w:val="24"/>
        </w:rPr>
        <w:t xml:space="preserve"> consequences: </w:t>
      </w:r>
    </w:p>
    <w:p w14:paraId="6E0E698A" w14:textId="77777777" w:rsidR="00B27E8C" w:rsidRPr="00CF6B33" w:rsidRDefault="00B27E8C" w:rsidP="00B841B5">
      <w:pPr>
        <w:pStyle w:val="ListParagraph"/>
        <w:numPr>
          <w:ilvl w:val="0"/>
          <w:numId w:val="13"/>
        </w:numPr>
        <w:tabs>
          <w:tab w:val="clear" w:pos="360"/>
        </w:tabs>
        <w:ind w:left="426" w:hanging="426"/>
      </w:pPr>
      <w:r w:rsidRPr="00CF6B33">
        <w:t>recurrent urinary tract problems, incontinence, dysuria</w:t>
      </w:r>
    </w:p>
    <w:p w14:paraId="39F3CC38" w14:textId="77777777" w:rsidR="00B27E8C" w:rsidRPr="00CF6B33" w:rsidRDefault="00B27E8C" w:rsidP="00B841B5">
      <w:pPr>
        <w:pStyle w:val="ListParagraph"/>
        <w:numPr>
          <w:ilvl w:val="0"/>
          <w:numId w:val="13"/>
        </w:numPr>
        <w:tabs>
          <w:tab w:val="clear" w:pos="360"/>
        </w:tabs>
        <w:ind w:left="426" w:hanging="426"/>
      </w:pPr>
      <w:r w:rsidRPr="00CF6B33">
        <w:t>vaginal infections</w:t>
      </w:r>
    </w:p>
    <w:p w14:paraId="58EE4833" w14:textId="77777777" w:rsidR="00B27E8C" w:rsidRPr="00CF6B33" w:rsidRDefault="00B27E8C" w:rsidP="00B841B5">
      <w:pPr>
        <w:pStyle w:val="ListParagraph"/>
        <w:numPr>
          <w:ilvl w:val="0"/>
          <w:numId w:val="13"/>
        </w:numPr>
        <w:tabs>
          <w:tab w:val="clear" w:pos="360"/>
        </w:tabs>
        <w:ind w:left="426" w:hanging="426"/>
      </w:pPr>
      <w:r w:rsidRPr="00CF6B33">
        <w:t>cysts, abscesses</w:t>
      </w:r>
    </w:p>
    <w:p w14:paraId="4854ADC9" w14:textId="77777777" w:rsidR="00B27E8C" w:rsidRPr="00CF6B33" w:rsidRDefault="00B27E8C" w:rsidP="00B841B5">
      <w:pPr>
        <w:pStyle w:val="ListParagraph"/>
        <w:numPr>
          <w:ilvl w:val="0"/>
          <w:numId w:val="13"/>
        </w:numPr>
        <w:tabs>
          <w:tab w:val="clear" w:pos="360"/>
        </w:tabs>
        <w:ind w:left="426" w:hanging="426"/>
      </w:pPr>
      <w:r w:rsidRPr="00CF6B33">
        <w:t>infertility</w:t>
      </w:r>
    </w:p>
    <w:p w14:paraId="739BC904" w14:textId="77777777" w:rsidR="00B27E8C" w:rsidRPr="00CF6B33" w:rsidRDefault="00B27E8C" w:rsidP="00B841B5">
      <w:pPr>
        <w:pStyle w:val="ListParagraph"/>
        <w:numPr>
          <w:ilvl w:val="0"/>
          <w:numId w:val="13"/>
        </w:numPr>
        <w:tabs>
          <w:tab w:val="clear" w:pos="360"/>
        </w:tabs>
        <w:ind w:left="426" w:hanging="426"/>
      </w:pPr>
      <w:r w:rsidRPr="00CF6B33">
        <w:t>difficulties with menstrual flow, dysmenorrhoea</w:t>
      </w:r>
    </w:p>
    <w:p w14:paraId="3A7B85DB" w14:textId="77777777" w:rsidR="00B27E8C" w:rsidRPr="00CF6B33" w:rsidRDefault="00B27E8C" w:rsidP="00B841B5">
      <w:pPr>
        <w:pStyle w:val="ListParagraph"/>
        <w:numPr>
          <w:ilvl w:val="0"/>
          <w:numId w:val="13"/>
        </w:numPr>
        <w:tabs>
          <w:tab w:val="clear" w:pos="360"/>
        </w:tabs>
        <w:ind w:left="426" w:hanging="426"/>
      </w:pPr>
      <w:r w:rsidRPr="00CF6B33">
        <w:t>fistula</w:t>
      </w:r>
    </w:p>
    <w:p w14:paraId="2FCAEF83" w14:textId="77777777" w:rsidR="00B27E8C" w:rsidRPr="00CF6B33" w:rsidRDefault="00B27E8C" w:rsidP="00B841B5">
      <w:pPr>
        <w:pStyle w:val="ListParagraph"/>
        <w:numPr>
          <w:ilvl w:val="0"/>
          <w:numId w:val="13"/>
        </w:numPr>
        <w:tabs>
          <w:tab w:val="clear" w:pos="360"/>
        </w:tabs>
        <w:ind w:left="426" w:hanging="426"/>
      </w:pPr>
      <w:r w:rsidRPr="00CF6B33">
        <w:t>pelvic infections, Pelvic Inflammatory Disease (PID)</w:t>
      </w:r>
    </w:p>
    <w:p w14:paraId="17533CF9" w14:textId="77777777" w:rsidR="00B27E8C" w:rsidRPr="00CF6B33" w:rsidRDefault="00B27E8C" w:rsidP="00B841B5">
      <w:pPr>
        <w:pStyle w:val="ListParagraph"/>
        <w:numPr>
          <w:ilvl w:val="0"/>
          <w:numId w:val="13"/>
        </w:numPr>
        <w:tabs>
          <w:tab w:val="clear" w:pos="360"/>
        </w:tabs>
        <w:ind w:left="426" w:hanging="426"/>
      </w:pPr>
      <w:r w:rsidRPr="00CF6B33">
        <w:t>complications with pregnancy and childbirth, death</w:t>
      </w:r>
    </w:p>
    <w:p w14:paraId="6F56E1C3" w14:textId="77777777" w:rsidR="00B27E8C" w:rsidRPr="00CF6B33" w:rsidRDefault="00B27E8C" w:rsidP="00B841B5">
      <w:pPr>
        <w:pStyle w:val="ListParagraph"/>
        <w:numPr>
          <w:ilvl w:val="0"/>
          <w:numId w:val="13"/>
        </w:numPr>
        <w:tabs>
          <w:tab w:val="clear" w:pos="360"/>
        </w:tabs>
        <w:ind w:left="426" w:hanging="426"/>
      </w:pPr>
      <w:r w:rsidRPr="00CF6B33">
        <w:t xml:space="preserve">sexual dysfunction </w:t>
      </w:r>
    </w:p>
    <w:p w14:paraId="731FF6B7" w14:textId="77777777" w:rsidR="00B27E8C" w:rsidRPr="00A72743" w:rsidRDefault="00B27E8C" w:rsidP="00B27E8C">
      <w:pPr>
        <w:rPr>
          <w:rFonts w:cs="Arial"/>
          <w:szCs w:val="24"/>
        </w:rPr>
      </w:pPr>
    </w:p>
    <w:p w14:paraId="2C48B481" w14:textId="77777777" w:rsidR="00B27E8C" w:rsidRPr="00A72743" w:rsidRDefault="00B27E8C" w:rsidP="00B27E8C">
      <w:pPr>
        <w:rPr>
          <w:rFonts w:cs="Arial"/>
          <w:szCs w:val="24"/>
        </w:rPr>
      </w:pPr>
      <w:r w:rsidRPr="00A72743">
        <w:rPr>
          <w:rFonts w:cs="Arial"/>
          <w:szCs w:val="24"/>
        </w:rPr>
        <w:t>Psychosocial impacts</w:t>
      </w:r>
    </w:p>
    <w:p w14:paraId="7C419399" w14:textId="77777777" w:rsidR="00B27E8C" w:rsidRPr="00CF6B33" w:rsidRDefault="00B27E8C" w:rsidP="00B841B5">
      <w:pPr>
        <w:pStyle w:val="ListParagraph"/>
        <w:numPr>
          <w:ilvl w:val="0"/>
          <w:numId w:val="13"/>
        </w:numPr>
        <w:tabs>
          <w:tab w:val="clear" w:pos="360"/>
        </w:tabs>
        <w:ind w:left="426" w:hanging="426"/>
      </w:pPr>
      <w:r w:rsidRPr="00CF6B33">
        <w:t>post-traumatic stress</w:t>
      </w:r>
    </w:p>
    <w:p w14:paraId="7AC85382" w14:textId="77777777" w:rsidR="00B27E8C" w:rsidRPr="00CF6B33" w:rsidRDefault="00B27E8C" w:rsidP="00B841B5">
      <w:pPr>
        <w:pStyle w:val="ListParagraph"/>
        <w:numPr>
          <w:ilvl w:val="0"/>
          <w:numId w:val="13"/>
        </w:numPr>
        <w:tabs>
          <w:tab w:val="clear" w:pos="360"/>
        </w:tabs>
        <w:ind w:left="426" w:hanging="426"/>
      </w:pPr>
      <w:r w:rsidRPr="00CF6B33">
        <w:t>depression</w:t>
      </w:r>
    </w:p>
    <w:p w14:paraId="72389709" w14:textId="77777777" w:rsidR="00B27E8C" w:rsidRPr="00CF6B33" w:rsidRDefault="00B27E8C" w:rsidP="00B841B5">
      <w:pPr>
        <w:pStyle w:val="ListParagraph"/>
        <w:numPr>
          <w:ilvl w:val="0"/>
          <w:numId w:val="13"/>
        </w:numPr>
        <w:tabs>
          <w:tab w:val="clear" w:pos="360"/>
        </w:tabs>
        <w:ind w:left="426" w:hanging="426"/>
      </w:pPr>
      <w:r w:rsidRPr="00CF6B33">
        <w:t>anxiety</w:t>
      </w:r>
    </w:p>
    <w:p w14:paraId="00073B5F" w14:textId="77777777" w:rsidR="00B27E8C" w:rsidRPr="00CF6B33" w:rsidRDefault="00B27E8C" w:rsidP="00B841B5">
      <w:pPr>
        <w:pStyle w:val="ListParagraph"/>
        <w:numPr>
          <w:ilvl w:val="0"/>
          <w:numId w:val="13"/>
        </w:numPr>
        <w:tabs>
          <w:tab w:val="clear" w:pos="360"/>
        </w:tabs>
        <w:ind w:left="426" w:hanging="426"/>
      </w:pPr>
      <w:r w:rsidRPr="00CF6B33">
        <w:t>sleep disturbances, sleeplessness, nightmares</w:t>
      </w:r>
    </w:p>
    <w:p w14:paraId="307D4BCF" w14:textId="77777777" w:rsidR="00B27E8C" w:rsidRPr="00CF6B33" w:rsidRDefault="00B27E8C" w:rsidP="00B841B5">
      <w:pPr>
        <w:pStyle w:val="ListParagraph"/>
        <w:numPr>
          <w:ilvl w:val="0"/>
          <w:numId w:val="13"/>
        </w:numPr>
        <w:tabs>
          <w:tab w:val="clear" w:pos="360"/>
        </w:tabs>
        <w:ind w:left="426" w:hanging="426"/>
      </w:pPr>
      <w:r w:rsidRPr="00CF6B33">
        <w:t>eating disturbances</w:t>
      </w:r>
    </w:p>
    <w:p w14:paraId="51D202B1" w14:textId="77777777" w:rsidR="00B27E8C" w:rsidRPr="00CF6B33" w:rsidRDefault="00B27E8C" w:rsidP="00B841B5">
      <w:pPr>
        <w:pStyle w:val="ListParagraph"/>
        <w:numPr>
          <w:ilvl w:val="0"/>
          <w:numId w:val="13"/>
        </w:numPr>
        <w:tabs>
          <w:tab w:val="clear" w:pos="360"/>
        </w:tabs>
        <w:ind w:left="426" w:hanging="426"/>
      </w:pPr>
      <w:r w:rsidRPr="00CF6B33">
        <w:t>sexual dysfunction</w:t>
      </w:r>
    </w:p>
    <w:p w14:paraId="1717B319" w14:textId="77777777" w:rsidR="00B27E8C" w:rsidRDefault="00B27E8C" w:rsidP="00B27E8C">
      <w:pPr>
        <w:rPr>
          <w:rFonts w:cs="Arial"/>
          <w:szCs w:val="24"/>
        </w:rPr>
      </w:pPr>
    </w:p>
    <w:p w14:paraId="033E8FE4" w14:textId="77777777" w:rsidR="00B27E8C" w:rsidRPr="00A72743" w:rsidRDefault="00B27E8C" w:rsidP="00B27E8C">
      <w:pPr>
        <w:rPr>
          <w:rFonts w:cs="Arial"/>
          <w:szCs w:val="24"/>
        </w:rPr>
      </w:pPr>
      <w:r w:rsidRPr="003A6925">
        <w:rPr>
          <w:rFonts w:cs="Arial"/>
          <w:szCs w:val="24"/>
        </w:rPr>
        <w:t>Always consider the need for an HIV test as well as the standard tests in this population group.  Routine consent would need to be obtained prior to testing.</w:t>
      </w:r>
    </w:p>
    <w:p w14:paraId="1222D996" w14:textId="77777777" w:rsidR="00B27E8C" w:rsidRDefault="00B27E8C" w:rsidP="00B27E8C">
      <w:pPr>
        <w:rPr>
          <w:rFonts w:cs="Arial"/>
          <w:szCs w:val="24"/>
        </w:rPr>
      </w:pPr>
    </w:p>
    <w:p w14:paraId="5E0210B8" w14:textId="77777777" w:rsidR="00B27E8C" w:rsidRPr="00CA0BE2" w:rsidRDefault="00B27E8C" w:rsidP="00B841B5">
      <w:pPr>
        <w:pStyle w:val="Heading2"/>
        <w:ind w:left="567" w:hanging="567"/>
        <w:rPr>
          <w:vertAlign w:val="superscript"/>
        </w:rPr>
      </w:pPr>
      <w:r>
        <w:t xml:space="preserve">3.1 </w:t>
      </w:r>
      <w:r>
        <w:tab/>
        <w:t>Cervical Screening</w:t>
      </w:r>
      <w:r>
        <w:rPr>
          <w:vertAlign w:val="superscript"/>
        </w:rPr>
        <w:t>8</w:t>
      </w:r>
    </w:p>
    <w:p w14:paraId="1048450A" w14:textId="77777777" w:rsidR="00B27E8C" w:rsidRPr="00C13F04" w:rsidRDefault="00B27E8C" w:rsidP="00B841B5">
      <w:pPr>
        <w:pStyle w:val="ListParagraph"/>
        <w:numPr>
          <w:ilvl w:val="0"/>
          <w:numId w:val="13"/>
        </w:numPr>
        <w:tabs>
          <w:tab w:val="clear" w:pos="360"/>
        </w:tabs>
        <w:ind w:left="426" w:hanging="426"/>
      </w:pPr>
      <w:r>
        <w:t>Depending on the type of FGC</w:t>
      </w:r>
      <w:r w:rsidRPr="00C13F04">
        <w:t xml:space="preserve"> and the size of the introitus, </w:t>
      </w:r>
      <w:r>
        <w:t>cervical screening</w:t>
      </w:r>
      <w:r w:rsidRPr="00C13F04">
        <w:t xml:space="preserve"> may not be possible or may be very uncomfortable and painful for the woman</w:t>
      </w:r>
      <w:r>
        <w:t>.</w:t>
      </w:r>
    </w:p>
    <w:p w14:paraId="3F8D58DD" w14:textId="77777777" w:rsidR="00B27E8C" w:rsidRDefault="00B27E8C" w:rsidP="00B841B5">
      <w:pPr>
        <w:pStyle w:val="ListParagraph"/>
        <w:numPr>
          <w:ilvl w:val="0"/>
          <w:numId w:val="13"/>
        </w:numPr>
        <w:tabs>
          <w:tab w:val="clear" w:pos="360"/>
        </w:tabs>
        <w:ind w:left="426" w:hanging="426"/>
      </w:pPr>
      <w:r w:rsidRPr="00C13F04">
        <w:t xml:space="preserve">Discuss </w:t>
      </w:r>
      <w:r>
        <w:t>screening</w:t>
      </w:r>
      <w:r w:rsidRPr="00C13F04">
        <w:t xml:space="preserve"> procedure; </w:t>
      </w:r>
      <w:r>
        <w:t>screening</w:t>
      </w:r>
      <w:r w:rsidRPr="00C13F04">
        <w:t xml:space="preserve"> may be uncomfortable but should not be painful; stop if the woman is experiencing pain</w:t>
      </w:r>
      <w:r>
        <w:t>.</w:t>
      </w:r>
    </w:p>
    <w:p w14:paraId="2C96F406" w14:textId="77777777" w:rsidR="00B27E8C" w:rsidRPr="00B841B5" w:rsidRDefault="00B27E8C" w:rsidP="00B841B5">
      <w:pPr>
        <w:pStyle w:val="ListParagraph"/>
        <w:numPr>
          <w:ilvl w:val="0"/>
          <w:numId w:val="13"/>
        </w:numPr>
        <w:tabs>
          <w:tab w:val="clear" w:pos="360"/>
        </w:tabs>
        <w:ind w:left="426" w:hanging="426"/>
      </w:pPr>
      <w:r w:rsidRPr="00B841B5">
        <w:t>Be aware of the potential for ‘flashbacks’ and triggering of past trauma associated with original FGC procedure.</w:t>
      </w:r>
    </w:p>
    <w:p w14:paraId="361C4693" w14:textId="00BB8A99" w:rsidR="00B27E8C" w:rsidRPr="00C13F04" w:rsidRDefault="00B27E8C" w:rsidP="00B841B5">
      <w:pPr>
        <w:pStyle w:val="ListParagraph"/>
        <w:numPr>
          <w:ilvl w:val="0"/>
          <w:numId w:val="13"/>
        </w:numPr>
        <w:tabs>
          <w:tab w:val="clear" w:pos="360"/>
        </w:tabs>
        <w:ind w:left="426" w:hanging="426"/>
      </w:pPr>
      <w:r w:rsidRPr="00C13F04">
        <w:t xml:space="preserve">Refer to Women’s Health Service </w:t>
      </w:r>
      <w:r w:rsidR="00675045">
        <w:t>5124 1787</w:t>
      </w:r>
      <w:r>
        <w:t xml:space="preserve"> </w:t>
      </w:r>
      <w:r w:rsidRPr="00C13F04">
        <w:t xml:space="preserve">or Companion House </w:t>
      </w:r>
      <w:r w:rsidRPr="00B841B5">
        <w:t xml:space="preserve">6251 4550 </w:t>
      </w:r>
      <w:r>
        <w:t>if unable to perform cervical screen.  There may be more experienced clinicians who will be able to perform cervical screening in these services.</w:t>
      </w:r>
    </w:p>
    <w:p w14:paraId="75CC384F" w14:textId="77777777" w:rsidR="00B27E8C" w:rsidRDefault="00B27E8C" w:rsidP="00B841B5">
      <w:pPr>
        <w:pStyle w:val="ListParagraph"/>
        <w:numPr>
          <w:ilvl w:val="0"/>
          <w:numId w:val="13"/>
        </w:numPr>
        <w:tabs>
          <w:tab w:val="clear" w:pos="360"/>
        </w:tabs>
        <w:ind w:left="426" w:hanging="426"/>
      </w:pPr>
      <w:r w:rsidRPr="00C13F04">
        <w:t xml:space="preserve">Discuss </w:t>
      </w:r>
      <w:r>
        <w:t xml:space="preserve">and refer for </w:t>
      </w:r>
      <w:r w:rsidRPr="00C13F04">
        <w:t>de</w:t>
      </w:r>
      <w:r>
        <w:t>-</w:t>
      </w:r>
      <w:r w:rsidRPr="00C13F04">
        <w:t>infibulation if desired</w:t>
      </w:r>
      <w:r>
        <w:t>.</w:t>
      </w:r>
    </w:p>
    <w:p w14:paraId="369936C5" w14:textId="77777777" w:rsidR="00B27E8C" w:rsidRPr="001E10FC" w:rsidRDefault="00B27E8C" w:rsidP="00B27E8C">
      <w:pPr>
        <w:tabs>
          <w:tab w:val="num" w:pos="720"/>
        </w:tabs>
        <w:ind w:left="360"/>
        <w:rPr>
          <w:rFonts w:cs="Arial"/>
          <w:szCs w:val="24"/>
        </w:rPr>
      </w:pPr>
    </w:p>
    <w:p w14:paraId="2ED6F803" w14:textId="77777777" w:rsidR="00B27E8C" w:rsidRPr="004F7EC3" w:rsidRDefault="00B27E8C" w:rsidP="00B841B5">
      <w:pPr>
        <w:pStyle w:val="Heading2"/>
        <w:ind w:left="567" w:hanging="567"/>
        <w:rPr>
          <w:vertAlign w:val="superscript"/>
        </w:rPr>
      </w:pPr>
      <w:r>
        <w:t xml:space="preserve">3.2 </w:t>
      </w:r>
      <w:r>
        <w:tab/>
        <w:t>Gynaecology presentations</w:t>
      </w:r>
      <w:r w:rsidRPr="00CB45BF">
        <w:rPr>
          <w:vertAlign w:val="superscript"/>
        </w:rPr>
        <w:t>1-2,</w:t>
      </w:r>
      <w:r>
        <w:rPr>
          <w:vertAlign w:val="superscript"/>
        </w:rPr>
        <w:t xml:space="preserve"> 8</w:t>
      </w:r>
    </w:p>
    <w:p w14:paraId="07F559C5" w14:textId="77777777" w:rsidR="00B27E8C" w:rsidRDefault="00B27E8C" w:rsidP="00B27E8C">
      <w:pPr>
        <w:rPr>
          <w:rFonts w:cs="Arial"/>
          <w:szCs w:val="24"/>
        </w:rPr>
      </w:pPr>
      <w:r>
        <w:rPr>
          <w:rFonts w:cs="Arial"/>
          <w:szCs w:val="24"/>
        </w:rPr>
        <w:t>Women/girls who have had FGC may present with any of the following symptoms:</w:t>
      </w:r>
    </w:p>
    <w:p w14:paraId="6A818366" w14:textId="77777777" w:rsidR="00B27E8C" w:rsidRPr="00C13F04" w:rsidRDefault="00B27E8C" w:rsidP="00B841B5">
      <w:pPr>
        <w:pStyle w:val="ListBullet"/>
        <w:ind w:left="426" w:hanging="426"/>
      </w:pPr>
      <w:r>
        <w:t>d</w:t>
      </w:r>
      <w:r w:rsidRPr="00C13F04">
        <w:t>ysmenorrhoea</w:t>
      </w:r>
    </w:p>
    <w:p w14:paraId="059AE009" w14:textId="77777777" w:rsidR="00B27E8C" w:rsidRPr="00C13F04" w:rsidRDefault="00B27E8C" w:rsidP="004951CA">
      <w:pPr>
        <w:pStyle w:val="ListBullet"/>
        <w:tabs>
          <w:tab w:val="clear" w:pos="1080"/>
        </w:tabs>
        <w:ind w:left="426" w:hanging="426"/>
      </w:pPr>
      <w:proofErr w:type="spellStart"/>
      <w:r>
        <w:lastRenderedPageBreak/>
        <w:t>h</w:t>
      </w:r>
      <w:r w:rsidRPr="00C13F04">
        <w:t>aematocolpos</w:t>
      </w:r>
      <w:proofErr w:type="spellEnd"/>
      <w:r w:rsidRPr="00C13F04">
        <w:t xml:space="preserve"> </w:t>
      </w:r>
      <w:r>
        <w:t>(</w:t>
      </w:r>
      <w:r w:rsidRPr="00C13F04">
        <w:t>accumulation of blood in the vagina</w:t>
      </w:r>
      <w:r>
        <w:t>)</w:t>
      </w:r>
      <w:r w:rsidRPr="00C13F04">
        <w:t>. It usually presents as increasing abdominal distention and mont</w:t>
      </w:r>
      <w:r>
        <w:t>hly discomfort without bleeding</w:t>
      </w:r>
    </w:p>
    <w:p w14:paraId="2191760A" w14:textId="77777777" w:rsidR="00B27E8C" w:rsidRPr="00C13F04" w:rsidRDefault="00B27E8C" w:rsidP="00B841B5">
      <w:pPr>
        <w:pStyle w:val="ListBullet"/>
        <w:ind w:left="426" w:hanging="426"/>
      </w:pPr>
      <w:r>
        <w:t>s</w:t>
      </w:r>
      <w:r w:rsidRPr="00C13F04">
        <w:t>carring and keloid formation</w:t>
      </w:r>
    </w:p>
    <w:p w14:paraId="646A1D05" w14:textId="77777777" w:rsidR="00B27E8C" w:rsidRPr="00C13F04" w:rsidRDefault="00B27E8C" w:rsidP="00B841B5">
      <w:pPr>
        <w:pStyle w:val="ListBullet"/>
        <w:ind w:left="426" w:hanging="426"/>
      </w:pPr>
      <w:r>
        <w:t>v</w:t>
      </w:r>
      <w:r w:rsidRPr="00C13F04">
        <w:t>ulval epidermoid cysts</w:t>
      </w:r>
    </w:p>
    <w:p w14:paraId="55E83C48" w14:textId="77777777" w:rsidR="00B27E8C" w:rsidRPr="00C13F04" w:rsidRDefault="00B27E8C" w:rsidP="00B841B5">
      <w:pPr>
        <w:pStyle w:val="ListBullet"/>
        <w:ind w:left="426" w:hanging="426"/>
      </w:pPr>
      <w:r>
        <w:t>v</w:t>
      </w:r>
      <w:r w:rsidRPr="00C13F04">
        <w:t>ulval abscess</w:t>
      </w:r>
    </w:p>
    <w:p w14:paraId="495D6C79" w14:textId="77777777" w:rsidR="00B27E8C" w:rsidRPr="00C13F04" w:rsidRDefault="00B27E8C" w:rsidP="00B841B5">
      <w:pPr>
        <w:pStyle w:val="ListBullet"/>
        <w:ind w:left="426" w:hanging="426"/>
      </w:pPr>
      <w:r>
        <w:t>f</w:t>
      </w:r>
      <w:r w:rsidRPr="00C13F04">
        <w:t>istula</w:t>
      </w:r>
    </w:p>
    <w:p w14:paraId="20174164" w14:textId="77777777" w:rsidR="00B27E8C" w:rsidRPr="00C13F04" w:rsidRDefault="00B27E8C" w:rsidP="00B841B5">
      <w:pPr>
        <w:pStyle w:val="ListBullet"/>
        <w:ind w:left="426" w:hanging="426"/>
      </w:pPr>
      <w:r>
        <w:t>p</w:t>
      </w:r>
      <w:r w:rsidRPr="00C13F04">
        <w:t>elvic pain</w:t>
      </w:r>
    </w:p>
    <w:p w14:paraId="37344E3A" w14:textId="77777777" w:rsidR="00B27E8C" w:rsidRPr="00C13F04" w:rsidRDefault="00B27E8C" w:rsidP="004951CA">
      <w:pPr>
        <w:pStyle w:val="ListBullet"/>
        <w:tabs>
          <w:tab w:val="clear" w:pos="1080"/>
        </w:tabs>
        <w:ind w:left="426" w:hanging="426"/>
      </w:pPr>
      <w:r>
        <w:t>r</w:t>
      </w:r>
      <w:r w:rsidRPr="00C13F04">
        <w:t>etrograde menstruation – endometriosis</w:t>
      </w:r>
    </w:p>
    <w:p w14:paraId="6CA9EA0C" w14:textId="77777777" w:rsidR="00B27E8C" w:rsidRPr="00C260A9" w:rsidRDefault="00B27E8C" w:rsidP="00B841B5">
      <w:pPr>
        <w:pStyle w:val="ListBullet"/>
        <w:ind w:left="426" w:hanging="426"/>
      </w:pPr>
      <w:r>
        <w:t>i</w:t>
      </w:r>
      <w:r w:rsidRPr="00C13F04">
        <w:t>nfertility due to ascending infection</w:t>
      </w:r>
    </w:p>
    <w:p w14:paraId="4D84CC8A" w14:textId="77777777" w:rsidR="00B27E8C" w:rsidRDefault="00B27E8C" w:rsidP="00B27E8C">
      <w:pPr>
        <w:rPr>
          <w:rFonts w:cs="Arial"/>
          <w:szCs w:val="24"/>
        </w:rPr>
      </w:pPr>
    </w:p>
    <w:p w14:paraId="7AA79F79" w14:textId="77777777" w:rsidR="00B27E8C" w:rsidRPr="00B604F3" w:rsidRDefault="00B27E8C" w:rsidP="00B841B5">
      <w:pPr>
        <w:pStyle w:val="Heading2"/>
        <w:ind w:left="567" w:hanging="567"/>
      </w:pPr>
      <w:r w:rsidRPr="00B604F3">
        <w:t xml:space="preserve">3.3 </w:t>
      </w:r>
      <w:r>
        <w:tab/>
      </w:r>
      <w:r w:rsidRPr="00B604F3">
        <w:t>Urology</w:t>
      </w:r>
      <w:r>
        <w:t xml:space="preserve"> presentations</w:t>
      </w:r>
      <w:r w:rsidRPr="00CB45BF">
        <w:rPr>
          <w:vertAlign w:val="superscript"/>
        </w:rPr>
        <w:t>1-2,</w:t>
      </w:r>
      <w:r>
        <w:rPr>
          <w:vertAlign w:val="superscript"/>
        </w:rPr>
        <w:t xml:space="preserve"> 8-9</w:t>
      </w:r>
    </w:p>
    <w:p w14:paraId="0B9DE0E4" w14:textId="77777777" w:rsidR="00B27E8C" w:rsidRDefault="00B27E8C" w:rsidP="00B27E8C">
      <w:pPr>
        <w:rPr>
          <w:rFonts w:cs="Arial"/>
          <w:szCs w:val="24"/>
        </w:rPr>
      </w:pPr>
      <w:r>
        <w:rPr>
          <w:rFonts w:cs="Arial"/>
          <w:szCs w:val="24"/>
        </w:rPr>
        <w:t>Women/girls who have had FGC may present with any of the following symptoms:</w:t>
      </w:r>
    </w:p>
    <w:p w14:paraId="42C94F17" w14:textId="77777777" w:rsidR="00B27E8C" w:rsidRDefault="00B27E8C" w:rsidP="00B841B5">
      <w:pPr>
        <w:pStyle w:val="ListBullet"/>
        <w:ind w:left="426" w:hanging="426"/>
      </w:pPr>
      <w:r>
        <w:t>u</w:t>
      </w:r>
      <w:r w:rsidRPr="00B604F3">
        <w:t>rinary tract infection</w:t>
      </w:r>
      <w:r>
        <w:t xml:space="preserve"> (UTI)</w:t>
      </w:r>
    </w:p>
    <w:p w14:paraId="3FEBEB0A" w14:textId="77777777" w:rsidR="00B27E8C" w:rsidRPr="00B604F3" w:rsidRDefault="00B27E8C" w:rsidP="00B841B5">
      <w:pPr>
        <w:pStyle w:val="ListBullet"/>
        <w:ind w:left="426" w:hanging="426"/>
      </w:pPr>
      <w:r>
        <w:t>recurrent UTI</w:t>
      </w:r>
    </w:p>
    <w:p w14:paraId="58A4B5A0" w14:textId="77777777" w:rsidR="00B27E8C" w:rsidRPr="00B604F3" w:rsidRDefault="00B27E8C" w:rsidP="00B841B5">
      <w:pPr>
        <w:pStyle w:val="ListBullet"/>
        <w:ind w:left="426" w:hanging="426"/>
      </w:pPr>
      <w:r>
        <w:t>o</w:t>
      </w:r>
      <w:r w:rsidRPr="00B604F3">
        <w:t>bstruction of urinary stream</w:t>
      </w:r>
    </w:p>
    <w:p w14:paraId="41D8908B" w14:textId="77777777" w:rsidR="00B27E8C" w:rsidRPr="0092165A" w:rsidRDefault="00B27E8C" w:rsidP="00B841B5">
      <w:pPr>
        <w:pStyle w:val="ListBullet"/>
        <w:ind w:left="426" w:hanging="426"/>
      </w:pPr>
      <w:r>
        <w:t>u</w:t>
      </w:r>
      <w:r w:rsidRPr="00B604F3">
        <w:t xml:space="preserve">rinary tract fistulae (typically </w:t>
      </w:r>
      <w:proofErr w:type="gramStart"/>
      <w:r w:rsidRPr="00B604F3">
        <w:t>as a result of</w:t>
      </w:r>
      <w:proofErr w:type="gramEnd"/>
      <w:r w:rsidRPr="00B604F3">
        <w:t xml:space="preserve"> obstructed labour)</w:t>
      </w:r>
    </w:p>
    <w:p w14:paraId="2C2E0109" w14:textId="77777777" w:rsidR="00B27E8C" w:rsidRDefault="00B27E8C" w:rsidP="00B27E8C">
      <w:pPr>
        <w:rPr>
          <w:rFonts w:cs="Arial"/>
          <w:szCs w:val="24"/>
        </w:rPr>
      </w:pPr>
    </w:p>
    <w:p w14:paraId="7BEA7641" w14:textId="77777777" w:rsidR="00B27E8C" w:rsidRPr="004C10FF" w:rsidRDefault="00B27E8C" w:rsidP="004951CA">
      <w:pPr>
        <w:pStyle w:val="Heading2"/>
        <w:ind w:left="567" w:hanging="567"/>
      </w:pPr>
      <w:r>
        <w:t xml:space="preserve">3.4 </w:t>
      </w:r>
      <w:r>
        <w:tab/>
        <w:t>Sexual h</w:t>
      </w:r>
      <w:r w:rsidRPr="004C10FF">
        <w:t>ealth</w:t>
      </w:r>
      <w:r>
        <w:t xml:space="preserve"> presentations</w:t>
      </w:r>
      <w:r w:rsidRPr="00CB45BF">
        <w:rPr>
          <w:vertAlign w:val="superscript"/>
        </w:rPr>
        <w:t>1-2,</w:t>
      </w:r>
      <w:r>
        <w:rPr>
          <w:vertAlign w:val="superscript"/>
        </w:rPr>
        <w:t xml:space="preserve"> 8</w:t>
      </w:r>
    </w:p>
    <w:p w14:paraId="6CC7A075" w14:textId="77777777" w:rsidR="00B27E8C" w:rsidRDefault="00B27E8C" w:rsidP="00B27E8C">
      <w:pPr>
        <w:rPr>
          <w:rFonts w:cs="Arial"/>
          <w:szCs w:val="24"/>
        </w:rPr>
      </w:pPr>
      <w:r>
        <w:rPr>
          <w:rFonts w:cs="Arial"/>
          <w:szCs w:val="24"/>
        </w:rPr>
        <w:t>Women who have had FGC may experience:</w:t>
      </w:r>
    </w:p>
    <w:p w14:paraId="4163AAA8" w14:textId="77777777" w:rsidR="00B27E8C" w:rsidRDefault="00B27E8C" w:rsidP="004951CA">
      <w:pPr>
        <w:pStyle w:val="ListBullet"/>
        <w:tabs>
          <w:tab w:val="clear" w:pos="1080"/>
        </w:tabs>
        <w:ind w:left="426" w:hanging="426"/>
      </w:pPr>
      <w:r w:rsidRPr="0068437A">
        <w:t>sexual difficulties wi</w:t>
      </w:r>
      <w:r>
        <w:t>th penetration</w:t>
      </w:r>
      <w:r w:rsidRPr="0068437A">
        <w:t xml:space="preserve"> </w:t>
      </w:r>
    </w:p>
    <w:p w14:paraId="2796B624" w14:textId="77777777" w:rsidR="00B27E8C" w:rsidRDefault="00B27E8C" w:rsidP="00B841B5">
      <w:pPr>
        <w:pStyle w:val="ListBullet"/>
        <w:ind w:left="426" w:hanging="426"/>
      </w:pPr>
      <w:r>
        <w:t>dyspareunia</w:t>
      </w:r>
    </w:p>
    <w:p w14:paraId="5BD64503" w14:textId="77777777" w:rsidR="00B27E8C" w:rsidRDefault="00B27E8C" w:rsidP="00B841B5">
      <w:pPr>
        <w:pStyle w:val="ListBullet"/>
        <w:ind w:left="426" w:hanging="426"/>
      </w:pPr>
      <w:r w:rsidRPr="0068437A">
        <w:t xml:space="preserve">psychosexual </w:t>
      </w:r>
      <w:r>
        <w:t xml:space="preserve">problems </w:t>
      </w:r>
      <w:r w:rsidRPr="0068437A">
        <w:t xml:space="preserve"> </w:t>
      </w:r>
    </w:p>
    <w:p w14:paraId="46227E4C" w14:textId="77777777" w:rsidR="00B27E8C" w:rsidRPr="0068437A" w:rsidRDefault="00B27E8C" w:rsidP="00B841B5">
      <w:pPr>
        <w:pStyle w:val="ListBullet"/>
        <w:ind w:left="426" w:hanging="426"/>
      </w:pPr>
      <w:r w:rsidRPr="0068437A">
        <w:t>increased frequency of genital infection</w:t>
      </w:r>
      <w:r>
        <w:t>s including bacterial vaginosis</w:t>
      </w:r>
    </w:p>
    <w:p w14:paraId="34540D44" w14:textId="77777777" w:rsidR="00B27E8C" w:rsidRDefault="00B27E8C" w:rsidP="00B27E8C">
      <w:pPr>
        <w:rPr>
          <w:rFonts w:cs="Arial"/>
          <w:szCs w:val="24"/>
        </w:rPr>
      </w:pPr>
    </w:p>
    <w:p w14:paraId="178DB383" w14:textId="77777777" w:rsidR="00B27E8C" w:rsidRDefault="00B27E8C" w:rsidP="00B27E8C">
      <w:pPr>
        <w:rPr>
          <w:rFonts w:cs="Arial"/>
          <w:szCs w:val="24"/>
        </w:rPr>
      </w:pPr>
      <w:r w:rsidRPr="005A3272">
        <w:rPr>
          <w:rFonts w:cs="Arial"/>
          <w:szCs w:val="24"/>
        </w:rPr>
        <w:t>Consider the need for an HIV test as well as other STI testing</w:t>
      </w:r>
      <w:r>
        <w:rPr>
          <w:rFonts w:cs="Arial"/>
          <w:szCs w:val="24"/>
        </w:rPr>
        <w:t>.</w:t>
      </w:r>
    </w:p>
    <w:p w14:paraId="322C58D8" w14:textId="77777777" w:rsidR="00B27E8C" w:rsidRDefault="00B27E8C" w:rsidP="00B27E8C">
      <w:pPr>
        <w:rPr>
          <w:rFonts w:cs="Arial"/>
          <w:szCs w:val="24"/>
        </w:rPr>
      </w:pPr>
      <w:r>
        <w:rPr>
          <w:rFonts w:cs="Arial"/>
          <w:szCs w:val="24"/>
        </w:rPr>
        <w:t xml:space="preserve">Consider and discuss referral options, as appropriate.  </w:t>
      </w:r>
    </w:p>
    <w:p w14:paraId="6A592F68" w14:textId="77777777" w:rsidR="00B27E8C" w:rsidRDefault="00B27E8C" w:rsidP="00B27E8C">
      <w:pPr>
        <w:rPr>
          <w:rFonts w:cs="Arial"/>
          <w:szCs w:val="24"/>
        </w:rPr>
      </w:pPr>
    </w:p>
    <w:p w14:paraId="7A7C99EB" w14:textId="77777777" w:rsidR="00B27E8C" w:rsidRPr="00EA48D7" w:rsidRDefault="00B27E8C" w:rsidP="00B841B5">
      <w:pPr>
        <w:pStyle w:val="Heading2"/>
        <w:ind w:left="567" w:hanging="567"/>
      </w:pPr>
      <w:r>
        <w:t xml:space="preserve">3.5 </w:t>
      </w:r>
      <w:r>
        <w:tab/>
        <w:t>Emergency D</w:t>
      </w:r>
      <w:r w:rsidRPr="00EA48D7">
        <w:t>epartment presentations</w:t>
      </w:r>
    </w:p>
    <w:p w14:paraId="1929D737" w14:textId="77777777" w:rsidR="00B27E8C" w:rsidRPr="008E4956" w:rsidRDefault="00B27E8C" w:rsidP="00B27E8C">
      <w:pPr>
        <w:rPr>
          <w:rFonts w:cs="Arial"/>
          <w:szCs w:val="24"/>
        </w:rPr>
      </w:pPr>
      <w:r>
        <w:rPr>
          <w:rFonts w:cs="Arial"/>
          <w:szCs w:val="24"/>
        </w:rPr>
        <w:t>Women/girls who have had FGC could potentially present to the emergency department with any of the above-mentioned complaints.</w:t>
      </w:r>
    </w:p>
    <w:p w14:paraId="753222C8" w14:textId="77777777" w:rsidR="00B27E8C" w:rsidRDefault="00B27E8C" w:rsidP="00B27E8C">
      <w:pPr>
        <w:rPr>
          <w:rFonts w:cs="Arial"/>
          <w:szCs w:val="24"/>
        </w:rPr>
      </w:pPr>
      <w:r>
        <w:rPr>
          <w:rFonts w:cs="Arial"/>
          <w:szCs w:val="24"/>
        </w:rPr>
        <w:t>Girls and women who have recently undergone FGC may present with the following acute complications:</w:t>
      </w:r>
    </w:p>
    <w:p w14:paraId="1F6D4FA4" w14:textId="77777777" w:rsidR="00B27E8C" w:rsidRPr="00694B9F" w:rsidRDefault="00B27E8C" w:rsidP="004951CA">
      <w:pPr>
        <w:pStyle w:val="ListBullet"/>
        <w:tabs>
          <w:tab w:val="clear" w:pos="1080"/>
        </w:tabs>
        <w:ind w:left="426" w:hanging="426"/>
      </w:pPr>
      <w:r>
        <w:t>s</w:t>
      </w:r>
      <w:r w:rsidRPr="00694B9F">
        <w:t>evere pain</w:t>
      </w:r>
    </w:p>
    <w:p w14:paraId="3F94F928" w14:textId="77777777" w:rsidR="00B27E8C" w:rsidRPr="00694B9F" w:rsidRDefault="00B27E8C" w:rsidP="00B841B5">
      <w:pPr>
        <w:pStyle w:val="ListBullet"/>
        <w:ind w:left="426" w:hanging="426"/>
      </w:pPr>
      <w:r>
        <w:t>s</w:t>
      </w:r>
      <w:r w:rsidRPr="00694B9F">
        <w:t>hock</w:t>
      </w:r>
    </w:p>
    <w:p w14:paraId="51273E4F" w14:textId="77777777" w:rsidR="00B27E8C" w:rsidRPr="00694B9F" w:rsidRDefault="00B27E8C" w:rsidP="00B841B5">
      <w:pPr>
        <w:pStyle w:val="ListBullet"/>
        <w:ind w:left="426" w:hanging="426"/>
      </w:pPr>
      <w:r>
        <w:t>h</w:t>
      </w:r>
      <w:r w:rsidRPr="00694B9F">
        <w:t>aemorrhage</w:t>
      </w:r>
    </w:p>
    <w:p w14:paraId="698E412D" w14:textId="77777777" w:rsidR="00B27E8C" w:rsidRPr="00694B9F" w:rsidRDefault="00B27E8C" w:rsidP="00B841B5">
      <w:pPr>
        <w:pStyle w:val="ListBullet"/>
        <w:ind w:left="426" w:hanging="426"/>
      </w:pPr>
      <w:r>
        <w:t>w</w:t>
      </w:r>
      <w:r w:rsidRPr="00694B9F">
        <w:t>ound infection, tetanus or sepsis</w:t>
      </w:r>
    </w:p>
    <w:p w14:paraId="11674B72" w14:textId="77777777" w:rsidR="00B27E8C" w:rsidRPr="00694B9F" w:rsidRDefault="00B27E8C" w:rsidP="00B841B5">
      <w:pPr>
        <w:pStyle w:val="ListBullet"/>
        <w:ind w:left="426" w:hanging="426"/>
      </w:pPr>
      <w:r>
        <w:t>a</w:t>
      </w:r>
      <w:r w:rsidRPr="00694B9F">
        <w:t>cute urinary retention</w:t>
      </w:r>
    </w:p>
    <w:p w14:paraId="42C5FDB3" w14:textId="77777777" w:rsidR="00B27E8C" w:rsidRDefault="00B27E8C" w:rsidP="00B841B5">
      <w:pPr>
        <w:pStyle w:val="ListBullet"/>
        <w:ind w:left="426" w:hanging="426"/>
      </w:pPr>
      <w:r>
        <w:t>i</w:t>
      </w:r>
      <w:r w:rsidRPr="00694B9F">
        <w:t>njury to adjacent tissue</w:t>
      </w:r>
    </w:p>
    <w:p w14:paraId="40A29917" w14:textId="77777777" w:rsidR="00B27E8C" w:rsidRDefault="00B27E8C" w:rsidP="00B27E8C">
      <w:pPr>
        <w:rPr>
          <w:rFonts w:cs="Arial"/>
          <w:szCs w:val="24"/>
        </w:rPr>
      </w:pPr>
    </w:p>
    <w:p w14:paraId="38D7D1C3" w14:textId="77777777" w:rsidR="00B27E8C" w:rsidRDefault="00B27E8C" w:rsidP="00B27E8C">
      <w:r w:rsidRPr="00436614">
        <w:t>Provide emergency treatment as required (e.g. urethral catheterisation)</w:t>
      </w:r>
    </w:p>
    <w:p w14:paraId="4A96E77A" w14:textId="77777777" w:rsidR="00B27E8C" w:rsidRPr="0092165A" w:rsidRDefault="00B27E8C" w:rsidP="00B27E8C">
      <w:pPr>
        <w:rPr>
          <w:iCs/>
          <w:sz w:val="22"/>
          <w:szCs w:val="22"/>
        </w:rPr>
      </w:pPr>
      <w:r>
        <w:t xml:space="preserve">Consider and discuss referral options, as appropriate.  </w:t>
      </w:r>
    </w:p>
    <w:p w14:paraId="1A3B11A8" w14:textId="77777777" w:rsidR="00B27E8C" w:rsidRDefault="00B27E8C" w:rsidP="00B27E8C">
      <w:pPr>
        <w:rPr>
          <w:rFonts w:cs="Arial"/>
          <w:szCs w:val="24"/>
        </w:rPr>
      </w:pPr>
    </w:p>
    <w:p w14:paraId="672127CE" w14:textId="77777777" w:rsidR="00B27E8C" w:rsidRDefault="00B27E8C" w:rsidP="00B841B5">
      <w:pPr>
        <w:pStyle w:val="Heading2"/>
        <w:ind w:left="567" w:hanging="567"/>
      </w:pPr>
      <w:r w:rsidRPr="00AD2293">
        <w:t xml:space="preserve">3.6 </w:t>
      </w:r>
      <w:r>
        <w:tab/>
        <w:t>Mental Health Presentation</w:t>
      </w:r>
    </w:p>
    <w:p w14:paraId="7E00F880" w14:textId="77777777" w:rsidR="00B27E8C" w:rsidRDefault="00B27E8C" w:rsidP="00B27E8C">
      <w:pPr>
        <w:rPr>
          <w:rFonts w:cs="Arial"/>
          <w:szCs w:val="24"/>
        </w:rPr>
      </w:pPr>
      <w:r>
        <w:rPr>
          <w:rFonts w:cs="Arial"/>
          <w:szCs w:val="24"/>
        </w:rPr>
        <w:t xml:space="preserve">Women/girls who have had FGC may experience: </w:t>
      </w:r>
    </w:p>
    <w:p w14:paraId="064A5192" w14:textId="77777777" w:rsidR="00B27E8C" w:rsidRDefault="00B27E8C" w:rsidP="004951CA">
      <w:pPr>
        <w:pStyle w:val="ListBullet"/>
        <w:tabs>
          <w:tab w:val="clear" w:pos="1080"/>
        </w:tabs>
        <w:ind w:left="426" w:hanging="426"/>
      </w:pPr>
      <w:r>
        <w:lastRenderedPageBreak/>
        <w:t>post-traumatic stress</w:t>
      </w:r>
    </w:p>
    <w:p w14:paraId="6C28064F" w14:textId="77777777" w:rsidR="00B27E8C" w:rsidRDefault="00B27E8C" w:rsidP="00B841B5">
      <w:pPr>
        <w:pStyle w:val="ListBullet"/>
        <w:ind w:left="426" w:hanging="426"/>
      </w:pPr>
      <w:r>
        <w:t>depression</w:t>
      </w:r>
    </w:p>
    <w:p w14:paraId="5686EE59" w14:textId="77777777" w:rsidR="00B27E8C" w:rsidRDefault="00B27E8C" w:rsidP="00B841B5">
      <w:pPr>
        <w:pStyle w:val="ListBullet"/>
        <w:ind w:left="426" w:hanging="426"/>
      </w:pPr>
      <w:r>
        <w:t>anxiety</w:t>
      </w:r>
    </w:p>
    <w:p w14:paraId="1172AAAB" w14:textId="77777777" w:rsidR="00B27E8C" w:rsidRDefault="00B27E8C" w:rsidP="00B841B5">
      <w:pPr>
        <w:pStyle w:val="ListBullet"/>
        <w:ind w:left="426" w:hanging="426"/>
      </w:pPr>
      <w:r>
        <w:t>sleep disturbances, sleeplessness, nightmares</w:t>
      </w:r>
    </w:p>
    <w:p w14:paraId="770A2FE5" w14:textId="77777777" w:rsidR="00B27E8C" w:rsidRDefault="00B27E8C" w:rsidP="00B841B5">
      <w:pPr>
        <w:pStyle w:val="ListBullet"/>
        <w:ind w:left="426" w:hanging="426"/>
      </w:pPr>
      <w:r>
        <w:t>eating disturbances</w:t>
      </w:r>
    </w:p>
    <w:p w14:paraId="5CDC52DC" w14:textId="77777777" w:rsidR="00B27E8C" w:rsidRDefault="00B27E8C" w:rsidP="00B841B5">
      <w:pPr>
        <w:pStyle w:val="ListBullet"/>
        <w:ind w:left="426" w:hanging="426"/>
      </w:pPr>
      <w:r>
        <w:t>sexual dysfunction</w:t>
      </w:r>
    </w:p>
    <w:p w14:paraId="0B63A6B4" w14:textId="77777777" w:rsidR="00B27E8C" w:rsidRDefault="00B27E8C" w:rsidP="00B841B5">
      <w:pPr>
        <w:pStyle w:val="ListBullet"/>
        <w:ind w:left="426" w:hanging="426"/>
      </w:pPr>
      <w:r>
        <w:t>relationship difficulties</w:t>
      </w:r>
    </w:p>
    <w:p w14:paraId="08FF06A2" w14:textId="77777777" w:rsidR="00B27E8C" w:rsidRDefault="00B27E8C" w:rsidP="00B27E8C">
      <w:pPr>
        <w:rPr>
          <w:rFonts w:cs="Arial"/>
          <w:szCs w:val="24"/>
        </w:rPr>
      </w:pPr>
    </w:p>
    <w:p w14:paraId="3AAE3404" w14:textId="77777777" w:rsidR="00B27E8C" w:rsidRPr="0092165A" w:rsidRDefault="00B27E8C" w:rsidP="00B27E8C">
      <w:pPr>
        <w:rPr>
          <w:rFonts w:cs="Arial"/>
          <w:iCs/>
          <w:sz w:val="22"/>
          <w:szCs w:val="22"/>
        </w:rPr>
      </w:pPr>
      <w:r>
        <w:rPr>
          <w:rFonts w:cs="Arial"/>
          <w:szCs w:val="24"/>
        </w:rPr>
        <w:t>Consider and discuss referral options, as appropriate.</w:t>
      </w:r>
    </w:p>
    <w:p w14:paraId="480E5C03" w14:textId="77777777" w:rsidR="00B27E8C" w:rsidRDefault="00B27E8C" w:rsidP="00B27E8C">
      <w:pPr>
        <w:rPr>
          <w:rFonts w:cs="Arial"/>
          <w:iCs/>
          <w:sz w:val="22"/>
          <w:szCs w:val="22"/>
        </w:rPr>
      </w:pPr>
    </w:p>
    <w:p w14:paraId="69ECC1C5" w14:textId="77777777" w:rsidR="00B27E8C" w:rsidRPr="00452826" w:rsidRDefault="00B27E8C" w:rsidP="00B841B5">
      <w:pPr>
        <w:pStyle w:val="Heading2"/>
        <w:ind w:left="567" w:hanging="567"/>
      </w:pPr>
      <w:r w:rsidRPr="00FB53C3">
        <w:t xml:space="preserve">3.7 </w:t>
      </w:r>
      <w:r>
        <w:tab/>
      </w:r>
      <w:r w:rsidRPr="00FB53C3">
        <w:t>Catheterisation</w:t>
      </w:r>
    </w:p>
    <w:p w14:paraId="3AD284DF" w14:textId="77777777" w:rsidR="00B27E8C" w:rsidRPr="00DF23DD" w:rsidRDefault="00B27E8C" w:rsidP="00B27E8C">
      <w:pPr>
        <w:pStyle w:val="ListBullet"/>
        <w:numPr>
          <w:ilvl w:val="0"/>
          <w:numId w:val="0"/>
        </w:numPr>
      </w:pPr>
      <w:proofErr w:type="spellStart"/>
      <w:r>
        <w:t>Catherisation</w:t>
      </w:r>
      <w:proofErr w:type="spellEnd"/>
      <w:r>
        <w:t xml:space="preserve"> may be difficult or not possible depending on the degree of FGC.  </w:t>
      </w:r>
      <w:r w:rsidRPr="00C13F04">
        <w:t xml:space="preserve">Discuss </w:t>
      </w:r>
      <w:r>
        <w:t xml:space="preserve">and refer for </w:t>
      </w:r>
      <w:r w:rsidRPr="00C13F04">
        <w:t>de</w:t>
      </w:r>
      <w:r>
        <w:t>-</w:t>
      </w:r>
      <w:r w:rsidRPr="00C13F04">
        <w:t>infibulation if desired</w:t>
      </w:r>
      <w:r>
        <w:t>.</w:t>
      </w:r>
    </w:p>
    <w:p w14:paraId="08682A17" w14:textId="77777777" w:rsidR="009A534C" w:rsidRDefault="009A534C" w:rsidP="009A534C">
      <w:pPr>
        <w:rPr>
          <w:rFonts w:cs="Arial"/>
          <w:b/>
          <w:szCs w:val="24"/>
        </w:rPr>
      </w:pPr>
    </w:p>
    <w:p w14:paraId="08682A18" w14:textId="77777777" w:rsidR="009A534C" w:rsidRPr="00DA3910" w:rsidRDefault="009A534C" w:rsidP="009A534C">
      <w:pPr>
        <w:jc w:val="right"/>
        <w:rPr>
          <w:rFonts w:cs="Arial"/>
          <w:b/>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17" w:name="_Toc189634617"/>
            <w:r>
              <w:t>Evaluation</w:t>
            </w:r>
            <w:bookmarkEnd w:id="17"/>
            <w:r w:rsidR="009A534C">
              <w:t xml:space="preserve"> </w:t>
            </w:r>
          </w:p>
        </w:tc>
      </w:tr>
    </w:tbl>
    <w:p w14:paraId="61082B88" w14:textId="77777777" w:rsidR="00D006EF" w:rsidRDefault="00D006EF" w:rsidP="00D006EF">
      <w:pPr>
        <w:pStyle w:val="Default"/>
        <w:rPr>
          <w:rFonts w:ascii="Calibri" w:hAnsi="Calibri"/>
        </w:rPr>
      </w:pPr>
    </w:p>
    <w:p w14:paraId="2F492CC2" w14:textId="77777777" w:rsidR="00B27E8C" w:rsidRPr="00845445" w:rsidRDefault="00B27E8C" w:rsidP="00B27E8C">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2546EA6A" w14:textId="77777777" w:rsidR="00B27E8C" w:rsidRPr="00CF6B33" w:rsidRDefault="00B27E8C" w:rsidP="004951CA">
      <w:pPr>
        <w:pStyle w:val="ListBullet"/>
        <w:tabs>
          <w:tab w:val="clear" w:pos="1080"/>
        </w:tabs>
        <w:ind w:left="426" w:hanging="426"/>
      </w:pPr>
      <w:r w:rsidRPr="00CF6B33">
        <w:t>All CHS staff who have contact with women and girls who have had FGC or are at risk of FGC will be aware of appropriate management for women and girls who have had FGC.</w:t>
      </w:r>
    </w:p>
    <w:p w14:paraId="2C9BB97A" w14:textId="77777777" w:rsidR="00B27E8C" w:rsidRPr="00CF6B33" w:rsidRDefault="00B27E8C" w:rsidP="00B841B5">
      <w:pPr>
        <w:pStyle w:val="ListBullet"/>
        <w:ind w:left="426" w:hanging="426"/>
      </w:pPr>
      <w:r w:rsidRPr="00CF6B33">
        <w:t xml:space="preserve">All CHS staff who have contact with women and girls who have had FGC or are at risk of FGC will be aware of appropriate referrals and establish referral pathways for women and girls who require care at CHS. </w:t>
      </w:r>
    </w:p>
    <w:p w14:paraId="476DC7B1" w14:textId="77777777" w:rsidR="004951CA" w:rsidRDefault="004951CA" w:rsidP="00B27E8C">
      <w:pPr>
        <w:pStyle w:val="Default"/>
        <w:rPr>
          <w:rFonts w:ascii="Calibri" w:hAnsi="Calibri" w:cs="Arial"/>
          <w:b/>
          <w:bCs/>
          <w:iCs/>
          <w:color w:val="auto"/>
          <w:lang w:eastAsia="en-US"/>
        </w:rPr>
      </w:pPr>
    </w:p>
    <w:p w14:paraId="6D275668" w14:textId="2CB8C517" w:rsidR="00B27E8C" w:rsidRDefault="00B27E8C" w:rsidP="00B27E8C">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192AD2DD" w14:textId="77777777" w:rsidR="00B27E8C" w:rsidRPr="00CF6B33" w:rsidRDefault="00B27E8C" w:rsidP="00B841B5">
      <w:pPr>
        <w:pStyle w:val="ListBullet"/>
        <w:ind w:left="426" w:hanging="426"/>
      </w:pPr>
      <w:r w:rsidRPr="00CF6B33">
        <w:t xml:space="preserve">Information related to management of women who have experienced FGC will be collected from birthing outcomes system data and risk management system and reviewed by the maternity mortality and morbidly committee to ensure care and ongoing referrals have been managed as per this guideline. </w:t>
      </w:r>
    </w:p>
    <w:p w14:paraId="1AE81E29" w14:textId="77777777" w:rsidR="00B27E8C" w:rsidRPr="00CF6B33" w:rsidRDefault="00B27E8C" w:rsidP="004951CA">
      <w:pPr>
        <w:pStyle w:val="ListBullet"/>
        <w:tabs>
          <w:tab w:val="clear" w:pos="1080"/>
        </w:tabs>
        <w:ind w:left="426" w:hanging="426"/>
      </w:pPr>
      <w:r w:rsidRPr="00CF6B33">
        <w:t xml:space="preserve">If adverse outcomes are identified this will be reviewed by the Maternity Quality and Safety Committee. </w:t>
      </w:r>
    </w:p>
    <w:p w14:paraId="55D9D55F" w14:textId="77777777" w:rsidR="00B27E8C" w:rsidRPr="00CF6B33" w:rsidRDefault="00B27E8C" w:rsidP="00B841B5">
      <w:pPr>
        <w:pStyle w:val="ListBullet"/>
        <w:ind w:left="426" w:hanging="426"/>
      </w:pPr>
      <w:r w:rsidRPr="00CF6B33">
        <w:t>Midwifery and Medical staff who care for women and girls who may experience FGC will receive education on this guideline through:</w:t>
      </w:r>
    </w:p>
    <w:p w14:paraId="20DB8C7C" w14:textId="77777777" w:rsidR="00B27E8C" w:rsidRPr="00CF6B33" w:rsidRDefault="00B27E8C" w:rsidP="00B841B5">
      <w:pPr>
        <w:pStyle w:val="ListBullet"/>
        <w:numPr>
          <w:ilvl w:val="0"/>
          <w:numId w:val="21"/>
        </w:numPr>
        <w:tabs>
          <w:tab w:val="num" w:pos="1080"/>
        </w:tabs>
        <w:ind w:left="851" w:hanging="425"/>
      </w:pPr>
      <w:r w:rsidRPr="00CF6B33">
        <w:t>in-service education</w:t>
      </w:r>
    </w:p>
    <w:p w14:paraId="21A924E6" w14:textId="77777777" w:rsidR="00B27E8C" w:rsidRPr="00CF6B33" w:rsidRDefault="00B27E8C" w:rsidP="004951CA">
      <w:pPr>
        <w:pStyle w:val="ListBullet"/>
        <w:numPr>
          <w:ilvl w:val="0"/>
          <w:numId w:val="21"/>
        </w:numPr>
        <w:ind w:left="851" w:hanging="425"/>
      </w:pPr>
      <w:r w:rsidRPr="00CF6B33">
        <w:t>multidisciplinary education</w:t>
      </w:r>
    </w:p>
    <w:p w14:paraId="3CCB5563" w14:textId="3D0A8319" w:rsidR="008D0CBA" w:rsidRPr="00B27E8C" w:rsidRDefault="00B27E8C" w:rsidP="00B841B5">
      <w:pPr>
        <w:pStyle w:val="ListBullet"/>
        <w:numPr>
          <w:ilvl w:val="0"/>
          <w:numId w:val="21"/>
        </w:numPr>
        <w:tabs>
          <w:tab w:val="num" w:pos="1080"/>
        </w:tabs>
        <w:ind w:left="851" w:hanging="425"/>
      </w:pPr>
      <w:r w:rsidRPr="00CF6B33">
        <w:t>team meetings</w:t>
      </w:r>
    </w:p>
    <w:p w14:paraId="31E75C2B" w14:textId="77777777" w:rsidR="008D0CBA" w:rsidRDefault="008D0CBA" w:rsidP="008D0CBA">
      <w:pPr>
        <w:ind w:left="360"/>
        <w:rPr>
          <w:i/>
          <w:iCs/>
          <w:szCs w:val="24"/>
        </w:rPr>
      </w:pPr>
    </w:p>
    <w:p w14:paraId="5ED58E15" w14:textId="77777777" w:rsidR="00D006EF" w:rsidRDefault="00D006EF" w:rsidP="00D006EF">
      <w:pPr>
        <w:jc w:val="right"/>
      </w:pPr>
      <w:hyperlink r:id="rId13" w:anchor="Contents" w:history="1">
        <w:r>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18" w:name="_Toc389473287"/>
            <w:bookmarkStart w:id="19" w:name="_Toc393203347"/>
            <w:bookmarkStart w:id="20" w:name="_Toc189634618"/>
            <w:r>
              <w:t>Related Policies, Procedures</w:t>
            </w:r>
            <w:bookmarkEnd w:id="18"/>
            <w:r>
              <w:t>, Guidelines and Legislation</w:t>
            </w:r>
            <w:bookmarkEnd w:id="19"/>
            <w:bookmarkEnd w:id="20"/>
          </w:p>
        </w:tc>
      </w:tr>
    </w:tbl>
    <w:p w14:paraId="08682A21" w14:textId="77777777" w:rsidR="009A534C" w:rsidRDefault="009A534C" w:rsidP="009A534C">
      <w:pPr>
        <w:rPr>
          <w:szCs w:val="24"/>
        </w:rPr>
      </w:pPr>
    </w:p>
    <w:p w14:paraId="73775F2D" w14:textId="77777777" w:rsidR="00B27E8C" w:rsidRDefault="00B27E8C" w:rsidP="00B27E8C">
      <w:pPr>
        <w:pStyle w:val="Heading2"/>
      </w:pPr>
      <w:r w:rsidRPr="00FF56DD">
        <w:t>Policies</w:t>
      </w:r>
    </w:p>
    <w:p w14:paraId="458B47D8" w14:textId="77777777" w:rsidR="00B27E8C" w:rsidRDefault="00B27E8C" w:rsidP="004951CA">
      <w:pPr>
        <w:pStyle w:val="ListBullet"/>
        <w:tabs>
          <w:tab w:val="clear" w:pos="1080"/>
        </w:tabs>
        <w:ind w:left="426" w:hanging="426"/>
      </w:pPr>
      <w:r>
        <w:t>Child Protection Policy</w:t>
      </w:r>
    </w:p>
    <w:p w14:paraId="0B50051C" w14:textId="77777777" w:rsidR="00B27E8C" w:rsidRDefault="00B27E8C" w:rsidP="00B27E8C">
      <w:pPr>
        <w:pStyle w:val="Heading2"/>
      </w:pPr>
    </w:p>
    <w:p w14:paraId="17E0BC45" w14:textId="77777777" w:rsidR="00B27E8C" w:rsidRDefault="00B27E8C" w:rsidP="00B27E8C">
      <w:pPr>
        <w:pStyle w:val="Heading2"/>
      </w:pPr>
      <w:r>
        <w:t>Procedures</w:t>
      </w:r>
    </w:p>
    <w:p w14:paraId="23A36647" w14:textId="77777777" w:rsidR="00B27E8C" w:rsidRPr="008E7C1F" w:rsidRDefault="00B27E8C" w:rsidP="004951CA">
      <w:pPr>
        <w:pStyle w:val="ListBullet"/>
        <w:tabs>
          <w:tab w:val="clear" w:pos="1080"/>
        </w:tabs>
        <w:ind w:left="426" w:hanging="426"/>
      </w:pPr>
      <w:r w:rsidRPr="002E1FEC">
        <w:t>Labour and Birth: Care during First, Second, Third and Fourth Stage</w:t>
      </w:r>
    </w:p>
    <w:p w14:paraId="4E978902" w14:textId="77777777" w:rsidR="00B27E8C" w:rsidRPr="008E7C1F" w:rsidRDefault="00B27E8C" w:rsidP="00B841B5">
      <w:pPr>
        <w:pStyle w:val="ListBullet"/>
        <w:ind w:left="426" w:hanging="426"/>
      </w:pPr>
      <w:r w:rsidRPr="008E7C1F">
        <w:t>Language Services – Interpreters and Translated Materials</w:t>
      </w:r>
    </w:p>
    <w:p w14:paraId="266FFC0D" w14:textId="77777777" w:rsidR="00B27E8C" w:rsidRDefault="00B27E8C" w:rsidP="00B841B5">
      <w:pPr>
        <w:pStyle w:val="ListBullet"/>
        <w:ind w:left="426" w:hanging="426"/>
      </w:pPr>
      <w:r w:rsidRPr="008E7C1F">
        <w:t>Maternal and Child Health Procedures in the ACT</w:t>
      </w:r>
    </w:p>
    <w:p w14:paraId="31254EE6" w14:textId="77777777" w:rsidR="00B27E8C" w:rsidRPr="00310798" w:rsidRDefault="00B27E8C" w:rsidP="00B841B5">
      <w:pPr>
        <w:pStyle w:val="ListBullet"/>
        <w:ind w:left="426" w:hanging="426"/>
      </w:pPr>
      <w:r w:rsidRPr="008E7C1F">
        <w:t>Perineal Care - Maternity</w:t>
      </w:r>
    </w:p>
    <w:p w14:paraId="7F508EAA" w14:textId="77777777" w:rsidR="00B27E8C" w:rsidRPr="00FF56DD" w:rsidRDefault="00B27E8C" w:rsidP="00B27E8C"/>
    <w:p w14:paraId="507E0A0A" w14:textId="77777777" w:rsidR="00B27E8C" w:rsidRDefault="00B27E8C" w:rsidP="00B27E8C">
      <w:pPr>
        <w:pStyle w:val="Heading2"/>
      </w:pPr>
      <w:r w:rsidRPr="00FF56DD">
        <w:t xml:space="preserve">Guidelines </w:t>
      </w:r>
    </w:p>
    <w:p w14:paraId="0E540C42" w14:textId="77777777" w:rsidR="00B27E8C" w:rsidRDefault="00B27E8C" w:rsidP="004951CA">
      <w:pPr>
        <w:pStyle w:val="ListBullet"/>
        <w:tabs>
          <w:tab w:val="clear" w:pos="1080"/>
        </w:tabs>
        <w:ind w:left="426" w:hanging="426"/>
      </w:pPr>
      <w:r w:rsidRPr="008E7C1F">
        <w:t>Child Protection and Child and Prenatal Concern Reportin</w:t>
      </w:r>
      <w:r>
        <w:t>g</w:t>
      </w:r>
    </w:p>
    <w:p w14:paraId="496705A9" w14:textId="77777777" w:rsidR="00B27E8C" w:rsidRPr="008E7C1F" w:rsidRDefault="00B27E8C" w:rsidP="00B841B5">
      <w:pPr>
        <w:pStyle w:val="ListBullet"/>
        <w:ind w:left="426" w:hanging="426"/>
      </w:pPr>
      <w:r w:rsidRPr="008E7C1F">
        <w:t>Maternal and Child Health Services in the ACT</w:t>
      </w:r>
    </w:p>
    <w:p w14:paraId="1050FB64" w14:textId="77777777" w:rsidR="00B27E8C" w:rsidRDefault="00B27E8C" w:rsidP="00B27E8C">
      <w:pPr>
        <w:pStyle w:val="Heading2"/>
      </w:pPr>
    </w:p>
    <w:p w14:paraId="0DC8DA63" w14:textId="77777777" w:rsidR="00B27E8C" w:rsidRDefault="00B27E8C" w:rsidP="00B27E8C">
      <w:pPr>
        <w:pStyle w:val="Heading2"/>
      </w:pPr>
      <w:r w:rsidRPr="00FF56DD">
        <w:t>Legislation</w:t>
      </w:r>
    </w:p>
    <w:p w14:paraId="6D6EBE23" w14:textId="77777777" w:rsidR="00B27E8C" w:rsidRPr="00CF6B33" w:rsidRDefault="00B27E8C" w:rsidP="004951CA">
      <w:pPr>
        <w:pStyle w:val="ListBullet"/>
        <w:tabs>
          <w:tab w:val="clear" w:pos="1080"/>
        </w:tabs>
        <w:ind w:left="426" w:hanging="426"/>
      </w:pPr>
      <w:r w:rsidRPr="00CF6B33">
        <w:rPr>
          <w:i/>
          <w:iCs/>
        </w:rPr>
        <w:t>Children and Young People Act</w:t>
      </w:r>
      <w:r w:rsidRPr="00CF6B33">
        <w:t xml:space="preserve"> 2008 </w:t>
      </w:r>
    </w:p>
    <w:p w14:paraId="4C812B11" w14:textId="77777777" w:rsidR="00B27E8C" w:rsidRPr="00CF6B33" w:rsidRDefault="00B27E8C" w:rsidP="00B841B5">
      <w:pPr>
        <w:pStyle w:val="ListBullet"/>
        <w:ind w:left="426" w:hanging="426"/>
      </w:pPr>
      <w:r w:rsidRPr="00CF6B33">
        <w:rPr>
          <w:i/>
          <w:iCs/>
        </w:rPr>
        <w:t>Crimes Act</w:t>
      </w:r>
      <w:r w:rsidRPr="00CF6B33">
        <w:t xml:space="preserve"> 1900 </w:t>
      </w:r>
    </w:p>
    <w:p w14:paraId="4376AC31" w14:textId="77777777" w:rsidR="00B841B5" w:rsidRDefault="00B841B5" w:rsidP="009A534C">
      <w:pPr>
        <w:pStyle w:val="ListParagraph"/>
        <w:jc w:val="right"/>
      </w:pPr>
    </w:p>
    <w:p w14:paraId="08682A34" w14:textId="576B1E4F" w:rsidR="009A534C" w:rsidRPr="00DA3910" w:rsidRDefault="009A534C" w:rsidP="009A534C">
      <w:pPr>
        <w:pStyle w:val="ListParagraph"/>
        <w:jc w:val="right"/>
        <w:rPr>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21" w:name="_Toc189634619"/>
            <w:r>
              <w:rPr>
                <w:szCs w:val="24"/>
              </w:rPr>
              <w:t>References</w:t>
            </w:r>
            <w:bookmarkEnd w:id="21"/>
          </w:p>
        </w:tc>
      </w:tr>
    </w:tbl>
    <w:p w14:paraId="0BD97226" w14:textId="77777777" w:rsidR="004951CA" w:rsidRDefault="004951CA" w:rsidP="004951CA">
      <w:pPr>
        <w:pStyle w:val="ListParagraph"/>
        <w:ind w:left="426"/>
        <w:rPr>
          <w:rFonts w:asciiTheme="minorHAnsi" w:hAnsiTheme="minorHAnsi" w:cs="Arial"/>
          <w:szCs w:val="24"/>
        </w:rPr>
      </w:pPr>
    </w:p>
    <w:p w14:paraId="071B9E7A" w14:textId="25F38F9E" w:rsidR="00B27E8C" w:rsidRDefault="00B27E8C" w:rsidP="00B841B5">
      <w:pPr>
        <w:pStyle w:val="ListParagraph"/>
        <w:numPr>
          <w:ilvl w:val="0"/>
          <w:numId w:val="22"/>
        </w:numPr>
        <w:ind w:left="426" w:hanging="426"/>
        <w:rPr>
          <w:rFonts w:asciiTheme="minorHAnsi" w:hAnsiTheme="minorHAnsi" w:cs="Arial"/>
          <w:szCs w:val="24"/>
        </w:rPr>
      </w:pPr>
      <w:r w:rsidRPr="004C36A1">
        <w:rPr>
          <w:rFonts w:asciiTheme="minorHAnsi" w:hAnsiTheme="minorHAnsi" w:cs="Arial"/>
          <w:szCs w:val="24"/>
        </w:rPr>
        <w:t>World Health Organization</w:t>
      </w:r>
      <w:r>
        <w:rPr>
          <w:rFonts w:asciiTheme="minorHAnsi" w:hAnsiTheme="minorHAnsi" w:cs="Arial"/>
          <w:szCs w:val="24"/>
        </w:rPr>
        <w:t xml:space="preserve"> (WHO)</w:t>
      </w:r>
      <w:r w:rsidRPr="004C36A1">
        <w:rPr>
          <w:rFonts w:asciiTheme="minorHAnsi" w:hAnsiTheme="minorHAnsi" w:cs="Arial"/>
          <w:szCs w:val="24"/>
        </w:rPr>
        <w:t xml:space="preserve">. </w:t>
      </w:r>
      <w:r w:rsidRPr="003A1C3E">
        <w:rPr>
          <w:rFonts w:asciiTheme="minorHAnsi" w:hAnsiTheme="minorHAnsi" w:cs="Arial"/>
          <w:szCs w:val="24"/>
        </w:rPr>
        <w:t xml:space="preserve"> An update on WHO’s work on female genital mutilation (FGM) Progress report</w:t>
      </w:r>
      <w:r>
        <w:rPr>
          <w:rFonts w:asciiTheme="minorHAnsi" w:hAnsiTheme="minorHAnsi" w:cs="Arial"/>
          <w:szCs w:val="24"/>
        </w:rPr>
        <w:t xml:space="preserve"> [Internet]</w:t>
      </w:r>
      <w:r w:rsidRPr="003A1C3E">
        <w:rPr>
          <w:rFonts w:asciiTheme="minorHAnsi" w:hAnsiTheme="minorHAnsi" w:cs="Arial"/>
          <w:szCs w:val="24"/>
        </w:rPr>
        <w:t xml:space="preserve">. </w:t>
      </w:r>
      <w:r>
        <w:rPr>
          <w:rFonts w:asciiTheme="minorHAnsi" w:hAnsiTheme="minorHAnsi" w:cs="Arial"/>
          <w:szCs w:val="24"/>
        </w:rPr>
        <w:t xml:space="preserve">Geneva (CH): WHO; 2011 [cited 2016 June 28]. 8 p. </w:t>
      </w:r>
      <w:r w:rsidRPr="004C36A1">
        <w:rPr>
          <w:rFonts w:asciiTheme="minorHAnsi" w:hAnsiTheme="minorHAnsi" w:cs="Arial"/>
          <w:szCs w:val="24"/>
        </w:rPr>
        <w:t xml:space="preserve">WHO </w:t>
      </w:r>
      <w:r>
        <w:rPr>
          <w:rFonts w:asciiTheme="minorHAnsi" w:hAnsiTheme="minorHAnsi" w:cs="Arial"/>
          <w:szCs w:val="24"/>
        </w:rPr>
        <w:t xml:space="preserve">ref no: WHO/RHR/11.18.  Available from </w:t>
      </w:r>
      <w:hyperlink r:id="rId14" w:history="1">
        <w:r w:rsidRPr="006C068D">
          <w:rPr>
            <w:rStyle w:val="Hyperlink"/>
            <w:rFonts w:asciiTheme="minorHAnsi" w:hAnsiTheme="minorHAnsi" w:cs="Arial"/>
            <w:szCs w:val="24"/>
          </w:rPr>
          <w:t>http://www.who.int/reproductivehealth/publications/fgm/rhr_11_18/en/</w:t>
        </w:r>
      </w:hyperlink>
    </w:p>
    <w:p w14:paraId="499B75A7" w14:textId="16D85897" w:rsidR="00B27E8C" w:rsidRPr="004951CA" w:rsidRDefault="00B27E8C" w:rsidP="00B841B5">
      <w:pPr>
        <w:numPr>
          <w:ilvl w:val="0"/>
          <w:numId w:val="22"/>
        </w:numPr>
        <w:ind w:left="426" w:hanging="426"/>
        <w:rPr>
          <w:rStyle w:val="Hyperlink"/>
          <w:rFonts w:cs="Arial"/>
          <w:color w:val="auto"/>
          <w:szCs w:val="24"/>
          <w:u w:val="none"/>
        </w:rPr>
      </w:pPr>
      <w:r>
        <w:rPr>
          <w:rFonts w:cs="Arial"/>
          <w:szCs w:val="24"/>
        </w:rPr>
        <w:t xml:space="preserve">WHO. </w:t>
      </w:r>
      <w:r w:rsidRPr="00880B13">
        <w:rPr>
          <w:rFonts w:cs="Arial"/>
          <w:szCs w:val="24"/>
        </w:rPr>
        <w:t>Female genital mutilation</w:t>
      </w:r>
      <w:r>
        <w:rPr>
          <w:rFonts w:cs="Arial"/>
          <w:szCs w:val="24"/>
        </w:rPr>
        <w:t xml:space="preserve"> factsheet [Internet]. Geneva (CH): WHO; 2016 [cited 2016 June 28].  Available from: </w:t>
      </w:r>
      <w:hyperlink r:id="rId15" w:history="1">
        <w:r w:rsidRPr="006C068D">
          <w:rPr>
            <w:rStyle w:val="Hyperlink"/>
            <w:rFonts w:cs="Arial"/>
            <w:szCs w:val="24"/>
          </w:rPr>
          <w:t>http://www.who.int/mediacentre/factsheets/fs241/en/</w:t>
        </w:r>
      </w:hyperlink>
    </w:p>
    <w:p w14:paraId="721F8F12" w14:textId="4B94E56F" w:rsidR="00B27E8C" w:rsidRPr="004951CA" w:rsidRDefault="00B27E8C" w:rsidP="004951CA">
      <w:pPr>
        <w:numPr>
          <w:ilvl w:val="0"/>
          <w:numId w:val="22"/>
        </w:numPr>
        <w:ind w:left="426" w:hanging="426"/>
        <w:rPr>
          <w:rFonts w:cs="Arial"/>
          <w:szCs w:val="24"/>
        </w:rPr>
      </w:pPr>
      <w:r w:rsidRPr="004951CA">
        <w:rPr>
          <w:rFonts w:cs="Arial"/>
          <w:szCs w:val="24"/>
        </w:rPr>
        <w:t>Family Law Council.  Female Genital Mutilation: A report to the Attorney-General [Internet].  Barton (AU): Commonwealth of Australia; 1994 [cited 2016 June 28]. 90 p. Available from</w:t>
      </w:r>
      <w:r w:rsidR="004951CA">
        <w:rPr>
          <w:rFonts w:cs="Arial"/>
          <w:szCs w:val="24"/>
        </w:rPr>
        <w:t xml:space="preserve">: </w:t>
      </w:r>
      <w:hyperlink r:id="rId16" w:history="1">
        <w:r w:rsidR="004951CA" w:rsidRPr="00D46960">
          <w:rPr>
            <w:rStyle w:val="Hyperlink"/>
            <w:rFonts w:cs="Arial"/>
            <w:szCs w:val="24"/>
          </w:rPr>
          <w:t>https://www.ag.gov.au/FamiliesAndMarriage/FamilyLawCouncil/Documents/Female%20genital%20mutilation.pdf</w:t>
        </w:r>
      </w:hyperlink>
    </w:p>
    <w:p w14:paraId="3FC08A78" w14:textId="77777777" w:rsidR="00B27E8C" w:rsidRPr="004C36A1" w:rsidRDefault="00B27E8C" w:rsidP="00B841B5">
      <w:pPr>
        <w:numPr>
          <w:ilvl w:val="0"/>
          <w:numId w:val="22"/>
        </w:numPr>
        <w:ind w:left="426" w:hanging="426"/>
        <w:rPr>
          <w:rFonts w:cs="Arial"/>
          <w:szCs w:val="24"/>
        </w:rPr>
      </w:pPr>
      <w:r w:rsidRPr="004C36A1">
        <w:rPr>
          <w:rFonts w:cs="Arial"/>
          <w:i/>
          <w:iCs/>
          <w:szCs w:val="24"/>
        </w:rPr>
        <w:t xml:space="preserve">Crimes Act 1900 </w:t>
      </w:r>
      <w:r>
        <w:rPr>
          <w:rFonts w:cs="Arial"/>
          <w:szCs w:val="24"/>
        </w:rPr>
        <w:t>(ACT) s. 73 – 75 (AU</w:t>
      </w:r>
      <w:r w:rsidRPr="004C36A1">
        <w:rPr>
          <w:rFonts w:cs="Arial"/>
          <w:szCs w:val="24"/>
        </w:rPr>
        <w:t>)</w:t>
      </w:r>
    </w:p>
    <w:p w14:paraId="588CEAD8" w14:textId="77777777" w:rsidR="00B27E8C" w:rsidRPr="004C36A1" w:rsidRDefault="00B27E8C" w:rsidP="00B841B5">
      <w:pPr>
        <w:numPr>
          <w:ilvl w:val="0"/>
          <w:numId w:val="22"/>
        </w:numPr>
        <w:ind w:left="426" w:hanging="426"/>
        <w:rPr>
          <w:rFonts w:cs="Arial"/>
          <w:szCs w:val="24"/>
        </w:rPr>
      </w:pPr>
      <w:r w:rsidRPr="004C36A1">
        <w:rPr>
          <w:rFonts w:cs="Arial"/>
          <w:i/>
          <w:iCs/>
          <w:szCs w:val="24"/>
        </w:rPr>
        <w:t xml:space="preserve">Children and Young People Act 2008 </w:t>
      </w:r>
      <w:r>
        <w:rPr>
          <w:rFonts w:cs="Arial"/>
          <w:szCs w:val="24"/>
        </w:rPr>
        <w:t>(ACT) s. 356 (AU</w:t>
      </w:r>
      <w:r w:rsidRPr="004C36A1">
        <w:rPr>
          <w:rFonts w:cs="Arial"/>
          <w:szCs w:val="24"/>
        </w:rPr>
        <w:t>).</w:t>
      </w:r>
    </w:p>
    <w:p w14:paraId="311A44B9" w14:textId="77777777" w:rsidR="00B27E8C" w:rsidRDefault="00B27E8C" w:rsidP="00B841B5">
      <w:pPr>
        <w:numPr>
          <w:ilvl w:val="0"/>
          <w:numId w:val="22"/>
        </w:numPr>
        <w:ind w:left="426" w:hanging="426"/>
        <w:rPr>
          <w:rFonts w:cs="Arial"/>
          <w:szCs w:val="24"/>
        </w:rPr>
      </w:pPr>
      <w:proofErr w:type="spellStart"/>
      <w:r w:rsidRPr="00541203">
        <w:rPr>
          <w:rFonts w:cs="Arial"/>
          <w:szCs w:val="24"/>
        </w:rPr>
        <w:t>Cohealth</w:t>
      </w:r>
      <w:proofErr w:type="spellEnd"/>
      <w:r>
        <w:rPr>
          <w:rFonts w:cs="Arial"/>
          <w:szCs w:val="24"/>
        </w:rPr>
        <w:t xml:space="preserve">. (2016).  </w:t>
      </w:r>
      <w:r w:rsidRPr="00E91935">
        <w:rPr>
          <w:rFonts w:cs="Arial"/>
          <w:szCs w:val="24"/>
        </w:rPr>
        <w:t>Starting conversations about female genital circumcision</w:t>
      </w:r>
      <w:r>
        <w:rPr>
          <w:rFonts w:cs="Arial"/>
          <w:szCs w:val="24"/>
        </w:rPr>
        <w:t xml:space="preserve"> [web streaming video].  Fitzroy (AU): </w:t>
      </w:r>
      <w:proofErr w:type="spellStart"/>
      <w:r>
        <w:rPr>
          <w:rFonts w:cs="Arial"/>
          <w:szCs w:val="24"/>
        </w:rPr>
        <w:t>Cohealth</w:t>
      </w:r>
      <w:proofErr w:type="spellEnd"/>
      <w:r>
        <w:rPr>
          <w:rFonts w:cs="Arial"/>
          <w:szCs w:val="24"/>
        </w:rPr>
        <w:t xml:space="preserve">; 2016 [cited 2016 July 19].  Available from </w:t>
      </w:r>
      <w:hyperlink r:id="rId17" w:history="1">
        <w:r w:rsidRPr="006C068D">
          <w:rPr>
            <w:rStyle w:val="Hyperlink"/>
            <w:rFonts w:cs="Arial"/>
            <w:szCs w:val="24"/>
          </w:rPr>
          <w:t>https://www.cohealth.org.au/health-promotion/fgc/</w:t>
        </w:r>
      </w:hyperlink>
    </w:p>
    <w:p w14:paraId="57CB4865" w14:textId="77777777" w:rsidR="00B27E8C" w:rsidRDefault="00B27E8C" w:rsidP="00B841B5">
      <w:pPr>
        <w:numPr>
          <w:ilvl w:val="0"/>
          <w:numId w:val="22"/>
        </w:numPr>
        <w:ind w:left="426" w:hanging="426"/>
        <w:rPr>
          <w:rFonts w:cs="Arial"/>
          <w:szCs w:val="24"/>
        </w:rPr>
      </w:pPr>
      <w:r>
        <w:rPr>
          <w:iCs/>
        </w:rPr>
        <w:t xml:space="preserve">NSW Kids and Families. </w:t>
      </w:r>
      <w:r w:rsidRPr="00A8229A">
        <w:rPr>
          <w:iCs/>
        </w:rPr>
        <w:t>Female genital mutilation/cutting: Talking with families, an educational resource.</w:t>
      </w:r>
      <w:r>
        <w:rPr>
          <w:iCs/>
        </w:rPr>
        <w:t xml:space="preserve">  Sydney (AU):  NSW Kids and Families; June 2015 [cited 2016 July 19]. Available from: </w:t>
      </w:r>
      <w:hyperlink r:id="rId18" w:history="1">
        <w:r w:rsidRPr="009E586A">
          <w:rPr>
            <w:rStyle w:val="Hyperlink"/>
          </w:rPr>
          <w:t>http://www.health.nsw.gov.au/kidsfamilies/MCFhealth/Documents/fgm-flip-chart-web.pdf</w:t>
        </w:r>
      </w:hyperlink>
    </w:p>
    <w:p w14:paraId="2CA526B4" w14:textId="77777777" w:rsidR="00B27E8C" w:rsidRPr="00CB2010" w:rsidRDefault="00B27E8C" w:rsidP="00B841B5">
      <w:pPr>
        <w:numPr>
          <w:ilvl w:val="0"/>
          <w:numId w:val="22"/>
        </w:numPr>
        <w:ind w:left="426" w:hanging="426"/>
        <w:rPr>
          <w:rFonts w:cs="Arial"/>
          <w:szCs w:val="24"/>
        </w:rPr>
      </w:pPr>
      <w:r>
        <w:t>Royal Australian and New Zealand College of Obstetricians and Gynaecologists (RANZCOG).</w:t>
      </w:r>
      <w:r w:rsidRPr="005B3A14">
        <w:t xml:space="preserve"> Female genital mutilation: Information for Australian health professionals.</w:t>
      </w:r>
      <w:r>
        <w:t xml:space="preserve">  Melbourne (AU):  RANZCOG; 1997 [cited 2016 July 20].  </w:t>
      </w:r>
    </w:p>
    <w:p w14:paraId="56CAA354" w14:textId="77777777" w:rsidR="00B27E8C" w:rsidRPr="00CB2010" w:rsidRDefault="00B27E8C" w:rsidP="00B841B5">
      <w:pPr>
        <w:numPr>
          <w:ilvl w:val="0"/>
          <w:numId w:val="22"/>
        </w:numPr>
        <w:ind w:left="426" w:hanging="426"/>
        <w:rPr>
          <w:rFonts w:cs="Arial"/>
          <w:szCs w:val="24"/>
        </w:rPr>
      </w:pPr>
      <w:r w:rsidRPr="00CB2010">
        <w:rPr>
          <w:rFonts w:cs="Arial"/>
          <w:szCs w:val="24"/>
        </w:rPr>
        <w:lastRenderedPageBreak/>
        <w:t xml:space="preserve">Royal Women’s Hospital.  Female Genital Mutilation Cutting – Guideline for Care [Internet].  Parkville (AU): Royal Women’s Hospital; 2015 [cited 2016 July 19]. 9 p.  </w:t>
      </w:r>
    </w:p>
    <w:p w14:paraId="36E8A27C" w14:textId="49001F5D" w:rsidR="00B27E8C" w:rsidRPr="00CB2010" w:rsidRDefault="00B27E8C" w:rsidP="00B841B5">
      <w:pPr>
        <w:ind w:left="426" w:hanging="426"/>
        <w:rPr>
          <w:rFonts w:cs="Arial"/>
          <w:szCs w:val="24"/>
        </w:rPr>
      </w:pPr>
      <w:r>
        <w:t xml:space="preserve">    </w:t>
      </w:r>
      <w:r w:rsidR="004951CA">
        <w:tab/>
      </w:r>
      <w:hyperlink r:id="rId19" w:history="1">
        <w:r w:rsidR="004951CA" w:rsidRPr="00D46960">
          <w:rPr>
            <w:rStyle w:val="Hyperlink"/>
            <w:rFonts w:cs="Arial"/>
            <w:szCs w:val="24"/>
          </w:rPr>
          <w:t>https://www.thewomens.org.au/health-professionals/clinical-resources/clinical-  guidelines-</w:t>
        </w:r>
        <w:proofErr w:type="spellStart"/>
        <w:r w:rsidR="004951CA" w:rsidRPr="00D46960">
          <w:rPr>
            <w:rStyle w:val="Hyperlink"/>
            <w:rFonts w:cs="Arial"/>
            <w:szCs w:val="24"/>
          </w:rPr>
          <w:t>gps</w:t>
        </w:r>
        <w:proofErr w:type="spellEnd"/>
        <w:r w:rsidR="004951CA" w:rsidRPr="00D46960">
          <w:rPr>
            <w:rStyle w:val="Hyperlink"/>
            <w:rFonts w:cs="Arial"/>
            <w:szCs w:val="24"/>
          </w:rPr>
          <w:t>/</w:t>
        </w:r>
      </w:hyperlink>
      <w:r>
        <w:rPr>
          <w:rFonts w:cs="Arial"/>
          <w:szCs w:val="24"/>
        </w:rPr>
        <w:t xml:space="preserve"> </w:t>
      </w:r>
    </w:p>
    <w:p w14:paraId="641C4E38" w14:textId="2CF1B920" w:rsidR="004951CA" w:rsidRDefault="00B27E8C" w:rsidP="00B841B5">
      <w:pPr>
        <w:numPr>
          <w:ilvl w:val="0"/>
          <w:numId w:val="22"/>
        </w:numPr>
        <w:ind w:left="426" w:hanging="426"/>
        <w:rPr>
          <w:rFonts w:cs="Arial"/>
          <w:szCs w:val="24"/>
        </w:rPr>
      </w:pPr>
      <w:proofErr w:type="spellStart"/>
      <w:r w:rsidRPr="002F4A88">
        <w:rPr>
          <w:rStyle w:val="cit"/>
          <w:rFonts w:asciiTheme="minorHAnsi" w:hAnsiTheme="minorHAnsi"/>
          <w:color w:val="000000"/>
          <w:szCs w:val="24"/>
        </w:rPr>
        <w:t>Okwudili</w:t>
      </w:r>
      <w:proofErr w:type="spellEnd"/>
      <w:r w:rsidRPr="002F4A88">
        <w:rPr>
          <w:rStyle w:val="cit"/>
          <w:rFonts w:asciiTheme="minorHAnsi" w:hAnsiTheme="minorHAnsi"/>
          <w:color w:val="000000"/>
          <w:szCs w:val="24"/>
        </w:rPr>
        <w:t xml:space="preserve">, OA &amp; Chukwudi, OR. </w:t>
      </w:r>
      <w:r w:rsidRPr="005C3234">
        <w:rPr>
          <w:rFonts w:asciiTheme="minorHAnsi" w:hAnsiTheme="minorHAnsi"/>
          <w:bCs/>
          <w:color w:val="000000"/>
          <w:szCs w:val="24"/>
        </w:rPr>
        <w:t>Urinary and Genital Tract Obstruction as a Complication of Female Genital Mutilation: Case Report and Literature Review</w:t>
      </w:r>
      <w:r>
        <w:rPr>
          <w:rFonts w:cs="Arial"/>
          <w:szCs w:val="24"/>
        </w:rPr>
        <w:t xml:space="preserve">.  </w:t>
      </w:r>
      <w:r w:rsidRPr="005C3234">
        <w:rPr>
          <w:rStyle w:val="cit"/>
          <w:rFonts w:asciiTheme="minorHAnsi" w:hAnsiTheme="minorHAnsi"/>
          <w:color w:val="000000"/>
          <w:szCs w:val="24"/>
        </w:rPr>
        <w:t xml:space="preserve">J Surg Tech </w:t>
      </w:r>
      <w:r>
        <w:rPr>
          <w:rStyle w:val="cit"/>
          <w:rFonts w:asciiTheme="minorHAnsi" w:hAnsiTheme="minorHAnsi"/>
          <w:color w:val="000000"/>
          <w:szCs w:val="24"/>
        </w:rPr>
        <w:t>Case Rep</w:t>
      </w:r>
      <w:r w:rsidRPr="005C3234">
        <w:rPr>
          <w:rStyle w:val="cit"/>
          <w:rFonts w:asciiTheme="minorHAnsi" w:hAnsiTheme="minorHAnsi"/>
          <w:color w:val="000000"/>
          <w:szCs w:val="24"/>
        </w:rPr>
        <w:t xml:space="preserve"> </w:t>
      </w:r>
      <w:r>
        <w:rPr>
          <w:rStyle w:val="cit"/>
          <w:rFonts w:asciiTheme="minorHAnsi" w:hAnsiTheme="minorHAnsi"/>
          <w:color w:val="000000"/>
          <w:szCs w:val="24"/>
        </w:rPr>
        <w:t>2012 Jan-Jun [cited 2016 July 20];</w:t>
      </w:r>
      <w:r w:rsidRPr="002F4A88">
        <w:rPr>
          <w:rStyle w:val="cit"/>
          <w:rFonts w:asciiTheme="minorHAnsi" w:hAnsiTheme="minorHAnsi"/>
          <w:color w:val="000000"/>
          <w:szCs w:val="24"/>
        </w:rPr>
        <w:t>4(1): 64–66.</w:t>
      </w:r>
      <w:r>
        <w:rPr>
          <w:rFonts w:cs="Arial"/>
          <w:szCs w:val="24"/>
        </w:rPr>
        <w:t xml:space="preserve"> </w:t>
      </w:r>
    </w:p>
    <w:p w14:paraId="15AE4824" w14:textId="3023AFCE" w:rsidR="00B27E8C" w:rsidRPr="008D3519" w:rsidRDefault="00B27E8C" w:rsidP="004951CA">
      <w:pPr>
        <w:ind w:left="426"/>
        <w:rPr>
          <w:rFonts w:cs="Arial"/>
          <w:szCs w:val="24"/>
        </w:rPr>
      </w:pPr>
      <w:r>
        <w:rPr>
          <w:rFonts w:cs="Arial"/>
          <w:szCs w:val="24"/>
        </w:rPr>
        <w:t>Available</w:t>
      </w:r>
      <w:r w:rsidR="004951CA">
        <w:rPr>
          <w:rFonts w:cs="Arial"/>
          <w:szCs w:val="24"/>
        </w:rPr>
        <w:t xml:space="preserve"> f</w:t>
      </w:r>
      <w:r>
        <w:rPr>
          <w:rFonts w:cs="Arial"/>
          <w:szCs w:val="24"/>
        </w:rPr>
        <w:t>rom</w:t>
      </w:r>
      <w:r w:rsidR="004951CA">
        <w:rPr>
          <w:rFonts w:cs="Arial"/>
          <w:szCs w:val="24"/>
        </w:rPr>
        <w:t>:</w:t>
      </w:r>
      <w:r>
        <w:rPr>
          <w:rFonts w:cs="Arial"/>
          <w:szCs w:val="24"/>
        </w:rPr>
        <w:t xml:space="preserve"> </w:t>
      </w:r>
      <w:r>
        <w:t> </w:t>
      </w:r>
      <w:hyperlink r:id="rId20" w:history="1">
        <w:r>
          <w:rPr>
            <w:rStyle w:val="Hyperlink"/>
          </w:rPr>
          <w:t>http://www.jstcr.org/text.asp?2012/4/1/64/100360</w:t>
        </w:r>
      </w:hyperlink>
      <w:r w:rsidRPr="002F4A88">
        <w:rPr>
          <w:rStyle w:val="doi"/>
          <w:rFonts w:asciiTheme="minorHAnsi" w:hAnsiTheme="minorHAnsi" w:cs="Arial"/>
          <w:color w:val="000000"/>
          <w:szCs w:val="24"/>
        </w:rPr>
        <w:t xml:space="preserve"> </w:t>
      </w:r>
      <w:r>
        <w:rPr>
          <w:rStyle w:val="doi"/>
          <w:rFonts w:asciiTheme="minorHAnsi" w:hAnsiTheme="minorHAnsi" w:cs="Arial"/>
          <w:color w:val="000000"/>
          <w:szCs w:val="24"/>
        </w:rPr>
        <w:t>DOI</w:t>
      </w:r>
      <w:r w:rsidRPr="002F4A88">
        <w:rPr>
          <w:rStyle w:val="doi"/>
          <w:rFonts w:asciiTheme="minorHAnsi" w:hAnsiTheme="minorHAnsi" w:cs="Arial"/>
          <w:color w:val="000000"/>
          <w:szCs w:val="24"/>
        </w:rPr>
        <w:t>: </w:t>
      </w:r>
      <w:r w:rsidRPr="002F4A88">
        <w:rPr>
          <w:rStyle w:val="apple-converted-space"/>
          <w:rFonts w:asciiTheme="minorHAnsi" w:hAnsiTheme="minorHAnsi" w:cs="Arial"/>
          <w:color w:val="000000"/>
          <w:szCs w:val="24"/>
        </w:rPr>
        <w:t> </w:t>
      </w:r>
      <w:hyperlink r:id="rId21" w:tgtFrame="pmc_ext" w:history="1">
        <w:r w:rsidRPr="002F4A88">
          <w:rPr>
            <w:rStyle w:val="Hyperlink"/>
            <w:rFonts w:asciiTheme="minorHAnsi" w:hAnsiTheme="minorHAnsi" w:cs="Arial"/>
            <w:color w:val="642A8F"/>
            <w:szCs w:val="24"/>
          </w:rPr>
          <w:t>10.4103/2006-8808.100360</w:t>
        </w:r>
      </w:hyperlink>
    </w:p>
    <w:p w14:paraId="5A123F6E" w14:textId="77777777" w:rsidR="00B27E8C" w:rsidRPr="00CB2010" w:rsidRDefault="00B27E8C" w:rsidP="00B841B5">
      <w:pPr>
        <w:numPr>
          <w:ilvl w:val="0"/>
          <w:numId w:val="22"/>
        </w:numPr>
        <w:ind w:left="426" w:hanging="426"/>
        <w:rPr>
          <w:rFonts w:cs="Arial"/>
          <w:szCs w:val="24"/>
        </w:rPr>
      </w:pPr>
      <w:r w:rsidRPr="009D4487">
        <w:rPr>
          <w:rFonts w:cs="Source Sans Pro Light"/>
          <w:color w:val="000000"/>
          <w:sz w:val="23"/>
          <w:szCs w:val="23"/>
        </w:rPr>
        <w:t>Multicultural Centre for Women’s Health</w:t>
      </w:r>
      <w:r>
        <w:rPr>
          <w:rFonts w:cs="Source Sans Pro Light"/>
          <w:color w:val="000000"/>
          <w:sz w:val="23"/>
          <w:szCs w:val="23"/>
        </w:rPr>
        <w:t xml:space="preserve"> (MCWH)</w:t>
      </w:r>
      <w:r w:rsidRPr="009D4487">
        <w:rPr>
          <w:rFonts w:cs="Source Sans Pro Light"/>
          <w:color w:val="000000"/>
          <w:sz w:val="23"/>
          <w:szCs w:val="23"/>
        </w:rPr>
        <w:t xml:space="preserve">. </w:t>
      </w:r>
      <w:r>
        <w:rPr>
          <w:rFonts w:cs="Source Sans Pro Light"/>
          <w:color w:val="000000"/>
          <w:sz w:val="23"/>
          <w:szCs w:val="23"/>
        </w:rPr>
        <w:t xml:space="preserve"> The National Education Toolkit for Female Genital Mutilation/Cutting Awareness Resource and Activity Guide.  Melbourne (AU): MCWH; 2014. </w:t>
      </w:r>
    </w:p>
    <w:p w14:paraId="09183B34" w14:textId="77777777" w:rsidR="00B27E8C" w:rsidRPr="00CB2010" w:rsidRDefault="00B27E8C" w:rsidP="00B841B5">
      <w:pPr>
        <w:numPr>
          <w:ilvl w:val="0"/>
          <w:numId w:val="22"/>
        </w:numPr>
        <w:ind w:left="426" w:hanging="426"/>
        <w:rPr>
          <w:rFonts w:cs="Arial"/>
          <w:szCs w:val="24"/>
        </w:rPr>
      </w:pPr>
      <w:r w:rsidRPr="00CB2010">
        <w:rPr>
          <w:rFonts w:cs="Arial"/>
          <w:szCs w:val="24"/>
        </w:rPr>
        <w:t xml:space="preserve">NSW Health.  Maternity-pregnancy and birthing care for women affected by female genital mutilation/cutting [Internet].  Sydney (AU): Ministry of Health NSW; 2014 [cited 2016 July 19].  20 p. Document No. GL2014_016. Available from: </w:t>
      </w:r>
      <w:hyperlink r:id="rId22" w:history="1">
        <w:r w:rsidRPr="00CB2010">
          <w:rPr>
            <w:rStyle w:val="Hyperlink"/>
            <w:rFonts w:cs="Arial"/>
            <w:szCs w:val="24"/>
          </w:rPr>
          <w:t>http://www.kidsfamilies.health.nsw.gov.au/media/218107/gl2014_016-maternity-pregnancy-and-birthing-care-for-women-affected-by-female-genital-mutilation-cutting.pdf</w:t>
        </w:r>
      </w:hyperlink>
      <w:r w:rsidRPr="00CB2010">
        <w:rPr>
          <w:rFonts w:cs="Arial"/>
          <w:szCs w:val="24"/>
        </w:rPr>
        <w:t xml:space="preserve"> </w:t>
      </w:r>
    </w:p>
    <w:p w14:paraId="01A3DE03" w14:textId="77777777" w:rsidR="00B27E8C" w:rsidRPr="000C0931" w:rsidRDefault="00B27E8C" w:rsidP="00B841B5">
      <w:pPr>
        <w:numPr>
          <w:ilvl w:val="0"/>
          <w:numId w:val="22"/>
        </w:numPr>
        <w:ind w:left="426" w:hanging="426"/>
        <w:rPr>
          <w:rFonts w:cs="Arial"/>
          <w:i/>
          <w:szCs w:val="24"/>
        </w:rPr>
      </w:pPr>
      <w:r>
        <w:rPr>
          <w:rFonts w:cs="Arial"/>
          <w:szCs w:val="24"/>
        </w:rPr>
        <w:t>United Nations Children’s Fund (U</w:t>
      </w:r>
      <w:r w:rsidRPr="009D4487">
        <w:rPr>
          <w:rFonts w:cs="Arial"/>
          <w:szCs w:val="24"/>
        </w:rPr>
        <w:t>NICEF</w:t>
      </w:r>
      <w:r>
        <w:rPr>
          <w:rFonts w:cs="Arial"/>
          <w:szCs w:val="24"/>
        </w:rPr>
        <w:t>)</w:t>
      </w:r>
      <w:r w:rsidRPr="009D4487">
        <w:rPr>
          <w:rFonts w:cs="Arial"/>
          <w:szCs w:val="24"/>
        </w:rPr>
        <w:t xml:space="preserve">. </w:t>
      </w:r>
      <w:r w:rsidRPr="009935DF">
        <w:rPr>
          <w:rFonts w:cs="Arial"/>
          <w:szCs w:val="24"/>
        </w:rPr>
        <w:t>Female genital mutilation/cutting: A statistical overview and exploration of the dynamics of change.</w:t>
      </w:r>
      <w:r w:rsidRPr="009935DF">
        <w:rPr>
          <w:rFonts w:cs="Arial"/>
          <w:i/>
          <w:szCs w:val="24"/>
        </w:rPr>
        <w:t xml:space="preserve"> </w:t>
      </w:r>
      <w:r>
        <w:rPr>
          <w:rFonts w:cs="Arial"/>
          <w:szCs w:val="24"/>
        </w:rPr>
        <w:t xml:space="preserve">New York (US): UNICEF; 2013 [cited 2016 June 28].  194 p. Available from: </w:t>
      </w:r>
      <w:hyperlink r:id="rId23" w:history="1">
        <w:r w:rsidRPr="006C068D">
          <w:rPr>
            <w:rStyle w:val="Hyperlink"/>
            <w:rFonts w:cs="Arial"/>
            <w:szCs w:val="24"/>
          </w:rPr>
          <w:t>https://data.unicef.org/wp-content/uploads/2015/12/FGMC_Lo_res_Final_26.pdf</w:t>
        </w:r>
      </w:hyperlink>
    </w:p>
    <w:p w14:paraId="0688BB56" w14:textId="77777777" w:rsidR="00B27E8C" w:rsidRDefault="00B27E8C" w:rsidP="00B841B5">
      <w:pPr>
        <w:pStyle w:val="ListParagraph"/>
        <w:numPr>
          <w:ilvl w:val="0"/>
          <w:numId w:val="22"/>
        </w:numPr>
        <w:ind w:left="426" w:hanging="426"/>
        <w:rPr>
          <w:rFonts w:cs="Arial"/>
          <w:szCs w:val="24"/>
        </w:rPr>
      </w:pPr>
      <w:r>
        <w:rPr>
          <w:rFonts w:cs="Arial"/>
          <w:szCs w:val="24"/>
        </w:rPr>
        <w:t xml:space="preserve">UNICEF.  </w:t>
      </w:r>
      <w:r w:rsidRPr="00B66680">
        <w:rPr>
          <w:rFonts w:cs="Arial"/>
          <w:szCs w:val="24"/>
        </w:rPr>
        <w:t>Indonesia: Statistical profile on female genital mutilation/cutting</w:t>
      </w:r>
      <w:r>
        <w:rPr>
          <w:rFonts w:cs="Arial"/>
          <w:szCs w:val="24"/>
        </w:rPr>
        <w:t xml:space="preserve">.  New York (US): UNICEF; 2016 [cited 2016 Nov 22]. 4 p. Available from </w:t>
      </w:r>
      <w:hyperlink r:id="rId24" w:history="1">
        <w:r w:rsidRPr="006C068D">
          <w:rPr>
            <w:rStyle w:val="Hyperlink"/>
            <w:rFonts w:cs="Arial"/>
            <w:szCs w:val="24"/>
          </w:rPr>
          <w:t>https://data.unicef.org/wp-content/uploads/country_profiles/Indonesia/FGMC_IDN.pdf</w:t>
        </w:r>
      </w:hyperlink>
    </w:p>
    <w:p w14:paraId="46878618" w14:textId="77777777" w:rsidR="00B27E8C" w:rsidRPr="00825D75" w:rsidRDefault="00B27E8C" w:rsidP="00B841B5">
      <w:pPr>
        <w:pStyle w:val="ListParagraph"/>
        <w:numPr>
          <w:ilvl w:val="0"/>
          <w:numId w:val="22"/>
        </w:numPr>
        <w:ind w:left="426" w:hanging="426"/>
        <w:rPr>
          <w:i/>
        </w:rPr>
      </w:pPr>
      <w:r>
        <w:t xml:space="preserve">Family Planning Victoria.  </w:t>
      </w:r>
      <w:r w:rsidRPr="00E35492">
        <w:t>Improving the health care of women and girls affected by female genital mutilation/cutting: A service coordination guide.</w:t>
      </w:r>
      <w:r>
        <w:t xml:space="preserve">  Box Hill (AU): Family Planning Victoria, 2012.</w:t>
      </w:r>
    </w:p>
    <w:p w14:paraId="5830205D" w14:textId="77777777" w:rsidR="00B27E8C" w:rsidRDefault="00B27E8C" w:rsidP="00B841B5">
      <w:pPr>
        <w:pStyle w:val="ListParagraph"/>
        <w:numPr>
          <w:ilvl w:val="0"/>
          <w:numId w:val="22"/>
        </w:numPr>
        <w:ind w:left="426" w:hanging="426"/>
      </w:pPr>
      <w:r>
        <w:t xml:space="preserve">NSW Health.  </w:t>
      </w:r>
      <w:r w:rsidRPr="00881B85">
        <w:t>Maternity-pregnancy and birthing care for women affected by female genital mutilation/cutting</w:t>
      </w:r>
      <w:r>
        <w:t xml:space="preserve"> [Internet]</w:t>
      </w:r>
      <w:r w:rsidRPr="00881B85">
        <w:t>.</w:t>
      </w:r>
      <w:r>
        <w:t xml:space="preserve">  Sydney (AU): Ministry of Health NSW; 2014 [cited 2016 July 19].  20 p. Document No. GL2014_016</w:t>
      </w:r>
      <w:r w:rsidRPr="00825D75">
        <w:rPr>
          <w:i/>
        </w:rPr>
        <w:t xml:space="preserve">. </w:t>
      </w:r>
      <w:r>
        <w:t xml:space="preserve">Available from: </w:t>
      </w:r>
      <w:hyperlink r:id="rId25" w:history="1">
        <w:r w:rsidRPr="00EA3551">
          <w:rPr>
            <w:rStyle w:val="Hyperlink"/>
          </w:rPr>
          <w:t>http://www.kidsfamilies.health.nsw.gov.au/media/218107/gl2014_016-maternity-pregnancy-and-birthing-care-for-women-affected-by-female-genital-mutilation-cutting.pdf</w:t>
        </w:r>
      </w:hyperlink>
    </w:p>
    <w:p w14:paraId="495681FA" w14:textId="77777777" w:rsidR="00B27E8C" w:rsidRDefault="00B27E8C" w:rsidP="00B841B5">
      <w:pPr>
        <w:pStyle w:val="ListParagraph"/>
        <w:numPr>
          <w:ilvl w:val="0"/>
          <w:numId w:val="22"/>
        </w:numPr>
        <w:ind w:left="426" w:hanging="426"/>
      </w:pPr>
      <w:r>
        <w:t xml:space="preserve">Royal Women’s Hospital.  </w:t>
      </w:r>
      <w:r w:rsidRPr="00C81F5A">
        <w:t>Female</w:t>
      </w:r>
      <w:r w:rsidRPr="00825D75">
        <w:rPr>
          <w:i/>
        </w:rPr>
        <w:t xml:space="preserve"> </w:t>
      </w:r>
      <w:r w:rsidRPr="00C81F5A">
        <w:t xml:space="preserve">Genital Mutilation </w:t>
      </w:r>
      <w:r>
        <w:t xml:space="preserve">Cutting – </w:t>
      </w:r>
      <w:r w:rsidRPr="00C81F5A">
        <w:t>Guideline</w:t>
      </w:r>
      <w:r>
        <w:t xml:space="preserve"> for Care [Internet].  Parkville (AU): Royal Women’s Hospital; 2015 [cited 2016 July 19]. 9 p.  Available from: </w:t>
      </w:r>
      <w:hyperlink r:id="rId26" w:history="1">
        <w:r w:rsidRPr="00985F59">
          <w:rPr>
            <w:rStyle w:val="Hyperlink"/>
          </w:rPr>
          <w:t>https://www.thewomens.org.au/health-professionals/clinical-resources/clinical-guidelines-gps/</w:t>
        </w:r>
      </w:hyperlink>
    </w:p>
    <w:p w14:paraId="08682A3C" w14:textId="77777777" w:rsidR="000728F3" w:rsidRDefault="000728F3" w:rsidP="00E41A47">
      <w:pPr>
        <w:jc w:val="right"/>
      </w:pPr>
    </w:p>
    <w:p w14:paraId="08682A3D" w14:textId="77777777" w:rsidR="00E41A47" w:rsidRDefault="00E41A47" w:rsidP="00E41A47">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8682A3F" w14:textId="77777777" w:rsidTr="008E74FD">
        <w:trPr>
          <w:cantSplit/>
          <w:trHeight w:val="285"/>
        </w:trPr>
        <w:tc>
          <w:tcPr>
            <w:tcW w:w="9158" w:type="dxa"/>
            <w:shd w:val="clear" w:color="auto" w:fill="D9D9D9" w:themeFill="background1" w:themeFillShade="D9"/>
          </w:tcPr>
          <w:p w14:paraId="08682A3E" w14:textId="77777777" w:rsidR="004A6A76" w:rsidRPr="000F1F60" w:rsidRDefault="004A6A76" w:rsidP="00B10F87">
            <w:pPr>
              <w:pStyle w:val="Heading1"/>
            </w:pPr>
            <w:bookmarkStart w:id="22" w:name="_Toc396290588"/>
            <w:bookmarkStart w:id="23" w:name="_Toc189634620"/>
            <w:r>
              <w:t>Definition of Terms (if applicable)</w:t>
            </w:r>
            <w:bookmarkEnd w:id="22"/>
            <w:bookmarkEnd w:id="23"/>
            <w:r>
              <w:t xml:space="preserve"> </w:t>
            </w:r>
          </w:p>
        </w:tc>
      </w:tr>
    </w:tbl>
    <w:p w14:paraId="08682A40" w14:textId="77777777" w:rsidR="004A6A76" w:rsidRDefault="004A6A76" w:rsidP="004A6A76">
      <w:pPr>
        <w:rPr>
          <w:rFonts w:cs="Arial"/>
          <w:szCs w:val="24"/>
        </w:rPr>
      </w:pPr>
    </w:p>
    <w:p w14:paraId="387AE6E7" w14:textId="77777777" w:rsidR="00B27E8C" w:rsidRDefault="00B27E8C" w:rsidP="00B27E8C">
      <w:r w:rsidRPr="004856BB">
        <w:rPr>
          <w:b/>
        </w:rPr>
        <w:t>Clitoridectomy</w:t>
      </w:r>
      <w:r>
        <w:t>: Type I FGM, p</w:t>
      </w:r>
      <w:r w:rsidRPr="00821831">
        <w:t>artial or total removal of the clitoris and/or the prepuce</w:t>
      </w:r>
      <w:r>
        <w:t>.</w:t>
      </w:r>
      <w:r w:rsidRPr="004856BB">
        <w:rPr>
          <w:vertAlign w:val="superscript"/>
        </w:rPr>
        <w:t xml:space="preserve"> </w:t>
      </w:r>
      <w:r>
        <w:rPr>
          <w:vertAlign w:val="superscript"/>
        </w:rPr>
        <w:t>1-2</w:t>
      </w:r>
      <w:r w:rsidRPr="00821831">
        <w:rPr>
          <w:vertAlign w:val="superscript"/>
          <w:lang w:val="mn-MN"/>
        </w:rPr>
        <w:t xml:space="preserve"> </w:t>
      </w:r>
      <w:r w:rsidRPr="00821831">
        <w:rPr>
          <w:lang w:val="mn-MN"/>
        </w:rPr>
        <w:t xml:space="preserve"> </w:t>
      </w:r>
      <w:r w:rsidRPr="00821831">
        <w:t xml:space="preserve"> </w:t>
      </w:r>
    </w:p>
    <w:p w14:paraId="5DF8FCFD" w14:textId="77777777" w:rsidR="00B27E8C" w:rsidRDefault="00B27E8C" w:rsidP="00B27E8C"/>
    <w:p w14:paraId="340E6448" w14:textId="77777777" w:rsidR="00B27E8C" w:rsidRDefault="00B27E8C" w:rsidP="00B27E8C">
      <w:r w:rsidRPr="004856BB">
        <w:rPr>
          <w:b/>
        </w:rPr>
        <w:lastRenderedPageBreak/>
        <w:t>Excision</w:t>
      </w:r>
      <w:r>
        <w:t>: Type II FGM, p</w:t>
      </w:r>
      <w:r w:rsidRPr="00821831">
        <w:t>artial or total removal of the clitoris and the labia minora, with or without excision of the labia majora</w:t>
      </w:r>
      <w:r>
        <w:rPr>
          <w:vertAlign w:val="superscript"/>
        </w:rPr>
        <w:t>1-2</w:t>
      </w:r>
      <w:r w:rsidRPr="00821831">
        <w:rPr>
          <w:vertAlign w:val="superscript"/>
          <w:lang w:val="mn-MN"/>
        </w:rPr>
        <w:t xml:space="preserve"> </w:t>
      </w:r>
      <w:proofErr w:type="gramStart"/>
      <w:r w:rsidRPr="00821831">
        <w:rPr>
          <w:lang w:val="mn-MN"/>
        </w:rPr>
        <w:t xml:space="preserve"> </w:t>
      </w:r>
      <w:r w:rsidRPr="00821831">
        <w:t xml:space="preserve"> </w:t>
      </w:r>
      <w:r>
        <w:t>.</w:t>
      </w:r>
      <w:proofErr w:type="gramEnd"/>
    </w:p>
    <w:p w14:paraId="2729E6FD" w14:textId="77777777" w:rsidR="00B27E8C" w:rsidRDefault="00B27E8C" w:rsidP="00B27E8C"/>
    <w:p w14:paraId="0D8F40AB" w14:textId="77777777" w:rsidR="00B27E8C" w:rsidRDefault="00B27E8C" w:rsidP="00B27E8C">
      <w:pPr>
        <w:rPr>
          <w:rFonts w:cs="Arial"/>
          <w:szCs w:val="24"/>
        </w:rPr>
      </w:pPr>
      <w:r w:rsidRPr="00955DFD">
        <w:rPr>
          <w:rFonts w:cs="Calibri"/>
          <w:b/>
          <w:szCs w:val="24"/>
        </w:rPr>
        <w:t>De-infibulation</w:t>
      </w:r>
      <w:r>
        <w:rPr>
          <w:rFonts w:cs="Calibri"/>
          <w:b/>
          <w:szCs w:val="24"/>
        </w:rPr>
        <w:t xml:space="preserve">: </w:t>
      </w:r>
      <w:r w:rsidRPr="00FB55BF">
        <w:rPr>
          <w:rFonts w:cs="Calibri"/>
          <w:szCs w:val="24"/>
        </w:rPr>
        <w:t>a minor surgical procedure that divides the scar tissue sealing the vaginal i</w:t>
      </w:r>
      <w:r>
        <w:rPr>
          <w:rFonts w:cs="Calibri"/>
          <w:szCs w:val="24"/>
        </w:rPr>
        <w:t>ntroitus in type II or III FGM.</w:t>
      </w:r>
    </w:p>
    <w:p w14:paraId="4BB0A1E8" w14:textId="77777777" w:rsidR="00B27E8C" w:rsidRDefault="00B27E8C" w:rsidP="00B27E8C">
      <w:pPr>
        <w:rPr>
          <w:rFonts w:cs="Arial"/>
          <w:szCs w:val="24"/>
        </w:rPr>
      </w:pPr>
    </w:p>
    <w:p w14:paraId="52402D8D" w14:textId="77777777" w:rsidR="00B27E8C" w:rsidRDefault="00B27E8C" w:rsidP="00B27E8C">
      <w:pPr>
        <w:rPr>
          <w:rFonts w:cs="Arial"/>
          <w:szCs w:val="24"/>
        </w:rPr>
      </w:pPr>
      <w:r w:rsidRPr="00C855C5">
        <w:rPr>
          <w:rFonts w:cs="Arial"/>
          <w:b/>
          <w:szCs w:val="24"/>
        </w:rPr>
        <w:t>Dyspareunia</w:t>
      </w:r>
      <w:r>
        <w:rPr>
          <w:rFonts w:cs="Arial"/>
          <w:szCs w:val="24"/>
        </w:rPr>
        <w:t>: difficult or painful sexual intercourse.</w:t>
      </w:r>
    </w:p>
    <w:p w14:paraId="03206620" w14:textId="77777777" w:rsidR="00B27E8C" w:rsidRDefault="00B27E8C" w:rsidP="00B27E8C">
      <w:pPr>
        <w:rPr>
          <w:rFonts w:cs="Arial"/>
          <w:szCs w:val="24"/>
        </w:rPr>
      </w:pPr>
    </w:p>
    <w:p w14:paraId="0CFA7C52" w14:textId="77777777" w:rsidR="00B27E8C" w:rsidRDefault="00B27E8C" w:rsidP="00B27E8C">
      <w:r w:rsidRPr="004856BB">
        <w:rPr>
          <w:rFonts w:cs="Arial"/>
          <w:b/>
          <w:szCs w:val="24"/>
        </w:rPr>
        <w:t>FGM/C</w:t>
      </w:r>
      <w:r>
        <w:rPr>
          <w:rFonts w:cs="Arial"/>
          <w:szCs w:val="24"/>
        </w:rPr>
        <w:t xml:space="preserve">: Female genital mutilation/cutting. </w:t>
      </w:r>
      <w:r w:rsidRPr="00821831">
        <w:rPr>
          <w:lang w:val="mn-MN"/>
        </w:rPr>
        <w:t>The World Health Org</w:t>
      </w:r>
      <w:r>
        <w:rPr>
          <w:lang w:val="mn-MN"/>
        </w:rPr>
        <w:t xml:space="preserve">anisation (WHO) defines FGM as </w:t>
      </w:r>
      <w:r>
        <w:rPr>
          <w:rFonts w:cs="Calibri"/>
          <w:szCs w:val="24"/>
        </w:rPr>
        <w:t>‘</w:t>
      </w:r>
      <w:r w:rsidRPr="00821831">
        <w:rPr>
          <w:lang w:val="mn-MN"/>
        </w:rPr>
        <w:t>the partial or total removal of the female external genitalia or other injury to the female genital organs for non-medical reasons</w:t>
      </w:r>
      <w:r>
        <w:t>’</w:t>
      </w:r>
      <w:r w:rsidRPr="00821831">
        <w:rPr>
          <w:lang w:val="mn-MN"/>
        </w:rPr>
        <w:t>.</w:t>
      </w:r>
      <w:r>
        <w:rPr>
          <w:vertAlign w:val="superscript"/>
        </w:rPr>
        <w:t>1-2</w:t>
      </w:r>
      <w:r w:rsidRPr="00821831">
        <w:rPr>
          <w:vertAlign w:val="superscript"/>
          <w:lang w:val="mn-MN"/>
        </w:rPr>
        <w:t xml:space="preserve"> </w:t>
      </w:r>
      <w:r w:rsidRPr="00821831">
        <w:rPr>
          <w:lang w:val="mn-MN"/>
        </w:rPr>
        <w:t xml:space="preserve"> </w:t>
      </w:r>
      <w:r w:rsidRPr="00821831">
        <w:t xml:space="preserve"> </w:t>
      </w:r>
    </w:p>
    <w:p w14:paraId="00800D18" w14:textId="77777777" w:rsidR="00B27E8C" w:rsidRDefault="00B27E8C" w:rsidP="00B27E8C"/>
    <w:p w14:paraId="4B82F7C6" w14:textId="77777777" w:rsidR="00B27E8C" w:rsidRPr="00C13F04" w:rsidRDefault="00B27E8C" w:rsidP="00B27E8C">
      <w:pPr>
        <w:tabs>
          <w:tab w:val="num" w:pos="720"/>
        </w:tabs>
        <w:rPr>
          <w:rFonts w:cs="Arial"/>
          <w:szCs w:val="24"/>
        </w:rPr>
      </w:pPr>
      <w:proofErr w:type="spellStart"/>
      <w:r w:rsidRPr="005572B5">
        <w:rPr>
          <w:rFonts w:cs="Arial"/>
          <w:b/>
          <w:szCs w:val="24"/>
        </w:rPr>
        <w:t>Haematocolpos</w:t>
      </w:r>
      <w:proofErr w:type="spellEnd"/>
      <w:r>
        <w:rPr>
          <w:rFonts w:cs="Arial"/>
          <w:szCs w:val="24"/>
        </w:rPr>
        <w:t xml:space="preserve">: </w:t>
      </w:r>
      <w:r w:rsidRPr="00C13F04">
        <w:rPr>
          <w:rFonts w:cs="Arial"/>
          <w:szCs w:val="24"/>
        </w:rPr>
        <w:t>accumulation of blood in the vagina</w:t>
      </w:r>
      <w:r>
        <w:rPr>
          <w:rFonts w:cs="Arial"/>
          <w:szCs w:val="24"/>
        </w:rPr>
        <w:t xml:space="preserve"> presenting as </w:t>
      </w:r>
      <w:r w:rsidRPr="00C13F04">
        <w:rPr>
          <w:rFonts w:cs="Arial"/>
          <w:szCs w:val="24"/>
        </w:rPr>
        <w:t>increasing abdominal distention and mont</w:t>
      </w:r>
      <w:r>
        <w:rPr>
          <w:rFonts w:cs="Arial"/>
          <w:szCs w:val="24"/>
        </w:rPr>
        <w:t>hly discomfort without bleeding</w:t>
      </w:r>
    </w:p>
    <w:p w14:paraId="7A683C00" w14:textId="77777777" w:rsidR="00B27E8C" w:rsidRDefault="00B27E8C" w:rsidP="00B27E8C">
      <w:pPr>
        <w:rPr>
          <w:rFonts w:cs="Arial"/>
          <w:b/>
          <w:szCs w:val="24"/>
        </w:rPr>
      </w:pPr>
    </w:p>
    <w:p w14:paraId="0BD2BEF2" w14:textId="77777777" w:rsidR="00B27E8C" w:rsidRPr="000D6231" w:rsidRDefault="00B27E8C" w:rsidP="00B27E8C">
      <w:pPr>
        <w:rPr>
          <w:vertAlign w:val="superscript"/>
        </w:rPr>
      </w:pPr>
      <w:r w:rsidRPr="004856BB">
        <w:rPr>
          <w:rFonts w:cs="Arial"/>
          <w:b/>
          <w:szCs w:val="24"/>
        </w:rPr>
        <w:t>Infibulation</w:t>
      </w:r>
      <w:r>
        <w:rPr>
          <w:rFonts w:cs="Arial"/>
          <w:szCs w:val="24"/>
        </w:rPr>
        <w:t xml:space="preserve">: Type III FGM, </w:t>
      </w:r>
      <w:r>
        <w:t>the n</w:t>
      </w:r>
      <w:r w:rsidRPr="00821831">
        <w:t xml:space="preserve">arrowing of the vaginal orifice with creation of a covering seal by cutting and </w:t>
      </w:r>
      <w:proofErr w:type="spellStart"/>
      <w:r w:rsidRPr="00821831">
        <w:t>appositioning</w:t>
      </w:r>
      <w:proofErr w:type="spellEnd"/>
      <w:r w:rsidRPr="00821831">
        <w:t xml:space="preserve"> the labia minora and/or the labia majora, with or without excision of the clitoris</w:t>
      </w:r>
      <w:r>
        <w:t>.</w:t>
      </w:r>
      <w:r w:rsidRPr="004856BB">
        <w:rPr>
          <w:vertAlign w:val="superscript"/>
        </w:rPr>
        <w:t xml:space="preserve"> </w:t>
      </w:r>
      <w:r>
        <w:rPr>
          <w:vertAlign w:val="superscript"/>
        </w:rPr>
        <w:t>1-2</w:t>
      </w:r>
      <w:r w:rsidRPr="00821831">
        <w:rPr>
          <w:vertAlign w:val="superscript"/>
          <w:lang w:val="mn-MN"/>
        </w:rPr>
        <w:t xml:space="preserve"> </w:t>
      </w:r>
      <w:r>
        <w:t xml:space="preserve">Also sometimes referred to as </w:t>
      </w:r>
      <w:r w:rsidRPr="008D7FBA">
        <w:rPr>
          <w:bCs/>
        </w:rPr>
        <w:t>Pharaonic circumcision</w:t>
      </w:r>
      <w:r>
        <w:rPr>
          <w:bCs/>
        </w:rPr>
        <w:t>.</w:t>
      </w:r>
      <w:r>
        <w:rPr>
          <w:bCs/>
          <w:vertAlign w:val="superscript"/>
        </w:rPr>
        <w:t>10</w:t>
      </w:r>
    </w:p>
    <w:p w14:paraId="2EF3EF9B" w14:textId="77777777" w:rsidR="00B27E8C" w:rsidRDefault="00B27E8C" w:rsidP="00B27E8C"/>
    <w:p w14:paraId="5F3BCECB" w14:textId="77777777" w:rsidR="00B27E8C" w:rsidRDefault="00B27E8C" w:rsidP="00B27E8C">
      <w:pPr>
        <w:rPr>
          <w:rFonts w:cs="Arial"/>
          <w:szCs w:val="24"/>
        </w:rPr>
      </w:pPr>
      <w:r w:rsidRPr="00D8757F">
        <w:rPr>
          <w:rFonts w:cs="Arial"/>
          <w:b/>
          <w:szCs w:val="24"/>
        </w:rPr>
        <w:t>Prepuce</w:t>
      </w:r>
      <w:r>
        <w:rPr>
          <w:rFonts w:cs="Arial"/>
          <w:szCs w:val="24"/>
        </w:rPr>
        <w:t>: the clitoral hood, the skin surrounding and protecting the head of the clitoris.</w:t>
      </w:r>
    </w:p>
    <w:p w14:paraId="08682A42" w14:textId="77777777" w:rsidR="004A6A76" w:rsidRDefault="004A6A76" w:rsidP="004A6A76">
      <w:pPr>
        <w:rPr>
          <w:rFonts w:cs="Arial"/>
          <w:szCs w:val="24"/>
        </w:rPr>
      </w:pPr>
    </w:p>
    <w:p w14:paraId="08682A43" w14:textId="77777777" w:rsidR="004A6A76" w:rsidRDefault="004A6A76" w:rsidP="004A6A76">
      <w:pPr>
        <w:jc w:val="right"/>
      </w:pPr>
      <w:hyperlink w:anchor="Contents"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24" w:name="_Toc389473290"/>
            <w:bookmarkStart w:id="25" w:name="_Toc396290589"/>
            <w:bookmarkStart w:id="26" w:name="_Toc189634621"/>
            <w:r>
              <w:t>Search Terms</w:t>
            </w:r>
            <w:bookmarkEnd w:id="24"/>
            <w:bookmarkEnd w:id="25"/>
            <w:bookmarkEnd w:id="26"/>
            <w:r>
              <w:t xml:space="preserve"> </w:t>
            </w:r>
          </w:p>
        </w:tc>
      </w:tr>
    </w:tbl>
    <w:p w14:paraId="08682A46" w14:textId="77777777" w:rsidR="004A6A76" w:rsidRDefault="004A6A76" w:rsidP="004A6A76">
      <w:pPr>
        <w:rPr>
          <w:rFonts w:cs="Calibri,Bold"/>
          <w:bCs/>
          <w:i/>
          <w:szCs w:val="24"/>
          <w:lang w:eastAsia="en-AU"/>
        </w:rPr>
      </w:pPr>
    </w:p>
    <w:p w14:paraId="17CAE3CD" w14:textId="77777777" w:rsidR="00B27E8C" w:rsidRPr="006538F8" w:rsidRDefault="00B27E8C" w:rsidP="00B27E8C">
      <w:pPr>
        <w:rPr>
          <w:rFonts w:asciiTheme="minorHAnsi" w:hAnsiTheme="minorHAnsi" w:cs="Arial"/>
          <w:szCs w:val="24"/>
        </w:rPr>
      </w:pPr>
      <w:r w:rsidRPr="003831C0">
        <w:rPr>
          <w:rFonts w:asciiTheme="minorHAnsi" w:hAnsiTheme="minorHAnsi" w:cs="Arial"/>
          <w:szCs w:val="24"/>
        </w:rPr>
        <w:t>Clitoridectomy</w:t>
      </w:r>
      <w:r>
        <w:rPr>
          <w:rFonts w:asciiTheme="minorHAnsi" w:hAnsiTheme="minorHAnsi" w:cs="Arial"/>
          <w:szCs w:val="24"/>
        </w:rPr>
        <w:t xml:space="preserve">, </w:t>
      </w:r>
      <w:r w:rsidRPr="003831C0">
        <w:rPr>
          <w:rFonts w:asciiTheme="minorHAnsi" w:hAnsiTheme="minorHAnsi" w:cs="Arial"/>
          <w:szCs w:val="24"/>
        </w:rPr>
        <w:t>Excision</w:t>
      </w:r>
      <w:r>
        <w:rPr>
          <w:rFonts w:asciiTheme="minorHAnsi" w:hAnsiTheme="minorHAnsi" w:cs="Arial"/>
          <w:szCs w:val="24"/>
        </w:rPr>
        <w:t xml:space="preserve">, </w:t>
      </w:r>
      <w:r w:rsidRPr="003831C0">
        <w:rPr>
          <w:rFonts w:asciiTheme="minorHAnsi" w:hAnsiTheme="minorHAnsi" w:cs="Arial"/>
          <w:szCs w:val="24"/>
        </w:rPr>
        <w:t>De-infibulation</w:t>
      </w:r>
      <w:r>
        <w:rPr>
          <w:rFonts w:asciiTheme="minorHAnsi" w:hAnsiTheme="minorHAnsi" w:cs="Arial"/>
          <w:szCs w:val="24"/>
        </w:rPr>
        <w:t xml:space="preserve">, </w:t>
      </w:r>
      <w:r w:rsidRPr="003831C0">
        <w:rPr>
          <w:rFonts w:asciiTheme="minorHAnsi" w:hAnsiTheme="minorHAnsi" w:cs="Arial"/>
          <w:szCs w:val="24"/>
        </w:rPr>
        <w:t>Infibulation</w:t>
      </w:r>
      <w:r>
        <w:rPr>
          <w:rFonts w:asciiTheme="minorHAnsi" w:hAnsiTheme="minorHAnsi" w:cs="Arial"/>
          <w:szCs w:val="24"/>
        </w:rPr>
        <w:t xml:space="preserve">, </w:t>
      </w:r>
      <w:r w:rsidRPr="003831C0">
        <w:rPr>
          <w:rFonts w:asciiTheme="minorHAnsi" w:hAnsiTheme="minorHAnsi" w:cs="Arial"/>
          <w:szCs w:val="24"/>
        </w:rPr>
        <w:t>Female circumcision</w:t>
      </w:r>
      <w:r>
        <w:rPr>
          <w:rFonts w:asciiTheme="minorHAnsi" w:hAnsiTheme="minorHAnsi" w:cs="Arial"/>
          <w:szCs w:val="24"/>
        </w:rPr>
        <w:t xml:space="preserve">, </w:t>
      </w:r>
      <w:r w:rsidRPr="003831C0">
        <w:rPr>
          <w:rFonts w:asciiTheme="minorHAnsi" w:hAnsiTheme="minorHAnsi" w:cs="Arial"/>
          <w:szCs w:val="24"/>
        </w:rPr>
        <w:t>Female genital cutting</w:t>
      </w:r>
      <w:r>
        <w:rPr>
          <w:rFonts w:asciiTheme="minorHAnsi" w:hAnsiTheme="minorHAnsi" w:cs="Arial"/>
          <w:szCs w:val="24"/>
        </w:rPr>
        <w:t xml:space="preserve">, </w:t>
      </w:r>
      <w:r w:rsidRPr="003831C0">
        <w:rPr>
          <w:rFonts w:asciiTheme="minorHAnsi" w:hAnsiTheme="minorHAnsi" w:cs="Arial"/>
          <w:szCs w:val="24"/>
        </w:rPr>
        <w:t>Female genital mutilation</w:t>
      </w:r>
      <w:r>
        <w:rPr>
          <w:rFonts w:asciiTheme="minorHAnsi" w:hAnsiTheme="minorHAnsi" w:cs="Arial"/>
          <w:szCs w:val="24"/>
        </w:rPr>
        <w:t xml:space="preserve">, </w:t>
      </w:r>
      <w:r w:rsidRPr="003831C0">
        <w:rPr>
          <w:rFonts w:asciiTheme="minorHAnsi" w:hAnsiTheme="minorHAnsi" w:cs="Arial"/>
          <w:szCs w:val="24"/>
        </w:rPr>
        <w:t>FGC</w:t>
      </w:r>
      <w:r>
        <w:rPr>
          <w:rFonts w:asciiTheme="minorHAnsi" w:hAnsiTheme="minorHAnsi" w:cs="Arial"/>
          <w:szCs w:val="24"/>
        </w:rPr>
        <w:t xml:space="preserve">, </w:t>
      </w:r>
      <w:r w:rsidRPr="003831C0">
        <w:rPr>
          <w:rFonts w:asciiTheme="minorHAnsi" w:hAnsiTheme="minorHAnsi" w:cs="Arial"/>
          <w:szCs w:val="24"/>
        </w:rPr>
        <w:t>FGM/C</w:t>
      </w:r>
      <w:r>
        <w:rPr>
          <w:rFonts w:asciiTheme="minorHAnsi" w:hAnsiTheme="minorHAnsi" w:cs="Arial"/>
          <w:szCs w:val="24"/>
        </w:rPr>
        <w:t xml:space="preserve">, </w:t>
      </w:r>
      <w:r w:rsidRPr="003831C0">
        <w:rPr>
          <w:rFonts w:asciiTheme="minorHAnsi" w:hAnsiTheme="minorHAnsi" w:cs="Arial"/>
          <w:szCs w:val="24"/>
        </w:rPr>
        <w:t>FGM</w:t>
      </w:r>
      <w:r>
        <w:rPr>
          <w:rFonts w:asciiTheme="minorHAnsi" w:hAnsiTheme="minorHAnsi" w:cs="Arial"/>
          <w:szCs w:val="24"/>
        </w:rPr>
        <w:t xml:space="preserve">, </w:t>
      </w:r>
      <w:r w:rsidRPr="003831C0">
        <w:rPr>
          <w:rFonts w:asciiTheme="minorHAnsi" w:hAnsiTheme="minorHAnsi" w:cs="Arial"/>
          <w:szCs w:val="24"/>
        </w:rPr>
        <w:t>Pharaonic circumcision</w:t>
      </w:r>
      <w:r>
        <w:rPr>
          <w:rFonts w:asciiTheme="minorHAnsi" w:hAnsiTheme="minorHAnsi" w:cs="Arial"/>
          <w:szCs w:val="24"/>
        </w:rPr>
        <w:t xml:space="preserve">, </w:t>
      </w:r>
      <w:r w:rsidRPr="003831C0">
        <w:rPr>
          <w:rFonts w:asciiTheme="minorHAnsi" w:hAnsiTheme="minorHAnsi" w:cs="Arial"/>
          <w:szCs w:val="24"/>
        </w:rPr>
        <w:t>Traditional cutting</w:t>
      </w:r>
    </w:p>
    <w:p w14:paraId="08682A48" w14:textId="77777777" w:rsidR="004A6A76" w:rsidRPr="00901883" w:rsidRDefault="004A6A76" w:rsidP="004A6A76">
      <w:pPr>
        <w:jc w:val="both"/>
        <w:rPr>
          <w:rFonts w:asciiTheme="minorHAnsi" w:hAnsiTheme="minorHAnsi" w:cs="Arial"/>
          <w:b/>
          <w:i/>
          <w:sz w:val="22"/>
          <w:szCs w:val="22"/>
        </w:rPr>
      </w:pPr>
    </w:p>
    <w:p w14:paraId="08682A49" w14:textId="77777777" w:rsidR="004A6A76" w:rsidRPr="00E41A47" w:rsidRDefault="004A6A76" w:rsidP="004A6A76">
      <w:pPr>
        <w:jc w:val="right"/>
      </w:pPr>
      <w:hyperlink w:anchor="_top"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27" w:name="_Toc189634622"/>
            <w:r>
              <w:rPr>
                <w:szCs w:val="24"/>
              </w:rPr>
              <w:t>Attachments</w:t>
            </w:r>
            <w:bookmarkEnd w:id="27"/>
          </w:p>
        </w:tc>
      </w:tr>
    </w:tbl>
    <w:p w14:paraId="08682A4C" w14:textId="77777777" w:rsidR="009A534C" w:rsidRDefault="009A534C" w:rsidP="009A534C">
      <w:pPr>
        <w:jc w:val="both"/>
        <w:rPr>
          <w:rFonts w:cs="Arial"/>
          <w:b/>
          <w:szCs w:val="24"/>
        </w:rPr>
      </w:pPr>
    </w:p>
    <w:p w14:paraId="58AFAE92" w14:textId="77777777" w:rsidR="00B27E8C" w:rsidRPr="00CF6B33" w:rsidRDefault="00B27E8C" w:rsidP="00B841B5">
      <w:pPr>
        <w:pStyle w:val="ListParagraph"/>
        <w:numPr>
          <w:ilvl w:val="0"/>
          <w:numId w:val="23"/>
        </w:numPr>
        <w:ind w:left="426" w:hanging="426"/>
      </w:pPr>
      <w:r w:rsidRPr="00CF6B33">
        <w:t>Attachment A - Diagram of different types of FGC</w:t>
      </w:r>
    </w:p>
    <w:p w14:paraId="66C8F692" w14:textId="13A93040" w:rsidR="00B27E8C" w:rsidRPr="00CF6B33" w:rsidRDefault="00B27E8C" w:rsidP="00B841B5">
      <w:pPr>
        <w:pStyle w:val="ListParagraph"/>
        <w:numPr>
          <w:ilvl w:val="0"/>
          <w:numId w:val="23"/>
        </w:numPr>
        <w:ind w:left="426" w:hanging="426"/>
      </w:pPr>
      <w:r w:rsidRPr="00CF6B33">
        <w:t xml:space="preserve">Attachment </w:t>
      </w:r>
      <w:r w:rsidR="007B3BE6" w:rsidRPr="00CF6B33">
        <w:t>B –</w:t>
      </w:r>
      <w:r w:rsidRPr="00CF6B33">
        <w:t xml:space="preserve"> </w:t>
      </w:r>
      <w:bookmarkStart w:id="28" w:name="_Hlk86944370"/>
      <w:r w:rsidRPr="00CF6B33">
        <w:t>Relevant Legislation</w:t>
      </w:r>
      <w:bookmarkEnd w:id="28"/>
    </w:p>
    <w:p w14:paraId="46A82F95" w14:textId="77777777" w:rsidR="00B27E8C" w:rsidRPr="00CF6B33" w:rsidRDefault="00B27E8C" w:rsidP="00B841B5">
      <w:pPr>
        <w:pStyle w:val="ListParagraph"/>
        <w:numPr>
          <w:ilvl w:val="0"/>
          <w:numId w:val="23"/>
        </w:numPr>
        <w:ind w:left="426" w:hanging="426"/>
      </w:pPr>
      <w:r w:rsidRPr="00CF6B33">
        <w:t>Attachment C</w:t>
      </w:r>
      <w:r>
        <w:t xml:space="preserve"> </w:t>
      </w:r>
      <w:r w:rsidRPr="00CF6B33">
        <w:t>-</w:t>
      </w:r>
      <w:r>
        <w:t xml:space="preserve"> </w:t>
      </w:r>
      <w:r w:rsidRPr="00CF6B33">
        <w:t>Traditional and local terms for FGC</w:t>
      </w:r>
    </w:p>
    <w:p w14:paraId="3D363A3A" w14:textId="77777777" w:rsidR="00B27E8C" w:rsidRPr="00CF6B33" w:rsidRDefault="00B27E8C" w:rsidP="00B841B5">
      <w:pPr>
        <w:pStyle w:val="ListParagraph"/>
        <w:numPr>
          <w:ilvl w:val="0"/>
          <w:numId w:val="23"/>
        </w:numPr>
        <w:ind w:left="426" w:hanging="426"/>
      </w:pPr>
      <w:r w:rsidRPr="00CF6B33">
        <w:t xml:space="preserve">Attachment D – Background, Countries of Occurrence </w:t>
      </w:r>
    </w:p>
    <w:p w14:paraId="64648767" w14:textId="77777777" w:rsidR="00B27E8C" w:rsidRPr="00CF6B33" w:rsidRDefault="00B27E8C" w:rsidP="00B841B5">
      <w:pPr>
        <w:pStyle w:val="ListParagraph"/>
        <w:numPr>
          <w:ilvl w:val="0"/>
          <w:numId w:val="23"/>
        </w:numPr>
        <w:ind w:left="426" w:hanging="426"/>
      </w:pPr>
      <w:r w:rsidRPr="000A2808">
        <w:t xml:space="preserve">Attachment </w:t>
      </w:r>
      <w:r>
        <w:t>E</w:t>
      </w:r>
      <w:r w:rsidRPr="000A2808">
        <w:t xml:space="preserve"> - Referral Pathways</w:t>
      </w:r>
    </w:p>
    <w:p w14:paraId="08682A4E" w14:textId="77777777" w:rsidR="009A534C" w:rsidRDefault="009A534C" w:rsidP="009A534C">
      <w:pPr>
        <w:rPr>
          <w:rFonts w:cs="Arial"/>
          <w:iCs/>
          <w:sz w:val="20"/>
        </w:rPr>
      </w:pPr>
    </w:p>
    <w:p w14:paraId="08682A4F" w14:textId="77777777" w:rsidR="009A534C" w:rsidRDefault="009A534C" w:rsidP="009A534C">
      <w:pPr>
        <w:rPr>
          <w:rFonts w:cs="Arial"/>
          <w:iCs/>
          <w:sz w:val="20"/>
        </w:rPr>
      </w:pPr>
    </w:p>
    <w:p w14:paraId="08682A50" w14:textId="2AE7F3B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6D8F05BD"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9067" w:type="dxa"/>
        <w:tblLook w:val="04A0" w:firstRow="1" w:lastRow="0" w:firstColumn="1" w:lastColumn="0" w:noHBand="0" w:noVBand="1"/>
      </w:tblPr>
      <w:tblGrid>
        <w:gridCol w:w="1838"/>
        <w:gridCol w:w="3119"/>
        <w:gridCol w:w="1984"/>
        <w:gridCol w:w="2126"/>
      </w:tblGrid>
      <w:tr w:rsidR="00153FB3" w:rsidRPr="003E167B" w14:paraId="08682A57" w14:textId="77777777" w:rsidTr="00A42238">
        <w:tc>
          <w:tcPr>
            <w:tcW w:w="1838" w:type="dxa"/>
          </w:tcPr>
          <w:p w14:paraId="08682A53" w14:textId="77777777" w:rsidR="00153FB3" w:rsidRPr="003E167B" w:rsidRDefault="00153FB3" w:rsidP="005B3A1A">
            <w:pPr>
              <w:rPr>
                <w:i/>
                <w:sz w:val="20"/>
              </w:rPr>
            </w:pPr>
            <w:r w:rsidRPr="003E167B">
              <w:rPr>
                <w:i/>
                <w:sz w:val="20"/>
              </w:rPr>
              <w:lastRenderedPageBreak/>
              <w:t>Date Amended</w:t>
            </w:r>
          </w:p>
        </w:tc>
        <w:tc>
          <w:tcPr>
            <w:tcW w:w="3119" w:type="dxa"/>
          </w:tcPr>
          <w:p w14:paraId="08682A54" w14:textId="77777777" w:rsidR="00153FB3" w:rsidRPr="003E167B" w:rsidRDefault="00153FB3" w:rsidP="005B3A1A">
            <w:pPr>
              <w:rPr>
                <w:i/>
                <w:sz w:val="20"/>
              </w:rPr>
            </w:pPr>
            <w:r w:rsidRPr="003E167B">
              <w:rPr>
                <w:i/>
                <w:sz w:val="20"/>
              </w:rPr>
              <w:t>Section Amended</w:t>
            </w:r>
          </w:p>
        </w:tc>
        <w:tc>
          <w:tcPr>
            <w:tcW w:w="1984" w:type="dxa"/>
          </w:tcPr>
          <w:p w14:paraId="08682A55" w14:textId="77777777" w:rsidR="00153FB3" w:rsidRPr="003E167B" w:rsidRDefault="00153FB3" w:rsidP="005B3A1A">
            <w:pPr>
              <w:rPr>
                <w:i/>
                <w:sz w:val="20"/>
              </w:rPr>
            </w:pPr>
            <w:r w:rsidRPr="003E167B">
              <w:rPr>
                <w:i/>
                <w:sz w:val="20"/>
              </w:rPr>
              <w:t>Divisional Approval</w:t>
            </w:r>
          </w:p>
        </w:tc>
        <w:tc>
          <w:tcPr>
            <w:tcW w:w="2126" w:type="dxa"/>
          </w:tcPr>
          <w:p w14:paraId="08682A56" w14:textId="77777777" w:rsidR="00153FB3" w:rsidRPr="003E167B" w:rsidRDefault="00153FB3" w:rsidP="005B3A1A">
            <w:pPr>
              <w:rPr>
                <w:i/>
                <w:sz w:val="20"/>
              </w:rPr>
            </w:pPr>
            <w:r w:rsidRPr="003E167B">
              <w:rPr>
                <w:i/>
                <w:sz w:val="20"/>
              </w:rPr>
              <w:t xml:space="preserve">Final Approval </w:t>
            </w:r>
          </w:p>
        </w:tc>
      </w:tr>
      <w:tr w:rsidR="00153FB3" w:rsidRPr="003E167B" w14:paraId="08682A5C" w14:textId="77777777" w:rsidTr="00A42238">
        <w:tc>
          <w:tcPr>
            <w:tcW w:w="1838" w:type="dxa"/>
          </w:tcPr>
          <w:p w14:paraId="08682A58" w14:textId="0FA0D7C3" w:rsidR="00153FB3" w:rsidRPr="003E167B" w:rsidRDefault="00B841B5" w:rsidP="005B3A1A">
            <w:pPr>
              <w:rPr>
                <w:i/>
                <w:sz w:val="20"/>
              </w:rPr>
            </w:pPr>
            <w:r>
              <w:rPr>
                <w:i/>
                <w:sz w:val="20"/>
              </w:rPr>
              <w:t>20</w:t>
            </w:r>
            <w:r w:rsidR="00D262E5">
              <w:rPr>
                <w:i/>
                <w:sz w:val="20"/>
              </w:rPr>
              <w:t xml:space="preserve"> January 2022</w:t>
            </w:r>
          </w:p>
        </w:tc>
        <w:tc>
          <w:tcPr>
            <w:tcW w:w="3119" w:type="dxa"/>
          </w:tcPr>
          <w:p w14:paraId="08682A59" w14:textId="17AD3F39" w:rsidR="00153FB3" w:rsidRPr="003E167B" w:rsidRDefault="00D262E5" w:rsidP="005B3A1A">
            <w:pPr>
              <w:rPr>
                <w:i/>
                <w:sz w:val="20"/>
              </w:rPr>
            </w:pPr>
            <w:r>
              <w:rPr>
                <w:i/>
                <w:sz w:val="20"/>
              </w:rPr>
              <w:t>Complete Review</w:t>
            </w:r>
          </w:p>
        </w:tc>
        <w:tc>
          <w:tcPr>
            <w:tcW w:w="1984" w:type="dxa"/>
          </w:tcPr>
          <w:p w14:paraId="08682A5A" w14:textId="29C505DB" w:rsidR="00153FB3" w:rsidRPr="003E167B" w:rsidRDefault="00D262E5" w:rsidP="005B3A1A">
            <w:pPr>
              <w:rPr>
                <w:i/>
                <w:sz w:val="20"/>
              </w:rPr>
            </w:pPr>
            <w:r>
              <w:rPr>
                <w:i/>
                <w:sz w:val="20"/>
              </w:rPr>
              <w:t>Boon Lim, Clinical Director-WY&amp;C</w:t>
            </w:r>
          </w:p>
        </w:tc>
        <w:tc>
          <w:tcPr>
            <w:tcW w:w="2126" w:type="dxa"/>
          </w:tcPr>
          <w:p w14:paraId="08682A5B" w14:textId="79B92AD8" w:rsidR="00153FB3" w:rsidRPr="003E167B" w:rsidRDefault="00D262E5" w:rsidP="005B3A1A">
            <w:pPr>
              <w:rPr>
                <w:i/>
                <w:sz w:val="20"/>
              </w:rPr>
            </w:pPr>
            <w:r>
              <w:rPr>
                <w:i/>
                <w:sz w:val="20"/>
              </w:rPr>
              <w:t>CHS Policy Committee</w:t>
            </w:r>
          </w:p>
        </w:tc>
      </w:tr>
      <w:tr w:rsidR="00153FB3" w:rsidRPr="003E167B" w14:paraId="08682A61" w14:textId="77777777" w:rsidTr="00A42238">
        <w:tc>
          <w:tcPr>
            <w:tcW w:w="1838" w:type="dxa"/>
          </w:tcPr>
          <w:p w14:paraId="08682A5D" w14:textId="041F75AA" w:rsidR="00153FB3" w:rsidRPr="003E167B" w:rsidRDefault="000736C2" w:rsidP="005B3A1A">
            <w:pPr>
              <w:rPr>
                <w:i/>
                <w:sz w:val="20"/>
              </w:rPr>
            </w:pPr>
            <w:r>
              <w:rPr>
                <w:i/>
                <w:sz w:val="20"/>
              </w:rPr>
              <w:t>23 May 2022</w:t>
            </w:r>
          </w:p>
        </w:tc>
        <w:tc>
          <w:tcPr>
            <w:tcW w:w="3119" w:type="dxa"/>
          </w:tcPr>
          <w:p w14:paraId="08682A5E" w14:textId="03856D76" w:rsidR="00153FB3" w:rsidRPr="003E167B" w:rsidRDefault="008003CB" w:rsidP="005B3A1A">
            <w:pPr>
              <w:rPr>
                <w:i/>
                <w:sz w:val="20"/>
              </w:rPr>
            </w:pPr>
            <w:r>
              <w:rPr>
                <w:i/>
                <w:sz w:val="20"/>
              </w:rPr>
              <w:t>Updated the contact number for the Women’s Health Service as per email request</w:t>
            </w:r>
            <w:r w:rsidR="00353354">
              <w:rPr>
                <w:i/>
                <w:sz w:val="20"/>
              </w:rPr>
              <w:t xml:space="preserve"> from WY&amp;C.</w:t>
            </w:r>
          </w:p>
        </w:tc>
        <w:tc>
          <w:tcPr>
            <w:tcW w:w="1984" w:type="dxa"/>
          </w:tcPr>
          <w:p w14:paraId="08682A5F" w14:textId="77777777" w:rsidR="00153FB3" w:rsidRPr="003E167B" w:rsidRDefault="00153FB3" w:rsidP="005B3A1A">
            <w:pPr>
              <w:rPr>
                <w:i/>
                <w:sz w:val="20"/>
              </w:rPr>
            </w:pPr>
          </w:p>
        </w:tc>
        <w:tc>
          <w:tcPr>
            <w:tcW w:w="2126" w:type="dxa"/>
          </w:tcPr>
          <w:p w14:paraId="08682A60" w14:textId="676A6F1F" w:rsidR="00153FB3" w:rsidRPr="003E167B" w:rsidRDefault="00353354" w:rsidP="005B3A1A">
            <w:pPr>
              <w:rPr>
                <w:i/>
                <w:sz w:val="20"/>
              </w:rPr>
            </w:pPr>
            <w:r>
              <w:rPr>
                <w:i/>
                <w:sz w:val="20"/>
              </w:rPr>
              <w:t>CHS Policy Team</w:t>
            </w:r>
          </w:p>
        </w:tc>
      </w:tr>
      <w:tr w:rsidR="00A42238" w:rsidRPr="003E167B" w14:paraId="66819CE2" w14:textId="77777777" w:rsidTr="00A42238">
        <w:tc>
          <w:tcPr>
            <w:tcW w:w="1838" w:type="dxa"/>
          </w:tcPr>
          <w:p w14:paraId="7A4D21A7" w14:textId="1AF30656" w:rsidR="00A42238" w:rsidRDefault="00827E74" w:rsidP="005B3A1A">
            <w:pPr>
              <w:rPr>
                <w:i/>
                <w:sz w:val="20"/>
              </w:rPr>
            </w:pPr>
            <w:r>
              <w:rPr>
                <w:i/>
                <w:sz w:val="20"/>
              </w:rPr>
              <w:t>05 February 2025</w:t>
            </w:r>
          </w:p>
        </w:tc>
        <w:tc>
          <w:tcPr>
            <w:tcW w:w="3119" w:type="dxa"/>
          </w:tcPr>
          <w:p w14:paraId="7C11085D" w14:textId="72785B8B" w:rsidR="00A42238" w:rsidRDefault="00827E74" w:rsidP="005B3A1A">
            <w:pPr>
              <w:rPr>
                <w:i/>
                <w:sz w:val="20"/>
              </w:rPr>
            </w:pPr>
            <w:r>
              <w:rPr>
                <w:i/>
                <w:sz w:val="20"/>
              </w:rPr>
              <w:t xml:space="preserve">Review date extended till May 2025 </w:t>
            </w:r>
          </w:p>
        </w:tc>
        <w:tc>
          <w:tcPr>
            <w:tcW w:w="1984" w:type="dxa"/>
          </w:tcPr>
          <w:p w14:paraId="347ACC00" w14:textId="47648BAA" w:rsidR="00A42238" w:rsidRPr="003E167B" w:rsidRDefault="00827E74" w:rsidP="005B3A1A">
            <w:pPr>
              <w:rPr>
                <w:i/>
                <w:sz w:val="20"/>
              </w:rPr>
            </w:pPr>
            <w:r>
              <w:rPr>
                <w:i/>
                <w:sz w:val="20"/>
              </w:rPr>
              <w:t>Cate Green, Clinical Support Midwife</w:t>
            </w:r>
          </w:p>
        </w:tc>
        <w:tc>
          <w:tcPr>
            <w:tcW w:w="2126" w:type="dxa"/>
          </w:tcPr>
          <w:p w14:paraId="65F0EB59" w14:textId="468C3EEB" w:rsidR="00A42238" w:rsidRDefault="00827E74" w:rsidP="005B3A1A">
            <w:pPr>
              <w:rPr>
                <w:i/>
                <w:sz w:val="20"/>
              </w:rPr>
            </w:pPr>
            <w:r>
              <w:rPr>
                <w:i/>
                <w:sz w:val="20"/>
              </w:rPr>
              <w:t>CHS Policy Team</w:t>
            </w: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9067" w:type="dxa"/>
        <w:tblLook w:val="04A0" w:firstRow="1" w:lastRow="0" w:firstColumn="1" w:lastColumn="0" w:noHBand="0" w:noVBand="1"/>
      </w:tblPr>
      <w:tblGrid>
        <w:gridCol w:w="1838"/>
        <w:gridCol w:w="7229"/>
      </w:tblGrid>
      <w:tr w:rsidR="00153FB3" w:rsidRPr="003E167B" w14:paraId="08682A66" w14:textId="77777777" w:rsidTr="00B841B5">
        <w:tc>
          <w:tcPr>
            <w:tcW w:w="1838" w:type="dxa"/>
          </w:tcPr>
          <w:p w14:paraId="08682A64" w14:textId="77777777" w:rsidR="00153FB3" w:rsidRPr="003E167B" w:rsidRDefault="00153FB3" w:rsidP="005B3A1A">
            <w:pPr>
              <w:rPr>
                <w:i/>
                <w:sz w:val="20"/>
              </w:rPr>
            </w:pPr>
            <w:r w:rsidRPr="003E167B">
              <w:rPr>
                <w:i/>
                <w:sz w:val="20"/>
              </w:rPr>
              <w:t>Document Number</w:t>
            </w:r>
          </w:p>
        </w:tc>
        <w:tc>
          <w:tcPr>
            <w:tcW w:w="7229" w:type="dxa"/>
          </w:tcPr>
          <w:p w14:paraId="08682A65" w14:textId="77777777" w:rsidR="00153FB3" w:rsidRPr="003E167B" w:rsidRDefault="00153FB3" w:rsidP="005B3A1A">
            <w:pPr>
              <w:rPr>
                <w:i/>
                <w:sz w:val="20"/>
              </w:rPr>
            </w:pPr>
            <w:r w:rsidRPr="003E167B">
              <w:rPr>
                <w:i/>
                <w:sz w:val="20"/>
              </w:rPr>
              <w:t>Document Name</w:t>
            </w:r>
          </w:p>
        </w:tc>
      </w:tr>
      <w:tr w:rsidR="00153FB3" w:rsidRPr="003E167B" w14:paraId="08682A69" w14:textId="77777777" w:rsidTr="00B841B5">
        <w:tc>
          <w:tcPr>
            <w:tcW w:w="1838" w:type="dxa"/>
          </w:tcPr>
          <w:p w14:paraId="08682A67" w14:textId="77109381" w:rsidR="00153FB3" w:rsidRPr="003E167B" w:rsidRDefault="00B27E8C" w:rsidP="005B3A1A">
            <w:pPr>
              <w:rPr>
                <w:i/>
                <w:sz w:val="20"/>
              </w:rPr>
            </w:pPr>
            <w:r>
              <w:rPr>
                <w:i/>
                <w:sz w:val="20"/>
              </w:rPr>
              <w:t>CHHS17/157</w:t>
            </w:r>
          </w:p>
        </w:tc>
        <w:tc>
          <w:tcPr>
            <w:tcW w:w="7229" w:type="dxa"/>
          </w:tcPr>
          <w:p w14:paraId="08682A68" w14:textId="2DC04E7B" w:rsidR="00153FB3" w:rsidRPr="003E167B" w:rsidRDefault="00D262E5" w:rsidP="005B3A1A">
            <w:pPr>
              <w:rPr>
                <w:i/>
                <w:sz w:val="20"/>
              </w:rPr>
            </w:pPr>
            <w:r>
              <w:rPr>
                <w:i/>
                <w:sz w:val="20"/>
              </w:rPr>
              <w:t>Female Genital Cutting (FGC) (applicable to adults and/or children)</w:t>
            </w:r>
          </w:p>
        </w:tc>
      </w:tr>
      <w:tr w:rsidR="00153FB3" w:rsidRPr="003E167B" w14:paraId="08682A6C" w14:textId="77777777" w:rsidTr="00B841B5">
        <w:tc>
          <w:tcPr>
            <w:tcW w:w="1838" w:type="dxa"/>
          </w:tcPr>
          <w:p w14:paraId="08682A6A" w14:textId="77777777" w:rsidR="00153FB3" w:rsidRPr="003E167B" w:rsidRDefault="00153FB3" w:rsidP="005B3A1A">
            <w:pPr>
              <w:rPr>
                <w:i/>
                <w:sz w:val="20"/>
              </w:rPr>
            </w:pPr>
          </w:p>
        </w:tc>
        <w:tc>
          <w:tcPr>
            <w:tcW w:w="7229" w:type="dxa"/>
          </w:tcPr>
          <w:p w14:paraId="08682A6B" w14:textId="77777777" w:rsidR="00153FB3" w:rsidRPr="003E167B" w:rsidRDefault="00153FB3" w:rsidP="005B3A1A">
            <w:pPr>
              <w:rPr>
                <w:i/>
                <w:sz w:val="20"/>
              </w:rPr>
            </w:pPr>
          </w:p>
        </w:tc>
      </w:tr>
    </w:tbl>
    <w:p w14:paraId="08682A6D" w14:textId="734C2BC1" w:rsidR="00B27E8C" w:rsidRDefault="00B27E8C" w:rsidP="00153FB3">
      <w:pPr>
        <w:rPr>
          <w:i/>
          <w:sz w:val="20"/>
          <w:szCs w:val="24"/>
        </w:rPr>
      </w:pPr>
    </w:p>
    <w:p w14:paraId="35FD54FD" w14:textId="77777777" w:rsidR="00827E74" w:rsidRDefault="00827E74" w:rsidP="00B27E8C">
      <w:pPr>
        <w:pStyle w:val="Heading2"/>
        <w:rPr>
          <w:noProof/>
          <w:lang w:eastAsia="en-AU"/>
        </w:rPr>
      </w:pPr>
    </w:p>
    <w:p w14:paraId="5E4D8E1A" w14:textId="5C3EEB2D" w:rsidR="004951CA" w:rsidRDefault="00B27E8C" w:rsidP="00827E74">
      <w:pPr>
        <w:pStyle w:val="Heading2"/>
        <w:rPr>
          <w:noProof/>
          <w:lang w:eastAsia="en-AU"/>
        </w:rPr>
      </w:pPr>
      <w:r w:rsidRPr="0004161A">
        <w:rPr>
          <w:noProof/>
          <w:lang w:eastAsia="en-AU"/>
        </w:rPr>
        <w:t xml:space="preserve">Attachment </w:t>
      </w:r>
      <w:r>
        <w:rPr>
          <w:noProof/>
          <w:lang w:eastAsia="en-AU"/>
        </w:rPr>
        <w:t>A– Diagram of different types of FGC</w:t>
      </w:r>
    </w:p>
    <w:p w14:paraId="7D53A1E9" w14:textId="59A17B21" w:rsidR="00136EA1" w:rsidRPr="00136EA1" w:rsidRDefault="00136EA1" w:rsidP="00136EA1">
      <w:pPr>
        <w:rPr>
          <w:lang w:eastAsia="en-AU"/>
        </w:rPr>
      </w:pPr>
    </w:p>
    <w:p w14:paraId="58E56478" w14:textId="7319EDD2" w:rsidR="00B27E8C" w:rsidRDefault="00B27E8C" w:rsidP="00153FB3">
      <w:pPr>
        <w:rPr>
          <w:i/>
          <w:sz w:val="20"/>
          <w:szCs w:val="24"/>
        </w:rPr>
      </w:pPr>
      <w:r w:rsidRPr="00C860E5">
        <w:rPr>
          <w:noProof/>
          <w:lang w:eastAsia="en-AU"/>
        </w:rPr>
        <w:lastRenderedPageBreak/>
        <w:drawing>
          <wp:inline distT="0" distB="0" distL="0" distR="0" wp14:anchorId="6F4E49A5" wp14:editId="296C3F12">
            <wp:extent cx="5759450" cy="7047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59450" cy="7047865"/>
                    </a:xfrm>
                    <a:prstGeom prst="rect">
                      <a:avLst/>
                    </a:prstGeom>
                  </pic:spPr>
                </pic:pic>
              </a:graphicData>
            </a:graphic>
          </wp:inline>
        </w:drawing>
      </w:r>
    </w:p>
    <w:p w14:paraId="6E3387F0" w14:textId="033FA6B2" w:rsidR="00010E74" w:rsidRDefault="00B27E8C" w:rsidP="00136EA1">
      <w:pPr>
        <w:spacing w:after="200" w:line="276" w:lineRule="auto"/>
        <w:rPr>
          <w:i/>
          <w:sz w:val="20"/>
          <w:szCs w:val="24"/>
        </w:rPr>
      </w:pPr>
      <w:r>
        <w:rPr>
          <w:i/>
          <w:sz w:val="20"/>
          <w:szCs w:val="24"/>
        </w:rPr>
        <w:br w:type="page"/>
      </w:r>
      <w:r>
        <w:rPr>
          <w:iCs/>
          <w:noProof/>
          <w:sz w:val="18"/>
          <w:szCs w:val="18"/>
        </w:rPr>
        <w:lastRenderedPageBreak/>
        <w:drawing>
          <wp:inline distT="0" distB="0" distL="0" distR="0" wp14:anchorId="4B029A4D" wp14:editId="7C28EA47">
            <wp:extent cx="5759450" cy="300769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007699"/>
                    </a:xfrm>
                    <a:prstGeom prst="rect">
                      <a:avLst/>
                    </a:prstGeom>
                    <a:noFill/>
                  </pic:spPr>
                </pic:pic>
              </a:graphicData>
            </a:graphic>
          </wp:inline>
        </w:drawing>
      </w:r>
    </w:p>
    <w:p w14:paraId="6A7B1A9A" w14:textId="5EE47114" w:rsidR="00B27E8C" w:rsidRDefault="00B27E8C" w:rsidP="00153FB3">
      <w:pPr>
        <w:rPr>
          <w:i/>
          <w:sz w:val="20"/>
          <w:szCs w:val="24"/>
        </w:rPr>
      </w:pPr>
    </w:p>
    <w:p w14:paraId="7CD2E846" w14:textId="77777777" w:rsidR="00B27E8C" w:rsidRDefault="00B27E8C">
      <w:pPr>
        <w:spacing w:after="200" w:line="276" w:lineRule="auto"/>
        <w:rPr>
          <w:i/>
          <w:sz w:val="20"/>
          <w:szCs w:val="24"/>
        </w:rPr>
      </w:pPr>
      <w:r>
        <w:rPr>
          <w:i/>
          <w:sz w:val="20"/>
          <w:szCs w:val="24"/>
        </w:rPr>
        <w:br w:type="page"/>
      </w:r>
    </w:p>
    <w:p w14:paraId="4225C7BB" w14:textId="77777777" w:rsidR="00B27E8C" w:rsidRDefault="00B27E8C" w:rsidP="00B27E8C">
      <w:pPr>
        <w:rPr>
          <w:b/>
          <w:bCs/>
        </w:rPr>
      </w:pPr>
      <w:r w:rsidRPr="00A72743">
        <w:rPr>
          <w:rFonts w:cs="Arial"/>
          <w:b/>
          <w:bCs/>
          <w:iCs/>
          <w:szCs w:val="24"/>
        </w:rPr>
        <w:lastRenderedPageBreak/>
        <w:t xml:space="preserve">Attachment </w:t>
      </w:r>
      <w:r>
        <w:rPr>
          <w:rFonts w:cs="Arial"/>
          <w:b/>
          <w:bCs/>
          <w:iCs/>
          <w:szCs w:val="24"/>
        </w:rPr>
        <w:t>B</w:t>
      </w:r>
      <w:r w:rsidRPr="00A72743">
        <w:rPr>
          <w:rFonts w:cs="Arial"/>
          <w:b/>
          <w:bCs/>
          <w:iCs/>
          <w:szCs w:val="24"/>
        </w:rPr>
        <w:t xml:space="preserve">- </w:t>
      </w:r>
      <w:r w:rsidRPr="003A6925">
        <w:rPr>
          <w:b/>
          <w:bCs/>
        </w:rPr>
        <w:t>Relevant Legislation</w:t>
      </w:r>
    </w:p>
    <w:p w14:paraId="3E6C25FA" w14:textId="77777777" w:rsidR="00B27E8C" w:rsidRPr="00A72743" w:rsidRDefault="00B27E8C" w:rsidP="00B27E8C">
      <w:pPr>
        <w:rPr>
          <w:rFonts w:cs="Arial"/>
          <w:b/>
          <w:bCs/>
          <w:iCs/>
          <w:szCs w:val="24"/>
        </w:rPr>
      </w:pPr>
    </w:p>
    <w:tbl>
      <w:tblPr>
        <w:tblStyle w:val="TableGrid"/>
        <w:tblW w:w="9250" w:type="dxa"/>
        <w:jc w:val="center"/>
        <w:tblLook w:val="04A0" w:firstRow="1" w:lastRow="0" w:firstColumn="1" w:lastColumn="0" w:noHBand="0" w:noVBand="1"/>
      </w:tblPr>
      <w:tblGrid>
        <w:gridCol w:w="9250"/>
      </w:tblGrid>
      <w:tr w:rsidR="00B27E8C" w14:paraId="618EC964" w14:textId="77777777" w:rsidTr="00135C7A">
        <w:trPr>
          <w:jc w:val="center"/>
        </w:trPr>
        <w:tc>
          <w:tcPr>
            <w:tcW w:w="9250" w:type="dxa"/>
          </w:tcPr>
          <w:p w14:paraId="55F9C7E1" w14:textId="77777777" w:rsidR="00B27E8C" w:rsidRPr="00D74247" w:rsidRDefault="00B27E8C" w:rsidP="00135C7A">
            <w:pPr>
              <w:rPr>
                <w:b/>
              </w:rPr>
            </w:pPr>
            <w:r>
              <w:rPr>
                <w:b/>
              </w:rPr>
              <w:t>Alert/Note:</w:t>
            </w:r>
          </w:p>
          <w:p w14:paraId="6A75D754" w14:textId="77777777" w:rsidR="00B27E8C" w:rsidRDefault="00B27E8C" w:rsidP="00135C7A">
            <w:pPr>
              <w:rPr>
                <w:sz w:val="22"/>
                <w:szCs w:val="22"/>
              </w:rPr>
            </w:pPr>
            <w:r w:rsidRPr="00CF6B33">
              <w:rPr>
                <w:sz w:val="22"/>
                <w:szCs w:val="22"/>
              </w:rPr>
              <w:t xml:space="preserve">FGC is illegal in Australia. Each state and territory have passed criminal legislation prohibiting FGC.  </w:t>
            </w:r>
          </w:p>
          <w:p w14:paraId="45D2B47E" w14:textId="77777777" w:rsidR="00B27E8C" w:rsidRPr="00CF6B33" w:rsidRDefault="00B27E8C" w:rsidP="00135C7A">
            <w:pPr>
              <w:rPr>
                <w:sz w:val="22"/>
                <w:szCs w:val="22"/>
              </w:rPr>
            </w:pPr>
          </w:p>
          <w:p w14:paraId="3F630CBB" w14:textId="77777777" w:rsidR="00B27E8C" w:rsidRPr="00CF6B33" w:rsidRDefault="00B27E8C" w:rsidP="00135C7A">
            <w:pPr>
              <w:rPr>
                <w:rFonts w:cs="Arial"/>
                <w:sz w:val="22"/>
                <w:szCs w:val="22"/>
                <w:vertAlign w:val="superscript"/>
              </w:rPr>
            </w:pPr>
            <w:r w:rsidRPr="00CF6B33">
              <w:rPr>
                <w:rFonts w:cs="Arial"/>
                <w:i/>
                <w:sz w:val="22"/>
                <w:szCs w:val="22"/>
              </w:rPr>
              <w:t xml:space="preserve">Crimes Act 1900 </w:t>
            </w:r>
            <w:r w:rsidRPr="00CF6B33">
              <w:rPr>
                <w:rFonts w:cs="Arial"/>
                <w:sz w:val="22"/>
                <w:szCs w:val="22"/>
              </w:rPr>
              <w:t>(ACT)</w:t>
            </w:r>
            <w:r w:rsidRPr="00CF6B33">
              <w:rPr>
                <w:rFonts w:cs="Arial"/>
                <w:sz w:val="22"/>
                <w:szCs w:val="22"/>
                <w:vertAlign w:val="superscript"/>
              </w:rPr>
              <w:t>4</w:t>
            </w:r>
          </w:p>
          <w:p w14:paraId="55EC3C4C" w14:textId="77777777" w:rsidR="00B27E8C" w:rsidRPr="00CF6B33" w:rsidRDefault="00B27E8C" w:rsidP="00135C7A">
            <w:pPr>
              <w:rPr>
                <w:rFonts w:cs="Arial"/>
                <w:sz w:val="22"/>
                <w:szCs w:val="22"/>
              </w:rPr>
            </w:pPr>
            <w:r w:rsidRPr="00CF6B33">
              <w:rPr>
                <w:rFonts w:cs="Arial"/>
                <w:sz w:val="22"/>
                <w:szCs w:val="22"/>
              </w:rPr>
              <w:t>Intentional FGC in ACT – 15 years imprisonment</w:t>
            </w:r>
          </w:p>
          <w:p w14:paraId="62D20BB2" w14:textId="77777777" w:rsidR="00B27E8C" w:rsidRPr="00CF6B33" w:rsidRDefault="00B27E8C" w:rsidP="00135C7A">
            <w:pPr>
              <w:rPr>
                <w:rFonts w:cs="Arial"/>
                <w:sz w:val="22"/>
                <w:szCs w:val="22"/>
              </w:rPr>
            </w:pPr>
            <w:r w:rsidRPr="00CF6B33">
              <w:rPr>
                <w:rFonts w:cs="Arial"/>
                <w:sz w:val="22"/>
                <w:szCs w:val="22"/>
              </w:rPr>
              <w:t xml:space="preserve">In the Australian Capital Territory, FGC is prohibited by s 74 of the </w:t>
            </w:r>
            <w:r w:rsidRPr="00CF6B33">
              <w:rPr>
                <w:rFonts w:cs="Arial"/>
                <w:i/>
                <w:sz w:val="22"/>
                <w:szCs w:val="22"/>
              </w:rPr>
              <w:t xml:space="preserve">Crimes Act 1900, </w:t>
            </w:r>
            <w:r w:rsidRPr="00CF6B33">
              <w:rPr>
                <w:rFonts w:cs="Arial"/>
                <w:sz w:val="22"/>
                <w:szCs w:val="22"/>
              </w:rPr>
              <w:t>which provides that “a person shall not intentionally perform female genital mutilation on another person”.  The offence covers FGC performed on both children and adults.  It is not a defence that the consent of the person (or the person’s parent or guardian) was obtained for FGC to be performed.  The maximum penalty is 15 years imprisonment.</w:t>
            </w:r>
          </w:p>
          <w:p w14:paraId="2F178E92" w14:textId="77777777" w:rsidR="00B27E8C" w:rsidRPr="00CF6B33" w:rsidRDefault="00B27E8C" w:rsidP="00135C7A">
            <w:pPr>
              <w:rPr>
                <w:rFonts w:cs="Arial"/>
                <w:i/>
                <w:sz w:val="22"/>
                <w:szCs w:val="22"/>
              </w:rPr>
            </w:pPr>
          </w:p>
          <w:p w14:paraId="35C547E3" w14:textId="77777777" w:rsidR="00B27E8C" w:rsidRPr="00CF6B33" w:rsidRDefault="00B27E8C" w:rsidP="00135C7A">
            <w:pPr>
              <w:rPr>
                <w:rFonts w:cs="Arial"/>
                <w:sz w:val="22"/>
                <w:szCs w:val="22"/>
              </w:rPr>
            </w:pPr>
            <w:r w:rsidRPr="00CF6B33">
              <w:rPr>
                <w:rFonts w:cs="Arial"/>
                <w:sz w:val="22"/>
                <w:szCs w:val="22"/>
              </w:rPr>
              <w:t>Arranging FGC outside the ACT – 7 years imprisonment</w:t>
            </w:r>
          </w:p>
          <w:p w14:paraId="6C63A8ED" w14:textId="77777777" w:rsidR="00B27E8C" w:rsidRPr="00CF6B33" w:rsidRDefault="00B27E8C" w:rsidP="00135C7A">
            <w:pPr>
              <w:rPr>
                <w:rFonts w:cs="Arial"/>
                <w:sz w:val="22"/>
                <w:szCs w:val="22"/>
              </w:rPr>
            </w:pPr>
            <w:r w:rsidRPr="00CF6B33">
              <w:rPr>
                <w:rFonts w:cs="Arial"/>
                <w:sz w:val="22"/>
                <w:szCs w:val="22"/>
              </w:rPr>
              <w:t>Territory law also protects persons in the ACT who are under the age of 18 years from having FGC performed on the extraterritorially (that is, when they are outside the ACT).  Section 75 of the</w:t>
            </w:r>
            <w:r w:rsidRPr="00CF6B33">
              <w:rPr>
                <w:rFonts w:cs="Arial"/>
                <w:i/>
                <w:sz w:val="22"/>
                <w:szCs w:val="22"/>
              </w:rPr>
              <w:t xml:space="preserve"> Crimes Act 1900 </w:t>
            </w:r>
            <w:r w:rsidRPr="00CF6B33">
              <w:rPr>
                <w:rFonts w:cs="Arial"/>
                <w:sz w:val="22"/>
                <w:szCs w:val="22"/>
              </w:rPr>
              <w:t>makes it an offence to take or arrange for a child to be taken from the ACT with the intention of having female genital mutilation performed on the child.  This offence is specific to children, being under the age of 18 years.  The maximum penalty is 7 years imprisonment.</w:t>
            </w:r>
          </w:p>
          <w:p w14:paraId="465487A8" w14:textId="77777777" w:rsidR="00B27E8C" w:rsidRPr="00CF6B33" w:rsidRDefault="00B27E8C" w:rsidP="00135C7A">
            <w:pPr>
              <w:rPr>
                <w:b/>
                <w:sz w:val="22"/>
                <w:szCs w:val="22"/>
              </w:rPr>
            </w:pPr>
          </w:p>
          <w:p w14:paraId="33E4FFBD" w14:textId="77777777" w:rsidR="00B27E8C" w:rsidRPr="00CF6B33" w:rsidRDefault="00B27E8C" w:rsidP="00135C7A">
            <w:pPr>
              <w:rPr>
                <w:sz w:val="22"/>
                <w:szCs w:val="22"/>
              </w:rPr>
            </w:pPr>
            <w:r w:rsidRPr="00CF6B33">
              <w:rPr>
                <w:i/>
                <w:iCs/>
                <w:sz w:val="22"/>
                <w:szCs w:val="22"/>
              </w:rPr>
              <w:t>Children and Young People Act 2008</w:t>
            </w:r>
            <w:r w:rsidRPr="00CF6B33">
              <w:rPr>
                <w:iCs/>
                <w:sz w:val="22"/>
                <w:szCs w:val="22"/>
              </w:rPr>
              <w:t xml:space="preserve"> (ACT)</w:t>
            </w:r>
            <w:r w:rsidRPr="00CF6B33">
              <w:rPr>
                <w:iCs/>
                <w:sz w:val="22"/>
                <w:szCs w:val="22"/>
                <w:vertAlign w:val="superscript"/>
              </w:rPr>
              <w:t>5</w:t>
            </w:r>
          </w:p>
          <w:p w14:paraId="7333C8FA" w14:textId="77777777" w:rsidR="00B27E8C" w:rsidRPr="00CF6B33" w:rsidRDefault="00B27E8C" w:rsidP="00135C7A">
            <w:pPr>
              <w:rPr>
                <w:sz w:val="22"/>
                <w:szCs w:val="22"/>
              </w:rPr>
            </w:pPr>
            <w:r w:rsidRPr="00CF6B33">
              <w:rPr>
                <w:sz w:val="22"/>
                <w:szCs w:val="22"/>
              </w:rPr>
              <w:t>Mandatory reporting obligations for children</w:t>
            </w:r>
          </w:p>
          <w:p w14:paraId="24B21E6D" w14:textId="77777777" w:rsidR="00B27E8C" w:rsidRPr="00CF6B33" w:rsidRDefault="00B27E8C" w:rsidP="00135C7A">
            <w:pPr>
              <w:rPr>
                <w:iCs/>
                <w:sz w:val="22"/>
                <w:szCs w:val="22"/>
              </w:rPr>
            </w:pPr>
            <w:r w:rsidRPr="00CF6B33">
              <w:rPr>
                <w:sz w:val="22"/>
                <w:szCs w:val="22"/>
              </w:rPr>
              <w:t xml:space="preserve">If you are a doctor, nurse or enrolled nurse, midwife, psychologist, or a public servant who provides services to children and families in the course of your employment, you are mandated to report certain conduct concerning the treatment of children to Child and Youth Protection Services (CYPS) under s 356 of the </w:t>
            </w:r>
            <w:r w:rsidRPr="00CF6B33">
              <w:rPr>
                <w:i/>
                <w:iCs/>
                <w:sz w:val="22"/>
                <w:szCs w:val="22"/>
              </w:rPr>
              <w:t>Children and Young People Act 2008</w:t>
            </w:r>
            <w:r w:rsidRPr="00CF6B33">
              <w:rPr>
                <w:iCs/>
                <w:sz w:val="22"/>
                <w:szCs w:val="22"/>
              </w:rPr>
              <w:t>.  This includes instances where a child has experienced or is experiencing sexual abuse or non-accidental physical injury (which covers FGC).  Failure to do so is an offence and carries a maximum penalty of six months imprisonment, 50 penalty units or both.</w:t>
            </w:r>
          </w:p>
          <w:p w14:paraId="6045FBF6" w14:textId="77777777" w:rsidR="00B27E8C" w:rsidRPr="00CF6B33" w:rsidRDefault="00B27E8C" w:rsidP="00135C7A">
            <w:pPr>
              <w:rPr>
                <w:iCs/>
                <w:sz w:val="22"/>
                <w:szCs w:val="22"/>
              </w:rPr>
            </w:pPr>
          </w:p>
          <w:p w14:paraId="77DFE754" w14:textId="77777777" w:rsidR="00B27E8C" w:rsidRPr="00CF6B33" w:rsidRDefault="00B27E8C" w:rsidP="00135C7A">
            <w:pPr>
              <w:rPr>
                <w:iCs/>
                <w:sz w:val="22"/>
                <w:szCs w:val="22"/>
              </w:rPr>
            </w:pPr>
            <w:r w:rsidRPr="00CF6B33">
              <w:rPr>
                <w:iCs/>
                <w:sz w:val="22"/>
                <w:szCs w:val="22"/>
              </w:rPr>
              <w:t xml:space="preserve">If you believe on reasonable grounds that a person under the age of 18 has had FGC whether in Australia or elsewhere and you formed this belief from information obtained </w:t>
            </w:r>
            <w:proofErr w:type="gramStart"/>
            <w:r w:rsidRPr="00CF6B33">
              <w:rPr>
                <w:iCs/>
                <w:sz w:val="22"/>
                <w:szCs w:val="22"/>
              </w:rPr>
              <w:t>during the course of</w:t>
            </w:r>
            <w:proofErr w:type="gramEnd"/>
            <w:r w:rsidRPr="00CF6B33">
              <w:rPr>
                <w:iCs/>
                <w:sz w:val="22"/>
                <w:szCs w:val="22"/>
              </w:rPr>
              <w:t xml:space="preserve"> your work, you are required to report the reasons for your belief along with the child’s name or description to CYPS </w:t>
            </w:r>
            <w:r w:rsidRPr="00CF6B33">
              <w:rPr>
                <w:sz w:val="22"/>
                <w:szCs w:val="22"/>
              </w:rPr>
              <w:t>1300 556 728</w:t>
            </w:r>
            <w:r w:rsidRPr="00CF6B33">
              <w:rPr>
                <w:iCs/>
                <w:sz w:val="22"/>
                <w:szCs w:val="22"/>
              </w:rPr>
              <w:t>.  You must do this as soon as practicable after forming the belief that the child has had FGC.</w:t>
            </w:r>
          </w:p>
          <w:p w14:paraId="63BA6EFC" w14:textId="77777777" w:rsidR="00B27E8C" w:rsidRPr="00CF6B33" w:rsidRDefault="00B27E8C" w:rsidP="00135C7A">
            <w:pPr>
              <w:rPr>
                <w:iCs/>
                <w:sz w:val="22"/>
                <w:szCs w:val="22"/>
              </w:rPr>
            </w:pPr>
          </w:p>
          <w:p w14:paraId="0240A1ED" w14:textId="77777777" w:rsidR="00B27E8C" w:rsidRPr="00CF6B33" w:rsidRDefault="00B27E8C" w:rsidP="00135C7A">
            <w:pPr>
              <w:rPr>
                <w:iCs/>
                <w:sz w:val="22"/>
                <w:szCs w:val="22"/>
              </w:rPr>
            </w:pPr>
            <w:r w:rsidRPr="00CF6B33">
              <w:rPr>
                <w:iCs/>
                <w:sz w:val="22"/>
                <w:szCs w:val="22"/>
              </w:rPr>
              <w:t>CYPS may find it helpful for you to include in the child concern report whether you feel safety concerns are currently present; if there are any other children in the family; and what information you have provided to the family about FGC in Australia.</w:t>
            </w:r>
          </w:p>
          <w:p w14:paraId="0490B58D" w14:textId="77777777" w:rsidR="00B27E8C" w:rsidRPr="00CF6B33" w:rsidRDefault="00B27E8C" w:rsidP="00135C7A">
            <w:pPr>
              <w:rPr>
                <w:iCs/>
                <w:sz w:val="22"/>
                <w:szCs w:val="22"/>
              </w:rPr>
            </w:pPr>
          </w:p>
          <w:p w14:paraId="3E919B65" w14:textId="77777777" w:rsidR="00B27E8C" w:rsidRPr="00CF6B33" w:rsidRDefault="00B27E8C" w:rsidP="00135C7A">
            <w:pPr>
              <w:rPr>
                <w:iCs/>
                <w:sz w:val="22"/>
                <w:szCs w:val="22"/>
              </w:rPr>
            </w:pPr>
            <w:r w:rsidRPr="00CF6B33">
              <w:rPr>
                <w:iCs/>
                <w:sz w:val="22"/>
                <w:szCs w:val="22"/>
              </w:rPr>
              <w:t>While you are not mandated to do so, it is hospital policy to report to CYPS any reasonable beliefs held by hospital staff that a child or young person is at risk of having FGC performed on them.  This voluntary reporting scheme is permissible under s 354 of the CYP Act.  See also Child Protection Policy.</w:t>
            </w:r>
          </w:p>
          <w:p w14:paraId="730352DC" w14:textId="77777777" w:rsidR="00B27E8C" w:rsidRPr="00A723FB" w:rsidRDefault="00B27E8C" w:rsidP="00135C7A">
            <w:pPr>
              <w:rPr>
                <w:b/>
                <w:i/>
              </w:rPr>
            </w:pPr>
          </w:p>
        </w:tc>
      </w:tr>
    </w:tbl>
    <w:p w14:paraId="331C4734" w14:textId="0594868F" w:rsidR="00B27E8C" w:rsidRDefault="00B27E8C" w:rsidP="00153FB3">
      <w:pPr>
        <w:rPr>
          <w:i/>
          <w:sz w:val="20"/>
          <w:szCs w:val="24"/>
        </w:rPr>
      </w:pPr>
    </w:p>
    <w:p w14:paraId="2DFACC5B" w14:textId="77777777" w:rsidR="00B27E8C" w:rsidRDefault="00B27E8C">
      <w:pPr>
        <w:spacing w:after="200" w:line="276" w:lineRule="auto"/>
        <w:rPr>
          <w:i/>
          <w:sz w:val="20"/>
          <w:szCs w:val="24"/>
        </w:rPr>
      </w:pPr>
      <w:r>
        <w:rPr>
          <w:i/>
          <w:sz w:val="20"/>
          <w:szCs w:val="24"/>
        </w:rPr>
        <w:br w:type="page"/>
      </w:r>
    </w:p>
    <w:p w14:paraId="189765CB" w14:textId="4906EE08" w:rsidR="00B27E8C" w:rsidRDefault="00B27E8C" w:rsidP="00B27E8C">
      <w:pPr>
        <w:pStyle w:val="Heading2"/>
      </w:pPr>
      <w:r w:rsidRPr="0004161A">
        <w:lastRenderedPageBreak/>
        <w:t xml:space="preserve">Attachment </w:t>
      </w:r>
      <w:r>
        <w:t>C - T</w:t>
      </w:r>
      <w:r w:rsidRPr="00D20CDF">
        <w:t>raditional and local terms for FG</w:t>
      </w:r>
      <w:r>
        <w:t>C</w:t>
      </w:r>
    </w:p>
    <w:p w14:paraId="29E67543" w14:textId="77777777" w:rsidR="004951CA" w:rsidRPr="004951CA" w:rsidRDefault="004951CA" w:rsidP="004951CA"/>
    <w:tbl>
      <w:tblPr>
        <w:tblStyle w:val="TableGrid"/>
        <w:tblW w:w="9464" w:type="dxa"/>
        <w:tblLook w:val="04A0" w:firstRow="1" w:lastRow="0" w:firstColumn="1" w:lastColumn="0" w:noHBand="0" w:noVBand="1"/>
      </w:tblPr>
      <w:tblGrid>
        <w:gridCol w:w="1018"/>
        <w:gridCol w:w="1418"/>
        <w:gridCol w:w="1210"/>
        <w:gridCol w:w="5818"/>
      </w:tblGrid>
      <w:tr w:rsidR="00B27E8C" w14:paraId="2C5097DE" w14:textId="77777777" w:rsidTr="00135C7A">
        <w:tc>
          <w:tcPr>
            <w:tcW w:w="1018" w:type="dxa"/>
          </w:tcPr>
          <w:p w14:paraId="0328CC08" w14:textId="77777777" w:rsidR="00B27E8C" w:rsidRDefault="00B27E8C" w:rsidP="00135C7A">
            <w:pPr>
              <w:jc w:val="center"/>
              <w:rPr>
                <w:rFonts w:cs="Arial"/>
                <w:szCs w:val="24"/>
              </w:rPr>
            </w:pPr>
            <w:r>
              <w:rPr>
                <w:rFonts w:cs="Arial"/>
                <w:szCs w:val="24"/>
              </w:rPr>
              <w:t>Country</w:t>
            </w:r>
          </w:p>
        </w:tc>
        <w:tc>
          <w:tcPr>
            <w:tcW w:w="1418" w:type="dxa"/>
          </w:tcPr>
          <w:p w14:paraId="4F27F39F" w14:textId="77777777" w:rsidR="00B27E8C" w:rsidRDefault="00B27E8C" w:rsidP="00135C7A">
            <w:pPr>
              <w:jc w:val="center"/>
              <w:rPr>
                <w:rFonts w:cs="Arial"/>
                <w:szCs w:val="24"/>
              </w:rPr>
            </w:pPr>
            <w:r>
              <w:rPr>
                <w:rFonts w:cs="Arial"/>
                <w:szCs w:val="24"/>
              </w:rPr>
              <w:t>Term used for FGC</w:t>
            </w:r>
          </w:p>
        </w:tc>
        <w:tc>
          <w:tcPr>
            <w:tcW w:w="1145" w:type="dxa"/>
          </w:tcPr>
          <w:p w14:paraId="4AB9F4C1" w14:textId="77777777" w:rsidR="00B27E8C" w:rsidRDefault="00B27E8C" w:rsidP="00135C7A">
            <w:pPr>
              <w:jc w:val="center"/>
              <w:rPr>
                <w:rFonts w:cs="Arial"/>
                <w:szCs w:val="24"/>
              </w:rPr>
            </w:pPr>
            <w:r>
              <w:rPr>
                <w:rFonts w:cs="Arial"/>
                <w:szCs w:val="24"/>
              </w:rPr>
              <w:t>Language</w:t>
            </w:r>
          </w:p>
        </w:tc>
        <w:tc>
          <w:tcPr>
            <w:tcW w:w="5883" w:type="dxa"/>
          </w:tcPr>
          <w:p w14:paraId="5AEF605C" w14:textId="77777777" w:rsidR="00B27E8C" w:rsidRDefault="00B27E8C" w:rsidP="00135C7A">
            <w:pPr>
              <w:jc w:val="center"/>
              <w:rPr>
                <w:rFonts w:cs="Arial"/>
                <w:szCs w:val="24"/>
              </w:rPr>
            </w:pPr>
            <w:r>
              <w:rPr>
                <w:rFonts w:cs="Arial"/>
                <w:szCs w:val="24"/>
              </w:rPr>
              <w:t>Meaning</w:t>
            </w:r>
          </w:p>
        </w:tc>
      </w:tr>
      <w:tr w:rsidR="00B27E8C" w14:paraId="04AE8D75" w14:textId="77777777" w:rsidTr="00135C7A">
        <w:tc>
          <w:tcPr>
            <w:tcW w:w="1018" w:type="dxa"/>
          </w:tcPr>
          <w:p w14:paraId="2ADEEF73" w14:textId="77777777" w:rsidR="00B27E8C" w:rsidRDefault="00B27E8C" w:rsidP="00135C7A">
            <w:pPr>
              <w:jc w:val="center"/>
              <w:rPr>
                <w:rFonts w:cs="Arial"/>
                <w:szCs w:val="24"/>
              </w:rPr>
            </w:pPr>
            <w:r w:rsidRPr="007D0C29">
              <w:rPr>
                <w:rFonts w:cs="Arial"/>
                <w:szCs w:val="24"/>
              </w:rPr>
              <w:t>Egypt</w:t>
            </w:r>
          </w:p>
        </w:tc>
        <w:tc>
          <w:tcPr>
            <w:tcW w:w="1418" w:type="dxa"/>
          </w:tcPr>
          <w:p w14:paraId="4594D369" w14:textId="77777777" w:rsidR="00B27E8C" w:rsidRDefault="00B27E8C" w:rsidP="00135C7A">
            <w:pPr>
              <w:jc w:val="center"/>
              <w:rPr>
                <w:rFonts w:cs="Arial"/>
                <w:szCs w:val="24"/>
              </w:rPr>
            </w:pPr>
            <w:r>
              <w:t>Thara</w:t>
            </w:r>
          </w:p>
        </w:tc>
        <w:tc>
          <w:tcPr>
            <w:tcW w:w="1145" w:type="dxa"/>
          </w:tcPr>
          <w:p w14:paraId="797F4BAB" w14:textId="77777777" w:rsidR="00B27E8C" w:rsidRDefault="00B27E8C" w:rsidP="00135C7A">
            <w:pPr>
              <w:jc w:val="center"/>
              <w:rPr>
                <w:rFonts w:cs="Arial"/>
                <w:szCs w:val="24"/>
              </w:rPr>
            </w:pPr>
            <w:r>
              <w:t>Arabic</w:t>
            </w:r>
          </w:p>
        </w:tc>
        <w:tc>
          <w:tcPr>
            <w:tcW w:w="5883" w:type="dxa"/>
          </w:tcPr>
          <w:p w14:paraId="2386C7DF" w14:textId="77777777" w:rsidR="00B27E8C" w:rsidRDefault="00B27E8C" w:rsidP="00135C7A">
            <w:pPr>
              <w:rPr>
                <w:rFonts w:cs="Arial"/>
                <w:szCs w:val="24"/>
              </w:rPr>
            </w:pPr>
            <w:r w:rsidRPr="007D0C29">
              <w:rPr>
                <w:rFonts w:cs="Arial"/>
                <w:szCs w:val="24"/>
              </w:rPr>
              <w:t>Deriving from the Arabic word ‘</w:t>
            </w:r>
            <w:proofErr w:type="spellStart"/>
            <w:r w:rsidRPr="007D0C29">
              <w:rPr>
                <w:rFonts w:cs="Arial"/>
                <w:szCs w:val="24"/>
              </w:rPr>
              <w:t>tahar</w:t>
            </w:r>
            <w:proofErr w:type="spellEnd"/>
            <w:r w:rsidRPr="007D0C29">
              <w:rPr>
                <w:rFonts w:cs="Arial"/>
                <w:szCs w:val="24"/>
              </w:rPr>
              <w:t>’ meaning to clean / purify</w:t>
            </w:r>
          </w:p>
        </w:tc>
      </w:tr>
      <w:tr w:rsidR="00B27E8C" w14:paraId="77FEDCD1" w14:textId="77777777" w:rsidTr="00135C7A">
        <w:tc>
          <w:tcPr>
            <w:tcW w:w="1018" w:type="dxa"/>
          </w:tcPr>
          <w:p w14:paraId="37757402" w14:textId="77777777" w:rsidR="00B27E8C" w:rsidRDefault="00B27E8C" w:rsidP="00135C7A">
            <w:pPr>
              <w:jc w:val="center"/>
              <w:rPr>
                <w:rFonts w:cs="Arial"/>
                <w:szCs w:val="24"/>
              </w:rPr>
            </w:pPr>
          </w:p>
        </w:tc>
        <w:tc>
          <w:tcPr>
            <w:tcW w:w="1418" w:type="dxa"/>
          </w:tcPr>
          <w:p w14:paraId="2FF0348A" w14:textId="77777777" w:rsidR="00B27E8C" w:rsidRDefault="00B27E8C" w:rsidP="00135C7A">
            <w:pPr>
              <w:jc w:val="center"/>
              <w:rPr>
                <w:rFonts w:cs="Arial"/>
                <w:szCs w:val="24"/>
              </w:rPr>
            </w:pPr>
            <w:proofErr w:type="spellStart"/>
            <w:r>
              <w:t>Khitan</w:t>
            </w:r>
            <w:proofErr w:type="spellEnd"/>
          </w:p>
        </w:tc>
        <w:tc>
          <w:tcPr>
            <w:tcW w:w="1145" w:type="dxa"/>
          </w:tcPr>
          <w:p w14:paraId="2D1C545F" w14:textId="77777777" w:rsidR="00B27E8C" w:rsidRDefault="00B27E8C" w:rsidP="00135C7A">
            <w:pPr>
              <w:jc w:val="center"/>
              <w:rPr>
                <w:rFonts w:cs="Arial"/>
                <w:szCs w:val="24"/>
              </w:rPr>
            </w:pPr>
            <w:r>
              <w:t>Arabic</w:t>
            </w:r>
          </w:p>
        </w:tc>
        <w:tc>
          <w:tcPr>
            <w:tcW w:w="5883" w:type="dxa"/>
          </w:tcPr>
          <w:p w14:paraId="32DD89DE" w14:textId="77777777" w:rsidR="00B27E8C" w:rsidRDefault="00B27E8C" w:rsidP="00135C7A">
            <w:pPr>
              <w:rPr>
                <w:rFonts w:cs="Arial"/>
                <w:szCs w:val="24"/>
              </w:rPr>
            </w:pPr>
            <w:r>
              <w:t>Circumcision - used for both FGC and male circumcision</w:t>
            </w:r>
          </w:p>
        </w:tc>
      </w:tr>
      <w:tr w:rsidR="00B27E8C" w14:paraId="57196941" w14:textId="77777777" w:rsidTr="00135C7A">
        <w:tc>
          <w:tcPr>
            <w:tcW w:w="1018" w:type="dxa"/>
          </w:tcPr>
          <w:p w14:paraId="076A2F99" w14:textId="77777777" w:rsidR="00B27E8C" w:rsidRDefault="00B27E8C" w:rsidP="00135C7A">
            <w:pPr>
              <w:jc w:val="center"/>
              <w:rPr>
                <w:rFonts w:cs="Arial"/>
                <w:szCs w:val="24"/>
              </w:rPr>
            </w:pPr>
          </w:p>
        </w:tc>
        <w:tc>
          <w:tcPr>
            <w:tcW w:w="1418" w:type="dxa"/>
          </w:tcPr>
          <w:p w14:paraId="0FB0A2D4" w14:textId="77777777" w:rsidR="00B27E8C" w:rsidRDefault="00B27E8C" w:rsidP="00135C7A">
            <w:pPr>
              <w:jc w:val="center"/>
              <w:rPr>
                <w:rFonts w:cs="Arial"/>
                <w:szCs w:val="24"/>
              </w:rPr>
            </w:pPr>
          </w:p>
        </w:tc>
        <w:tc>
          <w:tcPr>
            <w:tcW w:w="1145" w:type="dxa"/>
          </w:tcPr>
          <w:p w14:paraId="066352DF" w14:textId="77777777" w:rsidR="00B27E8C" w:rsidRDefault="00B27E8C" w:rsidP="00135C7A">
            <w:pPr>
              <w:jc w:val="center"/>
              <w:rPr>
                <w:rFonts w:cs="Arial"/>
                <w:szCs w:val="24"/>
              </w:rPr>
            </w:pPr>
            <w:r>
              <w:t>Arabic</w:t>
            </w:r>
          </w:p>
        </w:tc>
        <w:tc>
          <w:tcPr>
            <w:tcW w:w="5883" w:type="dxa"/>
          </w:tcPr>
          <w:p w14:paraId="2B6EDCCD" w14:textId="77777777" w:rsidR="00B27E8C" w:rsidRDefault="00B27E8C" w:rsidP="00135C7A">
            <w:pPr>
              <w:rPr>
                <w:rFonts w:cs="Arial"/>
                <w:szCs w:val="24"/>
              </w:rPr>
            </w:pPr>
            <w:r>
              <w:t>Deriving from the Arabic word ‘</w:t>
            </w:r>
            <w:proofErr w:type="spellStart"/>
            <w:r>
              <w:t>khafad</w:t>
            </w:r>
            <w:proofErr w:type="spellEnd"/>
            <w:r>
              <w:t>’ meaning to lower (rarely used in everyday language)</w:t>
            </w:r>
          </w:p>
        </w:tc>
      </w:tr>
      <w:tr w:rsidR="00B27E8C" w14:paraId="29BA72A8" w14:textId="77777777" w:rsidTr="00135C7A">
        <w:tc>
          <w:tcPr>
            <w:tcW w:w="1018" w:type="dxa"/>
          </w:tcPr>
          <w:p w14:paraId="04E7D914" w14:textId="77777777" w:rsidR="00B27E8C" w:rsidRDefault="00B27E8C" w:rsidP="00135C7A">
            <w:pPr>
              <w:jc w:val="center"/>
              <w:rPr>
                <w:rFonts w:cs="Arial"/>
                <w:szCs w:val="24"/>
              </w:rPr>
            </w:pPr>
            <w:r>
              <w:t>Ethiopia</w:t>
            </w:r>
          </w:p>
        </w:tc>
        <w:tc>
          <w:tcPr>
            <w:tcW w:w="1418" w:type="dxa"/>
          </w:tcPr>
          <w:p w14:paraId="4D7F8E69" w14:textId="77777777" w:rsidR="00B27E8C" w:rsidRDefault="00B27E8C" w:rsidP="00135C7A">
            <w:pPr>
              <w:jc w:val="center"/>
              <w:rPr>
                <w:rFonts w:cs="Arial"/>
                <w:szCs w:val="24"/>
              </w:rPr>
            </w:pPr>
            <w:r>
              <w:t>Megrez</w:t>
            </w:r>
          </w:p>
        </w:tc>
        <w:tc>
          <w:tcPr>
            <w:tcW w:w="1145" w:type="dxa"/>
          </w:tcPr>
          <w:p w14:paraId="31872A30" w14:textId="77777777" w:rsidR="00B27E8C" w:rsidRDefault="00B27E8C" w:rsidP="00135C7A">
            <w:pPr>
              <w:jc w:val="center"/>
              <w:rPr>
                <w:rFonts w:cs="Arial"/>
                <w:szCs w:val="24"/>
              </w:rPr>
            </w:pPr>
            <w:r>
              <w:t>Amharic</w:t>
            </w:r>
          </w:p>
        </w:tc>
        <w:tc>
          <w:tcPr>
            <w:tcW w:w="5883" w:type="dxa"/>
          </w:tcPr>
          <w:p w14:paraId="296A3753" w14:textId="77777777" w:rsidR="00B27E8C" w:rsidRDefault="00B27E8C" w:rsidP="00135C7A">
            <w:r>
              <w:t>Circumcision / cutting</w:t>
            </w:r>
          </w:p>
          <w:p w14:paraId="6AD9345B" w14:textId="77777777" w:rsidR="00B27E8C" w:rsidRDefault="00B27E8C" w:rsidP="00135C7A">
            <w:pPr>
              <w:rPr>
                <w:rFonts w:cs="Arial"/>
                <w:szCs w:val="24"/>
              </w:rPr>
            </w:pPr>
          </w:p>
        </w:tc>
      </w:tr>
      <w:tr w:rsidR="00B27E8C" w14:paraId="4613A389" w14:textId="77777777" w:rsidTr="00135C7A">
        <w:tc>
          <w:tcPr>
            <w:tcW w:w="1018" w:type="dxa"/>
          </w:tcPr>
          <w:p w14:paraId="70CD6A93" w14:textId="77777777" w:rsidR="00B27E8C" w:rsidRDefault="00B27E8C" w:rsidP="00135C7A">
            <w:pPr>
              <w:jc w:val="center"/>
              <w:rPr>
                <w:rFonts w:cs="Arial"/>
                <w:szCs w:val="24"/>
              </w:rPr>
            </w:pPr>
          </w:p>
        </w:tc>
        <w:tc>
          <w:tcPr>
            <w:tcW w:w="1418" w:type="dxa"/>
          </w:tcPr>
          <w:p w14:paraId="137E778D" w14:textId="77777777" w:rsidR="00B27E8C" w:rsidRDefault="00B27E8C" w:rsidP="00135C7A">
            <w:pPr>
              <w:jc w:val="center"/>
              <w:rPr>
                <w:rFonts w:cs="Arial"/>
                <w:szCs w:val="24"/>
              </w:rPr>
            </w:pPr>
            <w:proofErr w:type="spellStart"/>
            <w:r>
              <w:t>Absum</w:t>
            </w:r>
            <w:proofErr w:type="spellEnd"/>
          </w:p>
        </w:tc>
        <w:tc>
          <w:tcPr>
            <w:tcW w:w="1145" w:type="dxa"/>
          </w:tcPr>
          <w:p w14:paraId="75BD104B" w14:textId="77777777" w:rsidR="00B27E8C" w:rsidRDefault="00B27E8C" w:rsidP="00135C7A">
            <w:pPr>
              <w:jc w:val="center"/>
              <w:rPr>
                <w:rFonts w:cs="Arial"/>
                <w:szCs w:val="24"/>
              </w:rPr>
            </w:pPr>
            <w:proofErr w:type="spellStart"/>
            <w:r>
              <w:t>Harrari</w:t>
            </w:r>
            <w:proofErr w:type="spellEnd"/>
          </w:p>
        </w:tc>
        <w:tc>
          <w:tcPr>
            <w:tcW w:w="5883" w:type="dxa"/>
          </w:tcPr>
          <w:p w14:paraId="712716A9" w14:textId="77777777" w:rsidR="00B27E8C" w:rsidRDefault="00B27E8C" w:rsidP="00135C7A">
            <w:r>
              <w:t>Name giving ritual</w:t>
            </w:r>
          </w:p>
          <w:p w14:paraId="039D56B2" w14:textId="77777777" w:rsidR="00B27E8C" w:rsidRDefault="00B27E8C" w:rsidP="00135C7A">
            <w:pPr>
              <w:rPr>
                <w:rFonts w:cs="Arial"/>
                <w:szCs w:val="24"/>
              </w:rPr>
            </w:pPr>
          </w:p>
        </w:tc>
      </w:tr>
      <w:tr w:rsidR="00B27E8C" w14:paraId="6E111515" w14:textId="77777777" w:rsidTr="00135C7A">
        <w:tc>
          <w:tcPr>
            <w:tcW w:w="1018" w:type="dxa"/>
          </w:tcPr>
          <w:p w14:paraId="7A75936F" w14:textId="77777777" w:rsidR="00B27E8C" w:rsidRDefault="00B27E8C" w:rsidP="00135C7A">
            <w:pPr>
              <w:jc w:val="center"/>
              <w:rPr>
                <w:rFonts w:cs="Arial"/>
                <w:szCs w:val="24"/>
              </w:rPr>
            </w:pPr>
            <w:r>
              <w:t>Eritrea</w:t>
            </w:r>
          </w:p>
        </w:tc>
        <w:tc>
          <w:tcPr>
            <w:tcW w:w="1418" w:type="dxa"/>
          </w:tcPr>
          <w:p w14:paraId="0BA61345" w14:textId="77777777" w:rsidR="00B27E8C" w:rsidRDefault="00B27E8C" w:rsidP="00135C7A">
            <w:pPr>
              <w:jc w:val="center"/>
              <w:rPr>
                <w:rFonts w:cs="Arial"/>
                <w:szCs w:val="24"/>
              </w:rPr>
            </w:pPr>
            <w:proofErr w:type="spellStart"/>
            <w:r>
              <w:t>Mekhnishab</w:t>
            </w:r>
            <w:proofErr w:type="spellEnd"/>
          </w:p>
        </w:tc>
        <w:tc>
          <w:tcPr>
            <w:tcW w:w="1145" w:type="dxa"/>
          </w:tcPr>
          <w:p w14:paraId="7D3E00F9" w14:textId="77777777" w:rsidR="00B27E8C" w:rsidRDefault="00B27E8C" w:rsidP="00135C7A">
            <w:pPr>
              <w:jc w:val="center"/>
              <w:rPr>
                <w:rFonts w:cs="Arial"/>
                <w:szCs w:val="24"/>
              </w:rPr>
            </w:pPr>
            <w:proofErr w:type="spellStart"/>
            <w:r>
              <w:t>Tigregna</w:t>
            </w:r>
            <w:proofErr w:type="spellEnd"/>
          </w:p>
        </w:tc>
        <w:tc>
          <w:tcPr>
            <w:tcW w:w="5883" w:type="dxa"/>
          </w:tcPr>
          <w:p w14:paraId="4EB85887" w14:textId="77777777" w:rsidR="00B27E8C" w:rsidRDefault="00B27E8C" w:rsidP="00135C7A">
            <w:r>
              <w:t>Circumcision / cutting</w:t>
            </w:r>
          </w:p>
          <w:p w14:paraId="1129077E" w14:textId="77777777" w:rsidR="00B27E8C" w:rsidRDefault="00B27E8C" w:rsidP="00135C7A">
            <w:pPr>
              <w:rPr>
                <w:rFonts w:cs="Arial"/>
                <w:szCs w:val="24"/>
              </w:rPr>
            </w:pPr>
          </w:p>
        </w:tc>
      </w:tr>
      <w:tr w:rsidR="00B27E8C" w14:paraId="622D2F65" w14:textId="77777777" w:rsidTr="00135C7A">
        <w:tc>
          <w:tcPr>
            <w:tcW w:w="1018" w:type="dxa"/>
          </w:tcPr>
          <w:p w14:paraId="2062BC32" w14:textId="77777777" w:rsidR="00B27E8C" w:rsidRDefault="00B27E8C" w:rsidP="00135C7A">
            <w:pPr>
              <w:jc w:val="center"/>
              <w:rPr>
                <w:rFonts w:cs="Arial"/>
                <w:szCs w:val="24"/>
              </w:rPr>
            </w:pPr>
            <w:r>
              <w:t>Kenya</w:t>
            </w:r>
          </w:p>
        </w:tc>
        <w:tc>
          <w:tcPr>
            <w:tcW w:w="1418" w:type="dxa"/>
          </w:tcPr>
          <w:p w14:paraId="06DA7D7E" w14:textId="77777777" w:rsidR="00B27E8C" w:rsidRDefault="00B27E8C" w:rsidP="00135C7A">
            <w:pPr>
              <w:jc w:val="center"/>
              <w:rPr>
                <w:rFonts w:cs="Arial"/>
                <w:szCs w:val="24"/>
              </w:rPr>
            </w:pPr>
            <w:proofErr w:type="spellStart"/>
            <w:r>
              <w:t>Kutairi</w:t>
            </w:r>
            <w:proofErr w:type="spellEnd"/>
          </w:p>
        </w:tc>
        <w:tc>
          <w:tcPr>
            <w:tcW w:w="1145" w:type="dxa"/>
          </w:tcPr>
          <w:p w14:paraId="070D0E83" w14:textId="77777777" w:rsidR="00B27E8C" w:rsidRDefault="00B27E8C" w:rsidP="00135C7A">
            <w:pPr>
              <w:jc w:val="center"/>
              <w:rPr>
                <w:rFonts w:cs="Arial"/>
                <w:szCs w:val="24"/>
              </w:rPr>
            </w:pPr>
            <w:r>
              <w:t>Swahili</w:t>
            </w:r>
          </w:p>
        </w:tc>
        <w:tc>
          <w:tcPr>
            <w:tcW w:w="5883" w:type="dxa"/>
          </w:tcPr>
          <w:p w14:paraId="1AF272DC" w14:textId="77777777" w:rsidR="00B27E8C" w:rsidRDefault="00B27E8C" w:rsidP="00135C7A">
            <w:pPr>
              <w:rPr>
                <w:rFonts w:cs="Arial"/>
                <w:szCs w:val="24"/>
              </w:rPr>
            </w:pPr>
            <w:r>
              <w:t>Circumcision - used for both FGM and male circumcision</w:t>
            </w:r>
          </w:p>
        </w:tc>
      </w:tr>
      <w:tr w:rsidR="00B27E8C" w14:paraId="70C05CF7" w14:textId="77777777" w:rsidTr="00135C7A">
        <w:tc>
          <w:tcPr>
            <w:tcW w:w="1018" w:type="dxa"/>
          </w:tcPr>
          <w:p w14:paraId="7A802ED9" w14:textId="77777777" w:rsidR="00B27E8C" w:rsidRDefault="00B27E8C" w:rsidP="00135C7A">
            <w:pPr>
              <w:jc w:val="center"/>
            </w:pPr>
          </w:p>
        </w:tc>
        <w:tc>
          <w:tcPr>
            <w:tcW w:w="1418" w:type="dxa"/>
          </w:tcPr>
          <w:p w14:paraId="22923006" w14:textId="77777777" w:rsidR="00B27E8C" w:rsidRDefault="00B27E8C" w:rsidP="00135C7A">
            <w:pPr>
              <w:jc w:val="center"/>
            </w:pPr>
            <w:proofErr w:type="spellStart"/>
            <w:r>
              <w:t>Kutairi</w:t>
            </w:r>
            <w:proofErr w:type="spellEnd"/>
            <w:r>
              <w:t xml:space="preserve"> was </w:t>
            </w:r>
            <w:proofErr w:type="spellStart"/>
            <w:r>
              <w:t>ichana</w:t>
            </w:r>
            <w:proofErr w:type="spellEnd"/>
          </w:p>
        </w:tc>
        <w:tc>
          <w:tcPr>
            <w:tcW w:w="1145" w:type="dxa"/>
          </w:tcPr>
          <w:p w14:paraId="5D490CF3" w14:textId="77777777" w:rsidR="00B27E8C" w:rsidRDefault="00B27E8C" w:rsidP="00135C7A">
            <w:pPr>
              <w:jc w:val="center"/>
            </w:pPr>
            <w:r>
              <w:t>Swahili</w:t>
            </w:r>
          </w:p>
        </w:tc>
        <w:tc>
          <w:tcPr>
            <w:tcW w:w="5883" w:type="dxa"/>
          </w:tcPr>
          <w:p w14:paraId="5682BE03" w14:textId="77777777" w:rsidR="00B27E8C" w:rsidRDefault="00B27E8C" w:rsidP="00135C7A">
            <w:r>
              <w:t>Circumcision of girls</w:t>
            </w:r>
          </w:p>
        </w:tc>
      </w:tr>
      <w:tr w:rsidR="00B27E8C" w14:paraId="2D9A88CE" w14:textId="77777777" w:rsidTr="00135C7A">
        <w:tc>
          <w:tcPr>
            <w:tcW w:w="1018" w:type="dxa"/>
          </w:tcPr>
          <w:p w14:paraId="1EBB74CE" w14:textId="77777777" w:rsidR="00B27E8C" w:rsidRDefault="00B27E8C" w:rsidP="00135C7A">
            <w:pPr>
              <w:jc w:val="center"/>
            </w:pPr>
            <w:r>
              <w:t>Nigeria</w:t>
            </w:r>
          </w:p>
        </w:tc>
        <w:tc>
          <w:tcPr>
            <w:tcW w:w="1418" w:type="dxa"/>
          </w:tcPr>
          <w:p w14:paraId="187CCD18" w14:textId="77777777" w:rsidR="00B27E8C" w:rsidRDefault="00B27E8C" w:rsidP="00135C7A">
            <w:pPr>
              <w:jc w:val="center"/>
            </w:pPr>
            <w:r>
              <w:t>Ibi /Ugwu</w:t>
            </w:r>
          </w:p>
        </w:tc>
        <w:tc>
          <w:tcPr>
            <w:tcW w:w="1145" w:type="dxa"/>
          </w:tcPr>
          <w:p w14:paraId="06D4C56C" w14:textId="77777777" w:rsidR="00B27E8C" w:rsidRDefault="00B27E8C" w:rsidP="00135C7A">
            <w:pPr>
              <w:jc w:val="center"/>
            </w:pPr>
            <w:r>
              <w:t>Igbo</w:t>
            </w:r>
          </w:p>
        </w:tc>
        <w:tc>
          <w:tcPr>
            <w:tcW w:w="5883" w:type="dxa"/>
          </w:tcPr>
          <w:p w14:paraId="2BA68073" w14:textId="77777777" w:rsidR="00B27E8C" w:rsidRDefault="00B27E8C" w:rsidP="00135C7A">
            <w:r>
              <w:t>The act of cutting - used for both FGC and male circumcision</w:t>
            </w:r>
          </w:p>
        </w:tc>
      </w:tr>
      <w:tr w:rsidR="00B27E8C" w14:paraId="25B5AA57" w14:textId="77777777" w:rsidTr="00135C7A">
        <w:tc>
          <w:tcPr>
            <w:tcW w:w="1018" w:type="dxa"/>
          </w:tcPr>
          <w:p w14:paraId="1C7F1630" w14:textId="77777777" w:rsidR="00B27E8C" w:rsidRDefault="00B27E8C" w:rsidP="00135C7A">
            <w:pPr>
              <w:jc w:val="center"/>
            </w:pPr>
          </w:p>
        </w:tc>
        <w:tc>
          <w:tcPr>
            <w:tcW w:w="1418" w:type="dxa"/>
          </w:tcPr>
          <w:p w14:paraId="5282F0A0" w14:textId="77777777" w:rsidR="00B27E8C" w:rsidRDefault="00B27E8C" w:rsidP="00135C7A">
            <w:pPr>
              <w:jc w:val="center"/>
            </w:pPr>
            <w:r>
              <w:t>Sunna</w:t>
            </w:r>
          </w:p>
        </w:tc>
        <w:tc>
          <w:tcPr>
            <w:tcW w:w="1145" w:type="dxa"/>
          </w:tcPr>
          <w:p w14:paraId="04560504" w14:textId="77777777" w:rsidR="00B27E8C" w:rsidRDefault="00B27E8C" w:rsidP="00135C7A">
            <w:pPr>
              <w:jc w:val="center"/>
            </w:pPr>
            <w:r>
              <w:t>Mandingo</w:t>
            </w:r>
          </w:p>
        </w:tc>
        <w:tc>
          <w:tcPr>
            <w:tcW w:w="5883" w:type="dxa"/>
          </w:tcPr>
          <w:p w14:paraId="730B2A97" w14:textId="77777777" w:rsidR="00B27E8C" w:rsidRDefault="00B27E8C" w:rsidP="00135C7A">
            <w:r>
              <w:t>Religious tradition /obligation - for Muslims</w:t>
            </w:r>
          </w:p>
          <w:p w14:paraId="0E6DCF48" w14:textId="77777777" w:rsidR="00B27E8C" w:rsidRDefault="00B27E8C" w:rsidP="00135C7A"/>
        </w:tc>
      </w:tr>
      <w:tr w:rsidR="00B27E8C" w14:paraId="736FDB3D" w14:textId="77777777" w:rsidTr="00135C7A">
        <w:tc>
          <w:tcPr>
            <w:tcW w:w="1018" w:type="dxa"/>
          </w:tcPr>
          <w:p w14:paraId="45549363" w14:textId="77777777" w:rsidR="00B27E8C" w:rsidRDefault="00B27E8C" w:rsidP="00135C7A">
            <w:pPr>
              <w:jc w:val="center"/>
            </w:pPr>
            <w:r>
              <w:t>Sierra Leone</w:t>
            </w:r>
          </w:p>
        </w:tc>
        <w:tc>
          <w:tcPr>
            <w:tcW w:w="1418" w:type="dxa"/>
          </w:tcPr>
          <w:p w14:paraId="58A71741" w14:textId="77777777" w:rsidR="00B27E8C" w:rsidRDefault="00B27E8C" w:rsidP="00135C7A">
            <w:pPr>
              <w:jc w:val="center"/>
            </w:pPr>
            <w:r>
              <w:t>Sunna</w:t>
            </w:r>
          </w:p>
        </w:tc>
        <w:tc>
          <w:tcPr>
            <w:tcW w:w="1145" w:type="dxa"/>
          </w:tcPr>
          <w:p w14:paraId="1D33EDBC" w14:textId="77777777" w:rsidR="00B27E8C" w:rsidRDefault="00B27E8C" w:rsidP="00135C7A">
            <w:pPr>
              <w:jc w:val="center"/>
            </w:pPr>
            <w:proofErr w:type="spellStart"/>
            <w:r>
              <w:t>Soussou</w:t>
            </w:r>
            <w:proofErr w:type="spellEnd"/>
          </w:p>
        </w:tc>
        <w:tc>
          <w:tcPr>
            <w:tcW w:w="5883" w:type="dxa"/>
          </w:tcPr>
          <w:p w14:paraId="6C3405F5" w14:textId="77777777" w:rsidR="00B27E8C" w:rsidRDefault="00B27E8C" w:rsidP="00135C7A">
            <w:r>
              <w:t>Religious tradition/obligation - for Muslims</w:t>
            </w:r>
          </w:p>
          <w:p w14:paraId="22D57ED8" w14:textId="77777777" w:rsidR="00B27E8C" w:rsidRDefault="00B27E8C" w:rsidP="00135C7A"/>
        </w:tc>
      </w:tr>
      <w:tr w:rsidR="00B27E8C" w14:paraId="0F24B856" w14:textId="77777777" w:rsidTr="00135C7A">
        <w:tc>
          <w:tcPr>
            <w:tcW w:w="1018" w:type="dxa"/>
          </w:tcPr>
          <w:p w14:paraId="253AAAE6" w14:textId="77777777" w:rsidR="00B27E8C" w:rsidRDefault="00B27E8C" w:rsidP="00135C7A">
            <w:pPr>
              <w:jc w:val="center"/>
            </w:pPr>
          </w:p>
        </w:tc>
        <w:tc>
          <w:tcPr>
            <w:tcW w:w="1418" w:type="dxa"/>
          </w:tcPr>
          <w:p w14:paraId="56BAF738" w14:textId="77777777" w:rsidR="00B27E8C" w:rsidRDefault="00B27E8C" w:rsidP="00135C7A">
            <w:pPr>
              <w:jc w:val="center"/>
            </w:pPr>
            <w:r>
              <w:t>Bondo</w:t>
            </w:r>
          </w:p>
        </w:tc>
        <w:tc>
          <w:tcPr>
            <w:tcW w:w="1145" w:type="dxa"/>
          </w:tcPr>
          <w:p w14:paraId="5DAB0BFD" w14:textId="77777777" w:rsidR="00B27E8C" w:rsidRDefault="00B27E8C" w:rsidP="00135C7A">
            <w:pPr>
              <w:jc w:val="center"/>
            </w:pPr>
            <w:proofErr w:type="spellStart"/>
            <w:r>
              <w:t>Temenee</w:t>
            </w:r>
            <w:proofErr w:type="spellEnd"/>
          </w:p>
        </w:tc>
        <w:tc>
          <w:tcPr>
            <w:tcW w:w="5883" w:type="dxa"/>
          </w:tcPr>
          <w:p w14:paraId="05F7D14A" w14:textId="77777777" w:rsidR="00B27E8C" w:rsidRDefault="00B27E8C" w:rsidP="00135C7A">
            <w:r>
              <w:t xml:space="preserve">Integral part of an initiation rite into adulthood - for </w:t>
            </w:r>
            <w:proofErr w:type="spellStart"/>
            <w:proofErr w:type="gramStart"/>
            <w:r>
              <w:t>non Muslims</w:t>
            </w:r>
            <w:proofErr w:type="spellEnd"/>
            <w:proofErr w:type="gramEnd"/>
          </w:p>
        </w:tc>
      </w:tr>
      <w:tr w:rsidR="00B27E8C" w14:paraId="02BAAAF7" w14:textId="77777777" w:rsidTr="00135C7A">
        <w:tc>
          <w:tcPr>
            <w:tcW w:w="1018" w:type="dxa"/>
          </w:tcPr>
          <w:p w14:paraId="0EC0746A" w14:textId="77777777" w:rsidR="00B27E8C" w:rsidRDefault="00B27E8C" w:rsidP="00135C7A">
            <w:pPr>
              <w:jc w:val="center"/>
            </w:pPr>
          </w:p>
        </w:tc>
        <w:tc>
          <w:tcPr>
            <w:tcW w:w="1418" w:type="dxa"/>
          </w:tcPr>
          <w:p w14:paraId="083ED0B1" w14:textId="77777777" w:rsidR="00B27E8C" w:rsidRDefault="00B27E8C" w:rsidP="00135C7A">
            <w:pPr>
              <w:jc w:val="center"/>
            </w:pPr>
            <w:r>
              <w:t>Bondo/ Sonde</w:t>
            </w:r>
          </w:p>
        </w:tc>
        <w:tc>
          <w:tcPr>
            <w:tcW w:w="1145" w:type="dxa"/>
          </w:tcPr>
          <w:p w14:paraId="6CD8C308" w14:textId="77777777" w:rsidR="00B27E8C" w:rsidRDefault="00B27E8C" w:rsidP="00135C7A">
            <w:pPr>
              <w:jc w:val="center"/>
            </w:pPr>
            <w:r>
              <w:t>Mendee</w:t>
            </w:r>
          </w:p>
        </w:tc>
        <w:tc>
          <w:tcPr>
            <w:tcW w:w="5883" w:type="dxa"/>
          </w:tcPr>
          <w:p w14:paraId="52BEF49A" w14:textId="77777777" w:rsidR="00B27E8C" w:rsidRDefault="00B27E8C" w:rsidP="00135C7A">
            <w:r>
              <w:t xml:space="preserve">Integral part of an initiation rite into adulthood - for </w:t>
            </w:r>
            <w:proofErr w:type="spellStart"/>
            <w:proofErr w:type="gramStart"/>
            <w:r>
              <w:t>non Muslims</w:t>
            </w:r>
            <w:proofErr w:type="spellEnd"/>
            <w:proofErr w:type="gramEnd"/>
          </w:p>
        </w:tc>
      </w:tr>
      <w:tr w:rsidR="00B27E8C" w14:paraId="4B6B5515" w14:textId="77777777" w:rsidTr="00135C7A">
        <w:tc>
          <w:tcPr>
            <w:tcW w:w="1018" w:type="dxa"/>
          </w:tcPr>
          <w:p w14:paraId="4E3D723D" w14:textId="77777777" w:rsidR="00B27E8C" w:rsidRDefault="00B27E8C" w:rsidP="00135C7A">
            <w:pPr>
              <w:jc w:val="center"/>
            </w:pPr>
          </w:p>
        </w:tc>
        <w:tc>
          <w:tcPr>
            <w:tcW w:w="1418" w:type="dxa"/>
          </w:tcPr>
          <w:p w14:paraId="265463F5" w14:textId="77777777" w:rsidR="00B27E8C" w:rsidRDefault="00B27E8C" w:rsidP="00135C7A">
            <w:pPr>
              <w:jc w:val="center"/>
            </w:pPr>
            <w:r>
              <w:t>Bondo</w:t>
            </w:r>
          </w:p>
        </w:tc>
        <w:tc>
          <w:tcPr>
            <w:tcW w:w="1145" w:type="dxa"/>
          </w:tcPr>
          <w:p w14:paraId="0E8B77A9" w14:textId="77777777" w:rsidR="00B27E8C" w:rsidRDefault="00B27E8C" w:rsidP="00135C7A">
            <w:pPr>
              <w:jc w:val="center"/>
            </w:pPr>
            <w:r>
              <w:t>Mandingo</w:t>
            </w:r>
          </w:p>
        </w:tc>
        <w:tc>
          <w:tcPr>
            <w:tcW w:w="5883" w:type="dxa"/>
          </w:tcPr>
          <w:p w14:paraId="177A5714" w14:textId="77777777" w:rsidR="00B27E8C" w:rsidRDefault="00B27E8C" w:rsidP="00135C7A">
            <w:r>
              <w:t xml:space="preserve">Integral part of an initiation rite into adulthood - for </w:t>
            </w:r>
            <w:proofErr w:type="spellStart"/>
            <w:proofErr w:type="gramStart"/>
            <w:r>
              <w:t>non Muslims</w:t>
            </w:r>
            <w:proofErr w:type="spellEnd"/>
            <w:proofErr w:type="gramEnd"/>
          </w:p>
        </w:tc>
      </w:tr>
      <w:tr w:rsidR="00B27E8C" w14:paraId="375A7CA0" w14:textId="77777777" w:rsidTr="00135C7A">
        <w:tc>
          <w:tcPr>
            <w:tcW w:w="1018" w:type="dxa"/>
          </w:tcPr>
          <w:p w14:paraId="6FABF705" w14:textId="77777777" w:rsidR="00B27E8C" w:rsidRDefault="00B27E8C" w:rsidP="00135C7A">
            <w:pPr>
              <w:jc w:val="center"/>
            </w:pPr>
          </w:p>
        </w:tc>
        <w:tc>
          <w:tcPr>
            <w:tcW w:w="1418" w:type="dxa"/>
          </w:tcPr>
          <w:p w14:paraId="33306657" w14:textId="77777777" w:rsidR="00B27E8C" w:rsidRDefault="00B27E8C" w:rsidP="00135C7A">
            <w:pPr>
              <w:jc w:val="center"/>
            </w:pPr>
            <w:r>
              <w:t>Bondo</w:t>
            </w:r>
          </w:p>
        </w:tc>
        <w:tc>
          <w:tcPr>
            <w:tcW w:w="1145" w:type="dxa"/>
          </w:tcPr>
          <w:p w14:paraId="62D2E441" w14:textId="77777777" w:rsidR="00B27E8C" w:rsidRDefault="00B27E8C" w:rsidP="00135C7A">
            <w:pPr>
              <w:jc w:val="center"/>
            </w:pPr>
            <w:r>
              <w:t>Limba</w:t>
            </w:r>
          </w:p>
        </w:tc>
        <w:tc>
          <w:tcPr>
            <w:tcW w:w="5883" w:type="dxa"/>
          </w:tcPr>
          <w:p w14:paraId="4F8B8AD9" w14:textId="77777777" w:rsidR="00B27E8C" w:rsidRDefault="00B27E8C" w:rsidP="00135C7A">
            <w:r>
              <w:t xml:space="preserve">Integral part of an initiation rite into adulthood - for </w:t>
            </w:r>
            <w:proofErr w:type="spellStart"/>
            <w:proofErr w:type="gramStart"/>
            <w:r>
              <w:t>non Muslims</w:t>
            </w:r>
            <w:proofErr w:type="spellEnd"/>
            <w:proofErr w:type="gramEnd"/>
          </w:p>
        </w:tc>
      </w:tr>
      <w:tr w:rsidR="00B27E8C" w14:paraId="6DF9474A" w14:textId="77777777" w:rsidTr="00135C7A">
        <w:tc>
          <w:tcPr>
            <w:tcW w:w="1018" w:type="dxa"/>
          </w:tcPr>
          <w:p w14:paraId="256BDF24" w14:textId="77777777" w:rsidR="00B27E8C" w:rsidRDefault="00B27E8C" w:rsidP="00135C7A">
            <w:pPr>
              <w:jc w:val="center"/>
            </w:pPr>
            <w:r>
              <w:t>Somalia</w:t>
            </w:r>
          </w:p>
        </w:tc>
        <w:tc>
          <w:tcPr>
            <w:tcW w:w="1418" w:type="dxa"/>
          </w:tcPr>
          <w:p w14:paraId="365C39D3" w14:textId="77777777" w:rsidR="00B27E8C" w:rsidRDefault="00B27E8C" w:rsidP="00135C7A">
            <w:pPr>
              <w:jc w:val="center"/>
            </w:pPr>
            <w:proofErr w:type="spellStart"/>
            <w:r>
              <w:t>Gudiniin</w:t>
            </w:r>
            <w:proofErr w:type="spellEnd"/>
          </w:p>
        </w:tc>
        <w:tc>
          <w:tcPr>
            <w:tcW w:w="1145" w:type="dxa"/>
          </w:tcPr>
          <w:p w14:paraId="0B233404" w14:textId="77777777" w:rsidR="00B27E8C" w:rsidRDefault="00B27E8C" w:rsidP="00135C7A">
            <w:pPr>
              <w:jc w:val="center"/>
            </w:pPr>
            <w:r>
              <w:t>Somali</w:t>
            </w:r>
          </w:p>
        </w:tc>
        <w:tc>
          <w:tcPr>
            <w:tcW w:w="5883" w:type="dxa"/>
          </w:tcPr>
          <w:p w14:paraId="608F2131" w14:textId="77777777" w:rsidR="00B27E8C" w:rsidRDefault="00B27E8C" w:rsidP="00135C7A">
            <w:r>
              <w:t>Circumcision used for both FGC and male circumcision</w:t>
            </w:r>
          </w:p>
        </w:tc>
      </w:tr>
      <w:tr w:rsidR="00B27E8C" w14:paraId="117CDF42" w14:textId="77777777" w:rsidTr="00135C7A">
        <w:tc>
          <w:tcPr>
            <w:tcW w:w="1018" w:type="dxa"/>
          </w:tcPr>
          <w:p w14:paraId="0F30D0B4" w14:textId="77777777" w:rsidR="00B27E8C" w:rsidRDefault="00B27E8C" w:rsidP="00135C7A">
            <w:pPr>
              <w:jc w:val="center"/>
            </w:pPr>
          </w:p>
        </w:tc>
        <w:tc>
          <w:tcPr>
            <w:tcW w:w="1418" w:type="dxa"/>
          </w:tcPr>
          <w:p w14:paraId="5EC355BE" w14:textId="77777777" w:rsidR="00B27E8C" w:rsidRDefault="00B27E8C" w:rsidP="00135C7A">
            <w:pPr>
              <w:jc w:val="center"/>
            </w:pPr>
            <w:proofErr w:type="spellStart"/>
            <w:r>
              <w:t>Halalays</w:t>
            </w:r>
            <w:proofErr w:type="spellEnd"/>
          </w:p>
        </w:tc>
        <w:tc>
          <w:tcPr>
            <w:tcW w:w="1145" w:type="dxa"/>
          </w:tcPr>
          <w:p w14:paraId="06BD3763" w14:textId="77777777" w:rsidR="00B27E8C" w:rsidRDefault="00B27E8C" w:rsidP="00135C7A">
            <w:pPr>
              <w:jc w:val="center"/>
            </w:pPr>
            <w:r>
              <w:t>Somali</w:t>
            </w:r>
          </w:p>
        </w:tc>
        <w:tc>
          <w:tcPr>
            <w:tcW w:w="5883" w:type="dxa"/>
          </w:tcPr>
          <w:p w14:paraId="240290E1" w14:textId="77777777" w:rsidR="00B27E8C" w:rsidRDefault="00B27E8C" w:rsidP="00135C7A">
            <w:r>
              <w:t xml:space="preserve">Deriving from the Arabic word ‘halal’ </w:t>
            </w:r>
            <w:proofErr w:type="spellStart"/>
            <w:r>
              <w:t>ie</w:t>
            </w:r>
            <w:proofErr w:type="spellEnd"/>
            <w:r>
              <w:t>. ‘sanctioned’ - implies purity. Used by Northern &amp; Arabic speaking Somalis</w:t>
            </w:r>
          </w:p>
        </w:tc>
      </w:tr>
      <w:tr w:rsidR="00B27E8C" w14:paraId="1946AB52" w14:textId="77777777" w:rsidTr="00135C7A">
        <w:tc>
          <w:tcPr>
            <w:tcW w:w="1018" w:type="dxa"/>
          </w:tcPr>
          <w:p w14:paraId="7E8DA071" w14:textId="77777777" w:rsidR="00B27E8C" w:rsidRDefault="00B27E8C" w:rsidP="00135C7A">
            <w:pPr>
              <w:jc w:val="center"/>
            </w:pPr>
          </w:p>
        </w:tc>
        <w:tc>
          <w:tcPr>
            <w:tcW w:w="1418" w:type="dxa"/>
          </w:tcPr>
          <w:p w14:paraId="1A511B78" w14:textId="77777777" w:rsidR="00B27E8C" w:rsidRDefault="00B27E8C" w:rsidP="00135C7A">
            <w:pPr>
              <w:jc w:val="center"/>
            </w:pPr>
            <w:proofErr w:type="spellStart"/>
            <w:r>
              <w:t>Qodiin</w:t>
            </w:r>
            <w:proofErr w:type="spellEnd"/>
          </w:p>
        </w:tc>
        <w:tc>
          <w:tcPr>
            <w:tcW w:w="1145" w:type="dxa"/>
          </w:tcPr>
          <w:p w14:paraId="34978D5B" w14:textId="77777777" w:rsidR="00B27E8C" w:rsidRDefault="00B27E8C" w:rsidP="00135C7A">
            <w:pPr>
              <w:jc w:val="center"/>
            </w:pPr>
            <w:r>
              <w:t>Somali</w:t>
            </w:r>
          </w:p>
        </w:tc>
        <w:tc>
          <w:tcPr>
            <w:tcW w:w="5883" w:type="dxa"/>
          </w:tcPr>
          <w:p w14:paraId="3516AFD4" w14:textId="77777777" w:rsidR="00B27E8C" w:rsidRDefault="00B27E8C" w:rsidP="00135C7A">
            <w:r>
              <w:t>Stitching / tightening / sewing refers to infibulations</w:t>
            </w:r>
          </w:p>
          <w:p w14:paraId="426434B4" w14:textId="77777777" w:rsidR="00B27E8C" w:rsidRDefault="00B27E8C" w:rsidP="00135C7A"/>
        </w:tc>
      </w:tr>
      <w:tr w:rsidR="00B27E8C" w14:paraId="3FF95C81" w14:textId="77777777" w:rsidTr="00135C7A">
        <w:tc>
          <w:tcPr>
            <w:tcW w:w="1018" w:type="dxa"/>
          </w:tcPr>
          <w:p w14:paraId="472718AB" w14:textId="77777777" w:rsidR="00B27E8C" w:rsidRDefault="00B27E8C" w:rsidP="00135C7A">
            <w:pPr>
              <w:jc w:val="center"/>
            </w:pPr>
            <w:r>
              <w:t>Sudan</w:t>
            </w:r>
          </w:p>
        </w:tc>
        <w:tc>
          <w:tcPr>
            <w:tcW w:w="1418" w:type="dxa"/>
          </w:tcPr>
          <w:p w14:paraId="41EA3495" w14:textId="77777777" w:rsidR="00B27E8C" w:rsidRDefault="00B27E8C" w:rsidP="00135C7A">
            <w:pPr>
              <w:jc w:val="center"/>
            </w:pPr>
            <w:proofErr w:type="spellStart"/>
            <w:r>
              <w:t>Khifad</w:t>
            </w:r>
            <w:proofErr w:type="spellEnd"/>
          </w:p>
        </w:tc>
        <w:tc>
          <w:tcPr>
            <w:tcW w:w="1145" w:type="dxa"/>
          </w:tcPr>
          <w:p w14:paraId="50F01783" w14:textId="77777777" w:rsidR="00B27E8C" w:rsidRDefault="00B27E8C" w:rsidP="00135C7A">
            <w:pPr>
              <w:jc w:val="center"/>
            </w:pPr>
            <w:r>
              <w:t>Arabic</w:t>
            </w:r>
          </w:p>
        </w:tc>
        <w:tc>
          <w:tcPr>
            <w:tcW w:w="5883" w:type="dxa"/>
          </w:tcPr>
          <w:p w14:paraId="25C2DF33" w14:textId="77777777" w:rsidR="00B27E8C" w:rsidRDefault="00B27E8C" w:rsidP="00135C7A">
            <w:r>
              <w:t>Deriving from the Arabic word ‘</w:t>
            </w:r>
            <w:proofErr w:type="spellStart"/>
            <w:r>
              <w:t>khafad</w:t>
            </w:r>
            <w:proofErr w:type="spellEnd"/>
            <w:r>
              <w:t>’ meaning to lower (rarely used in everyday language)</w:t>
            </w:r>
          </w:p>
        </w:tc>
      </w:tr>
      <w:tr w:rsidR="00B27E8C" w14:paraId="79B52B0E" w14:textId="77777777" w:rsidTr="00135C7A">
        <w:tc>
          <w:tcPr>
            <w:tcW w:w="1018" w:type="dxa"/>
          </w:tcPr>
          <w:p w14:paraId="5C5E8472" w14:textId="77777777" w:rsidR="00B27E8C" w:rsidRDefault="00B27E8C" w:rsidP="00135C7A">
            <w:pPr>
              <w:jc w:val="center"/>
            </w:pPr>
          </w:p>
        </w:tc>
        <w:tc>
          <w:tcPr>
            <w:tcW w:w="1418" w:type="dxa"/>
          </w:tcPr>
          <w:p w14:paraId="310C0379" w14:textId="77777777" w:rsidR="00B27E8C" w:rsidRDefault="00B27E8C" w:rsidP="00135C7A">
            <w:pPr>
              <w:jc w:val="center"/>
            </w:pPr>
            <w:r>
              <w:t>Tahoor</w:t>
            </w:r>
          </w:p>
        </w:tc>
        <w:tc>
          <w:tcPr>
            <w:tcW w:w="1145" w:type="dxa"/>
          </w:tcPr>
          <w:p w14:paraId="34EE0EAD" w14:textId="77777777" w:rsidR="00B27E8C" w:rsidRDefault="00B27E8C" w:rsidP="00135C7A">
            <w:pPr>
              <w:jc w:val="center"/>
            </w:pPr>
            <w:r>
              <w:t>Arabic</w:t>
            </w:r>
          </w:p>
        </w:tc>
        <w:tc>
          <w:tcPr>
            <w:tcW w:w="5883" w:type="dxa"/>
          </w:tcPr>
          <w:p w14:paraId="2BB5D4E5" w14:textId="77777777" w:rsidR="00B27E8C" w:rsidRDefault="00B27E8C" w:rsidP="00135C7A">
            <w:r>
              <w:t>Deriving from the Arabic word ‘</w:t>
            </w:r>
            <w:proofErr w:type="spellStart"/>
            <w:r>
              <w:t>tahar</w:t>
            </w:r>
            <w:proofErr w:type="spellEnd"/>
            <w:r>
              <w:t>’ meaning to purify</w:t>
            </w:r>
          </w:p>
        </w:tc>
      </w:tr>
    </w:tbl>
    <w:p w14:paraId="0CED459E" w14:textId="668560F9" w:rsidR="00B27E8C" w:rsidRDefault="00B27E8C" w:rsidP="00153FB3">
      <w:pPr>
        <w:rPr>
          <w:i/>
          <w:sz w:val="20"/>
          <w:szCs w:val="24"/>
        </w:rPr>
      </w:pPr>
    </w:p>
    <w:p w14:paraId="25E6105E" w14:textId="092D4257" w:rsidR="00B27E8C" w:rsidRDefault="00B27E8C">
      <w:pPr>
        <w:spacing w:after="200" w:line="276" w:lineRule="auto"/>
        <w:rPr>
          <w:i/>
          <w:sz w:val="20"/>
          <w:szCs w:val="24"/>
        </w:rPr>
      </w:pPr>
    </w:p>
    <w:tbl>
      <w:tblPr>
        <w:tblStyle w:val="TableGrid"/>
        <w:tblW w:w="9464" w:type="dxa"/>
        <w:tblLook w:val="04A0" w:firstRow="1" w:lastRow="0" w:firstColumn="1" w:lastColumn="0" w:noHBand="0" w:noVBand="1"/>
      </w:tblPr>
      <w:tblGrid>
        <w:gridCol w:w="1524"/>
        <w:gridCol w:w="1382"/>
        <w:gridCol w:w="1194"/>
        <w:gridCol w:w="5364"/>
      </w:tblGrid>
      <w:tr w:rsidR="00B27E8C" w14:paraId="173791AA" w14:textId="77777777" w:rsidTr="00135C7A">
        <w:tc>
          <w:tcPr>
            <w:tcW w:w="1018" w:type="dxa"/>
          </w:tcPr>
          <w:p w14:paraId="10FB0013" w14:textId="77777777" w:rsidR="00B27E8C" w:rsidRDefault="00B27E8C" w:rsidP="00135C7A">
            <w:pPr>
              <w:jc w:val="center"/>
            </w:pPr>
            <w:r>
              <w:lastRenderedPageBreak/>
              <w:t>Chad - The Ngama</w:t>
            </w:r>
          </w:p>
        </w:tc>
        <w:tc>
          <w:tcPr>
            <w:tcW w:w="1418" w:type="dxa"/>
          </w:tcPr>
          <w:p w14:paraId="083E809E" w14:textId="77777777" w:rsidR="00B27E8C" w:rsidRDefault="00B27E8C" w:rsidP="00135C7A">
            <w:pPr>
              <w:jc w:val="center"/>
            </w:pPr>
            <w:r>
              <w:t>Bagne</w:t>
            </w:r>
          </w:p>
        </w:tc>
        <w:tc>
          <w:tcPr>
            <w:tcW w:w="1145" w:type="dxa"/>
          </w:tcPr>
          <w:p w14:paraId="60D8EB36" w14:textId="77777777" w:rsidR="00B27E8C" w:rsidRDefault="00B27E8C" w:rsidP="00135C7A">
            <w:pPr>
              <w:jc w:val="center"/>
            </w:pPr>
          </w:p>
        </w:tc>
        <w:tc>
          <w:tcPr>
            <w:tcW w:w="5883" w:type="dxa"/>
          </w:tcPr>
          <w:p w14:paraId="7CC47132" w14:textId="77777777" w:rsidR="00B27E8C" w:rsidRDefault="00B27E8C" w:rsidP="00135C7A">
            <w:r>
              <w:t xml:space="preserve">Used by the Sara </w:t>
            </w:r>
            <w:proofErr w:type="spellStart"/>
            <w:r>
              <w:t>Madjingaye</w:t>
            </w:r>
            <w:proofErr w:type="spellEnd"/>
          </w:p>
        </w:tc>
      </w:tr>
      <w:tr w:rsidR="00B27E8C" w14:paraId="0633CE8B" w14:textId="77777777" w:rsidTr="00135C7A">
        <w:tc>
          <w:tcPr>
            <w:tcW w:w="1018" w:type="dxa"/>
          </w:tcPr>
          <w:p w14:paraId="49DBDC08" w14:textId="77777777" w:rsidR="00B27E8C" w:rsidRDefault="00B27E8C" w:rsidP="00135C7A">
            <w:pPr>
              <w:jc w:val="center"/>
            </w:pPr>
            <w:r>
              <w:t>Sara Subgroup</w:t>
            </w:r>
          </w:p>
        </w:tc>
        <w:tc>
          <w:tcPr>
            <w:tcW w:w="1418" w:type="dxa"/>
          </w:tcPr>
          <w:p w14:paraId="1294FE5E" w14:textId="77777777" w:rsidR="00B27E8C" w:rsidRDefault="00B27E8C" w:rsidP="00135C7A">
            <w:pPr>
              <w:jc w:val="center"/>
            </w:pPr>
            <w:proofErr w:type="spellStart"/>
            <w:r>
              <w:t>Gadja</w:t>
            </w:r>
            <w:proofErr w:type="spellEnd"/>
          </w:p>
        </w:tc>
        <w:tc>
          <w:tcPr>
            <w:tcW w:w="1145" w:type="dxa"/>
          </w:tcPr>
          <w:p w14:paraId="78EF1F5B" w14:textId="77777777" w:rsidR="00B27E8C" w:rsidRDefault="00B27E8C" w:rsidP="00135C7A">
            <w:pPr>
              <w:jc w:val="center"/>
            </w:pPr>
          </w:p>
        </w:tc>
        <w:tc>
          <w:tcPr>
            <w:tcW w:w="5883" w:type="dxa"/>
          </w:tcPr>
          <w:p w14:paraId="0892E3A4" w14:textId="77777777" w:rsidR="00B27E8C" w:rsidRDefault="00B27E8C" w:rsidP="00135C7A">
            <w:r>
              <w:t>Adapted from ‘</w:t>
            </w:r>
            <w:proofErr w:type="spellStart"/>
            <w:r>
              <w:t>ganza</w:t>
            </w:r>
            <w:proofErr w:type="spellEnd"/>
            <w:r>
              <w:t>’ used in the Central African Republic</w:t>
            </w:r>
          </w:p>
        </w:tc>
      </w:tr>
      <w:tr w:rsidR="00B27E8C" w14:paraId="7C671997" w14:textId="77777777" w:rsidTr="00135C7A">
        <w:tc>
          <w:tcPr>
            <w:tcW w:w="1018" w:type="dxa"/>
          </w:tcPr>
          <w:p w14:paraId="0C87544F" w14:textId="77777777" w:rsidR="00B27E8C" w:rsidRDefault="00B27E8C" w:rsidP="00135C7A">
            <w:pPr>
              <w:jc w:val="center"/>
            </w:pPr>
            <w:proofErr w:type="spellStart"/>
            <w:r>
              <w:t>GuineaBissau</w:t>
            </w:r>
            <w:proofErr w:type="spellEnd"/>
          </w:p>
          <w:p w14:paraId="3EBA1BD0" w14:textId="77777777" w:rsidR="00B27E8C" w:rsidRDefault="00B27E8C" w:rsidP="00135C7A">
            <w:pPr>
              <w:jc w:val="center"/>
            </w:pPr>
          </w:p>
        </w:tc>
        <w:tc>
          <w:tcPr>
            <w:tcW w:w="1418" w:type="dxa"/>
          </w:tcPr>
          <w:p w14:paraId="04C9CE7C" w14:textId="77777777" w:rsidR="00B27E8C" w:rsidRDefault="00B27E8C" w:rsidP="00135C7A">
            <w:pPr>
              <w:jc w:val="center"/>
            </w:pPr>
            <w:proofErr w:type="spellStart"/>
            <w:r>
              <w:t>Fanadu</w:t>
            </w:r>
            <w:proofErr w:type="spellEnd"/>
            <w:r>
              <w:t xml:space="preserve"> di </w:t>
            </w:r>
            <w:proofErr w:type="spellStart"/>
            <w:r>
              <w:t>Mindjer</w:t>
            </w:r>
            <w:proofErr w:type="spellEnd"/>
          </w:p>
        </w:tc>
        <w:tc>
          <w:tcPr>
            <w:tcW w:w="1145" w:type="dxa"/>
          </w:tcPr>
          <w:p w14:paraId="4D032F4E" w14:textId="77777777" w:rsidR="00B27E8C" w:rsidRDefault="00B27E8C" w:rsidP="00135C7A">
            <w:pPr>
              <w:jc w:val="center"/>
            </w:pPr>
            <w:proofErr w:type="spellStart"/>
            <w:r>
              <w:t>Kriolu</w:t>
            </w:r>
            <w:proofErr w:type="spellEnd"/>
          </w:p>
        </w:tc>
        <w:tc>
          <w:tcPr>
            <w:tcW w:w="5883" w:type="dxa"/>
          </w:tcPr>
          <w:p w14:paraId="0E3AAF63" w14:textId="77777777" w:rsidR="00B27E8C" w:rsidRDefault="00B27E8C" w:rsidP="00135C7A">
            <w:r>
              <w:t>‘Circumcision of girls’</w:t>
            </w:r>
          </w:p>
        </w:tc>
      </w:tr>
      <w:tr w:rsidR="00B27E8C" w14:paraId="0854572D" w14:textId="77777777" w:rsidTr="00135C7A">
        <w:tc>
          <w:tcPr>
            <w:tcW w:w="1018" w:type="dxa"/>
          </w:tcPr>
          <w:p w14:paraId="1A4DB1A4" w14:textId="77777777" w:rsidR="00B27E8C" w:rsidRDefault="00B27E8C" w:rsidP="00135C7A">
            <w:pPr>
              <w:jc w:val="center"/>
            </w:pPr>
          </w:p>
        </w:tc>
        <w:tc>
          <w:tcPr>
            <w:tcW w:w="1418" w:type="dxa"/>
          </w:tcPr>
          <w:p w14:paraId="31A496C1" w14:textId="77777777" w:rsidR="00B27E8C" w:rsidRDefault="00B27E8C" w:rsidP="00135C7A">
            <w:pPr>
              <w:jc w:val="center"/>
            </w:pPr>
            <w:proofErr w:type="spellStart"/>
            <w:r>
              <w:t>Fanadu</w:t>
            </w:r>
            <w:proofErr w:type="spellEnd"/>
            <w:r>
              <w:t xml:space="preserve"> di Omi</w:t>
            </w:r>
          </w:p>
        </w:tc>
        <w:tc>
          <w:tcPr>
            <w:tcW w:w="1145" w:type="dxa"/>
          </w:tcPr>
          <w:p w14:paraId="12382A1B" w14:textId="77777777" w:rsidR="00B27E8C" w:rsidRDefault="00B27E8C" w:rsidP="00135C7A">
            <w:pPr>
              <w:jc w:val="center"/>
            </w:pPr>
            <w:proofErr w:type="spellStart"/>
            <w:r>
              <w:t>Kriolu</w:t>
            </w:r>
            <w:proofErr w:type="spellEnd"/>
          </w:p>
        </w:tc>
        <w:tc>
          <w:tcPr>
            <w:tcW w:w="5883" w:type="dxa"/>
          </w:tcPr>
          <w:p w14:paraId="0FB405EF" w14:textId="77777777" w:rsidR="00B27E8C" w:rsidRDefault="00B27E8C" w:rsidP="00135C7A">
            <w:r>
              <w:t>‘Circumcision of boys’</w:t>
            </w:r>
          </w:p>
        </w:tc>
      </w:tr>
      <w:tr w:rsidR="00B27E8C" w14:paraId="3365B0A1" w14:textId="77777777" w:rsidTr="00135C7A">
        <w:tc>
          <w:tcPr>
            <w:tcW w:w="1018" w:type="dxa"/>
          </w:tcPr>
          <w:p w14:paraId="26A1196A" w14:textId="77777777" w:rsidR="00B27E8C" w:rsidRDefault="00B27E8C" w:rsidP="00135C7A">
            <w:pPr>
              <w:jc w:val="center"/>
            </w:pPr>
            <w:r>
              <w:t>Gambia</w:t>
            </w:r>
          </w:p>
        </w:tc>
        <w:tc>
          <w:tcPr>
            <w:tcW w:w="1418" w:type="dxa"/>
          </w:tcPr>
          <w:p w14:paraId="0D58B69A" w14:textId="77777777" w:rsidR="00B27E8C" w:rsidRDefault="00B27E8C" w:rsidP="00135C7A">
            <w:pPr>
              <w:jc w:val="center"/>
            </w:pPr>
            <w:r>
              <w:t>Niaka</w:t>
            </w:r>
          </w:p>
        </w:tc>
        <w:tc>
          <w:tcPr>
            <w:tcW w:w="1145" w:type="dxa"/>
          </w:tcPr>
          <w:p w14:paraId="1F61E32D" w14:textId="77777777" w:rsidR="00B27E8C" w:rsidRDefault="00B27E8C" w:rsidP="00135C7A">
            <w:pPr>
              <w:jc w:val="center"/>
            </w:pPr>
            <w:r>
              <w:t>Mandinka</w:t>
            </w:r>
          </w:p>
        </w:tc>
        <w:tc>
          <w:tcPr>
            <w:tcW w:w="5883" w:type="dxa"/>
          </w:tcPr>
          <w:p w14:paraId="0954F5CA" w14:textId="77777777" w:rsidR="00B27E8C" w:rsidRDefault="00B27E8C" w:rsidP="00135C7A">
            <w:r>
              <w:t>Literally to ‘cut/weed clean’</w:t>
            </w:r>
          </w:p>
          <w:p w14:paraId="1B6601F4" w14:textId="77777777" w:rsidR="00B27E8C" w:rsidRDefault="00B27E8C" w:rsidP="00135C7A"/>
        </w:tc>
      </w:tr>
      <w:tr w:rsidR="00B27E8C" w14:paraId="3FD83F69" w14:textId="77777777" w:rsidTr="00135C7A">
        <w:tc>
          <w:tcPr>
            <w:tcW w:w="1018" w:type="dxa"/>
          </w:tcPr>
          <w:p w14:paraId="5F35D2CC" w14:textId="77777777" w:rsidR="00B27E8C" w:rsidRDefault="00B27E8C" w:rsidP="00135C7A">
            <w:pPr>
              <w:jc w:val="center"/>
            </w:pPr>
          </w:p>
        </w:tc>
        <w:tc>
          <w:tcPr>
            <w:tcW w:w="1418" w:type="dxa"/>
          </w:tcPr>
          <w:p w14:paraId="2EE4D2CC" w14:textId="77777777" w:rsidR="00B27E8C" w:rsidRDefault="00B27E8C" w:rsidP="00135C7A">
            <w:pPr>
              <w:jc w:val="center"/>
            </w:pPr>
            <w:proofErr w:type="spellStart"/>
            <w:r>
              <w:t>Kuyango</w:t>
            </w:r>
            <w:proofErr w:type="spellEnd"/>
          </w:p>
        </w:tc>
        <w:tc>
          <w:tcPr>
            <w:tcW w:w="1145" w:type="dxa"/>
          </w:tcPr>
          <w:p w14:paraId="1B77AB29" w14:textId="77777777" w:rsidR="00B27E8C" w:rsidRDefault="00B27E8C" w:rsidP="00135C7A">
            <w:pPr>
              <w:jc w:val="center"/>
            </w:pPr>
            <w:r>
              <w:t>Mandinka</w:t>
            </w:r>
          </w:p>
        </w:tc>
        <w:tc>
          <w:tcPr>
            <w:tcW w:w="5883" w:type="dxa"/>
          </w:tcPr>
          <w:p w14:paraId="58EE0F92" w14:textId="77777777" w:rsidR="00B27E8C" w:rsidRDefault="00B27E8C" w:rsidP="00135C7A">
            <w:r>
              <w:t>Meaning ‘the affair’ but also the name for the shed built for initiates</w:t>
            </w:r>
          </w:p>
        </w:tc>
      </w:tr>
      <w:tr w:rsidR="00B27E8C" w14:paraId="379C9228" w14:textId="77777777" w:rsidTr="00135C7A">
        <w:tc>
          <w:tcPr>
            <w:tcW w:w="1018" w:type="dxa"/>
          </w:tcPr>
          <w:p w14:paraId="66058425" w14:textId="77777777" w:rsidR="00B27E8C" w:rsidRDefault="00B27E8C" w:rsidP="00135C7A">
            <w:pPr>
              <w:jc w:val="center"/>
            </w:pPr>
          </w:p>
        </w:tc>
        <w:tc>
          <w:tcPr>
            <w:tcW w:w="1418" w:type="dxa"/>
          </w:tcPr>
          <w:p w14:paraId="7CAB79F2" w14:textId="77777777" w:rsidR="00B27E8C" w:rsidRDefault="00B27E8C" w:rsidP="00135C7A">
            <w:pPr>
              <w:jc w:val="center"/>
            </w:pPr>
            <w:proofErr w:type="spellStart"/>
            <w:r>
              <w:t>Musolula</w:t>
            </w:r>
            <w:proofErr w:type="spellEnd"/>
            <w:r>
              <w:t xml:space="preserve"> Karoola</w:t>
            </w:r>
          </w:p>
        </w:tc>
        <w:tc>
          <w:tcPr>
            <w:tcW w:w="1145" w:type="dxa"/>
          </w:tcPr>
          <w:p w14:paraId="59723871" w14:textId="77777777" w:rsidR="00B27E8C" w:rsidRDefault="00B27E8C" w:rsidP="00135C7A">
            <w:pPr>
              <w:jc w:val="center"/>
            </w:pPr>
            <w:r>
              <w:t>Mandinka</w:t>
            </w:r>
          </w:p>
        </w:tc>
        <w:tc>
          <w:tcPr>
            <w:tcW w:w="5883" w:type="dxa"/>
          </w:tcPr>
          <w:p w14:paraId="0DEC26E3" w14:textId="77777777" w:rsidR="00B27E8C" w:rsidRDefault="00B27E8C" w:rsidP="00135C7A">
            <w:r>
              <w:t>Meaning ‘the women’s side’ / ‘that which concerns women’</w:t>
            </w:r>
          </w:p>
        </w:tc>
      </w:tr>
    </w:tbl>
    <w:p w14:paraId="0C9FCB25" w14:textId="77777777" w:rsidR="00B27E8C" w:rsidRDefault="00B27E8C" w:rsidP="00B27E8C">
      <w:pPr>
        <w:rPr>
          <w:rFonts w:cs="Arial"/>
          <w:szCs w:val="24"/>
        </w:rPr>
      </w:pPr>
    </w:p>
    <w:p w14:paraId="69411046" w14:textId="77777777" w:rsidR="00B27E8C" w:rsidRDefault="00B27E8C" w:rsidP="00B27E8C">
      <w:pPr>
        <w:rPr>
          <w:rFonts w:cs="Arial"/>
          <w:szCs w:val="24"/>
          <w:vertAlign w:val="superscript"/>
        </w:rPr>
      </w:pPr>
      <w:r>
        <w:rPr>
          <w:rFonts w:cs="Arial"/>
          <w:szCs w:val="24"/>
        </w:rPr>
        <w:t>Other FGM/C-related terms and definitions</w:t>
      </w:r>
    </w:p>
    <w:p w14:paraId="001A325D" w14:textId="77777777" w:rsidR="00B27E8C" w:rsidRPr="00F0662F" w:rsidRDefault="00B27E8C" w:rsidP="00B27E8C">
      <w:pPr>
        <w:pStyle w:val="ListBullet"/>
        <w:tabs>
          <w:tab w:val="num" w:pos="360"/>
        </w:tabs>
        <w:ind w:left="360"/>
        <w:rPr>
          <w:noProof/>
          <w:lang w:eastAsia="en-AU"/>
        </w:rPr>
      </w:pPr>
      <w:r w:rsidRPr="00F0662F">
        <w:rPr>
          <w:noProof/>
          <w:lang w:eastAsia="en-AU"/>
        </w:rPr>
        <w:t>Angurya cuts: A form for FGC type IV that involves the scraping of tissue around the vaginal opening</w:t>
      </w:r>
      <w:r>
        <w:rPr>
          <w:noProof/>
          <w:lang w:eastAsia="en-AU"/>
        </w:rPr>
        <w:t>.</w:t>
      </w:r>
    </w:p>
    <w:p w14:paraId="080AC09A" w14:textId="77777777" w:rsidR="00B27E8C" w:rsidRPr="00F0662F" w:rsidRDefault="00B27E8C" w:rsidP="00B27E8C">
      <w:pPr>
        <w:pStyle w:val="ListBullet"/>
        <w:tabs>
          <w:tab w:val="num" w:pos="360"/>
        </w:tabs>
        <w:ind w:left="360"/>
        <w:rPr>
          <w:noProof/>
          <w:lang w:eastAsia="en-AU"/>
        </w:rPr>
      </w:pPr>
      <w:r w:rsidRPr="00F0662F">
        <w:rPr>
          <w:noProof/>
          <w:lang w:eastAsia="en-AU"/>
        </w:rPr>
        <w:t>Clitoridectomy: Refers to excision of the clitoris.</w:t>
      </w:r>
    </w:p>
    <w:p w14:paraId="1F8B8ADF" w14:textId="77777777" w:rsidR="00B27E8C" w:rsidRPr="00F0662F" w:rsidRDefault="00B27E8C" w:rsidP="00B27E8C">
      <w:pPr>
        <w:pStyle w:val="ListBullet"/>
        <w:tabs>
          <w:tab w:val="num" w:pos="360"/>
        </w:tabs>
        <w:ind w:left="360"/>
        <w:rPr>
          <w:noProof/>
          <w:lang w:eastAsia="en-AU"/>
        </w:rPr>
      </w:pPr>
      <w:r w:rsidRPr="00F0662F">
        <w:rPr>
          <w:noProof/>
          <w:lang w:eastAsia="en-AU"/>
        </w:rPr>
        <w:t>De-infibulation: The surgical procedure to open up the closed vagina of FGC III (sometimes known as or referred to as defibulation or FGC reversal).</w:t>
      </w:r>
    </w:p>
    <w:p w14:paraId="475B5455" w14:textId="77777777" w:rsidR="00B27E8C" w:rsidRPr="00F0662F" w:rsidRDefault="00B27E8C" w:rsidP="00B27E8C">
      <w:pPr>
        <w:pStyle w:val="ListBullet"/>
        <w:tabs>
          <w:tab w:val="num" w:pos="360"/>
        </w:tabs>
        <w:ind w:left="360"/>
        <w:rPr>
          <w:noProof/>
          <w:lang w:eastAsia="en-AU"/>
        </w:rPr>
      </w:pPr>
      <w:r w:rsidRPr="00F0662F">
        <w:rPr>
          <w:noProof/>
          <w:lang w:eastAsia="en-AU"/>
        </w:rPr>
        <w:t>Excision: Refers to removal of the clitoral hood, with or without removal of part or all of the clitoris.</w:t>
      </w:r>
    </w:p>
    <w:p w14:paraId="15BF2ED7" w14:textId="77777777" w:rsidR="00B27E8C" w:rsidRPr="00F0662F" w:rsidRDefault="00B27E8C" w:rsidP="00B27E8C">
      <w:pPr>
        <w:pStyle w:val="ListBullet"/>
        <w:tabs>
          <w:tab w:val="num" w:pos="360"/>
        </w:tabs>
        <w:ind w:left="360"/>
        <w:rPr>
          <w:noProof/>
          <w:lang w:eastAsia="en-AU"/>
        </w:rPr>
      </w:pPr>
      <w:r w:rsidRPr="00F0662F">
        <w:rPr>
          <w:noProof/>
          <w:lang w:eastAsia="en-AU"/>
        </w:rPr>
        <w:t>Infibulation or Pharaonic circumcision: Refers to FGC III, the most extensive form of FGC.</w:t>
      </w:r>
    </w:p>
    <w:p w14:paraId="6274A3C1" w14:textId="77777777" w:rsidR="00B27E8C" w:rsidRPr="00F0662F" w:rsidRDefault="00B27E8C" w:rsidP="00B27E8C">
      <w:pPr>
        <w:pStyle w:val="ListBullet"/>
        <w:tabs>
          <w:tab w:val="num" w:pos="360"/>
        </w:tabs>
        <w:ind w:left="360"/>
        <w:rPr>
          <w:noProof/>
          <w:lang w:eastAsia="en-AU"/>
        </w:rPr>
      </w:pPr>
      <w:r w:rsidRPr="00F0662F">
        <w:rPr>
          <w:noProof/>
          <w:lang w:eastAsia="en-AU"/>
        </w:rPr>
        <w:t>Sunna: the traditional name for a form of FGM/C that involves the removal of the prepuce of the clitoris only.  The word ‘sunna’ refers to the ‘ways or customs’ of the prophet Muhammad considered to be religious obligations.  Studies show however, that the term ‘sunna’ is often used in FGC practicing communities to refer to all forms of FGC, not just FGC that involves only the removal of the hood of the clitoris.</w:t>
      </w:r>
    </w:p>
    <w:p w14:paraId="2FBAFF0D" w14:textId="77777777" w:rsidR="00B27E8C" w:rsidRDefault="00B27E8C" w:rsidP="00B27E8C">
      <w:pPr>
        <w:rPr>
          <w:b/>
          <w:szCs w:val="24"/>
          <w:u w:val="single"/>
        </w:rPr>
      </w:pPr>
    </w:p>
    <w:p w14:paraId="33D76AB1" w14:textId="77777777" w:rsidR="00B27E8C" w:rsidRDefault="00B27E8C" w:rsidP="00B27E8C">
      <w:pPr>
        <w:rPr>
          <w:b/>
          <w:szCs w:val="24"/>
          <w:u w:val="single"/>
        </w:rPr>
      </w:pPr>
    </w:p>
    <w:p w14:paraId="6A24E163" w14:textId="77777777" w:rsidR="00B27E8C" w:rsidRDefault="00B27E8C" w:rsidP="00B27E8C">
      <w:pPr>
        <w:rPr>
          <w:b/>
          <w:szCs w:val="24"/>
          <w:u w:val="single"/>
        </w:rPr>
      </w:pPr>
    </w:p>
    <w:p w14:paraId="23E7920C" w14:textId="77777777" w:rsidR="00B27E8C" w:rsidRDefault="00B27E8C" w:rsidP="00B27E8C">
      <w:pPr>
        <w:rPr>
          <w:b/>
          <w:szCs w:val="24"/>
          <w:u w:val="single"/>
        </w:rPr>
      </w:pPr>
    </w:p>
    <w:p w14:paraId="05DA8C3D" w14:textId="77777777" w:rsidR="00B27E8C" w:rsidRDefault="00B27E8C" w:rsidP="00B27E8C">
      <w:pPr>
        <w:rPr>
          <w:b/>
          <w:szCs w:val="24"/>
          <w:u w:val="single"/>
        </w:rPr>
      </w:pPr>
    </w:p>
    <w:p w14:paraId="2C42A447" w14:textId="77777777" w:rsidR="00B27E8C" w:rsidRDefault="00B27E8C" w:rsidP="00B27E8C">
      <w:pPr>
        <w:rPr>
          <w:b/>
          <w:szCs w:val="24"/>
          <w:u w:val="single"/>
        </w:rPr>
      </w:pPr>
    </w:p>
    <w:p w14:paraId="13A50067" w14:textId="77777777" w:rsidR="00B27E8C" w:rsidRDefault="00B27E8C" w:rsidP="00B27E8C">
      <w:pPr>
        <w:rPr>
          <w:b/>
          <w:szCs w:val="24"/>
          <w:u w:val="single"/>
        </w:rPr>
      </w:pPr>
    </w:p>
    <w:p w14:paraId="3C0D2345" w14:textId="77777777" w:rsidR="00B27E8C" w:rsidRDefault="00B27E8C" w:rsidP="00B27E8C">
      <w:pPr>
        <w:rPr>
          <w:b/>
          <w:szCs w:val="24"/>
          <w:u w:val="single"/>
        </w:rPr>
      </w:pPr>
    </w:p>
    <w:p w14:paraId="5F0EDC37" w14:textId="77777777" w:rsidR="00B27E8C" w:rsidRDefault="00B27E8C" w:rsidP="00B27E8C">
      <w:pPr>
        <w:rPr>
          <w:b/>
          <w:szCs w:val="24"/>
          <w:u w:val="single"/>
        </w:rPr>
      </w:pPr>
    </w:p>
    <w:p w14:paraId="58231520" w14:textId="77777777" w:rsidR="00B27E8C" w:rsidRDefault="00B27E8C" w:rsidP="00B27E8C">
      <w:pPr>
        <w:spacing w:after="200" w:line="276" w:lineRule="auto"/>
        <w:rPr>
          <w:b/>
          <w:szCs w:val="24"/>
        </w:rPr>
      </w:pPr>
    </w:p>
    <w:p w14:paraId="54EE6316" w14:textId="77777777" w:rsidR="00B27E8C" w:rsidRDefault="00B27E8C" w:rsidP="00B27E8C">
      <w:pPr>
        <w:spacing w:after="200" w:line="276" w:lineRule="auto"/>
        <w:rPr>
          <w:b/>
          <w:szCs w:val="24"/>
        </w:rPr>
      </w:pPr>
    </w:p>
    <w:p w14:paraId="585C2380" w14:textId="77777777" w:rsidR="00B27E8C" w:rsidRDefault="00B27E8C" w:rsidP="00B27E8C">
      <w:pPr>
        <w:spacing w:after="200" w:line="276" w:lineRule="auto"/>
        <w:rPr>
          <w:b/>
          <w:szCs w:val="24"/>
        </w:rPr>
      </w:pPr>
    </w:p>
    <w:p w14:paraId="61CABD8A" w14:textId="77777777" w:rsidR="00B27E8C" w:rsidRDefault="00B27E8C" w:rsidP="00B27E8C">
      <w:pPr>
        <w:pStyle w:val="Heading2"/>
      </w:pPr>
      <w:r>
        <w:lastRenderedPageBreak/>
        <w:t xml:space="preserve">Attachment D– Background Countries of Occurrence </w:t>
      </w:r>
    </w:p>
    <w:p w14:paraId="39D64162" w14:textId="77777777" w:rsidR="00B27E8C" w:rsidRDefault="00B27E8C" w:rsidP="00B27E8C"/>
    <w:p w14:paraId="6B9715CE" w14:textId="77777777" w:rsidR="00B27E8C" w:rsidRDefault="00B27E8C" w:rsidP="00B27E8C">
      <w:r w:rsidRPr="00821831">
        <w:t>It is estimated that over 200 million girls and women worldwide have undergone FG</w:t>
      </w:r>
      <w:r>
        <w:t>C</w:t>
      </w:r>
      <w:r w:rsidRPr="00821831">
        <w:t xml:space="preserve"> and that 3 million girls are at risk of FG</w:t>
      </w:r>
      <w:r>
        <w:t>C</w:t>
      </w:r>
      <w:r w:rsidRPr="00821831">
        <w:t xml:space="preserve"> each year.</w:t>
      </w:r>
      <w:r w:rsidRPr="00821831">
        <w:rPr>
          <w:vertAlign w:val="superscript"/>
        </w:rPr>
        <w:t xml:space="preserve"> </w:t>
      </w:r>
      <w:r w:rsidRPr="00821831">
        <w:rPr>
          <w:lang w:val="mn-MN"/>
        </w:rPr>
        <w:t>FG</w:t>
      </w:r>
      <w:r>
        <w:t>C</w:t>
      </w:r>
      <w:r w:rsidRPr="00821831">
        <w:rPr>
          <w:lang w:val="mn-MN"/>
        </w:rPr>
        <w:t xml:space="preserve"> is commonly practiced in parts of Africa, Asia and the Middle East </w:t>
      </w:r>
      <w:r w:rsidRPr="00821831">
        <w:t xml:space="preserve">and among migrants from these areas </w:t>
      </w:r>
      <w:r w:rsidRPr="00821831">
        <w:rPr>
          <w:lang w:val="mn-MN"/>
        </w:rPr>
        <w:t>and is embedded in a complex set of traditio</w:t>
      </w:r>
      <w:r>
        <w:rPr>
          <w:lang w:val="mn-MN"/>
        </w:rPr>
        <w:t>nal rituals and cultural values</w:t>
      </w:r>
      <w:r>
        <w:t xml:space="preserve">. Maps of some practicing countries are below. </w:t>
      </w:r>
      <w:r w:rsidRPr="00821831">
        <w:t>FG</w:t>
      </w:r>
      <w:r>
        <w:t>C</w:t>
      </w:r>
      <w:r w:rsidRPr="00821831">
        <w:t xml:space="preserve"> is mostly carried out on young girls between infancy and </w:t>
      </w:r>
      <w:r>
        <w:t xml:space="preserve">the </w:t>
      </w:r>
      <w:r w:rsidRPr="00821831">
        <w:t>age</w:t>
      </w:r>
      <w:r>
        <w:t xml:space="preserve"> of</w:t>
      </w:r>
      <w:r w:rsidRPr="00821831">
        <w:t xml:space="preserve"> 15</w:t>
      </w:r>
      <w:r>
        <w:t xml:space="preserve"> years</w:t>
      </w:r>
      <w:r w:rsidRPr="00821831">
        <w:t>. A wide range of com</w:t>
      </w:r>
      <w:r>
        <w:t>plications resulting from FGC are</w:t>
      </w:r>
      <w:r w:rsidRPr="00821831">
        <w:t xml:space="preserve"> documented, including short and long-term physical, s</w:t>
      </w:r>
      <w:r>
        <w:t>exual and psychosocial problems.</w:t>
      </w:r>
      <w:r w:rsidRPr="00821831">
        <w:rPr>
          <w:vertAlign w:val="superscript"/>
        </w:rPr>
        <w:t>1-2</w:t>
      </w:r>
      <w:r>
        <w:t xml:space="preserve"> A list of health consequences can be found below</w:t>
      </w:r>
      <w:r w:rsidRPr="00A8549C">
        <w:t>.</w:t>
      </w:r>
      <w:r w:rsidRPr="00821831">
        <w:rPr>
          <w:vertAlign w:val="superscript"/>
        </w:rPr>
        <w:t xml:space="preserve"> </w:t>
      </w:r>
      <w:r w:rsidRPr="00821831">
        <w:t>FG</w:t>
      </w:r>
      <w:r>
        <w:t>C</w:t>
      </w:r>
      <w:r w:rsidRPr="00821831">
        <w:t xml:space="preserve"> is a violation of the human rights of girls and women</w:t>
      </w:r>
      <w:r>
        <w:t>.</w:t>
      </w:r>
      <w:r w:rsidRPr="00821831">
        <w:t xml:space="preserve"> </w:t>
      </w:r>
    </w:p>
    <w:p w14:paraId="1E2C6B6F" w14:textId="77777777" w:rsidR="00B27E8C" w:rsidRDefault="00B27E8C" w:rsidP="00B27E8C"/>
    <w:p w14:paraId="292254DF" w14:textId="77777777" w:rsidR="00B27E8C" w:rsidRDefault="00B27E8C" w:rsidP="00B27E8C">
      <w:pPr>
        <w:rPr>
          <w:vertAlign w:val="superscript"/>
        </w:rPr>
      </w:pPr>
      <w:r w:rsidRPr="00821831">
        <w:t>FG</w:t>
      </w:r>
      <w:r>
        <w:t>C</w:t>
      </w:r>
      <w:r w:rsidRPr="00821831">
        <w:t xml:space="preserve"> is an ancient cultural practice that predates organised religion; it is not known when or where the practice originated. Reasons for the practice include a woman’s social acceptability, marriageability, hygienic reasons and a belief that this will control a woman’s sexuality and ensure her virginity prior to marriage.</w:t>
      </w:r>
    </w:p>
    <w:p w14:paraId="251EB6CC" w14:textId="77777777" w:rsidR="00B27E8C" w:rsidRDefault="00B27E8C" w:rsidP="00B27E8C"/>
    <w:p w14:paraId="26576409" w14:textId="77777777" w:rsidR="00B27E8C" w:rsidRPr="00821831" w:rsidRDefault="00B27E8C" w:rsidP="00B27E8C">
      <w:r w:rsidRPr="00821831">
        <w:t xml:space="preserve">According to the Family Law Council (1994), reliable statistics on the </w:t>
      </w:r>
      <w:r>
        <w:t>incidence of FGC in Australia are</w:t>
      </w:r>
      <w:r w:rsidRPr="00821831">
        <w:t xml:space="preserve"> unobtainable</w:t>
      </w:r>
      <w:r>
        <w:t xml:space="preserve"> but</w:t>
      </w:r>
      <w:r w:rsidRPr="00821831">
        <w:t xml:space="preserve"> estimate the numbers to be relatively small. However, even though current incidence of the practice is low, it cannot be disregarded and with increasing migration from affected countries, incidence of FG</w:t>
      </w:r>
      <w:r>
        <w:t>C</w:t>
      </w:r>
      <w:r w:rsidRPr="00821831">
        <w:t xml:space="preserve"> within Australia will likely </w:t>
      </w:r>
      <w:r>
        <w:t>rise.</w:t>
      </w:r>
      <w:r w:rsidRPr="00821831">
        <w:rPr>
          <w:vertAlign w:val="superscript"/>
        </w:rPr>
        <w:t>3</w:t>
      </w:r>
    </w:p>
    <w:p w14:paraId="01A58264" w14:textId="77777777" w:rsidR="00B27E8C" w:rsidRPr="00821831" w:rsidRDefault="00B27E8C" w:rsidP="00B27E8C">
      <w:r w:rsidRPr="00821831">
        <w:t xml:space="preserve">In the ACT, anecdotal information from Canberra Hospital antenatal services reveals an incidence of approximately 2-5 women presenting per year.  </w:t>
      </w:r>
    </w:p>
    <w:p w14:paraId="4587F6FE" w14:textId="77777777" w:rsidR="00B27E8C" w:rsidRDefault="00B27E8C" w:rsidP="00B27E8C">
      <w:pPr>
        <w:rPr>
          <w:noProof/>
          <w:szCs w:val="24"/>
        </w:rPr>
      </w:pPr>
    </w:p>
    <w:p w14:paraId="0C1B3EC0" w14:textId="77777777" w:rsidR="00B27E8C" w:rsidRDefault="00B27E8C" w:rsidP="00B27E8C">
      <w:pPr>
        <w:rPr>
          <w:noProof/>
          <w:szCs w:val="24"/>
        </w:rPr>
      </w:pPr>
      <w:r w:rsidRPr="00821831">
        <w:rPr>
          <w:noProof/>
          <w:szCs w:val="24"/>
        </w:rPr>
        <w:t>There are numerous programs internationally</w:t>
      </w:r>
      <w:r>
        <w:rPr>
          <w:noProof/>
          <w:szCs w:val="24"/>
        </w:rPr>
        <w:t xml:space="preserve"> and nationally that address FGC</w:t>
      </w:r>
      <w:r w:rsidRPr="00821831">
        <w:rPr>
          <w:noProof/>
          <w:szCs w:val="24"/>
        </w:rPr>
        <w:t xml:space="preserve"> prevention. Best practice promotes the use of health education that is culturally sensitive, holistic and participatory within a human rights, women’s health and community development framework. It does not m</w:t>
      </w:r>
      <w:r>
        <w:rPr>
          <w:noProof/>
          <w:szCs w:val="24"/>
        </w:rPr>
        <w:t>erely focus on FGC</w:t>
      </w:r>
      <w:r w:rsidRPr="00821831">
        <w:rPr>
          <w:noProof/>
          <w:szCs w:val="24"/>
        </w:rPr>
        <w:t xml:space="preserve">. Health professionals likewise need to be made aware of the practice and trained in the </w:t>
      </w:r>
      <w:r>
        <w:rPr>
          <w:noProof/>
          <w:szCs w:val="24"/>
        </w:rPr>
        <w:t>prevention and management of FGC</w:t>
      </w:r>
      <w:r w:rsidRPr="00821831">
        <w:rPr>
          <w:noProof/>
          <w:szCs w:val="24"/>
        </w:rPr>
        <w:t xml:space="preserve">. </w:t>
      </w:r>
    </w:p>
    <w:p w14:paraId="0C430DD7" w14:textId="77777777" w:rsidR="00B27E8C" w:rsidRPr="00821831" w:rsidRDefault="00B27E8C" w:rsidP="00B27E8C">
      <w:pPr>
        <w:rPr>
          <w:noProof/>
          <w:szCs w:val="24"/>
        </w:rPr>
      </w:pPr>
    </w:p>
    <w:p w14:paraId="0376AC87" w14:textId="77777777" w:rsidR="00B27E8C" w:rsidRDefault="00B27E8C" w:rsidP="00B27E8C">
      <w:pPr>
        <w:spacing w:after="200" w:line="276" w:lineRule="auto"/>
        <w:rPr>
          <w:b/>
          <w:szCs w:val="24"/>
        </w:rPr>
      </w:pPr>
      <w:r w:rsidRPr="00D20CDF">
        <w:rPr>
          <w:rFonts w:cs="Arial"/>
          <w:szCs w:val="24"/>
        </w:rPr>
        <w:t>Female genital mutilation (FGM) is the terminology used in legislation and is the preferred term used by anti-FGM advocates as the word mutilation emphasises the severity and harmful effects.</w:t>
      </w:r>
    </w:p>
    <w:p w14:paraId="7AC56C17" w14:textId="77777777" w:rsidR="00B27E8C" w:rsidRDefault="00B27E8C" w:rsidP="00B27E8C">
      <w:pPr>
        <w:spacing w:after="200" w:line="276" w:lineRule="auto"/>
        <w:rPr>
          <w:b/>
          <w:szCs w:val="24"/>
        </w:rPr>
      </w:pPr>
      <w:r>
        <w:rPr>
          <w:b/>
          <w:szCs w:val="24"/>
        </w:rPr>
        <w:br w:type="page"/>
      </w:r>
    </w:p>
    <w:p w14:paraId="02D09F47" w14:textId="77777777" w:rsidR="00B27E8C" w:rsidRPr="007B0E64" w:rsidRDefault="00B27E8C" w:rsidP="00B27E8C">
      <w:pPr>
        <w:rPr>
          <w:i/>
          <w:vertAlign w:val="superscript"/>
        </w:rPr>
      </w:pPr>
      <w:r w:rsidRPr="007B0E64">
        <w:rPr>
          <w:i/>
        </w:rPr>
        <w:lastRenderedPageBreak/>
        <w:t xml:space="preserve">Countries of Occurrence </w:t>
      </w:r>
      <w:r w:rsidRPr="007B0E64">
        <w:rPr>
          <w:i/>
          <w:vertAlign w:val="superscript"/>
        </w:rPr>
        <w:t>11-12</w:t>
      </w:r>
    </w:p>
    <w:p w14:paraId="187B1015" w14:textId="7D213D97" w:rsidR="00B27E8C" w:rsidRDefault="004951CA" w:rsidP="00B27E8C">
      <w:pPr>
        <w:rPr>
          <w:b/>
          <w:szCs w:val="24"/>
        </w:rPr>
      </w:pPr>
      <w:r w:rsidRPr="00DA424A">
        <w:rPr>
          <w:b/>
          <w:szCs w:val="24"/>
        </w:rPr>
        <w:object w:dxaOrig="7096" w:dyaOrig="5327" w14:anchorId="060EA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340.5pt" o:ole="">
            <v:imagedata r:id="rId29" o:title=""/>
          </v:shape>
          <o:OLEObject Type="Embed" ProgID="PowerPoint.Slide.12" ShapeID="_x0000_i1025" DrawAspect="Content" ObjectID="_1808910093" r:id="rId30"/>
        </w:object>
      </w:r>
    </w:p>
    <w:p w14:paraId="4424AC54" w14:textId="77777777" w:rsidR="00B27E8C" w:rsidRDefault="00B27E8C" w:rsidP="00B27E8C">
      <w:pPr>
        <w:rPr>
          <w:b/>
          <w:szCs w:val="24"/>
        </w:rPr>
      </w:pPr>
    </w:p>
    <w:p w14:paraId="4DF3F3EC" w14:textId="77777777" w:rsidR="00B27E8C" w:rsidRDefault="00B27E8C" w:rsidP="00B27E8C">
      <w:pPr>
        <w:rPr>
          <w:b/>
          <w:szCs w:val="24"/>
        </w:rPr>
      </w:pPr>
    </w:p>
    <w:p w14:paraId="22E183AC" w14:textId="77777777" w:rsidR="00B27E8C" w:rsidRDefault="00B27E8C" w:rsidP="00B27E8C">
      <w:pPr>
        <w:rPr>
          <w:b/>
          <w:szCs w:val="24"/>
        </w:rPr>
      </w:pPr>
    </w:p>
    <w:p w14:paraId="40851648" w14:textId="77777777" w:rsidR="00B27E8C" w:rsidRPr="00434DD3" w:rsidRDefault="00B27E8C" w:rsidP="00B27E8C">
      <w:pPr>
        <w:jc w:val="center"/>
        <w:rPr>
          <w:szCs w:val="24"/>
        </w:rPr>
      </w:pPr>
      <w:r w:rsidRPr="00434DD3">
        <w:rPr>
          <w:szCs w:val="24"/>
        </w:rPr>
        <w:t>Indonesia</w:t>
      </w:r>
    </w:p>
    <w:p w14:paraId="4CB495DB" w14:textId="77777777" w:rsidR="00B27E8C" w:rsidRDefault="00B27E8C" w:rsidP="00B27E8C">
      <w:pPr>
        <w:rPr>
          <w:b/>
          <w:szCs w:val="24"/>
        </w:rPr>
      </w:pPr>
      <w:r>
        <w:rPr>
          <w:b/>
          <w:noProof/>
          <w:szCs w:val="24"/>
          <w:lang w:eastAsia="en-AU"/>
        </w:rPr>
        <w:drawing>
          <wp:inline distT="0" distB="0" distL="0" distR="0" wp14:anchorId="2124C75C" wp14:editId="7F878C58">
            <wp:extent cx="5800725" cy="1840782"/>
            <wp:effectExtent l="0" t="0" r="0"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5815515" cy="1845475"/>
                    </a:xfrm>
                    <a:prstGeom prst="rect">
                      <a:avLst/>
                    </a:prstGeom>
                    <a:noFill/>
                    <a:ln w="9525">
                      <a:noFill/>
                      <a:miter lim="800000"/>
                      <a:headEnd/>
                      <a:tailEnd/>
                    </a:ln>
                  </pic:spPr>
                </pic:pic>
              </a:graphicData>
            </a:graphic>
          </wp:inline>
        </w:drawing>
      </w:r>
    </w:p>
    <w:p w14:paraId="46E5DA42" w14:textId="77777777" w:rsidR="00B27E8C" w:rsidRDefault="00B27E8C" w:rsidP="00B27E8C">
      <w:pPr>
        <w:rPr>
          <w:sz w:val="22"/>
          <w:szCs w:val="22"/>
        </w:rPr>
      </w:pPr>
      <w:r w:rsidRPr="00FB53C3">
        <w:rPr>
          <w:sz w:val="22"/>
          <w:szCs w:val="22"/>
        </w:rPr>
        <w:t>Percentage of girls aged 0-11 years who have undergone any form of FGM/C, by province</w:t>
      </w:r>
    </w:p>
    <w:p w14:paraId="7AF2FECC" w14:textId="77777777" w:rsidR="00B27E8C" w:rsidRPr="00A4444A" w:rsidRDefault="00B27E8C" w:rsidP="00B27E8C">
      <w:pPr>
        <w:rPr>
          <w:sz w:val="22"/>
          <w:szCs w:val="22"/>
        </w:rPr>
      </w:pPr>
      <w:r>
        <w:rPr>
          <w:sz w:val="22"/>
          <w:szCs w:val="22"/>
        </w:rPr>
        <w:t>The prevalence among girls is highest in Gorontalo province and lowest in East Nusa Tenggara</w:t>
      </w:r>
    </w:p>
    <w:p w14:paraId="5725DCBB" w14:textId="77777777" w:rsidR="00B27E8C" w:rsidRDefault="00B27E8C" w:rsidP="00B27E8C">
      <w:pPr>
        <w:rPr>
          <w:b/>
          <w:szCs w:val="24"/>
        </w:rPr>
      </w:pPr>
    </w:p>
    <w:p w14:paraId="6291DF41" w14:textId="77777777" w:rsidR="00B27E8C" w:rsidRPr="00A4444A" w:rsidRDefault="00B27E8C" w:rsidP="00B27E8C">
      <w:pPr>
        <w:rPr>
          <w:b/>
          <w:szCs w:val="24"/>
          <w:vertAlign w:val="superscript"/>
        </w:rPr>
      </w:pPr>
    </w:p>
    <w:p w14:paraId="112E9AFB" w14:textId="77777777" w:rsidR="00B27E8C" w:rsidRDefault="00B27E8C" w:rsidP="00B27E8C">
      <w:pPr>
        <w:rPr>
          <w:b/>
          <w:szCs w:val="24"/>
        </w:rPr>
      </w:pPr>
    </w:p>
    <w:p w14:paraId="43FC44E8" w14:textId="77777777" w:rsidR="00B27E8C" w:rsidRDefault="00B27E8C" w:rsidP="00B27E8C">
      <w:pPr>
        <w:rPr>
          <w:b/>
          <w:szCs w:val="24"/>
        </w:rPr>
      </w:pPr>
    </w:p>
    <w:p w14:paraId="3FEC5B30" w14:textId="77777777" w:rsidR="00B27E8C" w:rsidRDefault="00B27E8C" w:rsidP="00B27E8C">
      <w:pPr>
        <w:rPr>
          <w:b/>
          <w:szCs w:val="24"/>
        </w:rPr>
      </w:pPr>
    </w:p>
    <w:p w14:paraId="7E6AF6FB" w14:textId="77777777" w:rsidR="00B27E8C" w:rsidRDefault="00B27E8C" w:rsidP="00B27E8C">
      <w:pPr>
        <w:pStyle w:val="Heading2"/>
      </w:pPr>
      <w:r w:rsidRPr="0004161A">
        <w:lastRenderedPageBreak/>
        <w:t xml:space="preserve">Attachment </w:t>
      </w:r>
      <w:r>
        <w:t xml:space="preserve">E – </w:t>
      </w:r>
      <w:r w:rsidRPr="00FD71AE">
        <w:t>Referral Pathways</w:t>
      </w:r>
      <w:r>
        <w:t xml:space="preserve"> </w:t>
      </w:r>
    </w:p>
    <w:p w14:paraId="6891F6BD" w14:textId="77777777" w:rsidR="00B27E8C" w:rsidRDefault="00B27E8C" w:rsidP="00B27E8C">
      <w:pPr>
        <w:pStyle w:val="Heading2"/>
      </w:pPr>
    </w:p>
    <w:p w14:paraId="42B39EBB" w14:textId="77777777" w:rsidR="00B27E8C" w:rsidRPr="00E75CB2" w:rsidRDefault="00B27E8C" w:rsidP="00B27E8C">
      <w:r w:rsidRPr="00E75CB2">
        <w:t>FG</w:t>
      </w:r>
      <w:r>
        <w:t>C</w:t>
      </w:r>
      <w:r w:rsidRPr="00E75CB2">
        <w:t xml:space="preserve"> </w:t>
      </w:r>
      <w:r>
        <w:t>Flow chart 1</w:t>
      </w:r>
      <w:r w:rsidRPr="00E75CB2">
        <w:t>: Antenatal</w:t>
      </w:r>
    </w:p>
    <w:p w14:paraId="7FDD3F40" w14:textId="77777777" w:rsidR="00B27E8C" w:rsidRPr="000A2808" w:rsidRDefault="00B27E8C" w:rsidP="00B27E8C"/>
    <w:p w14:paraId="65D079DA" w14:textId="77777777" w:rsidR="00B27E8C" w:rsidRDefault="00B27E8C" w:rsidP="00B27E8C">
      <w:r>
        <w:object w:dxaOrig="10356" w:dyaOrig="12972" w14:anchorId="7C083FB0">
          <v:shape id="_x0000_i1026" type="#_x0000_t75" style="width:452.25pt;height:567pt" o:ole="">
            <v:imagedata r:id="rId32" o:title=""/>
          </v:shape>
          <o:OLEObject Type="Embed" ProgID="Visio.Drawing.15" ShapeID="_x0000_i1026" DrawAspect="Content" ObjectID="_1808910094" r:id="rId33"/>
        </w:object>
      </w:r>
    </w:p>
    <w:p w14:paraId="09DF86ED" w14:textId="77777777" w:rsidR="00B27E8C" w:rsidRDefault="00B27E8C" w:rsidP="00B27E8C"/>
    <w:p w14:paraId="5F47E6B2" w14:textId="77777777" w:rsidR="00B27E8C" w:rsidRDefault="00B27E8C" w:rsidP="00B27E8C"/>
    <w:p w14:paraId="646A2822" w14:textId="77777777" w:rsidR="00B27E8C" w:rsidRDefault="00B27E8C" w:rsidP="00B27E8C"/>
    <w:p w14:paraId="579288A7" w14:textId="77777777" w:rsidR="00B27E8C" w:rsidRDefault="00B27E8C" w:rsidP="00B27E8C">
      <w:r w:rsidRPr="00961E77">
        <w:t>FG</w:t>
      </w:r>
      <w:r>
        <w:t>C</w:t>
      </w:r>
      <w:r w:rsidRPr="00961E77">
        <w:t xml:space="preserve"> Flowchart</w:t>
      </w:r>
      <w:r>
        <w:t xml:space="preserve"> 2</w:t>
      </w:r>
      <w:r w:rsidRPr="00961E77">
        <w:t>:</w:t>
      </w:r>
      <w:r>
        <w:t xml:space="preserve"> Birthing area</w:t>
      </w:r>
    </w:p>
    <w:p w14:paraId="2B914284" w14:textId="77777777" w:rsidR="00B27E8C" w:rsidRDefault="00B27E8C" w:rsidP="00B27E8C">
      <w:pPr>
        <w:rPr>
          <w:rFonts w:cs="Arial"/>
          <w:iCs/>
          <w:szCs w:val="24"/>
        </w:rPr>
      </w:pPr>
    </w:p>
    <w:p w14:paraId="7EB17F3E" w14:textId="77777777" w:rsidR="00B27E8C" w:rsidRDefault="00B27E8C" w:rsidP="00B27E8C">
      <w:r>
        <w:object w:dxaOrig="9979" w:dyaOrig="9878" w14:anchorId="63802F82">
          <v:shape id="_x0000_i1027" type="#_x0000_t75" style="width:453.75pt;height:450pt" o:ole="">
            <v:imagedata r:id="rId34" o:title=""/>
          </v:shape>
          <o:OLEObject Type="Embed" ProgID="Visio.Drawing.15" ShapeID="_x0000_i1027" DrawAspect="Content" ObjectID="_1808910095" r:id="rId35"/>
        </w:object>
      </w:r>
    </w:p>
    <w:p w14:paraId="7A6B5DB0" w14:textId="77777777" w:rsidR="00B27E8C" w:rsidRDefault="00B27E8C" w:rsidP="00B27E8C"/>
    <w:p w14:paraId="03F625FF" w14:textId="77777777" w:rsidR="00B27E8C" w:rsidRDefault="00B27E8C" w:rsidP="00B27E8C">
      <w:pPr>
        <w:spacing w:after="200" w:line="276" w:lineRule="auto"/>
      </w:pPr>
      <w:r>
        <w:br w:type="page"/>
      </w:r>
    </w:p>
    <w:p w14:paraId="151C6142" w14:textId="77777777" w:rsidR="00B27E8C" w:rsidRDefault="00B27E8C" w:rsidP="00B27E8C">
      <w:r w:rsidRPr="00961E77">
        <w:lastRenderedPageBreak/>
        <w:t>FG</w:t>
      </w:r>
      <w:r>
        <w:t>C</w:t>
      </w:r>
      <w:r w:rsidRPr="00961E77">
        <w:t xml:space="preserve"> Flowchart</w:t>
      </w:r>
      <w:r>
        <w:t xml:space="preserve"> 3</w:t>
      </w:r>
      <w:r w:rsidRPr="00961E77">
        <w:t>: Postnatal</w:t>
      </w:r>
    </w:p>
    <w:p w14:paraId="7CCBEE99" w14:textId="77777777" w:rsidR="00B27E8C" w:rsidRDefault="00B27E8C" w:rsidP="00B27E8C">
      <w:pPr>
        <w:rPr>
          <w:rFonts w:cs="Arial"/>
          <w:b/>
          <w:iCs/>
          <w:szCs w:val="24"/>
        </w:rPr>
      </w:pPr>
    </w:p>
    <w:p w14:paraId="368D6AAE" w14:textId="77777777" w:rsidR="00B27E8C" w:rsidRDefault="00B27E8C" w:rsidP="00B27E8C">
      <w:r>
        <w:object w:dxaOrig="10260" w:dyaOrig="9072" w14:anchorId="47AB6FB5">
          <v:shape id="_x0000_i1028" type="#_x0000_t75" style="width:453.75pt;height:399.75pt" o:ole="">
            <v:imagedata r:id="rId36" o:title=""/>
          </v:shape>
          <o:OLEObject Type="Embed" ProgID="Visio.Drawing.15" ShapeID="_x0000_i1028" DrawAspect="Content" ObjectID="_1808910096" r:id="rId37"/>
        </w:object>
      </w:r>
    </w:p>
    <w:p w14:paraId="6A425BDE" w14:textId="77777777" w:rsidR="00B27E8C" w:rsidRDefault="00B27E8C" w:rsidP="00B27E8C"/>
    <w:p w14:paraId="0ECB3881" w14:textId="77777777" w:rsidR="00B27E8C" w:rsidRDefault="00B27E8C" w:rsidP="00B27E8C">
      <w:pPr>
        <w:rPr>
          <w:rFonts w:cs="Arial"/>
          <w:iCs/>
          <w:szCs w:val="24"/>
        </w:rPr>
      </w:pPr>
    </w:p>
    <w:p w14:paraId="25437313" w14:textId="77777777" w:rsidR="00B27E8C" w:rsidRDefault="00B27E8C" w:rsidP="00B27E8C">
      <w:pPr>
        <w:spacing w:after="200" w:line="276" w:lineRule="auto"/>
        <w:rPr>
          <w:rFonts w:cs="Arial"/>
          <w:iCs/>
          <w:szCs w:val="24"/>
        </w:rPr>
      </w:pPr>
      <w:r>
        <w:rPr>
          <w:rFonts w:cs="Arial"/>
          <w:iCs/>
          <w:szCs w:val="24"/>
        </w:rPr>
        <w:br w:type="page"/>
      </w:r>
    </w:p>
    <w:p w14:paraId="27A25AF3" w14:textId="77777777" w:rsidR="00B27E8C" w:rsidRDefault="00B27E8C" w:rsidP="00B27E8C">
      <w:r>
        <w:lastRenderedPageBreak/>
        <w:t>FGC Flowchart 4: Other Possible Clinical Presentations Relating to FGC</w:t>
      </w:r>
    </w:p>
    <w:p w14:paraId="1A87D4DA" w14:textId="77777777" w:rsidR="00B27E8C" w:rsidRDefault="00B27E8C" w:rsidP="00B27E8C">
      <w:pPr>
        <w:rPr>
          <w:rFonts w:cs="Arial"/>
          <w:iCs/>
          <w:szCs w:val="24"/>
        </w:rPr>
      </w:pPr>
    </w:p>
    <w:p w14:paraId="67FD67FD" w14:textId="77777777" w:rsidR="00B27E8C" w:rsidRPr="00653C28" w:rsidRDefault="00B27E8C" w:rsidP="00B27E8C">
      <w:pPr>
        <w:rPr>
          <w:rFonts w:cs="Arial"/>
          <w:iCs/>
          <w:szCs w:val="24"/>
        </w:rPr>
      </w:pPr>
      <w:r>
        <w:object w:dxaOrig="10859" w:dyaOrig="12245" w14:anchorId="16E958A9">
          <v:shape id="_x0000_i1029" type="#_x0000_t75" style="width:453.75pt;height:511.5pt" o:ole="">
            <v:imagedata r:id="rId38" o:title=""/>
          </v:shape>
          <o:OLEObject Type="Embed" ProgID="Visio.Drawing.15" ShapeID="_x0000_i1029" DrawAspect="Content" ObjectID="_1808910097" r:id="rId39"/>
        </w:object>
      </w:r>
    </w:p>
    <w:p w14:paraId="7F8B48F8" w14:textId="77777777" w:rsidR="00B27E8C" w:rsidRDefault="00B27E8C" w:rsidP="00B27E8C">
      <w:pPr>
        <w:rPr>
          <w:rFonts w:cs="Arial"/>
          <w:iCs/>
          <w:sz w:val="20"/>
        </w:rPr>
      </w:pPr>
    </w:p>
    <w:p w14:paraId="1D7B6029" w14:textId="77777777" w:rsidR="00B27E8C" w:rsidRDefault="00B27E8C" w:rsidP="00B27E8C">
      <w:pPr>
        <w:rPr>
          <w:rFonts w:cs="Arial"/>
          <w:iCs/>
          <w:sz w:val="20"/>
        </w:rPr>
      </w:pPr>
    </w:p>
    <w:p w14:paraId="2B047EE8" w14:textId="77777777" w:rsidR="00B27E8C" w:rsidRPr="00010E74" w:rsidRDefault="00B27E8C" w:rsidP="00153FB3">
      <w:pPr>
        <w:rPr>
          <w:i/>
          <w:sz w:val="20"/>
          <w:szCs w:val="24"/>
        </w:rPr>
      </w:pPr>
    </w:p>
    <w:sectPr w:rsidR="00B27E8C" w:rsidRPr="00010E74" w:rsidSect="00B10F87">
      <w:headerReference w:type="default" r:id="rId40"/>
      <w:footerReference w:type="default" r:id="rId41"/>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E3A3" w14:textId="77777777" w:rsidR="00C1094C" w:rsidRDefault="00C1094C" w:rsidP="00F66CB0">
      <w:r>
        <w:separator/>
      </w:r>
    </w:p>
  </w:endnote>
  <w:endnote w:type="continuationSeparator" w:id="0">
    <w:p w14:paraId="4DCFF3EB" w14:textId="77777777" w:rsidR="00C1094C" w:rsidRDefault="00C1094C"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13"/>
      <w:gridCol w:w="964"/>
      <w:gridCol w:w="1492"/>
      <w:gridCol w:w="1469"/>
      <w:gridCol w:w="2359"/>
      <w:gridCol w:w="1264"/>
    </w:tblGrid>
    <w:tr w:rsidR="001670BB" w:rsidRPr="00AE7C5C" w14:paraId="08682A7C" w14:textId="77777777" w:rsidTr="00B841B5">
      <w:tc>
        <w:tcPr>
          <w:tcW w:w="1513"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4"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49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69"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2359"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264"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B841B5">
      <w:tc>
        <w:tcPr>
          <w:tcW w:w="1513" w:type="dxa"/>
        </w:tcPr>
        <w:p w14:paraId="08682A7D" w14:textId="7A65A120" w:rsidR="001670BB" w:rsidRPr="00542EE6" w:rsidRDefault="00B27E8C" w:rsidP="00B10F87">
          <w:pPr>
            <w:pStyle w:val="Footer"/>
            <w:rPr>
              <w:rFonts w:cs="Arial"/>
              <w:b/>
              <w:bCs/>
              <w:sz w:val="20"/>
            </w:rPr>
          </w:pPr>
          <w:r>
            <w:rPr>
              <w:b/>
              <w:sz w:val="20"/>
            </w:rPr>
            <w:t>CHS22/035</w:t>
          </w:r>
        </w:p>
      </w:tc>
      <w:tc>
        <w:tcPr>
          <w:tcW w:w="964" w:type="dxa"/>
        </w:tcPr>
        <w:p w14:paraId="08682A7E" w14:textId="3CE547F9" w:rsidR="001670BB" w:rsidRPr="00B3752F" w:rsidRDefault="00B27E8C" w:rsidP="00B10F87">
          <w:pPr>
            <w:pStyle w:val="Footer"/>
            <w:rPr>
              <w:rFonts w:cs="Arial"/>
              <w:b/>
              <w:bCs/>
              <w:sz w:val="20"/>
            </w:rPr>
          </w:pPr>
          <w:r>
            <w:rPr>
              <w:rFonts w:cs="Arial"/>
              <w:b/>
              <w:bCs/>
              <w:sz w:val="20"/>
            </w:rPr>
            <w:t>1</w:t>
          </w:r>
        </w:p>
      </w:tc>
      <w:tc>
        <w:tcPr>
          <w:tcW w:w="1492" w:type="dxa"/>
        </w:tcPr>
        <w:p w14:paraId="08682A7F" w14:textId="7BC04AFB" w:rsidR="001670BB" w:rsidRPr="00B3752F" w:rsidRDefault="00B841B5" w:rsidP="00B10F87">
          <w:pPr>
            <w:pStyle w:val="Footer"/>
            <w:rPr>
              <w:rFonts w:cs="Arial"/>
              <w:b/>
              <w:bCs/>
              <w:sz w:val="20"/>
            </w:rPr>
          </w:pPr>
          <w:r>
            <w:rPr>
              <w:rFonts w:cs="Arial"/>
              <w:b/>
              <w:bCs/>
              <w:sz w:val="20"/>
            </w:rPr>
            <w:t>20</w:t>
          </w:r>
          <w:r w:rsidR="00B27E8C">
            <w:rPr>
              <w:rFonts w:cs="Arial"/>
              <w:b/>
              <w:bCs/>
              <w:sz w:val="20"/>
            </w:rPr>
            <w:t>/01/2022</w:t>
          </w:r>
        </w:p>
      </w:tc>
      <w:tc>
        <w:tcPr>
          <w:tcW w:w="1469" w:type="dxa"/>
        </w:tcPr>
        <w:p w14:paraId="08682A80" w14:textId="7E2BDFD1" w:rsidR="001670BB" w:rsidRPr="00B3752F" w:rsidRDefault="00B27E8C" w:rsidP="00470E63">
          <w:pPr>
            <w:pStyle w:val="Footer"/>
            <w:rPr>
              <w:rFonts w:cs="Arial"/>
              <w:b/>
              <w:bCs/>
              <w:sz w:val="20"/>
            </w:rPr>
          </w:pPr>
          <w:r>
            <w:rPr>
              <w:rFonts w:cs="Arial"/>
              <w:b/>
              <w:bCs/>
              <w:sz w:val="20"/>
            </w:rPr>
            <w:t>01/0</w:t>
          </w:r>
          <w:r w:rsidR="00ED3FD3">
            <w:rPr>
              <w:rFonts w:cs="Arial"/>
              <w:b/>
              <w:bCs/>
              <w:sz w:val="20"/>
            </w:rPr>
            <w:t>5</w:t>
          </w:r>
          <w:r>
            <w:rPr>
              <w:rFonts w:cs="Arial"/>
              <w:b/>
              <w:bCs/>
              <w:sz w:val="20"/>
            </w:rPr>
            <w:t>/2025</w:t>
          </w:r>
        </w:p>
      </w:tc>
      <w:tc>
        <w:tcPr>
          <w:tcW w:w="2359" w:type="dxa"/>
        </w:tcPr>
        <w:p w14:paraId="08682A81" w14:textId="0E8D2AB9" w:rsidR="001670BB" w:rsidRPr="00B3752F" w:rsidRDefault="00B27E8C" w:rsidP="00B10F87">
          <w:pPr>
            <w:pStyle w:val="Footer"/>
            <w:rPr>
              <w:rFonts w:cs="Arial"/>
              <w:b/>
              <w:bCs/>
              <w:sz w:val="20"/>
            </w:rPr>
          </w:pPr>
          <w:r>
            <w:rPr>
              <w:rFonts w:cs="Arial"/>
              <w:b/>
              <w:bCs/>
              <w:sz w:val="20"/>
            </w:rPr>
            <w:t xml:space="preserve">WY&amp;C </w:t>
          </w:r>
          <w:r w:rsidR="00D34FB9">
            <w:rPr>
              <w:rFonts w:cs="Arial"/>
              <w:b/>
              <w:bCs/>
              <w:sz w:val="20"/>
            </w:rPr>
            <w:t>–</w:t>
          </w:r>
          <w:r>
            <w:rPr>
              <w:rFonts w:cs="Arial"/>
              <w:b/>
              <w:bCs/>
              <w:sz w:val="20"/>
            </w:rPr>
            <w:t xml:space="preserve"> </w:t>
          </w:r>
          <w:r w:rsidR="00D34FB9">
            <w:rPr>
              <w:rFonts w:cs="Arial"/>
              <w:b/>
              <w:bCs/>
              <w:sz w:val="20"/>
            </w:rPr>
            <w:t>Women’s Health Service</w:t>
          </w:r>
        </w:p>
      </w:tc>
      <w:tc>
        <w:tcPr>
          <w:tcW w:w="1264"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B841B5">
      <w:trPr>
        <w:trHeight w:val="231"/>
      </w:trPr>
      <w:tc>
        <w:tcPr>
          <w:tcW w:w="9061"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F5C0" w14:textId="77777777" w:rsidR="00C1094C" w:rsidRDefault="00C1094C" w:rsidP="00F66CB0">
      <w:r>
        <w:separator/>
      </w:r>
    </w:p>
  </w:footnote>
  <w:footnote w:type="continuationSeparator" w:id="0">
    <w:p w14:paraId="75D5B5D0" w14:textId="77777777" w:rsidR="00C1094C" w:rsidRDefault="00C1094C"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2C6E7491" w:rsidR="00A939DF" w:rsidRDefault="00B27E8C" w:rsidP="00A939DF">
          <w:pPr>
            <w:pStyle w:val="Header"/>
            <w:tabs>
              <w:tab w:val="left" w:pos="720"/>
            </w:tabs>
            <w:jc w:val="right"/>
            <w:rPr>
              <w:sz w:val="20"/>
            </w:rPr>
          </w:pPr>
          <w:bookmarkStart w:id="29" w:name="_top"/>
          <w:bookmarkEnd w:id="29"/>
          <w:r>
            <w:rPr>
              <w:sz w:val="20"/>
            </w:rPr>
            <w:t>CHS22/035</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61869E6"/>
    <w:multiLevelType w:val="hybridMultilevel"/>
    <w:tmpl w:val="41A845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066E5A"/>
    <w:multiLevelType w:val="multilevel"/>
    <w:tmpl w:val="A57E63D2"/>
    <w:lvl w:ilvl="0">
      <w:start w:val="1"/>
      <w:numFmt w:val="bullet"/>
      <w:lvlText w:val="•"/>
      <w:lvlJc w:val="left"/>
      <w:pPr>
        <w:tabs>
          <w:tab w:val="num" w:pos="360"/>
        </w:tabs>
        <w:ind w:left="360" w:hanging="360"/>
      </w:pPr>
      <w:rPr>
        <w:rFonts w:hint="default"/>
      </w:rPr>
    </w:lvl>
    <w:lvl w:ilvl="1" w:tentative="1">
      <w:start w:val="1"/>
      <w:numFmt w:val="decimal"/>
      <w:lvlText w:val="%2."/>
      <w:lvlJc w:val="left"/>
      <w:pPr>
        <w:tabs>
          <w:tab w:val="num" w:pos="1800"/>
        </w:tabs>
        <w:ind w:left="1800" w:hanging="360"/>
      </w:pPr>
      <w:rPr>
        <w:rFonts w:cs="Times New Roman"/>
      </w:rPr>
    </w:lvl>
    <w:lvl w:ilvl="2" w:tentative="1">
      <w:start w:val="1"/>
      <w:numFmt w:val="decimal"/>
      <w:lvlText w:val="%3."/>
      <w:lvlJc w:val="left"/>
      <w:pPr>
        <w:tabs>
          <w:tab w:val="num" w:pos="2520"/>
        </w:tabs>
        <w:ind w:left="2520" w:hanging="36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5"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674669"/>
    <w:multiLevelType w:val="hybridMultilevel"/>
    <w:tmpl w:val="B6A09FF8"/>
    <w:lvl w:ilvl="0" w:tplc="0C090005">
      <w:start w:val="1"/>
      <w:numFmt w:val="bullet"/>
      <w:lvlText w:val=""/>
      <w:lvlJc w:val="left"/>
      <w:pPr>
        <w:ind w:left="1211" w:hanging="360"/>
      </w:pPr>
      <w:rPr>
        <w:rFonts w:ascii="Wingdings" w:hAnsi="Wingding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0" w15:restartNumberingAfterBreak="0">
    <w:nsid w:val="30992B7B"/>
    <w:multiLevelType w:val="hybridMultilevel"/>
    <w:tmpl w:val="8658754A"/>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31BF1B90"/>
    <w:multiLevelType w:val="hybridMultilevel"/>
    <w:tmpl w:val="9042C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EA01BE"/>
    <w:multiLevelType w:val="hybridMultilevel"/>
    <w:tmpl w:val="006099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5337F1"/>
    <w:multiLevelType w:val="multilevel"/>
    <w:tmpl w:val="89727C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AD34D4"/>
    <w:multiLevelType w:val="hybridMultilevel"/>
    <w:tmpl w:val="B78E665A"/>
    <w:lvl w:ilvl="0" w:tplc="0C090005">
      <w:start w:val="1"/>
      <w:numFmt w:val="bullet"/>
      <w:lvlText w:val=""/>
      <w:lvlJc w:val="left"/>
      <w:pPr>
        <w:ind w:left="1211" w:hanging="360"/>
      </w:pPr>
      <w:rPr>
        <w:rFonts w:ascii="Wingdings" w:hAnsi="Wingding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46F84A7F"/>
    <w:multiLevelType w:val="hybridMultilevel"/>
    <w:tmpl w:val="987C373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8" w15:restartNumberingAfterBreak="0">
    <w:nsid w:val="4FA52D36"/>
    <w:multiLevelType w:val="hybridMultilevel"/>
    <w:tmpl w:val="6CB8710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55461BA0"/>
    <w:multiLevelType w:val="hybridMultilevel"/>
    <w:tmpl w:val="176013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C126754"/>
    <w:multiLevelType w:val="hybridMultilevel"/>
    <w:tmpl w:val="747C5AE2"/>
    <w:lvl w:ilvl="0" w:tplc="00B21834">
      <w:start w:val="1"/>
      <w:numFmt w:val="decimal"/>
      <w:lvlText w:val="%1."/>
      <w:lvlJc w:val="left"/>
      <w:pPr>
        <w:ind w:left="360" w:hanging="360"/>
      </w:pPr>
      <w:rPr>
        <w:rFonts w:hint="default"/>
        <w:b w:val="0"/>
        <w:i w:val="0"/>
        <w:color w:val="auto"/>
        <w:sz w:val="24"/>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2F2862"/>
    <w:multiLevelType w:val="hybridMultilevel"/>
    <w:tmpl w:val="B2A28F1A"/>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15:restartNumberingAfterBreak="0">
    <w:nsid w:val="78C60DF5"/>
    <w:multiLevelType w:val="hybridMultilevel"/>
    <w:tmpl w:val="6218B260"/>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3"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FAD522F"/>
    <w:multiLevelType w:val="multilevel"/>
    <w:tmpl w:val="2200B0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428278">
    <w:abstractNumId w:val="0"/>
  </w:num>
  <w:num w:numId="2" w16cid:durableId="471601260">
    <w:abstractNumId w:val="2"/>
  </w:num>
  <w:num w:numId="3" w16cid:durableId="906722857">
    <w:abstractNumId w:val="23"/>
  </w:num>
  <w:num w:numId="4" w16cid:durableId="697393427">
    <w:abstractNumId w:val="6"/>
  </w:num>
  <w:num w:numId="5" w16cid:durableId="15012574">
    <w:abstractNumId w:val="8"/>
  </w:num>
  <w:num w:numId="6" w16cid:durableId="1413619273">
    <w:abstractNumId w:val="5"/>
  </w:num>
  <w:num w:numId="7" w16cid:durableId="1674212728">
    <w:abstractNumId w:val="24"/>
  </w:num>
  <w:num w:numId="8" w16cid:durableId="1156989860">
    <w:abstractNumId w:val="17"/>
  </w:num>
  <w:num w:numId="9" w16cid:durableId="1338464862">
    <w:abstractNumId w:val="16"/>
  </w:num>
  <w:num w:numId="10" w16cid:durableId="200360856">
    <w:abstractNumId w:val="16"/>
  </w:num>
  <w:num w:numId="11" w16cid:durableId="652833086">
    <w:abstractNumId w:val="1"/>
  </w:num>
  <w:num w:numId="12" w16cid:durableId="1390574729">
    <w:abstractNumId w:val="7"/>
  </w:num>
  <w:num w:numId="13" w16cid:durableId="2081511569">
    <w:abstractNumId w:val="4"/>
  </w:num>
  <w:num w:numId="14" w16cid:durableId="462038246">
    <w:abstractNumId w:val="22"/>
  </w:num>
  <w:num w:numId="15" w16cid:durableId="467747143">
    <w:abstractNumId w:val="21"/>
  </w:num>
  <w:num w:numId="16" w16cid:durableId="312024467">
    <w:abstractNumId w:val="25"/>
  </w:num>
  <w:num w:numId="17" w16cid:durableId="2057923277">
    <w:abstractNumId w:val="13"/>
  </w:num>
  <w:num w:numId="18" w16cid:durableId="1141727985">
    <w:abstractNumId w:val="15"/>
  </w:num>
  <w:num w:numId="19" w16cid:durableId="1261065917">
    <w:abstractNumId w:val="11"/>
  </w:num>
  <w:num w:numId="20" w16cid:durableId="1083842388">
    <w:abstractNumId w:val="12"/>
  </w:num>
  <w:num w:numId="21" w16cid:durableId="360864425">
    <w:abstractNumId w:val="10"/>
  </w:num>
  <w:num w:numId="22" w16cid:durableId="345639710">
    <w:abstractNumId w:val="20"/>
  </w:num>
  <w:num w:numId="23" w16cid:durableId="2108961882">
    <w:abstractNumId w:val="3"/>
  </w:num>
  <w:num w:numId="24" w16cid:durableId="427624529">
    <w:abstractNumId w:val="0"/>
  </w:num>
  <w:num w:numId="25" w16cid:durableId="321202399">
    <w:abstractNumId w:val="0"/>
  </w:num>
  <w:num w:numId="26" w16cid:durableId="1259485882">
    <w:abstractNumId w:val="0"/>
  </w:num>
  <w:num w:numId="27" w16cid:durableId="1755935496">
    <w:abstractNumId w:val="0"/>
  </w:num>
  <w:num w:numId="28" w16cid:durableId="226651514">
    <w:abstractNumId w:val="0"/>
  </w:num>
  <w:num w:numId="29" w16cid:durableId="192771866">
    <w:abstractNumId w:val="18"/>
  </w:num>
  <w:num w:numId="30" w16cid:durableId="2124184282">
    <w:abstractNumId w:val="19"/>
  </w:num>
  <w:num w:numId="31" w16cid:durableId="1284536862">
    <w:abstractNumId w:val="0"/>
  </w:num>
  <w:num w:numId="32" w16cid:durableId="498271725">
    <w:abstractNumId w:val="0"/>
  </w:num>
  <w:num w:numId="33" w16cid:durableId="1335915946">
    <w:abstractNumId w:val="0"/>
  </w:num>
  <w:num w:numId="34" w16cid:durableId="908227122">
    <w:abstractNumId w:val="0"/>
  </w:num>
  <w:num w:numId="35" w16cid:durableId="1436824470">
    <w:abstractNumId w:val="0"/>
  </w:num>
  <w:num w:numId="36" w16cid:durableId="133301698">
    <w:abstractNumId w:val="0"/>
  </w:num>
  <w:num w:numId="37" w16cid:durableId="1011495125">
    <w:abstractNumId w:val="14"/>
  </w:num>
  <w:num w:numId="38" w16cid:durableId="47383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728F3"/>
    <w:rsid w:val="000736C2"/>
    <w:rsid w:val="000A3D5E"/>
    <w:rsid w:val="000B5C8C"/>
    <w:rsid w:val="000C59E2"/>
    <w:rsid w:val="000C7B2D"/>
    <w:rsid w:val="000F7B7E"/>
    <w:rsid w:val="0010015B"/>
    <w:rsid w:val="00103EEA"/>
    <w:rsid w:val="00136EA1"/>
    <w:rsid w:val="00153FB3"/>
    <w:rsid w:val="001670BB"/>
    <w:rsid w:val="0018239D"/>
    <w:rsid w:val="00191109"/>
    <w:rsid w:val="001A0053"/>
    <w:rsid w:val="001B2465"/>
    <w:rsid w:val="001E64DB"/>
    <w:rsid w:val="001F2829"/>
    <w:rsid w:val="001F2C50"/>
    <w:rsid w:val="001F6D2D"/>
    <w:rsid w:val="00205AF9"/>
    <w:rsid w:val="00240B97"/>
    <w:rsid w:val="0025382D"/>
    <w:rsid w:val="00253F5A"/>
    <w:rsid w:val="00263BA6"/>
    <w:rsid w:val="00266379"/>
    <w:rsid w:val="0026690C"/>
    <w:rsid w:val="0027264D"/>
    <w:rsid w:val="00293E43"/>
    <w:rsid w:val="002B478A"/>
    <w:rsid w:val="002B5F43"/>
    <w:rsid w:val="002C05A8"/>
    <w:rsid w:val="002F7AFC"/>
    <w:rsid w:val="003029FB"/>
    <w:rsid w:val="00313707"/>
    <w:rsid w:val="00346D35"/>
    <w:rsid w:val="00353354"/>
    <w:rsid w:val="00376A6D"/>
    <w:rsid w:val="00380B98"/>
    <w:rsid w:val="00396023"/>
    <w:rsid w:val="00396F11"/>
    <w:rsid w:val="003C4BB5"/>
    <w:rsid w:val="003E167B"/>
    <w:rsid w:val="003E4CC0"/>
    <w:rsid w:val="003F3D8F"/>
    <w:rsid w:val="00412CED"/>
    <w:rsid w:val="00427139"/>
    <w:rsid w:val="004358E9"/>
    <w:rsid w:val="00447B55"/>
    <w:rsid w:val="00465C91"/>
    <w:rsid w:val="00470E63"/>
    <w:rsid w:val="00487DD5"/>
    <w:rsid w:val="004951CA"/>
    <w:rsid w:val="004A2E02"/>
    <w:rsid w:val="004A3A5D"/>
    <w:rsid w:val="004A6A76"/>
    <w:rsid w:val="004B7C43"/>
    <w:rsid w:val="004C2B20"/>
    <w:rsid w:val="004E28AD"/>
    <w:rsid w:val="004F1D05"/>
    <w:rsid w:val="0050147B"/>
    <w:rsid w:val="00503F75"/>
    <w:rsid w:val="0052443C"/>
    <w:rsid w:val="0052775E"/>
    <w:rsid w:val="00542514"/>
    <w:rsid w:val="00546AED"/>
    <w:rsid w:val="005621E4"/>
    <w:rsid w:val="005736DB"/>
    <w:rsid w:val="005743AC"/>
    <w:rsid w:val="00596D89"/>
    <w:rsid w:val="00596FD7"/>
    <w:rsid w:val="005A3625"/>
    <w:rsid w:val="005B4738"/>
    <w:rsid w:val="005C212D"/>
    <w:rsid w:val="005C3CB0"/>
    <w:rsid w:val="00612231"/>
    <w:rsid w:val="00614380"/>
    <w:rsid w:val="00635EB1"/>
    <w:rsid w:val="006473BB"/>
    <w:rsid w:val="0065246A"/>
    <w:rsid w:val="0066495D"/>
    <w:rsid w:val="006743DB"/>
    <w:rsid w:val="00675045"/>
    <w:rsid w:val="00695EB6"/>
    <w:rsid w:val="006A4D46"/>
    <w:rsid w:val="006A6024"/>
    <w:rsid w:val="006C31FF"/>
    <w:rsid w:val="006C6B6C"/>
    <w:rsid w:val="006C704D"/>
    <w:rsid w:val="0070331D"/>
    <w:rsid w:val="00707773"/>
    <w:rsid w:val="00741B43"/>
    <w:rsid w:val="00752315"/>
    <w:rsid w:val="00756537"/>
    <w:rsid w:val="00775280"/>
    <w:rsid w:val="007A0EBC"/>
    <w:rsid w:val="007B3BE6"/>
    <w:rsid w:val="007B4ABB"/>
    <w:rsid w:val="007B6904"/>
    <w:rsid w:val="008003CB"/>
    <w:rsid w:val="00816782"/>
    <w:rsid w:val="0082141D"/>
    <w:rsid w:val="00827E74"/>
    <w:rsid w:val="00827F24"/>
    <w:rsid w:val="00855DA8"/>
    <w:rsid w:val="00865480"/>
    <w:rsid w:val="008732E4"/>
    <w:rsid w:val="00886399"/>
    <w:rsid w:val="008974CA"/>
    <w:rsid w:val="008D0CBA"/>
    <w:rsid w:val="008E1F7F"/>
    <w:rsid w:val="008E3427"/>
    <w:rsid w:val="008E74FD"/>
    <w:rsid w:val="008E7509"/>
    <w:rsid w:val="008F00E8"/>
    <w:rsid w:val="008F6921"/>
    <w:rsid w:val="00933EED"/>
    <w:rsid w:val="00940CDE"/>
    <w:rsid w:val="0097742A"/>
    <w:rsid w:val="00980AE7"/>
    <w:rsid w:val="00980EED"/>
    <w:rsid w:val="0098312B"/>
    <w:rsid w:val="0098579F"/>
    <w:rsid w:val="00991670"/>
    <w:rsid w:val="009A534C"/>
    <w:rsid w:val="009B0E44"/>
    <w:rsid w:val="009B4A8F"/>
    <w:rsid w:val="009B6C8C"/>
    <w:rsid w:val="009B6F42"/>
    <w:rsid w:val="009C0FCA"/>
    <w:rsid w:val="009C3963"/>
    <w:rsid w:val="009D323C"/>
    <w:rsid w:val="009E7B1B"/>
    <w:rsid w:val="00A063FE"/>
    <w:rsid w:val="00A13087"/>
    <w:rsid w:val="00A3469C"/>
    <w:rsid w:val="00A350E5"/>
    <w:rsid w:val="00A35E2D"/>
    <w:rsid w:val="00A42238"/>
    <w:rsid w:val="00A74B8A"/>
    <w:rsid w:val="00A83A82"/>
    <w:rsid w:val="00A85F61"/>
    <w:rsid w:val="00A86A9D"/>
    <w:rsid w:val="00A86DB3"/>
    <w:rsid w:val="00A939DF"/>
    <w:rsid w:val="00AA25DC"/>
    <w:rsid w:val="00B10F87"/>
    <w:rsid w:val="00B11471"/>
    <w:rsid w:val="00B17115"/>
    <w:rsid w:val="00B21043"/>
    <w:rsid w:val="00B27E8C"/>
    <w:rsid w:val="00B30DA2"/>
    <w:rsid w:val="00B44CAC"/>
    <w:rsid w:val="00B453FC"/>
    <w:rsid w:val="00B573D6"/>
    <w:rsid w:val="00B61F35"/>
    <w:rsid w:val="00B634F1"/>
    <w:rsid w:val="00B81455"/>
    <w:rsid w:val="00B841B5"/>
    <w:rsid w:val="00B9627F"/>
    <w:rsid w:val="00BA0A1B"/>
    <w:rsid w:val="00BA2415"/>
    <w:rsid w:val="00BA4F95"/>
    <w:rsid w:val="00BA5B60"/>
    <w:rsid w:val="00BB33F9"/>
    <w:rsid w:val="00BC3CE6"/>
    <w:rsid w:val="00BD03DB"/>
    <w:rsid w:val="00BE5E41"/>
    <w:rsid w:val="00C1094C"/>
    <w:rsid w:val="00C13D33"/>
    <w:rsid w:val="00C24EDC"/>
    <w:rsid w:val="00C25A76"/>
    <w:rsid w:val="00C31BD5"/>
    <w:rsid w:val="00C32206"/>
    <w:rsid w:val="00C45B40"/>
    <w:rsid w:val="00C45C67"/>
    <w:rsid w:val="00C523FF"/>
    <w:rsid w:val="00C532D4"/>
    <w:rsid w:val="00C606F3"/>
    <w:rsid w:val="00C71C3C"/>
    <w:rsid w:val="00C9490E"/>
    <w:rsid w:val="00CA593D"/>
    <w:rsid w:val="00D006EF"/>
    <w:rsid w:val="00D06786"/>
    <w:rsid w:val="00D16211"/>
    <w:rsid w:val="00D21780"/>
    <w:rsid w:val="00D23346"/>
    <w:rsid w:val="00D243B8"/>
    <w:rsid w:val="00D262E5"/>
    <w:rsid w:val="00D34794"/>
    <w:rsid w:val="00D34FB9"/>
    <w:rsid w:val="00D42B85"/>
    <w:rsid w:val="00D4502D"/>
    <w:rsid w:val="00D530CE"/>
    <w:rsid w:val="00D53E3C"/>
    <w:rsid w:val="00D54ED5"/>
    <w:rsid w:val="00D7517E"/>
    <w:rsid w:val="00D77950"/>
    <w:rsid w:val="00D90A93"/>
    <w:rsid w:val="00DA5FE4"/>
    <w:rsid w:val="00DC3762"/>
    <w:rsid w:val="00DC739E"/>
    <w:rsid w:val="00DD0346"/>
    <w:rsid w:val="00DD616A"/>
    <w:rsid w:val="00DE0465"/>
    <w:rsid w:val="00E049ED"/>
    <w:rsid w:val="00E34E6D"/>
    <w:rsid w:val="00E37CD4"/>
    <w:rsid w:val="00E41A47"/>
    <w:rsid w:val="00E53B9C"/>
    <w:rsid w:val="00E57848"/>
    <w:rsid w:val="00EA1A1E"/>
    <w:rsid w:val="00ED0ADA"/>
    <w:rsid w:val="00ED21C3"/>
    <w:rsid w:val="00ED388C"/>
    <w:rsid w:val="00ED3FD3"/>
    <w:rsid w:val="00EF02B0"/>
    <w:rsid w:val="00F01B61"/>
    <w:rsid w:val="00F13DD8"/>
    <w:rsid w:val="00F149FD"/>
    <w:rsid w:val="00F4262F"/>
    <w:rsid w:val="00F53719"/>
    <w:rsid w:val="00F565DA"/>
    <w:rsid w:val="00F57291"/>
    <w:rsid w:val="00F66CB0"/>
    <w:rsid w:val="00F72D0E"/>
    <w:rsid w:val="00F76C89"/>
    <w:rsid w:val="00F83FBF"/>
    <w:rsid w:val="00F90737"/>
    <w:rsid w:val="00FA29B8"/>
    <w:rsid w:val="00FD3D92"/>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99"/>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character" w:customStyle="1" w:styleId="cit">
    <w:name w:val="cit"/>
    <w:basedOn w:val="DefaultParagraphFont"/>
    <w:rsid w:val="00B27E8C"/>
  </w:style>
  <w:style w:type="character" w:customStyle="1" w:styleId="doi">
    <w:name w:val="doi"/>
    <w:basedOn w:val="DefaultParagraphFont"/>
    <w:rsid w:val="00B27E8C"/>
  </w:style>
  <w:style w:type="character" w:customStyle="1" w:styleId="apple-converted-space">
    <w:name w:val="apple-converted-space"/>
    <w:basedOn w:val="DefaultParagraphFont"/>
    <w:rsid w:val="00B2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Q:/Quality%20and%20Safety/CET/Policy%20Team/CHS%20PC/Resources/Templates/CHS%20Procedure%20Template.docx" TargetMode="External"/><Relationship Id="rId18" Type="http://schemas.openxmlformats.org/officeDocument/2006/relationships/hyperlink" Target="http://www.health.nsw.gov.au/kidsfamilies/MCFhealth/Documents/fgm-flip-chart-web.pdf" TargetMode="External"/><Relationship Id="rId26" Type="http://schemas.openxmlformats.org/officeDocument/2006/relationships/hyperlink" Target="https://www.thewomens.org.au/health-professionals/clinical-resources/clinical-guidelines-gps/" TargetMode="External"/><Relationship Id="rId39" Type="http://schemas.openxmlformats.org/officeDocument/2006/relationships/package" Target="embeddings/Microsoft_Visio_Drawing3.vsdx"/><Relationship Id="rId21" Type="http://schemas.openxmlformats.org/officeDocument/2006/relationships/hyperlink" Target="http://dx.doi.org/10.4103%2F2006-8808.100360" TargetMode="External"/><Relationship Id="rId34" Type="http://schemas.openxmlformats.org/officeDocument/2006/relationships/image" Target="media/image6.e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g.gov.au/FamiliesAndMarriage/FamilyLawCouncil/Documents/Female%20genital%20mutilation.pdf" TargetMode="External"/><Relationship Id="rId20" Type="http://schemas.openxmlformats.org/officeDocument/2006/relationships/hyperlink" Target="http://www.jstcr.org/text.asp?2012/4/1/64/100360" TargetMode="External"/><Relationship Id="rId29" Type="http://schemas.openxmlformats.org/officeDocument/2006/relationships/image" Target="media/image3.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health.org.au/health-promotion/fgc/" TargetMode="External"/><Relationship Id="rId24" Type="http://schemas.openxmlformats.org/officeDocument/2006/relationships/hyperlink" Target="https://data.unicef.org/wp-content/uploads/country_profiles/Indonesia/FGMC_IDN.pdf" TargetMode="External"/><Relationship Id="rId32" Type="http://schemas.openxmlformats.org/officeDocument/2006/relationships/image" Target="media/image5.emf"/><Relationship Id="rId37" Type="http://schemas.openxmlformats.org/officeDocument/2006/relationships/package" Target="embeddings/Microsoft_Visio_Drawing2.vsdx"/><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who.int/mediacentre/factsheets/fs241/en/" TargetMode="External"/><Relationship Id="rId23" Type="http://schemas.openxmlformats.org/officeDocument/2006/relationships/hyperlink" Target="https://data.unicef.org/wp-content/uploads/2015/12/FGMC_Lo_res_Final_26.pdf" TargetMode="External"/><Relationship Id="rId28" Type="http://schemas.openxmlformats.org/officeDocument/2006/relationships/image" Target="media/image2.png"/><Relationship Id="rId36"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hyperlink" Target="https://www.thewomens.org.au/health-professionals/clinical-resources/clinical-%20%20guidelines-gps/"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ho.int/reproductivehealth/publications/fgm/rhr_11_18/en/" TargetMode="External"/><Relationship Id="rId22" Type="http://schemas.openxmlformats.org/officeDocument/2006/relationships/hyperlink" Target="http://www.kidsfamilies.health.nsw.gov.au/media/218107/gl2014_016-maternity-pregnancy-and-birthing-care-for-women-affected-by-female-genital-mutilation-cutting.pdf" TargetMode="External"/><Relationship Id="rId27" Type="http://schemas.openxmlformats.org/officeDocument/2006/relationships/image" Target="media/image1.png"/><Relationship Id="rId30" Type="http://schemas.openxmlformats.org/officeDocument/2006/relationships/package" Target="embeddings/Microsoft_PowerPoint_Slide.sldx"/><Relationship Id="rId35" Type="http://schemas.openxmlformats.org/officeDocument/2006/relationships/package" Target="embeddings/Microsoft_Visio_Drawing1.vsdx"/><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health.nsw.gov.au/kidsfamilies/MCFhealth/Documents/fgm-flip-chart-web.pdf" TargetMode="External"/><Relationship Id="rId17" Type="http://schemas.openxmlformats.org/officeDocument/2006/relationships/hyperlink" Target="https://www.cohealth.org.au/health-promotion/fgc/" TargetMode="External"/><Relationship Id="rId25" Type="http://schemas.openxmlformats.org/officeDocument/2006/relationships/hyperlink" Target="http://www.kidsfamilies.health.nsw.gov.au/media/218107/gl2014_016-maternity-pregnancy-and-birthing-care-for-women-affected-by-female-genital-mutilation-cutting.pdf" TargetMode="External"/><Relationship Id="rId33" Type="http://schemas.openxmlformats.org/officeDocument/2006/relationships/package" Target="embeddings/Microsoft_Visio_Drawing.vsdx"/><Relationship Id="rId38"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8a3a0a429ce902ce229eb031e74df78">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d3a2a646d0b40e36e309a43689e00bb"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23 May 2022 - updated the contact number for Women's Health Services on pages 8 &amp; 9, as per email request from the WY&amp;C.
05/02/2025 - Review date extended till May 2025. </Progress>
    <Approval_x0020_Date xmlns="690b2128-8961-48af-a473-22c34a9accba">2022-01-05T13:00:00+00:00</Approval_x0020_Date>
    <Review_x0020_Date xmlns="690b2128-8961-48af-a473-22c34a9accba">2025-04-30T14:00:00+00:00</Review_x0020_Date>
    <TaxCatchAll xmlns="c0239a80-7f07-4ed7-82c3-24ad7d76ada5" xsi:nil="true"/>
    <Version_x0020_Number xmlns="690b2128-8961-48af-a473-22c34a9accba">1</Version_x0020_Number>
    <Notes0 xmlns="690b2128-8961-48af-a473-22c34a9accba">20 Jan 2022 - uploaded to the register; author and case manager notified.</Notes0>
    <Key_x0020_Words xmlns="690b2128-8961-48af-a473-22c34a9accba">Clitoridectomy, Excision, De-infibulation, Infibulation, Female circumcision, Female genital cutting, Female genital mutilation, FGC, FGM/C, FGM, Pharaonic circumcision, Traditional cutting</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CHHS17/157 Female Genital Cutting (FGC) (applicable to adults and/or children)</Replaces_x003a_>
    <Risk_x0020_Rating xmlns="690b2128-8961-48af-a473-22c34a9accba">High</Risk_x0020_Rating>
    <Description0 xmlns="690b2128-8961-48af-a473-22c34a9accba">This FGC guideline applies to all CHS staff who have contact with women and girls who have had FGC or are at risk of FGC. </Description0>
    <Display_x0020_on_x0020_Internet xmlns="690b2128-8961-48af-a473-22c34a9accba">true</Display_x0020_on_x0020_Internet>
    <Related_x0020_Documents xmlns="690b2128-8961-48af-a473-22c34a9accba" xsi:nil="true"/>
    <Decision_x0020_Number xmlns="690b2128-8961-48af-a473-22c34a9accba">CHS22/035</Decision_x0020_Number>
    <New_x0020_Owner xmlns="690b2128-8961-48af-a473-22c34a9accba">Women, Youth and Children (WY&amp;C) - Women's Health Service</New_x0020_Owner>
    <ISD_x0020_Submitted xmlns="690b2128-8961-48af-a473-22c34a9accba">Yes</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Props1.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2.xml><?xml version="1.0" encoding="utf-8"?>
<ds:datastoreItem xmlns:ds="http://schemas.openxmlformats.org/officeDocument/2006/customXml" ds:itemID="{AE8AB75D-5B3E-4307-A1F4-ECD81945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4.xml><?xml version="1.0" encoding="utf-8"?>
<ds:datastoreItem xmlns:ds="http://schemas.openxmlformats.org/officeDocument/2006/customXml" ds:itemID="{DB4DC44B-71B7-4995-8E5F-F0CBB4CC20A7}">
  <ds:schemaRefs>
    <ds:schemaRef ds:uri="690b2128-8961-48af-a473-22c34a9accba"/>
    <ds:schemaRef ds:uri="http://purl.org/dc/terms/"/>
    <ds:schemaRef ds:uri="http://schemas.openxmlformats.org/package/2006/metadata/core-properties"/>
    <ds:schemaRef ds:uri="c0239a80-7f07-4ed7-82c3-24ad7d76ada5"/>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26</Pages>
  <Words>5721</Words>
  <Characters>32614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Female Genital Cutting (FGC) (applicable to adults and_or children)</dc:title>
  <dc:subject>23;#Clinical Governance;#18;#Patient Care Procedures &amp; Processes;#24;#Partnering with Consumers</dc:subject>
  <dc:creator>Kerryn Hunter</dc:creator>
  <cp:lastModifiedBy>Rusanov, Zoia</cp:lastModifiedBy>
  <cp:revision>17</cp:revision>
  <cp:lastPrinted>2014-07-16T01:36:00Z</cp:lastPrinted>
  <dcterms:created xsi:type="dcterms:W3CDTF">2022-01-19T06:24:00Z</dcterms:created>
  <dcterms:modified xsi:type="dcterms:W3CDTF">2025-05-16T04:15:00Z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SIP_Label_69af8531-eb46-4968-8cb3-105d2f5ea87e_Enabled">
    <vt:lpwstr>true</vt:lpwstr>
  </property>
  <property fmtid="{D5CDD505-2E9C-101B-9397-08002B2CF9AE}" pid="4" name="MSIP_Label_69af8531-eb46-4968-8cb3-105d2f5ea87e_SetDate">
    <vt:lpwstr>2025-02-04T20:52:50Z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9d53eb04-b0ac-4d7e-932b-6a5548bd7fcc</vt:lpwstr>
  </property>
  <property fmtid="{D5CDD505-2E9C-101B-9397-08002B2CF9AE}" pid="9" name="MSIP_Label_69af8531-eb46-4968-8cb3-105d2f5ea87e_ContentBits">
    <vt:lpwstr>0</vt:lpwstr>
  </property>
  <property fmtid="{D5CDD505-2E9C-101B-9397-08002B2CF9AE}" pid="10" name="Related Legislation &amp; Guidelines">
    <vt:lpwstr/>
  </property>
  <property fmtid="{D5CDD505-2E9C-101B-9397-08002B2CF9AE}" pid="11" name="Related_x0020_Legislation_x0020__x0026__x0020_Guidelines">
    <vt:lpwstr/>
  </property>
</Properties>
</file>