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751574EA" w:rsidR="007B6904" w:rsidRPr="006A3770" w:rsidRDefault="00E50038" w:rsidP="006A3770">
      <w:pPr>
        <w:rPr>
          <w:rFonts w:cs="Arial"/>
          <w:b/>
          <w:i/>
          <w:sz w:val="36"/>
          <w:szCs w:val="36"/>
        </w:rPr>
      </w:pPr>
      <w:r>
        <w:rPr>
          <w:rFonts w:cs="Arial"/>
          <w:b/>
          <w:sz w:val="36"/>
          <w:szCs w:val="36"/>
        </w:rPr>
        <w:t>North Canberra Hospital (NCH) – Heparin Infusion</w:t>
      </w:r>
      <w:r w:rsidR="007B6904">
        <w:rPr>
          <w:rFonts w:cs="Arial"/>
          <w:b/>
          <w:i/>
          <w:sz w:val="36"/>
          <w:szCs w:val="36"/>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59225456"/>
            <w:r w:rsidRPr="00CD1C0E">
              <w:t>Contents</w:t>
            </w:r>
            <w:bookmarkEnd w:id="5"/>
            <w:bookmarkEnd w:id="6"/>
            <w:bookmarkEnd w:id="7"/>
          </w:p>
        </w:tc>
      </w:tr>
    </w:tbl>
    <w:p w14:paraId="2F51A853" w14:textId="77777777" w:rsidR="007B6904" w:rsidRDefault="007B6904" w:rsidP="007B6904"/>
    <w:p w14:paraId="2BE61B83" w14:textId="3E9D9AC6" w:rsidR="00F73098" w:rsidRDefault="007B7628">
      <w:pPr>
        <w:pStyle w:val="TOC1"/>
        <w:tabs>
          <w:tab w:val="right" w:leader="dot" w:pos="9060"/>
        </w:tabs>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59225456" w:history="1">
        <w:r w:rsidR="00F73098" w:rsidRPr="00062ACA">
          <w:rPr>
            <w:rStyle w:val="Hyperlink"/>
            <w:noProof/>
          </w:rPr>
          <w:t>Contents</w:t>
        </w:r>
        <w:r w:rsidR="00F73098">
          <w:rPr>
            <w:noProof/>
            <w:webHidden/>
          </w:rPr>
          <w:tab/>
        </w:r>
        <w:r w:rsidR="00F73098">
          <w:rPr>
            <w:noProof/>
            <w:webHidden/>
          </w:rPr>
          <w:fldChar w:fldCharType="begin"/>
        </w:r>
        <w:r w:rsidR="00F73098">
          <w:rPr>
            <w:noProof/>
            <w:webHidden/>
          </w:rPr>
          <w:instrText xml:space="preserve"> PAGEREF _Toc159225456 \h </w:instrText>
        </w:r>
        <w:r w:rsidR="00F73098">
          <w:rPr>
            <w:noProof/>
            <w:webHidden/>
          </w:rPr>
        </w:r>
        <w:r w:rsidR="00F73098">
          <w:rPr>
            <w:noProof/>
            <w:webHidden/>
          </w:rPr>
          <w:fldChar w:fldCharType="separate"/>
        </w:r>
        <w:r w:rsidR="00F73098">
          <w:rPr>
            <w:noProof/>
            <w:webHidden/>
          </w:rPr>
          <w:t>1</w:t>
        </w:r>
        <w:r w:rsidR="00F73098">
          <w:rPr>
            <w:noProof/>
            <w:webHidden/>
          </w:rPr>
          <w:fldChar w:fldCharType="end"/>
        </w:r>
      </w:hyperlink>
    </w:p>
    <w:p w14:paraId="35BA29FC" w14:textId="137BF753" w:rsidR="00F73098" w:rsidRDefault="008E4C0E">
      <w:pPr>
        <w:pStyle w:val="TOC1"/>
        <w:tabs>
          <w:tab w:val="right" w:leader="dot" w:pos="9060"/>
        </w:tabs>
        <w:rPr>
          <w:rFonts w:eastAsiaTheme="minorEastAsia" w:cstheme="minorBidi"/>
          <w:noProof/>
          <w:kern w:val="2"/>
          <w:sz w:val="22"/>
          <w:szCs w:val="22"/>
          <w:lang w:eastAsia="en-AU"/>
          <w14:ligatures w14:val="standardContextual"/>
        </w:rPr>
      </w:pPr>
      <w:hyperlink w:anchor="_Toc159225457" w:history="1">
        <w:r w:rsidR="00F73098" w:rsidRPr="00062ACA">
          <w:rPr>
            <w:rStyle w:val="Hyperlink"/>
            <w:noProof/>
          </w:rPr>
          <w:t>Purpose</w:t>
        </w:r>
        <w:r w:rsidR="00F73098">
          <w:rPr>
            <w:noProof/>
            <w:webHidden/>
          </w:rPr>
          <w:tab/>
        </w:r>
        <w:r w:rsidR="00F73098">
          <w:rPr>
            <w:noProof/>
            <w:webHidden/>
          </w:rPr>
          <w:fldChar w:fldCharType="begin"/>
        </w:r>
        <w:r w:rsidR="00F73098">
          <w:rPr>
            <w:noProof/>
            <w:webHidden/>
          </w:rPr>
          <w:instrText xml:space="preserve"> PAGEREF _Toc159225457 \h </w:instrText>
        </w:r>
        <w:r w:rsidR="00F73098">
          <w:rPr>
            <w:noProof/>
            <w:webHidden/>
          </w:rPr>
        </w:r>
        <w:r w:rsidR="00F73098">
          <w:rPr>
            <w:noProof/>
            <w:webHidden/>
          </w:rPr>
          <w:fldChar w:fldCharType="separate"/>
        </w:r>
        <w:r w:rsidR="00F73098">
          <w:rPr>
            <w:noProof/>
            <w:webHidden/>
          </w:rPr>
          <w:t>2</w:t>
        </w:r>
        <w:r w:rsidR="00F73098">
          <w:rPr>
            <w:noProof/>
            <w:webHidden/>
          </w:rPr>
          <w:fldChar w:fldCharType="end"/>
        </w:r>
      </w:hyperlink>
    </w:p>
    <w:p w14:paraId="41E987A2" w14:textId="05EA2027" w:rsidR="00F73098" w:rsidRDefault="008E4C0E">
      <w:pPr>
        <w:pStyle w:val="TOC1"/>
        <w:tabs>
          <w:tab w:val="right" w:leader="dot" w:pos="9060"/>
        </w:tabs>
        <w:rPr>
          <w:rFonts w:eastAsiaTheme="minorEastAsia" w:cstheme="minorBidi"/>
          <w:noProof/>
          <w:kern w:val="2"/>
          <w:sz w:val="22"/>
          <w:szCs w:val="22"/>
          <w:lang w:eastAsia="en-AU"/>
          <w14:ligatures w14:val="standardContextual"/>
        </w:rPr>
      </w:pPr>
      <w:hyperlink w:anchor="_Toc159225458" w:history="1">
        <w:r w:rsidR="00F73098" w:rsidRPr="00062ACA">
          <w:rPr>
            <w:rStyle w:val="Hyperlink"/>
            <w:noProof/>
          </w:rPr>
          <w:t>Scope</w:t>
        </w:r>
        <w:r w:rsidR="00F73098">
          <w:rPr>
            <w:noProof/>
            <w:webHidden/>
          </w:rPr>
          <w:tab/>
        </w:r>
        <w:r w:rsidR="00F73098">
          <w:rPr>
            <w:noProof/>
            <w:webHidden/>
          </w:rPr>
          <w:fldChar w:fldCharType="begin"/>
        </w:r>
        <w:r w:rsidR="00F73098">
          <w:rPr>
            <w:noProof/>
            <w:webHidden/>
          </w:rPr>
          <w:instrText xml:space="preserve"> PAGEREF _Toc159225458 \h </w:instrText>
        </w:r>
        <w:r w:rsidR="00F73098">
          <w:rPr>
            <w:noProof/>
            <w:webHidden/>
          </w:rPr>
        </w:r>
        <w:r w:rsidR="00F73098">
          <w:rPr>
            <w:noProof/>
            <w:webHidden/>
          </w:rPr>
          <w:fldChar w:fldCharType="separate"/>
        </w:r>
        <w:r w:rsidR="00F73098">
          <w:rPr>
            <w:noProof/>
            <w:webHidden/>
          </w:rPr>
          <w:t>2</w:t>
        </w:r>
        <w:r w:rsidR="00F73098">
          <w:rPr>
            <w:noProof/>
            <w:webHidden/>
          </w:rPr>
          <w:fldChar w:fldCharType="end"/>
        </w:r>
      </w:hyperlink>
    </w:p>
    <w:p w14:paraId="37051896" w14:textId="595C4EAC" w:rsidR="00F73098" w:rsidRDefault="008E4C0E">
      <w:pPr>
        <w:pStyle w:val="TOC1"/>
        <w:tabs>
          <w:tab w:val="right" w:leader="dot" w:pos="9060"/>
        </w:tabs>
        <w:rPr>
          <w:rFonts w:eastAsiaTheme="minorEastAsia" w:cstheme="minorBidi"/>
          <w:noProof/>
          <w:kern w:val="2"/>
          <w:sz w:val="22"/>
          <w:szCs w:val="22"/>
          <w:lang w:eastAsia="en-AU"/>
          <w14:ligatures w14:val="standardContextual"/>
        </w:rPr>
      </w:pPr>
      <w:hyperlink w:anchor="_Toc159225459" w:history="1">
        <w:r w:rsidR="00F73098" w:rsidRPr="00062ACA">
          <w:rPr>
            <w:rStyle w:val="Hyperlink"/>
            <w:noProof/>
          </w:rPr>
          <w:t>Alerts</w:t>
        </w:r>
        <w:r w:rsidR="00F73098">
          <w:rPr>
            <w:noProof/>
            <w:webHidden/>
          </w:rPr>
          <w:tab/>
        </w:r>
        <w:r w:rsidR="00F73098">
          <w:rPr>
            <w:noProof/>
            <w:webHidden/>
          </w:rPr>
          <w:fldChar w:fldCharType="begin"/>
        </w:r>
        <w:r w:rsidR="00F73098">
          <w:rPr>
            <w:noProof/>
            <w:webHidden/>
          </w:rPr>
          <w:instrText xml:space="preserve"> PAGEREF _Toc159225459 \h </w:instrText>
        </w:r>
        <w:r w:rsidR="00F73098">
          <w:rPr>
            <w:noProof/>
            <w:webHidden/>
          </w:rPr>
        </w:r>
        <w:r w:rsidR="00F73098">
          <w:rPr>
            <w:noProof/>
            <w:webHidden/>
          </w:rPr>
          <w:fldChar w:fldCharType="separate"/>
        </w:r>
        <w:r w:rsidR="00F73098">
          <w:rPr>
            <w:noProof/>
            <w:webHidden/>
          </w:rPr>
          <w:t>2</w:t>
        </w:r>
        <w:r w:rsidR="00F73098">
          <w:rPr>
            <w:noProof/>
            <w:webHidden/>
          </w:rPr>
          <w:fldChar w:fldCharType="end"/>
        </w:r>
      </w:hyperlink>
    </w:p>
    <w:p w14:paraId="598CF7F3" w14:textId="5ACB3FAB" w:rsidR="00F73098" w:rsidRDefault="008E4C0E">
      <w:pPr>
        <w:pStyle w:val="TOC1"/>
        <w:tabs>
          <w:tab w:val="right" w:leader="dot" w:pos="9060"/>
        </w:tabs>
        <w:rPr>
          <w:rFonts w:eastAsiaTheme="minorEastAsia" w:cstheme="minorBidi"/>
          <w:noProof/>
          <w:kern w:val="2"/>
          <w:sz w:val="22"/>
          <w:szCs w:val="22"/>
          <w:lang w:eastAsia="en-AU"/>
          <w14:ligatures w14:val="standardContextual"/>
        </w:rPr>
      </w:pPr>
      <w:hyperlink w:anchor="_Toc159225460" w:history="1">
        <w:r w:rsidR="00F73098" w:rsidRPr="00062ACA">
          <w:rPr>
            <w:rStyle w:val="Hyperlink"/>
            <w:noProof/>
          </w:rPr>
          <w:t>Section 1 – Equipment</w:t>
        </w:r>
        <w:r w:rsidR="00F73098">
          <w:rPr>
            <w:noProof/>
            <w:webHidden/>
          </w:rPr>
          <w:tab/>
        </w:r>
        <w:r w:rsidR="00F73098">
          <w:rPr>
            <w:noProof/>
            <w:webHidden/>
          </w:rPr>
          <w:fldChar w:fldCharType="begin"/>
        </w:r>
        <w:r w:rsidR="00F73098">
          <w:rPr>
            <w:noProof/>
            <w:webHidden/>
          </w:rPr>
          <w:instrText xml:space="preserve"> PAGEREF _Toc159225460 \h </w:instrText>
        </w:r>
        <w:r w:rsidR="00F73098">
          <w:rPr>
            <w:noProof/>
            <w:webHidden/>
          </w:rPr>
        </w:r>
        <w:r w:rsidR="00F73098">
          <w:rPr>
            <w:noProof/>
            <w:webHidden/>
          </w:rPr>
          <w:fldChar w:fldCharType="separate"/>
        </w:r>
        <w:r w:rsidR="00F73098">
          <w:rPr>
            <w:noProof/>
            <w:webHidden/>
          </w:rPr>
          <w:t>3</w:t>
        </w:r>
        <w:r w:rsidR="00F73098">
          <w:rPr>
            <w:noProof/>
            <w:webHidden/>
          </w:rPr>
          <w:fldChar w:fldCharType="end"/>
        </w:r>
      </w:hyperlink>
    </w:p>
    <w:p w14:paraId="10110DBB" w14:textId="1234221E" w:rsidR="00F73098" w:rsidRDefault="008E4C0E">
      <w:pPr>
        <w:pStyle w:val="TOC1"/>
        <w:tabs>
          <w:tab w:val="right" w:leader="dot" w:pos="9060"/>
        </w:tabs>
        <w:rPr>
          <w:rFonts w:eastAsiaTheme="minorEastAsia" w:cstheme="minorBidi"/>
          <w:noProof/>
          <w:kern w:val="2"/>
          <w:sz w:val="22"/>
          <w:szCs w:val="22"/>
          <w:lang w:eastAsia="en-AU"/>
          <w14:ligatures w14:val="standardContextual"/>
        </w:rPr>
      </w:pPr>
      <w:hyperlink w:anchor="_Toc159225461" w:history="1">
        <w:r w:rsidR="00F73098" w:rsidRPr="00062ACA">
          <w:rPr>
            <w:rStyle w:val="Hyperlink"/>
            <w:noProof/>
          </w:rPr>
          <w:t>Section 2 – Indications and Contraindications for Heparin Infusion</w:t>
        </w:r>
        <w:r w:rsidR="00F73098">
          <w:rPr>
            <w:noProof/>
            <w:webHidden/>
          </w:rPr>
          <w:tab/>
        </w:r>
        <w:r w:rsidR="00F73098">
          <w:rPr>
            <w:noProof/>
            <w:webHidden/>
          </w:rPr>
          <w:fldChar w:fldCharType="begin"/>
        </w:r>
        <w:r w:rsidR="00F73098">
          <w:rPr>
            <w:noProof/>
            <w:webHidden/>
          </w:rPr>
          <w:instrText xml:space="preserve"> PAGEREF _Toc159225461 \h </w:instrText>
        </w:r>
        <w:r w:rsidR="00F73098">
          <w:rPr>
            <w:noProof/>
            <w:webHidden/>
          </w:rPr>
        </w:r>
        <w:r w:rsidR="00F73098">
          <w:rPr>
            <w:noProof/>
            <w:webHidden/>
          </w:rPr>
          <w:fldChar w:fldCharType="separate"/>
        </w:r>
        <w:r w:rsidR="00F73098">
          <w:rPr>
            <w:noProof/>
            <w:webHidden/>
          </w:rPr>
          <w:t>3</w:t>
        </w:r>
        <w:r w:rsidR="00F73098">
          <w:rPr>
            <w:noProof/>
            <w:webHidden/>
          </w:rPr>
          <w:fldChar w:fldCharType="end"/>
        </w:r>
      </w:hyperlink>
    </w:p>
    <w:p w14:paraId="79487A59" w14:textId="1296119A" w:rsidR="00F73098" w:rsidRDefault="008E4C0E">
      <w:pPr>
        <w:pStyle w:val="TOC1"/>
        <w:tabs>
          <w:tab w:val="right" w:leader="dot" w:pos="9060"/>
        </w:tabs>
        <w:rPr>
          <w:rFonts w:eastAsiaTheme="minorEastAsia" w:cstheme="minorBidi"/>
          <w:noProof/>
          <w:kern w:val="2"/>
          <w:sz w:val="22"/>
          <w:szCs w:val="22"/>
          <w:lang w:eastAsia="en-AU"/>
          <w14:ligatures w14:val="standardContextual"/>
        </w:rPr>
      </w:pPr>
      <w:hyperlink w:anchor="_Toc159225462" w:history="1">
        <w:r w:rsidR="00F73098" w:rsidRPr="00062ACA">
          <w:rPr>
            <w:rStyle w:val="Hyperlink"/>
            <w:noProof/>
          </w:rPr>
          <w:t>Section 3 – Before Starting the Heparin Infusion</w:t>
        </w:r>
        <w:r w:rsidR="00F73098">
          <w:rPr>
            <w:noProof/>
            <w:webHidden/>
          </w:rPr>
          <w:tab/>
        </w:r>
        <w:r w:rsidR="00F73098">
          <w:rPr>
            <w:noProof/>
            <w:webHidden/>
          </w:rPr>
          <w:fldChar w:fldCharType="begin"/>
        </w:r>
        <w:r w:rsidR="00F73098">
          <w:rPr>
            <w:noProof/>
            <w:webHidden/>
          </w:rPr>
          <w:instrText xml:space="preserve"> PAGEREF _Toc159225462 \h </w:instrText>
        </w:r>
        <w:r w:rsidR="00F73098">
          <w:rPr>
            <w:noProof/>
            <w:webHidden/>
          </w:rPr>
        </w:r>
        <w:r w:rsidR="00F73098">
          <w:rPr>
            <w:noProof/>
            <w:webHidden/>
          </w:rPr>
          <w:fldChar w:fldCharType="separate"/>
        </w:r>
        <w:r w:rsidR="00F73098">
          <w:rPr>
            <w:noProof/>
            <w:webHidden/>
          </w:rPr>
          <w:t>3</w:t>
        </w:r>
        <w:r w:rsidR="00F73098">
          <w:rPr>
            <w:noProof/>
            <w:webHidden/>
          </w:rPr>
          <w:fldChar w:fldCharType="end"/>
        </w:r>
      </w:hyperlink>
    </w:p>
    <w:p w14:paraId="6C8AAA1B" w14:textId="5CC46F57" w:rsidR="00F73098" w:rsidRDefault="008E4C0E">
      <w:pPr>
        <w:pStyle w:val="TOC1"/>
        <w:tabs>
          <w:tab w:val="right" w:leader="dot" w:pos="9060"/>
        </w:tabs>
        <w:rPr>
          <w:rFonts w:eastAsiaTheme="minorEastAsia" w:cstheme="minorBidi"/>
          <w:noProof/>
          <w:kern w:val="2"/>
          <w:sz w:val="22"/>
          <w:szCs w:val="22"/>
          <w:lang w:eastAsia="en-AU"/>
          <w14:ligatures w14:val="standardContextual"/>
        </w:rPr>
      </w:pPr>
      <w:hyperlink w:anchor="_Toc159225463" w:history="1">
        <w:r w:rsidR="00F73098" w:rsidRPr="00062ACA">
          <w:rPr>
            <w:rStyle w:val="Hyperlink"/>
            <w:noProof/>
          </w:rPr>
          <w:t>Section 4 – Ordering and Starting the Heparin Infusion</w:t>
        </w:r>
        <w:r w:rsidR="00F73098">
          <w:rPr>
            <w:noProof/>
            <w:webHidden/>
          </w:rPr>
          <w:tab/>
        </w:r>
        <w:r w:rsidR="00F73098">
          <w:rPr>
            <w:noProof/>
            <w:webHidden/>
          </w:rPr>
          <w:fldChar w:fldCharType="begin"/>
        </w:r>
        <w:r w:rsidR="00F73098">
          <w:rPr>
            <w:noProof/>
            <w:webHidden/>
          </w:rPr>
          <w:instrText xml:space="preserve"> PAGEREF _Toc159225463 \h </w:instrText>
        </w:r>
        <w:r w:rsidR="00F73098">
          <w:rPr>
            <w:noProof/>
            <w:webHidden/>
          </w:rPr>
        </w:r>
        <w:r w:rsidR="00F73098">
          <w:rPr>
            <w:noProof/>
            <w:webHidden/>
          </w:rPr>
          <w:fldChar w:fldCharType="separate"/>
        </w:r>
        <w:r w:rsidR="00F73098">
          <w:rPr>
            <w:noProof/>
            <w:webHidden/>
          </w:rPr>
          <w:t>4</w:t>
        </w:r>
        <w:r w:rsidR="00F73098">
          <w:rPr>
            <w:noProof/>
            <w:webHidden/>
          </w:rPr>
          <w:fldChar w:fldCharType="end"/>
        </w:r>
      </w:hyperlink>
    </w:p>
    <w:p w14:paraId="1EACBEBA" w14:textId="280155DC" w:rsidR="00F73098" w:rsidRDefault="008E4C0E">
      <w:pPr>
        <w:pStyle w:val="TOC1"/>
        <w:tabs>
          <w:tab w:val="right" w:leader="dot" w:pos="9060"/>
        </w:tabs>
        <w:rPr>
          <w:rFonts w:eastAsiaTheme="minorEastAsia" w:cstheme="minorBidi"/>
          <w:noProof/>
          <w:kern w:val="2"/>
          <w:sz w:val="22"/>
          <w:szCs w:val="22"/>
          <w:lang w:eastAsia="en-AU"/>
          <w14:ligatures w14:val="standardContextual"/>
        </w:rPr>
      </w:pPr>
      <w:hyperlink w:anchor="_Toc159225464" w:history="1">
        <w:r w:rsidR="00F73098" w:rsidRPr="00062ACA">
          <w:rPr>
            <w:rStyle w:val="Hyperlink"/>
            <w:noProof/>
          </w:rPr>
          <w:t>Section 5 – Heparin Infusion Protocol</w:t>
        </w:r>
        <w:r w:rsidR="00F73098">
          <w:rPr>
            <w:noProof/>
            <w:webHidden/>
          </w:rPr>
          <w:tab/>
        </w:r>
        <w:r w:rsidR="00F73098">
          <w:rPr>
            <w:noProof/>
            <w:webHidden/>
          </w:rPr>
          <w:fldChar w:fldCharType="begin"/>
        </w:r>
        <w:r w:rsidR="00F73098">
          <w:rPr>
            <w:noProof/>
            <w:webHidden/>
          </w:rPr>
          <w:instrText xml:space="preserve"> PAGEREF _Toc159225464 \h </w:instrText>
        </w:r>
        <w:r w:rsidR="00F73098">
          <w:rPr>
            <w:noProof/>
            <w:webHidden/>
          </w:rPr>
        </w:r>
        <w:r w:rsidR="00F73098">
          <w:rPr>
            <w:noProof/>
            <w:webHidden/>
          </w:rPr>
          <w:fldChar w:fldCharType="separate"/>
        </w:r>
        <w:r w:rsidR="00F73098">
          <w:rPr>
            <w:noProof/>
            <w:webHidden/>
          </w:rPr>
          <w:t>5</w:t>
        </w:r>
        <w:r w:rsidR="00F73098">
          <w:rPr>
            <w:noProof/>
            <w:webHidden/>
          </w:rPr>
          <w:fldChar w:fldCharType="end"/>
        </w:r>
      </w:hyperlink>
    </w:p>
    <w:p w14:paraId="641DB538" w14:textId="7EAE5808" w:rsidR="00F73098" w:rsidRDefault="008E4C0E">
      <w:pPr>
        <w:pStyle w:val="TOC1"/>
        <w:tabs>
          <w:tab w:val="right" w:leader="dot" w:pos="9060"/>
        </w:tabs>
        <w:rPr>
          <w:rFonts w:eastAsiaTheme="minorEastAsia" w:cstheme="minorBidi"/>
          <w:noProof/>
          <w:kern w:val="2"/>
          <w:sz w:val="22"/>
          <w:szCs w:val="22"/>
          <w:lang w:eastAsia="en-AU"/>
          <w14:ligatures w14:val="standardContextual"/>
        </w:rPr>
      </w:pPr>
      <w:hyperlink w:anchor="_Toc159225465" w:history="1">
        <w:r w:rsidR="00F73098" w:rsidRPr="00062ACA">
          <w:rPr>
            <w:rStyle w:val="Hyperlink"/>
            <w:noProof/>
          </w:rPr>
          <w:t>Section 6 – Monitoring the Heparin Infusion</w:t>
        </w:r>
        <w:r w:rsidR="00F73098">
          <w:rPr>
            <w:noProof/>
            <w:webHidden/>
          </w:rPr>
          <w:tab/>
        </w:r>
        <w:r w:rsidR="00F73098">
          <w:rPr>
            <w:noProof/>
            <w:webHidden/>
          </w:rPr>
          <w:fldChar w:fldCharType="begin"/>
        </w:r>
        <w:r w:rsidR="00F73098">
          <w:rPr>
            <w:noProof/>
            <w:webHidden/>
          </w:rPr>
          <w:instrText xml:space="preserve"> PAGEREF _Toc159225465 \h </w:instrText>
        </w:r>
        <w:r w:rsidR="00F73098">
          <w:rPr>
            <w:noProof/>
            <w:webHidden/>
          </w:rPr>
        </w:r>
        <w:r w:rsidR="00F73098">
          <w:rPr>
            <w:noProof/>
            <w:webHidden/>
          </w:rPr>
          <w:fldChar w:fldCharType="separate"/>
        </w:r>
        <w:r w:rsidR="00F73098">
          <w:rPr>
            <w:noProof/>
            <w:webHidden/>
          </w:rPr>
          <w:t>5</w:t>
        </w:r>
        <w:r w:rsidR="00F73098">
          <w:rPr>
            <w:noProof/>
            <w:webHidden/>
          </w:rPr>
          <w:fldChar w:fldCharType="end"/>
        </w:r>
      </w:hyperlink>
    </w:p>
    <w:p w14:paraId="62BE0267" w14:textId="4A3CE221" w:rsidR="00F73098" w:rsidRDefault="008E4C0E">
      <w:pPr>
        <w:pStyle w:val="TOC1"/>
        <w:tabs>
          <w:tab w:val="right" w:leader="dot" w:pos="9060"/>
        </w:tabs>
        <w:rPr>
          <w:rFonts w:eastAsiaTheme="minorEastAsia" w:cstheme="minorBidi"/>
          <w:noProof/>
          <w:kern w:val="2"/>
          <w:sz w:val="22"/>
          <w:szCs w:val="22"/>
          <w:lang w:eastAsia="en-AU"/>
          <w14:ligatures w14:val="standardContextual"/>
        </w:rPr>
      </w:pPr>
      <w:hyperlink w:anchor="_Toc159225466" w:history="1">
        <w:r w:rsidR="00F73098" w:rsidRPr="00062ACA">
          <w:rPr>
            <w:rStyle w:val="Hyperlink"/>
            <w:noProof/>
          </w:rPr>
          <w:t>Section 7 – Adverse Effects</w:t>
        </w:r>
        <w:r w:rsidR="00F73098">
          <w:rPr>
            <w:noProof/>
            <w:webHidden/>
          </w:rPr>
          <w:tab/>
        </w:r>
        <w:r w:rsidR="00F73098">
          <w:rPr>
            <w:noProof/>
            <w:webHidden/>
          </w:rPr>
          <w:fldChar w:fldCharType="begin"/>
        </w:r>
        <w:r w:rsidR="00F73098">
          <w:rPr>
            <w:noProof/>
            <w:webHidden/>
          </w:rPr>
          <w:instrText xml:space="preserve"> PAGEREF _Toc159225466 \h </w:instrText>
        </w:r>
        <w:r w:rsidR="00F73098">
          <w:rPr>
            <w:noProof/>
            <w:webHidden/>
          </w:rPr>
        </w:r>
        <w:r w:rsidR="00F73098">
          <w:rPr>
            <w:noProof/>
            <w:webHidden/>
          </w:rPr>
          <w:fldChar w:fldCharType="separate"/>
        </w:r>
        <w:r w:rsidR="00F73098">
          <w:rPr>
            <w:noProof/>
            <w:webHidden/>
          </w:rPr>
          <w:t>6</w:t>
        </w:r>
        <w:r w:rsidR="00F73098">
          <w:rPr>
            <w:noProof/>
            <w:webHidden/>
          </w:rPr>
          <w:fldChar w:fldCharType="end"/>
        </w:r>
      </w:hyperlink>
    </w:p>
    <w:p w14:paraId="2E6F1A30" w14:textId="023AF9E0" w:rsidR="00F73098" w:rsidRDefault="008E4C0E">
      <w:pPr>
        <w:pStyle w:val="TOC1"/>
        <w:tabs>
          <w:tab w:val="right" w:leader="dot" w:pos="9060"/>
        </w:tabs>
        <w:rPr>
          <w:rFonts w:eastAsiaTheme="minorEastAsia" w:cstheme="minorBidi"/>
          <w:noProof/>
          <w:kern w:val="2"/>
          <w:sz w:val="22"/>
          <w:szCs w:val="22"/>
          <w:lang w:eastAsia="en-AU"/>
          <w14:ligatures w14:val="standardContextual"/>
        </w:rPr>
      </w:pPr>
      <w:hyperlink w:anchor="_Toc159225467" w:history="1">
        <w:r w:rsidR="00F73098" w:rsidRPr="00062ACA">
          <w:rPr>
            <w:rStyle w:val="Hyperlink"/>
            <w:noProof/>
          </w:rPr>
          <w:t>Section 8 – Ceasing the Heparin Infusion</w:t>
        </w:r>
        <w:r w:rsidR="00F73098">
          <w:rPr>
            <w:noProof/>
            <w:webHidden/>
          </w:rPr>
          <w:tab/>
        </w:r>
        <w:r w:rsidR="00F73098">
          <w:rPr>
            <w:noProof/>
            <w:webHidden/>
          </w:rPr>
          <w:fldChar w:fldCharType="begin"/>
        </w:r>
        <w:r w:rsidR="00F73098">
          <w:rPr>
            <w:noProof/>
            <w:webHidden/>
          </w:rPr>
          <w:instrText xml:space="preserve"> PAGEREF _Toc159225467 \h </w:instrText>
        </w:r>
        <w:r w:rsidR="00F73098">
          <w:rPr>
            <w:noProof/>
            <w:webHidden/>
          </w:rPr>
        </w:r>
        <w:r w:rsidR="00F73098">
          <w:rPr>
            <w:noProof/>
            <w:webHidden/>
          </w:rPr>
          <w:fldChar w:fldCharType="separate"/>
        </w:r>
        <w:r w:rsidR="00F73098">
          <w:rPr>
            <w:noProof/>
            <w:webHidden/>
          </w:rPr>
          <w:t>7</w:t>
        </w:r>
        <w:r w:rsidR="00F73098">
          <w:rPr>
            <w:noProof/>
            <w:webHidden/>
          </w:rPr>
          <w:fldChar w:fldCharType="end"/>
        </w:r>
      </w:hyperlink>
    </w:p>
    <w:p w14:paraId="774C6512" w14:textId="7A9F78BA" w:rsidR="00F73098" w:rsidRDefault="008E4C0E">
      <w:pPr>
        <w:pStyle w:val="TOC1"/>
        <w:tabs>
          <w:tab w:val="right" w:leader="dot" w:pos="9060"/>
        </w:tabs>
        <w:rPr>
          <w:rFonts w:eastAsiaTheme="minorEastAsia" w:cstheme="minorBidi"/>
          <w:noProof/>
          <w:kern w:val="2"/>
          <w:sz w:val="22"/>
          <w:szCs w:val="22"/>
          <w:lang w:eastAsia="en-AU"/>
          <w14:ligatures w14:val="standardContextual"/>
        </w:rPr>
      </w:pPr>
      <w:hyperlink w:anchor="_Toc159225468" w:history="1">
        <w:r w:rsidR="00F73098" w:rsidRPr="00062ACA">
          <w:rPr>
            <w:rStyle w:val="Hyperlink"/>
            <w:noProof/>
          </w:rPr>
          <w:t>Related Policies, Procedures, Guidelines and Legislation</w:t>
        </w:r>
        <w:r w:rsidR="00F73098">
          <w:rPr>
            <w:noProof/>
            <w:webHidden/>
          </w:rPr>
          <w:tab/>
        </w:r>
        <w:r w:rsidR="00F73098">
          <w:rPr>
            <w:noProof/>
            <w:webHidden/>
          </w:rPr>
          <w:fldChar w:fldCharType="begin"/>
        </w:r>
        <w:r w:rsidR="00F73098">
          <w:rPr>
            <w:noProof/>
            <w:webHidden/>
          </w:rPr>
          <w:instrText xml:space="preserve"> PAGEREF _Toc159225468 \h </w:instrText>
        </w:r>
        <w:r w:rsidR="00F73098">
          <w:rPr>
            <w:noProof/>
            <w:webHidden/>
          </w:rPr>
        </w:r>
        <w:r w:rsidR="00F73098">
          <w:rPr>
            <w:noProof/>
            <w:webHidden/>
          </w:rPr>
          <w:fldChar w:fldCharType="separate"/>
        </w:r>
        <w:r w:rsidR="00F73098">
          <w:rPr>
            <w:noProof/>
            <w:webHidden/>
          </w:rPr>
          <w:t>7</w:t>
        </w:r>
        <w:r w:rsidR="00F73098">
          <w:rPr>
            <w:noProof/>
            <w:webHidden/>
          </w:rPr>
          <w:fldChar w:fldCharType="end"/>
        </w:r>
      </w:hyperlink>
    </w:p>
    <w:p w14:paraId="48CE683D" w14:textId="00524CD4" w:rsidR="00F73098" w:rsidRDefault="008E4C0E">
      <w:pPr>
        <w:pStyle w:val="TOC1"/>
        <w:tabs>
          <w:tab w:val="right" w:leader="dot" w:pos="9060"/>
        </w:tabs>
        <w:rPr>
          <w:rFonts w:eastAsiaTheme="minorEastAsia" w:cstheme="minorBidi"/>
          <w:noProof/>
          <w:kern w:val="2"/>
          <w:sz w:val="22"/>
          <w:szCs w:val="22"/>
          <w:lang w:eastAsia="en-AU"/>
          <w14:ligatures w14:val="standardContextual"/>
        </w:rPr>
      </w:pPr>
      <w:hyperlink w:anchor="_Toc159225469" w:history="1">
        <w:r w:rsidR="00F73098" w:rsidRPr="00062ACA">
          <w:rPr>
            <w:rStyle w:val="Hyperlink"/>
            <w:noProof/>
          </w:rPr>
          <w:t>References</w:t>
        </w:r>
        <w:r w:rsidR="00F73098">
          <w:rPr>
            <w:noProof/>
            <w:webHidden/>
          </w:rPr>
          <w:tab/>
        </w:r>
        <w:r w:rsidR="00F73098">
          <w:rPr>
            <w:noProof/>
            <w:webHidden/>
          </w:rPr>
          <w:fldChar w:fldCharType="begin"/>
        </w:r>
        <w:r w:rsidR="00F73098">
          <w:rPr>
            <w:noProof/>
            <w:webHidden/>
          </w:rPr>
          <w:instrText xml:space="preserve"> PAGEREF _Toc159225469 \h </w:instrText>
        </w:r>
        <w:r w:rsidR="00F73098">
          <w:rPr>
            <w:noProof/>
            <w:webHidden/>
          </w:rPr>
        </w:r>
        <w:r w:rsidR="00F73098">
          <w:rPr>
            <w:noProof/>
            <w:webHidden/>
          </w:rPr>
          <w:fldChar w:fldCharType="separate"/>
        </w:r>
        <w:r w:rsidR="00F73098">
          <w:rPr>
            <w:noProof/>
            <w:webHidden/>
          </w:rPr>
          <w:t>7</w:t>
        </w:r>
        <w:r w:rsidR="00F73098">
          <w:rPr>
            <w:noProof/>
            <w:webHidden/>
          </w:rPr>
          <w:fldChar w:fldCharType="end"/>
        </w:r>
      </w:hyperlink>
    </w:p>
    <w:p w14:paraId="3181BA03" w14:textId="3887B146" w:rsidR="00F73098" w:rsidRDefault="008E4C0E">
      <w:pPr>
        <w:pStyle w:val="TOC1"/>
        <w:tabs>
          <w:tab w:val="right" w:leader="dot" w:pos="9060"/>
        </w:tabs>
        <w:rPr>
          <w:rFonts w:eastAsiaTheme="minorEastAsia" w:cstheme="minorBidi"/>
          <w:noProof/>
          <w:kern w:val="2"/>
          <w:sz w:val="22"/>
          <w:szCs w:val="22"/>
          <w:lang w:eastAsia="en-AU"/>
          <w14:ligatures w14:val="standardContextual"/>
        </w:rPr>
      </w:pPr>
      <w:hyperlink w:anchor="_Toc159225470" w:history="1">
        <w:r w:rsidR="00F73098" w:rsidRPr="00062ACA">
          <w:rPr>
            <w:rStyle w:val="Hyperlink"/>
            <w:noProof/>
          </w:rPr>
          <w:t>Definition of Terms</w:t>
        </w:r>
        <w:r w:rsidR="00F73098">
          <w:rPr>
            <w:noProof/>
            <w:webHidden/>
          </w:rPr>
          <w:tab/>
        </w:r>
        <w:r w:rsidR="00F73098">
          <w:rPr>
            <w:noProof/>
            <w:webHidden/>
          </w:rPr>
          <w:fldChar w:fldCharType="begin"/>
        </w:r>
        <w:r w:rsidR="00F73098">
          <w:rPr>
            <w:noProof/>
            <w:webHidden/>
          </w:rPr>
          <w:instrText xml:space="preserve"> PAGEREF _Toc159225470 \h </w:instrText>
        </w:r>
        <w:r w:rsidR="00F73098">
          <w:rPr>
            <w:noProof/>
            <w:webHidden/>
          </w:rPr>
        </w:r>
        <w:r w:rsidR="00F73098">
          <w:rPr>
            <w:noProof/>
            <w:webHidden/>
          </w:rPr>
          <w:fldChar w:fldCharType="separate"/>
        </w:r>
        <w:r w:rsidR="00F73098">
          <w:rPr>
            <w:noProof/>
            <w:webHidden/>
          </w:rPr>
          <w:t>8</w:t>
        </w:r>
        <w:r w:rsidR="00F73098">
          <w:rPr>
            <w:noProof/>
            <w:webHidden/>
          </w:rPr>
          <w:fldChar w:fldCharType="end"/>
        </w:r>
      </w:hyperlink>
    </w:p>
    <w:p w14:paraId="58C9D45D" w14:textId="326C1779" w:rsidR="00F73098" w:rsidRDefault="008E4C0E">
      <w:pPr>
        <w:pStyle w:val="TOC1"/>
        <w:tabs>
          <w:tab w:val="right" w:leader="dot" w:pos="9060"/>
        </w:tabs>
        <w:rPr>
          <w:rFonts w:eastAsiaTheme="minorEastAsia" w:cstheme="minorBidi"/>
          <w:noProof/>
          <w:kern w:val="2"/>
          <w:sz w:val="22"/>
          <w:szCs w:val="22"/>
          <w:lang w:eastAsia="en-AU"/>
          <w14:ligatures w14:val="standardContextual"/>
        </w:rPr>
      </w:pPr>
      <w:hyperlink w:anchor="_Toc159225471" w:history="1">
        <w:r w:rsidR="00F73098" w:rsidRPr="00062ACA">
          <w:rPr>
            <w:rStyle w:val="Hyperlink"/>
            <w:noProof/>
          </w:rPr>
          <w:t>Search Terms</w:t>
        </w:r>
        <w:r w:rsidR="00F73098">
          <w:rPr>
            <w:noProof/>
            <w:webHidden/>
          </w:rPr>
          <w:tab/>
        </w:r>
        <w:r w:rsidR="00F73098">
          <w:rPr>
            <w:noProof/>
            <w:webHidden/>
          </w:rPr>
          <w:fldChar w:fldCharType="begin"/>
        </w:r>
        <w:r w:rsidR="00F73098">
          <w:rPr>
            <w:noProof/>
            <w:webHidden/>
          </w:rPr>
          <w:instrText xml:space="preserve"> PAGEREF _Toc159225471 \h </w:instrText>
        </w:r>
        <w:r w:rsidR="00F73098">
          <w:rPr>
            <w:noProof/>
            <w:webHidden/>
          </w:rPr>
        </w:r>
        <w:r w:rsidR="00F73098">
          <w:rPr>
            <w:noProof/>
            <w:webHidden/>
          </w:rPr>
          <w:fldChar w:fldCharType="separate"/>
        </w:r>
        <w:r w:rsidR="00F73098">
          <w:rPr>
            <w:noProof/>
            <w:webHidden/>
          </w:rPr>
          <w:t>8</w:t>
        </w:r>
        <w:r w:rsidR="00F73098">
          <w:rPr>
            <w:noProof/>
            <w:webHidden/>
          </w:rPr>
          <w:fldChar w:fldCharType="end"/>
        </w:r>
      </w:hyperlink>
    </w:p>
    <w:p w14:paraId="2F51A861" w14:textId="51E4D45E" w:rsidR="007052B1" w:rsidRDefault="007B7628" w:rsidP="007B6904">
      <w:pPr>
        <w:rPr>
          <w:rFonts w:asciiTheme="minorHAnsi" w:hAnsiTheme="minorHAnsi"/>
        </w:rPr>
      </w:pPr>
      <w:r>
        <w:rPr>
          <w:rFonts w:asciiTheme="minorHAnsi" w:hAnsiTheme="minorHAnsi"/>
        </w:rPr>
        <w:fldChar w:fldCharType="end"/>
      </w:r>
    </w:p>
    <w:p w14:paraId="2F51A863" w14:textId="5F2B71E6" w:rsidR="007B6904" w:rsidRPr="00BA683E" w:rsidRDefault="007052B1" w:rsidP="00BA683E">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59225457"/>
            <w:r w:rsidRPr="00CD1C0E">
              <w:lastRenderedPageBreak/>
              <w:t>Purpose</w:t>
            </w:r>
            <w:bookmarkEnd w:id="8"/>
            <w:bookmarkEnd w:id="9"/>
          </w:p>
        </w:tc>
      </w:tr>
    </w:tbl>
    <w:p w14:paraId="75DEB6FB" w14:textId="77777777" w:rsidR="00816C72" w:rsidRPr="000C1BB3" w:rsidRDefault="00816C72" w:rsidP="00816C72">
      <w:pPr>
        <w:adjustRightInd w:val="0"/>
        <w:spacing w:line="276" w:lineRule="auto"/>
        <w:rPr>
          <w:rFonts w:cs="Arial"/>
          <w:iCs/>
          <w:szCs w:val="24"/>
        </w:rPr>
      </w:pPr>
    </w:p>
    <w:p w14:paraId="7D3D9CCD" w14:textId="3EDA1B3C" w:rsidR="00816C72" w:rsidRPr="00816C72" w:rsidRDefault="00BF078E" w:rsidP="00816C72">
      <w:pPr>
        <w:adjustRightInd w:val="0"/>
        <w:spacing w:line="276" w:lineRule="auto"/>
        <w:rPr>
          <w:rFonts w:cs="Helvetica-Bold"/>
          <w:b/>
          <w:bCs/>
          <w:color w:val="000000"/>
          <w:sz w:val="22"/>
          <w:lang w:val="en-US"/>
        </w:rPr>
      </w:pPr>
      <w:r w:rsidRPr="000C1BB3">
        <w:rPr>
          <w:iCs/>
        </w:rPr>
        <w:t>The purpose of this procedure is to provide clinicians with information on</w:t>
      </w:r>
      <w:r w:rsidR="00816C72" w:rsidRPr="000C1BB3">
        <w:rPr>
          <w:iCs/>
        </w:rPr>
        <w:t xml:space="preserve"> </w:t>
      </w:r>
      <w:r w:rsidR="00816C72" w:rsidRPr="000C1BB3">
        <w:rPr>
          <w:rFonts w:cs="Helvetica"/>
          <w:iCs/>
          <w:color w:val="000000"/>
          <w:lang w:val="en-US"/>
        </w:rPr>
        <w:t>heparin infusions</w:t>
      </w:r>
      <w:r w:rsidR="00816C72">
        <w:rPr>
          <w:rFonts w:cs="Helvetica"/>
          <w:color w:val="000000"/>
          <w:lang w:val="en-US"/>
        </w:rPr>
        <w:t xml:space="preserve"> for patient with active thromboembolic disease and to ensure they are initiated and monitored </w:t>
      </w:r>
      <w:proofErr w:type="gramStart"/>
      <w:r w:rsidR="00816C72">
        <w:rPr>
          <w:rFonts w:cs="Helvetica"/>
          <w:color w:val="000000"/>
          <w:lang w:val="en-US"/>
        </w:rPr>
        <w:t>appropriately</w:t>
      </w:r>
      <w:proofErr w:type="gramEnd"/>
      <w:r w:rsidR="00816C72">
        <w:rPr>
          <w:rFonts w:cs="Helvetica-Bold"/>
          <w:b/>
          <w:bCs/>
          <w:color w:val="000000"/>
          <w:lang w:val="en-US"/>
        </w:rPr>
        <w:t xml:space="preserve"> </w:t>
      </w:r>
      <w:r w:rsidR="00816C72">
        <w:rPr>
          <w:rFonts w:cs="Helvetica"/>
          <w:color w:val="000000"/>
          <w:lang w:val="en-US"/>
        </w:rPr>
        <w:t>and therapeutic levels of anticoagulation are maintained.</w:t>
      </w:r>
    </w:p>
    <w:p w14:paraId="2F51A86F" w14:textId="77777777" w:rsidR="007B6904" w:rsidRDefault="007B6904" w:rsidP="00931B93">
      <w:pPr>
        <w:rPr>
          <w:rFonts w:cs="Arial"/>
          <w:szCs w:val="24"/>
        </w:rPr>
      </w:pPr>
    </w:p>
    <w:p w14:paraId="2F51A879" w14:textId="290A867D" w:rsidR="009E70F4" w:rsidRPr="009121F9" w:rsidRDefault="008E4C0E" w:rsidP="000C1BB3">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159225458"/>
            <w:r w:rsidRPr="003D2D06">
              <w:t>Scope</w:t>
            </w:r>
            <w:bookmarkEnd w:id="10"/>
            <w:bookmarkEnd w:id="11"/>
          </w:p>
        </w:tc>
      </w:tr>
    </w:tbl>
    <w:p w14:paraId="2F51A881" w14:textId="77777777" w:rsidR="00BF078E" w:rsidRPr="00BF078E" w:rsidRDefault="00BF078E" w:rsidP="00BF078E">
      <w:pPr>
        <w:outlineLvl w:val="0"/>
        <w:rPr>
          <w:rFonts w:cs="Arial"/>
          <w:i/>
          <w:szCs w:val="24"/>
        </w:rPr>
      </w:pPr>
    </w:p>
    <w:p w14:paraId="2F51A882" w14:textId="26582D7A" w:rsidR="00BF078E" w:rsidRPr="00816C72" w:rsidRDefault="00BF078E" w:rsidP="00BF078E">
      <w:pPr>
        <w:outlineLvl w:val="0"/>
        <w:rPr>
          <w:rFonts w:cs="Arial"/>
          <w:iCs/>
          <w:szCs w:val="24"/>
        </w:rPr>
      </w:pPr>
      <w:r w:rsidRPr="00816C72">
        <w:rPr>
          <w:rFonts w:cs="Arial"/>
          <w:iCs/>
          <w:szCs w:val="24"/>
        </w:rPr>
        <w:t>This document applies to</w:t>
      </w:r>
      <w:r w:rsidR="00366924" w:rsidRPr="00816C72">
        <w:rPr>
          <w:rFonts w:cs="Arial"/>
          <w:iCs/>
          <w:szCs w:val="24"/>
        </w:rPr>
        <w:t xml:space="preserve"> the following staff working within their scope of practice</w:t>
      </w:r>
      <w:r w:rsidR="00816C72" w:rsidRPr="00816C72">
        <w:rPr>
          <w:rFonts w:cs="Arial"/>
          <w:iCs/>
          <w:szCs w:val="24"/>
        </w:rPr>
        <w:t xml:space="preserve"> at NCH</w:t>
      </w:r>
      <w:r w:rsidRPr="00816C72">
        <w:rPr>
          <w:rFonts w:cs="Arial"/>
          <w:iCs/>
          <w:szCs w:val="24"/>
        </w:rPr>
        <w:t>:</w:t>
      </w:r>
    </w:p>
    <w:p w14:paraId="2F51A883" w14:textId="77777777" w:rsidR="00BF078E" w:rsidRPr="00816C72" w:rsidRDefault="00BF078E" w:rsidP="00E50038">
      <w:pPr>
        <w:pStyle w:val="ListBullet"/>
        <w:tabs>
          <w:tab w:val="clear" w:pos="1080"/>
        </w:tabs>
        <w:ind w:left="426" w:hanging="426"/>
        <w:rPr>
          <w:iCs/>
        </w:rPr>
      </w:pPr>
      <w:r w:rsidRPr="00816C72">
        <w:rPr>
          <w:iCs/>
        </w:rPr>
        <w:t>Medical Officers</w:t>
      </w:r>
    </w:p>
    <w:p w14:paraId="366B7306" w14:textId="0AB9DF71" w:rsidR="00816C72" w:rsidRPr="00816C72" w:rsidRDefault="00816C72" w:rsidP="00E50038">
      <w:pPr>
        <w:pStyle w:val="ListBullet"/>
        <w:tabs>
          <w:tab w:val="clear" w:pos="1080"/>
        </w:tabs>
        <w:ind w:left="426" w:hanging="426"/>
        <w:rPr>
          <w:iCs/>
        </w:rPr>
      </w:pPr>
      <w:r w:rsidRPr="00816C72">
        <w:rPr>
          <w:iCs/>
        </w:rPr>
        <w:t xml:space="preserve">Pharmacy </w:t>
      </w:r>
      <w:r w:rsidR="0082345B">
        <w:rPr>
          <w:iCs/>
        </w:rPr>
        <w:t xml:space="preserve">Department staff </w:t>
      </w:r>
    </w:p>
    <w:p w14:paraId="2F51A884" w14:textId="22125D32" w:rsidR="00BF078E" w:rsidRPr="00816C72" w:rsidRDefault="00BF078E" w:rsidP="00E50038">
      <w:pPr>
        <w:pStyle w:val="ListBullet"/>
        <w:tabs>
          <w:tab w:val="clear" w:pos="1080"/>
        </w:tabs>
        <w:ind w:left="426" w:hanging="426"/>
        <w:rPr>
          <w:iCs/>
        </w:rPr>
      </w:pPr>
      <w:r w:rsidRPr="00816C72">
        <w:rPr>
          <w:iCs/>
        </w:rPr>
        <w:t xml:space="preserve">Nurses and Midwives  </w:t>
      </w:r>
    </w:p>
    <w:p w14:paraId="2F51A885" w14:textId="77777777" w:rsidR="00931B93" w:rsidRPr="00816C72" w:rsidRDefault="00BF078E" w:rsidP="00E50038">
      <w:pPr>
        <w:pStyle w:val="ListBullet"/>
        <w:tabs>
          <w:tab w:val="clear" w:pos="1080"/>
        </w:tabs>
        <w:ind w:left="426" w:hanging="426"/>
        <w:rPr>
          <w:iCs/>
        </w:rPr>
      </w:pPr>
      <w:r w:rsidRPr="00816C72">
        <w:rPr>
          <w:iCs/>
        </w:rPr>
        <w:t>Student Nurses under direct supervision.</w:t>
      </w:r>
    </w:p>
    <w:p w14:paraId="2F51A886" w14:textId="17F9A87A" w:rsidR="001F2A9B" w:rsidRDefault="001F2A9B" w:rsidP="00F14EC1"/>
    <w:p w14:paraId="608F45C5" w14:textId="77777777" w:rsidR="007E2EAD" w:rsidRPr="009121F9" w:rsidRDefault="008E4C0E" w:rsidP="007E2EAD">
      <w:pPr>
        <w:jc w:val="right"/>
        <w:rPr>
          <w:rFonts w:cs="Arial"/>
          <w:b/>
          <w:szCs w:val="24"/>
        </w:rPr>
      </w:pPr>
      <w:hyperlink w:anchor="Contents" w:history="1">
        <w:r w:rsidR="007E2EA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E2EAD" w:rsidRPr="00CD1C0E" w14:paraId="583972B9" w14:textId="77777777" w:rsidTr="00F40CFA">
        <w:trPr>
          <w:cantSplit/>
          <w:trHeight w:val="285"/>
        </w:trPr>
        <w:tc>
          <w:tcPr>
            <w:tcW w:w="9158" w:type="dxa"/>
            <w:shd w:val="clear" w:color="auto" w:fill="A6A6A6" w:themeFill="background1" w:themeFillShade="A6"/>
          </w:tcPr>
          <w:p w14:paraId="737485AF" w14:textId="779D6017" w:rsidR="007E2EAD" w:rsidRPr="007E2EAD" w:rsidRDefault="007E2EAD" w:rsidP="007E2EAD">
            <w:pPr>
              <w:pStyle w:val="Heading1"/>
            </w:pPr>
            <w:bookmarkStart w:id="12" w:name="_Toc159225459"/>
            <w:r>
              <w:t>Alerts</w:t>
            </w:r>
            <w:bookmarkEnd w:id="12"/>
          </w:p>
        </w:tc>
      </w:tr>
    </w:tbl>
    <w:p w14:paraId="5FC10FC8" w14:textId="77777777" w:rsidR="007E2EAD" w:rsidRDefault="007E2EAD" w:rsidP="00F14EC1"/>
    <w:p w14:paraId="26DD2078" w14:textId="379B9657" w:rsidR="007E2EAD" w:rsidRDefault="007E2EAD" w:rsidP="007E2EAD">
      <w:r>
        <w:t xml:space="preserve">Heparin is a </w:t>
      </w:r>
      <w:proofErr w:type="gramStart"/>
      <w:r w:rsidR="0082345B" w:rsidRPr="0082345B">
        <w:rPr>
          <w:b/>
          <w:bCs/>
        </w:rPr>
        <w:t>High Risk</w:t>
      </w:r>
      <w:proofErr w:type="gramEnd"/>
      <w:r w:rsidR="0082345B" w:rsidRPr="0082345B">
        <w:rPr>
          <w:b/>
          <w:bCs/>
        </w:rPr>
        <w:t xml:space="preserve"> Medicine</w:t>
      </w:r>
      <w:r w:rsidR="0082345B" w:rsidRPr="0082345B">
        <w:t>.</w:t>
      </w:r>
    </w:p>
    <w:p w14:paraId="0C335ECF" w14:textId="77777777" w:rsidR="007E2EAD" w:rsidRDefault="007E2EAD" w:rsidP="007E2EAD"/>
    <w:p w14:paraId="3D7BC364" w14:textId="0A5FF6E6" w:rsidR="007E2EAD" w:rsidRDefault="007E2EAD" w:rsidP="007E2EAD">
      <w:r>
        <w:t xml:space="preserve">Any patient prescribed a heparin infusion should have their medications reviewed, </w:t>
      </w:r>
      <w:r w:rsidR="00F14243">
        <w:t>preferably</w:t>
      </w:r>
      <w:r>
        <w:t xml:space="preserve"> by a pharmacist </w:t>
      </w:r>
      <w:r w:rsidR="00F14243">
        <w:t>as</w:t>
      </w:r>
      <w:r>
        <w:t xml:space="preserve"> the risk of bleeding with heparin is high.</w:t>
      </w:r>
    </w:p>
    <w:p w14:paraId="2C4E0D1A" w14:textId="77777777" w:rsidR="007E2EAD" w:rsidRDefault="007E2EAD" w:rsidP="007E2EAD"/>
    <w:p w14:paraId="089C64EE" w14:textId="7F880656" w:rsidR="0082345B" w:rsidRDefault="007E2EAD" w:rsidP="007E2EAD">
      <w:r>
        <w:t>Before a heparin infusion is commenced</w:t>
      </w:r>
      <w:r w:rsidR="0082345B">
        <w:t>,</w:t>
      </w:r>
      <w:r>
        <w:t xml:space="preserve"> the Medication Administration record (MAR) in DHR should be reviewed to ensure no orders for any other anticoagulants are current</w:t>
      </w:r>
      <w:r w:rsidR="0082345B">
        <w:t xml:space="preserve"> – </w:t>
      </w:r>
    </w:p>
    <w:p w14:paraId="2819B538" w14:textId="099D229D" w:rsidR="007E2EAD" w:rsidRDefault="0082345B" w:rsidP="007E2EAD">
      <w:r>
        <w:t>u</w:t>
      </w:r>
      <w:r w:rsidR="007E2EAD">
        <w:t>nless the patient is transferring from a heparin infusion to another anticoagulant</w:t>
      </w:r>
      <w:r>
        <w:t>.</w:t>
      </w:r>
    </w:p>
    <w:p w14:paraId="1D8F9924" w14:textId="77777777" w:rsidR="007E2EAD" w:rsidRDefault="007E2EAD" w:rsidP="007E2EAD"/>
    <w:p w14:paraId="78E436F2" w14:textId="7238D5CF" w:rsidR="00F14243" w:rsidRDefault="007E2EAD" w:rsidP="007E2EAD">
      <w:r>
        <w:t xml:space="preserve">Patients should be aware of the risks and benefits of the heparin infusion. The </w:t>
      </w:r>
      <w:r w:rsidR="00F14243">
        <w:t xml:space="preserve">Heparin Consumer Medicines Information (CMI) is available </w:t>
      </w:r>
      <w:hyperlink r:id="rId11" w:history="1">
        <w:r w:rsidR="00F14243" w:rsidRPr="00F14243">
          <w:rPr>
            <w:rStyle w:val="Hyperlink"/>
          </w:rPr>
          <w:t>here</w:t>
        </w:r>
      </w:hyperlink>
      <w:r w:rsidR="00F14243">
        <w:t xml:space="preserve"> and should be given to all patients who received a heparin infusion.</w:t>
      </w:r>
    </w:p>
    <w:p w14:paraId="6FFF726E" w14:textId="77777777" w:rsidR="00F14243" w:rsidRDefault="00F14243" w:rsidP="007E2EAD"/>
    <w:p w14:paraId="5CE40776" w14:textId="129C2DBB" w:rsidR="00F14243" w:rsidRDefault="00F14243" w:rsidP="007E2EAD">
      <w:r>
        <w:t xml:space="preserve">All clinicians who prescribe, dispense or administer heparin should have completed the </w:t>
      </w:r>
      <w:proofErr w:type="gramStart"/>
      <w:r>
        <w:t>High Risk</w:t>
      </w:r>
      <w:proofErr w:type="gramEnd"/>
      <w:r>
        <w:t xml:space="preserve"> Medicines Module on Anticoagulants – available in HRIMS</w:t>
      </w:r>
      <w:r w:rsidR="0082345B">
        <w:t xml:space="preserve">. </w:t>
      </w:r>
    </w:p>
    <w:p w14:paraId="56EEED03" w14:textId="77777777" w:rsidR="00F14243" w:rsidRDefault="00F14243" w:rsidP="007E2EAD"/>
    <w:p w14:paraId="29C8DC0E" w14:textId="03669E9A" w:rsidR="007E2EAD" w:rsidRDefault="00F14243" w:rsidP="007E2EAD">
      <w:r>
        <w:t xml:space="preserve">Protamine – the reversal agent for </w:t>
      </w:r>
      <w:r w:rsidR="0082345B">
        <w:t>h</w:t>
      </w:r>
      <w:r>
        <w:t xml:space="preserve">eparin, should be available in all clinical areas where a heparin infusion is administered. </w:t>
      </w:r>
    </w:p>
    <w:p w14:paraId="7921754C" w14:textId="77777777" w:rsidR="007E2EAD" w:rsidRDefault="007E2EAD" w:rsidP="0082345B"/>
    <w:p w14:paraId="2F51A887" w14:textId="629494E8" w:rsidR="007B6904" w:rsidRDefault="008E4C0E" w:rsidP="00F14EC1">
      <w:pPr>
        <w:jc w:val="right"/>
        <w:rPr>
          <w:rStyle w:val="Hyperlink"/>
          <w:rFonts w:cs="Arial"/>
          <w:i/>
          <w:szCs w:val="24"/>
        </w:rPr>
      </w:pPr>
      <w:hyperlink w:anchor="Contents" w:history="1">
        <w:r w:rsidR="009E70F4" w:rsidRPr="00590902">
          <w:rPr>
            <w:rStyle w:val="Hyperlink"/>
            <w:rFonts w:cs="Arial"/>
            <w:i/>
            <w:szCs w:val="24"/>
          </w:rPr>
          <w:t>Back to Table of Contents</w:t>
        </w:r>
      </w:hyperlink>
    </w:p>
    <w:p w14:paraId="6397C5CA" w14:textId="77777777" w:rsidR="0082345B" w:rsidRDefault="0082345B" w:rsidP="00F14EC1">
      <w:pPr>
        <w:jc w:val="right"/>
        <w:rPr>
          <w:rStyle w:val="Hyperlink"/>
          <w:rFonts w:cs="Arial"/>
          <w:i/>
          <w:szCs w:val="24"/>
        </w:rPr>
      </w:pPr>
    </w:p>
    <w:p w14:paraId="1A9DE4C0" w14:textId="77777777" w:rsidR="0082345B" w:rsidRPr="00CD1C0E" w:rsidRDefault="0082345B" w:rsidP="00F14EC1">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7B228F79" w:rsidR="007B6904" w:rsidRPr="00C76688" w:rsidRDefault="007B6904" w:rsidP="00931B93">
            <w:pPr>
              <w:pStyle w:val="Heading1"/>
            </w:pPr>
            <w:bookmarkStart w:id="13" w:name="_Toc389473278"/>
            <w:bookmarkStart w:id="14" w:name="_Toc159225460"/>
            <w:r w:rsidRPr="00C76688">
              <w:lastRenderedPageBreak/>
              <w:t>Section 1 –</w:t>
            </w:r>
            <w:r>
              <w:t xml:space="preserve"> </w:t>
            </w:r>
            <w:bookmarkEnd w:id="13"/>
            <w:r w:rsidR="00816C72">
              <w:t>Equipment</w:t>
            </w:r>
            <w:bookmarkEnd w:id="14"/>
          </w:p>
        </w:tc>
      </w:tr>
    </w:tbl>
    <w:p w14:paraId="2F51A88A" w14:textId="77777777" w:rsidR="007B6904" w:rsidRDefault="007B6904" w:rsidP="007B6904">
      <w:pPr>
        <w:outlineLvl w:val="0"/>
        <w:rPr>
          <w:szCs w:val="24"/>
        </w:rPr>
      </w:pPr>
    </w:p>
    <w:p w14:paraId="18A14177" w14:textId="77777777" w:rsidR="00E50038" w:rsidRPr="00E50038" w:rsidRDefault="00E50038" w:rsidP="00E50038">
      <w:pPr>
        <w:pStyle w:val="ListBullet"/>
        <w:tabs>
          <w:tab w:val="clear" w:pos="1080"/>
        </w:tabs>
        <w:ind w:left="426" w:hanging="426"/>
      </w:pPr>
      <w:r>
        <w:t>Smart infusion pump with drug library software</w:t>
      </w:r>
    </w:p>
    <w:p w14:paraId="7D593D15" w14:textId="77777777" w:rsidR="00E50038" w:rsidRDefault="00E50038" w:rsidP="00E50038">
      <w:pPr>
        <w:pStyle w:val="ListBullet"/>
        <w:tabs>
          <w:tab w:val="clear" w:pos="1080"/>
        </w:tabs>
        <w:ind w:left="426" w:hanging="426"/>
      </w:pPr>
      <w:r>
        <w:t>Heparin infusion bag 25,000 units in 250mL sodium chloride 0.9% (100 units/mL) (commercial premixed bag)</w:t>
      </w:r>
    </w:p>
    <w:p w14:paraId="63893A13" w14:textId="08627D0C" w:rsidR="00E50038" w:rsidRDefault="00E50038" w:rsidP="00E50038">
      <w:pPr>
        <w:pStyle w:val="ListBullet"/>
        <w:tabs>
          <w:tab w:val="clear" w:pos="1080"/>
        </w:tabs>
        <w:ind w:left="426" w:hanging="426"/>
      </w:pPr>
      <w:r>
        <w:t>Standard giving set for administration</w:t>
      </w:r>
      <w:r w:rsidR="00D27307">
        <w:t>.</w:t>
      </w:r>
    </w:p>
    <w:p w14:paraId="2F51A892" w14:textId="50992514" w:rsidR="007B6904" w:rsidRDefault="007B6904" w:rsidP="007B6904">
      <w:pPr>
        <w:rPr>
          <w:rFonts w:cs="Arial"/>
          <w:i/>
          <w:szCs w:val="24"/>
        </w:rPr>
      </w:pPr>
    </w:p>
    <w:p w14:paraId="2F51A893" w14:textId="77777777" w:rsidR="007B6904" w:rsidRDefault="008E4C0E"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2F25EF2F" w:rsidR="007B6904" w:rsidRPr="00C76688" w:rsidRDefault="007B6904" w:rsidP="004213C3">
            <w:pPr>
              <w:pStyle w:val="Heading1"/>
            </w:pPr>
            <w:bookmarkStart w:id="15" w:name="_Toc389473281"/>
            <w:bookmarkStart w:id="16" w:name="_Toc159225461"/>
            <w:r w:rsidRPr="00C76688">
              <w:t xml:space="preserve">Section 2 – </w:t>
            </w:r>
            <w:bookmarkEnd w:id="15"/>
            <w:r w:rsidR="00816C72">
              <w:t>Indications and Contraindications for Heparin Infusion</w:t>
            </w:r>
            <w:bookmarkEnd w:id="16"/>
          </w:p>
        </w:tc>
      </w:tr>
    </w:tbl>
    <w:p w14:paraId="19DF6DF7" w14:textId="77777777" w:rsidR="000C1BB3" w:rsidRDefault="000C1BB3" w:rsidP="007B6904">
      <w:pPr>
        <w:rPr>
          <w:rFonts w:cs="Arial"/>
          <w:b/>
          <w:szCs w:val="24"/>
        </w:rPr>
      </w:pPr>
    </w:p>
    <w:p w14:paraId="2F51A897" w14:textId="13D62894" w:rsidR="007B6904" w:rsidRDefault="00816C72" w:rsidP="007B6904">
      <w:pPr>
        <w:rPr>
          <w:rFonts w:cs="Arial"/>
          <w:b/>
          <w:szCs w:val="24"/>
        </w:rPr>
      </w:pPr>
      <w:r>
        <w:rPr>
          <w:rFonts w:cs="Arial"/>
          <w:b/>
          <w:szCs w:val="24"/>
        </w:rPr>
        <w:t>Indications</w:t>
      </w:r>
    </w:p>
    <w:p w14:paraId="5E0E07FA" w14:textId="77777777" w:rsidR="00816C72" w:rsidRDefault="00816C72" w:rsidP="00816C72">
      <w:pPr>
        <w:autoSpaceDE w:val="0"/>
        <w:autoSpaceDN w:val="0"/>
        <w:adjustRightInd w:val="0"/>
      </w:pPr>
      <w:r>
        <w:t>Used for the treatment and prophylaxis of thromboembolic disorders including:</w:t>
      </w:r>
    </w:p>
    <w:p w14:paraId="5B54F1D6" w14:textId="77777777" w:rsidR="00816C72" w:rsidRDefault="00816C72" w:rsidP="00816C72">
      <w:pPr>
        <w:pStyle w:val="ListBullet"/>
        <w:tabs>
          <w:tab w:val="clear" w:pos="1080"/>
        </w:tabs>
        <w:ind w:left="426" w:hanging="426"/>
      </w:pPr>
      <w:r>
        <w:t xml:space="preserve">Therapeutic anticoagulation where there is a concern regarding potential for </w:t>
      </w:r>
      <w:proofErr w:type="gramStart"/>
      <w:r>
        <w:t>bleeding</w:t>
      </w:r>
      <w:proofErr w:type="gramEnd"/>
    </w:p>
    <w:p w14:paraId="64CE8DC9" w14:textId="77777777" w:rsidR="00816C72" w:rsidRDefault="00816C72" w:rsidP="00816C72">
      <w:pPr>
        <w:pStyle w:val="ListBullet"/>
        <w:tabs>
          <w:tab w:val="clear" w:pos="1080"/>
        </w:tabs>
        <w:ind w:left="426" w:hanging="426"/>
      </w:pPr>
      <w:r>
        <w:t xml:space="preserve">Treatment of acute venous thromboembolism in the medically unstable patient or in those patients whom surgery is </w:t>
      </w:r>
      <w:proofErr w:type="gramStart"/>
      <w:r>
        <w:t>imminent</w:t>
      </w:r>
      <w:proofErr w:type="gramEnd"/>
    </w:p>
    <w:p w14:paraId="63223933" w14:textId="77777777" w:rsidR="00816C72" w:rsidRDefault="00816C72" w:rsidP="00816C72">
      <w:pPr>
        <w:pStyle w:val="ListBullet"/>
        <w:tabs>
          <w:tab w:val="clear" w:pos="1080"/>
        </w:tabs>
        <w:ind w:left="426" w:hanging="426"/>
      </w:pPr>
      <w:r>
        <w:t xml:space="preserve">Prevention of arterial thromboembolism in medically unstable patients with cardiac arrhythmias and/or presumed embolic </w:t>
      </w:r>
      <w:proofErr w:type="gramStart"/>
      <w:r>
        <w:t>stroke</w:t>
      </w:r>
      <w:proofErr w:type="gramEnd"/>
    </w:p>
    <w:p w14:paraId="32F949EC" w14:textId="395785E3" w:rsidR="00816C72" w:rsidRDefault="00816C72" w:rsidP="00816C72">
      <w:pPr>
        <w:pStyle w:val="ListBullet"/>
        <w:tabs>
          <w:tab w:val="clear" w:pos="1080"/>
        </w:tabs>
        <w:ind w:left="426" w:hanging="426"/>
      </w:pPr>
      <w:r>
        <w:t>Perioperative anticoagulation in patients with prosthetic heart valves</w:t>
      </w:r>
      <w:r w:rsidR="00D27307">
        <w:t>.</w:t>
      </w:r>
    </w:p>
    <w:p w14:paraId="0E1E03C2" w14:textId="77777777" w:rsidR="00D27307" w:rsidRPr="00816C72" w:rsidRDefault="00D27307" w:rsidP="00816C72">
      <w:pPr>
        <w:rPr>
          <w:b/>
          <w:bCs/>
        </w:rPr>
      </w:pPr>
    </w:p>
    <w:tbl>
      <w:tblPr>
        <w:tblStyle w:val="TableGrid"/>
        <w:tblpPr w:leftFromText="180" w:rightFromText="180" w:vertAnchor="text" w:horzAnchor="margin" w:tblpXSpec="right" w:tblpY="5"/>
        <w:tblW w:w="0" w:type="auto"/>
        <w:tblLook w:val="04A0" w:firstRow="1" w:lastRow="0" w:firstColumn="1" w:lastColumn="0" w:noHBand="0" w:noVBand="1"/>
      </w:tblPr>
      <w:tblGrid>
        <w:gridCol w:w="4390"/>
        <w:gridCol w:w="4536"/>
      </w:tblGrid>
      <w:tr w:rsidR="00816C72" w14:paraId="6F215AEA" w14:textId="77777777" w:rsidTr="00816C72">
        <w:tc>
          <w:tcPr>
            <w:tcW w:w="4390" w:type="dxa"/>
            <w:tcBorders>
              <w:top w:val="single" w:sz="4" w:space="0" w:color="auto"/>
              <w:left w:val="single" w:sz="4" w:space="0" w:color="auto"/>
              <w:bottom w:val="single" w:sz="4" w:space="0" w:color="auto"/>
              <w:right w:val="single" w:sz="4" w:space="0" w:color="auto"/>
            </w:tcBorders>
            <w:vAlign w:val="center"/>
            <w:hideMark/>
          </w:tcPr>
          <w:p w14:paraId="374F4A82" w14:textId="49D720F1" w:rsidR="00816C72" w:rsidRDefault="00816C72">
            <w:pPr>
              <w:rPr>
                <w:b/>
              </w:rPr>
            </w:pPr>
            <w:r>
              <w:rPr>
                <w:b/>
              </w:rPr>
              <w:t>Contraindications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7EA35DD" w14:textId="51306D1F" w:rsidR="00816C72" w:rsidRDefault="00816C72">
            <w:pPr>
              <w:rPr>
                <w:b/>
              </w:rPr>
            </w:pPr>
            <w:r>
              <w:rPr>
                <w:b/>
              </w:rPr>
              <w:t>Special Considerations</w:t>
            </w:r>
          </w:p>
        </w:tc>
      </w:tr>
      <w:tr w:rsidR="00816C72" w14:paraId="37D55867" w14:textId="77777777" w:rsidTr="00816C72">
        <w:tc>
          <w:tcPr>
            <w:tcW w:w="4390" w:type="dxa"/>
            <w:tcBorders>
              <w:top w:val="single" w:sz="4" w:space="0" w:color="auto"/>
              <w:left w:val="single" w:sz="4" w:space="0" w:color="auto"/>
              <w:bottom w:val="single" w:sz="4" w:space="0" w:color="auto"/>
              <w:right w:val="single" w:sz="4" w:space="0" w:color="auto"/>
            </w:tcBorders>
            <w:vAlign w:val="center"/>
            <w:hideMark/>
          </w:tcPr>
          <w:p w14:paraId="6DA9B81E" w14:textId="3CF0332D" w:rsidR="00816C72" w:rsidRDefault="00816C72">
            <w:r>
              <w:t>Previous thrombocytopaenia with heparin</w:t>
            </w:r>
            <w:r w:rsidR="00D27307">
              <w:t xml:space="preserve"> (</w:t>
            </w:r>
            <w:proofErr w:type="gramStart"/>
            <w:r w:rsidR="00D27307">
              <w:t>i.e.</w:t>
            </w:r>
            <w:proofErr w:type="gramEnd"/>
            <w:r w:rsidR="00D27307">
              <w:t xml:space="preserve"> Heparin Induced Thrombocytopaenia) </w:t>
            </w:r>
            <w:r>
              <w:t>or</w:t>
            </w:r>
            <w:r w:rsidR="00D27307">
              <w:t xml:space="preserve"> </w:t>
            </w:r>
            <w:r>
              <w:t>LMWH</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3095382" w14:textId="77777777" w:rsidR="00816C72" w:rsidRDefault="00816C72">
            <w:r>
              <w:t>Severe renal impairment</w:t>
            </w:r>
          </w:p>
        </w:tc>
      </w:tr>
      <w:tr w:rsidR="00816C72" w14:paraId="2263CF6B" w14:textId="77777777" w:rsidTr="00816C72">
        <w:tc>
          <w:tcPr>
            <w:tcW w:w="4390" w:type="dxa"/>
            <w:tcBorders>
              <w:top w:val="single" w:sz="4" w:space="0" w:color="auto"/>
              <w:left w:val="single" w:sz="4" w:space="0" w:color="auto"/>
              <w:bottom w:val="single" w:sz="4" w:space="0" w:color="auto"/>
              <w:right w:val="single" w:sz="4" w:space="0" w:color="auto"/>
            </w:tcBorders>
            <w:vAlign w:val="center"/>
            <w:hideMark/>
          </w:tcPr>
          <w:p w14:paraId="0EAD2769" w14:textId="77777777" w:rsidR="00816C72" w:rsidRDefault="00816C72">
            <w:r>
              <w:t>Known hypersensitivity to heparin or pork products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3CD9F45" w14:textId="77777777" w:rsidR="00816C72" w:rsidRDefault="00816C72">
            <w:r>
              <w:t>Mild to moderate hepatic impairment</w:t>
            </w:r>
          </w:p>
        </w:tc>
      </w:tr>
      <w:tr w:rsidR="00816C72" w14:paraId="3AB9AC63" w14:textId="77777777" w:rsidTr="00816C72">
        <w:tc>
          <w:tcPr>
            <w:tcW w:w="4390" w:type="dxa"/>
            <w:tcBorders>
              <w:top w:val="single" w:sz="4" w:space="0" w:color="auto"/>
              <w:left w:val="single" w:sz="4" w:space="0" w:color="auto"/>
              <w:bottom w:val="single" w:sz="4" w:space="0" w:color="auto"/>
              <w:right w:val="single" w:sz="4" w:space="0" w:color="auto"/>
            </w:tcBorders>
            <w:vAlign w:val="center"/>
            <w:hideMark/>
          </w:tcPr>
          <w:p w14:paraId="6A18FBEF" w14:textId="77777777" w:rsidR="00816C72" w:rsidRDefault="00816C72">
            <w:r>
              <w:t>Bleeding disorders or thrombocytopaenia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B85E547" w14:textId="77777777" w:rsidR="00816C72" w:rsidRDefault="00816C72">
            <w:r>
              <w:t>Elderly</w:t>
            </w:r>
          </w:p>
        </w:tc>
      </w:tr>
      <w:tr w:rsidR="00816C72" w14:paraId="30D0CEAF" w14:textId="77777777" w:rsidTr="00816C72">
        <w:tc>
          <w:tcPr>
            <w:tcW w:w="4390" w:type="dxa"/>
            <w:tcBorders>
              <w:top w:val="single" w:sz="4" w:space="0" w:color="auto"/>
              <w:left w:val="single" w:sz="4" w:space="0" w:color="auto"/>
              <w:bottom w:val="single" w:sz="4" w:space="0" w:color="auto"/>
              <w:right w:val="single" w:sz="4" w:space="0" w:color="auto"/>
            </w:tcBorders>
            <w:vAlign w:val="center"/>
            <w:hideMark/>
          </w:tcPr>
          <w:p w14:paraId="00171268" w14:textId="77777777" w:rsidR="00816C72" w:rsidRDefault="00816C72">
            <w:r>
              <w:t>Peptic ulcers or oesophageal varices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029DB5A" w14:textId="77777777" w:rsidR="00816C72" w:rsidRDefault="00816C72">
            <w:r>
              <w:t>Pregnancy or breastfeeding</w:t>
            </w:r>
          </w:p>
        </w:tc>
      </w:tr>
      <w:tr w:rsidR="00816C72" w14:paraId="67277E85" w14:textId="77777777" w:rsidTr="00816C72">
        <w:tc>
          <w:tcPr>
            <w:tcW w:w="4390" w:type="dxa"/>
            <w:tcBorders>
              <w:top w:val="single" w:sz="4" w:space="0" w:color="auto"/>
              <w:left w:val="single" w:sz="4" w:space="0" w:color="auto"/>
              <w:bottom w:val="single" w:sz="4" w:space="0" w:color="auto"/>
              <w:right w:val="single" w:sz="4" w:space="0" w:color="auto"/>
            </w:tcBorders>
            <w:vAlign w:val="center"/>
            <w:hideMark/>
          </w:tcPr>
          <w:p w14:paraId="5595DF8A" w14:textId="77777777" w:rsidR="00816C72" w:rsidRDefault="00816C72">
            <w:r>
              <w:t>Severe uncontrolled hypertension</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71ADA232" w14:textId="77777777" w:rsidR="00816C72" w:rsidRDefault="00816C72">
            <w:r>
              <w:t>Drug Interactions:</w:t>
            </w:r>
          </w:p>
          <w:p w14:paraId="2D345C0A" w14:textId="77777777" w:rsidR="00816C72" w:rsidRDefault="00816C72" w:rsidP="00816C72">
            <w:pPr>
              <w:pStyle w:val="ListParagraph"/>
              <w:numPr>
                <w:ilvl w:val="0"/>
                <w:numId w:val="17"/>
              </w:numPr>
              <w:autoSpaceDE w:val="0"/>
              <w:autoSpaceDN w:val="0"/>
              <w:adjustRightInd w:val="0"/>
              <w:contextualSpacing w:val="0"/>
            </w:pPr>
            <w:r>
              <w:t>Antiplatelets – aspirin, clopidogrel, ticagrelor, prasugrel</w:t>
            </w:r>
          </w:p>
          <w:p w14:paraId="4CBBB97C" w14:textId="77777777" w:rsidR="00816C72" w:rsidRDefault="00816C72" w:rsidP="00816C72">
            <w:pPr>
              <w:pStyle w:val="ListParagraph"/>
              <w:numPr>
                <w:ilvl w:val="0"/>
                <w:numId w:val="17"/>
              </w:numPr>
              <w:autoSpaceDE w:val="0"/>
              <w:autoSpaceDN w:val="0"/>
              <w:adjustRightInd w:val="0"/>
              <w:contextualSpacing w:val="0"/>
            </w:pPr>
            <w:r>
              <w:t>Anticoagulants – DOACs, warfarin</w:t>
            </w:r>
          </w:p>
          <w:p w14:paraId="58C79952" w14:textId="77777777" w:rsidR="00816C72" w:rsidRDefault="00816C72" w:rsidP="00816C72">
            <w:pPr>
              <w:pStyle w:val="ListParagraph"/>
              <w:numPr>
                <w:ilvl w:val="0"/>
                <w:numId w:val="17"/>
              </w:numPr>
              <w:autoSpaceDE w:val="0"/>
              <w:autoSpaceDN w:val="0"/>
              <w:adjustRightInd w:val="0"/>
              <w:contextualSpacing w:val="0"/>
            </w:pPr>
            <w:r>
              <w:t>NSAIDs</w:t>
            </w:r>
          </w:p>
          <w:p w14:paraId="7C51BF5E" w14:textId="77777777" w:rsidR="00816C72" w:rsidRDefault="00816C72" w:rsidP="00816C72">
            <w:pPr>
              <w:pStyle w:val="ListParagraph"/>
              <w:numPr>
                <w:ilvl w:val="0"/>
                <w:numId w:val="17"/>
              </w:numPr>
              <w:autoSpaceDE w:val="0"/>
              <w:autoSpaceDN w:val="0"/>
              <w:adjustRightInd w:val="0"/>
              <w:contextualSpacing w:val="0"/>
            </w:pPr>
            <w:r>
              <w:t>Dextran 40</w:t>
            </w:r>
          </w:p>
        </w:tc>
      </w:tr>
      <w:tr w:rsidR="00816C72" w14:paraId="5180887F" w14:textId="77777777" w:rsidTr="00816C72">
        <w:tc>
          <w:tcPr>
            <w:tcW w:w="4390" w:type="dxa"/>
            <w:tcBorders>
              <w:top w:val="single" w:sz="4" w:space="0" w:color="auto"/>
              <w:left w:val="single" w:sz="4" w:space="0" w:color="auto"/>
              <w:bottom w:val="single" w:sz="4" w:space="0" w:color="auto"/>
              <w:right w:val="single" w:sz="4" w:space="0" w:color="auto"/>
            </w:tcBorders>
            <w:vAlign w:val="center"/>
            <w:hideMark/>
          </w:tcPr>
          <w:p w14:paraId="712D9A71" w14:textId="77777777" w:rsidR="00816C72" w:rsidRDefault="00816C72">
            <w:r>
              <w:t>Cerebral haemorrhage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AD0FD" w14:textId="77777777" w:rsidR="00816C72" w:rsidRDefault="00816C72">
            <w:pPr>
              <w:rPr>
                <w:color w:val="000000" w:themeColor="text1"/>
                <w:sz w:val="22"/>
                <w:szCs w:val="22"/>
                <w:lang w:eastAsia="en-US"/>
              </w:rPr>
            </w:pPr>
          </w:p>
        </w:tc>
      </w:tr>
      <w:tr w:rsidR="00816C72" w14:paraId="367FD6FD" w14:textId="77777777" w:rsidTr="00816C72">
        <w:tc>
          <w:tcPr>
            <w:tcW w:w="4390" w:type="dxa"/>
            <w:tcBorders>
              <w:top w:val="single" w:sz="4" w:space="0" w:color="auto"/>
              <w:left w:val="single" w:sz="4" w:space="0" w:color="auto"/>
              <w:bottom w:val="single" w:sz="4" w:space="0" w:color="auto"/>
              <w:right w:val="single" w:sz="4" w:space="0" w:color="auto"/>
            </w:tcBorders>
            <w:vAlign w:val="center"/>
            <w:hideMark/>
          </w:tcPr>
          <w:p w14:paraId="4B016373" w14:textId="77777777" w:rsidR="00816C72" w:rsidRDefault="00816C72">
            <w:r>
              <w:t>Severe hepatic impairment/disease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12186" w14:textId="77777777" w:rsidR="00816C72" w:rsidRDefault="00816C72">
            <w:pPr>
              <w:rPr>
                <w:color w:val="000000" w:themeColor="text1"/>
                <w:sz w:val="22"/>
                <w:szCs w:val="22"/>
                <w:lang w:eastAsia="en-US"/>
              </w:rPr>
            </w:pPr>
          </w:p>
        </w:tc>
      </w:tr>
      <w:tr w:rsidR="00816C72" w14:paraId="299DE5A4" w14:textId="77777777" w:rsidTr="00816C72">
        <w:tc>
          <w:tcPr>
            <w:tcW w:w="4390" w:type="dxa"/>
            <w:tcBorders>
              <w:top w:val="single" w:sz="4" w:space="0" w:color="auto"/>
              <w:left w:val="single" w:sz="4" w:space="0" w:color="auto"/>
              <w:bottom w:val="single" w:sz="4" w:space="0" w:color="auto"/>
              <w:right w:val="single" w:sz="4" w:space="0" w:color="auto"/>
            </w:tcBorders>
            <w:vAlign w:val="center"/>
            <w:hideMark/>
          </w:tcPr>
          <w:p w14:paraId="6167826C" w14:textId="77777777" w:rsidR="00816C72" w:rsidRDefault="00816C72">
            <w:r>
              <w:t>Acute and subacute bacterial endocarditis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35342" w14:textId="77777777" w:rsidR="00816C72" w:rsidRDefault="00816C72">
            <w:pPr>
              <w:rPr>
                <w:color w:val="000000" w:themeColor="text1"/>
                <w:sz w:val="22"/>
                <w:szCs w:val="22"/>
                <w:lang w:eastAsia="en-US"/>
              </w:rPr>
            </w:pPr>
          </w:p>
        </w:tc>
      </w:tr>
    </w:tbl>
    <w:p w14:paraId="2F51A89F" w14:textId="4BB4BDAF" w:rsidR="007B6904" w:rsidRPr="00931B93" w:rsidRDefault="007B6904" w:rsidP="007B6904">
      <w:pPr>
        <w:rPr>
          <w:rFonts w:cs="Arial"/>
          <w:i/>
          <w:szCs w:val="24"/>
        </w:rPr>
      </w:pPr>
    </w:p>
    <w:p w14:paraId="2F51A8A0" w14:textId="77777777" w:rsidR="007B6904" w:rsidRDefault="008E4C0E"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42CBDAC2" w:rsidR="007B6904" w:rsidRPr="003D2D06" w:rsidRDefault="00962C46" w:rsidP="004213C3">
            <w:pPr>
              <w:pStyle w:val="Heading1"/>
            </w:pPr>
            <w:bookmarkStart w:id="17" w:name="_Toc389473284"/>
            <w:bookmarkStart w:id="18" w:name="_Toc159225462"/>
            <w:r>
              <w:t xml:space="preserve">Section </w:t>
            </w:r>
            <w:r w:rsidR="00816C72">
              <w:t>3</w:t>
            </w:r>
            <w:r w:rsidR="007B6904" w:rsidRPr="003D2D06">
              <w:t xml:space="preserve"> – </w:t>
            </w:r>
            <w:bookmarkEnd w:id="17"/>
            <w:r w:rsidR="00816C72">
              <w:t>Before Starting the Heparin Infusion</w:t>
            </w:r>
            <w:bookmarkEnd w:id="18"/>
          </w:p>
        </w:tc>
      </w:tr>
    </w:tbl>
    <w:p w14:paraId="2F51A8A4" w14:textId="77777777" w:rsidR="007B6904" w:rsidRDefault="007B6904" w:rsidP="007B6904">
      <w:pPr>
        <w:pStyle w:val="Heading2"/>
      </w:pPr>
    </w:p>
    <w:p w14:paraId="364A6EA3" w14:textId="77777777" w:rsidR="00816C72" w:rsidRPr="00816C72" w:rsidRDefault="00816C72" w:rsidP="00816C72">
      <w:pPr>
        <w:pStyle w:val="ListBullet"/>
        <w:tabs>
          <w:tab w:val="clear" w:pos="1080"/>
        </w:tabs>
        <w:ind w:left="426" w:hanging="426"/>
      </w:pPr>
      <w:r>
        <w:t xml:space="preserve">A full coagulation profile (including APTT, PT) and an FBC must be measured prior to initiation of the heparin infusion. If abnormal, seek haematology advice. </w:t>
      </w:r>
    </w:p>
    <w:p w14:paraId="608323BA" w14:textId="77777777" w:rsidR="00816C72" w:rsidRPr="00D27307" w:rsidRDefault="00816C72" w:rsidP="00816C72">
      <w:pPr>
        <w:pStyle w:val="ListBullet"/>
        <w:tabs>
          <w:tab w:val="clear" w:pos="1080"/>
        </w:tabs>
        <w:ind w:left="426" w:hanging="426"/>
        <w:rPr>
          <w:b/>
          <w:bCs/>
        </w:rPr>
      </w:pPr>
      <w:r w:rsidRPr="00D27307">
        <w:rPr>
          <w:b/>
          <w:bCs/>
        </w:rPr>
        <w:t xml:space="preserve">The patient must be weighed to determine actual/total body weight. </w:t>
      </w:r>
    </w:p>
    <w:p w14:paraId="21FE7F79" w14:textId="77777777" w:rsidR="00816C72" w:rsidRDefault="00816C72" w:rsidP="00816C72">
      <w:pPr>
        <w:pStyle w:val="ListBullet"/>
        <w:tabs>
          <w:tab w:val="clear" w:pos="1080"/>
        </w:tabs>
        <w:ind w:left="426" w:hanging="426"/>
      </w:pPr>
      <w:r>
        <w:lastRenderedPageBreak/>
        <w:t>The prescriber/MO must assess the patient for bleeding risk factors listed below and seek haematology advice if required:</w:t>
      </w:r>
    </w:p>
    <w:p w14:paraId="3108C91C" w14:textId="77777777" w:rsidR="000C1BB3" w:rsidRDefault="000C1BB3" w:rsidP="000C1BB3">
      <w:pPr>
        <w:pStyle w:val="ListBullet"/>
        <w:numPr>
          <w:ilvl w:val="0"/>
          <w:numId w:val="0"/>
        </w:num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237"/>
      </w:tblGrid>
      <w:tr w:rsidR="000C1BB3" w14:paraId="3490F20A" w14:textId="77777777" w:rsidTr="00D27307">
        <w:trPr>
          <w:trHeight w:val="120"/>
          <w:tblHeader/>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B3E07" w14:textId="77777777" w:rsidR="000C1BB3" w:rsidRDefault="000C1BB3" w:rsidP="00D27307">
            <w:pPr>
              <w:autoSpaceDE w:val="0"/>
              <w:autoSpaceDN w:val="0"/>
              <w:adjustRightInd w:val="0"/>
              <w:spacing w:line="256" w:lineRule="auto"/>
              <w:rPr>
                <w:rFonts w:asciiTheme="minorHAnsi" w:hAnsiTheme="minorHAnsi" w:cs="Calibri"/>
                <w:b/>
                <w:color w:val="000000"/>
                <w:sz w:val="22"/>
                <w:szCs w:val="24"/>
                <w:lang w:eastAsia="en-AU"/>
              </w:rPr>
            </w:pPr>
            <w:r>
              <w:rPr>
                <w:rFonts w:cs="Calibri"/>
                <w:b/>
                <w:color w:val="000000"/>
                <w:szCs w:val="24"/>
                <w:lang w:eastAsia="en-AU"/>
              </w:rPr>
              <w:t>Bleeding Risk Factor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74DCF" w14:textId="77777777" w:rsidR="000C1BB3" w:rsidRDefault="000C1BB3" w:rsidP="00D27307">
            <w:pPr>
              <w:autoSpaceDE w:val="0"/>
              <w:autoSpaceDN w:val="0"/>
              <w:adjustRightInd w:val="0"/>
              <w:spacing w:line="256" w:lineRule="auto"/>
              <w:rPr>
                <w:rFonts w:cs="Calibri"/>
                <w:b/>
                <w:color w:val="000000"/>
                <w:szCs w:val="24"/>
                <w:lang w:eastAsia="en-AU"/>
              </w:rPr>
            </w:pPr>
            <w:r>
              <w:rPr>
                <w:rFonts w:cs="Calibri"/>
                <w:b/>
                <w:color w:val="000000"/>
                <w:szCs w:val="24"/>
                <w:lang w:eastAsia="en-AU"/>
              </w:rPr>
              <w:t>Details</w:t>
            </w:r>
          </w:p>
        </w:tc>
      </w:tr>
      <w:tr w:rsidR="000C1BB3" w14:paraId="0677FA29" w14:textId="77777777" w:rsidTr="00D27307">
        <w:trPr>
          <w:trHeight w:val="1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23C6E" w14:textId="77777777" w:rsidR="000C1BB3" w:rsidRDefault="000C1BB3">
            <w:pPr>
              <w:autoSpaceDE w:val="0"/>
              <w:autoSpaceDN w:val="0"/>
              <w:adjustRightInd w:val="0"/>
              <w:spacing w:line="276" w:lineRule="auto"/>
              <w:rPr>
                <w:rFonts w:cs="Calibri"/>
                <w:color w:val="000000"/>
                <w:szCs w:val="24"/>
                <w:lang w:eastAsia="en-AU"/>
              </w:rPr>
            </w:pPr>
            <w:r>
              <w:rPr>
                <w:rFonts w:cs="Calibri"/>
                <w:color w:val="000000"/>
                <w:szCs w:val="24"/>
                <w:lang w:eastAsia="en-AU"/>
              </w:rPr>
              <w:t xml:space="preserve">Age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516C9" w14:textId="77777777" w:rsidR="000C1BB3" w:rsidRDefault="000C1BB3">
            <w:pPr>
              <w:autoSpaceDE w:val="0"/>
              <w:autoSpaceDN w:val="0"/>
              <w:adjustRightInd w:val="0"/>
              <w:spacing w:line="276" w:lineRule="auto"/>
              <w:rPr>
                <w:rFonts w:cs="Calibri"/>
                <w:color w:val="000000"/>
                <w:szCs w:val="24"/>
                <w:lang w:eastAsia="en-AU"/>
              </w:rPr>
            </w:pPr>
            <w:r>
              <w:rPr>
                <w:rFonts w:cs="Calibri"/>
                <w:color w:val="000000"/>
                <w:szCs w:val="24"/>
                <w:lang w:eastAsia="en-AU"/>
              </w:rPr>
              <w:t>&gt;75 years</w:t>
            </w:r>
          </w:p>
        </w:tc>
      </w:tr>
      <w:tr w:rsidR="000C1BB3" w14:paraId="07D2B6D3" w14:textId="77777777" w:rsidTr="00D27307">
        <w:trPr>
          <w:trHeight w:val="1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4A1E7" w14:textId="77777777" w:rsidR="000C1BB3" w:rsidRDefault="000C1BB3">
            <w:pPr>
              <w:autoSpaceDE w:val="0"/>
              <w:autoSpaceDN w:val="0"/>
              <w:adjustRightInd w:val="0"/>
              <w:spacing w:line="276" w:lineRule="auto"/>
              <w:rPr>
                <w:rFonts w:cs="Calibri"/>
                <w:color w:val="000000"/>
                <w:szCs w:val="24"/>
                <w:lang w:eastAsia="en-AU"/>
              </w:rPr>
            </w:pPr>
            <w:r>
              <w:rPr>
                <w:rFonts w:cs="Calibri"/>
                <w:color w:val="000000"/>
                <w:szCs w:val="24"/>
                <w:lang w:eastAsia="en-AU"/>
              </w:rPr>
              <w:t xml:space="preserve">Cardiac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3FECC" w14:textId="77777777" w:rsidR="000C1BB3" w:rsidRDefault="000C1BB3">
            <w:pPr>
              <w:autoSpaceDE w:val="0"/>
              <w:autoSpaceDN w:val="0"/>
              <w:adjustRightInd w:val="0"/>
              <w:spacing w:line="276" w:lineRule="auto"/>
              <w:rPr>
                <w:rFonts w:cs="Calibri"/>
                <w:color w:val="000000"/>
                <w:szCs w:val="24"/>
                <w:lang w:eastAsia="en-AU"/>
              </w:rPr>
            </w:pPr>
            <w:r>
              <w:rPr>
                <w:rFonts w:cs="Calibri"/>
                <w:color w:val="000000"/>
                <w:szCs w:val="24"/>
                <w:lang w:eastAsia="en-AU"/>
              </w:rPr>
              <w:t>Uncontrolled hypertension</w:t>
            </w:r>
          </w:p>
        </w:tc>
      </w:tr>
      <w:tr w:rsidR="000C1BB3" w14:paraId="7DF9EA86" w14:textId="77777777" w:rsidTr="00D27307">
        <w:trPr>
          <w:trHeight w:val="26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C608B" w14:textId="77777777" w:rsidR="000C1BB3" w:rsidRDefault="000C1BB3">
            <w:pPr>
              <w:autoSpaceDE w:val="0"/>
              <w:autoSpaceDN w:val="0"/>
              <w:adjustRightInd w:val="0"/>
              <w:spacing w:line="276" w:lineRule="auto"/>
              <w:rPr>
                <w:rFonts w:cs="Calibri"/>
                <w:color w:val="000000"/>
                <w:szCs w:val="24"/>
                <w:lang w:eastAsia="en-AU"/>
              </w:rPr>
            </w:pPr>
            <w:r>
              <w:rPr>
                <w:rFonts w:cs="Calibri"/>
                <w:color w:val="000000"/>
                <w:szCs w:val="24"/>
                <w:lang w:eastAsia="en-AU"/>
              </w:rPr>
              <w:t xml:space="preserve">Gastrointestinal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08E90" w14:textId="77777777" w:rsidR="000C1BB3" w:rsidRDefault="000C1BB3">
            <w:pPr>
              <w:autoSpaceDE w:val="0"/>
              <w:autoSpaceDN w:val="0"/>
              <w:adjustRightInd w:val="0"/>
              <w:spacing w:line="276" w:lineRule="auto"/>
              <w:rPr>
                <w:rFonts w:cs="Calibri"/>
                <w:color w:val="000000"/>
                <w:szCs w:val="24"/>
                <w:lang w:eastAsia="en-AU"/>
              </w:rPr>
            </w:pPr>
            <w:r>
              <w:rPr>
                <w:rFonts w:cs="Calibri"/>
                <w:color w:val="000000"/>
                <w:szCs w:val="24"/>
                <w:lang w:eastAsia="en-AU"/>
              </w:rPr>
              <w:t>History of gastrointestinal haemorrhage, active peptic ulcer, significant liver dysfunction or liver failure</w:t>
            </w:r>
          </w:p>
        </w:tc>
      </w:tr>
      <w:tr w:rsidR="000C1BB3" w14:paraId="777FA316" w14:textId="77777777" w:rsidTr="00D27307">
        <w:trPr>
          <w:trHeight w:val="31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70A11" w14:textId="77777777" w:rsidR="000C1BB3" w:rsidRDefault="000C1BB3">
            <w:pPr>
              <w:autoSpaceDE w:val="0"/>
              <w:autoSpaceDN w:val="0"/>
              <w:adjustRightInd w:val="0"/>
              <w:spacing w:line="276" w:lineRule="auto"/>
              <w:rPr>
                <w:rFonts w:cs="Calibri"/>
                <w:color w:val="000000"/>
                <w:szCs w:val="24"/>
                <w:lang w:eastAsia="en-AU"/>
              </w:rPr>
            </w:pPr>
            <w:r>
              <w:rPr>
                <w:rFonts w:cs="Calibri"/>
                <w:color w:val="000000"/>
                <w:szCs w:val="24"/>
                <w:lang w:eastAsia="en-AU"/>
              </w:rPr>
              <w:t xml:space="preserve">Haematologic/ Oncologic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A23E3" w14:textId="77777777" w:rsidR="000C1BB3" w:rsidRDefault="000C1BB3">
            <w:pPr>
              <w:autoSpaceDE w:val="0"/>
              <w:autoSpaceDN w:val="0"/>
              <w:adjustRightInd w:val="0"/>
              <w:spacing w:line="276" w:lineRule="auto"/>
              <w:rPr>
                <w:rFonts w:cs="Calibri"/>
                <w:color w:val="000000"/>
                <w:szCs w:val="24"/>
                <w:lang w:eastAsia="en-AU"/>
              </w:rPr>
            </w:pPr>
            <w:r>
              <w:rPr>
                <w:rFonts w:cs="Calibri"/>
                <w:color w:val="000000"/>
                <w:szCs w:val="24"/>
                <w:lang w:eastAsia="en-AU"/>
              </w:rPr>
              <w:t>Thrombocytopenia (platelet count &lt; 75x10</w:t>
            </w:r>
            <w:r>
              <w:rPr>
                <w:rFonts w:cs="Calibri"/>
                <w:color w:val="000000"/>
                <w:szCs w:val="24"/>
                <w:vertAlign w:val="superscript"/>
                <w:lang w:eastAsia="en-AU"/>
              </w:rPr>
              <w:t>9</w:t>
            </w:r>
            <w:r>
              <w:rPr>
                <w:rFonts w:cs="Calibri"/>
                <w:color w:val="000000"/>
                <w:szCs w:val="24"/>
                <w:lang w:eastAsia="en-AU"/>
              </w:rPr>
              <w:t>/L), platelet dysfunction, coagulation defect, underlying malignancy</w:t>
            </w:r>
          </w:p>
        </w:tc>
      </w:tr>
      <w:tr w:rsidR="000C1BB3" w14:paraId="6E797B3F" w14:textId="77777777" w:rsidTr="00D27307">
        <w:trPr>
          <w:trHeight w:val="1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08B35" w14:textId="77777777" w:rsidR="000C1BB3" w:rsidRDefault="000C1BB3">
            <w:pPr>
              <w:autoSpaceDE w:val="0"/>
              <w:autoSpaceDN w:val="0"/>
              <w:adjustRightInd w:val="0"/>
              <w:spacing w:line="276" w:lineRule="auto"/>
              <w:rPr>
                <w:rFonts w:cs="Calibri"/>
                <w:color w:val="000000"/>
                <w:szCs w:val="24"/>
                <w:lang w:eastAsia="en-AU"/>
              </w:rPr>
            </w:pPr>
            <w:r>
              <w:rPr>
                <w:rFonts w:cs="Calibri"/>
                <w:color w:val="000000"/>
                <w:szCs w:val="24"/>
                <w:lang w:eastAsia="en-AU"/>
              </w:rPr>
              <w:t xml:space="preserve">Neurologic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97927" w14:textId="77777777" w:rsidR="000C1BB3" w:rsidRDefault="000C1BB3">
            <w:pPr>
              <w:autoSpaceDE w:val="0"/>
              <w:autoSpaceDN w:val="0"/>
              <w:adjustRightInd w:val="0"/>
              <w:spacing w:line="276" w:lineRule="auto"/>
              <w:rPr>
                <w:rFonts w:cs="Calibri"/>
                <w:color w:val="000000"/>
                <w:szCs w:val="24"/>
                <w:lang w:eastAsia="en-AU"/>
              </w:rPr>
            </w:pPr>
            <w:r>
              <w:rPr>
                <w:rFonts w:cs="Calibri"/>
                <w:color w:val="000000"/>
                <w:szCs w:val="24"/>
                <w:lang w:eastAsia="en-AU"/>
              </w:rPr>
              <w:t>History of stroke, cognitive or psychological impairment</w:t>
            </w:r>
          </w:p>
        </w:tc>
      </w:tr>
      <w:tr w:rsidR="000C1BB3" w14:paraId="419BD7F7" w14:textId="77777777" w:rsidTr="00D27307">
        <w:trPr>
          <w:trHeight w:val="1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A14ED" w14:textId="77777777" w:rsidR="000C1BB3" w:rsidRDefault="000C1BB3">
            <w:pPr>
              <w:autoSpaceDE w:val="0"/>
              <w:autoSpaceDN w:val="0"/>
              <w:adjustRightInd w:val="0"/>
              <w:spacing w:line="276" w:lineRule="auto"/>
              <w:rPr>
                <w:rFonts w:cs="Calibri"/>
                <w:color w:val="000000"/>
                <w:szCs w:val="24"/>
                <w:lang w:eastAsia="en-AU"/>
              </w:rPr>
            </w:pPr>
            <w:r>
              <w:rPr>
                <w:rFonts w:cs="Calibri"/>
                <w:color w:val="000000"/>
                <w:szCs w:val="24"/>
                <w:lang w:eastAsia="en-AU"/>
              </w:rPr>
              <w:t xml:space="preserve">Renal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19772" w14:textId="77777777" w:rsidR="000C1BB3" w:rsidRDefault="000C1BB3">
            <w:pPr>
              <w:autoSpaceDE w:val="0"/>
              <w:autoSpaceDN w:val="0"/>
              <w:adjustRightInd w:val="0"/>
              <w:spacing w:line="276" w:lineRule="auto"/>
              <w:rPr>
                <w:rFonts w:cs="Calibri"/>
                <w:color w:val="000000"/>
                <w:szCs w:val="24"/>
                <w:lang w:eastAsia="en-AU"/>
              </w:rPr>
            </w:pPr>
            <w:r>
              <w:rPr>
                <w:rFonts w:cs="Calibri"/>
                <w:color w:val="000000"/>
                <w:szCs w:val="24"/>
                <w:lang w:eastAsia="en-AU"/>
              </w:rPr>
              <w:t>Renal insufficiency</w:t>
            </w:r>
          </w:p>
        </w:tc>
      </w:tr>
      <w:tr w:rsidR="000C1BB3" w14:paraId="4BE81FC2" w14:textId="77777777" w:rsidTr="00D27307">
        <w:trPr>
          <w:trHeight w:val="266"/>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8F9C5" w14:textId="77777777" w:rsidR="000C1BB3" w:rsidRDefault="000C1BB3">
            <w:pPr>
              <w:autoSpaceDE w:val="0"/>
              <w:autoSpaceDN w:val="0"/>
              <w:adjustRightInd w:val="0"/>
              <w:spacing w:line="276" w:lineRule="auto"/>
              <w:rPr>
                <w:rFonts w:cs="Calibri"/>
                <w:color w:val="000000"/>
                <w:szCs w:val="24"/>
                <w:lang w:eastAsia="en-AU"/>
              </w:rPr>
            </w:pPr>
            <w:r>
              <w:rPr>
                <w:rFonts w:cs="Calibri"/>
                <w:color w:val="000000"/>
                <w:szCs w:val="24"/>
                <w:lang w:eastAsia="en-AU"/>
              </w:rPr>
              <w:t xml:space="preserve">Trauma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2C8A4" w14:textId="77777777" w:rsidR="000C1BB3" w:rsidRDefault="000C1BB3">
            <w:pPr>
              <w:autoSpaceDE w:val="0"/>
              <w:autoSpaceDN w:val="0"/>
              <w:adjustRightInd w:val="0"/>
              <w:spacing w:line="276" w:lineRule="auto"/>
              <w:rPr>
                <w:rFonts w:cs="Calibri"/>
                <w:color w:val="000000"/>
                <w:szCs w:val="24"/>
                <w:lang w:eastAsia="en-AU"/>
              </w:rPr>
            </w:pPr>
            <w:r>
              <w:rPr>
                <w:rFonts w:cs="Calibri"/>
                <w:color w:val="000000"/>
                <w:szCs w:val="24"/>
                <w:lang w:eastAsia="en-AU"/>
              </w:rPr>
              <w:t>Recent trauma, history of falls, major surgery less than 10-14 days ago</w:t>
            </w:r>
          </w:p>
        </w:tc>
      </w:tr>
      <w:tr w:rsidR="000C1BB3" w14:paraId="14C57AAD" w14:textId="77777777" w:rsidTr="00D27307">
        <w:trPr>
          <w:trHeight w:val="26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729B3" w14:textId="77777777" w:rsidR="000C1BB3" w:rsidRDefault="000C1BB3">
            <w:pPr>
              <w:autoSpaceDE w:val="0"/>
              <w:autoSpaceDN w:val="0"/>
              <w:adjustRightInd w:val="0"/>
              <w:spacing w:line="276" w:lineRule="auto"/>
              <w:rPr>
                <w:rFonts w:cs="Calibri"/>
                <w:color w:val="000000"/>
                <w:szCs w:val="24"/>
                <w:lang w:eastAsia="en-AU"/>
              </w:rPr>
            </w:pPr>
            <w:r>
              <w:rPr>
                <w:rFonts w:cs="Calibri"/>
                <w:color w:val="000000"/>
                <w:szCs w:val="24"/>
                <w:lang w:eastAsia="en-AU"/>
              </w:rPr>
              <w:t xml:space="preserve">Alcohol/impaired nutritional status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771CC" w14:textId="77777777" w:rsidR="000C1BB3" w:rsidRDefault="000C1BB3">
            <w:pPr>
              <w:autoSpaceDE w:val="0"/>
              <w:autoSpaceDN w:val="0"/>
              <w:adjustRightInd w:val="0"/>
              <w:spacing w:line="276" w:lineRule="auto"/>
              <w:rPr>
                <w:rFonts w:cs="Calibri"/>
                <w:color w:val="000000"/>
                <w:szCs w:val="24"/>
                <w:lang w:eastAsia="en-AU"/>
              </w:rPr>
            </w:pPr>
            <w:r>
              <w:rPr>
                <w:rFonts w:cs="Calibri"/>
                <w:color w:val="000000"/>
                <w:szCs w:val="24"/>
                <w:lang w:eastAsia="en-AU"/>
              </w:rPr>
              <w:t xml:space="preserve">Excessive alcohol intake, </w:t>
            </w:r>
            <w:proofErr w:type="spellStart"/>
            <w:r>
              <w:rPr>
                <w:rFonts w:cs="Calibri"/>
                <w:color w:val="000000"/>
                <w:szCs w:val="24"/>
                <w:lang w:eastAsia="en-AU"/>
              </w:rPr>
              <w:t>hypoalbuminaemia</w:t>
            </w:r>
            <w:proofErr w:type="spellEnd"/>
          </w:p>
        </w:tc>
      </w:tr>
      <w:tr w:rsidR="000C1BB3" w14:paraId="01892B93" w14:textId="77777777" w:rsidTr="00D27307">
        <w:trPr>
          <w:trHeight w:val="1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FF0F9" w14:textId="77777777" w:rsidR="000C1BB3" w:rsidRDefault="000C1BB3">
            <w:pPr>
              <w:autoSpaceDE w:val="0"/>
              <w:autoSpaceDN w:val="0"/>
              <w:adjustRightInd w:val="0"/>
              <w:spacing w:line="276" w:lineRule="auto"/>
              <w:rPr>
                <w:rFonts w:cs="Calibri"/>
                <w:color w:val="000000"/>
                <w:szCs w:val="24"/>
                <w:lang w:eastAsia="en-AU"/>
              </w:rPr>
            </w:pPr>
            <w:r>
              <w:rPr>
                <w:rFonts w:cs="Calibri"/>
                <w:color w:val="000000"/>
                <w:szCs w:val="24"/>
                <w:lang w:eastAsia="en-AU"/>
              </w:rPr>
              <w:t xml:space="preserve">Medications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C6E27" w14:textId="5917C63F" w:rsidR="000C1BB3" w:rsidRDefault="000C1BB3" w:rsidP="000C1BB3">
            <w:pPr>
              <w:pStyle w:val="ListParagraph"/>
              <w:numPr>
                <w:ilvl w:val="0"/>
                <w:numId w:val="17"/>
              </w:numPr>
              <w:autoSpaceDE w:val="0"/>
              <w:autoSpaceDN w:val="0"/>
              <w:adjustRightInd w:val="0"/>
              <w:spacing w:line="256" w:lineRule="auto"/>
              <w:contextualSpacing w:val="0"/>
              <w:rPr>
                <w:rFonts w:cstheme="minorBidi"/>
                <w:color w:val="000000" w:themeColor="text1"/>
                <w:szCs w:val="22"/>
              </w:rPr>
            </w:pPr>
            <w:r>
              <w:t xml:space="preserve">Antiplatelet and anticoagulant drugs (including aspirin, clopidogrel, prasugrel, ticagrelor and DOACs) increase the risk of bleeding during heparin therapy without an increase in the INR. </w:t>
            </w:r>
            <w:r>
              <w:rPr>
                <w:b/>
              </w:rPr>
              <w:t>Note: dual anticoagulant therapy may be indicated in certain circumstances.</w:t>
            </w:r>
            <w:r w:rsidR="00D27307">
              <w:rPr>
                <w:b/>
              </w:rPr>
              <w:t xml:space="preserve"> </w:t>
            </w:r>
          </w:p>
          <w:p w14:paraId="64AAA502" w14:textId="77777777" w:rsidR="000C1BB3" w:rsidRDefault="000C1BB3" w:rsidP="000C1BB3">
            <w:pPr>
              <w:pStyle w:val="ListParagraph"/>
              <w:numPr>
                <w:ilvl w:val="0"/>
                <w:numId w:val="17"/>
              </w:numPr>
              <w:autoSpaceDE w:val="0"/>
              <w:autoSpaceDN w:val="0"/>
              <w:adjustRightInd w:val="0"/>
              <w:spacing w:line="256" w:lineRule="auto"/>
              <w:contextualSpacing w:val="0"/>
              <w:rPr>
                <w:rFonts w:cs="Calibri"/>
                <w:color w:val="000000"/>
                <w:szCs w:val="24"/>
                <w:lang w:eastAsia="en-AU"/>
              </w:rPr>
            </w:pPr>
            <w:r>
              <w:t>NSAIDs increase</w:t>
            </w:r>
            <w:r>
              <w:rPr>
                <w:rFonts w:cs="Calibri"/>
                <w:color w:val="000000"/>
                <w:szCs w:val="24"/>
                <w:lang w:eastAsia="en-AU"/>
              </w:rPr>
              <w:t xml:space="preserve"> the risk of gastrointestinal bleeding during heparin treatment</w:t>
            </w:r>
          </w:p>
        </w:tc>
      </w:tr>
    </w:tbl>
    <w:p w14:paraId="66C26644" w14:textId="77777777" w:rsidR="000C1BB3" w:rsidRDefault="000C1BB3" w:rsidP="000C1BB3">
      <w:pPr>
        <w:pStyle w:val="ListBullet"/>
        <w:numPr>
          <w:ilvl w:val="0"/>
          <w:numId w:val="0"/>
        </w:numPr>
      </w:pPr>
    </w:p>
    <w:p w14:paraId="2F51A8AC" w14:textId="6480A2C8" w:rsidR="007B6904" w:rsidRDefault="000C1BB3" w:rsidP="007B6904">
      <w:pPr>
        <w:rPr>
          <w:rFonts w:cs="Arial"/>
          <w:b/>
          <w:szCs w:val="24"/>
        </w:rPr>
      </w:pPr>
      <w:r>
        <w:rPr>
          <w:rFonts w:cs="Arial"/>
          <w:b/>
          <w:szCs w:val="24"/>
        </w:rPr>
        <w:t>IV Line Requirements</w:t>
      </w:r>
    </w:p>
    <w:p w14:paraId="253A42CD" w14:textId="77777777" w:rsidR="000C1BB3" w:rsidRPr="000C1BB3" w:rsidRDefault="000C1BB3" w:rsidP="000C1BB3">
      <w:pPr>
        <w:pStyle w:val="ListBullet"/>
        <w:tabs>
          <w:tab w:val="clear" w:pos="1080"/>
        </w:tabs>
        <w:ind w:left="426" w:hanging="426"/>
      </w:pPr>
      <w:r>
        <w:t>Heparin infusions require a dedicated IV line (must run as a primary line).</w:t>
      </w:r>
    </w:p>
    <w:p w14:paraId="47217A54" w14:textId="77777777" w:rsidR="000C1BB3" w:rsidRDefault="000C1BB3" w:rsidP="000C1BB3">
      <w:pPr>
        <w:pStyle w:val="ListBullet"/>
        <w:tabs>
          <w:tab w:val="clear" w:pos="1080"/>
        </w:tabs>
        <w:ind w:left="426" w:hanging="426"/>
      </w:pPr>
      <w:r>
        <w:t>The infusion MUST NOT be stopped or interrupted for other medications. If other medications require IV administration, additional IV access is required.</w:t>
      </w:r>
    </w:p>
    <w:p w14:paraId="55AB790C" w14:textId="2CD1A5F4" w:rsidR="000C1BB3" w:rsidRPr="000C1BB3" w:rsidRDefault="000C1BB3" w:rsidP="007B6904">
      <w:pPr>
        <w:pStyle w:val="ListBullet"/>
        <w:tabs>
          <w:tab w:val="clear" w:pos="1080"/>
        </w:tabs>
        <w:ind w:left="426" w:hanging="426"/>
      </w:pPr>
      <w:r>
        <w:t>APTT blood samples must be drawn from the opposite arm if possible. If using a multiple lumen central line, take blood samples from a different lumen than is running heparin.</w:t>
      </w:r>
    </w:p>
    <w:p w14:paraId="1761688C" w14:textId="77777777" w:rsidR="000C1BB3" w:rsidRDefault="000C1BB3" w:rsidP="007B6904">
      <w:pPr>
        <w:rPr>
          <w:rFonts w:cs="Arial"/>
          <w:b/>
          <w:szCs w:val="24"/>
        </w:rPr>
      </w:pPr>
    </w:p>
    <w:p w14:paraId="119BA4AD" w14:textId="0F1240B7" w:rsidR="00F9158A" w:rsidRDefault="008E4C0E" w:rsidP="00816C72">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816C72" w:rsidRPr="00CD1C0E" w14:paraId="50DEDC29" w14:textId="77777777" w:rsidTr="00F731D1">
        <w:trPr>
          <w:cantSplit/>
          <w:trHeight w:val="285"/>
        </w:trPr>
        <w:tc>
          <w:tcPr>
            <w:tcW w:w="9158" w:type="dxa"/>
            <w:shd w:val="clear" w:color="auto" w:fill="A6A6A6" w:themeFill="background1" w:themeFillShade="A6"/>
          </w:tcPr>
          <w:p w14:paraId="0F80879A" w14:textId="19D7428F" w:rsidR="00816C72" w:rsidRPr="003D2D06" w:rsidRDefault="00816C72" w:rsidP="00F731D1">
            <w:pPr>
              <w:pStyle w:val="Heading1"/>
            </w:pPr>
            <w:bookmarkStart w:id="19" w:name="_Toc159225463"/>
            <w:r>
              <w:t xml:space="preserve">Section </w:t>
            </w:r>
            <w:r w:rsidR="000C1BB3">
              <w:t>4</w:t>
            </w:r>
            <w:r w:rsidRPr="003D2D06">
              <w:t xml:space="preserve"> – </w:t>
            </w:r>
            <w:r w:rsidR="000C1BB3">
              <w:t>Ordering and Starting the Heparin Infusion</w:t>
            </w:r>
            <w:bookmarkEnd w:id="19"/>
          </w:p>
        </w:tc>
      </w:tr>
    </w:tbl>
    <w:p w14:paraId="10B0FA19" w14:textId="77777777" w:rsidR="00816C72" w:rsidRDefault="00816C72" w:rsidP="00816C72">
      <w:pPr>
        <w:pStyle w:val="Heading2"/>
      </w:pPr>
    </w:p>
    <w:p w14:paraId="367FA119" w14:textId="77777777" w:rsidR="000C1BB3" w:rsidRPr="00D27307" w:rsidRDefault="000C1BB3" w:rsidP="00D27307">
      <w:pPr>
        <w:pStyle w:val="ListParagraph"/>
        <w:numPr>
          <w:ilvl w:val="0"/>
          <w:numId w:val="31"/>
        </w:numPr>
        <w:rPr>
          <w:rFonts w:asciiTheme="minorHAnsi" w:hAnsiTheme="minorHAnsi"/>
          <w:sz w:val="22"/>
        </w:rPr>
      </w:pPr>
      <w:r>
        <w:t xml:space="preserve">The prescriber is responsible for ordering the IV heparin infusion in </w:t>
      </w:r>
      <w:proofErr w:type="gramStart"/>
      <w:r>
        <w:t>DHR</w:t>
      </w:r>
      <w:proofErr w:type="gramEnd"/>
    </w:p>
    <w:p w14:paraId="5954159F" w14:textId="77777777" w:rsidR="000C1BB3" w:rsidRDefault="000C1BB3" w:rsidP="000C1BB3">
      <w:pPr>
        <w:pStyle w:val="ListBullet"/>
        <w:tabs>
          <w:tab w:val="clear" w:pos="1080"/>
        </w:tabs>
        <w:ind w:left="426" w:hanging="426"/>
      </w:pPr>
      <w:r>
        <w:t xml:space="preserve">Use the ‘heparin infusion and APTT panel’ which can be found in the ‘order sets and panels’ </w:t>
      </w:r>
      <w:proofErr w:type="gramStart"/>
      <w:r>
        <w:t>section</w:t>
      </w:r>
      <w:proofErr w:type="gramEnd"/>
    </w:p>
    <w:p w14:paraId="09CE50ED" w14:textId="577AA89B" w:rsidR="000C1BB3" w:rsidRDefault="000C1BB3" w:rsidP="000C1BB3">
      <w:pPr>
        <w:pStyle w:val="ListBullet"/>
        <w:tabs>
          <w:tab w:val="clear" w:pos="1080"/>
        </w:tabs>
        <w:ind w:left="426" w:hanging="426"/>
      </w:pPr>
      <w:r>
        <w:t>This allows ordering of</w:t>
      </w:r>
      <w:r w:rsidR="00D27307">
        <w:t>:</w:t>
      </w:r>
    </w:p>
    <w:p w14:paraId="4B03579C" w14:textId="77777777" w:rsidR="000C1BB3" w:rsidRDefault="000C1BB3" w:rsidP="00D27307">
      <w:pPr>
        <w:pStyle w:val="ListParagraph"/>
        <w:numPr>
          <w:ilvl w:val="2"/>
          <w:numId w:val="32"/>
        </w:numPr>
        <w:autoSpaceDE w:val="0"/>
        <w:autoSpaceDN w:val="0"/>
        <w:adjustRightInd w:val="0"/>
        <w:contextualSpacing w:val="0"/>
      </w:pPr>
      <w:r>
        <w:t>APTT</w:t>
      </w:r>
    </w:p>
    <w:p w14:paraId="5A44C866" w14:textId="77777777" w:rsidR="000C1BB3" w:rsidRDefault="000C1BB3" w:rsidP="00D27307">
      <w:pPr>
        <w:pStyle w:val="ListParagraph"/>
        <w:numPr>
          <w:ilvl w:val="2"/>
          <w:numId w:val="32"/>
        </w:numPr>
        <w:autoSpaceDE w:val="0"/>
        <w:autoSpaceDN w:val="0"/>
        <w:adjustRightInd w:val="0"/>
        <w:contextualSpacing w:val="0"/>
      </w:pPr>
      <w:r>
        <w:t>Initial bolus (as units)</w:t>
      </w:r>
    </w:p>
    <w:p w14:paraId="1BC8CAE5" w14:textId="66CF373C" w:rsidR="000C1BB3" w:rsidRDefault="000C1BB3" w:rsidP="00D27307">
      <w:pPr>
        <w:pStyle w:val="ListParagraph"/>
        <w:numPr>
          <w:ilvl w:val="2"/>
          <w:numId w:val="32"/>
        </w:numPr>
        <w:autoSpaceDE w:val="0"/>
        <w:autoSpaceDN w:val="0"/>
        <w:adjustRightInd w:val="0"/>
        <w:contextualSpacing w:val="0"/>
      </w:pPr>
      <w:r>
        <w:lastRenderedPageBreak/>
        <w:t>Ongoing infusion (as units per hour)</w:t>
      </w:r>
    </w:p>
    <w:p w14:paraId="6FC9AC2C" w14:textId="375942FE" w:rsidR="00D27307" w:rsidRDefault="00D27307" w:rsidP="00D27307">
      <w:pPr>
        <w:pStyle w:val="ListParagraph"/>
        <w:numPr>
          <w:ilvl w:val="0"/>
          <w:numId w:val="32"/>
        </w:numPr>
        <w:autoSpaceDE w:val="0"/>
        <w:autoSpaceDN w:val="0"/>
        <w:adjustRightInd w:val="0"/>
      </w:pPr>
      <w:r>
        <w:t>See section 5 for dose and APTT target recommendations.</w:t>
      </w:r>
    </w:p>
    <w:p w14:paraId="5745CE32" w14:textId="77777777" w:rsidR="000C1BB3" w:rsidRDefault="000C1BB3" w:rsidP="000C1BB3">
      <w:pPr>
        <w:autoSpaceDE w:val="0"/>
        <w:autoSpaceDN w:val="0"/>
        <w:adjustRightInd w:val="0"/>
      </w:pPr>
    </w:p>
    <w:p w14:paraId="415FB3C6" w14:textId="0C20D065" w:rsidR="00816C72" w:rsidRDefault="008E4C0E" w:rsidP="00816C72">
      <w:pPr>
        <w:jc w:val="right"/>
        <w:rPr>
          <w:rStyle w:val="Hyperlink"/>
          <w:rFonts w:cs="Arial"/>
          <w:i/>
          <w:szCs w:val="24"/>
        </w:rPr>
      </w:pPr>
      <w:hyperlink w:anchor="Contents" w:history="1">
        <w:r w:rsidR="00816C72"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16C72" w:rsidRPr="00CD1C0E" w14:paraId="4EF0C385" w14:textId="77777777" w:rsidTr="00F731D1">
        <w:trPr>
          <w:cantSplit/>
          <w:trHeight w:val="285"/>
        </w:trPr>
        <w:tc>
          <w:tcPr>
            <w:tcW w:w="9158" w:type="dxa"/>
            <w:shd w:val="clear" w:color="auto" w:fill="A6A6A6" w:themeFill="background1" w:themeFillShade="A6"/>
          </w:tcPr>
          <w:p w14:paraId="1DA49B91" w14:textId="5E8CB337" w:rsidR="00816C72" w:rsidRPr="003D2D06" w:rsidRDefault="00816C72" w:rsidP="00F731D1">
            <w:pPr>
              <w:pStyle w:val="Heading1"/>
            </w:pPr>
            <w:bookmarkStart w:id="20" w:name="_Toc159225464"/>
            <w:r>
              <w:t xml:space="preserve">Section </w:t>
            </w:r>
            <w:r w:rsidR="000C1BB3">
              <w:t>5</w:t>
            </w:r>
            <w:r w:rsidRPr="003D2D06">
              <w:t xml:space="preserve"> – </w:t>
            </w:r>
            <w:r w:rsidR="000C1BB3">
              <w:t>Heparin Infusion Protocol</w:t>
            </w:r>
            <w:bookmarkEnd w:id="20"/>
          </w:p>
        </w:tc>
      </w:tr>
    </w:tbl>
    <w:p w14:paraId="02C0EEE8" w14:textId="77777777" w:rsidR="00816C72" w:rsidRDefault="00816C72" w:rsidP="00816C72"/>
    <w:tbl>
      <w:tblPr>
        <w:tblStyle w:val="TableGrid"/>
        <w:tblW w:w="0" w:type="auto"/>
        <w:tblLook w:val="04A0" w:firstRow="1" w:lastRow="0" w:firstColumn="1" w:lastColumn="0" w:noHBand="0" w:noVBand="1"/>
      </w:tblPr>
      <w:tblGrid>
        <w:gridCol w:w="1715"/>
        <w:gridCol w:w="1231"/>
        <w:gridCol w:w="2161"/>
        <w:gridCol w:w="1622"/>
        <w:gridCol w:w="2331"/>
      </w:tblGrid>
      <w:tr w:rsidR="000C1BB3" w14:paraId="5ADE5162" w14:textId="77777777" w:rsidTr="000C1BB3">
        <w:tc>
          <w:tcPr>
            <w:tcW w:w="15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DACD0B" w14:textId="77777777" w:rsidR="000C1BB3" w:rsidRDefault="000C1BB3">
            <w:pPr>
              <w:jc w:val="center"/>
              <w:rPr>
                <w:rFonts w:asciiTheme="minorHAnsi" w:hAnsiTheme="minorHAnsi"/>
                <w:sz w:val="22"/>
              </w:rPr>
            </w:pPr>
          </w:p>
        </w:tc>
        <w:tc>
          <w:tcPr>
            <w:tcW w:w="39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8DE76" w14:textId="77777777" w:rsidR="000C1BB3" w:rsidRDefault="000C1BB3">
            <w:pPr>
              <w:jc w:val="center"/>
              <w:rPr>
                <w:b/>
              </w:rPr>
            </w:pPr>
            <w:r>
              <w:rPr>
                <w:b/>
              </w:rPr>
              <w:t>Patient Actual Body Weight = 60-80kg</w:t>
            </w:r>
          </w:p>
        </w:tc>
        <w:tc>
          <w:tcPr>
            <w:tcW w:w="45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7B28F0" w14:textId="77777777" w:rsidR="000C1BB3" w:rsidRDefault="000C1BB3">
            <w:pPr>
              <w:jc w:val="center"/>
              <w:rPr>
                <w:b/>
              </w:rPr>
            </w:pPr>
            <w:r>
              <w:rPr>
                <w:b/>
              </w:rPr>
              <w:t>Patient Actual Body Weight = &lt;60kg or &gt;80kg</w:t>
            </w:r>
          </w:p>
        </w:tc>
      </w:tr>
      <w:tr w:rsidR="000C1BB3" w14:paraId="5ACAAE1B" w14:textId="77777777" w:rsidTr="000C1BB3">
        <w:tc>
          <w:tcPr>
            <w:tcW w:w="0" w:type="auto"/>
            <w:vMerge/>
            <w:tcBorders>
              <w:top w:val="single" w:sz="4" w:space="0" w:color="auto"/>
              <w:left w:val="single" w:sz="4" w:space="0" w:color="auto"/>
              <w:bottom w:val="single" w:sz="4" w:space="0" w:color="auto"/>
              <w:right w:val="single" w:sz="4" w:space="0" w:color="auto"/>
            </w:tcBorders>
            <w:vAlign w:val="center"/>
            <w:hideMark/>
          </w:tcPr>
          <w:p w14:paraId="1DE50069" w14:textId="77777777" w:rsidR="000C1BB3" w:rsidRDefault="000C1BB3">
            <w:pPr>
              <w:rPr>
                <w:color w:val="000000" w:themeColor="text1"/>
                <w:sz w:val="22"/>
                <w:szCs w:val="22"/>
                <w:lang w:eastAsia="en-US"/>
              </w:rPr>
            </w:pPr>
          </w:p>
        </w:tc>
        <w:tc>
          <w:tcPr>
            <w:tcW w:w="1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D6D85" w14:textId="77777777" w:rsidR="000C1BB3" w:rsidRDefault="000C1BB3">
            <w:pPr>
              <w:jc w:val="center"/>
            </w:pPr>
            <w:r>
              <w:t>Loading Dose</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F7C0E" w14:textId="77777777" w:rsidR="000C1BB3" w:rsidRDefault="000C1BB3">
            <w:pPr>
              <w:jc w:val="center"/>
            </w:pPr>
            <w:r>
              <w:t>Maintenance Infusion Rate</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F6FEEC" w14:textId="77777777" w:rsidR="000C1BB3" w:rsidRDefault="000C1BB3">
            <w:pPr>
              <w:jc w:val="center"/>
            </w:pPr>
            <w:r>
              <w:t>Loading Dose</w:t>
            </w:r>
          </w:p>
        </w:tc>
        <w:tc>
          <w:tcPr>
            <w:tcW w:w="2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9E9BC5" w14:textId="77777777" w:rsidR="000C1BB3" w:rsidRDefault="000C1BB3">
            <w:pPr>
              <w:jc w:val="center"/>
            </w:pPr>
            <w:r>
              <w:t>Maintenance Infusion Rate</w:t>
            </w:r>
          </w:p>
        </w:tc>
      </w:tr>
      <w:tr w:rsidR="000C1BB3" w14:paraId="5385D635" w14:textId="77777777" w:rsidTr="000C1BB3">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861DF9" w14:textId="77777777" w:rsidR="000C1BB3" w:rsidRDefault="000C1BB3">
            <w:pPr>
              <w:jc w:val="center"/>
              <w:rPr>
                <w:b/>
              </w:rPr>
            </w:pPr>
            <w:r>
              <w:rPr>
                <w:b/>
              </w:rPr>
              <w:t>Dose</w:t>
            </w:r>
          </w:p>
        </w:tc>
        <w:tc>
          <w:tcPr>
            <w:tcW w:w="1382" w:type="dxa"/>
            <w:tcBorders>
              <w:top w:val="single" w:sz="4" w:space="0" w:color="auto"/>
              <w:left w:val="single" w:sz="4" w:space="0" w:color="auto"/>
              <w:bottom w:val="single" w:sz="4" w:space="0" w:color="auto"/>
              <w:right w:val="single" w:sz="4" w:space="0" w:color="auto"/>
            </w:tcBorders>
            <w:vAlign w:val="center"/>
            <w:hideMark/>
          </w:tcPr>
          <w:p w14:paraId="30389CF8" w14:textId="77777777" w:rsidR="000C1BB3" w:rsidRDefault="000C1BB3">
            <w:pPr>
              <w:jc w:val="center"/>
              <w:rPr>
                <w:b/>
              </w:rPr>
            </w:pPr>
            <w:r>
              <w:t>5,000 units</w:t>
            </w:r>
          </w:p>
        </w:tc>
        <w:tc>
          <w:tcPr>
            <w:tcW w:w="2552" w:type="dxa"/>
            <w:tcBorders>
              <w:top w:val="single" w:sz="4" w:space="0" w:color="auto"/>
              <w:left w:val="single" w:sz="4" w:space="0" w:color="auto"/>
              <w:bottom w:val="single" w:sz="4" w:space="0" w:color="auto"/>
              <w:right w:val="single" w:sz="4" w:space="0" w:color="auto"/>
            </w:tcBorders>
            <w:vAlign w:val="center"/>
          </w:tcPr>
          <w:p w14:paraId="06EAA2D3" w14:textId="77777777" w:rsidR="000C1BB3" w:rsidRDefault="000C1BB3">
            <w:pPr>
              <w:jc w:val="center"/>
            </w:pPr>
            <w:r>
              <w:t xml:space="preserve">1,250 units/hr </w:t>
            </w:r>
          </w:p>
          <w:p w14:paraId="72752C20" w14:textId="77777777" w:rsidR="000C1BB3" w:rsidRDefault="000C1BB3">
            <w:pPr>
              <w:jc w:val="center"/>
            </w:pPr>
          </w:p>
          <w:p w14:paraId="142ABFAA" w14:textId="77777777" w:rsidR="000C1BB3" w:rsidRDefault="000C1BB3">
            <w:pPr>
              <w:jc w:val="center"/>
              <w:rPr>
                <w:b/>
              </w:rPr>
            </w:pPr>
            <w:r>
              <w:rPr>
                <w:b/>
              </w:rPr>
              <w:t>Adjust infusion rate based on APTT monitoring</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7078FEF" w14:textId="77777777" w:rsidR="000C1BB3" w:rsidRDefault="000C1BB3">
            <w:pPr>
              <w:jc w:val="center"/>
            </w:pPr>
            <w:r>
              <w:t>80 units/kg*^</w:t>
            </w:r>
          </w:p>
        </w:tc>
        <w:tc>
          <w:tcPr>
            <w:tcW w:w="2715" w:type="dxa"/>
            <w:tcBorders>
              <w:top w:val="single" w:sz="4" w:space="0" w:color="auto"/>
              <w:left w:val="single" w:sz="4" w:space="0" w:color="auto"/>
              <w:bottom w:val="single" w:sz="4" w:space="0" w:color="auto"/>
              <w:right w:val="single" w:sz="4" w:space="0" w:color="auto"/>
            </w:tcBorders>
            <w:vAlign w:val="center"/>
          </w:tcPr>
          <w:p w14:paraId="08299FFD" w14:textId="77777777" w:rsidR="000C1BB3" w:rsidRDefault="000C1BB3">
            <w:pPr>
              <w:jc w:val="center"/>
              <w:rPr>
                <w:b/>
              </w:rPr>
            </w:pPr>
            <w:r>
              <w:t>18 units/kg*/hour</w:t>
            </w:r>
            <w:r>
              <w:rPr>
                <w:b/>
              </w:rPr>
              <w:t xml:space="preserve"> </w:t>
            </w:r>
          </w:p>
          <w:p w14:paraId="3FEB706C" w14:textId="77777777" w:rsidR="000C1BB3" w:rsidRDefault="000C1BB3">
            <w:pPr>
              <w:jc w:val="center"/>
              <w:rPr>
                <w:b/>
              </w:rPr>
            </w:pPr>
          </w:p>
          <w:p w14:paraId="4644ABF6" w14:textId="77777777" w:rsidR="000C1BB3" w:rsidRDefault="000C1BB3">
            <w:pPr>
              <w:jc w:val="center"/>
            </w:pPr>
            <w:r>
              <w:rPr>
                <w:b/>
              </w:rPr>
              <w:t>Adjust infusion rate based on APTT monitoring</w:t>
            </w:r>
          </w:p>
        </w:tc>
      </w:tr>
      <w:tr w:rsidR="000C1BB3" w14:paraId="10D2D2A3" w14:textId="77777777" w:rsidTr="000C1BB3">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7780ED" w14:textId="77777777" w:rsidR="000C1BB3" w:rsidRDefault="000C1BB3">
            <w:pPr>
              <w:jc w:val="center"/>
              <w:rPr>
                <w:b/>
              </w:rPr>
            </w:pPr>
            <w:r>
              <w:rPr>
                <w:b/>
              </w:rPr>
              <w:t>Prescription</w:t>
            </w:r>
          </w:p>
        </w:tc>
        <w:tc>
          <w:tcPr>
            <w:tcW w:w="8491" w:type="dxa"/>
            <w:gridSpan w:val="4"/>
            <w:tcBorders>
              <w:top w:val="single" w:sz="4" w:space="0" w:color="auto"/>
              <w:left w:val="single" w:sz="4" w:space="0" w:color="auto"/>
              <w:bottom w:val="single" w:sz="4" w:space="0" w:color="auto"/>
              <w:right w:val="single" w:sz="4" w:space="0" w:color="auto"/>
            </w:tcBorders>
            <w:vAlign w:val="center"/>
            <w:hideMark/>
          </w:tcPr>
          <w:p w14:paraId="1399DD7D" w14:textId="77777777" w:rsidR="000C1BB3" w:rsidRDefault="000C1BB3">
            <w:pPr>
              <w:jc w:val="center"/>
            </w:pPr>
            <w:r>
              <w:t>Chart using the Heparin Infusion and APTT Order panel in DHR</w:t>
            </w:r>
          </w:p>
        </w:tc>
      </w:tr>
      <w:tr w:rsidR="000C1BB3" w14:paraId="188531C0" w14:textId="77777777" w:rsidTr="000C1BB3">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E782F9" w14:textId="77777777" w:rsidR="000C1BB3" w:rsidRDefault="000C1BB3">
            <w:pPr>
              <w:jc w:val="center"/>
              <w:rPr>
                <w:b/>
              </w:rPr>
            </w:pPr>
            <w:r>
              <w:rPr>
                <w:b/>
              </w:rPr>
              <w:t>APTT Target</w:t>
            </w:r>
          </w:p>
        </w:tc>
        <w:tc>
          <w:tcPr>
            <w:tcW w:w="8491" w:type="dxa"/>
            <w:gridSpan w:val="4"/>
            <w:tcBorders>
              <w:top w:val="single" w:sz="4" w:space="0" w:color="auto"/>
              <w:left w:val="single" w:sz="4" w:space="0" w:color="auto"/>
              <w:bottom w:val="single" w:sz="4" w:space="0" w:color="auto"/>
              <w:right w:val="single" w:sz="4" w:space="0" w:color="auto"/>
            </w:tcBorders>
            <w:vAlign w:val="center"/>
            <w:hideMark/>
          </w:tcPr>
          <w:p w14:paraId="06983013" w14:textId="77777777" w:rsidR="000C1BB3" w:rsidRDefault="000C1BB3">
            <w:pPr>
              <w:jc w:val="center"/>
            </w:pPr>
            <w:r>
              <w:t xml:space="preserve">Target APTT must be specified in ratio and seconds. </w:t>
            </w:r>
          </w:p>
          <w:p w14:paraId="1779036D" w14:textId="77777777" w:rsidR="000C1BB3" w:rsidRDefault="000C1BB3">
            <w:pPr>
              <w:jc w:val="center"/>
            </w:pPr>
            <w:r>
              <w:t xml:space="preserve">Standard target is </w:t>
            </w:r>
            <w:r>
              <w:rPr>
                <w:b/>
              </w:rPr>
              <w:t>1.5-2.5</w:t>
            </w:r>
            <w:r>
              <w:t xml:space="preserve"> </w:t>
            </w:r>
            <w:r>
              <w:rPr>
                <w:b/>
              </w:rPr>
              <w:t xml:space="preserve">times normal APTT </w:t>
            </w:r>
            <w:r>
              <w:t>or</w:t>
            </w:r>
            <w:r>
              <w:rPr>
                <w:b/>
              </w:rPr>
              <w:t xml:space="preserve"> 60-90 seconds</w:t>
            </w:r>
            <w:r>
              <w:t>~</w:t>
            </w:r>
          </w:p>
        </w:tc>
      </w:tr>
      <w:tr w:rsidR="000C1BB3" w14:paraId="14A5AD77" w14:textId="77777777" w:rsidTr="000C1BB3">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25014" w14:textId="77777777" w:rsidR="000C1BB3" w:rsidRDefault="000C1BB3">
            <w:pPr>
              <w:jc w:val="center"/>
              <w:rPr>
                <w:b/>
              </w:rPr>
            </w:pPr>
            <w:r>
              <w:rPr>
                <w:b/>
              </w:rPr>
              <w:t>Preparation</w:t>
            </w:r>
          </w:p>
        </w:tc>
        <w:tc>
          <w:tcPr>
            <w:tcW w:w="8491" w:type="dxa"/>
            <w:gridSpan w:val="4"/>
            <w:tcBorders>
              <w:top w:val="single" w:sz="4" w:space="0" w:color="auto"/>
              <w:left w:val="single" w:sz="4" w:space="0" w:color="auto"/>
              <w:bottom w:val="single" w:sz="4" w:space="0" w:color="auto"/>
              <w:right w:val="single" w:sz="4" w:space="0" w:color="auto"/>
            </w:tcBorders>
            <w:vAlign w:val="center"/>
            <w:hideMark/>
          </w:tcPr>
          <w:p w14:paraId="4756EFBC" w14:textId="77777777" w:rsidR="000C1BB3" w:rsidRDefault="000C1BB3">
            <w:pPr>
              <w:jc w:val="center"/>
            </w:pPr>
            <w:r>
              <w:t>Premade heparin bag – 25,000 units/250mL (100 units/mL)</w:t>
            </w:r>
          </w:p>
          <w:p w14:paraId="6D37E6FF" w14:textId="77777777" w:rsidR="000C1BB3" w:rsidRDefault="000C1BB3">
            <w:pPr>
              <w:jc w:val="center"/>
            </w:pPr>
            <w:r>
              <w:t>Bolus dose is administered from the bag</w:t>
            </w:r>
          </w:p>
        </w:tc>
      </w:tr>
      <w:tr w:rsidR="000C1BB3" w14:paraId="79ABB66C" w14:textId="77777777" w:rsidTr="000C1BB3">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FC6634" w14:textId="77777777" w:rsidR="000C1BB3" w:rsidRDefault="000C1BB3">
            <w:pPr>
              <w:jc w:val="center"/>
              <w:rPr>
                <w:b/>
              </w:rPr>
            </w:pPr>
            <w:r>
              <w:rPr>
                <w:b/>
              </w:rPr>
              <w:t>Infusion Pump Settings</w:t>
            </w:r>
          </w:p>
        </w:tc>
        <w:tc>
          <w:tcPr>
            <w:tcW w:w="8491" w:type="dxa"/>
            <w:gridSpan w:val="4"/>
            <w:tcBorders>
              <w:top w:val="single" w:sz="4" w:space="0" w:color="auto"/>
              <w:left w:val="single" w:sz="4" w:space="0" w:color="auto"/>
              <w:bottom w:val="single" w:sz="4" w:space="0" w:color="auto"/>
              <w:right w:val="single" w:sz="4" w:space="0" w:color="auto"/>
            </w:tcBorders>
            <w:vAlign w:val="center"/>
            <w:hideMark/>
          </w:tcPr>
          <w:p w14:paraId="17E9A6AB" w14:textId="77777777" w:rsidR="000C1BB3" w:rsidRDefault="000C1BB3">
            <w:pPr>
              <w:jc w:val="center"/>
            </w:pPr>
            <w:r>
              <w:t>Program and administer loading dose as bolus in smart pump followed by maintenance infusion rate</w:t>
            </w:r>
          </w:p>
        </w:tc>
      </w:tr>
      <w:tr w:rsidR="000C1BB3" w14:paraId="3EC103F5" w14:textId="77777777" w:rsidTr="000C1BB3">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82584D" w14:textId="77777777" w:rsidR="000C1BB3" w:rsidRDefault="000C1BB3">
            <w:pPr>
              <w:jc w:val="center"/>
              <w:rPr>
                <w:b/>
              </w:rPr>
            </w:pPr>
            <w:r>
              <w:rPr>
                <w:b/>
              </w:rPr>
              <w:t>Administration Time</w:t>
            </w:r>
          </w:p>
        </w:tc>
        <w:tc>
          <w:tcPr>
            <w:tcW w:w="8491" w:type="dxa"/>
            <w:gridSpan w:val="4"/>
            <w:tcBorders>
              <w:top w:val="single" w:sz="4" w:space="0" w:color="auto"/>
              <w:left w:val="single" w:sz="4" w:space="0" w:color="auto"/>
              <w:bottom w:val="single" w:sz="4" w:space="0" w:color="auto"/>
              <w:right w:val="single" w:sz="4" w:space="0" w:color="auto"/>
            </w:tcBorders>
            <w:vAlign w:val="center"/>
            <w:hideMark/>
          </w:tcPr>
          <w:p w14:paraId="6282609B" w14:textId="77777777" w:rsidR="000C1BB3" w:rsidRDefault="000C1BB3">
            <w:pPr>
              <w:jc w:val="center"/>
            </w:pPr>
            <w:r>
              <w:t>Per smart pump</w:t>
            </w:r>
          </w:p>
        </w:tc>
      </w:tr>
      <w:tr w:rsidR="000C1BB3" w14:paraId="1C686E95" w14:textId="77777777" w:rsidTr="000C1BB3">
        <w:tc>
          <w:tcPr>
            <w:tcW w:w="10081" w:type="dxa"/>
            <w:gridSpan w:val="5"/>
            <w:tcBorders>
              <w:top w:val="single" w:sz="4" w:space="0" w:color="auto"/>
              <w:left w:val="single" w:sz="4" w:space="0" w:color="auto"/>
              <w:bottom w:val="single" w:sz="4" w:space="0" w:color="auto"/>
              <w:right w:val="single" w:sz="4" w:space="0" w:color="auto"/>
            </w:tcBorders>
            <w:hideMark/>
          </w:tcPr>
          <w:p w14:paraId="0DC1AC31" w14:textId="77777777" w:rsidR="000C1BB3" w:rsidRDefault="000C1BB3">
            <w:pPr>
              <w:rPr>
                <w:sz w:val="20"/>
              </w:rPr>
            </w:pPr>
            <w:r>
              <w:rPr>
                <w:sz w:val="20"/>
              </w:rPr>
              <w:t>* Indicates Actual body weight</w:t>
            </w:r>
          </w:p>
          <w:p w14:paraId="59F793A3" w14:textId="77777777" w:rsidR="000C1BB3" w:rsidRDefault="000C1BB3">
            <w:pPr>
              <w:rPr>
                <w:sz w:val="20"/>
              </w:rPr>
            </w:pPr>
            <w:r>
              <w:rPr>
                <w:sz w:val="20"/>
              </w:rPr>
              <w:t>^ Dosing of heparin in obesity is complex. Uncapped loading doses are required based on actual body weight. Lower units/kg/hour infusion rates are often used in obesity (</w:t>
            </w:r>
            <w:proofErr w:type="gramStart"/>
            <w:r>
              <w:rPr>
                <w:sz w:val="20"/>
              </w:rPr>
              <w:t>e.g.</w:t>
            </w:r>
            <w:proofErr w:type="gramEnd"/>
            <w:r>
              <w:rPr>
                <w:sz w:val="20"/>
              </w:rPr>
              <w:t xml:space="preserve"> &lt; 18 units/kg/hour). If uncertain, contact haematology.</w:t>
            </w:r>
          </w:p>
          <w:p w14:paraId="09E7CB21" w14:textId="77777777" w:rsidR="000C1BB3" w:rsidRDefault="000C1BB3">
            <w:pPr>
              <w:rPr>
                <w:sz w:val="20"/>
              </w:rPr>
            </w:pPr>
            <w:r>
              <w:rPr>
                <w:sz w:val="20"/>
              </w:rPr>
              <w:t>~ Different targets may be specified by haematology for patients at increased risk of bleeding</w:t>
            </w:r>
          </w:p>
        </w:tc>
      </w:tr>
    </w:tbl>
    <w:p w14:paraId="7D52B98F" w14:textId="77777777" w:rsidR="00816C72" w:rsidRDefault="00816C72" w:rsidP="00816C72">
      <w:pPr>
        <w:rPr>
          <w:rFonts w:cs="Arial"/>
          <w:b/>
          <w:szCs w:val="24"/>
        </w:rPr>
      </w:pPr>
    </w:p>
    <w:p w14:paraId="4782E832" w14:textId="77777777" w:rsidR="00816C72" w:rsidRPr="00253F5A" w:rsidRDefault="008E4C0E" w:rsidP="00816C72">
      <w:pPr>
        <w:jc w:val="right"/>
      </w:pPr>
      <w:hyperlink w:anchor="Contents" w:history="1">
        <w:r w:rsidR="00816C72"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16C72" w:rsidRPr="00CD1C0E" w14:paraId="587764B5" w14:textId="77777777" w:rsidTr="00F731D1">
        <w:trPr>
          <w:cantSplit/>
          <w:trHeight w:val="285"/>
        </w:trPr>
        <w:tc>
          <w:tcPr>
            <w:tcW w:w="9158" w:type="dxa"/>
            <w:shd w:val="clear" w:color="auto" w:fill="A6A6A6" w:themeFill="background1" w:themeFillShade="A6"/>
          </w:tcPr>
          <w:p w14:paraId="041298AA" w14:textId="0393A0C8" w:rsidR="00816C72" w:rsidRPr="003D2D06" w:rsidRDefault="00816C72" w:rsidP="00F731D1">
            <w:pPr>
              <w:pStyle w:val="Heading1"/>
            </w:pPr>
            <w:bookmarkStart w:id="21" w:name="_Toc159225465"/>
            <w:r>
              <w:t xml:space="preserve">Section </w:t>
            </w:r>
            <w:r w:rsidR="000C1BB3">
              <w:t>6</w:t>
            </w:r>
            <w:r w:rsidRPr="003D2D06">
              <w:t xml:space="preserve"> – </w:t>
            </w:r>
            <w:r w:rsidR="000C1BB3">
              <w:t>Monitoring the Heparin Infusion</w:t>
            </w:r>
            <w:bookmarkEnd w:id="21"/>
          </w:p>
        </w:tc>
      </w:tr>
    </w:tbl>
    <w:p w14:paraId="23E7539F" w14:textId="77777777" w:rsidR="000C1BB3" w:rsidRDefault="000C1BB3" w:rsidP="00816C72">
      <w:pPr>
        <w:rPr>
          <w:rFonts w:cs="Arial"/>
          <w:i/>
          <w:szCs w:val="24"/>
        </w:rPr>
      </w:pPr>
    </w:p>
    <w:p w14:paraId="7EA42DCF" w14:textId="17DF4981" w:rsidR="000C1BB3" w:rsidRPr="00D27307" w:rsidRDefault="000C1BB3" w:rsidP="00D27307">
      <w:pPr>
        <w:pStyle w:val="ListParagraph"/>
        <w:numPr>
          <w:ilvl w:val="0"/>
          <w:numId w:val="33"/>
        </w:numPr>
        <w:rPr>
          <w:bCs/>
        </w:rPr>
      </w:pPr>
      <w:r w:rsidRPr="00D27307">
        <w:rPr>
          <w:bCs/>
        </w:rPr>
        <w:t xml:space="preserve">Check APTT 6 hours after commencing </w:t>
      </w:r>
      <w:proofErr w:type="gramStart"/>
      <w:r w:rsidRPr="00D27307">
        <w:rPr>
          <w:bCs/>
        </w:rPr>
        <w:t>infusion, and</w:t>
      </w:r>
      <w:proofErr w:type="gramEnd"/>
      <w:r w:rsidRPr="00D27307">
        <w:rPr>
          <w:bCs/>
        </w:rPr>
        <w:t xml:space="preserve"> adjust the dose according to APTT using the provided nomogram. Dose adjustment must only be made use the APTT nomogram provided by ACT Pathology (see below).</w:t>
      </w:r>
    </w:p>
    <w:p w14:paraId="7B7E4DEA" w14:textId="77777777" w:rsidR="000C1BB3" w:rsidRDefault="000C1BB3" w:rsidP="000C1BB3">
      <w:pPr>
        <w:pStyle w:val="ListParagraph"/>
        <w:ind w:left="1069"/>
      </w:pPr>
    </w:p>
    <w:tbl>
      <w:tblPr>
        <w:tblStyle w:val="TableGrid"/>
        <w:tblW w:w="0" w:type="auto"/>
        <w:jc w:val="center"/>
        <w:tblLook w:val="04A0" w:firstRow="1" w:lastRow="0" w:firstColumn="1" w:lastColumn="0" w:noHBand="0" w:noVBand="1"/>
      </w:tblPr>
      <w:tblGrid>
        <w:gridCol w:w="1277"/>
        <w:gridCol w:w="1281"/>
        <w:gridCol w:w="871"/>
        <w:gridCol w:w="1842"/>
        <w:gridCol w:w="1843"/>
        <w:gridCol w:w="1559"/>
      </w:tblGrid>
      <w:tr w:rsidR="000C1BB3" w14:paraId="451796BF" w14:textId="77777777" w:rsidTr="00D27307">
        <w:trPr>
          <w:jc w:val="center"/>
        </w:trPr>
        <w:tc>
          <w:tcPr>
            <w:tcW w:w="867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780039E" w14:textId="77777777" w:rsidR="000C1BB3" w:rsidRDefault="000C1BB3">
            <w:pPr>
              <w:jc w:val="center"/>
              <w:rPr>
                <w:b/>
              </w:rPr>
            </w:pPr>
            <w:r>
              <w:rPr>
                <w:b/>
              </w:rPr>
              <w:t>Nomogram for Adjusting Ongoing Heparin Infusion Rate*</w:t>
            </w:r>
          </w:p>
        </w:tc>
      </w:tr>
      <w:tr w:rsidR="000C1BB3" w14:paraId="60156F2C" w14:textId="77777777" w:rsidTr="00D27307">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EE8C4" w14:textId="77777777" w:rsidR="000C1BB3" w:rsidRDefault="000C1BB3">
            <w:pPr>
              <w:jc w:val="center"/>
            </w:pPr>
            <w:r>
              <w:t>APTT Ratio</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476B4" w14:textId="77777777" w:rsidR="000C1BB3" w:rsidRDefault="000C1BB3">
            <w:pPr>
              <w:jc w:val="center"/>
            </w:pPr>
            <w:r>
              <w:t>APTT</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AA684" w14:textId="77777777" w:rsidR="000C1BB3" w:rsidRDefault="000C1BB3">
            <w:pPr>
              <w:jc w:val="center"/>
            </w:pPr>
            <w:r>
              <w:t>Bolus (Units)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2E89A" w14:textId="77777777" w:rsidR="000C1BB3" w:rsidRDefault="000C1BB3">
            <w:pPr>
              <w:jc w:val="center"/>
            </w:pPr>
            <w:r>
              <w:t>Pause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21CD5" w14:textId="77777777" w:rsidR="000C1BB3" w:rsidRDefault="000C1BB3">
            <w:pPr>
              <w:jc w:val="center"/>
            </w:pPr>
            <w:r>
              <w:t>Dose Change (units/hr)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8FCC1" w14:textId="77777777" w:rsidR="000C1BB3" w:rsidRDefault="000C1BB3">
            <w:pPr>
              <w:jc w:val="center"/>
            </w:pPr>
            <w:r>
              <w:t>Next APTT</w:t>
            </w:r>
          </w:p>
        </w:tc>
      </w:tr>
      <w:tr w:rsidR="000C1BB3" w14:paraId="3E7442EA" w14:textId="77777777" w:rsidTr="00D27307">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6DCE0" w14:textId="77777777" w:rsidR="000C1BB3" w:rsidRDefault="000C1BB3">
            <w:pPr>
              <w:jc w:val="center"/>
            </w:pPr>
            <w:r>
              <w:t>&lt; 1.5</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45ACF" w14:textId="77777777" w:rsidR="000C1BB3" w:rsidRDefault="000C1BB3">
            <w:pPr>
              <w:jc w:val="center"/>
            </w:pPr>
            <w:r>
              <w:t>&lt;50</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CA471" w14:textId="77777777" w:rsidR="000C1BB3" w:rsidRDefault="000C1BB3">
            <w:pPr>
              <w:jc w:val="center"/>
            </w:pPr>
            <w:r>
              <w:t>5000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D7CF5" w14:textId="77777777" w:rsidR="000C1BB3" w:rsidRDefault="000C1BB3">
            <w:pPr>
              <w:jc w:val="center"/>
            </w:pPr>
            <w: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FB125" w14:textId="77777777" w:rsidR="000C1BB3" w:rsidRDefault="000C1BB3">
            <w:pPr>
              <w:jc w:val="center"/>
            </w:pPr>
            <w:r>
              <w:t>+150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BD918" w14:textId="77777777" w:rsidR="000C1BB3" w:rsidRDefault="000C1BB3">
            <w:pPr>
              <w:jc w:val="center"/>
            </w:pPr>
            <w:r>
              <w:t>4-8 hrs</w:t>
            </w:r>
          </w:p>
        </w:tc>
      </w:tr>
      <w:tr w:rsidR="000C1BB3" w14:paraId="5C434BFA" w14:textId="77777777" w:rsidTr="00D27307">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7D2A5" w14:textId="77777777" w:rsidR="000C1BB3" w:rsidRDefault="000C1BB3">
            <w:pPr>
              <w:jc w:val="center"/>
            </w:pPr>
            <w:r>
              <w:t>1.5-2.5</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8A9EE" w14:textId="77777777" w:rsidR="000C1BB3" w:rsidRDefault="000C1BB3">
            <w:pPr>
              <w:jc w:val="center"/>
            </w:pPr>
            <w:r>
              <w:t>50-83</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BECD2" w14:textId="77777777" w:rsidR="000C1BB3" w:rsidRDefault="000C1BB3">
            <w:pPr>
              <w:jc w:val="center"/>
            </w:pPr>
            <w:r>
              <w:t>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91A90" w14:textId="77777777" w:rsidR="000C1BB3" w:rsidRDefault="000C1BB3">
            <w:pPr>
              <w:jc w:val="center"/>
            </w:pPr>
            <w: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D0430" w14:textId="77777777" w:rsidR="000C1BB3" w:rsidRDefault="000C1BB3">
            <w:pPr>
              <w:jc w:val="center"/>
            </w:pPr>
            <w: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6ABA3" w14:textId="77777777" w:rsidR="000C1BB3" w:rsidRDefault="000C1BB3">
            <w:pPr>
              <w:jc w:val="center"/>
            </w:pPr>
            <w:r>
              <w:t>Next AM</w:t>
            </w:r>
          </w:p>
        </w:tc>
      </w:tr>
      <w:tr w:rsidR="000C1BB3" w14:paraId="73A6CD50" w14:textId="77777777" w:rsidTr="00D27307">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6A5C4" w14:textId="77777777" w:rsidR="000C1BB3" w:rsidRDefault="000C1BB3">
            <w:pPr>
              <w:jc w:val="center"/>
            </w:pPr>
            <w:r>
              <w:lastRenderedPageBreak/>
              <w:t>2.6-3.0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211EB" w14:textId="77777777" w:rsidR="000C1BB3" w:rsidRDefault="000C1BB3">
            <w:pPr>
              <w:jc w:val="center"/>
            </w:pPr>
            <w:r>
              <w:t>84-99</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62350" w14:textId="77777777" w:rsidR="000C1BB3" w:rsidRDefault="000C1BB3">
            <w:pPr>
              <w:jc w:val="center"/>
            </w:pPr>
            <w:r>
              <w:t>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57DB8" w14:textId="77777777" w:rsidR="000C1BB3" w:rsidRDefault="000C1BB3">
            <w:pPr>
              <w:jc w:val="center"/>
            </w:pPr>
            <w: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4C486" w14:textId="77777777" w:rsidR="000C1BB3" w:rsidRDefault="000C1BB3">
            <w:pPr>
              <w:jc w:val="center"/>
            </w:pPr>
            <w:r>
              <w:t>-50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429DC" w14:textId="77777777" w:rsidR="000C1BB3" w:rsidRDefault="000C1BB3">
            <w:pPr>
              <w:jc w:val="center"/>
            </w:pPr>
            <w:r>
              <w:t>4-8 hrs</w:t>
            </w:r>
          </w:p>
        </w:tc>
      </w:tr>
      <w:tr w:rsidR="000C1BB3" w14:paraId="5D9E570D" w14:textId="77777777" w:rsidTr="00D27307">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F6195" w14:textId="77777777" w:rsidR="000C1BB3" w:rsidRDefault="000C1BB3">
            <w:pPr>
              <w:jc w:val="center"/>
            </w:pPr>
            <w:r>
              <w:t>3.1-3.6</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F8426" w14:textId="77777777" w:rsidR="000C1BB3" w:rsidRDefault="000C1BB3">
            <w:pPr>
              <w:jc w:val="center"/>
            </w:pPr>
            <w:r>
              <w:t>100-119</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D524F" w14:textId="77777777" w:rsidR="000C1BB3" w:rsidRDefault="000C1BB3">
            <w:pPr>
              <w:jc w:val="center"/>
            </w:pPr>
            <w:r>
              <w:t>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B9CDB" w14:textId="77777777" w:rsidR="000C1BB3" w:rsidRDefault="000C1BB3">
            <w:pPr>
              <w:jc w:val="center"/>
            </w:pPr>
            <w: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D56A6" w14:textId="77777777" w:rsidR="000C1BB3" w:rsidRDefault="000C1BB3">
            <w:pPr>
              <w:jc w:val="center"/>
            </w:pPr>
            <w: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1F706" w14:textId="77777777" w:rsidR="000C1BB3" w:rsidRDefault="000C1BB3">
            <w:pPr>
              <w:jc w:val="center"/>
            </w:pPr>
            <w:r>
              <w:t>4-8 hrs after restart</w:t>
            </w:r>
          </w:p>
        </w:tc>
      </w:tr>
      <w:tr w:rsidR="000C1BB3" w14:paraId="38B34B82" w14:textId="77777777" w:rsidTr="00D27307">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E7E91" w14:textId="77777777" w:rsidR="000C1BB3" w:rsidRDefault="000C1BB3">
            <w:pPr>
              <w:jc w:val="center"/>
            </w:pPr>
            <w:r>
              <w:t>3.7-5.5</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A54BE" w14:textId="77777777" w:rsidR="000C1BB3" w:rsidRDefault="000C1BB3">
            <w:pPr>
              <w:jc w:val="center"/>
            </w:pPr>
            <w:r>
              <w:t>120-179</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1F595" w14:textId="77777777" w:rsidR="000C1BB3" w:rsidRDefault="000C1BB3">
            <w:pPr>
              <w:jc w:val="center"/>
            </w:pPr>
            <w:r>
              <w:t>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73903" w14:textId="77777777" w:rsidR="000C1BB3" w:rsidRDefault="000C1BB3">
            <w:pPr>
              <w:jc w:val="center"/>
            </w:pPr>
            <w:r>
              <w:t>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2E084" w14:textId="77777777" w:rsidR="000C1BB3" w:rsidRDefault="000C1BB3">
            <w:pPr>
              <w:jc w:val="center"/>
            </w:pPr>
            <w:r>
              <w:t>-150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BD2D1" w14:textId="77777777" w:rsidR="000C1BB3" w:rsidRDefault="000C1BB3">
            <w:pPr>
              <w:jc w:val="center"/>
            </w:pPr>
            <w:r>
              <w:t>4-6 hrs after restart</w:t>
            </w:r>
          </w:p>
        </w:tc>
      </w:tr>
      <w:tr w:rsidR="000C1BB3" w14:paraId="5F4EA25D" w14:textId="77777777" w:rsidTr="00D27307">
        <w:trPr>
          <w:cantSplit/>
          <w:trHeight w:val="613"/>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47AD0" w14:textId="77777777" w:rsidR="000C1BB3" w:rsidRDefault="000C1BB3">
            <w:pPr>
              <w:jc w:val="center"/>
            </w:pPr>
            <w:r>
              <w:t>&gt;5.5</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86D6F" w14:textId="77777777" w:rsidR="000C1BB3" w:rsidRDefault="000C1BB3">
            <w:pPr>
              <w:jc w:val="center"/>
            </w:pPr>
            <w:r>
              <w:t>&gt;180</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AF612" w14:textId="77777777" w:rsidR="000C1BB3" w:rsidRDefault="000C1BB3">
            <w:pPr>
              <w:jc w:val="center"/>
            </w:pPr>
            <w:r>
              <w:t>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ED399" w14:textId="77777777" w:rsidR="000C1BB3" w:rsidRDefault="000C1BB3">
            <w:pPr>
              <w:jc w:val="center"/>
            </w:pPr>
            <w:r>
              <w:t>60, then repeat APTT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88439" w14:textId="77777777" w:rsidR="000C1BB3" w:rsidRDefault="000C1BB3">
            <w:pPr>
              <w:jc w:val="center"/>
            </w:pPr>
            <w:r>
              <w:t>-200</w:t>
            </w:r>
          </w:p>
          <w:p w14:paraId="3A25716C" w14:textId="77777777" w:rsidR="000C1BB3" w:rsidRDefault="000C1BB3">
            <w:pPr>
              <w:jc w:val="center"/>
            </w:pPr>
            <w:r>
              <w:t>Restart when APTT &lt;3.1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D19AB" w14:textId="77777777" w:rsidR="000C1BB3" w:rsidRDefault="000C1BB3">
            <w:pPr>
              <w:jc w:val="center"/>
            </w:pPr>
            <w:r>
              <w:t>4-6 hrs after restart</w:t>
            </w:r>
          </w:p>
        </w:tc>
      </w:tr>
      <w:tr w:rsidR="000C1BB3" w14:paraId="32D58BB5" w14:textId="77777777" w:rsidTr="00D27307">
        <w:trPr>
          <w:jc w:val="center"/>
        </w:trPr>
        <w:tc>
          <w:tcPr>
            <w:tcW w:w="867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6B7C38B" w14:textId="77777777" w:rsidR="000C1BB3" w:rsidRDefault="000C1BB3">
            <w:pPr>
              <w:ind w:left="360" w:hanging="360"/>
              <w:jc w:val="center"/>
            </w:pPr>
            <w:r>
              <w:t>* Only applicable for standard APTT Target of 50-83 seconds</w:t>
            </w:r>
          </w:p>
        </w:tc>
      </w:tr>
    </w:tbl>
    <w:p w14:paraId="455D5AEC" w14:textId="77777777" w:rsidR="000C1BB3" w:rsidRDefault="000C1BB3" w:rsidP="000C1BB3">
      <w:pPr>
        <w:pStyle w:val="ListParagraph"/>
        <w:ind w:left="1211"/>
        <w:rPr>
          <w:rFonts w:asciiTheme="minorHAnsi" w:hAnsiTheme="minorHAnsi" w:cstheme="minorBidi"/>
          <w:color w:val="000000" w:themeColor="text1"/>
          <w:sz w:val="22"/>
          <w:szCs w:val="22"/>
        </w:rPr>
      </w:pPr>
    </w:p>
    <w:p w14:paraId="2975E41B" w14:textId="77777777" w:rsidR="000C1BB3" w:rsidRDefault="000C1BB3" w:rsidP="000C1BB3">
      <w:pPr>
        <w:pStyle w:val="ListBullet"/>
        <w:tabs>
          <w:tab w:val="clear" w:pos="1080"/>
        </w:tabs>
        <w:ind w:left="426" w:hanging="426"/>
      </w:pPr>
      <w:r>
        <w:t xml:space="preserve">The APTT requires checking every 6 hours until target APTT is reached/within therapeutic </w:t>
      </w:r>
      <w:proofErr w:type="gramStart"/>
      <w:r>
        <w:t>range</w:t>
      </w:r>
      <w:proofErr w:type="gramEnd"/>
    </w:p>
    <w:p w14:paraId="2ABCA784" w14:textId="77777777" w:rsidR="000C1BB3" w:rsidRDefault="000C1BB3" w:rsidP="000C1BB3">
      <w:pPr>
        <w:pStyle w:val="ListBullet"/>
        <w:tabs>
          <w:tab w:val="clear" w:pos="1080"/>
        </w:tabs>
        <w:ind w:left="426" w:hanging="426"/>
      </w:pPr>
      <w:r>
        <w:t xml:space="preserve">If the APTT is within target range, and no rate change or bolus is required. The prescriber must document this in the clinical record and the plan for the next APTT. </w:t>
      </w:r>
    </w:p>
    <w:p w14:paraId="22734647" w14:textId="77777777" w:rsidR="000C1BB3" w:rsidRDefault="000C1BB3" w:rsidP="000C1BB3">
      <w:pPr>
        <w:pStyle w:val="ListBullet"/>
        <w:tabs>
          <w:tab w:val="clear" w:pos="1080"/>
        </w:tabs>
        <w:ind w:left="426" w:hanging="426"/>
      </w:pPr>
      <w:r>
        <w:t xml:space="preserve">Once in the therapeutic range (within target APTT), the APTT must be checked daily as the clinical effect may change depending on anti-thrombin target and protein </w:t>
      </w:r>
      <w:proofErr w:type="gramStart"/>
      <w:r>
        <w:t>binding</w:t>
      </w:r>
      <w:proofErr w:type="gramEnd"/>
    </w:p>
    <w:p w14:paraId="3B5BC4AB" w14:textId="77777777" w:rsidR="000C1BB3" w:rsidRDefault="000C1BB3" w:rsidP="000C1BB3">
      <w:pPr>
        <w:pStyle w:val="ListBullet"/>
        <w:tabs>
          <w:tab w:val="clear" w:pos="1080"/>
        </w:tabs>
        <w:ind w:left="426" w:hanging="426"/>
      </w:pPr>
      <w:r>
        <w:t xml:space="preserve">Dose adjustments or bolus doses are to be prescribed in </w:t>
      </w:r>
      <w:proofErr w:type="gramStart"/>
      <w:r>
        <w:t>DHR</w:t>
      </w:r>
      <w:proofErr w:type="gramEnd"/>
    </w:p>
    <w:p w14:paraId="4A94BAC6" w14:textId="77777777" w:rsidR="000C1BB3" w:rsidRDefault="000C1BB3" w:rsidP="00D27307">
      <w:pPr>
        <w:pStyle w:val="ListBullet"/>
        <w:numPr>
          <w:ilvl w:val="0"/>
          <w:numId w:val="34"/>
        </w:numPr>
      </w:pPr>
      <w:r>
        <w:t xml:space="preserve">Rate changes can be made by modifying the current </w:t>
      </w:r>
      <w:proofErr w:type="gramStart"/>
      <w:r>
        <w:t>order</w:t>
      </w:r>
      <w:proofErr w:type="gramEnd"/>
    </w:p>
    <w:p w14:paraId="46CE11ED" w14:textId="77777777" w:rsidR="000C1BB3" w:rsidRDefault="000C1BB3" w:rsidP="00D27307">
      <w:pPr>
        <w:pStyle w:val="ListBullet"/>
        <w:numPr>
          <w:ilvl w:val="0"/>
          <w:numId w:val="34"/>
        </w:numPr>
      </w:pPr>
      <w:r>
        <w:t xml:space="preserve">Additional bolus doses can be prescribed using the ‘heparin bolus from the bag’ </w:t>
      </w:r>
      <w:proofErr w:type="gramStart"/>
      <w:r>
        <w:t>function</w:t>
      </w:r>
      <w:proofErr w:type="gramEnd"/>
    </w:p>
    <w:p w14:paraId="6A927C53" w14:textId="77777777" w:rsidR="000C1BB3" w:rsidRDefault="000C1BB3" w:rsidP="00D27307">
      <w:pPr>
        <w:pStyle w:val="ListBullet"/>
        <w:numPr>
          <w:ilvl w:val="0"/>
          <w:numId w:val="34"/>
        </w:numPr>
      </w:pPr>
      <w:r>
        <w:t xml:space="preserve">If the infusion is to be paused, the order must be ‘discontinued’ and a new order prescribed to start at a specific time using the ‘heparin in sodium chloride 0.9% infusion’ </w:t>
      </w:r>
      <w:proofErr w:type="gramStart"/>
      <w:r>
        <w:t>function</w:t>
      </w:r>
      <w:proofErr w:type="gramEnd"/>
    </w:p>
    <w:p w14:paraId="10B86415" w14:textId="77777777" w:rsidR="000C1BB3" w:rsidRDefault="000C1BB3" w:rsidP="000C1BB3">
      <w:pPr>
        <w:pStyle w:val="ListBullet"/>
        <w:tabs>
          <w:tab w:val="clear" w:pos="1080"/>
        </w:tabs>
        <w:ind w:left="426" w:hanging="426"/>
      </w:pPr>
      <w:r>
        <w:t xml:space="preserve"> If APTT ratio is not in the therapeutic range after three consecutive measurements, seek a Haematology </w:t>
      </w:r>
      <w:proofErr w:type="gramStart"/>
      <w:r>
        <w:t>consult</w:t>
      </w:r>
      <w:proofErr w:type="gramEnd"/>
    </w:p>
    <w:p w14:paraId="0CE42AA3" w14:textId="77777777" w:rsidR="000C1BB3" w:rsidRDefault="000C1BB3" w:rsidP="000C1BB3">
      <w:pPr>
        <w:pStyle w:val="ListBullet"/>
        <w:tabs>
          <w:tab w:val="clear" w:pos="1080"/>
        </w:tabs>
        <w:ind w:left="426" w:hanging="426"/>
      </w:pPr>
      <w:r>
        <w:t xml:space="preserve">In certain clinical circumstances an APTT may be inaccurate; an alternative test is an anti </w:t>
      </w:r>
      <w:proofErr w:type="spellStart"/>
      <w:r>
        <w:t>Xa</w:t>
      </w:r>
      <w:proofErr w:type="spellEnd"/>
      <w:r>
        <w:t xml:space="preserve"> </w:t>
      </w:r>
      <w:proofErr w:type="gramStart"/>
      <w:r>
        <w:t>assay</w:t>
      </w:r>
      <w:proofErr w:type="gramEnd"/>
    </w:p>
    <w:p w14:paraId="28445AC0" w14:textId="77777777" w:rsidR="000C1BB3" w:rsidRDefault="000C1BB3" w:rsidP="000C1BB3">
      <w:pPr>
        <w:pStyle w:val="ListBullet"/>
        <w:tabs>
          <w:tab w:val="clear" w:pos="1080"/>
        </w:tabs>
        <w:ind w:left="426" w:hanging="426"/>
      </w:pPr>
      <w:r>
        <w:t xml:space="preserve">Check </w:t>
      </w:r>
      <w:proofErr w:type="gramStart"/>
      <w:r>
        <w:t>platelet</w:t>
      </w:r>
      <w:proofErr w:type="gramEnd"/>
      <w:r>
        <w:t xml:space="preserve"> count three times weekly. If there is an abrupt decrease in platelet count, (</w:t>
      </w:r>
      <w:proofErr w:type="gramStart"/>
      <w:r>
        <w:t>e.g.</w:t>
      </w:r>
      <w:proofErr w:type="gramEnd"/>
      <w:r>
        <w:t xml:space="preserve"> &gt; 50%) consider Heparin Induced Thrombocytopenia (HIT) and arrange immediate haematology consult</w:t>
      </w:r>
    </w:p>
    <w:p w14:paraId="615A3FAE" w14:textId="195D9E4A" w:rsidR="000C1BB3" w:rsidRDefault="000C1BB3" w:rsidP="000C1BB3">
      <w:pPr>
        <w:pStyle w:val="ListBullet"/>
        <w:tabs>
          <w:tab w:val="clear" w:pos="1080"/>
        </w:tabs>
        <w:ind w:left="426" w:hanging="426"/>
      </w:pPr>
      <w:r>
        <w:t>A Haematology consult is recommended if APTT is prolonged prior to initiation of infusion or if there are any concerns</w:t>
      </w:r>
      <w:r w:rsidR="00D27307">
        <w:t>.</w:t>
      </w:r>
    </w:p>
    <w:p w14:paraId="0D7FB687" w14:textId="77777777" w:rsidR="000C1BB3" w:rsidRDefault="000C1BB3" w:rsidP="000C1BB3">
      <w:pPr>
        <w:pStyle w:val="ListBullet"/>
        <w:numPr>
          <w:ilvl w:val="0"/>
          <w:numId w:val="0"/>
        </w:numPr>
      </w:pPr>
    </w:p>
    <w:p w14:paraId="65602E22" w14:textId="0AFABAB2" w:rsidR="00816C72" w:rsidRPr="000C1BB3" w:rsidRDefault="000C1BB3" w:rsidP="000C1BB3">
      <w:pPr>
        <w:pStyle w:val="ListBullet"/>
        <w:numPr>
          <w:ilvl w:val="0"/>
          <w:numId w:val="0"/>
        </w:numPr>
        <w:pBdr>
          <w:top w:val="single" w:sz="4" w:space="1" w:color="auto"/>
          <w:left w:val="single" w:sz="4" w:space="0" w:color="auto"/>
          <w:bottom w:val="single" w:sz="4" w:space="1" w:color="auto"/>
          <w:right w:val="single" w:sz="4" w:space="4" w:color="auto"/>
        </w:pBdr>
      </w:pPr>
      <w:r w:rsidRPr="000C1BB3">
        <w:rPr>
          <w:b/>
          <w:bCs/>
        </w:rPr>
        <w:t>Note:</w:t>
      </w:r>
      <w:r>
        <w:t xml:space="preserve"> Failure to achieve target APTT may be related to inadequate loading dose – further loading doses may need to be prescribed.</w:t>
      </w:r>
    </w:p>
    <w:p w14:paraId="5371A25C" w14:textId="77777777" w:rsidR="000C1BB3" w:rsidRDefault="000C1BB3" w:rsidP="00816C72">
      <w:pPr>
        <w:jc w:val="right"/>
      </w:pPr>
    </w:p>
    <w:p w14:paraId="6276E408" w14:textId="4FD903BF" w:rsidR="00816C72" w:rsidRPr="00253F5A" w:rsidRDefault="008E4C0E" w:rsidP="00816C72">
      <w:pPr>
        <w:jc w:val="right"/>
      </w:pPr>
      <w:hyperlink w:anchor="Contents" w:history="1">
        <w:r w:rsidR="00816C72"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16C72" w:rsidRPr="00CD1C0E" w14:paraId="3A2B495B" w14:textId="77777777" w:rsidTr="00F731D1">
        <w:trPr>
          <w:cantSplit/>
          <w:trHeight w:val="285"/>
        </w:trPr>
        <w:tc>
          <w:tcPr>
            <w:tcW w:w="9158" w:type="dxa"/>
            <w:shd w:val="clear" w:color="auto" w:fill="A6A6A6" w:themeFill="background1" w:themeFillShade="A6"/>
          </w:tcPr>
          <w:p w14:paraId="0616F7C1" w14:textId="2AD89B89" w:rsidR="00816C72" w:rsidRPr="003D2D06" w:rsidRDefault="00816C72" w:rsidP="00F731D1">
            <w:pPr>
              <w:pStyle w:val="Heading1"/>
            </w:pPr>
            <w:bookmarkStart w:id="22" w:name="_Toc159225466"/>
            <w:r>
              <w:t xml:space="preserve">Section </w:t>
            </w:r>
            <w:r w:rsidR="000C1BB3">
              <w:t>7</w:t>
            </w:r>
            <w:r w:rsidRPr="003D2D06">
              <w:t xml:space="preserve"> – </w:t>
            </w:r>
            <w:r w:rsidR="000C1BB3">
              <w:t>Adverse Effects</w:t>
            </w:r>
            <w:bookmarkEnd w:id="22"/>
          </w:p>
        </w:tc>
      </w:tr>
    </w:tbl>
    <w:p w14:paraId="29AA0246" w14:textId="77777777" w:rsidR="00816C72" w:rsidRDefault="00816C72" w:rsidP="00816C72">
      <w:pPr>
        <w:pStyle w:val="Heading2"/>
      </w:pPr>
    </w:p>
    <w:p w14:paraId="12AB40CD" w14:textId="77777777" w:rsidR="000C1BB3" w:rsidRPr="000C1BB3" w:rsidRDefault="000C1BB3" w:rsidP="000C1BB3">
      <w:pPr>
        <w:pStyle w:val="ListBullet"/>
        <w:tabs>
          <w:tab w:val="clear" w:pos="1080"/>
        </w:tabs>
        <w:ind w:left="426" w:hanging="426"/>
      </w:pPr>
      <w:r>
        <w:t xml:space="preserve">Bleeding – if a patient develops bleeding while on the heparin infusion, seek urgent haematology and/or ICU </w:t>
      </w:r>
      <w:proofErr w:type="gramStart"/>
      <w:r>
        <w:t>advice</w:t>
      </w:r>
      <w:proofErr w:type="gramEnd"/>
    </w:p>
    <w:p w14:paraId="4EE1A7E7" w14:textId="77777777" w:rsidR="000C1BB3" w:rsidRDefault="000C1BB3" w:rsidP="000C1BB3">
      <w:pPr>
        <w:pStyle w:val="ListBullet"/>
        <w:tabs>
          <w:tab w:val="clear" w:pos="1080"/>
        </w:tabs>
        <w:ind w:left="426" w:hanging="426"/>
      </w:pPr>
      <w:r>
        <w:t xml:space="preserve">Heparin Induced Thrombocytopaenia (HIT) with </w:t>
      </w:r>
      <w:proofErr w:type="gramStart"/>
      <w:r>
        <w:t>thrombosis</w:t>
      </w:r>
      <w:proofErr w:type="gramEnd"/>
    </w:p>
    <w:p w14:paraId="41F321EF" w14:textId="77777777" w:rsidR="000C1BB3" w:rsidRDefault="000C1BB3" w:rsidP="000C1BB3">
      <w:pPr>
        <w:pStyle w:val="ListBullet"/>
        <w:tabs>
          <w:tab w:val="clear" w:pos="1080"/>
        </w:tabs>
        <w:ind w:left="426" w:hanging="426"/>
      </w:pPr>
      <w:r>
        <w:t>Local irritation</w:t>
      </w:r>
    </w:p>
    <w:p w14:paraId="27699F93" w14:textId="77777777" w:rsidR="000C1BB3" w:rsidRDefault="000C1BB3" w:rsidP="000C1BB3">
      <w:pPr>
        <w:pStyle w:val="ListBullet"/>
        <w:tabs>
          <w:tab w:val="clear" w:pos="1080"/>
        </w:tabs>
        <w:ind w:left="426" w:hanging="426"/>
      </w:pPr>
      <w:r>
        <w:lastRenderedPageBreak/>
        <w:t>Hypersensitivity reactions</w:t>
      </w:r>
    </w:p>
    <w:p w14:paraId="0F6972C5" w14:textId="77777777" w:rsidR="00816C72" w:rsidRDefault="00816C72" w:rsidP="00816C72">
      <w:pPr>
        <w:rPr>
          <w:rFonts w:cs="Arial"/>
          <w:b/>
          <w:szCs w:val="24"/>
        </w:rPr>
      </w:pPr>
    </w:p>
    <w:p w14:paraId="69BE71FA" w14:textId="77777777" w:rsidR="00816C72" w:rsidRPr="00253F5A" w:rsidRDefault="008E4C0E" w:rsidP="00816C72">
      <w:pPr>
        <w:jc w:val="right"/>
      </w:pPr>
      <w:hyperlink w:anchor="Contents" w:history="1">
        <w:r w:rsidR="00816C72"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16C72" w:rsidRPr="00CD1C0E" w14:paraId="647D1FD7" w14:textId="77777777" w:rsidTr="00F731D1">
        <w:trPr>
          <w:cantSplit/>
          <w:trHeight w:val="285"/>
        </w:trPr>
        <w:tc>
          <w:tcPr>
            <w:tcW w:w="9158" w:type="dxa"/>
            <w:shd w:val="clear" w:color="auto" w:fill="A6A6A6" w:themeFill="background1" w:themeFillShade="A6"/>
          </w:tcPr>
          <w:p w14:paraId="4A2765E7" w14:textId="51454B98" w:rsidR="00816C72" w:rsidRPr="003D2D06" w:rsidRDefault="00816C72" w:rsidP="00F731D1">
            <w:pPr>
              <w:pStyle w:val="Heading1"/>
            </w:pPr>
            <w:bookmarkStart w:id="23" w:name="_Toc159225467"/>
            <w:r>
              <w:t xml:space="preserve">Section </w:t>
            </w:r>
            <w:r w:rsidR="000C1BB3">
              <w:t>8</w:t>
            </w:r>
            <w:r w:rsidRPr="003D2D06">
              <w:t xml:space="preserve"> – </w:t>
            </w:r>
            <w:r w:rsidR="000C1BB3">
              <w:t>Ceasing the Heparin Infusion</w:t>
            </w:r>
            <w:bookmarkEnd w:id="23"/>
          </w:p>
        </w:tc>
      </w:tr>
    </w:tbl>
    <w:p w14:paraId="2D573501" w14:textId="77777777" w:rsidR="000C1BB3" w:rsidRDefault="000C1BB3" w:rsidP="00816C72">
      <w:pPr>
        <w:rPr>
          <w:b/>
        </w:rPr>
      </w:pPr>
    </w:p>
    <w:p w14:paraId="61B0AA29" w14:textId="77777777" w:rsidR="000C1BB3" w:rsidRDefault="000C1BB3" w:rsidP="000C1BB3">
      <w:pPr>
        <w:rPr>
          <w:rFonts w:asciiTheme="minorHAnsi" w:hAnsiTheme="minorHAnsi"/>
          <w:sz w:val="22"/>
        </w:rPr>
      </w:pPr>
      <w:r>
        <w:t>Heparin infusions can be ceased and transitioned to the following:</w:t>
      </w:r>
    </w:p>
    <w:tbl>
      <w:tblPr>
        <w:tblStyle w:val="TableGrid"/>
        <w:tblW w:w="0" w:type="auto"/>
        <w:jc w:val="center"/>
        <w:tblLook w:val="04A0" w:firstRow="1" w:lastRow="0" w:firstColumn="1" w:lastColumn="0" w:noHBand="0" w:noVBand="1"/>
      </w:tblPr>
      <w:tblGrid>
        <w:gridCol w:w="1004"/>
        <w:gridCol w:w="3619"/>
        <w:gridCol w:w="4437"/>
      </w:tblGrid>
      <w:tr w:rsidR="000C1BB3" w14:paraId="1771EEBE" w14:textId="77777777" w:rsidTr="000C1BB3">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17CD82F" w14:textId="77777777" w:rsidR="000C1BB3" w:rsidRDefault="000C1BB3">
            <w:pPr>
              <w:jc w:val="center"/>
              <w:rPr>
                <w:b/>
              </w:rPr>
            </w:pPr>
            <w:r>
              <w:rPr>
                <w:b/>
              </w:rPr>
              <w:t>From</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D7E757D" w14:textId="77777777" w:rsidR="000C1BB3" w:rsidRDefault="000C1BB3">
            <w:pPr>
              <w:jc w:val="center"/>
              <w:rPr>
                <w:b/>
              </w:rPr>
            </w:pPr>
            <w:r>
              <w:rPr>
                <w:b/>
              </w:rPr>
              <w:t>To</w:t>
            </w:r>
          </w:p>
        </w:tc>
        <w:tc>
          <w:tcPr>
            <w:tcW w:w="4983" w:type="dxa"/>
            <w:tcBorders>
              <w:top w:val="single" w:sz="4" w:space="0" w:color="auto"/>
              <w:left w:val="single" w:sz="4" w:space="0" w:color="auto"/>
              <w:bottom w:val="single" w:sz="4" w:space="0" w:color="auto"/>
              <w:right w:val="single" w:sz="4" w:space="0" w:color="auto"/>
            </w:tcBorders>
            <w:vAlign w:val="center"/>
            <w:hideMark/>
          </w:tcPr>
          <w:p w14:paraId="376E2443" w14:textId="77777777" w:rsidR="000C1BB3" w:rsidRDefault="000C1BB3">
            <w:pPr>
              <w:jc w:val="center"/>
              <w:rPr>
                <w:b/>
              </w:rPr>
            </w:pPr>
            <w:r>
              <w:rPr>
                <w:b/>
              </w:rPr>
              <w:t>Recommendation</w:t>
            </w:r>
          </w:p>
        </w:tc>
      </w:tr>
      <w:tr w:rsidR="000C1BB3" w14:paraId="48D06DC2" w14:textId="77777777" w:rsidTr="000C1BB3">
        <w:trPr>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08E09EAE" w14:textId="77777777" w:rsidR="000C1BB3" w:rsidRDefault="000C1BB3">
            <w:pPr>
              <w:jc w:val="center"/>
            </w:pPr>
            <w:r>
              <w:t>Heparin Infusion</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C3440C5" w14:textId="77777777" w:rsidR="000C1BB3" w:rsidRDefault="000C1BB3">
            <w:pPr>
              <w:jc w:val="center"/>
            </w:pPr>
            <w:r>
              <w:t>LMWH (either prophylactic or therapeutic)</w:t>
            </w:r>
          </w:p>
        </w:tc>
        <w:tc>
          <w:tcPr>
            <w:tcW w:w="4983" w:type="dxa"/>
            <w:tcBorders>
              <w:top w:val="single" w:sz="4" w:space="0" w:color="auto"/>
              <w:left w:val="single" w:sz="4" w:space="0" w:color="auto"/>
              <w:bottom w:val="single" w:sz="4" w:space="0" w:color="auto"/>
              <w:right w:val="single" w:sz="4" w:space="0" w:color="auto"/>
            </w:tcBorders>
            <w:vAlign w:val="center"/>
            <w:hideMark/>
          </w:tcPr>
          <w:p w14:paraId="6BA58AF3" w14:textId="77777777" w:rsidR="000C1BB3" w:rsidRDefault="000C1BB3">
            <w:pPr>
              <w:jc w:val="center"/>
            </w:pPr>
            <w:r>
              <w:t>Stop heparin infusion and immediately start LMWH</w:t>
            </w:r>
          </w:p>
        </w:tc>
      </w:tr>
      <w:tr w:rsidR="000C1BB3" w14:paraId="35AFDF08" w14:textId="77777777" w:rsidTr="000C1BB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0F9173" w14:textId="77777777" w:rsidR="000C1BB3" w:rsidRDefault="000C1BB3">
            <w:pPr>
              <w:rPr>
                <w:color w:val="000000" w:themeColor="text1"/>
                <w:sz w:val="22"/>
                <w:szCs w:val="22"/>
                <w:lang w:eastAsia="en-US"/>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134BF126" w14:textId="77777777" w:rsidR="000C1BB3" w:rsidRDefault="000C1BB3">
            <w:pPr>
              <w:jc w:val="center"/>
            </w:pPr>
            <w:r>
              <w:t>DOAC</w:t>
            </w:r>
          </w:p>
        </w:tc>
        <w:tc>
          <w:tcPr>
            <w:tcW w:w="4983" w:type="dxa"/>
            <w:tcBorders>
              <w:top w:val="single" w:sz="4" w:space="0" w:color="auto"/>
              <w:left w:val="single" w:sz="4" w:space="0" w:color="auto"/>
              <w:bottom w:val="single" w:sz="4" w:space="0" w:color="auto"/>
              <w:right w:val="single" w:sz="4" w:space="0" w:color="auto"/>
            </w:tcBorders>
            <w:vAlign w:val="center"/>
            <w:hideMark/>
          </w:tcPr>
          <w:p w14:paraId="636F08C2" w14:textId="77777777" w:rsidR="000C1BB3" w:rsidRDefault="000C1BB3">
            <w:pPr>
              <w:jc w:val="center"/>
            </w:pPr>
            <w:r>
              <w:t>Stop heparin infusion and immediately start DOAC</w:t>
            </w:r>
          </w:p>
        </w:tc>
      </w:tr>
      <w:tr w:rsidR="000C1BB3" w14:paraId="31C58998" w14:textId="77777777" w:rsidTr="000C1BB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C069B" w14:textId="77777777" w:rsidR="000C1BB3" w:rsidRDefault="000C1BB3">
            <w:pPr>
              <w:rPr>
                <w:color w:val="000000" w:themeColor="text1"/>
                <w:sz w:val="22"/>
                <w:szCs w:val="22"/>
                <w:lang w:eastAsia="en-US"/>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636633D6" w14:textId="77777777" w:rsidR="000C1BB3" w:rsidRDefault="000C1BB3">
            <w:pPr>
              <w:jc w:val="center"/>
            </w:pPr>
            <w:r>
              <w:t>Warfarin</w:t>
            </w:r>
          </w:p>
        </w:tc>
        <w:tc>
          <w:tcPr>
            <w:tcW w:w="4983" w:type="dxa"/>
            <w:tcBorders>
              <w:top w:val="single" w:sz="4" w:space="0" w:color="auto"/>
              <w:left w:val="single" w:sz="4" w:space="0" w:color="auto"/>
              <w:bottom w:val="single" w:sz="4" w:space="0" w:color="auto"/>
              <w:right w:val="single" w:sz="4" w:space="0" w:color="auto"/>
            </w:tcBorders>
            <w:vAlign w:val="center"/>
            <w:hideMark/>
          </w:tcPr>
          <w:p w14:paraId="62DF762D" w14:textId="77777777" w:rsidR="000C1BB3" w:rsidRDefault="000C1BB3">
            <w:pPr>
              <w:jc w:val="center"/>
            </w:pPr>
            <w:r>
              <w:t>Start warfarin while within target APTT. Cease heparin infusion when target INR has been achieved for at least 48 hours</w:t>
            </w:r>
          </w:p>
        </w:tc>
      </w:tr>
    </w:tbl>
    <w:p w14:paraId="5EDDEDCF" w14:textId="26898FB3" w:rsidR="000C1BB3" w:rsidRDefault="000C1BB3" w:rsidP="00816C72">
      <w:pPr>
        <w:rPr>
          <w:b/>
        </w:rPr>
      </w:pPr>
    </w:p>
    <w:p w14:paraId="68185ED4" w14:textId="77777777" w:rsidR="00816C72" w:rsidRDefault="00816C72" w:rsidP="00816C72">
      <w:pPr>
        <w:rPr>
          <w:rFonts w:cs="Arial"/>
          <w:b/>
          <w:szCs w:val="24"/>
        </w:rPr>
      </w:pPr>
    </w:p>
    <w:p w14:paraId="3077416D" w14:textId="7EC25473" w:rsidR="00816C72" w:rsidRDefault="008E4C0E" w:rsidP="000C1BB3">
      <w:pPr>
        <w:jc w:val="right"/>
        <w:rPr>
          <w:rStyle w:val="Hyperlink"/>
          <w:rFonts w:cs="Arial"/>
          <w:i/>
          <w:szCs w:val="24"/>
        </w:rPr>
      </w:pPr>
      <w:hyperlink w:anchor="Contents" w:history="1">
        <w:r w:rsidR="00816C72" w:rsidRPr="00590902">
          <w:rPr>
            <w:rStyle w:val="Hyperlink"/>
            <w:rFonts w:cs="Arial"/>
            <w:i/>
            <w:szCs w:val="24"/>
          </w:rPr>
          <w:t>Back to Table of Contents</w:t>
        </w:r>
      </w:hyperlink>
    </w:p>
    <w:p w14:paraId="7B272E39" w14:textId="77777777" w:rsidR="000C1BB3" w:rsidRPr="00253F5A" w:rsidRDefault="000C1BB3" w:rsidP="000C1BB3">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24" w:name="_Toc389473287"/>
            <w:bookmarkStart w:id="25" w:name="_Toc159225468"/>
            <w:r>
              <w:t xml:space="preserve">Related Policies, </w:t>
            </w:r>
            <w:r w:rsidR="007B6904">
              <w:t>Procedures</w:t>
            </w:r>
            <w:bookmarkEnd w:id="24"/>
            <w:r>
              <w:t>, Guidelines and Legislation</w:t>
            </w:r>
            <w:bookmarkEnd w:id="25"/>
          </w:p>
        </w:tc>
      </w:tr>
    </w:tbl>
    <w:p w14:paraId="2F51A8B9" w14:textId="77777777" w:rsidR="001926F4" w:rsidRDefault="001926F4" w:rsidP="001926F4">
      <w:pPr>
        <w:pStyle w:val="Heading2"/>
      </w:pPr>
    </w:p>
    <w:p w14:paraId="2F51A8BE" w14:textId="77777777" w:rsidR="00931B93" w:rsidRPr="00201FB6" w:rsidRDefault="00931B93" w:rsidP="00201FB6">
      <w:pPr>
        <w:rPr>
          <w:b/>
        </w:rPr>
      </w:pPr>
      <w:r w:rsidRPr="00201FB6">
        <w:rPr>
          <w:b/>
        </w:rPr>
        <w:t>Procedures</w:t>
      </w:r>
    </w:p>
    <w:p w14:paraId="21DB3404" w14:textId="77777777" w:rsidR="00D27307" w:rsidRDefault="00D27307" w:rsidP="55918A0A">
      <w:pPr>
        <w:numPr>
          <w:ilvl w:val="0"/>
          <w:numId w:val="3"/>
        </w:numPr>
        <w:ind w:left="360"/>
        <w:rPr>
          <w:rFonts w:cs="Arial"/>
        </w:rPr>
      </w:pPr>
      <w:r>
        <w:rPr>
          <w:rFonts w:cs="Arial"/>
        </w:rPr>
        <w:t xml:space="preserve">NCH Medication Handling </w:t>
      </w:r>
    </w:p>
    <w:p w14:paraId="527B9209" w14:textId="77777777" w:rsidR="00D27307" w:rsidRDefault="00D27307" w:rsidP="55918A0A">
      <w:pPr>
        <w:numPr>
          <w:ilvl w:val="0"/>
          <w:numId w:val="3"/>
        </w:numPr>
        <w:ind w:left="360"/>
        <w:rPr>
          <w:rFonts w:cs="Arial"/>
        </w:rPr>
      </w:pPr>
      <w:r>
        <w:rPr>
          <w:rFonts w:cs="Arial"/>
        </w:rPr>
        <w:t xml:space="preserve">NCH High Risk Medicines Management </w:t>
      </w:r>
    </w:p>
    <w:p w14:paraId="140B2319" w14:textId="434F8076" w:rsidR="00DE4893" w:rsidRDefault="00DE4893" w:rsidP="55918A0A">
      <w:pPr>
        <w:numPr>
          <w:ilvl w:val="0"/>
          <w:numId w:val="3"/>
        </w:numPr>
        <w:ind w:left="360"/>
        <w:rPr>
          <w:rFonts w:cs="Arial"/>
        </w:rPr>
      </w:pPr>
      <w:r>
        <w:rPr>
          <w:rFonts w:cs="Arial"/>
        </w:rPr>
        <w:t xml:space="preserve">NCH High Risk Medicines – Intravenous Potassium </w:t>
      </w:r>
    </w:p>
    <w:p w14:paraId="0CFA5045" w14:textId="0A57AF91" w:rsidR="00DE4893" w:rsidRDefault="00DE4893" w:rsidP="55918A0A">
      <w:pPr>
        <w:numPr>
          <w:ilvl w:val="0"/>
          <w:numId w:val="3"/>
        </w:numPr>
        <w:ind w:left="360"/>
        <w:rPr>
          <w:rFonts w:cs="Arial"/>
        </w:rPr>
      </w:pPr>
      <w:r>
        <w:rPr>
          <w:rFonts w:cs="Arial"/>
        </w:rPr>
        <w:t xml:space="preserve">NCH VTE Prevention </w:t>
      </w:r>
    </w:p>
    <w:p w14:paraId="2F51A8BF" w14:textId="1A05257B" w:rsidR="001926F4" w:rsidRPr="001F2A9B" w:rsidRDefault="001926F4" w:rsidP="55918A0A">
      <w:pPr>
        <w:numPr>
          <w:ilvl w:val="0"/>
          <w:numId w:val="3"/>
        </w:numPr>
        <w:ind w:left="360"/>
        <w:rPr>
          <w:rFonts w:cs="Arial"/>
        </w:rPr>
      </w:pPr>
      <w:r w:rsidRPr="55918A0A">
        <w:rPr>
          <w:rFonts w:cs="Arial"/>
        </w:rPr>
        <w:t>Infection Prevention and Control</w:t>
      </w:r>
    </w:p>
    <w:p w14:paraId="2F51A8C0" w14:textId="370EE56C" w:rsidR="000A7335" w:rsidRDefault="000A7335" w:rsidP="55918A0A">
      <w:pPr>
        <w:pStyle w:val="ListParagraph"/>
        <w:numPr>
          <w:ilvl w:val="0"/>
          <w:numId w:val="3"/>
        </w:numPr>
        <w:ind w:left="360"/>
        <w:rPr>
          <w:rFonts w:cs="Arial"/>
        </w:rPr>
      </w:pPr>
      <w:r w:rsidRPr="55918A0A">
        <w:rPr>
          <w:rFonts w:cs="Arial"/>
        </w:rPr>
        <w:t xml:space="preserve">Patient Identification and Procedure Matching </w:t>
      </w:r>
    </w:p>
    <w:p w14:paraId="2F51A8C4" w14:textId="77777777" w:rsidR="00931B93" w:rsidRPr="000A7335" w:rsidRDefault="00931B93" w:rsidP="00931B93"/>
    <w:p w14:paraId="2F51A8C5" w14:textId="77777777" w:rsidR="00931B93" w:rsidRPr="00201FB6" w:rsidRDefault="00931B93" w:rsidP="00201FB6">
      <w:pPr>
        <w:rPr>
          <w:b/>
        </w:rPr>
      </w:pPr>
      <w:r w:rsidRPr="00201FB6">
        <w:rPr>
          <w:b/>
        </w:rPr>
        <w:t>Legislation</w:t>
      </w:r>
    </w:p>
    <w:p w14:paraId="2F51A8C7" w14:textId="77777777" w:rsidR="000A7335" w:rsidRPr="000A7335" w:rsidRDefault="000A7335" w:rsidP="000A7335">
      <w:pPr>
        <w:numPr>
          <w:ilvl w:val="0"/>
          <w:numId w:val="3"/>
        </w:numPr>
        <w:ind w:left="360"/>
        <w:rPr>
          <w:rFonts w:cs="Arial"/>
          <w:szCs w:val="24"/>
        </w:rPr>
      </w:pPr>
      <w:r w:rsidRPr="001F2A9B">
        <w:rPr>
          <w:rFonts w:cs="Arial"/>
          <w:i/>
          <w:szCs w:val="24"/>
        </w:rPr>
        <w:t>Human Rights Act</w:t>
      </w:r>
      <w:r w:rsidRPr="000A7335">
        <w:rPr>
          <w:rFonts w:cs="Arial"/>
          <w:szCs w:val="24"/>
        </w:rPr>
        <w:t xml:space="preserve"> 2004</w:t>
      </w:r>
    </w:p>
    <w:p w14:paraId="6DD67CCA" w14:textId="77777777" w:rsidR="007C0698" w:rsidRDefault="000A7335" w:rsidP="007C0698">
      <w:pPr>
        <w:numPr>
          <w:ilvl w:val="0"/>
          <w:numId w:val="3"/>
        </w:numPr>
        <w:ind w:left="360"/>
        <w:rPr>
          <w:rFonts w:cs="Arial"/>
          <w:szCs w:val="24"/>
        </w:rPr>
      </w:pPr>
      <w:r w:rsidRPr="001F2A9B">
        <w:rPr>
          <w:rFonts w:cs="Arial"/>
          <w:i/>
          <w:szCs w:val="24"/>
        </w:rPr>
        <w:t>Work Health and Safety Act</w:t>
      </w:r>
      <w:r w:rsidRPr="000A7335">
        <w:rPr>
          <w:rFonts w:cs="Arial"/>
          <w:szCs w:val="24"/>
        </w:rPr>
        <w:t xml:space="preserve"> 2011</w:t>
      </w:r>
    </w:p>
    <w:p w14:paraId="382526BA" w14:textId="77777777" w:rsidR="007C0698" w:rsidRPr="007C0698" w:rsidRDefault="007C0698" w:rsidP="007C0698">
      <w:pPr>
        <w:numPr>
          <w:ilvl w:val="0"/>
          <w:numId w:val="3"/>
        </w:numPr>
        <w:ind w:left="360"/>
        <w:rPr>
          <w:rFonts w:cs="Arial"/>
          <w:szCs w:val="24"/>
        </w:rPr>
      </w:pPr>
      <w:r w:rsidRPr="007C0698">
        <w:rPr>
          <w:i/>
          <w:iCs/>
        </w:rPr>
        <w:t xml:space="preserve">Medicines, Poisons and Therapeutic Goods Act </w:t>
      </w:r>
      <w:r>
        <w:t>2008</w:t>
      </w:r>
      <w:r w:rsidRPr="007C0698">
        <w:rPr>
          <w:i/>
          <w:iCs/>
        </w:rPr>
        <w:t xml:space="preserve"> </w:t>
      </w:r>
    </w:p>
    <w:p w14:paraId="431EE296" w14:textId="77777777" w:rsidR="00DE4893" w:rsidRPr="00DE4893" w:rsidRDefault="007C0698" w:rsidP="00DE4893">
      <w:pPr>
        <w:numPr>
          <w:ilvl w:val="0"/>
          <w:numId w:val="3"/>
        </w:numPr>
        <w:ind w:left="360"/>
        <w:rPr>
          <w:rFonts w:cs="Arial"/>
          <w:szCs w:val="24"/>
        </w:rPr>
      </w:pPr>
      <w:r w:rsidRPr="007C0698">
        <w:rPr>
          <w:i/>
          <w:iCs/>
        </w:rPr>
        <w:t xml:space="preserve">Medicines, Poisons and Therapeutic Goods Regulation </w:t>
      </w:r>
      <w:r>
        <w:t>2008</w:t>
      </w:r>
      <w:r w:rsidRPr="007C0698">
        <w:rPr>
          <w:i/>
          <w:iCs/>
        </w:rPr>
        <w:t xml:space="preserve"> </w:t>
      </w:r>
    </w:p>
    <w:p w14:paraId="04A48431" w14:textId="77777777" w:rsidR="00DE4893" w:rsidRPr="00DE4893" w:rsidRDefault="00DE4893" w:rsidP="00DE4893">
      <w:pPr>
        <w:numPr>
          <w:ilvl w:val="0"/>
          <w:numId w:val="3"/>
        </w:numPr>
        <w:ind w:left="360"/>
        <w:rPr>
          <w:rStyle w:val="eop"/>
          <w:rFonts w:cs="Arial"/>
          <w:szCs w:val="24"/>
        </w:rPr>
      </w:pPr>
      <w:r w:rsidRPr="00DE4893">
        <w:rPr>
          <w:rStyle w:val="normaltextrun1"/>
          <w:rFonts w:asciiTheme="minorHAnsi" w:hAnsiTheme="minorHAnsi" w:cstheme="minorHAnsi"/>
          <w:i/>
          <w:iCs/>
          <w:szCs w:val="24"/>
        </w:rPr>
        <w:t xml:space="preserve">Health Practitioner Regulation National Law Act </w:t>
      </w:r>
      <w:r w:rsidRPr="00DE4893">
        <w:rPr>
          <w:rStyle w:val="normaltextrun1"/>
          <w:rFonts w:asciiTheme="minorHAnsi" w:hAnsiTheme="minorHAnsi" w:cstheme="minorHAnsi"/>
          <w:szCs w:val="24"/>
        </w:rPr>
        <w:t>2010</w:t>
      </w:r>
      <w:r w:rsidRPr="00DE4893">
        <w:rPr>
          <w:rStyle w:val="eop"/>
          <w:rFonts w:asciiTheme="minorHAnsi" w:hAnsiTheme="minorHAnsi" w:cstheme="minorHAnsi"/>
          <w:szCs w:val="24"/>
          <w:lang w:val="en-US"/>
        </w:rPr>
        <w:t> </w:t>
      </w:r>
    </w:p>
    <w:p w14:paraId="4EB0EDF1" w14:textId="77777777" w:rsidR="00DE4893" w:rsidRPr="00DE4893" w:rsidRDefault="00DE4893" w:rsidP="00DE4893">
      <w:pPr>
        <w:numPr>
          <w:ilvl w:val="0"/>
          <w:numId w:val="3"/>
        </w:numPr>
        <w:ind w:left="360"/>
        <w:rPr>
          <w:rStyle w:val="eop"/>
          <w:rFonts w:cs="Arial"/>
          <w:szCs w:val="24"/>
        </w:rPr>
      </w:pPr>
      <w:r w:rsidRPr="00DE4893">
        <w:rPr>
          <w:rStyle w:val="normaltextrun1"/>
          <w:rFonts w:asciiTheme="minorHAnsi" w:hAnsiTheme="minorHAnsi" w:cstheme="minorHAnsi"/>
          <w:i/>
          <w:iCs/>
          <w:szCs w:val="24"/>
        </w:rPr>
        <w:t xml:space="preserve">Therapeutic Goods Act </w:t>
      </w:r>
      <w:r w:rsidRPr="00DE4893">
        <w:rPr>
          <w:rStyle w:val="normaltextrun1"/>
          <w:rFonts w:asciiTheme="minorHAnsi" w:hAnsiTheme="minorHAnsi" w:cstheme="minorHAnsi"/>
          <w:szCs w:val="24"/>
        </w:rPr>
        <w:t>1989</w:t>
      </w:r>
      <w:r w:rsidRPr="00DE4893">
        <w:rPr>
          <w:rStyle w:val="normaltextrun1"/>
          <w:rFonts w:asciiTheme="minorHAnsi" w:hAnsiTheme="minorHAnsi" w:cstheme="minorHAnsi"/>
          <w:i/>
          <w:iCs/>
          <w:szCs w:val="24"/>
        </w:rPr>
        <w:t> </w:t>
      </w:r>
      <w:r w:rsidRPr="00DE4893">
        <w:rPr>
          <w:rStyle w:val="eop"/>
          <w:rFonts w:asciiTheme="minorHAnsi" w:hAnsiTheme="minorHAnsi" w:cstheme="minorHAnsi"/>
          <w:szCs w:val="24"/>
          <w:lang w:val="en-US"/>
        </w:rPr>
        <w:t> </w:t>
      </w:r>
    </w:p>
    <w:p w14:paraId="0951835C" w14:textId="622F6134" w:rsidR="00DE4893" w:rsidRPr="00DE4893" w:rsidRDefault="00DE4893" w:rsidP="00DE4893">
      <w:pPr>
        <w:numPr>
          <w:ilvl w:val="0"/>
          <w:numId w:val="3"/>
        </w:numPr>
        <w:ind w:left="360"/>
        <w:rPr>
          <w:rStyle w:val="eop"/>
          <w:rFonts w:cs="Arial"/>
          <w:szCs w:val="24"/>
        </w:rPr>
      </w:pPr>
      <w:r w:rsidRPr="00DE4893">
        <w:rPr>
          <w:rStyle w:val="normaltextrun1"/>
          <w:rFonts w:asciiTheme="minorHAnsi" w:hAnsiTheme="minorHAnsi" w:cstheme="minorHAnsi"/>
          <w:i/>
          <w:iCs/>
          <w:szCs w:val="24"/>
        </w:rPr>
        <w:t xml:space="preserve">Therapeutic Goods Regulations </w:t>
      </w:r>
      <w:r w:rsidRPr="00DE4893">
        <w:rPr>
          <w:rStyle w:val="normaltextrun1"/>
          <w:rFonts w:asciiTheme="minorHAnsi" w:hAnsiTheme="minorHAnsi" w:cstheme="minorHAnsi"/>
          <w:szCs w:val="24"/>
        </w:rPr>
        <w:t>1990</w:t>
      </w:r>
      <w:r w:rsidRPr="00DE4893">
        <w:rPr>
          <w:rStyle w:val="eop"/>
          <w:rFonts w:asciiTheme="minorHAnsi" w:hAnsiTheme="minorHAnsi" w:cstheme="minorHAnsi"/>
          <w:szCs w:val="24"/>
          <w:lang w:val="en-US"/>
        </w:rPr>
        <w:t>  </w:t>
      </w:r>
    </w:p>
    <w:p w14:paraId="2F51A8C9" w14:textId="77777777" w:rsidR="007B6904" w:rsidRPr="00FF56DD" w:rsidRDefault="007B6904" w:rsidP="007B6904">
      <w:pPr>
        <w:ind w:left="720"/>
        <w:rPr>
          <w:rFonts w:cs="Arial"/>
          <w:i/>
          <w:szCs w:val="24"/>
        </w:rPr>
      </w:pPr>
    </w:p>
    <w:p w14:paraId="2F51A8CA" w14:textId="77777777" w:rsidR="007B6904" w:rsidRDefault="008E4C0E"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26" w:name="_Toc389473288"/>
            <w:bookmarkStart w:id="27" w:name="_Toc159225469"/>
            <w:r>
              <w:t>References</w:t>
            </w:r>
            <w:bookmarkEnd w:id="26"/>
            <w:bookmarkEnd w:id="27"/>
          </w:p>
        </w:tc>
      </w:tr>
    </w:tbl>
    <w:p w14:paraId="2F51A8CD" w14:textId="77777777" w:rsidR="007B6904" w:rsidRPr="00DE4E25" w:rsidRDefault="007B6904" w:rsidP="007B6904">
      <w:pPr>
        <w:rPr>
          <w:rFonts w:asciiTheme="majorHAnsi" w:hAnsiTheme="majorHAnsi" w:cstheme="majorHAnsi"/>
          <w:szCs w:val="24"/>
        </w:rPr>
      </w:pPr>
      <w:bookmarkStart w:id="28" w:name="_Toc389131245"/>
    </w:p>
    <w:bookmarkEnd w:id="28"/>
    <w:p w14:paraId="28E67F39" w14:textId="625DEC90" w:rsidR="008C7AFF" w:rsidRPr="008C7AFF" w:rsidRDefault="008C7AFF" w:rsidP="008C7AFF">
      <w:pPr>
        <w:pStyle w:val="ListParagraph"/>
        <w:numPr>
          <w:ilvl w:val="0"/>
          <w:numId w:val="6"/>
        </w:numPr>
        <w:autoSpaceDE w:val="0"/>
        <w:autoSpaceDN w:val="0"/>
        <w:adjustRightInd w:val="0"/>
        <w:contextualSpacing w:val="0"/>
        <w:rPr>
          <w:rFonts w:asciiTheme="minorHAnsi" w:hAnsiTheme="minorHAnsi"/>
          <w:sz w:val="22"/>
        </w:rPr>
      </w:pPr>
      <w:r w:rsidRPr="008C7AFF">
        <w:lastRenderedPageBreak/>
        <w:t xml:space="preserve">Australian Medicines Handbook. 2021. </w:t>
      </w:r>
      <w:hyperlink r:id="rId12" w:history="1">
        <w:r w:rsidRPr="008C7AFF">
          <w:rPr>
            <w:rStyle w:val="Hyperlink"/>
            <w:color w:val="auto"/>
            <w:u w:val="none"/>
          </w:rPr>
          <w:t>https://amhonline.amh.net.au/</w:t>
        </w:r>
      </w:hyperlink>
    </w:p>
    <w:p w14:paraId="2DAB6B39" w14:textId="314B48C4" w:rsidR="008C7AFF" w:rsidRPr="008C7AFF" w:rsidRDefault="008C7AFF" w:rsidP="008C7AFF">
      <w:pPr>
        <w:pStyle w:val="ListParagraph"/>
        <w:numPr>
          <w:ilvl w:val="0"/>
          <w:numId w:val="6"/>
        </w:numPr>
        <w:autoSpaceDE w:val="0"/>
        <w:autoSpaceDN w:val="0"/>
        <w:adjustRightInd w:val="0"/>
        <w:contextualSpacing w:val="0"/>
      </w:pPr>
      <w:proofErr w:type="spellStart"/>
      <w:r w:rsidRPr="008C7AFF">
        <w:t>eMIMs</w:t>
      </w:r>
      <w:proofErr w:type="spellEnd"/>
      <w:r w:rsidRPr="008C7AFF">
        <w:t>. Heparin Infusion Product Information</w:t>
      </w:r>
      <w:r w:rsidR="00D27307">
        <w:t xml:space="preserve">, </w:t>
      </w:r>
      <w:hyperlink r:id="rId13" w:history="1">
        <w:r w:rsidR="00D27307" w:rsidRPr="00E048FE">
          <w:rPr>
            <w:rStyle w:val="Hyperlink"/>
          </w:rPr>
          <w:t>https://www.mimsonline.com.au/Search/Search.aspx</w:t>
        </w:r>
      </w:hyperlink>
      <w:r w:rsidRPr="008C7AFF">
        <w:t>.</w:t>
      </w:r>
    </w:p>
    <w:p w14:paraId="5E0FFB20" w14:textId="23776F6F" w:rsidR="008C7AFF" w:rsidRPr="008C7AFF" w:rsidRDefault="008C7AFF" w:rsidP="008C7AFF">
      <w:pPr>
        <w:pStyle w:val="ListParagraph"/>
        <w:numPr>
          <w:ilvl w:val="0"/>
          <w:numId w:val="6"/>
        </w:numPr>
        <w:autoSpaceDE w:val="0"/>
        <w:autoSpaceDN w:val="0"/>
        <w:adjustRightInd w:val="0"/>
        <w:contextualSpacing w:val="0"/>
      </w:pPr>
      <w:r w:rsidRPr="008C7AFF">
        <w:t xml:space="preserve">Intravenous Unfractionated Heparin – Recommended Standard. NSW Clinical Excellence Commission (2018). </w:t>
      </w:r>
      <w:hyperlink r:id="rId14" w:history="1">
        <w:r w:rsidRPr="008C7AFF">
          <w:rPr>
            <w:rStyle w:val="Hyperlink"/>
            <w:color w:val="auto"/>
            <w:u w:val="none"/>
          </w:rPr>
          <w:t>https://www.cec.health.nsw.gov.au/keep-patients-safe/medication-safety/high-risk-medicines/anticoagulants</w:t>
        </w:r>
      </w:hyperlink>
    </w:p>
    <w:p w14:paraId="385AB326" w14:textId="37FAAB6C" w:rsidR="008C7AFF" w:rsidRPr="008C7AFF" w:rsidRDefault="008C7AFF" w:rsidP="008C7AFF">
      <w:pPr>
        <w:pStyle w:val="ListParagraph"/>
        <w:numPr>
          <w:ilvl w:val="0"/>
          <w:numId w:val="6"/>
        </w:numPr>
        <w:autoSpaceDE w:val="0"/>
        <w:autoSpaceDN w:val="0"/>
        <w:adjustRightInd w:val="0"/>
        <w:contextualSpacing w:val="0"/>
      </w:pPr>
      <w:r w:rsidRPr="008C7AFF">
        <w:t xml:space="preserve">UpToDate (2021). Heparin and LMW heparin: Dosing and adverse effects. Available at: </w:t>
      </w:r>
      <w:hyperlink r:id="rId15" w:history="1">
        <w:r w:rsidRPr="008C7AFF">
          <w:rPr>
            <w:rStyle w:val="Hyperlink"/>
            <w:color w:val="auto"/>
            <w:u w:val="none"/>
          </w:rPr>
          <w:t>https://www.uptodate.com/contents/heparin-and-lmw-heparin-dosing-and-adverse-effects</w:t>
        </w:r>
      </w:hyperlink>
      <w:r w:rsidRPr="008C7AFF">
        <w:t xml:space="preserve">. </w:t>
      </w:r>
    </w:p>
    <w:p w14:paraId="2F51A8D4" w14:textId="77777777" w:rsidR="007B6904" w:rsidRPr="00DE4E25" w:rsidRDefault="007B6904" w:rsidP="007B6904">
      <w:pPr>
        <w:jc w:val="right"/>
        <w:rPr>
          <w:szCs w:val="24"/>
        </w:rPr>
      </w:pPr>
    </w:p>
    <w:p w14:paraId="2F51A8D5" w14:textId="77777777" w:rsidR="00FF56DD" w:rsidRDefault="008E4C0E"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4B943530" w:rsidR="00FF56DD" w:rsidRPr="000F1F60" w:rsidRDefault="00FF56DD" w:rsidP="004213C3">
            <w:pPr>
              <w:pStyle w:val="Heading1"/>
            </w:pPr>
            <w:bookmarkStart w:id="29" w:name="_Toc159225470"/>
            <w:r>
              <w:t>Definition of Terms</w:t>
            </w:r>
            <w:bookmarkEnd w:id="29"/>
            <w:r>
              <w:t xml:space="preserve"> </w:t>
            </w:r>
          </w:p>
        </w:tc>
      </w:tr>
    </w:tbl>
    <w:p w14:paraId="2F51A8D8" w14:textId="77777777" w:rsidR="00FF56DD" w:rsidRDefault="00FF56DD" w:rsidP="00FF56DD">
      <w:pPr>
        <w:rPr>
          <w:rFonts w:cs="Arial"/>
          <w:szCs w:val="24"/>
        </w:rPr>
      </w:pPr>
    </w:p>
    <w:p w14:paraId="04BC58B5" w14:textId="4FDD5788" w:rsidR="00E50038" w:rsidRPr="00E50038" w:rsidRDefault="00E50038" w:rsidP="00E50038">
      <w:pPr>
        <w:autoSpaceDE w:val="0"/>
        <w:autoSpaceDN w:val="0"/>
        <w:adjustRightInd w:val="0"/>
        <w:rPr>
          <w:rFonts w:asciiTheme="minorHAnsi" w:hAnsiTheme="minorHAnsi"/>
          <w:b/>
          <w:sz w:val="22"/>
        </w:rPr>
      </w:pPr>
      <w:r w:rsidRPr="00E50038">
        <w:rPr>
          <w:b/>
        </w:rPr>
        <w:t>APTT</w:t>
      </w:r>
      <w:r w:rsidR="008C7AFF">
        <w:rPr>
          <w:b/>
        </w:rPr>
        <w:t>:</w:t>
      </w:r>
      <w:r>
        <w:t xml:space="preserve"> Activated Partial Thromboplastin Time</w:t>
      </w:r>
      <w:r w:rsidRPr="00E50038">
        <w:rPr>
          <w:b/>
        </w:rPr>
        <w:t xml:space="preserve"> </w:t>
      </w:r>
    </w:p>
    <w:p w14:paraId="48A3CE00" w14:textId="777418B3" w:rsidR="00E50038" w:rsidRPr="00E50038" w:rsidRDefault="00E50038" w:rsidP="00E50038">
      <w:pPr>
        <w:autoSpaceDE w:val="0"/>
        <w:autoSpaceDN w:val="0"/>
        <w:adjustRightInd w:val="0"/>
        <w:rPr>
          <w:b/>
        </w:rPr>
      </w:pPr>
      <w:r w:rsidRPr="00E50038">
        <w:rPr>
          <w:b/>
        </w:rPr>
        <w:t>DOACs</w:t>
      </w:r>
      <w:r w:rsidR="008C7AFF">
        <w:rPr>
          <w:b/>
        </w:rPr>
        <w:t>:</w:t>
      </w:r>
      <w:r>
        <w:t xml:space="preserve"> </w:t>
      </w:r>
      <w:r w:rsidR="008C7AFF">
        <w:t>N</w:t>
      </w:r>
      <w:r>
        <w:t>ovel oral anticoagulants (</w:t>
      </w:r>
      <w:proofErr w:type="gramStart"/>
      <w:r>
        <w:t>e.g.</w:t>
      </w:r>
      <w:proofErr w:type="gramEnd"/>
      <w:r>
        <w:t xml:space="preserve"> apixaban, dabigatran, rivaroxaban) – previously known as NOACs</w:t>
      </w:r>
    </w:p>
    <w:p w14:paraId="4F22C352" w14:textId="76A0B139" w:rsidR="00E50038" w:rsidRPr="00E50038" w:rsidRDefault="00E50038" w:rsidP="00E50038">
      <w:pPr>
        <w:autoSpaceDE w:val="0"/>
        <w:autoSpaceDN w:val="0"/>
        <w:adjustRightInd w:val="0"/>
        <w:rPr>
          <w:b/>
        </w:rPr>
      </w:pPr>
      <w:r w:rsidRPr="00E50038">
        <w:rPr>
          <w:b/>
        </w:rPr>
        <w:t>FBC</w:t>
      </w:r>
      <w:r w:rsidR="008C7AFF">
        <w:t xml:space="preserve">: </w:t>
      </w:r>
      <w:r>
        <w:t>Full blood count</w:t>
      </w:r>
    </w:p>
    <w:p w14:paraId="03ABFB28" w14:textId="13547D3D" w:rsidR="00E50038" w:rsidRPr="00E50038" w:rsidRDefault="00E50038" w:rsidP="00E50038">
      <w:pPr>
        <w:autoSpaceDE w:val="0"/>
        <w:autoSpaceDN w:val="0"/>
        <w:adjustRightInd w:val="0"/>
        <w:rPr>
          <w:b/>
        </w:rPr>
      </w:pPr>
      <w:r w:rsidRPr="00E50038">
        <w:rPr>
          <w:b/>
        </w:rPr>
        <w:t>HIT</w:t>
      </w:r>
      <w:r w:rsidR="008C7AFF">
        <w:rPr>
          <w:b/>
        </w:rPr>
        <w:t>:</w:t>
      </w:r>
      <w:r>
        <w:t xml:space="preserve"> Heparin Induced Thrombocytopaenia</w:t>
      </w:r>
    </w:p>
    <w:p w14:paraId="77CEE340" w14:textId="4946B082" w:rsidR="00E50038" w:rsidRPr="00E50038" w:rsidRDefault="008C7AFF" w:rsidP="00E50038">
      <w:pPr>
        <w:autoSpaceDE w:val="0"/>
        <w:autoSpaceDN w:val="0"/>
        <w:adjustRightInd w:val="0"/>
        <w:rPr>
          <w:b/>
        </w:rPr>
      </w:pPr>
      <w:r w:rsidRPr="00E50038">
        <w:rPr>
          <w:b/>
        </w:rPr>
        <w:t>H</w:t>
      </w:r>
      <w:r w:rsidR="00E50038" w:rsidRPr="00E50038">
        <w:rPr>
          <w:b/>
        </w:rPr>
        <w:t>r</w:t>
      </w:r>
      <w:r>
        <w:rPr>
          <w:b/>
        </w:rPr>
        <w:t xml:space="preserve">: </w:t>
      </w:r>
      <w:r>
        <w:t>H</w:t>
      </w:r>
      <w:r w:rsidR="00E50038">
        <w:t xml:space="preserve">our </w:t>
      </w:r>
    </w:p>
    <w:p w14:paraId="56F11784" w14:textId="17ECCA61" w:rsidR="00E50038" w:rsidRPr="00E50038" w:rsidRDefault="00E50038" w:rsidP="00E50038">
      <w:pPr>
        <w:autoSpaceDE w:val="0"/>
        <w:autoSpaceDN w:val="0"/>
        <w:adjustRightInd w:val="0"/>
        <w:rPr>
          <w:b/>
        </w:rPr>
      </w:pPr>
      <w:r w:rsidRPr="00E50038">
        <w:rPr>
          <w:b/>
        </w:rPr>
        <w:t>INR</w:t>
      </w:r>
      <w:r w:rsidR="008C7AFF">
        <w:rPr>
          <w:b/>
        </w:rPr>
        <w:t xml:space="preserve">: </w:t>
      </w:r>
      <w:r>
        <w:t>International Normalised Ratio</w:t>
      </w:r>
      <w:r w:rsidRPr="00E50038">
        <w:rPr>
          <w:b/>
        </w:rPr>
        <w:t xml:space="preserve"> </w:t>
      </w:r>
    </w:p>
    <w:p w14:paraId="7A201A29" w14:textId="5D8B2F7F" w:rsidR="00E50038" w:rsidRPr="00E50038" w:rsidRDefault="00E50038" w:rsidP="00E50038">
      <w:pPr>
        <w:autoSpaceDE w:val="0"/>
        <w:autoSpaceDN w:val="0"/>
        <w:adjustRightInd w:val="0"/>
        <w:rPr>
          <w:b/>
        </w:rPr>
      </w:pPr>
      <w:r w:rsidRPr="00E50038">
        <w:rPr>
          <w:b/>
        </w:rPr>
        <w:t>IV</w:t>
      </w:r>
      <w:r w:rsidR="008C7AFF">
        <w:rPr>
          <w:b/>
        </w:rPr>
        <w:t>:</w:t>
      </w:r>
      <w:r>
        <w:t xml:space="preserve"> Intravenous</w:t>
      </w:r>
      <w:r w:rsidRPr="00E50038">
        <w:rPr>
          <w:b/>
        </w:rPr>
        <w:t xml:space="preserve"> </w:t>
      </w:r>
    </w:p>
    <w:p w14:paraId="3C9896B9" w14:textId="5C677221" w:rsidR="00E50038" w:rsidRPr="00E50038" w:rsidRDefault="00E50038" w:rsidP="00E50038">
      <w:pPr>
        <w:autoSpaceDE w:val="0"/>
        <w:autoSpaceDN w:val="0"/>
        <w:adjustRightInd w:val="0"/>
        <w:rPr>
          <w:b/>
        </w:rPr>
      </w:pPr>
      <w:r w:rsidRPr="00E50038">
        <w:rPr>
          <w:b/>
        </w:rPr>
        <w:t>Kg</w:t>
      </w:r>
      <w:r w:rsidR="008C7AFF">
        <w:rPr>
          <w:b/>
        </w:rPr>
        <w:t xml:space="preserve">: </w:t>
      </w:r>
      <w:r w:rsidR="008C7AFF">
        <w:t>K</w:t>
      </w:r>
      <w:r>
        <w:t>ilogram</w:t>
      </w:r>
    </w:p>
    <w:p w14:paraId="44DB0C8D" w14:textId="66A6B605" w:rsidR="00E50038" w:rsidRPr="00E50038" w:rsidRDefault="00E50038" w:rsidP="00E50038">
      <w:pPr>
        <w:autoSpaceDE w:val="0"/>
        <w:autoSpaceDN w:val="0"/>
        <w:adjustRightInd w:val="0"/>
        <w:rPr>
          <w:b/>
        </w:rPr>
      </w:pPr>
      <w:r w:rsidRPr="00E50038">
        <w:rPr>
          <w:b/>
        </w:rPr>
        <w:t>LMWH</w:t>
      </w:r>
      <w:r w:rsidR="008C7AFF">
        <w:rPr>
          <w:b/>
        </w:rPr>
        <w:t>:</w:t>
      </w:r>
      <w:r>
        <w:t xml:space="preserve"> Low molecular weight heparins</w:t>
      </w:r>
    </w:p>
    <w:p w14:paraId="227D52CB" w14:textId="2BF92BC2" w:rsidR="00E50038" w:rsidRPr="00E50038" w:rsidRDefault="00E50038" w:rsidP="00E50038">
      <w:pPr>
        <w:autoSpaceDE w:val="0"/>
        <w:autoSpaceDN w:val="0"/>
        <w:adjustRightInd w:val="0"/>
        <w:rPr>
          <w:b/>
        </w:rPr>
      </w:pPr>
      <w:r w:rsidRPr="00E50038">
        <w:rPr>
          <w:b/>
        </w:rPr>
        <w:t>MO</w:t>
      </w:r>
      <w:r w:rsidR="008C7AFF">
        <w:rPr>
          <w:b/>
        </w:rPr>
        <w:t xml:space="preserve">: </w:t>
      </w:r>
      <w:r>
        <w:t xml:space="preserve">Medical officer </w:t>
      </w:r>
    </w:p>
    <w:p w14:paraId="3CDDF9DB" w14:textId="47F66279" w:rsidR="00E50038" w:rsidRPr="00E50038" w:rsidRDefault="00E50038" w:rsidP="00E50038">
      <w:pPr>
        <w:autoSpaceDE w:val="0"/>
        <w:autoSpaceDN w:val="0"/>
        <w:adjustRightInd w:val="0"/>
        <w:rPr>
          <w:b/>
        </w:rPr>
      </w:pPr>
      <w:r w:rsidRPr="00E50038">
        <w:rPr>
          <w:b/>
        </w:rPr>
        <w:t>NSAIDs</w:t>
      </w:r>
      <w:r w:rsidR="008C7AFF">
        <w:rPr>
          <w:b/>
        </w:rPr>
        <w:t xml:space="preserve">: </w:t>
      </w:r>
      <w:r w:rsidR="008C7AFF">
        <w:t>N</w:t>
      </w:r>
      <w:r>
        <w:t>on-steroid anti-inflammatories</w:t>
      </w:r>
    </w:p>
    <w:p w14:paraId="2AC724AC" w14:textId="1F599ACC" w:rsidR="00E50038" w:rsidRDefault="00E50038" w:rsidP="00E50038">
      <w:pPr>
        <w:autoSpaceDE w:val="0"/>
        <w:autoSpaceDN w:val="0"/>
        <w:adjustRightInd w:val="0"/>
      </w:pPr>
      <w:r w:rsidRPr="00E50038">
        <w:rPr>
          <w:b/>
        </w:rPr>
        <w:t>PT</w:t>
      </w:r>
      <w:r w:rsidR="008C7AFF">
        <w:rPr>
          <w:b/>
        </w:rPr>
        <w:t xml:space="preserve">: </w:t>
      </w:r>
      <w:r>
        <w:t xml:space="preserve">Prothrombin time  </w:t>
      </w:r>
    </w:p>
    <w:p w14:paraId="2F51A8DA" w14:textId="77777777" w:rsidR="00FF56DD" w:rsidRDefault="00FF56DD" w:rsidP="00FF56DD">
      <w:pPr>
        <w:rPr>
          <w:rFonts w:cs="Arial"/>
          <w:szCs w:val="24"/>
        </w:rPr>
      </w:pPr>
    </w:p>
    <w:p w14:paraId="2F51A8DB" w14:textId="77777777" w:rsidR="00FF56DD" w:rsidRDefault="008E4C0E"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30" w:name="_Toc389473290"/>
            <w:bookmarkStart w:id="31" w:name="_Toc159225471"/>
            <w:r>
              <w:t>Search Terms</w:t>
            </w:r>
            <w:bookmarkEnd w:id="30"/>
            <w:bookmarkEnd w:id="31"/>
            <w:r>
              <w:t xml:space="preserve"> </w:t>
            </w:r>
          </w:p>
        </w:tc>
      </w:tr>
    </w:tbl>
    <w:p w14:paraId="2F51A8DE" w14:textId="77777777" w:rsidR="007B6904" w:rsidRDefault="007B6904" w:rsidP="007B6904">
      <w:pPr>
        <w:rPr>
          <w:rFonts w:cs="Calibri,Bold"/>
          <w:bCs/>
          <w:i/>
          <w:szCs w:val="24"/>
          <w:lang w:eastAsia="en-AU"/>
        </w:rPr>
      </w:pPr>
    </w:p>
    <w:p w14:paraId="2F51A8DF" w14:textId="3549012F" w:rsidR="005067CA" w:rsidRPr="000C1BB3" w:rsidRDefault="000C1BB3" w:rsidP="005067CA">
      <w:pPr>
        <w:rPr>
          <w:rFonts w:cs="Calibri,Bold"/>
          <w:bCs/>
          <w:iCs/>
          <w:szCs w:val="24"/>
          <w:lang w:eastAsia="en-AU"/>
        </w:rPr>
      </w:pPr>
      <w:r w:rsidRPr="000C1BB3">
        <w:rPr>
          <w:rFonts w:cs="Calibri,Bold"/>
          <w:bCs/>
          <w:iCs/>
          <w:szCs w:val="24"/>
          <w:lang w:eastAsia="en-AU"/>
        </w:rPr>
        <w:t xml:space="preserve">Heparin Infusion, Anticoagulation, VTE, </w:t>
      </w:r>
      <w:r>
        <w:rPr>
          <w:rFonts w:cs="Helvetica"/>
          <w:iCs/>
          <w:color w:val="000000"/>
          <w:lang w:val="en-US"/>
        </w:rPr>
        <w:t>T</w:t>
      </w:r>
      <w:r w:rsidRPr="000C1BB3">
        <w:rPr>
          <w:rFonts w:cs="Helvetica"/>
          <w:iCs/>
          <w:color w:val="000000"/>
          <w:lang w:val="en-US"/>
        </w:rPr>
        <w:t xml:space="preserve">hromboembolic </w:t>
      </w:r>
      <w:r>
        <w:rPr>
          <w:rFonts w:cs="Helvetica"/>
          <w:iCs/>
          <w:color w:val="000000"/>
          <w:lang w:val="en-US"/>
        </w:rPr>
        <w:t>D</w:t>
      </w:r>
      <w:r w:rsidRPr="000C1BB3">
        <w:rPr>
          <w:rFonts w:cs="Helvetica"/>
          <w:iCs/>
          <w:color w:val="000000"/>
          <w:lang w:val="en-US"/>
        </w:rPr>
        <w:t>isease</w:t>
      </w:r>
      <w:r w:rsidR="00DE4893">
        <w:rPr>
          <w:rFonts w:cs="Helvetica"/>
          <w:iCs/>
          <w:color w:val="000000"/>
          <w:lang w:val="en-US"/>
        </w:rPr>
        <w:t xml:space="preserve">, High Risk, </w:t>
      </w:r>
      <w:r w:rsidR="00DE4893">
        <w:rPr>
          <w:rFonts w:cs="Calibri,Bold"/>
          <w:bCs/>
          <w:iCs/>
          <w:szCs w:val="24"/>
          <w:lang w:eastAsia="en-AU"/>
        </w:rPr>
        <w:t>Heparin</w:t>
      </w:r>
      <w:r w:rsidR="00DE4893" w:rsidRPr="00B471ED">
        <w:rPr>
          <w:rFonts w:cs="Calibri,Bold"/>
          <w:bCs/>
          <w:iCs/>
          <w:szCs w:val="24"/>
          <w:lang w:eastAsia="en-AU"/>
        </w:rPr>
        <w:t xml:space="preserve">, </w:t>
      </w:r>
      <w:r w:rsidR="00DE4893">
        <w:rPr>
          <w:rFonts w:cs="Calibri,Bold"/>
          <w:bCs/>
          <w:iCs/>
          <w:szCs w:val="24"/>
          <w:lang w:eastAsia="en-AU"/>
        </w:rPr>
        <w:t xml:space="preserve">LMWH, </w:t>
      </w:r>
      <w:r w:rsidR="00DE4893">
        <w:t xml:space="preserve">apixaban, dabigatran, rivaroxaban, enoxaparin, </w:t>
      </w:r>
      <w:proofErr w:type="spellStart"/>
      <w:r w:rsidR="00DE4893">
        <w:t>dalteparin</w:t>
      </w:r>
      <w:proofErr w:type="spellEnd"/>
      <w:r w:rsidR="00DE4893">
        <w:t xml:space="preserve">, </w:t>
      </w:r>
      <w:proofErr w:type="spellStart"/>
      <w:r w:rsidR="00DE4893">
        <w:t>clexane</w:t>
      </w:r>
      <w:proofErr w:type="spellEnd"/>
      <w:r w:rsidR="00DE4893">
        <w:t>, warfarin, dabigatran, anticoagulants, unfractionated, NOAC, DOAC, NOACs, oral anticoagulants</w:t>
      </w:r>
      <w:r w:rsidR="00C54163">
        <w:t>, APTT, PT, HIT</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8E4C0E"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32" w:name="_Toc396995664"/>
    </w:p>
    <w:bookmarkEnd w:id="32"/>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0A6DFB00" w:rsidR="00ED46C3" w:rsidRPr="008202D3" w:rsidRDefault="008E4C0E" w:rsidP="004A1316">
            <w:pPr>
              <w:rPr>
                <w:i/>
                <w:sz w:val="20"/>
              </w:rPr>
            </w:pPr>
            <w:r>
              <w:rPr>
                <w:i/>
                <w:sz w:val="20"/>
              </w:rPr>
              <w:lastRenderedPageBreak/>
              <w:t>26/02/2024</w:t>
            </w:r>
          </w:p>
        </w:tc>
        <w:tc>
          <w:tcPr>
            <w:tcW w:w="2265" w:type="dxa"/>
          </w:tcPr>
          <w:p w14:paraId="757FDC5B" w14:textId="305B4939" w:rsidR="00ED46C3" w:rsidRPr="008202D3" w:rsidRDefault="008E4C0E" w:rsidP="004A1316">
            <w:pPr>
              <w:rPr>
                <w:i/>
                <w:sz w:val="20"/>
              </w:rPr>
            </w:pPr>
            <w:r>
              <w:rPr>
                <w:i/>
                <w:sz w:val="20"/>
              </w:rPr>
              <w:t>NCH Transition</w:t>
            </w:r>
          </w:p>
        </w:tc>
        <w:tc>
          <w:tcPr>
            <w:tcW w:w="2265" w:type="dxa"/>
          </w:tcPr>
          <w:p w14:paraId="45358585" w14:textId="2AEC2E8D" w:rsidR="00ED46C3" w:rsidRPr="008202D3" w:rsidRDefault="008E4C0E" w:rsidP="004A1316">
            <w:pPr>
              <w:rPr>
                <w:i/>
                <w:sz w:val="20"/>
              </w:rPr>
            </w:pPr>
            <w:r>
              <w:rPr>
                <w:i/>
                <w:sz w:val="20"/>
              </w:rPr>
              <w:t>CHS Policy Team</w:t>
            </w:r>
          </w:p>
        </w:tc>
        <w:tc>
          <w:tcPr>
            <w:tcW w:w="2265" w:type="dxa"/>
          </w:tcPr>
          <w:p w14:paraId="31501FE6" w14:textId="4B6AE56B" w:rsidR="00ED46C3" w:rsidRPr="008202D3" w:rsidRDefault="008E4C0E" w:rsidP="004A1316">
            <w:pPr>
              <w:rPr>
                <w:i/>
                <w:sz w:val="20"/>
              </w:rPr>
            </w:pPr>
            <w:r>
              <w:rPr>
                <w:i/>
                <w:sz w:val="20"/>
              </w:rPr>
              <w:t>CHS Policy Team</w:t>
            </w:r>
          </w:p>
        </w:tc>
      </w:tr>
      <w:tr w:rsidR="00ED46C3" w:rsidRPr="008202D3" w14:paraId="4B9C0359" w14:textId="77777777" w:rsidTr="004A1316">
        <w:tc>
          <w:tcPr>
            <w:tcW w:w="2265" w:type="dxa"/>
          </w:tcPr>
          <w:p w14:paraId="01E40F72" w14:textId="77777777" w:rsidR="00ED46C3" w:rsidRPr="008202D3" w:rsidRDefault="00ED46C3" w:rsidP="004A1316">
            <w:pPr>
              <w:rPr>
                <w:i/>
                <w:sz w:val="20"/>
              </w:rPr>
            </w:pPr>
          </w:p>
        </w:tc>
        <w:tc>
          <w:tcPr>
            <w:tcW w:w="2265" w:type="dxa"/>
          </w:tcPr>
          <w:p w14:paraId="25312BA2" w14:textId="77777777" w:rsidR="00ED46C3" w:rsidRPr="008202D3" w:rsidRDefault="00ED46C3" w:rsidP="004A1316">
            <w:pPr>
              <w:rPr>
                <w:i/>
                <w:sz w:val="20"/>
              </w:rPr>
            </w:pPr>
          </w:p>
        </w:tc>
        <w:tc>
          <w:tcPr>
            <w:tcW w:w="2265" w:type="dxa"/>
          </w:tcPr>
          <w:p w14:paraId="6A63A790" w14:textId="77777777" w:rsidR="00ED46C3" w:rsidRPr="008202D3" w:rsidRDefault="00ED46C3" w:rsidP="004A1316">
            <w:pPr>
              <w:rPr>
                <w:i/>
                <w:sz w:val="20"/>
              </w:rPr>
            </w:pPr>
          </w:p>
        </w:tc>
        <w:tc>
          <w:tcPr>
            <w:tcW w:w="2265"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77777777" w:rsidR="00ED46C3" w:rsidRPr="008202D3" w:rsidRDefault="00ED46C3" w:rsidP="004A1316">
            <w:pPr>
              <w:rPr>
                <w:i/>
                <w:sz w:val="20"/>
              </w:rPr>
            </w:pPr>
          </w:p>
        </w:tc>
        <w:tc>
          <w:tcPr>
            <w:tcW w:w="6938" w:type="dxa"/>
          </w:tcPr>
          <w:p w14:paraId="61EF68F3" w14:textId="386E3916" w:rsidR="00ED46C3" w:rsidRPr="008202D3" w:rsidRDefault="008E4C0E" w:rsidP="004A1316">
            <w:pPr>
              <w:rPr>
                <w:i/>
                <w:sz w:val="20"/>
              </w:rPr>
            </w:pPr>
            <w:r w:rsidRPr="008E4C0E">
              <w:rPr>
                <w:i/>
                <w:sz w:val="20"/>
              </w:rPr>
              <w:t>Heparin Infusion</w:t>
            </w: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sectPr w:rsidR="00395E36" w:rsidSect="004213C3">
      <w:headerReference w:type="default" r:id="rId16"/>
      <w:footerReference w:type="default" r:id="rId17"/>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A908" w14:textId="77777777" w:rsidR="00E90708" w:rsidRDefault="00E90708" w:rsidP="00F66CB0">
      <w:r>
        <w:separator/>
      </w:r>
    </w:p>
  </w:endnote>
  <w:endnote w:type="continuationSeparator" w:id="0">
    <w:p w14:paraId="2F51A909" w14:textId="77777777" w:rsidR="00E90708" w:rsidRDefault="00E90708"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07"/>
      <w:gridCol w:w="962"/>
      <w:gridCol w:w="1544"/>
      <w:gridCol w:w="1374"/>
      <w:gridCol w:w="2977"/>
      <w:gridCol w:w="706"/>
    </w:tblGrid>
    <w:tr w:rsidR="00E90708" w:rsidRPr="00AE7C5C" w14:paraId="2F51A914" w14:textId="77777777" w:rsidTr="008E4C0E">
      <w:tc>
        <w:tcPr>
          <w:tcW w:w="1507"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2"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44"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374"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2977"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70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8E4C0E">
      <w:tc>
        <w:tcPr>
          <w:tcW w:w="1507" w:type="dxa"/>
        </w:tcPr>
        <w:p w14:paraId="2F51A915" w14:textId="66480E44" w:rsidR="00E90708" w:rsidRPr="00542EE6" w:rsidRDefault="008E4C0E" w:rsidP="004213C3">
          <w:pPr>
            <w:pStyle w:val="Footer"/>
            <w:rPr>
              <w:rFonts w:cs="Arial"/>
              <w:b/>
              <w:bCs/>
              <w:sz w:val="20"/>
            </w:rPr>
          </w:pPr>
          <w:r>
            <w:rPr>
              <w:b/>
              <w:sz w:val="20"/>
            </w:rPr>
            <w:t>CHS24/074</w:t>
          </w:r>
        </w:p>
      </w:tc>
      <w:tc>
        <w:tcPr>
          <w:tcW w:w="962" w:type="dxa"/>
        </w:tcPr>
        <w:p w14:paraId="2F51A916" w14:textId="51EDBA45" w:rsidR="00E90708" w:rsidRPr="00B3752F" w:rsidRDefault="008E4C0E" w:rsidP="004213C3">
          <w:pPr>
            <w:pStyle w:val="Footer"/>
            <w:rPr>
              <w:rFonts w:cs="Arial"/>
              <w:b/>
              <w:bCs/>
              <w:sz w:val="20"/>
            </w:rPr>
          </w:pPr>
          <w:r>
            <w:rPr>
              <w:rFonts w:cs="Arial"/>
              <w:b/>
              <w:bCs/>
              <w:sz w:val="20"/>
            </w:rPr>
            <w:t>1</w:t>
          </w:r>
        </w:p>
      </w:tc>
      <w:tc>
        <w:tcPr>
          <w:tcW w:w="1544" w:type="dxa"/>
        </w:tcPr>
        <w:p w14:paraId="2F51A917" w14:textId="35A8157F" w:rsidR="00E90708" w:rsidRPr="00B3752F" w:rsidRDefault="008E4C0E" w:rsidP="004213C3">
          <w:pPr>
            <w:pStyle w:val="Footer"/>
            <w:rPr>
              <w:rFonts w:cs="Arial"/>
              <w:b/>
              <w:bCs/>
              <w:sz w:val="20"/>
            </w:rPr>
          </w:pPr>
          <w:r>
            <w:rPr>
              <w:rFonts w:cs="Arial"/>
              <w:b/>
              <w:bCs/>
              <w:sz w:val="20"/>
            </w:rPr>
            <w:t>26/02/2024</w:t>
          </w:r>
        </w:p>
      </w:tc>
      <w:tc>
        <w:tcPr>
          <w:tcW w:w="1374" w:type="dxa"/>
        </w:tcPr>
        <w:p w14:paraId="2F51A918" w14:textId="40FB7D9A" w:rsidR="00E90708" w:rsidRPr="00B3752F" w:rsidRDefault="008E4C0E" w:rsidP="004213C3">
          <w:pPr>
            <w:pStyle w:val="Footer"/>
            <w:rPr>
              <w:rFonts w:cs="Arial"/>
              <w:b/>
              <w:bCs/>
              <w:sz w:val="20"/>
            </w:rPr>
          </w:pPr>
          <w:r>
            <w:rPr>
              <w:rFonts w:cs="Arial"/>
              <w:b/>
              <w:bCs/>
              <w:sz w:val="20"/>
            </w:rPr>
            <w:t>01/07/2025</w:t>
          </w:r>
        </w:p>
      </w:tc>
      <w:tc>
        <w:tcPr>
          <w:tcW w:w="2977" w:type="dxa"/>
        </w:tcPr>
        <w:p w14:paraId="2F51A919" w14:textId="3223FC5D" w:rsidR="008E4C0E" w:rsidRPr="00B3752F" w:rsidRDefault="008E4C0E" w:rsidP="004213C3">
          <w:pPr>
            <w:pStyle w:val="Footer"/>
            <w:rPr>
              <w:rFonts w:cs="Arial"/>
              <w:b/>
              <w:bCs/>
              <w:sz w:val="20"/>
            </w:rPr>
          </w:pPr>
          <w:r>
            <w:rPr>
              <w:rFonts w:cs="Arial"/>
              <w:b/>
              <w:bCs/>
              <w:sz w:val="20"/>
            </w:rPr>
            <w:t xml:space="preserve">NCH – Allied Health &amp; Palliative Care – Pharmacy </w:t>
          </w:r>
        </w:p>
      </w:tc>
      <w:tc>
        <w:tcPr>
          <w:tcW w:w="706" w:type="dxa"/>
        </w:tcPr>
        <w:p w14:paraId="2F51A91A" w14:textId="190F437C"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F14243">
            <w:rPr>
              <w:rStyle w:val="PageNumber"/>
              <w:noProof/>
              <w:sz w:val="20"/>
            </w:rPr>
            <w:t>1</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F14243">
            <w:rPr>
              <w:rStyle w:val="PageNumber"/>
              <w:noProof/>
              <w:sz w:val="20"/>
            </w:rPr>
            <w:t>10</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1A906" w14:textId="77777777" w:rsidR="00E90708" w:rsidRDefault="00E90708" w:rsidP="00F66CB0">
      <w:r>
        <w:separator/>
      </w:r>
    </w:p>
  </w:footnote>
  <w:footnote w:type="continuationSeparator" w:id="0">
    <w:p w14:paraId="2F51A907" w14:textId="77777777" w:rsidR="00E90708" w:rsidRDefault="00E90708"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339C94DC" w:rsidR="00E90708" w:rsidRDefault="008E4C0E">
          <w:pPr>
            <w:pStyle w:val="Header"/>
            <w:tabs>
              <w:tab w:val="left" w:pos="720"/>
            </w:tabs>
            <w:jc w:val="right"/>
            <w:rPr>
              <w:sz w:val="20"/>
            </w:rPr>
          </w:pPr>
          <w:bookmarkStart w:id="33" w:name="_top"/>
          <w:bookmarkEnd w:id="33"/>
          <w:r>
            <w:rPr>
              <w:sz w:val="20"/>
            </w:rPr>
            <w:t>CHS24/074</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2132A6"/>
    <w:multiLevelType w:val="hybridMultilevel"/>
    <w:tmpl w:val="AFE6B2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4" w15:restartNumberingAfterBreak="0">
    <w:nsid w:val="0C170BD3"/>
    <w:multiLevelType w:val="hybridMultilevel"/>
    <w:tmpl w:val="7FAEC63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8DE455B"/>
    <w:multiLevelType w:val="hybridMultilevel"/>
    <w:tmpl w:val="ECA62236"/>
    <w:lvl w:ilvl="0" w:tplc="0C090003">
      <w:start w:val="1"/>
      <w:numFmt w:val="bullet"/>
      <w:lvlText w:val="o"/>
      <w:lvlJc w:val="left"/>
      <w:pPr>
        <w:ind w:left="1211" w:hanging="360"/>
      </w:pPr>
      <w:rPr>
        <w:rFonts w:ascii="Courier New" w:hAnsi="Courier New" w:cs="Courier New" w:hint="default"/>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start w:val="1"/>
      <w:numFmt w:val="bullet"/>
      <w:lvlText w:val="o"/>
      <w:lvlJc w:val="left"/>
      <w:pPr>
        <w:ind w:left="4091" w:hanging="360"/>
      </w:pPr>
      <w:rPr>
        <w:rFonts w:ascii="Courier New" w:hAnsi="Courier New" w:cs="Courier New" w:hint="default"/>
      </w:rPr>
    </w:lvl>
    <w:lvl w:ilvl="5" w:tplc="0C090005">
      <w:start w:val="1"/>
      <w:numFmt w:val="bullet"/>
      <w:lvlText w:val=""/>
      <w:lvlJc w:val="left"/>
      <w:pPr>
        <w:ind w:left="4811" w:hanging="360"/>
      </w:pPr>
      <w:rPr>
        <w:rFonts w:ascii="Wingdings" w:hAnsi="Wingdings" w:hint="default"/>
      </w:rPr>
    </w:lvl>
    <w:lvl w:ilvl="6" w:tplc="0C090001">
      <w:start w:val="1"/>
      <w:numFmt w:val="bullet"/>
      <w:lvlText w:val=""/>
      <w:lvlJc w:val="left"/>
      <w:pPr>
        <w:ind w:left="5531" w:hanging="360"/>
      </w:pPr>
      <w:rPr>
        <w:rFonts w:ascii="Symbol" w:hAnsi="Symbol" w:hint="default"/>
      </w:rPr>
    </w:lvl>
    <w:lvl w:ilvl="7" w:tplc="0C090003">
      <w:start w:val="1"/>
      <w:numFmt w:val="bullet"/>
      <w:lvlText w:val="o"/>
      <w:lvlJc w:val="left"/>
      <w:pPr>
        <w:ind w:left="6251" w:hanging="360"/>
      </w:pPr>
      <w:rPr>
        <w:rFonts w:ascii="Courier New" w:hAnsi="Courier New" w:cs="Courier New" w:hint="default"/>
      </w:rPr>
    </w:lvl>
    <w:lvl w:ilvl="8" w:tplc="0C090005">
      <w:start w:val="1"/>
      <w:numFmt w:val="bullet"/>
      <w:lvlText w:val=""/>
      <w:lvlJc w:val="left"/>
      <w:pPr>
        <w:ind w:left="6971" w:hanging="360"/>
      </w:pPr>
      <w:rPr>
        <w:rFonts w:ascii="Wingdings" w:hAnsi="Wingdings" w:hint="default"/>
      </w:rPr>
    </w:lvl>
  </w:abstractNum>
  <w:abstractNum w:abstractNumId="8" w15:restartNumberingAfterBreak="0">
    <w:nsid w:val="1D127120"/>
    <w:multiLevelType w:val="hybridMultilevel"/>
    <w:tmpl w:val="AAB0D6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FA2278"/>
    <w:multiLevelType w:val="hybridMultilevel"/>
    <w:tmpl w:val="686EAA80"/>
    <w:lvl w:ilvl="0" w:tplc="FFFFFFFF">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69" w:hanging="360"/>
      </w:pPr>
      <w:rPr>
        <w:rFonts w:ascii="Courier New" w:hAnsi="Courier New" w:cs="Courier New" w:hint="default"/>
      </w:rPr>
    </w:lvl>
    <w:lvl w:ilvl="2" w:tplc="0C090003">
      <w:start w:val="1"/>
      <w:numFmt w:val="bullet"/>
      <w:lvlText w:val="o"/>
      <w:lvlJc w:val="left"/>
      <w:pPr>
        <w:ind w:left="899"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9827EEF"/>
    <w:multiLevelType w:val="hybridMultilevel"/>
    <w:tmpl w:val="9F8A124E"/>
    <w:lvl w:ilvl="0" w:tplc="948AD87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69" w:hanging="360"/>
      </w:pPr>
      <w:rPr>
        <w:rFonts w:ascii="Courier New" w:hAnsi="Courier New" w:cs="Courier New" w:hint="default"/>
      </w:rPr>
    </w:lvl>
    <w:lvl w:ilvl="2" w:tplc="29180848">
      <w:start w:val="1"/>
      <w:numFmt w:val="bullet"/>
      <w:lvlText w:val=""/>
      <w:lvlJc w:val="left"/>
      <w:pPr>
        <w:ind w:left="862" w:hanging="323"/>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9033C2E"/>
    <w:multiLevelType w:val="hybridMultilevel"/>
    <w:tmpl w:val="0E6A5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5" w15:restartNumberingAfterBreak="0">
    <w:nsid w:val="55FC652F"/>
    <w:multiLevelType w:val="hybridMultilevel"/>
    <w:tmpl w:val="0C128F76"/>
    <w:lvl w:ilvl="0" w:tplc="0C090003">
      <w:start w:val="1"/>
      <w:numFmt w:val="bullet"/>
      <w:lvlText w:val="o"/>
      <w:lvlJc w:val="left"/>
      <w:pPr>
        <w:ind w:left="1211" w:hanging="360"/>
      </w:pPr>
      <w:rPr>
        <w:rFonts w:ascii="Courier New" w:hAnsi="Courier New" w:cs="Courier New" w:hint="default"/>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start w:val="1"/>
      <w:numFmt w:val="bullet"/>
      <w:lvlText w:val="o"/>
      <w:lvlJc w:val="left"/>
      <w:pPr>
        <w:ind w:left="4091" w:hanging="360"/>
      </w:pPr>
      <w:rPr>
        <w:rFonts w:ascii="Courier New" w:hAnsi="Courier New" w:cs="Courier New" w:hint="default"/>
      </w:rPr>
    </w:lvl>
    <w:lvl w:ilvl="5" w:tplc="0C090005">
      <w:start w:val="1"/>
      <w:numFmt w:val="bullet"/>
      <w:lvlText w:val=""/>
      <w:lvlJc w:val="left"/>
      <w:pPr>
        <w:ind w:left="4811" w:hanging="360"/>
      </w:pPr>
      <w:rPr>
        <w:rFonts w:ascii="Wingdings" w:hAnsi="Wingdings" w:hint="default"/>
      </w:rPr>
    </w:lvl>
    <w:lvl w:ilvl="6" w:tplc="0C090001">
      <w:start w:val="1"/>
      <w:numFmt w:val="bullet"/>
      <w:lvlText w:val=""/>
      <w:lvlJc w:val="left"/>
      <w:pPr>
        <w:ind w:left="5531" w:hanging="360"/>
      </w:pPr>
      <w:rPr>
        <w:rFonts w:ascii="Symbol" w:hAnsi="Symbol" w:hint="default"/>
      </w:rPr>
    </w:lvl>
    <w:lvl w:ilvl="7" w:tplc="0C090003">
      <w:start w:val="1"/>
      <w:numFmt w:val="bullet"/>
      <w:lvlText w:val="o"/>
      <w:lvlJc w:val="left"/>
      <w:pPr>
        <w:ind w:left="6251" w:hanging="360"/>
      </w:pPr>
      <w:rPr>
        <w:rFonts w:ascii="Courier New" w:hAnsi="Courier New" w:cs="Courier New" w:hint="default"/>
      </w:rPr>
    </w:lvl>
    <w:lvl w:ilvl="8" w:tplc="0C090005">
      <w:start w:val="1"/>
      <w:numFmt w:val="bullet"/>
      <w:lvlText w:val=""/>
      <w:lvlJc w:val="left"/>
      <w:pPr>
        <w:ind w:left="6971" w:hanging="360"/>
      </w:pPr>
      <w:rPr>
        <w:rFonts w:ascii="Wingdings" w:hAnsi="Wingdings" w:hint="default"/>
      </w:rPr>
    </w:lvl>
  </w:abstractNum>
  <w:abstractNum w:abstractNumId="16" w15:restartNumberingAfterBreak="0">
    <w:nsid w:val="5C992E8F"/>
    <w:multiLevelType w:val="hybridMultilevel"/>
    <w:tmpl w:val="CB841040"/>
    <w:lvl w:ilvl="0" w:tplc="0C090001">
      <w:start w:val="1"/>
      <w:numFmt w:val="bullet"/>
      <w:lvlText w:val=""/>
      <w:lvlJc w:val="left"/>
      <w:pPr>
        <w:ind w:left="1800" w:hanging="360"/>
      </w:pPr>
      <w:rPr>
        <w:rFonts w:ascii="Symbol" w:hAnsi="Symbol" w:hint="default"/>
      </w:rPr>
    </w:lvl>
    <w:lvl w:ilvl="1" w:tplc="0C090001">
      <w:start w:val="1"/>
      <w:numFmt w:val="bullet"/>
      <w:lvlText w:val=""/>
      <w:lvlJc w:val="left"/>
      <w:pPr>
        <w:ind w:left="2520" w:hanging="360"/>
      </w:pPr>
      <w:rPr>
        <w:rFonts w:ascii="Symbol" w:hAnsi="Symbol"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7" w15:restartNumberingAfterBreak="0">
    <w:nsid w:val="631A12C6"/>
    <w:multiLevelType w:val="hybridMultilevel"/>
    <w:tmpl w:val="BBCCFF22"/>
    <w:lvl w:ilvl="0" w:tplc="66A07502">
      <w:start w:val="1"/>
      <w:numFmt w:val="bullet"/>
      <w:lvlText w:val=""/>
      <w:lvlJc w:val="left"/>
      <w:pPr>
        <w:ind w:left="720" w:hanging="360"/>
      </w:pPr>
      <w:rPr>
        <w:rFonts w:ascii="Symbol" w:hAnsi="Symbol" w:hint="default"/>
      </w:rPr>
    </w:lvl>
    <w:lvl w:ilvl="1" w:tplc="3F7E2840">
      <w:start w:val="1"/>
      <w:numFmt w:val="bullet"/>
      <w:lvlText w:val="o"/>
      <w:lvlJc w:val="left"/>
      <w:pPr>
        <w:ind w:left="1440" w:hanging="360"/>
      </w:pPr>
      <w:rPr>
        <w:rFonts w:ascii="Courier New" w:hAnsi="Courier New" w:hint="default"/>
      </w:rPr>
    </w:lvl>
    <w:lvl w:ilvl="2" w:tplc="92044648">
      <w:start w:val="1"/>
      <w:numFmt w:val="bullet"/>
      <w:lvlText w:val=""/>
      <w:lvlJc w:val="left"/>
      <w:pPr>
        <w:ind w:left="2160" w:hanging="360"/>
      </w:pPr>
      <w:rPr>
        <w:rFonts w:ascii="Wingdings" w:hAnsi="Wingdings" w:hint="default"/>
      </w:rPr>
    </w:lvl>
    <w:lvl w:ilvl="3" w:tplc="C96A87E2">
      <w:start w:val="1"/>
      <w:numFmt w:val="bullet"/>
      <w:lvlText w:val=""/>
      <w:lvlJc w:val="left"/>
      <w:pPr>
        <w:ind w:left="2880" w:hanging="360"/>
      </w:pPr>
      <w:rPr>
        <w:rFonts w:ascii="Symbol" w:hAnsi="Symbol" w:hint="default"/>
      </w:rPr>
    </w:lvl>
    <w:lvl w:ilvl="4" w:tplc="8D3220FC">
      <w:start w:val="1"/>
      <w:numFmt w:val="bullet"/>
      <w:lvlText w:val="o"/>
      <w:lvlJc w:val="left"/>
      <w:pPr>
        <w:ind w:left="3600" w:hanging="360"/>
      </w:pPr>
      <w:rPr>
        <w:rFonts w:ascii="Courier New" w:hAnsi="Courier New" w:hint="default"/>
      </w:rPr>
    </w:lvl>
    <w:lvl w:ilvl="5" w:tplc="E924C552">
      <w:start w:val="1"/>
      <w:numFmt w:val="bullet"/>
      <w:lvlText w:val=""/>
      <w:lvlJc w:val="left"/>
      <w:pPr>
        <w:ind w:left="4320" w:hanging="360"/>
      </w:pPr>
      <w:rPr>
        <w:rFonts w:ascii="Wingdings" w:hAnsi="Wingdings" w:hint="default"/>
      </w:rPr>
    </w:lvl>
    <w:lvl w:ilvl="6" w:tplc="700CF09E">
      <w:start w:val="1"/>
      <w:numFmt w:val="bullet"/>
      <w:lvlText w:val=""/>
      <w:lvlJc w:val="left"/>
      <w:pPr>
        <w:ind w:left="5040" w:hanging="360"/>
      </w:pPr>
      <w:rPr>
        <w:rFonts w:ascii="Symbol" w:hAnsi="Symbol" w:hint="default"/>
      </w:rPr>
    </w:lvl>
    <w:lvl w:ilvl="7" w:tplc="A0C66512">
      <w:start w:val="1"/>
      <w:numFmt w:val="bullet"/>
      <w:lvlText w:val="o"/>
      <w:lvlJc w:val="left"/>
      <w:pPr>
        <w:ind w:left="5760" w:hanging="360"/>
      </w:pPr>
      <w:rPr>
        <w:rFonts w:ascii="Courier New" w:hAnsi="Courier New" w:hint="default"/>
      </w:rPr>
    </w:lvl>
    <w:lvl w:ilvl="8" w:tplc="F69A212E">
      <w:start w:val="1"/>
      <w:numFmt w:val="bullet"/>
      <w:lvlText w:val=""/>
      <w:lvlJc w:val="left"/>
      <w:pPr>
        <w:ind w:left="6480" w:hanging="360"/>
      </w:pPr>
      <w:rPr>
        <w:rFonts w:ascii="Wingdings" w:hAnsi="Wingdings" w:hint="default"/>
      </w:rPr>
    </w:lvl>
  </w:abstractNum>
  <w:abstractNum w:abstractNumId="18" w15:restartNumberingAfterBreak="0">
    <w:nsid w:val="670201A6"/>
    <w:multiLevelType w:val="hybridMultilevel"/>
    <w:tmpl w:val="D4F8DD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3F6D29"/>
    <w:multiLevelType w:val="hybridMultilevel"/>
    <w:tmpl w:val="298AE03A"/>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Courier New"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Courier New" w:hint="default"/>
      </w:rPr>
    </w:lvl>
    <w:lvl w:ilvl="8" w:tplc="0C090005">
      <w:start w:val="1"/>
      <w:numFmt w:val="bullet"/>
      <w:lvlText w:val=""/>
      <w:lvlJc w:val="left"/>
      <w:pPr>
        <w:ind w:left="6262" w:hanging="360"/>
      </w:pPr>
      <w:rPr>
        <w:rFonts w:ascii="Wingdings" w:hAnsi="Wingdings" w:hint="default"/>
      </w:rPr>
    </w:lvl>
  </w:abstractNum>
  <w:abstractNum w:abstractNumId="21"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76266537">
    <w:abstractNumId w:val="0"/>
  </w:num>
  <w:num w:numId="2" w16cid:durableId="2057006504">
    <w:abstractNumId w:val="3"/>
  </w:num>
  <w:num w:numId="3" w16cid:durableId="1384600555">
    <w:abstractNumId w:val="19"/>
  </w:num>
  <w:num w:numId="4" w16cid:durableId="681132560">
    <w:abstractNumId w:val="5"/>
  </w:num>
  <w:num w:numId="5" w16cid:durableId="720833039">
    <w:abstractNumId w:val="9"/>
  </w:num>
  <w:num w:numId="6" w16cid:durableId="644891734">
    <w:abstractNumId w:val="21"/>
  </w:num>
  <w:num w:numId="7" w16cid:durableId="579413435">
    <w:abstractNumId w:val="14"/>
  </w:num>
  <w:num w:numId="8" w16cid:durableId="1277559950">
    <w:abstractNumId w:val="0"/>
  </w:num>
  <w:num w:numId="9" w16cid:durableId="348876104">
    <w:abstractNumId w:val="0"/>
  </w:num>
  <w:num w:numId="10" w16cid:durableId="257249204">
    <w:abstractNumId w:val="12"/>
  </w:num>
  <w:num w:numId="11" w16cid:durableId="672880269">
    <w:abstractNumId w:val="1"/>
  </w:num>
  <w:num w:numId="12" w16cid:durableId="1778019973">
    <w:abstractNumId w:val="6"/>
  </w:num>
  <w:num w:numId="13" w16cid:durableId="1681614337">
    <w:abstractNumId w:val="11"/>
  </w:num>
  <w:num w:numId="14" w16cid:durableId="913468849">
    <w:abstractNumId w:val="0"/>
  </w:num>
  <w:num w:numId="15" w16cid:durableId="465897785">
    <w:abstractNumId w:val="0"/>
  </w:num>
  <w:num w:numId="16" w16cid:durableId="516193270">
    <w:abstractNumId w:val="13"/>
  </w:num>
  <w:num w:numId="17" w16cid:durableId="137693435">
    <w:abstractNumId w:val="20"/>
  </w:num>
  <w:num w:numId="18" w16cid:durableId="1470325150">
    <w:abstractNumId w:val="0"/>
  </w:num>
  <w:num w:numId="19" w16cid:durableId="1860780024">
    <w:abstractNumId w:val="18"/>
  </w:num>
  <w:num w:numId="20" w16cid:durableId="1418479548">
    <w:abstractNumId w:val="0"/>
  </w:num>
  <w:num w:numId="21" w16cid:durableId="495732777">
    <w:abstractNumId w:val="0"/>
  </w:num>
  <w:num w:numId="22" w16cid:durableId="655912271">
    <w:abstractNumId w:val="0"/>
  </w:num>
  <w:num w:numId="23" w16cid:durableId="1704135873">
    <w:abstractNumId w:val="11"/>
  </w:num>
  <w:num w:numId="24" w16cid:durableId="840856499">
    <w:abstractNumId w:val="15"/>
  </w:num>
  <w:num w:numId="25" w16cid:durableId="2024045000">
    <w:abstractNumId w:val="7"/>
  </w:num>
  <w:num w:numId="26" w16cid:durableId="1742479006">
    <w:abstractNumId w:val="16"/>
  </w:num>
  <w:num w:numId="27" w16cid:durableId="1916864031">
    <w:abstractNumId w:val="0"/>
  </w:num>
  <w:num w:numId="28" w16cid:durableId="760953801">
    <w:abstractNumId w:val="0"/>
  </w:num>
  <w:num w:numId="29" w16cid:durableId="2054039117">
    <w:abstractNumId w:val="0"/>
  </w:num>
  <w:num w:numId="30" w16cid:durableId="1483811644">
    <w:abstractNumId w:val="0"/>
  </w:num>
  <w:num w:numId="31" w16cid:durableId="1398746192">
    <w:abstractNumId w:val="2"/>
  </w:num>
  <w:num w:numId="32" w16cid:durableId="539826044">
    <w:abstractNumId w:val="10"/>
  </w:num>
  <w:num w:numId="33" w16cid:durableId="1592718">
    <w:abstractNumId w:val="8"/>
  </w:num>
  <w:num w:numId="34" w16cid:durableId="1373919957">
    <w:abstractNumId w:val="4"/>
  </w:num>
  <w:num w:numId="35" w16cid:durableId="7083350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91AC9"/>
    <w:rsid w:val="00095ECD"/>
    <w:rsid w:val="000A7335"/>
    <w:rsid w:val="000B1620"/>
    <w:rsid w:val="000B5C8C"/>
    <w:rsid w:val="000B71ED"/>
    <w:rsid w:val="000C1BB3"/>
    <w:rsid w:val="000C59E2"/>
    <w:rsid w:val="000C7B2D"/>
    <w:rsid w:val="000F7B7E"/>
    <w:rsid w:val="00103EEA"/>
    <w:rsid w:val="001115D7"/>
    <w:rsid w:val="00191109"/>
    <w:rsid w:val="00191235"/>
    <w:rsid w:val="001926F4"/>
    <w:rsid w:val="001A0053"/>
    <w:rsid w:val="001B2465"/>
    <w:rsid w:val="001B3435"/>
    <w:rsid w:val="001F2A9B"/>
    <w:rsid w:val="001F6D2D"/>
    <w:rsid w:val="00200D04"/>
    <w:rsid w:val="00201FB6"/>
    <w:rsid w:val="002405CF"/>
    <w:rsid w:val="00240B97"/>
    <w:rsid w:val="0025382D"/>
    <w:rsid w:val="00263BA6"/>
    <w:rsid w:val="0027264D"/>
    <w:rsid w:val="00285D38"/>
    <w:rsid w:val="00293E43"/>
    <w:rsid w:val="002B5F43"/>
    <w:rsid w:val="00313707"/>
    <w:rsid w:val="0032270B"/>
    <w:rsid w:val="00337E7C"/>
    <w:rsid w:val="00351CD9"/>
    <w:rsid w:val="00353CBB"/>
    <w:rsid w:val="00366924"/>
    <w:rsid w:val="00376A6D"/>
    <w:rsid w:val="00380B98"/>
    <w:rsid w:val="00395E36"/>
    <w:rsid w:val="00396023"/>
    <w:rsid w:val="003C204E"/>
    <w:rsid w:val="003C4BB5"/>
    <w:rsid w:val="003E4CC0"/>
    <w:rsid w:val="003F3D8F"/>
    <w:rsid w:val="00410409"/>
    <w:rsid w:val="00412CED"/>
    <w:rsid w:val="00416751"/>
    <w:rsid w:val="00420F9E"/>
    <w:rsid w:val="004213C3"/>
    <w:rsid w:val="0042413C"/>
    <w:rsid w:val="00427139"/>
    <w:rsid w:val="00431A1C"/>
    <w:rsid w:val="004358E9"/>
    <w:rsid w:val="004537B3"/>
    <w:rsid w:val="0048050C"/>
    <w:rsid w:val="00487DD5"/>
    <w:rsid w:val="004947A7"/>
    <w:rsid w:val="004A2E02"/>
    <w:rsid w:val="004B7C43"/>
    <w:rsid w:val="004C2B20"/>
    <w:rsid w:val="004D6932"/>
    <w:rsid w:val="004E28AD"/>
    <w:rsid w:val="004F0F49"/>
    <w:rsid w:val="004F1D05"/>
    <w:rsid w:val="004F2008"/>
    <w:rsid w:val="00505B5D"/>
    <w:rsid w:val="005067CA"/>
    <w:rsid w:val="0052443C"/>
    <w:rsid w:val="0052775E"/>
    <w:rsid w:val="005416F0"/>
    <w:rsid w:val="00542514"/>
    <w:rsid w:val="00546AED"/>
    <w:rsid w:val="005512EF"/>
    <w:rsid w:val="005621E4"/>
    <w:rsid w:val="00590902"/>
    <w:rsid w:val="00592A14"/>
    <w:rsid w:val="00596FD7"/>
    <w:rsid w:val="005A3625"/>
    <w:rsid w:val="005B4738"/>
    <w:rsid w:val="005C212D"/>
    <w:rsid w:val="005C3CB0"/>
    <w:rsid w:val="005E1140"/>
    <w:rsid w:val="005F3214"/>
    <w:rsid w:val="00612231"/>
    <w:rsid w:val="00635EB1"/>
    <w:rsid w:val="006473BB"/>
    <w:rsid w:val="0066495D"/>
    <w:rsid w:val="00695EB6"/>
    <w:rsid w:val="006A3770"/>
    <w:rsid w:val="006A4D46"/>
    <w:rsid w:val="006A6024"/>
    <w:rsid w:val="006C31FF"/>
    <w:rsid w:val="006C6256"/>
    <w:rsid w:val="006C6B6C"/>
    <w:rsid w:val="006C704D"/>
    <w:rsid w:val="006D31A2"/>
    <w:rsid w:val="0070331D"/>
    <w:rsid w:val="007052B1"/>
    <w:rsid w:val="00711BF4"/>
    <w:rsid w:val="00741B43"/>
    <w:rsid w:val="0074223E"/>
    <w:rsid w:val="007543AC"/>
    <w:rsid w:val="00756537"/>
    <w:rsid w:val="00756A2B"/>
    <w:rsid w:val="007A0EBC"/>
    <w:rsid w:val="007B27F1"/>
    <w:rsid w:val="007B4ABB"/>
    <w:rsid w:val="007B6904"/>
    <w:rsid w:val="007B7628"/>
    <w:rsid w:val="007C0698"/>
    <w:rsid w:val="007C36E4"/>
    <w:rsid w:val="007E2EAD"/>
    <w:rsid w:val="00816782"/>
    <w:rsid w:val="00816C72"/>
    <w:rsid w:val="0082141D"/>
    <w:rsid w:val="0082345B"/>
    <w:rsid w:val="00827F24"/>
    <w:rsid w:val="00845445"/>
    <w:rsid w:val="00855DA8"/>
    <w:rsid w:val="00886399"/>
    <w:rsid w:val="008974CA"/>
    <w:rsid w:val="008C7AFF"/>
    <w:rsid w:val="008E1F7F"/>
    <w:rsid w:val="008E4C0E"/>
    <w:rsid w:val="008F00E8"/>
    <w:rsid w:val="00906142"/>
    <w:rsid w:val="00931B93"/>
    <w:rsid w:val="00933EED"/>
    <w:rsid w:val="00940CDE"/>
    <w:rsid w:val="00962C46"/>
    <w:rsid w:val="0097742A"/>
    <w:rsid w:val="0097744F"/>
    <w:rsid w:val="00980EED"/>
    <w:rsid w:val="00991670"/>
    <w:rsid w:val="009B6C8C"/>
    <w:rsid w:val="009C0FCA"/>
    <w:rsid w:val="009C3963"/>
    <w:rsid w:val="009D323C"/>
    <w:rsid w:val="009E39B9"/>
    <w:rsid w:val="009E70F4"/>
    <w:rsid w:val="00A35E2D"/>
    <w:rsid w:val="00A54CB3"/>
    <w:rsid w:val="00A74B8A"/>
    <w:rsid w:val="00A85F61"/>
    <w:rsid w:val="00A86DB3"/>
    <w:rsid w:val="00A92E4F"/>
    <w:rsid w:val="00AA25DC"/>
    <w:rsid w:val="00AB13EF"/>
    <w:rsid w:val="00AB50DD"/>
    <w:rsid w:val="00AC7025"/>
    <w:rsid w:val="00AD196F"/>
    <w:rsid w:val="00AD3CCE"/>
    <w:rsid w:val="00B07A46"/>
    <w:rsid w:val="00B07DCE"/>
    <w:rsid w:val="00B12123"/>
    <w:rsid w:val="00B21043"/>
    <w:rsid w:val="00B42EA0"/>
    <w:rsid w:val="00B44CAC"/>
    <w:rsid w:val="00B573D6"/>
    <w:rsid w:val="00B73E65"/>
    <w:rsid w:val="00B81455"/>
    <w:rsid w:val="00B9627F"/>
    <w:rsid w:val="00BA2415"/>
    <w:rsid w:val="00BA4DB2"/>
    <w:rsid w:val="00BA4F95"/>
    <w:rsid w:val="00BA683E"/>
    <w:rsid w:val="00BB33F9"/>
    <w:rsid w:val="00BC3CE6"/>
    <w:rsid w:val="00BE5E41"/>
    <w:rsid w:val="00BF078E"/>
    <w:rsid w:val="00C24EDC"/>
    <w:rsid w:val="00C25A76"/>
    <w:rsid w:val="00C31EB3"/>
    <w:rsid w:val="00C32206"/>
    <w:rsid w:val="00C3559A"/>
    <w:rsid w:val="00C422C8"/>
    <w:rsid w:val="00C45C67"/>
    <w:rsid w:val="00C47091"/>
    <w:rsid w:val="00C523FF"/>
    <w:rsid w:val="00C54163"/>
    <w:rsid w:val="00C71C3C"/>
    <w:rsid w:val="00C76998"/>
    <w:rsid w:val="00C93E83"/>
    <w:rsid w:val="00CA593D"/>
    <w:rsid w:val="00CC5D11"/>
    <w:rsid w:val="00CD1505"/>
    <w:rsid w:val="00D21780"/>
    <w:rsid w:val="00D23346"/>
    <w:rsid w:val="00D243B8"/>
    <w:rsid w:val="00D27307"/>
    <w:rsid w:val="00D34794"/>
    <w:rsid w:val="00D4502D"/>
    <w:rsid w:val="00D530CE"/>
    <w:rsid w:val="00D53E3C"/>
    <w:rsid w:val="00D77950"/>
    <w:rsid w:val="00DC3762"/>
    <w:rsid w:val="00DC5C47"/>
    <w:rsid w:val="00DD616A"/>
    <w:rsid w:val="00DE0465"/>
    <w:rsid w:val="00DE4893"/>
    <w:rsid w:val="00DE4E25"/>
    <w:rsid w:val="00E049ED"/>
    <w:rsid w:val="00E34E6D"/>
    <w:rsid w:val="00E37CD4"/>
    <w:rsid w:val="00E50038"/>
    <w:rsid w:val="00E57848"/>
    <w:rsid w:val="00E73459"/>
    <w:rsid w:val="00E750BF"/>
    <w:rsid w:val="00E90708"/>
    <w:rsid w:val="00ED21C3"/>
    <w:rsid w:val="00ED388C"/>
    <w:rsid w:val="00ED46C3"/>
    <w:rsid w:val="00EF02B0"/>
    <w:rsid w:val="00EF13A4"/>
    <w:rsid w:val="00F01B61"/>
    <w:rsid w:val="00F11338"/>
    <w:rsid w:val="00F13AE5"/>
    <w:rsid w:val="00F14243"/>
    <w:rsid w:val="00F149FD"/>
    <w:rsid w:val="00F14EC1"/>
    <w:rsid w:val="00F4262F"/>
    <w:rsid w:val="00F53719"/>
    <w:rsid w:val="00F57291"/>
    <w:rsid w:val="00F66CB0"/>
    <w:rsid w:val="00F73098"/>
    <w:rsid w:val="00F76C89"/>
    <w:rsid w:val="00F9158A"/>
    <w:rsid w:val="00FA29B8"/>
    <w:rsid w:val="00FA430C"/>
    <w:rsid w:val="00FC7CBC"/>
    <w:rsid w:val="00FD3D92"/>
    <w:rsid w:val="00FF56DD"/>
    <w:rsid w:val="17239979"/>
    <w:rsid w:val="1CCCED57"/>
    <w:rsid w:val="242EF2F2"/>
    <w:rsid w:val="37648DFD"/>
    <w:rsid w:val="4684332B"/>
    <w:rsid w:val="5447F9F8"/>
    <w:rsid w:val="55918A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6C7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3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basedOn w:val="DefaultParagraphFont"/>
    <w:link w:val="ListParagraph"/>
    <w:uiPriority w:val="34"/>
    <w:locked/>
    <w:rsid w:val="00E50038"/>
    <w:rPr>
      <w:rFonts w:ascii="Calibri" w:eastAsia="Times New Roman" w:hAnsi="Calibri" w:cs="Times New Roman"/>
      <w:sz w:val="24"/>
      <w:szCs w:val="20"/>
    </w:rPr>
  </w:style>
  <w:style w:type="character" w:customStyle="1" w:styleId="Heading4Char">
    <w:name w:val="Heading 4 Char"/>
    <w:basedOn w:val="DefaultParagraphFont"/>
    <w:link w:val="Heading4"/>
    <w:uiPriority w:val="9"/>
    <w:semiHidden/>
    <w:rsid w:val="00816C72"/>
    <w:rPr>
      <w:rFonts w:asciiTheme="majorHAnsi" w:eastAsiaTheme="majorEastAsia" w:hAnsiTheme="majorHAnsi" w:cstheme="majorBidi"/>
      <w:i/>
      <w:iCs/>
      <w:color w:val="365F91" w:themeColor="accent1" w:themeShade="BF"/>
      <w:sz w:val="24"/>
      <w:szCs w:val="20"/>
    </w:rPr>
  </w:style>
  <w:style w:type="character" w:customStyle="1" w:styleId="UnresolvedMention1">
    <w:name w:val="Unresolved Mention1"/>
    <w:basedOn w:val="DefaultParagraphFont"/>
    <w:uiPriority w:val="99"/>
    <w:semiHidden/>
    <w:unhideWhenUsed/>
    <w:rsid w:val="00D27307"/>
    <w:rPr>
      <w:color w:val="605E5C"/>
      <w:shd w:val="clear" w:color="auto" w:fill="E1DFDD"/>
    </w:rPr>
  </w:style>
  <w:style w:type="character" w:customStyle="1" w:styleId="normaltextrun1">
    <w:name w:val="normaltextrun1"/>
    <w:basedOn w:val="DefaultParagraphFont"/>
    <w:rsid w:val="00DE4893"/>
  </w:style>
  <w:style w:type="character" w:customStyle="1" w:styleId="eop">
    <w:name w:val="eop"/>
    <w:basedOn w:val="DefaultParagraphFont"/>
    <w:rsid w:val="00DE4893"/>
  </w:style>
  <w:style w:type="paragraph" w:styleId="Revision">
    <w:name w:val="Revision"/>
    <w:hidden/>
    <w:uiPriority w:val="99"/>
    <w:semiHidden/>
    <w:rsid w:val="0082345B"/>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3478593">
      <w:bodyDiv w:val="1"/>
      <w:marLeft w:val="0"/>
      <w:marRight w:val="0"/>
      <w:marTop w:val="0"/>
      <w:marBottom w:val="0"/>
      <w:divBdr>
        <w:top w:val="none" w:sz="0" w:space="0" w:color="auto"/>
        <w:left w:val="none" w:sz="0" w:space="0" w:color="auto"/>
        <w:bottom w:val="none" w:sz="0" w:space="0" w:color="auto"/>
        <w:right w:val="none" w:sz="0" w:space="0" w:color="auto"/>
      </w:divBdr>
    </w:div>
    <w:div w:id="102500368">
      <w:bodyDiv w:val="1"/>
      <w:marLeft w:val="0"/>
      <w:marRight w:val="0"/>
      <w:marTop w:val="0"/>
      <w:marBottom w:val="0"/>
      <w:divBdr>
        <w:top w:val="none" w:sz="0" w:space="0" w:color="auto"/>
        <w:left w:val="none" w:sz="0" w:space="0" w:color="auto"/>
        <w:bottom w:val="none" w:sz="0" w:space="0" w:color="auto"/>
        <w:right w:val="none" w:sz="0" w:space="0" w:color="auto"/>
      </w:divBdr>
    </w:div>
    <w:div w:id="187645585">
      <w:bodyDiv w:val="1"/>
      <w:marLeft w:val="0"/>
      <w:marRight w:val="0"/>
      <w:marTop w:val="0"/>
      <w:marBottom w:val="0"/>
      <w:divBdr>
        <w:top w:val="none" w:sz="0" w:space="0" w:color="auto"/>
        <w:left w:val="none" w:sz="0" w:space="0" w:color="auto"/>
        <w:bottom w:val="none" w:sz="0" w:space="0" w:color="auto"/>
        <w:right w:val="none" w:sz="0" w:space="0" w:color="auto"/>
      </w:divBdr>
    </w:div>
    <w:div w:id="214970997">
      <w:bodyDiv w:val="1"/>
      <w:marLeft w:val="0"/>
      <w:marRight w:val="0"/>
      <w:marTop w:val="0"/>
      <w:marBottom w:val="0"/>
      <w:divBdr>
        <w:top w:val="none" w:sz="0" w:space="0" w:color="auto"/>
        <w:left w:val="none" w:sz="0" w:space="0" w:color="auto"/>
        <w:bottom w:val="none" w:sz="0" w:space="0" w:color="auto"/>
        <w:right w:val="none" w:sz="0" w:space="0" w:color="auto"/>
      </w:divBdr>
    </w:div>
    <w:div w:id="245110693">
      <w:bodyDiv w:val="1"/>
      <w:marLeft w:val="0"/>
      <w:marRight w:val="0"/>
      <w:marTop w:val="0"/>
      <w:marBottom w:val="0"/>
      <w:divBdr>
        <w:top w:val="none" w:sz="0" w:space="0" w:color="auto"/>
        <w:left w:val="none" w:sz="0" w:space="0" w:color="auto"/>
        <w:bottom w:val="none" w:sz="0" w:space="0" w:color="auto"/>
        <w:right w:val="none" w:sz="0" w:space="0" w:color="auto"/>
      </w:divBdr>
    </w:div>
    <w:div w:id="261034759">
      <w:bodyDiv w:val="1"/>
      <w:marLeft w:val="0"/>
      <w:marRight w:val="0"/>
      <w:marTop w:val="0"/>
      <w:marBottom w:val="0"/>
      <w:divBdr>
        <w:top w:val="none" w:sz="0" w:space="0" w:color="auto"/>
        <w:left w:val="none" w:sz="0" w:space="0" w:color="auto"/>
        <w:bottom w:val="none" w:sz="0" w:space="0" w:color="auto"/>
        <w:right w:val="none" w:sz="0" w:space="0" w:color="auto"/>
      </w:divBdr>
    </w:div>
    <w:div w:id="663701706">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13046359">
      <w:bodyDiv w:val="1"/>
      <w:marLeft w:val="0"/>
      <w:marRight w:val="0"/>
      <w:marTop w:val="0"/>
      <w:marBottom w:val="0"/>
      <w:divBdr>
        <w:top w:val="none" w:sz="0" w:space="0" w:color="auto"/>
        <w:left w:val="none" w:sz="0" w:space="0" w:color="auto"/>
        <w:bottom w:val="none" w:sz="0" w:space="0" w:color="auto"/>
        <w:right w:val="none" w:sz="0" w:space="0" w:color="auto"/>
      </w:divBdr>
    </w:div>
    <w:div w:id="1446653489">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495339757">
      <w:bodyDiv w:val="1"/>
      <w:marLeft w:val="0"/>
      <w:marRight w:val="0"/>
      <w:marTop w:val="0"/>
      <w:marBottom w:val="0"/>
      <w:divBdr>
        <w:top w:val="none" w:sz="0" w:space="0" w:color="auto"/>
        <w:left w:val="none" w:sz="0" w:space="0" w:color="auto"/>
        <w:bottom w:val="none" w:sz="0" w:space="0" w:color="auto"/>
        <w:right w:val="none" w:sz="0" w:space="0" w:color="auto"/>
      </w:divBdr>
    </w:div>
    <w:div w:id="1596595605">
      <w:bodyDiv w:val="1"/>
      <w:marLeft w:val="0"/>
      <w:marRight w:val="0"/>
      <w:marTop w:val="0"/>
      <w:marBottom w:val="0"/>
      <w:divBdr>
        <w:top w:val="none" w:sz="0" w:space="0" w:color="auto"/>
        <w:left w:val="none" w:sz="0" w:space="0" w:color="auto"/>
        <w:bottom w:val="none" w:sz="0" w:space="0" w:color="auto"/>
        <w:right w:val="none" w:sz="0" w:space="0" w:color="auto"/>
      </w:divBdr>
    </w:div>
    <w:div w:id="1673989212">
      <w:bodyDiv w:val="1"/>
      <w:marLeft w:val="0"/>
      <w:marRight w:val="0"/>
      <w:marTop w:val="0"/>
      <w:marBottom w:val="0"/>
      <w:divBdr>
        <w:top w:val="none" w:sz="0" w:space="0" w:color="auto"/>
        <w:left w:val="none" w:sz="0" w:space="0" w:color="auto"/>
        <w:bottom w:val="none" w:sz="0" w:space="0" w:color="auto"/>
        <w:right w:val="none" w:sz="0" w:space="0" w:color="auto"/>
      </w:divBdr>
    </w:div>
    <w:div w:id="1749304401">
      <w:bodyDiv w:val="1"/>
      <w:marLeft w:val="0"/>
      <w:marRight w:val="0"/>
      <w:marTop w:val="0"/>
      <w:marBottom w:val="0"/>
      <w:divBdr>
        <w:top w:val="none" w:sz="0" w:space="0" w:color="auto"/>
        <w:left w:val="none" w:sz="0" w:space="0" w:color="auto"/>
        <w:bottom w:val="none" w:sz="0" w:space="0" w:color="auto"/>
        <w:right w:val="none" w:sz="0" w:space="0" w:color="auto"/>
      </w:divBdr>
    </w:div>
    <w:div w:id="198380334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204447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msonline.com.au/Search/Search.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mhonline.amh.net.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emims.plus/medicineview?id=0e3c3fa1-737b-45b7-944e-acee00acf011&amp;type=cmi" TargetMode="External"/><Relationship Id="rId5" Type="http://schemas.openxmlformats.org/officeDocument/2006/relationships/numbering" Target="numbering.xml"/><Relationship Id="rId15" Type="http://schemas.openxmlformats.org/officeDocument/2006/relationships/hyperlink" Target="https://www.uptodate.com/contents/heparin-and-lmw-heparin-dosing-and-adverse-effec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c.health.nsw.gov.au/keep-patients-safe/medication-safety/high-risk-medicines/anticoagula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2024-02-25T13:00:00+00:00</Approval_x0020_Date>
    <Review_x0020_Date xmlns="690b2128-8961-48af-a473-22c34a9accba">2025-06-30T14:00:00+00:00</Review_x0020_Date>
    <TaxCatchAll xmlns="c0239a80-7f07-4ed7-82c3-24ad7d76ada5">
      <Value>441</Value>
      <Value>435</Value>
      <Value>417</Value>
      <Value>416</Value>
      <Value>434</Value>
      <Value>495</Value>
      <Value>527</Value>
    </TaxCatchAll>
    <Version_x0020_Number xmlns="690b2128-8961-48af-a473-22c34a9accba">1</Version_x0020_Number>
    <Notes0 xmlns="690b2128-8961-48af-a473-22c34a9accba">This procedure could potentially be incorporated into CHS Anticoagulation Therapeutic Management (Adults Only) due for review 1/7/2025.</Notes0>
    <Key_x0020_Words xmlns="690b2128-8961-48af-a473-22c34a9accba">North, Heparin Infusion, Anticoagulation, VTE, Thromboembolic Disease, High Risk, Heparin, LMWH, apixaban, dabigatran, rivaroxaban, enoxaparin, dalteparin, clexane, warfarin, dabigatran, anticoagulants</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Medium</Risk_x0020_Rating>
    <Description0 xmlns="690b2128-8961-48af-a473-22c34a9accba">The purpose is to provide clinicians with information on heparin infusions for patient with active thromboembolic disease and to ensure they are initiated and monitored appropriately and therapeutic levels of anticoagulation are maintained.</Description0>
    <Display_x0020_on_x0020_Internet xmlns="690b2128-8961-48af-a473-22c34a9accba">true</Display_x0020_on_x0020_Internet>
    <Related_x0020_Documents xmlns="690b2128-8961-48af-a473-22c34a9accba" xsi:nil="true"/>
    <Decision_x0020_Number xmlns="690b2128-8961-48af-a473-22c34a9accba">CHS24/074</Decision_x0020_Number>
    <RelatedPolicies_x002c_ProceduresGuidelines xmlns="690b2128-8961-48af-a473-22c34a9accba">
      <Value>17046</Value>
      <Value>17042</Value>
      <Value>17044</Value>
      <Value>17014</Value>
      <Value>15087</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Medicines, Poisons and Therapeutic Goods Act 2008 (Territory)</TermName>
          <TermId xmlns="http://schemas.microsoft.com/office/infopath/2007/PartnerControls">e04bb8da-bc44-4cb4-a98e-c18b8e4177ac</TermId>
        </TermInfo>
        <TermInfo xmlns="http://schemas.microsoft.com/office/infopath/2007/PartnerControls">
          <TermName xmlns="http://schemas.microsoft.com/office/infopath/2007/PartnerControls">Medicines, Poisons and Therapeutic Goods Regulation 2008 (Territory)</TermName>
          <TermId xmlns="http://schemas.microsoft.com/office/infopath/2007/PartnerControls">d8a601e5-b818-46c5-b1f0-8bd78d448dbc</TermId>
        </TermInfo>
        <TermInfo xmlns="http://schemas.microsoft.com/office/infopath/2007/PartnerControls">
          <TermName xmlns="http://schemas.microsoft.com/office/infopath/2007/PartnerControls">Health Practitioner Regulation National Law Act 2010 (Territory)</TermName>
          <TermId xmlns="http://schemas.microsoft.com/office/infopath/2007/PartnerControls">5cf4d844-a9cf-4787-98ba-e0d28c369acc</TermId>
        </TermInfo>
        <TermInfo xmlns="http://schemas.microsoft.com/office/infopath/2007/PartnerControls">
          <TermName xmlns="http://schemas.microsoft.com/office/infopath/2007/PartnerControls">Therapeutic Goods Act 1989 (Cth)</TermName>
          <TermId xmlns="http://schemas.microsoft.com/office/infopath/2007/PartnerControls">6f1372f5-fafb-43fa-b717-e9088c98595f</TermId>
        </TermInfo>
        <TermInfo xmlns="http://schemas.microsoft.com/office/infopath/2007/PartnerControls">
          <TermName xmlns="http://schemas.microsoft.com/office/infopath/2007/PartnerControls">Therapeutic Goods Regulations 1990 (Cth)</TermName>
          <TermId xmlns="http://schemas.microsoft.com/office/infopath/2007/PartnerControls">926af1d3-6243-45e1-a0f3-0514825b88fc</TermId>
        </TermInfo>
      </Terms>
    </k0794e393e1f41c2810d090eedba34a0>
    <New_x0020_Owner xmlns="690b2128-8961-48af-a473-22c34a9accba">North Canberra Hospital (NCH) – Allied Health &amp; Palliative Care – Pharmacy  </New_x0020_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F58B0-E6BF-4237-9984-6DF2E01C04F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4504225e-b2d9-4497-b505-38d38bf039d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781255B-71E8-4885-B664-C7AA85B83E44}"/>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88E6F22B-B72F-48A8-855F-103C973C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1945</Words>
  <Characters>12414</Characters>
  <Application>Microsoft Office Word</Application>
  <DocSecurity>0</DocSecurity>
  <Lines>326</Lines>
  <Paragraphs>157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Heparin Infusion - North Canberra Hospital (NCH)</dc:title>
  <dc:creator>Kerryn Hunter</dc:creator>
  <cp:lastModifiedBy>Rusanov, Zoia (Health)</cp:lastModifiedBy>
  <cp:revision>21</cp:revision>
  <cp:lastPrinted>2015-01-20T22:40:00Z</cp:lastPrinted>
  <dcterms:created xsi:type="dcterms:W3CDTF">2019-09-27T05:28:00Z</dcterms:created>
  <dcterms:modified xsi:type="dcterms:W3CDTF">2024-02-25T17:56:00Z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Related Legislation &amp; Guidelines">
    <vt:lpwstr>416;#Human Rights Act 2004 (Territory)|bbb6fb4a-2117-4ff9-8364-021a762deae2;#417;#Work Health and Safety Act 2011 (Territory)|ff017976-c7e7-4dc1-b890-63352415bc5e;#435;#Medicines, Poisons and Therapeutic Goods Act 2008 (Territory)|e04bb8da-bc44-4cb4-a98e-c18b8e4177ac;#441;#Medicines, Poisons and Therapeutic Goods Regulation 2008 (Territory)|d8a601e5-b818-46c5-b1f0-8bd78d448dbc;#434;#Health Practitioner Regulation National Law Act 2010 (Territory)|5cf4d844-a9cf-4787-98ba-e0d28c369acc;#495;#Therapeutic Goods Act 1989 (Cth)|6f1372f5-fafb-43fa-b717-e9088c98595f;#527;#Therapeutic Goods Regulations 1990 (Cth)|926af1d3-6243-45e1-a0f3-0514825b88fc</vt:lpwstr>
  </property>
</Properties>
</file>