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116F6096" w:rsidR="007B6904" w:rsidRPr="006A3770" w:rsidRDefault="00975700" w:rsidP="006A3770">
      <w:pPr>
        <w:rPr>
          <w:rFonts w:cs="Arial"/>
          <w:b/>
          <w:i/>
          <w:sz w:val="36"/>
          <w:szCs w:val="36"/>
        </w:rPr>
      </w:pPr>
      <w:r>
        <w:rPr>
          <w:rFonts w:cs="Arial"/>
          <w:b/>
          <w:sz w:val="36"/>
          <w:szCs w:val="36"/>
        </w:rPr>
        <w:t xml:space="preserve">North Canberra Hospital (NCH) - High Risk Medicine Intravenous Potassium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9318966"/>
            <w:r w:rsidRPr="00CD1C0E">
              <w:t>Contents</w:t>
            </w:r>
            <w:bookmarkEnd w:id="5"/>
            <w:bookmarkEnd w:id="6"/>
            <w:bookmarkEnd w:id="7"/>
          </w:p>
        </w:tc>
      </w:tr>
    </w:tbl>
    <w:p w14:paraId="2F51A853" w14:textId="77777777" w:rsidR="007B6904" w:rsidRDefault="007B6904" w:rsidP="007B6904"/>
    <w:p w14:paraId="73268F98" w14:textId="690DA058" w:rsidR="0066235B" w:rsidRDefault="007B7628" w:rsidP="0066235B">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9318966" w:history="1">
        <w:r w:rsidR="0066235B" w:rsidRPr="00D64A34">
          <w:rPr>
            <w:rStyle w:val="Hyperlink"/>
            <w:noProof/>
          </w:rPr>
          <w:t>Contents</w:t>
        </w:r>
        <w:r w:rsidR="0066235B">
          <w:rPr>
            <w:noProof/>
            <w:webHidden/>
          </w:rPr>
          <w:tab/>
        </w:r>
        <w:r w:rsidR="0066235B">
          <w:rPr>
            <w:noProof/>
            <w:webHidden/>
          </w:rPr>
          <w:fldChar w:fldCharType="begin"/>
        </w:r>
        <w:r w:rsidR="0066235B">
          <w:rPr>
            <w:noProof/>
            <w:webHidden/>
          </w:rPr>
          <w:instrText xml:space="preserve"> PAGEREF _Toc159318966 \h </w:instrText>
        </w:r>
        <w:r w:rsidR="0066235B">
          <w:rPr>
            <w:noProof/>
            <w:webHidden/>
          </w:rPr>
        </w:r>
        <w:r w:rsidR="0066235B">
          <w:rPr>
            <w:noProof/>
            <w:webHidden/>
          </w:rPr>
          <w:fldChar w:fldCharType="separate"/>
        </w:r>
        <w:r w:rsidR="0066235B">
          <w:rPr>
            <w:noProof/>
            <w:webHidden/>
          </w:rPr>
          <w:t>1</w:t>
        </w:r>
        <w:r w:rsidR="0066235B">
          <w:rPr>
            <w:noProof/>
            <w:webHidden/>
          </w:rPr>
          <w:fldChar w:fldCharType="end"/>
        </w:r>
      </w:hyperlink>
    </w:p>
    <w:p w14:paraId="295FBEC5" w14:textId="4ACEC27C" w:rsidR="0066235B" w:rsidRDefault="00000000" w:rsidP="0066235B">
      <w:pPr>
        <w:pStyle w:val="TOC1"/>
        <w:rPr>
          <w:rFonts w:eastAsiaTheme="minorEastAsia" w:cstheme="minorBidi"/>
          <w:noProof/>
          <w:kern w:val="2"/>
          <w:sz w:val="22"/>
          <w:szCs w:val="22"/>
          <w:lang w:eastAsia="en-AU"/>
          <w14:ligatures w14:val="standardContextual"/>
        </w:rPr>
      </w:pPr>
      <w:hyperlink w:anchor="_Toc159318967" w:history="1">
        <w:r w:rsidR="0066235B" w:rsidRPr="00D64A34">
          <w:rPr>
            <w:rStyle w:val="Hyperlink"/>
            <w:noProof/>
          </w:rPr>
          <w:t>Purpose</w:t>
        </w:r>
        <w:r w:rsidR="0066235B">
          <w:rPr>
            <w:noProof/>
            <w:webHidden/>
          </w:rPr>
          <w:tab/>
        </w:r>
        <w:r w:rsidR="0066235B">
          <w:rPr>
            <w:noProof/>
            <w:webHidden/>
          </w:rPr>
          <w:fldChar w:fldCharType="begin"/>
        </w:r>
        <w:r w:rsidR="0066235B">
          <w:rPr>
            <w:noProof/>
            <w:webHidden/>
          </w:rPr>
          <w:instrText xml:space="preserve"> PAGEREF _Toc159318967 \h </w:instrText>
        </w:r>
        <w:r w:rsidR="0066235B">
          <w:rPr>
            <w:noProof/>
            <w:webHidden/>
          </w:rPr>
        </w:r>
        <w:r w:rsidR="0066235B">
          <w:rPr>
            <w:noProof/>
            <w:webHidden/>
          </w:rPr>
          <w:fldChar w:fldCharType="separate"/>
        </w:r>
        <w:r w:rsidR="0066235B">
          <w:rPr>
            <w:noProof/>
            <w:webHidden/>
          </w:rPr>
          <w:t>2</w:t>
        </w:r>
        <w:r w:rsidR="0066235B">
          <w:rPr>
            <w:noProof/>
            <w:webHidden/>
          </w:rPr>
          <w:fldChar w:fldCharType="end"/>
        </w:r>
      </w:hyperlink>
    </w:p>
    <w:p w14:paraId="59264B7B" w14:textId="2ECCE475" w:rsidR="0066235B" w:rsidRDefault="00000000" w:rsidP="0066235B">
      <w:pPr>
        <w:pStyle w:val="TOC1"/>
        <w:rPr>
          <w:rFonts w:eastAsiaTheme="minorEastAsia" w:cstheme="minorBidi"/>
          <w:noProof/>
          <w:kern w:val="2"/>
          <w:sz w:val="22"/>
          <w:szCs w:val="22"/>
          <w:lang w:eastAsia="en-AU"/>
          <w14:ligatures w14:val="standardContextual"/>
        </w:rPr>
      </w:pPr>
      <w:hyperlink w:anchor="_Toc159318968" w:history="1">
        <w:r w:rsidR="0066235B" w:rsidRPr="00D64A34">
          <w:rPr>
            <w:rStyle w:val="Hyperlink"/>
            <w:noProof/>
          </w:rPr>
          <w:t>Alerts</w:t>
        </w:r>
        <w:r w:rsidR="0066235B">
          <w:rPr>
            <w:noProof/>
            <w:webHidden/>
          </w:rPr>
          <w:tab/>
        </w:r>
        <w:r w:rsidR="0066235B">
          <w:rPr>
            <w:noProof/>
            <w:webHidden/>
          </w:rPr>
          <w:fldChar w:fldCharType="begin"/>
        </w:r>
        <w:r w:rsidR="0066235B">
          <w:rPr>
            <w:noProof/>
            <w:webHidden/>
          </w:rPr>
          <w:instrText xml:space="preserve"> PAGEREF _Toc159318968 \h </w:instrText>
        </w:r>
        <w:r w:rsidR="0066235B">
          <w:rPr>
            <w:noProof/>
            <w:webHidden/>
          </w:rPr>
        </w:r>
        <w:r w:rsidR="0066235B">
          <w:rPr>
            <w:noProof/>
            <w:webHidden/>
          </w:rPr>
          <w:fldChar w:fldCharType="separate"/>
        </w:r>
        <w:r w:rsidR="0066235B">
          <w:rPr>
            <w:noProof/>
            <w:webHidden/>
          </w:rPr>
          <w:t>2</w:t>
        </w:r>
        <w:r w:rsidR="0066235B">
          <w:rPr>
            <w:noProof/>
            <w:webHidden/>
          </w:rPr>
          <w:fldChar w:fldCharType="end"/>
        </w:r>
      </w:hyperlink>
    </w:p>
    <w:p w14:paraId="2D2A8534" w14:textId="251702A2" w:rsidR="0066235B" w:rsidRDefault="00000000" w:rsidP="0066235B">
      <w:pPr>
        <w:pStyle w:val="TOC1"/>
        <w:rPr>
          <w:rFonts w:eastAsiaTheme="minorEastAsia" w:cstheme="minorBidi"/>
          <w:noProof/>
          <w:kern w:val="2"/>
          <w:sz w:val="22"/>
          <w:szCs w:val="22"/>
          <w:lang w:eastAsia="en-AU"/>
          <w14:ligatures w14:val="standardContextual"/>
        </w:rPr>
      </w:pPr>
      <w:hyperlink w:anchor="_Toc159318969" w:history="1">
        <w:r w:rsidR="0066235B" w:rsidRPr="00D64A34">
          <w:rPr>
            <w:rStyle w:val="Hyperlink"/>
            <w:noProof/>
          </w:rPr>
          <w:t>Scope</w:t>
        </w:r>
        <w:r w:rsidR="0066235B">
          <w:rPr>
            <w:noProof/>
            <w:webHidden/>
          </w:rPr>
          <w:tab/>
        </w:r>
        <w:r w:rsidR="0066235B">
          <w:rPr>
            <w:noProof/>
            <w:webHidden/>
          </w:rPr>
          <w:fldChar w:fldCharType="begin"/>
        </w:r>
        <w:r w:rsidR="0066235B">
          <w:rPr>
            <w:noProof/>
            <w:webHidden/>
          </w:rPr>
          <w:instrText xml:space="preserve"> PAGEREF _Toc159318969 \h </w:instrText>
        </w:r>
        <w:r w:rsidR="0066235B">
          <w:rPr>
            <w:noProof/>
            <w:webHidden/>
          </w:rPr>
        </w:r>
        <w:r w:rsidR="0066235B">
          <w:rPr>
            <w:noProof/>
            <w:webHidden/>
          </w:rPr>
          <w:fldChar w:fldCharType="separate"/>
        </w:r>
        <w:r w:rsidR="0066235B">
          <w:rPr>
            <w:noProof/>
            <w:webHidden/>
          </w:rPr>
          <w:t>2</w:t>
        </w:r>
        <w:r w:rsidR="0066235B">
          <w:rPr>
            <w:noProof/>
            <w:webHidden/>
          </w:rPr>
          <w:fldChar w:fldCharType="end"/>
        </w:r>
      </w:hyperlink>
    </w:p>
    <w:p w14:paraId="5344D55C" w14:textId="04487F4F" w:rsidR="0066235B" w:rsidRDefault="00000000" w:rsidP="0066235B">
      <w:pPr>
        <w:pStyle w:val="TOC1"/>
        <w:rPr>
          <w:rFonts w:eastAsiaTheme="minorEastAsia" w:cstheme="minorBidi"/>
          <w:noProof/>
          <w:kern w:val="2"/>
          <w:sz w:val="22"/>
          <w:szCs w:val="22"/>
          <w:lang w:eastAsia="en-AU"/>
          <w14:ligatures w14:val="standardContextual"/>
        </w:rPr>
      </w:pPr>
      <w:hyperlink w:anchor="_Toc159318970" w:history="1">
        <w:r w:rsidR="0066235B" w:rsidRPr="00D64A34">
          <w:rPr>
            <w:rStyle w:val="Hyperlink"/>
            <w:noProof/>
          </w:rPr>
          <w:t>Section 1 – Background</w:t>
        </w:r>
        <w:r w:rsidR="0066235B">
          <w:rPr>
            <w:noProof/>
            <w:webHidden/>
          </w:rPr>
          <w:tab/>
        </w:r>
        <w:r w:rsidR="0066235B">
          <w:rPr>
            <w:noProof/>
            <w:webHidden/>
          </w:rPr>
          <w:fldChar w:fldCharType="begin"/>
        </w:r>
        <w:r w:rsidR="0066235B">
          <w:rPr>
            <w:noProof/>
            <w:webHidden/>
          </w:rPr>
          <w:instrText xml:space="preserve"> PAGEREF _Toc159318970 \h </w:instrText>
        </w:r>
        <w:r w:rsidR="0066235B">
          <w:rPr>
            <w:noProof/>
            <w:webHidden/>
          </w:rPr>
        </w:r>
        <w:r w:rsidR="0066235B">
          <w:rPr>
            <w:noProof/>
            <w:webHidden/>
          </w:rPr>
          <w:fldChar w:fldCharType="separate"/>
        </w:r>
        <w:r w:rsidR="0066235B">
          <w:rPr>
            <w:noProof/>
            <w:webHidden/>
          </w:rPr>
          <w:t>2</w:t>
        </w:r>
        <w:r w:rsidR="0066235B">
          <w:rPr>
            <w:noProof/>
            <w:webHidden/>
          </w:rPr>
          <w:fldChar w:fldCharType="end"/>
        </w:r>
      </w:hyperlink>
    </w:p>
    <w:p w14:paraId="12BA107A" w14:textId="4F272A75" w:rsidR="0066235B" w:rsidRDefault="00000000" w:rsidP="0066235B">
      <w:pPr>
        <w:pStyle w:val="TOC1"/>
        <w:rPr>
          <w:rFonts w:eastAsiaTheme="minorEastAsia" w:cstheme="minorBidi"/>
          <w:noProof/>
          <w:kern w:val="2"/>
          <w:sz w:val="22"/>
          <w:szCs w:val="22"/>
          <w:lang w:eastAsia="en-AU"/>
          <w14:ligatures w14:val="standardContextual"/>
        </w:rPr>
      </w:pPr>
      <w:hyperlink w:anchor="_Toc159318971" w:history="1">
        <w:r w:rsidR="0066235B" w:rsidRPr="00D64A34">
          <w:rPr>
            <w:rStyle w:val="Hyperlink"/>
            <w:noProof/>
          </w:rPr>
          <w:t>Section 2 – Clinical indication and considerations</w:t>
        </w:r>
        <w:r w:rsidR="0066235B">
          <w:rPr>
            <w:noProof/>
            <w:webHidden/>
          </w:rPr>
          <w:tab/>
        </w:r>
        <w:r w:rsidR="0066235B">
          <w:rPr>
            <w:noProof/>
            <w:webHidden/>
          </w:rPr>
          <w:fldChar w:fldCharType="begin"/>
        </w:r>
        <w:r w:rsidR="0066235B">
          <w:rPr>
            <w:noProof/>
            <w:webHidden/>
          </w:rPr>
          <w:instrText xml:space="preserve"> PAGEREF _Toc159318971 \h </w:instrText>
        </w:r>
        <w:r w:rsidR="0066235B">
          <w:rPr>
            <w:noProof/>
            <w:webHidden/>
          </w:rPr>
        </w:r>
        <w:r w:rsidR="0066235B">
          <w:rPr>
            <w:noProof/>
            <w:webHidden/>
          </w:rPr>
          <w:fldChar w:fldCharType="separate"/>
        </w:r>
        <w:r w:rsidR="0066235B">
          <w:rPr>
            <w:noProof/>
            <w:webHidden/>
          </w:rPr>
          <w:t>3</w:t>
        </w:r>
        <w:r w:rsidR="0066235B">
          <w:rPr>
            <w:noProof/>
            <w:webHidden/>
          </w:rPr>
          <w:fldChar w:fldCharType="end"/>
        </w:r>
      </w:hyperlink>
    </w:p>
    <w:p w14:paraId="0716DAEF" w14:textId="39D03D9E" w:rsidR="0066235B" w:rsidRDefault="00000000" w:rsidP="0066235B">
      <w:pPr>
        <w:pStyle w:val="TOC1"/>
        <w:rPr>
          <w:rFonts w:eastAsiaTheme="minorEastAsia" w:cstheme="minorBidi"/>
          <w:noProof/>
          <w:kern w:val="2"/>
          <w:sz w:val="22"/>
          <w:szCs w:val="22"/>
          <w:lang w:eastAsia="en-AU"/>
          <w14:ligatures w14:val="standardContextual"/>
        </w:rPr>
      </w:pPr>
      <w:hyperlink w:anchor="_Toc159318972" w:history="1">
        <w:r w:rsidR="0066235B" w:rsidRPr="00D64A34">
          <w:rPr>
            <w:rStyle w:val="Hyperlink"/>
            <w:noProof/>
          </w:rPr>
          <w:t xml:space="preserve">Section 3 – </w:t>
        </w:r>
        <w:r w:rsidR="0066235B" w:rsidRPr="00D64A34">
          <w:rPr>
            <w:rStyle w:val="Hyperlink"/>
            <w:noProof/>
            <w:lang w:eastAsia="en-AU"/>
          </w:rPr>
          <w:t>Presentation and availability of Potassium products at NCH</w:t>
        </w:r>
        <w:r w:rsidR="0066235B">
          <w:rPr>
            <w:noProof/>
            <w:webHidden/>
          </w:rPr>
          <w:tab/>
        </w:r>
        <w:r w:rsidR="0066235B">
          <w:rPr>
            <w:noProof/>
            <w:webHidden/>
          </w:rPr>
          <w:fldChar w:fldCharType="begin"/>
        </w:r>
        <w:r w:rsidR="0066235B">
          <w:rPr>
            <w:noProof/>
            <w:webHidden/>
          </w:rPr>
          <w:instrText xml:space="preserve"> PAGEREF _Toc159318972 \h </w:instrText>
        </w:r>
        <w:r w:rsidR="0066235B">
          <w:rPr>
            <w:noProof/>
            <w:webHidden/>
          </w:rPr>
        </w:r>
        <w:r w:rsidR="0066235B">
          <w:rPr>
            <w:noProof/>
            <w:webHidden/>
          </w:rPr>
          <w:fldChar w:fldCharType="separate"/>
        </w:r>
        <w:r w:rsidR="0066235B">
          <w:rPr>
            <w:noProof/>
            <w:webHidden/>
          </w:rPr>
          <w:t>3</w:t>
        </w:r>
        <w:r w:rsidR="0066235B">
          <w:rPr>
            <w:noProof/>
            <w:webHidden/>
          </w:rPr>
          <w:fldChar w:fldCharType="end"/>
        </w:r>
      </w:hyperlink>
    </w:p>
    <w:p w14:paraId="12D9C8A9" w14:textId="7FBDB6EC" w:rsidR="0066235B" w:rsidRDefault="00000000" w:rsidP="0066235B">
      <w:pPr>
        <w:pStyle w:val="TOC1"/>
        <w:rPr>
          <w:rFonts w:eastAsiaTheme="minorEastAsia" w:cstheme="minorBidi"/>
          <w:noProof/>
          <w:kern w:val="2"/>
          <w:sz w:val="22"/>
          <w:szCs w:val="22"/>
          <w:lang w:eastAsia="en-AU"/>
          <w14:ligatures w14:val="standardContextual"/>
        </w:rPr>
      </w:pPr>
      <w:hyperlink w:anchor="_Toc159318973" w:history="1">
        <w:r w:rsidR="0066235B" w:rsidRPr="00D64A34">
          <w:rPr>
            <w:rStyle w:val="Hyperlink"/>
            <w:noProof/>
          </w:rPr>
          <w:t>Section 4 – Prescribing</w:t>
        </w:r>
        <w:r w:rsidR="0066235B">
          <w:rPr>
            <w:noProof/>
            <w:webHidden/>
          </w:rPr>
          <w:tab/>
        </w:r>
        <w:r w:rsidR="0066235B">
          <w:rPr>
            <w:noProof/>
            <w:webHidden/>
          </w:rPr>
          <w:fldChar w:fldCharType="begin"/>
        </w:r>
        <w:r w:rsidR="0066235B">
          <w:rPr>
            <w:noProof/>
            <w:webHidden/>
          </w:rPr>
          <w:instrText xml:space="preserve"> PAGEREF _Toc159318973 \h </w:instrText>
        </w:r>
        <w:r w:rsidR="0066235B">
          <w:rPr>
            <w:noProof/>
            <w:webHidden/>
          </w:rPr>
        </w:r>
        <w:r w:rsidR="0066235B">
          <w:rPr>
            <w:noProof/>
            <w:webHidden/>
          </w:rPr>
          <w:fldChar w:fldCharType="separate"/>
        </w:r>
        <w:r w:rsidR="0066235B">
          <w:rPr>
            <w:noProof/>
            <w:webHidden/>
          </w:rPr>
          <w:t>4</w:t>
        </w:r>
        <w:r w:rsidR="0066235B">
          <w:rPr>
            <w:noProof/>
            <w:webHidden/>
          </w:rPr>
          <w:fldChar w:fldCharType="end"/>
        </w:r>
      </w:hyperlink>
    </w:p>
    <w:p w14:paraId="47F3B9F6" w14:textId="1C4274CA" w:rsidR="0066235B" w:rsidRDefault="00000000" w:rsidP="0066235B">
      <w:pPr>
        <w:pStyle w:val="TOC1"/>
        <w:rPr>
          <w:rFonts w:eastAsiaTheme="minorEastAsia" w:cstheme="minorBidi"/>
          <w:noProof/>
          <w:kern w:val="2"/>
          <w:sz w:val="22"/>
          <w:szCs w:val="22"/>
          <w:lang w:eastAsia="en-AU"/>
          <w14:ligatures w14:val="standardContextual"/>
        </w:rPr>
      </w:pPr>
      <w:hyperlink w:anchor="_Toc159318974" w:history="1">
        <w:r w:rsidR="0066235B" w:rsidRPr="00D64A34">
          <w:rPr>
            <w:rStyle w:val="Hyperlink"/>
            <w:noProof/>
          </w:rPr>
          <w:t>Section 5 – Administration</w:t>
        </w:r>
        <w:r w:rsidR="0066235B">
          <w:rPr>
            <w:noProof/>
            <w:webHidden/>
          </w:rPr>
          <w:tab/>
        </w:r>
        <w:r w:rsidR="0066235B">
          <w:rPr>
            <w:noProof/>
            <w:webHidden/>
          </w:rPr>
          <w:fldChar w:fldCharType="begin"/>
        </w:r>
        <w:r w:rsidR="0066235B">
          <w:rPr>
            <w:noProof/>
            <w:webHidden/>
          </w:rPr>
          <w:instrText xml:space="preserve"> PAGEREF _Toc159318974 \h </w:instrText>
        </w:r>
        <w:r w:rsidR="0066235B">
          <w:rPr>
            <w:noProof/>
            <w:webHidden/>
          </w:rPr>
        </w:r>
        <w:r w:rsidR="0066235B">
          <w:rPr>
            <w:noProof/>
            <w:webHidden/>
          </w:rPr>
          <w:fldChar w:fldCharType="separate"/>
        </w:r>
        <w:r w:rsidR="0066235B">
          <w:rPr>
            <w:noProof/>
            <w:webHidden/>
          </w:rPr>
          <w:t>5</w:t>
        </w:r>
        <w:r w:rsidR="0066235B">
          <w:rPr>
            <w:noProof/>
            <w:webHidden/>
          </w:rPr>
          <w:fldChar w:fldCharType="end"/>
        </w:r>
      </w:hyperlink>
    </w:p>
    <w:p w14:paraId="6C31DF8A" w14:textId="7DEB1844" w:rsidR="0066235B" w:rsidRDefault="00000000" w:rsidP="0066235B">
      <w:pPr>
        <w:pStyle w:val="TOC1"/>
        <w:rPr>
          <w:rFonts w:eastAsiaTheme="minorEastAsia" w:cstheme="minorBidi"/>
          <w:noProof/>
          <w:kern w:val="2"/>
          <w:sz w:val="22"/>
          <w:szCs w:val="22"/>
          <w:lang w:eastAsia="en-AU"/>
          <w14:ligatures w14:val="standardContextual"/>
        </w:rPr>
      </w:pPr>
      <w:hyperlink w:anchor="_Toc159318975" w:history="1">
        <w:r w:rsidR="0066235B" w:rsidRPr="00D64A34">
          <w:rPr>
            <w:rStyle w:val="Hyperlink"/>
            <w:noProof/>
          </w:rPr>
          <w:t>Related Policies, Procedures, Guidelines and Legislation</w:t>
        </w:r>
        <w:r w:rsidR="0066235B">
          <w:rPr>
            <w:noProof/>
            <w:webHidden/>
          </w:rPr>
          <w:tab/>
        </w:r>
        <w:r w:rsidR="0066235B">
          <w:rPr>
            <w:noProof/>
            <w:webHidden/>
          </w:rPr>
          <w:fldChar w:fldCharType="begin"/>
        </w:r>
        <w:r w:rsidR="0066235B">
          <w:rPr>
            <w:noProof/>
            <w:webHidden/>
          </w:rPr>
          <w:instrText xml:space="preserve"> PAGEREF _Toc159318975 \h </w:instrText>
        </w:r>
        <w:r w:rsidR="0066235B">
          <w:rPr>
            <w:noProof/>
            <w:webHidden/>
          </w:rPr>
        </w:r>
        <w:r w:rsidR="0066235B">
          <w:rPr>
            <w:noProof/>
            <w:webHidden/>
          </w:rPr>
          <w:fldChar w:fldCharType="separate"/>
        </w:r>
        <w:r w:rsidR="0066235B">
          <w:rPr>
            <w:noProof/>
            <w:webHidden/>
          </w:rPr>
          <w:t>5</w:t>
        </w:r>
        <w:r w:rsidR="0066235B">
          <w:rPr>
            <w:noProof/>
            <w:webHidden/>
          </w:rPr>
          <w:fldChar w:fldCharType="end"/>
        </w:r>
      </w:hyperlink>
    </w:p>
    <w:p w14:paraId="5059B4C8" w14:textId="19ECDF02" w:rsidR="0066235B" w:rsidRDefault="00000000" w:rsidP="0066235B">
      <w:pPr>
        <w:pStyle w:val="TOC1"/>
        <w:rPr>
          <w:rFonts w:eastAsiaTheme="minorEastAsia" w:cstheme="minorBidi"/>
          <w:noProof/>
          <w:kern w:val="2"/>
          <w:sz w:val="22"/>
          <w:szCs w:val="22"/>
          <w:lang w:eastAsia="en-AU"/>
          <w14:ligatures w14:val="standardContextual"/>
        </w:rPr>
      </w:pPr>
      <w:hyperlink w:anchor="_Toc159318976" w:history="1">
        <w:r w:rsidR="0066235B" w:rsidRPr="00D64A34">
          <w:rPr>
            <w:rStyle w:val="Hyperlink"/>
            <w:noProof/>
          </w:rPr>
          <w:t>References</w:t>
        </w:r>
        <w:r w:rsidR="0066235B">
          <w:rPr>
            <w:noProof/>
            <w:webHidden/>
          </w:rPr>
          <w:tab/>
        </w:r>
        <w:r w:rsidR="0066235B">
          <w:rPr>
            <w:noProof/>
            <w:webHidden/>
          </w:rPr>
          <w:fldChar w:fldCharType="begin"/>
        </w:r>
        <w:r w:rsidR="0066235B">
          <w:rPr>
            <w:noProof/>
            <w:webHidden/>
          </w:rPr>
          <w:instrText xml:space="preserve"> PAGEREF _Toc159318976 \h </w:instrText>
        </w:r>
        <w:r w:rsidR="0066235B">
          <w:rPr>
            <w:noProof/>
            <w:webHidden/>
          </w:rPr>
        </w:r>
        <w:r w:rsidR="0066235B">
          <w:rPr>
            <w:noProof/>
            <w:webHidden/>
          </w:rPr>
          <w:fldChar w:fldCharType="separate"/>
        </w:r>
        <w:r w:rsidR="0066235B">
          <w:rPr>
            <w:noProof/>
            <w:webHidden/>
          </w:rPr>
          <w:t>6</w:t>
        </w:r>
        <w:r w:rsidR="0066235B">
          <w:rPr>
            <w:noProof/>
            <w:webHidden/>
          </w:rPr>
          <w:fldChar w:fldCharType="end"/>
        </w:r>
      </w:hyperlink>
    </w:p>
    <w:p w14:paraId="1C793C0B" w14:textId="5560BCDB" w:rsidR="0066235B" w:rsidRDefault="00000000" w:rsidP="0066235B">
      <w:pPr>
        <w:pStyle w:val="TOC1"/>
        <w:rPr>
          <w:rFonts w:eastAsiaTheme="minorEastAsia" w:cstheme="minorBidi"/>
          <w:noProof/>
          <w:kern w:val="2"/>
          <w:sz w:val="22"/>
          <w:szCs w:val="22"/>
          <w:lang w:eastAsia="en-AU"/>
          <w14:ligatures w14:val="standardContextual"/>
        </w:rPr>
      </w:pPr>
      <w:hyperlink w:anchor="_Toc159318977" w:history="1">
        <w:r w:rsidR="0066235B" w:rsidRPr="00D64A34">
          <w:rPr>
            <w:rStyle w:val="Hyperlink"/>
            <w:noProof/>
          </w:rPr>
          <w:t>Definition of Terms</w:t>
        </w:r>
        <w:r w:rsidR="0066235B">
          <w:rPr>
            <w:noProof/>
            <w:webHidden/>
          </w:rPr>
          <w:tab/>
        </w:r>
        <w:r w:rsidR="0066235B">
          <w:rPr>
            <w:noProof/>
            <w:webHidden/>
          </w:rPr>
          <w:fldChar w:fldCharType="begin"/>
        </w:r>
        <w:r w:rsidR="0066235B">
          <w:rPr>
            <w:noProof/>
            <w:webHidden/>
          </w:rPr>
          <w:instrText xml:space="preserve"> PAGEREF _Toc159318977 \h </w:instrText>
        </w:r>
        <w:r w:rsidR="0066235B">
          <w:rPr>
            <w:noProof/>
            <w:webHidden/>
          </w:rPr>
        </w:r>
        <w:r w:rsidR="0066235B">
          <w:rPr>
            <w:noProof/>
            <w:webHidden/>
          </w:rPr>
          <w:fldChar w:fldCharType="separate"/>
        </w:r>
        <w:r w:rsidR="0066235B">
          <w:rPr>
            <w:noProof/>
            <w:webHidden/>
          </w:rPr>
          <w:t>6</w:t>
        </w:r>
        <w:r w:rsidR="0066235B">
          <w:rPr>
            <w:noProof/>
            <w:webHidden/>
          </w:rPr>
          <w:fldChar w:fldCharType="end"/>
        </w:r>
      </w:hyperlink>
    </w:p>
    <w:p w14:paraId="72012E3C" w14:textId="534D97BD" w:rsidR="0066235B" w:rsidRDefault="00000000" w:rsidP="0066235B">
      <w:pPr>
        <w:pStyle w:val="TOC1"/>
        <w:rPr>
          <w:rFonts w:eastAsiaTheme="minorEastAsia" w:cstheme="minorBidi"/>
          <w:noProof/>
          <w:kern w:val="2"/>
          <w:sz w:val="22"/>
          <w:szCs w:val="22"/>
          <w:lang w:eastAsia="en-AU"/>
          <w14:ligatures w14:val="standardContextual"/>
        </w:rPr>
      </w:pPr>
      <w:hyperlink w:anchor="_Toc159318978" w:history="1">
        <w:r w:rsidR="0066235B" w:rsidRPr="00D64A34">
          <w:rPr>
            <w:rStyle w:val="Hyperlink"/>
            <w:noProof/>
          </w:rPr>
          <w:t>Search Terms</w:t>
        </w:r>
        <w:r w:rsidR="0066235B">
          <w:rPr>
            <w:noProof/>
            <w:webHidden/>
          </w:rPr>
          <w:tab/>
        </w:r>
        <w:r w:rsidR="0066235B">
          <w:rPr>
            <w:noProof/>
            <w:webHidden/>
          </w:rPr>
          <w:fldChar w:fldCharType="begin"/>
        </w:r>
        <w:r w:rsidR="0066235B">
          <w:rPr>
            <w:noProof/>
            <w:webHidden/>
          </w:rPr>
          <w:instrText xml:space="preserve"> PAGEREF _Toc159318978 \h </w:instrText>
        </w:r>
        <w:r w:rsidR="0066235B">
          <w:rPr>
            <w:noProof/>
            <w:webHidden/>
          </w:rPr>
        </w:r>
        <w:r w:rsidR="0066235B">
          <w:rPr>
            <w:noProof/>
            <w:webHidden/>
          </w:rPr>
          <w:fldChar w:fldCharType="separate"/>
        </w:r>
        <w:r w:rsidR="0066235B">
          <w:rPr>
            <w:noProof/>
            <w:webHidden/>
          </w:rPr>
          <w:t>6</w:t>
        </w:r>
        <w:r w:rsidR="0066235B">
          <w:rPr>
            <w:noProof/>
            <w:webHidden/>
          </w:rPr>
          <w:fldChar w:fldCharType="end"/>
        </w:r>
      </w:hyperlink>
    </w:p>
    <w:p w14:paraId="2F51A861" w14:textId="5152CCAD"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9318967"/>
            <w:r w:rsidRPr="00CD1C0E">
              <w:t>Purpose</w:t>
            </w:r>
            <w:bookmarkEnd w:id="8"/>
            <w:bookmarkEnd w:id="9"/>
          </w:p>
        </w:tc>
      </w:tr>
    </w:tbl>
    <w:p w14:paraId="2F51A866" w14:textId="77777777" w:rsidR="00931B93" w:rsidRDefault="00931B93" w:rsidP="00931B93">
      <w:pPr>
        <w:rPr>
          <w:rFonts w:cs="Arial"/>
          <w:i/>
          <w:szCs w:val="24"/>
        </w:rPr>
      </w:pPr>
    </w:p>
    <w:p w14:paraId="110ADECD" w14:textId="489AEBDD" w:rsidR="00975700" w:rsidRDefault="00BF078E" w:rsidP="00975700">
      <w:pPr>
        <w:rPr>
          <w:rFonts w:asciiTheme="minorHAnsi" w:hAnsiTheme="minorHAnsi"/>
          <w:lang w:eastAsia="en-AU"/>
        </w:rPr>
      </w:pPr>
      <w:r w:rsidRPr="00975700">
        <w:rPr>
          <w:iCs/>
        </w:rPr>
        <w:t xml:space="preserve">The purpose of this procedure is to provide clinicians with information </w:t>
      </w:r>
      <w:r w:rsidR="00764B71">
        <w:rPr>
          <w:iCs/>
        </w:rPr>
        <w:t>on the safe and appropriate</w:t>
      </w:r>
      <w:r w:rsidR="00764B71">
        <w:rPr>
          <w:rFonts w:asciiTheme="minorHAnsi" w:hAnsiTheme="minorHAnsi"/>
          <w:lang w:eastAsia="en-AU"/>
        </w:rPr>
        <w:t xml:space="preserve"> prescribing, dispensing and </w:t>
      </w:r>
      <w:r w:rsidR="00975700" w:rsidRPr="00380CFF">
        <w:rPr>
          <w:rFonts w:asciiTheme="minorHAnsi" w:hAnsiTheme="minorHAnsi"/>
          <w:lang w:eastAsia="en-AU"/>
        </w:rPr>
        <w:t xml:space="preserve">administration of </w:t>
      </w:r>
      <w:r w:rsidR="00975700">
        <w:rPr>
          <w:rFonts w:asciiTheme="minorHAnsi" w:hAnsiTheme="minorHAnsi"/>
          <w:lang w:eastAsia="en-AU"/>
        </w:rPr>
        <w:t>intravenous p</w:t>
      </w:r>
      <w:r w:rsidR="00975700" w:rsidRPr="00380CFF">
        <w:rPr>
          <w:rFonts w:asciiTheme="minorHAnsi" w:hAnsiTheme="minorHAnsi"/>
          <w:lang w:eastAsia="en-AU"/>
        </w:rPr>
        <w:t xml:space="preserve">otassium to </w:t>
      </w:r>
      <w:r w:rsidR="00975700">
        <w:rPr>
          <w:rFonts w:asciiTheme="minorHAnsi" w:hAnsiTheme="minorHAnsi"/>
          <w:lang w:eastAsia="en-AU"/>
        </w:rPr>
        <w:t>a</w:t>
      </w:r>
      <w:r w:rsidR="00975700" w:rsidRPr="00380CFF">
        <w:rPr>
          <w:rFonts w:asciiTheme="minorHAnsi" w:hAnsiTheme="minorHAnsi"/>
          <w:lang w:eastAsia="en-AU"/>
        </w:rPr>
        <w:t xml:space="preserve">dult patients </w:t>
      </w:r>
      <w:r w:rsidR="00975700">
        <w:rPr>
          <w:rFonts w:asciiTheme="minorHAnsi" w:hAnsiTheme="minorHAnsi"/>
          <w:lang w:eastAsia="en-AU"/>
        </w:rPr>
        <w:t>at North Canberra Hospital (NCH).</w:t>
      </w:r>
    </w:p>
    <w:p w14:paraId="2F51A86F" w14:textId="77777777" w:rsidR="007B6904" w:rsidRDefault="007B6904" w:rsidP="00931B93">
      <w:pPr>
        <w:rPr>
          <w:rFonts w:cs="Arial"/>
          <w:szCs w:val="24"/>
        </w:rPr>
      </w:pPr>
    </w:p>
    <w:p w14:paraId="2F51A870" w14:textId="77777777" w:rsidR="009E70F4" w:rsidRPr="00CD1C0E" w:rsidRDefault="00000000"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4AA4B7D0" w:rsidR="0074223E" w:rsidRPr="00CD1C0E" w:rsidRDefault="0074223E" w:rsidP="00F1354A">
            <w:pPr>
              <w:pStyle w:val="Heading1"/>
            </w:pPr>
            <w:bookmarkStart w:id="10" w:name="_Toc389473276"/>
            <w:bookmarkStart w:id="11" w:name="_Toc159318968"/>
            <w:r>
              <w:t>Alerts</w:t>
            </w:r>
            <w:bookmarkEnd w:id="10"/>
            <w:bookmarkEnd w:id="11"/>
            <w:r w:rsidR="00AB50DD">
              <w:t xml:space="preserve"> </w:t>
            </w:r>
          </w:p>
        </w:tc>
      </w:tr>
    </w:tbl>
    <w:p w14:paraId="2F51A873" w14:textId="77777777" w:rsidR="007B6904" w:rsidRDefault="007B6904" w:rsidP="007B6904">
      <w:pPr>
        <w:rPr>
          <w:rFonts w:cs="Arial"/>
          <w:b/>
          <w:szCs w:val="24"/>
        </w:rPr>
      </w:pPr>
    </w:p>
    <w:p w14:paraId="5317F380" w14:textId="54F9FA06" w:rsidR="00975700" w:rsidRPr="00975700" w:rsidRDefault="00975700" w:rsidP="00975700">
      <w:pPr>
        <w:pStyle w:val="NoSpacing"/>
        <w:spacing w:line="276" w:lineRule="auto"/>
        <w:rPr>
          <w:bCs/>
          <w:iCs/>
          <w:sz w:val="24"/>
          <w:szCs w:val="24"/>
          <w:lang w:eastAsia="en-AU"/>
        </w:rPr>
      </w:pPr>
      <w:r w:rsidRPr="00975700">
        <w:rPr>
          <w:sz w:val="24"/>
          <w:szCs w:val="24"/>
        </w:rPr>
        <w:t>For resuscitation use: The exception to this procedure is in the event of a cardiac arrest where the treating physician may order a rapid IV bolus dose of Potassium Chloride.</w:t>
      </w:r>
    </w:p>
    <w:p w14:paraId="2F51A878" w14:textId="77777777" w:rsidR="00DE4E25" w:rsidRDefault="00DE4E25" w:rsidP="007B6904">
      <w:pPr>
        <w:rPr>
          <w:rFonts w:cs="Arial"/>
          <w:b/>
          <w:szCs w:val="24"/>
        </w:rPr>
      </w:pPr>
    </w:p>
    <w:p w14:paraId="2F51A879" w14:textId="77777777" w:rsidR="009E70F4" w:rsidRPr="009121F9" w:rsidRDefault="00000000"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59318969"/>
            <w:r w:rsidRPr="003D2D06">
              <w:t>Scope</w:t>
            </w:r>
            <w:bookmarkEnd w:id="12"/>
            <w:bookmarkEnd w:id="13"/>
          </w:p>
        </w:tc>
      </w:tr>
    </w:tbl>
    <w:p w14:paraId="2F51A87C" w14:textId="77777777" w:rsidR="007B6904" w:rsidRPr="00CD1C0E" w:rsidRDefault="007B6904" w:rsidP="007B6904">
      <w:pPr>
        <w:rPr>
          <w:szCs w:val="24"/>
        </w:rPr>
      </w:pPr>
    </w:p>
    <w:p w14:paraId="2F51A882" w14:textId="0EFC8FFE" w:rsidR="00BF078E" w:rsidRPr="00975700" w:rsidRDefault="00BF078E" w:rsidP="00BF078E">
      <w:pPr>
        <w:outlineLvl w:val="0"/>
        <w:rPr>
          <w:rFonts w:cs="Arial"/>
          <w:iCs/>
          <w:szCs w:val="24"/>
        </w:rPr>
      </w:pPr>
      <w:r w:rsidRPr="00975700">
        <w:rPr>
          <w:rFonts w:cs="Arial"/>
          <w:iCs/>
          <w:szCs w:val="24"/>
        </w:rPr>
        <w:t>This document applies to</w:t>
      </w:r>
      <w:r w:rsidR="00366924" w:rsidRPr="00975700">
        <w:rPr>
          <w:rFonts w:cs="Arial"/>
          <w:iCs/>
          <w:szCs w:val="24"/>
        </w:rPr>
        <w:t xml:space="preserve"> the following</w:t>
      </w:r>
      <w:r w:rsidR="00975700" w:rsidRPr="00975700">
        <w:rPr>
          <w:rFonts w:cs="Arial"/>
          <w:iCs/>
          <w:szCs w:val="24"/>
        </w:rPr>
        <w:t xml:space="preserve"> NCH</w:t>
      </w:r>
      <w:r w:rsidR="00366924" w:rsidRPr="00975700">
        <w:rPr>
          <w:rFonts w:cs="Arial"/>
          <w:iCs/>
          <w:szCs w:val="24"/>
        </w:rPr>
        <w:t xml:space="preserve"> staff working within their scope of practice</w:t>
      </w:r>
      <w:r w:rsidRPr="00975700">
        <w:rPr>
          <w:rFonts w:cs="Arial"/>
          <w:iCs/>
          <w:szCs w:val="24"/>
        </w:rPr>
        <w:t>:</w:t>
      </w:r>
    </w:p>
    <w:p w14:paraId="2F51A883" w14:textId="77777777" w:rsidR="00BF078E" w:rsidRPr="00F14EC1" w:rsidRDefault="00BF078E" w:rsidP="00F14EC1">
      <w:pPr>
        <w:pStyle w:val="ListBullet"/>
      </w:pPr>
      <w:r w:rsidRPr="00F14EC1">
        <w:t>Medical Officers</w:t>
      </w:r>
    </w:p>
    <w:p w14:paraId="2F51A884" w14:textId="22125D32" w:rsidR="00BF078E" w:rsidRDefault="00BF078E" w:rsidP="00F14EC1">
      <w:pPr>
        <w:pStyle w:val="ListBullet"/>
      </w:pPr>
      <w:r w:rsidRPr="00F14EC1">
        <w:t xml:space="preserve">Nurses and Midwives  </w:t>
      </w:r>
    </w:p>
    <w:p w14:paraId="2F51A885" w14:textId="69ECEB32" w:rsidR="00931B93" w:rsidRPr="00F14EC1" w:rsidRDefault="00975700" w:rsidP="00975700">
      <w:pPr>
        <w:pStyle w:val="ListBullet"/>
      </w:pPr>
      <w:r>
        <w:t>Pharmacy staff</w:t>
      </w:r>
      <w:r w:rsidR="00BF078E" w:rsidRPr="00F14EC1">
        <w:t>.</w:t>
      </w:r>
    </w:p>
    <w:p w14:paraId="2F51A886" w14:textId="77777777" w:rsidR="001F2A9B" w:rsidRDefault="001F2A9B" w:rsidP="00F14EC1"/>
    <w:p w14:paraId="2F51A887" w14:textId="77777777" w:rsidR="007B6904" w:rsidRPr="00CD1C0E" w:rsidRDefault="00000000"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060F6D2A" w:rsidR="007B6904" w:rsidRPr="00C76688" w:rsidRDefault="007B6904" w:rsidP="00931B93">
            <w:pPr>
              <w:pStyle w:val="Heading1"/>
            </w:pPr>
            <w:bookmarkStart w:id="14" w:name="_Toc389473278"/>
            <w:bookmarkStart w:id="15" w:name="_Toc159318970"/>
            <w:r w:rsidRPr="00C76688">
              <w:t>Section 1 –</w:t>
            </w:r>
            <w:r>
              <w:t xml:space="preserve"> </w:t>
            </w:r>
            <w:bookmarkEnd w:id="14"/>
            <w:r w:rsidR="00975700">
              <w:t>Background</w:t>
            </w:r>
            <w:bookmarkEnd w:id="15"/>
            <w:r w:rsidR="00975700">
              <w:t xml:space="preserve"> </w:t>
            </w:r>
          </w:p>
        </w:tc>
      </w:tr>
    </w:tbl>
    <w:p w14:paraId="2F51A88A" w14:textId="77777777" w:rsidR="007B6904" w:rsidRPr="00975700" w:rsidRDefault="007B6904" w:rsidP="007B6904">
      <w:pPr>
        <w:outlineLvl w:val="0"/>
        <w:rPr>
          <w:szCs w:val="24"/>
        </w:rPr>
      </w:pPr>
    </w:p>
    <w:p w14:paraId="277B3831" w14:textId="77777777" w:rsidR="008B69E9" w:rsidRDefault="00975700" w:rsidP="00975700">
      <w:pPr>
        <w:pStyle w:val="NoSpacing"/>
        <w:numPr>
          <w:ilvl w:val="0"/>
          <w:numId w:val="13"/>
        </w:numPr>
        <w:spacing w:line="276" w:lineRule="auto"/>
        <w:rPr>
          <w:sz w:val="24"/>
          <w:szCs w:val="24"/>
        </w:rPr>
      </w:pPr>
      <w:r w:rsidRPr="00975700">
        <w:rPr>
          <w:sz w:val="24"/>
          <w:szCs w:val="24"/>
        </w:rPr>
        <w:t>Intravenous potassium is a high-risk medication.</w:t>
      </w:r>
    </w:p>
    <w:p w14:paraId="1C628971" w14:textId="31ABD0EF" w:rsidR="00975700" w:rsidRPr="00975700" w:rsidRDefault="00975700" w:rsidP="00975700">
      <w:pPr>
        <w:pStyle w:val="NoSpacing"/>
        <w:numPr>
          <w:ilvl w:val="0"/>
          <w:numId w:val="13"/>
        </w:numPr>
        <w:spacing w:line="276" w:lineRule="auto"/>
        <w:rPr>
          <w:sz w:val="24"/>
          <w:szCs w:val="24"/>
        </w:rPr>
      </w:pPr>
      <w:r w:rsidRPr="00975700">
        <w:rPr>
          <w:sz w:val="24"/>
          <w:szCs w:val="24"/>
        </w:rPr>
        <w:t xml:space="preserve">The administration of intravenous potassium is a potentially dangerous procedure. </w:t>
      </w:r>
    </w:p>
    <w:p w14:paraId="0B3F70D2" w14:textId="77777777" w:rsidR="00975700" w:rsidRPr="00975700" w:rsidRDefault="00975700" w:rsidP="00975700">
      <w:pPr>
        <w:pStyle w:val="NoSpacing"/>
        <w:numPr>
          <w:ilvl w:val="0"/>
          <w:numId w:val="13"/>
        </w:numPr>
        <w:spacing w:line="276" w:lineRule="auto"/>
        <w:rPr>
          <w:color w:val="000000"/>
          <w:sz w:val="24"/>
          <w:szCs w:val="24"/>
        </w:rPr>
      </w:pPr>
      <w:r w:rsidRPr="00975700">
        <w:rPr>
          <w:color w:val="000000"/>
          <w:sz w:val="24"/>
          <w:szCs w:val="24"/>
        </w:rPr>
        <w:t>Errors in calculation or addition of concentrated potassium solutions to intravenous solutions can result in serious adverse reactions and even death.</w:t>
      </w:r>
    </w:p>
    <w:p w14:paraId="1BD7E7AE" w14:textId="77777777" w:rsidR="00975700" w:rsidRPr="00975700" w:rsidRDefault="00975700" w:rsidP="00975700">
      <w:pPr>
        <w:pStyle w:val="NoSpacing"/>
        <w:numPr>
          <w:ilvl w:val="0"/>
          <w:numId w:val="13"/>
        </w:numPr>
        <w:spacing w:line="276" w:lineRule="auto"/>
        <w:rPr>
          <w:color w:val="000000"/>
          <w:sz w:val="24"/>
          <w:szCs w:val="24"/>
        </w:rPr>
      </w:pPr>
      <w:r w:rsidRPr="00975700">
        <w:rPr>
          <w:color w:val="000000"/>
          <w:sz w:val="24"/>
          <w:szCs w:val="24"/>
        </w:rPr>
        <w:t>Intravenous injection of concentrated potassium can be fatal if administered incorrectly.</w:t>
      </w:r>
    </w:p>
    <w:p w14:paraId="44DFCB50" w14:textId="77777777" w:rsidR="00975700" w:rsidRPr="00975700" w:rsidRDefault="00975700" w:rsidP="00975700">
      <w:pPr>
        <w:pStyle w:val="NoSpacing"/>
        <w:numPr>
          <w:ilvl w:val="0"/>
          <w:numId w:val="13"/>
        </w:numPr>
        <w:spacing w:line="276" w:lineRule="auto"/>
        <w:rPr>
          <w:color w:val="000000"/>
          <w:sz w:val="24"/>
          <w:szCs w:val="24"/>
        </w:rPr>
      </w:pPr>
      <w:r w:rsidRPr="00975700">
        <w:rPr>
          <w:color w:val="000000"/>
          <w:sz w:val="24"/>
          <w:szCs w:val="24"/>
        </w:rPr>
        <w:t>When high concentrations are used, minor divergence from the recommended rate of administration can lead to cardiotoxicity.</w:t>
      </w:r>
    </w:p>
    <w:p w14:paraId="2F51A892" w14:textId="77777777" w:rsidR="007B6904" w:rsidRDefault="007B6904" w:rsidP="007B6904">
      <w:pPr>
        <w:rPr>
          <w:rFonts w:cs="Arial"/>
          <w:i/>
          <w:szCs w:val="24"/>
        </w:rPr>
      </w:pPr>
      <w:r>
        <w:rPr>
          <w:rFonts w:cs="Arial"/>
          <w:i/>
          <w:szCs w:val="24"/>
        </w:rPr>
        <w:t xml:space="preserve"> </w:t>
      </w:r>
    </w:p>
    <w:p w14:paraId="2F51A893" w14:textId="77777777" w:rsidR="007B6904" w:rsidRDefault="0000000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3F237F43" w14:textId="77777777" w:rsidR="00CB2C19" w:rsidRDefault="00CB2C19" w:rsidP="007B6904">
      <w:pPr>
        <w:jc w:val="right"/>
        <w:rPr>
          <w:rFonts w:cs="Arial"/>
          <w:i/>
          <w:szCs w:val="24"/>
        </w:rPr>
      </w:pPr>
    </w:p>
    <w:p w14:paraId="0283B29D" w14:textId="77777777" w:rsidR="00CB2C19" w:rsidRDefault="00CB2C19" w:rsidP="007B6904">
      <w:pPr>
        <w:jc w:val="right"/>
        <w:rPr>
          <w:rFonts w:cs="Arial"/>
          <w:i/>
          <w:szCs w:val="24"/>
        </w:rPr>
      </w:pPr>
    </w:p>
    <w:p w14:paraId="32076B95" w14:textId="77777777" w:rsidR="00CB2C19" w:rsidRDefault="00CB2C19" w:rsidP="007B6904">
      <w:pPr>
        <w:jc w:val="right"/>
        <w:rPr>
          <w:rFonts w:cs="Arial"/>
          <w:i/>
          <w:szCs w:val="24"/>
        </w:rPr>
      </w:pPr>
    </w:p>
    <w:p w14:paraId="5CC42EDC" w14:textId="77777777" w:rsidR="00CB2C19" w:rsidRDefault="00CB2C19" w:rsidP="007B6904">
      <w:pPr>
        <w:jc w:val="right"/>
        <w:rPr>
          <w:rFonts w:cs="Arial"/>
          <w:i/>
          <w:szCs w:val="24"/>
        </w:rPr>
      </w:pP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5970965" w:rsidR="007B6904" w:rsidRPr="00C76688" w:rsidRDefault="007B6904" w:rsidP="004213C3">
            <w:pPr>
              <w:pStyle w:val="Heading1"/>
            </w:pPr>
            <w:bookmarkStart w:id="16" w:name="_Toc389473281"/>
            <w:bookmarkStart w:id="17" w:name="_Toc159318971"/>
            <w:r w:rsidRPr="00C76688">
              <w:lastRenderedPageBreak/>
              <w:t xml:space="preserve">Section 2 – </w:t>
            </w:r>
            <w:r w:rsidR="00975700" w:rsidRPr="00380CFF">
              <w:t>Clinical indication and considerations</w:t>
            </w:r>
            <w:bookmarkEnd w:id="16"/>
            <w:bookmarkEnd w:id="17"/>
          </w:p>
        </w:tc>
      </w:tr>
    </w:tbl>
    <w:p w14:paraId="2F51A897" w14:textId="77777777" w:rsidR="007B6904" w:rsidRDefault="007B6904" w:rsidP="007B6904">
      <w:pPr>
        <w:rPr>
          <w:rFonts w:cs="Arial"/>
          <w:b/>
          <w:szCs w:val="24"/>
        </w:rPr>
      </w:pPr>
    </w:p>
    <w:p w14:paraId="53DB06FB" w14:textId="77777777" w:rsidR="00975700" w:rsidRPr="00975700" w:rsidRDefault="00975700" w:rsidP="00975700">
      <w:pPr>
        <w:pStyle w:val="ListBullet"/>
        <w:numPr>
          <w:ilvl w:val="0"/>
          <w:numId w:val="14"/>
        </w:numPr>
        <w:autoSpaceDE w:val="0"/>
        <w:autoSpaceDN w:val="0"/>
        <w:adjustRightInd w:val="0"/>
        <w:spacing w:line="276" w:lineRule="auto"/>
        <w:rPr>
          <w:rFonts w:asciiTheme="minorHAnsi" w:hAnsiTheme="minorHAnsi"/>
          <w:sz w:val="28"/>
          <w:szCs w:val="22"/>
        </w:rPr>
      </w:pPr>
      <w:r w:rsidRPr="00975700">
        <w:rPr>
          <w:rFonts w:asciiTheme="minorHAnsi" w:hAnsiTheme="minorHAnsi"/>
          <w:szCs w:val="24"/>
        </w:rPr>
        <w:t>Potassium supplements are to be prescribed orally wherever possible because slow absorption via the gastrointestinal tract prevents sudden large increases in plasma potassium concentrations.</w:t>
      </w:r>
    </w:p>
    <w:p w14:paraId="503688A2" w14:textId="77777777" w:rsidR="00975700" w:rsidRDefault="00975700" w:rsidP="00975700">
      <w:pPr>
        <w:pStyle w:val="ListBullet"/>
        <w:numPr>
          <w:ilvl w:val="0"/>
          <w:numId w:val="14"/>
        </w:numPr>
        <w:autoSpaceDE w:val="0"/>
        <w:autoSpaceDN w:val="0"/>
        <w:adjustRightInd w:val="0"/>
        <w:spacing w:line="276" w:lineRule="auto"/>
        <w:rPr>
          <w:rFonts w:ascii="Arial" w:hAnsi="Arial" w:cs="Arial"/>
          <w:sz w:val="28"/>
          <w:szCs w:val="22"/>
        </w:rPr>
      </w:pPr>
      <w:r w:rsidRPr="00975700">
        <w:rPr>
          <w:rFonts w:asciiTheme="minorHAnsi" w:hAnsiTheme="minorHAnsi"/>
          <w:szCs w:val="24"/>
        </w:rPr>
        <w:t xml:space="preserve">Intravenous potassium should only be prescribed if the oral route is unavailable or where oral potassium supplements are unsuitable for the rapid correction of hypokalaemia and maintenance of potassium requirements. </w:t>
      </w:r>
    </w:p>
    <w:p w14:paraId="08394D26" w14:textId="0B4DAFE9" w:rsidR="00975700" w:rsidRPr="00975700" w:rsidRDefault="00975700" w:rsidP="00975700">
      <w:pPr>
        <w:pStyle w:val="ListBullet"/>
        <w:numPr>
          <w:ilvl w:val="0"/>
          <w:numId w:val="14"/>
        </w:numPr>
        <w:autoSpaceDE w:val="0"/>
        <w:autoSpaceDN w:val="0"/>
        <w:adjustRightInd w:val="0"/>
        <w:spacing w:line="276" w:lineRule="auto"/>
        <w:rPr>
          <w:rFonts w:ascii="Arial" w:hAnsi="Arial" w:cs="Arial"/>
          <w:sz w:val="28"/>
          <w:szCs w:val="22"/>
        </w:rPr>
      </w:pPr>
      <w:r w:rsidRPr="00975700">
        <w:rPr>
          <w:rFonts w:asciiTheme="minorHAnsi" w:hAnsiTheme="minorHAnsi"/>
          <w:szCs w:val="24"/>
        </w:rPr>
        <w:t>For further details</w:t>
      </w:r>
      <w:r>
        <w:rPr>
          <w:rFonts w:asciiTheme="minorHAnsi" w:hAnsiTheme="minorHAnsi"/>
          <w:szCs w:val="24"/>
        </w:rPr>
        <w:t xml:space="preserve">, please refer to the NCH Electrolyte Replacement Guidelines. </w:t>
      </w:r>
    </w:p>
    <w:p w14:paraId="2F51A89F" w14:textId="281ED3C4" w:rsidR="007B6904" w:rsidRPr="00931B93" w:rsidRDefault="007B6904" w:rsidP="007B6904">
      <w:pPr>
        <w:rPr>
          <w:rFonts w:cs="Arial"/>
          <w:i/>
          <w:szCs w:val="24"/>
        </w:rPr>
      </w:pPr>
    </w:p>
    <w:p w14:paraId="2F51A8A0" w14:textId="77777777" w:rsidR="007B6904" w:rsidRDefault="0000000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0E502B6E" w:rsidR="007B6904" w:rsidRPr="003D2D06" w:rsidRDefault="00962C46" w:rsidP="004213C3">
            <w:pPr>
              <w:pStyle w:val="Heading1"/>
            </w:pPr>
            <w:bookmarkStart w:id="18" w:name="_Toc389473284"/>
            <w:bookmarkStart w:id="19" w:name="_Toc159318972"/>
            <w:r>
              <w:t xml:space="preserve">Section </w:t>
            </w:r>
            <w:r w:rsidR="00975700">
              <w:t>3</w:t>
            </w:r>
            <w:r w:rsidR="007B6904" w:rsidRPr="003D2D06">
              <w:t xml:space="preserve"> – </w:t>
            </w:r>
            <w:r w:rsidR="00975700" w:rsidRPr="00380CFF">
              <w:rPr>
                <w:rFonts w:asciiTheme="minorHAnsi" w:hAnsiTheme="minorHAnsi"/>
                <w:color w:val="000000"/>
                <w:lang w:eastAsia="en-AU"/>
              </w:rPr>
              <w:t xml:space="preserve">Presentation and availability </w:t>
            </w:r>
            <w:r w:rsidR="00975700">
              <w:rPr>
                <w:rFonts w:asciiTheme="minorHAnsi" w:hAnsiTheme="minorHAnsi"/>
                <w:color w:val="000000"/>
                <w:lang w:eastAsia="en-AU"/>
              </w:rPr>
              <w:t xml:space="preserve">of </w:t>
            </w:r>
            <w:r w:rsidR="00975700" w:rsidRPr="00380CFF">
              <w:rPr>
                <w:rFonts w:asciiTheme="minorHAnsi" w:hAnsiTheme="minorHAnsi"/>
                <w:color w:val="000000"/>
                <w:lang w:eastAsia="en-AU"/>
              </w:rPr>
              <w:t xml:space="preserve">Potassium </w:t>
            </w:r>
            <w:r w:rsidR="00975700">
              <w:rPr>
                <w:rFonts w:asciiTheme="minorHAnsi" w:hAnsiTheme="minorHAnsi"/>
                <w:color w:val="000000"/>
                <w:lang w:eastAsia="en-AU"/>
              </w:rPr>
              <w:t>products</w:t>
            </w:r>
            <w:bookmarkEnd w:id="18"/>
            <w:r w:rsidR="00975700">
              <w:rPr>
                <w:rFonts w:asciiTheme="minorHAnsi" w:hAnsiTheme="minorHAnsi"/>
                <w:color w:val="000000"/>
                <w:lang w:eastAsia="en-AU"/>
              </w:rPr>
              <w:t xml:space="preserve"> at NCH</w:t>
            </w:r>
            <w:bookmarkEnd w:id="19"/>
          </w:p>
        </w:tc>
      </w:tr>
    </w:tbl>
    <w:p w14:paraId="2F51A8A4" w14:textId="77777777" w:rsidR="007B6904" w:rsidRDefault="007B6904" w:rsidP="00975700">
      <w:pPr>
        <w:pStyle w:val="Heading2"/>
      </w:pPr>
    </w:p>
    <w:p w14:paraId="0A62C4E8" w14:textId="77777777" w:rsidR="00975700" w:rsidRPr="00975700" w:rsidRDefault="00975700" w:rsidP="00975700">
      <w:pPr>
        <w:pStyle w:val="NoSpacing"/>
        <w:numPr>
          <w:ilvl w:val="0"/>
          <w:numId w:val="14"/>
        </w:numPr>
        <w:spacing w:line="276" w:lineRule="auto"/>
        <w:rPr>
          <w:sz w:val="24"/>
          <w:szCs w:val="24"/>
        </w:rPr>
      </w:pPr>
      <w:r w:rsidRPr="00975700">
        <w:rPr>
          <w:sz w:val="24"/>
          <w:szCs w:val="24"/>
        </w:rPr>
        <w:t>For all adult patients requiring intravenous potassium replacement, premixed infusion bags of potassium must be used wherever possible (see Table 1 below).</w:t>
      </w:r>
    </w:p>
    <w:p w14:paraId="0A28B008" w14:textId="77777777" w:rsidR="00975700" w:rsidRPr="00975700" w:rsidRDefault="00975700" w:rsidP="00975700">
      <w:pPr>
        <w:pStyle w:val="NoSpacing"/>
        <w:numPr>
          <w:ilvl w:val="0"/>
          <w:numId w:val="14"/>
        </w:numPr>
        <w:spacing w:line="276" w:lineRule="auto"/>
        <w:rPr>
          <w:sz w:val="24"/>
          <w:szCs w:val="24"/>
        </w:rPr>
      </w:pPr>
      <w:r w:rsidRPr="00975700">
        <w:rPr>
          <w:sz w:val="24"/>
          <w:szCs w:val="24"/>
        </w:rPr>
        <w:t xml:space="preserve">Additionally </w:t>
      </w:r>
      <w:proofErr w:type="gramStart"/>
      <w:r w:rsidRPr="00975700">
        <w:rPr>
          <w:sz w:val="24"/>
          <w:szCs w:val="24"/>
        </w:rPr>
        <w:t>potassium  must</w:t>
      </w:r>
      <w:proofErr w:type="gramEnd"/>
      <w:r w:rsidRPr="00975700">
        <w:rPr>
          <w:sz w:val="24"/>
          <w:szCs w:val="24"/>
        </w:rPr>
        <w:t xml:space="preserve"> never be added to a premixed solution as this is associated with serious risks such as: </w:t>
      </w:r>
    </w:p>
    <w:p w14:paraId="55F5DBC7" w14:textId="0518F200" w:rsidR="00975700" w:rsidRPr="00975700" w:rsidRDefault="00975700" w:rsidP="00975700">
      <w:pPr>
        <w:pStyle w:val="NoSpacing"/>
        <w:numPr>
          <w:ilvl w:val="1"/>
          <w:numId w:val="14"/>
        </w:numPr>
        <w:spacing w:line="276" w:lineRule="auto"/>
        <w:rPr>
          <w:b/>
          <w:sz w:val="24"/>
          <w:szCs w:val="24"/>
          <w:lang w:val="en-US"/>
        </w:rPr>
      </w:pPr>
      <w:r w:rsidRPr="00975700">
        <w:rPr>
          <w:sz w:val="24"/>
          <w:szCs w:val="24"/>
        </w:rPr>
        <w:t>errors in calculation of potassium to be added</w:t>
      </w:r>
    </w:p>
    <w:p w14:paraId="53FD35F6" w14:textId="49CD8BA8" w:rsidR="00975700" w:rsidRPr="00975700" w:rsidRDefault="00975700" w:rsidP="00975700">
      <w:pPr>
        <w:pStyle w:val="NoSpacing"/>
        <w:numPr>
          <w:ilvl w:val="1"/>
          <w:numId w:val="14"/>
        </w:numPr>
        <w:spacing w:line="276" w:lineRule="auto"/>
        <w:rPr>
          <w:b/>
          <w:sz w:val="24"/>
          <w:szCs w:val="24"/>
          <w:lang w:val="en-US"/>
        </w:rPr>
      </w:pPr>
      <w:r w:rsidRPr="00975700">
        <w:rPr>
          <w:sz w:val="24"/>
          <w:szCs w:val="24"/>
        </w:rPr>
        <w:t xml:space="preserve">inadequate mixing of the solution leading to administration of concentrated </w:t>
      </w:r>
      <w:proofErr w:type="gramStart"/>
      <w:r w:rsidRPr="00975700">
        <w:rPr>
          <w:sz w:val="24"/>
          <w:szCs w:val="24"/>
        </w:rPr>
        <w:t>potassium  solution</w:t>
      </w:r>
      <w:proofErr w:type="gramEnd"/>
    </w:p>
    <w:p w14:paraId="340C01F3" w14:textId="04F4A167" w:rsidR="00975700" w:rsidRPr="00975700" w:rsidRDefault="00975700" w:rsidP="00975700">
      <w:pPr>
        <w:pStyle w:val="NoSpacing"/>
        <w:numPr>
          <w:ilvl w:val="1"/>
          <w:numId w:val="14"/>
        </w:numPr>
        <w:spacing w:line="276" w:lineRule="auto"/>
        <w:rPr>
          <w:b/>
          <w:sz w:val="24"/>
          <w:szCs w:val="24"/>
          <w:lang w:val="en-US"/>
        </w:rPr>
      </w:pPr>
      <w:r w:rsidRPr="00975700">
        <w:rPr>
          <w:sz w:val="24"/>
          <w:szCs w:val="24"/>
        </w:rPr>
        <w:t xml:space="preserve">inadvertent bolus administration of </w:t>
      </w:r>
      <w:proofErr w:type="gramStart"/>
      <w:r w:rsidRPr="00975700">
        <w:rPr>
          <w:sz w:val="24"/>
          <w:szCs w:val="24"/>
        </w:rPr>
        <w:t>potassium  concentrate</w:t>
      </w:r>
      <w:proofErr w:type="gramEnd"/>
    </w:p>
    <w:p w14:paraId="4BB38A1D" w14:textId="77777777" w:rsidR="00975700" w:rsidRPr="00975700" w:rsidRDefault="00975700" w:rsidP="00975700">
      <w:pPr>
        <w:pStyle w:val="NoSpacing"/>
        <w:numPr>
          <w:ilvl w:val="1"/>
          <w:numId w:val="14"/>
        </w:numPr>
        <w:spacing w:line="276" w:lineRule="auto"/>
        <w:rPr>
          <w:sz w:val="24"/>
          <w:szCs w:val="24"/>
        </w:rPr>
      </w:pPr>
      <w:r w:rsidRPr="00975700">
        <w:rPr>
          <w:sz w:val="24"/>
          <w:szCs w:val="24"/>
        </w:rPr>
        <w:t>Errors in rate of administration.</w:t>
      </w:r>
    </w:p>
    <w:p w14:paraId="41C65546" w14:textId="77777777" w:rsidR="00975700" w:rsidRDefault="00975700" w:rsidP="00975700">
      <w:pPr>
        <w:pStyle w:val="NoSpacing"/>
        <w:spacing w:line="276" w:lineRule="auto"/>
        <w:rPr>
          <w:rFonts w:asciiTheme="minorHAnsi" w:hAnsiTheme="minorHAnsi"/>
        </w:rPr>
      </w:pPr>
    </w:p>
    <w:tbl>
      <w:tblPr>
        <w:tblW w:w="1024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97"/>
        <w:gridCol w:w="1656"/>
        <w:gridCol w:w="1158"/>
        <w:gridCol w:w="686"/>
        <w:gridCol w:w="772"/>
        <w:gridCol w:w="769"/>
        <w:gridCol w:w="942"/>
        <w:gridCol w:w="1295"/>
      </w:tblGrid>
      <w:tr w:rsidR="00975700" w:rsidRPr="008B69E9" w14:paraId="43ABA3FC" w14:textId="77777777" w:rsidTr="00975700">
        <w:trPr>
          <w:trHeight w:val="585"/>
        </w:trPr>
        <w:tc>
          <w:tcPr>
            <w:tcW w:w="5776" w:type="dxa"/>
            <w:gridSpan w:val="4"/>
            <w:shd w:val="clear" w:color="auto" w:fill="A6A6A6" w:themeFill="background1" w:themeFillShade="A6"/>
            <w:vAlign w:val="center"/>
          </w:tcPr>
          <w:p w14:paraId="70C236FE"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 xml:space="preserve">Table 1: Availability of Premixed </w:t>
            </w:r>
            <w:proofErr w:type="gramStart"/>
            <w:r w:rsidRPr="008B69E9">
              <w:rPr>
                <w:b/>
                <w:sz w:val="22"/>
                <w:szCs w:val="22"/>
              </w:rPr>
              <w:t>Potassium  bags</w:t>
            </w:r>
            <w:proofErr w:type="gramEnd"/>
          </w:p>
        </w:tc>
        <w:tc>
          <w:tcPr>
            <w:tcW w:w="4464" w:type="dxa"/>
            <w:gridSpan w:val="5"/>
            <w:shd w:val="clear" w:color="auto" w:fill="A6A6A6" w:themeFill="background1" w:themeFillShade="A6"/>
            <w:vAlign w:val="center"/>
          </w:tcPr>
          <w:p w14:paraId="65C4A2EF"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Locations Available</w:t>
            </w:r>
          </w:p>
        </w:tc>
      </w:tr>
      <w:tr w:rsidR="00975700" w:rsidRPr="008B69E9" w14:paraId="2FDDC750" w14:textId="77777777" w:rsidTr="00975700">
        <w:trPr>
          <w:trHeight w:val="510"/>
        </w:trPr>
        <w:tc>
          <w:tcPr>
            <w:tcW w:w="1565" w:type="dxa"/>
            <w:shd w:val="clear" w:color="auto" w:fill="D9D9D9" w:themeFill="background1" w:themeFillShade="D9"/>
            <w:vAlign w:val="center"/>
          </w:tcPr>
          <w:p w14:paraId="2ABEC960"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Potassium Salt</w:t>
            </w:r>
          </w:p>
        </w:tc>
        <w:tc>
          <w:tcPr>
            <w:tcW w:w="1397" w:type="dxa"/>
            <w:shd w:val="clear" w:color="auto" w:fill="D9D9D9" w:themeFill="background1" w:themeFillShade="D9"/>
            <w:vAlign w:val="center"/>
          </w:tcPr>
          <w:p w14:paraId="74401EA5"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Potassium in bag</w:t>
            </w:r>
          </w:p>
        </w:tc>
        <w:tc>
          <w:tcPr>
            <w:tcW w:w="1656" w:type="dxa"/>
            <w:shd w:val="clear" w:color="auto" w:fill="D9D9D9" w:themeFill="background1" w:themeFillShade="D9"/>
            <w:vAlign w:val="center"/>
          </w:tcPr>
          <w:p w14:paraId="5AE497AD"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Diluent</w:t>
            </w:r>
          </w:p>
        </w:tc>
        <w:tc>
          <w:tcPr>
            <w:tcW w:w="1158" w:type="dxa"/>
            <w:shd w:val="clear" w:color="auto" w:fill="D9D9D9" w:themeFill="background1" w:themeFillShade="D9"/>
            <w:vAlign w:val="center"/>
          </w:tcPr>
          <w:p w14:paraId="0E9BABE1"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Volume</w:t>
            </w:r>
          </w:p>
        </w:tc>
        <w:tc>
          <w:tcPr>
            <w:tcW w:w="686" w:type="dxa"/>
            <w:shd w:val="clear" w:color="auto" w:fill="D9D9D9" w:themeFill="background1" w:themeFillShade="D9"/>
            <w:vAlign w:val="center"/>
          </w:tcPr>
          <w:p w14:paraId="051D9D06"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ED</w:t>
            </w:r>
          </w:p>
        </w:tc>
        <w:tc>
          <w:tcPr>
            <w:tcW w:w="772" w:type="dxa"/>
            <w:shd w:val="clear" w:color="auto" w:fill="D9D9D9" w:themeFill="background1" w:themeFillShade="D9"/>
            <w:vAlign w:val="center"/>
          </w:tcPr>
          <w:p w14:paraId="5C1DB131"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ICU</w:t>
            </w:r>
          </w:p>
        </w:tc>
        <w:tc>
          <w:tcPr>
            <w:tcW w:w="769" w:type="dxa"/>
            <w:shd w:val="clear" w:color="auto" w:fill="D9D9D9" w:themeFill="background1" w:themeFillShade="D9"/>
            <w:vAlign w:val="center"/>
          </w:tcPr>
          <w:p w14:paraId="7A237F9C"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OR</w:t>
            </w:r>
          </w:p>
        </w:tc>
        <w:tc>
          <w:tcPr>
            <w:tcW w:w="942" w:type="dxa"/>
            <w:shd w:val="clear" w:color="auto" w:fill="D9D9D9" w:themeFill="background1" w:themeFillShade="D9"/>
            <w:vAlign w:val="center"/>
          </w:tcPr>
          <w:p w14:paraId="3EE38992"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Wards</w:t>
            </w:r>
            <w:r w:rsidRPr="008B69E9">
              <w:rPr>
                <w:b/>
                <w:sz w:val="22"/>
                <w:szCs w:val="22"/>
                <w:vertAlign w:val="superscript"/>
              </w:rPr>
              <w:t>#</w:t>
            </w:r>
          </w:p>
        </w:tc>
        <w:tc>
          <w:tcPr>
            <w:tcW w:w="1295" w:type="dxa"/>
            <w:shd w:val="clear" w:color="auto" w:fill="D9D9D9" w:themeFill="background1" w:themeFillShade="D9"/>
            <w:vAlign w:val="center"/>
          </w:tcPr>
          <w:p w14:paraId="3A21704B" w14:textId="77777777" w:rsidR="00975700" w:rsidRPr="008B69E9" w:rsidRDefault="00975700" w:rsidP="00D9775C">
            <w:pPr>
              <w:spacing w:before="100" w:beforeAutospacing="1" w:after="100" w:afterAutospacing="1" w:line="276" w:lineRule="auto"/>
              <w:jc w:val="center"/>
              <w:rPr>
                <w:b/>
                <w:sz w:val="22"/>
                <w:szCs w:val="22"/>
              </w:rPr>
            </w:pPr>
            <w:r w:rsidRPr="008B69E9">
              <w:rPr>
                <w:b/>
                <w:sz w:val="22"/>
                <w:szCs w:val="22"/>
              </w:rPr>
              <w:t>Afterhours cupboard</w:t>
            </w:r>
          </w:p>
        </w:tc>
      </w:tr>
      <w:tr w:rsidR="00975700" w:rsidRPr="008B69E9" w14:paraId="5FD9CEE6" w14:textId="77777777" w:rsidTr="00975700">
        <w:trPr>
          <w:trHeight w:val="510"/>
        </w:trPr>
        <w:tc>
          <w:tcPr>
            <w:tcW w:w="1565" w:type="dxa"/>
            <w:vMerge w:val="restart"/>
            <w:vAlign w:val="center"/>
          </w:tcPr>
          <w:p w14:paraId="6A340846"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Potassium Chloride</w:t>
            </w:r>
          </w:p>
        </w:tc>
        <w:tc>
          <w:tcPr>
            <w:tcW w:w="1397" w:type="dxa"/>
            <w:vAlign w:val="center"/>
          </w:tcPr>
          <w:p w14:paraId="692E58D1"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30mmol</w:t>
            </w:r>
          </w:p>
        </w:tc>
        <w:tc>
          <w:tcPr>
            <w:tcW w:w="1656" w:type="dxa"/>
            <w:vAlign w:val="center"/>
          </w:tcPr>
          <w:p w14:paraId="32123FA4"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Sodium Chloride 0.9%</w:t>
            </w:r>
          </w:p>
        </w:tc>
        <w:tc>
          <w:tcPr>
            <w:tcW w:w="1158" w:type="dxa"/>
            <w:vAlign w:val="center"/>
          </w:tcPr>
          <w:p w14:paraId="012037C5"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1000mL</w:t>
            </w:r>
          </w:p>
        </w:tc>
        <w:tc>
          <w:tcPr>
            <w:tcW w:w="686" w:type="dxa"/>
            <w:vAlign w:val="center"/>
          </w:tcPr>
          <w:p w14:paraId="4C083517"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72" w:type="dxa"/>
            <w:vAlign w:val="center"/>
          </w:tcPr>
          <w:p w14:paraId="71E999DB"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69" w:type="dxa"/>
            <w:vAlign w:val="center"/>
          </w:tcPr>
          <w:p w14:paraId="29C05E72"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942" w:type="dxa"/>
            <w:vAlign w:val="center"/>
          </w:tcPr>
          <w:p w14:paraId="53F406DE"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1295" w:type="dxa"/>
            <w:vAlign w:val="center"/>
          </w:tcPr>
          <w:p w14:paraId="53B8491D"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r>
      <w:tr w:rsidR="00975700" w:rsidRPr="008B69E9" w14:paraId="3466CFCA" w14:textId="77777777" w:rsidTr="00975700">
        <w:trPr>
          <w:trHeight w:val="510"/>
        </w:trPr>
        <w:tc>
          <w:tcPr>
            <w:tcW w:w="1565" w:type="dxa"/>
            <w:vMerge/>
            <w:vAlign w:val="center"/>
          </w:tcPr>
          <w:p w14:paraId="41E346F0" w14:textId="77777777" w:rsidR="00975700" w:rsidRPr="008B69E9" w:rsidRDefault="00975700" w:rsidP="00D9775C">
            <w:pPr>
              <w:spacing w:before="100" w:beforeAutospacing="1" w:after="100" w:afterAutospacing="1" w:line="276" w:lineRule="auto"/>
              <w:jc w:val="center"/>
              <w:rPr>
                <w:sz w:val="22"/>
                <w:szCs w:val="22"/>
              </w:rPr>
            </w:pPr>
          </w:p>
        </w:tc>
        <w:tc>
          <w:tcPr>
            <w:tcW w:w="1397" w:type="dxa"/>
            <w:vAlign w:val="center"/>
          </w:tcPr>
          <w:p w14:paraId="472548EB"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30mmol</w:t>
            </w:r>
          </w:p>
        </w:tc>
        <w:tc>
          <w:tcPr>
            <w:tcW w:w="1656" w:type="dxa"/>
            <w:vAlign w:val="center"/>
          </w:tcPr>
          <w:p w14:paraId="7C6B3024"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Glucose 5%</w:t>
            </w:r>
          </w:p>
        </w:tc>
        <w:tc>
          <w:tcPr>
            <w:tcW w:w="1158" w:type="dxa"/>
            <w:vAlign w:val="center"/>
          </w:tcPr>
          <w:p w14:paraId="3722CDF0"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1000mL</w:t>
            </w:r>
          </w:p>
        </w:tc>
        <w:tc>
          <w:tcPr>
            <w:tcW w:w="686" w:type="dxa"/>
            <w:vAlign w:val="center"/>
          </w:tcPr>
          <w:p w14:paraId="4D434994"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772" w:type="dxa"/>
            <w:vAlign w:val="center"/>
          </w:tcPr>
          <w:p w14:paraId="296A80FE"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69" w:type="dxa"/>
            <w:vAlign w:val="center"/>
          </w:tcPr>
          <w:p w14:paraId="75E35C06"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942" w:type="dxa"/>
            <w:vAlign w:val="center"/>
          </w:tcPr>
          <w:p w14:paraId="2E4E4486"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1295" w:type="dxa"/>
            <w:vAlign w:val="center"/>
          </w:tcPr>
          <w:p w14:paraId="0BA7835A"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r>
      <w:tr w:rsidR="00975700" w:rsidRPr="008B69E9" w14:paraId="3C0ABB97" w14:textId="77777777" w:rsidTr="00975700">
        <w:trPr>
          <w:trHeight w:val="510"/>
        </w:trPr>
        <w:tc>
          <w:tcPr>
            <w:tcW w:w="1565" w:type="dxa"/>
            <w:vMerge/>
            <w:vAlign w:val="center"/>
          </w:tcPr>
          <w:p w14:paraId="673E45C8" w14:textId="77777777" w:rsidR="00975700" w:rsidRPr="008B69E9" w:rsidRDefault="00975700" w:rsidP="00D9775C">
            <w:pPr>
              <w:spacing w:before="100" w:beforeAutospacing="1" w:after="100" w:afterAutospacing="1" w:line="276" w:lineRule="auto"/>
              <w:jc w:val="center"/>
              <w:rPr>
                <w:sz w:val="22"/>
                <w:szCs w:val="22"/>
              </w:rPr>
            </w:pPr>
          </w:p>
        </w:tc>
        <w:tc>
          <w:tcPr>
            <w:tcW w:w="1397" w:type="dxa"/>
            <w:vAlign w:val="center"/>
          </w:tcPr>
          <w:p w14:paraId="5B07FBD8"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30mmol</w:t>
            </w:r>
          </w:p>
        </w:tc>
        <w:tc>
          <w:tcPr>
            <w:tcW w:w="1656" w:type="dxa"/>
            <w:vAlign w:val="center"/>
          </w:tcPr>
          <w:p w14:paraId="5C5586C7"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Sodium Chloride 0.18% and Glucose 4%</w:t>
            </w:r>
          </w:p>
        </w:tc>
        <w:tc>
          <w:tcPr>
            <w:tcW w:w="1158" w:type="dxa"/>
            <w:vAlign w:val="center"/>
          </w:tcPr>
          <w:p w14:paraId="58205D0E"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1000mL</w:t>
            </w:r>
          </w:p>
        </w:tc>
        <w:tc>
          <w:tcPr>
            <w:tcW w:w="686" w:type="dxa"/>
            <w:vAlign w:val="center"/>
          </w:tcPr>
          <w:p w14:paraId="6C9EB6FA"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72" w:type="dxa"/>
            <w:vAlign w:val="center"/>
          </w:tcPr>
          <w:p w14:paraId="1FDE8D4F"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69" w:type="dxa"/>
            <w:vAlign w:val="center"/>
          </w:tcPr>
          <w:p w14:paraId="37DFC62C"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942" w:type="dxa"/>
            <w:vAlign w:val="center"/>
          </w:tcPr>
          <w:p w14:paraId="1EC261D9"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1295" w:type="dxa"/>
            <w:vAlign w:val="center"/>
          </w:tcPr>
          <w:p w14:paraId="22308FD6"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r>
      <w:tr w:rsidR="00975700" w:rsidRPr="008B69E9" w14:paraId="3F8C41C0" w14:textId="77777777" w:rsidTr="00975700">
        <w:trPr>
          <w:trHeight w:val="510"/>
        </w:trPr>
        <w:tc>
          <w:tcPr>
            <w:tcW w:w="1565" w:type="dxa"/>
            <w:vMerge/>
            <w:vAlign w:val="center"/>
          </w:tcPr>
          <w:p w14:paraId="02CB6833" w14:textId="77777777" w:rsidR="00975700" w:rsidRPr="008B69E9" w:rsidRDefault="00975700" w:rsidP="00D9775C">
            <w:pPr>
              <w:spacing w:before="100" w:beforeAutospacing="1" w:after="100" w:afterAutospacing="1" w:line="276" w:lineRule="auto"/>
              <w:jc w:val="center"/>
              <w:rPr>
                <w:sz w:val="22"/>
                <w:szCs w:val="22"/>
              </w:rPr>
            </w:pPr>
          </w:p>
        </w:tc>
        <w:tc>
          <w:tcPr>
            <w:tcW w:w="1397" w:type="dxa"/>
            <w:vAlign w:val="center"/>
          </w:tcPr>
          <w:p w14:paraId="506925EC"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30mmol</w:t>
            </w:r>
          </w:p>
        </w:tc>
        <w:tc>
          <w:tcPr>
            <w:tcW w:w="1656" w:type="dxa"/>
            <w:vAlign w:val="center"/>
          </w:tcPr>
          <w:p w14:paraId="6CE0ADD1"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Hartmann’s Solution</w:t>
            </w:r>
          </w:p>
        </w:tc>
        <w:tc>
          <w:tcPr>
            <w:tcW w:w="1158" w:type="dxa"/>
            <w:vAlign w:val="center"/>
          </w:tcPr>
          <w:p w14:paraId="02792F07"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1000mL</w:t>
            </w:r>
          </w:p>
        </w:tc>
        <w:tc>
          <w:tcPr>
            <w:tcW w:w="686" w:type="dxa"/>
            <w:vAlign w:val="center"/>
          </w:tcPr>
          <w:p w14:paraId="7E0DDC02"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772" w:type="dxa"/>
            <w:vAlign w:val="center"/>
          </w:tcPr>
          <w:p w14:paraId="74BE28F8"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69" w:type="dxa"/>
            <w:vAlign w:val="center"/>
          </w:tcPr>
          <w:p w14:paraId="3E36A6C2"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942" w:type="dxa"/>
            <w:vAlign w:val="center"/>
          </w:tcPr>
          <w:p w14:paraId="51A83346"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1295" w:type="dxa"/>
            <w:vAlign w:val="center"/>
          </w:tcPr>
          <w:p w14:paraId="3CC3D341"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r>
      <w:tr w:rsidR="00975700" w:rsidRPr="008B69E9" w14:paraId="6AA7A2F9" w14:textId="77777777" w:rsidTr="00975700">
        <w:trPr>
          <w:trHeight w:val="510"/>
        </w:trPr>
        <w:tc>
          <w:tcPr>
            <w:tcW w:w="1565" w:type="dxa"/>
            <w:vMerge/>
            <w:vAlign w:val="center"/>
          </w:tcPr>
          <w:p w14:paraId="02C33420" w14:textId="77777777" w:rsidR="00975700" w:rsidRPr="008B69E9" w:rsidRDefault="00975700" w:rsidP="00D9775C">
            <w:pPr>
              <w:spacing w:before="100" w:beforeAutospacing="1" w:after="100" w:afterAutospacing="1" w:line="276" w:lineRule="auto"/>
              <w:jc w:val="center"/>
              <w:rPr>
                <w:sz w:val="22"/>
                <w:szCs w:val="22"/>
              </w:rPr>
            </w:pPr>
          </w:p>
        </w:tc>
        <w:tc>
          <w:tcPr>
            <w:tcW w:w="1397" w:type="dxa"/>
            <w:vAlign w:val="center"/>
          </w:tcPr>
          <w:p w14:paraId="15B36D25"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10mmol</w:t>
            </w:r>
          </w:p>
        </w:tc>
        <w:tc>
          <w:tcPr>
            <w:tcW w:w="1656" w:type="dxa"/>
            <w:vAlign w:val="center"/>
          </w:tcPr>
          <w:p w14:paraId="1F6EDCCB"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 xml:space="preserve">Sodium Chloride 0.29% </w:t>
            </w:r>
            <w:r w:rsidRPr="008B69E9">
              <w:rPr>
                <w:sz w:val="22"/>
                <w:szCs w:val="22"/>
              </w:rPr>
              <w:lastRenderedPageBreak/>
              <w:t>(Isotonic Solution)</w:t>
            </w:r>
          </w:p>
        </w:tc>
        <w:tc>
          <w:tcPr>
            <w:tcW w:w="1158" w:type="dxa"/>
            <w:vAlign w:val="center"/>
          </w:tcPr>
          <w:p w14:paraId="7B1912A3"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lastRenderedPageBreak/>
              <w:t>100mL</w:t>
            </w:r>
          </w:p>
        </w:tc>
        <w:tc>
          <w:tcPr>
            <w:tcW w:w="686" w:type="dxa"/>
            <w:vAlign w:val="center"/>
          </w:tcPr>
          <w:p w14:paraId="0BECEE94"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72" w:type="dxa"/>
            <w:vAlign w:val="center"/>
          </w:tcPr>
          <w:p w14:paraId="1B8964E2"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769" w:type="dxa"/>
            <w:vAlign w:val="center"/>
          </w:tcPr>
          <w:p w14:paraId="00EFDFAA"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942" w:type="dxa"/>
            <w:vAlign w:val="center"/>
          </w:tcPr>
          <w:p w14:paraId="0D641AA8"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c>
          <w:tcPr>
            <w:tcW w:w="1295" w:type="dxa"/>
            <w:vAlign w:val="center"/>
          </w:tcPr>
          <w:p w14:paraId="545F64B7"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r>
      <w:tr w:rsidR="00975700" w:rsidRPr="008B69E9" w14:paraId="4FB5AE91" w14:textId="77777777" w:rsidTr="00975700">
        <w:trPr>
          <w:trHeight w:val="510"/>
        </w:trPr>
        <w:tc>
          <w:tcPr>
            <w:tcW w:w="1565" w:type="dxa"/>
            <w:vAlign w:val="center"/>
          </w:tcPr>
          <w:p w14:paraId="3C240E90"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Potassium dihydrogen phosphate*</w:t>
            </w:r>
          </w:p>
        </w:tc>
        <w:tc>
          <w:tcPr>
            <w:tcW w:w="1397" w:type="dxa"/>
            <w:vAlign w:val="center"/>
          </w:tcPr>
          <w:p w14:paraId="4E4F7790"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10mmol</w:t>
            </w:r>
          </w:p>
        </w:tc>
        <w:tc>
          <w:tcPr>
            <w:tcW w:w="1656" w:type="dxa"/>
            <w:vAlign w:val="center"/>
          </w:tcPr>
          <w:p w14:paraId="59AAB391"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Sodium Chloride 0.9%</w:t>
            </w:r>
          </w:p>
        </w:tc>
        <w:tc>
          <w:tcPr>
            <w:tcW w:w="1158" w:type="dxa"/>
            <w:vAlign w:val="center"/>
          </w:tcPr>
          <w:p w14:paraId="04B79CDE"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250mL</w:t>
            </w:r>
          </w:p>
        </w:tc>
        <w:tc>
          <w:tcPr>
            <w:tcW w:w="686" w:type="dxa"/>
            <w:vAlign w:val="center"/>
          </w:tcPr>
          <w:p w14:paraId="1309A64D"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772" w:type="dxa"/>
            <w:vAlign w:val="center"/>
          </w:tcPr>
          <w:p w14:paraId="743D8D8B"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769" w:type="dxa"/>
            <w:vAlign w:val="center"/>
          </w:tcPr>
          <w:p w14:paraId="786C08D3"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942" w:type="dxa"/>
            <w:vAlign w:val="center"/>
          </w:tcPr>
          <w:p w14:paraId="639B8641"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No</w:t>
            </w:r>
          </w:p>
        </w:tc>
        <w:tc>
          <w:tcPr>
            <w:tcW w:w="1295" w:type="dxa"/>
            <w:vAlign w:val="center"/>
          </w:tcPr>
          <w:p w14:paraId="607A5257" w14:textId="77777777" w:rsidR="00975700" w:rsidRPr="008B69E9" w:rsidRDefault="00975700" w:rsidP="00D9775C">
            <w:pPr>
              <w:spacing w:before="100" w:beforeAutospacing="1" w:after="100" w:afterAutospacing="1" w:line="276" w:lineRule="auto"/>
              <w:jc w:val="center"/>
              <w:rPr>
                <w:sz w:val="22"/>
                <w:szCs w:val="22"/>
              </w:rPr>
            </w:pPr>
            <w:r w:rsidRPr="008B69E9">
              <w:rPr>
                <w:sz w:val="22"/>
                <w:szCs w:val="22"/>
              </w:rPr>
              <w:t>Yes</w:t>
            </w:r>
          </w:p>
        </w:tc>
      </w:tr>
    </w:tbl>
    <w:p w14:paraId="07F6DE26" w14:textId="77777777" w:rsidR="00975700" w:rsidRDefault="00975700" w:rsidP="00975700">
      <w:pPr>
        <w:pStyle w:val="NoSpacing"/>
        <w:spacing w:line="276" w:lineRule="auto"/>
        <w:rPr>
          <w:sz w:val="20"/>
          <w:szCs w:val="20"/>
        </w:rPr>
      </w:pPr>
      <w:r>
        <w:rPr>
          <w:sz w:val="4"/>
          <w:szCs w:val="4"/>
        </w:rPr>
        <w:t xml:space="preserve"> </w:t>
      </w:r>
      <w:r>
        <w:rPr>
          <w:sz w:val="20"/>
          <w:szCs w:val="20"/>
        </w:rPr>
        <w:t xml:space="preserve">*Note the standard Potassium dihydrogen phosphate bag contains 10mmol potassium and 10mmol of phosphate. This should be used when both potassium and phosphate </w:t>
      </w:r>
      <w:proofErr w:type="gramStart"/>
      <w:r>
        <w:rPr>
          <w:sz w:val="20"/>
          <w:szCs w:val="20"/>
        </w:rPr>
        <w:t>requires</w:t>
      </w:r>
      <w:proofErr w:type="gramEnd"/>
      <w:r>
        <w:rPr>
          <w:sz w:val="20"/>
          <w:szCs w:val="20"/>
        </w:rPr>
        <w:t xml:space="preserve"> replacement.</w:t>
      </w:r>
    </w:p>
    <w:p w14:paraId="24B519BE" w14:textId="2611490F" w:rsidR="00975700" w:rsidRDefault="00975700" w:rsidP="00975700">
      <w:pPr>
        <w:pStyle w:val="NoSpacing"/>
        <w:spacing w:line="276" w:lineRule="auto"/>
        <w:rPr>
          <w:sz w:val="20"/>
          <w:szCs w:val="20"/>
        </w:rPr>
      </w:pPr>
      <w:r w:rsidRPr="00E71601">
        <w:rPr>
          <w:sz w:val="20"/>
          <w:szCs w:val="20"/>
        </w:rPr>
        <w:t xml:space="preserve"># Wards: </w:t>
      </w:r>
      <w:r>
        <w:rPr>
          <w:sz w:val="20"/>
          <w:szCs w:val="20"/>
        </w:rPr>
        <w:t xml:space="preserve">CCU, </w:t>
      </w:r>
      <w:r w:rsidRPr="00E71601">
        <w:rPr>
          <w:sz w:val="20"/>
          <w:szCs w:val="20"/>
        </w:rPr>
        <w:t>4E, 4W, 5E (MAPU),</w:t>
      </w:r>
      <w:r>
        <w:rPr>
          <w:sz w:val="20"/>
          <w:szCs w:val="20"/>
        </w:rPr>
        <w:t xml:space="preserve"> 6WS. 5WS (Stroke unit) only keeps 10mmol Potassium Chloride in Sodium Chloride 0.29% 100mL (isotonic solution)</w:t>
      </w:r>
    </w:p>
    <w:p w14:paraId="52A961DE" w14:textId="77777777" w:rsidR="00975700" w:rsidRPr="00E71601" w:rsidRDefault="00975700" w:rsidP="00975700">
      <w:pPr>
        <w:pStyle w:val="NoSpacing"/>
        <w:spacing w:line="276" w:lineRule="auto"/>
        <w:ind w:left="318"/>
        <w:rPr>
          <w:sz w:val="16"/>
          <w:szCs w:val="16"/>
        </w:rPr>
      </w:pPr>
    </w:p>
    <w:p w14:paraId="38057E73" w14:textId="3E26B417" w:rsidR="00975700" w:rsidRDefault="00975700" w:rsidP="00975700">
      <w:pPr>
        <w:pStyle w:val="NoSpacing"/>
        <w:numPr>
          <w:ilvl w:val="0"/>
          <w:numId w:val="18"/>
        </w:numPr>
        <w:spacing w:line="276" w:lineRule="auto"/>
        <w:rPr>
          <w:sz w:val="24"/>
          <w:szCs w:val="24"/>
        </w:rPr>
      </w:pPr>
      <w:r w:rsidRPr="00975700">
        <w:rPr>
          <w:sz w:val="24"/>
          <w:szCs w:val="24"/>
        </w:rPr>
        <w:t>The availability of concentrated potassium is restricted to the critical care areas only (see Table 2 below). It must not be stored or issued to other clinical areas</w:t>
      </w:r>
    </w:p>
    <w:p w14:paraId="27672B24" w14:textId="2A47F867" w:rsidR="00975700" w:rsidRPr="00975700" w:rsidRDefault="00975700" w:rsidP="00975700">
      <w:pPr>
        <w:pStyle w:val="NoSpacing"/>
        <w:numPr>
          <w:ilvl w:val="0"/>
          <w:numId w:val="18"/>
        </w:numPr>
        <w:spacing w:line="276" w:lineRule="auto"/>
        <w:rPr>
          <w:sz w:val="24"/>
          <w:szCs w:val="24"/>
        </w:rPr>
      </w:pPr>
      <w:r w:rsidRPr="00975700">
        <w:rPr>
          <w:sz w:val="24"/>
          <w:szCs w:val="24"/>
        </w:rPr>
        <w:t>Concentrated potassium available in the Emergency Department must be stored in a separate lockable facility within the Resuscitation Room and those in the Intensive Care Unit and perioperative areas are in a separate identified tub within the locked medication room</w:t>
      </w:r>
    </w:p>
    <w:p w14:paraId="3BEEDAB2" w14:textId="77777777" w:rsidR="00975700" w:rsidRPr="00BD21B7" w:rsidRDefault="00975700" w:rsidP="00975700">
      <w:pPr>
        <w:pStyle w:val="NoSpacing"/>
        <w:spacing w:line="276" w:lineRule="auto"/>
        <w:rPr>
          <w:rFonts w:asciiTheme="minorHAnsi" w:hAnsiTheme="minorHAnsi"/>
          <w:lang w:eastAsia="en-AU"/>
        </w:rPr>
      </w:pPr>
    </w:p>
    <w:tbl>
      <w:tblPr>
        <w:tblW w:w="1024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728"/>
        <w:gridCol w:w="833"/>
        <w:gridCol w:w="834"/>
        <w:gridCol w:w="942"/>
        <w:gridCol w:w="1295"/>
      </w:tblGrid>
      <w:tr w:rsidR="00975700" w:rsidRPr="008B69E9" w14:paraId="7E16B078" w14:textId="77777777" w:rsidTr="00975700">
        <w:tc>
          <w:tcPr>
            <w:tcW w:w="5608" w:type="dxa"/>
            <w:shd w:val="clear" w:color="auto" w:fill="A6A6A6" w:themeFill="background1" w:themeFillShade="A6"/>
            <w:vAlign w:val="center"/>
          </w:tcPr>
          <w:p w14:paraId="5548B79A" w14:textId="77777777" w:rsidR="00975700" w:rsidRPr="008B69E9" w:rsidRDefault="00975700" w:rsidP="00D9775C">
            <w:pPr>
              <w:spacing w:before="100" w:beforeAutospacing="1" w:after="100" w:afterAutospacing="1" w:line="276" w:lineRule="auto"/>
              <w:rPr>
                <w:b/>
                <w:sz w:val="22"/>
                <w:szCs w:val="18"/>
              </w:rPr>
            </w:pPr>
            <w:r w:rsidRPr="008B69E9">
              <w:rPr>
                <w:b/>
                <w:sz w:val="22"/>
                <w:szCs w:val="18"/>
              </w:rPr>
              <w:t>Table 2: Availability of Concentrated Potassium</w:t>
            </w:r>
          </w:p>
        </w:tc>
        <w:tc>
          <w:tcPr>
            <w:tcW w:w="4632" w:type="dxa"/>
            <w:gridSpan w:val="5"/>
            <w:shd w:val="clear" w:color="auto" w:fill="A6A6A6" w:themeFill="background1" w:themeFillShade="A6"/>
            <w:vAlign w:val="center"/>
          </w:tcPr>
          <w:p w14:paraId="61B88016"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Locations Available</w:t>
            </w:r>
          </w:p>
        </w:tc>
      </w:tr>
      <w:tr w:rsidR="00975700" w:rsidRPr="008B69E9" w14:paraId="4773B7B8" w14:textId="77777777" w:rsidTr="00975700">
        <w:tc>
          <w:tcPr>
            <w:tcW w:w="5608" w:type="dxa"/>
            <w:shd w:val="clear" w:color="auto" w:fill="D9D9D9" w:themeFill="background1" w:themeFillShade="D9"/>
            <w:vAlign w:val="center"/>
          </w:tcPr>
          <w:p w14:paraId="477CDBB0" w14:textId="77777777" w:rsidR="00975700" w:rsidRPr="008B69E9" w:rsidRDefault="00975700" w:rsidP="00D9775C">
            <w:pPr>
              <w:spacing w:before="100" w:beforeAutospacing="1" w:after="100" w:afterAutospacing="1" w:line="276" w:lineRule="auto"/>
              <w:rPr>
                <w:b/>
                <w:sz w:val="22"/>
                <w:szCs w:val="18"/>
              </w:rPr>
            </w:pPr>
            <w:r w:rsidRPr="008B69E9">
              <w:rPr>
                <w:b/>
                <w:sz w:val="22"/>
                <w:szCs w:val="18"/>
              </w:rPr>
              <w:t>Forms available</w:t>
            </w:r>
          </w:p>
        </w:tc>
        <w:tc>
          <w:tcPr>
            <w:tcW w:w="728" w:type="dxa"/>
            <w:shd w:val="clear" w:color="auto" w:fill="D9D9D9" w:themeFill="background1" w:themeFillShade="D9"/>
            <w:vAlign w:val="center"/>
          </w:tcPr>
          <w:p w14:paraId="1C04BE97"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ED</w:t>
            </w:r>
          </w:p>
        </w:tc>
        <w:tc>
          <w:tcPr>
            <w:tcW w:w="833" w:type="dxa"/>
            <w:shd w:val="clear" w:color="auto" w:fill="D9D9D9" w:themeFill="background1" w:themeFillShade="D9"/>
            <w:vAlign w:val="center"/>
          </w:tcPr>
          <w:p w14:paraId="7D105D8D"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ICU</w:t>
            </w:r>
          </w:p>
        </w:tc>
        <w:tc>
          <w:tcPr>
            <w:tcW w:w="834" w:type="dxa"/>
            <w:shd w:val="clear" w:color="auto" w:fill="D9D9D9" w:themeFill="background1" w:themeFillShade="D9"/>
            <w:vAlign w:val="center"/>
          </w:tcPr>
          <w:p w14:paraId="77E1DAFD"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OR</w:t>
            </w:r>
          </w:p>
        </w:tc>
        <w:tc>
          <w:tcPr>
            <w:tcW w:w="942" w:type="dxa"/>
            <w:shd w:val="clear" w:color="auto" w:fill="D9D9D9" w:themeFill="background1" w:themeFillShade="D9"/>
            <w:vAlign w:val="center"/>
          </w:tcPr>
          <w:p w14:paraId="2E9B03FD"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Wards</w:t>
            </w:r>
            <w:r w:rsidRPr="008B69E9">
              <w:rPr>
                <w:b/>
                <w:sz w:val="22"/>
                <w:szCs w:val="18"/>
                <w:vertAlign w:val="superscript"/>
              </w:rPr>
              <w:t>#</w:t>
            </w:r>
          </w:p>
        </w:tc>
        <w:tc>
          <w:tcPr>
            <w:tcW w:w="1295" w:type="dxa"/>
            <w:shd w:val="clear" w:color="auto" w:fill="D9D9D9" w:themeFill="background1" w:themeFillShade="D9"/>
            <w:vAlign w:val="center"/>
          </w:tcPr>
          <w:p w14:paraId="0BF4BFEE" w14:textId="77777777" w:rsidR="00975700" w:rsidRPr="008B69E9" w:rsidRDefault="00975700" w:rsidP="00D9775C">
            <w:pPr>
              <w:spacing w:before="100" w:beforeAutospacing="1" w:after="100" w:afterAutospacing="1" w:line="276" w:lineRule="auto"/>
              <w:jc w:val="center"/>
              <w:rPr>
                <w:b/>
                <w:sz w:val="22"/>
                <w:szCs w:val="18"/>
              </w:rPr>
            </w:pPr>
            <w:r w:rsidRPr="008B69E9">
              <w:rPr>
                <w:b/>
                <w:sz w:val="22"/>
                <w:szCs w:val="18"/>
              </w:rPr>
              <w:t>Afterhours cupboard</w:t>
            </w:r>
          </w:p>
        </w:tc>
      </w:tr>
      <w:tr w:rsidR="00975700" w:rsidRPr="008B69E9" w14:paraId="4673DB6C" w14:textId="77777777" w:rsidTr="00975700">
        <w:tc>
          <w:tcPr>
            <w:tcW w:w="5608" w:type="dxa"/>
            <w:vAlign w:val="center"/>
          </w:tcPr>
          <w:p w14:paraId="3D5BF8C4" w14:textId="77777777" w:rsidR="00975700" w:rsidRPr="008B69E9" w:rsidRDefault="00975700" w:rsidP="00D9775C">
            <w:pPr>
              <w:spacing w:before="100" w:beforeAutospacing="1" w:after="100" w:afterAutospacing="1" w:line="276" w:lineRule="auto"/>
              <w:rPr>
                <w:sz w:val="22"/>
                <w:szCs w:val="18"/>
              </w:rPr>
            </w:pPr>
            <w:r w:rsidRPr="008B69E9">
              <w:rPr>
                <w:sz w:val="22"/>
                <w:szCs w:val="18"/>
              </w:rPr>
              <w:t xml:space="preserve">Potassium Chloride 10mmol/10mL ampoules </w:t>
            </w:r>
          </w:p>
        </w:tc>
        <w:tc>
          <w:tcPr>
            <w:tcW w:w="728" w:type="dxa"/>
            <w:vAlign w:val="center"/>
          </w:tcPr>
          <w:p w14:paraId="0C6358C3"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Yes</w:t>
            </w:r>
          </w:p>
        </w:tc>
        <w:tc>
          <w:tcPr>
            <w:tcW w:w="833" w:type="dxa"/>
            <w:vAlign w:val="center"/>
          </w:tcPr>
          <w:p w14:paraId="5A50F759"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Yes</w:t>
            </w:r>
          </w:p>
        </w:tc>
        <w:tc>
          <w:tcPr>
            <w:tcW w:w="834" w:type="dxa"/>
            <w:vAlign w:val="center"/>
          </w:tcPr>
          <w:p w14:paraId="6F2DE83F"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Yes</w:t>
            </w:r>
          </w:p>
        </w:tc>
        <w:tc>
          <w:tcPr>
            <w:tcW w:w="942" w:type="dxa"/>
            <w:vAlign w:val="center"/>
          </w:tcPr>
          <w:p w14:paraId="4F33ADB3"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1295" w:type="dxa"/>
            <w:vAlign w:val="center"/>
          </w:tcPr>
          <w:p w14:paraId="0C9B8CC3"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No</w:t>
            </w:r>
          </w:p>
        </w:tc>
      </w:tr>
      <w:tr w:rsidR="00975700" w:rsidRPr="008B69E9" w14:paraId="00CED6F4" w14:textId="77777777" w:rsidTr="00975700">
        <w:tc>
          <w:tcPr>
            <w:tcW w:w="5608" w:type="dxa"/>
            <w:vAlign w:val="center"/>
          </w:tcPr>
          <w:p w14:paraId="65B59C1E" w14:textId="77777777" w:rsidR="00975700" w:rsidRPr="008B69E9" w:rsidRDefault="00975700" w:rsidP="00D9775C">
            <w:pPr>
              <w:spacing w:before="100" w:beforeAutospacing="1" w:after="100" w:afterAutospacing="1" w:line="276" w:lineRule="auto"/>
              <w:rPr>
                <w:sz w:val="22"/>
                <w:szCs w:val="18"/>
              </w:rPr>
            </w:pPr>
            <w:r w:rsidRPr="008B69E9">
              <w:rPr>
                <w:sz w:val="22"/>
                <w:szCs w:val="18"/>
              </w:rPr>
              <w:t>Potassium Dihydrogen Phosphate 10mmol/10ml vials</w:t>
            </w:r>
          </w:p>
        </w:tc>
        <w:tc>
          <w:tcPr>
            <w:tcW w:w="728" w:type="dxa"/>
            <w:vAlign w:val="center"/>
          </w:tcPr>
          <w:p w14:paraId="03331B98"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833" w:type="dxa"/>
            <w:vAlign w:val="center"/>
          </w:tcPr>
          <w:p w14:paraId="5AB650E3"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Yes</w:t>
            </w:r>
          </w:p>
        </w:tc>
        <w:tc>
          <w:tcPr>
            <w:tcW w:w="834" w:type="dxa"/>
            <w:vAlign w:val="center"/>
          </w:tcPr>
          <w:p w14:paraId="1F49F6ED"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942" w:type="dxa"/>
            <w:vAlign w:val="center"/>
          </w:tcPr>
          <w:p w14:paraId="7392A023"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1295" w:type="dxa"/>
            <w:vAlign w:val="center"/>
          </w:tcPr>
          <w:p w14:paraId="5B1647D7" w14:textId="77777777" w:rsidR="00975700" w:rsidRPr="008B69E9" w:rsidRDefault="00975700" w:rsidP="00D9775C">
            <w:pPr>
              <w:spacing w:before="100" w:beforeAutospacing="1" w:after="100" w:afterAutospacing="1" w:line="276" w:lineRule="auto"/>
              <w:jc w:val="center"/>
              <w:rPr>
                <w:color w:val="FF0000"/>
                <w:sz w:val="22"/>
                <w:szCs w:val="18"/>
              </w:rPr>
            </w:pPr>
            <w:r w:rsidRPr="008B69E9">
              <w:rPr>
                <w:sz w:val="22"/>
                <w:szCs w:val="18"/>
              </w:rPr>
              <w:t>No</w:t>
            </w:r>
          </w:p>
        </w:tc>
      </w:tr>
      <w:tr w:rsidR="00975700" w:rsidRPr="008B69E9" w14:paraId="3EFBEC73" w14:textId="77777777" w:rsidTr="00975700">
        <w:tc>
          <w:tcPr>
            <w:tcW w:w="5608" w:type="dxa"/>
            <w:vAlign w:val="center"/>
          </w:tcPr>
          <w:p w14:paraId="1A190BEF" w14:textId="77777777" w:rsidR="00975700" w:rsidRPr="008B69E9" w:rsidRDefault="00975700" w:rsidP="00D9775C">
            <w:pPr>
              <w:spacing w:before="100" w:beforeAutospacing="1" w:after="100" w:afterAutospacing="1" w:line="276" w:lineRule="auto"/>
              <w:rPr>
                <w:sz w:val="22"/>
                <w:szCs w:val="18"/>
              </w:rPr>
            </w:pPr>
            <w:r w:rsidRPr="008B69E9">
              <w:rPr>
                <w:sz w:val="22"/>
                <w:szCs w:val="18"/>
              </w:rPr>
              <w:t>Potassium Acetate 2.45g/mL ampoules</w:t>
            </w:r>
          </w:p>
        </w:tc>
        <w:tc>
          <w:tcPr>
            <w:tcW w:w="728" w:type="dxa"/>
            <w:vAlign w:val="center"/>
          </w:tcPr>
          <w:p w14:paraId="4DEB99A1"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833" w:type="dxa"/>
            <w:vAlign w:val="center"/>
          </w:tcPr>
          <w:p w14:paraId="6271979B"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Yes</w:t>
            </w:r>
          </w:p>
        </w:tc>
        <w:tc>
          <w:tcPr>
            <w:tcW w:w="834" w:type="dxa"/>
            <w:vAlign w:val="center"/>
          </w:tcPr>
          <w:p w14:paraId="3AD1FCDC"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942" w:type="dxa"/>
            <w:vAlign w:val="center"/>
          </w:tcPr>
          <w:p w14:paraId="24DE5ED0"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c>
          <w:tcPr>
            <w:tcW w:w="1295" w:type="dxa"/>
            <w:vAlign w:val="center"/>
          </w:tcPr>
          <w:p w14:paraId="01E811B5" w14:textId="77777777" w:rsidR="00975700" w:rsidRPr="008B69E9" w:rsidRDefault="00975700" w:rsidP="00D9775C">
            <w:pPr>
              <w:spacing w:before="100" w:beforeAutospacing="1" w:after="100" w:afterAutospacing="1" w:line="276" w:lineRule="auto"/>
              <w:jc w:val="center"/>
              <w:rPr>
                <w:sz w:val="22"/>
                <w:szCs w:val="18"/>
              </w:rPr>
            </w:pPr>
            <w:r w:rsidRPr="008B69E9">
              <w:rPr>
                <w:sz w:val="22"/>
                <w:szCs w:val="18"/>
              </w:rPr>
              <w:t>No</w:t>
            </w:r>
          </w:p>
        </w:tc>
      </w:tr>
    </w:tbl>
    <w:p w14:paraId="61AACB40" w14:textId="77777777" w:rsidR="00975700" w:rsidRDefault="00975700" w:rsidP="00975700">
      <w:pPr>
        <w:pStyle w:val="NoSpacing"/>
        <w:spacing w:line="276" w:lineRule="auto"/>
        <w:ind w:left="318"/>
        <w:rPr>
          <w:sz w:val="4"/>
          <w:szCs w:val="4"/>
        </w:rPr>
      </w:pPr>
    </w:p>
    <w:p w14:paraId="70442E10" w14:textId="77777777" w:rsidR="00975700" w:rsidRDefault="00975700" w:rsidP="00975700">
      <w:pPr>
        <w:pStyle w:val="NoSpacing"/>
        <w:spacing w:line="276" w:lineRule="auto"/>
        <w:ind w:left="318"/>
        <w:rPr>
          <w:sz w:val="4"/>
          <w:szCs w:val="4"/>
        </w:rPr>
      </w:pPr>
    </w:p>
    <w:p w14:paraId="2F51A8AC" w14:textId="77777777" w:rsidR="007B6904" w:rsidRDefault="007B6904" w:rsidP="007B6904">
      <w:pPr>
        <w:rPr>
          <w:rFonts w:cs="Arial"/>
          <w:b/>
          <w:szCs w:val="24"/>
        </w:rPr>
      </w:pPr>
    </w:p>
    <w:p w14:paraId="2F51A8AD" w14:textId="77777777" w:rsidR="007B6904" w:rsidRDefault="0000000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4D41318F" w14:textId="77777777" w:rsidR="00975700" w:rsidRDefault="00975700" w:rsidP="008B69E9">
      <w:pPr>
        <w:rPr>
          <w:rFonts w:cs="Arial"/>
          <w:b/>
          <w:szCs w:val="24"/>
        </w:rPr>
      </w:pPr>
    </w:p>
    <w:p w14:paraId="59172C16" w14:textId="77777777" w:rsidR="00975700" w:rsidRDefault="00975700" w:rsidP="00975700">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975700" w:rsidRPr="00CD1C0E" w14:paraId="38A8B4E1" w14:textId="77777777" w:rsidTr="00D9775C">
        <w:trPr>
          <w:cantSplit/>
          <w:trHeight w:val="285"/>
        </w:trPr>
        <w:tc>
          <w:tcPr>
            <w:tcW w:w="9158" w:type="dxa"/>
            <w:shd w:val="clear" w:color="auto" w:fill="A6A6A6" w:themeFill="background1" w:themeFillShade="A6"/>
          </w:tcPr>
          <w:p w14:paraId="690324D3" w14:textId="7D9C3A12" w:rsidR="00975700" w:rsidRPr="00CD1C0E" w:rsidRDefault="00975700" w:rsidP="00D9775C">
            <w:pPr>
              <w:pStyle w:val="Heading1"/>
              <w:tabs>
                <w:tab w:val="left" w:pos="1953"/>
              </w:tabs>
            </w:pPr>
            <w:bookmarkStart w:id="20" w:name="_Toc159318973"/>
            <w:r>
              <w:t xml:space="preserve">Section 4 – </w:t>
            </w:r>
            <w:proofErr w:type="gramStart"/>
            <w:r>
              <w:t>Prescribing</w:t>
            </w:r>
            <w:bookmarkEnd w:id="20"/>
            <w:r>
              <w:t xml:space="preserve">  </w:t>
            </w:r>
            <w:r>
              <w:tab/>
            </w:r>
            <w:proofErr w:type="gramEnd"/>
          </w:p>
        </w:tc>
      </w:tr>
    </w:tbl>
    <w:p w14:paraId="0F4A4B61" w14:textId="77777777" w:rsidR="00975700" w:rsidRDefault="00975700" w:rsidP="00975700">
      <w:pPr>
        <w:rPr>
          <w:rFonts w:cs="Arial"/>
          <w:b/>
          <w:szCs w:val="24"/>
        </w:rPr>
      </w:pPr>
    </w:p>
    <w:p w14:paraId="66E66A20" w14:textId="1A49C77B" w:rsidR="008A2525" w:rsidRDefault="008A2525" w:rsidP="008A2525">
      <w:pPr>
        <w:pBdr>
          <w:top w:val="single" w:sz="4" w:space="1" w:color="auto"/>
          <w:left w:val="single" w:sz="4" w:space="4" w:color="auto"/>
          <w:bottom w:val="single" w:sz="4" w:space="1" w:color="auto"/>
          <w:right w:val="single" w:sz="4" w:space="4" w:color="auto"/>
        </w:pBdr>
        <w:rPr>
          <w:rFonts w:cs="Arial"/>
          <w:b/>
          <w:szCs w:val="24"/>
        </w:rPr>
      </w:pPr>
      <w:r>
        <w:rPr>
          <w:rFonts w:cs="Arial"/>
          <w:b/>
          <w:szCs w:val="24"/>
        </w:rPr>
        <w:t>Notes:</w:t>
      </w:r>
    </w:p>
    <w:p w14:paraId="065F6ABF" w14:textId="77777777" w:rsidR="008A2525" w:rsidRDefault="00975700" w:rsidP="008A2525">
      <w:pPr>
        <w:pStyle w:val="ListBullet"/>
        <w:numPr>
          <w:ilvl w:val="0"/>
          <w:numId w:val="0"/>
        </w:num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heme="minorHAnsi" w:hAnsiTheme="minorHAnsi"/>
        </w:rPr>
      </w:pPr>
      <w:r w:rsidRPr="4512DE6C">
        <w:rPr>
          <w:rFonts w:asciiTheme="minorHAnsi" w:hAnsiTheme="minorHAnsi"/>
        </w:rPr>
        <w:t>The intravenous dose of potassium must be prescribed in millimoles (mmol).</w:t>
      </w:r>
      <w:r w:rsidR="008A2525" w:rsidRPr="008A2525">
        <w:rPr>
          <w:rFonts w:asciiTheme="minorHAnsi" w:hAnsiTheme="minorHAnsi"/>
        </w:rPr>
        <w:t xml:space="preserve"> </w:t>
      </w:r>
    </w:p>
    <w:p w14:paraId="04E297F5" w14:textId="4DAF8F53" w:rsidR="00975700" w:rsidRDefault="008A2525" w:rsidP="008A2525">
      <w:pPr>
        <w:pStyle w:val="ListBullet"/>
        <w:numPr>
          <w:ilvl w:val="0"/>
          <w:numId w:val="0"/>
        </w:num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heme="minorHAnsi" w:hAnsiTheme="minorHAnsi"/>
        </w:rPr>
      </w:pPr>
      <w:r w:rsidRPr="4512DE6C">
        <w:rPr>
          <w:rFonts w:asciiTheme="minorHAnsi" w:hAnsiTheme="minorHAnsi"/>
        </w:rPr>
        <w:t>Intravenous potassium must not be abbreviated as ‘Potassium’ or ‘</w:t>
      </w:r>
      <w:proofErr w:type="spellStart"/>
      <w:r w:rsidRPr="4512DE6C">
        <w:rPr>
          <w:rFonts w:asciiTheme="minorHAnsi" w:hAnsiTheme="minorHAnsi"/>
        </w:rPr>
        <w:t>KCl</w:t>
      </w:r>
      <w:proofErr w:type="spellEnd"/>
      <w:r w:rsidRPr="4512DE6C">
        <w:rPr>
          <w:rFonts w:asciiTheme="minorHAnsi" w:hAnsiTheme="minorHAnsi"/>
        </w:rPr>
        <w:t>’ or “KH</w:t>
      </w:r>
      <w:r w:rsidRPr="4512DE6C">
        <w:rPr>
          <w:rFonts w:asciiTheme="minorHAnsi" w:hAnsiTheme="minorHAnsi"/>
          <w:vertAlign w:val="subscript"/>
        </w:rPr>
        <w:t>2</w:t>
      </w:r>
      <w:r w:rsidRPr="4512DE6C">
        <w:rPr>
          <w:rFonts w:asciiTheme="minorHAnsi" w:hAnsiTheme="minorHAnsi"/>
        </w:rPr>
        <w:t>PO</w:t>
      </w:r>
      <w:r w:rsidRPr="4512DE6C">
        <w:rPr>
          <w:rFonts w:asciiTheme="minorHAnsi" w:hAnsiTheme="minorHAnsi"/>
          <w:vertAlign w:val="subscript"/>
        </w:rPr>
        <w:t>4</w:t>
      </w:r>
      <w:r w:rsidRPr="4512DE6C">
        <w:rPr>
          <w:rFonts w:asciiTheme="minorHAnsi" w:hAnsiTheme="minorHAnsi"/>
        </w:rPr>
        <w:t>”. The order must be prescribed in full i.e. ‘Potassium Chloride’ or ‘Potassium Dihydrogen Phosphate’</w:t>
      </w:r>
      <w:r>
        <w:rPr>
          <w:rFonts w:asciiTheme="minorHAnsi" w:hAnsiTheme="minorHAnsi"/>
        </w:rPr>
        <w:t>.</w:t>
      </w:r>
    </w:p>
    <w:p w14:paraId="026BF93C" w14:textId="29A71EB3" w:rsidR="008A2525" w:rsidRPr="00975700" w:rsidRDefault="008A2525" w:rsidP="008A2525">
      <w:pPr>
        <w:pStyle w:val="ListBullet"/>
        <w:numPr>
          <w:ilvl w:val="0"/>
          <w:numId w:val="0"/>
        </w:num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heme="minorHAnsi" w:hAnsiTheme="minorHAnsi"/>
        </w:rPr>
      </w:pPr>
      <w:r w:rsidRPr="4512DE6C">
        <w:rPr>
          <w:rFonts w:asciiTheme="minorHAnsi" w:hAnsiTheme="minorHAnsi"/>
        </w:rPr>
        <w:t>Additional drugs or electrolytes including potassium must not be added to the premixed bags</w:t>
      </w:r>
      <w:r>
        <w:rPr>
          <w:rFonts w:asciiTheme="minorHAnsi" w:hAnsiTheme="minorHAnsi"/>
        </w:rPr>
        <w:t>.</w:t>
      </w:r>
    </w:p>
    <w:p w14:paraId="17A2EED8" w14:textId="7FFFF760" w:rsidR="00975700" w:rsidRPr="00975700" w:rsidRDefault="00975700" w:rsidP="4512DE6C">
      <w:pPr>
        <w:pStyle w:val="Default"/>
        <w:numPr>
          <w:ilvl w:val="0"/>
          <w:numId w:val="14"/>
        </w:numPr>
        <w:spacing w:line="276" w:lineRule="auto"/>
        <w:rPr>
          <w:rFonts w:asciiTheme="minorHAnsi" w:hAnsiTheme="minorHAnsi"/>
          <w:color w:val="auto"/>
        </w:rPr>
      </w:pPr>
      <w:r w:rsidRPr="4512DE6C">
        <w:rPr>
          <w:rFonts w:asciiTheme="minorHAnsi" w:hAnsiTheme="minorHAnsi"/>
          <w:color w:val="auto"/>
        </w:rPr>
        <w:t xml:space="preserve">Premixed bags listed in section 3 (Table 1) should be always prescribed wherever possible. </w:t>
      </w:r>
    </w:p>
    <w:p w14:paraId="60B19A60" w14:textId="31687310" w:rsidR="00975700" w:rsidRPr="00975700" w:rsidRDefault="00975700" w:rsidP="00975700">
      <w:pPr>
        <w:pStyle w:val="NoSpacing"/>
        <w:numPr>
          <w:ilvl w:val="0"/>
          <w:numId w:val="14"/>
        </w:numPr>
        <w:spacing w:line="276" w:lineRule="auto"/>
        <w:rPr>
          <w:b/>
          <w:sz w:val="24"/>
          <w:szCs w:val="24"/>
        </w:rPr>
      </w:pPr>
      <w:r w:rsidRPr="00975700">
        <w:rPr>
          <w:rFonts w:asciiTheme="minorHAnsi" w:hAnsiTheme="minorHAnsi"/>
          <w:sz w:val="24"/>
          <w:szCs w:val="24"/>
        </w:rPr>
        <w:t>The maximum rate of administration must not exceed 10mmol/hour, with the exception in critical care areas</w:t>
      </w:r>
      <w:r w:rsidRPr="00975700">
        <w:rPr>
          <w:rFonts w:asciiTheme="minorHAnsi" w:hAnsiTheme="minorHAnsi"/>
          <w:i/>
          <w:sz w:val="24"/>
          <w:szCs w:val="24"/>
        </w:rPr>
        <w:t xml:space="preserve">. </w:t>
      </w:r>
    </w:p>
    <w:p w14:paraId="187C40C6" w14:textId="2A77A248" w:rsidR="00975700" w:rsidRPr="00975700" w:rsidRDefault="00975700" w:rsidP="00975700">
      <w:pPr>
        <w:pStyle w:val="Default"/>
        <w:numPr>
          <w:ilvl w:val="0"/>
          <w:numId w:val="14"/>
        </w:numPr>
        <w:spacing w:line="276" w:lineRule="auto"/>
        <w:rPr>
          <w:rFonts w:asciiTheme="minorHAnsi" w:hAnsiTheme="minorHAnsi"/>
        </w:rPr>
      </w:pPr>
      <w:r w:rsidRPr="00975700">
        <w:rPr>
          <w:rFonts w:asciiTheme="minorHAnsi" w:hAnsiTheme="minorHAnsi"/>
          <w:color w:val="auto"/>
        </w:rPr>
        <w:lastRenderedPageBreak/>
        <w:t xml:space="preserve">The potassium </w:t>
      </w:r>
      <w:r w:rsidRPr="00975700">
        <w:rPr>
          <w:rFonts w:asciiTheme="minorHAnsi" w:hAnsiTheme="minorHAnsi"/>
        </w:rPr>
        <w:t xml:space="preserve">dose, infusion fluid, infusion volume, administration rate and route must be clearly specified </w:t>
      </w:r>
      <w:r w:rsidR="00A55668">
        <w:rPr>
          <w:rFonts w:asciiTheme="minorHAnsi" w:hAnsiTheme="minorHAnsi"/>
        </w:rPr>
        <w:t>in the order in</w:t>
      </w:r>
      <w:r w:rsidR="008A2525">
        <w:rPr>
          <w:rFonts w:asciiTheme="minorHAnsi" w:hAnsiTheme="minorHAnsi"/>
        </w:rPr>
        <w:t xml:space="preserve"> </w:t>
      </w:r>
      <w:r w:rsidR="00A55668">
        <w:rPr>
          <w:rFonts w:asciiTheme="minorHAnsi" w:hAnsiTheme="minorHAnsi"/>
        </w:rPr>
        <w:t>DHR</w:t>
      </w:r>
    </w:p>
    <w:p w14:paraId="71CDB4FB" w14:textId="77777777" w:rsidR="00975700" w:rsidRPr="00975700" w:rsidRDefault="00975700" w:rsidP="00975700">
      <w:pPr>
        <w:pStyle w:val="NoSpacing"/>
        <w:numPr>
          <w:ilvl w:val="0"/>
          <w:numId w:val="14"/>
        </w:numPr>
        <w:spacing w:line="276" w:lineRule="auto"/>
        <w:rPr>
          <w:rFonts w:asciiTheme="minorHAnsi" w:hAnsiTheme="minorHAnsi"/>
          <w:sz w:val="24"/>
          <w:szCs w:val="24"/>
          <w:lang w:eastAsia="en-AU"/>
        </w:rPr>
      </w:pPr>
      <w:r w:rsidRPr="00975700">
        <w:rPr>
          <w:rFonts w:asciiTheme="minorHAnsi" w:hAnsiTheme="minorHAnsi"/>
          <w:sz w:val="24"/>
          <w:szCs w:val="24"/>
        </w:rPr>
        <w:t xml:space="preserve">All orders for infusions of other potassium salts e.g. potassium dihydrogen </w:t>
      </w:r>
      <w:proofErr w:type="gramStart"/>
      <w:r w:rsidRPr="00975700">
        <w:rPr>
          <w:rFonts w:asciiTheme="minorHAnsi" w:hAnsiTheme="minorHAnsi"/>
          <w:sz w:val="24"/>
          <w:szCs w:val="24"/>
        </w:rPr>
        <w:t>phosphate</w:t>
      </w:r>
      <w:proofErr w:type="gramEnd"/>
      <w:r w:rsidRPr="00975700">
        <w:rPr>
          <w:rFonts w:asciiTheme="minorHAnsi" w:hAnsiTheme="minorHAnsi"/>
          <w:sz w:val="24"/>
          <w:szCs w:val="24"/>
        </w:rPr>
        <w:t xml:space="preserve"> which is indicated for severe hypokalaemia and hypophosphatemia, must be prescribed according to the recommendations in:</w:t>
      </w:r>
    </w:p>
    <w:p w14:paraId="7057115D" w14:textId="3BE6C6A7" w:rsidR="008B69E9" w:rsidRPr="008B69E9" w:rsidRDefault="008B69E9" w:rsidP="00273329">
      <w:pPr>
        <w:pStyle w:val="NoSpacing"/>
        <w:numPr>
          <w:ilvl w:val="1"/>
          <w:numId w:val="14"/>
        </w:numPr>
        <w:spacing w:line="276" w:lineRule="auto"/>
        <w:rPr>
          <w:rFonts w:asciiTheme="minorHAnsi" w:hAnsiTheme="minorHAnsi"/>
          <w:sz w:val="24"/>
          <w:szCs w:val="24"/>
          <w:lang w:eastAsia="en-AU"/>
        </w:rPr>
      </w:pPr>
      <w:r w:rsidRPr="008B69E9">
        <w:rPr>
          <w:rFonts w:asciiTheme="minorHAnsi" w:hAnsiTheme="minorHAnsi"/>
          <w:sz w:val="24"/>
          <w:szCs w:val="24"/>
          <w:lang w:eastAsia="en-AU"/>
        </w:rPr>
        <w:t xml:space="preserve">NCH Electrolyte Replacement Procedure </w:t>
      </w:r>
    </w:p>
    <w:p w14:paraId="04C59E32" w14:textId="622CEB98" w:rsidR="00975700" w:rsidRPr="00975700" w:rsidRDefault="00975700" w:rsidP="008B69E9">
      <w:pPr>
        <w:pStyle w:val="NoSpacing"/>
        <w:numPr>
          <w:ilvl w:val="1"/>
          <w:numId w:val="14"/>
        </w:numPr>
        <w:spacing w:line="276" w:lineRule="auto"/>
        <w:rPr>
          <w:rFonts w:asciiTheme="minorHAnsi" w:hAnsiTheme="minorHAnsi"/>
          <w:sz w:val="24"/>
          <w:szCs w:val="24"/>
          <w:lang w:eastAsia="en-AU"/>
        </w:rPr>
      </w:pPr>
      <w:r w:rsidRPr="00975700">
        <w:rPr>
          <w:rFonts w:asciiTheme="minorHAnsi" w:hAnsiTheme="minorHAnsi"/>
          <w:i/>
          <w:sz w:val="24"/>
          <w:szCs w:val="24"/>
        </w:rPr>
        <w:t xml:space="preserve">Australian Injectable Drugs Handbook </w:t>
      </w:r>
      <w:r w:rsidRPr="00975700">
        <w:rPr>
          <w:sz w:val="24"/>
          <w:szCs w:val="24"/>
        </w:rPr>
        <w:t>available electronically in all clinical areas.</w:t>
      </w:r>
    </w:p>
    <w:p w14:paraId="2C5292D9" w14:textId="77777777" w:rsidR="00975700" w:rsidRPr="00975700" w:rsidRDefault="00975700" w:rsidP="00975700">
      <w:pPr>
        <w:pStyle w:val="NoSpacing"/>
        <w:numPr>
          <w:ilvl w:val="0"/>
          <w:numId w:val="14"/>
        </w:numPr>
        <w:spacing w:line="276" w:lineRule="auto"/>
        <w:rPr>
          <w:rFonts w:asciiTheme="minorHAnsi" w:hAnsiTheme="minorHAnsi"/>
          <w:sz w:val="24"/>
          <w:szCs w:val="24"/>
          <w:lang w:eastAsia="en-AU"/>
        </w:rPr>
      </w:pPr>
      <w:r w:rsidRPr="00975700">
        <w:rPr>
          <w:rFonts w:asciiTheme="minorHAnsi" w:hAnsiTheme="minorHAnsi"/>
          <w:sz w:val="24"/>
          <w:szCs w:val="24"/>
          <w:lang w:eastAsia="en-AU"/>
        </w:rPr>
        <w:t>Serum potassium measurements and regular assessment of renal function must be monitored for patients receiving intravenous potassium.</w:t>
      </w:r>
    </w:p>
    <w:p w14:paraId="109D27AE" w14:textId="77777777" w:rsidR="00975700" w:rsidRPr="00931B93" w:rsidRDefault="00975700" w:rsidP="00975700">
      <w:pPr>
        <w:rPr>
          <w:rFonts w:cs="Arial"/>
          <w:i/>
          <w:szCs w:val="24"/>
        </w:rPr>
      </w:pPr>
    </w:p>
    <w:p w14:paraId="780805D7" w14:textId="77777777" w:rsidR="00975700" w:rsidRDefault="00000000" w:rsidP="00975700">
      <w:pPr>
        <w:jc w:val="right"/>
        <w:rPr>
          <w:rFonts w:cs="Arial"/>
          <w:i/>
          <w:szCs w:val="24"/>
        </w:rPr>
      </w:pPr>
      <w:hyperlink w:anchor="Contents" w:history="1">
        <w:r w:rsidR="00975700" w:rsidRPr="00590902">
          <w:rPr>
            <w:rStyle w:val="Hyperlink"/>
            <w:rFonts w:cs="Arial"/>
            <w:i/>
            <w:szCs w:val="24"/>
          </w:rPr>
          <w:t>Back to Table of Contents</w:t>
        </w:r>
      </w:hyperlink>
      <w:r w:rsidR="0097570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75700" w:rsidRPr="00CD1C0E" w14:paraId="764D11CE" w14:textId="77777777" w:rsidTr="00D9775C">
        <w:trPr>
          <w:cantSplit/>
          <w:trHeight w:val="285"/>
        </w:trPr>
        <w:tc>
          <w:tcPr>
            <w:tcW w:w="9158" w:type="dxa"/>
            <w:shd w:val="clear" w:color="auto" w:fill="A6A6A6" w:themeFill="background1" w:themeFillShade="A6"/>
          </w:tcPr>
          <w:p w14:paraId="718AD653" w14:textId="264D3F13" w:rsidR="00975700" w:rsidRPr="00C76688" w:rsidRDefault="00975700" w:rsidP="00D9775C">
            <w:pPr>
              <w:pStyle w:val="Heading1"/>
            </w:pPr>
            <w:bookmarkStart w:id="21" w:name="_Toc159318974"/>
            <w:r w:rsidRPr="00C76688">
              <w:t xml:space="preserve">Section </w:t>
            </w:r>
            <w:r w:rsidR="0066235B">
              <w:t>5</w:t>
            </w:r>
            <w:r w:rsidRPr="00C76688">
              <w:t xml:space="preserve"> – </w:t>
            </w:r>
            <w:r>
              <w:t>Administration</w:t>
            </w:r>
            <w:bookmarkEnd w:id="21"/>
          </w:p>
        </w:tc>
      </w:tr>
    </w:tbl>
    <w:p w14:paraId="05B0FC28" w14:textId="77777777" w:rsidR="00975700" w:rsidRDefault="00975700" w:rsidP="00975700">
      <w:pPr>
        <w:rPr>
          <w:rFonts w:cs="Arial"/>
          <w:b/>
          <w:szCs w:val="24"/>
        </w:rPr>
      </w:pPr>
    </w:p>
    <w:p w14:paraId="34080B17" w14:textId="52CC32E4" w:rsidR="00975700" w:rsidRPr="00975700" w:rsidRDefault="00975700" w:rsidP="00975700">
      <w:pPr>
        <w:pStyle w:val="NoSpacing"/>
        <w:numPr>
          <w:ilvl w:val="0"/>
          <w:numId w:val="14"/>
        </w:numPr>
        <w:spacing w:line="276" w:lineRule="auto"/>
        <w:rPr>
          <w:rStyle w:val="Hyperlink"/>
          <w:b/>
          <w:sz w:val="24"/>
          <w:szCs w:val="24"/>
        </w:rPr>
      </w:pPr>
      <w:r w:rsidRPr="00975700">
        <w:rPr>
          <w:rFonts w:cs="TT15Ct00"/>
          <w:sz w:val="24"/>
          <w:szCs w:val="24"/>
          <w:lang w:eastAsia="en-AU"/>
        </w:rPr>
        <w:t xml:space="preserve">All potassium containing IV infusions are to be administered by a registered nurse/registered midwife (RN/RM) or enrolled nurse (EN) with a second registered nurse/registered midwife (RN/RM) to check the drug, </w:t>
      </w:r>
      <w:proofErr w:type="gramStart"/>
      <w:r w:rsidRPr="00975700">
        <w:rPr>
          <w:rFonts w:cs="TT15Ct00"/>
          <w:sz w:val="24"/>
          <w:szCs w:val="24"/>
          <w:lang w:eastAsia="en-AU"/>
        </w:rPr>
        <w:t>dose,  IV</w:t>
      </w:r>
      <w:proofErr w:type="gramEnd"/>
      <w:r w:rsidRPr="00975700">
        <w:rPr>
          <w:rFonts w:cs="TT15Ct00"/>
          <w:sz w:val="24"/>
          <w:szCs w:val="24"/>
          <w:lang w:eastAsia="en-AU"/>
        </w:rPr>
        <w:t xml:space="preserve"> fluid and the patient’s identity prior to administration, including double checking at the bedside and double signing </w:t>
      </w:r>
      <w:r w:rsidR="00A55668">
        <w:rPr>
          <w:rFonts w:cs="TT15Ct00"/>
          <w:sz w:val="24"/>
          <w:szCs w:val="24"/>
          <w:lang w:eastAsia="en-AU"/>
        </w:rPr>
        <w:t xml:space="preserve">in the DHR. </w:t>
      </w:r>
      <w:proofErr w:type="spellStart"/>
      <w:r w:rsidR="00A55668">
        <w:rPr>
          <w:rFonts w:cs="TT15Ct00"/>
          <w:sz w:val="24"/>
          <w:szCs w:val="24"/>
          <w:lang w:eastAsia="en-AU"/>
        </w:rPr>
        <w:t>Trefer</w:t>
      </w:r>
      <w:proofErr w:type="spellEnd"/>
      <w:r w:rsidR="00A55668">
        <w:rPr>
          <w:rFonts w:cs="TT15Ct00"/>
          <w:sz w:val="24"/>
          <w:szCs w:val="24"/>
          <w:lang w:eastAsia="en-AU"/>
        </w:rPr>
        <w:t xml:space="preserve"> to the medication handling procedure</w:t>
      </w:r>
      <w:r w:rsidRPr="00975700">
        <w:rPr>
          <w:rFonts w:cs="TT15Ct00"/>
          <w:sz w:val="24"/>
          <w:szCs w:val="24"/>
          <w:lang w:eastAsia="en-AU"/>
        </w:rPr>
        <w:t xml:space="preserve"> </w:t>
      </w:r>
    </w:p>
    <w:p w14:paraId="339E4F8B" w14:textId="7EC93F13" w:rsidR="00975700" w:rsidRPr="00975700" w:rsidRDefault="00975700" w:rsidP="00975700">
      <w:pPr>
        <w:pStyle w:val="NoSpacing"/>
        <w:numPr>
          <w:ilvl w:val="0"/>
          <w:numId w:val="14"/>
        </w:numPr>
        <w:spacing w:line="276" w:lineRule="auto"/>
        <w:rPr>
          <w:sz w:val="24"/>
          <w:szCs w:val="24"/>
        </w:rPr>
      </w:pPr>
      <w:r w:rsidRPr="00975700">
        <w:rPr>
          <w:sz w:val="24"/>
          <w:szCs w:val="24"/>
        </w:rPr>
        <w:t xml:space="preserve">All potassium-containing intravenous infusions must be administered via </w:t>
      </w:r>
      <w:r w:rsidR="00A55668">
        <w:rPr>
          <w:sz w:val="24"/>
          <w:szCs w:val="24"/>
        </w:rPr>
        <w:t>an infusion pump with dose limiting software</w:t>
      </w:r>
    </w:p>
    <w:p w14:paraId="5B5E4755" w14:textId="07F83425" w:rsidR="00975700" w:rsidRPr="00975700" w:rsidRDefault="00975700" w:rsidP="00975700">
      <w:pPr>
        <w:pStyle w:val="ListParagraph"/>
        <w:numPr>
          <w:ilvl w:val="0"/>
          <w:numId w:val="14"/>
        </w:numPr>
        <w:autoSpaceDE w:val="0"/>
        <w:autoSpaceDN w:val="0"/>
        <w:adjustRightInd w:val="0"/>
        <w:contextualSpacing w:val="0"/>
        <w:rPr>
          <w:bCs/>
          <w:szCs w:val="24"/>
          <w:lang w:eastAsia="en-AU"/>
        </w:rPr>
      </w:pPr>
      <w:r w:rsidRPr="00975700">
        <w:rPr>
          <w:bCs/>
          <w:szCs w:val="24"/>
          <w:lang w:eastAsia="en-AU"/>
        </w:rPr>
        <w:t>The rate for intravenous potassium administration must not exceed 10mmol/hour</w:t>
      </w:r>
      <w:r w:rsidRPr="00975700">
        <w:rPr>
          <w:szCs w:val="24"/>
        </w:rPr>
        <w:t xml:space="preserve"> </w:t>
      </w:r>
    </w:p>
    <w:p w14:paraId="4AE37ECA" w14:textId="57F52550" w:rsidR="00975700" w:rsidRPr="00975700" w:rsidRDefault="00975700" w:rsidP="00975700">
      <w:pPr>
        <w:pStyle w:val="ListParagraph"/>
        <w:numPr>
          <w:ilvl w:val="0"/>
          <w:numId w:val="14"/>
        </w:numPr>
        <w:autoSpaceDE w:val="0"/>
        <w:autoSpaceDN w:val="0"/>
        <w:adjustRightInd w:val="0"/>
        <w:contextualSpacing w:val="0"/>
        <w:rPr>
          <w:bCs/>
          <w:szCs w:val="24"/>
          <w:lang w:eastAsia="en-AU"/>
        </w:rPr>
      </w:pPr>
      <w:r w:rsidRPr="00975700">
        <w:rPr>
          <w:bCs/>
          <w:szCs w:val="24"/>
          <w:lang w:eastAsia="en-AU"/>
        </w:rPr>
        <w:t xml:space="preserve">Cardiac monitoring, frequent serum potassium measurements (2-hourly recommended) and regular assessment of renal function are required for patients receiving intravenous potassium chloride at rates exceeding 10mmol/hr.  </w:t>
      </w:r>
      <w:proofErr w:type="gramStart"/>
      <w:r w:rsidRPr="00975700">
        <w:rPr>
          <w:bCs/>
          <w:szCs w:val="24"/>
          <w:lang w:eastAsia="en-AU"/>
        </w:rPr>
        <w:t>Likewise</w:t>
      </w:r>
      <w:proofErr w:type="gramEnd"/>
      <w:r w:rsidRPr="00975700">
        <w:rPr>
          <w:bCs/>
          <w:szCs w:val="24"/>
          <w:lang w:eastAsia="en-AU"/>
        </w:rPr>
        <w:t xml:space="preserve"> infusion via central venous access device is preferable to prevent phlebitis and patient discomfort when rates exceed 10mmol/hr</w:t>
      </w:r>
    </w:p>
    <w:p w14:paraId="1483EF57" w14:textId="72A55EE7" w:rsidR="00975700" w:rsidRPr="00975700" w:rsidRDefault="00975700" w:rsidP="00975700">
      <w:pPr>
        <w:pStyle w:val="NoSpacing"/>
        <w:numPr>
          <w:ilvl w:val="0"/>
          <w:numId w:val="14"/>
        </w:numPr>
        <w:spacing w:line="276" w:lineRule="auto"/>
        <w:rPr>
          <w:rFonts w:asciiTheme="minorHAnsi" w:hAnsiTheme="minorHAnsi"/>
          <w:b/>
          <w:bCs/>
          <w:iCs/>
          <w:sz w:val="24"/>
          <w:szCs w:val="24"/>
          <w:lang w:eastAsia="en-AU"/>
        </w:rPr>
      </w:pPr>
      <w:r w:rsidRPr="00975700">
        <w:rPr>
          <w:rFonts w:asciiTheme="minorHAnsi" w:hAnsiTheme="minorHAnsi"/>
          <w:sz w:val="24"/>
          <w:szCs w:val="24"/>
        </w:rPr>
        <w:t xml:space="preserve">The maximum recommended concentration of potassium for administration via a peripheral line in adults is 40 mmol/L. More concentrated solutions should be infused via a central venous access device </w:t>
      </w:r>
      <w:proofErr w:type="gramStart"/>
      <w:r w:rsidRPr="00975700">
        <w:rPr>
          <w:rFonts w:asciiTheme="minorHAnsi" w:hAnsiTheme="minorHAnsi"/>
          <w:sz w:val="24"/>
          <w:szCs w:val="24"/>
        </w:rPr>
        <w:t>in order</w:t>
      </w:r>
      <w:r w:rsidRPr="00975700">
        <w:rPr>
          <w:sz w:val="24"/>
          <w:szCs w:val="24"/>
        </w:rPr>
        <w:t xml:space="preserve"> </w:t>
      </w:r>
      <w:r w:rsidRPr="00975700">
        <w:rPr>
          <w:rFonts w:asciiTheme="minorHAnsi" w:hAnsiTheme="minorHAnsi"/>
          <w:sz w:val="24"/>
          <w:szCs w:val="24"/>
        </w:rPr>
        <w:t>to</w:t>
      </w:r>
      <w:proofErr w:type="gramEnd"/>
      <w:r w:rsidRPr="00975700">
        <w:rPr>
          <w:rFonts w:asciiTheme="minorHAnsi" w:hAnsiTheme="minorHAnsi"/>
          <w:sz w:val="24"/>
          <w:szCs w:val="24"/>
        </w:rPr>
        <w:t xml:space="preserve"> prevent phlebitis and patient discomfort</w:t>
      </w:r>
      <w:r w:rsidRPr="00975700">
        <w:rPr>
          <w:rFonts w:asciiTheme="minorHAnsi" w:hAnsiTheme="minorHAnsi"/>
          <w:sz w:val="24"/>
          <w:szCs w:val="24"/>
          <w:lang w:eastAsia="en-AU"/>
        </w:rPr>
        <w:t xml:space="preserve"> </w:t>
      </w:r>
    </w:p>
    <w:p w14:paraId="00D7DDAD" w14:textId="5867B006" w:rsidR="00975700" w:rsidRDefault="00975700" w:rsidP="00CB2C19">
      <w:pPr>
        <w:pStyle w:val="NoSpacing"/>
        <w:numPr>
          <w:ilvl w:val="0"/>
          <w:numId w:val="14"/>
        </w:numPr>
        <w:spacing w:line="276" w:lineRule="auto"/>
        <w:rPr>
          <w:rFonts w:cs="Arial"/>
          <w:i/>
          <w:szCs w:val="24"/>
        </w:rPr>
      </w:pPr>
      <w:r w:rsidRPr="008B69E9">
        <w:rPr>
          <w:rFonts w:asciiTheme="minorHAnsi" w:hAnsiTheme="minorHAnsi"/>
          <w:sz w:val="24"/>
          <w:szCs w:val="24"/>
          <w:lang w:eastAsia="en-AU"/>
        </w:rPr>
        <w:t xml:space="preserve">Critical Care areas can refer to the </w:t>
      </w:r>
      <w:r w:rsidR="00CB2C19">
        <w:rPr>
          <w:rFonts w:asciiTheme="minorHAnsi" w:hAnsiTheme="minorHAnsi"/>
          <w:sz w:val="24"/>
          <w:szCs w:val="24"/>
          <w:lang w:eastAsia="en-AU"/>
        </w:rPr>
        <w:t xml:space="preserve">relevant CVAD procedure. </w:t>
      </w:r>
    </w:p>
    <w:p w14:paraId="119BA4AD" w14:textId="67185770" w:rsidR="00F9158A" w:rsidRDefault="00000000" w:rsidP="008B69E9">
      <w:pPr>
        <w:jc w:val="right"/>
        <w:rPr>
          <w:rFonts w:cs="Arial"/>
          <w:i/>
          <w:szCs w:val="24"/>
        </w:rPr>
      </w:pPr>
      <w:hyperlink w:anchor="Contents" w:history="1">
        <w:r w:rsidR="00975700" w:rsidRPr="00590902">
          <w:rPr>
            <w:rStyle w:val="Hyperlink"/>
            <w:rFonts w:cs="Arial"/>
            <w:i/>
            <w:szCs w:val="24"/>
          </w:rPr>
          <w:t>Back to Table of Contents</w:t>
        </w:r>
      </w:hyperlink>
      <w:r w:rsidR="00975700">
        <w:rPr>
          <w:rFonts w:cs="Arial"/>
          <w:i/>
          <w:szCs w:val="24"/>
        </w:rPr>
        <w:t xml:space="preserve"> </w:t>
      </w:r>
    </w:p>
    <w:p w14:paraId="0E8A9875" w14:textId="77777777" w:rsidR="00CB2C19" w:rsidRPr="008B69E9" w:rsidRDefault="00CB2C19" w:rsidP="00547EA9">
      <w:pPr>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2" w:name="_Toc389473287"/>
            <w:bookmarkStart w:id="23" w:name="_Toc159318975"/>
            <w:r>
              <w:t xml:space="preserve">Related Policies, </w:t>
            </w:r>
            <w:r w:rsidR="007B6904">
              <w:t>Procedures</w:t>
            </w:r>
            <w:bookmarkEnd w:id="22"/>
            <w:r>
              <w:t>, Guidelines and Legislation</w:t>
            </w:r>
            <w:bookmarkEnd w:id="23"/>
          </w:p>
        </w:tc>
      </w:tr>
    </w:tbl>
    <w:p w14:paraId="79712C7A" w14:textId="77777777" w:rsidR="008B69E9" w:rsidRDefault="008B69E9" w:rsidP="007B6904">
      <w:pPr>
        <w:rPr>
          <w:szCs w:val="24"/>
        </w:rPr>
      </w:pPr>
    </w:p>
    <w:p w14:paraId="2F51A8BE" w14:textId="77777777" w:rsidR="00931B93" w:rsidRPr="00201FB6" w:rsidRDefault="00931B93" w:rsidP="00201FB6">
      <w:pPr>
        <w:rPr>
          <w:b/>
        </w:rPr>
      </w:pPr>
      <w:r w:rsidRPr="00201FB6">
        <w:rPr>
          <w:b/>
        </w:rPr>
        <w:t>Procedures</w:t>
      </w:r>
    </w:p>
    <w:p w14:paraId="2F51A8C0" w14:textId="59829C5F" w:rsidR="000A7335" w:rsidRDefault="00CB2C19" w:rsidP="000A7335">
      <w:pPr>
        <w:pStyle w:val="ListParagraph"/>
        <w:numPr>
          <w:ilvl w:val="0"/>
          <w:numId w:val="3"/>
        </w:numPr>
        <w:ind w:left="360"/>
        <w:rPr>
          <w:rFonts w:cs="Arial"/>
          <w:szCs w:val="24"/>
        </w:rPr>
      </w:pPr>
      <w:r>
        <w:rPr>
          <w:rFonts w:cs="Arial"/>
          <w:szCs w:val="24"/>
        </w:rPr>
        <w:t xml:space="preserve">NCH </w:t>
      </w:r>
      <w:r w:rsidR="00975700">
        <w:rPr>
          <w:rFonts w:cs="Arial"/>
          <w:szCs w:val="24"/>
        </w:rPr>
        <w:t xml:space="preserve">Medication Handling </w:t>
      </w:r>
    </w:p>
    <w:p w14:paraId="0D5C5C28" w14:textId="1CD8A8D4" w:rsidR="00975700" w:rsidRDefault="00CB2C19" w:rsidP="000A7335">
      <w:pPr>
        <w:pStyle w:val="ListParagraph"/>
        <w:numPr>
          <w:ilvl w:val="0"/>
          <w:numId w:val="3"/>
        </w:numPr>
        <w:ind w:left="360"/>
        <w:rPr>
          <w:rFonts w:cs="Arial"/>
          <w:szCs w:val="24"/>
        </w:rPr>
      </w:pPr>
      <w:r>
        <w:rPr>
          <w:rFonts w:cs="Arial"/>
          <w:szCs w:val="24"/>
        </w:rPr>
        <w:t>NCH E</w:t>
      </w:r>
      <w:r w:rsidR="00975700">
        <w:rPr>
          <w:rFonts w:cs="Arial"/>
          <w:szCs w:val="24"/>
        </w:rPr>
        <w:t xml:space="preserve">lectrolyte Replacement </w:t>
      </w:r>
    </w:p>
    <w:p w14:paraId="54CDA2B4" w14:textId="7389D2D8" w:rsidR="008B69E9" w:rsidRPr="000A7335" w:rsidRDefault="008A2525" w:rsidP="000A7335">
      <w:pPr>
        <w:pStyle w:val="ListParagraph"/>
        <w:numPr>
          <w:ilvl w:val="0"/>
          <w:numId w:val="3"/>
        </w:numPr>
        <w:ind w:left="360"/>
        <w:rPr>
          <w:rFonts w:cs="Arial"/>
          <w:szCs w:val="24"/>
        </w:rPr>
      </w:pPr>
      <w:r>
        <w:rPr>
          <w:rFonts w:cs="Arial"/>
          <w:szCs w:val="24"/>
        </w:rPr>
        <w:t xml:space="preserve">NCH </w:t>
      </w:r>
      <w:r w:rsidR="008B69E9">
        <w:rPr>
          <w:rFonts w:cs="Arial"/>
          <w:szCs w:val="24"/>
        </w:rPr>
        <w:t xml:space="preserve">High Risk Medicines </w:t>
      </w:r>
      <w:r w:rsidR="00CB2C19">
        <w:rPr>
          <w:rFonts w:cs="Arial"/>
          <w:szCs w:val="24"/>
        </w:rPr>
        <w:t xml:space="preserve">Management </w:t>
      </w:r>
    </w:p>
    <w:p w14:paraId="2F51A8C1" w14:textId="77777777" w:rsidR="000A7335" w:rsidRPr="000A7335" w:rsidRDefault="000A7335" w:rsidP="000A7335">
      <w:pPr>
        <w:ind w:left="360"/>
        <w:rPr>
          <w:rFonts w:cs="Arial"/>
          <w:szCs w:val="24"/>
        </w:rPr>
      </w:pPr>
    </w:p>
    <w:p w14:paraId="2F51A8C5" w14:textId="77777777" w:rsidR="00931B93" w:rsidRPr="00201FB6" w:rsidRDefault="00931B93" w:rsidP="00201FB6">
      <w:pPr>
        <w:rPr>
          <w:b/>
        </w:rPr>
      </w:pPr>
      <w:r w:rsidRPr="00201FB6">
        <w:rPr>
          <w:b/>
        </w:rPr>
        <w:lastRenderedPageBreak/>
        <w:t>Legislation</w:t>
      </w:r>
    </w:p>
    <w:p w14:paraId="7BB13858" w14:textId="77777777" w:rsidR="008B69E9" w:rsidRPr="00F248F8" w:rsidRDefault="008B69E9" w:rsidP="008B69E9">
      <w:pPr>
        <w:pStyle w:val="ListBullet"/>
        <w:tabs>
          <w:tab w:val="num" w:pos="1080"/>
        </w:tabs>
        <w:rPr>
          <w:rFonts w:eastAsiaTheme="minorHAnsi"/>
        </w:rPr>
      </w:pPr>
      <w:r w:rsidRPr="008B69E9">
        <w:rPr>
          <w:rFonts w:eastAsiaTheme="minorHAnsi"/>
          <w:i/>
          <w:iCs/>
        </w:rPr>
        <w:t>Medicines, Poisons and Therapeutic Goods Act</w:t>
      </w:r>
      <w:r w:rsidRPr="00F248F8">
        <w:rPr>
          <w:rFonts w:eastAsiaTheme="minorHAnsi"/>
        </w:rPr>
        <w:t xml:space="preserve"> 2008</w:t>
      </w:r>
    </w:p>
    <w:p w14:paraId="58CB73CA" w14:textId="77777777" w:rsidR="008B69E9" w:rsidRDefault="008B69E9" w:rsidP="008B69E9">
      <w:pPr>
        <w:pStyle w:val="ListBullet"/>
        <w:tabs>
          <w:tab w:val="num" w:pos="1080"/>
        </w:tabs>
        <w:rPr>
          <w:rFonts w:eastAsiaTheme="minorHAnsi"/>
        </w:rPr>
      </w:pPr>
      <w:r w:rsidRPr="008B69E9">
        <w:rPr>
          <w:rFonts w:eastAsiaTheme="minorHAnsi"/>
          <w:i/>
          <w:iCs/>
        </w:rPr>
        <w:t>Medicines, Poisons and Therapeutic Goods Regulation</w:t>
      </w:r>
      <w:r w:rsidRPr="00F248F8">
        <w:rPr>
          <w:rFonts w:eastAsiaTheme="minorHAnsi"/>
        </w:rPr>
        <w:t xml:space="preserve"> 2008</w:t>
      </w:r>
    </w:p>
    <w:p w14:paraId="197EA508" w14:textId="77777777" w:rsidR="00CB2C19" w:rsidRPr="00F248F8" w:rsidRDefault="00CB2C19" w:rsidP="00CB2C19">
      <w:pPr>
        <w:pStyle w:val="ListBullet"/>
        <w:numPr>
          <w:ilvl w:val="0"/>
          <w:numId w:val="0"/>
        </w:numPr>
        <w:ind w:left="426"/>
        <w:rPr>
          <w:rFonts w:eastAsiaTheme="minorHAnsi"/>
        </w:rPr>
      </w:pPr>
    </w:p>
    <w:p w14:paraId="2F51A8CA" w14:textId="77777777" w:rsidR="007B6904" w:rsidRDefault="00000000"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4" w:name="_Toc389473288"/>
            <w:bookmarkStart w:id="25" w:name="_Toc159318976"/>
            <w:r>
              <w:t>References</w:t>
            </w:r>
            <w:bookmarkEnd w:id="24"/>
            <w:bookmarkEnd w:id="25"/>
          </w:p>
        </w:tc>
      </w:tr>
    </w:tbl>
    <w:p w14:paraId="2F51A8CD" w14:textId="77777777" w:rsidR="007B6904" w:rsidRPr="00DE4E25" w:rsidRDefault="007B6904" w:rsidP="007B6904">
      <w:pPr>
        <w:rPr>
          <w:rFonts w:asciiTheme="majorHAnsi" w:hAnsiTheme="majorHAnsi" w:cstheme="majorHAnsi"/>
          <w:szCs w:val="24"/>
        </w:rPr>
      </w:pPr>
      <w:bookmarkStart w:id="26" w:name="_Toc389131245"/>
    </w:p>
    <w:bookmarkEnd w:id="26"/>
    <w:p w14:paraId="709A2A09" w14:textId="77777777" w:rsidR="00975700" w:rsidRPr="00BB797A" w:rsidRDefault="00975700" w:rsidP="00975700">
      <w:pPr>
        <w:numPr>
          <w:ilvl w:val="0"/>
          <w:numId w:val="6"/>
        </w:numPr>
        <w:autoSpaceDE w:val="0"/>
        <w:autoSpaceDN w:val="0"/>
        <w:adjustRightInd w:val="0"/>
        <w:spacing w:before="120" w:after="120"/>
        <w:jc w:val="both"/>
        <w:rPr>
          <w:color w:val="000000"/>
          <w:lang w:eastAsia="en-AU"/>
        </w:rPr>
      </w:pPr>
      <w:r w:rsidRPr="00BB797A">
        <w:rPr>
          <w:color w:val="000000"/>
          <w:lang w:eastAsia="en-AU"/>
        </w:rPr>
        <w:t xml:space="preserve">Australian Injectable Drugs Handbook: </w:t>
      </w:r>
      <w:r>
        <w:rPr>
          <w:color w:val="000000"/>
          <w:lang w:eastAsia="en-AU"/>
        </w:rPr>
        <w:t>7</w:t>
      </w:r>
      <w:r w:rsidRPr="00BB797A">
        <w:rPr>
          <w:color w:val="000000"/>
          <w:lang w:eastAsia="en-AU"/>
        </w:rPr>
        <w:t>th edition: Society of Hospital Pharmacists of Australia: 201</w:t>
      </w:r>
      <w:r>
        <w:rPr>
          <w:color w:val="000000"/>
          <w:lang w:eastAsia="en-AU"/>
        </w:rPr>
        <w:t>8</w:t>
      </w:r>
      <w:r w:rsidRPr="00BB797A">
        <w:rPr>
          <w:color w:val="000000"/>
          <w:lang w:eastAsia="en-AU"/>
        </w:rPr>
        <w:t xml:space="preserve">. </w:t>
      </w:r>
    </w:p>
    <w:p w14:paraId="654B7C00" w14:textId="77777777" w:rsidR="00975700" w:rsidRPr="00380CFF" w:rsidRDefault="00975700" w:rsidP="00975700">
      <w:pPr>
        <w:numPr>
          <w:ilvl w:val="0"/>
          <w:numId w:val="6"/>
        </w:numPr>
        <w:autoSpaceDE w:val="0"/>
        <w:autoSpaceDN w:val="0"/>
        <w:adjustRightInd w:val="0"/>
        <w:spacing w:before="120" w:after="120"/>
        <w:jc w:val="both"/>
        <w:rPr>
          <w:rFonts w:asciiTheme="minorHAnsi" w:hAnsiTheme="minorHAnsi"/>
        </w:rPr>
      </w:pPr>
      <w:r w:rsidRPr="00C3054C">
        <w:rPr>
          <w:rFonts w:asciiTheme="minorHAnsi" w:hAnsiTheme="minorHAnsi" w:cs="Arial"/>
          <w:bCs/>
          <w:lang w:eastAsia="en-AU"/>
        </w:rPr>
        <w:t xml:space="preserve">High-Risk Medicines Management Policy </w:t>
      </w:r>
      <w:r w:rsidRPr="00C3054C">
        <w:rPr>
          <w:rFonts w:asciiTheme="minorHAnsi" w:hAnsiTheme="minorHAnsi" w:cs="Arial"/>
          <w:lang w:eastAsia="en-AU"/>
        </w:rPr>
        <w:t>PD2015_029</w:t>
      </w:r>
      <w:r>
        <w:rPr>
          <w:rFonts w:asciiTheme="minorHAnsi" w:hAnsiTheme="minorHAnsi" w:cs="Arial"/>
          <w:lang w:eastAsia="en-AU"/>
        </w:rPr>
        <w:t xml:space="preserve">, </w:t>
      </w:r>
      <w:r w:rsidRPr="00380CFF">
        <w:rPr>
          <w:rFonts w:asciiTheme="minorHAnsi" w:hAnsiTheme="minorHAnsi" w:cs="Arial"/>
          <w:bCs/>
          <w:lang w:eastAsia="en-AU"/>
        </w:rPr>
        <w:t xml:space="preserve">NSW Government Ministry of Health </w:t>
      </w:r>
      <w:r>
        <w:rPr>
          <w:rFonts w:asciiTheme="minorHAnsi" w:hAnsiTheme="minorHAnsi" w:cs="Arial"/>
          <w:bCs/>
          <w:lang w:eastAsia="en-AU"/>
        </w:rPr>
        <w:t>P</w:t>
      </w:r>
      <w:r w:rsidRPr="00380CFF">
        <w:rPr>
          <w:rFonts w:asciiTheme="minorHAnsi" w:hAnsiTheme="minorHAnsi" w:cs="Arial"/>
          <w:bCs/>
          <w:lang w:eastAsia="en-AU"/>
        </w:rPr>
        <w:t xml:space="preserve">olicy </w:t>
      </w:r>
      <w:proofErr w:type="gramStart"/>
      <w:r w:rsidRPr="00380CFF">
        <w:rPr>
          <w:rFonts w:asciiTheme="minorHAnsi" w:hAnsiTheme="minorHAnsi" w:cs="Arial"/>
          <w:bCs/>
          <w:lang w:eastAsia="en-AU"/>
        </w:rPr>
        <w:t xml:space="preserve">Directive, </w:t>
      </w:r>
      <w:r w:rsidRPr="00380CFF">
        <w:rPr>
          <w:rFonts w:asciiTheme="minorHAnsi" w:hAnsiTheme="minorHAnsi"/>
        </w:rPr>
        <w:t xml:space="preserve"> August</w:t>
      </w:r>
      <w:proofErr w:type="gramEnd"/>
      <w:r w:rsidRPr="00380CFF">
        <w:rPr>
          <w:rFonts w:asciiTheme="minorHAnsi" w:hAnsiTheme="minorHAnsi"/>
        </w:rPr>
        <w:t xml:space="preserve"> 2015</w:t>
      </w:r>
    </w:p>
    <w:p w14:paraId="1BE0F906" w14:textId="77777777" w:rsidR="00975700" w:rsidRPr="00BB797A" w:rsidRDefault="00975700" w:rsidP="00975700">
      <w:pPr>
        <w:numPr>
          <w:ilvl w:val="0"/>
          <w:numId w:val="6"/>
        </w:numPr>
        <w:spacing w:before="120" w:after="120"/>
      </w:pPr>
      <w:r w:rsidRPr="00BB797A">
        <w:t>The Australian Commission on Safety and Quality in Health Care High Risk Medication Alert: Intravenous Potassium Chloride: October 2003.</w:t>
      </w:r>
    </w:p>
    <w:p w14:paraId="20BE19AC" w14:textId="77777777" w:rsidR="00975700" w:rsidRDefault="00975700" w:rsidP="00975700">
      <w:pPr>
        <w:pStyle w:val="ListParagraph"/>
        <w:numPr>
          <w:ilvl w:val="0"/>
          <w:numId w:val="6"/>
        </w:numPr>
        <w:autoSpaceDE w:val="0"/>
        <w:autoSpaceDN w:val="0"/>
        <w:adjustRightInd w:val="0"/>
        <w:contextualSpacing w:val="0"/>
        <w:rPr>
          <w:bCs/>
        </w:rPr>
      </w:pPr>
      <w:r w:rsidRPr="00BB797A">
        <w:t>High Risk Medication Alert: Intravenous Potassium Chloride: Australia Prescriber: Volume 28: Number 1: Feb</w:t>
      </w:r>
      <w:r>
        <w:t xml:space="preserve"> 2005</w:t>
      </w:r>
      <w:r w:rsidRPr="00BB797A">
        <w:t xml:space="preserve"> </w:t>
      </w:r>
      <w:r w:rsidRPr="00BB797A">
        <w:rPr>
          <w:bCs/>
        </w:rPr>
        <w:t>Potassium is the major electrolyte in intracellular fluid and is essential for a nu</w:t>
      </w:r>
      <w:r>
        <w:rPr>
          <w:bCs/>
        </w:rPr>
        <w:t xml:space="preserve">mber of physiological </w:t>
      </w:r>
      <w:proofErr w:type="gramStart"/>
      <w:r>
        <w:rPr>
          <w:bCs/>
        </w:rPr>
        <w:t>process</w:t>
      </w:r>
      <w:proofErr w:type="gramEnd"/>
    </w:p>
    <w:p w14:paraId="2F51A8D4" w14:textId="77777777" w:rsidR="007B6904" w:rsidRPr="00DE4E25" w:rsidRDefault="007B6904" w:rsidP="007B6904">
      <w:pPr>
        <w:jc w:val="right"/>
        <w:rPr>
          <w:szCs w:val="24"/>
        </w:rPr>
      </w:pPr>
    </w:p>
    <w:p w14:paraId="2F51A8D5" w14:textId="77777777" w:rsidR="00FF56DD" w:rsidRDefault="00000000"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22D0A37" w:rsidR="00FF56DD" w:rsidRPr="000F1F60" w:rsidRDefault="00FF56DD" w:rsidP="004213C3">
            <w:pPr>
              <w:pStyle w:val="Heading1"/>
            </w:pPr>
            <w:bookmarkStart w:id="27" w:name="_Toc159318977"/>
            <w:r>
              <w:t>Definition of Terms</w:t>
            </w:r>
            <w:bookmarkEnd w:id="27"/>
            <w:r>
              <w:t xml:space="preserve"> </w:t>
            </w:r>
          </w:p>
        </w:tc>
      </w:tr>
    </w:tbl>
    <w:p w14:paraId="2F51A8D8" w14:textId="77777777" w:rsidR="00FF56DD" w:rsidRDefault="00FF56DD" w:rsidP="00FF56DD">
      <w:pPr>
        <w:rPr>
          <w:rFonts w:cs="Arial"/>
          <w:szCs w:val="24"/>
        </w:rPr>
      </w:pPr>
    </w:p>
    <w:p w14:paraId="59566A15" w14:textId="77777777" w:rsidR="00975700" w:rsidRPr="00975700" w:rsidRDefault="00975700" w:rsidP="00975700">
      <w:pPr>
        <w:autoSpaceDE w:val="0"/>
        <w:autoSpaceDN w:val="0"/>
        <w:adjustRightInd w:val="0"/>
        <w:spacing w:line="276" w:lineRule="auto"/>
        <w:rPr>
          <w:color w:val="000000"/>
        </w:rPr>
      </w:pPr>
      <w:r w:rsidRPr="00975700">
        <w:rPr>
          <w:b/>
          <w:color w:val="000000"/>
        </w:rPr>
        <w:t xml:space="preserve">Cardiotoxicity </w:t>
      </w:r>
      <w:r w:rsidRPr="00975700">
        <w:rPr>
          <w:color w:val="000000"/>
        </w:rPr>
        <w:t>is the suppression of the heart muscle or its conduction system due to drugs</w:t>
      </w:r>
    </w:p>
    <w:p w14:paraId="29BE1BF1" w14:textId="180F4B7A" w:rsidR="00A55668" w:rsidRDefault="00A55668" w:rsidP="00975700">
      <w:pPr>
        <w:rPr>
          <w:b/>
          <w:color w:val="000000"/>
        </w:rPr>
      </w:pPr>
      <w:r>
        <w:rPr>
          <w:b/>
          <w:color w:val="000000"/>
        </w:rPr>
        <w:t xml:space="preserve">DHR </w:t>
      </w:r>
      <w:r>
        <w:rPr>
          <w:color w:val="000000"/>
        </w:rPr>
        <w:t>Digital Health record</w:t>
      </w:r>
      <w:r>
        <w:rPr>
          <w:b/>
          <w:color w:val="000000"/>
        </w:rPr>
        <w:t xml:space="preserve"> </w:t>
      </w:r>
    </w:p>
    <w:p w14:paraId="2F51A8DA" w14:textId="2993E4D2" w:rsidR="00FF56DD" w:rsidRDefault="00975700" w:rsidP="00975700">
      <w:pPr>
        <w:rPr>
          <w:rFonts w:cs="Arial"/>
          <w:szCs w:val="24"/>
        </w:rPr>
      </w:pPr>
      <w:r w:rsidRPr="00BB797A">
        <w:rPr>
          <w:b/>
          <w:color w:val="000000"/>
        </w:rPr>
        <w:t>Potassium</w:t>
      </w:r>
      <w:r w:rsidRPr="00BB797A">
        <w:rPr>
          <w:color w:val="000000"/>
        </w:rPr>
        <w:t xml:space="preserve"> is the major electrolyte in intracellular fluid and is essential for </w:t>
      </w:r>
      <w:proofErr w:type="gramStart"/>
      <w:r w:rsidRPr="00BB797A">
        <w:rPr>
          <w:color w:val="000000"/>
        </w:rPr>
        <w:t>a number of</w:t>
      </w:r>
      <w:proofErr w:type="gramEnd"/>
      <w:r w:rsidRPr="00BB797A">
        <w:rPr>
          <w:color w:val="000000"/>
        </w:rPr>
        <w:t xml:space="preserve"> physiological processes</w:t>
      </w:r>
    </w:p>
    <w:p w14:paraId="2F51A8DB" w14:textId="77777777" w:rsidR="00FF56DD" w:rsidRDefault="00000000"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8" w:name="_Toc389473290"/>
            <w:bookmarkStart w:id="29" w:name="_Toc159318978"/>
            <w:r>
              <w:t>Search Terms</w:t>
            </w:r>
            <w:bookmarkEnd w:id="28"/>
            <w:bookmarkEnd w:id="29"/>
            <w:r>
              <w:t xml:space="preserve"> </w:t>
            </w:r>
          </w:p>
        </w:tc>
      </w:tr>
    </w:tbl>
    <w:p w14:paraId="2F51A8DE" w14:textId="77777777" w:rsidR="007B6904" w:rsidRDefault="007B6904" w:rsidP="007B6904">
      <w:pPr>
        <w:rPr>
          <w:rFonts w:cs="Calibri,Bold"/>
          <w:bCs/>
          <w:i/>
          <w:szCs w:val="24"/>
          <w:lang w:eastAsia="en-AU"/>
        </w:rPr>
      </w:pPr>
    </w:p>
    <w:p w14:paraId="4619CAD2" w14:textId="5E5D7E6B" w:rsidR="008B69E9" w:rsidRPr="005D0D87" w:rsidRDefault="008B69E9" w:rsidP="008B69E9">
      <w:r>
        <w:rPr>
          <w:lang w:eastAsia="en-AU"/>
        </w:rPr>
        <w:t xml:space="preserve">High, risk, medicines, medications, register, </w:t>
      </w:r>
      <w:r>
        <w:rPr>
          <w:rFonts w:cs="Calibri,Bold"/>
          <w:bCs/>
          <w:iCs/>
          <w:szCs w:val="24"/>
          <w:lang w:eastAsia="en-AU"/>
        </w:rPr>
        <w:t xml:space="preserve">high risk medicines standards, guidelines, potassium chloride, potassium acetate, potassium dihydrogen phosphate, concentrated electrolytes </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000000"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0" w:name="_Toc396995664"/>
    </w:p>
    <w:bookmarkEnd w:id="30"/>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5FC3ED84" w:rsidR="00ED46C3" w:rsidRPr="008202D3" w:rsidRDefault="008709CB" w:rsidP="004A1316">
            <w:pPr>
              <w:rPr>
                <w:i/>
                <w:sz w:val="20"/>
              </w:rPr>
            </w:pPr>
            <w:r>
              <w:rPr>
                <w:i/>
                <w:sz w:val="20"/>
              </w:rPr>
              <w:lastRenderedPageBreak/>
              <w:t>21/02/2024</w:t>
            </w:r>
          </w:p>
        </w:tc>
        <w:tc>
          <w:tcPr>
            <w:tcW w:w="2265" w:type="dxa"/>
          </w:tcPr>
          <w:p w14:paraId="757FDC5B" w14:textId="5324DBC2" w:rsidR="00ED46C3" w:rsidRPr="008202D3" w:rsidRDefault="008709CB" w:rsidP="004A1316">
            <w:pPr>
              <w:rPr>
                <w:i/>
                <w:sz w:val="20"/>
              </w:rPr>
            </w:pPr>
            <w:r>
              <w:rPr>
                <w:i/>
                <w:sz w:val="20"/>
              </w:rPr>
              <w:t>NCH Transition Document</w:t>
            </w:r>
          </w:p>
        </w:tc>
        <w:tc>
          <w:tcPr>
            <w:tcW w:w="2265" w:type="dxa"/>
          </w:tcPr>
          <w:p w14:paraId="45358585" w14:textId="3376F8BE" w:rsidR="00ED46C3" w:rsidRPr="008202D3" w:rsidRDefault="008709CB" w:rsidP="004A1316">
            <w:pPr>
              <w:rPr>
                <w:i/>
                <w:sz w:val="20"/>
              </w:rPr>
            </w:pPr>
            <w:r>
              <w:rPr>
                <w:i/>
                <w:sz w:val="20"/>
              </w:rPr>
              <w:t>Emily Diprose, A/g ED of Allied Health &amp; Palliative Care</w:t>
            </w:r>
          </w:p>
        </w:tc>
        <w:tc>
          <w:tcPr>
            <w:tcW w:w="2265" w:type="dxa"/>
          </w:tcPr>
          <w:p w14:paraId="31501FE6" w14:textId="64D0A9A8" w:rsidR="00ED46C3" w:rsidRPr="008202D3" w:rsidRDefault="008709CB"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0569E50F" w:rsidR="00ED46C3" w:rsidRPr="008202D3" w:rsidRDefault="008709CB" w:rsidP="004A1316">
            <w:pPr>
              <w:rPr>
                <w:i/>
                <w:sz w:val="20"/>
              </w:rPr>
            </w:pPr>
            <w:r w:rsidRPr="008709CB">
              <w:rPr>
                <w:i/>
                <w:sz w:val="20"/>
              </w:rPr>
              <w:t>High Risk Medicine-Intravenous Potassium.docm</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EDFC" w14:textId="77777777" w:rsidR="00F31A15" w:rsidRDefault="00F31A15" w:rsidP="00F66CB0">
      <w:r>
        <w:separator/>
      </w:r>
    </w:p>
  </w:endnote>
  <w:endnote w:type="continuationSeparator" w:id="0">
    <w:p w14:paraId="63A53AB7" w14:textId="77777777" w:rsidR="00F31A15" w:rsidRDefault="00F31A1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5Ct00">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8709CB" w:rsidRPr="00AE7C5C" w14:paraId="2F51A914" w14:textId="77777777" w:rsidTr="008709CB">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450"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132"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8709CB" w14:paraId="2F51A91B" w14:textId="77777777" w:rsidTr="008709CB">
      <w:tc>
        <w:tcPr>
          <w:tcW w:w="1515" w:type="dxa"/>
        </w:tcPr>
        <w:p w14:paraId="2F51A915" w14:textId="1E5CDB25" w:rsidR="00E90708" w:rsidRPr="00542EE6" w:rsidRDefault="008709CB" w:rsidP="004213C3">
          <w:pPr>
            <w:pStyle w:val="Footer"/>
            <w:rPr>
              <w:rFonts w:cs="Arial"/>
              <w:b/>
              <w:bCs/>
              <w:sz w:val="20"/>
            </w:rPr>
          </w:pPr>
          <w:r>
            <w:rPr>
              <w:b/>
              <w:sz w:val="20"/>
            </w:rPr>
            <w:t>CHS24/066</w:t>
          </w:r>
        </w:p>
      </w:tc>
      <w:tc>
        <w:tcPr>
          <w:tcW w:w="965" w:type="dxa"/>
        </w:tcPr>
        <w:p w14:paraId="2F51A916" w14:textId="6B4FE033" w:rsidR="00E90708" w:rsidRPr="00B3752F" w:rsidRDefault="008709CB" w:rsidP="004213C3">
          <w:pPr>
            <w:pStyle w:val="Footer"/>
            <w:rPr>
              <w:rFonts w:cs="Arial"/>
              <w:b/>
              <w:bCs/>
              <w:sz w:val="20"/>
            </w:rPr>
          </w:pPr>
          <w:r>
            <w:rPr>
              <w:rFonts w:cs="Arial"/>
              <w:b/>
              <w:bCs/>
              <w:sz w:val="20"/>
            </w:rPr>
            <w:t>1</w:t>
          </w:r>
        </w:p>
      </w:tc>
      <w:tc>
        <w:tcPr>
          <w:tcW w:w="1552" w:type="dxa"/>
        </w:tcPr>
        <w:p w14:paraId="2F51A917" w14:textId="7258E27C" w:rsidR="00E90708" w:rsidRPr="00B3752F" w:rsidRDefault="008709CB" w:rsidP="004213C3">
          <w:pPr>
            <w:pStyle w:val="Footer"/>
            <w:rPr>
              <w:rFonts w:cs="Arial"/>
              <w:b/>
              <w:bCs/>
              <w:sz w:val="20"/>
            </w:rPr>
          </w:pPr>
          <w:r>
            <w:rPr>
              <w:rFonts w:cs="Arial"/>
              <w:b/>
              <w:bCs/>
              <w:sz w:val="20"/>
            </w:rPr>
            <w:t>21/02/2024</w:t>
          </w:r>
        </w:p>
      </w:tc>
      <w:tc>
        <w:tcPr>
          <w:tcW w:w="1456" w:type="dxa"/>
        </w:tcPr>
        <w:p w14:paraId="2F51A918" w14:textId="56F5A6DB" w:rsidR="00E90708" w:rsidRPr="00B3752F" w:rsidRDefault="008709CB" w:rsidP="004213C3">
          <w:pPr>
            <w:pStyle w:val="Footer"/>
            <w:rPr>
              <w:rFonts w:cs="Arial"/>
              <w:b/>
              <w:bCs/>
              <w:sz w:val="20"/>
            </w:rPr>
          </w:pPr>
          <w:r>
            <w:rPr>
              <w:rFonts w:cs="Arial"/>
              <w:b/>
              <w:bCs/>
              <w:sz w:val="20"/>
            </w:rPr>
            <w:t>01/07/2025</w:t>
          </w:r>
        </w:p>
      </w:tc>
      <w:tc>
        <w:tcPr>
          <w:tcW w:w="2450" w:type="dxa"/>
        </w:tcPr>
        <w:p w14:paraId="2F51A919" w14:textId="290F0A7C" w:rsidR="00E90708" w:rsidRPr="00B3752F" w:rsidRDefault="008709CB" w:rsidP="004213C3">
          <w:pPr>
            <w:pStyle w:val="Footer"/>
            <w:rPr>
              <w:rFonts w:cs="Arial"/>
              <w:b/>
              <w:bCs/>
              <w:sz w:val="20"/>
            </w:rPr>
          </w:pPr>
          <w:r>
            <w:rPr>
              <w:rFonts w:cs="Arial"/>
              <w:b/>
              <w:bCs/>
              <w:sz w:val="20"/>
            </w:rPr>
            <w:t>NCH – Allied Health &amp; Palliative Care - Pharmacy</w:t>
          </w:r>
        </w:p>
      </w:tc>
      <w:tc>
        <w:tcPr>
          <w:tcW w:w="1132" w:type="dxa"/>
        </w:tcPr>
        <w:p w14:paraId="2F51A91A" w14:textId="278AAAAA"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322661">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322661">
            <w:rPr>
              <w:rStyle w:val="PageNumber"/>
              <w:noProof/>
              <w:sz w:val="20"/>
            </w:rPr>
            <w:t>7</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3D47" w14:textId="77777777" w:rsidR="00F31A15" w:rsidRDefault="00F31A15" w:rsidP="00F66CB0">
      <w:r>
        <w:separator/>
      </w:r>
    </w:p>
  </w:footnote>
  <w:footnote w:type="continuationSeparator" w:id="0">
    <w:p w14:paraId="02B2A5C0" w14:textId="77777777" w:rsidR="00F31A15" w:rsidRDefault="00F31A1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9E702A2" w:rsidR="00E90708" w:rsidRDefault="008709CB">
          <w:pPr>
            <w:pStyle w:val="Header"/>
            <w:tabs>
              <w:tab w:val="left" w:pos="720"/>
            </w:tabs>
            <w:jc w:val="right"/>
            <w:rPr>
              <w:sz w:val="20"/>
            </w:rPr>
          </w:pPr>
          <w:bookmarkStart w:id="31" w:name="_top"/>
          <w:bookmarkEnd w:id="31"/>
          <w:r>
            <w:rPr>
              <w:sz w:val="20"/>
            </w:rPr>
            <w:t>CHS24/066</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99A78D4"/>
    <w:multiLevelType w:val="hybridMultilevel"/>
    <w:tmpl w:val="B27E0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912AE1"/>
    <w:multiLevelType w:val="hybridMultilevel"/>
    <w:tmpl w:val="B04CC868"/>
    <w:lvl w:ilvl="0" w:tplc="D984466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50AB7F7E"/>
    <w:multiLevelType w:val="hybridMultilevel"/>
    <w:tmpl w:val="7EA8850E"/>
    <w:lvl w:ilvl="0" w:tplc="10FA9B9A">
      <w:start w:val="1"/>
      <w:numFmt w:val="bullet"/>
      <w:lvlText w:val=""/>
      <w:lvlJc w:val="left"/>
      <w:pPr>
        <w:ind w:left="360" w:hanging="360"/>
      </w:pPr>
      <w:rPr>
        <w:rFonts w:ascii="Symbol" w:hAnsi="Symbol" w:hint="default"/>
        <w:color w:val="000000" w:themeColor="text1"/>
      </w:rPr>
    </w:lvl>
    <w:lvl w:ilvl="1" w:tplc="F58828E4">
      <w:start w:val="1"/>
      <w:numFmt w:val="bullet"/>
      <w:lvlText w:val="o"/>
      <w:lvlJc w:val="left"/>
      <w:pPr>
        <w:ind w:left="1080" w:hanging="360"/>
      </w:pPr>
      <w:rPr>
        <w:rFonts w:ascii="Courier New" w:hAnsi="Courier New" w:cs="Courier New" w:hint="default"/>
        <w:color w:val="000000" w:themeColor="text1"/>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1E7E75"/>
    <w:multiLevelType w:val="hybridMultilevel"/>
    <w:tmpl w:val="1204736C"/>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992" w:hanging="360"/>
      </w:pPr>
      <w:rPr>
        <w:rFonts w:ascii="Courier New" w:hAnsi="Courier New" w:cs="Courier New" w:hint="default"/>
      </w:rPr>
    </w:lvl>
    <w:lvl w:ilvl="2" w:tplc="0C090005" w:tentative="1">
      <w:start w:val="1"/>
      <w:numFmt w:val="bullet"/>
      <w:lvlText w:val=""/>
      <w:lvlJc w:val="left"/>
      <w:pPr>
        <w:ind w:left="1712" w:hanging="360"/>
      </w:pPr>
      <w:rPr>
        <w:rFonts w:ascii="Wingdings" w:hAnsi="Wingdings" w:hint="default"/>
      </w:rPr>
    </w:lvl>
    <w:lvl w:ilvl="3" w:tplc="0C090001" w:tentative="1">
      <w:start w:val="1"/>
      <w:numFmt w:val="bullet"/>
      <w:lvlText w:val=""/>
      <w:lvlJc w:val="left"/>
      <w:pPr>
        <w:ind w:left="2432" w:hanging="360"/>
      </w:pPr>
      <w:rPr>
        <w:rFonts w:ascii="Symbol" w:hAnsi="Symbol" w:hint="default"/>
      </w:rPr>
    </w:lvl>
    <w:lvl w:ilvl="4" w:tplc="0C090003" w:tentative="1">
      <w:start w:val="1"/>
      <w:numFmt w:val="bullet"/>
      <w:lvlText w:val="o"/>
      <w:lvlJc w:val="left"/>
      <w:pPr>
        <w:ind w:left="3152" w:hanging="360"/>
      </w:pPr>
      <w:rPr>
        <w:rFonts w:ascii="Courier New" w:hAnsi="Courier New" w:cs="Courier New" w:hint="default"/>
      </w:rPr>
    </w:lvl>
    <w:lvl w:ilvl="5" w:tplc="0C090005" w:tentative="1">
      <w:start w:val="1"/>
      <w:numFmt w:val="bullet"/>
      <w:lvlText w:val=""/>
      <w:lvlJc w:val="left"/>
      <w:pPr>
        <w:ind w:left="3872" w:hanging="360"/>
      </w:pPr>
      <w:rPr>
        <w:rFonts w:ascii="Wingdings" w:hAnsi="Wingdings" w:hint="default"/>
      </w:rPr>
    </w:lvl>
    <w:lvl w:ilvl="6" w:tplc="0C090001" w:tentative="1">
      <w:start w:val="1"/>
      <w:numFmt w:val="bullet"/>
      <w:lvlText w:val=""/>
      <w:lvlJc w:val="left"/>
      <w:pPr>
        <w:ind w:left="4592" w:hanging="360"/>
      </w:pPr>
      <w:rPr>
        <w:rFonts w:ascii="Symbol" w:hAnsi="Symbol" w:hint="default"/>
      </w:rPr>
    </w:lvl>
    <w:lvl w:ilvl="7" w:tplc="0C090003" w:tentative="1">
      <w:start w:val="1"/>
      <w:numFmt w:val="bullet"/>
      <w:lvlText w:val="o"/>
      <w:lvlJc w:val="left"/>
      <w:pPr>
        <w:ind w:left="5312" w:hanging="360"/>
      </w:pPr>
      <w:rPr>
        <w:rFonts w:ascii="Courier New" w:hAnsi="Courier New" w:cs="Courier New" w:hint="default"/>
      </w:rPr>
    </w:lvl>
    <w:lvl w:ilvl="8" w:tplc="0C090005" w:tentative="1">
      <w:start w:val="1"/>
      <w:numFmt w:val="bullet"/>
      <w:lvlText w:val=""/>
      <w:lvlJc w:val="left"/>
      <w:pPr>
        <w:ind w:left="6032" w:hanging="360"/>
      </w:pPr>
      <w:rPr>
        <w:rFonts w:ascii="Wingdings" w:hAnsi="Wingdings" w:hint="default"/>
      </w:rPr>
    </w:lvl>
  </w:abstractNum>
  <w:abstractNum w:abstractNumId="13" w15:restartNumberingAfterBreak="0">
    <w:nsid w:val="6B810706"/>
    <w:multiLevelType w:val="hybridMultilevel"/>
    <w:tmpl w:val="435A5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09662037">
    <w:abstractNumId w:val="0"/>
  </w:num>
  <w:num w:numId="2" w16cid:durableId="250161893">
    <w:abstractNumId w:val="2"/>
  </w:num>
  <w:num w:numId="3" w16cid:durableId="354383632">
    <w:abstractNumId w:val="14"/>
  </w:num>
  <w:num w:numId="4" w16cid:durableId="1284965370">
    <w:abstractNumId w:val="4"/>
  </w:num>
  <w:num w:numId="5" w16cid:durableId="2100365787">
    <w:abstractNumId w:val="6"/>
  </w:num>
  <w:num w:numId="6" w16cid:durableId="75247555">
    <w:abstractNumId w:val="15"/>
  </w:num>
  <w:num w:numId="7" w16cid:durableId="1225944907">
    <w:abstractNumId w:val="10"/>
  </w:num>
  <w:num w:numId="8" w16cid:durableId="1647313973">
    <w:abstractNumId w:val="0"/>
  </w:num>
  <w:num w:numId="9" w16cid:durableId="1192955495">
    <w:abstractNumId w:val="0"/>
  </w:num>
  <w:num w:numId="10" w16cid:durableId="2055152622">
    <w:abstractNumId w:val="9"/>
  </w:num>
  <w:num w:numId="11" w16cid:durableId="1176186609">
    <w:abstractNumId w:val="1"/>
  </w:num>
  <w:num w:numId="12" w16cid:durableId="2094932608">
    <w:abstractNumId w:val="5"/>
  </w:num>
  <w:num w:numId="13" w16cid:durableId="965086173">
    <w:abstractNumId w:val="3"/>
  </w:num>
  <w:num w:numId="14" w16cid:durableId="1520856377">
    <w:abstractNumId w:val="11"/>
  </w:num>
  <w:num w:numId="15" w16cid:durableId="721707427">
    <w:abstractNumId w:val="12"/>
  </w:num>
  <w:num w:numId="16" w16cid:durableId="1088039135">
    <w:abstractNumId w:val="8"/>
  </w:num>
  <w:num w:numId="17" w16cid:durableId="1635211232">
    <w:abstractNumId w:val="7"/>
  </w:num>
  <w:num w:numId="18" w16cid:durableId="137353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5D38"/>
    <w:rsid w:val="00293E43"/>
    <w:rsid w:val="002B5F43"/>
    <w:rsid w:val="00313707"/>
    <w:rsid w:val="00322661"/>
    <w:rsid w:val="0032270B"/>
    <w:rsid w:val="00337E7C"/>
    <w:rsid w:val="00351CD9"/>
    <w:rsid w:val="00353CBB"/>
    <w:rsid w:val="00366924"/>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47EA9"/>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235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64B71"/>
    <w:rsid w:val="007A0EBC"/>
    <w:rsid w:val="007B27F1"/>
    <w:rsid w:val="007B4ABB"/>
    <w:rsid w:val="007B6904"/>
    <w:rsid w:val="007B7628"/>
    <w:rsid w:val="007C36E4"/>
    <w:rsid w:val="008152BD"/>
    <w:rsid w:val="00816782"/>
    <w:rsid w:val="0082141D"/>
    <w:rsid w:val="00827F24"/>
    <w:rsid w:val="00845445"/>
    <w:rsid w:val="00855DA8"/>
    <w:rsid w:val="008709CB"/>
    <w:rsid w:val="00886399"/>
    <w:rsid w:val="008974CA"/>
    <w:rsid w:val="008A2525"/>
    <w:rsid w:val="008B69E9"/>
    <w:rsid w:val="008C6149"/>
    <w:rsid w:val="008E1F7F"/>
    <w:rsid w:val="008F00E8"/>
    <w:rsid w:val="00906142"/>
    <w:rsid w:val="00931B93"/>
    <w:rsid w:val="00933EED"/>
    <w:rsid w:val="00940CDE"/>
    <w:rsid w:val="00962C46"/>
    <w:rsid w:val="00975700"/>
    <w:rsid w:val="0097742A"/>
    <w:rsid w:val="0097744F"/>
    <w:rsid w:val="00980EED"/>
    <w:rsid w:val="00991670"/>
    <w:rsid w:val="009B6C8C"/>
    <w:rsid w:val="009C0FCA"/>
    <w:rsid w:val="009C3963"/>
    <w:rsid w:val="009D323C"/>
    <w:rsid w:val="009E39B9"/>
    <w:rsid w:val="009E70F4"/>
    <w:rsid w:val="00A35E2D"/>
    <w:rsid w:val="00A54CB3"/>
    <w:rsid w:val="00A55668"/>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B2C19"/>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31A15"/>
    <w:rsid w:val="00F4262F"/>
    <w:rsid w:val="00F52BC2"/>
    <w:rsid w:val="00F53719"/>
    <w:rsid w:val="00F57291"/>
    <w:rsid w:val="00F66CB0"/>
    <w:rsid w:val="00F76C89"/>
    <w:rsid w:val="00F9158A"/>
    <w:rsid w:val="00FA29B8"/>
    <w:rsid w:val="00FC7CBC"/>
    <w:rsid w:val="00FD3D92"/>
    <w:rsid w:val="00FF56DD"/>
    <w:rsid w:val="4512D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66235B"/>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Spacing">
    <w:name w:val="No Spacing"/>
    <w:uiPriority w:val="1"/>
    <w:qFormat/>
    <w:rsid w:val="00975700"/>
    <w:pPr>
      <w:spacing w:after="0" w:line="240" w:lineRule="auto"/>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975700"/>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8B69E9"/>
    <w:rPr>
      <w:color w:val="605E5C"/>
      <w:shd w:val="clear" w:color="auto" w:fill="E1DFDD"/>
    </w:rPr>
  </w:style>
  <w:style w:type="paragraph" w:styleId="Revision">
    <w:name w:val="Revision"/>
    <w:hidden/>
    <w:uiPriority w:val="99"/>
    <w:semiHidden/>
    <w:rsid w:val="00CB2C19"/>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2024-02-18T13:00:00+00:00</Approval_x0020_Date>
    <Review_x0020_Date xmlns="690b2128-8961-48af-a473-22c34a9accba">2025-06-30T14:00:00+00:00</Review_x0020_Date>
    <TaxCatchAll xmlns="c0239a80-7f07-4ed7-82c3-24ad7d76ada5">
      <Value>441</Value>
      <Value>435</Value>
    </TaxCatchAll>
    <Version_x0020_Number xmlns="690b2128-8961-48af-a473-22c34a9accba">1</Version_x0020_Number>
    <Notes0 xmlns="690b2128-8961-48af-a473-22c34a9accba">For noting: This procedure could potentially be incorporated into CHS High Risk Medicine Standard Concentrated Potassium and Other Electrolytes due for review 1/7/2025.</Notes0>
    <Key_x0020_Words xmlns="690b2128-8961-48af-a473-22c34a9accba">North, High, risk, medicines, medications, register, high risk medicines standards, guidelines, potassium chloride, potassium acetate, potassium dihydrogen phosphate, concentrated electrolytes</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High Risk Medicine-Intravenous Potassium.docm</Replaces_x003a_>
    <ISD_x0020_Submitted xmlns="690b2128-8961-48af-a473-22c34a9accba">Not Required</ISD_x0020_Submitted>
    <Risk_x0020_Rating xmlns="690b2128-8961-48af-a473-22c34a9accba">High</Risk_x0020_Rating>
    <Description0 xmlns="690b2128-8961-48af-a473-22c34a9accba">The purpose of this procedure is to provide clinicians with information on the safe and appropriate prescribing, dispensing and administration of intravenous potassium to adult patients at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CHS24/066</Decision_x0020_Number>
    <RelatedPolicies_x002c_ProceduresGuidelines xmlns="690b2128-8961-48af-a473-22c34a9accba">
      <Value>17042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s>
    </k0794e393e1f41c2810d090eedba34a0>
    <New_x0020_Owner xmlns="690b2128-8961-48af-a473-22c34a9accba">North Canberra Hospital (NCH) – Allied Health &amp; Palliative Care – Pharmacy  </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6B47-FB67-43A8-995A-1F5BB955CB7C}"/>
</file>

<file path=customXml/itemProps2.xml><?xml version="1.0" encoding="utf-8"?>
<ds:datastoreItem xmlns:ds="http://schemas.openxmlformats.org/officeDocument/2006/customXml" ds:itemID="{9E468B15-17A3-4A14-A626-71BD1D6169CC}">
  <ds:schemaRefs>
    <ds:schemaRef ds:uri="http://schemas.openxmlformats.org/officeDocument/2006/bibliography"/>
  </ds:schemaRefs>
</ds:datastoreItem>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1532</Words>
  <Characters>8733</Characters>
  <Application>Microsoft Office Word</Application>
  <DocSecurity>0</DocSecurity>
  <Lines>72</Lines>
  <Paragraphs>20</Paragraphs>
  <ScaleCrop>false</ScaleCrop>
  <Company>ACT Government</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Medicine Intravenous Potassium - North Canberra Hospital (NCH)</dc:title>
  <dc:creator>Kerryn Hunter</dc:creator>
  <cp:lastModifiedBy>Clissold, Jacqui</cp:lastModifiedBy>
  <cp:revision>4</cp:revision>
  <cp:lastPrinted>2015-01-20T22:40:00Z</cp:lastPrinted>
  <dcterms:created xsi:type="dcterms:W3CDTF">2024-02-21T01:37:00Z</dcterms:created>
  <dcterms:modified xsi:type="dcterms:W3CDTF">2024-07-17T04:29:00Z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2024-02-19T23:56:33Z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7116a17e-ed41-4f24-876a-51972b7f10d5</vt:lpwstr>
  </property>
  <property fmtid="{D5CDD505-2E9C-101B-9397-08002B2CF9AE}" pid="9" name="MSIP_Label_69af8531-eb46-4968-8cb3-105d2f5ea87e_ContentBits">
    <vt:lpwstr>0</vt:lpwstr>
  </property>
  <property fmtid="{D5CDD505-2E9C-101B-9397-08002B2CF9AE}" pid="10" name="Related Legislation &amp; Guidelines">
    <vt:lpwstr>435;#Medicines, Poisons and Therapeutic Goods Act 2008 (Territory)|e04bb8da-bc44-4cb4-a98e-c18b8e4177ac;#441;#Medicines, Poisons and Therapeutic Goods Regulation 2008 (Territory)|d8a601e5-b818-46c5-b1f0-8bd78d448dbc</vt:lpwstr>
  </property>
</Properties>
</file>