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829D0" w14:textId="106EB24D" w:rsidR="009A534C" w:rsidRPr="004B4E8B" w:rsidRDefault="009A534C" w:rsidP="009A534C">
      <w:pPr>
        <w:rPr>
          <w:rFonts w:cs="Arial"/>
          <w:b/>
          <w:sz w:val="40"/>
          <w:szCs w:val="40"/>
        </w:rPr>
      </w:pPr>
      <w:r w:rsidRPr="004B4E8B">
        <w:rPr>
          <w:rFonts w:cs="Arial"/>
          <w:b/>
          <w:sz w:val="40"/>
          <w:szCs w:val="40"/>
        </w:rPr>
        <w:t>Canberra Health Services</w:t>
      </w:r>
    </w:p>
    <w:p w14:paraId="086829D1" w14:textId="03FBB043" w:rsidR="009A534C" w:rsidRPr="004B4E8B" w:rsidRDefault="009A534C" w:rsidP="009A534C">
      <w:pPr>
        <w:rPr>
          <w:rFonts w:cs="Arial"/>
          <w:b/>
          <w:sz w:val="40"/>
          <w:szCs w:val="40"/>
        </w:rPr>
      </w:pPr>
      <w:r w:rsidRPr="004B4E8B">
        <w:rPr>
          <w:rFonts w:cs="Arial"/>
          <w:b/>
          <w:sz w:val="40"/>
          <w:szCs w:val="40"/>
        </w:rPr>
        <w:t>Guideline</w:t>
      </w:r>
    </w:p>
    <w:p w14:paraId="086829D2" w14:textId="742C038B" w:rsidR="009A534C" w:rsidRPr="004B4E8B" w:rsidRDefault="001F486C" w:rsidP="009A534C">
      <w:pPr>
        <w:rPr>
          <w:rFonts w:cs="Arial"/>
          <w:b/>
          <w:i/>
          <w:sz w:val="36"/>
          <w:szCs w:val="36"/>
        </w:rPr>
      </w:pPr>
      <w:r w:rsidRPr="004B4E8B">
        <w:rPr>
          <w:rFonts w:cs="Arial"/>
          <w:b/>
          <w:i/>
          <w:sz w:val="36"/>
          <w:szCs w:val="36"/>
        </w:rPr>
        <w:t>Domiciliary Oxygen and Respiratory Support Scheme (DORSS) Home Oxygen (Paediatric and Adult Patients)</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4B4E8B" w14:paraId="086829D4" w14:textId="77777777" w:rsidTr="008E74FD">
        <w:trPr>
          <w:cantSplit/>
          <w:trHeight w:val="285"/>
        </w:trPr>
        <w:tc>
          <w:tcPr>
            <w:tcW w:w="9158" w:type="dxa"/>
            <w:shd w:val="clear" w:color="auto" w:fill="D9D9D9" w:themeFill="background1" w:themeFillShade="D9"/>
          </w:tcPr>
          <w:p w14:paraId="086829D3" w14:textId="77777777" w:rsidR="009A534C" w:rsidRPr="004B4E8B" w:rsidRDefault="009A534C" w:rsidP="00B10F87">
            <w:pPr>
              <w:pStyle w:val="Heading1"/>
            </w:pPr>
            <w:bookmarkStart w:id="0" w:name="_Toc389473273"/>
            <w:bookmarkStart w:id="1" w:name="_Toc393203330"/>
            <w:bookmarkStart w:id="2" w:name="Contents"/>
            <w:bookmarkStart w:id="3" w:name="_Toc132280669"/>
            <w:r w:rsidRPr="004B4E8B">
              <w:t>Contents</w:t>
            </w:r>
            <w:bookmarkEnd w:id="0"/>
            <w:bookmarkEnd w:id="1"/>
            <w:bookmarkEnd w:id="2"/>
            <w:bookmarkEnd w:id="3"/>
          </w:p>
        </w:tc>
      </w:tr>
    </w:tbl>
    <w:p w14:paraId="086829D5" w14:textId="77777777" w:rsidR="009A534C" w:rsidRPr="004B4E8B" w:rsidRDefault="009A534C" w:rsidP="00C13D33"/>
    <w:p w14:paraId="483DD748" w14:textId="7F5594DC" w:rsidR="008F2403" w:rsidRDefault="00A063FE">
      <w:pPr>
        <w:pStyle w:val="TOC1"/>
        <w:tabs>
          <w:tab w:val="right" w:leader="dot" w:pos="9060"/>
        </w:tabs>
        <w:rPr>
          <w:rFonts w:eastAsiaTheme="minorEastAsia" w:cstheme="minorBidi"/>
          <w:noProof/>
          <w:sz w:val="22"/>
          <w:szCs w:val="22"/>
          <w:lang w:eastAsia="en-AU"/>
        </w:rPr>
      </w:pPr>
      <w:r w:rsidRPr="004B4E8B">
        <w:rPr>
          <w:rFonts w:cs="Arial"/>
          <w:b/>
          <w:sz w:val="36"/>
          <w:szCs w:val="36"/>
        </w:rPr>
        <w:fldChar w:fldCharType="begin"/>
      </w:r>
      <w:r w:rsidR="005743AC" w:rsidRPr="004B4E8B">
        <w:rPr>
          <w:rFonts w:cs="Arial"/>
          <w:b/>
          <w:sz w:val="36"/>
          <w:szCs w:val="36"/>
        </w:rPr>
        <w:instrText xml:space="preserve"> TOC \h \z \t "Heading 1,1" </w:instrText>
      </w:r>
      <w:r w:rsidRPr="004B4E8B">
        <w:rPr>
          <w:rFonts w:cs="Arial"/>
          <w:b/>
          <w:sz w:val="36"/>
          <w:szCs w:val="36"/>
        </w:rPr>
        <w:fldChar w:fldCharType="separate"/>
      </w:r>
      <w:hyperlink w:anchor="_Toc132280669" w:history="1">
        <w:r w:rsidR="008F2403" w:rsidRPr="009B508C">
          <w:rPr>
            <w:rStyle w:val="Hyperlink"/>
            <w:noProof/>
          </w:rPr>
          <w:t>Contents</w:t>
        </w:r>
        <w:r w:rsidR="008F2403">
          <w:rPr>
            <w:noProof/>
            <w:webHidden/>
          </w:rPr>
          <w:tab/>
        </w:r>
        <w:r w:rsidR="008F2403">
          <w:rPr>
            <w:noProof/>
            <w:webHidden/>
          </w:rPr>
          <w:fldChar w:fldCharType="begin"/>
        </w:r>
        <w:r w:rsidR="008F2403">
          <w:rPr>
            <w:noProof/>
            <w:webHidden/>
          </w:rPr>
          <w:instrText xml:space="preserve"> PAGEREF _Toc132280669 \h </w:instrText>
        </w:r>
        <w:r w:rsidR="008F2403">
          <w:rPr>
            <w:noProof/>
            <w:webHidden/>
          </w:rPr>
        </w:r>
        <w:r w:rsidR="008F2403">
          <w:rPr>
            <w:noProof/>
            <w:webHidden/>
          </w:rPr>
          <w:fldChar w:fldCharType="separate"/>
        </w:r>
        <w:r w:rsidR="008F2403">
          <w:rPr>
            <w:noProof/>
            <w:webHidden/>
          </w:rPr>
          <w:t>1</w:t>
        </w:r>
        <w:r w:rsidR="008F2403">
          <w:rPr>
            <w:noProof/>
            <w:webHidden/>
          </w:rPr>
          <w:fldChar w:fldCharType="end"/>
        </w:r>
      </w:hyperlink>
    </w:p>
    <w:p w14:paraId="0778C84A" w14:textId="7A563895" w:rsidR="008F2403" w:rsidRDefault="008F2403">
      <w:pPr>
        <w:pStyle w:val="TOC1"/>
        <w:tabs>
          <w:tab w:val="right" w:leader="dot" w:pos="9060"/>
        </w:tabs>
        <w:rPr>
          <w:rFonts w:eastAsiaTheme="minorEastAsia" w:cstheme="minorBidi"/>
          <w:noProof/>
          <w:sz w:val="22"/>
          <w:szCs w:val="22"/>
          <w:lang w:eastAsia="en-AU"/>
        </w:rPr>
      </w:pPr>
      <w:hyperlink w:anchor="_Toc132280670" w:history="1">
        <w:r w:rsidRPr="009B508C">
          <w:rPr>
            <w:rStyle w:val="Hyperlink"/>
            <w:noProof/>
          </w:rPr>
          <w:t>Guideline Statement</w:t>
        </w:r>
        <w:r>
          <w:rPr>
            <w:noProof/>
            <w:webHidden/>
          </w:rPr>
          <w:tab/>
        </w:r>
        <w:r>
          <w:rPr>
            <w:noProof/>
            <w:webHidden/>
          </w:rPr>
          <w:fldChar w:fldCharType="begin"/>
        </w:r>
        <w:r>
          <w:rPr>
            <w:noProof/>
            <w:webHidden/>
          </w:rPr>
          <w:instrText xml:space="preserve"> PAGEREF _Toc132280670 \h </w:instrText>
        </w:r>
        <w:r>
          <w:rPr>
            <w:noProof/>
            <w:webHidden/>
          </w:rPr>
        </w:r>
        <w:r>
          <w:rPr>
            <w:noProof/>
            <w:webHidden/>
          </w:rPr>
          <w:fldChar w:fldCharType="separate"/>
        </w:r>
        <w:r>
          <w:rPr>
            <w:noProof/>
            <w:webHidden/>
          </w:rPr>
          <w:t>2</w:t>
        </w:r>
        <w:r>
          <w:rPr>
            <w:noProof/>
            <w:webHidden/>
          </w:rPr>
          <w:fldChar w:fldCharType="end"/>
        </w:r>
      </w:hyperlink>
    </w:p>
    <w:p w14:paraId="3FA87E46" w14:textId="39FBB90A" w:rsidR="008F2403" w:rsidRDefault="008F2403">
      <w:pPr>
        <w:pStyle w:val="TOC1"/>
        <w:tabs>
          <w:tab w:val="right" w:leader="dot" w:pos="9060"/>
        </w:tabs>
        <w:rPr>
          <w:rFonts w:eastAsiaTheme="minorEastAsia" w:cstheme="minorBidi"/>
          <w:noProof/>
          <w:sz w:val="22"/>
          <w:szCs w:val="22"/>
          <w:lang w:eastAsia="en-AU"/>
        </w:rPr>
      </w:pPr>
      <w:hyperlink w:anchor="_Toc132280671" w:history="1">
        <w:r w:rsidRPr="009B508C">
          <w:rPr>
            <w:rStyle w:val="Hyperlink"/>
            <w:noProof/>
          </w:rPr>
          <w:t>Scope</w:t>
        </w:r>
        <w:r>
          <w:rPr>
            <w:noProof/>
            <w:webHidden/>
          </w:rPr>
          <w:tab/>
        </w:r>
        <w:r>
          <w:rPr>
            <w:noProof/>
            <w:webHidden/>
          </w:rPr>
          <w:fldChar w:fldCharType="begin"/>
        </w:r>
        <w:r>
          <w:rPr>
            <w:noProof/>
            <w:webHidden/>
          </w:rPr>
          <w:instrText xml:space="preserve"> PAGEREF _Toc132280671 \h </w:instrText>
        </w:r>
        <w:r>
          <w:rPr>
            <w:noProof/>
            <w:webHidden/>
          </w:rPr>
        </w:r>
        <w:r>
          <w:rPr>
            <w:noProof/>
            <w:webHidden/>
          </w:rPr>
          <w:fldChar w:fldCharType="separate"/>
        </w:r>
        <w:r>
          <w:rPr>
            <w:noProof/>
            <w:webHidden/>
          </w:rPr>
          <w:t>2</w:t>
        </w:r>
        <w:r>
          <w:rPr>
            <w:noProof/>
            <w:webHidden/>
          </w:rPr>
          <w:fldChar w:fldCharType="end"/>
        </w:r>
      </w:hyperlink>
    </w:p>
    <w:p w14:paraId="3E011088" w14:textId="4938A0A7" w:rsidR="008F2403" w:rsidRDefault="008F2403">
      <w:pPr>
        <w:pStyle w:val="TOC1"/>
        <w:tabs>
          <w:tab w:val="right" w:leader="dot" w:pos="9060"/>
        </w:tabs>
        <w:rPr>
          <w:rFonts w:eastAsiaTheme="minorEastAsia" w:cstheme="minorBidi"/>
          <w:noProof/>
          <w:sz w:val="22"/>
          <w:szCs w:val="22"/>
          <w:lang w:eastAsia="en-AU"/>
        </w:rPr>
      </w:pPr>
      <w:hyperlink w:anchor="_Toc132280672" w:history="1">
        <w:r w:rsidRPr="009B508C">
          <w:rPr>
            <w:rStyle w:val="Hyperlink"/>
            <w:noProof/>
          </w:rPr>
          <w:t>Section 1 – Eligibility for DORSS Home Oxygen</w:t>
        </w:r>
        <w:r>
          <w:rPr>
            <w:noProof/>
            <w:webHidden/>
          </w:rPr>
          <w:tab/>
        </w:r>
        <w:r>
          <w:rPr>
            <w:noProof/>
            <w:webHidden/>
          </w:rPr>
          <w:fldChar w:fldCharType="begin"/>
        </w:r>
        <w:r>
          <w:rPr>
            <w:noProof/>
            <w:webHidden/>
          </w:rPr>
          <w:instrText xml:space="preserve"> PAGEREF _Toc132280672 \h </w:instrText>
        </w:r>
        <w:r>
          <w:rPr>
            <w:noProof/>
            <w:webHidden/>
          </w:rPr>
        </w:r>
        <w:r>
          <w:rPr>
            <w:noProof/>
            <w:webHidden/>
          </w:rPr>
          <w:fldChar w:fldCharType="separate"/>
        </w:r>
        <w:r>
          <w:rPr>
            <w:noProof/>
            <w:webHidden/>
          </w:rPr>
          <w:t>2</w:t>
        </w:r>
        <w:r>
          <w:rPr>
            <w:noProof/>
            <w:webHidden/>
          </w:rPr>
          <w:fldChar w:fldCharType="end"/>
        </w:r>
      </w:hyperlink>
    </w:p>
    <w:p w14:paraId="49E407B9" w14:textId="156E32B5" w:rsidR="008F2403" w:rsidRDefault="008F2403">
      <w:pPr>
        <w:pStyle w:val="TOC1"/>
        <w:tabs>
          <w:tab w:val="right" w:leader="dot" w:pos="9060"/>
        </w:tabs>
        <w:rPr>
          <w:rFonts w:eastAsiaTheme="minorEastAsia" w:cstheme="minorBidi"/>
          <w:noProof/>
          <w:sz w:val="22"/>
          <w:szCs w:val="22"/>
          <w:lang w:eastAsia="en-AU"/>
        </w:rPr>
      </w:pPr>
      <w:hyperlink w:anchor="_Toc132280673" w:history="1">
        <w:r w:rsidRPr="009B508C">
          <w:rPr>
            <w:rStyle w:val="Hyperlink"/>
            <w:noProof/>
          </w:rPr>
          <w:t xml:space="preserve">Section 2 – </w:t>
        </w:r>
        <w:r w:rsidRPr="009B508C">
          <w:rPr>
            <w:rStyle w:val="Hyperlink"/>
            <w:rFonts w:cs="Calibri"/>
            <w:noProof/>
          </w:rPr>
          <w:t>Prescriber Information</w:t>
        </w:r>
        <w:r>
          <w:rPr>
            <w:noProof/>
            <w:webHidden/>
          </w:rPr>
          <w:tab/>
        </w:r>
        <w:r>
          <w:rPr>
            <w:noProof/>
            <w:webHidden/>
          </w:rPr>
          <w:fldChar w:fldCharType="begin"/>
        </w:r>
        <w:r>
          <w:rPr>
            <w:noProof/>
            <w:webHidden/>
          </w:rPr>
          <w:instrText xml:space="preserve"> PAGEREF _Toc132280673 \h </w:instrText>
        </w:r>
        <w:r>
          <w:rPr>
            <w:noProof/>
            <w:webHidden/>
          </w:rPr>
        </w:r>
        <w:r>
          <w:rPr>
            <w:noProof/>
            <w:webHidden/>
          </w:rPr>
          <w:fldChar w:fldCharType="separate"/>
        </w:r>
        <w:r>
          <w:rPr>
            <w:noProof/>
            <w:webHidden/>
          </w:rPr>
          <w:t>4</w:t>
        </w:r>
        <w:r>
          <w:rPr>
            <w:noProof/>
            <w:webHidden/>
          </w:rPr>
          <w:fldChar w:fldCharType="end"/>
        </w:r>
      </w:hyperlink>
    </w:p>
    <w:p w14:paraId="4C0927A3" w14:textId="130E9EE8" w:rsidR="008F2403" w:rsidRDefault="008F2403">
      <w:pPr>
        <w:pStyle w:val="TOC1"/>
        <w:tabs>
          <w:tab w:val="right" w:leader="dot" w:pos="9060"/>
        </w:tabs>
        <w:rPr>
          <w:rFonts w:eastAsiaTheme="minorEastAsia" w:cstheme="minorBidi"/>
          <w:noProof/>
          <w:sz w:val="22"/>
          <w:szCs w:val="22"/>
          <w:lang w:eastAsia="en-AU"/>
        </w:rPr>
      </w:pPr>
      <w:hyperlink w:anchor="_Toc132280674" w:history="1">
        <w:r w:rsidRPr="009B508C">
          <w:rPr>
            <w:rStyle w:val="Hyperlink"/>
            <w:noProof/>
          </w:rPr>
          <w:t>Section 3 – DORSS Responsibilities</w:t>
        </w:r>
        <w:r>
          <w:rPr>
            <w:noProof/>
            <w:webHidden/>
          </w:rPr>
          <w:tab/>
        </w:r>
        <w:r>
          <w:rPr>
            <w:noProof/>
            <w:webHidden/>
          </w:rPr>
          <w:fldChar w:fldCharType="begin"/>
        </w:r>
        <w:r>
          <w:rPr>
            <w:noProof/>
            <w:webHidden/>
          </w:rPr>
          <w:instrText xml:space="preserve"> PAGEREF _Toc132280674 \h </w:instrText>
        </w:r>
        <w:r>
          <w:rPr>
            <w:noProof/>
            <w:webHidden/>
          </w:rPr>
        </w:r>
        <w:r>
          <w:rPr>
            <w:noProof/>
            <w:webHidden/>
          </w:rPr>
          <w:fldChar w:fldCharType="separate"/>
        </w:r>
        <w:r>
          <w:rPr>
            <w:noProof/>
            <w:webHidden/>
          </w:rPr>
          <w:t>6</w:t>
        </w:r>
        <w:r>
          <w:rPr>
            <w:noProof/>
            <w:webHidden/>
          </w:rPr>
          <w:fldChar w:fldCharType="end"/>
        </w:r>
      </w:hyperlink>
    </w:p>
    <w:p w14:paraId="1642737B" w14:textId="583A35A9" w:rsidR="008F2403" w:rsidRDefault="008F2403">
      <w:pPr>
        <w:pStyle w:val="TOC1"/>
        <w:tabs>
          <w:tab w:val="right" w:leader="dot" w:pos="9060"/>
        </w:tabs>
        <w:rPr>
          <w:rFonts w:eastAsiaTheme="minorEastAsia" w:cstheme="minorBidi"/>
          <w:noProof/>
          <w:sz w:val="22"/>
          <w:szCs w:val="22"/>
          <w:lang w:eastAsia="en-AU"/>
        </w:rPr>
      </w:pPr>
      <w:hyperlink w:anchor="_Toc132280675" w:history="1">
        <w:r w:rsidRPr="009B508C">
          <w:rPr>
            <w:rStyle w:val="Hyperlink"/>
            <w:noProof/>
          </w:rPr>
          <w:t>Section 4 – Reporting Requirements</w:t>
        </w:r>
        <w:r>
          <w:rPr>
            <w:noProof/>
            <w:webHidden/>
          </w:rPr>
          <w:tab/>
        </w:r>
        <w:r>
          <w:rPr>
            <w:noProof/>
            <w:webHidden/>
          </w:rPr>
          <w:fldChar w:fldCharType="begin"/>
        </w:r>
        <w:r>
          <w:rPr>
            <w:noProof/>
            <w:webHidden/>
          </w:rPr>
          <w:instrText xml:space="preserve"> PAGEREF _Toc132280675 \h </w:instrText>
        </w:r>
        <w:r>
          <w:rPr>
            <w:noProof/>
            <w:webHidden/>
          </w:rPr>
        </w:r>
        <w:r>
          <w:rPr>
            <w:noProof/>
            <w:webHidden/>
          </w:rPr>
          <w:fldChar w:fldCharType="separate"/>
        </w:r>
        <w:r>
          <w:rPr>
            <w:noProof/>
            <w:webHidden/>
          </w:rPr>
          <w:t>7</w:t>
        </w:r>
        <w:r>
          <w:rPr>
            <w:noProof/>
            <w:webHidden/>
          </w:rPr>
          <w:fldChar w:fldCharType="end"/>
        </w:r>
      </w:hyperlink>
    </w:p>
    <w:p w14:paraId="0E54F24E" w14:textId="3AF0A849" w:rsidR="008F2403" w:rsidRDefault="008F2403">
      <w:pPr>
        <w:pStyle w:val="TOC1"/>
        <w:tabs>
          <w:tab w:val="right" w:leader="dot" w:pos="9060"/>
        </w:tabs>
        <w:rPr>
          <w:rFonts w:eastAsiaTheme="minorEastAsia" w:cstheme="minorBidi"/>
          <w:noProof/>
          <w:sz w:val="22"/>
          <w:szCs w:val="22"/>
          <w:lang w:eastAsia="en-AU"/>
        </w:rPr>
      </w:pPr>
      <w:hyperlink w:anchor="_Toc132280676" w:history="1">
        <w:r w:rsidRPr="009B508C">
          <w:rPr>
            <w:rStyle w:val="Hyperlink"/>
            <w:noProof/>
          </w:rPr>
          <w:t>Evaluation</w:t>
        </w:r>
        <w:r>
          <w:rPr>
            <w:noProof/>
            <w:webHidden/>
          </w:rPr>
          <w:tab/>
        </w:r>
        <w:r>
          <w:rPr>
            <w:noProof/>
            <w:webHidden/>
          </w:rPr>
          <w:fldChar w:fldCharType="begin"/>
        </w:r>
        <w:r>
          <w:rPr>
            <w:noProof/>
            <w:webHidden/>
          </w:rPr>
          <w:instrText xml:space="preserve"> PAGEREF _Toc132280676 \h </w:instrText>
        </w:r>
        <w:r>
          <w:rPr>
            <w:noProof/>
            <w:webHidden/>
          </w:rPr>
        </w:r>
        <w:r>
          <w:rPr>
            <w:noProof/>
            <w:webHidden/>
          </w:rPr>
          <w:fldChar w:fldCharType="separate"/>
        </w:r>
        <w:r>
          <w:rPr>
            <w:noProof/>
            <w:webHidden/>
          </w:rPr>
          <w:t>8</w:t>
        </w:r>
        <w:r>
          <w:rPr>
            <w:noProof/>
            <w:webHidden/>
          </w:rPr>
          <w:fldChar w:fldCharType="end"/>
        </w:r>
      </w:hyperlink>
    </w:p>
    <w:p w14:paraId="6BE04BC9" w14:textId="3831098B" w:rsidR="008F2403" w:rsidRDefault="008F2403">
      <w:pPr>
        <w:pStyle w:val="TOC1"/>
        <w:tabs>
          <w:tab w:val="right" w:leader="dot" w:pos="9060"/>
        </w:tabs>
        <w:rPr>
          <w:rFonts w:eastAsiaTheme="minorEastAsia" w:cstheme="minorBidi"/>
          <w:noProof/>
          <w:sz w:val="22"/>
          <w:szCs w:val="22"/>
          <w:lang w:eastAsia="en-AU"/>
        </w:rPr>
      </w:pPr>
      <w:hyperlink w:anchor="_Toc132280677" w:history="1">
        <w:r w:rsidRPr="009B508C">
          <w:rPr>
            <w:rStyle w:val="Hyperlink"/>
            <w:noProof/>
          </w:rPr>
          <w:t>Related Policies, Procedures, Guidelines and Legislation</w:t>
        </w:r>
        <w:r>
          <w:rPr>
            <w:noProof/>
            <w:webHidden/>
          </w:rPr>
          <w:tab/>
        </w:r>
        <w:r>
          <w:rPr>
            <w:noProof/>
            <w:webHidden/>
          </w:rPr>
          <w:fldChar w:fldCharType="begin"/>
        </w:r>
        <w:r>
          <w:rPr>
            <w:noProof/>
            <w:webHidden/>
          </w:rPr>
          <w:instrText xml:space="preserve"> PAGEREF _Toc132280677 \h </w:instrText>
        </w:r>
        <w:r>
          <w:rPr>
            <w:noProof/>
            <w:webHidden/>
          </w:rPr>
        </w:r>
        <w:r>
          <w:rPr>
            <w:noProof/>
            <w:webHidden/>
          </w:rPr>
          <w:fldChar w:fldCharType="separate"/>
        </w:r>
        <w:r>
          <w:rPr>
            <w:noProof/>
            <w:webHidden/>
          </w:rPr>
          <w:t>8</w:t>
        </w:r>
        <w:r>
          <w:rPr>
            <w:noProof/>
            <w:webHidden/>
          </w:rPr>
          <w:fldChar w:fldCharType="end"/>
        </w:r>
      </w:hyperlink>
    </w:p>
    <w:p w14:paraId="16C859BB" w14:textId="0ECBC488" w:rsidR="008F2403" w:rsidRDefault="008F2403">
      <w:pPr>
        <w:pStyle w:val="TOC1"/>
        <w:tabs>
          <w:tab w:val="right" w:leader="dot" w:pos="9060"/>
        </w:tabs>
        <w:rPr>
          <w:rFonts w:eastAsiaTheme="minorEastAsia" w:cstheme="minorBidi"/>
          <w:noProof/>
          <w:sz w:val="22"/>
          <w:szCs w:val="22"/>
          <w:lang w:eastAsia="en-AU"/>
        </w:rPr>
      </w:pPr>
      <w:hyperlink w:anchor="_Toc132280678" w:history="1">
        <w:r w:rsidRPr="009B508C">
          <w:rPr>
            <w:rStyle w:val="Hyperlink"/>
            <w:noProof/>
          </w:rPr>
          <w:t>References</w:t>
        </w:r>
        <w:r>
          <w:rPr>
            <w:noProof/>
            <w:webHidden/>
          </w:rPr>
          <w:tab/>
        </w:r>
        <w:r>
          <w:rPr>
            <w:noProof/>
            <w:webHidden/>
          </w:rPr>
          <w:fldChar w:fldCharType="begin"/>
        </w:r>
        <w:r>
          <w:rPr>
            <w:noProof/>
            <w:webHidden/>
          </w:rPr>
          <w:instrText xml:space="preserve"> PAGEREF _Toc132280678 \h </w:instrText>
        </w:r>
        <w:r>
          <w:rPr>
            <w:noProof/>
            <w:webHidden/>
          </w:rPr>
        </w:r>
        <w:r>
          <w:rPr>
            <w:noProof/>
            <w:webHidden/>
          </w:rPr>
          <w:fldChar w:fldCharType="separate"/>
        </w:r>
        <w:r>
          <w:rPr>
            <w:noProof/>
            <w:webHidden/>
          </w:rPr>
          <w:t>9</w:t>
        </w:r>
        <w:r>
          <w:rPr>
            <w:noProof/>
            <w:webHidden/>
          </w:rPr>
          <w:fldChar w:fldCharType="end"/>
        </w:r>
      </w:hyperlink>
    </w:p>
    <w:p w14:paraId="1F270A37" w14:textId="38A306C1" w:rsidR="008F2403" w:rsidRDefault="008F2403">
      <w:pPr>
        <w:pStyle w:val="TOC1"/>
        <w:tabs>
          <w:tab w:val="right" w:leader="dot" w:pos="9060"/>
        </w:tabs>
        <w:rPr>
          <w:rFonts w:eastAsiaTheme="minorEastAsia" w:cstheme="minorBidi"/>
          <w:noProof/>
          <w:sz w:val="22"/>
          <w:szCs w:val="22"/>
          <w:lang w:eastAsia="en-AU"/>
        </w:rPr>
      </w:pPr>
      <w:hyperlink w:anchor="_Toc132280679" w:history="1">
        <w:r w:rsidRPr="009B508C">
          <w:rPr>
            <w:rStyle w:val="Hyperlink"/>
            <w:noProof/>
          </w:rPr>
          <w:t>Search Terms</w:t>
        </w:r>
        <w:r>
          <w:rPr>
            <w:noProof/>
            <w:webHidden/>
          </w:rPr>
          <w:tab/>
        </w:r>
        <w:r>
          <w:rPr>
            <w:noProof/>
            <w:webHidden/>
          </w:rPr>
          <w:fldChar w:fldCharType="begin"/>
        </w:r>
        <w:r>
          <w:rPr>
            <w:noProof/>
            <w:webHidden/>
          </w:rPr>
          <w:instrText xml:space="preserve"> PAGEREF _Toc132280679 \h </w:instrText>
        </w:r>
        <w:r>
          <w:rPr>
            <w:noProof/>
            <w:webHidden/>
          </w:rPr>
        </w:r>
        <w:r>
          <w:rPr>
            <w:noProof/>
            <w:webHidden/>
          </w:rPr>
          <w:fldChar w:fldCharType="separate"/>
        </w:r>
        <w:r>
          <w:rPr>
            <w:noProof/>
            <w:webHidden/>
          </w:rPr>
          <w:t>9</w:t>
        </w:r>
        <w:r>
          <w:rPr>
            <w:noProof/>
            <w:webHidden/>
          </w:rPr>
          <w:fldChar w:fldCharType="end"/>
        </w:r>
      </w:hyperlink>
    </w:p>
    <w:p w14:paraId="086829E2" w14:textId="37BFAB0F" w:rsidR="009A534C" w:rsidRPr="004B4E8B" w:rsidRDefault="00A063FE" w:rsidP="006743DB">
      <w:r w:rsidRPr="004B4E8B">
        <w:fldChar w:fldCharType="end"/>
      </w:r>
    </w:p>
    <w:p w14:paraId="086829E3" w14:textId="77777777" w:rsidR="009A534C" w:rsidRPr="004B4E8B" w:rsidRDefault="009A534C" w:rsidP="006743DB">
      <w:r w:rsidRPr="004B4E8B">
        <w:br w:type="page"/>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4B4E8B" w14:paraId="086829E5" w14:textId="77777777" w:rsidTr="008E74FD">
        <w:trPr>
          <w:cantSplit/>
          <w:trHeight w:val="285"/>
        </w:trPr>
        <w:tc>
          <w:tcPr>
            <w:tcW w:w="9158" w:type="dxa"/>
            <w:shd w:val="clear" w:color="auto" w:fill="D9D9D9" w:themeFill="background1" w:themeFillShade="D9"/>
          </w:tcPr>
          <w:p w14:paraId="086829E4" w14:textId="77777777" w:rsidR="009A534C" w:rsidRPr="004B4E8B" w:rsidRDefault="00010E74" w:rsidP="00B10F87">
            <w:pPr>
              <w:pStyle w:val="Heading1"/>
            </w:pPr>
            <w:bookmarkStart w:id="4" w:name="_Toc132280670"/>
            <w:r w:rsidRPr="004B4E8B">
              <w:lastRenderedPageBreak/>
              <w:t>Guideline Statement</w:t>
            </w:r>
            <w:bookmarkEnd w:id="4"/>
          </w:p>
        </w:tc>
      </w:tr>
    </w:tbl>
    <w:p w14:paraId="086829E6" w14:textId="77777777" w:rsidR="009A534C" w:rsidRPr="004B4E8B" w:rsidRDefault="009A534C" w:rsidP="00C13D33">
      <w:pPr>
        <w:rPr>
          <w:rFonts w:cs="Arial"/>
          <w:b/>
          <w:szCs w:val="24"/>
        </w:rPr>
      </w:pPr>
    </w:p>
    <w:p w14:paraId="086829E9" w14:textId="77777777" w:rsidR="00010E74" w:rsidRPr="004B4E8B" w:rsidRDefault="00010E74" w:rsidP="00C13D33">
      <w:pPr>
        <w:pStyle w:val="Heading2"/>
      </w:pPr>
      <w:r w:rsidRPr="004B4E8B">
        <w:t>Background</w:t>
      </w:r>
    </w:p>
    <w:p w14:paraId="6992016D" w14:textId="2E04EE74" w:rsidR="00BE257A" w:rsidRPr="004B4E8B" w:rsidRDefault="00BE257A" w:rsidP="00BE257A">
      <w:pPr>
        <w:rPr>
          <w:rFonts w:cs="Arial"/>
          <w:szCs w:val="24"/>
        </w:rPr>
      </w:pPr>
      <w:r w:rsidRPr="004B4E8B">
        <w:rPr>
          <w:rFonts w:cs="Arial"/>
          <w:szCs w:val="24"/>
        </w:rPr>
        <w:t xml:space="preserve">The guideline is based on best practice information for the management of patients requiring home oxygen (see References). </w:t>
      </w:r>
    </w:p>
    <w:p w14:paraId="086829EB" w14:textId="77777777" w:rsidR="00010E74" w:rsidRPr="004B4E8B" w:rsidRDefault="00010E74" w:rsidP="00C13D33">
      <w:pPr>
        <w:rPr>
          <w:i/>
        </w:rPr>
      </w:pPr>
    </w:p>
    <w:p w14:paraId="086829EC" w14:textId="77777777" w:rsidR="00010E74" w:rsidRPr="004B4E8B" w:rsidRDefault="00010E74" w:rsidP="00C13D33">
      <w:pPr>
        <w:pStyle w:val="Heading2"/>
      </w:pPr>
      <w:r w:rsidRPr="004B4E8B">
        <w:t>Key Objective</w:t>
      </w:r>
    </w:p>
    <w:p w14:paraId="6C6D1242" w14:textId="77777777" w:rsidR="00BE257A" w:rsidRPr="004B4E8B" w:rsidRDefault="00BE257A" w:rsidP="00BE257A">
      <w:pPr>
        <w:rPr>
          <w:rFonts w:cs="Arial"/>
          <w:szCs w:val="24"/>
        </w:rPr>
      </w:pPr>
      <w:r w:rsidRPr="004B4E8B">
        <w:rPr>
          <w:rFonts w:cs="Arial"/>
          <w:szCs w:val="24"/>
        </w:rPr>
        <w:t xml:space="preserve">This guideline provides clinicians with information about the Domiciliary Oxygen and Respiratory Support Scheme (DORSS) with respect to the provision of home oxygen therapy for eligible patients. </w:t>
      </w:r>
    </w:p>
    <w:p w14:paraId="086829EE" w14:textId="77777777" w:rsidR="00010E74" w:rsidRPr="004B4E8B" w:rsidRDefault="00010E74" w:rsidP="00C13D33"/>
    <w:p w14:paraId="086829EF" w14:textId="77777777" w:rsidR="009A534C" w:rsidRPr="004B4E8B" w:rsidRDefault="00010E74" w:rsidP="00C13D33">
      <w:pPr>
        <w:pStyle w:val="Heading2"/>
      </w:pPr>
      <w:r w:rsidRPr="004B4E8B">
        <w:t>Alerts</w:t>
      </w:r>
      <w:r w:rsidR="009A534C" w:rsidRPr="004B4E8B">
        <w:t xml:space="preserve"> </w:t>
      </w:r>
    </w:p>
    <w:p w14:paraId="086829F1" w14:textId="29B99B0C" w:rsidR="00010E74" w:rsidRPr="004B4E8B" w:rsidRDefault="007248C4" w:rsidP="00C13D33">
      <w:pPr>
        <w:rPr>
          <w:rFonts w:cs="Arial"/>
          <w:szCs w:val="24"/>
        </w:rPr>
      </w:pPr>
      <w:r w:rsidRPr="004B4E8B">
        <w:rPr>
          <w:rFonts w:cs="Arial"/>
          <w:szCs w:val="24"/>
        </w:rPr>
        <w:t>The provision of home oxygen therapy is one component of management. Patient support and clinical review are equally important.</w:t>
      </w:r>
    </w:p>
    <w:p w14:paraId="39B1B399" w14:textId="77777777" w:rsidR="007248C4" w:rsidRPr="004B4E8B" w:rsidRDefault="007248C4" w:rsidP="00C13D33"/>
    <w:p w14:paraId="086829F2" w14:textId="77777777" w:rsidR="0098579F" w:rsidRPr="004B4E8B" w:rsidRDefault="009A534C" w:rsidP="00C13D33">
      <w:pPr>
        <w:jc w:val="right"/>
      </w:pPr>
      <w:hyperlink w:anchor="Contents" w:history="1">
        <w:r w:rsidRPr="004B4E8B">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8579F" w:rsidRPr="004B4E8B" w14:paraId="086829F4" w14:textId="77777777" w:rsidTr="008E74FD">
        <w:trPr>
          <w:cantSplit/>
          <w:trHeight w:val="285"/>
        </w:trPr>
        <w:tc>
          <w:tcPr>
            <w:tcW w:w="9158" w:type="dxa"/>
            <w:shd w:val="clear" w:color="auto" w:fill="D9D9D9" w:themeFill="background1" w:themeFillShade="D9"/>
          </w:tcPr>
          <w:p w14:paraId="086829F3" w14:textId="77777777" w:rsidR="0098579F" w:rsidRPr="004B4E8B" w:rsidRDefault="0098579F" w:rsidP="00B10F87">
            <w:pPr>
              <w:pStyle w:val="Heading1"/>
            </w:pPr>
            <w:bookmarkStart w:id="5" w:name="_Toc132280671"/>
            <w:r w:rsidRPr="004B4E8B">
              <w:t>Scope</w:t>
            </w:r>
            <w:bookmarkEnd w:id="5"/>
          </w:p>
        </w:tc>
      </w:tr>
    </w:tbl>
    <w:p w14:paraId="086829F5" w14:textId="77777777" w:rsidR="0098579F" w:rsidRPr="004B4E8B" w:rsidRDefault="0098579F" w:rsidP="0098579F"/>
    <w:p w14:paraId="7779652C" w14:textId="6F6F593C" w:rsidR="002844F4" w:rsidRPr="004B4E8B" w:rsidRDefault="002844F4" w:rsidP="002844F4">
      <w:p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t>This document applies to</w:t>
      </w:r>
      <w:r w:rsidR="007248C4" w:rsidRPr="004B4E8B">
        <w:rPr>
          <w:rFonts w:asciiTheme="minorHAnsi" w:eastAsiaTheme="minorHAnsi" w:hAnsiTheme="minorHAnsi" w:cs="ArialMT"/>
          <w:szCs w:val="24"/>
        </w:rPr>
        <w:t xml:space="preserve"> the following CHS staff (and for the information </w:t>
      </w:r>
      <w:r w:rsidR="005B3B72" w:rsidRPr="004B4E8B">
        <w:rPr>
          <w:rFonts w:asciiTheme="minorHAnsi" w:eastAsiaTheme="minorHAnsi" w:hAnsiTheme="minorHAnsi" w:cs="ArialMT"/>
          <w:szCs w:val="24"/>
        </w:rPr>
        <w:t>of those working within the private setting)</w:t>
      </w:r>
      <w:r w:rsidRPr="004B4E8B">
        <w:rPr>
          <w:rFonts w:asciiTheme="minorHAnsi" w:eastAsiaTheme="minorHAnsi" w:hAnsiTheme="minorHAnsi" w:cs="ArialMT"/>
          <w:szCs w:val="24"/>
        </w:rPr>
        <w:t>:</w:t>
      </w:r>
    </w:p>
    <w:p w14:paraId="072B34A9" w14:textId="1DBF4EE1" w:rsidR="002844F4" w:rsidRPr="004B4E8B" w:rsidRDefault="002844F4" w:rsidP="001C4B42">
      <w:pPr>
        <w:pStyle w:val="ListBullet"/>
        <w:rPr>
          <w:rFonts w:eastAsiaTheme="minorHAnsi"/>
        </w:rPr>
      </w:pPr>
      <w:r w:rsidRPr="004B4E8B">
        <w:rPr>
          <w:rFonts w:eastAsiaTheme="minorHAnsi"/>
        </w:rPr>
        <w:t xml:space="preserve">Referring cardiologists, geriatricians, oncologists, paediatricians, palliative care nurse practitioners and consultants, respiratory physicians and sleep medicine physicians </w:t>
      </w:r>
    </w:p>
    <w:p w14:paraId="1F8FEB9F" w14:textId="4F41DFC9" w:rsidR="002844F4" w:rsidRPr="004B4E8B" w:rsidRDefault="002844F4" w:rsidP="001C4B42">
      <w:pPr>
        <w:pStyle w:val="ListBullet"/>
        <w:rPr>
          <w:rFonts w:eastAsiaTheme="minorHAnsi"/>
        </w:rPr>
      </w:pPr>
      <w:r w:rsidRPr="004B4E8B">
        <w:rPr>
          <w:rFonts w:eastAsiaTheme="minorHAnsi"/>
        </w:rPr>
        <w:t xml:space="preserve">Allied health and nursing staff involved in the diagnosis and management of patients who have been assessed for continuous oxygen therapy </w:t>
      </w:r>
    </w:p>
    <w:p w14:paraId="6F4EFD63" w14:textId="77777777" w:rsidR="002844F4" w:rsidRPr="004B4E8B" w:rsidRDefault="002844F4" w:rsidP="001C4B42">
      <w:pPr>
        <w:pStyle w:val="ListBullet"/>
        <w:rPr>
          <w:rFonts w:eastAsiaTheme="minorHAnsi"/>
        </w:rPr>
      </w:pPr>
      <w:r w:rsidRPr="004B4E8B">
        <w:rPr>
          <w:rFonts w:eastAsiaTheme="minorHAnsi"/>
        </w:rPr>
        <w:t>DORSS Advisory Committee and Program staff.</w:t>
      </w:r>
    </w:p>
    <w:p w14:paraId="445BBBDF" w14:textId="77777777" w:rsidR="002844F4" w:rsidRPr="004B4E8B" w:rsidRDefault="002844F4" w:rsidP="002844F4">
      <w:pPr>
        <w:autoSpaceDE w:val="0"/>
        <w:autoSpaceDN w:val="0"/>
        <w:adjustRightInd w:val="0"/>
        <w:ind w:left="360"/>
        <w:rPr>
          <w:rFonts w:asciiTheme="minorHAnsi" w:eastAsiaTheme="minorHAnsi" w:hAnsiTheme="minorHAnsi" w:cs="ArialMT"/>
          <w:szCs w:val="24"/>
        </w:rPr>
      </w:pPr>
    </w:p>
    <w:p w14:paraId="0E432C10" w14:textId="77777777" w:rsidR="002844F4" w:rsidRPr="004B4E8B" w:rsidRDefault="002844F4" w:rsidP="002844F4">
      <w:p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t xml:space="preserve">This document pertains to adult and paediatric patients requiring home oxygen therapy. </w:t>
      </w:r>
    </w:p>
    <w:p w14:paraId="086829FE" w14:textId="77777777" w:rsidR="00C13D33" w:rsidRPr="004B4E8B" w:rsidRDefault="00C13D33" w:rsidP="00C13D33">
      <w:pPr>
        <w:rPr>
          <w:rFonts w:cs="Arial"/>
          <w:iCs/>
          <w:szCs w:val="24"/>
        </w:rPr>
      </w:pPr>
    </w:p>
    <w:p w14:paraId="086829FF" w14:textId="77777777" w:rsidR="00C13D33" w:rsidRPr="004B4E8B" w:rsidRDefault="00C13D33" w:rsidP="009A534C">
      <w:pPr>
        <w:jc w:val="right"/>
        <w:rPr>
          <w:rFonts w:cs="Arial"/>
          <w:szCs w:val="24"/>
        </w:rPr>
      </w:pPr>
      <w:hyperlink w:anchor="Contents" w:history="1">
        <w:r w:rsidRPr="004B4E8B">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4B4E8B" w14:paraId="08682A01" w14:textId="77777777" w:rsidTr="008E74FD">
        <w:trPr>
          <w:cantSplit/>
          <w:trHeight w:val="285"/>
        </w:trPr>
        <w:tc>
          <w:tcPr>
            <w:tcW w:w="9158" w:type="dxa"/>
            <w:shd w:val="clear" w:color="auto" w:fill="D9D9D9" w:themeFill="background1" w:themeFillShade="D9"/>
          </w:tcPr>
          <w:p w14:paraId="08682A00" w14:textId="0B8B3FD4" w:rsidR="009A534C" w:rsidRPr="004B4E8B" w:rsidRDefault="009A534C" w:rsidP="00B10F87">
            <w:pPr>
              <w:pStyle w:val="Heading1"/>
            </w:pPr>
            <w:bookmarkStart w:id="6" w:name="_Toc389473278"/>
            <w:bookmarkStart w:id="7" w:name="_Toc393203334"/>
            <w:bookmarkStart w:id="8" w:name="_Toc132280672"/>
            <w:r w:rsidRPr="004B4E8B">
              <w:t xml:space="preserve">Section 1 – </w:t>
            </w:r>
            <w:bookmarkEnd w:id="6"/>
            <w:bookmarkEnd w:id="7"/>
            <w:r w:rsidR="002844F4" w:rsidRPr="004B4E8B">
              <w:rPr>
                <w:rFonts w:asciiTheme="minorHAnsi" w:hAnsiTheme="minorHAnsi"/>
                <w:szCs w:val="24"/>
              </w:rPr>
              <w:t>Eligibility for DORSS Home Oxygen</w:t>
            </w:r>
            <w:bookmarkEnd w:id="8"/>
          </w:p>
        </w:tc>
      </w:tr>
    </w:tbl>
    <w:p w14:paraId="100D2792" w14:textId="77777777" w:rsidR="005B3B72" w:rsidRPr="004B4E8B" w:rsidRDefault="005B3B72" w:rsidP="002844F4">
      <w:pPr>
        <w:pStyle w:val="Heading2"/>
      </w:pPr>
      <w:bookmarkStart w:id="9" w:name="_Toc129349941"/>
    </w:p>
    <w:bookmarkEnd w:id="9"/>
    <w:p w14:paraId="0F8322A4" w14:textId="77777777" w:rsidR="008F7486" w:rsidRPr="004B4E8B" w:rsidRDefault="008F7486" w:rsidP="008F7486">
      <w:pPr>
        <w:pStyle w:val="Heading2"/>
      </w:pPr>
      <w:r w:rsidRPr="004B4E8B">
        <w:t>Patient Criteria</w:t>
      </w:r>
    </w:p>
    <w:p w14:paraId="34D4B7E8" w14:textId="77777777" w:rsidR="008F7486" w:rsidRPr="004B4E8B" w:rsidRDefault="008F7486" w:rsidP="008F7486">
      <w:pPr>
        <w:autoSpaceDE w:val="0"/>
        <w:autoSpaceDN w:val="0"/>
        <w:adjustRightInd w:val="0"/>
        <w:rPr>
          <w:rFonts w:asciiTheme="minorHAnsi" w:eastAsiaTheme="minorHAnsi" w:hAnsiTheme="minorHAnsi" w:cs="Arial-BoldMT"/>
          <w:bCs/>
          <w:szCs w:val="24"/>
        </w:rPr>
      </w:pPr>
      <w:r w:rsidRPr="004B4E8B">
        <w:rPr>
          <w:rFonts w:asciiTheme="minorHAnsi" w:eastAsiaTheme="minorHAnsi" w:hAnsiTheme="minorHAnsi" w:cs="Arial-BoldMT"/>
          <w:bCs/>
          <w:szCs w:val="24"/>
        </w:rPr>
        <w:t xml:space="preserve">Patients must fulfil these criteria to be eligible for DORSS home oxygen </w:t>
      </w:r>
      <w:r w:rsidRPr="004B4E8B">
        <w:rPr>
          <w:rFonts w:asciiTheme="minorHAnsi" w:hAnsiTheme="minorHAnsi" w:cs="Calibri"/>
          <w:szCs w:val="24"/>
        </w:rPr>
        <w:t>therapy</w:t>
      </w:r>
      <w:r w:rsidRPr="004B4E8B">
        <w:rPr>
          <w:rFonts w:asciiTheme="minorHAnsi" w:eastAsiaTheme="minorHAnsi" w:hAnsiTheme="minorHAnsi" w:cs="Arial-BoldMT"/>
          <w:bCs/>
          <w:szCs w:val="24"/>
        </w:rPr>
        <w:t>.</w:t>
      </w:r>
      <w:r w:rsidRPr="004B4E8B">
        <w:rPr>
          <w:rFonts w:asciiTheme="minorHAnsi" w:eastAsiaTheme="minorHAnsi" w:hAnsiTheme="minorHAnsi" w:cs="Arial-BoldMT"/>
          <w:b/>
          <w:bCs/>
          <w:szCs w:val="24"/>
        </w:rPr>
        <w:t xml:space="preserve"> </w:t>
      </w:r>
      <w:r w:rsidRPr="004B4E8B">
        <w:rPr>
          <w:rFonts w:asciiTheme="minorHAnsi" w:eastAsiaTheme="minorHAnsi" w:hAnsiTheme="minorHAnsi" w:cs="Arial-BoldMT"/>
          <w:bCs/>
          <w:szCs w:val="24"/>
        </w:rPr>
        <w:t>The patient must:</w:t>
      </w:r>
    </w:p>
    <w:p w14:paraId="5FA02050" w14:textId="77777777" w:rsidR="008F7486" w:rsidRPr="004B4E8B" w:rsidRDefault="008F7486" w:rsidP="008F7486">
      <w:pPr>
        <w:pStyle w:val="ListBullet"/>
        <w:rPr>
          <w:rFonts w:eastAsiaTheme="minorHAnsi"/>
        </w:rPr>
      </w:pPr>
      <w:r w:rsidRPr="004B4E8B">
        <w:rPr>
          <w:rFonts w:eastAsiaTheme="minorHAnsi"/>
        </w:rPr>
        <w:t>be an Australian citizen or the holder of a permanent visa</w:t>
      </w:r>
    </w:p>
    <w:p w14:paraId="1D047F85" w14:textId="77777777" w:rsidR="008F7486" w:rsidRPr="004B4E8B" w:rsidRDefault="008F7486" w:rsidP="008F7486">
      <w:pPr>
        <w:pStyle w:val="ListBullet"/>
        <w:rPr>
          <w:rFonts w:eastAsiaTheme="minorHAnsi"/>
        </w:rPr>
      </w:pPr>
      <w:r w:rsidRPr="004B4E8B">
        <w:rPr>
          <w:rFonts w:eastAsiaTheme="minorHAnsi"/>
        </w:rPr>
        <w:t>be a permanent resident of the Australian Capital Territory (ACT)</w:t>
      </w:r>
    </w:p>
    <w:p w14:paraId="509CDEB7" w14:textId="77777777" w:rsidR="008F7486" w:rsidRPr="004B4E8B" w:rsidRDefault="008F7486" w:rsidP="008F7486">
      <w:pPr>
        <w:pStyle w:val="ListBullet"/>
        <w:rPr>
          <w:rFonts w:eastAsiaTheme="minorHAnsi"/>
        </w:rPr>
      </w:pPr>
      <w:r w:rsidRPr="004B4E8B">
        <w:rPr>
          <w:rFonts w:eastAsiaTheme="minorHAnsi"/>
        </w:rPr>
        <w:t>be living in the community (excluding Residential Aged Care Facility residents and Hospital in-patients)</w:t>
      </w:r>
    </w:p>
    <w:p w14:paraId="2D1904AC" w14:textId="77777777" w:rsidR="008F7486" w:rsidRDefault="008F7486" w:rsidP="008F7486">
      <w:pPr>
        <w:pStyle w:val="ListBullet"/>
      </w:pPr>
      <w:r w:rsidRPr="004B4E8B">
        <w:t>be a non-smoker for at least 3 months, patients who continue to smoke will not be eligible for the provision of home oxygen</w:t>
      </w:r>
    </w:p>
    <w:p w14:paraId="33D50D6E" w14:textId="77777777" w:rsidR="008F7486" w:rsidRDefault="008F7486" w:rsidP="008F7486">
      <w:pPr>
        <w:pStyle w:val="ListBullet"/>
      </w:pPr>
      <w:r>
        <w:t xml:space="preserve">oxygen guidelines for </w:t>
      </w:r>
      <w:r w:rsidRPr="00EB40AE">
        <w:t>palliative care patients (late stage/end of life) only</w:t>
      </w:r>
      <w:r>
        <w:t xml:space="preserve"> - </w:t>
      </w:r>
    </w:p>
    <w:p w14:paraId="0F7111BA" w14:textId="77777777" w:rsidR="008F7486" w:rsidRDefault="008F7486" w:rsidP="008F7486">
      <w:pPr>
        <w:pStyle w:val="ListBullet"/>
        <w:numPr>
          <w:ilvl w:val="0"/>
          <w:numId w:val="27"/>
        </w:numPr>
      </w:pPr>
      <w:r>
        <w:lastRenderedPageBreak/>
        <w:t>Minimum smoking cessation period of one month prior to consideration of oxygen provision.</w:t>
      </w:r>
    </w:p>
    <w:p w14:paraId="7FC1BB19" w14:textId="77777777" w:rsidR="008F7486" w:rsidRDefault="008F7486" w:rsidP="008F7486">
      <w:pPr>
        <w:pStyle w:val="ListBullet"/>
        <w:numPr>
          <w:ilvl w:val="0"/>
          <w:numId w:val="27"/>
        </w:numPr>
      </w:pPr>
      <w:r>
        <w:t>All referrals for end-of-life oxygen will be assessed on an individual basis (no precedence will be deemed to exist)</w:t>
      </w:r>
    </w:p>
    <w:p w14:paraId="4633A691" w14:textId="77777777" w:rsidR="008F7486" w:rsidRDefault="008F7486" w:rsidP="008F7486">
      <w:pPr>
        <w:pStyle w:val="ListBullet"/>
        <w:numPr>
          <w:ilvl w:val="0"/>
          <w:numId w:val="27"/>
        </w:numPr>
      </w:pPr>
      <w:r>
        <w:t xml:space="preserve">Referral and supporting documentation must be from Palliative Care specialist or Nurse Practitioner </w:t>
      </w:r>
    </w:p>
    <w:p w14:paraId="4689E583" w14:textId="77777777" w:rsidR="008F7486" w:rsidRDefault="008F7486" w:rsidP="008F7486">
      <w:pPr>
        <w:pStyle w:val="ListBullet"/>
        <w:numPr>
          <w:ilvl w:val="0"/>
          <w:numId w:val="27"/>
        </w:numPr>
      </w:pPr>
      <w:r>
        <w:t>Supporting documentation must confirm the client –</w:t>
      </w:r>
    </w:p>
    <w:p w14:paraId="3336AE74" w14:textId="77777777" w:rsidR="008F7486" w:rsidRDefault="008F7486" w:rsidP="008F7486">
      <w:pPr>
        <w:pStyle w:val="ListBullet"/>
        <w:numPr>
          <w:ilvl w:val="1"/>
          <w:numId w:val="26"/>
        </w:numPr>
      </w:pPr>
      <w:r>
        <w:t>understands the risks</w:t>
      </w:r>
    </w:p>
    <w:p w14:paraId="53CF6624" w14:textId="77777777" w:rsidR="008F7486" w:rsidRDefault="008F7486" w:rsidP="008F7486">
      <w:pPr>
        <w:pStyle w:val="ListBullet"/>
        <w:numPr>
          <w:ilvl w:val="1"/>
          <w:numId w:val="26"/>
        </w:numPr>
      </w:pPr>
      <w:r>
        <w:t>has a commitment for continued cessation</w:t>
      </w:r>
    </w:p>
    <w:p w14:paraId="568E504A" w14:textId="77777777" w:rsidR="008F7486" w:rsidRPr="004B4E8B" w:rsidRDefault="008F7486" w:rsidP="008F7486">
      <w:pPr>
        <w:pStyle w:val="ListBullet"/>
        <w:numPr>
          <w:ilvl w:val="1"/>
          <w:numId w:val="26"/>
        </w:numPr>
      </w:pPr>
      <w:r>
        <w:t>has a plan to support continued cessation (e.g. provided alternatives such as nicotine replacement (not including e-cigarettes)</w:t>
      </w:r>
    </w:p>
    <w:p w14:paraId="10805247" w14:textId="53282301" w:rsidR="002844F4" w:rsidRPr="004B4E8B" w:rsidRDefault="005B3B72" w:rsidP="005B3B72">
      <w:pPr>
        <w:pStyle w:val="ListBullet"/>
        <w:rPr>
          <w:rFonts w:eastAsiaTheme="minorHAnsi"/>
        </w:rPr>
      </w:pPr>
      <w:r w:rsidRPr="004B4E8B">
        <w:t>m</w:t>
      </w:r>
      <w:r w:rsidR="002844F4" w:rsidRPr="004B4E8B">
        <w:t>eet the medical eligibility criteria for the supply of oxygen and related respiratory supplies as stated in this document</w:t>
      </w:r>
    </w:p>
    <w:p w14:paraId="25E11655" w14:textId="69DCACE2" w:rsidR="002844F4" w:rsidRPr="004B4E8B" w:rsidRDefault="005B3B72" w:rsidP="005B3B72">
      <w:pPr>
        <w:pStyle w:val="ListBullet"/>
        <w:rPr>
          <w:rFonts w:eastAsiaTheme="minorHAnsi"/>
        </w:rPr>
      </w:pPr>
      <w:r w:rsidRPr="004B4E8B">
        <w:rPr>
          <w:rFonts w:eastAsiaTheme="minorHAnsi"/>
        </w:rPr>
        <w:t>b</w:t>
      </w:r>
      <w:r w:rsidR="002844F4" w:rsidRPr="004B4E8B">
        <w:rPr>
          <w:rFonts w:eastAsiaTheme="minorHAnsi"/>
        </w:rPr>
        <w:t>e motivated to undertake home oxygen therapy</w:t>
      </w:r>
    </w:p>
    <w:p w14:paraId="4722789F" w14:textId="4AABD287" w:rsidR="002844F4" w:rsidRPr="004B4E8B" w:rsidRDefault="005B3B72" w:rsidP="005B3B72">
      <w:pPr>
        <w:pStyle w:val="ListBullet"/>
        <w:rPr>
          <w:rFonts w:eastAsiaTheme="minorHAnsi"/>
        </w:rPr>
      </w:pPr>
      <w:r w:rsidRPr="004B4E8B">
        <w:rPr>
          <w:rFonts w:eastAsiaTheme="minorHAnsi"/>
        </w:rPr>
        <w:t>u</w:t>
      </w:r>
      <w:r w:rsidR="002844F4" w:rsidRPr="004B4E8B">
        <w:rPr>
          <w:rFonts w:eastAsiaTheme="minorHAnsi"/>
        </w:rPr>
        <w:t>nderstand the requirement to return the DORSS Home Oxygen equipment if they are no longer eligible</w:t>
      </w:r>
    </w:p>
    <w:p w14:paraId="107A3904" w14:textId="0A10FF46" w:rsidR="002844F4" w:rsidRPr="004B4E8B" w:rsidRDefault="005B3B72" w:rsidP="005B3B72">
      <w:pPr>
        <w:pStyle w:val="ListBullet"/>
        <w:rPr>
          <w:b/>
          <w:bCs/>
          <w:i/>
          <w:iCs/>
        </w:rPr>
      </w:pPr>
      <w:bookmarkStart w:id="10" w:name="_Hlk20303940"/>
      <w:r w:rsidRPr="004B4E8B">
        <w:t>b</w:t>
      </w:r>
      <w:r w:rsidR="002844F4" w:rsidRPr="004B4E8B">
        <w:t xml:space="preserve">e ineligible to receive the equipment requested from any other funding program </w:t>
      </w:r>
      <w:bookmarkStart w:id="11" w:name="_Int_Vc12hEqP"/>
      <w:r w:rsidR="002844F4" w:rsidRPr="004B4E8B">
        <w:t>e.g.</w:t>
      </w:r>
      <w:bookmarkEnd w:id="11"/>
      <w:r w:rsidR="002844F4" w:rsidRPr="004B4E8B">
        <w:t xml:space="preserve"> National Disability Insurance Scheme (NDIS).</w:t>
      </w:r>
    </w:p>
    <w:bookmarkEnd w:id="10"/>
    <w:p w14:paraId="3BEA0C58" w14:textId="77777777" w:rsidR="002844F4" w:rsidRPr="004B4E8B" w:rsidRDefault="002844F4" w:rsidP="002844F4">
      <w:pPr>
        <w:autoSpaceDE w:val="0"/>
        <w:autoSpaceDN w:val="0"/>
        <w:adjustRightInd w:val="0"/>
        <w:rPr>
          <w:rFonts w:asciiTheme="minorHAnsi" w:eastAsiaTheme="minorHAnsi" w:hAnsiTheme="minorHAnsi" w:cs="ArialMT"/>
          <w:szCs w:val="24"/>
        </w:rPr>
      </w:pPr>
    </w:p>
    <w:p w14:paraId="1CE86729" w14:textId="77777777" w:rsidR="002844F4" w:rsidRPr="004B4E8B" w:rsidRDefault="002844F4" w:rsidP="002844F4">
      <w:p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b/>
          <w:szCs w:val="24"/>
        </w:rPr>
        <w:t>Additional Note:</w:t>
      </w:r>
      <w:r w:rsidRPr="004B4E8B">
        <w:rPr>
          <w:rFonts w:asciiTheme="minorHAnsi" w:eastAsiaTheme="minorHAnsi" w:hAnsiTheme="minorHAnsi" w:cs="ArialMT"/>
          <w:szCs w:val="24"/>
        </w:rPr>
        <w:t xml:space="preserve"> </w:t>
      </w:r>
    </w:p>
    <w:p w14:paraId="1ACA458C" w14:textId="77777777" w:rsidR="002844F4" w:rsidRPr="004B4E8B" w:rsidRDefault="002844F4" w:rsidP="005B3B72">
      <w:pPr>
        <w:pStyle w:val="ListBullet"/>
        <w:rPr>
          <w:rFonts w:eastAsiaTheme="minorEastAsia"/>
        </w:rPr>
      </w:pPr>
      <w:r w:rsidRPr="004B4E8B">
        <w:rPr>
          <w:rFonts w:eastAsiaTheme="minorEastAsia"/>
        </w:rPr>
        <w:t>Proof of ACT Residency status will be required at the time of application; that is, formal documentation which lists both the patient’s name and residential address (</w:t>
      </w:r>
      <w:bookmarkStart w:id="12" w:name="_Int_uhpMTAVo"/>
      <w:r w:rsidRPr="004B4E8B">
        <w:rPr>
          <w:rFonts w:eastAsiaTheme="minorEastAsia"/>
        </w:rPr>
        <w:t>e.g.</w:t>
      </w:r>
      <w:bookmarkEnd w:id="12"/>
      <w:r w:rsidRPr="004B4E8B">
        <w:rPr>
          <w:rFonts w:eastAsiaTheme="minorEastAsia"/>
        </w:rPr>
        <w:t xml:space="preserve"> driver licence, utility notice, or concession card).</w:t>
      </w:r>
    </w:p>
    <w:p w14:paraId="5CDAC16F" w14:textId="77777777" w:rsidR="002844F4" w:rsidRPr="004B4E8B" w:rsidRDefault="002844F4" w:rsidP="002844F4">
      <w:pPr>
        <w:autoSpaceDE w:val="0"/>
        <w:autoSpaceDN w:val="0"/>
        <w:adjustRightInd w:val="0"/>
        <w:rPr>
          <w:rFonts w:asciiTheme="minorHAnsi" w:eastAsiaTheme="minorHAnsi" w:hAnsiTheme="minorHAnsi" w:cs="ArialMT"/>
          <w:szCs w:val="24"/>
        </w:rPr>
      </w:pPr>
    </w:p>
    <w:p w14:paraId="4F3B944B" w14:textId="77777777" w:rsidR="002844F4" w:rsidRPr="004B4E8B" w:rsidRDefault="002844F4" w:rsidP="002844F4">
      <w:pPr>
        <w:pStyle w:val="Heading2"/>
        <w:rPr>
          <w:rFonts w:eastAsiaTheme="minorHAnsi"/>
        </w:rPr>
      </w:pPr>
      <w:bookmarkStart w:id="13" w:name="_Hlk31197092"/>
      <w:bookmarkStart w:id="14" w:name="_Toc129349942"/>
      <w:r w:rsidRPr="004B4E8B">
        <w:rPr>
          <w:rFonts w:eastAsiaTheme="minorHAnsi"/>
        </w:rPr>
        <w:t>Medical Eligibility Criteria</w:t>
      </w:r>
      <w:bookmarkEnd w:id="13"/>
      <w:r w:rsidRPr="004B4E8B">
        <w:rPr>
          <w:rFonts w:eastAsiaTheme="minorHAnsi"/>
        </w:rPr>
        <w:t>:</w:t>
      </w:r>
      <w:bookmarkEnd w:id="14"/>
    </w:p>
    <w:p w14:paraId="3BB4DA56" w14:textId="77777777" w:rsidR="002844F4" w:rsidRPr="004B4E8B" w:rsidRDefault="002844F4" w:rsidP="002844F4">
      <w:p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t xml:space="preserve">In addition to the Patient Criteria, the patient must: </w:t>
      </w:r>
    </w:p>
    <w:p w14:paraId="2428EDF6" w14:textId="560CC2E0" w:rsidR="002844F4" w:rsidRPr="004B4E8B" w:rsidRDefault="00471C74" w:rsidP="005B3B72">
      <w:pPr>
        <w:pStyle w:val="ListBullet"/>
        <w:rPr>
          <w:rFonts w:eastAsiaTheme="minorHAnsi"/>
        </w:rPr>
      </w:pPr>
      <w:r w:rsidRPr="004B4E8B">
        <w:rPr>
          <w:rFonts w:eastAsiaTheme="minorHAnsi"/>
        </w:rPr>
        <w:t>b</w:t>
      </w:r>
      <w:r w:rsidR="002844F4" w:rsidRPr="004B4E8B">
        <w:rPr>
          <w:rFonts w:eastAsiaTheme="minorHAnsi"/>
        </w:rPr>
        <w:t>e under the ongoing care of their specialist physician</w:t>
      </w:r>
    </w:p>
    <w:p w14:paraId="513DAC3D" w14:textId="1B11BE20" w:rsidR="002844F4" w:rsidRPr="004B4E8B" w:rsidRDefault="00471C74" w:rsidP="005B3B72">
      <w:pPr>
        <w:pStyle w:val="ListBullet"/>
        <w:rPr>
          <w:rFonts w:eastAsiaTheme="minorHAnsi"/>
        </w:rPr>
      </w:pPr>
      <w:r w:rsidRPr="004B4E8B">
        <w:rPr>
          <w:rFonts w:eastAsiaTheme="minorHAnsi"/>
        </w:rPr>
        <w:t>b</w:t>
      </w:r>
      <w:r w:rsidR="002844F4" w:rsidRPr="004B4E8B">
        <w:rPr>
          <w:rFonts w:eastAsiaTheme="minorHAnsi"/>
        </w:rPr>
        <w:t>e on maximal therapy for any underlying condition/s</w:t>
      </w:r>
    </w:p>
    <w:p w14:paraId="46059101" w14:textId="273D53D1" w:rsidR="002844F4" w:rsidRPr="004B4E8B" w:rsidRDefault="00471C74" w:rsidP="005B3B72">
      <w:pPr>
        <w:pStyle w:val="ListBullet"/>
        <w:rPr>
          <w:rFonts w:eastAsiaTheme="minorHAnsi"/>
        </w:rPr>
      </w:pPr>
      <w:r w:rsidRPr="004B4E8B">
        <w:rPr>
          <w:rFonts w:eastAsiaTheme="minorHAnsi"/>
        </w:rPr>
        <w:t>h</w:t>
      </w:r>
      <w:r w:rsidR="002844F4" w:rsidRPr="004B4E8B">
        <w:rPr>
          <w:rFonts w:eastAsiaTheme="minorHAnsi"/>
        </w:rPr>
        <w:t xml:space="preserve">ave been clinically assessed to determine the requirement for: </w:t>
      </w:r>
    </w:p>
    <w:p w14:paraId="5E989BF8" w14:textId="77777777" w:rsidR="002844F4" w:rsidRPr="004B4E8B" w:rsidRDefault="002844F4" w:rsidP="00AD3F5B">
      <w:pPr>
        <w:pStyle w:val="ListParagraph"/>
        <w:numPr>
          <w:ilvl w:val="0"/>
          <w:numId w:val="13"/>
        </w:numPr>
        <w:autoSpaceDE w:val="0"/>
        <w:autoSpaceDN w:val="0"/>
        <w:adjustRightInd w:val="0"/>
        <w:rPr>
          <w:rFonts w:asciiTheme="minorHAnsi" w:eastAsiaTheme="minorEastAsia" w:hAnsiTheme="minorHAnsi" w:cs="ArialMT"/>
        </w:rPr>
      </w:pPr>
      <w:r w:rsidRPr="004B4E8B">
        <w:rPr>
          <w:rFonts w:asciiTheme="minorHAnsi" w:eastAsiaTheme="minorEastAsia" w:hAnsiTheme="minorHAnsi" w:cs="ArialMT"/>
          <w:b/>
          <w:bCs/>
        </w:rPr>
        <w:t>Long Term Oxygen Therapy (LTOT)</w:t>
      </w:r>
      <w:r w:rsidRPr="004B4E8B">
        <w:rPr>
          <w:rFonts w:asciiTheme="minorHAnsi" w:eastAsiaTheme="minorEastAsia" w:hAnsiTheme="minorHAnsi" w:cs="ArialMT"/>
        </w:rPr>
        <w:t xml:space="preserve"> (</w:t>
      </w:r>
      <w:bookmarkStart w:id="15" w:name="_Int_6xVLiXVu"/>
      <w:r w:rsidRPr="004B4E8B">
        <w:rPr>
          <w:rFonts w:asciiTheme="minorHAnsi" w:eastAsiaTheme="minorEastAsia" w:hAnsiTheme="minorHAnsi" w:cs="ArialMT"/>
        </w:rPr>
        <w:t>i.e.</w:t>
      </w:r>
      <w:bookmarkEnd w:id="15"/>
      <w:r w:rsidRPr="004B4E8B">
        <w:rPr>
          <w:rFonts w:asciiTheme="minorHAnsi" w:eastAsiaTheme="minorEastAsia" w:hAnsiTheme="minorHAnsi" w:cs="ArialMT"/>
        </w:rPr>
        <w:t xml:space="preserve"> ≥ 16 hours/day): </w:t>
      </w:r>
    </w:p>
    <w:p w14:paraId="1FA4534F" w14:textId="748843BD" w:rsidR="002844F4" w:rsidRPr="004B4E8B" w:rsidRDefault="002844F4" w:rsidP="002844F4">
      <w:pPr>
        <w:pStyle w:val="ListParagraph"/>
        <w:numPr>
          <w:ilvl w:val="2"/>
          <w:numId w:val="13"/>
        </w:numPr>
        <w:autoSpaceDE w:val="0"/>
        <w:autoSpaceDN w:val="0"/>
        <w:adjustRightInd w:val="0"/>
        <w:rPr>
          <w:rFonts w:asciiTheme="minorHAnsi" w:eastAsiaTheme="minorHAnsi" w:hAnsiTheme="minorHAnsi" w:cs="ArialMT"/>
          <w:szCs w:val="24"/>
        </w:rPr>
      </w:pPr>
      <w:bookmarkStart w:id="16" w:name="_Hlk30154493"/>
      <w:r w:rsidRPr="004B4E8B">
        <w:rPr>
          <w:rFonts w:asciiTheme="minorHAnsi" w:eastAsiaTheme="minorHAnsi" w:hAnsiTheme="minorHAnsi" w:cs="ArialMT"/>
          <w:szCs w:val="24"/>
        </w:rPr>
        <w:t xml:space="preserve">Stable daytime </w:t>
      </w:r>
      <w:r w:rsidR="001D20EB" w:rsidRPr="004B4E8B">
        <w:rPr>
          <w:rFonts w:asciiTheme="minorHAnsi" w:eastAsiaTheme="minorHAnsi" w:hAnsiTheme="minorHAnsi" w:cs="ArialMT"/>
          <w:szCs w:val="24"/>
        </w:rPr>
        <w:t>partial pressure of oxygen in artery (</w:t>
      </w:r>
      <w:r w:rsidRPr="004B4E8B">
        <w:rPr>
          <w:rFonts w:asciiTheme="minorHAnsi" w:eastAsiaTheme="minorHAnsi" w:hAnsiTheme="minorHAnsi" w:cs="ArialMT"/>
          <w:szCs w:val="24"/>
        </w:rPr>
        <w:t>PaO</w:t>
      </w:r>
      <w:r w:rsidRPr="004B4E8B">
        <w:rPr>
          <w:rFonts w:asciiTheme="minorHAnsi" w:eastAsiaTheme="minorHAnsi" w:hAnsiTheme="minorHAnsi" w:cs="ArialMT"/>
          <w:szCs w:val="24"/>
          <w:vertAlign w:val="subscript"/>
        </w:rPr>
        <w:t>2</w:t>
      </w:r>
      <w:r w:rsidR="001D20EB" w:rsidRPr="004B4E8B">
        <w:rPr>
          <w:rFonts w:asciiTheme="minorHAnsi" w:eastAsiaTheme="minorHAnsi" w:hAnsiTheme="minorHAnsi" w:cs="ArialMT"/>
          <w:szCs w:val="24"/>
        </w:rPr>
        <w:t>)</w:t>
      </w:r>
      <w:r w:rsidRPr="004B4E8B">
        <w:rPr>
          <w:rFonts w:asciiTheme="minorHAnsi" w:eastAsiaTheme="minorHAnsi" w:hAnsiTheme="minorHAnsi" w:cs="ArialMT"/>
          <w:szCs w:val="24"/>
        </w:rPr>
        <w:t xml:space="preserve"> is ≤ 55mmHg (7.3kPA) at rest, or</w:t>
      </w:r>
    </w:p>
    <w:p w14:paraId="7E1CCBD9" w14:textId="3B43D291" w:rsidR="002844F4" w:rsidRPr="004B4E8B" w:rsidRDefault="002844F4" w:rsidP="002844F4">
      <w:pPr>
        <w:pStyle w:val="ListParagraph"/>
        <w:numPr>
          <w:ilvl w:val="2"/>
          <w:numId w:val="13"/>
        </w:num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t xml:space="preserve">Stable daytime </w:t>
      </w:r>
      <w:r w:rsidR="001D20EB" w:rsidRPr="004B4E8B">
        <w:rPr>
          <w:rFonts w:asciiTheme="minorHAnsi" w:eastAsiaTheme="minorHAnsi" w:hAnsiTheme="minorHAnsi" w:cs="ArialMT"/>
          <w:szCs w:val="24"/>
        </w:rPr>
        <w:t>PaO</w:t>
      </w:r>
      <w:r w:rsidR="001D20EB" w:rsidRPr="004B4E8B">
        <w:rPr>
          <w:rFonts w:asciiTheme="minorHAnsi" w:eastAsiaTheme="minorHAnsi" w:hAnsiTheme="minorHAnsi" w:cs="ArialMT"/>
          <w:szCs w:val="24"/>
          <w:vertAlign w:val="subscript"/>
        </w:rPr>
        <w:t xml:space="preserve">2 </w:t>
      </w:r>
      <w:r w:rsidRPr="004B4E8B">
        <w:rPr>
          <w:rFonts w:asciiTheme="minorHAnsi" w:eastAsiaTheme="minorHAnsi" w:hAnsiTheme="minorHAnsi" w:cs="ArialMT"/>
          <w:szCs w:val="24"/>
        </w:rPr>
        <w:t>is 55-59mmHg (7.4-7.8kPA) at rest, as well as evidence for hypoxic organ damage (including right heart failure, pulmonary hypertension or polycythaemia)</w:t>
      </w:r>
    </w:p>
    <w:p w14:paraId="31C52EFB" w14:textId="4D4E5F0D" w:rsidR="002844F4" w:rsidRPr="004B4E8B" w:rsidRDefault="002844F4" w:rsidP="002844F4">
      <w:pPr>
        <w:pStyle w:val="ListParagraph"/>
        <w:numPr>
          <w:ilvl w:val="2"/>
          <w:numId w:val="13"/>
        </w:numPr>
        <w:autoSpaceDE w:val="0"/>
        <w:autoSpaceDN w:val="0"/>
        <w:adjustRightInd w:val="0"/>
        <w:rPr>
          <w:rFonts w:asciiTheme="minorHAnsi" w:eastAsiaTheme="minorEastAsia" w:hAnsiTheme="minorHAnsi" w:cs="ArialMT"/>
        </w:rPr>
      </w:pPr>
      <w:r w:rsidRPr="004B4E8B">
        <w:rPr>
          <w:rFonts w:asciiTheme="minorHAnsi" w:eastAsiaTheme="minorEastAsia" w:hAnsiTheme="minorHAnsi" w:cs="ArialMT"/>
        </w:rPr>
        <w:t xml:space="preserve">Oxygen requirement is confirmed by room air arterial blood gas (ABG) analysis at steady-state conditions, along with repeat ABG or oximetry on supplemental oxygen to demonstrate adequate oxygen delivery (to achieve </w:t>
      </w:r>
      <w:r w:rsidR="005B3B72" w:rsidRPr="004B4E8B">
        <w:rPr>
          <w:rFonts w:asciiTheme="minorHAnsi" w:eastAsiaTheme="minorEastAsia" w:hAnsiTheme="minorHAnsi" w:cs="ArialMT"/>
        </w:rPr>
        <w:t>saturation of peripheral oxygen (</w:t>
      </w:r>
      <w:r w:rsidRPr="004B4E8B">
        <w:rPr>
          <w:rFonts w:asciiTheme="minorHAnsi" w:eastAsiaTheme="minorEastAsia" w:hAnsiTheme="minorHAnsi" w:cs="ArialMT"/>
        </w:rPr>
        <w:t>SpO</w:t>
      </w:r>
      <w:r w:rsidRPr="004B4E8B">
        <w:rPr>
          <w:rFonts w:asciiTheme="minorHAnsi" w:eastAsiaTheme="minorEastAsia" w:hAnsiTheme="minorHAnsi" w:cs="ArialMT"/>
          <w:vertAlign w:val="subscript"/>
        </w:rPr>
        <w:t>2</w:t>
      </w:r>
      <w:r w:rsidR="005B3B72" w:rsidRPr="004B4E8B">
        <w:rPr>
          <w:rFonts w:asciiTheme="minorHAnsi" w:eastAsiaTheme="minorEastAsia" w:hAnsiTheme="minorHAnsi" w:cs="ArialMT"/>
        </w:rPr>
        <w:t>)</w:t>
      </w:r>
      <w:r w:rsidRPr="004B4E8B">
        <w:rPr>
          <w:rFonts w:asciiTheme="minorHAnsi" w:eastAsiaTheme="minorEastAsia" w:hAnsiTheme="minorHAnsi" w:cs="ArialMT"/>
        </w:rPr>
        <w:t xml:space="preserve"> &gt;90% or </w:t>
      </w:r>
      <w:r w:rsidR="001D20EB" w:rsidRPr="004B4E8B">
        <w:rPr>
          <w:rFonts w:asciiTheme="minorHAnsi" w:eastAsiaTheme="minorHAnsi" w:hAnsiTheme="minorHAnsi" w:cs="ArialMT"/>
          <w:szCs w:val="24"/>
        </w:rPr>
        <w:t>PaO</w:t>
      </w:r>
      <w:r w:rsidR="001D20EB" w:rsidRPr="004B4E8B">
        <w:rPr>
          <w:rFonts w:asciiTheme="minorHAnsi" w:eastAsiaTheme="minorHAnsi" w:hAnsiTheme="minorHAnsi" w:cs="ArialMT"/>
          <w:szCs w:val="24"/>
          <w:vertAlign w:val="subscript"/>
        </w:rPr>
        <w:t xml:space="preserve">2 </w:t>
      </w:r>
      <w:r w:rsidRPr="004B4E8B">
        <w:rPr>
          <w:rFonts w:asciiTheme="minorHAnsi" w:eastAsiaTheme="minorEastAsia" w:hAnsiTheme="minorHAnsi" w:cs="ArialMT"/>
        </w:rPr>
        <w:t xml:space="preserve">&gt;60mmHg [8kPa]). Where hypercapnia is a possibility ABGs are required on supplemental oxygen. </w:t>
      </w:r>
    </w:p>
    <w:bookmarkEnd w:id="16"/>
    <w:p w14:paraId="74A8236E" w14:textId="77777777" w:rsidR="002844F4" w:rsidRPr="004B4E8B" w:rsidRDefault="002844F4" w:rsidP="00AD3F5B">
      <w:pPr>
        <w:pStyle w:val="ListParagraph"/>
        <w:numPr>
          <w:ilvl w:val="0"/>
          <w:numId w:val="13"/>
        </w:numPr>
        <w:autoSpaceDE w:val="0"/>
        <w:autoSpaceDN w:val="0"/>
        <w:adjustRightInd w:val="0"/>
        <w:rPr>
          <w:rFonts w:asciiTheme="minorHAnsi" w:eastAsiaTheme="minorHAnsi" w:hAnsiTheme="minorHAnsi" w:cs="ArialMT"/>
          <w:b/>
          <w:bCs/>
          <w:szCs w:val="24"/>
        </w:rPr>
      </w:pPr>
      <w:r w:rsidRPr="004B4E8B">
        <w:rPr>
          <w:rFonts w:asciiTheme="minorHAnsi" w:eastAsiaTheme="minorHAnsi" w:hAnsiTheme="minorHAnsi" w:cs="ArialMT"/>
          <w:b/>
          <w:bCs/>
          <w:szCs w:val="24"/>
        </w:rPr>
        <w:t>Nocturnal Home Oxygen Therapy:</w:t>
      </w:r>
    </w:p>
    <w:p w14:paraId="71642167" w14:textId="77777777" w:rsidR="002844F4" w:rsidRPr="004B4E8B" w:rsidRDefault="002844F4" w:rsidP="002844F4">
      <w:pPr>
        <w:pStyle w:val="ListParagraph"/>
        <w:numPr>
          <w:ilvl w:val="2"/>
          <w:numId w:val="13"/>
        </w:num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t>SpO</w:t>
      </w:r>
      <w:r w:rsidRPr="004B4E8B">
        <w:rPr>
          <w:rFonts w:asciiTheme="minorHAnsi" w:eastAsiaTheme="minorHAnsi" w:hAnsiTheme="minorHAnsi" w:cs="ArialMT"/>
          <w:szCs w:val="24"/>
          <w:vertAlign w:val="subscript"/>
        </w:rPr>
        <w:t>2</w:t>
      </w:r>
      <w:r w:rsidRPr="004B4E8B">
        <w:rPr>
          <w:rFonts w:asciiTheme="minorHAnsi" w:eastAsiaTheme="minorHAnsi" w:hAnsiTheme="minorHAnsi" w:cs="ArialMT"/>
          <w:szCs w:val="24"/>
        </w:rPr>
        <w:t xml:space="preserve"> ≤88% for more than one third of the night in individuals with lung disease</w:t>
      </w:r>
    </w:p>
    <w:p w14:paraId="296262BB" w14:textId="116E149A" w:rsidR="002844F4" w:rsidRPr="004B4E8B" w:rsidRDefault="002844F4" w:rsidP="002844F4">
      <w:pPr>
        <w:pStyle w:val="ListParagraph"/>
        <w:numPr>
          <w:ilvl w:val="2"/>
          <w:numId w:val="13"/>
        </w:num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t xml:space="preserve">Oxygen requirement is confirmed by Type 1 Polysomnography (Level 1 Sleep Study) for patients with a </w:t>
      </w:r>
      <w:r w:rsidRPr="004B4E8B">
        <w:rPr>
          <w:rFonts w:asciiTheme="minorHAnsi" w:eastAsiaTheme="minorHAnsi" w:hAnsiTheme="minorHAnsi" w:cs="ArialMT"/>
          <w:b/>
          <w:szCs w:val="24"/>
        </w:rPr>
        <w:t>high pre-test probability</w:t>
      </w:r>
      <w:r w:rsidRPr="004B4E8B">
        <w:rPr>
          <w:rFonts w:asciiTheme="minorHAnsi" w:eastAsiaTheme="minorHAnsi" w:hAnsiTheme="minorHAnsi" w:cs="ArialMT"/>
          <w:szCs w:val="24"/>
        </w:rPr>
        <w:t xml:space="preserve"> for obstructive sleep apnoea or obesity hypoventilation syndrome</w:t>
      </w:r>
    </w:p>
    <w:p w14:paraId="600C250A" w14:textId="77777777" w:rsidR="00A168D0" w:rsidRDefault="002844F4" w:rsidP="002844F4">
      <w:pPr>
        <w:pStyle w:val="ListParagraph"/>
        <w:numPr>
          <w:ilvl w:val="2"/>
          <w:numId w:val="13"/>
        </w:num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lastRenderedPageBreak/>
        <w:t xml:space="preserve">Oxygen requirement can be confirmed with overnight oximetry (Type 4 Polysomnography) for patients with a </w:t>
      </w:r>
      <w:r w:rsidRPr="004B4E8B">
        <w:rPr>
          <w:rFonts w:asciiTheme="minorHAnsi" w:eastAsiaTheme="minorHAnsi" w:hAnsiTheme="minorHAnsi" w:cs="ArialMT"/>
          <w:b/>
          <w:szCs w:val="24"/>
        </w:rPr>
        <w:t>low pre-test probability</w:t>
      </w:r>
      <w:r w:rsidRPr="004B4E8B">
        <w:rPr>
          <w:rFonts w:asciiTheme="minorHAnsi" w:eastAsiaTheme="minorHAnsi" w:hAnsiTheme="minorHAnsi" w:cs="ArialMT"/>
          <w:szCs w:val="24"/>
        </w:rPr>
        <w:t xml:space="preserve"> for obstructive sleep apnoea or obesity hypoventilation syndrome.</w:t>
      </w:r>
    </w:p>
    <w:p w14:paraId="4CF5E166" w14:textId="77777777" w:rsidR="00A168D0" w:rsidRPr="00CA1575" w:rsidRDefault="00A168D0" w:rsidP="00A168D0">
      <w:pPr>
        <w:pStyle w:val="ListParagraph"/>
        <w:numPr>
          <w:ilvl w:val="0"/>
          <w:numId w:val="29"/>
        </w:numPr>
        <w:rPr>
          <w:b/>
          <w:bCs/>
        </w:rPr>
      </w:pPr>
      <w:r>
        <w:rPr>
          <w:b/>
          <w:bCs/>
        </w:rPr>
        <w:t>Nocturnal Home Oxygen Therapy</w:t>
      </w:r>
      <w:r w:rsidRPr="00CA1575">
        <w:rPr>
          <w:b/>
          <w:bCs/>
        </w:rPr>
        <w:t xml:space="preserve"> </w:t>
      </w:r>
      <w:r>
        <w:rPr>
          <w:b/>
          <w:bCs/>
        </w:rPr>
        <w:t>for</w:t>
      </w:r>
      <w:r w:rsidRPr="00CA1575">
        <w:rPr>
          <w:b/>
          <w:bCs/>
        </w:rPr>
        <w:t xml:space="preserve"> Central Sleep Apnoea - </w:t>
      </w:r>
      <w:r>
        <w:t xml:space="preserve">For clients with Central Sleep Apnoea (CSA) in relation to congestive cardiac failure home oxygen may be provided to those who are intolerant to CPAP if </w:t>
      </w:r>
      <w:r w:rsidRPr="00CA1575">
        <w:rPr>
          <w:b/>
          <w:bCs/>
        </w:rPr>
        <w:t>ALL</w:t>
      </w:r>
      <w:r>
        <w:t xml:space="preserve"> the following criteria are met:</w:t>
      </w:r>
    </w:p>
    <w:p w14:paraId="0FD4EE0F" w14:textId="77777777" w:rsidR="00A168D0" w:rsidRDefault="00A168D0" w:rsidP="009206C8">
      <w:pPr>
        <w:pStyle w:val="ListParagraph"/>
        <w:numPr>
          <w:ilvl w:val="0"/>
          <w:numId w:val="30"/>
        </w:numPr>
        <w:spacing w:after="160" w:line="259" w:lineRule="auto"/>
      </w:pPr>
      <w:r>
        <w:t xml:space="preserve">Diagnostic PSG demonstrating AHI&gt;20 with CSA for </w:t>
      </w:r>
      <w:proofErr w:type="gramStart"/>
      <w:r>
        <w:t>a majority of</w:t>
      </w:r>
      <w:proofErr w:type="gramEnd"/>
      <w:r>
        <w:t xml:space="preserve"> the events (&gt;50%)</w:t>
      </w:r>
    </w:p>
    <w:p w14:paraId="76BD6D6B" w14:textId="77777777" w:rsidR="00A168D0" w:rsidRPr="009206C8" w:rsidRDefault="00A168D0" w:rsidP="009206C8">
      <w:pPr>
        <w:ind w:firstLine="720"/>
        <w:rPr>
          <w:b/>
          <w:bCs/>
        </w:rPr>
      </w:pPr>
      <w:r w:rsidRPr="009206C8">
        <w:rPr>
          <w:b/>
          <w:bCs/>
        </w:rPr>
        <w:t>AND</w:t>
      </w:r>
    </w:p>
    <w:p w14:paraId="5C1B9602" w14:textId="77777777" w:rsidR="00A168D0" w:rsidRDefault="00A168D0" w:rsidP="009206C8">
      <w:pPr>
        <w:pStyle w:val="ListParagraph"/>
        <w:numPr>
          <w:ilvl w:val="0"/>
          <w:numId w:val="30"/>
        </w:numPr>
        <w:spacing w:after="160" w:line="259" w:lineRule="auto"/>
      </w:pPr>
      <w:r>
        <w:t>CPAP titration PSG showing residual AHI&gt;15 on CPAP</w:t>
      </w:r>
    </w:p>
    <w:p w14:paraId="2956B98C" w14:textId="77777777" w:rsidR="00A168D0" w:rsidRPr="009206C8" w:rsidRDefault="00A168D0" w:rsidP="009206C8">
      <w:pPr>
        <w:ind w:firstLine="720"/>
        <w:rPr>
          <w:b/>
          <w:bCs/>
        </w:rPr>
      </w:pPr>
      <w:r w:rsidRPr="009206C8">
        <w:rPr>
          <w:b/>
          <w:bCs/>
        </w:rPr>
        <w:t>AND</w:t>
      </w:r>
    </w:p>
    <w:p w14:paraId="7F18FC22" w14:textId="77777777" w:rsidR="00A168D0" w:rsidRDefault="00A168D0" w:rsidP="009206C8">
      <w:pPr>
        <w:pStyle w:val="ListParagraph"/>
        <w:numPr>
          <w:ilvl w:val="0"/>
          <w:numId w:val="30"/>
        </w:numPr>
        <w:spacing w:after="160" w:line="259" w:lineRule="auto"/>
      </w:pPr>
      <w:r>
        <w:t>Oxygen titration PSG showing AHI &lt;15 OR a 50% reduction in central events on oxygen therapy</w:t>
      </w:r>
    </w:p>
    <w:p w14:paraId="7C8DA11B" w14:textId="77777777" w:rsidR="00A168D0" w:rsidRPr="009206C8" w:rsidRDefault="00A168D0" w:rsidP="009206C8">
      <w:pPr>
        <w:ind w:firstLine="720"/>
        <w:rPr>
          <w:b/>
          <w:bCs/>
        </w:rPr>
      </w:pPr>
      <w:r w:rsidRPr="009206C8">
        <w:rPr>
          <w:b/>
          <w:bCs/>
        </w:rPr>
        <w:t>OR</w:t>
      </w:r>
    </w:p>
    <w:p w14:paraId="3E727294" w14:textId="651A59F3" w:rsidR="002844F4" w:rsidRPr="009206C8" w:rsidRDefault="00A168D0" w:rsidP="009206C8">
      <w:pPr>
        <w:pStyle w:val="ListParagraph"/>
        <w:numPr>
          <w:ilvl w:val="0"/>
          <w:numId w:val="30"/>
        </w:numPr>
        <w:spacing w:after="160" w:line="259" w:lineRule="auto"/>
      </w:pPr>
      <w:r>
        <w:t>A letter of justification outlining why PAP was not tolerated</w:t>
      </w:r>
      <w:r w:rsidR="009206C8">
        <w:t>.</w:t>
      </w:r>
    </w:p>
    <w:p w14:paraId="47A27F04" w14:textId="6DCF61B0" w:rsidR="002844F4" w:rsidRPr="004B4E8B" w:rsidRDefault="002844F4" w:rsidP="00AD3F5B">
      <w:pPr>
        <w:pStyle w:val="ListParagraph"/>
        <w:numPr>
          <w:ilvl w:val="0"/>
          <w:numId w:val="13"/>
        </w:num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b/>
          <w:bCs/>
          <w:szCs w:val="24"/>
        </w:rPr>
        <w:t>Intermittent Home Oxygen Therapy</w:t>
      </w:r>
      <w:r w:rsidRPr="004B4E8B">
        <w:rPr>
          <w:rFonts w:asciiTheme="minorHAnsi" w:eastAsiaTheme="minorHAnsi" w:hAnsiTheme="minorHAnsi" w:cs="ArialMT"/>
          <w:szCs w:val="24"/>
        </w:rPr>
        <w:t xml:space="preserve"> when: </w:t>
      </w:r>
    </w:p>
    <w:p w14:paraId="3FEFA1D5" w14:textId="0C3AD355" w:rsidR="002844F4" w:rsidRPr="004B4E8B" w:rsidRDefault="002844F4" w:rsidP="002844F4">
      <w:pPr>
        <w:pStyle w:val="ListParagraph"/>
        <w:numPr>
          <w:ilvl w:val="2"/>
          <w:numId w:val="13"/>
        </w:num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t xml:space="preserve">Stable daytime </w:t>
      </w:r>
      <w:r w:rsidR="001D20EB" w:rsidRPr="004B4E8B">
        <w:rPr>
          <w:rFonts w:asciiTheme="minorHAnsi" w:eastAsiaTheme="minorHAnsi" w:hAnsiTheme="minorHAnsi" w:cs="ArialMT"/>
          <w:szCs w:val="24"/>
        </w:rPr>
        <w:t>PaO</w:t>
      </w:r>
      <w:r w:rsidR="001D20EB" w:rsidRPr="004B4E8B">
        <w:rPr>
          <w:rFonts w:asciiTheme="minorHAnsi" w:eastAsiaTheme="minorHAnsi" w:hAnsiTheme="minorHAnsi" w:cs="ArialMT"/>
          <w:szCs w:val="24"/>
          <w:vertAlign w:val="subscript"/>
        </w:rPr>
        <w:t xml:space="preserve">2 </w:t>
      </w:r>
      <w:r w:rsidRPr="004B4E8B">
        <w:rPr>
          <w:rFonts w:asciiTheme="minorHAnsi" w:eastAsiaTheme="minorHAnsi" w:hAnsiTheme="minorHAnsi" w:cs="ArialMT"/>
          <w:szCs w:val="24"/>
        </w:rPr>
        <w:t>is ≤ 55mmHg (7.3kPA) or SpO</w:t>
      </w:r>
      <w:r w:rsidRPr="004B4E8B">
        <w:rPr>
          <w:rFonts w:asciiTheme="minorHAnsi" w:eastAsiaTheme="minorHAnsi" w:hAnsiTheme="minorHAnsi" w:cs="ArialMT"/>
          <w:szCs w:val="24"/>
          <w:vertAlign w:val="subscript"/>
        </w:rPr>
        <w:t>2</w:t>
      </w:r>
      <w:r w:rsidRPr="004B4E8B">
        <w:rPr>
          <w:rFonts w:asciiTheme="minorHAnsi" w:eastAsiaTheme="minorHAnsi" w:hAnsiTheme="minorHAnsi" w:cs="ArialMT"/>
          <w:szCs w:val="24"/>
        </w:rPr>
        <w:t xml:space="preserve"> ≤88% with intractable dyspnoea for patients with a terminal illness</w:t>
      </w:r>
    </w:p>
    <w:p w14:paraId="67203900" w14:textId="77777777" w:rsidR="002844F4" w:rsidRPr="004B4E8B" w:rsidRDefault="002844F4" w:rsidP="002844F4">
      <w:pPr>
        <w:pStyle w:val="ListBullet"/>
        <w:numPr>
          <w:ilvl w:val="2"/>
          <w:numId w:val="13"/>
        </w:numPr>
      </w:pPr>
      <w:r w:rsidRPr="004B4E8B">
        <w:t xml:space="preserve">The palliative patient is late-stage, and home oxygen therapy is intended to provide </w:t>
      </w:r>
      <w:r w:rsidRPr="004B4E8B">
        <w:rPr>
          <w:iCs/>
        </w:rPr>
        <w:t xml:space="preserve">“relief” for </w:t>
      </w:r>
      <w:r w:rsidRPr="004B4E8B">
        <w:t>the distress and anxiety associated with dyspnoea.</w:t>
      </w:r>
    </w:p>
    <w:p w14:paraId="5A379FEC" w14:textId="47E39B0B" w:rsidR="002844F4" w:rsidRPr="004B4E8B" w:rsidRDefault="002844F4" w:rsidP="00AD3F5B">
      <w:pPr>
        <w:pStyle w:val="ListParagraph"/>
        <w:numPr>
          <w:ilvl w:val="0"/>
          <w:numId w:val="13"/>
        </w:numPr>
        <w:autoSpaceDE w:val="0"/>
        <w:autoSpaceDN w:val="0"/>
        <w:adjustRightInd w:val="0"/>
        <w:rPr>
          <w:rFonts w:asciiTheme="minorHAnsi" w:eastAsiaTheme="minorHAnsi" w:hAnsiTheme="minorHAnsi" w:cs="ArialMT"/>
          <w:szCs w:val="24"/>
        </w:rPr>
      </w:pPr>
      <w:bookmarkStart w:id="17" w:name="_Hlk31197102"/>
      <w:r w:rsidRPr="004B4E8B">
        <w:rPr>
          <w:rFonts w:asciiTheme="minorHAnsi" w:eastAsiaTheme="minorHAnsi" w:hAnsiTheme="minorHAnsi" w:cs="ArialMT"/>
          <w:b/>
          <w:bCs/>
          <w:szCs w:val="24"/>
        </w:rPr>
        <w:t>Paediatric Home Oxygen Therapy</w:t>
      </w:r>
      <w:bookmarkEnd w:id="17"/>
    </w:p>
    <w:p w14:paraId="22FF024B" w14:textId="77777777" w:rsidR="002844F4" w:rsidRPr="004B4E8B" w:rsidRDefault="002844F4" w:rsidP="002844F4">
      <w:pPr>
        <w:pStyle w:val="ListParagraph"/>
        <w:numPr>
          <w:ilvl w:val="2"/>
          <w:numId w:val="13"/>
        </w:numPr>
        <w:autoSpaceDE w:val="0"/>
        <w:autoSpaceDN w:val="0"/>
        <w:adjustRightInd w:val="0"/>
        <w:rPr>
          <w:rFonts w:asciiTheme="minorHAnsi" w:eastAsiaTheme="minorHAnsi" w:hAnsiTheme="minorHAnsi" w:cs="ArialMT"/>
          <w:szCs w:val="24"/>
        </w:rPr>
      </w:pPr>
      <w:r w:rsidRPr="004B4E8B">
        <w:t>A continuous oximetry recording while breathing room air with mean SpO</w:t>
      </w:r>
      <w:r w:rsidRPr="004B4E8B">
        <w:rPr>
          <w:vertAlign w:val="subscript"/>
        </w:rPr>
        <w:t>2</w:t>
      </w:r>
      <w:r w:rsidRPr="004B4E8B">
        <w:t xml:space="preserve"> ≤ 93% (minimum oximetry recording time of 4 hours) OR until persistent desaturation SpO</w:t>
      </w:r>
      <w:r w:rsidRPr="004B4E8B">
        <w:rPr>
          <w:vertAlign w:val="subscript"/>
        </w:rPr>
        <w:t>2</w:t>
      </w:r>
      <w:r w:rsidRPr="004B4E8B">
        <w:t xml:space="preserve"> ≤ 90% at rest for &gt;1 minute OR SpO</w:t>
      </w:r>
      <w:r w:rsidRPr="004B4E8B">
        <w:rPr>
          <w:vertAlign w:val="subscript"/>
        </w:rPr>
        <w:t>2</w:t>
      </w:r>
      <w:r w:rsidRPr="004B4E8B">
        <w:t xml:space="preserve"> &lt; 80% for &gt;30 seconds AND </w:t>
      </w:r>
    </w:p>
    <w:p w14:paraId="2C07BDC1" w14:textId="77777777" w:rsidR="002844F4" w:rsidRPr="004B4E8B" w:rsidRDefault="002844F4" w:rsidP="002844F4">
      <w:pPr>
        <w:pStyle w:val="ListParagraph"/>
        <w:numPr>
          <w:ilvl w:val="2"/>
          <w:numId w:val="13"/>
        </w:numPr>
        <w:autoSpaceDE w:val="0"/>
        <w:autoSpaceDN w:val="0"/>
        <w:adjustRightInd w:val="0"/>
        <w:rPr>
          <w:rFonts w:asciiTheme="minorHAnsi" w:eastAsiaTheme="minorHAnsi" w:hAnsiTheme="minorHAnsi" w:cs="ArialMT"/>
          <w:szCs w:val="24"/>
        </w:rPr>
      </w:pPr>
      <w:r w:rsidRPr="004B4E8B">
        <w:t>Continuous oximetry monitoring (minimum recording time of 4 hours) report while clinically stable and on oxygen, demonstrates objective improvement in SpO</w:t>
      </w:r>
      <w:r w:rsidRPr="004B4E8B">
        <w:rPr>
          <w:vertAlign w:val="subscript"/>
        </w:rPr>
        <w:t>2</w:t>
      </w:r>
      <w:r w:rsidRPr="004B4E8B">
        <w:t xml:space="preserve"> AND </w:t>
      </w:r>
    </w:p>
    <w:p w14:paraId="40076C08" w14:textId="77777777" w:rsidR="002844F4" w:rsidRPr="004B4E8B" w:rsidRDefault="002844F4" w:rsidP="002844F4">
      <w:pPr>
        <w:pStyle w:val="ListParagraph"/>
        <w:numPr>
          <w:ilvl w:val="2"/>
          <w:numId w:val="13"/>
        </w:numPr>
        <w:autoSpaceDE w:val="0"/>
        <w:autoSpaceDN w:val="0"/>
        <w:adjustRightInd w:val="0"/>
        <w:rPr>
          <w:rFonts w:asciiTheme="minorHAnsi" w:eastAsiaTheme="minorHAnsi" w:hAnsiTheme="minorHAnsi" w:cs="ArialMT"/>
          <w:szCs w:val="24"/>
        </w:rPr>
      </w:pPr>
      <w:r w:rsidRPr="004B4E8B">
        <w:t>Investigations of oxygenation were carried out during a period of clinical stability i.e., at least four weeks following an acute illness.</w:t>
      </w:r>
    </w:p>
    <w:p w14:paraId="77C83D5A" w14:textId="5852713F" w:rsidR="002844F4" w:rsidRPr="004B4E8B" w:rsidRDefault="002844F4" w:rsidP="00AD3F5B">
      <w:pPr>
        <w:pStyle w:val="ListParagraph"/>
        <w:numPr>
          <w:ilvl w:val="0"/>
          <w:numId w:val="13"/>
        </w:num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b/>
          <w:bCs/>
          <w:szCs w:val="24"/>
        </w:rPr>
        <w:t>Paediatric Home Oxygen Therapy (Nocturnal)</w:t>
      </w:r>
    </w:p>
    <w:p w14:paraId="57E6ACB7" w14:textId="77777777" w:rsidR="002844F4" w:rsidRPr="004B4E8B" w:rsidRDefault="002844F4" w:rsidP="002844F4">
      <w:pPr>
        <w:pStyle w:val="ListParagraph"/>
        <w:numPr>
          <w:ilvl w:val="2"/>
          <w:numId w:val="13"/>
        </w:numPr>
        <w:autoSpaceDE w:val="0"/>
        <w:autoSpaceDN w:val="0"/>
        <w:adjustRightInd w:val="0"/>
        <w:rPr>
          <w:rFonts w:asciiTheme="minorHAnsi" w:eastAsiaTheme="minorHAnsi" w:hAnsiTheme="minorHAnsi" w:cs="ArialMT"/>
          <w:szCs w:val="24"/>
        </w:rPr>
      </w:pPr>
      <w:r w:rsidRPr="004B4E8B">
        <w:t xml:space="preserve">Polysomnography demonstrating ≥ 3 nocturnal desaturations to ≤ 85% associated with central </w:t>
      </w:r>
      <w:proofErr w:type="spellStart"/>
      <w:r w:rsidRPr="004B4E8B">
        <w:t>apnoeas</w:t>
      </w:r>
      <w:proofErr w:type="spellEnd"/>
      <w:r w:rsidRPr="004B4E8B">
        <w:t xml:space="preserve"> and/or hypopnoea during artefact free recording while breathing room air</w:t>
      </w:r>
    </w:p>
    <w:p w14:paraId="477CCE9C" w14:textId="77777777" w:rsidR="002844F4" w:rsidRPr="004B4E8B" w:rsidRDefault="002844F4" w:rsidP="002844F4">
      <w:pPr>
        <w:pStyle w:val="ListParagraph"/>
        <w:numPr>
          <w:ilvl w:val="2"/>
          <w:numId w:val="13"/>
        </w:num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t>Newborns and infants discharged with home oxygen therapy, under the care of the Newborn and Parent Support Service. Referral must be from a paediatrician.</w:t>
      </w:r>
    </w:p>
    <w:p w14:paraId="1A0F0041" w14:textId="77777777" w:rsidR="002844F4" w:rsidRPr="004B4E8B" w:rsidRDefault="002844F4" w:rsidP="002844F4">
      <w:pPr>
        <w:pStyle w:val="ListParagraph"/>
        <w:numPr>
          <w:ilvl w:val="0"/>
          <w:numId w:val="15"/>
        </w:numPr>
        <w:autoSpaceDE w:val="0"/>
        <w:autoSpaceDN w:val="0"/>
        <w:adjustRightInd w:val="0"/>
        <w:ind w:firstLine="273"/>
        <w:rPr>
          <w:rFonts w:asciiTheme="minorHAnsi" w:eastAsiaTheme="minorHAnsi" w:hAnsiTheme="minorHAnsi" w:cs="ArialMT"/>
          <w:b/>
          <w:szCs w:val="24"/>
        </w:rPr>
      </w:pPr>
      <w:r w:rsidRPr="004B4E8B">
        <w:rPr>
          <w:rFonts w:asciiTheme="minorHAnsi" w:eastAsiaTheme="minorHAnsi" w:hAnsiTheme="minorHAnsi" w:cs="ArialMT"/>
          <w:b/>
          <w:szCs w:val="24"/>
        </w:rPr>
        <w:t xml:space="preserve">Short Term Oxygen Therapy (STOT) </w:t>
      </w:r>
    </w:p>
    <w:p w14:paraId="4C897F53" w14:textId="3DC310A1" w:rsidR="002844F4" w:rsidRPr="004B4E8B" w:rsidRDefault="002844F4" w:rsidP="002844F4">
      <w:pPr>
        <w:pStyle w:val="ListParagraph"/>
        <w:numPr>
          <w:ilvl w:val="2"/>
          <w:numId w:val="15"/>
        </w:num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t xml:space="preserve">Stable daytime </w:t>
      </w:r>
      <w:r w:rsidR="001D20EB" w:rsidRPr="004B4E8B">
        <w:rPr>
          <w:rFonts w:asciiTheme="minorHAnsi" w:eastAsiaTheme="minorHAnsi" w:hAnsiTheme="minorHAnsi" w:cs="ArialMT"/>
          <w:szCs w:val="24"/>
        </w:rPr>
        <w:t>PaO</w:t>
      </w:r>
      <w:r w:rsidR="001D20EB" w:rsidRPr="004B4E8B">
        <w:rPr>
          <w:rFonts w:asciiTheme="minorHAnsi" w:eastAsiaTheme="minorHAnsi" w:hAnsiTheme="minorHAnsi" w:cs="ArialMT"/>
          <w:szCs w:val="24"/>
          <w:vertAlign w:val="subscript"/>
        </w:rPr>
        <w:t xml:space="preserve">2 </w:t>
      </w:r>
      <w:r w:rsidRPr="004B4E8B">
        <w:rPr>
          <w:rFonts w:asciiTheme="minorHAnsi" w:eastAsiaTheme="minorHAnsi" w:hAnsiTheme="minorHAnsi" w:cs="ArialMT"/>
          <w:szCs w:val="24"/>
        </w:rPr>
        <w:t>is ≤ 55mmHg (7.3kPA) at rest, or</w:t>
      </w:r>
    </w:p>
    <w:p w14:paraId="51E67874" w14:textId="64B6395A" w:rsidR="002844F4" w:rsidRPr="004B4E8B" w:rsidRDefault="002844F4" w:rsidP="002844F4">
      <w:pPr>
        <w:pStyle w:val="ListParagraph"/>
        <w:numPr>
          <w:ilvl w:val="2"/>
          <w:numId w:val="15"/>
        </w:num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t xml:space="preserve">Stable daytime </w:t>
      </w:r>
      <w:r w:rsidR="001D20EB" w:rsidRPr="004B4E8B">
        <w:rPr>
          <w:rFonts w:asciiTheme="minorHAnsi" w:eastAsiaTheme="minorHAnsi" w:hAnsiTheme="minorHAnsi" w:cs="ArialMT"/>
          <w:szCs w:val="24"/>
        </w:rPr>
        <w:t>PaO</w:t>
      </w:r>
      <w:r w:rsidR="001D20EB" w:rsidRPr="004B4E8B">
        <w:rPr>
          <w:rFonts w:asciiTheme="minorHAnsi" w:eastAsiaTheme="minorHAnsi" w:hAnsiTheme="minorHAnsi" w:cs="ArialMT"/>
          <w:szCs w:val="24"/>
          <w:vertAlign w:val="subscript"/>
        </w:rPr>
        <w:t xml:space="preserve">2 </w:t>
      </w:r>
      <w:r w:rsidRPr="004B4E8B">
        <w:rPr>
          <w:rFonts w:asciiTheme="minorHAnsi" w:eastAsiaTheme="minorHAnsi" w:hAnsiTheme="minorHAnsi" w:cs="ArialMT"/>
          <w:szCs w:val="24"/>
        </w:rPr>
        <w:t>is 55-59mmHg (7.4-7.8kPA) at rest, as well as evidence for hypoxic organ damage (including right heart failure, pulmonary hypertension or polycythaemia)</w:t>
      </w:r>
    </w:p>
    <w:p w14:paraId="11A7EA29" w14:textId="3A2FCB24" w:rsidR="002844F4" w:rsidRPr="004B4E8B" w:rsidRDefault="002844F4" w:rsidP="002844F4">
      <w:pPr>
        <w:pStyle w:val="ListParagraph"/>
        <w:numPr>
          <w:ilvl w:val="2"/>
          <w:numId w:val="15"/>
        </w:numPr>
        <w:autoSpaceDE w:val="0"/>
        <w:autoSpaceDN w:val="0"/>
        <w:adjustRightInd w:val="0"/>
        <w:rPr>
          <w:rFonts w:asciiTheme="minorHAnsi" w:eastAsiaTheme="minorHAnsi" w:hAnsiTheme="minorHAnsi" w:cs="ArialMT"/>
          <w:szCs w:val="24"/>
        </w:rPr>
      </w:pPr>
      <w:r w:rsidRPr="004B4E8B">
        <w:rPr>
          <w:rFonts w:asciiTheme="minorHAnsi" w:eastAsiaTheme="minorHAnsi" w:hAnsiTheme="minorHAnsi" w:cs="ArialMT"/>
          <w:szCs w:val="24"/>
        </w:rPr>
        <w:t xml:space="preserve">Oxygen requirement is confirmed by room air arterial blood gas (ABG) analysis at steady-state conditions, along with repeat ABG or oximetry on </w:t>
      </w:r>
      <w:r w:rsidRPr="004B4E8B">
        <w:rPr>
          <w:rFonts w:asciiTheme="minorHAnsi" w:eastAsiaTheme="minorHAnsi" w:hAnsiTheme="minorHAnsi" w:cs="ArialMT"/>
          <w:szCs w:val="24"/>
        </w:rPr>
        <w:lastRenderedPageBreak/>
        <w:t>supplemental oxygen to demonstrate adequate oxygen delivery (to achieve SpO</w:t>
      </w:r>
      <w:r w:rsidRPr="004B4E8B">
        <w:rPr>
          <w:rFonts w:asciiTheme="minorHAnsi" w:eastAsiaTheme="minorHAnsi" w:hAnsiTheme="minorHAnsi" w:cs="ArialMT"/>
          <w:szCs w:val="24"/>
          <w:vertAlign w:val="subscript"/>
        </w:rPr>
        <w:t>2</w:t>
      </w:r>
      <w:r w:rsidRPr="004B4E8B">
        <w:rPr>
          <w:rFonts w:asciiTheme="minorHAnsi" w:eastAsiaTheme="minorHAnsi" w:hAnsiTheme="minorHAnsi" w:cs="ArialMT"/>
          <w:szCs w:val="24"/>
        </w:rPr>
        <w:t xml:space="preserve"> &gt;90% or </w:t>
      </w:r>
      <w:r w:rsidR="001D20EB" w:rsidRPr="004B4E8B">
        <w:rPr>
          <w:rFonts w:asciiTheme="minorHAnsi" w:eastAsiaTheme="minorHAnsi" w:hAnsiTheme="minorHAnsi" w:cs="ArialMT"/>
          <w:szCs w:val="24"/>
        </w:rPr>
        <w:t>PaO</w:t>
      </w:r>
      <w:r w:rsidR="001D20EB" w:rsidRPr="004B4E8B">
        <w:rPr>
          <w:rFonts w:asciiTheme="minorHAnsi" w:eastAsiaTheme="minorHAnsi" w:hAnsiTheme="minorHAnsi" w:cs="ArialMT"/>
          <w:szCs w:val="24"/>
          <w:vertAlign w:val="subscript"/>
        </w:rPr>
        <w:t xml:space="preserve">2 </w:t>
      </w:r>
      <w:r w:rsidRPr="004B4E8B">
        <w:rPr>
          <w:rFonts w:asciiTheme="minorHAnsi" w:eastAsiaTheme="minorHAnsi" w:hAnsiTheme="minorHAnsi" w:cs="ArialMT"/>
          <w:szCs w:val="24"/>
        </w:rPr>
        <w:t>&gt;60mmHg [8kPa]). Where hypercapnia is a possibility ABGs are required on supplemental oxygen</w:t>
      </w:r>
    </w:p>
    <w:p w14:paraId="71CEEF92" w14:textId="7F89FA0F" w:rsidR="002844F4" w:rsidRPr="004B4E8B" w:rsidRDefault="002844F4" w:rsidP="002844F4">
      <w:pPr>
        <w:pStyle w:val="ListParagraph"/>
        <w:numPr>
          <w:ilvl w:val="2"/>
          <w:numId w:val="15"/>
        </w:numPr>
        <w:autoSpaceDE w:val="0"/>
        <w:autoSpaceDN w:val="0"/>
        <w:adjustRightInd w:val="0"/>
        <w:rPr>
          <w:rFonts w:asciiTheme="minorHAnsi" w:eastAsiaTheme="minorEastAsia" w:hAnsiTheme="minorHAnsi" w:cs="ArialMT"/>
        </w:rPr>
      </w:pPr>
      <w:r w:rsidRPr="004B4E8B">
        <w:rPr>
          <w:rFonts w:asciiTheme="minorHAnsi" w:eastAsiaTheme="minorEastAsia" w:hAnsiTheme="minorHAnsi" w:cs="ArialMT"/>
        </w:rPr>
        <w:t>Patients requiring short-term oxygen therapy should be reassessed within eight weeks after commencing therapy to determine ongoing eligibility (</w:t>
      </w:r>
      <w:bookmarkStart w:id="18" w:name="_Int_IEVWNj7b"/>
      <w:r w:rsidRPr="004B4E8B">
        <w:rPr>
          <w:rFonts w:asciiTheme="minorHAnsi" w:eastAsiaTheme="minorEastAsia" w:hAnsiTheme="minorHAnsi" w:cs="ArialMT"/>
        </w:rPr>
        <w:t>i.e.</w:t>
      </w:r>
      <w:bookmarkEnd w:id="18"/>
      <w:r w:rsidRPr="004B4E8B">
        <w:rPr>
          <w:rFonts w:asciiTheme="minorHAnsi" w:eastAsiaTheme="minorEastAsia" w:hAnsiTheme="minorHAnsi" w:cs="ArialMT"/>
        </w:rPr>
        <w:t xml:space="preserve"> whether clinical recovery has occurred).</w:t>
      </w:r>
    </w:p>
    <w:p w14:paraId="08682A02" w14:textId="77777777" w:rsidR="009A534C" w:rsidRPr="004B4E8B" w:rsidRDefault="009A534C" w:rsidP="009A534C">
      <w:pPr>
        <w:outlineLvl w:val="0"/>
        <w:rPr>
          <w:szCs w:val="24"/>
        </w:rPr>
      </w:pPr>
    </w:p>
    <w:p w14:paraId="08682A07" w14:textId="77777777" w:rsidR="009A534C" w:rsidRPr="004B4E8B" w:rsidRDefault="009A534C" w:rsidP="009A534C">
      <w:pPr>
        <w:jc w:val="right"/>
        <w:rPr>
          <w:rFonts w:cs="Arial"/>
          <w:i/>
          <w:szCs w:val="24"/>
        </w:rPr>
      </w:pPr>
      <w:hyperlink w:anchor="Contents" w:history="1">
        <w:r w:rsidRPr="004B4E8B">
          <w:rPr>
            <w:rStyle w:val="Hyperlink"/>
            <w:rFonts w:eastAsiaTheme="majorEastAsia" w:cs="Arial"/>
            <w:i/>
            <w:szCs w:val="24"/>
          </w:rPr>
          <w:t>Back to Table of Contents</w:t>
        </w:r>
      </w:hyperlink>
      <w:r w:rsidRPr="004B4E8B">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4B4E8B" w14:paraId="08682A09" w14:textId="77777777" w:rsidTr="008E74FD">
        <w:trPr>
          <w:cantSplit/>
          <w:trHeight w:val="285"/>
        </w:trPr>
        <w:tc>
          <w:tcPr>
            <w:tcW w:w="9158" w:type="dxa"/>
            <w:shd w:val="clear" w:color="auto" w:fill="D9D9D9" w:themeFill="background1" w:themeFillShade="D9"/>
          </w:tcPr>
          <w:p w14:paraId="08682A08" w14:textId="7862D5D2" w:rsidR="009A534C" w:rsidRPr="004B4E8B" w:rsidRDefault="009A534C" w:rsidP="00010E74">
            <w:pPr>
              <w:pStyle w:val="Heading1"/>
            </w:pPr>
            <w:bookmarkStart w:id="19" w:name="_Toc389473281"/>
            <w:bookmarkStart w:id="20" w:name="_Toc393203337"/>
            <w:bookmarkStart w:id="21" w:name="_Toc132280673"/>
            <w:r w:rsidRPr="004B4E8B">
              <w:t xml:space="preserve">Section 2 – </w:t>
            </w:r>
            <w:bookmarkEnd w:id="19"/>
            <w:bookmarkEnd w:id="20"/>
            <w:r w:rsidR="002844F4" w:rsidRPr="004B4E8B">
              <w:rPr>
                <w:rFonts w:asciiTheme="minorHAnsi" w:hAnsiTheme="minorHAnsi" w:cs="Calibri"/>
                <w:szCs w:val="24"/>
              </w:rPr>
              <w:t>Prescriber Information</w:t>
            </w:r>
            <w:bookmarkEnd w:id="21"/>
          </w:p>
        </w:tc>
      </w:tr>
    </w:tbl>
    <w:p w14:paraId="08682A0B" w14:textId="77777777" w:rsidR="008E74FD" w:rsidRPr="004B4E8B" w:rsidRDefault="008E74FD" w:rsidP="00D54ED5">
      <w:pPr>
        <w:rPr>
          <w:rFonts w:cs="Arial"/>
          <w:i/>
          <w:szCs w:val="24"/>
        </w:rPr>
      </w:pPr>
    </w:p>
    <w:p w14:paraId="7343F6D5" w14:textId="5C3C9EC7" w:rsidR="00B208FE" w:rsidRPr="004B4E8B" w:rsidRDefault="00B208FE" w:rsidP="00AD3F5B">
      <w:pPr>
        <w:pStyle w:val="ListBullet"/>
        <w:rPr>
          <w:rFonts w:eastAsiaTheme="minorHAnsi"/>
        </w:rPr>
      </w:pPr>
      <w:r w:rsidRPr="004B4E8B">
        <w:rPr>
          <w:rFonts w:eastAsiaTheme="minorHAnsi"/>
        </w:rPr>
        <w:t xml:space="preserve">Referrals can be made on the </w:t>
      </w:r>
      <w:r w:rsidRPr="004B4E8B">
        <w:rPr>
          <w:rFonts w:eastAsiaTheme="minorHAnsi"/>
          <w:i/>
          <w:iCs/>
        </w:rPr>
        <w:t xml:space="preserve">Referral to ACT Domiciliary Oxygen and Respiratory Support Scheme </w:t>
      </w:r>
      <w:r w:rsidRPr="004B4E8B">
        <w:rPr>
          <w:rFonts w:eastAsiaTheme="minorHAnsi"/>
        </w:rPr>
        <w:t xml:space="preserve">form found on the Clinical Forms Register or through the Digital Health Record. </w:t>
      </w:r>
    </w:p>
    <w:p w14:paraId="25635033" w14:textId="36BC5CE1" w:rsidR="002844F4" w:rsidRPr="004B4E8B" w:rsidRDefault="002844F4" w:rsidP="00AD3F5B">
      <w:pPr>
        <w:pStyle w:val="ListBullet"/>
        <w:rPr>
          <w:rFonts w:eastAsiaTheme="minorHAnsi"/>
        </w:rPr>
      </w:pPr>
      <w:r w:rsidRPr="004B4E8B">
        <w:rPr>
          <w:rFonts w:eastAsiaTheme="minorHAnsi"/>
        </w:rPr>
        <w:t>Applications for home oxygen therapy must only be completed by cardiologists, geriatricians, palliative care nurse practitioners or specialists, respiratory physicians, oncologists, paediatricians or sleep medicine physicians (in both the public and private setting).</w:t>
      </w:r>
    </w:p>
    <w:p w14:paraId="6E087DA8" w14:textId="77777777" w:rsidR="002844F4" w:rsidRPr="004B4E8B" w:rsidRDefault="002844F4" w:rsidP="00AD3F5B">
      <w:pPr>
        <w:pStyle w:val="ListBullet"/>
        <w:rPr>
          <w:rFonts w:eastAsiaTheme="minorHAnsi"/>
        </w:rPr>
      </w:pPr>
      <w:r w:rsidRPr="004B4E8B">
        <w:rPr>
          <w:rFonts w:eastAsiaTheme="minorHAnsi"/>
        </w:rPr>
        <w:t>Advanced Trainees can sign on behalf of the treating consultant when the referral is for a hospital patient requiring Short Term Oxygen Therapy only.</w:t>
      </w:r>
    </w:p>
    <w:p w14:paraId="56C97AA9" w14:textId="056A4C83" w:rsidR="002844F4" w:rsidRPr="004B4E8B" w:rsidRDefault="002844F4" w:rsidP="00AD3F5B">
      <w:pPr>
        <w:pStyle w:val="ListBullet"/>
        <w:rPr>
          <w:rFonts w:eastAsiaTheme="minorHAnsi"/>
        </w:rPr>
      </w:pPr>
      <w:r w:rsidRPr="004B4E8B">
        <w:rPr>
          <w:rFonts w:eastAsiaTheme="minorHAnsi"/>
        </w:rPr>
        <w:t xml:space="preserve">Applications are subject to review </w:t>
      </w:r>
      <w:r w:rsidR="008F2403">
        <w:rPr>
          <w:rFonts w:eastAsiaTheme="minorHAnsi"/>
        </w:rPr>
        <w:t xml:space="preserve">by a DORSS officer </w:t>
      </w:r>
      <w:r w:rsidRPr="004B4E8B">
        <w:rPr>
          <w:rFonts w:eastAsiaTheme="minorHAnsi"/>
        </w:rPr>
        <w:t xml:space="preserve">and therefore supply to the patient is not guaranteed. </w:t>
      </w:r>
    </w:p>
    <w:p w14:paraId="0A737D24" w14:textId="77777777" w:rsidR="002844F4" w:rsidRPr="004B4E8B" w:rsidRDefault="002844F4" w:rsidP="00AD3F5B">
      <w:pPr>
        <w:pStyle w:val="ListBullet"/>
        <w:rPr>
          <w:rFonts w:eastAsiaTheme="minorHAnsi"/>
        </w:rPr>
      </w:pPr>
      <w:r w:rsidRPr="004B4E8B">
        <w:rPr>
          <w:rFonts w:eastAsiaTheme="minorHAnsi"/>
        </w:rPr>
        <w:t>The referring physician will be notified of the outcome for all applications they submit.</w:t>
      </w:r>
    </w:p>
    <w:p w14:paraId="0B947618" w14:textId="77777777" w:rsidR="002844F4" w:rsidRPr="004B4E8B" w:rsidRDefault="002844F4" w:rsidP="00AD3F5B">
      <w:pPr>
        <w:pStyle w:val="ListBullet"/>
        <w:rPr>
          <w:rFonts w:eastAsiaTheme="minorHAnsi"/>
        </w:rPr>
      </w:pPr>
      <w:r w:rsidRPr="004B4E8B">
        <w:rPr>
          <w:rFonts w:eastAsiaTheme="minorHAnsi"/>
        </w:rPr>
        <w:t>Patients will only be notified by the DORSS Officer if their application is successful, in order to arrange for the provision of equipment.</w:t>
      </w:r>
    </w:p>
    <w:p w14:paraId="59832A0B" w14:textId="77777777" w:rsidR="002844F4" w:rsidRPr="004B4E8B" w:rsidRDefault="002844F4" w:rsidP="00AD3F5B">
      <w:pPr>
        <w:pStyle w:val="ListBullet"/>
        <w:rPr>
          <w:rFonts w:eastAsiaTheme="minorHAnsi"/>
        </w:rPr>
      </w:pPr>
      <w:r w:rsidRPr="004B4E8B">
        <w:rPr>
          <w:rFonts w:eastAsiaTheme="minorHAnsi"/>
        </w:rPr>
        <w:t xml:space="preserve">The referring physician must ensure that the patient is capable of using the device and accessories safely and appropriately, including equipment care. </w:t>
      </w:r>
    </w:p>
    <w:p w14:paraId="17F0D219" w14:textId="77777777" w:rsidR="002844F4" w:rsidRPr="004B4E8B" w:rsidRDefault="002844F4" w:rsidP="00AD3F5B">
      <w:pPr>
        <w:pStyle w:val="ListBullet"/>
        <w:rPr>
          <w:rFonts w:eastAsiaTheme="minorHAnsi"/>
        </w:rPr>
      </w:pPr>
      <w:r w:rsidRPr="004B4E8B">
        <w:rPr>
          <w:rFonts w:eastAsiaTheme="minorHAnsi"/>
        </w:rPr>
        <w:t>The referring physician must ensure that the patients’ home environment is compatible with home oxygen therapy.</w:t>
      </w:r>
    </w:p>
    <w:p w14:paraId="0CB8C45B" w14:textId="3E13D018" w:rsidR="002844F4" w:rsidRPr="004B4E8B" w:rsidRDefault="002844F4" w:rsidP="00AD3F5B">
      <w:pPr>
        <w:pStyle w:val="ListBullet"/>
        <w:rPr>
          <w:rFonts w:eastAsiaTheme="minorEastAsia"/>
          <w:i/>
          <w:iCs/>
        </w:rPr>
      </w:pPr>
      <w:r w:rsidRPr="004B4E8B">
        <w:rPr>
          <w:rFonts w:eastAsiaTheme="minorEastAsia"/>
        </w:rPr>
        <w:t>Reports from investigations confirming home oxygen therapy requirement must be made available if requested (</w:t>
      </w:r>
      <w:bookmarkStart w:id="22" w:name="_Int_ecvrSoiZ"/>
      <w:r w:rsidRPr="004B4E8B">
        <w:rPr>
          <w:rFonts w:eastAsiaTheme="minorEastAsia"/>
        </w:rPr>
        <w:t>e.g.</w:t>
      </w:r>
      <w:bookmarkEnd w:id="22"/>
      <w:r w:rsidRPr="004B4E8B">
        <w:rPr>
          <w:rFonts w:eastAsiaTheme="minorEastAsia"/>
        </w:rPr>
        <w:t xml:space="preserve"> ABG). ABG reports must be no more than 4 weeks old. Overnight oximetry or sleep studies for nocturnal oxygen must be no more than 3 months old. </w:t>
      </w:r>
      <w:r w:rsidR="00AD3F5B" w:rsidRPr="004B4E8B">
        <w:rPr>
          <w:rFonts w:eastAsiaTheme="minorEastAsia"/>
        </w:rPr>
        <w:t>N</w:t>
      </w:r>
      <w:r w:rsidRPr="004B4E8B">
        <w:rPr>
          <w:rFonts w:eastAsiaTheme="minorEastAsia"/>
        </w:rPr>
        <w:t>ote</w:t>
      </w:r>
      <w:r w:rsidR="00084F3D">
        <w:rPr>
          <w:rFonts w:eastAsiaTheme="minorEastAsia"/>
        </w:rPr>
        <w:t>:</w:t>
      </w:r>
      <w:r w:rsidRPr="004B4E8B">
        <w:rPr>
          <w:rFonts w:eastAsiaTheme="minorEastAsia"/>
        </w:rPr>
        <w:t xml:space="preserve"> raw data may be requested for some applications</w:t>
      </w:r>
      <w:r w:rsidRPr="004B4E8B">
        <w:rPr>
          <w:rFonts w:eastAsiaTheme="minorEastAsia"/>
          <w:i/>
          <w:iCs/>
        </w:rPr>
        <w:t>.</w:t>
      </w:r>
    </w:p>
    <w:p w14:paraId="27517E2C" w14:textId="77777777" w:rsidR="002844F4" w:rsidRPr="004B4E8B" w:rsidRDefault="002844F4" w:rsidP="00AD3F5B">
      <w:pPr>
        <w:pStyle w:val="ListBullet"/>
        <w:rPr>
          <w:rFonts w:eastAsiaTheme="minorHAnsi"/>
        </w:rPr>
      </w:pPr>
      <w:r w:rsidRPr="004B4E8B">
        <w:rPr>
          <w:rFonts w:eastAsiaTheme="minorHAnsi"/>
        </w:rPr>
        <w:t xml:space="preserve">It is recommended that a referring physician undertake ongoing clinical review of patient progress, as per the </w:t>
      </w:r>
      <w:r w:rsidRPr="004B4E8B">
        <w:rPr>
          <w:rFonts w:eastAsiaTheme="minorHAnsi"/>
          <w:i/>
        </w:rPr>
        <w:t>Thoracic Society of Australia and New Zealand Adult Domiciliary Oxygen Therapy Clinical Practice Guideline</w:t>
      </w:r>
      <w:r w:rsidRPr="004B4E8B">
        <w:rPr>
          <w:rFonts w:eastAsiaTheme="minorHAnsi"/>
        </w:rPr>
        <w:t xml:space="preserve"> to ensure that home oxygen therapy is still clinically appropriate.</w:t>
      </w:r>
    </w:p>
    <w:p w14:paraId="7C6230C7" w14:textId="77777777" w:rsidR="002844F4" w:rsidRPr="004B4E8B" w:rsidRDefault="002844F4" w:rsidP="00AD3F5B">
      <w:pPr>
        <w:pStyle w:val="ListBullet"/>
        <w:rPr>
          <w:rFonts w:eastAsiaTheme="minorHAnsi"/>
        </w:rPr>
      </w:pPr>
      <w:r w:rsidRPr="004B4E8B">
        <w:rPr>
          <w:rFonts w:eastAsiaTheme="minorHAnsi"/>
        </w:rPr>
        <w:t>The referring physician must ensure that DORSS is notified if the patient is no longer able to use (or no longer requires) home oxygen therapy.</w:t>
      </w:r>
    </w:p>
    <w:p w14:paraId="5DF6377B" w14:textId="77777777" w:rsidR="002844F4" w:rsidRPr="004B4E8B" w:rsidRDefault="002844F4" w:rsidP="00AD3F5B">
      <w:pPr>
        <w:pStyle w:val="ListBullet"/>
        <w:rPr>
          <w:rFonts w:eastAsiaTheme="minorHAnsi"/>
        </w:rPr>
      </w:pPr>
      <w:r w:rsidRPr="004B4E8B">
        <w:rPr>
          <w:rFonts w:eastAsiaTheme="minorHAnsi"/>
        </w:rPr>
        <w:t>The referring physician must review patients identified by DORSS with poor compliance, to determine whether continuation with home oxygen therapy is viable.</w:t>
      </w:r>
    </w:p>
    <w:p w14:paraId="49BB46D2" w14:textId="77777777" w:rsidR="002844F4" w:rsidRPr="004B4E8B" w:rsidRDefault="002844F4" w:rsidP="002844F4">
      <w:pPr>
        <w:autoSpaceDE w:val="0"/>
        <w:autoSpaceDN w:val="0"/>
        <w:adjustRightInd w:val="0"/>
        <w:rPr>
          <w:rFonts w:asciiTheme="minorHAnsi" w:eastAsiaTheme="minorHAnsi" w:hAnsiTheme="minorHAnsi" w:cs="ArialMT"/>
          <w:szCs w:val="24"/>
        </w:rPr>
      </w:pPr>
    </w:p>
    <w:p w14:paraId="3098B7AA" w14:textId="77777777" w:rsidR="002844F4" w:rsidRPr="004B4E8B" w:rsidRDefault="002844F4" w:rsidP="002844F4">
      <w:pPr>
        <w:autoSpaceDE w:val="0"/>
        <w:autoSpaceDN w:val="0"/>
        <w:adjustRightInd w:val="0"/>
        <w:rPr>
          <w:rFonts w:asciiTheme="minorHAnsi" w:eastAsiaTheme="minorHAnsi" w:hAnsiTheme="minorHAnsi" w:cs="ArialMT"/>
          <w:b/>
          <w:bCs/>
          <w:szCs w:val="24"/>
        </w:rPr>
      </w:pPr>
      <w:r w:rsidRPr="004B4E8B">
        <w:rPr>
          <w:rFonts w:asciiTheme="minorHAnsi" w:eastAsiaTheme="minorHAnsi" w:hAnsiTheme="minorHAnsi" w:cs="ArialMT"/>
          <w:b/>
          <w:bCs/>
          <w:szCs w:val="24"/>
        </w:rPr>
        <w:t>Modes of Delivery:</w:t>
      </w:r>
    </w:p>
    <w:p w14:paraId="6DCAB245" w14:textId="77777777" w:rsidR="002844F4" w:rsidRPr="004B4E8B" w:rsidRDefault="002844F4" w:rsidP="00AD3F5B">
      <w:pPr>
        <w:pStyle w:val="ListBullet"/>
        <w:rPr>
          <w:rFonts w:eastAsiaTheme="minorHAnsi"/>
        </w:rPr>
      </w:pPr>
      <w:r w:rsidRPr="004B4E8B">
        <w:rPr>
          <w:rFonts w:eastAsiaTheme="minorHAnsi"/>
        </w:rPr>
        <w:lastRenderedPageBreak/>
        <w:t>There are three modes for the delivery of home oxygen therapy: stationary oxygen concentrators, portable oxygen concentrators, and oxygen cylinders.</w:t>
      </w:r>
    </w:p>
    <w:p w14:paraId="11C65D56" w14:textId="7E91413D" w:rsidR="002844F4" w:rsidRPr="004B4E8B" w:rsidRDefault="002844F4" w:rsidP="00AD3F5B">
      <w:pPr>
        <w:pStyle w:val="ListBullet"/>
        <w:numPr>
          <w:ilvl w:val="0"/>
          <w:numId w:val="16"/>
        </w:numPr>
        <w:rPr>
          <w:b/>
        </w:rPr>
      </w:pPr>
      <w:r w:rsidRPr="004B4E8B">
        <w:rPr>
          <w:b/>
        </w:rPr>
        <w:t>Stationary Oxygen Concentrators</w:t>
      </w:r>
      <w:r w:rsidR="00AD3F5B" w:rsidRPr="004B4E8B">
        <w:rPr>
          <w:b/>
        </w:rPr>
        <w:br/>
      </w:r>
      <w:r w:rsidRPr="004B4E8B">
        <w:rPr>
          <w:rFonts w:asciiTheme="minorHAnsi" w:hAnsiTheme="minorHAnsi" w:cs="Calibri"/>
          <w:szCs w:val="24"/>
        </w:rPr>
        <w:t xml:space="preserve">Stationary oxygen concentrators (SOC) are provided for all approved applications. Referring physicians will need to specify whether a five litre or ten litre concentrator is required. The size of the concentrator is dependent on the required flow rate. SOC therapy can be delivered via nasal prongs or mask. A mask can only be provided if specifically requested by the referrer. The referrer must state the appropriate mask and flow rate. </w:t>
      </w:r>
    </w:p>
    <w:p w14:paraId="3156E1CC" w14:textId="62B61415" w:rsidR="002844F4" w:rsidRPr="004B4E8B" w:rsidRDefault="002844F4" w:rsidP="00AD3F5B">
      <w:pPr>
        <w:pStyle w:val="Headin3"/>
        <w:numPr>
          <w:ilvl w:val="0"/>
          <w:numId w:val="16"/>
        </w:numPr>
        <w:rPr>
          <w:b w:val="0"/>
          <w:bCs/>
        </w:rPr>
      </w:pPr>
      <w:r w:rsidRPr="004B4E8B">
        <w:t>Portable Oxygen Concentrators</w:t>
      </w:r>
      <w:r w:rsidR="00AD3F5B" w:rsidRPr="004B4E8B">
        <w:br/>
      </w:r>
      <w:r w:rsidRPr="004B4E8B">
        <w:rPr>
          <w:b w:val="0"/>
          <w:bCs/>
          <w:szCs w:val="24"/>
        </w:rPr>
        <w:t>A portable oxygen concentrator (POC) will only be funded by DORSS in limited circumstances. A POC</w:t>
      </w:r>
      <w:r w:rsidRPr="004B4E8B">
        <w:rPr>
          <w:b w:val="0"/>
          <w:bCs/>
        </w:rPr>
        <w:t xml:space="preserve"> will only be considered for an existing DORSS patient (not a new patient referral) on continuous home oxygen therapy who is medically stable. </w:t>
      </w:r>
      <w:r w:rsidRPr="004B4E8B">
        <w:rPr>
          <w:b w:val="0"/>
          <w:bCs/>
          <w:szCs w:val="24"/>
        </w:rPr>
        <w:t xml:space="preserve">DORSS will only provide POCs that deliver a pulse-dose. The delivery of oxygen in pulse-dose mode is not identical to oxygen flow rates in litres per minute. POC </w:t>
      </w:r>
      <w:r w:rsidRPr="004B4E8B">
        <w:rPr>
          <w:rFonts w:asciiTheme="minorHAnsi" w:hAnsiTheme="minorHAnsi" w:cs="Calibri"/>
          <w:b w:val="0"/>
          <w:bCs/>
          <w:szCs w:val="24"/>
        </w:rPr>
        <w:t>therapy can be delivered via nasal prongs.</w:t>
      </w:r>
      <w:r w:rsidR="00AD3F5B" w:rsidRPr="004B4E8B">
        <w:rPr>
          <w:b w:val="0"/>
          <w:bCs/>
        </w:rPr>
        <w:br/>
      </w:r>
      <w:r w:rsidR="00AD3F5B" w:rsidRPr="004B4E8B">
        <w:rPr>
          <w:b w:val="0"/>
          <w:bCs/>
        </w:rPr>
        <w:br/>
      </w:r>
      <w:r w:rsidRPr="004B4E8B">
        <w:rPr>
          <w:b w:val="0"/>
          <w:bCs/>
        </w:rPr>
        <w:t>Patients are NOT eligible for a DORSS-funded POC when they are:</w:t>
      </w:r>
    </w:p>
    <w:p w14:paraId="6D211E4E" w14:textId="68D39367" w:rsidR="002844F4" w:rsidRPr="004B4E8B" w:rsidRDefault="005C06C7" w:rsidP="00AD3F5B">
      <w:pPr>
        <w:pStyle w:val="ListParagraph"/>
        <w:numPr>
          <w:ilvl w:val="2"/>
          <w:numId w:val="16"/>
        </w:numPr>
        <w:ind w:left="1146"/>
      </w:pPr>
      <w:r w:rsidRPr="004B4E8B">
        <w:t>p</w:t>
      </w:r>
      <w:r w:rsidR="002844F4" w:rsidRPr="004B4E8B">
        <w:t>aediatric, using nocturnal oxygen therapy only, or using intermittent oxygen therapy only</w:t>
      </w:r>
    </w:p>
    <w:p w14:paraId="2A949651" w14:textId="57D56EC2" w:rsidR="002844F4" w:rsidRPr="004B4E8B" w:rsidRDefault="005C06C7" w:rsidP="00AD3F5B">
      <w:pPr>
        <w:pStyle w:val="ListParagraph"/>
        <w:numPr>
          <w:ilvl w:val="2"/>
          <w:numId w:val="16"/>
        </w:numPr>
        <w:ind w:left="1146"/>
      </w:pPr>
      <w:r w:rsidRPr="004B4E8B">
        <w:t>u</w:t>
      </w:r>
      <w:r w:rsidR="002844F4" w:rsidRPr="004B4E8B">
        <w:t>ndergoing palliation</w:t>
      </w:r>
    </w:p>
    <w:p w14:paraId="21575E32" w14:textId="4CFFB0C7" w:rsidR="002844F4" w:rsidRPr="004B4E8B" w:rsidRDefault="005C06C7" w:rsidP="00AD3F5B">
      <w:pPr>
        <w:pStyle w:val="ListParagraph"/>
        <w:numPr>
          <w:ilvl w:val="2"/>
          <w:numId w:val="16"/>
        </w:numPr>
        <w:ind w:left="1146"/>
      </w:pPr>
      <w:r w:rsidRPr="004B4E8B">
        <w:t>n</w:t>
      </w:r>
      <w:r w:rsidR="002844F4" w:rsidRPr="004B4E8B">
        <w:t>ot medically stable</w:t>
      </w:r>
    </w:p>
    <w:p w14:paraId="2FC5638E" w14:textId="5B01DC8B" w:rsidR="002844F4" w:rsidRPr="004B4E8B" w:rsidRDefault="005C06C7" w:rsidP="00AD3F5B">
      <w:pPr>
        <w:pStyle w:val="ListParagraph"/>
        <w:numPr>
          <w:ilvl w:val="2"/>
          <w:numId w:val="16"/>
        </w:numPr>
        <w:ind w:left="1146"/>
      </w:pPr>
      <w:r w:rsidRPr="004B4E8B">
        <w:t>r</w:t>
      </w:r>
      <w:r w:rsidR="002844F4" w:rsidRPr="004B4E8B">
        <w:t>equiring a continuous flow oxygen, rather than pulse-dose</w:t>
      </w:r>
    </w:p>
    <w:p w14:paraId="42890BB0" w14:textId="72CB9035" w:rsidR="002844F4" w:rsidRPr="004B4E8B" w:rsidRDefault="005C06C7" w:rsidP="00AD3F5B">
      <w:pPr>
        <w:pStyle w:val="ListParagraph"/>
        <w:numPr>
          <w:ilvl w:val="2"/>
          <w:numId w:val="16"/>
        </w:numPr>
        <w:ind w:left="1146"/>
      </w:pPr>
      <w:r w:rsidRPr="004B4E8B">
        <w:t>r</w:t>
      </w:r>
      <w:r w:rsidR="002844F4" w:rsidRPr="004B4E8B">
        <w:t>equiring a flow rate in excess of 2L/min</w:t>
      </w:r>
    </w:p>
    <w:p w14:paraId="1E923542" w14:textId="660ED4FE" w:rsidR="002844F4" w:rsidRPr="004B4E8B" w:rsidRDefault="005C06C7" w:rsidP="00AD3F5B">
      <w:pPr>
        <w:pStyle w:val="ListParagraph"/>
        <w:numPr>
          <w:ilvl w:val="2"/>
          <w:numId w:val="16"/>
        </w:numPr>
        <w:ind w:left="1146"/>
      </w:pPr>
      <w:r w:rsidRPr="004B4E8B">
        <w:t>r</w:t>
      </w:r>
      <w:r w:rsidR="002844F4" w:rsidRPr="004B4E8B">
        <w:t>equiring less than 18 hours O2 therapy per day</w:t>
      </w:r>
    </w:p>
    <w:p w14:paraId="29B47E12" w14:textId="3DB2A38D" w:rsidR="00AD3F5B" w:rsidRPr="004B4E8B" w:rsidRDefault="005C06C7" w:rsidP="00AD3F5B">
      <w:pPr>
        <w:pStyle w:val="ListParagraph"/>
        <w:numPr>
          <w:ilvl w:val="0"/>
          <w:numId w:val="17"/>
        </w:numPr>
        <w:ind w:left="1146"/>
        <w:rPr>
          <w:szCs w:val="24"/>
        </w:rPr>
      </w:pPr>
      <w:r w:rsidRPr="004B4E8B">
        <w:t>p</w:t>
      </w:r>
      <w:r w:rsidR="002844F4" w:rsidRPr="004B4E8B">
        <w:t>atients who have been on the scheme for less than 6 months</w:t>
      </w:r>
      <w:r w:rsidRPr="004B4E8B">
        <w:t>.</w:t>
      </w:r>
    </w:p>
    <w:p w14:paraId="57652FD2" w14:textId="5A05EE4B" w:rsidR="002844F4" w:rsidRPr="004B4E8B" w:rsidRDefault="00AD3F5B" w:rsidP="00AD3F5B">
      <w:pPr>
        <w:ind w:left="786"/>
        <w:rPr>
          <w:szCs w:val="24"/>
        </w:rPr>
      </w:pPr>
      <w:r w:rsidRPr="004B4E8B">
        <w:rPr>
          <w:szCs w:val="24"/>
        </w:rPr>
        <w:br/>
      </w:r>
      <w:r w:rsidR="002844F4" w:rsidRPr="004B4E8B">
        <w:rPr>
          <w:szCs w:val="24"/>
        </w:rPr>
        <w:t xml:space="preserve">Applications for the provision of a POC will only be accepted from respiratory physicians. POC applications must demonstrate that the pulse-dose device is clinically appropriate for the patient. The application must include a six-minute walk test (6MWT) demonstrating that the lowest oxygen saturation is 88% or more with the proposed POC setting and device. </w:t>
      </w:r>
      <w:r w:rsidRPr="004B4E8B">
        <w:rPr>
          <w:szCs w:val="24"/>
        </w:rPr>
        <w:br/>
      </w:r>
      <w:r w:rsidR="002844F4" w:rsidRPr="004B4E8B">
        <w:t>The results must include SpO</w:t>
      </w:r>
      <w:r w:rsidR="002844F4" w:rsidRPr="004B4E8B">
        <w:rPr>
          <w:vertAlign w:val="subscript"/>
        </w:rPr>
        <w:t>2</w:t>
      </w:r>
      <w:r w:rsidR="002844F4" w:rsidRPr="004B4E8B">
        <w:t xml:space="preserve"> measured at rest, during the test and during post-test recovery, as well as oxygen flow settings.</w:t>
      </w:r>
    </w:p>
    <w:p w14:paraId="15407496" w14:textId="1E0D651E" w:rsidR="002844F4" w:rsidRPr="004B4E8B" w:rsidRDefault="002844F4" w:rsidP="00AD3F5B">
      <w:pPr>
        <w:pStyle w:val="ListBullet"/>
        <w:numPr>
          <w:ilvl w:val="0"/>
          <w:numId w:val="16"/>
        </w:numPr>
        <w:rPr>
          <w:b/>
        </w:rPr>
      </w:pPr>
      <w:r w:rsidRPr="004B4E8B">
        <w:rPr>
          <w:b/>
        </w:rPr>
        <w:t>Portable Oxygen Cylinders</w:t>
      </w:r>
      <w:r w:rsidR="00AD3F5B" w:rsidRPr="004B4E8B">
        <w:rPr>
          <w:b/>
        </w:rPr>
        <w:br/>
      </w:r>
      <w:r w:rsidRPr="004B4E8B">
        <w:t xml:space="preserve">DORSS does not routinely provide portable oxygen cylinders to adult patients. Application for the provision of portable oxygen cylinders in addition to a SOC must demonstrate clinical need. Applications will only be considered for those on LTOT or for palliative purposes. </w:t>
      </w:r>
      <w:r w:rsidR="00AD3F5B" w:rsidRPr="004B4E8B">
        <w:br/>
      </w:r>
      <w:r w:rsidR="00AD3F5B" w:rsidRPr="004B4E8B">
        <w:br/>
      </w:r>
      <w:r w:rsidRPr="004B4E8B">
        <w:t xml:space="preserve">When an application for portable oxygen cylinders is approved, the patients will be eligible for two portable cylinders at initial set up, and two free refills per month unless otherwise recommended by the prescribing consultant. Portable oxygen cylinder </w:t>
      </w:r>
      <w:r w:rsidRPr="004B4E8B">
        <w:rPr>
          <w:rFonts w:asciiTheme="minorHAnsi" w:hAnsiTheme="minorHAnsi" w:cs="Calibri"/>
          <w:szCs w:val="24"/>
        </w:rPr>
        <w:t>therapy can be delivered via nasal prongs or mask.</w:t>
      </w:r>
      <w:r w:rsidR="00AD3F5B" w:rsidRPr="004B4E8B">
        <w:rPr>
          <w:b/>
        </w:rPr>
        <w:br/>
      </w:r>
      <w:r w:rsidR="00AD3F5B" w:rsidRPr="004B4E8B">
        <w:rPr>
          <w:b/>
        </w:rPr>
        <w:br/>
      </w:r>
      <w:r w:rsidRPr="004B4E8B">
        <w:lastRenderedPageBreak/>
        <w:t>Applications requesting more than two cylinders per month will be reviewed by the DORSS Advisory Committee.</w:t>
      </w:r>
      <w:r w:rsidR="00AD3F5B" w:rsidRPr="004B4E8B">
        <w:rPr>
          <w:b/>
        </w:rPr>
        <w:br/>
      </w:r>
      <w:r w:rsidR="00AD3F5B" w:rsidRPr="004B4E8B">
        <w:rPr>
          <w:b/>
        </w:rPr>
        <w:br/>
      </w:r>
      <w:r w:rsidRPr="004B4E8B">
        <w:t xml:space="preserve">For adult </w:t>
      </w:r>
      <w:bookmarkStart w:id="23" w:name="_Int_Q9BXQh8c"/>
      <w:r w:rsidRPr="004B4E8B">
        <w:t>patients</w:t>
      </w:r>
      <w:bookmarkEnd w:id="23"/>
      <w:r w:rsidRPr="004B4E8B">
        <w:t xml:space="preserve"> portable oxygen cylinders are provided in C-size. Adult patients are eligible for only one government-funded regulator at a time. Patients with C-size cylinders are also provided with a cylinder trolley or carry bag.</w:t>
      </w:r>
      <w:r w:rsidR="00AD3F5B" w:rsidRPr="004B4E8B">
        <w:rPr>
          <w:b/>
        </w:rPr>
        <w:br/>
      </w:r>
      <w:r w:rsidR="00AD3F5B" w:rsidRPr="004B4E8B">
        <w:rPr>
          <w:b/>
        </w:rPr>
        <w:br/>
      </w:r>
      <w:r w:rsidRPr="004B4E8B">
        <w:t xml:space="preserve">Paediatric patients have access to: </w:t>
      </w:r>
    </w:p>
    <w:p w14:paraId="64C56453" w14:textId="77777777" w:rsidR="002844F4" w:rsidRPr="004B4E8B" w:rsidRDefault="002844F4" w:rsidP="00AD3F5B">
      <w:pPr>
        <w:pStyle w:val="ListParagraph"/>
        <w:numPr>
          <w:ilvl w:val="0"/>
          <w:numId w:val="25"/>
        </w:numPr>
      </w:pPr>
      <w:r w:rsidRPr="004B4E8B">
        <w:t>E-size cylinders with a low flow paediatric regulator</w:t>
      </w:r>
    </w:p>
    <w:p w14:paraId="03A6A916" w14:textId="77777777" w:rsidR="002844F4" w:rsidRPr="004B4E8B" w:rsidRDefault="002844F4" w:rsidP="00AD3F5B">
      <w:pPr>
        <w:pStyle w:val="ListParagraph"/>
        <w:numPr>
          <w:ilvl w:val="0"/>
          <w:numId w:val="25"/>
        </w:numPr>
      </w:pPr>
      <w:r w:rsidRPr="004B4E8B">
        <w:t>E-size cylinder trolley</w:t>
      </w:r>
    </w:p>
    <w:p w14:paraId="2BB157CE" w14:textId="77777777" w:rsidR="002844F4" w:rsidRPr="004B4E8B" w:rsidRDefault="002844F4" w:rsidP="00AD3F5B">
      <w:pPr>
        <w:pStyle w:val="ListParagraph"/>
        <w:numPr>
          <w:ilvl w:val="0"/>
          <w:numId w:val="25"/>
        </w:numPr>
      </w:pPr>
      <w:r w:rsidRPr="004B4E8B">
        <w:t>C-size cylinders with a low flow paediatric regulator</w:t>
      </w:r>
    </w:p>
    <w:p w14:paraId="4D82571F" w14:textId="77777777" w:rsidR="002844F4" w:rsidRPr="004B4E8B" w:rsidRDefault="002844F4" w:rsidP="00AD3F5B">
      <w:pPr>
        <w:pStyle w:val="ListParagraph"/>
        <w:numPr>
          <w:ilvl w:val="0"/>
          <w:numId w:val="25"/>
        </w:numPr>
      </w:pPr>
      <w:r w:rsidRPr="004B4E8B">
        <w:t xml:space="preserve">C </w:t>
      </w:r>
      <w:bookmarkStart w:id="24" w:name="_Int_pl3hILi2"/>
      <w:proofErr w:type="gramStart"/>
      <w:r w:rsidRPr="004B4E8B">
        <w:t>cylinder</w:t>
      </w:r>
      <w:bookmarkEnd w:id="24"/>
      <w:proofErr w:type="gramEnd"/>
      <w:r w:rsidRPr="004B4E8B">
        <w:t xml:space="preserve"> carry bag or trolley</w:t>
      </w:r>
    </w:p>
    <w:p w14:paraId="1C551F93" w14:textId="77777777" w:rsidR="002844F4" w:rsidRPr="004B4E8B" w:rsidRDefault="002844F4" w:rsidP="00AD3F5B">
      <w:pPr>
        <w:pStyle w:val="ListParagraph"/>
        <w:numPr>
          <w:ilvl w:val="0"/>
          <w:numId w:val="25"/>
        </w:numPr>
      </w:pPr>
      <w:r w:rsidRPr="004B4E8B">
        <w:t xml:space="preserve">Infant nasal cannulas and long tubing. </w:t>
      </w:r>
    </w:p>
    <w:p w14:paraId="08682A0F" w14:textId="77777777" w:rsidR="009A534C" w:rsidRPr="004B4E8B" w:rsidRDefault="009A534C" w:rsidP="009A534C">
      <w:pPr>
        <w:rPr>
          <w:rFonts w:cs="Arial"/>
          <w:b/>
          <w:szCs w:val="24"/>
        </w:rPr>
      </w:pPr>
    </w:p>
    <w:p w14:paraId="08682A10" w14:textId="77777777" w:rsidR="009A534C" w:rsidRPr="004B4E8B" w:rsidRDefault="009A534C" w:rsidP="009A534C">
      <w:pPr>
        <w:jc w:val="right"/>
        <w:rPr>
          <w:rFonts w:cs="Arial"/>
          <w:i/>
          <w:szCs w:val="24"/>
        </w:rPr>
      </w:pPr>
      <w:hyperlink w:anchor="Contents" w:history="1">
        <w:r w:rsidRPr="004B4E8B">
          <w:rPr>
            <w:rStyle w:val="Hyperlink"/>
            <w:rFonts w:eastAsiaTheme="majorEastAsia" w:cs="Arial"/>
            <w:i/>
            <w:szCs w:val="24"/>
          </w:rPr>
          <w:t>Back to Table of Contents</w:t>
        </w:r>
      </w:hyperlink>
      <w:r w:rsidRPr="004B4E8B">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4B4E8B" w14:paraId="08682A12" w14:textId="77777777" w:rsidTr="008E74FD">
        <w:trPr>
          <w:cantSplit/>
          <w:trHeight w:val="285"/>
        </w:trPr>
        <w:tc>
          <w:tcPr>
            <w:tcW w:w="9158" w:type="dxa"/>
            <w:shd w:val="clear" w:color="auto" w:fill="D9D9D9" w:themeFill="background1" w:themeFillShade="D9"/>
          </w:tcPr>
          <w:p w14:paraId="08682A11" w14:textId="7EAFDC60" w:rsidR="009A534C" w:rsidRPr="004B4E8B" w:rsidRDefault="00010E74" w:rsidP="00B10F87">
            <w:pPr>
              <w:pStyle w:val="Heading1"/>
            </w:pPr>
            <w:bookmarkStart w:id="25" w:name="_Toc132280674"/>
            <w:bookmarkStart w:id="26" w:name="_Toc389473284"/>
            <w:bookmarkStart w:id="27" w:name="_Toc393203340"/>
            <w:r w:rsidRPr="004B4E8B">
              <w:t xml:space="preserve">Section </w:t>
            </w:r>
            <w:r w:rsidR="002844F4" w:rsidRPr="004B4E8B">
              <w:t>3</w:t>
            </w:r>
            <w:r w:rsidR="009A534C" w:rsidRPr="004B4E8B">
              <w:t xml:space="preserve"> – </w:t>
            </w:r>
            <w:r w:rsidR="002844F4" w:rsidRPr="004B4E8B">
              <w:t>DORSS Responsibilities</w:t>
            </w:r>
            <w:bookmarkEnd w:id="25"/>
            <w:r w:rsidR="002844F4" w:rsidRPr="004B4E8B">
              <w:t xml:space="preserve"> </w:t>
            </w:r>
            <w:bookmarkEnd w:id="26"/>
            <w:bookmarkEnd w:id="27"/>
          </w:p>
        </w:tc>
      </w:tr>
    </w:tbl>
    <w:p w14:paraId="08682A13" w14:textId="77777777" w:rsidR="009A534C" w:rsidRPr="004B4E8B" w:rsidRDefault="009A534C" w:rsidP="009A534C">
      <w:pPr>
        <w:pStyle w:val="Heading2"/>
      </w:pPr>
    </w:p>
    <w:p w14:paraId="02F158FC" w14:textId="77777777" w:rsidR="002844F4" w:rsidRPr="004B4E8B" w:rsidRDefault="002844F4" w:rsidP="002844F4">
      <w:pPr>
        <w:pStyle w:val="Heading2"/>
      </w:pPr>
      <w:bookmarkStart w:id="28" w:name="_Toc129349945"/>
      <w:r w:rsidRPr="004B4E8B">
        <w:t>DORSS Advisory Committee and Administration Officer</w:t>
      </w:r>
      <w:bookmarkEnd w:id="28"/>
    </w:p>
    <w:p w14:paraId="7FEF70AB" w14:textId="77777777" w:rsidR="002844F4" w:rsidRPr="004B4E8B" w:rsidRDefault="002844F4" w:rsidP="00AD3F5B">
      <w:pPr>
        <w:pStyle w:val="ListBullet"/>
      </w:pPr>
      <w:r w:rsidRPr="004B4E8B">
        <w:t>DORSS is responsible for providing current TGA-approved home oxygen therapy equipment.</w:t>
      </w:r>
    </w:p>
    <w:p w14:paraId="1FC24803" w14:textId="77777777" w:rsidR="002844F4" w:rsidRPr="004B4E8B" w:rsidRDefault="002844F4" w:rsidP="00AD3F5B">
      <w:pPr>
        <w:pStyle w:val="ListBullet"/>
        <w:rPr>
          <w:rFonts w:eastAsiaTheme="minorHAnsi" w:cs="ArialMT"/>
        </w:rPr>
      </w:pPr>
      <w:r w:rsidRPr="004B4E8B">
        <w:t>DORSS will provide the most cost-effective equipment through the contracted supplier. The equipment will be set as per the home oxygen prescription provided by the referring physician</w:t>
      </w:r>
      <w:r w:rsidRPr="004B4E8B">
        <w:rPr>
          <w:rFonts w:eastAsiaTheme="minorHAnsi" w:cs="ArialMT"/>
        </w:rPr>
        <w:t>.</w:t>
      </w:r>
    </w:p>
    <w:p w14:paraId="7B515741" w14:textId="77777777" w:rsidR="002844F4" w:rsidRPr="004B4E8B" w:rsidRDefault="002844F4" w:rsidP="00AD3F5B">
      <w:pPr>
        <w:pStyle w:val="ListBullet"/>
      </w:pPr>
      <w:r w:rsidRPr="004B4E8B">
        <w:t xml:space="preserve">For any changes to the home oxygen prescription DORSS will require an updated request with clinical justification from the prescribing </w:t>
      </w:r>
      <w:r w:rsidRPr="004B4E8B">
        <w:rPr>
          <w:rFonts w:eastAsiaTheme="minorHAnsi" w:cs="ArialMT"/>
        </w:rPr>
        <w:t xml:space="preserve">physician. </w:t>
      </w:r>
    </w:p>
    <w:p w14:paraId="7A8D5358" w14:textId="77777777" w:rsidR="002844F4" w:rsidRPr="004B4E8B" w:rsidRDefault="002844F4" w:rsidP="002844F4">
      <w:pPr>
        <w:pStyle w:val="ListBullet"/>
        <w:numPr>
          <w:ilvl w:val="0"/>
          <w:numId w:val="0"/>
        </w:numPr>
        <w:ind w:left="426" w:hanging="426"/>
        <w:rPr>
          <w:b/>
        </w:rPr>
      </w:pPr>
    </w:p>
    <w:p w14:paraId="1AC34531" w14:textId="77777777" w:rsidR="002844F4" w:rsidRPr="004B4E8B" w:rsidRDefault="002844F4" w:rsidP="002844F4">
      <w:pPr>
        <w:pStyle w:val="Heading2"/>
      </w:pPr>
      <w:bookmarkStart w:id="29" w:name="_Toc129349946"/>
      <w:r w:rsidRPr="004B4E8B">
        <w:t>Application Processing</w:t>
      </w:r>
      <w:bookmarkEnd w:id="29"/>
    </w:p>
    <w:p w14:paraId="504223C5" w14:textId="77777777" w:rsidR="002844F4" w:rsidRPr="004B4E8B" w:rsidRDefault="002844F4" w:rsidP="00AD3F5B">
      <w:pPr>
        <w:pStyle w:val="ListBullet"/>
      </w:pPr>
      <w:r w:rsidRPr="004B4E8B">
        <w:t>Applications for home oxygen therapy will be processed by the DORSS Administration Officer.</w:t>
      </w:r>
    </w:p>
    <w:p w14:paraId="14631489" w14:textId="77777777" w:rsidR="002844F4" w:rsidRPr="004B4E8B" w:rsidRDefault="002844F4" w:rsidP="00AD3F5B">
      <w:pPr>
        <w:pStyle w:val="ListBullet"/>
      </w:pPr>
      <w:r w:rsidRPr="004B4E8B">
        <w:t>Applications for home oxygen therapy which are considered outside the current guidelines will be reviewed by the DORSS Advisory Committee.</w:t>
      </w:r>
    </w:p>
    <w:p w14:paraId="381788B0" w14:textId="77777777" w:rsidR="002844F4" w:rsidRPr="004B4E8B" w:rsidRDefault="002844F4" w:rsidP="00AD3F5B">
      <w:pPr>
        <w:pStyle w:val="ListBullet"/>
      </w:pPr>
      <w:r w:rsidRPr="004B4E8B">
        <w:t xml:space="preserve">Applications for home oxygen therapy which do not meet the eligibility criteria will not be considered for supply. </w:t>
      </w:r>
    </w:p>
    <w:p w14:paraId="79E39543" w14:textId="77777777" w:rsidR="002844F4" w:rsidRPr="004B4E8B" w:rsidRDefault="002844F4" w:rsidP="00AD3F5B">
      <w:pPr>
        <w:pStyle w:val="ListBullet"/>
      </w:pPr>
      <w:r w:rsidRPr="004B4E8B">
        <w:t xml:space="preserve">The requesting physician will be advised (in writing) the outcome of all applications. </w:t>
      </w:r>
    </w:p>
    <w:p w14:paraId="2AE21690" w14:textId="77777777" w:rsidR="002844F4" w:rsidRPr="004B4E8B" w:rsidRDefault="002844F4" w:rsidP="00AD3F5B">
      <w:pPr>
        <w:pStyle w:val="ListBullet"/>
        <w:rPr>
          <w:lang w:val="en-US"/>
        </w:rPr>
      </w:pPr>
      <w:r w:rsidRPr="004B4E8B">
        <w:rPr>
          <w:lang w:val="en-US"/>
        </w:rPr>
        <w:t>Applications for patients being discharged from hospital within the ACT, that meet application requirements, will be processed within 1 working day and forwarded to the supplier. Patients will then be contacted by the supplier to arrange delivery.</w:t>
      </w:r>
    </w:p>
    <w:p w14:paraId="3E886974" w14:textId="77777777" w:rsidR="002844F4" w:rsidRPr="004B4E8B" w:rsidRDefault="002844F4" w:rsidP="00AD3F5B">
      <w:pPr>
        <w:pStyle w:val="ListBullet"/>
        <w:rPr>
          <w:lang w:val="en-US"/>
        </w:rPr>
      </w:pPr>
      <w:r w:rsidRPr="004B4E8B">
        <w:rPr>
          <w:lang w:val="en-US"/>
        </w:rPr>
        <w:t>Wherever possible, if a patient requires assistance while in the community and meets the application requirements, their application will be processed by the next working day.</w:t>
      </w:r>
    </w:p>
    <w:p w14:paraId="12426A80" w14:textId="77777777" w:rsidR="002844F4" w:rsidRPr="004B4E8B" w:rsidRDefault="002844F4" w:rsidP="002844F4">
      <w:pPr>
        <w:pStyle w:val="ListBullet"/>
        <w:numPr>
          <w:ilvl w:val="0"/>
          <w:numId w:val="0"/>
        </w:numPr>
        <w:ind w:left="426" w:hanging="426"/>
        <w:rPr>
          <w:b/>
        </w:rPr>
      </w:pPr>
    </w:p>
    <w:p w14:paraId="18FC5E6F" w14:textId="77777777" w:rsidR="002844F4" w:rsidRPr="004B4E8B" w:rsidRDefault="002844F4" w:rsidP="002844F4">
      <w:pPr>
        <w:pStyle w:val="Heading2"/>
      </w:pPr>
      <w:bookmarkStart w:id="30" w:name="_Toc129349947"/>
      <w:r w:rsidRPr="004B4E8B">
        <w:lastRenderedPageBreak/>
        <w:t>Audit of current Home Oxygen Patients</w:t>
      </w:r>
      <w:bookmarkEnd w:id="30"/>
    </w:p>
    <w:p w14:paraId="24BF8910" w14:textId="77777777" w:rsidR="002844F4" w:rsidRPr="004B4E8B" w:rsidRDefault="002844F4" w:rsidP="00AD3F5B">
      <w:pPr>
        <w:pStyle w:val="ListBullet"/>
      </w:pPr>
      <w:r w:rsidRPr="004B4E8B">
        <w:t xml:space="preserve">DORSS will undertake an annual audit to ensure that all patients issued with DORSS home oxygen equipment still meet eligibility requirements for continued supply (see </w:t>
      </w:r>
      <w:r w:rsidRPr="004B4E8B">
        <w:rPr>
          <w:iCs/>
        </w:rPr>
        <w:t>Section 1: Eligibility for Home Oxygen</w:t>
      </w:r>
      <w:r w:rsidRPr="004B4E8B">
        <w:t>).</w:t>
      </w:r>
    </w:p>
    <w:p w14:paraId="62FA0241" w14:textId="77777777" w:rsidR="002844F4" w:rsidRPr="004B4E8B" w:rsidRDefault="002844F4" w:rsidP="00AD3F5B">
      <w:pPr>
        <w:pStyle w:val="ListBullet"/>
      </w:pPr>
      <w:r w:rsidRPr="004B4E8B">
        <w:t xml:space="preserve">The requesting physician will be advised (in writing) of any of their patients who no longer qualify for DORSS home oxygen.  </w:t>
      </w:r>
    </w:p>
    <w:p w14:paraId="2C35507B" w14:textId="77777777" w:rsidR="002844F4" w:rsidRPr="004B4E8B" w:rsidRDefault="002844F4" w:rsidP="002844F4">
      <w:pPr>
        <w:pStyle w:val="ListBullet"/>
        <w:numPr>
          <w:ilvl w:val="0"/>
          <w:numId w:val="0"/>
        </w:numPr>
        <w:ind w:left="426" w:hanging="426"/>
        <w:rPr>
          <w:b/>
        </w:rPr>
      </w:pPr>
    </w:p>
    <w:p w14:paraId="145D427F" w14:textId="77777777" w:rsidR="002844F4" w:rsidRPr="004B4E8B" w:rsidRDefault="002844F4" w:rsidP="002844F4">
      <w:pPr>
        <w:pStyle w:val="Heading2"/>
        <w:rPr>
          <w:rFonts w:eastAsiaTheme="minorHAnsi"/>
        </w:rPr>
      </w:pPr>
      <w:bookmarkStart w:id="31" w:name="_Toc129349948"/>
      <w:r w:rsidRPr="004B4E8B">
        <w:rPr>
          <w:rFonts w:cs="Calibri"/>
        </w:rPr>
        <w:t>Home Oxygen Equipment</w:t>
      </w:r>
      <w:r w:rsidRPr="004B4E8B">
        <w:rPr>
          <w:rFonts w:eastAsiaTheme="minorHAnsi"/>
        </w:rPr>
        <w:t xml:space="preserve"> Maintenance and Repairs</w:t>
      </w:r>
      <w:bookmarkEnd w:id="31"/>
    </w:p>
    <w:p w14:paraId="58CCC45F" w14:textId="77777777" w:rsidR="002844F4" w:rsidRPr="004B4E8B" w:rsidRDefault="002844F4" w:rsidP="00AD3F5B">
      <w:pPr>
        <w:pStyle w:val="ListBullet"/>
        <w:rPr>
          <w:rFonts w:asciiTheme="minorHAnsi" w:eastAsiaTheme="minorHAnsi" w:hAnsiTheme="minorHAnsi" w:cs="Arial-BoldMT"/>
          <w:bCs/>
          <w:szCs w:val="24"/>
        </w:rPr>
      </w:pPr>
      <w:r w:rsidRPr="004B4E8B">
        <w:rPr>
          <w:rFonts w:asciiTheme="minorHAnsi" w:eastAsiaTheme="minorHAnsi" w:hAnsiTheme="minorHAnsi" w:cs="Arial-BoldMT"/>
          <w:bCs/>
          <w:szCs w:val="24"/>
        </w:rPr>
        <w:t xml:space="preserve">DORSS is responsible for maintenance and reasonable repair of home oxygen </w:t>
      </w:r>
      <w:r w:rsidRPr="004B4E8B">
        <w:rPr>
          <w:rFonts w:asciiTheme="minorHAnsi" w:hAnsiTheme="minorHAnsi" w:cs="Calibri"/>
          <w:szCs w:val="24"/>
        </w:rPr>
        <w:t xml:space="preserve">therapy </w:t>
      </w:r>
      <w:r w:rsidRPr="004B4E8B">
        <w:rPr>
          <w:rFonts w:asciiTheme="minorHAnsi" w:eastAsiaTheme="minorHAnsi" w:hAnsiTheme="minorHAnsi" w:cs="Arial-BoldMT"/>
          <w:bCs/>
          <w:szCs w:val="24"/>
        </w:rPr>
        <w:t xml:space="preserve">equipment. Any </w:t>
      </w:r>
      <w:r w:rsidRPr="004B4E8B">
        <w:t>repairs and maintenance will be supplied and carried out through the current Canberra Health Services DORSS Purchasing Contract.</w:t>
      </w:r>
    </w:p>
    <w:p w14:paraId="4296603B" w14:textId="77777777" w:rsidR="002844F4" w:rsidRPr="004B4E8B" w:rsidRDefault="002844F4" w:rsidP="00AD3F5B">
      <w:pPr>
        <w:pStyle w:val="ListBullet"/>
        <w:rPr>
          <w:rFonts w:asciiTheme="minorHAnsi" w:eastAsiaTheme="minorHAnsi" w:hAnsiTheme="minorHAnsi" w:cs="Arial-BoldMT"/>
          <w:bCs/>
          <w:szCs w:val="24"/>
        </w:rPr>
      </w:pPr>
      <w:r w:rsidRPr="004B4E8B">
        <w:rPr>
          <w:rFonts w:asciiTheme="minorHAnsi" w:eastAsiaTheme="minorHAnsi" w:hAnsiTheme="minorHAnsi" w:cs="Arial-BoldMT"/>
          <w:bCs/>
          <w:szCs w:val="24"/>
        </w:rPr>
        <w:t>Repairs required due to deliberate or negligent damage will be the responsibility of the patient.</w:t>
      </w:r>
    </w:p>
    <w:p w14:paraId="67C255D2" w14:textId="77777777" w:rsidR="00AD3F5B" w:rsidRPr="004B4E8B" w:rsidRDefault="00AD3F5B" w:rsidP="002844F4">
      <w:pPr>
        <w:pStyle w:val="Heading2"/>
        <w:rPr>
          <w:rFonts w:eastAsiaTheme="minorHAnsi" w:cs="Arial-BoldMT"/>
        </w:rPr>
      </w:pPr>
      <w:bookmarkStart w:id="32" w:name="_Toc129349949"/>
    </w:p>
    <w:p w14:paraId="1DF68A9B" w14:textId="13D4DA2B" w:rsidR="002844F4" w:rsidRPr="004B4E8B" w:rsidRDefault="002844F4" w:rsidP="002844F4">
      <w:pPr>
        <w:pStyle w:val="Heading2"/>
      </w:pPr>
      <w:r w:rsidRPr="004B4E8B">
        <w:rPr>
          <w:rFonts w:eastAsiaTheme="minorHAnsi" w:cs="Arial-BoldMT"/>
        </w:rPr>
        <w:t xml:space="preserve">Supply of </w:t>
      </w:r>
      <w:r w:rsidRPr="004B4E8B">
        <w:t>Home Oxygen Equipment</w:t>
      </w:r>
      <w:bookmarkEnd w:id="32"/>
    </w:p>
    <w:p w14:paraId="1630279D" w14:textId="09393536" w:rsidR="002844F4" w:rsidRPr="004B4E8B" w:rsidRDefault="002844F4" w:rsidP="00AD3F5B">
      <w:pPr>
        <w:pStyle w:val="ListBullet"/>
        <w:rPr>
          <w:rFonts w:cs="Calibri"/>
        </w:rPr>
      </w:pPr>
      <w:r w:rsidRPr="004B4E8B">
        <w:rPr>
          <w:rFonts w:eastAsiaTheme="minorHAnsi"/>
        </w:rPr>
        <w:t xml:space="preserve">When patients are initially issued with a DORSS home oxygen </w:t>
      </w:r>
      <w:r w:rsidRPr="004B4E8B">
        <w:rPr>
          <w:rFonts w:cs="Calibri"/>
        </w:rPr>
        <w:t xml:space="preserve">therapy </w:t>
      </w:r>
      <w:r w:rsidRPr="004B4E8B">
        <w:rPr>
          <w:rFonts w:eastAsiaTheme="minorHAnsi"/>
        </w:rPr>
        <w:t>equipment they will also be provided with the following accessories: long tubing, tubing swivel connector, nasal cannulas, cylinder trolley or carry bag, oxygen mask (if requested by referrer for high flow)</w:t>
      </w:r>
      <w:r w:rsidR="005C06C7" w:rsidRPr="004B4E8B">
        <w:rPr>
          <w:rFonts w:eastAsiaTheme="minorHAnsi"/>
        </w:rPr>
        <w:t>.</w:t>
      </w:r>
    </w:p>
    <w:p w14:paraId="506C7A91" w14:textId="77777777" w:rsidR="002844F4" w:rsidRPr="004B4E8B" w:rsidRDefault="002844F4" w:rsidP="00AD3F5B">
      <w:pPr>
        <w:pStyle w:val="ListBullet"/>
      </w:pPr>
      <w:r w:rsidRPr="004B4E8B">
        <w:rPr>
          <w:rFonts w:cs="Calibri"/>
        </w:rPr>
        <w:t xml:space="preserve">The </w:t>
      </w:r>
      <w:r w:rsidRPr="004B4E8B">
        <w:rPr>
          <w:rFonts w:eastAsiaTheme="minorHAnsi" w:cs="ArialMT"/>
        </w:rPr>
        <w:t>ongoing replacement of the home oxygen equipment and accessories is funded by DORSS. When the patient requires replacement equipment and/or accessories they should contact the DORSS Program Officer.</w:t>
      </w:r>
    </w:p>
    <w:p w14:paraId="08682A17" w14:textId="77777777" w:rsidR="009A534C" w:rsidRPr="004B4E8B" w:rsidRDefault="009A534C" w:rsidP="009A534C">
      <w:pPr>
        <w:rPr>
          <w:rFonts w:cs="Arial"/>
          <w:b/>
          <w:iCs/>
          <w:szCs w:val="24"/>
        </w:rPr>
      </w:pPr>
    </w:p>
    <w:p w14:paraId="6BA4F0B1" w14:textId="3088E363" w:rsidR="002844F4" w:rsidRPr="004B4E8B" w:rsidRDefault="009A534C" w:rsidP="00AD3F5B">
      <w:pPr>
        <w:jc w:val="right"/>
        <w:rPr>
          <w:rFonts w:cs="Arial"/>
          <w:i/>
          <w:szCs w:val="24"/>
        </w:rPr>
      </w:pPr>
      <w:hyperlink w:anchor="Contents" w:history="1">
        <w:r w:rsidRPr="004B4E8B">
          <w:rPr>
            <w:rStyle w:val="Hyperlink"/>
            <w:rFonts w:eastAsiaTheme="majorEastAsia" w:cs="Arial"/>
            <w:i/>
            <w:szCs w:val="24"/>
          </w:rPr>
          <w:t>Back to Table of Contents</w:t>
        </w:r>
      </w:hyperlink>
      <w:r w:rsidRPr="004B4E8B">
        <w:rPr>
          <w:rFonts w:cs="Arial"/>
          <w:i/>
          <w:szCs w:val="24"/>
        </w:rPr>
        <w:t xml:space="preserve"> </w:t>
      </w:r>
    </w:p>
    <w:tbl>
      <w:tblPr>
        <w:tblpPr w:leftFromText="180" w:rightFromText="180" w:vertAnchor="text" w:horzAnchor="margin" w:tblpY="181"/>
        <w:tblW w:w="9158" w:type="dxa"/>
        <w:tblLook w:val="0000" w:firstRow="0" w:lastRow="0" w:firstColumn="0" w:lastColumn="0" w:noHBand="0" w:noVBand="0"/>
      </w:tblPr>
      <w:tblGrid>
        <w:gridCol w:w="9158"/>
      </w:tblGrid>
      <w:tr w:rsidR="002844F4" w:rsidRPr="004B4E8B" w14:paraId="30274394" w14:textId="77777777" w:rsidTr="003F5544">
        <w:trPr>
          <w:cantSplit/>
          <w:trHeight w:val="285"/>
        </w:trPr>
        <w:tc>
          <w:tcPr>
            <w:tcW w:w="9158" w:type="dxa"/>
            <w:shd w:val="clear" w:color="auto" w:fill="D9D9D9" w:themeFill="background1" w:themeFillShade="D9"/>
          </w:tcPr>
          <w:p w14:paraId="31B2B71B" w14:textId="3811063D" w:rsidR="002844F4" w:rsidRPr="004B4E8B" w:rsidRDefault="002844F4" w:rsidP="003F5544">
            <w:pPr>
              <w:pStyle w:val="Heading1"/>
            </w:pPr>
            <w:bookmarkStart w:id="33" w:name="_Toc132280675"/>
            <w:r w:rsidRPr="004B4E8B">
              <w:t>Section 4 – Reporting Requirements</w:t>
            </w:r>
            <w:bookmarkEnd w:id="33"/>
            <w:r w:rsidRPr="004B4E8B">
              <w:t xml:space="preserve"> </w:t>
            </w:r>
          </w:p>
        </w:tc>
      </w:tr>
    </w:tbl>
    <w:p w14:paraId="6CB2F838" w14:textId="77777777" w:rsidR="004B4E8B" w:rsidRDefault="004B4E8B" w:rsidP="00986F66">
      <w:pPr>
        <w:spacing w:after="160"/>
        <w:rPr>
          <w:rFonts w:asciiTheme="minorHAnsi" w:eastAsiaTheme="minorHAnsi" w:hAnsiTheme="minorHAnsi" w:cs="Arial-BoldMT"/>
          <w:bCs/>
          <w:szCs w:val="24"/>
        </w:rPr>
      </w:pPr>
    </w:p>
    <w:p w14:paraId="3763FA94" w14:textId="29819EB9" w:rsidR="002844F4" w:rsidRPr="004B4E8B" w:rsidRDefault="002844F4" w:rsidP="00986F66">
      <w:pPr>
        <w:spacing w:after="160"/>
        <w:rPr>
          <w:rFonts w:asciiTheme="minorHAnsi" w:eastAsiaTheme="minorHAnsi" w:hAnsiTheme="minorHAnsi" w:cs="Arial-BoldMT"/>
          <w:bCs/>
          <w:szCs w:val="24"/>
        </w:rPr>
      </w:pPr>
      <w:r w:rsidRPr="004B4E8B">
        <w:rPr>
          <w:rFonts w:asciiTheme="minorHAnsi" w:eastAsiaTheme="minorHAnsi" w:hAnsiTheme="minorHAnsi" w:cs="Arial-BoldMT"/>
          <w:bCs/>
          <w:szCs w:val="24"/>
        </w:rPr>
        <w:t>The DORSS Administration Officer will provide monthly reports to the DORSS Advisory Committee.</w:t>
      </w:r>
    </w:p>
    <w:p w14:paraId="7653E3FD" w14:textId="5051F572" w:rsidR="00986F66" w:rsidRPr="004B4E8B" w:rsidRDefault="002844F4" w:rsidP="00986F66">
      <w:pPr>
        <w:spacing w:after="160"/>
      </w:pPr>
      <w:r w:rsidRPr="004B4E8B">
        <w:t xml:space="preserve">The Director of Client Support Services will provide activity reporting to the Executive Director of Rehabilitation, Aged and Community Services as </w:t>
      </w:r>
      <w:r w:rsidR="00986F66" w:rsidRPr="004B4E8B">
        <w:t>required</w:t>
      </w:r>
      <w:r w:rsidRPr="004B4E8B">
        <w:t>.</w:t>
      </w:r>
    </w:p>
    <w:p w14:paraId="05AF2867" w14:textId="0AB2542C" w:rsidR="00986F66" w:rsidRPr="004B4E8B" w:rsidRDefault="00986F66" w:rsidP="00986F66">
      <w:pPr>
        <w:spacing w:after="160"/>
        <w:jc w:val="right"/>
      </w:pPr>
      <w:hyperlink r:id="rId11" w:anchor="Contents" w:history="1">
        <w:r w:rsidRPr="004B4E8B">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4B4E8B" w14:paraId="08682A1A" w14:textId="77777777" w:rsidTr="008E74FD">
        <w:trPr>
          <w:cantSplit/>
          <w:trHeight w:val="285"/>
        </w:trPr>
        <w:tc>
          <w:tcPr>
            <w:tcW w:w="9158" w:type="dxa"/>
            <w:shd w:val="clear" w:color="auto" w:fill="D9D9D9" w:themeFill="background1" w:themeFillShade="D9"/>
          </w:tcPr>
          <w:p w14:paraId="08682A19" w14:textId="07436912" w:rsidR="009A534C" w:rsidRPr="004B4E8B" w:rsidRDefault="002B478A" w:rsidP="00B10F87">
            <w:pPr>
              <w:pStyle w:val="Heading1"/>
            </w:pPr>
            <w:bookmarkStart w:id="34" w:name="_Toc132280676"/>
            <w:r w:rsidRPr="004B4E8B">
              <w:t>Evaluation</w:t>
            </w:r>
            <w:bookmarkEnd w:id="34"/>
            <w:r w:rsidR="009A534C" w:rsidRPr="004B4E8B">
              <w:t xml:space="preserve"> </w:t>
            </w:r>
          </w:p>
        </w:tc>
      </w:tr>
    </w:tbl>
    <w:p w14:paraId="61082B88" w14:textId="77777777" w:rsidR="00D006EF" w:rsidRPr="004B4E8B" w:rsidRDefault="00D006EF" w:rsidP="00D006EF">
      <w:pPr>
        <w:pStyle w:val="Default"/>
        <w:rPr>
          <w:rFonts w:ascii="Calibri" w:hAnsi="Calibri"/>
        </w:rPr>
      </w:pPr>
    </w:p>
    <w:p w14:paraId="1917F4FA" w14:textId="77777777" w:rsidR="002844F4" w:rsidRPr="004B4E8B" w:rsidRDefault="002844F4" w:rsidP="002844F4">
      <w:pPr>
        <w:pStyle w:val="Default"/>
        <w:rPr>
          <w:rFonts w:ascii="Calibri" w:hAnsi="Calibri" w:cs="Arial"/>
          <w:b/>
          <w:bCs/>
          <w:iCs/>
          <w:color w:val="auto"/>
          <w:lang w:eastAsia="en-US"/>
        </w:rPr>
      </w:pPr>
      <w:r w:rsidRPr="004B4E8B">
        <w:rPr>
          <w:rFonts w:ascii="Calibri" w:hAnsi="Calibri" w:cs="Arial"/>
          <w:b/>
          <w:bCs/>
          <w:iCs/>
          <w:color w:val="auto"/>
          <w:lang w:eastAsia="en-US"/>
        </w:rPr>
        <w:t>Outcome</w:t>
      </w:r>
    </w:p>
    <w:p w14:paraId="471DDB09" w14:textId="44C8F968" w:rsidR="002844F4" w:rsidRPr="004B4E8B" w:rsidRDefault="002844F4" w:rsidP="00AD3F5B">
      <w:pPr>
        <w:pStyle w:val="ListBullet"/>
      </w:pPr>
      <w:r w:rsidRPr="004B4E8B">
        <w:t>Referrals processed in a timely manner</w:t>
      </w:r>
    </w:p>
    <w:p w14:paraId="5F68B54B" w14:textId="3397FDA0" w:rsidR="002844F4" w:rsidRPr="004B4E8B" w:rsidRDefault="002844F4" w:rsidP="00AD3F5B">
      <w:pPr>
        <w:pStyle w:val="ListBullet"/>
      </w:pPr>
      <w:r w:rsidRPr="004B4E8B">
        <w:t>Eligible clients will receive approved scripted equipment</w:t>
      </w:r>
      <w:r w:rsidR="00AD3F5B" w:rsidRPr="004B4E8B">
        <w:t>.</w:t>
      </w:r>
    </w:p>
    <w:p w14:paraId="4EFFF3F5" w14:textId="77777777" w:rsidR="002844F4" w:rsidRPr="004B4E8B" w:rsidRDefault="002844F4" w:rsidP="002844F4">
      <w:pPr>
        <w:pStyle w:val="Default"/>
        <w:rPr>
          <w:rFonts w:ascii="Calibri" w:hAnsi="Calibri" w:cs="Arial"/>
          <w:iCs/>
          <w:color w:val="auto"/>
          <w:lang w:eastAsia="en-US"/>
        </w:rPr>
      </w:pPr>
    </w:p>
    <w:p w14:paraId="23F9537A" w14:textId="77777777" w:rsidR="002844F4" w:rsidRPr="004B4E8B" w:rsidRDefault="002844F4" w:rsidP="002844F4">
      <w:pPr>
        <w:pStyle w:val="Default"/>
        <w:rPr>
          <w:rFonts w:ascii="Calibri" w:hAnsi="Calibri" w:cs="Arial"/>
          <w:b/>
          <w:bCs/>
          <w:iCs/>
          <w:color w:val="auto"/>
          <w:lang w:eastAsia="en-US"/>
        </w:rPr>
      </w:pPr>
      <w:r w:rsidRPr="004B4E8B">
        <w:rPr>
          <w:rFonts w:ascii="Calibri" w:hAnsi="Calibri" w:cs="Arial"/>
          <w:b/>
          <w:bCs/>
          <w:iCs/>
          <w:color w:val="auto"/>
          <w:lang w:eastAsia="en-US"/>
        </w:rPr>
        <w:t>Measures</w:t>
      </w:r>
    </w:p>
    <w:p w14:paraId="2F042F76" w14:textId="0B90D322" w:rsidR="002844F4" w:rsidRPr="004B4E8B" w:rsidRDefault="002844F4" w:rsidP="00AD3F5B">
      <w:pPr>
        <w:pStyle w:val="ListBullet"/>
      </w:pPr>
      <w:r w:rsidRPr="004B4E8B">
        <w:t xml:space="preserve">Monthly reporting to DORSS </w:t>
      </w:r>
      <w:r w:rsidR="005C06C7" w:rsidRPr="004B4E8B">
        <w:t>A</w:t>
      </w:r>
      <w:r w:rsidRPr="004B4E8B">
        <w:t xml:space="preserve">dvisory </w:t>
      </w:r>
      <w:r w:rsidR="005C06C7" w:rsidRPr="004B4E8B">
        <w:t>C</w:t>
      </w:r>
      <w:r w:rsidRPr="004B4E8B">
        <w:t>ommittee</w:t>
      </w:r>
    </w:p>
    <w:p w14:paraId="4E9D87ED" w14:textId="1C102CEB" w:rsidR="002844F4" w:rsidRPr="004B4E8B" w:rsidRDefault="002844F4" w:rsidP="00AD3F5B">
      <w:pPr>
        <w:pStyle w:val="ListBullet"/>
      </w:pPr>
      <w:r w:rsidRPr="004B4E8B">
        <w:lastRenderedPageBreak/>
        <w:t>Clinical and quality outcomes are evaluated through patient experience questionnaires and consumer feedback data</w:t>
      </w:r>
      <w:r w:rsidR="00AD3F5B" w:rsidRPr="004B4E8B">
        <w:t>.</w:t>
      </w:r>
    </w:p>
    <w:p w14:paraId="31E75C2B" w14:textId="77777777" w:rsidR="008D0CBA" w:rsidRPr="004B4E8B" w:rsidRDefault="008D0CBA" w:rsidP="002844F4">
      <w:pPr>
        <w:rPr>
          <w:szCs w:val="24"/>
        </w:rPr>
      </w:pPr>
    </w:p>
    <w:p w14:paraId="5ED58E15" w14:textId="77777777" w:rsidR="00D006EF" w:rsidRPr="004B4E8B" w:rsidRDefault="00D006EF" w:rsidP="00D006EF">
      <w:pPr>
        <w:jc w:val="right"/>
      </w:pPr>
      <w:hyperlink r:id="rId12" w:anchor="Contents" w:history="1">
        <w:r w:rsidRPr="004B4E8B">
          <w:rPr>
            <w:rStyle w:val="Hyperlink"/>
            <w:rFonts w:eastAsiaTheme="majorEastAsia"/>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4B4E8B" w14:paraId="08682A20" w14:textId="77777777" w:rsidTr="008E74FD">
        <w:trPr>
          <w:cantSplit/>
          <w:trHeight w:val="285"/>
        </w:trPr>
        <w:tc>
          <w:tcPr>
            <w:tcW w:w="9158" w:type="dxa"/>
            <w:shd w:val="clear" w:color="auto" w:fill="D9D9D9" w:themeFill="background1" w:themeFillShade="D9"/>
          </w:tcPr>
          <w:p w14:paraId="08682A1F" w14:textId="77777777" w:rsidR="009A534C" w:rsidRPr="004B4E8B" w:rsidRDefault="009A534C" w:rsidP="00B10F87">
            <w:pPr>
              <w:pStyle w:val="Heading1"/>
            </w:pPr>
            <w:bookmarkStart w:id="35" w:name="_Toc389473287"/>
            <w:bookmarkStart w:id="36" w:name="_Toc393203347"/>
            <w:bookmarkStart w:id="37" w:name="_Toc132280677"/>
            <w:r w:rsidRPr="004B4E8B">
              <w:t>Related Policies, Procedures</w:t>
            </w:r>
            <w:bookmarkEnd w:id="35"/>
            <w:r w:rsidRPr="004B4E8B">
              <w:t>, Guidelines and Legislation</w:t>
            </w:r>
            <w:bookmarkEnd w:id="36"/>
            <w:bookmarkEnd w:id="37"/>
          </w:p>
        </w:tc>
      </w:tr>
    </w:tbl>
    <w:p w14:paraId="08682A23" w14:textId="77777777" w:rsidR="00D16211" w:rsidRPr="004B4E8B" w:rsidRDefault="00D16211" w:rsidP="006743DB"/>
    <w:p w14:paraId="08682A24" w14:textId="77777777" w:rsidR="00B61F35" w:rsidRPr="004B4E8B" w:rsidRDefault="00B61F35" w:rsidP="006743DB">
      <w:pPr>
        <w:rPr>
          <w:b/>
        </w:rPr>
      </w:pPr>
      <w:r w:rsidRPr="004B4E8B">
        <w:rPr>
          <w:b/>
        </w:rPr>
        <w:t>Policies</w:t>
      </w:r>
    </w:p>
    <w:p w14:paraId="08682A25" w14:textId="3F51B811" w:rsidR="00B61F35" w:rsidRPr="004B4E8B" w:rsidRDefault="00986F66" w:rsidP="00BA5B60">
      <w:pPr>
        <w:pStyle w:val="ListBullet"/>
      </w:pPr>
      <w:r w:rsidRPr="004B4E8B">
        <w:t xml:space="preserve">Informed Consent – Clinical </w:t>
      </w:r>
    </w:p>
    <w:p w14:paraId="3D0F4AC1" w14:textId="7DD06592" w:rsidR="00986F66" w:rsidRPr="004B4E8B" w:rsidRDefault="00986F66" w:rsidP="00BA5B60">
      <w:pPr>
        <w:pStyle w:val="ListBullet"/>
      </w:pPr>
      <w:r w:rsidRPr="004B4E8B">
        <w:t>Clinical Records Management</w:t>
      </w:r>
    </w:p>
    <w:p w14:paraId="08682A27" w14:textId="77777777" w:rsidR="00B61F35" w:rsidRPr="004B4E8B" w:rsidRDefault="00B61F35" w:rsidP="00B61F35">
      <w:pPr>
        <w:rPr>
          <w:rFonts w:cs="Arial"/>
          <w:szCs w:val="24"/>
        </w:rPr>
      </w:pPr>
    </w:p>
    <w:p w14:paraId="08682A28" w14:textId="77777777" w:rsidR="00B61F35" w:rsidRPr="004B4E8B" w:rsidRDefault="00B61F35" w:rsidP="006743DB">
      <w:pPr>
        <w:rPr>
          <w:b/>
        </w:rPr>
      </w:pPr>
      <w:r w:rsidRPr="004B4E8B">
        <w:rPr>
          <w:b/>
        </w:rPr>
        <w:t>Procedures</w:t>
      </w:r>
    </w:p>
    <w:p w14:paraId="08682A29" w14:textId="446B7EFF" w:rsidR="00B61F35" w:rsidRPr="004B4E8B" w:rsidRDefault="00986F66" w:rsidP="00BA5B60">
      <w:pPr>
        <w:pStyle w:val="ListBullet"/>
      </w:pPr>
      <w:r w:rsidRPr="004B4E8B">
        <w:t xml:space="preserve">Infection Prevention and Control </w:t>
      </w:r>
    </w:p>
    <w:p w14:paraId="08682A2A" w14:textId="53528140" w:rsidR="00B61F35" w:rsidRPr="004B4E8B" w:rsidRDefault="00B61F35" w:rsidP="00BA5B60">
      <w:pPr>
        <w:pStyle w:val="ListBullet"/>
      </w:pPr>
      <w:r w:rsidRPr="004B4E8B">
        <w:t xml:space="preserve">Patient Identification and Procedure Matching </w:t>
      </w:r>
    </w:p>
    <w:p w14:paraId="391BB818" w14:textId="51B0DD6E" w:rsidR="00986F66" w:rsidRPr="004B4E8B" w:rsidRDefault="00986F66" w:rsidP="00BA5B60">
      <w:pPr>
        <w:pStyle w:val="ListBullet"/>
      </w:pPr>
      <w:r w:rsidRPr="004B4E8B">
        <w:t xml:space="preserve">Adult Bi-Level Ventilation </w:t>
      </w:r>
      <w:r w:rsidR="001D20EB" w:rsidRPr="004B4E8B">
        <w:t>Equipment</w:t>
      </w:r>
      <w:r w:rsidRPr="004B4E8B">
        <w:t xml:space="preserve"> – Domiciliary Oxygen and Respiratory Support Scheme (DORSS) </w:t>
      </w:r>
    </w:p>
    <w:p w14:paraId="1F356731" w14:textId="19DA57EA" w:rsidR="00986F66" w:rsidRPr="004B4E8B" w:rsidRDefault="00986F66" w:rsidP="00BA5B60">
      <w:pPr>
        <w:pStyle w:val="ListBullet"/>
      </w:pPr>
      <w:r w:rsidRPr="004B4E8B">
        <w:t xml:space="preserve">Domiciliary Oxygen and Respiratory Support Scheme (DORSS) CPAP </w:t>
      </w:r>
    </w:p>
    <w:p w14:paraId="08682A2E" w14:textId="77777777" w:rsidR="00B61F35" w:rsidRPr="004B4E8B" w:rsidRDefault="00B61F35" w:rsidP="00B61F35"/>
    <w:p w14:paraId="08682A2F" w14:textId="77777777" w:rsidR="00B61F35" w:rsidRPr="004B4E8B" w:rsidRDefault="00B61F35" w:rsidP="006743DB">
      <w:pPr>
        <w:rPr>
          <w:b/>
        </w:rPr>
      </w:pPr>
      <w:r w:rsidRPr="004B4E8B">
        <w:rPr>
          <w:b/>
        </w:rPr>
        <w:t>Legislation</w:t>
      </w:r>
    </w:p>
    <w:p w14:paraId="08682A30" w14:textId="77777777" w:rsidR="00B61F35" w:rsidRPr="004B4E8B" w:rsidRDefault="00B61F35" w:rsidP="00BA5B60">
      <w:pPr>
        <w:pStyle w:val="ListBullet"/>
        <w:rPr>
          <w:i/>
        </w:rPr>
      </w:pPr>
      <w:r w:rsidRPr="004B4E8B">
        <w:rPr>
          <w:i/>
        </w:rPr>
        <w:t>Health Records (Privacy and Access) Act 1997</w:t>
      </w:r>
    </w:p>
    <w:p w14:paraId="08682A31" w14:textId="77777777" w:rsidR="00B61F35" w:rsidRPr="004B4E8B" w:rsidRDefault="00B61F35" w:rsidP="00BA5B60">
      <w:pPr>
        <w:pStyle w:val="ListBullet"/>
        <w:rPr>
          <w:i/>
        </w:rPr>
      </w:pPr>
      <w:r w:rsidRPr="004B4E8B">
        <w:rPr>
          <w:i/>
        </w:rPr>
        <w:t>Human Rights Act 2004</w:t>
      </w:r>
    </w:p>
    <w:p w14:paraId="08682A32" w14:textId="2F542D1E" w:rsidR="00B61F35" w:rsidRPr="004B4E8B" w:rsidRDefault="00B61F35" w:rsidP="00BA5B60">
      <w:pPr>
        <w:pStyle w:val="ListBullet"/>
        <w:rPr>
          <w:i/>
        </w:rPr>
      </w:pPr>
      <w:r w:rsidRPr="004B4E8B">
        <w:rPr>
          <w:i/>
        </w:rPr>
        <w:t>Work Health and Safety Act 2011</w:t>
      </w:r>
    </w:p>
    <w:p w14:paraId="4B539770" w14:textId="100DA021" w:rsidR="00633C8D" w:rsidRPr="004B4E8B" w:rsidRDefault="00633C8D" w:rsidP="00BA5B60">
      <w:pPr>
        <w:pStyle w:val="ListBullet"/>
        <w:rPr>
          <w:i/>
        </w:rPr>
      </w:pPr>
      <w:r w:rsidRPr="004B4E8B">
        <w:rPr>
          <w:i/>
        </w:rPr>
        <w:t>Carers Recognition Act 2021</w:t>
      </w:r>
    </w:p>
    <w:p w14:paraId="08682A33" w14:textId="0F91509A" w:rsidR="009A534C" w:rsidRPr="004B4E8B" w:rsidRDefault="009A534C" w:rsidP="009A534C">
      <w:pPr>
        <w:ind w:left="720"/>
        <w:rPr>
          <w:rFonts w:cs="Arial"/>
          <w:i/>
          <w:szCs w:val="24"/>
        </w:rPr>
      </w:pPr>
    </w:p>
    <w:p w14:paraId="54CDE8A7" w14:textId="49AA0D4E" w:rsidR="00752315" w:rsidRPr="004B4E8B" w:rsidRDefault="00752315" w:rsidP="00752315">
      <w:pPr>
        <w:rPr>
          <w:b/>
        </w:rPr>
      </w:pPr>
      <w:r w:rsidRPr="004B4E8B">
        <w:rPr>
          <w:b/>
        </w:rPr>
        <w:t>Other</w:t>
      </w:r>
    </w:p>
    <w:p w14:paraId="1BCD4D38" w14:textId="40C9981C" w:rsidR="00DD0346" w:rsidRPr="004B4E8B" w:rsidRDefault="00DD0346" w:rsidP="00DD0346">
      <w:r w:rsidRPr="004B4E8B">
        <w:rPr>
          <w:b/>
        </w:rPr>
        <w:t xml:space="preserve">•      </w:t>
      </w:r>
      <w:r w:rsidRPr="004B4E8B">
        <w:t>Australian Charter of Healthcare Rights</w:t>
      </w:r>
    </w:p>
    <w:p w14:paraId="08682A34" w14:textId="77777777" w:rsidR="009A534C" w:rsidRPr="004B4E8B" w:rsidRDefault="009A534C" w:rsidP="009A534C">
      <w:pPr>
        <w:pStyle w:val="ListParagraph"/>
        <w:jc w:val="right"/>
        <w:rPr>
          <w:szCs w:val="24"/>
        </w:rPr>
      </w:pPr>
      <w:hyperlink w:anchor="Contents" w:history="1">
        <w:r w:rsidRPr="004B4E8B">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9A534C" w:rsidRPr="004B4E8B" w14:paraId="08682A36" w14:textId="77777777" w:rsidTr="008E74FD">
        <w:trPr>
          <w:cantSplit/>
          <w:trHeight w:val="285"/>
        </w:trPr>
        <w:tc>
          <w:tcPr>
            <w:tcW w:w="9158" w:type="dxa"/>
            <w:shd w:val="clear" w:color="auto" w:fill="D9D9D9" w:themeFill="background1" w:themeFillShade="D9"/>
          </w:tcPr>
          <w:p w14:paraId="08682A35" w14:textId="77777777" w:rsidR="009A534C" w:rsidRPr="004B4E8B" w:rsidRDefault="009A534C" w:rsidP="00B10F87">
            <w:pPr>
              <w:pStyle w:val="Heading1"/>
              <w:rPr>
                <w:szCs w:val="24"/>
              </w:rPr>
            </w:pPr>
            <w:bookmarkStart w:id="38" w:name="_Toc132280678"/>
            <w:r w:rsidRPr="004B4E8B">
              <w:rPr>
                <w:szCs w:val="24"/>
              </w:rPr>
              <w:t>References</w:t>
            </w:r>
            <w:bookmarkEnd w:id="38"/>
          </w:p>
        </w:tc>
      </w:tr>
    </w:tbl>
    <w:p w14:paraId="08682A37" w14:textId="77777777" w:rsidR="009A534C" w:rsidRPr="004B4E8B" w:rsidRDefault="009A534C" w:rsidP="009A534C">
      <w:pPr>
        <w:jc w:val="both"/>
        <w:rPr>
          <w:rFonts w:cs="Arial"/>
          <w:b/>
          <w:szCs w:val="24"/>
        </w:rPr>
      </w:pPr>
    </w:p>
    <w:p w14:paraId="08B58D5F" w14:textId="3731D7FF" w:rsidR="002844F4" w:rsidRPr="004B4E8B" w:rsidRDefault="002844F4" w:rsidP="00AD3F5B">
      <w:pPr>
        <w:pStyle w:val="ListParagraph"/>
        <w:numPr>
          <w:ilvl w:val="0"/>
          <w:numId w:val="24"/>
        </w:numPr>
        <w:ind w:left="425" w:hanging="425"/>
      </w:pPr>
      <w:r w:rsidRPr="004B4E8B">
        <w:t xml:space="preserve">Australian Government, Department of Veteran Affairs (2012) Guidelines for Prescribers for the supply of Home Medical Oxygen Therapy [available at </w:t>
      </w:r>
      <w:hyperlink r:id="rId13" w:history="1">
        <w:r w:rsidRPr="004B4E8B">
          <w:rPr>
            <w:rStyle w:val="Hyperlink"/>
          </w:rPr>
          <w:t>https://www.dva.gov.au/sites/default/files/files/providers/oxygenguidelines.doc</w:t>
        </w:r>
      </w:hyperlink>
      <w:r w:rsidRPr="004B4E8B">
        <w:t>] accessed on 6 March 2019</w:t>
      </w:r>
    </w:p>
    <w:p w14:paraId="37FD1AAD" w14:textId="77777777" w:rsidR="002844F4" w:rsidRPr="004B4E8B" w:rsidRDefault="002844F4" w:rsidP="00AD3F5B">
      <w:pPr>
        <w:pStyle w:val="ListParagraph"/>
        <w:numPr>
          <w:ilvl w:val="0"/>
          <w:numId w:val="24"/>
        </w:numPr>
        <w:ind w:left="426" w:hanging="426"/>
        <w:rPr>
          <w:rFonts w:asciiTheme="minorHAnsi" w:eastAsiaTheme="minorHAnsi" w:hAnsiTheme="minorHAnsi" w:cs="Arial-BoldMT"/>
          <w:bCs/>
          <w:szCs w:val="24"/>
        </w:rPr>
      </w:pPr>
      <w:r w:rsidRPr="004B4E8B">
        <w:rPr>
          <w:rFonts w:asciiTheme="minorHAnsi" w:eastAsiaTheme="minorHAnsi" w:hAnsiTheme="minorHAnsi" w:cs="Arial-BoldMT"/>
          <w:bCs/>
          <w:szCs w:val="24"/>
        </w:rPr>
        <w:t xml:space="preserve">McDonald, C. F., Whyte, K., Jenkins, S., </w:t>
      </w:r>
      <w:proofErr w:type="spellStart"/>
      <w:r w:rsidRPr="004B4E8B">
        <w:rPr>
          <w:rFonts w:asciiTheme="minorHAnsi" w:eastAsiaTheme="minorHAnsi" w:hAnsiTheme="minorHAnsi" w:cs="Arial-BoldMT"/>
          <w:bCs/>
          <w:szCs w:val="24"/>
        </w:rPr>
        <w:t>Serginson</w:t>
      </w:r>
      <w:proofErr w:type="spellEnd"/>
      <w:r w:rsidRPr="004B4E8B">
        <w:rPr>
          <w:rFonts w:asciiTheme="minorHAnsi" w:eastAsiaTheme="minorHAnsi" w:hAnsiTheme="minorHAnsi" w:cs="Arial-BoldMT"/>
          <w:bCs/>
          <w:szCs w:val="24"/>
        </w:rPr>
        <w:t xml:space="preserve">, J. and Frith, P. (2016), Clinical Practice Guideline on Adult Domiciliary Oxygen Therapy: Executive summary from the Thoracic Society of Australia and New Zealand. Respirology, 21: 76–78. </w:t>
      </w:r>
      <w:proofErr w:type="spellStart"/>
      <w:r w:rsidRPr="004B4E8B">
        <w:rPr>
          <w:rFonts w:asciiTheme="minorHAnsi" w:eastAsiaTheme="minorHAnsi" w:hAnsiTheme="minorHAnsi" w:cs="Arial-BoldMT"/>
          <w:bCs/>
          <w:szCs w:val="24"/>
        </w:rPr>
        <w:t>doi</w:t>
      </w:r>
      <w:proofErr w:type="spellEnd"/>
      <w:r w:rsidRPr="004B4E8B">
        <w:rPr>
          <w:rFonts w:asciiTheme="minorHAnsi" w:eastAsiaTheme="minorHAnsi" w:hAnsiTheme="minorHAnsi" w:cs="Arial-BoldMT"/>
          <w:bCs/>
          <w:szCs w:val="24"/>
        </w:rPr>
        <w:t>: 10.1111/resp.12678</w:t>
      </w:r>
    </w:p>
    <w:p w14:paraId="03F53C4A" w14:textId="77777777" w:rsidR="002844F4" w:rsidRPr="004B4E8B" w:rsidRDefault="002844F4" w:rsidP="00AD3F5B">
      <w:pPr>
        <w:pStyle w:val="Default"/>
        <w:numPr>
          <w:ilvl w:val="0"/>
          <w:numId w:val="24"/>
        </w:numPr>
        <w:ind w:left="426" w:hanging="426"/>
      </w:pPr>
      <w:r w:rsidRPr="004B4E8B">
        <w:rPr>
          <w:rFonts w:asciiTheme="minorHAnsi" w:hAnsiTheme="minorHAnsi" w:cs="Arial-BoldMT"/>
          <w:bCs/>
          <w:color w:val="auto"/>
        </w:rPr>
        <w:t xml:space="preserve">NSW Government, </w:t>
      </w:r>
      <w:proofErr w:type="spellStart"/>
      <w:r w:rsidRPr="004B4E8B">
        <w:rPr>
          <w:rFonts w:asciiTheme="minorHAnsi" w:hAnsiTheme="minorHAnsi" w:cs="Arial-BoldMT"/>
          <w:bCs/>
          <w:color w:val="auto"/>
        </w:rPr>
        <w:t>Healthshare</w:t>
      </w:r>
      <w:proofErr w:type="spellEnd"/>
      <w:r w:rsidRPr="004B4E8B">
        <w:rPr>
          <w:rFonts w:asciiTheme="minorHAnsi" w:hAnsiTheme="minorHAnsi" w:cs="Arial-BoldMT"/>
          <w:bCs/>
          <w:color w:val="auto"/>
        </w:rPr>
        <w:t xml:space="preserve"> </w:t>
      </w:r>
      <w:proofErr w:type="spellStart"/>
      <w:r w:rsidRPr="004B4E8B">
        <w:rPr>
          <w:rFonts w:asciiTheme="minorHAnsi" w:hAnsiTheme="minorHAnsi" w:cs="Arial-BoldMT"/>
          <w:bCs/>
          <w:color w:val="auto"/>
        </w:rPr>
        <w:t>EnableNSW</w:t>
      </w:r>
      <w:proofErr w:type="spellEnd"/>
      <w:r w:rsidRPr="004B4E8B">
        <w:rPr>
          <w:rFonts w:asciiTheme="minorHAnsi" w:hAnsiTheme="minorHAnsi" w:cs="Arial-BoldMT"/>
          <w:bCs/>
          <w:color w:val="auto"/>
        </w:rPr>
        <w:t xml:space="preserve"> (2019) Adult Home Oxygen Funding Criteria</w:t>
      </w:r>
      <w:r w:rsidRPr="004B4E8B">
        <w:rPr>
          <w:rFonts w:asciiTheme="minorHAnsi" w:hAnsiTheme="minorHAnsi" w:cs="Arial-BoldMT"/>
          <w:bCs/>
        </w:rPr>
        <w:t xml:space="preserve"> [available at </w:t>
      </w:r>
      <w:hyperlink r:id="rId14" w:history="1">
        <w:r w:rsidRPr="004B4E8B">
          <w:rPr>
            <w:rStyle w:val="Hyperlink"/>
            <w:rFonts w:asciiTheme="minorHAnsi" w:hAnsiTheme="minorHAnsi" w:cs="Arial-BoldMT"/>
            <w:bCs/>
          </w:rPr>
          <w:t>http://www.enable.health.nsw.gov.au/__data/assets/pdf_file/0010/491293/Adult-Home-Oxygen-Funding-Criteria.pdf</w:t>
        </w:r>
      </w:hyperlink>
      <w:r w:rsidRPr="004B4E8B">
        <w:rPr>
          <w:rFonts w:asciiTheme="minorHAnsi" w:hAnsiTheme="minorHAnsi" w:cs="Arial-BoldMT"/>
          <w:bCs/>
        </w:rPr>
        <w:t>] accessed on 5 March 2019</w:t>
      </w:r>
    </w:p>
    <w:p w14:paraId="64BBD9D0" w14:textId="545A5FC9" w:rsidR="002844F4" w:rsidRPr="004B4E8B" w:rsidRDefault="002844F4" w:rsidP="00AD3F5B">
      <w:pPr>
        <w:pStyle w:val="ListParagraph"/>
        <w:numPr>
          <w:ilvl w:val="0"/>
          <w:numId w:val="24"/>
        </w:numPr>
        <w:ind w:left="426" w:hanging="426"/>
      </w:pPr>
      <w:r w:rsidRPr="004B4E8B">
        <w:t xml:space="preserve">Queensland Government (2014) Medical Aids Subsidy Scheme (MASS) Application Guidelines for Oxygen [available at </w:t>
      </w:r>
      <w:hyperlink r:id="rId15" w:history="1">
        <w:r w:rsidRPr="004B4E8B">
          <w:rPr>
            <w:rStyle w:val="Hyperlink"/>
          </w:rPr>
          <w:t>https://www.health.qld.gov.au/__data/assets/pdf_file/0028/428455/guidelines-oxygen.pdf</w:t>
        </w:r>
      </w:hyperlink>
      <w:r w:rsidRPr="004B4E8B">
        <w:t>] accessed on 5 March 2019</w:t>
      </w:r>
    </w:p>
    <w:p w14:paraId="159FE0D9" w14:textId="77777777" w:rsidR="002844F4" w:rsidRPr="004B4E8B" w:rsidRDefault="002844F4" w:rsidP="00AD3F5B">
      <w:pPr>
        <w:pStyle w:val="ListParagraph"/>
        <w:numPr>
          <w:ilvl w:val="0"/>
          <w:numId w:val="24"/>
        </w:numPr>
        <w:ind w:left="426" w:hanging="426"/>
      </w:pPr>
      <w:r w:rsidRPr="004B4E8B">
        <w:rPr>
          <w:rFonts w:asciiTheme="minorHAnsi" w:hAnsiTheme="minorHAnsi" w:cs="Arial-BoldMT"/>
          <w:bCs/>
        </w:rPr>
        <w:t xml:space="preserve">NSW Government, </w:t>
      </w:r>
      <w:proofErr w:type="spellStart"/>
      <w:r w:rsidRPr="004B4E8B">
        <w:rPr>
          <w:rFonts w:asciiTheme="minorHAnsi" w:hAnsiTheme="minorHAnsi" w:cs="Arial-BoldMT"/>
          <w:bCs/>
        </w:rPr>
        <w:t>EnableNSW</w:t>
      </w:r>
      <w:proofErr w:type="spellEnd"/>
      <w:r w:rsidRPr="004B4E8B">
        <w:rPr>
          <w:rFonts w:asciiTheme="minorHAnsi" w:hAnsiTheme="minorHAnsi" w:cs="Arial-BoldMT"/>
          <w:bCs/>
        </w:rPr>
        <w:t xml:space="preserve"> (2019) Paediatric Home Oxygen Funding Criteria (available at</w:t>
      </w:r>
    </w:p>
    <w:p w14:paraId="3181A7F8" w14:textId="77777777" w:rsidR="002844F4" w:rsidRPr="004B4E8B" w:rsidRDefault="002844F4" w:rsidP="00AD3F5B">
      <w:pPr>
        <w:pStyle w:val="ListParagraph"/>
        <w:ind w:left="426"/>
      </w:pPr>
      <w:hyperlink r:id="rId16" w:history="1">
        <w:r w:rsidRPr="004B4E8B">
          <w:rPr>
            <w:rStyle w:val="Hyperlink"/>
          </w:rPr>
          <w:t>http://enable.health.nsw.gov.au/__data/assets/pdf_file/0004/491296/Paediatric-Home-Oxygen-Funding-Criteria.pdf</w:t>
        </w:r>
      </w:hyperlink>
      <w:r w:rsidRPr="004B4E8B">
        <w:t>) accessed on 12 August 2020</w:t>
      </w:r>
    </w:p>
    <w:p w14:paraId="08682A3C" w14:textId="77777777" w:rsidR="000728F3" w:rsidRPr="004B4E8B" w:rsidRDefault="000728F3" w:rsidP="00E41A47">
      <w:pPr>
        <w:jc w:val="right"/>
      </w:pPr>
    </w:p>
    <w:p w14:paraId="08682A43" w14:textId="427872A9" w:rsidR="004A6A76" w:rsidRPr="004B4E8B" w:rsidRDefault="00E41A47" w:rsidP="002844F4">
      <w:pPr>
        <w:jc w:val="right"/>
      </w:pPr>
      <w:hyperlink w:anchor="Contents" w:history="1">
        <w:r w:rsidRPr="004B4E8B">
          <w:rPr>
            <w:rStyle w:val="Hyperlink"/>
            <w:rFonts w:eastAsiaTheme="majorEastAsia" w:cs="Arial"/>
            <w:i/>
            <w:szCs w:val="24"/>
          </w:rPr>
          <w:t>Back to Table of Contents</w:t>
        </w:r>
      </w:hyperlink>
    </w:p>
    <w:tbl>
      <w:tblPr>
        <w:tblpPr w:leftFromText="180" w:rightFromText="180" w:vertAnchor="text" w:horzAnchor="margin" w:tblpY="181"/>
        <w:tblW w:w="9158" w:type="dxa"/>
        <w:tblLook w:val="0000" w:firstRow="0" w:lastRow="0" w:firstColumn="0" w:lastColumn="0" w:noHBand="0" w:noVBand="0"/>
      </w:tblPr>
      <w:tblGrid>
        <w:gridCol w:w="9158"/>
      </w:tblGrid>
      <w:tr w:rsidR="004A6A76" w:rsidRPr="004B4E8B" w14:paraId="08682A45" w14:textId="77777777" w:rsidTr="008E74FD">
        <w:trPr>
          <w:cantSplit/>
          <w:trHeight w:val="285"/>
        </w:trPr>
        <w:tc>
          <w:tcPr>
            <w:tcW w:w="9158" w:type="dxa"/>
            <w:shd w:val="clear" w:color="auto" w:fill="D9D9D9" w:themeFill="background1" w:themeFillShade="D9"/>
          </w:tcPr>
          <w:p w14:paraId="08682A44" w14:textId="77777777" w:rsidR="004A6A76" w:rsidRPr="004B4E8B" w:rsidRDefault="004A6A76" w:rsidP="00B10F87">
            <w:pPr>
              <w:pStyle w:val="Heading1"/>
            </w:pPr>
            <w:bookmarkStart w:id="39" w:name="_Toc389473290"/>
            <w:bookmarkStart w:id="40" w:name="_Toc396290589"/>
            <w:bookmarkStart w:id="41" w:name="_Toc132280679"/>
            <w:r w:rsidRPr="004B4E8B">
              <w:t>Search Terms</w:t>
            </w:r>
            <w:bookmarkEnd w:id="39"/>
            <w:bookmarkEnd w:id="40"/>
            <w:bookmarkEnd w:id="41"/>
            <w:r w:rsidRPr="004B4E8B">
              <w:t xml:space="preserve"> </w:t>
            </w:r>
          </w:p>
        </w:tc>
      </w:tr>
    </w:tbl>
    <w:p w14:paraId="08682A46" w14:textId="77777777" w:rsidR="004A6A76" w:rsidRPr="004B4E8B" w:rsidRDefault="004A6A76" w:rsidP="004A6A76">
      <w:pPr>
        <w:rPr>
          <w:rFonts w:cs="Calibri,Bold"/>
          <w:bCs/>
          <w:i/>
          <w:szCs w:val="24"/>
          <w:lang w:eastAsia="en-AU"/>
        </w:rPr>
      </w:pPr>
    </w:p>
    <w:p w14:paraId="523D2848" w14:textId="77777777" w:rsidR="002844F4" w:rsidRPr="004B4E8B" w:rsidRDefault="002844F4" w:rsidP="002844F4">
      <w:pPr>
        <w:rPr>
          <w:rFonts w:cs="Calibri,Bold"/>
          <w:bCs/>
          <w:iCs/>
          <w:szCs w:val="24"/>
          <w:lang w:eastAsia="en-AU"/>
        </w:rPr>
      </w:pPr>
      <w:r w:rsidRPr="004B4E8B">
        <w:rPr>
          <w:rFonts w:cs="Calibri,Bold"/>
          <w:bCs/>
          <w:iCs/>
          <w:szCs w:val="24"/>
          <w:lang w:eastAsia="en-AU"/>
        </w:rPr>
        <w:t>DORSS, oxygen, respiratory, CPAP, Bi-level, Oxygen therapy, Domestic Oxygen Respiratory Support Scheme</w:t>
      </w:r>
    </w:p>
    <w:p w14:paraId="08682A48" w14:textId="77777777" w:rsidR="004A6A76" w:rsidRPr="004B4E8B" w:rsidRDefault="004A6A76" w:rsidP="004A6A76">
      <w:pPr>
        <w:jc w:val="both"/>
        <w:rPr>
          <w:rFonts w:asciiTheme="minorHAnsi" w:hAnsiTheme="minorHAnsi" w:cs="Arial"/>
          <w:b/>
          <w:i/>
          <w:sz w:val="22"/>
          <w:szCs w:val="22"/>
        </w:rPr>
      </w:pPr>
    </w:p>
    <w:p w14:paraId="08682A49" w14:textId="77777777" w:rsidR="004A6A76" w:rsidRPr="004B4E8B" w:rsidRDefault="004A6A76" w:rsidP="004A6A76">
      <w:pPr>
        <w:jc w:val="right"/>
      </w:pPr>
      <w:hyperlink w:anchor="_top" w:history="1">
        <w:r w:rsidRPr="004B4E8B">
          <w:rPr>
            <w:rStyle w:val="Hyperlink"/>
            <w:rFonts w:cs="Arial"/>
            <w:i/>
            <w:szCs w:val="24"/>
          </w:rPr>
          <w:t>Back to Table of Contents</w:t>
        </w:r>
      </w:hyperlink>
    </w:p>
    <w:p w14:paraId="08682A4F" w14:textId="77777777" w:rsidR="009A534C" w:rsidRPr="004B4E8B" w:rsidRDefault="009A534C" w:rsidP="009A534C">
      <w:pPr>
        <w:rPr>
          <w:rFonts w:cs="Arial"/>
          <w:iCs/>
          <w:sz w:val="20"/>
        </w:rPr>
      </w:pPr>
    </w:p>
    <w:p w14:paraId="08682A50" w14:textId="2AE7F3B4" w:rsidR="00153FB3" w:rsidRPr="004B4E8B" w:rsidRDefault="00153FB3" w:rsidP="00153FB3">
      <w:pPr>
        <w:rPr>
          <w:rFonts w:cs="Arial"/>
          <w:i/>
          <w:iCs/>
          <w:sz w:val="20"/>
        </w:rPr>
      </w:pPr>
      <w:r w:rsidRPr="004B4E8B">
        <w:rPr>
          <w:rFonts w:cs="Arial"/>
          <w:b/>
          <w:sz w:val="20"/>
        </w:rPr>
        <w:t>Disclaimer</w:t>
      </w:r>
      <w:r w:rsidRPr="004B4E8B">
        <w:rPr>
          <w:rFonts w:cs="Arial"/>
          <w:sz w:val="20"/>
        </w:rPr>
        <w:t xml:space="preserve">: </w:t>
      </w:r>
      <w:r w:rsidRPr="004B4E8B">
        <w:rPr>
          <w:rFonts w:cs="Arial"/>
          <w:i/>
          <w:iCs/>
          <w:sz w:val="20"/>
        </w:rPr>
        <w:t xml:space="preserve">This document has been developed by Canberra Health Services specifically for its own use.  Use of this document and any reliance on the information contained therein by any third party is at his or her own risk and </w:t>
      </w:r>
      <w:r w:rsidR="00470E63" w:rsidRPr="004B4E8B">
        <w:rPr>
          <w:rFonts w:cs="Arial"/>
          <w:i/>
          <w:iCs/>
          <w:sz w:val="20"/>
        </w:rPr>
        <w:t>Canberra Health Services</w:t>
      </w:r>
      <w:r w:rsidRPr="004B4E8B">
        <w:rPr>
          <w:rFonts w:cs="Arial"/>
          <w:i/>
          <w:iCs/>
          <w:sz w:val="20"/>
        </w:rPr>
        <w:t xml:space="preserve"> assumes no responsibility whatsoever.</w:t>
      </w:r>
    </w:p>
    <w:p w14:paraId="08682A51" w14:textId="77777777" w:rsidR="00153FB3" w:rsidRPr="004B4E8B" w:rsidRDefault="00153FB3" w:rsidP="00153FB3">
      <w:pPr>
        <w:rPr>
          <w:rFonts w:cs="Arial"/>
          <w:i/>
          <w:iCs/>
          <w:sz w:val="20"/>
        </w:rPr>
      </w:pPr>
    </w:p>
    <w:p w14:paraId="08682A52" w14:textId="77777777" w:rsidR="00153FB3" w:rsidRPr="004B4E8B" w:rsidRDefault="00153FB3" w:rsidP="00153FB3">
      <w:pPr>
        <w:rPr>
          <w:rFonts w:cs="Arial"/>
          <w:i/>
          <w:iCs/>
          <w:sz w:val="20"/>
        </w:rPr>
      </w:pPr>
      <w:r w:rsidRPr="004B4E8B">
        <w:rPr>
          <w:rFonts w:cs="Arial"/>
          <w:i/>
          <w:iCs/>
          <w:sz w:val="20"/>
        </w:rPr>
        <w:t>Policy Team ONLY to complete the following:</w:t>
      </w:r>
    </w:p>
    <w:tbl>
      <w:tblPr>
        <w:tblStyle w:val="TableGrid"/>
        <w:tblW w:w="0" w:type="auto"/>
        <w:tblLook w:val="04A0" w:firstRow="1" w:lastRow="0" w:firstColumn="1" w:lastColumn="0" w:noHBand="0" w:noVBand="1"/>
      </w:tblPr>
      <w:tblGrid>
        <w:gridCol w:w="2265"/>
        <w:gridCol w:w="2265"/>
        <w:gridCol w:w="2265"/>
        <w:gridCol w:w="2265"/>
      </w:tblGrid>
      <w:tr w:rsidR="00153FB3" w:rsidRPr="004B4E8B" w14:paraId="08682A57" w14:textId="77777777" w:rsidTr="005B3A1A">
        <w:tc>
          <w:tcPr>
            <w:tcW w:w="2265" w:type="dxa"/>
          </w:tcPr>
          <w:p w14:paraId="08682A53" w14:textId="77777777" w:rsidR="00153FB3" w:rsidRPr="004B4E8B" w:rsidRDefault="00153FB3" w:rsidP="005B3A1A">
            <w:pPr>
              <w:rPr>
                <w:i/>
                <w:sz w:val="20"/>
              </w:rPr>
            </w:pPr>
            <w:r w:rsidRPr="004B4E8B">
              <w:rPr>
                <w:i/>
                <w:sz w:val="20"/>
              </w:rPr>
              <w:t>Date Amended</w:t>
            </w:r>
          </w:p>
        </w:tc>
        <w:tc>
          <w:tcPr>
            <w:tcW w:w="2265" w:type="dxa"/>
          </w:tcPr>
          <w:p w14:paraId="08682A54" w14:textId="77777777" w:rsidR="00153FB3" w:rsidRPr="004B4E8B" w:rsidRDefault="00153FB3" w:rsidP="005B3A1A">
            <w:pPr>
              <w:rPr>
                <w:i/>
                <w:sz w:val="20"/>
              </w:rPr>
            </w:pPr>
            <w:r w:rsidRPr="004B4E8B">
              <w:rPr>
                <w:i/>
                <w:sz w:val="20"/>
              </w:rPr>
              <w:t>Section Amended</w:t>
            </w:r>
          </w:p>
        </w:tc>
        <w:tc>
          <w:tcPr>
            <w:tcW w:w="2265" w:type="dxa"/>
          </w:tcPr>
          <w:p w14:paraId="08682A55" w14:textId="77777777" w:rsidR="00153FB3" w:rsidRPr="004B4E8B" w:rsidRDefault="00153FB3" w:rsidP="005B3A1A">
            <w:pPr>
              <w:rPr>
                <w:i/>
                <w:sz w:val="20"/>
              </w:rPr>
            </w:pPr>
            <w:r w:rsidRPr="004B4E8B">
              <w:rPr>
                <w:i/>
                <w:sz w:val="20"/>
              </w:rPr>
              <w:t>Divisional Approval</w:t>
            </w:r>
          </w:p>
        </w:tc>
        <w:tc>
          <w:tcPr>
            <w:tcW w:w="2265" w:type="dxa"/>
          </w:tcPr>
          <w:p w14:paraId="08682A56" w14:textId="77777777" w:rsidR="00153FB3" w:rsidRPr="004B4E8B" w:rsidRDefault="00153FB3" w:rsidP="005B3A1A">
            <w:pPr>
              <w:rPr>
                <w:i/>
                <w:sz w:val="20"/>
              </w:rPr>
            </w:pPr>
            <w:r w:rsidRPr="004B4E8B">
              <w:rPr>
                <w:i/>
                <w:sz w:val="20"/>
              </w:rPr>
              <w:t xml:space="preserve">Final Approval </w:t>
            </w:r>
          </w:p>
        </w:tc>
      </w:tr>
      <w:tr w:rsidR="00153FB3" w:rsidRPr="004B4E8B" w14:paraId="08682A5C" w14:textId="77777777" w:rsidTr="005B3A1A">
        <w:tc>
          <w:tcPr>
            <w:tcW w:w="2265" w:type="dxa"/>
          </w:tcPr>
          <w:p w14:paraId="08682A58" w14:textId="74532AC5" w:rsidR="00153FB3" w:rsidRPr="004B4E8B" w:rsidRDefault="00240521" w:rsidP="005B3A1A">
            <w:pPr>
              <w:rPr>
                <w:i/>
                <w:sz w:val="20"/>
              </w:rPr>
            </w:pPr>
            <w:r>
              <w:rPr>
                <w:i/>
                <w:sz w:val="20"/>
              </w:rPr>
              <w:t>03/05/2023</w:t>
            </w:r>
          </w:p>
        </w:tc>
        <w:tc>
          <w:tcPr>
            <w:tcW w:w="2265" w:type="dxa"/>
          </w:tcPr>
          <w:p w14:paraId="08682A59" w14:textId="26815448" w:rsidR="00153FB3" w:rsidRPr="004B4E8B" w:rsidRDefault="00240521" w:rsidP="005B3A1A">
            <w:pPr>
              <w:rPr>
                <w:i/>
                <w:sz w:val="20"/>
              </w:rPr>
            </w:pPr>
            <w:r>
              <w:rPr>
                <w:i/>
                <w:sz w:val="20"/>
              </w:rPr>
              <w:t>New Document</w:t>
            </w:r>
          </w:p>
        </w:tc>
        <w:tc>
          <w:tcPr>
            <w:tcW w:w="2265" w:type="dxa"/>
          </w:tcPr>
          <w:p w14:paraId="08682A5A" w14:textId="0693EEA7" w:rsidR="00153FB3" w:rsidRPr="004B4E8B" w:rsidRDefault="00240521" w:rsidP="005B3A1A">
            <w:pPr>
              <w:rPr>
                <w:i/>
                <w:sz w:val="20"/>
              </w:rPr>
            </w:pPr>
            <w:r>
              <w:rPr>
                <w:i/>
                <w:sz w:val="20"/>
              </w:rPr>
              <w:t>Jo Morris, ED of RACS</w:t>
            </w:r>
          </w:p>
        </w:tc>
        <w:tc>
          <w:tcPr>
            <w:tcW w:w="2265" w:type="dxa"/>
          </w:tcPr>
          <w:p w14:paraId="08682A5B" w14:textId="1BC0A957" w:rsidR="00153FB3" w:rsidRPr="004B4E8B" w:rsidRDefault="00240521" w:rsidP="005B3A1A">
            <w:pPr>
              <w:rPr>
                <w:i/>
                <w:sz w:val="20"/>
              </w:rPr>
            </w:pPr>
            <w:r>
              <w:rPr>
                <w:i/>
                <w:sz w:val="20"/>
              </w:rPr>
              <w:t>CHS Policy Committee</w:t>
            </w:r>
          </w:p>
        </w:tc>
      </w:tr>
      <w:tr w:rsidR="00153FB3" w:rsidRPr="004B4E8B" w14:paraId="08682A61" w14:textId="77777777" w:rsidTr="005B3A1A">
        <w:tc>
          <w:tcPr>
            <w:tcW w:w="2265" w:type="dxa"/>
          </w:tcPr>
          <w:p w14:paraId="08682A5D" w14:textId="008A1D38" w:rsidR="00153FB3" w:rsidRPr="004B4E8B" w:rsidRDefault="009F228F" w:rsidP="005B3A1A">
            <w:pPr>
              <w:rPr>
                <w:i/>
                <w:sz w:val="20"/>
              </w:rPr>
            </w:pPr>
            <w:r>
              <w:rPr>
                <w:i/>
                <w:sz w:val="20"/>
              </w:rPr>
              <w:t>13/03/2025</w:t>
            </w:r>
          </w:p>
        </w:tc>
        <w:tc>
          <w:tcPr>
            <w:tcW w:w="2265" w:type="dxa"/>
          </w:tcPr>
          <w:p w14:paraId="08682A5E" w14:textId="1F8290B7" w:rsidR="00153FB3" w:rsidRPr="004B4E8B" w:rsidRDefault="009F228F" w:rsidP="005B3A1A">
            <w:pPr>
              <w:rPr>
                <w:i/>
                <w:sz w:val="20"/>
              </w:rPr>
            </w:pPr>
            <w:r>
              <w:rPr>
                <w:i/>
                <w:sz w:val="20"/>
              </w:rPr>
              <w:t>Updated content in Section 1 under Eligibility</w:t>
            </w:r>
          </w:p>
        </w:tc>
        <w:tc>
          <w:tcPr>
            <w:tcW w:w="2265" w:type="dxa"/>
          </w:tcPr>
          <w:p w14:paraId="08682A5F" w14:textId="34E8BB87" w:rsidR="00153FB3" w:rsidRPr="004B4E8B" w:rsidRDefault="002D70E1" w:rsidP="005B3A1A">
            <w:pPr>
              <w:rPr>
                <w:i/>
                <w:sz w:val="20"/>
              </w:rPr>
            </w:pPr>
            <w:r w:rsidRPr="002D70E1">
              <w:rPr>
                <w:i/>
                <w:sz w:val="20"/>
              </w:rPr>
              <w:t>DORSS Advisory Committee</w:t>
            </w:r>
          </w:p>
        </w:tc>
        <w:tc>
          <w:tcPr>
            <w:tcW w:w="2265" w:type="dxa"/>
          </w:tcPr>
          <w:p w14:paraId="08682A60" w14:textId="78230C0D" w:rsidR="00153FB3" w:rsidRPr="004B4E8B" w:rsidRDefault="002D70E1" w:rsidP="005B3A1A">
            <w:pPr>
              <w:rPr>
                <w:i/>
                <w:sz w:val="20"/>
              </w:rPr>
            </w:pPr>
            <w:r>
              <w:rPr>
                <w:i/>
                <w:sz w:val="20"/>
              </w:rPr>
              <w:t>CHS Policy Team</w:t>
            </w:r>
          </w:p>
        </w:tc>
      </w:tr>
      <w:tr w:rsidR="00D66003" w:rsidRPr="004B4E8B" w14:paraId="34E4E100" w14:textId="77777777" w:rsidTr="005B3A1A">
        <w:tc>
          <w:tcPr>
            <w:tcW w:w="2265" w:type="dxa"/>
          </w:tcPr>
          <w:p w14:paraId="0FAA5B4A" w14:textId="6FCE2116" w:rsidR="00D66003" w:rsidRDefault="00D66003" w:rsidP="00D66003">
            <w:pPr>
              <w:rPr>
                <w:i/>
                <w:sz w:val="20"/>
              </w:rPr>
            </w:pPr>
            <w:r>
              <w:rPr>
                <w:i/>
                <w:sz w:val="20"/>
              </w:rPr>
              <w:t>07/08/2025</w:t>
            </w:r>
          </w:p>
        </w:tc>
        <w:tc>
          <w:tcPr>
            <w:tcW w:w="2265" w:type="dxa"/>
          </w:tcPr>
          <w:p w14:paraId="157CE799" w14:textId="66D9048D" w:rsidR="00D66003" w:rsidRDefault="00D66003" w:rsidP="00D66003">
            <w:pPr>
              <w:rPr>
                <w:i/>
                <w:sz w:val="20"/>
              </w:rPr>
            </w:pPr>
            <w:r>
              <w:rPr>
                <w:i/>
                <w:sz w:val="20"/>
              </w:rPr>
              <w:t xml:space="preserve">Included information on </w:t>
            </w:r>
            <w:r w:rsidRPr="00D66003">
              <w:rPr>
                <w:i/>
                <w:sz w:val="20"/>
              </w:rPr>
              <w:t>Nocturnal Home Oxygen Therapy for Central Sleep Apnoea</w:t>
            </w:r>
            <w:r w:rsidRPr="00D66003">
              <w:rPr>
                <w:i/>
                <w:sz w:val="20"/>
              </w:rPr>
              <w:t xml:space="preserve"> in Section 1.</w:t>
            </w:r>
          </w:p>
        </w:tc>
        <w:tc>
          <w:tcPr>
            <w:tcW w:w="2265" w:type="dxa"/>
          </w:tcPr>
          <w:p w14:paraId="73CD9785" w14:textId="63962544" w:rsidR="00D66003" w:rsidRPr="002D70E1" w:rsidRDefault="00D66003" w:rsidP="00D66003">
            <w:pPr>
              <w:rPr>
                <w:i/>
                <w:sz w:val="20"/>
              </w:rPr>
            </w:pPr>
            <w:r w:rsidRPr="002D70E1">
              <w:rPr>
                <w:i/>
                <w:sz w:val="20"/>
              </w:rPr>
              <w:t>DORSS Advisory Committee</w:t>
            </w:r>
          </w:p>
        </w:tc>
        <w:tc>
          <w:tcPr>
            <w:tcW w:w="2265" w:type="dxa"/>
          </w:tcPr>
          <w:p w14:paraId="313AB956" w14:textId="17BDE5B2" w:rsidR="00D66003" w:rsidRDefault="00D66003" w:rsidP="00D66003">
            <w:pPr>
              <w:rPr>
                <w:i/>
                <w:sz w:val="20"/>
              </w:rPr>
            </w:pPr>
            <w:r>
              <w:rPr>
                <w:i/>
                <w:sz w:val="20"/>
              </w:rPr>
              <w:t xml:space="preserve">CHS Policy </w:t>
            </w:r>
            <w:r>
              <w:rPr>
                <w:i/>
                <w:sz w:val="20"/>
              </w:rPr>
              <w:t xml:space="preserve">and Consumer Handouts </w:t>
            </w:r>
            <w:r>
              <w:rPr>
                <w:i/>
                <w:sz w:val="20"/>
              </w:rPr>
              <w:t>Team</w:t>
            </w:r>
          </w:p>
        </w:tc>
      </w:tr>
    </w:tbl>
    <w:p w14:paraId="08682A62" w14:textId="77777777" w:rsidR="00153FB3" w:rsidRPr="004B4E8B" w:rsidRDefault="00153FB3" w:rsidP="00153FB3">
      <w:pPr>
        <w:rPr>
          <w:rFonts w:cs="Arial"/>
          <w:sz w:val="20"/>
        </w:rPr>
      </w:pPr>
    </w:p>
    <w:p w14:paraId="08682A63" w14:textId="77777777" w:rsidR="00153FB3" w:rsidRPr="004B4E8B" w:rsidRDefault="00153FB3" w:rsidP="00153FB3">
      <w:pPr>
        <w:rPr>
          <w:rFonts w:cs="Arial"/>
          <w:i/>
          <w:sz w:val="20"/>
        </w:rPr>
      </w:pPr>
      <w:r w:rsidRPr="004B4E8B">
        <w:rPr>
          <w:rFonts w:cs="Arial"/>
          <w:i/>
          <w:sz w:val="20"/>
        </w:rPr>
        <w:t xml:space="preserve">This document supersedes the following: </w:t>
      </w:r>
    </w:p>
    <w:tbl>
      <w:tblPr>
        <w:tblStyle w:val="TableGrid"/>
        <w:tblW w:w="0" w:type="auto"/>
        <w:tblLook w:val="04A0" w:firstRow="1" w:lastRow="0" w:firstColumn="1" w:lastColumn="0" w:noHBand="0" w:noVBand="1"/>
      </w:tblPr>
      <w:tblGrid>
        <w:gridCol w:w="2122"/>
        <w:gridCol w:w="6938"/>
      </w:tblGrid>
      <w:tr w:rsidR="00153FB3" w:rsidRPr="003E167B" w14:paraId="08682A66" w14:textId="77777777" w:rsidTr="005B3A1A">
        <w:tc>
          <w:tcPr>
            <w:tcW w:w="2122" w:type="dxa"/>
          </w:tcPr>
          <w:p w14:paraId="08682A64" w14:textId="77777777" w:rsidR="00153FB3" w:rsidRPr="004B4E8B" w:rsidRDefault="00153FB3" w:rsidP="005B3A1A">
            <w:pPr>
              <w:rPr>
                <w:i/>
                <w:sz w:val="20"/>
              </w:rPr>
            </w:pPr>
            <w:r w:rsidRPr="004B4E8B">
              <w:rPr>
                <w:i/>
                <w:sz w:val="20"/>
              </w:rPr>
              <w:t>Document Number</w:t>
            </w:r>
          </w:p>
        </w:tc>
        <w:tc>
          <w:tcPr>
            <w:tcW w:w="6938" w:type="dxa"/>
          </w:tcPr>
          <w:p w14:paraId="08682A65" w14:textId="77777777" w:rsidR="00153FB3" w:rsidRPr="003E167B" w:rsidRDefault="00153FB3" w:rsidP="005B3A1A">
            <w:pPr>
              <w:rPr>
                <w:i/>
                <w:sz w:val="20"/>
              </w:rPr>
            </w:pPr>
            <w:r w:rsidRPr="004B4E8B">
              <w:rPr>
                <w:i/>
                <w:sz w:val="20"/>
              </w:rPr>
              <w:t>Document Name</w:t>
            </w:r>
          </w:p>
        </w:tc>
      </w:tr>
      <w:tr w:rsidR="00153FB3" w:rsidRPr="003E167B" w14:paraId="08682A69" w14:textId="77777777" w:rsidTr="005B3A1A">
        <w:tc>
          <w:tcPr>
            <w:tcW w:w="2122" w:type="dxa"/>
          </w:tcPr>
          <w:p w14:paraId="08682A67" w14:textId="77777777" w:rsidR="00153FB3" w:rsidRPr="003E167B" w:rsidRDefault="00153FB3" w:rsidP="005B3A1A">
            <w:pPr>
              <w:rPr>
                <w:i/>
                <w:sz w:val="20"/>
              </w:rPr>
            </w:pPr>
          </w:p>
        </w:tc>
        <w:tc>
          <w:tcPr>
            <w:tcW w:w="6938" w:type="dxa"/>
          </w:tcPr>
          <w:p w14:paraId="08682A68" w14:textId="77777777" w:rsidR="00153FB3" w:rsidRPr="003E167B" w:rsidRDefault="00153FB3" w:rsidP="005B3A1A">
            <w:pPr>
              <w:rPr>
                <w:i/>
                <w:sz w:val="20"/>
              </w:rPr>
            </w:pPr>
          </w:p>
        </w:tc>
      </w:tr>
      <w:tr w:rsidR="00153FB3" w:rsidRPr="003E167B" w14:paraId="08682A6C" w14:textId="77777777" w:rsidTr="005B3A1A">
        <w:tc>
          <w:tcPr>
            <w:tcW w:w="2122" w:type="dxa"/>
          </w:tcPr>
          <w:p w14:paraId="08682A6A" w14:textId="77777777" w:rsidR="00153FB3" w:rsidRPr="003E167B" w:rsidRDefault="00153FB3" w:rsidP="005B3A1A">
            <w:pPr>
              <w:rPr>
                <w:i/>
                <w:sz w:val="20"/>
              </w:rPr>
            </w:pPr>
          </w:p>
        </w:tc>
        <w:tc>
          <w:tcPr>
            <w:tcW w:w="6938" w:type="dxa"/>
          </w:tcPr>
          <w:p w14:paraId="08682A6B" w14:textId="77777777" w:rsidR="00153FB3" w:rsidRPr="003E167B" w:rsidRDefault="00153FB3" w:rsidP="005B3A1A">
            <w:pPr>
              <w:rPr>
                <w:i/>
                <w:sz w:val="20"/>
              </w:rPr>
            </w:pPr>
          </w:p>
        </w:tc>
      </w:tr>
    </w:tbl>
    <w:p w14:paraId="08682A6D" w14:textId="77777777" w:rsidR="00010E74" w:rsidRPr="00010E74" w:rsidRDefault="00010E74" w:rsidP="00153FB3">
      <w:pPr>
        <w:rPr>
          <w:i/>
          <w:sz w:val="20"/>
          <w:szCs w:val="24"/>
        </w:rPr>
      </w:pPr>
    </w:p>
    <w:sectPr w:rsidR="00010E74" w:rsidRPr="00010E74" w:rsidSect="00B10F87">
      <w:headerReference w:type="default" r:id="rId17"/>
      <w:footerReference w:type="default" r:id="rId18"/>
      <w:pgSz w:w="11906" w:h="16838"/>
      <w:pgMar w:top="663" w:right="1418" w:bottom="1440" w:left="1418" w:header="357"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BBD7" w14:textId="77777777" w:rsidR="00667F65" w:rsidRDefault="00667F65" w:rsidP="00F66CB0">
      <w:r>
        <w:separator/>
      </w:r>
    </w:p>
  </w:endnote>
  <w:endnote w:type="continuationSeparator" w:id="0">
    <w:p w14:paraId="523B82A7" w14:textId="77777777" w:rsidR="00667F65" w:rsidRDefault="00667F65" w:rsidP="00F66C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8070000" w:usb2="00000010" w:usb3="00000000" w:csb0="00020001" w:csb1="00000000"/>
  </w:font>
  <w:font w:name="Arial-BoldMT">
    <w:panose1 w:val="00000000000000000000"/>
    <w:charset w:val="00"/>
    <w:family w:val="swiss"/>
    <w:notTrueType/>
    <w:pitch w:val="default"/>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insideH w:val="single" w:sz="4" w:space="0" w:color="auto"/>
      </w:tblBorders>
      <w:tblLook w:val="00A0" w:firstRow="1" w:lastRow="0" w:firstColumn="1" w:lastColumn="0" w:noHBand="0" w:noVBand="0"/>
    </w:tblPr>
    <w:tblGrid>
      <w:gridCol w:w="1269"/>
      <w:gridCol w:w="842"/>
      <w:gridCol w:w="1203"/>
      <w:gridCol w:w="1364"/>
      <w:gridCol w:w="3428"/>
      <w:gridCol w:w="964"/>
    </w:tblGrid>
    <w:tr w:rsidR="001670BB" w:rsidRPr="00AE7C5C" w14:paraId="08682A7C" w14:textId="77777777" w:rsidTr="00240521">
      <w:tc>
        <w:tcPr>
          <w:tcW w:w="1269" w:type="dxa"/>
        </w:tcPr>
        <w:p w14:paraId="08682A76" w14:textId="77777777" w:rsidR="001670BB" w:rsidRPr="00B3752F" w:rsidRDefault="001670BB" w:rsidP="00B10F87">
          <w:pPr>
            <w:pStyle w:val="Footer"/>
            <w:rPr>
              <w:rFonts w:cs="Arial"/>
              <w:b/>
              <w:bCs/>
              <w:i/>
              <w:sz w:val="20"/>
            </w:rPr>
          </w:pPr>
          <w:r w:rsidRPr="00B3752F">
            <w:rPr>
              <w:rFonts w:cs="Arial"/>
              <w:b/>
              <w:bCs/>
              <w:i/>
              <w:sz w:val="20"/>
            </w:rPr>
            <w:t>Doc Number</w:t>
          </w:r>
        </w:p>
      </w:tc>
      <w:tc>
        <w:tcPr>
          <w:tcW w:w="842" w:type="dxa"/>
        </w:tcPr>
        <w:p w14:paraId="08682A77" w14:textId="77777777" w:rsidR="001670BB" w:rsidRPr="00B3752F" w:rsidRDefault="001670BB" w:rsidP="00B10F87">
          <w:pPr>
            <w:pStyle w:val="Footer"/>
            <w:rPr>
              <w:rFonts w:cs="Arial"/>
              <w:b/>
              <w:bCs/>
              <w:i/>
              <w:sz w:val="20"/>
            </w:rPr>
          </w:pPr>
          <w:r w:rsidRPr="00B3752F">
            <w:rPr>
              <w:rFonts w:cs="Arial"/>
              <w:b/>
              <w:bCs/>
              <w:i/>
              <w:sz w:val="20"/>
            </w:rPr>
            <w:t>Version</w:t>
          </w:r>
        </w:p>
      </w:tc>
      <w:tc>
        <w:tcPr>
          <w:tcW w:w="1203" w:type="dxa"/>
        </w:tcPr>
        <w:p w14:paraId="08682A78" w14:textId="77777777" w:rsidR="001670BB" w:rsidRPr="00B3752F" w:rsidRDefault="001670BB" w:rsidP="00B10F87">
          <w:pPr>
            <w:pStyle w:val="Footer"/>
            <w:rPr>
              <w:rFonts w:cs="Arial"/>
              <w:b/>
              <w:bCs/>
              <w:i/>
              <w:sz w:val="20"/>
            </w:rPr>
          </w:pPr>
          <w:r w:rsidRPr="00B3752F">
            <w:rPr>
              <w:rFonts w:cs="Arial"/>
              <w:b/>
              <w:bCs/>
              <w:i/>
              <w:sz w:val="20"/>
            </w:rPr>
            <w:t>Issued</w:t>
          </w:r>
        </w:p>
      </w:tc>
      <w:tc>
        <w:tcPr>
          <w:tcW w:w="1364" w:type="dxa"/>
        </w:tcPr>
        <w:p w14:paraId="08682A79" w14:textId="77777777" w:rsidR="001670BB" w:rsidRPr="00B3752F" w:rsidRDefault="001670BB" w:rsidP="00B10F87">
          <w:pPr>
            <w:pStyle w:val="Footer"/>
            <w:rPr>
              <w:rFonts w:cs="Arial"/>
              <w:b/>
              <w:bCs/>
              <w:i/>
              <w:sz w:val="20"/>
            </w:rPr>
          </w:pPr>
          <w:r w:rsidRPr="00B3752F">
            <w:rPr>
              <w:rFonts w:cs="Arial"/>
              <w:b/>
              <w:bCs/>
              <w:i/>
              <w:sz w:val="20"/>
            </w:rPr>
            <w:t>Review Date</w:t>
          </w:r>
        </w:p>
      </w:tc>
      <w:tc>
        <w:tcPr>
          <w:tcW w:w="3428" w:type="dxa"/>
        </w:tcPr>
        <w:p w14:paraId="08682A7A" w14:textId="77777777" w:rsidR="001670BB" w:rsidRPr="00B3752F" w:rsidRDefault="001670BB" w:rsidP="00B10F87">
          <w:pPr>
            <w:pStyle w:val="Footer"/>
            <w:rPr>
              <w:rFonts w:cs="Arial"/>
              <w:b/>
              <w:bCs/>
              <w:i/>
              <w:sz w:val="20"/>
            </w:rPr>
          </w:pPr>
          <w:r w:rsidRPr="00B3752F">
            <w:rPr>
              <w:rFonts w:cs="Arial"/>
              <w:b/>
              <w:bCs/>
              <w:i/>
              <w:sz w:val="20"/>
            </w:rPr>
            <w:t>Area Responsible</w:t>
          </w:r>
        </w:p>
      </w:tc>
      <w:tc>
        <w:tcPr>
          <w:tcW w:w="964" w:type="dxa"/>
        </w:tcPr>
        <w:p w14:paraId="08682A7B" w14:textId="77777777" w:rsidR="001670BB" w:rsidRPr="00B3752F" w:rsidRDefault="001670BB" w:rsidP="00B10F87">
          <w:pPr>
            <w:pStyle w:val="Footer"/>
            <w:rPr>
              <w:rFonts w:cs="Arial"/>
              <w:b/>
              <w:bCs/>
              <w:i/>
              <w:sz w:val="20"/>
            </w:rPr>
          </w:pPr>
          <w:r w:rsidRPr="00B3752F">
            <w:rPr>
              <w:rFonts w:cs="Arial"/>
              <w:b/>
              <w:bCs/>
              <w:i/>
              <w:sz w:val="20"/>
            </w:rPr>
            <w:t>Page</w:t>
          </w:r>
        </w:p>
      </w:tc>
    </w:tr>
    <w:tr w:rsidR="001670BB" w14:paraId="08682A83" w14:textId="77777777" w:rsidTr="00240521">
      <w:tc>
        <w:tcPr>
          <w:tcW w:w="1269" w:type="dxa"/>
        </w:tcPr>
        <w:p w14:paraId="08682A7D" w14:textId="133A1295" w:rsidR="001670BB" w:rsidRPr="00542EE6" w:rsidRDefault="00240521" w:rsidP="00B10F87">
          <w:pPr>
            <w:pStyle w:val="Footer"/>
            <w:rPr>
              <w:rFonts w:cs="Arial"/>
              <w:b/>
              <w:bCs/>
              <w:sz w:val="20"/>
            </w:rPr>
          </w:pPr>
          <w:r>
            <w:rPr>
              <w:b/>
              <w:sz w:val="20"/>
            </w:rPr>
            <w:t>CHS23/113</w:t>
          </w:r>
        </w:p>
      </w:tc>
      <w:tc>
        <w:tcPr>
          <w:tcW w:w="842" w:type="dxa"/>
        </w:tcPr>
        <w:p w14:paraId="08682A7E" w14:textId="123C5CCA" w:rsidR="001670BB" w:rsidRPr="00B3752F" w:rsidRDefault="00240521" w:rsidP="00B10F87">
          <w:pPr>
            <w:pStyle w:val="Footer"/>
            <w:rPr>
              <w:rFonts w:cs="Arial"/>
              <w:b/>
              <w:bCs/>
              <w:sz w:val="20"/>
            </w:rPr>
          </w:pPr>
          <w:r>
            <w:rPr>
              <w:rFonts w:cs="Arial"/>
              <w:b/>
              <w:bCs/>
              <w:sz w:val="20"/>
            </w:rPr>
            <w:t>1</w:t>
          </w:r>
        </w:p>
      </w:tc>
      <w:tc>
        <w:tcPr>
          <w:tcW w:w="1203" w:type="dxa"/>
        </w:tcPr>
        <w:p w14:paraId="08682A7F" w14:textId="7E2B5FE2" w:rsidR="001670BB" w:rsidRPr="00B3752F" w:rsidRDefault="00240521" w:rsidP="00B10F87">
          <w:pPr>
            <w:pStyle w:val="Footer"/>
            <w:rPr>
              <w:rFonts w:cs="Arial"/>
              <w:b/>
              <w:bCs/>
              <w:sz w:val="20"/>
            </w:rPr>
          </w:pPr>
          <w:r>
            <w:rPr>
              <w:rFonts w:cs="Arial"/>
              <w:b/>
              <w:bCs/>
              <w:sz w:val="20"/>
            </w:rPr>
            <w:t>03/05/2023</w:t>
          </w:r>
        </w:p>
      </w:tc>
      <w:tc>
        <w:tcPr>
          <w:tcW w:w="1364" w:type="dxa"/>
        </w:tcPr>
        <w:p w14:paraId="08682A80" w14:textId="5083E988" w:rsidR="001670BB" w:rsidRPr="00B3752F" w:rsidRDefault="00240521" w:rsidP="00470E63">
          <w:pPr>
            <w:pStyle w:val="Footer"/>
            <w:rPr>
              <w:rFonts w:cs="Arial"/>
              <w:b/>
              <w:bCs/>
              <w:sz w:val="20"/>
            </w:rPr>
          </w:pPr>
          <w:r>
            <w:rPr>
              <w:rFonts w:cs="Arial"/>
              <w:b/>
              <w:bCs/>
              <w:sz w:val="20"/>
            </w:rPr>
            <w:t>01/04/2027</w:t>
          </w:r>
        </w:p>
      </w:tc>
      <w:tc>
        <w:tcPr>
          <w:tcW w:w="3428" w:type="dxa"/>
        </w:tcPr>
        <w:p w14:paraId="08682A81" w14:textId="6FB7C3BA" w:rsidR="001670BB" w:rsidRPr="00B3752F" w:rsidRDefault="00240521" w:rsidP="00B10F87">
          <w:pPr>
            <w:pStyle w:val="Footer"/>
            <w:rPr>
              <w:rFonts w:cs="Arial"/>
              <w:b/>
              <w:bCs/>
              <w:sz w:val="20"/>
            </w:rPr>
          </w:pPr>
          <w:r>
            <w:rPr>
              <w:rFonts w:cs="Arial"/>
              <w:b/>
              <w:bCs/>
              <w:sz w:val="20"/>
            </w:rPr>
            <w:t>RACS – Oxygen &amp; Equipment Services</w:t>
          </w:r>
        </w:p>
      </w:tc>
      <w:tc>
        <w:tcPr>
          <w:tcW w:w="964" w:type="dxa"/>
        </w:tcPr>
        <w:p w14:paraId="08682A82" w14:textId="77777777" w:rsidR="001670BB" w:rsidRPr="00B3752F" w:rsidRDefault="00A063FE" w:rsidP="00B10F87">
          <w:pPr>
            <w:pStyle w:val="Footer"/>
            <w:rPr>
              <w:sz w:val="20"/>
            </w:rPr>
          </w:pPr>
          <w:r w:rsidRPr="00B3752F">
            <w:rPr>
              <w:rStyle w:val="PageNumber"/>
              <w:sz w:val="20"/>
            </w:rPr>
            <w:fldChar w:fldCharType="begin"/>
          </w:r>
          <w:r w:rsidR="001670BB" w:rsidRPr="00B3752F">
            <w:rPr>
              <w:rStyle w:val="PageNumber"/>
              <w:sz w:val="20"/>
            </w:rPr>
            <w:instrText xml:space="preserve"> PAGE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r w:rsidR="001670BB" w:rsidRPr="00B3752F">
            <w:rPr>
              <w:rStyle w:val="PageNumber"/>
              <w:sz w:val="20"/>
            </w:rPr>
            <w:t xml:space="preserve"> of </w:t>
          </w:r>
          <w:r w:rsidRPr="00B3752F">
            <w:rPr>
              <w:rStyle w:val="PageNumber"/>
              <w:sz w:val="20"/>
            </w:rPr>
            <w:fldChar w:fldCharType="begin"/>
          </w:r>
          <w:r w:rsidR="001670BB" w:rsidRPr="00B3752F">
            <w:rPr>
              <w:rStyle w:val="PageNumber"/>
              <w:sz w:val="20"/>
            </w:rPr>
            <w:instrText xml:space="preserve"> NUMPAGES </w:instrText>
          </w:r>
          <w:r w:rsidRPr="00B3752F">
            <w:rPr>
              <w:rStyle w:val="PageNumber"/>
              <w:sz w:val="20"/>
            </w:rPr>
            <w:fldChar w:fldCharType="separate"/>
          </w:r>
          <w:r w:rsidR="00470E63">
            <w:rPr>
              <w:rStyle w:val="PageNumber"/>
              <w:noProof/>
              <w:sz w:val="20"/>
            </w:rPr>
            <w:t>5</w:t>
          </w:r>
          <w:r w:rsidRPr="00B3752F">
            <w:rPr>
              <w:rStyle w:val="PageNumber"/>
              <w:sz w:val="20"/>
            </w:rPr>
            <w:fldChar w:fldCharType="end"/>
          </w:r>
        </w:p>
      </w:tc>
    </w:tr>
    <w:tr w:rsidR="008E7509" w14:paraId="274E5098" w14:textId="77777777" w:rsidTr="00861252">
      <w:trPr>
        <w:trHeight w:val="231"/>
      </w:trPr>
      <w:tc>
        <w:tcPr>
          <w:tcW w:w="9070" w:type="dxa"/>
          <w:gridSpan w:val="6"/>
          <w:tcBorders>
            <w:top w:val="single" w:sz="4" w:space="0" w:color="auto"/>
            <w:left w:val="single" w:sz="4" w:space="0" w:color="auto"/>
            <w:bottom w:val="single" w:sz="4" w:space="0" w:color="auto"/>
            <w:right w:val="single" w:sz="4" w:space="0" w:color="auto"/>
          </w:tcBorders>
        </w:tcPr>
        <w:p w14:paraId="581E8E84" w14:textId="208943B0" w:rsidR="008E7509" w:rsidRPr="002C1428" w:rsidRDefault="008E7509" w:rsidP="008E7509">
          <w:pPr>
            <w:pStyle w:val="Footer"/>
            <w:jc w:val="center"/>
            <w:rPr>
              <w:rStyle w:val="PageNumber"/>
              <w:sz w:val="16"/>
              <w:szCs w:val="16"/>
            </w:rPr>
          </w:pPr>
          <w:r w:rsidRPr="002C1428">
            <w:rPr>
              <w:sz w:val="16"/>
              <w:szCs w:val="16"/>
            </w:rPr>
            <w:t xml:space="preserve">Do not refer to a </w:t>
          </w:r>
          <w:proofErr w:type="gramStart"/>
          <w:r w:rsidRPr="002C1428">
            <w:rPr>
              <w:sz w:val="16"/>
              <w:szCs w:val="16"/>
            </w:rPr>
            <w:t>paper based</w:t>
          </w:r>
          <w:proofErr w:type="gramEnd"/>
          <w:r w:rsidRPr="002C1428">
            <w:rPr>
              <w:sz w:val="16"/>
              <w:szCs w:val="16"/>
            </w:rPr>
            <w:t xml:space="preserve"> copy of this policy document. </w:t>
          </w:r>
          <w:r>
            <w:rPr>
              <w:sz w:val="16"/>
              <w:szCs w:val="16"/>
            </w:rPr>
            <w:t>The most current</w:t>
          </w:r>
          <w:r w:rsidRPr="002C1428">
            <w:rPr>
              <w:sz w:val="16"/>
              <w:szCs w:val="16"/>
            </w:rPr>
            <w:t xml:space="preserve"> version</w:t>
          </w:r>
          <w:r>
            <w:rPr>
              <w:sz w:val="16"/>
              <w:szCs w:val="16"/>
            </w:rPr>
            <w:t xml:space="preserve"> can be found</w:t>
          </w:r>
          <w:r w:rsidRPr="002C1428">
            <w:rPr>
              <w:sz w:val="16"/>
              <w:szCs w:val="16"/>
            </w:rPr>
            <w:t xml:space="preserve"> on the </w:t>
          </w:r>
          <w:r w:rsidR="00205AF9">
            <w:rPr>
              <w:sz w:val="16"/>
              <w:szCs w:val="16"/>
            </w:rPr>
            <w:t>CHS</w:t>
          </w:r>
          <w:r w:rsidRPr="002C1428">
            <w:rPr>
              <w:sz w:val="16"/>
              <w:szCs w:val="16"/>
            </w:rPr>
            <w:t xml:space="preserve"> Policy Register</w:t>
          </w:r>
        </w:p>
      </w:tc>
    </w:tr>
  </w:tbl>
  <w:p w14:paraId="08682A85" w14:textId="0FDE7BBC" w:rsidR="001670BB" w:rsidRPr="00AE7C5C" w:rsidRDefault="001670BB" w:rsidP="00470E63">
    <w:pPr>
      <w:pStyle w:val="Footer"/>
      <w:tabs>
        <w:tab w:val="clear" w:pos="4153"/>
        <w:tab w:val="clear" w:pos="8306"/>
        <w:tab w:val="left" w:pos="142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D9A5D" w14:textId="77777777" w:rsidR="00667F65" w:rsidRDefault="00667F65" w:rsidP="00F66CB0">
      <w:r>
        <w:separator/>
      </w:r>
    </w:p>
  </w:footnote>
  <w:footnote w:type="continuationSeparator" w:id="0">
    <w:p w14:paraId="25ADE42F" w14:textId="77777777" w:rsidR="00667F65" w:rsidRDefault="00667F65" w:rsidP="00F66C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44"/>
      <w:gridCol w:w="3526"/>
    </w:tblGrid>
    <w:tr w:rsidR="00A939DF" w14:paraId="60F17A8F" w14:textId="77777777" w:rsidTr="00894713">
      <w:trPr>
        <w:trHeight w:val="1418"/>
      </w:trPr>
      <w:tc>
        <w:tcPr>
          <w:tcW w:w="5556" w:type="dxa"/>
          <w:vAlign w:val="center"/>
          <w:hideMark/>
        </w:tcPr>
        <w:p w14:paraId="4A5666D5" w14:textId="77777777" w:rsidR="00A939DF" w:rsidRDefault="00A939DF" w:rsidP="00A939DF">
          <w:pPr>
            <w:pStyle w:val="Header"/>
            <w:rPr>
              <w:sz w:val="20"/>
            </w:rPr>
          </w:pPr>
          <w:r>
            <w:rPr>
              <w:noProof/>
              <w:sz w:val="20"/>
            </w:rPr>
            <w:drawing>
              <wp:inline distT="0" distB="0" distL="0" distR="0" wp14:anchorId="2AF797D7" wp14:editId="7788EF6A">
                <wp:extent cx="3295650" cy="723900"/>
                <wp:effectExtent l="0" t="0" r="0" b="0"/>
                <wp:docPr id="2" name="Picture 2" descr="Canberra Health Service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nberra Health Services_RGB"/>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295650" cy="723900"/>
                        </a:xfrm>
                        <a:prstGeom prst="rect">
                          <a:avLst/>
                        </a:prstGeom>
                        <a:noFill/>
                        <a:ln>
                          <a:noFill/>
                        </a:ln>
                      </pic:spPr>
                    </pic:pic>
                  </a:graphicData>
                </a:graphic>
              </wp:inline>
            </w:drawing>
          </w:r>
        </w:p>
      </w:tc>
      <w:tc>
        <w:tcPr>
          <w:tcW w:w="3730" w:type="dxa"/>
          <w:vAlign w:val="center"/>
          <w:hideMark/>
        </w:tcPr>
        <w:p w14:paraId="6FB3D4A4" w14:textId="55A5F4AD" w:rsidR="00A939DF" w:rsidRDefault="00240521" w:rsidP="00A939DF">
          <w:pPr>
            <w:pStyle w:val="Header"/>
            <w:tabs>
              <w:tab w:val="left" w:pos="720"/>
            </w:tabs>
            <w:jc w:val="right"/>
            <w:rPr>
              <w:sz w:val="20"/>
            </w:rPr>
          </w:pPr>
          <w:bookmarkStart w:id="42" w:name="_top"/>
          <w:bookmarkEnd w:id="42"/>
          <w:r>
            <w:rPr>
              <w:sz w:val="20"/>
            </w:rPr>
            <w:t>CHS23/113</w:t>
          </w:r>
        </w:p>
      </w:tc>
    </w:tr>
  </w:tbl>
  <w:p w14:paraId="08682A75" w14:textId="77777777" w:rsidR="001670BB" w:rsidRPr="00FC3538" w:rsidRDefault="001670BB">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F0A03AC"/>
    <w:lvl w:ilvl="0">
      <w:start w:val="1"/>
      <w:numFmt w:val="bullet"/>
      <w:pStyle w:val="ListBullet"/>
      <w:lvlText w:val=""/>
      <w:lvlJc w:val="left"/>
      <w:pPr>
        <w:tabs>
          <w:tab w:val="num" w:pos="1080"/>
        </w:tabs>
        <w:ind w:left="1080" w:hanging="360"/>
      </w:pPr>
      <w:rPr>
        <w:rFonts w:ascii="Symbol" w:hAnsi="Symbol" w:hint="default"/>
        <w:color w:val="auto"/>
      </w:rPr>
    </w:lvl>
  </w:abstractNum>
  <w:abstractNum w:abstractNumId="1" w15:restartNumberingAfterBreak="0">
    <w:nsid w:val="02342134"/>
    <w:multiLevelType w:val="hybridMultilevel"/>
    <w:tmpl w:val="F55C8A7A"/>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2" w15:restartNumberingAfterBreak="0">
    <w:nsid w:val="036F7A16"/>
    <w:multiLevelType w:val="hybridMultilevel"/>
    <w:tmpl w:val="B81EF36C"/>
    <w:lvl w:ilvl="0" w:tplc="0C090001">
      <w:start w:val="1"/>
      <w:numFmt w:val="bullet"/>
      <w:lvlText w:val=""/>
      <w:lvlJc w:val="left"/>
      <w:pPr>
        <w:tabs>
          <w:tab w:val="num" w:pos="7590"/>
        </w:tabs>
        <w:ind w:left="7590" w:hanging="360"/>
      </w:pPr>
      <w:rPr>
        <w:rFonts w:ascii="Symbol" w:hAnsi="Symbol" w:hint="default"/>
      </w:rPr>
    </w:lvl>
    <w:lvl w:ilvl="1" w:tplc="0C090003" w:tentative="1">
      <w:start w:val="1"/>
      <w:numFmt w:val="bullet"/>
      <w:lvlText w:val="o"/>
      <w:lvlJc w:val="left"/>
      <w:pPr>
        <w:ind w:left="8310" w:hanging="360"/>
      </w:pPr>
      <w:rPr>
        <w:rFonts w:ascii="Courier New" w:hAnsi="Courier New" w:hint="default"/>
      </w:rPr>
    </w:lvl>
    <w:lvl w:ilvl="2" w:tplc="0C090005" w:tentative="1">
      <w:start w:val="1"/>
      <w:numFmt w:val="bullet"/>
      <w:lvlText w:val=""/>
      <w:lvlJc w:val="left"/>
      <w:pPr>
        <w:ind w:left="9030" w:hanging="360"/>
      </w:pPr>
      <w:rPr>
        <w:rFonts w:ascii="Wingdings" w:hAnsi="Wingdings" w:hint="default"/>
      </w:rPr>
    </w:lvl>
    <w:lvl w:ilvl="3" w:tplc="0C090001" w:tentative="1">
      <w:start w:val="1"/>
      <w:numFmt w:val="bullet"/>
      <w:lvlText w:val=""/>
      <w:lvlJc w:val="left"/>
      <w:pPr>
        <w:ind w:left="9750" w:hanging="360"/>
      </w:pPr>
      <w:rPr>
        <w:rFonts w:ascii="Symbol" w:hAnsi="Symbol" w:hint="default"/>
      </w:rPr>
    </w:lvl>
    <w:lvl w:ilvl="4" w:tplc="0C090003" w:tentative="1">
      <w:start w:val="1"/>
      <w:numFmt w:val="bullet"/>
      <w:lvlText w:val="o"/>
      <w:lvlJc w:val="left"/>
      <w:pPr>
        <w:ind w:left="10470" w:hanging="360"/>
      </w:pPr>
      <w:rPr>
        <w:rFonts w:ascii="Courier New" w:hAnsi="Courier New" w:hint="default"/>
      </w:rPr>
    </w:lvl>
    <w:lvl w:ilvl="5" w:tplc="0C090005" w:tentative="1">
      <w:start w:val="1"/>
      <w:numFmt w:val="bullet"/>
      <w:lvlText w:val=""/>
      <w:lvlJc w:val="left"/>
      <w:pPr>
        <w:ind w:left="11190" w:hanging="360"/>
      </w:pPr>
      <w:rPr>
        <w:rFonts w:ascii="Wingdings" w:hAnsi="Wingdings" w:hint="default"/>
      </w:rPr>
    </w:lvl>
    <w:lvl w:ilvl="6" w:tplc="0C090001" w:tentative="1">
      <w:start w:val="1"/>
      <w:numFmt w:val="bullet"/>
      <w:lvlText w:val=""/>
      <w:lvlJc w:val="left"/>
      <w:pPr>
        <w:ind w:left="11910" w:hanging="360"/>
      </w:pPr>
      <w:rPr>
        <w:rFonts w:ascii="Symbol" w:hAnsi="Symbol" w:hint="default"/>
      </w:rPr>
    </w:lvl>
    <w:lvl w:ilvl="7" w:tplc="0C090003" w:tentative="1">
      <w:start w:val="1"/>
      <w:numFmt w:val="bullet"/>
      <w:lvlText w:val="o"/>
      <w:lvlJc w:val="left"/>
      <w:pPr>
        <w:ind w:left="12630" w:hanging="360"/>
      </w:pPr>
      <w:rPr>
        <w:rFonts w:ascii="Courier New" w:hAnsi="Courier New" w:hint="default"/>
      </w:rPr>
    </w:lvl>
    <w:lvl w:ilvl="8" w:tplc="0C090005" w:tentative="1">
      <w:start w:val="1"/>
      <w:numFmt w:val="bullet"/>
      <w:lvlText w:val=""/>
      <w:lvlJc w:val="left"/>
      <w:pPr>
        <w:ind w:left="13350" w:hanging="360"/>
      </w:pPr>
      <w:rPr>
        <w:rFonts w:ascii="Wingdings" w:hAnsi="Wingdings" w:hint="default"/>
      </w:rPr>
    </w:lvl>
  </w:abstractNum>
  <w:abstractNum w:abstractNumId="3" w15:restartNumberingAfterBreak="0">
    <w:nsid w:val="08177E21"/>
    <w:multiLevelType w:val="hybridMultilevel"/>
    <w:tmpl w:val="F928374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0B0C0393"/>
    <w:multiLevelType w:val="hybridMultilevel"/>
    <w:tmpl w:val="C03894AE"/>
    <w:lvl w:ilvl="0" w:tplc="0C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5" w15:restartNumberingAfterBreak="0">
    <w:nsid w:val="0BC70ADC"/>
    <w:multiLevelType w:val="hybridMultilevel"/>
    <w:tmpl w:val="7562C6F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0AC3714"/>
    <w:multiLevelType w:val="hybridMultilevel"/>
    <w:tmpl w:val="8DCA0690"/>
    <w:lvl w:ilvl="0" w:tplc="A0AA2072">
      <w:start w:val="1"/>
      <w:numFmt w:val="decimal"/>
      <w:lvlText w:val="%1."/>
      <w:lvlJc w:val="left"/>
      <w:pPr>
        <w:ind w:left="1571" w:hanging="360"/>
      </w:pPr>
      <w:rPr>
        <w:rFonts w:ascii="Calibri" w:hAnsi="Calibri" w:hint="default"/>
        <w:b w:val="0"/>
        <w:i w:val="0"/>
        <w:sz w:val="24"/>
      </w:r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7" w15:restartNumberingAfterBreak="0">
    <w:nsid w:val="15050C8F"/>
    <w:multiLevelType w:val="hybridMultilevel"/>
    <w:tmpl w:val="04F469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5AE7222"/>
    <w:multiLevelType w:val="hybridMultilevel"/>
    <w:tmpl w:val="C9E03A80"/>
    <w:lvl w:ilvl="0" w:tplc="0C090005">
      <w:start w:val="1"/>
      <w:numFmt w:val="bullet"/>
      <w:lvlText w:val=""/>
      <w:lvlJc w:val="left"/>
      <w:pPr>
        <w:ind w:left="2586" w:hanging="360"/>
      </w:pPr>
      <w:rPr>
        <w:rFonts w:ascii="Wingdings" w:hAnsi="Wingdings" w:hint="default"/>
      </w:rPr>
    </w:lvl>
    <w:lvl w:ilvl="1" w:tplc="0C090003">
      <w:start w:val="1"/>
      <w:numFmt w:val="bullet"/>
      <w:lvlText w:val="o"/>
      <w:lvlJc w:val="left"/>
      <w:pPr>
        <w:ind w:left="3306" w:hanging="360"/>
      </w:pPr>
      <w:rPr>
        <w:rFonts w:ascii="Courier New" w:hAnsi="Courier New" w:cs="Courier New" w:hint="default"/>
      </w:rPr>
    </w:lvl>
    <w:lvl w:ilvl="2" w:tplc="0C090005">
      <w:start w:val="1"/>
      <w:numFmt w:val="bullet"/>
      <w:lvlText w:val=""/>
      <w:lvlJc w:val="left"/>
      <w:pPr>
        <w:ind w:left="4026" w:hanging="360"/>
      </w:pPr>
      <w:rPr>
        <w:rFonts w:ascii="Wingdings" w:hAnsi="Wingdings" w:hint="default"/>
      </w:rPr>
    </w:lvl>
    <w:lvl w:ilvl="3" w:tplc="0C090001">
      <w:start w:val="1"/>
      <w:numFmt w:val="bullet"/>
      <w:lvlText w:val=""/>
      <w:lvlJc w:val="left"/>
      <w:pPr>
        <w:ind w:left="4746" w:hanging="360"/>
      </w:pPr>
      <w:rPr>
        <w:rFonts w:ascii="Symbol" w:hAnsi="Symbol" w:hint="default"/>
      </w:rPr>
    </w:lvl>
    <w:lvl w:ilvl="4" w:tplc="0C090003">
      <w:start w:val="1"/>
      <w:numFmt w:val="bullet"/>
      <w:lvlText w:val="o"/>
      <w:lvlJc w:val="left"/>
      <w:pPr>
        <w:ind w:left="5466" w:hanging="360"/>
      </w:pPr>
      <w:rPr>
        <w:rFonts w:ascii="Courier New" w:hAnsi="Courier New" w:cs="Courier New" w:hint="default"/>
      </w:rPr>
    </w:lvl>
    <w:lvl w:ilvl="5" w:tplc="0C090005">
      <w:start w:val="1"/>
      <w:numFmt w:val="bullet"/>
      <w:lvlText w:val=""/>
      <w:lvlJc w:val="left"/>
      <w:pPr>
        <w:ind w:left="6186" w:hanging="360"/>
      </w:pPr>
      <w:rPr>
        <w:rFonts w:ascii="Wingdings" w:hAnsi="Wingdings" w:hint="default"/>
      </w:rPr>
    </w:lvl>
    <w:lvl w:ilvl="6" w:tplc="0C090001">
      <w:start w:val="1"/>
      <w:numFmt w:val="bullet"/>
      <w:lvlText w:val=""/>
      <w:lvlJc w:val="left"/>
      <w:pPr>
        <w:ind w:left="6906" w:hanging="360"/>
      </w:pPr>
      <w:rPr>
        <w:rFonts w:ascii="Symbol" w:hAnsi="Symbol" w:hint="default"/>
      </w:rPr>
    </w:lvl>
    <w:lvl w:ilvl="7" w:tplc="0C090003">
      <w:start w:val="1"/>
      <w:numFmt w:val="bullet"/>
      <w:lvlText w:val="o"/>
      <w:lvlJc w:val="left"/>
      <w:pPr>
        <w:ind w:left="7626" w:hanging="360"/>
      </w:pPr>
      <w:rPr>
        <w:rFonts w:ascii="Courier New" w:hAnsi="Courier New" w:cs="Courier New" w:hint="default"/>
      </w:rPr>
    </w:lvl>
    <w:lvl w:ilvl="8" w:tplc="0C090005">
      <w:start w:val="1"/>
      <w:numFmt w:val="bullet"/>
      <w:lvlText w:val=""/>
      <w:lvlJc w:val="left"/>
      <w:pPr>
        <w:ind w:left="8346" w:hanging="360"/>
      </w:pPr>
      <w:rPr>
        <w:rFonts w:ascii="Wingdings" w:hAnsi="Wingdings" w:hint="default"/>
      </w:rPr>
    </w:lvl>
  </w:abstractNum>
  <w:abstractNum w:abstractNumId="9" w15:restartNumberingAfterBreak="0">
    <w:nsid w:val="162C448A"/>
    <w:multiLevelType w:val="hybridMultilevel"/>
    <w:tmpl w:val="425C4110"/>
    <w:lvl w:ilvl="0" w:tplc="0C090003">
      <w:start w:val="1"/>
      <w:numFmt w:val="bullet"/>
      <w:lvlText w:val="o"/>
      <w:lvlJc w:val="left"/>
      <w:pPr>
        <w:ind w:left="786" w:hanging="360"/>
      </w:pPr>
      <w:rPr>
        <w:rFonts w:ascii="Courier New" w:hAnsi="Courier New" w:cs="Courier New" w:hint="default"/>
      </w:rPr>
    </w:lvl>
    <w:lvl w:ilvl="1" w:tplc="1500ED42">
      <w:start w:val="1"/>
      <w:numFmt w:val="bullet"/>
      <w:pStyle w:val="Headin3"/>
      <w:lvlText w:val="o"/>
      <w:lvlJc w:val="left"/>
      <w:pPr>
        <w:ind w:left="1069" w:hanging="360"/>
      </w:pPr>
      <w:rPr>
        <w:rFonts w:ascii="Courier New" w:hAnsi="Courier New" w:cs="Courier New" w:hint="default"/>
      </w:rPr>
    </w:lvl>
    <w:lvl w:ilvl="2" w:tplc="1C9257EE">
      <w:start w:val="1"/>
      <w:numFmt w:val="bullet"/>
      <w:lvlText w:val=""/>
      <w:lvlJc w:val="left"/>
      <w:pPr>
        <w:ind w:left="2586" w:hanging="360"/>
      </w:pPr>
      <w:rPr>
        <w:rFonts w:ascii="Wingdings" w:hAnsi="Wingdings" w:hint="default"/>
        <w:color w:val="auto"/>
      </w:rPr>
    </w:lvl>
    <w:lvl w:ilvl="3" w:tplc="0C090001">
      <w:start w:val="1"/>
      <w:numFmt w:val="bullet"/>
      <w:lvlText w:val=""/>
      <w:lvlJc w:val="left"/>
      <w:pPr>
        <w:ind w:left="3306" w:hanging="360"/>
      </w:pPr>
      <w:rPr>
        <w:rFonts w:ascii="Symbol" w:hAnsi="Symbol" w:hint="default"/>
      </w:rPr>
    </w:lvl>
    <w:lvl w:ilvl="4" w:tplc="0C090003">
      <w:start w:val="1"/>
      <w:numFmt w:val="bullet"/>
      <w:lvlText w:val="o"/>
      <w:lvlJc w:val="left"/>
      <w:pPr>
        <w:ind w:left="4026" w:hanging="360"/>
      </w:pPr>
      <w:rPr>
        <w:rFonts w:ascii="Courier New" w:hAnsi="Courier New" w:cs="Courier New" w:hint="default"/>
      </w:rPr>
    </w:lvl>
    <w:lvl w:ilvl="5" w:tplc="0C090005">
      <w:start w:val="1"/>
      <w:numFmt w:val="bullet"/>
      <w:lvlText w:val=""/>
      <w:lvlJc w:val="left"/>
      <w:pPr>
        <w:ind w:left="4746" w:hanging="360"/>
      </w:pPr>
      <w:rPr>
        <w:rFonts w:ascii="Wingdings" w:hAnsi="Wingdings" w:hint="default"/>
      </w:rPr>
    </w:lvl>
    <w:lvl w:ilvl="6" w:tplc="0C090001">
      <w:start w:val="1"/>
      <w:numFmt w:val="bullet"/>
      <w:lvlText w:val=""/>
      <w:lvlJc w:val="left"/>
      <w:pPr>
        <w:ind w:left="5466" w:hanging="360"/>
      </w:pPr>
      <w:rPr>
        <w:rFonts w:ascii="Symbol" w:hAnsi="Symbol" w:hint="default"/>
      </w:rPr>
    </w:lvl>
    <w:lvl w:ilvl="7" w:tplc="0C090003">
      <w:start w:val="1"/>
      <w:numFmt w:val="bullet"/>
      <w:lvlText w:val="o"/>
      <w:lvlJc w:val="left"/>
      <w:pPr>
        <w:ind w:left="6186" w:hanging="360"/>
      </w:pPr>
      <w:rPr>
        <w:rFonts w:ascii="Courier New" w:hAnsi="Courier New" w:cs="Courier New" w:hint="default"/>
      </w:rPr>
    </w:lvl>
    <w:lvl w:ilvl="8" w:tplc="0C090005">
      <w:start w:val="1"/>
      <w:numFmt w:val="bullet"/>
      <w:lvlText w:val=""/>
      <w:lvlJc w:val="left"/>
      <w:pPr>
        <w:ind w:left="6906" w:hanging="360"/>
      </w:pPr>
      <w:rPr>
        <w:rFonts w:ascii="Wingdings" w:hAnsi="Wingdings" w:hint="default"/>
      </w:rPr>
    </w:lvl>
  </w:abstractNum>
  <w:abstractNum w:abstractNumId="10" w15:restartNumberingAfterBreak="0">
    <w:nsid w:val="163234E9"/>
    <w:multiLevelType w:val="hybridMultilevel"/>
    <w:tmpl w:val="2EC23B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1" w15:restartNumberingAfterBreak="0">
    <w:nsid w:val="19587706"/>
    <w:multiLevelType w:val="hybridMultilevel"/>
    <w:tmpl w:val="CBF4D066"/>
    <w:lvl w:ilvl="0" w:tplc="0C090003">
      <w:start w:val="1"/>
      <w:numFmt w:val="bullet"/>
      <w:lvlText w:val="o"/>
      <w:lvlJc w:val="left"/>
      <w:pPr>
        <w:ind w:left="0" w:hanging="360"/>
      </w:pPr>
      <w:rPr>
        <w:rFonts w:ascii="Courier New" w:hAnsi="Courier New" w:cs="Courier New" w:hint="default"/>
      </w:rPr>
    </w:lvl>
    <w:lvl w:ilvl="1" w:tplc="0C090003">
      <w:start w:val="1"/>
      <w:numFmt w:val="bullet"/>
      <w:lvlText w:val="o"/>
      <w:lvlJc w:val="left"/>
      <w:pPr>
        <w:ind w:left="720" w:hanging="360"/>
      </w:pPr>
      <w:rPr>
        <w:rFonts w:ascii="Courier New" w:hAnsi="Courier New" w:cs="Courier New" w:hint="default"/>
      </w:rPr>
    </w:lvl>
    <w:lvl w:ilvl="2" w:tplc="0C090005">
      <w:start w:val="1"/>
      <w:numFmt w:val="bullet"/>
      <w:lvlText w:val=""/>
      <w:lvlJc w:val="left"/>
      <w:pPr>
        <w:ind w:left="1440" w:hanging="360"/>
      </w:pPr>
      <w:rPr>
        <w:rFonts w:ascii="Wingdings" w:hAnsi="Wingdings" w:hint="default"/>
      </w:rPr>
    </w:lvl>
    <w:lvl w:ilvl="3" w:tplc="0C090001">
      <w:start w:val="1"/>
      <w:numFmt w:val="bullet"/>
      <w:lvlText w:val=""/>
      <w:lvlJc w:val="left"/>
      <w:pPr>
        <w:ind w:left="2160" w:hanging="360"/>
      </w:pPr>
      <w:rPr>
        <w:rFonts w:ascii="Symbol" w:hAnsi="Symbol" w:hint="default"/>
      </w:rPr>
    </w:lvl>
    <w:lvl w:ilvl="4" w:tplc="0C090003">
      <w:start w:val="1"/>
      <w:numFmt w:val="bullet"/>
      <w:lvlText w:val="o"/>
      <w:lvlJc w:val="left"/>
      <w:pPr>
        <w:ind w:left="2880" w:hanging="360"/>
      </w:pPr>
      <w:rPr>
        <w:rFonts w:ascii="Courier New" w:hAnsi="Courier New" w:cs="Courier New" w:hint="default"/>
      </w:rPr>
    </w:lvl>
    <w:lvl w:ilvl="5" w:tplc="0C090005">
      <w:start w:val="1"/>
      <w:numFmt w:val="bullet"/>
      <w:lvlText w:val=""/>
      <w:lvlJc w:val="left"/>
      <w:pPr>
        <w:ind w:left="3600" w:hanging="360"/>
      </w:pPr>
      <w:rPr>
        <w:rFonts w:ascii="Wingdings" w:hAnsi="Wingdings" w:hint="default"/>
      </w:rPr>
    </w:lvl>
    <w:lvl w:ilvl="6" w:tplc="0C090001">
      <w:start w:val="1"/>
      <w:numFmt w:val="bullet"/>
      <w:lvlText w:val=""/>
      <w:lvlJc w:val="left"/>
      <w:pPr>
        <w:ind w:left="4320" w:hanging="360"/>
      </w:pPr>
      <w:rPr>
        <w:rFonts w:ascii="Symbol" w:hAnsi="Symbol" w:hint="default"/>
      </w:rPr>
    </w:lvl>
    <w:lvl w:ilvl="7" w:tplc="0C090003">
      <w:start w:val="1"/>
      <w:numFmt w:val="bullet"/>
      <w:lvlText w:val="o"/>
      <w:lvlJc w:val="left"/>
      <w:pPr>
        <w:ind w:left="5040" w:hanging="360"/>
      </w:pPr>
      <w:rPr>
        <w:rFonts w:ascii="Courier New" w:hAnsi="Courier New" w:cs="Courier New" w:hint="default"/>
      </w:rPr>
    </w:lvl>
    <w:lvl w:ilvl="8" w:tplc="0C090005">
      <w:start w:val="1"/>
      <w:numFmt w:val="bullet"/>
      <w:lvlText w:val=""/>
      <w:lvlJc w:val="left"/>
      <w:pPr>
        <w:ind w:left="5760" w:hanging="360"/>
      </w:pPr>
      <w:rPr>
        <w:rFonts w:ascii="Wingdings" w:hAnsi="Wingdings" w:hint="default"/>
      </w:rPr>
    </w:lvl>
  </w:abstractNum>
  <w:abstractNum w:abstractNumId="12" w15:restartNumberingAfterBreak="0">
    <w:nsid w:val="1E6D7DF6"/>
    <w:multiLevelType w:val="hybridMultilevel"/>
    <w:tmpl w:val="410CB9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743D0B"/>
    <w:multiLevelType w:val="hybridMultilevel"/>
    <w:tmpl w:val="45AAFA2C"/>
    <w:lvl w:ilvl="0" w:tplc="0C090001">
      <w:start w:val="1"/>
      <w:numFmt w:val="bullet"/>
      <w:lvlText w:val=""/>
      <w:lvlJc w:val="left"/>
      <w:pPr>
        <w:ind w:left="1494"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4E80CE7"/>
    <w:multiLevelType w:val="hybridMultilevel"/>
    <w:tmpl w:val="5486ED6C"/>
    <w:lvl w:ilvl="0" w:tplc="0C090003">
      <w:start w:val="1"/>
      <w:numFmt w:val="bullet"/>
      <w:lvlText w:val="o"/>
      <w:lvlJc w:val="left"/>
      <w:pPr>
        <w:ind w:left="720" w:hanging="360"/>
      </w:pPr>
      <w:rPr>
        <w:rFonts w:ascii="Courier New" w:hAnsi="Courier New" w:cs="Courier New"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1352"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369541B0"/>
    <w:multiLevelType w:val="hybridMultilevel"/>
    <w:tmpl w:val="6E2621D0"/>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6F804F0"/>
    <w:multiLevelType w:val="hybridMultilevel"/>
    <w:tmpl w:val="45E4D0B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47C45DC8"/>
    <w:multiLevelType w:val="hybridMultilevel"/>
    <w:tmpl w:val="28268A8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8" w15:restartNumberingAfterBreak="0">
    <w:nsid w:val="4E815FF8"/>
    <w:multiLevelType w:val="hybridMultilevel"/>
    <w:tmpl w:val="D3CAA554"/>
    <w:lvl w:ilvl="0" w:tplc="0C090001">
      <w:start w:val="1"/>
      <w:numFmt w:val="bullet"/>
      <w:lvlText w:val=""/>
      <w:lvlJc w:val="left"/>
      <w:pPr>
        <w:ind w:left="417" w:hanging="360"/>
      </w:pPr>
      <w:rPr>
        <w:rFonts w:ascii="Symbol" w:hAnsi="Symbol" w:hint="default"/>
      </w:rPr>
    </w:lvl>
    <w:lvl w:ilvl="1" w:tplc="0C090003" w:tentative="1">
      <w:start w:val="1"/>
      <w:numFmt w:val="bullet"/>
      <w:lvlText w:val="o"/>
      <w:lvlJc w:val="left"/>
      <w:pPr>
        <w:ind w:left="1137" w:hanging="360"/>
      </w:pPr>
      <w:rPr>
        <w:rFonts w:ascii="Courier New" w:hAnsi="Courier New" w:cs="Courier New" w:hint="default"/>
      </w:rPr>
    </w:lvl>
    <w:lvl w:ilvl="2" w:tplc="0C090005" w:tentative="1">
      <w:start w:val="1"/>
      <w:numFmt w:val="bullet"/>
      <w:lvlText w:val=""/>
      <w:lvlJc w:val="left"/>
      <w:pPr>
        <w:ind w:left="1857" w:hanging="360"/>
      </w:pPr>
      <w:rPr>
        <w:rFonts w:ascii="Wingdings" w:hAnsi="Wingdings" w:hint="default"/>
      </w:rPr>
    </w:lvl>
    <w:lvl w:ilvl="3" w:tplc="0C090001" w:tentative="1">
      <w:start w:val="1"/>
      <w:numFmt w:val="bullet"/>
      <w:lvlText w:val=""/>
      <w:lvlJc w:val="left"/>
      <w:pPr>
        <w:ind w:left="2577" w:hanging="360"/>
      </w:pPr>
      <w:rPr>
        <w:rFonts w:ascii="Symbol" w:hAnsi="Symbol" w:hint="default"/>
      </w:rPr>
    </w:lvl>
    <w:lvl w:ilvl="4" w:tplc="0C090003" w:tentative="1">
      <w:start w:val="1"/>
      <w:numFmt w:val="bullet"/>
      <w:lvlText w:val="o"/>
      <w:lvlJc w:val="left"/>
      <w:pPr>
        <w:ind w:left="3297" w:hanging="360"/>
      </w:pPr>
      <w:rPr>
        <w:rFonts w:ascii="Courier New" w:hAnsi="Courier New" w:cs="Courier New" w:hint="default"/>
      </w:rPr>
    </w:lvl>
    <w:lvl w:ilvl="5" w:tplc="0C090005" w:tentative="1">
      <w:start w:val="1"/>
      <w:numFmt w:val="bullet"/>
      <w:lvlText w:val=""/>
      <w:lvlJc w:val="left"/>
      <w:pPr>
        <w:ind w:left="4017" w:hanging="360"/>
      </w:pPr>
      <w:rPr>
        <w:rFonts w:ascii="Wingdings" w:hAnsi="Wingdings" w:hint="default"/>
      </w:rPr>
    </w:lvl>
    <w:lvl w:ilvl="6" w:tplc="0C090001" w:tentative="1">
      <w:start w:val="1"/>
      <w:numFmt w:val="bullet"/>
      <w:lvlText w:val=""/>
      <w:lvlJc w:val="left"/>
      <w:pPr>
        <w:ind w:left="4737" w:hanging="360"/>
      </w:pPr>
      <w:rPr>
        <w:rFonts w:ascii="Symbol" w:hAnsi="Symbol" w:hint="default"/>
      </w:rPr>
    </w:lvl>
    <w:lvl w:ilvl="7" w:tplc="0C090003" w:tentative="1">
      <w:start w:val="1"/>
      <w:numFmt w:val="bullet"/>
      <w:lvlText w:val="o"/>
      <w:lvlJc w:val="left"/>
      <w:pPr>
        <w:ind w:left="5457" w:hanging="360"/>
      </w:pPr>
      <w:rPr>
        <w:rFonts w:ascii="Courier New" w:hAnsi="Courier New" w:cs="Courier New" w:hint="default"/>
      </w:rPr>
    </w:lvl>
    <w:lvl w:ilvl="8" w:tplc="0C090005" w:tentative="1">
      <w:start w:val="1"/>
      <w:numFmt w:val="bullet"/>
      <w:lvlText w:val=""/>
      <w:lvlJc w:val="left"/>
      <w:pPr>
        <w:ind w:left="6177" w:hanging="360"/>
      </w:pPr>
      <w:rPr>
        <w:rFonts w:ascii="Wingdings" w:hAnsi="Wingdings" w:hint="default"/>
      </w:rPr>
    </w:lvl>
  </w:abstractNum>
  <w:abstractNum w:abstractNumId="19" w15:restartNumberingAfterBreak="0">
    <w:nsid w:val="4E9E4E6C"/>
    <w:multiLevelType w:val="hybridMultilevel"/>
    <w:tmpl w:val="AE7C582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4F47239D"/>
    <w:multiLevelType w:val="hybridMultilevel"/>
    <w:tmpl w:val="01EAC7E0"/>
    <w:lvl w:ilvl="0" w:tplc="0C090005">
      <w:start w:val="1"/>
      <w:numFmt w:val="bullet"/>
      <w:lvlText w:val=""/>
      <w:lvlJc w:val="left"/>
      <w:pPr>
        <w:ind w:left="1146" w:hanging="360"/>
      </w:pPr>
      <w:rPr>
        <w:rFonts w:ascii="Wingdings" w:hAnsi="Wingdings" w:hint="default"/>
      </w:rPr>
    </w:lvl>
    <w:lvl w:ilvl="1" w:tplc="FFFFFFFF">
      <w:start w:val="1"/>
      <w:numFmt w:val="bullet"/>
      <w:lvlText w:val="o"/>
      <w:lvlJc w:val="left"/>
      <w:pPr>
        <w:ind w:left="1866" w:hanging="360"/>
      </w:pPr>
      <w:rPr>
        <w:rFonts w:ascii="Courier New" w:hAnsi="Courier New" w:cs="Courier New" w:hint="default"/>
      </w:rPr>
    </w:lvl>
    <w:lvl w:ilvl="2" w:tplc="FFFFFFFF">
      <w:start w:val="1"/>
      <w:numFmt w:val="bullet"/>
      <w:lvlText w:val=""/>
      <w:lvlJc w:val="left"/>
      <w:pPr>
        <w:ind w:left="2586" w:hanging="360"/>
      </w:pPr>
      <w:rPr>
        <w:rFonts w:ascii="Wingdings" w:hAnsi="Wingdings" w:hint="default"/>
      </w:rPr>
    </w:lvl>
    <w:lvl w:ilvl="3" w:tplc="FFFFFFFF">
      <w:start w:val="1"/>
      <w:numFmt w:val="bullet"/>
      <w:lvlText w:val=""/>
      <w:lvlJc w:val="left"/>
      <w:pPr>
        <w:ind w:left="3306" w:hanging="360"/>
      </w:pPr>
      <w:rPr>
        <w:rFonts w:ascii="Symbol" w:hAnsi="Symbol" w:hint="default"/>
      </w:rPr>
    </w:lvl>
    <w:lvl w:ilvl="4" w:tplc="FFFFFFFF">
      <w:start w:val="1"/>
      <w:numFmt w:val="bullet"/>
      <w:lvlText w:val="o"/>
      <w:lvlJc w:val="left"/>
      <w:pPr>
        <w:ind w:left="4026" w:hanging="360"/>
      </w:pPr>
      <w:rPr>
        <w:rFonts w:ascii="Courier New" w:hAnsi="Courier New" w:cs="Courier New" w:hint="default"/>
      </w:rPr>
    </w:lvl>
    <w:lvl w:ilvl="5" w:tplc="FFFFFFFF">
      <w:start w:val="1"/>
      <w:numFmt w:val="bullet"/>
      <w:lvlText w:val=""/>
      <w:lvlJc w:val="left"/>
      <w:pPr>
        <w:ind w:left="4746" w:hanging="360"/>
      </w:pPr>
      <w:rPr>
        <w:rFonts w:ascii="Wingdings" w:hAnsi="Wingdings" w:hint="default"/>
      </w:rPr>
    </w:lvl>
    <w:lvl w:ilvl="6" w:tplc="FFFFFFFF">
      <w:start w:val="1"/>
      <w:numFmt w:val="bullet"/>
      <w:lvlText w:val=""/>
      <w:lvlJc w:val="left"/>
      <w:pPr>
        <w:ind w:left="5466" w:hanging="360"/>
      </w:pPr>
      <w:rPr>
        <w:rFonts w:ascii="Symbol" w:hAnsi="Symbol" w:hint="default"/>
      </w:rPr>
    </w:lvl>
    <w:lvl w:ilvl="7" w:tplc="FFFFFFFF">
      <w:start w:val="1"/>
      <w:numFmt w:val="bullet"/>
      <w:lvlText w:val="o"/>
      <w:lvlJc w:val="left"/>
      <w:pPr>
        <w:ind w:left="6186" w:hanging="360"/>
      </w:pPr>
      <w:rPr>
        <w:rFonts w:ascii="Courier New" w:hAnsi="Courier New" w:cs="Courier New" w:hint="default"/>
      </w:rPr>
    </w:lvl>
    <w:lvl w:ilvl="8" w:tplc="FFFFFFFF">
      <w:start w:val="1"/>
      <w:numFmt w:val="bullet"/>
      <w:lvlText w:val=""/>
      <w:lvlJc w:val="left"/>
      <w:pPr>
        <w:ind w:left="6906" w:hanging="360"/>
      </w:pPr>
      <w:rPr>
        <w:rFonts w:ascii="Wingdings" w:hAnsi="Wingdings" w:hint="default"/>
      </w:rPr>
    </w:lvl>
  </w:abstractNum>
  <w:abstractNum w:abstractNumId="21" w15:restartNumberingAfterBreak="0">
    <w:nsid w:val="570239FF"/>
    <w:multiLevelType w:val="hybridMultilevel"/>
    <w:tmpl w:val="54D4D266"/>
    <w:lvl w:ilvl="0" w:tplc="0C090001">
      <w:start w:val="1"/>
      <w:numFmt w:val="bullet"/>
      <w:lvlText w:val=""/>
      <w:lvlJc w:val="left"/>
      <w:pPr>
        <w:ind w:left="1146" w:hanging="360"/>
      </w:pPr>
      <w:rPr>
        <w:rFonts w:ascii="Symbol" w:hAnsi="Symbol" w:hint="default"/>
      </w:rPr>
    </w:lvl>
    <w:lvl w:ilvl="1" w:tplc="0C090003">
      <w:start w:val="1"/>
      <w:numFmt w:val="bullet"/>
      <w:lvlText w:val="o"/>
      <w:lvlJc w:val="left"/>
      <w:pPr>
        <w:ind w:left="1866" w:hanging="360"/>
      </w:pPr>
      <w:rPr>
        <w:rFonts w:ascii="Courier New" w:hAnsi="Courier New" w:cs="Courier New" w:hint="default"/>
      </w:rPr>
    </w:lvl>
    <w:lvl w:ilvl="2" w:tplc="0C090005">
      <w:start w:val="1"/>
      <w:numFmt w:val="bullet"/>
      <w:lvlText w:val=""/>
      <w:lvlJc w:val="left"/>
      <w:pPr>
        <w:ind w:left="2586" w:hanging="360"/>
      </w:pPr>
      <w:rPr>
        <w:rFonts w:ascii="Wingdings" w:hAnsi="Wingdings" w:hint="default"/>
      </w:rPr>
    </w:lvl>
    <w:lvl w:ilvl="3" w:tplc="0C090001">
      <w:start w:val="1"/>
      <w:numFmt w:val="bullet"/>
      <w:lvlText w:val=""/>
      <w:lvlJc w:val="left"/>
      <w:pPr>
        <w:ind w:left="3306" w:hanging="360"/>
      </w:pPr>
      <w:rPr>
        <w:rFonts w:ascii="Symbol" w:hAnsi="Symbol" w:hint="default"/>
      </w:rPr>
    </w:lvl>
    <w:lvl w:ilvl="4" w:tplc="0C090003">
      <w:start w:val="1"/>
      <w:numFmt w:val="bullet"/>
      <w:lvlText w:val="o"/>
      <w:lvlJc w:val="left"/>
      <w:pPr>
        <w:ind w:left="4026" w:hanging="360"/>
      </w:pPr>
      <w:rPr>
        <w:rFonts w:ascii="Courier New" w:hAnsi="Courier New" w:cs="Courier New" w:hint="default"/>
      </w:rPr>
    </w:lvl>
    <w:lvl w:ilvl="5" w:tplc="0C090005">
      <w:start w:val="1"/>
      <w:numFmt w:val="bullet"/>
      <w:lvlText w:val=""/>
      <w:lvlJc w:val="left"/>
      <w:pPr>
        <w:ind w:left="4746" w:hanging="360"/>
      </w:pPr>
      <w:rPr>
        <w:rFonts w:ascii="Wingdings" w:hAnsi="Wingdings" w:hint="default"/>
      </w:rPr>
    </w:lvl>
    <w:lvl w:ilvl="6" w:tplc="0C090001">
      <w:start w:val="1"/>
      <w:numFmt w:val="bullet"/>
      <w:lvlText w:val=""/>
      <w:lvlJc w:val="left"/>
      <w:pPr>
        <w:ind w:left="5466" w:hanging="360"/>
      </w:pPr>
      <w:rPr>
        <w:rFonts w:ascii="Symbol" w:hAnsi="Symbol" w:hint="default"/>
      </w:rPr>
    </w:lvl>
    <w:lvl w:ilvl="7" w:tplc="0C090003">
      <w:start w:val="1"/>
      <w:numFmt w:val="bullet"/>
      <w:lvlText w:val="o"/>
      <w:lvlJc w:val="left"/>
      <w:pPr>
        <w:ind w:left="6186" w:hanging="360"/>
      </w:pPr>
      <w:rPr>
        <w:rFonts w:ascii="Courier New" w:hAnsi="Courier New" w:cs="Courier New" w:hint="default"/>
      </w:rPr>
    </w:lvl>
    <w:lvl w:ilvl="8" w:tplc="0C090005">
      <w:start w:val="1"/>
      <w:numFmt w:val="bullet"/>
      <w:lvlText w:val=""/>
      <w:lvlJc w:val="left"/>
      <w:pPr>
        <w:ind w:left="6906" w:hanging="360"/>
      </w:pPr>
      <w:rPr>
        <w:rFonts w:ascii="Wingdings" w:hAnsi="Wingdings" w:hint="default"/>
      </w:rPr>
    </w:lvl>
  </w:abstractNum>
  <w:abstractNum w:abstractNumId="22" w15:restartNumberingAfterBreak="0">
    <w:nsid w:val="57F767F1"/>
    <w:multiLevelType w:val="hybridMultilevel"/>
    <w:tmpl w:val="B2920CC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3" w15:restartNumberingAfterBreak="0">
    <w:nsid w:val="62053245"/>
    <w:multiLevelType w:val="hybridMultilevel"/>
    <w:tmpl w:val="91C822F4"/>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63000F2"/>
    <w:multiLevelType w:val="hybridMultilevel"/>
    <w:tmpl w:val="34506DE2"/>
    <w:lvl w:ilvl="0" w:tplc="0C090003">
      <w:start w:val="1"/>
      <w:numFmt w:val="bullet"/>
      <w:lvlText w:val="o"/>
      <w:lvlJc w:val="left"/>
      <w:pPr>
        <w:ind w:left="1080" w:hanging="360"/>
      </w:pPr>
      <w:rPr>
        <w:rFonts w:ascii="Courier New" w:hAnsi="Courier New" w:cs="Courier New"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5" w15:restartNumberingAfterBreak="0">
    <w:nsid w:val="683C174D"/>
    <w:multiLevelType w:val="hybridMultilevel"/>
    <w:tmpl w:val="1BE801E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6" w15:restartNumberingAfterBreak="0">
    <w:nsid w:val="79837006"/>
    <w:multiLevelType w:val="hybridMultilevel"/>
    <w:tmpl w:val="EDB6E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7B9D1C4E"/>
    <w:multiLevelType w:val="hybridMultilevel"/>
    <w:tmpl w:val="295886E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648246630">
    <w:abstractNumId w:val="0"/>
  </w:num>
  <w:num w:numId="2" w16cid:durableId="1286038061">
    <w:abstractNumId w:val="2"/>
  </w:num>
  <w:num w:numId="3" w16cid:durableId="1706251481">
    <w:abstractNumId w:val="26"/>
  </w:num>
  <w:num w:numId="4" w16cid:durableId="116606022">
    <w:abstractNumId w:val="7"/>
  </w:num>
  <w:num w:numId="5" w16cid:durableId="1637220558">
    <w:abstractNumId w:val="12"/>
  </w:num>
  <w:num w:numId="6" w16cid:durableId="1762339127">
    <w:abstractNumId w:val="6"/>
  </w:num>
  <w:num w:numId="7" w16cid:durableId="1999193006">
    <w:abstractNumId w:val="27"/>
  </w:num>
  <w:num w:numId="8" w16cid:durableId="914436922">
    <w:abstractNumId w:val="18"/>
  </w:num>
  <w:num w:numId="9" w16cid:durableId="1893612958">
    <w:abstractNumId w:val="17"/>
  </w:num>
  <w:num w:numId="10" w16cid:durableId="1440832745">
    <w:abstractNumId w:val="17"/>
  </w:num>
  <w:num w:numId="11" w16cid:durableId="360520907">
    <w:abstractNumId w:val="1"/>
  </w:num>
  <w:num w:numId="12" w16cid:durableId="1095632851">
    <w:abstractNumId w:val="10"/>
  </w:num>
  <w:num w:numId="13" w16cid:durableId="1585794822">
    <w:abstractNumId w:val="14"/>
  </w:num>
  <w:num w:numId="14" w16cid:durableId="1608583671">
    <w:abstractNumId w:val="0"/>
  </w:num>
  <w:num w:numId="15" w16cid:durableId="406541138">
    <w:abstractNumId w:val="11"/>
  </w:num>
  <w:num w:numId="16" w16cid:durableId="145629235">
    <w:abstractNumId w:val="9"/>
  </w:num>
  <w:num w:numId="17" w16cid:durableId="1751153625">
    <w:abstractNumId w:val="8"/>
  </w:num>
  <w:num w:numId="18" w16cid:durableId="492525987">
    <w:abstractNumId w:val="21"/>
  </w:num>
  <w:num w:numId="19" w16cid:durableId="261185883">
    <w:abstractNumId w:val="25"/>
  </w:num>
  <w:num w:numId="20" w16cid:durableId="1401634953">
    <w:abstractNumId w:val="22"/>
  </w:num>
  <w:num w:numId="21" w16cid:durableId="896621415">
    <w:abstractNumId w:val="5"/>
  </w:num>
  <w:num w:numId="22" w16cid:durableId="1022122641">
    <w:abstractNumId w:val="3"/>
  </w:num>
  <w:num w:numId="23" w16cid:durableId="1742024673">
    <w:abstractNumId w:val="19"/>
  </w:num>
  <w:num w:numId="24" w16cid:durableId="5543155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938097605">
    <w:abstractNumId w:val="20"/>
  </w:num>
  <w:num w:numId="26" w16cid:durableId="49111569">
    <w:abstractNumId w:val="24"/>
  </w:num>
  <w:num w:numId="27" w16cid:durableId="1153257396">
    <w:abstractNumId w:val="4"/>
  </w:num>
  <w:num w:numId="28" w16cid:durableId="1180781690">
    <w:abstractNumId w:val="13"/>
  </w:num>
  <w:num w:numId="29" w16cid:durableId="548305065">
    <w:abstractNumId w:val="15"/>
  </w:num>
  <w:num w:numId="30" w16cid:durableId="182612390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6904"/>
    <w:rsid w:val="00010E74"/>
    <w:rsid w:val="000121C3"/>
    <w:rsid w:val="00015B90"/>
    <w:rsid w:val="0001607A"/>
    <w:rsid w:val="000728F3"/>
    <w:rsid w:val="00084F3D"/>
    <w:rsid w:val="000A3D5E"/>
    <w:rsid w:val="000B5C8C"/>
    <w:rsid w:val="000C59E2"/>
    <w:rsid w:val="000C7B2D"/>
    <w:rsid w:val="000F7B7E"/>
    <w:rsid w:val="0010015B"/>
    <w:rsid w:val="00103EEA"/>
    <w:rsid w:val="00153FB3"/>
    <w:rsid w:val="001670BB"/>
    <w:rsid w:val="0018239D"/>
    <w:rsid w:val="00191109"/>
    <w:rsid w:val="001A0053"/>
    <w:rsid w:val="001B2465"/>
    <w:rsid w:val="001C4B42"/>
    <w:rsid w:val="001D20EB"/>
    <w:rsid w:val="001E64DB"/>
    <w:rsid w:val="001F2829"/>
    <w:rsid w:val="001F2C50"/>
    <w:rsid w:val="001F486C"/>
    <w:rsid w:val="001F6D2D"/>
    <w:rsid w:val="00205AF9"/>
    <w:rsid w:val="00240521"/>
    <w:rsid w:val="00240B97"/>
    <w:rsid w:val="0025382D"/>
    <w:rsid w:val="00253F5A"/>
    <w:rsid w:val="00263BA6"/>
    <w:rsid w:val="00266379"/>
    <w:rsid w:val="0026690C"/>
    <w:rsid w:val="0027264D"/>
    <w:rsid w:val="002844F4"/>
    <w:rsid w:val="00293E43"/>
    <w:rsid w:val="002B478A"/>
    <w:rsid w:val="002B5F43"/>
    <w:rsid w:val="002C05A8"/>
    <w:rsid w:val="002D70E1"/>
    <w:rsid w:val="002F7AFC"/>
    <w:rsid w:val="00313707"/>
    <w:rsid w:val="00376A6D"/>
    <w:rsid w:val="00380B98"/>
    <w:rsid w:val="00396023"/>
    <w:rsid w:val="00396F11"/>
    <w:rsid w:val="003C4BB5"/>
    <w:rsid w:val="003E167B"/>
    <w:rsid w:val="003E3BE1"/>
    <w:rsid w:val="003E4CC0"/>
    <w:rsid w:val="003F3D8F"/>
    <w:rsid w:val="00412CED"/>
    <w:rsid w:val="00427139"/>
    <w:rsid w:val="004358E9"/>
    <w:rsid w:val="00447B55"/>
    <w:rsid w:val="00465C91"/>
    <w:rsid w:val="00470E63"/>
    <w:rsid w:val="00471C74"/>
    <w:rsid w:val="00487DD5"/>
    <w:rsid w:val="004A2E02"/>
    <w:rsid w:val="004A6A76"/>
    <w:rsid w:val="004B4E8B"/>
    <w:rsid w:val="004B7C43"/>
    <w:rsid w:val="004C2B20"/>
    <w:rsid w:val="004E28AD"/>
    <w:rsid w:val="004F1D05"/>
    <w:rsid w:val="0050147B"/>
    <w:rsid w:val="00503F75"/>
    <w:rsid w:val="0052443C"/>
    <w:rsid w:val="0052775E"/>
    <w:rsid w:val="00542514"/>
    <w:rsid w:val="00546AED"/>
    <w:rsid w:val="00553B8A"/>
    <w:rsid w:val="005621E4"/>
    <w:rsid w:val="005736DB"/>
    <w:rsid w:val="005743AC"/>
    <w:rsid w:val="00596FD7"/>
    <w:rsid w:val="005A060C"/>
    <w:rsid w:val="005A3625"/>
    <w:rsid w:val="005B3B72"/>
    <w:rsid w:val="005B4738"/>
    <w:rsid w:val="005C06C7"/>
    <w:rsid w:val="005C212D"/>
    <w:rsid w:val="005C3CB0"/>
    <w:rsid w:val="00612231"/>
    <w:rsid w:val="00614380"/>
    <w:rsid w:val="00633C8D"/>
    <w:rsid w:val="00635EB1"/>
    <w:rsid w:val="006473BB"/>
    <w:rsid w:val="0065246A"/>
    <w:rsid w:val="0066495D"/>
    <w:rsid w:val="00667F65"/>
    <w:rsid w:val="006743DB"/>
    <w:rsid w:val="00695EB6"/>
    <w:rsid w:val="006A4D46"/>
    <w:rsid w:val="006A6024"/>
    <w:rsid w:val="006C31FF"/>
    <w:rsid w:val="006C6B6C"/>
    <w:rsid w:val="006C704D"/>
    <w:rsid w:val="0070331D"/>
    <w:rsid w:val="0070511E"/>
    <w:rsid w:val="007248C4"/>
    <w:rsid w:val="00741B43"/>
    <w:rsid w:val="00752315"/>
    <w:rsid w:val="00756537"/>
    <w:rsid w:val="00775280"/>
    <w:rsid w:val="007A0EBC"/>
    <w:rsid w:val="007B4ABB"/>
    <w:rsid w:val="007B6904"/>
    <w:rsid w:val="00816782"/>
    <w:rsid w:val="00817AF3"/>
    <w:rsid w:val="0082141D"/>
    <w:rsid w:val="00827F24"/>
    <w:rsid w:val="00855DA8"/>
    <w:rsid w:val="00865480"/>
    <w:rsid w:val="008732E4"/>
    <w:rsid w:val="00886399"/>
    <w:rsid w:val="008974CA"/>
    <w:rsid w:val="008D0CBA"/>
    <w:rsid w:val="008E1F7F"/>
    <w:rsid w:val="008E3427"/>
    <w:rsid w:val="008E74FD"/>
    <w:rsid w:val="008E7509"/>
    <w:rsid w:val="008F00E8"/>
    <w:rsid w:val="008F2403"/>
    <w:rsid w:val="008F6921"/>
    <w:rsid w:val="008F7486"/>
    <w:rsid w:val="009206C8"/>
    <w:rsid w:val="00933EED"/>
    <w:rsid w:val="00940CDE"/>
    <w:rsid w:val="00942185"/>
    <w:rsid w:val="0097742A"/>
    <w:rsid w:val="00980AE7"/>
    <w:rsid w:val="00980EED"/>
    <w:rsid w:val="0098312B"/>
    <w:rsid w:val="0098579F"/>
    <w:rsid w:val="00986F66"/>
    <w:rsid w:val="00991670"/>
    <w:rsid w:val="009A534C"/>
    <w:rsid w:val="009B0E44"/>
    <w:rsid w:val="009B4A8F"/>
    <w:rsid w:val="009B6C8C"/>
    <w:rsid w:val="009B6F42"/>
    <w:rsid w:val="009C0FCA"/>
    <w:rsid w:val="009C3963"/>
    <w:rsid w:val="009D323C"/>
    <w:rsid w:val="009F228F"/>
    <w:rsid w:val="009F62AD"/>
    <w:rsid w:val="00A063FE"/>
    <w:rsid w:val="00A13087"/>
    <w:rsid w:val="00A168D0"/>
    <w:rsid w:val="00A3469C"/>
    <w:rsid w:val="00A350E5"/>
    <w:rsid w:val="00A35E2D"/>
    <w:rsid w:val="00A74B8A"/>
    <w:rsid w:val="00A85F61"/>
    <w:rsid w:val="00A86A9D"/>
    <w:rsid w:val="00A86DB3"/>
    <w:rsid w:val="00A939DF"/>
    <w:rsid w:val="00AA25DC"/>
    <w:rsid w:val="00AD3F5B"/>
    <w:rsid w:val="00B10F87"/>
    <w:rsid w:val="00B11471"/>
    <w:rsid w:val="00B17115"/>
    <w:rsid w:val="00B208FE"/>
    <w:rsid w:val="00B21043"/>
    <w:rsid w:val="00B30DA2"/>
    <w:rsid w:val="00B44CAC"/>
    <w:rsid w:val="00B453FC"/>
    <w:rsid w:val="00B573D6"/>
    <w:rsid w:val="00B61F35"/>
    <w:rsid w:val="00B634F1"/>
    <w:rsid w:val="00B81455"/>
    <w:rsid w:val="00B9627F"/>
    <w:rsid w:val="00BA0A1B"/>
    <w:rsid w:val="00BA2415"/>
    <w:rsid w:val="00BA4F95"/>
    <w:rsid w:val="00BA5B60"/>
    <w:rsid w:val="00BB33F9"/>
    <w:rsid w:val="00BC3CE6"/>
    <w:rsid w:val="00BD03DB"/>
    <w:rsid w:val="00BE257A"/>
    <w:rsid w:val="00BE5E41"/>
    <w:rsid w:val="00C01D3B"/>
    <w:rsid w:val="00C13D33"/>
    <w:rsid w:val="00C24EDC"/>
    <w:rsid w:val="00C25220"/>
    <w:rsid w:val="00C25A76"/>
    <w:rsid w:val="00C31BD5"/>
    <w:rsid w:val="00C32206"/>
    <w:rsid w:val="00C45B40"/>
    <w:rsid w:val="00C45C67"/>
    <w:rsid w:val="00C523FF"/>
    <w:rsid w:val="00C532D4"/>
    <w:rsid w:val="00C606F3"/>
    <w:rsid w:val="00C71C3C"/>
    <w:rsid w:val="00C9490E"/>
    <w:rsid w:val="00CA593D"/>
    <w:rsid w:val="00CD4E6A"/>
    <w:rsid w:val="00D006EF"/>
    <w:rsid w:val="00D06786"/>
    <w:rsid w:val="00D16211"/>
    <w:rsid w:val="00D21780"/>
    <w:rsid w:val="00D23346"/>
    <w:rsid w:val="00D243B8"/>
    <w:rsid w:val="00D34794"/>
    <w:rsid w:val="00D42B85"/>
    <w:rsid w:val="00D4502D"/>
    <w:rsid w:val="00D530CE"/>
    <w:rsid w:val="00D53E3C"/>
    <w:rsid w:val="00D54ED5"/>
    <w:rsid w:val="00D66003"/>
    <w:rsid w:val="00D7517E"/>
    <w:rsid w:val="00D77950"/>
    <w:rsid w:val="00DC3762"/>
    <w:rsid w:val="00DC739E"/>
    <w:rsid w:val="00DD0346"/>
    <w:rsid w:val="00DD616A"/>
    <w:rsid w:val="00DE0465"/>
    <w:rsid w:val="00E049ED"/>
    <w:rsid w:val="00E34E6D"/>
    <w:rsid w:val="00E37CD4"/>
    <w:rsid w:val="00E41A47"/>
    <w:rsid w:val="00E53B9C"/>
    <w:rsid w:val="00E57848"/>
    <w:rsid w:val="00E77699"/>
    <w:rsid w:val="00EA1A1E"/>
    <w:rsid w:val="00ED21C3"/>
    <w:rsid w:val="00ED388C"/>
    <w:rsid w:val="00EF02B0"/>
    <w:rsid w:val="00F01B61"/>
    <w:rsid w:val="00F13DD8"/>
    <w:rsid w:val="00F149FD"/>
    <w:rsid w:val="00F4262F"/>
    <w:rsid w:val="00F53719"/>
    <w:rsid w:val="00F565DA"/>
    <w:rsid w:val="00F57291"/>
    <w:rsid w:val="00F66CB0"/>
    <w:rsid w:val="00F72D0E"/>
    <w:rsid w:val="00F74755"/>
    <w:rsid w:val="00F76C89"/>
    <w:rsid w:val="00F83FBF"/>
    <w:rsid w:val="00FA29B8"/>
    <w:rsid w:val="00FD3D92"/>
    <w:rsid w:val="00FF389E"/>
    <w:rsid w:val="00FF56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6829D0"/>
  <w15:docId w15:val="{7C59962F-F2E2-4E7A-8675-E3BE36072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0053"/>
    <w:pPr>
      <w:spacing w:after="0" w:line="240" w:lineRule="auto"/>
    </w:pPr>
    <w:rPr>
      <w:rFonts w:ascii="Calibri" w:eastAsia="Times New Roman" w:hAnsi="Calibri" w:cs="Times New Roman"/>
      <w:sz w:val="24"/>
      <w:szCs w:val="20"/>
    </w:rPr>
  </w:style>
  <w:style w:type="paragraph" w:styleId="Heading1">
    <w:name w:val="heading 1"/>
    <w:basedOn w:val="Normal"/>
    <w:next w:val="Normal"/>
    <w:link w:val="Heading1Char"/>
    <w:qFormat/>
    <w:rsid w:val="007B6904"/>
    <w:pPr>
      <w:keepNext/>
      <w:spacing w:before="60" w:after="60"/>
      <w:outlineLvl w:val="0"/>
    </w:pPr>
    <w:rPr>
      <w:rFonts w:cs="Arial"/>
      <w:b/>
      <w:iCs/>
      <w:sz w:val="28"/>
    </w:rPr>
  </w:style>
  <w:style w:type="paragraph" w:styleId="Heading2">
    <w:name w:val="heading 2"/>
    <w:basedOn w:val="Normal"/>
    <w:next w:val="Normal"/>
    <w:link w:val="Heading2Char"/>
    <w:uiPriority w:val="9"/>
    <w:unhideWhenUsed/>
    <w:qFormat/>
    <w:rsid w:val="007B6904"/>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semiHidden/>
    <w:unhideWhenUsed/>
    <w:rsid w:val="005743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B6904"/>
    <w:rPr>
      <w:rFonts w:ascii="Calibri" w:eastAsia="Times New Roman" w:hAnsi="Calibri" w:cs="Arial"/>
      <w:b/>
      <w:iCs/>
      <w:sz w:val="28"/>
      <w:szCs w:val="20"/>
    </w:rPr>
  </w:style>
  <w:style w:type="table" w:styleId="TableGrid">
    <w:name w:val="Table Grid"/>
    <w:basedOn w:val="TableNormal"/>
    <w:uiPriority w:val="59"/>
    <w:rsid w:val="007B6904"/>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7B6904"/>
    <w:pPr>
      <w:tabs>
        <w:tab w:val="center" w:pos="4153"/>
        <w:tab w:val="right" w:pos="8306"/>
      </w:tabs>
    </w:pPr>
  </w:style>
  <w:style w:type="character" w:customStyle="1" w:styleId="FooterChar">
    <w:name w:val="Footer Char"/>
    <w:basedOn w:val="DefaultParagraphFont"/>
    <w:link w:val="Footer"/>
    <w:uiPriority w:val="99"/>
    <w:rsid w:val="007B6904"/>
    <w:rPr>
      <w:rFonts w:ascii="Times New Roman" w:eastAsia="Times New Roman" w:hAnsi="Times New Roman" w:cs="Times New Roman"/>
      <w:sz w:val="24"/>
      <w:szCs w:val="20"/>
    </w:rPr>
  </w:style>
  <w:style w:type="character" w:styleId="PageNumber">
    <w:name w:val="page number"/>
    <w:basedOn w:val="DefaultParagraphFont"/>
    <w:uiPriority w:val="99"/>
    <w:rsid w:val="007B6904"/>
    <w:rPr>
      <w:rFonts w:cs="Times New Roman"/>
    </w:rPr>
  </w:style>
  <w:style w:type="paragraph" w:styleId="Header">
    <w:name w:val="header"/>
    <w:basedOn w:val="Normal"/>
    <w:link w:val="HeaderChar"/>
    <w:rsid w:val="007B6904"/>
    <w:pPr>
      <w:tabs>
        <w:tab w:val="center" w:pos="4153"/>
        <w:tab w:val="right" w:pos="8306"/>
      </w:tabs>
    </w:pPr>
  </w:style>
  <w:style w:type="character" w:customStyle="1" w:styleId="HeaderChar">
    <w:name w:val="Header Char"/>
    <w:basedOn w:val="DefaultParagraphFont"/>
    <w:link w:val="Header"/>
    <w:rsid w:val="007B6904"/>
    <w:rPr>
      <w:rFonts w:ascii="Times New Roman" w:eastAsia="Times New Roman" w:hAnsi="Times New Roman" w:cs="Times New Roman"/>
      <w:sz w:val="24"/>
      <w:szCs w:val="20"/>
    </w:rPr>
  </w:style>
  <w:style w:type="paragraph" w:styleId="ListParagraph">
    <w:name w:val="List Paragraph"/>
    <w:basedOn w:val="Normal"/>
    <w:uiPriority w:val="34"/>
    <w:qFormat/>
    <w:rsid w:val="007B6904"/>
    <w:pPr>
      <w:ind w:left="720"/>
      <w:contextualSpacing/>
    </w:pPr>
  </w:style>
  <w:style w:type="paragraph" w:customStyle="1" w:styleId="Default">
    <w:name w:val="Default"/>
    <w:rsid w:val="007B6904"/>
    <w:pPr>
      <w:autoSpaceDE w:val="0"/>
      <w:autoSpaceDN w:val="0"/>
      <w:adjustRightInd w:val="0"/>
      <w:spacing w:after="0" w:line="240" w:lineRule="auto"/>
    </w:pPr>
    <w:rPr>
      <w:rFonts w:ascii="Times New Roman" w:eastAsia="Times New Roman" w:hAnsi="Times New Roman" w:cs="Times New Roman"/>
      <w:color w:val="000000"/>
      <w:sz w:val="24"/>
      <w:szCs w:val="24"/>
      <w:lang w:eastAsia="en-AU"/>
    </w:rPr>
  </w:style>
  <w:style w:type="character" w:styleId="Hyperlink">
    <w:name w:val="Hyperlink"/>
    <w:basedOn w:val="DefaultParagraphFont"/>
    <w:uiPriority w:val="99"/>
    <w:rsid w:val="007B6904"/>
    <w:rPr>
      <w:rFonts w:cs="Times New Roman"/>
      <w:color w:val="0000FF"/>
      <w:u w:val="single"/>
    </w:rPr>
  </w:style>
  <w:style w:type="paragraph" w:styleId="ListBullet">
    <w:name w:val="List Bullet"/>
    <w:basedOn w:val="Normal"/>
    <w:link w:val="ListBulletChar"/>
    <w:uiPriority w:val="99"/>
    <w:qFormat/>
    <w:rsid w:val="00542514"/>
    <w:pPr>
      <w:numPr>
        <w:numId w:val="1"/>
      </w:numPr>
      <w:ind w:left="426" w:hanging="426"/>
    </w:pPr>
  </w:style>
  <w:style w:type="paragraph" w:customStyle="1" w:styleId="ProcedureTemplate">
    <w:name w:val="Procedure Template"/>
    <w:basedOn w:val="Heading1"/>
    <w:rsid w:val="007B6904"/>
    <w:pPr>
      <w:framePr w:hSpace="180" w:wrap="around" w:vAnchor="text" w:hAnchor="margin" w:x="108" w:y="181"/>
    </w:pPr>
    <w:rPr>
      <w:bCs/>
    </w:rPr>
  </w:style>
  <w:style w:type="paragraph" w:customStyle="1" w:styleId="ProcedureTemplateinternalheadings">
    <w:name w:val="Procedure Template internal headings"/>
    <w:basedOn w:val="Heading2"/>
    <w:rsid w:val="007B6904"/>
    <w:pPr>
      <w:framePr w:hSpace="180" w:wrap="around" w:vAnchor="text" w:hAnchor="margin" w:x="108" w:y="181"/>
      <w:spacing w:before="40" w:after="40"/>
    </w:pPr>
    <w:rPr>
      <w:rFonts w:cs="Arial"/>
      <w:szCs w:val="24"/>
    </w:rPr>
  </w:style>
  <w:style w:type="character" w:customStyle="1" w:styleId="Heading2Char">
    <w:name w:val="Heading 2 Char"/>
    <w:basedOn w:val="DefaultParagraphFont"/>
    <w:link w:val="Heading2"/>
    <w:uiPriority w:val="9"/>
    <w:rsid w:val="007B6904"/>
    <w:rPr>
      <w:rFonts w:ascii="Calibri" w:eastAsiaTheme="majorEastAsia" w:hAnsi="Calibri" w:cstheme="majorBidi"/>
      <w:b/>
      <w:bCs/>
      <w:sz w:val="24"/>
      <w:szCs w:val="26"/>
    </w:rPr>
  </w:style>
  <w:style w:type="character" w:styleId="FollowedHyperlink">
    <w:name w:val="FollowedHyperlink"/>
    <w:basedOn w:val="DefaultParagraphFont"/>
    <w:uiPriority w:val="99"/>
    <w:semiHidden/>
    <w:unhideWhenUsed/>
    <w:rsid w:val="007B6904"/>
    <w:rPr>
      <w:color w:val="800080" w:themeColor="followedHyperlink"/>
      <w:u w:val="single"/>
    </w:rPr>
  </w:style>
  <w:style w:type="paragraph" w:styleId="BalloonText">
    <w:name w:val="Balloon Text"/>
    <w:basedOn w:val="Normal"/>
    <w:link w:val="BalloonTextChar"/>
    <w:uiPriority w:val="99"/>
    <w:semiHidden/>
    <w:unhideWhenUsed/>
    <w:rsid w:val="007B6904"/>
    <w:rPr>
      <w:rFonts w:ascii="Tahoma" w:hAnsi="Tahoma" w:cs="Tahoma"/>
      <w:sz w:val="16"/>
      <w:szCs w:val="16"/>
    </w:rPr>
  </w:style>
  <w:style w:type="character" w:customStyle="1" w:styleId="BalloonTextChar">
    <w:name w:val="Balloon Text Char"/>
    <w:basedOn w:val="DefaultParagraphFont"/>
    <w:link w:val="BalloonText"/>
    <w:uiPriority w:val="99"/>
    <w:semiHidden/>
    <w:rsid w:val="007B6904"/>
    <w:rPr>
      <w:rFonts w:ascii="Tahoma" w:eastAsia="Times New Roman" w:hAnsi="Tahoma" w:cs="Tahoma"/>
      <w:sz w:val="16"/>
      <w:szCs w:val="16"/>
    </w:rPr>
  </w:style>
  <w:style w:type="paragraph" w:styleId="TOC1">
    <w:name w:val="toc 1"/>
    <w:basedOn w:val="Normal"/>
    <w:next w:val="Normal"/>
    <w:autoRedefine/>
    <w:uiPriority w:val="39"/>
    <w:unhideWhenUsed/>
    <w:rsid w:val="007B6904"/>
    <w:pPr>
      <w:spacing w:after="100"/>
    </w:pPr>
    <w:rPr>
      <w:rFonts w:asciiTheme="minorHAnsi" w:hAnsiTheme="minorHAnsi"/>
    </w:rPr>
  </w:style>
  <w:style w:type="paragraph" w:styleId="TOC2">
    <w:name w:val="toc 2"/>
    <w:basedOn w:val="Normal"/>
    <w:next w:val="Normal"/>
    <w:autoRedefine/>
    <w:uiPriority w:val="39"/>
    <w:unhideWhenUsed/>
    <w:rsid w:val="007B6904"/>
    <w:pPr>
      <w:spacing w:after="100"/>
      <w:ind w:left="240"/>
    </w:pPr>
    <w:rPr>
      <w:rFonts w:asciiTheme="minorHAnsi" w:hAnsiTheme="minorHAnsi"/>
    </w:rPr>
  </w:style>
  <w:style w:type="character" w:styleId="CommentReference">
    <w:name w:val="annotation reference"/>
    <w:basedOn w:val="DefaultParagraphFont"/>
    <w:uiPriority w:val="99"/>
    <w:semiHidden/>
    <w:unhideWhenUsed/>
    <w:rsid w:val="00D7517E"/>
    <w:rPr>
      <w:sz w:val="16"/>
      <w:szCs w:val="16"/>
    </w:rPr>
  </w:style>
  <w:style w:type="paragraph" w:styleId="CommentText">
    <w:name w:val="annotation text"/>
    <w:basedOn w:val="Normal"/>
    <w:link w:val="CommentTextChar"/>
    <w:uiPriority w:val="99"/>
    <w:unhideWhenUsed/>
    <w:rsid w:val="00D7517E"/>
    <w:rPr>
      <w:sz w:val="20"/>
    </w:rPr>
  </w:style>
  <w:style w:type="character" w:customStyle="1" w:styleId="CommentTextChar">
    <w:name w:val="Comment Text Char"/>
    <w:basedOn w:val="DefaultParagraphFont"/>
    <w:link w:val="CommentText"/>
    <w:uiPriority w:val="99"/>
    <w:rsid w:val="00D7517E"/>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D7517E"/>
    <w:rPr>
      <w:b/>
      <w:bCs/>
    </w:rPr>
  </w:style>
  <w:style w:type="character" w:customStyle="1" w:styleId="CommentSubjectChar">
    <w:name w:val="Comment Subject Char"/>
    <w:basedOn w:val="CommentTextChar"/>
    <w:link w:val="CommentSubject"/>
    <w:uiPriority w:val="99"/>
    <w:semiHidden/>
    <w:rsid w:val="00D7517E"/>
    <w:rPr>
      <w:rFonts w:ascii="Calibri" w:eastAsia="Times New Roman" w:hAnsi="Calibri" w:cs="Times New Roman"/>
      <w:b/>
      <w:bCs/>
      <w:sz w:val="20"/>
      <w:szCs w:val="20"/>
    </w:rPr>
  </w:style>
  <w:style w:type="character" w:customStyle="1" w:styleId="Heading3Char">
    <w:name w:val="Heading 3 Char"/>
    <w:basedOn w:val="DefaultParagraphFont"/>
    <w:link w:val="Heading3"/>
    <w:uiPriority w:val="9"/>
    <w:semiHidden/>
    <w:rsid w:val="005743AC"/>
    <w:rPr>
      <w:rFonts w:asciiTheme="majorHAnsi" w:eastAsiaTheme="majorEastAsia" w:hAnsiTheme="majorHAnsi" w:cstheme="majorBidi"/>
      <w:b/>
      <w:bCs/>
      <w:color w:val="4F81BD" w:themeColor="accent1"/>
      <w:sz w:val="24"/>
      <w:szCs w:val="20"/>
    </w:rPr>
  </w:style>
  <w:style w:type="character" w:styleId="UnresolvedMention">
    <w:name w:val="Unresolved Mention"/>
    <w:basedOn w:val="DefaultParagraphFont"/>
    <w:uiPriority w:val="99"/>
    <w:semiHidden/>
    <w:unhideWhenUsed/>
    <w:rsid w:val="002B478A"/>
    <w:rPr>
      <w:color w:val="605E5C"/>
      <w:shd w:val="clear" w:color="auto" w:fill="E1DFDD"/>
    </w:rPr>
  </w:style>
  <w:style w:type="character" w:customStyle="1" w:styleId="ListBulletChar">
    <w:name w:val="List Bullet Char"/>
    <w:basedOn w:val="DefaultParagraphFont"/>
    <w:link w:val="ListBullet"/>
    <w:uiPriority w:val="99"/>
    <w:locked/>
    <w:rsid w:val="002844F4"/>
    <w:rPr>
      <w:rFonts w:ascii="Calibri" w:eastAsia="Times New Roman" w:hAnsi="Calibri" w:cs="Times New Roman"/>
      <w:sz w:val="24"/>
      <w:szCs w:val="20"/>
    </w:rPr>
  </w:style>
  <w:style w:type="paragraph" w:customStyle="1" w:styleId="ti10">
    <w:name w:val="ti10"/>
    <w:basedOn w:val="Normal"/>
    <w:uiPriority w:val="99"/>
    <w:rsid w:val="002844F4"/>
    <w:pPr>
      <w:spacing w:after="360" w:line="384" w:lineRule="auto"/>
    </w:pPr>
    <w:rPr>
      <w:rFonts w:ascii="Arial" w:hAnsi="Arial" w:cs="Arial"/>
      <w:b/>
      <w:bCs/>
      <w:color w:val="000000"/>
      <w:sz w:val="29"/>
      <w:szCs w:val="29"/>
      <w:lang w:eastAsia="en-AU"/>
    </w:rPr>
  </w:style>
  <w:style w:type="character" w:customStyle="1" w:styleId="Headin3Char">
    <w:name w:val="Headin 3 Char"/>
    <w:basedOn w:val="ListBulletChar"/>
    <w:link w:val="Headin3"/>
    <w:locked/>
    <w:rsid w:val="002844F4"/>
    <w:rPr>
      <w:rFonts w:ascii="Calibri" w:eastAsia="Times New Roman" w:hAnsi="Calibri" w:cs="Times New Roman"/>
      <w:b/>
      <w:sz w:val="24"/>
      <w:szCs w:val="20"/>
    </w:rPr>
  </w:style>
  <w:style w:type="paragraph" w:customStyle="1" w:styleId="Headin3">
    <w:name w:val="Headin 3"/>
    <w:basedOn w:val="ListBullet"/>
    <w:link w:val="Headin3Char"/>
    <w:qFormat/>
    <w:rsid w:val="002844F4"/>
    <w:pPr>
      <w:numPr>
        <w:ilvl w:val="1"/>
        <w:numId w:val="16"/>
      </w:numPr>
    </w:pPr>
    <w:rPr>
      <w:b/>
    </w:rPr>
  </w:style>
  <w:style w:type="paragraph" w:styleId="BodyTextIndent">
    <w:name w:val="Body Text Indent"/>
    <w:basedOn w:val="Normal"/>
    <w:link w:val="BodyTextIndentChar"/>
    <w:uiPriority w:val="99"/>
    <w:semiHidden/>
    <w:unhideWhenUsed/>
    <w:rsid w:val="002844F4"/>
    <w:pPr>
      <w:spacing w:after="120"/>
      <w:ind w:left="283"/>
    </w:pPr>
    <w:rPr>
      <w:rFonts w:ascii="Times New Roman" w:hAnsi="Times New Roman"/>
    </w:rPr>
  </w:style>
  <w:style w:type="character" w:customStyle="1" w:styleId="BodyTextIndentChar">
    <w:name w:val="Body Text Indent Char"/>
    <w:basedOn w:val="DefaultParagraphFont"/>
    <w:link w:val="BodyTextIndent"/>
    <w:uiPriority w:val="99"/>
    <w:semiHidden/>
    <w:rsid w:val="002844F4"/>
    <w:rPr>
      <w:rFonts w:ascii="Times New Roman" w:eastAsia="Times New Roman" w:hAnsi="Times New Roman" w:cs="Times New Roman"/>
      <w:sz w:val="24"/>
      <w:szCs w:val="20"/>
    </w:rPr>
  </w:style>
  <w:style w:type="paragraph" w:styleId="Revision">
    <w:name w:val="Revision"/>
    <w:hidden/>
    <w:uiPriority w:val="99"/>
    <w:semiHidden/>
    <w:rsid w:val="00084F3D"/>
    <w:pPr>
      <w:spacing w:after="0" w:line="240" w:lineRule="auto"/>
    </w:pPr>
    <w:rPr>
      <w:rFonts w:ascii="Calibri" w:eastAsia="Times New Roman" w:hAnsi="Calibri"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448621">
      <w:bodyDiv w:val="1"/>
      <w:marLeft w:val="0"/>
      <w:marRight w:val="0"/>
      <w:marTop w:val="0"/>
      <w:marBottom w:val="0"/>
      <w:divBdr>
        <w:top w:val="none" w:sz="0" w:space="0" w:color="auto"/>
        <w:left w:val="none" w:sz="0" w:space="0" w:color="auto"/>
        <w:bottom w:val="none" w:sz="0" w:space="0" w:color="auto"/>
        <w:right w:val="none" w:sz="0" w:space="0" w:color="auto"/>
      </w:divBdr>
    </w:div>
    <w:div w:id="108822319">
      <w:bodyDiv w:val="1"/>
      <w:marLeft w:val="0"/>
      <w:marRight w:val="0"/>
      <w:marTop w:val="0"/>
      <w:marBottom w:val="0"/>
      <w:divBdr>
        <w:top w:val="none" w:sz="0" w:space="0" w:color="auto"/>
        <w:left w:val="none" w:sz="0" w:space="0" w:color="auto"/>
        <w:bottom w:val="none" w:sz="0" w:space="0" w:color="auto"/>
        <w:right w:val="none" w:sz="0" w:space="0" w:color="auto"/>
      </w:divBdr>
    </w:div>
    <w:div w:id="437867629">
      <w:bodyDiv w:val="1"/>
      <w:marLeft w:val="0"/>
      <w:marRight w:val="0"/>
      <w:marTop w:val="0"/>
      <w:marBottom w:val="0"/>
      <w:divBdr>
        <w:top w:val="none" w:sz="0" w:space="0" w:color="auto"/>
        <w:left w:val="none" w:sz="0" w:space="0" w:color="auto"/>
        <w:bottom w:val="none" w:sz="0" w:space="0" w:color="auto"/>
        <w:right w:val="none" w:sz="0" w:space="0" w:color="auto"/>
      </w:divBdr>
    </w:div>
    <w:div w:id="601955802">
      <w:bodyDiv w:val="1"/>
      <w:marLeft w:val="0"/>
      <w:marRight w:val="0"/>
      <w:marTop w:val="0"/>
      <w:marBottom w:val="0"/>
      <w:divBdr>
        <w:top w:val="none" w:sz="0" w:space="0" w:color="auto"/>
        <w:left w:val="none" w:sz="0" w:space="0" w:color="auto"/>
        <w:bottom w:val="none" w:sz="0" w:space="0" w:color="auto"/>
        <w:right w:val="none" w:sz="0" w:space="0" w:color="auto"/>
      </w:divBdr>
    </w:div>
    <w:div w:id="666712304">
      <w:bodyDiv w:val="1"/>
      <w:marLeft w:val="0"/>
      <w:marRight w:val="0"/>
      <w:marTop w:val="0"/>
      <w:marBottom w:val="0"/>
      <w:divBdr>
        <w:top w:val="none" w:sz="0" w:space="0" w:color="auto"/>
        <w:left w:val="none" w:sz="0" w:space="0" w:color="auto"/>
        <w:bottom w:val="none" w:sz="0" w:space="0" w:color="auto"/>
        <w:right w:val="none" w:sz="0" w:space="0" w:color="auto"/>
      </w:divBdr>
    </w:div>
    <w:div w:id="864634086">
      <w:bodyDiv w:val="1"/>
      <w:marLeft w:val="0"/>
      <w:marRight w:val="0"/>
      <w:marTop w:val="0"/>
      <w:marBottom w:val="0"/>
      <w:divBdr>
        <w:top w:val="none" w:sz="0" w:space="0" w:color="auto"/>
        <w:left w:val="none" w:sz="0" w:space="0" w:color="auto"/>
        <w:bottom w:val="none" w:sz="0" w:space="0" w:color="auto"/>
        <w:right w:val="none" w:sz="0" w:space="0" w:color="auto"/>
      </w:divBdr>
    </w:div>
    <w:div w:id="879242053">
      <w:bodyDiv w:val="1"/>
      <w:marLeft w:val="0"/>
      <w:marRight w:val="0"/>
      <w:marTop w:val="0"/>
      <w:marBottom w:val="0"/>
      <w:divBdr>
        <w:top w:val="none" w:sz="0" w:space="0" w:color="auto"/>
        <w:left w:val="none" w:sz="0" w:space="0" w:color="auto"/>
        <w:bottom w:val="none" w:sz="0" w:space="0" w:color="auto"/>
        <w:right w:val="none" w:sz="0" w:space="0" w:color="auto"/>
      </w:divBdr>
    </w:div>
    <w:div w:id="1058944180">
      <w:bodyDiv w:val="1"/>
      <w:marLeft w:val="0"/>
      <w:marRight w:val="0"/>
      <w:marTop w:val="0"/>
      <w:marBottom w:val="0"/>
      <w:divBdr>
        <w:top w:val="none" w:sz="0" w:space="0" w:color="auto"/>
        <w:left w:val="none" w:sz="0" w:space="0" w:color="auto"/>
        <w:bottom w:val="none" w:sz="0" w:space="0" w:color="auto"/>
        <w:right w:val="none" w:sz="0" w:space="0" w:color="auto"/>
      </w:divBdr>
    </w:div>
    <w:div w:id="1272668842">
      <w:bodyDiv w:val="1"/>
      <w:marLeft w:val="0"/>
      <w:marRight w:val="0"/>
      <w:marTop w:val="0"/>
      <w:marBottom w:val="0"/>
      <w:divBdr>
        <w:top w:val="none" w:sz="0" w:space="0" w:color="auto"/>
        <w:left w:val="none" w:sz="0" w:space="0" w:color="auto"/>
        <w:bottom w:val="none" w:sz="0" w:space="0" w:color="auto"/>
        <w:right w:val="none" w:sz="0" w:space="0" w:color="auto"/>
      </w:divBdr>
    </w:div>
    <w:div w:id="1325166974">
      <w:bodyDiv w:val="1"/>
      <w:marLeft w:val="0"/>
      <w:marRight w:val="0"/>
      <w:marTop w:val="0"/>
      <w:marBottom w:val="0"/>
      <w:divBdr>
        <w:top w:val="none" w:sz="0" w:space="0" w:color="auto"/>
        <w:left w:val="none" w:sz="0" w:space="0" w:color="auto"/>
        <w:bottom w:val="none" w:sz="0" w:space="0" w:color="auto"/>
        <w:right w:val="none" w:sz="0" w:space="0" w:color="auto"/>
      </w:divBdr>
    </w:div>
    <w:div w:id="1432506901">
      <w:bodyDiv w:val="1"/>
      <w:marLeft w:val="0"/>
      <w:marRight w:val="0"/>
      <w:marTop w:val="0"/>
      <w:marBottom w:val="0"/>
      <w:divBdr>
        <w:top w:val="none" w:sz="0" w:space="0" w:color="auto"/>
        <w:left w:val="none" w:sz="0" w:space="0" w:color="auto"/>
        <w:bottom w:val="none" w:sz="0" w:space="0" w:color="auto"/>
        <w:right w:val="none" w:sz="0" w:space="0" w:color="auto"/>
      </w:divBdr>
    </w:div>
    <w:div w:id="1740177578">
      <w:bodyDiv w:val="1"/>
      <w:marLeft w:val="0"/>
      <w:marRight w:val="0"/>
      <w:marTop w:val="0"/>
      <w:marBottom w:val="0"/>
      <w:divBdr>
        <w:top w:val="none" w:sz="0" w:space="0" w:color="auto"/>
        <w:left w:val="none" w:sz="0" w:space="0" w:color="auto"/>
        <w:bottom w:val="none" w:sz="0" w:space="0" w:color="auto"/>
        <w:right w:val="none" w:sz="0" w:space="0" w:color="auto"/>
      </w:divBdr>
    </w:div>
    <w:div w:id="18314811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dva.gov.au/sites/default/files/files/providers/oxygenguidelines.doc"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Q:/Quality%20and%20Safety/CET/Policy%20Team/CHS%20PC/Resources/Templates/CHS%20Procedure%20Template.docx"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enable.health.nsw.gov.au/__data/assets/pdf_file/0004/491296/Paediatric-Home-Oxygen-Funding-Criteri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Q:/Quality%20and%20Safety/CET/Policy%20Team/CHS%20PC/Resources/Templates/CHS%20Procedure%20Template.docx" TargetMode="External"/><Relationship Id="rId5" Type="http://schemas.openxmlformats.org/officeDocument/2006/relationships/numbering" Target="numbering.xml"/><Relationship Id="rId15" Type="http://schemas.openxmlformats.org/officeDocument/2006/relationships/hyperlink" Target="https://www.health.qld.gov.au/__data/assets/pdf_file/0028/428455/guidelines-oxygen.pdf"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nable.health.nsw.gov.au/__data/assets/pdf_file/0010/491293/Adult-Home-Oxygen-Funding-Criteri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a85ca2a71eb48d3bbf240e90b0ab54da">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b66b2be4ec89f51385ddf3da80aee9b7"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2023-03-28T13:00:00+00:00</Approval_x0020_Date>
    <Review_x0020_Date xmlns="690b2128-8961-48af-a473-22c34a9accba">2027-03-31T13:00:00+00:00</Review_x0020_Date>
    <TaxCatchAll xmlns="c0239a80-7f07-4ed7-82c3-24ad7d76ada5">
      <Value>432</Value>
      <Value>417</Value>
      <Value>416</Value>
      <Value>415</Value>
    </TaxCatchAll>
    <Version_x0020_Number xmlns="690b2128-8961-48af-a473-22c34a9accba">1</Version_x0020_Number>
    <Notes0 xmlns="690b2128-8961-48af-a473-22c34a9accba">13/03/2025 Updated content in Section 1 under Eligibility</Notes0>
    <Key_x0020_Words xmlns="690b2128-8961-48af-a473-22c34a9accba">DORSS, oxygen, respiratory, CPAP, Bi-level, Oxygen therapy, Domestic Oxygen Respiratory Support Scheme</Key_x0020_Words>
    <Type_x0020_of_x0020_Document xmlns="690b2128-8961-48af-a473-22c34a9accba">Guideline</Type_x0020_of_x0020_Document>
    <Approval_x0020_Name_x007c_Committee xmlns="690b2128-8961-48af-a473-22c34a9accba">CHS Policy Committee</Approval_x0020_Name_x007c_Committee>
    <Status xmlns="690b2128-8961-48af-a473-22c34a9accba">Approved</Status>
    <New_x0020_Applies_x0020_To xmlns="690b2128-8961-48af-a473-22c34a9accba">Canberra Health Services</New_x0020_Applies_x0020_To>
    <Replaces_x003a_ xmlns="690b2128-8961-48af-a473-22c34a9accba">N/A (new document)</Replaces_x003a_>
    <Risk_x0020_Rating xmlns="690b2128-8961-48af-a473-22c34a9accba">Medium</Risk_x0020_Rating>
    <Description0 xmlns="690b2128-8961-48af-a473-22c34a9accba">This guideline provides clinicians with information about the Domiciliary Oxygen and Respiratory Support Scheme (DORSS) with respect to the provision of home oxygen therapy for eligible patients.</Description0>
    <Display_x0020_on_x0020_Internet xmlns="690b2128-8961-48af-a473-22c34a9accba">true</Display_x0020_on_x0020_Internet>
    <Related_x0020_Documents xmlns="690b2128-8961-48af-a473-22c34a9accba" xsi:nil="true"/>
    <Decision_x0020_Number xmlns="690b2128-8961-48af-a473-22c34a9accba">CHS23/113</Decision_x0020_Number>
    <New_x0020_Owner xmlns="690b2128-8961-48af-a473-22c34a9accba">Rehabilitation, Aged and Community Services (RACS)</New_x0020_Owner>
    <ISD_x0020_Submitted xmlns="690b2128-8961-48af-a473-22c34a9accba">Not Required</ISD_x0020_Submitted>
    <RelatedPolicies_x002c_ProceduresGuidelines xmlns="690b2128-8961-48af-a473-22c34a9accba">
      <Value>14491</Value>
      <Value>16465</Value>
      <Value>16457</Value>
      <Value>15087</Value>
      <Value>16678</Value>
      <Value>16677</Value>
    </RelatedPolicies_x002c_ProceduresGuidelines>
    <k0794e393e1f41c2810d090eedba34a0 xmlns="690b2128-8961-48af-a473-22c34a9accba">
      <Terms xmlns="http://schemas.microsoft.com/office/infopath/2007/PartnerControls">
        <TermInfo xmlns="http://schemas.microsoft.com/office/infopath/2007/PartnerControls">
          <TermName xmlns="http://schemas.microsoft.com/office/infopath/2007/PartnerControls">Health Records (Privacy and Access) Act 1997 (Territory)</TermName>
          <TermId xmlns="http://schemas.microsoft.com/office/infopath/2007/PartnerControls">d07d1347-0355-417c-badf-2bae9c7c0e3b</TermId>
        </TermInfo>
        <TermInfo xmlns="http://schemas.microsoft.com/office/infopath/2007/PartnerControls">
          <TermName xmlns="http://schemas.microsoft.com/office/infopath/2007/PartnerControls">Human Rights Act 2004 (Territory)</TermName>
          <TermId xmlns="http://schemas.microsoft.com/office/infopath/2007/PartnerControls">bbb6fb4a-2117-4ff9-8364-021a762deae2</TermId>
        </TermInfo>
        <TermInfo xmlns="http://schemas.microsoft.com/office/infopath/2007/PartnerControls">
          <TermName xmlns="http://schemas.microsoft.com/office/infopath/2007/PartnerControls">Work Health and Safety Act 2011 (Territory)</TermName>
          <TermId xmlns="http://schemas.microsoft.com/office/infopath/2007/PartnerControls">ff017976-c7e7-4dc1-b890-63352415bc5e</TermId>
        </TermInfo>
        <TermInfo xmlns="http://schemas.microsoft.com/office/infopath/2007/PartnerControls">
          <TermName xmlns="http://schemas.microsoft.com/office/infopath/2007/PartnerControls">Carers Recognition Act 2021 (Territory)</TermName>
          <TermId xmlns="http://schemas.microsoft.com/office/infopath/2007/PartnerControls">a9c8282c-cc19-42a3-a6c3-de05b442298b</TermId>
        </TermInfo>
      </Terms>
    </k0794e393e1f41c2810d090eedba34a0>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BB4524-36D7-4EF4-B093-0FFFA5E36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0b2128-8961-48af-a473-22c34a9accba"/>
    <ds:schemaRef ds:uri="c0239a80-7f07-4ed7-82c3-24ad7d76ad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8BCE065-8A76-4612-B6B3-FBE0E46BFCF4}">
  <ds:schemaRefs>
    <ds:schemaRef ds:uri="http://schemas.microsoft.com/sharepoint/v3/contenttype/forms"/>
  </ds:schemaRefs>
</ds:datastoreItem>
</file>

<file path=customXml/itemProps3.xml><?xml version="1.0" encoding="utf-8"?>
<ds:datastoreItem xmlns:ds="http://schemas.openxmlformats.org/officeDocument/2006/customXml" ds:itemID="{DB4DC44B-71B7-4995-8E5F-F0CBB4CC20A7}">
  <ds:schemaRefs>
    <ds:schemaRef ds:uri="http://purl.org/dc/elements/1.1/"/>
    <ds:schemaRef ds:uri="http://schemas.microsoft.com/office/2006/documentManagement/types"/>
    <ds:schemaRef ds:uri="http://purl.org/dc/dcmitype/"/>
    <ds:schemaRef ds:uri="http://purl.org/dc/terms/"/>
    <ds:schemaRef ds:uri="http://schemas.microsoft.com/office/infopath/2007/PartnerControls"/>
    <ds:schemaRef ds:uri="http://www.w3.org/XML/1998/namespace"/>
    <ds:schemaRef ds:uri="c0239a80-7f07-4ed7-82c3-24ad7d76ada5"/>
    <ds:schemaRef ds:uri="http://schemas.openxmlformats.org/package/2006/metadata/core-properties"/>
    <ds:schemaRef ds:uri="690b2128-8961-48af-a473-22c34a9accba"/>
    <ds:schemaRef ds:uri="http://schemas.microsoft.com/office/2006/metadata/properties"/>
  </ds:schemaRefs>
</ds:datastoreItem>
</file>

<file path=customXml/itemProps4.xml><?xml version="1.0" encoding="utf-8"?>
<ds:datastoreItem xmlns:ds="http://schemas.openxmlformats.org/officeDocument/2006/customXml" ds:itemID="{483B4F1B-9BCC-41AB-B9AC-EE257C95AE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302</TotalTime>
  <Pages>10</Pages>
  <Words>2771</Words>
  <Characters>16153</Characters>
  <Application>Microsoft Office Word</Application>
  <DocSecurity>0</DocSecurity>
  <Lines>407</Lines>
  <Paragraphs>203</Paragraphs>
  <ScaleCrop>false</ScaleCrop>
  <HeadingPairs>
    <vt:vector size="2" baseType="variant">
      <vt:variant>
        <vt:lpstr>Title</vt:lpstr>
      </vt:variant>
      <vt:variant>
        <vt:i4>1</vt:i4>
      </vt:variant>
    </vt:vector>
  </HeadingPairs>
  <TitlesOfParts>
    <vt:vector size="1" baseType="lpstr">
      <vt:lpstr/>
    </vt:vector>
  </TitlesOfParts>
  <Company>ACT Government</Company>
  <LinksUpToDate>false</LinksUpToDate>
  <CharactersWithSpaces>18850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Domiciliary Oxygen and Respiratory Support Scheme (DORSS) Home Oxygen (Paediatric and Adult Patients)</dc:title>
  <dc:creator>Kerryn Hunter</dc:creator>
  <cp:lastModifiedBy>Rusanov, Zoia</cp:lastModifiedBy>
  <cp:revision>35</cp:revision>
  <cp:lastPrinted>2014-07-16T01:36:00Z</cp:lastPrinted>
  <dcterms:created xsi:type="dcterms:W3CDTF">2020-02-06T03:22:00Z</dcterms:created>
  <dcterms:modified xsi:type="dcterms:W3CDTF">2025-08-07T05:08:00Z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0x0101002046B23B19A8774893278BE755DCE152</vt:lpwstr>
  </property>
  <property fmtid="{D5CDD505-2E9C-101B-9397-08002B2CF9AE}" pid="3" name="Related Legislation &amp; 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y fmtid="{D5CDD505-2E9C-101B-9397-08002B2CF9AE}" pid="4" name="MSIP_Label_69af8531-eb46-4968-8cb3-105d2f5ea87e_Enabled">
    <vt:lpwstr>true</vt:lpwstr>
  </property>
  <property fmtid="{D5CDD505-2E9C-101B-9397-08002B2CF9AE}" pid="5" name="MSIP_Label_69af8531-eb46-4968-8cb3-105d2f5ea87e_SetDate">
    <vt:lpwstr>2025-03-13T03:16:12Z</vt:lpwstr>
  </property>
  <property fmtid="{D5CDD505-2E9C-101B-9397-08002B2CF9AE}" pid="6" name="MSIP_Label_69af8531-eb46-4968-8cb3-105d2f5ea87e_Method">
    <vt:lpwstr>Standard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44ea3bc5-6bcb-4483-9142-ec6bbbf5f7ff</vt:lpwstr>
  </property>
  <property fmtid="{D5CDD505-2E9C-101B-9397-08002B2CF9AE}" pid="10" name="MSIP_Label_69af8531-eb46-4968-8cb3-105d2f5ea87e_ContentBits">
    <vt:lpwstr>0</vt:lpwstr>
  </property>
  <property fmtid="{D5CDD505-2E9C-101B-9397-08002B2CF9AE}" pid="11" name="Related_x0020_Legislation_x0020__x0026__x0020_Guidelines">
    <vt:lpwstr>415;#Health Records (Privacy and Access) Act 1997 (Territory)|d07d1347-0355-417c-badf-2bae9c7c0e3b;#416;#Human Rights Act 2004 (Territory)|bbb6fb4a-2117-4ff9-8364-021a762deae2;#417;#Work Health and Safety Act 2011 (Territory)|ff017976-c7e7-4dc1-b890-63352415bc5e;#432;#Carers Recognition Act 2021 (Territory)|a9c8282c-cc19-42a3-a6c3-de05b442298b</vt:lpwstr>
  </property>
</Properties>
</file>