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C5DE" w14:textId="77777777" w:rsidR="00EC4C49" w:rsidRPr="00EF02B0" w:rsidRDefault="00EC4C49" w:rsidP="00EC4C49">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481AA11A" w14:textId="77777777" w:rsidR="00EC4C49" w:rsidRPr="00931B93" w:rsidRDefault="00EC4C49" w:rsidP="00EC4C49">
      <w:pPr>
        <w:rPr>
          <w:rFonts w:cs="Arial"/>
          <w:b/>
          <w:i/>
          <w:sz w:val="28"/>
          <w:szCs w:val="44"/>
        </w:rPr>
      </w:pPr>
      <w:r w:rsidRPr="00EF02B0">
        <w:rPr>
          <w:rFonts w:cs="Arial"/>
          <w:b/>
          <w:sz w:val="44"/>
          <w:szCs w:val="44"/>
        </w:rPr>
        <w:t>Procedure</w:t>
      </w:r>
      <w:r>
        <w:rPr>
          <w:rFonts w:cs="Arial"/>
          <w:b/>
          <w:sz w:val="44"/>
          <w:szCs w:val="44"/>
        </w:rPr>
        <w:t xml:space="preserve"> </w:t>
      </w:r>
    </w:p>
    <w:p w14:paraId="40A338EA" w14:textId="77777777" w:rsidR="00EC4C49" w:rsidRPr="006A3770" w:rsidRDefault="00EC4C49" w:rsidP="00EC4C49">
      <w:pPr>
        <w:rPr>
          <w:rFonts w:cs="Arial"/>
          <w:b/>
          <w:bCs/>
          <w:i/>
          <w:iCs/>
          <w:sz w:val="36"/>
          <w:szCs w:val="36"/>
        </w:rPr>
      </w:pPr>
      <w:r w:rsidRPr="1FFAD683">
        <w:rPr>
          <w:rFonts w:cs="Arial"/>
          <w:b/>
          <w:bCs/>
          <w:sz w:val="36"/>
          <w:szCs w:val="36"/>
        </w:rPr>
        <w:t xml:space="preserve">Hyperosmolar Fluid for Traumatic Brain Injury </w:t>
      </w:r>
      <w:r>
        <w:rPr>
          <w:rFonts w:cs="Arial"/>
          <w:b/>
          <w:bCs/>
          <w:sz w:val="36"/>
          <w:szCs w:val="36"/>
        </w:rPr>
        <w:t xml:space="preserve">and Intracranial Bleeding </w:t>
      </w:r>
      <w:r w:rsidRPr="1FFAD683">
        <w:rPr>
          <w:rFonts w:cs="Arial"/>
          <w:b/>
          <w:bCs/>
          <w:sz w:val="36"/>
          <w:szCs w:val="36"/>
        </w:rPr>
        <w:t xml:space="preserve">in </w:t>
      </w:r>
      <w:r>
        <w:rPr>
          <w:rFonts w:cs="Arial"/>
          <w:b/>
          <w:bCs/>
          <w:sz w:val="36"/>
          <w:szCs w:val="36"/>
        </w:rPr>
        <w:t>A</w:t>
      </w:r>
      <w:r w:rsidRPr="1FFAD683">
        <w:rPr>
          <w:rFonts w:cs="Arial"/>
          <w:b/>
          <w:bCs/>
          <w:sz w:val="36"/>
          <w:szCs w:val="36"/>
        </w:rPr>
        <w:t xml:space="preserve">dults and </w:t>
      </w:r>
      <w:r>
        <w:rPr>
          <w:rFonts w:cs="Arial"/>
          <w:b/>
          <w:bCs/>
          <w:sz w:val="36"/>
          <w:szCs w:val="36"/>
        </w:rPr>
        <w:t>C</w:t>
      </w:r>
      <w:r w:rsidRPr="1FFAD683">
        <w:rPr>
          <w:rFonts w:cs="Arial"/>
          <w:b/>
          <w:bCs/>
          <w:sz w:val="36"/>
          <w:szCs w:val="36"/>
        </w:rPr>
        <w:t>hildren</w:t>
      </w:r>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1E972A1D" w14:textId="77777777" w:rsidTr="00D31BA6">
        <w:trPr>
          <w:cantSplit/>
          <w:trHeight w:val="285"/>
        </w:trPr>
        <w:tc>
          <w:tcPr>
            <w:tcW w:w="9158" w:type="dxa"/>
            <w:shd w:val="clear" w:color="auto" w:fill="A6A6A6" w:themeFill="background1" w:themeFillShade="A6"/>
          </w:tcPr>
          <w:p w14:paraId="50CB3403" w14:textId="77777777" w:rsidR="00EC4C49" w:rsidRPr="00CD1C0E" w:rsidRDefault="00EC4C49" w:rsidP="00D31BA6">
            <w:pPr>
              <w:pStyle w:val="Heading1"/>
            </w:pPr>
            <w:bookmarkStart w:id="5" w:name="_Toc389473273"/>
            <w:bookmarkStart w:id="6" w:name="Contents"/>
            <w:bookmarkStart w:id="7" w:name="_Toc126064237"/>
            <w:r w:rsidRPr="00CD1C0E">
              <w:t>Contents</w:t>
            </w:r>
            <w:bookmarkEnd w:id="5"/>
            <w:bookmarkEnd w:id="6"/>
            <w:bookmarkEnd w:id="7"/>
          </w:p>
        </w:tc>
      </w:tr>
    </w:tbl>
    <w:p w14:paraId="283757E7" w14:textId="77777777" w:rsidR="00EC4C49" w:rsidRDefault="00EC4C49" w:rsidP="00EC4C49"/>
    <w:p w14:paraId="45161985" w14:textId="50AADFDD" w:rsidR="00EC4C49" w:rsidRDefault="00EC4C49">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26064237" w:history="1">
        <w:r w:rsidRPr="009F7953">
          <w:rPr>
            <w:rStyle w:val="Hyperlink"/>
            <w:noProof/>
          </w:rPr>
          <w:t>Contents</w:t>
        </w:r>
        <w:r>
          <w:rPr>
            <w:noProof/>
            <w:webHidden/>
          </w:rPr>
          <w:tab/>
        </w:r>
        <w:r>
          <w:rPr>
            <w:noProof/>
            <w:webHidden/>
          </w:rPr>
          <w:fldChar w:fldCharType="begin"/>
        </w:r>
        <w:r>
          <w:rPr>
            <w:noProof/>
            <w:webHidden/>
          </w:rPr>
          <w:instrText xml:space="preserve"> PAGEREF _Toc126064237 \h </w:instrText>
        </w:r>
        <w:r>
          <w:rPr>
            <w:noProof/>
            <w:webHidden/>
          </w:rPr>
        </w:r>
        <w:r>
          <w:rPr>
            <w:noProof/>
            <w:webHidden/>
          </w:rPr>
          <w:fldChar w:fldCharType="separate"/>
        </w:r>
        <w:r>
          <w:rPr>
            <w:noProof/>
            <w:webHidden/>
          </w:rPr>
          <w:t>1</w:t>
        </w:r>
        <w:r>
          <w:rPr>
            <w:noProof/>
            <w:webHidden/>
          </w:rPr>
          <w:fldChar w:fldCharType="end"/>
        </w:r>
      </w:hyperlink>
    </w:p>
    <w:p w14:paraId="7BDDDD74" w14:textId="3CA960B1" w:rsidR="00EC4C49" w:rsidRDefault="00EC4C49">
      <w:pPr>
        <w:pStyle w:val="TOC1"/>
        <w:tabs>
          <w:tab w:val="right" w:leader="dot" w:pos="9060"/>
        </w:tabs>
        <w:rPr>
          <w:rFonts w:eastAsiaTheme="minorEastAsia" w:cstheme="minorBidi"/>
          <w:noProof/>
          <w:sz w:val="22"/>
          <w:szCs w:val="22"/>
          <w:lang w:eastAsia="en-AU"/>
        </w:rPr>
      </w:pPr>
      <w:hyperlink w:anchor="_Toc126064238" w:history="1">
        <w:r w:rsidRPr="009F7953">
          <w:rPr>
            <w:rStyle w:val="Hyperlink"/>
            <w:noProof/>
          </w:rPr>
          <w:t>Purpose</w:t>
        </w:r>
        <w:r>
          <w:rPr>
            <w:noProof/>
            <w:webHidden/>
          </w:rPr>
          <w:tab/>
        </w:r>
        <w:r>
          <w:rPr>
            <w:noProof/>
            <w:webHidden/>
          </w:rPr>
          <w:fldChar w:fldCharType="begin"/>
        </w:r>
        <w:r>
          <w:rPr>
            <w:noProof/>
            <w:webHidden/>
          </w:rPr>
          <w:instrText xml:space="preserve"> PAGEREF _Toc126064238 \h </w:instrText>
        </w:r>
        <w:r>
          <w:rPr>
            <w:noProof/>
            <w:webHidden/>
          </w:rPr>
        </w:r>
        <w:r>
          <w:rPr>
            <w:noProof/>
            <w:webHidden/>
          </w:rPr>
          <w:fldChar w:fldCharType="separate"/>
        </w:r>
        <w:r>
          <w:rPr>
            <w:noProof/>
            <w:webHidden/>
          </w:rPr>
          <w:t>2</w:t>
        </w:r>
        <w:r>
          <w:rPr>
            <w:noProof/>
            <w:webHidden/>
          </w:rPr>
          <w:fldChar w:fldCharType="end"/>
        </w:r>
      </w:hyperlink>
    </w:p>
    <w:p w14:paraId="098598B0" w14:textId="55F14BE4" w:rsidR="00EC4C49" w:rsidRDefault="00EC4C49">
      <w:pPr>
        <w:pStyle w:val="TOC1"/>
        <w:tabs>
          <w:tab w:val="right" w:leader="dot" w:pos="9060"/>
        </w:tabs>
        <w:rPr>
          <w:rFonts w:eastAsiaTheme="minorEastAsia" w:cstheme="minorBidi"/>
          <w:noProof/>
          <w:sz w:val="22"/>
          <w:szCs w:val="22"/>
          <w:lang w:eastAsia="en-AU"/>
        </w:rPr>
      </w:pPr>
      <w:hyperlink w:anchor="_Toc126064239" w:history="1">
        <w:r w:rsidRPr="009F7953">
          <w:rPr>
            <w:rStyle w:val="Hyperlink"/>
            <w:noProof/>
          </w:rPr>
          <w:t>Scope</w:t>
        </w:r>
        <w:r>
          <w:rPr>
            <w:noProof/>
            <w:webHidden/>
          </w:rPr>
          <w:tab/>
        </w:r>
        <w:r>
          <w:rPr>
            <w:noProof/>
            <w:webHidden/>
          </w:rPr>
          <w:fldChar w:fldCharType="begin"/>
        </w:r>
        <w:r>
          <w:rPr>
            <w:noProof/>
            <w:webHidden/>
          </w:rPr>
          <w:instrText xml:space="preserve"> PAGEREF _Toc126064239 \h </w:instrText>
        </w:r>
        <w:r>
          <w:rPr>
            <w:noProof/>
            <w:webHidden/>
          </w:rPr>
        </w:r>
        <w:r>
          <w:rPr>
            <w:noProof/>
            <w:webHidden/>
          </w:rPr>
          <w:fldChar w:fldCharType="separate"/>
        </w:r>
        <w:r>
          <w:rPr>
            <w:noProof/>
            <w:webHidden/>
          </w:rPr>
          <w:t>2</w:t>
        </w:r>
        <w:r>
          <w:rPr>
            <w:noProof/>
            <w:webHidden/>
          </w:rPr>
          <w:fldChar w:fldCharType="end"/>
        </w:r>
      </w:hyperlink>
    </w:p>
    <w:p w14:paraId="653F60FE" w14:textId="0375A4D3" w:rsidR="00EC4C49" w:rsidRDefault="00EC4C49">
      <w:pPr>
        <w:pStyle w:val="TOC1"/>
        <w:tabs>
          <w:tab w:val="right" w:leader="dot" w:pos="9060"/>
        </w:tabs>
        <w:rPr>
          <w:rFonts w:eastAsiaTheme="minorEastAsia" w:cstheme="minorBidi"/>
          <w:noProof/>
          <w:sz w:val="22"/>
          <w:szCs w:val="22"/>
          <w:lang w:eastAsia="en-AU"/>
        </w:rPr>
      </w:pPr>
      <w:hyperlink w:anchor="_Toc126064240" w:history="1">
        <w:r w:rsidRPr="009F7953">
          <w:rPr>
            <w:rStyle w:val="Hyperlink"/>
            <w:noProof/>
          </w:rPr>
          <w:t>Background</w:t>
        </w:r>
        <w:r>
          <w:rPr>
            <w:noProof/>
            <w:webHidden/>
          </w:rPr>
          <w:tab/>
        </w:r>
        <w:r>
          <w:rPr>
            <w:noProof/>
            <w:webHidden/>
          </w:rPr>
          <w:fldChar w:fldCharType="begin"/>
        </w:r>
        <w:r>
          <w:rPr>
            <w:noProof/>
            <w:webHidden/>
          </w:rPr>
          <w:instrText xml:space="preserve"> PAGEREF _Toc126064240 \h </w:instrText>
        </w:r>
        <w:r>
          <w:rPr>
            <w:noProof/>
            <w:webHidden/>
          </w:rPr>
        </w:r>
        <w:r>
          <w:rPr>
            <w:noProof/>
            <w:webHidden/>
          </w:rPr>
          <w:fldChar w:fldCharType="separate"/>
        </w:r>
        <w:r>
          <w:rPr>
            <w:noProof/>
            <w:webHidden/>
          </w:rPr>
          <w:t>2</w:t>
        </w:r>
        <w:r>
          <w:rPr>
            <w:noProof/>
            <w:webHidden/>
          </w:rPr>
          <w:fldChar w:fldCharType="end"/>
        </w:r>
      </w:hyperlink>
    </w:p>
    <w:p w14:paraId="4B78CDEF" w14:textId="21FB21FD" w:rsidR="00EC4C49" w:rsidRDefault="00EC4C49">
      <w:pPr>
        <w:pStyle w:val="TOC1"/>
        <w:tabs>
          <w:tab w:val="right" w:leader="dot" w:pos="9060"/>
        </w:tabs>
        <w:rPr>
          <w:rFonts w:eastAsiaTheme="minorEastAsia" w:cstheme="minorBidi"/>
          <w:noProof/>
          <w:sz w:val="22"/>
          <w:szCs w:val="22"/>
          <w:lang w:eastAsia="en-AU"/>
        </w:rPr>
      </w:pPr>
      <w:hyperlink w:anchor="_Toc126064241" w:history="1">
        <w:r w:rsidRPr="009F7953">
          <w:rPr>
            <w:rStyle w:val="Hyperlink"/>
            <w:noProof/>
          </w:rPr>
          <w:t>Procedure</w:t>
        </w:r>
        <w:r>
          <w:rPr>
            <w:noProof/>
            <w:webHidden/>
          </w:rPr>
          <w:tab/>
        </w:r>
        <w:r>
          <w:rPr>
            <w:noProof/>
            <w:webHidden/>
          </w:rPr>
          <w:fldChar w:fldCharType="begin"/>
        </w:r>
        <w:r>
          <w:rPr>
            <w:noProof/>
            <w:webHidden/>
          </w:rPr>
          <w:instrText xml:space="preserve"> PAGEREF _Toc126064241 \h </w:instrText>
        </w:r>
        <w:r>
          <w:rPr>
            <w:noProof/>
            <w:webHidden/>
          </w:rPr>
        </w:r>
        <w:r>
          <w:rPr>
            <w:noProof/>
            <w:webHidden/>
          </w:rPr>
          <w:fldChar w:fldCharType="separate"/>
        </w:r>
        <w:r>
          <w:rPr>
            <w:noProof/>
            <w:webHidden/>
          </w:rPr>
          <w:t>3</w:t>
        </w:r>
        <w:r>
          <w:rPr>
            <w:noProof/>
            <w:webHidden/>
          </w:rPr>
          <w:fldChar w:fldCharType="end"/>
        </w:r>
      </w:hyperlink>
    </w:p>
    <w:p w14:paraId="7481259C" w14:textId="15E4A16D" w:rsidR="00EC4C49" w:rsidRDefault="00EC4C49">
      <w:pPr>
        <w:pStyle w:val="TOC1"/>
        <w:tabs>
          <w:tab w:val="right" w:leader="dot" w:pos="9060"/>
        </w:tabs>
        <w:rPr>
          <w:rFonts w:eastAsiaTheme="minorEastAsia" w:cstheme="minorBidi"/>
          <w:noProof/>
          <w:sz w:val="22"/>
          <w:szCs w:val="22"/>
          <w:lang w:eastAsia="en-AU"/>
        </w:rPr>
      </w:pPr>
      <w:hyperlink w:anchor="_Toc126064242" w:history="1">
        <w:r w:rsidRPr="009F7953">
          <w:rPr>
            <w:rStyle w:val="Hyperlink"/>
            <w:noProof/>
          </w:rPr>
          <w:t>References</w:t>
        </w:r>
        <w:r>
          <w:rPr>
            <w:noProof/>
            <w:webHidden/>
          </w:rPr>
          <w:tab/>
        </w:r>
        <w:r>
          <w:rPr>
            <w:noProof/>
            <w:webHidden/>
          </w:rPr>
          <w:fldChar w:fldCharType="begin"/>
        </w:r>
        <w:r>
          <w:rPr>
            <w:noProof/>
            <w:webHidden/>
          </w:rPr>
          <w:instrText xml:space="preserve"> PAGEREF _Toc126064242 \h </w:instrText>
        </w:r>
        <w:r>
          <w:rPr>
            <w:noProof/>
            <w:webHidden/>
          </w:rPr>
        </w:r>
        <w:r>
          <w:rPr>
            <w:noProof/>
            <w:webHidden/>
          </w:rPr>
          <w:fldChar w:fldCharType="separate"/>
        </w:r>
        <w:r>
          <w:rPr>
            <w:noProof/>
            <w:webHidden/>
          </w:rPr>
          <w:t>5</w:t>
        </w:r>
        <w:r>
          <w:rPr>
            <w:noProof/>
            <w:webHidden/>
          </w:rPr>
          <w:fldChar w:fldCharType="end"/>
        </w:r>
      </w:hyperlink>
    </w:p>
    <w:p w14:paraId="6EC281DE" w14:textId="198CBF12" w:rsidR="00EC4C49" w:rsidRDefault="00EC4C49" w:rsidP="00EC4C49">
      <w:pPr>
        <w:rPr>
          <w:rFonts w:asciiTheme="minorHAnsi" w:hAnsiTheme="minorHAnsi"/>
        </w:rPr>
      </w:pPr>
      <w:r>
        <w:rPr>
          <w:rFonts w:asciiTheme="minorHAnsi" w:hAnsiTheme="minorHAnsi"/>
        </w:rPr>
        <w:fldChar w:fldCharType="end"/>
      </w:r>
    </w:p>
    <w:p w14:paraId="36FD1C9B" w14:textId="77777777" w:rsidR="00EC4C49" w:rsidRPr="009D2E73" w:rsidRDefault="00EC4C49" w:rsidP="00EC4C49">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40F9FE90" w14:textId="77777777" w:rsidTr="00D31BA6">
        <w:trPr>
          <w:cantSplit/>
          <w:trHeight w:val="285"/>
        </w:trPr>
        <w:tc>
          <w:tcPr>
            <w:tcW w:w="9158" w:type="dxa"/>
            <w:shd w:val="clear" w:color="auto" w:fill="A6A6A6" w:themeFill="background1" w:themeFillShade="A6"/>
          </w:tcPr>
          <w:p w14:paraId="273F42FF" w14:textId="77777777" w:rsidR="00EC4C49" w:rsidRPr="00CD1C0E" w:rsidRDefault="00EC4C49" w:rsidP="00D31BA6">
            <w:pPr>
              <w:pStyle w:val="Heading1"/>
            </w:pPr>
            <w:bookmarkStart w:id="8" w:name="_Toc389473274"/>
            <w:bookmarkStart w:id="9" w:name="_Toc126064238"/>
            <w:r w:rsidRPr="00CD1C0E">
              <w:lastRenderedPageBreak/>
              <w:t>Purpose</w:t>
            </w:r>
            <w:bookmarkEnd w:id="8"/>
            <w:bookmarkEnd w:id="9"/>
          </w:p>
        </w:tc>
      </w:tr>
    </w:tbl>
    <w:p w14:paraId="51A7B08E" w14:textId="77777777" w:rsidR="00EC4C49" w:rsidRDefault="00EC4C49" w:rsidP="00EC4C49">
      <w:pPr>
        <w:rPr>
          <w:rFonts w:cs="Arial"/>
          <w:i/>
          <w:szCs w:val="24"/>
        </w:rPr>
      </w:pPr>
    </w:p>
    <w:p w14:paraId="292D140D" w14:textId="77777777" w:rsidR="00EC4C49" w:rsidRDefault="00EC4C49" w:rsidP="00EC4C49">
      <w:pPr>
        <w:widowControl w:val="0"/>
        <w:rPr>
          <w:rFonts w:cs="Arial"/>
        </w:rPr>
      </w:pPr>
      <w:r w:rsidRPr="1FFAD683">
        <w:rPr>
          <w:rFonts w:cs="Arial"/>
        </w:rPr>
        <w:t>To guide the use of Hyperosmolar Fluid for patients presenting with traumatic brain injury in the clinical practice of the Emergency Department (ED) at Canberra Hospital (CH), and of the Capital Region Retrieval Service (CRRS).</w:t>
      </w:r>
    </w:p>
    <w:p w14:paraId="4166EFBE" w14:textId="77777777" w:rsidR="00EC4C49" w:rsidRPr="00767154" w:rsidRDefault="00EC4C49" w:rsidP="00EC4C49">
      <w:pPr>
        <w:widowControl w:val="0"/>
        <w:rPr>
          <w:rFonts w:cs="Arial"/>
          <w:iCs/>
          <w:szCs w:val="24"/>
        </w:rPr>
      </w:pPr>
    </w:p>
    <w:p w14:paraId="25082EA2" w14:textId="77777777" w:rsidR="00EC4C49" w:rsidRPr="00F32C5D" w:rsidRDefault="00EC4C49" w:rsidP="00EC4C49">
      <w:pPr>
        <w:jc w:val="right"/>
        <w:rPr>
          <w:rFonts w:cs="Arial"/>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643FD599" w14:textId="77777777" w:rsidTr="00D31BA6">
        <w:trPr>
          <w:cantSplit/>
          <w:trHeight w:val="285"/>
        </w:trPr>
        <w:tc>
          <w:tcPr>
            <w:tcW w:w="9158" w:type="dxa"/>
            <w:shd w:val="clear" w:color="auto" w:fill="A6A6A6" w:themeFill="background1" w:themeFillShade="A6"/>
          </w:tcPr>
          <w:p w14:paraId="45F1B1D3" w14:textId="77777777" w:rsidR="00EC4C49" w:rsidRPr="003D2D06" w:rsidRDefault="00EC4C49" w:rsidP="00D31BA6">
            <w:pPr>
              <w:pStyle w:val="Heading1"/>
            </w:pPr>
            <w:bookmarkStart w:id="10" w:name="_Toc389473277"/>
            <w:bookmarkStart w:id="11" w:name="_Toc126064239"/>
            <w:r w:rsidRPr="003D2D06">
              <w:t>Scope</w:t>
            </w:r>
            <w:bookmarkEnd w:id="10"/>
            <w:bookmarkEnd w:id="11"/>
          </w:p>
        </w:tc>
      </w:tr>
    </w:tbl>
    <w:p w14:paraId="7FF248A3" w14:textId="77777777" w:rsidR="00EC4C49" w:rsidRDefault="00EC4C49" w:rsidP="00EC4C49">
      <w:pPr>
        <w:rPr>
          <w:szCs w:val="24"/>
        </w:rPr>
      </w:pPr>
    </w:p>
    <w:p w14:paraId="0CD9914D" w14:textId="77777777" w:rsidR="00EC4C49" w:rsidRDefault="00EC4C49" w:rsidP="00EC4C49">
      <w:r>
        <w:t>This procedure applies to both adults and children presenting with traumatic brain injury.</w:t>
      </w:r>
    </w:p>
    <w:p w14:paraId="11A7E2A9" w14:textId="77777777" w:rsidR="00EC4C49" w:rsidRDefault="00EC4C49" w:rsidP="00EC4C49"/>
    <w:p w14:paraId="70AF1CE5" w14:textId="77777777" w:rsidR="00EC4C49" w:rsidRDefault="00EC4C49" w:rsidP="00EC4C49">
      <w:pPr>
        <w:rPr>
          <w:szCs w:val="24"/>
        </w:rPr>
      </w:pPr>
      <w:r>
        <w:rPr>
          <w:szCs w:val="24"/>
        </w:rPr>
        <w:t>This document applies to the following staff working within their scope of practice:</w:t>
      </w:r>
    </w:p>
    <w:p w14:paraId="08F4838B" w14:textId="77777777" w:rsidR="00EC4C49" w:rsidRDefault="00EC4C49" w:rsidP="00EC4C49">
      <w:pPr>
        <w:pStyle w:val="ListBullet"/>
      </w:pPr>
      <w:r w:rsidRPr="00767154">
        <w:t>ED Medical Officers</w:t>
      </w:r>
    </w:p>
    <w:p w14:paraId="276712D6" w14:textId="77777777" w:rsidR="00EC4C49" w:rsidRDefault="00EC4C49" w:rsidP="00EC4C49">
      <w:pPr>
        <w:pStyle w:val="ListBullet"/>
      </w:pPr>
      <w:r w:rsidRPr="00767154">
        <w:t>ED Nursing Staff</w:t>
      </w:r>
    </w:p>
    <w:p w14:paraId="384A5D15" w14:textId="77777777" w:rsidR="00EC4C49" w:rsidRDefault="00EC4C49" w:rsidP="00EC4C49">
      <w:pPr>
        <w:pStyle w:val="ListBullet"/>
      </w:pPr>
      <w:r>
        <w:t>CRRS Medical Practitioners</w:t>
      </w:r>
    </w:p>
    <w:p w14:paraId="17E1B118" w14:textId="77777777" w:rsidR="00EC4C49" w:rsidRPr="00767154" w:rsidRDefault="00EC4C49" w:rsidP="00EC4C49">
      <w:pPr>
        <w:pStyle w:val="ListBullet"/>
      </w:pPr>
      <w:r>
        <w:t>Students under direct supervision.</w:t>
      </w:r>
    </w:p>
    <w:p w14:paraId="48539D9D" w14:textId="77777777" w:rsidR="00EC4C49" w:rsidRDefault="00EC4C49" w:rsidP="00EC4C49">
      <w:pPr>
        <w:rPr>
          <w:szCs w:val="24"/>
        </w:rPr>
      </w:pPr>
    </w:p>
    <w:p w14:paraId="4AD27D35" w14:textId="77777777" w:rsidR="00EC4C49" w:rsidRPr="00CD1C0E" w:rsidRDefault="00EC4C49" w:rsidP="00EC4C49">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6E4AC58A" w14:textId="77777777" w:rsidTr="00D31BA6">
        <w:trPr>
          <w:cantSplit/>
          <w:trHeight w:val="285"/>
        </w:trPr>
        <w:tc>
          <w:tcPr>
            <w:tcW w:w="9158" w:type="dxa"/>
            <w:shd w:val="clear" w:color="auto" w:fill="A6A6A6" w:themeFill="background1" w:themeFillShade="A6"/>
          </w:tcPr>
          <w:p w14:paraId="081A26AF" w14:textId="77777777" w:rsidR="00EC4C49" w:rsidRPr="00C76688" w:rsidRDefault="00EC4C49" w:rsidP="00D31BA6">
            <w:pPr>
              <w:pStyle w:val="Heading1"/>
            </w:pPr>
            <w:bookmarkStart w:id="12" w:name="_Toc126064240"/>
            <w:r>
              <w:t>Background</w:t>
            </w:r>
            <w:bookmarkEnd w:id="12"/>
          </w:p>
        </w:tc>
      </w:tr>
    </w:tbl>
    <w:p w14:paraId="4589214A" w14:textId="77777777" w:rsidR="00EC4C49" w:rsidRDefault="00EC4C49" w:rsidP="00EC4C49">
      <w:pPr>
        <w:rPr>
          <w:b/>
        </w:rPr>
      </w:pPr>
    </w:p>
    <w:p w14:paraId="38CEEBED" w14:textId="77777777" w:rsidR="00EC4C49" w:rsidRDefault="00EC4C49" w:rsidP="00EC4C49">
      <w:pPr>
        <w:rPr>
          <w:bCs/>
        </w:rPr>
      </w:pPr>
      <w:r>
        <w:rPr>
          <w:bCs/>
        </w:rPr>
        <w:t>Hyperosmolar fluid is used for the mitigation of raised intracranial pressure (ICP) following trauma or intracranial bleeding.</w:t>
      </w:r>
    </w:p>
    <w:p w14:paraId="753DA6FB" w14:textId="77777777" w:rsidR="00EC4C49" w:rsidRDefault="00EC4C49" w:rsidP="00EC4C49">
      <w:pPr>
        <w:rPr>
          <w:bCs/>
        </w:rPr>
      </w:pPr>
    </w:p>
    <w:p w14:paraId="593BDAC0" w14:textId="77777777" w:rsidR="00EC4C49" w:rsidRPr="00F32C5D" w:rsidRDefault="00EC4C49" w:rsidP="00EC4C49">
      <w:r>
        <w:t xml:space="preserve">Within CRRS, hypertonic saline (HTS) has been introduced to replace mannitol as it has the following advantages:  </w:t>
      </w:r>
    </w:p>
    <w:p w14:paraId="6843E36B" w14:textId="77777777" w:rsidR="00EC4C49" w:rsidRPr="00DD3A64" w:rsidRDefault="00EC4C49" w:rsidP="00EC4C49">
      <w:pPr>
        <w:pStyle w:val="ListBullet"/>
        <w:rPr>
          <w:i/>
        </w:rPr>
      </w:pPr>
      <w:bookmarkStart w:id="13" w:name="_Toc389473280"/>
      <w:r>
        <w:t>Does not crystallise in cold ambient environments.</w:t>
      </w:r>
    </w:p>
    <w:p w14:paraId="0F7880C0" w14:textId="77777777" w:rsidR="00EC4C49" w:rsidRPr="00DD3A64" w:rsidRDefault="00EC4C49" w:rsidP="00EC4C49">
      <w:pPr>
        <w:pStyle w:val="ListBullet"/>
        <w:rPr>
          <w:i/>
        </w:rPr>
      </w:pPr>
      <w:r>
        <w:t>Better haemodynamic profile for the treatment of raised ICP, particularly in the hypovolaemic patient, and is less likely to exacerbate hypotension either on initial infusion or with the later diuresis.</w:t>
      </w:r>
    </w:p>
    <w:p w14:paraId="1CF0096A" w14:textId="77777777" w:rsidR="00EC4C49" w:rsidRPr="00DD3A64" w:rsidRDefault="00EC4C49" w:rsidP="00EC4C49">
      <w:pPr>
        <w:pStyle w:val="ListBullet"/>
        <w:rPr>
          <w:i/>
        </w:rPr>
      </w:pPr>
      <w:r>
        <w:t>Smaller volume and less weight (250mL as opposed to 1000mL 10% mannitol).</w:t>
      </w:r>
    </w:p>
    <w:p w14:paraId="3FA5DBCF" w14:textId="77777777" w:rsidR="00EC4C49" w:rsidRPr="00DD3A64" w:rsidRDefault="00EC4C49" w:rsidP="00EC4C49">
      <w:pPr>
        <w:pStyle w:val="ListBullet"/>
        <w:rPr>
          <w:i/>
        </w:rPr>
      </w:pPr>
      <w:r>
        <w:t>While no strong evidence of superiority to other IV resuscitation fluids, it is at least equivalent in efficacy.</w:t>
      </w:r>
    </w:p>
    <w:p w14:paraId="58EE65CC" w14:textId="77777777" w:rsidR="00EC4C49" w:rsidRPr="005D3659" w:rsidRDefault="00EC4C49" w:rsidP="00EC4C49">
      <w:pPr>
        <w:pStyle w:val="ListBullet"/>
        <w:rPr>
          <w:i/>
          <w:iCs/>
        </w:rPr>
      </w:pPr>
      <w:r>
        <w:t>Less risk of skin necrosis if accidental extravasation occurs.</w:t>
      </w:r>
    </w:p>
    <w:p w14:paraId="4CC41588" w14:textId="77777777" w:rsidR="00EC4C49" w:rsidRDefault="00EC4C49" w:rsidP="00EC4C49">
      <w:pPr>
        <w:pStyle w:val="ListBullet"/>
        <w:numPr>
          <w:ilvl w:val="0"/>
          <w:numId w:val="0"/>
        </w:numPr>
      </w:pPr>
    </w:p>
    <w:p w14:paraId="197AD4C1" w14:textId="77777777" w:rsidR="00EC4C49" w:rsidRDefault="00EC4C49" w:rsidP="00EC4C49">
      <w:pPr>
        <w:pStyle w:val="ListBullet"/>
        <w:numPr>
          <w:ilvl w:val="0"/>
          <w:numId w:val="0"/>
        </w:numPr>
      </w:pPr>
      <w:r>
        <w:t>CHS use pre-made bags of HTS at the following concentrations:</w:t>
      </w:r>
    </w:p>
    <w:p w14:paraId="1840BB7E" w14:textId="77777777" w:rsidR="00EC4C49" w:rsidRDefault="00EC4C49" w:rsidP="00EC4C49">
      <w:pPr>
        <w:pStyle w:val="ListBullet"/>
      </w:pPr>
      <w:r>
        <w:t>Sodium chloride 3%</w:t>
      </w:r>
    </w:p>
    <w:p w14:paraId="0665A047" w14:textId="77777777" w:rsidR="00EC4C49" w:rsidRDefault="00EC4C49" w:rsidP="00EC4C49">
      <w:pPr>
        <w:pStyle w:val="ListBullet"/>
      </w:pPr>
      <w:r>
        <w:t>Sodium chloride 7.5%</w:t>
      </w:r>
    </w:p>
    <w:p w14:paraId="03C26C8F" w14:textId="77777777" w:rsidR="00EC4C49" w:rsidRDefault="00EC4C49" w:rsidP="00EC4C49">
      <w:pPr>
        <w:pStyle w:val="ListBullet"/>
        <w:numPr>
          <w:ilvl w:val="0"/>
          <w:numId w:val="0"/>
        </w:numPr>
      </w:pPr>
      <w:r>
        <w:t>HTS pre-made bags are supplied by Pharmacy Department.</w:t>
      </w:r>
    </w:p>
    <w:p w14:paraId="54CB563B" w14:textId="77777777" w:rsidR="00EC4C49" w:rsidRDefault="00EC4C49" w:rsidP="00EC4C49">
      <w:pPr>
        <w:pStyle w:val="ListBullet"/>
        <w:numPr>
          <w:ilvl w:val="0"/>
          <w:numId w:val="0"/>
        </w:numPr>
      </w:pPr>
    </w:p>
    <w:p w14:paraId="17B7FCB0" w14:textId="77777777" w:rsidR="00EC4C49" w:rsidRPr="005D3659" w:rsidRDefault="00EC4C49" w:rsidP="00EC4C49">
      <w:pPr>
        <w:rPr>
          <w:rFonts w:cs="Arial"/>
          <w:iCs/>
          <w:szCs w:val="24"/>
        </w:rPr>
      </w:pPr>
      <w:r>
        <w:rPr>
          <w:rFonts w:cs="Arial"/>
          <w:iCs/>
          <w:szCs w:val="24"/>
        </w:rPr>
        <w:t xml:space="preserve">Within ED, </w:t>
      </w:r>
      <w:proofErr w:type="gramStart"/>
      <w:r>
        <w:rPr>
          <w:rFonts w:cs="Arial"/>
          <w:iCs/>
          <w:szCs w:val="24"/>
        </w:rPr>
        <w:t>the majority of</w:t>
      </w:r>
      <w:proofErr w:type="gramEnd"/>
      <w:r>
        <w:rPr>
          <w:rFonts w:cs="Arial"/>
          <w:iCs/>
          <w:szCs w:val="24"/>
        </w:rPr>
        <w:t xml:space="preserve"> traumatic brain injury patients requiring hyperosmolar fluid will be treated in close consultation with Neurosurgery team. The choice of mannitol versus </w:t>
      </w:r>
      <w:r>
        <w:rPr>
          <w:rFonts w:cs="Arial"/>
          <w:iCs/>
          <w:szCs w:val="24"/>
        </w:rPr>
        <w:lastRenderedPageBreak/>
        <w:t xml:space="preserve">hypertonic saline should be made in consultation with Neurosurgery team if possible. HTS is preferred and mannitol may be given as per neurosurgical </w:t>
      </w:r>
      <w:proofErr w:type="gramStart"/>
      <w:r>
        <w:rPr>
          <w:rFonts w:cs="Arial"/>
          <w:iCs/>
          <w:szCs w:val="24"/>
        </w:rPr>
        <w:t>preference, but</w:t>
      </w:r>
      <w:proofErr w:type="gramEnd"/>
      <w:r>
        <w:rPr>
          <w:rFonts w:cs="Arial"/>
          <w:iCs/>
          <w:szCs w:val="24"/>
        </w:rPr>
        <w:t xml:space="preserve"> should be avoided in unstable polytrauma patients as it is more likely to exacerbate hypotension from haemorrhagic shock in this cohort.  </w:t>
      </w:r>
    </w:p>
    <w:p w14:paraId="0865AAF5" w14:textId="77777777" w:rsidR="00EC4C49" w:rsidRDefault="00EC4C49" w:rsidP="00EC4C49">
      <w:pPr>
        <w:rPr>
          <w:b/>
        </w:rPr>
      </w:pPr>
    </w:p>
    <w:bookmarkEnd w:id="13"/>
    <w:p w14:paraId="3F5C2344" w14:textId="77777777" w:rsidR="00EC4C49" w:rsidRDefault="00EC4C49" w:rsidP="00EC4C49">
      <w:pPr>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Fonts w:cs="Arial"/>
          <w:i/>
          <w:szCs w:val="24"/>
        </w:rPr>
        <w:t xml:space="preserve"> </w:t>
      </w:r>
    </w:p>
    <w:p w14:paraId="4CC1AC43" w14:textId="77777777" w:rsidR="00EC4C49" w:rsidRDefault="00EC4C49" w:rsidP="00EC4C49">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6D70A90F" w14:textId="77777777" w:rsidTr="00D31BA6">
        <w:trPr>
          <w:cantSplit/>
          <w:trHeight w:val="285"/>
        </w:trPr>
        <w:tc>
          <w:tcPr>
            <w:tcW w:w="9158" w:type="dxa"/>
            <w:shd w:val="clear" w:color="auto" w:fill="A6A6A6" w:themeFill="background1" w:themeFillShade="A6"/>
          </w:tcPr>
          <w:p w14:paraId="3CFA67E6" w14:textId="77777777" w:rsidR="00EC4C49" w:rsidRPr="00C76688" w:rsidRDefault="00EC4C49" w:rsidP="00D31BA6">
            <w:pPr>
              <w:pStyle w:val="Heading1"/>
            </w:pPr>
            <w:bookmarkStart w:id="14" w:name="_Toc126064241"/>
            <w:r>
              <w:t>Procedure</w:t>
            </w:r>
            <w:bookmarkEnd w:id="14"/>
          </w:p>
        </w:tc>
      </w:tr>
    </w:tbl>
    <w:p w14:paraId="1612A1BB" w14:textId="77777777" w:rsidR="00EC4C49" w:rsidRDefault="00EC4C49" w:rsidP="00EC4C49">
      <w:pPr>
        <w:rPr>
          <w:rFonts w:cs="Arial"/>
          <w:b/>
          <w:szCs w:val="24"/>
        </w:rPr>
      </w:pPr>
    </w:p>
    <w:p w14:paraId="63D35162" w14:textId="77777777" w:rsidR="00EC4C49" w:rsidRDefault="00EC4C49" w:rsidP="00EC4C49">
      <w:pPr>
        <w:rPr>
          <w:b/>
        </w:rPr>
      </w:pPr>
      <w:r>
        <w:rPr>
          <w:b/>
        </w:rPr>
        <w:t>Equipment:</w:t>
      </w:r>
    </w:p>
    <w:p w14:paraId="3CE5FD42" w14:textId="77777777" w:rsidR="00EC4C49" w:rsidRPr="00DD3A64" w:rsidRDefault="00EC4C49" w:rsidP="00EC4C49">
      <w:pPr>
        <w:pStyle w:val="ListBullet"/>
      </w:pPr>
      <w:proofErr w:type="spellStart"/>
      <w:r w:rsidRPr="00DD3A64">
        <w:t>SouthCare</w:t>
      </w:r>
      <w:proofErr w:type="spellEnd"/>
      <w:r w:rsidRPr="00DD3A64">
        <w:t xml:space="preserve"> and CH ED use 7.5% s</w:t>
      </w:r>
      <w:r>
        <w:t>odium chloride in 250mL</w:t>
      </w:r>
      <w:r w:rsidRPr="00DD3A64">
        <w:t>:</w:t>
      </w:r>
    </w:p>
    <w:p w14:paraId="5E31B2F4" w14:textId="77777777" w:rsidR="00EC4C49" w:rsidRDefault="00EC4C49" w:rsidP="00EC4C49">
      <w:pPr>
        <w:pStyle w:val="ListBullet"/>
        <w:ind w:left="852"/>
      </w:pPr>
      <w:r w:rsidRPr="00DD3A64">
        <w:t xml:space="preserve">Osmolality of 2566 </w:t>
      </w:r>
      <w:proofErr w:type="spellStart"/>
      <w:r w:rsidRPr="00DD3A64">
        <w:t>mOsm</w:t>
      </w:r>
      <w:proofErr w:type="spellEnd"/>
      <w:r w:rsidRPr="00DD3A64">
        <w:t>/kg</w:t>
      </w:r>
    </w:p>
    <w:p w14:paraId="33AB1CA6" w14:textId="77777777" w:rsidR="00EC4C49" w:rsidRDefault="00EC4C49" w:rsidP="00EC4C49">
      <w:pPr>
        <w:pStyle w:val="ListBullet"/>
        <w:ind w:left="852"/>
      </w:pPr>
      <w:r>
        <w:t>Sodium concentration of 1283mmol/L</w:t>
      </w:r>
    </w:p>
    <w:p w14:paraId="4676D642" w14:textId="77777777" w:rsidR="00EC4C49" w:rsidRDefault="00EC4C49" w:rsidP="00EC4C49">
      <w:pPr>
        <w:pStyle w:val="ListBullet"/>
        <w:ind w:left="852"/>
      </w:pPr>
      <w:r>
        <w:t>All packaging to be clearly labelled with: “Hypertonic Saline”</w:t>
      </w:r>
    </w:p>
    <w:p w14:paraId="58068687" w14:textId="77777777" w:rsidR="00EC4C49" w:rsidRDefault="00EC4C49" w:rsidP="00EC4C49">
      <w:pPr>
        <w:ind w:left="720" w:firstLine="720"/>
        <w:rPr>
          <w:bCs/>
        </w:rPr>
      </w:pPr>
    </w:p>
    <w:p w14:paraId="0D63E01C" w14:textId="77777777" w:rsidR="00EC4C49" w:rsidRDefault="00EC4C49" w:rsidP="00EC4C49">
      <w:pPr>
        <w:pStyle w:val="ListBullet"/>
      </w:pPr>
      <w:r>
        <w:t>Also available in CH ED:  20% Mannitol in 500mL:</w:t>
      </w:r>
    </w:p>
    <w:p w14:paraId="4B993756" w14:textId="77777777" w:rsidR="00EC4C49" w:rsidRDefault="00EC4C49" w:rsidP="00EC4C49">
      <w:pPr>
        <w:pStyle w:val="ListBullet"/>
        <w:ind w:left="852"/>
      </w:pPr>
      <w:r>
        <w:t xml:space="preserve">Osmolality of 1192 </w:t>
      </w:r>
      <w:proofErr w:type="spellStart"/>
      <w:r>
        <w:t>mOsm</w:t>
      </w:r>
      <w:proofErr w:type="spellEnd"/>
      <w:r>
        <w:t>/kg</w:t>
      </w:r>
    </w:p>
    <w:p w14:paraId="4FECBBAD" w14:textId="77777777" w:rsidR="00EC4C49" w:rsidRDefault="00EC4C49" w:rsidP="00EC4C49">
      <w:pPr>
        <w:pStyle w:val="ListBullet"/>
        <w:ind w:left="852"/>
      </w:pPr>
      <w:r>
        <w:t>Mannitol concentration of 1098 mmol/L</w:t>
      </w:r>
    </w:p>
    <w:p w14:paraId="47E8C918" w14:textId="77777777" w:rsidR="00EC4C49" w:rsidRDefault="00EC4C49" w:rsidP="00EC4C49">
      <w:pPr>
        <w:pStyle w:val="ListBullet"/>
        <w:ind w:left="852"/>
      </w:pPr>
      <w:r>
        <w:t>All packaging to be clearly labelled as “Mannitol”</w:t>
      </w:r>
    </w:p>
    <w:p w14:paraId="4877711D" w14:textId="77777777" w:rsidR="00EC4C49" w:rsidRDefault="00EC4C49" w:rsidP="00EC4C49">
      <w:pPr>
        <w:rPr>
          <w:b/>
        </w:rPr>
      </w:pPr>
    </w:p>
    <w:p w14:paraId="293B45BF" w14:textId="77777777" w:rsidR="00EC4C49" w:rsidRPr="009D2E73" w:rsidRDefault="00EC4C49" w:rsidP="00EC4C49">
      <w:pPr>
        <w:rPr>
          <w:b/>
        </w:rPr>
      </w:pPr>
      <w:r w:rsidRPr="00F221D8">
        <w:rPr>
          <w:b/>
        </w:rPr>
        <w:t>Dosage</w:t>
      </w:r>
      <w:r>
        <w:rPr>
          <w:bCs/>
        </w:rPr>
        <w:t>:</w:t>
      </w:r>
    </w:p>
    <w:p w14:paraId="61EF6C8D" w14:textId="77777777" w:rsidR="00EC4C49" w:rsidRPr="009D2E73" w:rsidRDefault="00EC4C49" w:rsidP="00EC4C49">
      <w:pPr>
        <w:pStyle w:val="ListBullet"/>
        <w:rPr>
          <w:b/>
          <w:bCs/>
        </w:rPr>
      </w:pPr>
      <w:r w:rsidRPr="009D2E73">
        <w:rPr>
          <w:b/>
          <w:bCs/>
        </w:rPr>
        <w:t>Hypertonic Saline</w:t>
      </w:r>
      <w:r>
        <w:rPr>
          <w:b/>
          <w:bCs/>
        </w:rPr>
        <w:t xml:space="preserve"> </w:t>
      </w:r>
    </w:p>
    <w:p w14:paraId="392457F5" w14:textId="77777777" w:rsidR="00EC4C49" w:rsidRPr="009D2E73" w:rsidRDefault="00EC4C49" w:rsidP="00EC4C49">
      <w:pPr>
        <w:ind w:firstLine="426"/>
        <w:rPr>
          <w:bCs/>
        </w:rPr>
      </w:pPr>
      <w:r w:rsidRPr="009D2E73">
        <w:rPr>
          <w:bCs/>
        </w:rPr>
        <w:t xml:space="preserve">Adults: 250mL </w:t>
      </w:r>
    </w:p>
    <w:p w14:paraId="424F19B6" w14:textId="77777777" w:rsidR="00EC4C49" w:rsidRPr="009D2E73" w:rsidRDefault="00EC4C49" w:rsidP="00EC4C49">
      <w:pPr>
        <w:ind w:firstLine="426"/>
        <w:rPr>
          <w:bCs/>
        </w:rPr>
      </w:pPr>
      <w:r w:rsidRPr="009D2E73">
        <w:rPr>
          <w:bCs/>
        </w:rPr>
        <w:t>Children: 5mL/kg</w:t>
      </w:r>
    </w:p>
    <w:p w14:paraId="6F9A2E6F" w14:textId="77777777" w:rsidR="00EC4C49" w:rsidRPr="009D2E73" w:rsidRDefault="00EC4C49" w:rsidP="00EC4C49">
      <w:pPr>
        <w:pStyle w:val="ListBullet"/>
        <w:rPr>
          <w:b/>
          <w:bCs/>
        </w:rPr>
      </w:pPr>
      <w:r w:rsidRPr="009D2E73">
        <w:rPr>
          <w:b/>
          <w:bCs/>
        </w:rPr>
        <w:t>Mannitol:</w:t>
      </w:r>
    </w:p>
    <w:p w14:paraId="08F457EE" w14:textId="77777777" w:rsidR="00EC4C49" w:rsidRDefault="00EC4C49" w:rsidP="00EC4C49">
      <w:pPr>
        <w:ind w:firstLine="426"/>
        <w:rPr>
          <w:b/>
          <w:bCs/>
        </w:rPr>
      </w:pPr>
      <w:r>
        <w:rPr>
          <w:b/>
          <w:bCs/>
        </w:rPr>
        <w:t>A</w:t>
      </w:r>
      <w:r w:rsidRPr="009D2E73">
        <w:t xml:space="preserve">dults and children: 0.25 g/kg to 2g/kg </w:t>
      </w:r>
    </w:p>
    <w:p w14:paraId="20DE05D4" w14:textId="77777777" w:rsidR="00EC4C49" w:rsidRDefault="00EC4C49" w:rsidP="00EC4C49">
      <w:pPr>
        <w:rPr>
          <w:rFonts w:cs="Arial"/>
          <w:b/>
          <w:bCs/>
          <w:iCs/>
          <w:szCs w:val="24"/>
        </w:rPr>
      </w:pPr>
    </w:p>
    <w:p w14:paraId="00924A9F" w14:textId="77777777" w:rsidR="00EC4C49" w:rsidRDefault="00EC4C49" w:rsidP="00EC4C49">
      <w:pPr>
        <w:pBdr>
          <w:top w:val="single" w:sz="4" w:space="1" w:color="auto"/>
          <w:left w:val="single" w:sz="4" w:space="4" w:color="auto"/>
          <w:bottom w:val="single" w:sz="4" w:space="1" w:color="auto"/>
          <w:right w:val="single" w:sz="4" w:space="4" w:color="auto"/>
        </w:pBdr>
        <w:rPr>
          <w:rFonts w:cs="Arial"/>
          <w:b/>
          <w:bCs/>
          <w:iCs/>
          <w:szCs w:val="24"/>
        </w:rPr>
      </w:pPr>
      <w:r>
        <w:rPr>
          <w:rFonts w:cs="Arial"/>
          <w:b/>
          <w:bCs/>
          <w:iCs/>
          <w:szCs w:val="24"/>
        </w:rPr>
        <w:t xml:space="preserve">Alert: </w:t>
      </w:r>
      <w:r w:rsidRPr="008D12B6">
        <w:rPr>
          <w:rFonts w:cs="Arial"/>
          <w:iCs/>
          <w:szCs w:val="24"/>
        </w:rPr>
        <w:t xml:space="preserve">Both </w:t>
      </w:r>
      <w:r>
        <w:rPr>
          <w:rFonts w:cs="Arial"/>
          <w:iCs/>
          <w:szCs w:val="24"/>
        </w:rPr>
        <w:t>hypertonic saline (HT</w:t>
      </w:r>
      <w:r w:rsidRPr="008D12B6">
        <w:rPr>
          <w:rFonts w:cs="Arial"/>
          <w:iCs/>
          <w:szCs w:val="24"/>
        </w:rPr>
        <w:t>S</w:t>
      </w:r>
      <w:r>
        <w:rPr>
          <w:rFonts w:cs="Arial"/>
          <w:iCs/>
          <w:szCs w:val="24"/>
        </w:rPr>
        <w:t>)</w:t>
      </w:r>
      <w:r w:rsidRPr="008D12B6">
        <w:rPr>
          <w:rFonts w:cs="Arial"/>
          <w:iCs/>
          <w:szCs w:val="24"/>
        </w:rPr>
        <w:t xml:space="preserve"> and Mannitol should be given as a bolus dose (&lt;5 minutes) through a large peripheral vein or central access</w:t>
      </w:r>
    </w:p>
    <w:p w14:paraId="07455682" w14:textId="77777777" w:rsidR="00EC4C49" w:rsidRDefault="00EC4C49" w:rsidP="00EC4C49">
      <w:pPr>
        <w:rPr>
          <w:rFonts w:cs="Arial"/>
          <w:b/>
          <w:bCs/>
          <w:iCs/>
          <w:szCs w:val="24"/>
        </w:rPr>
      </w:pPr>
    </w:p>
    <w:p w14:paraId="0A147B2B" w14:textId="77777777" w:rsidR="00EC4C49" w:rsidRPr="008D12B6" w:rsidRDefault="00EC4C49" w:rsidP="00EC4C49">
      <w:pPr>
        <w:pStyle w:val="ListBullet"/>
        <w:rPr>
          <w:b/>
          <w:bCs/>
        </w:rPr>
      </w:pPr>
      <w:r w:rsidRPr="008D12B6">
        <w:rPr>
          <w:b/>
          <w:bCs/>
        </w:rPr>
        <w:t>Primary Indication:</w:t>
      </w:r>
    </w:p>
    <w:p w14:paraId="4EC5D99A" w14:textId="77777777" w:rsidR="00EC4C49" w:rsidRDefault="00EC4C49" w:rsidP="00EC4C49">
      <w:pPr>
        <w:pStyle w:val="ListBullet"/>
        <w:ind w:left="852"/>
      </w:pPr>
      <w:r w:rsidRPr="00F221D8">
        <w:t xml:space="preserve">Raised </w:t>
      </w:r>
      <w:r>
        <w:t>i</w:t>
      </w:r>
      <w:r w:rsidRPr="00F221D8">
        <w:t xml:space="preserve">ntracranial </w:t>
      </w:r>
      <w:r>
        <w:t>p</w:t>
      </w:r>
      <w:r w:rsidRPr="00F221D8">
        <w:t>ressure to temporarily decrease ICP prior to neurosurgical intervention</w:t>
      </w:r>
      <w:r>
        <w:t>.</w:t>
      </w:r>
    </w:p>
    <w:p w14:paraId="1739DB40" w14:textId="77777777" w:rsidR="00EC4C49" w:rsidRPr="008D12B6" w:rsidRDefault="00EC4C49" w:rsidP="00EC4C49">
      <w:pPr>
        <w:pStyle w:val="ListBullet"/>
        <w:ind w:left="852"/>
      </w:pPr>
      <w:r w:rsidRPr="1FFAD683">
        <w:t xml:space="preserve">Suspected </w:t>
      </w:r>
      <w:r>
        <w:t>r</w:t>
      </w:r>
      <w:r w:rsidRPr="1FFAD683">
        <w:t>aised intracranial pressure with evidence of herniation may be indicated by a dilated pupil or pupils without direct or consensual light reflex (</w:t>
      </w:r>
      <w:proofErr w:type="spellStart"/>
      <w:r w:rsidRPr="1FFAD683">
        <w:t>uncal</w:t>
      </w:r>
      <w:proofErr w:type="spellEnd"/>
      <w:r w:rsidRPr="1FFAD683">
        <w:t xml:space="preserve"> herniation) or by excessive hypertensive response with bradycardia in appropriate clinical context indicating Cushing’s reflex due to infratentorial herniation</w:t>
      </w:r>
      <w:r>
        <w:t>.</w:t>
      </w:r>
    </w:p>
    <w:p w14:paraId="219CF06E" w14:textId="77777777" w:rsidR="00EC4C49" w:rsidRPr="008D12B6" w:rsidRDefault="00EC4C49" w:rsidP="00EC4C49">
      <w:pPr>
        <w:pStyle w:val="ListBullet"/>
        <w:rPr>
          <w:b/>
          <w:bCs/>
        </w:rPr>
      </w:pPr>
      <w:r w:rsidRPr="008D12B6">
        <w:rPr>
          <w:b/>
          <w:bCs/>
        </w:rPr>
        <w:t>Secondary Indication</w:t>
      </w:r>
    </w:p>
    <w:p w14:paraId="1CC07F0F" w14:textId="77777777" w:rsidR="00EC4C49" w:rsidRDefault="00EC4C49" w:rsidP="00EC4C49">
      <w:pPr>
        <w:pStyle w:val="ListBullet"/>
        <w:ind w:left="852"/>
      </w:pPr>
      <w:r>
        <w:t>Hypertonic saline may be used as an initial resuscitation fluid in hypovolaemia in trauma. It may be used as an adjunct to isotonic fluids, with blood or in isolation. Every effort should be made to control haemorrhage prior to fluid administration.</w:t>
      </w:r>
    </w:p>
    <w:p w14:paraId="1FD726C9" w14:textId="77777777" w:rsidR="00EC4C49" w:rsidRDefault="00EC4C49" w:rsidP="00EC4C49">
      <w:pPr>
        <w:rPr>
          <w:rFonts w:cs="Arial"/>
          <w:b/>
          <w:bCs/>
        </w:rPr>
      </w:pPr>
    </w:p>
    <w:p w14:paraId="1BF7B9AC" w14:textId="77777777" w:rsidR="00EC4C49" w:rsidRDefault="00EC4C49" w:rsidP="00EC4C49">
      <w:pPr>
        <w:rPr>
          <w:rFonts w:cs="Arial"/>
          <w:b/>
          <w:bCs/>
        </w:rPr>
      </w:pPr>
      <w:r>
        <w:rPr>
          <w:rFonts w:cs="Arial"/>
          <w:b/>
          <w:bCs/>
        </w:rPr>
        <w:t xml:space="preserve">Relative </w:t>
      </w:r>
      <w:r w:rsidRPr="525175D2">
        <w:rPr>
          <w:rFonts w:cs="Arial"/>
          <w:b/>
          <w:bCs/>
        </w:rPr>
        <w:t>Contra-indications</w:t>
      </w:r>
    </w:p>
    <w:p w14:paraId="099ACE5C" w14:textId="77777777" w:rsidR="00EC4C49" w:rsidRPr="009D2E73" w:rsidRDefault="00EC4C49" w:rsidP="00EC4C49">
      <w:pPr>
        <w:pStyle w:val="ListBullet"/>
        <w:rPr>
          <w:b/>
          <w:bCs/>
        </w:rPr>
      </w:pPr>
      <w:r>
        <w:t>As above, Mannitol should be avoided in unstable/hypotensive polytrauma patients.</w:t>
      </w:r>
    </w:p>
    <w:p w14:paraId="12EB4EDB" w14:textId="77777777" w:rsidR="00EC4C49" w:rsidRPr="009D2E73" w:rsidRDefault="00EC4C49" w:rsidP="00EC4C49">
      <w:pPr>
        <w:pStyle w:val="ListBullet"/>
        <w:rPr>
          <w:b/>
          <w:bCs/>
        </w:rPr>
      </w:pPr>
      <w:r>
        <w:lastRenderedPageBreak/>
        <w:t xml:space="preserve">Mannitol should be avoided in third trimester pregnant patients as it crosses the placental barrier and may cause </w:t>
      </w:r>
      <w:proofErr w:type="spellStart"/>
      <w:r>
        <w:t>fetal</w:t>
      </w:r>
      <w:proofErr w:type="spellEnd"/>
      <w:r>
        <w:t xml:space="preserve"> hypovolaemia. HTS is preferred in this group.</w:t>
      </w:r>
    </w:p>
    <w:p w14:paraId="683CDA35" w14:textId="77777777" w:rsidR="00EC4C49" w:rsidRPr="006108B4" w:rsidRDefault="00EC4C49" w:rsidP="00EC4C49">
      <w:pPr>
        <w:pStyle w:val="ListBullet"/>
        <w:rPr>
          <w:b/>
          <w:bCs/>
        </w:rPr>
      </w:pPr>
      <w:r>
        <w:t xml:space="preserve">HTS is not recommended in patients with known </w:t>
      </w:r>
      <w:proofErr w:type="spellStart"/>
      <w:proofErr w:type="gramStart"/>
      <w:r>
        <w:t>hypernatraemia</w:t>
      </w:r>
      <w:proofErr w:type="spellEnd"/>
      <w:r>
        <w:t>, or</w:t>
      </w:r>
      <w:proofErr w:type="gramEnd"/>
      <w:r>
        <w:t xml:space="preserve"> established renal failure.</w:t>
      </w:r>
    </w:p>
    <w:p w14:paraId="018C1B5E" w14:textId="77777777" w:rsidR="00EC4C49" w:rsidRPr="00AB4E56" w:rsidRDefault="00EC4C49" w:rsidP="00EC4C49">
      <w:pPr>
        <w:pStyle w:val="ListBullet"/>
        <w:rPr>
          <w:b/>
          <w:bCs/>
        </w:rPr>
      </w:pPr>
      <w:r>
        <w:t>HTS should be used with caution in patients with known hyponatraemia as a theoretical risk of osmotic demyelination syndrome exists.</w:t>
      </w:r>
    </w:p>
    <w:p w14:paraId="77029F24" w14:textId="77777777" w:rsidR="00EC4C49" w:rsidRPr="00AB4E56" w:rsidRDefault="00EC4C49" w:rsidP="00EC4C49">
      <w:pPr>
        <w:pStyle w:val="ListBullet"/>
        <w:rPr>
          <w:b/>
          <w:bCs/>
        </w:rPr>
      </w:pPr>
      <w:r>
        <w:t>HTS should preferentially be given intravenously, and with caution by intra-osseous route, as animal studies suggest a significant incidence of delayed myonecrosis.</w:t>
      </w:r>
    </w:p>
    <w:p w14:paraId="3AA0188C" w14:textId="77777777" w:rsidR="00EC4C49" w:rsidRDefault="00EC4C49" w:rsidP="00EC4C49">
      <w:pPr>
        <w:rPr>
          <w:rFonts w:cs="Arial"/>
          <w:b/>
          <w:bCs/>
          <w:iCs/>
          <w:szCs w:val="24"/>
        </w:rPr>
      </w:pPr>
    </w:p>
    <w:p w14:paraId="2ADA8A9A" w14:textId="77777777" w:rsidR="00EC4C49" w:rsidRDefault="00EC4C49" w:rsidP="00EC4C49">
      <w:pPr>
        <w:rPr>
          <w:rFonts w:cs="Arial"/>
          <w:b/>
          <w:bCs/>
          <w:iCs/>
          <w:szCs w:val="24"/>
        </w:rPr>
      </w:pPr>
      <w:r>
        <w:rPr>
          <w:rFonts w:cs="Arial"/>
          <w:b/>
          <w:bCs/>
          <w:iCs/>
          <w:szCs w:val="24"/>
        </w:rPr>
        <w:t>Documentation and Handover</w:t>
      </w:r>
    </w:p>
    <w:p w14:paraId="1D040453" w14:textId="77777777" w:rsidR="00EC4C49" w:rsidRDefault="00EC4C49" w:rsidP="00EC4C49">
      <w:pPr>
        <w:rPr>
          <w:rFonts w:cs="Arial"/>
          <w:iCs/>
          <w:szCs w:val="24"/>
        </w:rPr>
      </w:pPr>
      <w:r>
        <w:rPr>
          <w:rFonts w:cs="Arial"/>
          <w:iCs/>
          <w:szCs w:val="24"/>
        </w:rPr>
        <w:t xml:space="preserve">Timings and volume administered must be clearly documented in the patient’s clinical record and handed over to the accepting clinician at any transfer of care, refer to </w:t>
      </w:r>
      <w:r w:rsidRPr="008D12B6">
        <w:rPr>
          <w:rFonts w:cs="Arial"/>
          <w:i/>
          <w:szCs w:val="24"/>
        </w:rPr>
        <w:t>Clinical Handover Procedure</w:t>
      </w:r>
      <w:r>
        <w:rPr>
          <w:rFonts w:cs="Arial"/>
          <w:iCs/>
          <w:szCs w:val="24"/>
        </w:rPr>
        <w:t>. Neurological parameters, GCS and pupillary signs must also be noted with times and response.</w:t>
      </w:r>
    </w:p>
    <w:p w14:paraId="3E26977B" w14:textId="77777777" w:rsidR="00EC4C49" w:rsidRDefault="00EC4C49" w:rsidP="00EC4C49">
      <w:pPr>
        <w:pStyle w:val="Default"/>
        <w:rPr>
          <w:rFonts w:ascii="Calibri" w:hAnsi="Calibri" w:cs="Arial"/>
          <w:i/>
          <w:color w:val="auto"/>
          <w:lang w:eastAsia="en-US"/>
        </w:rPr>
      </w:pPr>
    </w:p>
    <w:p w14:paraId="698E0D6B" w14:textId="77777777" w:rsidR="00EC4C49" w:rsidRDefault="00EC4C49" w:rsidP="00EC4C49">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F32C5D" w14:paraId="327E5957" w14:textId="77777777" w:rsidTr="00D31BA6">
        <w:trPr>
          <w:cantSplit/>
          <w:trHeight w:val="285"/>
        </w:trPr>
        <w:tc>
          <w:tcPr>
            <w:tcW w:w="9158" w:type="dxa"/>
            <w:shd w:val="clear" w:color="auto" w:fill="A6A6A6" w:themeFill="background1" w:themeFillShade="A6"/>
          </w:tcPr>
          <w:p w14:paraId="09A5A382" w14:textId="77777777" w:rsidR="00EC4C49" w:rsidRPr="00F32C5D" w:rsidRDefault="00EC4C49" w:rsidP="00D31BA6">
            <w:pPr>
              <w:keepNext/>
              <w:tabs>
                <w:tab w:val="left" w:pos="1953"/>
              </w:tabs>
              <w:spacing w:before="60" w:after="60"/>
              <w:outlineLvl w:val="0"/>
              <w:rPr>
                <w:rFonts w:cs="Arial"/>
                <w:b/>
                <w:iCs/>
                <w:sz w:val="28"/>
              </w:rPr>
            </w:pPr>
            <w:bookmarkStart w:id="15" w:name="_Toc43903671"/>
            <w:r w:rsidRPr="00F32C5D">
              <w:rPr>
                <w:rFonts w:cs="Arial"/>
                <w:b/>
                <w:iCs/>
                <w:sz w:val="28"/>
              </w:rPr>
              <w:t>Evaluation</w:t>
            </w:r>
            <w:bookmarkEnd w:id="15"/>
            <w:r w:rsidRPr="00F32C5D">
              <w:rPr>
                <w:rFonts w:cs="Arial"/>
                <w:b/>
                <w:iCs/>
                <w:sz w:val="28"/>
              </w:rPr>
              <w:t xml:space="preserve"> </w:t>
            </w:r>
            <w:r w:rsidRPr="00F32C5D">
              <w:rPr>
                <w:rFonts w:cs="Arial"/>
                <w:b/>
                <w:iCs/>
                <w:sz w:val="28"/>
              </w:rPr>
              <w:tab/>
            </w:r>
          </w:p>
        </w:tc>
      </w:tr>
    </w:tbl>
    <w:p w14:paraId="34363167" w14:textId="77777777" w:rsidR="00EC4C49" w:rsidRPr="00F32C5D" w:rsidRDefault="00EC4C49" w:rsidP="00EC4C49">
      <w:pPr>
        <w:autoSpaceDE w:val="0"/>
        <w:autoSpaceDN w:val="0"/>
        <w:adjustRightInd w:val="0"/>
        <w:rPr>
          <w:rFonts w:cs="Arial"/>
          <w:i/>
          <w:szCs w:val="24"/>
        </w:rPr>
      </w:pPr>
    </w:p>
    <w:p w14:paraId="1E120B3F" w14:textId="77777777" w:rsidR="00EC4C49" w:rsidRPr="00F32C5D" w:rsidRDefault="00EC4C49" w:rsidP="00EC4C49">
      <w:pPr>
        <w:autoSpaceDE w:val="0"/>
        <w:autoSpaceDN w:val="0"/>
        <w:adjustRightInd w:val="0"/>
        <w:rPr>
          <w:rFonts w:cs="Arial"/>
          <w:b/>
          <w:bCs/>
          <w:iCs/>
          <w:szCs w:val="24"/>
        </w:rPr>
      </w:pPr>
      <w:r w:rsidRPr="00F32C5D">
        <w:rPr>
          <w:rFonts w:cs="Arial"/>
          <w:b/>
          <w:bCs/>
          <w:iCs/>
          <w:szCs w:val="24"/>
        </w:rPr>
        <w:t>Outcome</w:t>
      </w:r>
    </w:p>
    <w:p w14:paraId="354626A9" w14:textId="77777777" w:rsidR="00EC4C49" w:rsidRDefault="00EC4C49" w:rsidP="00EC4C49">
      <w:pPr>
        <w:autoSpaceDE w:val="0"/>
        <w:autoSpaceDN w:val="0"/>
        <w:adjustRightInd w:val="0"/>
        <w:rPr>
          <w:rFonts w:cs="Arial"/>
          <w:iCs/>
          <w:szCs w:val="24"/>
        </w:rPr>
      </w:pPr>
      <w:r>
        <w:rPr>
          <w:rFonts w:cs="Arial"/>
          <w:iCs/>
          <w:szCs w:val="24"/>
        </w:rPr>
        <w:t>Adult and children presenting with traumatic brain injury administered hyperosmolar fluids as per this procedure</w:t>
      </w:r>
    </w:p>
    <w:p w14:paraId="5F45F2C4" w14:textId="77777777" w:rsidR="00EC4C49" w:rsidRPr="009D2E73" w:rsidRDefault="00EC4C49" w:rsidP="00EC4C49">
      <w:pPr>
        <w:autoSpaceDE w:val="0"/>
        <w:autoSpaceDN w:val="0"/>
        <w:adjustRightInd w:val="0"/>
        <w:rPr>
          <w:rFonts w:cs="Arial"/>
          <w:iCs/>
          <w:szCs w:val="24"/>
        </w:rPr>
      </w:pPr>
    </w:p>
    <w:p w14:paraId="197F2D16" w14:textId="77777777" w:rsidR="00EC4C49" w:rsidRDefault="00EC4C49" w:rsidP="00EC4C49">
      <w:pPr>
        <w:autoSpaceDE w:val="0"/>
        <w:autoSpaceDN w:val="0"/>
        <w:adjustRightInd w:val="0"/>
        <w:rPr>
          <w:rFonts w:cs="Arial"/>
          <w:b/>
          <w:bCs/>
          <w:iCs/>
          <w:szCs w:val="24"/>
        </w:rPr>
      </w:pPr>
      <w:r w:rsidRPr="00F32C5D">
        <w:rPr>
          <w:rFonts w:cs="Arial"/>
          <w:b/>
          <w:bCs/>
          <w:iCs/>
          <w:szCs w:val="24"/>
        </w:rPr>
        <w:t>Measures</w:t>
      </w:r>
    </w:p>
    <w:p w14:paraId="3EF15D57" w14:textId="77777777" w:rsidR="00EC4C49" w:rsidRPr="009D2E73" w:rsidRDefault="00EC4C49" w:rsidP="00EC4C49">
      <w:pPr>
        <w:autoSpaceDE w:val="0"/>
        <w:autoSpaceDN w:val="0"/>
        <w:adjustRightInd w:val="0"/>
        <w:rPr>
          <w:rFonts w:cs="Arial"/>
          <w:iCs/>
          <w:szCs w:val="24"/>
        </w:rPr>
      </w:pPr>
      <w:r>
        <w:rPr>
          <w:rFonts w:cs="Arial"/>
          <w:iCs/>
          <w:szCs w:val="24"/>
        </w:rPr>
        <w:t xml:space="preserve">A review of five relevant clinical records per annum to ensure compliance </w:t>
      </w:r>
    </w:p>
    <w:p w14:paraId="4C969CDC" w14:textId="77777777" w:rsidR="00EC4C49" w:rsidRPr="00F32C5D" w:rsidRDefault="00EC4C49" w:rsidP="00EC4C49">
      <w:pPr>
        <w:autoSpaceDE w:val="0"/>
        <w:autoSpaceDN w:val="0"/>
        <w:adjustRightInd w:val="0"/>
        <w:rPr>
          <w:rFonts w:cs="Arial"/>
          <w:i/>
          <w:szCs w:val="24"/>
        </w:rPr>
      </w:pPr>
    </w:p>
    <w:p w14:paraId="490C7DFC" w14:textId="77777777" w:rsidR="00EC4C49" w:rsidRPr="00F32C5D" w:rsidRDefault="00EC4C49" w:rsidP="00EC4C49">
      <w:pPr>
        <w:jc w:val="right"/>
      </w:pPr>
      <w:hyperlink w:anchor="Contents" w:history="1">
        <w:r w:rsidRPr="00F32C5D">
          <w:rPr>
            <w:rFonts w:eastAsiaTheme="majorEastAsia"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F32C5D" w14:paraId="57CC7FA6" w14:textId="77777777" w:rsidTr="00D31BA6">
        <w:trPr>
          <w:cantSplit/>
          <w:trHeight w:val="285"/>
        </w:trPr>
        <w:tc>
          <w:tcPr>
            <w:tcW w:w="9158" w:type="dxa"/>
            <w:shd w:val="clear" w:color="auto" w:fill="A6A6A6" w:themeFill="background1" w:themeFillShade="A6"/>
          </w:tcPr>
          <w:p w14:paraId="7F4A131F" w14:textId="77777777" w:rsidR="00EC4C49" w:rsidRPr="00F32C5D" w:rsidRDefault="00EC4C49" w:rsidP="00D31BA6">
            <w:pPr>
              <w:keepNext/>
              <w:spacing w:before="60" w:after="60"/>
              <w:outlineLvl w:val="0"/>
              <w:rPr>
                <w:rFonts w:cs="Arial"/>
                <w:b/>
                <w:iCs/>
                <w:sz w:val="28"/>
              </w:rPr>
            </w:pPr>
            <w:bookmarkStart w:id="16" w:name="_Toc389473287"/>
            <w:bookmarkStart w:id="17" w:name="_Toc43903672"/>
            <w:r w:rsidRPr="00F32C5D">
              <w:rPr>
                <w:rFonts w:cs="Arial"/>
                <w:b/>
                <w:iCs/>
                <w:sz w:val="28"/>
              </w:rPr>
              <w:t>Related Policies, Procedures</w:t>
            </w:r>
            <w:bookmarkEnd w:id="16"/>
            <w:r w:rsidRPr="00F32C5D">
              <w:rPr>
                <w:rFonts w:cs="Arial"/>
                <w:b/>
                <w:iCs/>
                <w:sz w:val="28"/>
              </w:rPr>
              <w:t>, Guidelines and Legislation</w:t>
            </w:r>
            <w:bookmarkEnd w:id="17"/>
          </w:p>
        </w:tc>
      </w:tr>
    </w:tbl>
    <w:p w14:paraId="5B49F904" w14:textId="77777777" w:rsidR="00EC4C49" w:rsidRPr="00F32C5D" w:rsidRDefault="00EC4C49" w:rsidP="00EC4C49">
      <w:pPr>
        <w:rPr>
          <w:szCs w:val="24"/>
        </w:rPr>
      </w:pPr>
    </w:p>
    <w:p w14:paraId="3FE2F601" w14:textId="77777777" w:rsidR="00EC4C49" w:rsidRPr="00F32C5D" w:rsidRDefault="00EC4C49" w:rsidP="00EC4C49">
      <w:pPr>
        <w:rPr>
          <w:b/>
        </w:rPr>
      </w:pPr>
      <w:r w:rsidRPr="00F32C5D">
        <w:rPr>
          <w:b/>
        </w:rPr>
        <w:t>Policies</w:t>
      </w:r>
    </w:p>
    <w:p w14:paraId="01045F41" w14:textId="77777777" w:rsidR="00EC4C49" w:rsidRPr="00F32C5D" w:rsidRDefault="00EC4C49" w:rsidP="00EC4C49">
      <w:pPr>
        <w:numPr>
          <w:ilvl w:val="0"/>
          <w:numId w:val="3"/>
        </w:numPr>
        <w:ind w:left="360"/>
        <w:rPr>
          <w:rFonts w:cs="Arial"/>
          <w:szCs w:val="24"/>
        </w:rPr>
      </w:pPr>
      <w:r w:rsidRPr="00F32C5D">
        <w:rPr>
          <w:rFonts w:cs="Arial"/>
          <w:szCs w:val="24"/>
        </w:rPr>
        <w:t xml:space="preserve">Nursing and Midwifery </w:t>
      </w:r>
      <w:r>
        <w:rPr>
          <w:rFonts w:cs="Arial"/>
          <w:szCs w:val="24"/>
        </w:rPr>
        <w:t>Board of Australia Requirements for Practice</w:t>
      </w:r>
      <w:r w:rsidRPr="00F32C5D">
        <w:rPr>
          <w:rFonts w:cs="Arial"/>
          <w:szCs w:val="24"/>
        </w:rPr>
        <w:t xml:space="preserve"> </w:t>
      </w:r>
    </w:p>
    <w:p w14:paraId="1FC700C1" w14:textId="77777777" w:rsidR="00EC4C49" w:rsidRPr="00F32C5D" w:rsidRDefault="00EC4C49" w:rsidP="00EC4C49">
      <w:pPr>
        <w:numPr>
          <w:ilvl w:val="0"/>
          <w:numId w:val="3"/>
        </w:numPr>
        <w:ind w:left="360"/>
        <w:rPr>
          <w:rFonts w:cs="Arial"/>
          <w:szCs w:val="24"/>
        </w:rPr>
      </w:pPr>
      <w:r w:rsidRPr="00F32C5D">
        <w:rPr>
          <w:rFonts w:cs="Arial"/>
          <w:szCs w:val="24"/>
        </w:rPr>
        <w:t>Informed Consent (Clinical)</w:t>
      </w:r>
    </w:p>
    <w:p w14:paraId="3074B22C" w14:textId="77777777" w:rsidR="00EC4C49" w:rsidRPr="00F32C5D" w:rsidRDefault="00EC4C49" w:rsidP="00EC4C49">
      <w:pPr>
        <w:rPr>
          <w:rFonts w:cs="Arial"/>
          <w:szCs w:val="24"/>
        </w:rPr>
      </w:pPr>
    </w:p>
    <w:p w14:paraId="07E420F6" w14:textId="77777777" w:rsidR="00EC4C49" w:rsidRPr="00F32C5D" w:rsidRDefault="00EC4C49" w:rsidP="00EC4C49">
      <w:pPr>
        <w:rPr>
          <w:b/>
        </w:rPr>
      </w:pPr>
      <w:r w:rsidRPr="00F32C5D">
        <w:rPr>
          <w:b/>
        </w:rPr>
        <w:t>Procedures</w:t>
      </w:r>
    </w:p>
    <w:p w14:paraId="55D12677" w14:textId="77777777" w:rsidR="00EC4C49" w:rsidRDefault="00EC4C49" w:rsidP="00EC4C49">
      <w:pPr>
        <w:numPr>
          <w:ilvl w:val="0"/>
          <w:numId w:val="3"/>
        </w:numPr>
        <w:ind w:left="360"/>
        <w:rPr>
          <w:rFonts w:cs="Arial"/>
          <w:szCs w:val="24"/>
        </w:rPr>
      </w:pPr>
      <w:r>
        <w:rPr>
          <w:rFonts w:cs="Arial"/>
          <w:szCs w:val="24"/>
        </w:rPr>
        <w:t>Clinical Handover</w:t>
      </w:r>
    </w:p>
    <w:p w14:paraId="53BD820D" w14:textId="77777777" w:rsidR="00EC4C49" w:rsidRPr="00F32C5D" w:rsidRDefault="00EC4C49" w:rsidP="00EC4C49">
      <w:pPr>
        <w:numPr>
          <w:ilvl w:val="0"/>
          <w:numId w:val="3"/>
        </w:numPr>
        <w:ind w:left="360"/>
        <w:rPr>
          <w:rFonts w:cs="Arial"/>
          <w:szCs w:val="24"/>
        </w:rPr>
      </w:pPr>
      <w:r w:rsidRPr="00F32C5D">
        <w:rPr>
          <w:rFonts w:cs="Arial"/>
          <w:szCs w:val="24"/>
        </w:rPr>
        <w:t xml:space="preserve">Infection Prevention and Control Healthcare Associated Infections Clinical </w:t>
      </w:r>
    </w:p>
    <w:p w14:paraId="28331493" w14:textId="77777777" w:rsidR="00EC4C49" w:rsidRDefault="00EC4C49" w:rsidP="00EC4C49">
      <w:pPr>
        <w:numPr>
          <w:ilvl w:val="0"/>
          <w:numId w:val="3"/>
        </w:numPr>
        <w:ind w:left="360"/>
        <w:contextualSpacing/>
        <w:rPr>
          <w:rFonts w:cs="Arial"/>
          <w:szCs w:val="24"/>
        </w:rPr>
      </w:pPr>
      <w:r w:rsidRPr="00F32C5D">
        <w:rPr>
          <w:rFonts w:cs="Arial"/>
          <w:szCs w:val="24"/>
        </w:rPr>
        <w:t xml:space="preserve">Patient Identification and Procedure Matching </w:t>
      </w:r>
    </w:p>
    <w:p w14:paraId="4AA91BCD" w14:textId="77777777" w:rsidR="00EC4C49" w:rsidRDefault="00EC4C49" w:rsidP="00EC4C49">
      <w:pPr>
        <w:numPr>
          <w:ilvl w:val="0"/>
          <w:numId w:val="3"/>
        </w:numPr>
        <w:ind w:left="360"/>
        <w:contextualSpacing/>
        <w:rPr>
          <w:rFonts w:cs="Arial"/>
        </w:rPr>
      </w:pPr>
      <w:r w:rsidRPr="1FFAD683">
        <w:rPr>
          <w:rFonts w:cs="Arial"/>
        </w:rPr>
        <w:t xml:space="preserve">Neurological Observation </w:t>
      </w:r>
    </w:p>
    <w:p w14:paraId="549C5D7D" w14:textId="77777777" w:rsidR="00EC4C49" w:rsidRDefault="00EC4C49" w:rsidP="00EC4C49">
      <w:pPr>
        <w:numPr>
          <w:ilvl w:val="0"/>
          <w:numId w:val="3"/>
        </w:numPr>
        <w:ind w:left="360"/>
        <w:contextualSpacing/>
        <w:rPr>
          <w:rFonts w:cs="Arial"/>
        </w:rPr>
      </w:pPr>
      <w:r>
        <w:rPr>
          <w:rFonts w:cs="Arial"/>
        </w:rPr>
        <w:t>Intracranial Surgery Management in Adult Patients</w:t>
      </w:r>
    </w:p>
    <w:p w14:paraId="0DBB7255" w14:textId="77777777" w:rsidR="00EC4C49" w:rsidRPr="00F32C5D" w:rsidRDefault="00EC4C49" w:rsidP="00EC4C49">
      <w:pPr>
        <w:ind w:left="360"/>
        <w:rPr>
          <w:rFonts w:cs="Arial"/>
          <w:szCs w:val="24"/>
        </w:rPr>
      </w:pPr>
    </w:p>
    <w:p w14:paraId="6B1DEC43" w14:textId="77777777" w:rsidR="00EC4C49" w:rsidRPr="00F32C5D" w:rsidRDefault="00EC4C49" w:rsidP="00EC4C49">
      <w:pPr>
        <w:rPr>
          <w:b/>
        </w:rPr>
      </w:pPr>
      <w:r w:rsidRPr="00F32C5D">
        <w:rPr>
          <w:b/>
        </w:rPr>
        <w:t xml:space="preserve">Guidelines </w:t>
      </w:r>
    </w:p>
    <w:p w14:paraId="75FDA7D2" w14:textId="77777777" w:rsidR="00EC4C49" w:rsidRPr="00F32C5D" w:rsidRDefault="00EC4C49" w:rsidP="00EC4C49">
      <w:pPr>
        <w:numPr>
          <w:ilvl w:val="0"/>
          <w:numId w:val="3"/>
        </w:numPr>
        <w:ind w:left="360"/>
        <w:contextualSpacing/>
        <w:rPr>
          <w:rFonts w:cs="Arial"/>
          <w:szCs w:val="24"/>
        </w:rPr>
      </w:pPr>
      <w:r>
        <w:rPr>
          <w:rFonts w:cs="Arial"/>
          <w:szCs w:val="24"/>
        </w:rPr>
        <w:t>Paediatric Neurotrauma</w:t>
      </w:r>
    </w:p>
    <w:p w14:paraId="1F1C0945" w14:textId="77777777" w:rsidR="00EC4C49" w:rsidRPr="00F32C5D" w:rsidRDefault="00EC4C49" w:rsidP="00EC4C49"/>
    <w:p w14:paraId="119C57CA" w14:textId="77777777" w:rsidR="00EC4C49" w:rsidRPr="00F32C5D" w:rsidRDefault="00EC4C49" w:rsidP="00EC4C49">
      <w:pPr>
        <w:rPr>
          <w:b/>
        </w:rPr>
      </w:pPr>
      <w:r w:rsidRPr="00F32C5D">
        <w:rPr>
          <w:b/>
        </w:rPr>
        <w:lastRenderedPageBreak/>
        <w:t>Legislation</w:t>
      </w:r>
    </w:p>
    <w:p w14:paraId="35E08AF1" w14:textId="77777777" w:rsidR="00EC4C49" w:rsidRPr="00F32C5D" w:rsidRDefault="00EC4C49" w:rsidP="00EC4C49">
      <w:pPr>
        <w:numPr>
          <w:ilvl w:val="0"/>
          <w:numId w:val="3"/>
        </w:numPr>
        <w:ind w:left="360"/>
        <w:rPr>
          <w:rFonts w:cs="Arial"/>
          <w:szCs w:val="24"/>
        </w:rPr>
      </w:pPr>
      <w:r w:rsidRPr="00F32C5D">
        <w:rPr>
          <w:rFonts w:cs="Arial"/>
          <w:i/>
          <w:szCs w:val="24"/>
        </w:rPr>
        <w:t>Health Records (Privacy and Access) Act</w:t>
      </w:r>
      <w:r w:rsidRPr="00F32C5D">
        <w:rPr>
          <w:rFonts w:cs="Arial"/>
          <w:szCs w:val="24"/>
        </w:rPr>
        <w:t xml:space="preserve"> 1997</w:t>
      </w:r>
    </w:p>
    <w:p w14:paraId="023F1FFD" w14:textId="77777777" w:rsidR="00EC4C49" w:rsidRPr="00F32C5D" w:rsidRDefault="00EC4C49" w:rsidP="00EC4C49">
      <w:pPr>
        <w:numPr>
          <w:ilvl w:val="0"/>
          <w:numId w:val="3"/>
        </w:numPr>
        <w:ind w:left="360"/>
        <w:rPr>
          <w:rFonts w:cs="Arial"/>
          <w:szCs w:val="24"/>
        </w:rPr>
      </w:pPr>
      <w:r w:rsidRPr="00F32C5D">
        <w:rPr>
          <w:rFonts w:cs="Arial"/>
          <w:i/>
          <w:szCs w:val="24"/>
        </w:rPr>
        <w:t>Human Rights Act</w:t>
      </w:r>
      <w:r w:rsidRPr="00F32C5D">
        <w:rPr>
          <w:rFonts w:cs="Arial"/>
          <w:szCs w:val="24"/>
        </w:rPr>
        <w:t xml:space="preserve"> 2004</w:t>
      </w:r>
    </w:p>
    <w:p w14:paraId="4ABAD79E" w14:textId="77777777" w:rsidR="00EC4C49" w:rsidRPr="00F32C5D" w:rsidRDefault="00EC4C49" w:rsidP="00EC4C49">
      <w:pPr>
        <w:numPr>
          <w:ilvl w:val="0"/>
          <w:numId w:val="3"/>
        </w:numPr>
        <w:ind w:left="360"/>
        <w:rPr>
          <w:rFonts w:cs="Arial"/>
          <w:szCs w:val="24"/>
        </w:rPr>
      </w:pPr>
      <w:r w:rsidRPr="00F32C5D">
        <w:rPr>
          <w:rFonts w:cs="Arial"/>
          <w:i/>
          <w:szCs w:val="24"/>
        </w:rPr>
        <w:t>Work Health and Safety Act</w:t>
      </w:r>
      <w:r w:rsidRPr="00F32C5D">
        <w:rPr>
          <w:rFonts w:cs="Arial"/>
          <w:szCs w:val="24"/>
        </w:rPr>
        <w:t xml:space="preserve"> 2011</w:t>
      </w:r>
    </w:p>
    <w:p w14:paraId="7CEEB6C4" w14:textId="77777777" w:rsidR="00EC4C49" w:rsidRPr="00F32C5D" w:rsidRDefault="00EC4C49" w:rsidP="00EC4C49">
      <w:pPr>
        <w:rPr>
          <w:rFonts w:cs="Arial"/>
          <w:i/>
          <w:szCs w:val="24"/>
        </w:rPr>
      </w:pPr>
    </w:p>
    <w:p w14:paraId="6CE68366" w14:textId="77777777" w:rsidR="00EC4C49" w:rsidRPr="00F32C5D" w:rsidRDefault="00EC4C49" w:rsidP="00EC4C49">
      <w:pPr>
        <w:rPr>
          <w:rFonts w:cs="Arial"/>
          <w:b/>
          <w:bCs/>
          <w:iCs/>
          <w:szCs w:val="24"/>
        </w:rPr>
      </w:pPr>
      <w:r w:rsidRPr="00F32C5D">
        <w:rPr>
          <w:rFonts w:cs="Arial"/>
          <w:b/>
          <w:bCs/>
          <w:iCs/>
          <w:szCs w:val="24"/>
        </w:rPr>
        <w:t>Other</w:t>
      </w:r>
    </w:p>
    <w:p w14:paraId="624BC62E" w14:textId="77777777" w:rsidR="00EC4C49" w:rsidRPr="00F32C5D" w:rsidRDefault="00EC4C49" w:rsidP="00EC4C49">
      <w:pPr>
        <w:numPr>
          <w:ilvl w:val="0"/>
          <w:numId w:val="1"/>
        </w:numPr>
        <w:tabs>
          <w:tab w:val="clear" w:pos="1080"/>
        </w:tabs>
        <w:ind w:left="426" w:hanging="426"/>
      </w:pPr>
      <w:r w:rsidRPr="00F32C5D">
        <w:t>Australian Charter of Health Care Rights</w:t>
      </w:r>
    </w:p>
    <w:p w14:paraId="0FFEC2BB" w14:textId="77777777" w:rsidR="00EC4C49" w:rsidRPr="00F32C5D" w:rsidRDefault="00EC4C49" w:rsidP="00EC4C49">
      <w:pPr>
        <w:rPr>
          <w:rFonts w:cs="Arial"/>
          <w:i/>
          <w:szCs w:val="24"/>
        </w:rPr>
      </w:pPr>
    </w:p>
    <w:p w14:paraId="3B81489D" w14:textId="77777777" w:rsidR="00EC4C49" w:rsidRDefault="00EC4C49" w:rsidP="00EC4C49">
      <w:pPr>
        <w:jc w:val="right"/>
        <w:rPr>
          <w:szCs w:val="24"/>
        </w:rPr>
      </w:pPr>
      <w:hyperlink w:anchor="Contents" w:history="1">
        <w:r w:rsidRPr="00F32C5D">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CD1C0E" w14:paraId="41687E60" w14:textId="77777777" w:rsidTr="00D31BA6">
        <w:trPr>
          <w:cantSplit/>
          <w:trHeight w:val="285"/>
        </w:trPr>
        <w:tc>
          <w:tcPr>
            <w:tcW w:w="9158" w:type="dxa"/>
            <w:shd w:val="clear" w:color="auto" w:fill="A6A6A6" w:themeFill="background1" w:themeFillShade="A6"/>
          </w:tcPr>
          <w:p w14:paraId="69CB9037" w14:textId="77777777" w:rsidR="00EC4C49" w:rsidRPr="00CD1C0E" w:rsidRDefault="00EC4C49" w:rsidP="00D31BA6">
            <w:pPr>
              <w:pStyle w:val="Heading1"/>
            </w:pPr>
            <w:bookmarkStart w:id="18" w:name="_Toc389473288"/>
            <w:bookmarkStart w:id="19" w:name="_Toc126064242"/>
            <w:r>
              <w:t>References</w:t>
            </w:r>
            <w:bookmarkEnd w:id="18"/>
            <w:bookmarkEnd w:id="19"/>
          </w:p>
        </w:tc>
      </w:tr>
    </w:tbl>
    <w:p w14:paraId="60C4EE08" w14:textId="77777777" w:rsidR="00EC4C49" w:rsidRPr="00DE4E25" w:rsidRDefault="00EC4C49" w:rsidP="00EC4C49">
      <w:pPr>
        <w:rPr>
          <w:rFonts w:asciiTheme="majorHAnsi" w:hAnsiTheme="majorHAnsi" w:cstheme="majorHAnsi"/>
          <w:szCs w:val="24"/>
        </w:rPr>
      </w:pPr>
      <w:bookmarkStart w:id="20" w:name="_Toc389131245"/>
    </w:p>
    <w:bookmarkEnd w:id="20"/>
    <w:p w14:paraId="7DEC9BD8" w14:textId="77777777" w:rsidR="00EC4C49" w:rsidRPr="002B66F7" w:rsidRDefault="00EC4C49" w:rsidP="00EC4C49">
      <w:pPr>
        <w:numPr>
          <w:ilvl w:val="0"/>
          <w:numId w:val="6"/>
        </w:numPr>
        <w:spacing w:line="200" w:lineRule="atLeast"/>
        <w:ind w:left="426" w:right="798" w:hanging="426"/>
        <w:rPr>
          <w:rFonts w:cs="Arial"/>
          <w:i/>
          <w:szCs w:val="24"/>
          <w:lang w:eastAsia="en-AU"/>
        </w:rPr>
      </w:pPr>
      <w:proofErr w:type="spellStart"/>
      <w:r>
        <w:rPr>
          <w:rFonts w:cs="Arial"/>
          <w:iCs/>
          <w:szCs w:val="24"/>
          <w:lang w:eastAsia="en-AU"/>
        </w:rPr>
        <w:t>Alam</w:t>
      </w:r>
      <w:proofErr w:type="spellEnd"/>
      <w:r>
        <w:rPr>
          <w:rFonts w:cs="Arial"/>
          <w:iCs/>
          <w:szCs w:val="24"/>
          <w:lang w:eastAsia="en-AU"/>
        </w:rPr>
        <w:t xml:space="preserve"> et al “Hypertonic Saline: Intraosseous infusion causes myonecrosis in a dehydrated swine model of uncontrolled haemorrhagic shock” Journal of Trauma, Injury, Infection and Critical Care, 2002 Vol 52 No. 1, pp 18-25</w:t>
      </w:r>
    </w:p>
    <w:p w14:paraId="79239FBB" w14:textId="77777777" w:rsidR="00EC4C49" w:rsidRPr="009D2E73" w:rsidRDefault="00EC4C49" w:rsidP="00EC4C49">
      <w:pPr>
        <w:numPr>
          <w:ilvl w:val="0"/>
          <w:numId w:val="6"/>
        </w:numPr>
        <w:spacing w:line="200" w:lineRule="atLeast"/>
        <w:ind w:left="426" w:right="798" w:hanging="426"/>
        <w:rPr>
          <w:rFonts w:cs="Arial"/>
          <w:i/>
          <w:szCs w:val="24"/>
          <w:lang w:eastAsia="en-AU"/>
        </w:rPr>
      </w:pPr>
      <w:r>
        <w:rPr>
          <w:rFonts w:cs="Arial"/>
          <w:iCs/>
          <w:szCs w:val="24"/>
          <w:lang w:eastAsia="en-AU"/>
        </w:rPr>
        <w:t xml:space="preserve">Qureshi AI, Suarez JI. Use of hypertonic saline solutions in treatment of cerebral </w:t>
      </w:r>
      <w:proofErr w:type="spellStart"/>
      <w:r>
        <w:rPr>
          <w:rFonts w:cs="Arial"/>
          <w:iCs/>
          <w:szCs w:val="24"/>
          <w:lang w:eastAsia="en-AU"/>
        </w:rPr>
        <w:t>edema</w:t>
      </w:r>
      <w:proofErr w:type="spellEnd"/>
      <w:r>
        <w:rPr>
          <w:rFonts w:cs="Arial"/>
          <w:iCs/>
          <w:szCs w:val="24"/>
          <w:lang w:eastAsia="en-AU"/>
        </w:rPr>
        <w:t xml:space="preserve"> and intracranial hypertension. Crit Care Med. 2000 Sep; 28(9):3301-13.</w:t>
      </w:r>
    </w:p>
    <w:p w14:paraId="1A3DD535" w14:textId="4972A659" w:rsidR="00EC4C49" w:rsidRPr="00EC4C49" w:rsidRDefault="00EC4C49" w:rsidP="00EC4C49">
      <w:pPr>
        <w:numPr>
          <w:ilvl w:val="0"/>
          <w:numId w:val="6"/>
        </w:numPr>
        <w:spacing w:line="200" w:lineRule="atLeast"/>
        <w:ind w:left="426" w:right="798" w:hanging="426"/>
        <w:rPr>
          <w:rFonts w:cs="Arial"/>
          <w:i/>
          <w:szCs w:val="24"/>
          <w:lang w:eastAsia="en-AU"/>
        </w:rPr>
      </w:pPr>
      <w:r>
        <w:rPr>
          <w:rFonts w:cs="Arial"/>
          <w:iCs/>
          <w:szCs w:val="24"/>
          <w:lang w:eastAsia="en-AU"/>
        </w:rPr>
        <w:t xml:space="preserve">Godoy DA, </w:t>
      </w:r>
      <w:proofErr w:type="spellStart"/>
      <w:r>
        <w:rPr>
          <w:rFonts w:cs="Arial"/>
          <w:iCs/>
          <w:szCs w:val="24"/>
          <w:lang w:eastAsia="en-AU"/>
        </w:rPr>
        <w:t>Robba</w:t>
      </w:r>
      <w:proofErr w:type="spellEnd"/>
      <w:r>
        <w:rPr>
          <w:rFonts w:cs="Arial"/>
          <w:iCs/>
          <w:szCs w:val="24"/>
          <w:lang w:eastAsia="en-AU"/>
        </w:rPr>
        <w:t xml:space="preserve"> c. Acute Intracranial Hypertension During Pregnancy: Special Considerations and Management Adjustments. </w:t>
      </w:r>
      <w:proofErr w:type="spellStart"/>
      <w:r>
        <w:rPr>
          <w:rFonts w:cs="Arial"/>
          <w:iCs/>
          <w:szCs w:val="24"/>
          <w:lang w:eastAsia="en-AU"/>
        </w:rPr>
        <w:t>Neurocrit</w:t>
      </w:r>
      <w:proofErr w:type="spellEnd"/>
      <w:r>
        <w:rPr>
          <w:rFonts w:cs="Arial"/>
          <w:iCs/>
          <w:szCs w:val="24"/>
          <w:lang w:eastAsia="en-AU"/>
        </w:rPr>
        <w:t xml:space="preserve"> Care. 2022, 36:302-316</w:t>
      </w:r>
    </w:p>
    <w:p w14:paraId="51290401" w14:textId="77777777" w:rsidR="00EC4C49" w:rsidRPr="008D12B6" w:rsidRDefault="00EC4C49" w:rsidP="00EC4C49">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F32C5D" w14:paraId="5D769836" w14:textId="77777777" w:rsidTr="00D31BA6">
        <w:trPr>
          <w:cantSplit/>
          <w:trHeight w:val="285"/>
        </w:trPr>
        <w:tc>
          <w:tcPr>
            <w:tcW w:w="9158" w:type="dxa"/>
            <w:shd w:val="clear" w:color="auto" w:fill="A6A6A6" w:themeFill="background1" w:themeFillShade="A6"/>
          </w:tcPr>
          <w:p w14:paraId="2D8B8B95" w14:textId="77777777" w:rsidR="00EC4C49" w:rsidRPr="00F32C5D" w:rsidRDefault="00EC4C49" w:rsidP="00D31BA6">
            <w:pPr>
              <w:keepNext/>
              <w:spacing w:before="60" w:after="60"/>
              <w:outlineLvl w:val="0"/>
              <w:rPr>
                <w:rFonts w:cs="Arial"/>
                <w:b/>
                <w:iCs/>
                <w:sz w:val="28"/>
              </w:rPr>
            </w:pPr>
            <w:bookmarkStart w:id="21" w:name="_Toc389473290"/>
            <w:bookmarkStart w:id="22" w:name="_Toc43903675"/>
            <w:r w:rsidRPr="00F32C5D">
              <w:rPr>
                <w:rFonts w:cs="Arial"/>
                <w:b/>
                <w:iCs/>
                <w:sz w:val="28"/>
              </w:rPr>
              <w:t>Search Terms</w:t>
            </w:r>
            <w:bookmarkEnd w:id="21"/>
            <w:bookmarkEnd w:id="22"/>
            <w:r w:rsidRPr="00F32C5D">
              <w:rPr>
                <w:rFonts w:cs="Arial"/>
                <w:b/>
                <w:iCs/>
                <w:sz w:val="28"/>
              </w:rPr>
              <w:t xml:space="preserve"> </w:t>
            </w:r>
          </w:p>
        </w:tc>
      </w:tr>
    </w:tbl>
    <w:p w14:paraId="29BA3B97" w14:textId="77777777" w:rsidR="00EC4C49" w:rsidRDefault="00EC4C49" w:rsidP="00EC4C49">
      <w:pPr>
        <w:jc w:val="both"/>
        <w:rPr>
          <w:rFonts w:asciiTheme="minorHAnsi" w:hAnsiTheme="minorHAnsi" w:cs="Arial"/>
          <w:bCs/>
          <w:iCs/>
          <w:szCs w:val="24"/>
        </w:rPr>
      </w:pPr>
      <w:r w:rsidRPr="009D2E73">
        <w:rPr>
          <w:rFonts w:asciiTheme="minorHAnsi" w:hAnsiTheme="minorHAnsi" w:cs="Arial"/>
          <w:bCs/>
          <w:iCs/>
          <w:szCs w:val="24"/>
        </w:rPr>
        <w:t>Hyperosmolar fluids</w:t>
      </w:r>
      <w:r>
        <w:rPr>
          <w:rFonts w:asciiTheme="minorHAnsi" w:hAnsiTheme="minorHAnsi" w:cs="Arial"/>
          <w:bCs/>
          <w:iCs/>
          <w:szCs w:val="24"/>
        </w:rPr>
        <w:t>, brain, traumatic, injury, hypertonic saline, mannitol</w:t>
      </w:r>
    </w:p>
    <w:p w14:paraId="688CDFE0" w14:textId="77777777" w:rsidR="00EC4C49" w:rsidRPr="00F32C5D" w:rsidRDefault="00EC4C49" w:rsidP="00EC4C49">
      <w:pPr>
        <w:jc w:val="both"/>
        <w:rPr>
          <w:rFonts w:asciiTheme="minorHAnsi" w:hAnsiTheme="minorHAnsi" w:cs="Arial"/>
          <w:b/>
          <w:i/>
          <w:sz w:val="22"/>
          <w:szCs w:val="22"/>
        </w:rPr>
      </w:pPr>
    </w:p>
    <w:p w14:paraId="7F759446" w14:textId="77777777" w:rsidR="00EC4C49" w:rsidRPr="00F32C5D" w:rsidRDefault="00EC4C49" w:rsidP="00EC4C49">
      <w:pPr>
        <w:jc w:val="right"/>
        <w:rPr>
          <w:rFonts w:cs="Calibri,Bold"/>
          <w:bCs/>
          <w:i/>
          <w:szCs w:val="24"/>
          <w:lang w:eastAsia="en-AU"/>
        </w:rPr>
      </w:pPr>
      <w:hyperlink w:anchor="Contents" w:history="1">
        <w:r w:rsidRPr="00F32C5D">
          <w:rPr>
            <w:rFonts w:cs="Arial"/>
            <w:i/>
            <w:color w:val="0000FF"/>
            <w:szCs w:val="24"/>
            <w:u w:val="single"/>
          </w:rPr>
          <w:t>Back to Table of Contents</w:t>
        </w:r>
      </w:hyperlink>
      <w:bookmarkStart w:id="23"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EC4C49" w:rsidRPr="00F32C5D" w14:paraId="3D29D1AA" w14:textId="77777777" w:rsidTr="00D31BA6">
        <w:trPr>
          <w:cantSplit/>
          <w:trHeight w:val="285"/>
        </w:trPr>
        <w:tc>
          <w:tcPr>
            <w:tcW w:w="9158" w:type="dxa"/>
            <w:shd w:val="clear" w:color="auto" w:fill="A6A6A6" w:themeFill="background1" w:themeFillShade="A6"/>
          </w:tcPr>
          <w:p w14:paraId="5CC643F4" w14:textId="77777777" w:rsidR="00EC4C49" w:rsidRPr="00F32C5D" w:rsidRDefault="00EC4C49" w:rsidP="00D31BA6">
            <w:pPr>
              <w:keepNext/>
              <w:spacing w:before="60" w:after="60"/>
              <w:outlineLvl w:val="0"/>
              <w:rPr>
                <w:rFonts w:cs="Arial"/>
                <w:b/>
                <w:iCs/>
                <w:sz w:val="28"/>
              </w:rPr>
            </w:pPr>
            <w:bookmarkStart w:id="24" w:name="_Toc43903676"/>
            <w:r w:rsidRPr="00F32C5D">
              <w:rPr>
                <w:rFonts w:cs="Arial"/>
                <w:b/>
                <w:iCs/>
                <w:sz w:val="28"/>
              </w:rPr>
              <w:t>Attachments</w:t>
            </w:r>
            <w:bookmarkEnd w:id="24"/>
          </w:p>
        </w:tc>
      </w:tr>
      <w:bookmarkEnd w:id="23"/>
    </w:tbl>
    <w:p w14:paraId="085D416D" w14:textId="77777777" w:rsidR="00EC4C49" w:rsidRPr="00F32C5D" w:rsidRDefault="00EC4C49" w:rsidP="00EC4C49">
      <w:pPr>
        <w:rPr>
          <w:rFonts w:cs="Arial"/>
          <w:szCs w:val="24"/>
        </w:rPr>
      </w:pPr>
    </w:p>
    <w:p w14:paraId="7CA39DD4" w14:textId="77777777" w:rsidR="00EC4C49" w:rsidRPr="00F32C5D" w:rsidRDefault="00EC4C49" w:rsidP="00EC4C49">
      <w:pPr>
        <w:rPr>
          <w:rFonts w:cs="Arial"/>
          <w:i/>
          <w:iCs/>
          <w:sz w:val="20"/>
        </w:rPr>
      </w:pPr>
      <w:r w:rsidRPr="00F32C5D">
        <w:rPr>
          <w:rFonts w:cs="Arial"/>
          <w:b/>
          <w:sz w:val="20"/>
        </w:rPr>
        <w:t>Disclaimer</w:t>
      </w:r>
      <w:r w:rsidRPr="00F32C5D">
        <w:rPr>
          <w:rFonts w:cs="Arial"/>
          <w:sz w:val="20"/>
        </w:rPr>
        <w:t xml:space="preserve">: </w:t>
      </w:r>
      <w:r w:rsidRPr="00F32C5D">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BEAC6CD" w14:textId="77777777" w:rsidR="00EC4C49" w:rsidRPr="00F32C5D" w:rsidRDefault="00EC4C49" w:rsidP="00EC4C49">
      <w:pPr>
        <w:rPr>
          <w:rFonts w:cs="Arial"/>
          <w:i/>
          <w:iCs/>
          <w:sz w:val="20"/>
        </w:rPr>
      </w:pPr>
    </w:p>
    <w:p w14:paraId="68D978D1" w14:textId="77777777" w:rsidR="00EC4C49" w:rsidRPr="00F32C5D" w:rsidRDefault="00EC4C49" w:rsidP="00EC4C49">
      <w:pPr>
        <w:rPr>
          <w:rFonts w:cs="Arial"/>
          <w:i/>
          <w:iCs/>
          <w:sz w:val="20"/>
        </w:rPr>
      </w:pPr>
      <w:r w:rsidRPr="00F32C5D">
        <w:rPr>
          <w:rFonts w:cs="Arial"/>
          <w:i/>
          <w:iCs/>
          <w:sz w:val="20"/>
        </w:rPr>
        <w:t>Policy Team ONLY to complete the following:</w:t>
      </w:r>
    </w:p>
    <w:tbl>
      <w:tblPr>
        <w:tblStyle w:val="TableGrid1"/>
        <w:tblW w:w="0" w:type="auto"/>
        <w:tblLook w:val="04A0" w:firstRow="1" w:lastRow="0" w:firstColumn="1" w:lastColumn="0" w:noHBand="0" w:noVBand="1"/>
      </w:tblPr>
      <w:tblGrid>
        <w:gridCol w:w="2265"/>
        <w:gridCol w:w="2265"/>
        <w:gridCol w:w="2265"/>
        <w:gridCol w:w="2265"/>
      </w:tblGrid>
      <w:tr w:rsidR="00EC4C49" w:rsidRPr="00F32C5D" w14:paraId="55A9A62F" w14:textId="77777777" w:rsidTr="00D31BA6">
        <w:tc>
          <w:tcPr>
            <w:tcW w:w="2265" w:type="dxa"/>
          </w:tcPr>
          <w:p w14:paraId="79FCDBAA" w14:textId="77777777" w:rsidR="00EC4C49" w:rsidRPr="00F32C5D" w:rsidRDefault="00EC4C49" w:rsidP="00D31BA6">
            <w:pPr>
              <w:rPr>
                <w:i/>
                <w:sz w:val="20"/>
              </w:rPr>
            </w:pPr>
            <w:r w:rsidRPr="00F32C5D">
              <w:rPr>
                <w:i/>
                <w:sz w:val="20"/>
              </w:rPr>
              <w:t>Date Amended</w:t>
            </w:r>
          </w:p>
        </w:tc>
        <w:tc>
          <w:tcPr>
            <w:tcW w:w="2265" w:type="dxa"/>
          </w:tcPr>
          <w:p w14:paraId="7483FE9E" w14:textId="77777777" w:rsidR="00EC4C49" w:rsidRPr="00F32C5D" w:rsidRDefault="00EC4C49" w:rsidP="00D31BA6">
            <w:pPr>
              <w:rPr>
                <w:i/>
                <w:sz w:val="20"/>
              </w:rPr>
            </w:pPr>
            <w:r w:rsidRPr="00F32C5D">
              <w:rPr>
                <w:i/>
                <w:sz w:val="20"/>
              </w:rPr>
              <w:t>Section Amended</w:t>
            </w:r>
          </w:p>
        </w:tc>
        <w:tc>
          <w:tcPr>
            <w:tcW w:w="2265" w:type="dxa"/>
          </w:tcPr>
          <w:p w14:paraId="06CBE8F7" w14:textId="77777777" w:rsidR="00EC4C49" w:rsidRPr="00F32C5D" w:rsidRDefault="00EC4C49" w:rsidP="00D31BA6">
            <w:pPr>
              <w:rPr>
                <w:i/>
                <w:sz w:val="20"/>
              </w:rPr>
            </w:pPr>
            <w:r w:rsidRPr="00F32C5D">
              <w:rPr>
                <w:i/>
                <w:sz w:val="20"/>
              </w:rPr>
              <w:t>Divisional Approval</w:t>
            </w:r>
          </w:p>
        </w:tc>
        <w:tc>
          <w:tcPr>
            <w:tcW w:w="2265" w:type="dxa"/>
          </w:tcPr>
          <w:p w14:paraId="57B4FF0E" w14:textId="77777777" w:rsidR="00EC4C49" w:rsidRPr="00F32C5D" w:rsidRDefault="00EC4C49" w:rsidP="00D31BA6">
            <w:pPr>
              <w:rPr>
                <w:i/>
                <w:sz w:val="20"/>
              </w:rPr>
            </w:pPr>
            <w:r w:rsidRPr="00F32C5D">
              <w:rPr>
                <w:i/>
                <w:sz w:val="20"/>
              </w:rPr>
              <w:t xml:space="preserve">Final Approval </w:t>
            </w:r>
          </w:p>
        </w:tc>
      </w:tr>
      <w:tr w:rsidR="00EC4C49" w:rsidRPr="00F32C5D" w14:paraId="283A841D" w14:textId="77777777" w:rsidTr="00D31BA6">
        <w:tc>
          <w:tcPr>
            <w:tcW w:w="2265" w:type="dxa"/>
          </w:tcPr>
          <w:p w14:paraId="68593AB4" w14:textId="77777777" w:rsidR="00EC4C49" w:rsidRPr="00F32C5D" w:rsidRDefault="00EC4C49" w:rsidP="00D31BA6">
            <w:pPr>
              <w:rPr>
                <w:i/>
                <w:sz w:val="20"/>
              </w:rPr>
            </w:pPr>
            <w:r>
              <w:rPr>
                <w:i/>
                <w:sz w:val="20"/>
              </w:rPr>
              <w:t>1/07/2022</w:t>
            </w:r>
          </w:p>
        </w:tc>
        <w:tc>
          <w:tcPr>
            <w:tcW w:w="2265" w:type="dxa"/>
          </w:tcPr>
          <w:p w14:paraId="422DFF3B" w14:textId="77777777" w:rsidR="00EC4C49" w:rsidRPr="00F32C5D" w:rsidRDefault="00EC4C49" w:rsidP="00D31BA6">
            <w:pPr>
              <w:rPr>
                <w:i/>
                <w:sz w:val="20"/>
              </w:rPr>
            </w:pPr>
            <w:r>
              <w:rPr>
                <w:i/>
                <w:sz w:val="20"/>
              </w:rPr>
              <w:t xml:space="preserve">New Document </w:t>
            </w:r>
          </w:p>
        </w:tc>
        <w:tc>
          <w:tcPr>
            <w:tcW w:w="2265" w:type="dxa"/>
          </w:tcPr>
          <w:p w14:paraId="79A54D3A" w14:textId="77777777" w:rsidR="00EC4C49" w:rsidRPr="00F32C5D" w:rsidRDefault="00EC4C49" w:rsidP="00D31BA6">
            <w:pPr>
              <w:rPr>
                <w:i/>
                <w:sz w:val="20"/>
              </w:rPr>
            </w:pPr>
            <w:r>
              <w:rPr>
                <w:i/>
                <w:sz w:val="20"/>
              </w:rPr>
              <w:t>Jacqui Taylor ED Medicine</w:t>
            </w:r>
          </w:p>
        </w:tc>
        <w:tc>
          <w:tcPr>
            <w:tcW w:w="2265" w:type="dxa"/>
          </w:tcPr>
          <w:p w14:paraId="55909F42" w14:textId="77777777" w:rsidR="00EC4C49" w:rsidRPr="00F32C5D" w:rsidRDefault="00EC4C49" w:rsidP="00D31BA6">
            <w:pPr>
              <w:rPr>
                <w:i/>
                <w:sz w:val="20"/>
              </w:rPr>
            </w:pPr>
            <w:r>
              <w:rPr>
                <w:i/>
                <w:sz w:val="20"/>
              </w:rPr>
              <w:t xml:space="preserve">CHS Policy Committee </w:t>
            </w:r>
          </w:p>
        </w:tc>
      </w:tr>
      <w:tr w:rsidR="00EC4C49" w:rsidRPr="00F32C5D" w14:paraId="22C03261" w14:textId="77777777" w:rsidTr="00D31BA6">
        <w:tc>
          <w:tcPr>
            <w:tcW w:w="2265" w:type="dxa"/>
          </w:tcPr>
          <w:p w14:paraId="67EB1DE8" w14:textId="29856B1F" w:rsidR="00EC4C49" w:rsidRPr="00F32C5D" w:rsidRDefault="00EC4C49" w:rsidP="00D31BA6">
            <w:pPr>
              <w:rPr>
                <w:i/>
                <w:sz w:val="20"/>
              </w:rPr>
            </w:pPr>
            <w:r>
              <w:rPr>
                <w:i/>
                <w:sz w:val="20"/>
              </w:rPr>
              <w:t>31/01/2023</w:t>
            </w:r>
          </w:p>
        </w:tc>
        <w:tc>
          <w:tcPr>
            <w:tcW w:w="2265" w:type="dxa"/>
          </w:tcPr>
          <w:p w14:paraId="41E73129" w14:textId="3877458A" w:rsidR="00EC4C49" w:rsidRPr="00F32C5D" w:rsidRDefault="00EC4C49" w:rsidP="00D31BA6">
            <w:pPr>
              <w:rPr>
                <w:i/>
                <w:sz w:val="20"/>
              </w:rPr>
            </w:pPr>
            <w:r>
              <w:rPr>
                <w:i/>
                <w:sz w:val="20"/>
              </w:rPr>
              <w:t>Updated to include changes related to DHR</w:t>
            </w:r>
          </w:p>
        </w:tc>
        <w:tc>
          <w:tcPr>
            <w:tcW w:w="2265" w:type="dxa"/>
          </w:tcPr>
          <w:p w14:paraId="5D55D09A" w14:textId="23A238C1" w:rsidR="00EC4C49" w:rsidRPr="00F32C5D" w:rsidRDefault="00EC4C49" w:rsidP="00D31BA6">
            <w:pPr>
              <w:rPr>
                <w:i/>
                <w:sz w:val="20"/>
              </w:rPr>
            </w:pPr>
            <w:r>
              <w:rPr>
                <w:i/>
                <w:sz w:val="20"/>
              </w:rPr>
              <w:t>Brendan Docherty, ED, Medicine</w:t>
            </w:r>
          </w:p>
        </w:tc>
        <w:tc>
          <w:tcPr>
            <w:tcW w:w="2265" w:type="dxa"/>
          </w:tcPr>
          <w:p w14:paraId="40309490" w14:textId="1D437786" w:rsidR="00EC4C49" w:rsidRPr="00F32C5D" w:rsidRDefault="00EC4C49" w:rsidP="00D31BA6">
            <w:pPr>
              <w:rPr>
                <w:i/>
                <w:sz w:val="20"/>
              </w:rPr>
            </w:pPr>
            <w:r>
              <w:rPr>
                <w:i/>
                <w:sz w:val="20"/>
              </w:rPr>
              <w:t>CHS Policy Team</w:t>
            </w:r>
          </w:p>
        </w:tc>
      </w:tr>
    </w:tbl>
    <w:p w14:paraId="42597374" w14:textId="77777777" w:rsidR="00EC4C49" w:rsidRPr="008202D3" w:rsidRDefault="00EC4C49" w:rsidP="00EC4C49">
      <w:pPr>
        <w:rPr>
          <w:rFonts w:cs="Arial"/>
          <w:sz w:val="20"/>
        </w:rPr>
      </w:pPr>
    </w:p>
    <w:p w14:paraId="7CAEF62A" w14:textId="77777777" w:rsidR="00EC4C49" w:rsidRPr="008202D3" w:rsidRDefault="00EC4C49" w:rsidP="00EC4C49">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C4C49" w:rsidRPr="008202D3" w14:paraId="04D6AFB4" w14:textId="77777777" w:rsidTr="00D31BA6">
        <w:tc>
          <w:tcPr>
            <w:tcW w:w="2122" w:type="dxa"/>
          </w:tcPr>
          <w:p w14:paraId="5F269EF8" w14:textId="77777777" w:rsidR="00EC4C49" w:rsidRPr="008202D3" w:rsidRDefault="00EC4C49" w:rsidP="00D31BA6">
            <w:pPr>
              <w:rPr>
                <w:i/>
                <w:sz w:val="20"/>
              </w:rPr>
            </w:pPr>
            <w:r w:rsidRPr="008202D3">
              <w:rPr>
                <w:i/>
                <w:sz w:val="20"/>
              </w:rPr>
              <w:t>Document Number</w:t>
            </w:r>
          </w:p>
        </w:tc>
        <w:tc>
          <w:tcPr>
            <w:tcW w:w="6938" w:type="dxa"/>
          </w:tcPr>
          <w:p w14:paraId="67AD77B8" w14:textId="77777777" w:rsidR="00EC4C49" w:rsidRPr="008202D3" w:rsidRDefault="00EC4C49" w:rsidP="00D31BA6">
            <w:pPr>
              <w:rPr>
                <w:i/>
                <w:sz w:val="20"/>
              </w:rPr>
            </w:pPr>
            <w:r w:rsidRPr="008202D3">
              <w:rPr>
                <w:i/>
                <w:sz w:val="20"/>
              </w:rPr>
              <w:t>Document Name</w:t>
            </w:r>
          </w:p>
        </w:tc>
      </w:tr>
      <w:tr w:rsidR="00EC4C49" w:rsidRPr="008202D3" w14:paraId="6B81BFB6" w14:textId="77777777" w:rsidTr="00D31BA6">
        <w:tc>
          <w:tcPr>
            <w:tcW w:w="2122" w:type="dxa"/>
          </w:tcPr>
          <w:p w14:paraId="3B1F4869" w14:textId="77777777" w:rsidR="00EC4C49" w:rsidRPr="008202D3" w:rsidRDefault="00EC4C49" w:rsidP="00D31BA6">
            <w:pPr>
              <w:rPr>
                <w:i/>
                <w:sz w:val="20"/>
              </w:rPr>
            </w:pPr>
          </w:p>
        </w:tc>
        <w:tc>
          <w:tcPr>
            <w:tcW w:w="6938" w:type="dxa"/>
          </w:tcPr>
          <w:p w14:paraId="3A29AA94" w14:textId="77777777" w:rsidR="00EC4C49" w:rsidRPr="008202D3" w:rsidRDefault="00EC4C49" w:rsidP="00D31BA6">
            <w:pPr>
              <w:rPr>
                <w:i/>
                <w:sz w:val="20"/>
              </w:rPr>
            </w:pPr>
          </w:p>
        </w:tc>
      </w:tr>
      <w:tr w:rsidR="00EC4C49" w:rsidRPr="008202D3" w14:paraId="10A4A8AF" w14:textId="77777777" w:rsidTr="00D31BA6">
        <w:tc>
          <w:tcPr>
            <w:tcW w:w="2122" w:type="dxa"/>
          </w:tcPr>
          <w:p w14:paraId="6BA4A20D" w14:textId="77777777" w:rsidR="00EC4C49" w:rsidRPr="008202D3" w:rsidRDefault="00EC4C49" w:rsidP="00D31BA6">
            <w:pPr>
              <w:rPr>
                <w:i/>
                <w:sz w:val="20"/>
              </w:rPr>
            </w:pPr>
          </w:p>
        </w:tc>
        <w:tc>
          <w:tcPr>
            <w:tcW w:w="6938" w:type="dxa"/>
          </w:tcPr>
          <w:p w14:paraId="25E9AD28" w14:textId="77777777" w:rsidR="00EC4C49" w:rsidRPr="008202D3" w:rsidRDefault="00EC4C49" w:rsidP="00D31BA6">
            <w:pPr>
              <w:rPr>
                <w:i/>
                <w:sz w:val="20"/>
              </w:rPr>
            </w:pPr>
          </w:p>
        </w:tc>
      </w:tr>
    </w:tbl>
    <w:p w14:paraId="17E7EA30" w14:textId="77777777" w:rsidR="00EC4C49" w:rsidRPr="00010E74" w:rsidRDefault="00EC4C49" w:rsidP="00EC4C49">
      <w:pPr>
        <w:rPr>
          <w:i/>
          <w:sz w:val="20"/>
          <w:szCs w:val="24"/>
        </w:rPr>
      </w:pPr>
    </w:p>
    <w:p w14:paraId="370FF826" w14:textId="77777777" w:rsidR="00EC4C49" w:rsidRDefault="00EC4C49" w:rsidP="00EC4C49">
      <w:pPr>
        <w:rPr>
          <w:rFonts w:cs="Arial"/>
          <w:szCs w:val="24"/>
        </w:rPr>
      </w:pPr>
    </w:p>
    <w:p w14:paraId="2F51A905" w14:textId="77777777" w:rsidR="00395E36" w:rsidRPr="001F7C66" w:rsidRDefault="00395E36" w:rsidP="001F7C66"/>
    <w:sectPr w:rsidR="00395E36" w:rsidRPr="001F7C66" w:rsidSect="004213C3">
      <w:headerReference w:type="even" r:id="rId11"/>
      <w:headerReference w:type="default" r:id="rId12"/>
      <w:footerReference w:type="default" r:id="rId13"/>
      <w:headerReference w:type="firs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7577D" w14:textId="77777777" w:rsidR="00D81700" w:rsidRDefault="00D81700" w:rsidP="00F66CB0">
      <w:r>
        <w:separator/>
      </w:r>
    </w:p>
  </w:endnote>
  <w:endnote w:type="continuationSeparator" w:id="0">
    <w:p w14:paraId="16EA5DA3" w14:textId="77777777" w:rsidR="00D81700" w:rsidRDefault="00D8170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3D4D4E27" w:rsidR="00E90708" w:rsidRPr="00542EE6" w:rsidRDefault="001E0E08" w:rsidP="004213C3">
          <w:pPr>
            <w:pStyle w:val="Footer"/>
            <w:rPr>
              <w:rFonts w:cs="Arial"/>
              <w:b/>
              <w:bCs/>
              <w:sz w:val="20"/>
            </w:rPr>
          </w:pPr>
          <w:r>
            <w:rPr>
              <w:b/>
              <w:sz w:val="20"/>
            </w:rPr>
            <w:t>CHS22/294</w:t>
          </w:r>
        </w:p>
      </w:tc>
      <w:tc>
        <w:tcPr>
          <w:tcW w:w="965" w:type="dxa"/>
        </w:tcPr>
        <w:p w14:paraId="2F51A916" w14:textId="1C7DD28F" w:rsidR="00E90708" w:rsidRPr="00B3752F" w:rsidRDefault="001E0E08" w:rsidP="004213C3">
          <w:pPr>
            <w:pStyle w:val="Footer"/>
            <w:rPr>
              <w:rFonts w:cs="Arial"/>
              <w:b/>
              <w:bCs/>
              <w:sz w:val="20"/>
            </w:rPr>
          </w:pPr>
          <w:r>
            <w:rPr>
              <w:rFonts w:cs="Arial"/>
              <w:b/>
              <w:bCs/>
              <w:sz w:val="20"/>
            </w:rPr>
            <w:t>1</w:t>
          </w:r>
        </w:p>
      </w:tc>
      <w:tc>
        <w:tcPr>
          <w:tcW w:w="1552" w:type="dxa"/>
        </w:tcPr>
        <w:p w14:paraId="2F51A917" w14:textId="1B35591F" w:rsidR="00E90708" w:rsidRPr="00B3752F" w:rsidRDefault="001E0E08" w:rsidP="004213C3">
          <w:pPr>
            <w:pStyle w:val="Footer"/>
            <w:rPr>
              <w:rFonts w:cs="Arial"/>
              <w:b/>
              <w:bCs/>
              <w:sz w:val="20"/>
            </w:rPr>
          </w:pPr>
          <w:r>
            <w:rPr>
              <w:rFonts w:cs="Arial"/>
              <w:b/>
              <w:bCs/>
              <w:sz w:val="20"/>
            </w:rPr>
            <w:t>04/07/2022</w:t>
          </w:r>
        </w:p>
      </w:tc>
      <w:tc>
        <w:tcPr>
          <w:tcW w:w="1456" w:type="dxa"/>
        </w:tcPr>
        <w:p w14:paraId="2F51A918" w14:textId="7AFF5A3B" w:rsidR="00E90708" w:rsidRPr="00B3752F" w:rsidRDefault="001E0E08" w:rsidP="004213C3">
          <w:pPr>
            <w:pStyle w:val="Footer"/>
            <w:rPr>
              <w:rFonts w:cs="Arial"/>
              <w:b/>
              <w:bCs/>
              <w:sz w:val="20"/>
            </w:rPr>
          </w:pPr>
          <w:r>
            <w:rPr>
              <w:rFonts w:cs="Arial"/>
              <w:b/>
              <w:bCs/>
              <w:sz w:val="20"/>
            </w:rPr>
            <w:t>01/07/2025</w:t>
          </w:r>
        </w:p>
      </w:tc>
      <w:tc>
        <w:tcPr>
          <w:tcW w:w="1746" w:type="dxa"/>
        </w:tcPr>
        <w:p w14:paraId="2F51A919" w14:textId="69C97F18" w:rsidR="00E90708" w:rsidRPr="00B3752F" w:rsidRDefault="001E0E08" w:rsidP="004213C3">
          <w:pPr>
            <w:pStyle w:val="Footer"/>
            <w:rPr>
              <w:rFonts w:cs="Arial"/>
              <w:b/>
              <w:bCs/>
              <w:sz w:val="20"/>
            </w:rPr>
          </w:pPr>
          <w:r>
            <w:rPr>
              <w:rFonts w:cs="Arial"/>
              <w:b/>
              <w:bCs/>
              <w:sz w:val="20"/>
            </w:rPr>
            <w:t>Medicine - ED</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2977" w14:textId="77777777" w:rsidR="00D81700" w:rsidRDefault="00D81700" w:rsidP="00F66CB0">
      <w:r>
        <w:separator/>
      </w:r>
    </w:p>
  </w:footnote>
  <w:footnote w:type="continuationSeparator" w:id="0">
    <w:p w14:paraId="20F0BF40" w14:textId="77777777" w:rsidR="00D81700" w:rsidRDefault="00D8170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7783" w14:textId="2B1C45C0" w:rsidR="00366924" w:rsidRDefault="00FB1A15">
    <w:pPr>
      <w:pStyle w:val="Header"/>
    </w:pPr>
    <w:r>
      <w:rPr>
        <w:noProof/>
      </w:rPr>
      <mc:AlternateContent>
        <mc:Choice Requires="wps">
          <w:drawing>
            <wp:anchor distT="0" distB="0" distL="0" distR="0" simplePos="0" relativeHeight="251659264" behindDoc="0" locked="0" layoutInCell="1" allowOverlap="1" wp14:anchorId="76ACA1AD" wp14:editId="555B43A7">
              <wp:simplePos x="635" y="635"/>
              <wp:positionH relativeFrom="column">
                <wp:align>center</wp:align>
              </wp:positionH>
              <wp:positionV relativeFrom="paragraph">
                <wp:posOffset>635</wp:posOffset>
              </wp:positionV>
              <wp:extent cx="443865" cy="443865"/>
              <wp:effectExtent l="0" t="0" r="635" b="444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A82E12" w14:textId="4BFC3A96"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ACA1AD"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1A82E12" w14:textId="4BFC3A96"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7CAE0073" w:rsidR="00E90708" w:rsidRDefault="00FB1A15" w:rsidP="0074223E">
          <w:pPr>
            <w:pStyle w:val="Header"/>
            <w:rPr>
              <w:sz w:val="20"/>
            </w:rPr>
          </w:pPr>
          <w:r>
            <w:rPr>
              <w:noProof/>
              <w:sz w:val="20"/>
            </w:rPr>
            <mc:AlternateContent>
              <mc:Choice Requires="wps">
                <w:drawing>
                  <wp:anchor distT="0" distB="0" distL="0" distR="0" simplePos="0" relativeHeight="251660288" behindDoc="0" locked="0" layoutInCell="1" allowOverlap="1" wp14:anchorId="3A544499" wp14:editId="7E91F6DE">
                    <wp:simplePos x="971550" y="314325"/>
                    <wp:positionH relativeFrom="column">
                      <wp:align>center</wp:align>
                    </wp:positionH>
                    <wp:positionV relativeFrom="paragraph">
                      <wp:posOffset>635</wp:posOffset>
                    </wp:positionV>
                    <wp:extent cx="443865" cy="443865"/>
                    <wp:effectExtent l="0" t="0" r="635" b="4445"/>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645A9A" w14:textId="28F4A376"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A544499"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4645A9A" w14:textId="28F4A376"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v:textbox>
                    <w10:wrap type="square"/>
                  </v:shape>
                </w:pict>
              </mc:Fallback>
            </mc:AlternateContent>
          </w:r>
          <w:r w:rsidR="00200D04">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07A2E33" w:rsidR="00E90708" w:rsidRDefault="00E90708">
          <w:pPr>
            <w:pStyle w:val="Header"/>
            <w:tabs>
              <w:tab w:val="left" w:pos="720"/>
            </w:tabs>
            <w:jc w:val="right"/>
            <w:rPr>
              <w:sz w:val="20"/>
            </w:rPr>
          </w:pPr>
          <w:bookmarkStart w:id="25" w:name="_top"/>
          <w:bookmarkEnd w:id="25"/>
          <w:r>
            <w:rPr>
              <w:sz w:val="20"/>
            </w:rPr>
            <w:t>CHS</w:t>
          </w:r>
          <w:r w:rsidR="001E0E08">
            <w:rPr>
              <w:sz w:val="20"/>
            </w:rPr>
            <w:t>22/294</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E906" w14:textId="280D708E" w:rsidR="00366924" w:rsidRDefault="00FB1A15">
    <w:pPr>
      <w:pStyle w:val="Header"/>
    </w:pPr>
    <w:r>
      <w:rPr>
        <w:noProof/>
      </w:rPr>
      <mc:AlternateContent>
        <mc:Choice Requires="wps">
          <w:drawing>
            <wp:anchor distT="0" distB="0" distL="0" distR="0" simplePos="0" relativeHeight="251658240" behindDoc="0" locked="0" layoutInCell="1" allowOverlap="1" wp14:anchorId="26A3BE82" wp14:editId="7FCEA09D">
              <wp:simplePos x="635" y="635"/>
              <wp:positionH relativeFrom="column">
                <wp:align>center</wp:align>
              </wp:positionH>
              <wp:positionV relativeFrom="paragraph">
                <wp:posOffset>635</wp:posOffset>
              </wp:positionV>
              <wp:extent cx="443865" cy="443865"/>
              <wp:effectExtent l="0" t="0" r="635" b="444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0F5FA4" w14:textId="27D506D3"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6A3BE82"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B0F5FA4" w14:textId="27D506D3" w:rsidR="00FB1A15" w:rsidRPr="00FB1A15" w:rsidRDefault="00FB1A15">
                    <w:pPr>
                      <w:rPr>
                        <w:rFonts w:eastAsia="Calibri" w:cs="Calibri"/>
                        <w:noProof/>
                        <w:color w:val="FF0000"/>
                        <w:szCs w:val="24"/>
                      </w:rPr>
                    </w:pPr>
                    <w:r w:rsidRPr="00FB1A15">
                      <w:rPr>
                        <w:rFonts w:eastAsia="Calibri" w:cs="Calibri"/>
                        <w:noProof/>
                        <w:color w:val="FF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F2939BF"/>
    <w:multiLevelType w:val="hybridMultilevel"/>
    <w:tmpl w:val="4998C5C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8260B0"/>
    <w:multiLevelType w:val="hybridMultilevel"/>
    <w:tmpl w:val="DE40EF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0" w15:restartNumberingAfterBreak="0">
    <w:nsid w:val="63963C8D"/>
    <w:multiLevelType w:val="hybridMultilevel"/>
    <w:tmpl w:val="591033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68DE5924"/>
    <w:multiLevelType w:val="hybridMultilevel"/>
    <w:tmpl w:val="10A87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7C6439"/>
    <w:multiLevelType w:val="hybridMultilevel"/>
    <w:tmpl w:val="35CAE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8330862">
    <w:abstractNumId w:val="0"/>
  </w:num>
  <w:num w:numId="2" w16cid:durableId="844366733">
    <w:abstractNumId w:val="2"/>
  </w:num>
  <w:num w:numId="3" w16cid:durableId="1535846772">
    <w:abstractNumId w:val="13"/>
  </w:num>
  <w:num w:numId="4" w16cid:durableId="1246915589">
    <w:abstractNumId w:val="4"/>
  </w:num>
  <w:num w:numId="5" w16cid:durableId="1506939980">
    <w:abstractNumId w:val="6"/>
  </w:num>
  <w:num w:numId="6" w16cid:durableId="471169746">
    <w:abstractNumId w:val="14"/>
  </w:num>
  <w:num w:numId="7" w16cid:durableId="990718317">
    <w:abstractNumId w:val="9"/>
  </w:num>
  <w:num w:numId="8" w16cid:durableId="1953245737">
    <w:abstractNumId w:val="0"/>
  </w:num>
  <w:num w:numId="9" w16cid:durableId="676271100">
    <w:abstractNumId w:val="0"/>
  </w:num>
  <w:num w:numId="10" w16cid:durableId="2092041208">
    <w:abstractNumId w:val="8"/>
  </w:num>
  <w:num w:numId="11" w16cid:durableId="241648473">
    <w:abstractNumId w:val="1"/>
  </w:num>
  <w:num w:numId="12" w16cid:durableId="931860064">
    <w:abstractNumId w:val="5"/>
  </w:num>
  <w:num w:numId="13" w16cid:durableId="1679306719">
    <w:abstractNumId w:val="11"/>
  </w:num>
  <w:num w:numId="14" w16cid:durableId="737678954">
    <w:abstractNumId w:val="3"/>
  </w:num>
  <w:num w:numId="15" w16cid:durableId="1347512717">
    <w:abstractNumId w:val="7"/>
  </w:num>
  <w:num w:numId="16" w16cid:durableId="1546529382">
    <w:abstractNumId w:val="12"/>
  </w:num>
  <w:num w:numId="17" w16cid:durableId="4208339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3759"/>
    <w:rsid w:val="000121C3"/>
    <w:rsid w:val="00015B90"/>
    <w:rsid w:val="00015D88"/>
    <w:rsid w:val="0001607A"/>
    <w:rsid w:val="000262BA"/>
    <w:rsid w:val="00030CBF"/>
    <w:rsid w:val="00063E8A"/>
    <w:rsid w:val="00091AC9"/>
    <w:rsid w:val="00095ECD"/>
    <w:rsid w:val="000A7335"/>
    <w:rsid w:val="000B1620"/>
    <w:rsid w:val="000B5C8C"/>
    <w:rsid w:val="000B71ED"/>
    <w:rsid w:val="000C59E2"/>
    <w:rsid w:val="000C7B2D"/>
    <w:rsid w:val="000E25C5"/>
    <w:rsid w:val="000F7B7E"/>
    <w:rsid w:val="00103EEA"/>
    <w:rsid w:val="001115D7"/>
    <w:rsid w:val="00143A95"/>
    <w:rsid w:val="001831D4"/>
    <w:rsid w:val="00191109"/>
    <w:rsid w:val="00191235"/>
    <w:rsid w:val="001926F4"/>
    <w:rsid w:val="001A0053"/>
    <w:rsid w:val="001B2465"/>
    <w:rsid w:val="001B329E"/>
    <w:rsid w:val="001B3435"/>
    <w:rsid w:val="001E0E08"/>
    <w:rsid w:val="001F2A9B"/>
    <w:rsid w:val="001F6D2D"/>
    <w:rsid w:val="001F7C66"/>
    <w:rsid w:val="00200D04"/>
    <w:rsid w:val="00201FB6"/>
    <w:rsid w:val="00230F2C"/>
    <w:rsid w:val="002405CF"/>
    <w:rsid w:val="00240B97"/>
    <w:rsid w:val="0025382D"/>
    <w:rsid w:val="00263BA6"/>
    <w:rsid w:val="0027264D"/>
    <w:rsid w:val="00285D38"/>
    <w:rsid w:val="00293E43"/>
    <w:rsid w:val="00294C34"/>
    <w:rsid w:val="002A4D89"/>
    <w:rsid w:val="002A65F7"/>
    <w:rsid w:val="002B4E60"/>
    <w:rsid w:val="002B5F43"/>
    <w:rsid w:val="002B66F7"/>
    <w:rsid w:val="002D3246"/>
    <w:rsid w:val="002F4E98"/>
    <w:rsid w:val="00313707"/>
    <w:rsid w:val="0032270B"/>
    <w:rsid w:val="00337E7C"/>
    <w:rsid w:val="0034257E"/>
    <w:rsid w:val="00351CD9"/>
    <w:rsid w:val="00353CBB"/>
    <w:rsid w:val="00355225"/>
    <w:rsid w:val="00366924"/>
    <w:rsid w:val="00376A6D"/>
    <w:rsid w:val="00380B98"/>
    <w:rsid w:val="00390306"/>
    <w:rsid w:val="00395E36"/>
    <w:rsid w:val="00396023"/>
    <w:rsid w:val="003C204E"/>
    <w:rsid w:val="003C4BB5"/>
    <w:rsid w:val="003C68E2"/>
    <w:rsid w:val="003E4CC0"/>
    <w:rsid w:val="003F3D8F"/>
    <w:rsid w:val="00410409"/>
    <w:rsid w:val="00412CED"/>
    <w:rsid w:val="00416751"/>
    <w:rsid w:val="00420F9E"/>
    <w:rsid w:val="004213C3"/>
    <w:rsid w:val="0042413C"/>
    <w:rsid w:val="00427139"/>
    <w:rsid w:val="00431A1C"/>
    <w:rsid w:val="004358E9"/>
    <w:rsid w:val="004537B3"/>
    <w:rsid w:val="00457D4F"/>
    <w:rsid w:val="0048050C"/>
    <w:rsid w:val="00487DD5"/>
    <w:rsid w:val="004947A7"/>
    <w:rsid w:val="004A0C8C"/>
    <w:rsid w:val="004A2E02"/>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741D8"/>
    <w:rsid w:val="0058116A"/>
    <w:rsid w:val="00590902"/>
    <w:rsid w:val="00592A14"/>
    <w:rsid w:val="00596FD7"/>
    <w:rsid w:val="005A3625"/>
    <w:rsid w:val="005A47F0"/>
    <w:rsid w:val="005B4738"/>
    <w:rsid w:val="005C212D"/>
    <w:rsid w:val="005C3CB0"/>
    <w:rsid w:val="005D3659"/>
    <w:rsid w:val="005E1140"/>
    <w:rsid w:val="005F3214"/>
    <w:rsid w:val="00612231"/>
    <w:rsid w:val="00635EB1"/>
    <w:rsid w:val="00646276"/>
    <w:rsid w:val="006462DA"/>
    <w:rsid w:val="006473BB"/>
    <w:rsid w:val="0066495D"/>
    <w:rsid w:val="006755DF"/>
    <w:rsid w:val="00695EB6"/>
    <w:rsid w:val="006A3770"/>
    <w:rsid w:val="006A4D46"/>
    <w:rsid w:val="006A6024"/>
    <w:rsid w:val="006A72E8"/>
    <w:rsid w:val="006A7943"/>
    <w:rsid w:val="006C31FF"/>
    <w:rsid w:val="006C6256"/>
    <w:rsid w:val="006C6B6C"/>
    <w:rsid w:val="006C704D"/>
    <w:rsid w:val="006D31A2"/>
    <w:rsid w:val="006F15F5"/>
    <w:rsid w:val="006F43BC"/>
    <w:rsid w:val="0070331D"/>
    <w:rsid w:val="007052B1"/>
    <w:rsid w:val="00711BF4"/>
    <w:rsid w:val="00717A44"/>
    <w:rsid w:val="00723952"/>
    <w:rsid w:val="00735FE6"/>
    <w:rsid w:val="00741B43"/>
    <w:rsid w:val="0074223E"/>
    <w:rsid w:val="0074254E"/>
    <w:rsid w:val="007543AC"/>
    <w:rsid w:val="00756537"/>
    <w:rsid w:val="00756A2B"/>
    <w:rsid w:val="00767154"/>
    <w:rsid w:val="007A0EBC"/>
    <w:rsid w:val="007B27F1"/>
    <w:rsid w:val="007B4ABB"/>
    <w:rsid w:val="007B6904"/>
    <w:rsid w:val="007B7628"/>
    <w:rsid w:val="007C0372"/>
    <w:rsid w:val="007C09AF"/>
    <w:rsid w:val="007C0C3B"/>
    <w:rsid w:val="007C36E4"/>
    <w:rsid w:val="00816782"/>
    <w:rsid w:val="0082141D"/>
    <w:rsid w:val="00827F24"/>
    <w:rsid w:val="0084331B"/>
    <w:rsid w:val="00845445"/>
    <w:rsid w:val="00855DA8"/>
    <w:rsid w:val="00886399"/>
    <w:rsid w:val="008974CA"/>
    <w:rsid w:val="008B05E0"/>
    <w:rsid w:val="008D12B6"/>
    <w:rsid w:val="008E1F7F"/>
    <w:rsid w:val="008F00E8"/>
    <w:rsid w:val="00906142"/>
    <w:rsid w:val="009123CB"/>
    <w:rsid w:val="00931B93"/>
    <w:rsid w:val="00933EED"/>
    <w:rsid w:val="00940CDE"/>
    <w:rsid w:val="00962C46"/>
    <w:rsid w:val="0097742A"/>
    <w:rsid w:val="0097744F"/>
    <w:rsid w:val="00980EED"/>
    <w:rsid w:val="00991670"/>
    <w:rsid w:val="009A5A63"/>
    <w:rsid w:val="009B6C8C"/>
    <w:rsid w:val="009C0FCA"/>
    <w:rsid w:val="009C3963"/>
    <w:rsid w:val="009C6DB1"/>
    <w:rsid w:val="009D2E73"/>
    <w:rsid w:val="009D323C"/>
    <w:rsid w:val="009E66AB"/>
    <w:rsid w:val="009E70F4"/>
    <w:rsid w:val="009F52AA"/>
    <w:rsid w:val="00A35E2D"/>
    <w:rsid w:val="00A4091D"/>
    <w:rsid w:val="00A54CB3"/>
    <w:rsid w:val="00A64745"/>
    <w:rsid w:val="00A74B8A"/>
    <w:rsid w:val="00A82303"/>
    <w:rsid w:val="00A85F61"/>
    <w:rsid w:val="00A86DB3"/>
    <w:rsid w:val="00A92E4F"/>
    <w:rsid w:val="00AA0D4E"/>
    <w:rsid w:val="00AA25DC"/>
    <w:rsid w:val="00AB13EF"/>
    <w:rsid w:val="00AB3661"/>
    <w:rsid w:val="00AB4E56"/>
    <w:rsid w:val="00AB50DD"/>
    <w:rsid w:val="00AC7025"/>
    <w:rsid w:val="00AD196F"/>
    <w:rsid w:val="00AD3CCE"/>
    <w:rsid w:val="00B07A46"/>
    <w:rsid w:val="00B07DCE"/>
    <w:rsid w:val="00B1164E"/>
    <w:rsid w:val="00B12123"/>
    <w:rsid w:val="00B21043"/>
    <w:rsid w:val="00B42EA0"/>
    <w:rsid w:val="00B44CAC"/>
    <w:rsid w:val="00B46A7E"/>
    <w:rsid w:val="00B573D6"/>
    <w:rsid w:val="00B6411A"/>
    <w:rsid w:val="00B73E65"/>
    <w:rsid w:val="00B767C4"/>
    <w:rsid w:val="00B81455"/>
    <w:rsid w:val="00B9627F"/>
    <w:rsid w:val="00BA2415"/>
    <w:rsid w:val="00BA4DB2"/>
    <w:rsid w:val="00BA4F95"/>
    <w:rsid w:val="00BB33F9"/>
    <w:rsid w:val="00BC3CE6"/>
    <w:rsid w:val="00BE3446"/>
    <w:rsid w:val="00BE5C92"/>
    <w:rsid w:val="00BE5E41"/>
    <w:rsid w:val="00BF078E"/>
    <w:rsid w:val="00BF7934"/>
    <w:rsid w:val="00C06785"/>
    <w:rsid w:val="00C24EDC"/>
    <w:rsid w:val="00C25A76"/>
    <w:rsid w:val="00C31EB3"/>
    <w:rsid w:val="00C32206"/>
    <w:rsid w:val="00C3559A"/>
    <w:rsid w:val="00C422C8"/>
    <w:rsid w:val="00C45C67"/>
    <w:rsid w:val="00C47091"/>
    <w:rsid w:val="00C523FF"/>
    <w:rsid w:val="00C64B59"/>
    <w:rsid w:val="00C71C3C"/>
    <w:rsid w:val="00C76998"/>
    <w:rsid w:val="00C93E83"/>
    <w:rsid w:val="00CA593D"/>
    <w:rsid w:val="00CB6667"/>
    <w:rsid w:val="00CC5D11"/>
    <w:rsid w:val="00CD1505"/>
    <w:rsid w:val="00D007D7"/>
    <w:rsid w:val="00D04D5C"/>
    <w:rsid w:val="00D21780"/>
    <w:rsid w:val="00D23346"/>
    <w:rsid w:val="00D243B8"/>
    <w:rsid w:val="00D26C5A"/>
    <w:rsid w:val="00D32F75"/>
    <w:rsid w:val="00D34794"/>
    <w:rsid w:val="00D4502D"/>
    <w:rsid w:val="00D530CE"/>
    <w:rsid w:val="00D53E3C"/>
    <w:rsid w:val="00D77950"/>
    <w:rsid w:val="00D81700"/>
    <w:rsid w:val="00D8538B"/>
    <w:rsid w:val="00DC3762"/>
    <w:rsid w:val="00DC5C47"/>
    <w:rsid w:val="00DD0E87"/>
    <w:rsid w:val="00DD3A64"/>
    <w:rsid w:val="00DD616A"/>
    <w:rsid w:val="00DE0465"/>
    <w:rsid w:val="00DE4E25"/>
    <w:rsid w:val="00DF1D27"/>
    <w:rsid w:val="00E049ED"/>
    <w:rsid w:val="00E06EB0"/>
    <w:rsid w:val="00E23C69"/>
    <w:rsid w:val="00E34E6D"/>
    <w:rsid w:val="00E37CD4"/>
    <w:rsid w:val="00E5037F"/>
    <w:rsid w:val="00E57848"/>
    <w:rsid w:val="00E73459"/>
    <w:rsid w:val="00E74E20"/>
    <w:rsid w:val="00E750BF"/>
    <w:rsid w:val="00E90708"/>
    <w:rsid w:val="00EA1513"/>
    <w:rsid w:val="00EC4C49"/>
    <w:rsid w:val="00EC7F41"/>
    <w:rsid w:val="00ED21C3"/>
    <w:rsid w:val="00ED388C"/>
    <w:rsid w:val="00ED46C3"/>
    <w:rsid w:val="00EF02B0"/>
    <w:rsid w:val="00EF13A4"/>
    <w:rsid w:val="00F01B61"/>
    <w:rsid w:val="00F11338"/>
    <w:rsid w:val="00F13AE5"/>
    <w:rsid w:val="00F149FD"/>
    <w:rsid w:val="00F14EC1"/>
    <w:rsid w:val="00F221D8"/>
    <w:rsid w:val="00F32C5D"/>
    <w:rsid w:val="00F4262F"/>
    <w:rsid w:val="00F53719"/>
    <w:rsid w:val="00F57291"/>
    <w:rsid w:val="00F66CB0"/>
    <w:rsid w:val="00F76C89"/>
    <w:rsid w:val="00F9158A"/>
    <w:rsid w:val="00FA29B8"/>
    <w:rsid w:val="00FB1A15"/>
    <w:rsid w:val="00FC5593"/>
    <w:rsid w:val="00FC7CBC"/>
    <w:rsid w:val="00FD3D92"/>
    <w:rsid w:val="00FF56DD"/>
    <w:rsid w:val="01E7B6A8"/>
    <w:rsid w:val="025CDCDF"/>
    <w:rsid w:val="076B8508"/>
    <w:rsid w:val="105F5FD0"/>
    <w:rsid w:val="15B28EF1"/>
    <w:rsid w:val="1FFAD683"/>
    <w:rsid w:val="28F27ADF"/>
    <w:rsid w:val="36B9711B"/>
    <w:rsid w:val="4438F4C8"/>
    <w:rsid w:val="525175D2"/>
    <w:rsid w:val="532CAE12"/>
    <w:rsid w:val="5B1A02B0"/>
    <w:rsid w:val="5F06545C"/>
    <w:rsid w:val="61AA6612"/>
    <w:rsid w:val="69002963"/>
    <w:rsid w:val="6A0BA9BD"/>
    <w:rsid w:val="6F06B55B"/>
    <w:rsid w:val="6F63B423"/>
    <w:rsid w:val="74E7873F"/>
    <w:rsid w:val="78E733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customStyle="1" w:styleId="TableGrid1">
    <w:name w:val="Table Grid1"/>
    <w:basedOn w:val="TableNormal"/>
    <w:next w:val="TableGrid"/>
    <w:uiPriority w:val="59"/>
    <w:rsid w:val="00F32C5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2022-06-09T14:00:00+00:00</Approval_x0020_Date>
    <Review_x0020_Date xmlns="690b2128-8961-48af-a473-22c34a9accba">2025-06-30T14:00:00+00:00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Hyperosmolar fluids, brain, traumatic, injury, hypertonic saline, mannitol, ED, CRRS, Emergency</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To guide the use of Hyperosmolar Fluid for patients presenting with traumatic brain injury in the clinical practice of the Emergency Department (ED) at Canberra Hospital (CH), and  of the Capital Region Retrieval Service (CRRS).</Description0>
    <Display_x0020_on_x0020_Internet xmlns="690b2128-8961-48af-a473-22c34a9accba">true</Display_x0020_on_x0020_Internet>
    <Related_x0020_Documents xmlns="690b2128-8961-48af-a473-22c34a9accba" xsi:nil="true"/>
    <Decision_x0020_Number xmlns="690b2128-8961-48af-a473-22c34a9accba">CHS22/294</Decision_x0020_Number>
    <New_x0020_Owner xmlns="690b2128-8961-48af-a473-22c34a9accba">Medicine - Emergency Department</New_x0020_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3.xml><?xml version="1.0" encoding="utf-8"?>
<ds:datastoreItem xmlns:ds="http://schemas.openxmlformats.org/officeDocument/2006/customXml" ds:itemID="{297F58B0-E6BF-4237-9984-6DF2E01C04FA}">
  <ds:schemaRefs>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http://purl.org/dc/elements/1.1/"/>
    <ds:schemaRef ds:uri="c0239a80-7f07-4ed7-82c3-24ad7d76ada5"/>
    <ds:schemaRef ds:uri="690b2128-8961-48af-a473-22c34a9accb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690ED67-80BA-4E99-B654-B41B84B86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Hyperosmolar Fluid for Traumatic Brain Injury and Intracranial Bleeding in Adults and Children</dc:title>
  <dc:subject>18;#Patient Care Procedures &amp; Processes;#2;#Medication Safety</dc:subject>
  <dc:creator>Fawaz, Daniel (Health)</dc:creator>
  <cp:lastModifiedBy>Grealy, Anna (Health)</cp:lastModifiedBy>
  <cp:revision>8</cp:revision>
  <cp:lastPrinted>2015-01-20T22:40:00Z</cp:lastPrinted>
  <dcterms:created xsi:type="dcterms:W3CDTF">2022-06-16T04:00:00Z</dcterms:created>
  <dcterms:modified xsi:type="dcterms:W3CDTF">2023-01-31T02:30:00Z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ClassificationContentMarkingHeaderShapeIds">
    <vt:lpwstr>1,3,4</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690d47f2-2d0a-4515-b8de-e13c18f23c62_Enabled">
    <vt:lpwstr>true</vt:lpwstr>
  </property>
  <property fmtid="{D5CDD505-2E9C-101B-9397-08002B2CF9AE}" pid="7" name="MSIP_Label_690d47f2-2d0a-4515-b8de-e13c18f23c62_SetDate">
    <vt:lpwstr>2022-06-08T02:37:57Z</vt:lpwstr>
  </property>
  <property fmtid="{D5CDD505-2E9C-101B-9397-08002B2CF9AE}" pid="8" name="MSIP_Label_690d47f2-2d0a-4515-b8de-e13c18f23c62_Method">
    <vt:lpwstr>Privileged</vt:lpwstr>
  </property>
  <property fmtid="{D5CDD505-2E9C-101B-9397-08002B2CF9AE}" pid="9" name="MSIP_Label_690d47f2-2d0a-4515-b8de-e13c18f23c62_Name">
    <vt:lpwstr>OFFICIAL</vt:lpwstr>
  </property>
  <property fmtid="{D5CDD505-2E9C-101B-9397-08002B2CF9AE}" pid="10" name="MSIP_Label_690d47f2-2d0a-4515-b8de-e13c18f23c62_SiteId">
    <vt:lpwstr>b46c1908-0334-4236-b978-585ee88e4199</vt:lpwstr>
  </property>
  <property fmtid="{D5CDD505-2E9C-101B-9397-08002B2CF9AE}" pid="11" name="MSIP_Label_690d47f2-2d0a-4515-b8de-e13c18f23c62_ActionId">
    <vt:lpwstr>02e5f3e9-0266-492b-afe6-08b1d589dace</vt:lpwstr>
  </property>
  <property fmtid="{D5CDD505-2E9C-101B-9397-08002B2CF9AE}" pid="12" name="MSIP_Label_690d47f2-2d0a-4515-b8de-e13c18f23c62_ContentBits">
    <vt:lpwstr>1</vt:lpwstr>
  </property>
</Properties>
</file>