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42B8E0" w14:textId="2CF773C4" w:rsidR="00A86A9D" w:rsidRPr="00C705C9" w:rsidRDefault="00A86A9D" w:rsidP="00A86A9D">
      <w:pPr>
        <w:rPr>
          <w:rFonts w:cs="Arial"/>
          <w:b/>
          <w:color w:val="000000"/>
          <w:sz w:val="44"/>
          <w:szCs w:val="44"/>
        </w:rPr>
      </w:pPr>
      <w:r w:rsidRPr="00C705C9">
        <w:rPr>
          <w:rFonts w:cs="Arial"/>
          <w:b/>
          <w:color w:val="000000"/>
          <w:sz w:val="44"/>
          <w:szCs w:val="44"/>
        </w:rPr>
        <w:t>Canberra Health Services</w:t>
      </w:r>
    </w:p>
    <w:p w14:paraId="3742B8E1" w14:textId="51834E61" w:rsidR="00A86A9D" w:rsidRDefault="006E1B0C" w:rsidP="00A86A9D">
      <w:pPr>
        <w:rPr>
          <w:rFonts w:cs="Arial"/>
          <w:b/>
          <w:sz w:val="36"/>
          <w:szCs w:val="36"/>
        </w:rPr>
      </w:pPr>
      <w:r>
        <w:rPr>
          <w:rFonts w:cs="Arial"/>
          <w:b/>
          <w:sz w:val="44"/>
          <w:szCs w:val="44"/>
        </w:rPr>
        <w:t>Policy</w:t>
      </w:r>
    </w:p>
    <w:p w14:paraId="3742B8E2" w14:textId="6F79FC18" w:rsidR="00A86A9D" w:rsidRDefault="00BD4537" w:rsidP="00A86A9D">
      <w:pPr>
        <w:rPr>
          <w:rFonts w:cs="Arial"/>
          <w:b/>
          <w:sz w:val="36"/>
          <w:szCs w:val="36"/>
        </w:rPr>
      </w:pPr>
      <w:r w:rsidRPr="00BD4537">
        <w:rPr>
          <w:rFonts w:cs="Arial"/>
          <w:b/>
          <w:sz w:val="36"/>
          <w:szCs w:val="36"/>
        </w:rPr>
        <w:t>Protective Security – Security Design for Facilities</w:t>
      </w:r>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BD4537" w:rsidRPr="001B2BAC" w14:paraId="5D72F6E2" w14:textId="77777777" w:rsidTr="002267D8">
        <w:trPr>
          <w:cantSplit/>
          <w:trHeight w:val="285"/>
        </w:trPr>
        <w:tc>
          <w:tcPr>
            <w:tcW w:w="9158" w:type="dxa"/>
            <w:shd w:val="clear" w:color="auto" w:fill="000000"/>
          </w:tcPr>
          <w:p w14:paraId="7F9DA294" w14:textId="46E79DE7" w:rsidR="00BD4537" w:rsidRPr="007A238D" w:rsidRDefault="00BD4537" w:rsidP="002267D8">
            <w:pPr>
              <w:pStyle w:val="Heading1"/>
              <w:rPr>
                <w:szCs w:val="24"/>
              </w:rPr>
            </w:pPr>
            <w:bookmarkStart w:id="0" w:name="_Toc72493413"/>
            <w:r>
              <w:rPr>
                <w:szCs w:val="24"/>
              </w:rPr>
              <w:t>Contents</w:t>
            </w:r>
            <w:bookmarkEnd w:id="0"/>
          </w:p>
        </w:tc>
      </w:tr>
    </w:tbl>
    <w:p w14:paraId="35C92885" w14:textId="130CC7D6" w:rsidR="00BD4537" w:rsidRDefault="00BD4537" w:rsidP="00BD4537"/>
    <w:p w14:paraId="2531EBCF" w14:textId="39F7C077" w:rsidR="00C70FD9" w:rsidRDefault="00BD4537">
      <w:pPr>
        <w:pStyle w:val="TOC1"/>
        <w:tabs>
          <w:tab w:val="right" w:leader="dot" w:pos="9060"/>
        </w:tabs>
        <w:rPr>
          <w:rFonts w:eastAsiaTheme="minorEastAsia" w:cstheme="minorBidi"/>
          <w:noProof/>
          <w:sz w:val="22"/>
          <w:szCs w:val="22"/>
          <w:lang w:eastAsia="en-AU"/>
        </w:rPr>
      </w:pPr>
      <w:r>
        <w:fldChar w:fldCharType="begin"/>
      </w:r>
      <w:r>
        <w:instrText xml:space="preserve"> TOC \h \z \t "Heading 1,1,Heading 2,2" </w:instrText>
      </w:r>
      <w:r>
        <w:fldChar w:fldCharType="separate"/>
      </w:r>
      <w:hyperlink w:anchor="_Toc72493413" w:history="1">
        <w:r w:rsidR="00C70FD9" w:rsidRPr="00AA5724">
          <w:rPr>
            <w:rStyle w:val="Hyperlink"/>
            <w:noProof/>
          </w:rPr>
          <w:t>Contents</w:t>
        </w:r>
        <w:r w:rsidR="00C70FD9">
          <w:rPr>
            <w:noProof/>
            <w:webHidden/>
          </w:rPr>
          <w:tab/>
        </w:r>
        <w:r w:rsidR="00C70FD9">
          <w:rPr>
            <w:noProof/>
            <w:webHidden/>
          </w:rPr>
          <w:fldChar w:fldCharType="begin"/>
        </w:r>
        <w:r w:rsidR="00C70FD9">
          <w:rPr>
            <w:noProof/>
            <w:webHidden/>
          </w:rPr>
          <w:instrText xml:space="preserve"> PAGEREF _Toc72493413 \h </w:instrText>
        </w:r>
        <w:r w:rsidR="00C70FD9">
          <w:rPr>
            <w:noProof/>
            <w:webHidden/>
          </w:rPr>
        </w:r>
        <w:r w:rsidR="00C70FD9">
          <w:rPr>
            <w:noProof/>
            <w:webHidden/>
          </w:rPr>
          <w:fldChar w:fldCharType="separate"/>
        </w:r>
        <w:r w:rsidR="00C70FD9">
          <w:rPr>
            <w:noProof/>
            <w:webHidden/>
          </w:rPr>
          <w:t>1</w:t>
        </w:r>
        <w:r w:rsidR="00C70FD9">
          <w:rPr>
            <w:noProof/>
            <w:webHidden/>
          </w:rPr>
          <w:fldChar w:fldCharType="end"/>
        </w:r>
      </w:hyperlink>
    </w:p>
    <w:p w14:paraId="073037F9" w14:textId="54970FC1" w:rsidR="00C70FD9" w:rsidRDefault="00E64699">
      <w:pPr>
        <w:pStyle w:val="TOC1"/>
        <w:tabs>
          <w:tab w:val="right" w:leader="dot" w:pos="9060"/>
        </w:tabs>
        <w:rPr>
          <w:rFonts w:eastAsiaTheme="minorEastAsia" w:cstheme="minorBidi"/>
          <w:noProof/>
          <w:sz w:val="22"/>
          <w:szCs w:val="22"/>
          <w:lang w:eastAsia="en-AU"/>
        </w:rPr>
      </w:pPr>
      <w:hyperlink w:anchor="_Toc72493414" w:history="1">
        <w:r w:rsidR="00C70FD9" w:rsidRPr="00AA5724">
          <w:rPr>
            <w:rStyle w:val="Hyperlink"/>
            <w:noProof/>
          </w:rPr>
          <w:t>Policy Statement</w:t>
        </w:r>
        <w:r w:rsidR="00C70FD9">
          <w:rPr>
            <w:noProof/>
            <w:webHidden/>
          </w:rPr>
          <w:tab/>
        </w:r>
        <w:r w:rsidR="00C70FD9">
          <w:rPr>
            <w:noProof/>
            <w:webHidden/>
          </w:rPr>
          <w:fldChar w:fldCharType="begin"/>
        </w:r>
        <w:r w:rsidR="00C70FD9">
          <w:rPr>
            <w:noProof/>
            <w:webHidden/>
          </w:rPr>
          <w:instrText xml:space="preserve"> PAGEREF _Toc72493414 \h </w:instrText>
        </w:r>
        <w:r w:rsidR="00C70FD9">
          <w:rPr>
            <w:noProof/>
            <w:webHidden/>
          </w:rPr>
        </w:r>
        <w:r w:rsidR="00C70FD9">
          <w:rPr>
            <w:noProof/>
            <w:webHidden/>
          </w:rPr>
          <w:fldChar w:fldCharType="separate"/>
        </w:r>
        <w:r w:rsidR="00C70FD9">
          <w:rPr>
            <w:noProof/>
            <w:webHidden/>
          </w:rPr>
          <w:t>2</w:t>
        </w:r>
        <w:r w:rsidR="00C70FD9">
          <w:rPr>
            <w:noProof/>
            <w:webHidden/>
          </w:rPr>
          <w:fldChar w:fldCharType="end"/>
        </w:r>
      </w:hyperlink>
    </w:p>
    <w:p w14:paraId="5FE001C7" w14:textId="2CF36813" w:rsidR="00C70FD9" w:rsidRDefault="00E64699">
      <w:pPr>
        <w:pStyle w:val="TOC1"/>
        <w:tabs>
          <w:tab w:val="right" w:leader="dot" w:pos="9060"/>
        </w:tabs>
        <w:rPr>
          <w:rFonts w:eastAsiaTheme="minorEastAsia" w:cstheme="minorBidi"/>
          <w:noProof/>
          <w:sz w:val="22"/>
          <w:szCs w:val="22"/>
          <w:lang w:eastAsia="en-AU"/>
        </w:rPr>
      </w:pPr>
      <w:hyperlink w:anchor="_Toc72493415" w:history="1">
        <w:r w:rsidR="00C70FD9" w:rsidRPr="00AA5724">
          <w:rPr>
            <w:rStyle w:val="Hyperlink"/>
            <w:noProof/>
          </w:rPr>
          <w:t>Alerts</w:t>
        </w:r>
        <w:r w:rsidR="00C70FD9">
          <w:rPr>
            <w:noProof/>
            <w:webHidden/>
          </w:rPr>
          <w:tab/>
        </w:r>
        <w:r w:rsidR="00C70FD9">
          <w:rPr>
            <w:noProof/>
            <w:webHidden/>
          </w:rPr>
          <w:fldChar w:fldCharType="begin"/>
        </w:r>
        <w:r w:rsidR="00C70FD9">
          <w:rPr>
            <w:noProof/>
            <w:webHidden/>
          </w:rPr>
          <w:instrText xml:space="preserve"> PAGEREF _Toc72493415 \h </w:instrText>
        </w:r>
        <w:r w:rsidR="00C70FD9">
          <w:rPr>
            <w:noProof/>
            <w:webHidden/>
          </w:rPr>
        </w:r>
        <w:r w:rsidR="00C70FD9">
          <w:rPr>
            <w:noProof/>
            <w:webHidden/>
          </w:rPr>
          <w:fldChar w:fldCharType="separate"/>
        </w:r>
        <w:r w:rsidR="00C70FD9">
          <w:rPr>
            <w:noProof/>
            <w:webHidden/>
          </w:rPr>
          <w:t>2</w:t>
        </w:r>
        <w:r w:rsidR="00C70FD9">
          <w:rPr>
            <w:noProof/>
            <w:webHidden/>
          </w:rPr>
          <w:fldChar w:fldCharType="end"/>
        </w:r>
      </w:hyperlink>
    </w:p>
    <w:p w14:paraId="2FB12395" w14:textId="6C2F7770" w:rsidR="00C70FD9" w:rsidRDefault="00E64699">
      <w:pPr>
        <w:pStyle w:val="TOC1"/>
        <w:tabs>
          <w:tab w:val="right" w:leader="dot" w:pos="9060"/>
        </w:tabs>
        <w:rPr>
          <w:rFonts w:eastAsiaTheme="minorEastAsia" w:cstheme="minorBidi"/>
          <w:noProof/>
          <w:sz w:val="22"/>
          <w:szCs w:val="22"/>
          <w:lang w:eastAsia="en-AU"/>
        </w:rPr>
      </w:pPr>
      <w:hyperlink w:anchor="_Toc72493416" w:history="1">
        <w:r w:rsidR="00C70FD9" w:rsidRPr="00AA5724">
          <w:rPr>
            <w:rStyle w:val="Hyperlink"/>
            <w:noProof/>
          </w:rPr>
          <w:t>Purpose</w:t>
        </w:r>
        <w:r w:rsidR="00C70FD9">
          <w:rPr>
            <w:noProof/>
            <w:webHidden/>
          </w:rPr>
          <w:tab/>
        </w:r>
        <w:r w:rsidR="00C70FD9">
          <w:rPr>
            <w:noProof/>
            <w:webHidden/>
          </w:rPr>
          <w:fldChar w:fldCharType="begin"/>
        </w:r>
        <w:r w:rsidR="00C70FD9">
          <w:rPr>
            <w:noProof/>
            <w:webHidden/>
          </w:rPr>
          <w:instrText xml:space="preserve"> PAGEREF _Toc72493416 \h </w:instrText>
        </w:r>
        <w:r w:rsidR="00C70FD9">
          <w:rPr>
            <w:noProof/>
            <w:webHidden/>
          </w:rPr>
        </w:r>
        <w:r w:rsidR="00C70FD9">
          <w:rPr>
            <w:noProof/>
            <w:webHidden/>
          </w:rPr>
          <w:fldChar w:fldCharType="separate"/>
        </w:r>
        <w:r w:rsidR="00C70FD9">
          <w:rPr>
            <w:noProof/>
            <w:webHidden/>
          </w:rPr>
          <w:t>2</w:t>
        </w:r>
        <w:r w:rsidR="00C70FD9">
          <w:rPr>
            <w:noProof/>
            <w:webHidden/>
          </w:rPr>
          <w:fldChar w:fldCharType="end"/>
        </w:r>
      </w:hyperlink>
    </w:p>
    <w:p w14:paraId="39AEE15F" w14:textId="60B50C4D" w:rsidR="00C70FD9" w:rsidRDefault="00E64699">
      <w:pPr>
        <w:pStyle w:val="TOC1"/>
        <w:tabs>
          <w:tab w:val="right" w:leader="dot" w:pos="9060"/>
        </w:tabs>
        <w:rPr>
          <w:rFonts w:eastAsiaTheme="minorEastAsia" w:cstheme="minorBidi"/>
          <w:noProof/>
          <w:sz w:val="22"/>
          <w:szCs w:val="22"/>
          <w:lang w:eastAsia="en-AU"/>
        </w:rPr>
      </w:pPr>
      <w:hyperlink w:anchor="_Toc72493417" w:history="1">
        <w:r w:rsidR="00C70FD9" w:rsidRPr="00AA5724">
          <w:rPr>
            <w:rStyle w:val="Hyperlink"/>
            <w:noProof/>
          </w:rPr>
          <w:t>Scope</w:t>
        </w:r>
        <w:r w:rsidR="00C70FD9">
          <w:rPr>
            <w:noProof/>
            <w:webHidden/>
          </w:rPr>
          <w:tab/>
        </w:r>
        <w:r w:rsidR="00C70FD9">
          <w:rPr>
            <w:noProof/>
            <w:webHidden/>
          </w:rPr>
          <w:fldChar w:fldCharType="begin"/>
        </w:r>
        <w:r w:rsidR="00C70FD9">
          <w:rPr>
            <w:noProof/>
            <w:webHidden/>
          </w:rPr>
          <w:instrText xml:space="preserve"> PAGEREF _Toc72493417 \h </w:instrText>
        </w:r>
        <w:r w:rsidR="00C70FD9">
          <w:rPr>
            <w:noProof/>
            <w:webHidden/>
          </w:rPr>
        </w:r>
        <w:r w:rsidR="00C70FD9">
          <w:rPr>
            <w:noProof/>
            <w:webHidden/>
          </w:rPr>
          <w:fldChar w:fldCharType="separate"/>
        </w:r>
        <w:r w:rsidR="00C70FD9">
          <w:rPr>
            <w:noProof/>
            <w:webHidden/>
          </w:rPr>
          <w:t>3</w:t>
        </w:r>
        <w:r w:rsidR="00C70FD9">
          <w:rPr>
            <w:noProof/>
            <w:webHidden/>
          </w:rPr>
          <w:fldChar w:fldCharType="end"/>
        </w:r>
      </w:hyperlink>
    </w:p>
    <w:p w14:paraId="0508D5FA" w14:textId="3D4ACD58" w:rsidR="00C70FD9" w:rsidRDefault="00E64699">
      <w:pPr>
        <w:pStyle w:val="TOC1"/>
        <w:tabs>
          <w:tab w:val="right" w:leader="dot" w:pos="9060"/>
        </w:tabs>
        <w:rPr>
          <w:rFonts w:eastAsiaTheme="minorEastAsia" w:cstheme="minorBidi"/>
          <w:noProof/>
          <w:sz w:val="22"/>
          <w:szCs w:val="22"/>
          <w:lang w:eastAsia="en-AU"/>
        </w:rPr>
      </w:pPr>
      <w:hyperlink w:anchor="_Toc72493418" w:history="1">
        <w:r w:rsidR="00C70FD9" w:rsidRPr="00AA5724">
          <w:rPr>
            <w:rStyle w:val="Hyperlink"/>
            <w:noProof/>
          </w:rPr>
          <w:t>Roles &amp; Responsibilities</w:t>
        </w:r>
        <w:r w:rsidR="00C70FD9">
          <w:rPr>
            <w:noProof/>
            <w:webHidden/>
          </w:rPr>
          <w:tab/>
        </w:r>
        <w:r w:rsidR="00C70FD9">
          <w:rPr>
            <w:noProof/>
            <w:webHidden/>
          </w:rPr>
          <w:fldChar w:fldCharType="begin"/>
        </w:r>
        <w:r w:rsidR="00C70FD9">
          <w:rPr>
            <w:noProof/>
            <w:webHidden/>
          </w:rPr>
          <w:instrText xml:space="preserve"> PAGEREF _Toc72493418 \h </w:instrText>
        </w:r>
        <w:r w:rsidR="00C70FD9">
          <w:rPr>
            <w:noProof/>
            <w:webHidden/>
          </w:rPr>
        </w:r>
        <w:r w:rsidR="00C70FD9">
          <w:rPr>
            <w:noProof/>
            <w:webHidden/>
          </w:rPr>
          <w:fldChar w:fldCharType="separate"/>
        </w:r>
        <w:r w:rsidR="00C70FD9">
          <w:rPr>
            <w:noProof/>
            <w:webHidden/>
          </w:rPr>
          <w:t>3</w:t>
        </w:r>
        <w:r w:rsidR="00C70FD9">
          <w:rPr>
            <w:noProof/>
            <w:webHidden/>
          </w:rPr>
          <w:fldChar w:fldCharType="end"/>
        </w:r>
      </w:hyperlink>
    </w:p>
    <w:p w14:paraId="3F0590D7" w14:textId="5B159759" w:rsidR="00C70FD9" w:rsidRDefault="00E64699">
      <w:pPr>
        <w:pStyle w:val="TOC1"/>
        <w:tabs>
          <w:tab w:val="right" w:leader="dot" w:pos="9060"/>
        </w:tabs>
        <w:rPr>
          <w:rFonts w:eastAsiaTheme="minorEastAsia" w:cstheme="minorBidi"/>
          <w:noProof/>
          <w:sz w:val="22"/>
          <w:szCs w:val="22"/>
          <w:lang w:eastAsia="en-AU"/>
        </w:rPr>
      </w:pPr>
      <w:hyperlink w:anchor="_Toc72493419" w:history="1">
        <w:r w:rsidR="00C70FD9" w:rsidRPr="00AA5724">
          <w:rPr>
            <w:rStyle w:val="Hyperlink"/>
            <w:noProof/>
          </w:rPr>
          <w:t>Physical Security</w:t>
        </w:r>
        <w:r w:rsidR="00C70FD9">
          <w:rPr>
            <w:noProof/>
            <w:webHidden/>
          </w:rPr>
          <w:tab/>
        </w:r>
        <w:r w:rsidR="00C70FD9">
          <w:rPr>
            <w:noProof/>
            <w:webHidden/>
          </w:rPr>
          <w:fldChar w:fldCharType="begin"/>
        </w:r>
        <w:r w:rsidR="00C70FD9">
          <w:rPr>
            <w:noProof/>
            <w:webHidden/>
          </w:rPr>
          <w:instrText xml:space="preserve"> PAGEREF _Toc72493419 \h </w:instrText>
        </w:r>
        <w:r w:rsidR="00C70FD9">
          <w:rPr>
            <w:noProof/>
            <w:webHidden/>
          </w:rPr>
        </w:r>
        <w:r w:rsidR="00C70FD9">
          <w:rPr>
            <w:noProof/>
            <w:webHidden/>
          </w:rPr>
          <w:fldChar w:fldCharType="separate"/>
        </w:r>
        <w:r w:rsidR="00C70FD9">
          <w:rPr>
            <w:noProof/>
            <w:webHidden/>
          </w:rPr>
          <w:t>3</w:t>
        </w:r>
        <w:r w:rsidR="00C70FD9">
          <w:rPr>
            <w:noProof/>
            <w:webHidden/>
          </w:rPr>
          <w:fldChar w:fldCharType="end"/>
        </w:r>
      </w:hyperlink>
    </w:p>
    <w:p w14:paraId="53926AB6" w14:textId="2DD70A6D" w:rsidR="00C70FD9" w:rsidRDefault="00E64699">
      <w:pPr>
        <w:pStyle w:val="TOC2"/>
        <w:tabs>
          <w:tab w:val="right" w:leader="dot" w:pos="9060"/>
        </w:tabs>
        <w:rPr>
          <w:rFonts w:eastAsiaTheme="minorEastAsia" w:cstheme="minorBidi"/>
          <w:noProof/>
          <w:sz w:val="22"/>
          <w:szCs w:val="22"/>
          <w:lang w:eastAsia="en-AU"/>
        </w:rPr>
      </w:pPr>
      <w:hyperlink w:anchor="_Toc72493420" w:history="1">
        <w:r w:rsidR="00C70FD9" w:rsidRPr="00AA5724">
          <w:rPr>
            <w:rStyle w:val="Hyperlink"/>
            <w:noProof/>
          </w:rPr>
          <w:t>Security zoning – public and official spaces</w:t>
        </w:r>
        <w:r w:rsidR="00C70FD9">
          <w:rPr>
            <w:noProof/>
            <w:webHidden/>
          </w:rPr>
          <w:tab/>
        </w:r>
        <w:r w:rsidR="00C70FD9">
          <w:rPr>
            <w:noProof/>
            <w:webHidden/>
          </w:rPr>
          <w:fldChar w:fldCharType="begin"/>
        </w:r>
        <w:r w:rsidR="00C70FD9">
          <w:rPr>
            <w:noProof/>
            <w:webHidden/>
          </w:rPr>
          <w:instrText xml:space="preserve"> PAGEREF _Toc72493420 \h </w:instrText>
        </w:r>
        <w:r w:rsidR="00C70FD9">
          <w:rPr>
            <w:noProof/>
            <w:webHidden/>
          </w:rPr>
        </w:r>
        <w:r w:rsidR="00C70FD9">
          <w:rPr>
            <w:noProof/>
            <w:webHidden/>
          </w:rPr>
          <w:fldChar w:fldCharType="separate"/>
        </w:r>
        <w:r w:rsidR="00C70FD9">
          <w:rPr>
            <w:noProof/>
            <w:webHidden/>
          </w:rPr>
          <w:t>3</w:t>
        </w:r>
        <w:r w:rsidR="00C70FD9">
          <w:rPr>
            <w:noProof/>
            <w:webHidden/>
          </w:rPr>
          <w:fldChar w:fldCharType="end"/>
        </w:r>
      </w:hyperlink>
    </w:p>
    <w:p w14:paraId="3314A375" w14:textId="76017BE4" w:rsidR="00C70FD9" w:rsidRDefault="00E64699">
      <w:pPr>
        <w:pStyle w:val="TOC2"/>
        <w:tabs>
          <w:tab w:val="right" w:leader="dot" w:pos="9060"/>
        </w:tabs>
        <w:rPr>
          <w:rFonts w:eastAsiaTheme="minorEastAsia" w:cstheme="minorBidi"/>
          <w:noProof/>
          <w:sz w:val="22"/>
          <w:szCs w:val="22"/>
          <w:lang w:eastAsia="en-AU"/>
        </w:rPr>
      </w:pPr>
      <w:hyperlink w:anchor="_Toc72493421" w:history="1">
        <w:r w:rsidR="00C70FD9" w:rsidRPr="00AA5724">
          <w:rPr>
            <w:rStyle w:val="Hyperlink"/>
            <w:noProof/>
          </w:rPr>
          <w:t>Perimeter Security</w:t>
        </w:r>
        <w:r w:rsidR="00C70FD9">
          <w:rPr>
            <w:noProof/>
            <w:webHidden/>
          </w:rPr>
          <w:tab/>
        </w:r>
        <w:r w:rsidR="00C70FD9">
          <w:rPr>
            <w:noProof/>
            <w:webHidden/>
          </w:rPr>
          <w:fldChar w:fldCharType="begin"/>
        </w:r>
        <w:r w:rsidR="00C70FD9">
          <w:rPr>
            <w:noProof/>
            <w:webHidden/>
          </w:rPr>
          <w:instrText xml:space="preserve"> PAGEREF _Toc72493421 \h </w:instrText>
        </w:r>
        <w:r w:rsidR="00C70FD9">
          <w:rPr>
            <w:noProof/>
            <w:webHidden/>
          </w:rPr>
        </w:r>
        <w:r w:rsidR="00C70FD9">
          <w:rPr>
            <w:noProof/>
            <w:webHidden/>
          </w:rPr>
          <w:fldChar w:fldCharType="separate"/>
        </w:r>
        <w:r w:rsidR="00C70FD9">
          <w:rPr>
            <w:noProof/>
            <w:webHidden/>
          </w:rPr>
          <w:t>5</w:t>
        </w:r>
        <w:r w:rsidR="00C70FD9">
          <w:rPr>
            <w:noProof/>
            <w:webHidden/>
          </w:rPr>
          <w:fldChar w:fldCharType="end"/>
        </w:r>
      </w:hyperlink>
    </w:p>
    <w:p w14:paraId="39CF8317" w14:textId="23E55272" w:rsidR="00C70FD9" w:rsidRDefault="00E64699">
      <w:pPr>
        <w:pStyle w:val="TOC2"/>
        <w:tabs>
          <w:tab w:val="right" w:leader="dot" w:pos="9060"/>
        </w:tabs>
        <w:rPr>
          <w:rFonts w:eastAsiaTheme="minorEastAsia" w:cstheme="minorBidi"/>
          <w:noProof/>
          <w:sz w:val="22"/>
          <w:szCs w:val="22"/>
          <w:lang w:eastAsia="en-AU"/>
        </w:rPr>
      </w:pPr>
      <w:hyperlink w:anchor="_Toc72493422" w:history="1">
        <w:r w:rsidR="00C70FD9" w:rsidRPr="00AA5724">
          <w:rPr>
            <w:rStyle w:val="Hyperlink"/>
            <w:noProof/>
          </w:rPr>
          <w:t>Access Control</w:t>
        </w:r>
        <w:r w:rsidR="00C70FD9">
          <w:rPr>
            <w:noProof/>
            <w:webHidden/>
          </w:rPr>
          <w:tab/>
        </w:r>
        <w:r w:rsidR="00C70FD9">
          <w:rPr>
            <w:noProof/>
            <w:webHidden/>
          </w:rPr>
          <w:fldChar w:fldCharType="begin"/>
        </w:r>
        <w:r w:rsidR="00C70FD9">
          <w:rPr>
            <w:noProof/>
            <w:webHidden/>
          </w:rPr>
          <w:instrText xml:space="preserve"> PAGEREF _Toc72493422 \h </w:instrText>
        </w:r>
        <w:r w:rsidR="00C70FD9">
          <w:rPr>
            <w:noProof/>
            <w:webHidden/>
          </w:rPr>
        </w:r>
        <w:r w:rsidR="00C70FD9">
          <w:rPr>
            <w:noProof/>
            <w:webHidden/>
          </w:rPr>
          <w:fldChar w:fldCharType="separate"/>
        </w:r>
        <w:r w:rsidR="00C70FD9">
          <w:rPr>
            <w:noProof/>
            <w:webHidden/>
          </w:rPr>
          <w:t>6</w:t>
        </w:r>
        <w:r w:rsidR="00C70FD9">
          <w:rPr>
            <w:noProof/>
            <w:webHidden/>
          </w:rPr>
          <w:fldChar w:fldCharType="end"/>
        </w:r>
      </w:hyperlink>
    </w:p>
    <w:p w14:paraId="68E4DD0C" w14:textId="0771DFE5" w:rsidR="00C70FD9" w:rsidRDefault="00E64699">
      <w:pPr>
        <w:pStyle w:val="TOC1"/>
        <w:tabs>
          <w:tab w:val="right" w:leader="dot" w:pos="9060"/>
        </w:tabs>
        <w:rPr>
          <w:rFonts w:eastAsiaTheme="minorEastAsia" w:cstheme="minorBidi"/>
          <w:noProof/>
          <w:sz w:val="22"/>
          <w:szCs w:val="22"/>
          <w:lang w:eastAsia="en-AU"/>
        </w:rPr>
      </w:pPr>
      <w:hyperlink w:anchor="_Toc72493423" w:history="1">
        <w:r w:rsidR="00C70FD9" w:rsidRPr="00AA5724">
          <w:rPr>
            <w:rStyle w:val="Hyperlink"/>
            <w:noProof/>
          </w:rPr>
          <w:t>Closed Circuit Television</w:t>
        </w:r>
        <w:r w:rsidR="00C70FD9">
          <w:rPr>
            <w:noProof/>
            <w:webHidden/>
          </w:rPr>
          <w:tab/>
        </w:r>
        <w:r w:rsidR="00C70FD9">
          <w:rPr>
            <w:noProof/>
            <w:webHidden/>
          </w:rPr>
          <w:fldChar w:fldCharType="begin"/>
        </w:r>
        <w:r w:rsidR="00C70FD9">
          <w:rPr>
            <w:noProof/>
            <w:webHidden/>
          </w:rPr>
          <w:instrText xml:space="preserve"> PAGEREF _Toc72493423 \h </w:instrText>
        </w:r>
        <w:r w:rsidR="00C70FD9">
          <w:rPr>
            <w:noProof/>
            <w:webHidden/>
          </w:rPr>
        </w:r>
        <w:r w:rsidR="00C70FD9">
          <w:rPr>
            <w:noProof/>
            <w:webHidden/>
          </w:rPr>
          <w:fldChar w:fldCharType="separate"/>
        </w:r>
        <w:r w:rsidR="00C70FD9">
          <w:rPr>
            <w:noProof/>
            <w:webHidden/>
          </w:rPr>
          <w:t>9</w:t>
        </w:r>
        <w:r w:rsidR="00C70FD9">
          <w:rPr>
            <w:noProof/>
            <w:webHidden/>
          </w:rPr>
          <w:fldChar w:fldCharType="end"/>
        </w:r>
      </w:hyperlink>
    </w:p>
    <w:p w14:paraId="2F011171" w14:textId="0C809B60" w:rsidR="00C70FD9" w:rsidRDefault="00E64699">
      <w:pPr>
        <w:pStyle w:val="TOC1"/>
        <w:tabs>
          <w:tab w:val="right" w:leader="dot" w:pos="9060"/>
        </w:tabs>
        <w:rPr>
          <w:rFonts w:eastAsiaTheme="minorEastAsia" w:cstheme="minorBidi"/>
          <w:noProof/>
          <w:sz w:val="22"/>
          <w:szCs w:val="22"/>
          <w:lang w:eastAsia="en-AU"/>
        </w:rPr>
      </w:pPr>
      <w:hyperlink w:anchor="_Toc72493424" w:history="1">
        <w:r w:rsidR="00C70FD9" w:rsidRPr="00AA5724">
          <w:rPr>
            <w:rStyle w:val="Hyperlink"/>
            <w:noProof/>
          </w:rPr>
          <w:t>Intrusion Detection</w:t>
        </w:r>
        <w:r w:rsidR="00C70FD9">
          <w:rPr>
            <w:noProof/>
            <w:webHidden/>
          </w:rPr>
          <w:tab/>
        </w:r>
        <w:r w:rsidR="00C70FD9">
          <w:rPr>
            <w:noProof/>
            <w:webHidden/>
          </w:rPr>
          <w:fldChar w:fldCharType="begin"/>
        </w:r>
        <w:r w:rsidR="00C70FD9">
          <w:rPr>
            <w:noProof/>
            <w:webHidden/>
          </w:rPr>
          <w:instrText xml:space="preserve"> PAGEREF _Toc72493424 \h </w:instrText>
        </w:r>
        <w:r w:rsidR="00C70FD9">
          <w:rPr>
            <w:noProof/>
            <w:webHidden/>
          </w:rPr>
        </w:r>
        <w:r w:rsidR="00C70FD9">
          <w:rPr>
            <w:noProof/>
            <w:webHidden/>
          </w:rPr>
          <w:fldChar w:fldCharType="separate"/>
        </w:r>
        <w:r w:rsidR="00C70FD9">
          <w:rPr>
            <w:noProof/>
            <w:webHidden/>
          </w:rPr>
          <w:t>10</w:t>
        </w:r>
        <w:r w:rsidR="00C70FD9">
          <w:rPr>
            <w:noProof/>
            <w:webHidden/>
          </w:rPr>
          <w:fldChar w:fldCharType="end"/>
        </w:r>
      </w:hyperlink>
    </w:p>
    <w:p w14:paraId="5706EE19" w14:textId="6595916F" w:rsidR="00C70FD9" w:rsidRDefault="00E64699">
      <w:pPr>
        <w:pStyle w:val="TOC1"/>
        <w:tabs>
          <w:tab w:val="right" w:leader="dot" w:pos="9060"/>
        </w:tabs>
        <w:rPr>
          <w:rFonts w:eastAsiaTheme="minorEastAsia" w:cstheme="minorBidi"/>
          <w:noProof/>
          <w:sz w:val="22"/>
          <w:szCs w:val="22"/>
          <w:lang w:eastAsia="en-AU"/>
        </w:rPr>
      </w:pPr>
      <w:hyperlink w:anchor="_Toc72493425" w:history="1">
        <w:r w:rsidR="00C70FD9" w:rsidRPr="00AA5724">
          <w:rPr>
            <w:rStyle w:val="Hyperlink"/>
            <w:noProof/>
          </w:rPr>
          <w:t>Alarm Systems</w:t>
        </w:r>
        <w:r w:rsidR="00C70FD9">
          <w:rPr>
            <w:noProof/>
            <w:webHidden/>
          </w:rPr>
          <w:tab/>
        </w:r>
        <w:r w:rsidR="00C70FD9">
          <w:rPr>
            <w:noProof/>
            <w:webHidden/>
          </w:rPr>
          <w:fldChar w:fldCharType="begin"/>
        </w:r>
        <w:r w:rsidR="00C70FD9">
          <w:rPr>
            <w:noProof/>
            <w:webHidden/>
          </w:rPr>
          <w:instrText xml:space="preserve"> PAGEREF _Toc72493425 \h </w:instrText>
        </w:r>
        <w:r w:rsidR="00C70FD9">
          <w:rPr>
            <w:noProof/>
            <w:webHidden/>
          </w:rPr>
        </w:r>
        <w:r w:rsidR="00C70FD9">
          <w:rPr>
            <w:noProof/>
            <w:webHidden/>
          </w:rPr>
          <w:fldChar w:fldCharType="separate"/>
        </w:r>
        <w:r w:rsidR="00C70FD9">
          <w:rPr>
            <w:noProof/>
            <w:webHidden/>
          </w:rPr>
          <w:t>11</w:t>
        </w:r>
        <w:r w:rsidR="00C70FD9">
          <w:rPr>
            <w:noProof/>
            <w:webHidden/>
          </w:rPr>
          <w:fldChar w:fldCharType="end"/>
        </w:r>
      </w:hyperlink>
    </w:p>
    <w:p w14:paraId="3FE90AF3" w14:textId="2CD21D82" w:rsidR="00C70FD9" w:rsidRDefault="00E64699">
      <w:pPr>
        <w:pStyle w:val="TOC1"/>
        <w:tabs>
          <w:tab w:val="right" w:leader="dot" w:pos="9060"/>
        </w:tabs>
        <w:rPr>
          <w:rFonts w:eastAsiaTheme="minorEastAsia" w:cstheme="minorBidi"/>
          <w:noProof/>
          <w:sz w:val="22"/>
          <w:szCs w:val="22"/>
          <w:lang w:eastAsia="en-AU"/>
        </w:rPr>
      </w:pPr>
      <w:hyperlink w:anchor="_Toc72493426" w:history="1">
        <w:r w:rsidR="00C70FD9" w:rsidRPr="00AA5724">
          <w:rPr>
            <w:rStyle w:val="Hyperlink"/>
            <w:noProof/>
          </w:rPr>
          <w:t>Visitor Management</w:t>
        </w:r>
        <w:r w:rsidR="00C70FD9">
          <w:rPr>
            <w:noProof/>
            <w:webHidden/>
          </w:rPr>
          <w:tab/>
        </w:r>
        <w:r w:rsidR="00C70FD9">
          <w:rPr>
            <w:noProof/>
            <w:webHidden/>
          </w:rPr>
          <w:fldChar w:fldCharType="begin"/>
        </w:r>
        <w:r w:rsidR="00C70FD9">
          <w:rPr>
            <w:noProof/>
            <w:webHidden/>
          </w:rPr>
          <w:instrText xml:space="preserve"> PAGEREF _Toc72493426 \h </w:instrText>
        </w:r>
        <w:r w:rsidR="00C70FD9">
          <w:rPr>
            <w:noProof/>
            <w:webHidden/>
          </w:rPr>
        </w:r>
        <w:r w:rsidR="00C70FD9">
          <w:rPr>
            <w:noProof/>
            <w:webHidden/>
          </w:rPr>
          <w:fldChar w:fldCharType="separate"/>
        </w:r>
        <w:r w:rsidR="00C70FD9">
          <w:rPr>
            <w:noProof/>
            <w:webHidden/>
          </w:rPr>
          <w:t>11</w:t>
        </w:r>
        <w:r w:rsidR="00C70FD9">
          <w:rPr>
            <w:noProof/>
            <w:webHidden/>
          </w:rPr>
          <w:fldChar w:fldCharType="end"/>
        </w:r>
      </w:hyperlink>
    </w:p>
    <w:p w14:paraId="6A55EC42" w14:textId="32D71B96" w:rsidR="00C70FD9" w:rsidRDefault="00E64699">
      <w:pPr>
        <w:pStyle w:val="TOC1"/>
        <w:tabs>
          <w:tab w:val="right" w:leader="dot" w:pos="9060"/>
        </w:tabs>
        <w:rPr>
          <w:rFonts w:eastAsiaTheme="minorEastAsia" w:cstheme="minorBidi"/>
          <w:noProof/>
          <w:sz w:val="22"/>
          <w:szCs w:val="22"/>
          <w:lang w:eastAsia="en-AU"/>
        </w:rPr>
      </w:pPr>
      <w:hyperlink w:anchor="_Toc72493427" w:history="1">
        <w:r w:rsidR="00C70FD9" w:rsidRPr="00AA5724">
          <w:rPr>
            <w:rStyle w:val="Hyperlink"/>
            <w:noProof/>
          </w:rPr>
          <w:t>Evaluation</w:t>
        </w:r>
        <w:r w:rsidR="00C70FD9">
          <w:rPr>
            <w:noProof/>
            <w:webHidden/>
          </w:rPr>
          <w:tab/>
        </w:r>
        <w:r w:rsidR="00C70FD9">
          <w:rPr>
            <w:noProof/>
            <w:webHidden/>
          </w:rPr>
          <w:fldChar w:fldCharType="begin"/>
        </w:r>
        <w:r w:rsidR="00C70FD9">
          <w:rPr>
            <w:noProof/>
            <w:webHidden/>
          </w:rPr>
          <w:instrText xml:space="preserve"> PAGEREF _Toc72493427 \h </w:instrText>
        </w:r>
        <w:r w:rsidR="00C70FD9">
          <w:rPr>
            <w:noProof/>
            <w:webHidden/>
          </w:rPr>
        </w:r>
        <w:r w:rsidR="00C70FD9">
          <w:rPr>
            <w:noProof/>
            <w:webHidden/>
          </w:rPr>
          <w:fldChar w:fldCharType="separate"/>
        </w:r>
        <w:r w:rsidR="00C70FD9">
          <w:rPr>
            <w:noProof/>
            <w:webHidden/>
          </w:rPr>
          <w:t>12</w:t>
        </w:r>
        <w:r w:rsidR="00C70FD9">
          <w:rPr>
            <w:noProof/>
            <w:webHidden/>
          </w:rPr>
          <w:fldChar w:fldCharType="end"/>
        </w:r>
      </w:hyperlink>
    </w:p>
    <w:p w14:paraId="7D5593F6" w14:textId="6214E741" w:rsidR="00C70FD9" w:rsidRDefault="00E64699">
      <w:pPr>
        <w:pStyle w:val="TOC1"/>
        <w:tabs>
          <w:tab w:val="right" w:leader="dot" w:pos="9060"/>
        </w:tabs>
        <w:rPr>
          <w:rFonts w:eastAsiaTheme="minorEastAsia" w:cstheme="minorBidi"/>
          <w:noProof/>
          <w:sz w:val="22"/>
          <w:szCs w:val="22"/>
          <w:lang w:eastAsia="en-AU"/>
        </w:rPr>
      </w:pPr>
      <w:hyperlink w:anchor="_Toc72493428" w:history="1">
        <w:r w:rsidR="00C70FD9" w:rsidRPr="00AA5724">
          <w:rPr>
            <w:rStyle w:val="Hyperlink"/>
            <w:noProof/>
          </w:rPr>
          <w:t>Related Policies, Procedures, Guidelines and Legislation</w:t>
        </w:r>
        <w:r w:rsidR="00C70FD9">
          <w:rPr>
            <w:noProof/>
            <w:webHidden/>
          </w:rPr>
          <w:tab/>
        </w:r>
        <w:r w:rsidR="00C70FD9">
          <w:rPr>
            <w:noProof/>
            <w:webHidden/>
          </w:rPr>
          <w:fldChar w:fldCharType="begin"/>
        </w:r>
        <w:r w:rsidR="00C70FD9">
          <w:rPr>
            <w:noProof/>
            <w:webHidden/>
          </w:rPr>
          <w:instrText xml:space="preserve"> PAGEREF _Toc72493428 \h </w:instrText>
        </w:r>
        <w:r w:rsidR="00C70FD9">
          <w:rPr>
            <w:noProof/>
            <w:webHidden/>
          </w:rPr>
        </w:r>
        <w:r w:rsidR="00C70FD9">
          <w:rPr>
            <w:noProof/>
            <w:webHidden/>
          </w:rPr>
          <w:fldChar w:fldCharType="separate"/>
        </w:r>
        <w:r w:rsidR="00C70FD9">
          <w:rPr>
            <w:noProof/>
            <w:webHidden/>
          </w:rPr>
          <w:t>13</w:t>
        </w:r>
        <w:r w:rsidR="00C70FD9">
          <w:rPr>
            <w:noProof/>
            <w:webHidden/>
          </w:rPr>
          <w:fldChar w:fldCharType="end"/>
        </w:r>
      </w:hyperlink>
    </w:p>
    <w:p w14:paraId="571A4B76" w14:textId="397B8217" w:rsidR="00C70FD9" w:rsidRDefault="00E64699">
      <w:pPr>
        <w:pStyle w:val="TOC1"/>
        <w:tabs>
          <w:tab w:val="right" w:leader="dot" w:pos="9060"/>
        </w:tabs>
        <w:rPr>
          <w:rFonts w:eastAsiaTheme="minorEastAsia" w:cstheme="minorBidi"/>
          <w:noProof/>
          <w:sz w:val="22"/>
          <w:szCs w:val="22"/>
          <w:lang w:eastAsia="en-AU"/>
        </w:rPr>
      </w:pPr>
      <w:hyperlink w:anchor="_Toc72493429" w:history="1">
        <w:r w:rsidR="00C70FD9" w:rsidRPr="00AA5724">
          <w:rPr>
            <w:rStyle w:val="Hyperlink"/>
            <w:noProof/>
          </w:rPr>
          <w:t>Definition of Terms</w:t>
        </w:r>
        <w:r w:rsidR="00C70FD9">
          <w:rPr>
            <w:noProof/>
            <w:webHidden/>
          </w:rPr>
          <w:tab/>
        </w:r>
        <w:r w:rsidR="00C70FD9">
          <w:rPr>
            <w:noProof/>
            <w:webHidden/>
          </w:rPr>
          <w:fldChar w:fldCharType="begin"/>
        </w:r>
        <w:r w:rsidR="00C70FD9">
          <w:rPr>
            <w:noProof/>
            <w:webHidden/>
          </w:rPr>
          <w:instrText xml:space="preserve"> PAGEREF _Toc72493429 \h </w:instrText>
        </w:r>
        <w:r w:rsidR="00C70FD9">
          <w:rPr>
            <w:noProof/>
            <w:webHidden/>
          </w:rPr>
        </w:r>
        <w:r w:rsidR="00C70FD9">
          <w:rPr>
            <w:noProof/>
            <w:webHidden/>
          </w:rPr>
          <w:fldChar w:fldCharType="separate"/>
        </w:r>
        <w:r w:rsidR="00C70FD9">
          <w:rPr>
            <w:noProof/>
            <w:webHidden/>
          </w:rPr>
          <w:t>13</w:t>
        </w:r>
        <w:r w:rsidR="00C70FD9">
          <w:rPr>
            <w:noProof/>
            <w:webHidden/>
          </w:rPr>
          <w:fldChar w:fldCharType="end"/>
        </w:r>
      </w:hyperlink>
    </w:p>
    <w:p w14:paraId="26CDDAE4" w14:textId="0A6D7CE6" w:rsidR="00C70FD9" w:rsidRDefault="00E64699">
      <w:pPr>
        <w:pStyle w:val="TOC1"/>
        <w:tabs>
          <w:tab w:val="right" w:leader="dot" w:pos="9060"/>
        </w:tabs>
        <w:rPr>
          <w:rFonts w:eastAsiaTheme="minorEastAsia" w:cstheme="minorBidi"/>
          <w:noProof/>
          <w:sz w:val="22"/>
          <w:szCs w:val="22"/>
          <w:lang w:eastAsia="en-AU"/>
        </w:rPr>
      </w:pPr>
      <w:hyperlink w:anchor="_Toc72493430" w:history="1">
        <w:r w:rsidR="00C70FD9" w:rsidRPr="00AA5724">
          <w:rPr>
            <w:rStyle w:val="Hyperlink"/>
            <w:noProof/>
          </w:rPr>
          <w:t>Search Terms</w:t>
        </w:r>
        <w:r w:rsidR="00C70FD9">
          <w:rPr>
            <w:noProof/>
            <w:webHidden/>
          </w:rPr>
          <w:tab/>
        </w:r>
        <w:r w:rsidR="00C70FD9">
          <w:rPr>
            <w:noProof/>
            <w:webHidden/>
          </w:rPr>
          <w:fldChar w:fldCharType="begin"/>
        </w:r>
        <w:r w:rsidR="00C70FD9">
          <w:rPr>
            <w:noProof/>
            <w:webHidden/>
          </w:rPr>
          <w:instrText xml:space="preserve"> PAGEREF _Toc72493430 \h </w:instrText>
        </w:r>
        <w:r w:rsidR="00C70FD9">
          <w:rPr>
            <w:noProof/>
            <w:webHidden/>
          </w:rPr>
        </w:r>
        <w:r w:rsidR="00C70FD9">
          <w:rPr>
            <w:noProof/>
            <w:webHidden/>
          </w:rPr>
          <w:fldChar w:fldCharType="separate"/>
        </w:r>
        <w:r w:rsidR="00C70FD9">
          <w:rPr>
            <w:noProof/>
            <w:webHidden/>
          </w:rPr>
          <w:t>13</w:t>
        </w:r>
        <w:r w:rsidR="00C70FD9">
          <w:rPr>
            <w:noProof/>
            <w:webHidden/>
          </w:rPr>
          <w:fldChar w:fldCharType="end"/>
        </w:r>
      </w:hyperlink>
    </w:p>
    <w:p w14:paraId="6C5B24BF" w14:textId="42531B52" w:rsidR="00BD4537" w:rsidRPr="009902FB" w:rsidRDefault="00BD4537" w:rsidP="00BD4537">
      <w:r>
        <w:fldChar w:fldCharType="end"/>
      </w:r>
    </w:p>
    <w:p w14:paraId="78CF28D7" w14:textId="77777777" w:rsidR="00BD4537" w:rsidRDefault="00BD4537">
      <w:r>
        <w:rPr>
          <w:b/>
          <w:iCs/>
        </w:rPr>
        <w:br w:type="page"/>
      </w:r>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A86A9D" w:rsidRPr="001B2BAC" w14:paraId="3742B8E4" w14:textId="77777777" w:rsidTr="009F2977">
        <w:trPr>
          <w:cantSplit/>
          <w:trHeight w:val="285"/>
        </w:trPr>
        <w:tc>
          <w:tcPr>
            <w:tcW w:w="9158" w:type="dxa"/>
            <w:shd w:val="clear" w:color="auto" w:fill="000000"/>
          </w:tcPr>
          <w:p w14:paraId="3742B8E3" w14:textId="369E7A86" w:rsidR="00A86A9D" w:rsidRPr="007A238D" w:rsidRDefault="00A86A9D" w:rsidP="007A238D">
            <w:pPr>
              <w:pStyle w:val="Heading1"/>
              <w:rPr>
                <w:szCs w:val="24"/>
              </w:rPr>
            </w:pPr>
            <w:bookmarkStart w:id="1" w:name="_Toc72493414"/>
            <w:r>
              <w:rPr>
                <w:szCs w:val="24"/>
              </w:rPr>
              <w:lastRenderedPageBreak/>
              <w:t xml:space="preserve">Policy </w:t>
            </w:r>
            <w:r w:rsidRPr="007A238D">
              <w:rPr>
                <w:szCs w:val="24"/>
              </w:rPr>
              <w:t>Statement</w:t>
            </w:r>
            <w:bookmarkEnd w:id="1"/>
          </w:p>
        </w:tc>
      </w:tr>
    </w:tbl>
    <w:p w14:paraId="3742B8E5" w14:textId="77777777" w:rsidR="00A86A9D" w:rsidRDefault="00A86A9D" w:rsidP="00BD4537"/>
    <w:p w14:paraId="626E8A82" w14:textId="12696D9E" w:rsidR="00BD4537" w:rsidRDefault="00BD4537" w:rsidP="00BD4537">
      <w:r>
        <w:t>Canberra Health Services (CHS) must meet all mandatory requirements under the ACT Government Protective Security Policy Framework (PSPF).  The PSPF outlines the requirements for physical security</w:t>
      </w:r>
      <w:r w:rsidR="008D7E36">
        <w:t>,</w:t>
      </w:r>
      <w:r>
        <w:t xml:space="preserve"> including the need for security risk assessments to be undertaken to determine the protective security design and measures for all building and infrastructure projects.</w:t>
      </w:r>
    </w:p>
    <w:p w14:paraId="67F4342D" w14:textId="77777777" w:rsidR="00BD4537" w:rsidRDefault="00BD4537" w:rsidP="00BD4537"/>
    <w:p w14:paraId="45C49B1B" w14:textId="60098305" w:rsidR="00BD4537" w:rsidRDefault="00BD4537" w:rsidP="00BD4537">
      <w:r>
        <w:t>Security assessments must be completed when:</w:t>
      </w:r>
    </w:p>
    <w:p w14:paraId="227F3AA5" w14:textId="77777777" w:rsidR="00BD4537" w:rsidRDefault="00BD4537" w:rsidP="00BD4537">
      <w:pPr>
        <w:pStyle w:val="ListBullet"/>
      </w:pPr>
      <w:r>
        <w:t>the agency undertakes new functions or existing functions are varied;</w:t>
      </w:r>
    </w:p>
    <w:p w14:paraId="05F98BA2" w14:textId="5CAA40C8" w:rsidR="00BD4537" w:rsidRDefault="00BD4537" w:rsidP="00BD4537">
      <w:pPr>
        <w:pStyle w:val="ListBullet"/>
      </w:pPr>
      <w:r>
        <w:t>the function is moved to a new environment (e</w:t>
      </w:r>
      <w:r w:rsidR="00AF4463">
        <w:t>.</w:t>
      </w:r>
      <w:r>
        <w:t>g. a new location or the current location is refurbished); or</w:t>
      </w:r>
    </w:p>
    <w:p w14:paraId="516E8876" w14:textId="77777777" w:rsidR="00BD4537" w:rsidRDefault="00BD4537" w:rsidP="00BD4537">
      <w:pPr>
        <w:pStyle w:val="ListBullet"/>
      </w:pPr>
      <w:r>
        <w:t>a new security risk is identified.</w:t>
      </w:r>
    </w:p>
    <w:p w14:paraId="311B878E" w14:textId="77777777" w:rsidR="00BD4537" w:rsidRDefault="00BD4537" w:rsidP="00BD4537"/>
    <w:p w14:paraId="18760311" w14:textId="3F8D7703" w:rsidR="00BD4537" w:rsidRDefault="00BD4537" w:rsidP="00BD4537">
      <w:r>
        <w:t>Protective security measures for new or refurbished buildings must be considered during the concept and design stages. Early completion of a security risk assessment specific to the building or physical location is essential. This ensures necessary protective security measures can be cost-effectively incorporated into the building design or refurbishment.</w:t>
      </w:r>
    </w:p>
    <w:p w14:paraId="20FEEB4A" w14:textId="77777777" w:rsidR="00BD4537" w:rsidRDefault="00BD4537" w:rsidP="00BD4537"/>
    <w:p w14:paraId="026061BF" w14:textId="2B9A1A22" w:rsidR="00BD4537" w:rsidRDefault="00BD4537" w:rsidP="00BD4537">
      <w:r>
        <w:t>Protective security measures will be determined based on the outcomes of any security risk assessments conducted at the commencement of any health infrastructure project in conjunction with the CHS’ Agency Security Advisor (ASA).</w:t>
      </w:r>
    </w:p>
    <w:p w14:paraId="6F1AD528" w14:textId="77777777" w:rsidR="00BD4537" w:rsidRDefault="00BD4537" w:rsidP="00BD4537"/>
    <w:p w14:paraId="46928333" w14:textId="6E95423B" w:rsidR="00BD4537" w:rsidRDefault="00BD4537" w:rsidP="00BD4537">
      <w:r>
        <w:t>These security design principles will guide project managers to ensure that identified physical security elements are addressed for inclusion in the Standards Document and Commissioning Plans during the design, construction and commissioning phases of projects. These incorporated security design solutions aim to enhance CHS’ capability to provide a safe and secure environment for all staff, patients and visitors across health facilities.</w:t>
      </w:r>
    </w:p>
    <w:p w14:paraId="3742B8E9" w14:textId="33E51420" w:rsidR="00327552" w:rsidRDefault="00327552" w:rsidP="00327552">
      <w:pPr>
        <w:jc w:val="both"/>
        <w:rPr>
          <w:rFonts w:cs="Arial"/>
          <w:szCs w:val="24"/>
        </w:rPr>
      </w:pPr>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BD4537" w:rsidRPr="001B2BAC" w14:paraId="5FAE4BEC" w14:textId="77777777" w:rsidTr="002267D8">
        <w:trPr>
          <w:cantSplit/>
          <w:trHeight w:val="285"/>
        </w:trPr>
        <w:tc>
          <w:tcPr>
            <w:tcW w:w="9158" w:type="dxa"/>
            <w:shd w:val="clear" w:color="auto" w:fill="000000"/>
          </w:tcPr>
          <w:p w14:paraId="7CBFA873" w14:textId="16D563C9" w:rsidR="00BD4537" w:rsidRPr="007A238D" w:rsidRDefault="00BD4537" w:rsidP="002267D8">
            <w:pPr>
              <w:pStyle w:val="Heading1"/>
              <w:rPr>
                <w:szCs w:val="24"/>
              </w:rPr>
            </w:pPr>
            <w:bookmarkStart w:id="2" w:name="_Toc72493415"/>
            <w:r>
              <w:rPr>
                <w:szCs w:val="24"/>
              </w:rPr>
              <w:t>Alerts</w:t>
            </w:r>
            <w:bookmarkEnd w:id="2"/>
          </w:p>
        </w:tc>
      </w:tr>
    </w:tbl>
    <w:p w14:paraId="7641E5A4" w14:textId="5913B27F" w:rsidR="00BD4537" w:rsidRDefault="00BD4537" w:rsidP="00327552">
      <w:pPr>
        <w:jc w:val="both"/>
        <w:rPr>
          <w:rFonts w:cs="Arial"/>
          <w:szCs w:val="24"/>
        </w:rPr>
      </w:pPr>
    </w:p>
    <w:p w14:paraId="63B39DF5" w14:textId="13754AB4" w:rsidR="00BD4537" w:rsidRDefault="00BD4537" w:rsidP="003A6A16">
      <w:r w:rsidRPr="00BD4537">
        <w:t>All new or refurbished infrastructure must be examined by a security professional during the concept and design stages to ensure the security of assets, people and information are maintained.</w:t>
      </w:r>
    </w:p>
    <w:p w14:paraId="15BF85BA" w14:textId="77777777" w:rsidR="00BD4537" w:rsidRDefault="00BD4537" w:rsidP="00327552">
      <w:pPr>
        <w:jc w:val="both"/>
        <w:rPr>
          <w:rFonts w:cs="Arial"/>
          <w:szCs w:val="24"/>
        </w:rPr>
      </w:pPr>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A86A9D" w:rsidRPr="001B2BAC" w14:paraId="3742B8F3" w14:textId="77777777" w:rsidTr="009F2977">
        <w:trPr>
          <w:cantSplit/>
          <w:trHeight w:val="285"/>
        </w:trPr>
        <w:tc>
          <w:tcPr>
            <w:tcW w:w="9158" w:type="dxa"/>
            <w:shd w:val="clear" w:color="auto" w:fill="000000"/>
          </w:tcPr>
          <w:p w14:paraId="3742B8F2" w14:textId="77777777" w:rsidR="00A86A9D" w:rsidRPr="007A238D" w:rsidRDefault="00A86A9D" w:rsidP="007A238D">
            <w:pPr>
              <w:pStyle w:val="Heading1"/>
              <w:rPr>
                <w:szCs w:val="24"/>
              </w:rPr>
            </w:pPr>
            <w:bookmarkStart w:id="3" w:name="_Toc72493416"/>
            <w:r w:rsidRPr="007A238D">
              <w:rPr>
                <w:szCs w:val="24"/>
              </w:rPr>
              <w:t>Purpose</w:t>
            </w:r>
            <w:bookmarkEnd w:id="3"/>
          </w:p>
        </w:tc>
      </w:tr>
    </w:tbl>
    <w:p w14:paraId="3742B8F4" w14:textId="77777777" w:rsidR="00A86A9D" w:rsidRDefault="00A86A9D" w:rsidP="00A86A9D">
      <w:pPr>
        <w:jc w:val="both"/>
        <w:rPr>
          <w:rFonts w:cs="Arial"/>
          <w:b/>
          <w:szCs w:val="24"/>
        </w:rPr>
      </w:pPr>
    </w:p>
    <w:p w14:paraId="29169062" w14:textId="51E9617E" w:rsidR="00BD4537" w:rsidRDefault="00BD4537" w:rsidP="00BD4537">
      <w:r w:rsidRPr="00BD4537">
        <w:t>The purpose of this policy is to provide guidance for briefing architects</w:t>
      </w:r>
      <w:r w:rsidR="008D7E36">
        <w:t>,</w:t>
      </w:r>
      <w:r w:rsidRPr="00BD4537">
        <w:t xml:space="preserve"> consultants, and commissioning planners for all CHS infrastructure programs and Better Infrastructure Fund (BIF) projects.</w:t>
      </w:r>
    </w:p>
    <w:p w14:paraId="5A1A9E79" w14:textId="77777777" w:rsidR="00BD4537" w:rsidRPr="00BD4537" w:rsidRDefault="00BD4537" w:rsidP="00BD4537"/>
    <w:p w14:paraId="61ADB6D2" w14:textId="28B48049" w:rsidR="00BD4537" w:rsidRDefault="00BD4537" w:rsidP="00BD4537">
      <w:r w:rsidRPr="00BD4537">
        <w:lastRenderedPageBreak/>
        <w:t xml:space="preserve">The document focuses on outlining the key elements of CHS’ physical security overlay – underpinned by the relevant Project Documentation Reference – to provide guidance on specifications, and the administrative and operational processes to be implemented to support the deployment of that infrastructure. </w:t>
      </w:r>
    </w:p>
    <w:p w14:paraId="5ABB4CEC" w14:textId="77777777" w:rsidR="00BD4537" w:rsidRPr="00BD4537" w:rsidRDefault="00BD4537" w:rsidP="00BD4537"/>
    <w:p w14:paraId="604B9178" w14:textId="5E82D033" w:rsidR="00BD4537" w:rsidRDefault="00BD4537" w:rsidP="00BD4537">
      <w:r w:rsidRPr="00BD4537">
        <w:t>The items described in this document provide general information only.  All infrastructure security arrangements will be determined by the Security Risk Assessment.</w:t>
      </w:r>
    </w:p>
    <w:p w14:paraId="5B7A25E4" w14:textId="77777777" w:rsidR="00BD4537" w:rsidRPr="00BD4537" w:rsidRDefault="00BD4537" w:rsidP="00BD4537"/>
    <w:p w14:paraId="56CCE52D" w14:textId="77777777" w:rsidR="00BD4537" w:rsidRDefault="00BD4537" w:rsidP="00BD4537">
      <w:pPr>
        <w:pBdr>
          <w:top w:val="single" w:sz="4" w:space="1" w:color="auto"/>
          <w:left w:val="single" w:sz="4" w:space="4" w:color="auto"/>
          <w:bottom w:val="single" w:sz="4" w:space="1" w:color="auto"/>
          <w:right w:val="single" w:sz="4" w:space="4" w:color="auto"/>
        </w:pBdr>
      </w:pPr>
      <w:r w:rsidRPr="00BD4537">
        <w:rPr>
          <w:b/>
          <w:bCs/>
        </w:rPr>
        <w:t>Note</w:t>
      </w:r>
      <w:r w:rsidRPr="00BD4537">
        <w:t xml:space="preserve">: </w:t>
      </w:r>
    </w:p>
    <w:p w14:paraId="3742B8F6" w14:textId="45DD532E" w:rsidR="00A86A9D" w:rsidRDefault="00BD4537" w:rsidP="00BD4537">
      <w:pPr>
        <w:pBdr>
          <w:top w:val="single" w:sz="4" w:space="1" w:color="auto"/>
          <w:left w:val="single" w:sz="4" w:space="4" w:color="auto"/>
          <w:bottom w:val="single" w:sz="4" w:space="1" w:color="auto"/>
          <w:right w:val="single" w:sz="4" w:space="4" w:color="auto"/>
        </w:pBdr>
      </w:pPr>
      <w:r w:rsidRPr="00BD4537">
        <w:t>This policy should be viewed in conjunction with the ACT Government Physical Security Principles and relevant standards.</w:t>
      </w:r>
    </w:p>
    <w:p w14:paraId="15C51C5A" w14:textId="77777777" w:rsidR="00BD4537" w:rsidRDefault="00BD4537" w:rsidP="00BD4537">
      <w:pPr>
        <w:jc w:val="both"/>
        <w:rPr>
          <w:rFonts w:cs="Arial"/>
          <w:szCs w:val="24"/>
        </w:rPr>
      </w:pPr>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A86A9D" w:rsidRPr="001B2BAC" w14:paraId="3742B8F8" w14:textId="77777777" w:rsidTr="009F2977">
        <w:trPr>
          <w:cantSplit/>
          <w:trHeight w:val="285"/>
        </w:trPr>
        <w:tc>
          <w:tcPr>
            <w:tcW w:w="9158" w:type="dxa"/>
            <w:shd w:val="clear" w:color="auto" w:fill="000000"/>
          </w:tcPr>
          <w:p w14:paraId="3742B8F7" w14:textId="77777777" w:rsidR="00A86A9D" w:rsidRPr="001502DF" w:rsidRDefault="00A86A9D" w:rsidP="007A238D">
            <w:pPr>
              <w:pStyle w:val="Heading1"/>
              <w:rPr>
                <w:b w:val="0"/>
                <w:szCs w:val="24"/>
              </w:rPr>
            </w:pPr>
            <w:bookmarkStart w:id="4" w:name="_Toc72493417"/>
            <w:r w:rsidRPr="001502DF">
              <w:rPr>
                <w:szCs w:val="24"/>
              </w:rPr>
              <w:t>Scope</w:t>
            </w:r>
            <w:bookmarkEnd w:id="4"/>
          </w:p>
        </w:tc>
      </w:tr>
    </w:tbl>
    <w:p w14:paraId="3742B8F9" w14:textId="77777777" w:rsidR="00A86A9D" w:rsidRDefault="00A86A9D" w:rsidP="00A86A9D">
      <w:pPr>
        <w:jc w:val="both"/>
        <w:rPr>
          <w:rFonts w:cs="Arial"/>
          <w:b/>
          <w:szCs w:val="24"/>
        </w:rPr>
      </w:pPr>
    </w:p>
    <w:p w14:paraId="3742B8FD" w14:textId="2FAA3143" w:rsidR="00A86A9D" w:rsidRDefault="00BD4537" w:rsidP="00A86A9D">
      <w:r w:rsidRPr="00BD4537">
        <w:t xml:space="preserve">This policy applies to all CHS employees and contractors when designing and constructing new and refurbished </w:t>
      </w:r>
      <w:proofErr w:type="gramStart"/>
      <w:r w:rsidRPr="00BD4537">
        <w:t>infrastructure</w:t>
      </w:r>
      <w:r w:rsidR="008D7E36">
        <w:t>.</w:t>
      </w:r>
      <w:r w:rsidRPr="00BD4537">
        <w:t>.</w:t>
      </w:r>
      <w:proofErr w:type="gramEnd"/>
    </w:p>
    <w:p w14:paraId="474C8EDB" w14:textId="77777777" w:rsidR="00BD4537" w:rsidRDefault="00BD4537" w:rsidP="00A86A9D">
      <w:pPr>
        <w:rPr>
          <w:rFonts w:cs="Arial"/>
          <w:szCs w:val="24"/>
        </w:rPr>
      </w:pPr>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A86A9D" w:rsidRPr="001B2BAC" w14:paraId="3742B8FF" w14:textId="77777777" w:rsidTr="009F2977">
        <w:trPr>
          <w:cantSplit/>
          <w:trHeight w:val="285"/>
        </w:trPr>
        <w:tc>
          <w:tcPr>
            <w:tcW w:w="9158" w:type="dxa"/>
            <w:shd w:val="clear" w:color="auto" w:fill="000000"/>
          </w:tcPr>
          <w:p w14:paraId="3742B8FE" w14:textId="77777777" w:rsidR="00A86A9D" w:rsidRPr="001502DF" w:rsidRDefault="00A86A9D" w:rsidP="007A238D">
            <w:pPr>
              <w:pStyle w:val="Heading1"/>
              <w:rPr>
                <w:b w:val="0"/>
                <w:szCs w:val="24"/>
              </w:rPr>
            </w:pPr>
            <w:bookmarkStart w:id="5" w:name="_Toc72493418"/>
            <w:r>
              <w:rPr>
                <w:szCs w:val="24"/>
              </w:rPr>
              <w:t>Roles &amp; Responsibilities</w:t>
            </w:r>
            <w:bookmarkEnd w:id="5"/>
          </w:p>
        </w:tc>
      </w:tr>
    </w:tbl>
    <w:p w14:paraId="244DA3D5" w14:textId="77777777" w:rsidR="003A6A16" w:rsidRDefault="003A6A16" w:rsidP="003A6A16"/>
    <w:p w14:paraId="4B840BD4" w14:textId="341EFFF2" w:rsidR="00C44106" w:rsidRDefault="00BD4537" w:rsidP="003A6A16">
      <w:pPr>
        <w:pStyle w:val="ListBullet"/>
      </w:pPr>
      <w:r w:rsidRPr="00BD4537">
        <w:t>CHS Capital Projects Delivery (CPD)</w:t>
      </w:r>
      <w:r w:rsidR="00C44106">
        <w:t xml:space="preserve"> </w:t>
      </w:r>
      <w:r w:rsidRPr="00BD4537">
        <w:t>is responsible for coordinating and managing major infrastructure works.</w:t>
      </w:r>
    </w:p>
    <w:p w14:paraId="0EC0C299" w14:textId="77777777" w:rsidR="00C44106" w:rsidRDefault="00BD4537" w:rsidP="003A6A16">
      <w:pPr>
        <w:pStyle w:val="ListBullet"/>
      </w:pPr>
      <w:r w:rsidRPr="00BD4537">
        <w:t>Facilities Management (FM) are responsible for coordinating and managing minor infrastructure works and Repairs &amp; Maintenance.</w:t>
      </w:r>
    </w:p>
    <w:p w14:paraId="4B8C3EFC" w14:textId="77777777" w:rsidR="00C44106" w:rsidRDefault="00BD4537" w:rsidP="003A6A16">
      <w:pPr>
        <w:pStyle w:val="ListBullet"/>
      </w:pPr>
      <w:r w:rsidRPr="00BD4537">
        <w:t>CPD or FM will notify the Agency Security Advisor of any intended new or refurbishment works during the design phase.</w:t>
      </w:r>
    </w:p>
    <w:p w14:paraId="3742B901" w14:textId="5C307F30" w:rsidR="00A86A9D" w:rsidRDefault="00BD4537" w:rsidP="003A6A16">
      <w:pPr>
        <w:pStyle w:val="ListBullet"/>
      </w:pPr>
      <w:r w:rsidRPr="00BD4537">
        <w:t>The Agency Security Advisor will provide input and advice on security-related design matters as required.</w:t>
      </w:r>
    </w:p>
    <w:p w14:paraId="030253F0" w14:textId="77777777" w:rsidR="00BD4537" w:rsidRDefault="00BD4537" w:rsidP="00BD4537">
      <w:pPr>
        <w:rPr>
          <w:rFonts w:cs="Arial"/>
          <w:szCs w:val="24"/>
        </w:rPr>
      </w:pPr>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BD4537" w:rsidRPr="001B2BAC" w14:paraId="4BB7A5FA" w14:textId="77777777" w:rsidTr="002267D8">
        <w:trPr>
          <w:cantSplit/>
          <w:trHeight w:val="285"/>
        </w:trPr>
        <w:tc>
          <w:tcPr>
            <w:tcW w:w="9158" w:type="dxa"/>
            <w:shd w:val="clear" w:color="auto" w:fill="000000"/>
          </w:tcPr>
          <w:p w14:paraId="4989EF8C" w14:textId="21A18C17" w:rsidR="00BD4537" w:rsidRPr="001502DF" w:rsidRDefault="00BD4537" w:rsidP="002267D8">
            <w:pPr>
              <w:pStyle w:val="Heading1"/>
              <w:rPr>
                <w:b w:val="0"/>
                <w:szCs w:val="24"/>
              </w:rPr>
            </w:pPr>
            <w:bookmarkStart w:id="6" w:name="_Toc72493419"/>
            <w:r>
              <w:rPr>
                <w:szCs w:val="24"/>
              </w:rPr>
              <w:t>Physical Security</w:t>
            </w:r>
            <w:bookmarkEnd w:id="6"/>
          </w:p>
        </w:tc>
      </w:tr>
    </w:tbl>
    <w:p w14:paraId="0C9EF782" w14:textId="5F2B72D2" w:rsidR="00BD4537" w:rsidRDefault="00BD4537" w:rsidP="00667C96">
      <w:pPr>
        <w:pStyle w:val="ListParagraph"/>
        <w:ind w:left="0"/>
        <w:jc w:val="both"/>
        <w:rPr>
          <w:rFonts w:cs="Arial"/>
          <w:szCs w:val="24"/>
        </w:rPr>
      </w:pPr>
    </w:p>
    <w:p w14:paraId="3617FF10" w14:textId="77777777" w:rsidR="00BD4537" w:rsidRPr="00BD4537" w:rsidRDefault="00BD4537" w:rsidP="00BD4537">
      <w:pPr>
        <w:pStyle w:val="Heading2"/>
      </w:pPr>
      <w:bookmarkStart w:id="7" w:name="_Toc72493420"/>
      <w:r w:rsidRPr="00BD4537">
        <w:t>Security zoning – public and official spaces</w:t>
      </w:r>
      <w:bookmarkEnd w:id="7"/>
    </w:p>
    <w:p w14:paraId="51A0D1F1" w14:textId="0A22EEC2" w:rsidR="00BD4537" w:rsidRDefault="00BD4537" w:rsidP="00BD4537">
      <w:r w:rsidRPr="00BD4537">
        <w:t>Each business location or unit is secured in accordance with the security design principles outlined in the Security Zoning Classification System which rates areas on a category of one through to five.</w:t>
      </w:r>
    </w:p>
    <w:p w14:paraId="792E3C79" w14:textId="77777777" w:rsidR="00BD4537" w:rsidRPr="00BD4537" w:rsidRDefault="00BD4537" w:rsidP="00BD4537"/>
    <w:p w14:paraId="21A2EF2F" w14:textId="7DD2F067" w:rsidR="00BD4537" w:rsidRDefault="00BD4537" w:rsidP="00BD4537">
      <w:r w:rsidRPr="00BD4537">
        <w:t>The highest level of security design (as determined by the approved security elements for each security zone classification) should be constructed along the zone’s perimeter line, i.e. the border between one zone and another.</w:t>
      </w:r>
    </w:p>
    <w:p w14:paraId="205DA8C4" w14:textId="77777777" w:rsidR="00BD4537" w:rsidRPr="00BD4537" w:rsidRDefault="00BD4537" w:rsidP="00BD4537"/>
    <w:p w14:paraId="02BE8F62" w14:textId="442018BB" w:rsidR="00BD4537" w:rsidRDefault="00BD4537" w:rsidP="00BD4537">
      <w:r w:rsidRPr="00BD4537">
        <w:t xml:space="preserve">At a minimum, each identified functional area should meet the high-level design principles for: access control; closed circuit television; intruder detection and alarms; and visitor </w:t>
      </w:r>
      <w:r w:rsidRPr="00BD4537">
        <w:lastRenderedPageBreak/>
        <w:t>management in relation to its equivalent security zone classification (refer to further information on each of these security design elements below).</w:t>
      </w:r>
    </w:p>
    <w:p w14:paraId="1E619A3F" w14:textId="77777777" w:rsidR="00BD4537" w:rsidRPr="00BD4537" w:rsidRDefault="00BD4537" w:rsidP="00BD4537"/>
    <w:p w14:paraId="20E0CABE" w14:textId="21673456" w:rsidR="00BD4537" w:rsidRDefault="00BD4537" w:rsidP="00BD4537">
      <w:r w:rsidRPr="00BD4537">
        <w:t>The following categorises the areas of Security Zones according to the security controls they require and is based on business impact levels:</w:t>
      </w:r>
    </w:p>
    <w:p w14:paraId="0F4F8BBB" w14:textId="77777777" w:rsidR="00BD4537" w:rsidRDefault="00BD4537" w:rsidP="00BD4537"/>
    <w:tbl>
      <w:tblPr>
        <w:tblStyle w:val="TableGrid"/>
        <w:tblW w:w="0" w:type="auto"/>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1502"/>
        <w:gridCol w:w="5019"/>
        <w:gridCol w:w="2505"/>
      </w:tblGrid>
      <w:tr w:rsidR="00BD4537" w14:paraId="15637A9E" w14:textId="77777777" w:rsidTr="002267D8">
        <w:trPr>
          <w:tblHeader/>
        </w:trPr>
        <w:tc>
          <w:tcPr>
            <w:tcW w:w="1502" w:type="dxa"/>
            <w:shd w:val="clear" w:color="auto" w:fill="F2F2F2" w:themeFill="background1" w:themeFillShade="F2"/>
          </w:tcPr>
          <w:p w14:paraId="33B2F07A" w14:textId="77777777" w:rsidR="00BD4537" w:rsidRPr="00125CE4" w:rsidRDefault="00BD4537" w:rsidP="00BD4537">
            <w:pPr>
              <w:rPr>
                <w:b/>
              </w:rPr>
            </w:pPr>
            <w:r w:rsidRPr="00125CE4">
              <w:rPr>
                <w:b/>
              </w:rPr>
              <w:t>Category</w:t>
            </w:r>
          </w:p>
        </w:tc>
        <w:tc>
          <w:tcPr>
            <w:tcW w:w="5019" w:type="dxa"/>
            <w:shd w:val="clear" w:color="auto" w:fill="F2F2F2" w:themeFill="background1" w:themeFillShade="F2"/>
          </w:tcPr>
          <w:p w14:paraId="72C03BE7" w14:textId="77777777" w:rsidR="00BD4537" w:rsidRPr="00125CE4" w:rsidRDefault="00BD4537" w:rsidP="00BD4537">
            <w:pPr>
              <w:rPr>
                <w:b/>
              </w:rPr>
            </w:pPr>
            <w:r w:rsidRPr="00125CE4">
              <w:rPr>
                <w:b/>
              </w:rPr>
              <w:t>Description</w:t>
            </w:r>
          </w:p>
        </w:tc>
        <w:tc>
          <w:tcPr>
            <w:tcW w:w="2505" w:type="dxa"/>
            <w:shd w:val="clear" w:color="auto" w:fill="F2F2F2" w:themeFill="background1" w:themeFillShade="F2"/>
          </w:tcPr>
          <w:p w14:paraId="53C706FA" w14:textId="77777777" w:rsidR="00BD4537" w:rsidRPr="00125CE4" w:rsidRDefault="00BD4537" w:rsidP="00BD4537">
            <w:pPr>
              <w:rPr>
                <w:b/>
              </w:rPr>
            </w:pPr>
            <w:r w:rsidRPr="00125CE4">
              <w:rPr>
                <w:b/>
              </w:rPr>
              <w:t>Examples</w:t>
            </w:r>
          </w:p>
        </w:tc>
      </w:tr>
      <w:tr w:rsidR="00BD4537" w14:paraId="3A3747BF" w14:textId="77777777" w:rsidTr="002267D8">
        <w:tc>
          <w:tcPr>
            <w:tcW w:w="1502" w:type="dxa"/>
          </w:tcPr>
          <w:p w14:paraId="2463B20D" w14:textId="77777777" w:rsidR="00BD4537" w:rsidRDefault="00BD4537" w:rsidP="00BD4537">
            <w:r>
              <w:t>Zone One</w:t>
            </w:r>
          </w:p>
        </w:tc>
        <w:tc>
          <w:tcPr>
            <w:tcW w:w="5019" w:type="dxa"/>
          </w:tcPr>
          <w:p w14:paraId="0014C7F5" w14:textId="77777777" w:rsidR="00BD4537" w:rsidRDefault="00BD4537" w:rsidP="00BD4537">
            <w:r>
              <w:t>Unsecured areas including out-of-office working arrangements, generally referred to as ‘public spaces’. It provides limited access controls to information, physical assets or restricted materials, the loss of which would result in a business impact of low to medium. It also provides limited protection to people.  Routine public/common access areas with free access during opening hours.</w:t>
            </w:r>
          </w:p>
          <w:p w14:paraId="1FB26E79" w14:textId="1E821964" w:rsidR="00C44106" w:rsidRDefault="00C44106" w:rsidP="00BD4537"/>
        </w:tc>
        <w:tc>
          <w:tcPr>
            <w:tcW w:w="2505" w:type="dxa"/>
          </w:tcPr>
          <w:p w14:paraId="1B44D1F4" w14:textId="77777777" w:rsidR="00BD4537" w:rsidRDefault="00BD4537" w:rsidP="00BD4537">
            <w:r>
              <w:t>Public areas.</w:t>
            </w:r>
          </w:p>
        </w:tc>
      </w:tr>
      <w:tr w:rsidR="00BD4537" w14:paraId="30A76B80" w14:textId="77777777" w:rsidTr="002267D8">
        <w:tc>
          <w:tcPr>
            <w:tcW w:w="1502" w:type="dxa"/>
          </w:tcPr>
          <w:p w14:paraId="75C83683" w14:textId="77777777" w:rsidR="00BD4537" w:rsidRDefault="00BD4537" w:rsidP="00BD4537">
            <w:r>
              <w:t>Zone Two</w:t>
            </w:r>
          </w:p>
        </w:tc>
        <w:tc>
          <w:tcPr>
            <w:tcW w:w="5019" w:type="dxa"/>
          </w:tcPr>
          <w:p w14:paraId="02DAC9F3" w14:textId="77777777" w:rsidR="00BD4537" w:rsidRDefault="00BD4537" w:rsidP="00BD4537">
            <w:r>
              <w:t>Low security area with some controls and access control for visitors, generally referred to as ‘official spaces’. It provides access controls to information, physical assets or restricted materials, the loss of which would result in a business impact up to very high. It also provides some protection to people.  Departments/areas routinely open to public access.</w:t>
            </w:r>
          </w:p>
          <w:p w14:paraId="1CE02E69" w14:textId="367A09E8" w:rsidR="00C44106" w:rsidRDefault="00C44106" w:rsidP="00BD4537"/>
        </w:tc>
        <w:tc>
          <w:tcPr>
            <w:tcW w:w="2505" w:type="dxa"/>
          </w:tcPr>
          <w:p w14:paraId="5F613E7F" w14:textId="77777777" w:rsidR="00BD4537" w:rsidRDefault="00BD4537" w:rsidP="00BD4537">
            <w:r>
              <w:t>Office spaces, common areas.</w:t>
            </w:r>
          </w:p>
        </w:tc>
      </w:tr>
      <w:tr w:rsidR="00BD4537" w14:paraId="4965180D" w14:textId="77777777" w:rsidTr="002267D8">
        <w:tc>
          <w:tcPr>
            <w:tcW w:w="1502" w:type="dxa"/>
          </w:tcPr>
          <w:p w14:paraId="21D3CD6A" w14:textId="77777777" w:rsidR="00BD4537" w:rsidRDefault="00BD4537" w:rsidP="00BD4537">
            <w:r>
              <w:t>Zone Three</w:t>
            </w:r>
          </w:p>
        </w:tc>
        <w:tc>
          <w:tcPr>
            <w:tcW w:w="5019" w:type="dxa"/>
          </w:tcPr>
          <w:p w14:paraId="557C3306" w14:textId="77777777" w:rsidR="00BD4537" w:rsidRDefault="00BD4537" w:rsidP="00BD4537">
            <w:r>
              <w:t>A moderately restricted space. Security area with high security controls, strict control of visitors on a needs basis, and controlled employee access. It provides access controls to information, physical assets or restricted materials, the loss of which would result in a business impact up to extreme. It also provides protection of people.</w:t>
            </w:r>
          </w:p>
          <w:p w14:paraId="18BE4D04" w14:textId="37163636" w:rsidR="00C44106" w:rsidRDefault="00BD4537" w:rsidP="00C44106">
            <w:r>
              <w:t>Zone Three departments will typically be occupied by Employees and Patients. Access to these areas will be controlled via supervised entrances. Zone Three will typically be general wards outside visiting hours, or clinical wards where ‘walk in’ visiting or public access is inappropriate.  Back of house areas (</w:t>
            </w:r>
            <w:proofErr w:type="gramStart"/>
            <w:r>
              <w:t>i.e.</w:t>
            </w:r>
            <w:proofErr w:type="gramEnd"/>
            <w:r>
              <w:t xml:space="preserve"> plant rooms, maintenance areas) with access restricted to users with a </w:t>
            </w:r>
            <w:r w:rsidR="00C44106">
              <w:t>w</w:t>
            </w:r>
            <w:r>
              <w:t>ork-related reason to be in the area.</w:t>
            </w:r>
          </w:p>
        </w:tc>
        <w:tc>
          <w:tcPr>
            <w:tcW w:w="2505" w:type="dxa"/>
          </w:tcPr>
          <w:p w14:paraId="579D5224" w14:textId="77777777" w:rsidR="00BD4537" w:rsidRDefault="00BD4537" w:rsidP="00BD4537">
            <w:r>
              <w:t>Clinical wards, patient only areas, birthing centres, paediatrics, emergency department, psychiatry (inpatient), food services.</w:t>
            </w:r>
          </w:p>
        </w:tc>
      </w:tr>
      <w:tr w:rsidR="00BD4537" w14:paraId="08311418" w14:textId="77777777" w:rsidTr="002267D8">
        <w:tc>
          <w:tcPr>
            <w:tcW w:w="1502" w:type="dxa"/>
          </w:tcPr>
          <w:p w14:paraId="465896EB" w14:textId="77777777" w:rsidR="00BD4537" w:rsidRDefault="00BD4537" w:rsidP="00BD4537">
            <w:r>
              <w:t>Zone Four</w:t>
            </w:r>
          </w:p>
        </w:tc>
        <w:tc>
          <w:tcPr>
            <w:tcW w:w="5019" w:type="dxa"/>
          </w:tcPr>
          <w:p w14:paraId="4FA29A4D" w14:textId="77777777" w:rsidR="00BD4537" w:rsidRDefault="00BD4537" w:rsidP="00BD4537">
            <w:r>
              <w:t xml:space="preserve">A heavily restricted space. Security area with higher levels of security controls, strict control of </w:t>
            </w:r>
            <w:r>
              <w:lastRenderedPageBreak/>
              <w:t>visitors and employees on a needs basis. It provides access controls to information, physical assets or restricted materials, the loss of which would result in a business impact up to extreme and physical assets the loss of which would result in a business impact up to catastrophic. It also provides protection of people.  Access is restricted to personnel with a demonstrable need to access the zone in the course of their duties.</w:t>
            </w:r>
          </w:p>
        </w:tc>
        <w:tc>
          <w:tcPr>
            <w:tcW w:w="2505" w:type="dxa"/>
          </w:tcPr>
          <w:p w14:paraId="0797E993" w14:textId="77777777" w:rsidR="00BD4537" w:rsidRDefault="00BD4537" w:rsidP="00BD4537">
            <w:r>
              <w:lastRenderedPageBreak/>
              <w:t xml:space="preserve">Radiation therapy, nuclear medicine, </w:t>
            </w:r>
            <w:r>
              <w:lastRenderedPageBreak/>
              <w:t xml:space="preserve">pharmacies, medical records, information services, surgical suites, secure mental health facilities, </w:t>
            </w:r>
            <w:r w:rsidRPr="00534D25">
              <w:t>restricted communications rooms, research areas, laboratories, hazardous substances stores, medical gases stores and flammable substances stores</w:t>
            </w:r>
            <w:r>
              <w:t>.</w:t>
            </w:r>
          </w:p>
          <w:p w14:paraId="2C064926" w14:textId="14471FB4" w:rsidR="00C44106" w:rsidRDefault="00C44106" w:rsidP="00BD4537"/>
        </w:tc>
      </w:tr>
      <w:tr w:rsidR="00BD4537" w14:paraId="1E1BFB88" w14:textId="77777777" w:rsidTr="002267D8">
        <w:tc>
          <w:tcPr>
            <w:tcW w:w="1502" w:type="dxa"/>
          </w:tcPr>
          <w:p w14:paraId="5DDC95AA" w14:textId="77777777" w:rsidR="00BD4537" w:rsidRDefault="00BD4537" w:rsidP="00BD4537">
            <w:r>
              <w:lastRenderedPageBreak/>
              <w:t>Zone Five</w:t>
            </w:r>
          </w:p>
        </w:tc>
        <w:tc>
          <w:tcPr>
            <w:tcW w:w="5019" w:type="dxa"/>
          </w:tcPr>
          <w:p w14:paraId="7C884EE2" w14:textId="77777777" w:rsidR="00BD4537" w:rsidRDefault="00BD4537" w:rsidP="00BD4537">
            <w:r>
              <w:t>An extremely restricted space. Security area with the highest level of security controls, strict control of visitors and employees on a needs basis. It provides access controls to information, physical assets or restricted materials, the loss of which would result in a business impact up to catastrophic.</w:t>
            </w:r>
          </w:p>
          <w:p w14:paraId="72667664" w14:textId="558C2585" w:rsidR="00C44106" w:rsidRDefault="00C44106" w:rsidP="00BD4537"/>
        </w:tc>
        <w:tc>
          <w:tcPr>
            <w:tcW w:w="2505" w:type="dxa"/>
          </w:tcPr>
          <w:p w14:paraId="5FD8E026" w14:textId="2DDB9198" w:rsidR="00BD4537" w:rsidRDefault="00BD4537" w:rsidP="00BD4537">
            <w:r>
              <w:t>S</w:t>
            </w:r>
            <w:r w:rsidRPr="00534D25">
              <w:t>ecurity sensitive radiation source equipment, bi</w:t>
            </w:r>
            <w:r>
              <w:t xml:space="preserve">ological research areas or </w:t>
            </w:r>
            <w:r w:rsidR="00C44106">
              <w:t>Physical Containment Level 3 (P</w:t>
            </w:r>
            <w:r>
              <w:t>C3</w:t>
            </w:r>
            <w:r w:rsidR="00C44106">
              <w:t>)</w:t>
            </w:r>
            <w:r>
              <w:t xml:space="preserve"> l</w:t>
            </w:r>
            <w:r w:rsidRPr="00534D25">
              <w:t>aboratories</w:t>
            </w:r>
            <w:r>
              <w:t>.</w:t>
            </w:r>
          </w:p>
        </w:tc>
      </w:tr>
    </w:tbl>
    <w:p w14:paraId="77B50349" w14:textId="4A1316CB" w:rsidR="00BD4537" w:rsidRDefault="00BD4537" w:rsidP="00BD4537"/>
    <w:p w14:paraId="0F902BF6" w14:textId="77777777" w:rsidR="00BD4537" w:rsidRDefault="00BD4537" w:rsidP="00BD4537">
      <w:pPr>
        <w:pStyle w:val="Heading2"/>
      </w:pPr>
      <w:bookmarkStart w:id="8" w:name="_Toc503620456"/>
      <w:bookmarkStart w:id="9" w:name="_Toc527040125"/>
      <w:bookmarkStart w:id="10" w:name="_Toc72493421"/>
      <w:r>
        <w:t>Perimeter Security</w:t>
      </w:r>
      <w:bookmarkEnd w:id="8"/>
      <w:bookmarkEnd w:id="9"/>
      <w:bookmarkEnd w:id="10"/>
      <w:r>
        <w:t xml:space="preserve"> </w:t>
      </w:r>
    </w:p>
    <w:p w14:paraId="28F33B15" w14:textId="77777777" w:rsidR="00BD4537" w:rsidRDefault="00BD4537" w:rsidP="00BD4537">
      <w:r>
        <w:t>The site perimeter includes the security design of the external areas of CHS facilities, including the landscaping.  Site precinct strategic areas should be covered by closed circuit television cameras, including:</w:t>
      </w:r>
    </w:p>
    <w:p w14:paraId="162E6FBF" w14:textId="77777777" w:rsidR="00BD4537" w:rsidRDefault="00BD4537" w:rsidP="00BD4537">
      <w:pPr>
        <w:pStyle w:val="ListBullet"/>
      </w:pPr>
      <w:r>
        <w:t>all building entry points;</w:t>
      </w:r>
    </w:p>
    <w:p w14:paraId="0E81A112" w14:textId="77777777" w:rsidR="00BD4537" w:rsidRDefault="00BD4537" w:rsidP="00BD4537">
      <w:pPr>
        <w:pStyle w:val="ListBullet"/>
      </w:pPr>
      <w:r>
        <w:t>fire stair ground level exit points;</w:t>
      </w:r>
    </w:p>
    <w:p w14:paraId="1E0CE93C" w14:textId="77777777" w:rsidR="00BD4537" w:rsidRDefault="00BD4537" w:rsidP="00BD4537">
      <w:pPr>
        <w:pStyle w:val="ListBullet"/>
      </w:pPr>
      <w:r>
        <w:t>secure walkways (including through park areas);</w:t>
      </w:r>
    </w:p>
    <w:p w14:paraId="705C7763" w14:textId="77777777" w:rsidR="00BD4537" w:rsidRDefault="00BD4537" w:rsidP="00BD4537">
      <w:pPr>
        <w:pStyle w:val="ListBullet"/>
      </w:pPr>
      <w:r>
        <w:t>public transport hubs;</w:t>
      </w:r>
    </w:p>
    <w:p w14:paraId="265D13F1" w14:textId="77777777" w:rsidR="00BD4537" w:rsidRDefault="00BD4537" w:rsidP="00BD4537">
      <w:pPr>
        <w:pStyle w:val="ListBullet"/>
      </w:pPr>
      <w:r>
        <w:t xml:space="preserve">at-grade car parking; and </w:t>
      </w:r>
    </w:p>
    <w:p w14:paraId="5BD2CB82" w14:textId="77777777" w:rsidR="00BD4537" w:rsidRDefault="00BD4537" w:rsidP="00BD4537">
      <w:pPr>
        <w:pStyle w:val="ListBullet"/>
      </w:pPr>
      <w:r>
        <w:t>loading dock areas.</w:t>
      </w:r>
    </w:p>
    <w:p w14:paraId="6D18118A" w14:textId="77777777" w:rsidR="00BD4537" w:rsidRDefault="00BD4537" w:rsidP="00BD4537"/>
    <w:p w14:paraId="40D61497" w14:textId="0E359D4A" w:rsidR="00BD4537" w:rsidRDefault="00BD4537" w:rsidP="00BD4537">
      <w:r>
        <w:t>CCTV coverage is to be installed along pedestrian routes that may be considered ‘high risk’ in accordance with the findings of a security risk assessment and monitored consistent with CHS</w:t>
      </w:r>
      <w:r w:rsidR="00563BB2">
        <w:t xml:space="preserve"> </w:t>
      </w:r>
      <w:r>
        <w:t xml:space="preserve">security protocols. </w:t>
      </w:r>
    </w:p>
    <w:p w14:paraId="110F6A67" w14:textId="77777777" w:rsidR="00BD4537" w:rsidRDefault="00BD4537" w:rsidP="00BD4537"/>
    <w:p w14:paraId="6FE0C0F1" w14:textId="39DFE198" w:rsidR="00BD4537" w:rsidRDefault="00BD4537" w:rsidP="00BD4537">
      <w:r>
        <w:t>Landscaping must not impede the effectiveness of security infrastructure, such as CCTV systems and lighting, and must not provide areas of concealment within the CHS facility grounds (i</w:t>
      </w:r>
      <w:r w:rsidR="00563BB2">
        <w:t>.</w:t>
      </w:r>
      <w:r>
        <w:t>e. vegetation or other outside equipment impeding CCTV surveillance coverage area).</w:t>
      </w:r>
    </w:p>
    <w:p w14:paraId="01592E21" w14:textId="77777777" w:rsidR="00BD4537" w:rsidRDefault="00BD4537" w:rsidP="00BD4537"/>
    <w:p w14:paraId="1C56C075" w14:textId="554B613C" w:rsidR="00BD4537" w:rsidRDefault="00BD4537" w:rsidP="00BD4537">
      <w:r>
        <w:lastRenderedPageBreak/>
        <w:t>Landscaping must be also appropriately located and secured, and must be designed to avoid providing assistance to unauthorised access (for example, by providing climbing points close to roof areas or accessible windows).</w:t>
      </w:r>
    </w:p>
    <w:p w14:paraId="47DE0BF2" w14:textId="77777777" w:rsidR="00BD4537" w:rsidRDefault="00BD4537" w:rsidP="00BD4537"/>
    <w:p w14:paraId="4722195A" w14:textId="2C7D1D5B" w:rsidR="00BD4537" w:rsidRDefault="00BD4537" w:rsidP="00BD4537">
      <w:r>
        <w:t>Low fire risk vegetation should be utilised in landscapes to avoid accidental fires as a result of smoking compliance violations throughout various facilities.</w:t>
      </w:r>
    </w:p>
    <w:p w14:paraId="56DBE8C0" w14:textId="77777777" w:rsidR="00BD4537" w:rsidRDefault="00BD4537" w:rsidP="00BD4537"/>
    <w:p w14:paraId="02336B2A" w14:textId="4D7CEC89" w:rsidR="00BD4537" w:rsidRDefault="00BD4537" w:rsidP="00BD4537">
      <w:r>
        <w:t>Anti-smoking annunciators should be utilised at areas where smoking may occur, such as at public transport hubs.</w:t>
      </w:r>
    </w:p>
    <w:p w14:paraId="4C8B14FE" w14:textId="77777777" w:rsidR="00BD4537" w:rsidRDefault="00BD4537" w:rsidP="00BD4537"/>
    <w:p w14:paraId="09A2D917" w14:textId="0EB12A38" w:rsidR="00BD4537" w:rsidRDefault="00BD4537" w:rsidP="00BD4537">
      <w:r>
        <w:t>Secure walkways must, where possible, be able to be subject to natural surveillance and be installed with adequate security lighting.</w:t>
      </w:r>
    </w:p>
    <w:p w14:paraId="3DAD66EF" w14:textId="77777777" w:rsidR="00BD4537" w:rsidRDefault="00BD4537" w:rsidP="00BD4537"/>
    <w:p w14:paraId="476F0EFD" w14:textId="4052A854" w:rsidR="00BD4537" w:rsidRDefault="00BD4537" w:rsidP="00BD4537">
      <w:r>
        <w:t xml:space="preserve">Vehicle intrusion-resistant bollards, planter boxes or similar barriers should be installed and positioned along the perimeter to prevent (deliberate or accidental) attempts to ram with a vehicle. </w:t>
      </w:r>
    </w:p>
    <w:p w14:paraId="3E107FA0" w14:textId="77777777" w:rsidR="00BD4537" w:rsidRDefault="00BD4537" w:rsidP="00BD4537"/>
    <w:p w14:paraId="0A9EE342" w14:textId="77777777" w:rsidR="00BD4537" w:rsidRDefault="00BD4537" w:rsidP="00BD4537">
      <w:r>
        <w:t>Bollards should be installed to protect high risk areas against ramming:</w:t>
      </w:r>
    </w:p>
    <w:p w14:paraId="0C811FFD" w14:textId="77777777" w:rsidR="00BD4537" w:rsidRDefault="00BD4537" w:rsidP="00BD4537">
      <w:pPr>
        <w:pStyle w:val="ListBullet"/>
      </w:pPr>
      <w:r>
        <w:t>entry points to facilities;</w:t>
      </w:r>
    </w:p>
    <w:p w14:paraId="50B4EB8D" w14:textId="3C1ED746" w:rsidR="00BD4537" w:rsidRDefault="00BD4537" w:rsidP="00BD4537">
      <w:pPr>
        <w:pStyle w:val="ListBullet"/>
      </w:pPr>
      <w:r>
        <w:t>key external pedestrian pathways; and</w:t>
      </w:r>
    </w:p>
    <w:p w14:paraId="063559FF" w14:textId="327FC87A" w:rsidR="00BD4537" w:rsidRDefault="00BD4537" w:rsidP="00BD4537">
      <w:pPr>
        <w:pStyle w:val="ListBullet"/>
      </w:pPr>
      <w:r>
        <w:t>public transport hubs.</w:t>
      </w:r>
    </w:p>
    <w:p w14:paraId="6B3ABD45" w14:textId="477BEECF" w:rsidR="00BD4537" w:rsidRDefault="00BD4537" w:rsidP="00BD4537"/>
    <w:p w14:paraId="5D9B0BAD" w14:textId="77777777" w:rsidR="00BD4537" w:rsidRDefault="00BD4537" w:rsidP="00BD4537">
      <w:pPr>
        <w:pStyle w:val="Heading2"/>
      </w:pPr>
      <w:bookmarkStart w:id="11" w:name="_Toc72493422"/>
      <w:r>
        <w:t>Access Control</w:t>
      </w:r>
      <w:bookmarkEnd w:id="11"/>
      <w:r>
        <w:t xml:space="preserve"> </w:t>
      </w:r>
    </w:p>
    <w:p w14:paraId="201BD2A7" w14:textId="37BBF906" w:rsidR="00BD4537" w:rsidRDefault="00BD4537" w:rsidP="00BD4537">
      <w:r>
        <w:t>Access control will primarily rely upon the Electronic Access Control System (EACS). However, a mechanical access control system (locks and keys) will also be utilised to supplement access control.</w:t>
      </w:r>
    </w:p>
    <w:p w14:paraId="414D347F" w14:textId="77777777" w:rsidR="00BD4537" w:rsidRDefault="00BD4537" w:rsidP="00BD4537"/>
    <w:p w14:paraId="666D0C3C" w14:textId="77777777" w:rsidR="00BD4537" w:rsidRPr="00BD4537" w:rsidRDefault="00BD4537" w:rsidP="00BD4537">
      <w:pPr>
        <w:rPr>
          <w:i/>
          <w:iCs/>
        </w:rPr>
      </w:pPr>
      <w:r w:rsidRPr="00BD4537">
        <w:rPr>
          <w:i/>
          <w:iCs/>
        </w:rPr>
        <w:t>Electronic Access Control Systems (EACS)</w:t>
      </w:r>
    </w:p>
    <w:p w14:paraId="007B4326" w14:textId="49E3B365" w:rsidR="00BD4537" w:rsidRDefault="00BD4537" w:rsidP="00BD4537">
      <w:r>
        <w:t>EACS points should be the primary means of controlling access into the facility and between the relevant Department and area security zones. Access control sub-groups should be developed as part of projects, and identified through project consultation with the Agency Security Advisor to align with an employee’s access control authorisation.</w:t>
      </w:r>
    </w:p>
    <w:p w14:paraId="3F65F991" w14:textId="77777777" w:rsidR="00BD4537" w:rsidRDefault="00BD4537" w:rsidP="00BD4537"/>
    <w:p w14:paraId="13CBCB1F" w14:textId="4623FB47" w:rsidR="00BD4537" w:rsidRDefault="00BD4537" w:rsidP="00BD4537">
      <w:r>
        <w:t>While not all EACS points will be required to operate at all times (to be determined by the access control schedules and security protocols consistent with CHS security operations) consideration must be given to ensuring that an emergency lockdown requirements can be achieved when required.</w:t>
      </w:r>
    </w:p>
    <w:p w14:paraId="6D6BB732" w14:textId="77777777" w:rsidR="00BD4537" w:rsidRDefault="00BD4537" w:rsidP="00BD4537"/>
    <w:p w14:paraId="0C3C0E3A" w14:textId="53036245" w:rsidR="00BD4537" w:rsidRDefault="00BD4537" w:rsidP="00BD4537">
      <w:r>
        <w:t>EACS must be linked to the Security Management System (SMS) and will be monitored from the security control point in the Security Operations Centre (SOC). EACS for each security zone should be configured as follows:</w:t>
      </w:r>
    </w:p>
    <w:p w14:paraId="43DDC596" w14:textId="2DF1E123" w:rsidR="00C44106" w:rsidRDefault="00C44106" w:rsidP="00BD4537"/>
    <w:p w14:paraId="231533BD" w14:textId="77777777" w:rsidR="00C44106" w:rsidRDefault="00C44106" w:rsidP="00C44106"/>
    <w:tbl>
      <w:tblPr>
        <w:tblStyle w:val="TableGrid"/>
        <w:tblW w:w="0" w:type="auto"/>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1502"/>
        <w:gridCol w:w="7524"/>
      </w:tblGrid>
      <w:tr w:rsidR="00C44106" w14:paraId="276954C5" w14:textId="77777777" w:rsidTr="00C92520">
        <w:trPr>
          <w:tblHeader/>
        </w:trPr>
        <w:tc>
          <w:tcPr>
            <w:tcW w:w="1502" w:type="dxa"/>
            <w:shd w:val="clear" w:color="auto" w:fill="F2F2F2" w:themeFill="background1" w:themeFillShade="F2"/>
          </w:tcPr>
          <w:p w14:paraId="7F6E92E7" w14:textId="77777777" w:rsidR="00C44106" w:rsidRPr="00125CE4" w:rsidRDefault="00C44106" w:rsidP="00AF0B85">
            <w:pPr>
              <w:rPr>
                <w:b/>
              </w:rPr>
            </w:pPr>
            <w:r w:rsidRPr="00125CE4">
              <w:rPr>
                <w:b/>
              </w:rPr>
              <w:lastRenderedPageBreak/>
              <w:t>Category</w:t>
            </w:r>
          </w:p>
        </w:tc>
        <w:tc>
          <w:tcPr>
            <w:tcW w:w="7524" w:type="dxa"/>
            <w:shd w:val="clear" w:color="auto" w:fill="F2F2F2" w:themeFill="background1" w:themeFillShade="F2"/>
          </w:tcPr>
          <w:p w14:paraId="291F0E03" w14:textId="42518EDB" w:rsidR="00C44106" w:rsidRPr="00125CE4" w:rsidRDefault="00C44106" w:rsidP="00AF0B85">
            <w:pPr>
              <w:rPr>
                <w:b/>
              </w:rPr>
            </w:pPr>
            <w:r>
              <w:rPr>
                <w:b/>
              </w:rPr>
              <w:t>Configuration</w:t>
            </w:r>
          </w:p>
        </w:tc>
      </w:tr>
      <w:tr w:rsidR="00C44106" w14:paraId="742CD442" w14:textId="77777777" w:rsidTr="007D1805">
        <w:tc>
          <w:tcPr>
            <w:tcW w:w="1502" w:type="dxa"/>
          </w:tcPr>
          <w:p w14:paraId="0EE5CE94" w14:textId="77777777" w:rsidR="00C44106" w:rsidRDefault="00C44106" w:rsidP="00AF0B85">
            <w:r>
              <w:t>Zone One</w:t>
            </w:r>
          </w:p>
        </w:tc>
        <w:tc>
          <w:tcPr>
            <w:tcW w:w="7524" w:type="dxa"/>
          </w:tcPr>
          <w:p w14:paraId="794B370F" w14:textId="77777777" w:rsidR="00C44106" w:rsidRDefault="00C44106" w:rsidP="00AF0B85">
            <w:r>
              <w:t>Access doors into the zone. EACS is to be configured to allow for free entry during zone opening hours only. These are routine public and common access areas with free access during normal business hours.</w:t>
            </w:r>
          </w:p>
          <w:p w14:paraId="3358E3ED" w14:textId="2EEA9B0E" w:rsidR="00C44106" w:rsidRDefault="00C44106" w:rsidP="00AF0B85"/>
        </w:tc>
      </w:tr>
      <w:tr w:rsidR="00C44106" w14:paraId="4B3C6E13" w14:textId="77777777" w:rsidTr="00B70BA0">
        <w:tc>
          <w:tcPr>
            <w:tcW w:w="1502" w:type="dxa"/>
          </w:tcPr>
          <w:p w14:paraId="76D7EE05" w14:textId="77777777" w:rsidR="00C44106" w:rsidRDefault="00C44106" w:rsidP="00AF0B85">
            <w:r>
              <w:t>Zone Two</w:t>
            </w:r>
          </w:p>
        </w:tc>
        <w:tc>
          <w:tcPr>
            <w:tcW w:w="7524" w:type="dxa"/>
          </w:tcPr>
          <w:p w14:paraId="27778308" w14:textId="77777777" w:rsidR="00C44106" w:rsidRDefault="00C44106" w:rsidP="00AF0B85">
            <w:r>
              <w:t>Access doors into zone and within sub-zones. The EACS is to be configured to free access during visiting hours only. Low security areas with some controls and access control for visitors.  Departments or ward areas routinely open to public access during business hours.</w:t>
            </w:r>
          </w:p>
          <w:p w14:paraId="458CF269" w14:textId="170EA25D" w:rsidR="00C44106" w:rsidRDefault="00C44106" w:rsidP="00AF0B85"/>
        </w:tc>
      </w:tr>
      <w:tr w:rsidR="00C44106" w14:paraId="542B0AA9" w14:textId="77777777" w:rsidTr="007323F6">
        <w:tc>
          <w:tcPr>
            <w:tcW w:w="1502" w:type="dxa"/>
          </w:tcPr>
          <w:p w14:paraId="6857B720" w14:textId="77777777" w:rsidR="00C44106" w:rsidRDefault="00C44106" w:rsidP="00AF0B85">
            <w:r>
              <w:t>Zone Three</w:t>
            </w:r>
          </w:p>
        </w:tc>
        <w:tc>
          <w:tcPr>
            <w:tcW w:w="7524" w:type="dxa"/>
          </w:tcPr>
          <w:p w14:paraId="39C34C02" w14:textId="77777777" w:rsidR="00C44106" w:rsidRDefault="00C44106" w:rsidP="00C44106">
            <w:r>
              <w:t>EACS are to be installed on all access control doors into the zone and within sub-zones. EACS are to be configured to be secure at all times.</w:t>
            </w:r>
          </w:p>
          <w:p w14:paraId="1447ABF1" w14:textId="77777777" w:rsidR="00C44106" w:rsidRDefault="00C44106" w:rsidP="00C44106"/>
          <w:p w14:paraId="1C9BED68" w14:textId="77777777" w:rsidR="00C44106" w:rsidRDefault="00C44106" w:rsidP="00C44106">
            <w:r>
              <w:t>Zone Three compartments will typically be occupied by employees and patients.  Access to these areas will be controlled via supervised entrances. These zones will typically be general wards outside visiting hours, or clinical wards where ‘walk in’ visiting or public access is inappropriate.  Back of house areas (i.e. plant rooms, maintenance areas, staff secure parking etc.) with access restricted to users with a work-related reason to be in the area.</w:t>
            </w:r>
          </w:p>
          <w:p w14:paraId="518E1E3E" w14:textId="322E1BB5" w:rsidR="00C44106" w:rsidRDefault="00C44106" w:rsidP="00AF0B85"/>
        </w:tc>
      </w:tr>
      <w:tr w:rsidR="00C44106" w14:paraId="75468D19" w14:textId="77777777" w:rsidTr="00093BD3">
        <w:tc>
          <w:tcPr>
            <w:tcW w:w="1502" w:type="dxa"/>
          </w:tcPr>
          <w:p w14:paraId="1244E2F1" w14:textId="77777777" w:rsidR="00C44106" w:rsidRDefault="00C44106" w:rsidP="00AF0B85">
            <w:r>
              <w:t>Zone Four</w:t>
            </w:r>
          </w:p>
        </w:tc>
        <w:tc>
          <w:tcPr>
            <w:tcW w:w="7524" w:type="dxa"/>
          </w:tcPr>
          <w:p w14:paraId="31EDDBB6" w14:textId="77777777" w:rsidR="00C44106" w:rsidRDefault="00C44106" w:rsidP="00AF0B85">
            <w:r>
              <w:t xml:space="preserve">EACS are to be </w:t>
            </w:r>
            <w:proofErr w:type="gramStart"/>
            <w:r>
              <w:t>secured at all times</w:t>
            </w:r>
            <w:proofErr w:type="gramEnd"/>
            <w:r>
              <w:t>. Security area with higher levels of security controls, strict control of visitors and employees on a needs basis. Access is restricted to personnel with a demonstrable need to access the zone in the course of their duties. Zone Four will typically be restricted communications rooms, research areas, laboratories, pharmacies, hazardous substances stores, medical gases stores and flammable substances stores.  Zone Four areas must use biometric identification, such as an iris reader.</w:t>
            </w:r>
          </w:p>
          <w:p w14:paraId="0EF5583B" w14:textId="5DA22EE4" w:rsidR="00C44106" w:rsidRDefault="00C44106" w:rsidP="00AF0B85"/>
        </w:tc>
      </w:tr>
      <w:tr w:rsidR="00C44106" w14:paraId="49302BE3" w14:textId="77777777" w:rsidTr="00223A45">
        <w:tc>
          <w:tcPr>
            <w:tcW w:w="1502" w:type="dxa"/>
          </w:tcPr>
          <w:p w14:paraId="2E9FE4BB" w14:textId="77777777" w:rsidR="00C44106" w:rsidRDefault="00C44106" w:rsidP="00AF0B85">
            <w:r>
              <w:t>Zone Five</w:t>
            </w:r>
          </w:p>
        </w:tc>
        <w:tc>
          <w:tcPr>
            <w:tcW w:w="7524" w:type="dxa"/>
          </w:tcPr>
          <w:p w14:paraId="202DC5EC" w14:textId="77777777" w:rsidR="00C44106" w:rsidRDefault="00C44106" w:rsidP="00AF0B85">
            <w:r>
              <w:t xml:space="preserve">EACS to be </w:t>
            </w:r>
            <w:proofErr w:type="gramStart"/>
            <w:r>
              <w:t>secured at all times</w:t>
            </w:r>
            <w:proofErr w:type="gramEnd"/>
            <w:r>
              <w:t xml:space="preserve"> and to be installed on all access control doors into zone and within sub-zone. EACS to be configured to be secure with restricted access at all times. Security area with the highest level of security controls, strict control of visitors and employees on a needs basis. Access is restricted to personnel with a demonstrable need to access the zone in the course of their duties. Zone Five will typically apply to security sensitive radiation source equipment, biological research areas or PC3 laboratories.  Zone Five areas must use biometric identification, such as an iris reader, and enter a Personal Identification Number (PIN).  PINs should only be valid for thirty days.</w:t>
            </w:r>
          </w:p>
          <w:p w14:paraId="496F2D78" w14:textId="0D12AAC3" w:rsidR="00C44106" w:rsidRDefault="00C44106" w:rsidP="00AF0B85"/>
        </w:tc>
      </w:tr>
    </w:tbl>
    <w:p w14:paraId="58106E64" w14:textId="77777777" w:rsidR="00C44106" w:rsidRDefault="00C44106" w:rsidP="00C44106"/>
    <w:p w14:paraId="27943591" w14:textId="77777777" w:rsidR="00BD4537" w:rsidRDefault="00BD4537" w:rsidP="00BD4537"/>
    <w:p w14:paraId="7CD9F82A" w14:textId="77777777" w:rsidR="00C44106" w:rsidRDefault="00C44106" w:rsidP="00BD4537"/>
    <w:p w14:paraId="1F0E6184" w14:textId="6A2A8916" w:rsidR="00BD4537" w:rsidRDefault="00BD4537" w:rsidP="00BD4537">
      <w:r>
        <w:lastRenderedPageBreak/>
        <w:t xml:space="preserve">EACS can incorporate the following equipment as determined by the design or functionality required: </w:t>
      </w:r>
    </w:p>
    <w:p w14:paraId="05BFC001" w14:textId="77777777" w:rsidR="00BD4537" w:rsidRDefault="00BD4537" w:rsidP="00BD4537">
      <w:pPr>
        <w:pStyle w:val="ListBullet"/>
      </w:pPr>
      <w:r>
        <w:t>proximity card reader;</w:t>
      </w:r>
    </w:p>
    <w:p w14:paraId="28358F93" w14:textId="77777777" w:rsidR="00BD4537" w:rsidRDefault="00BD4537" w:rsidP="00BD4537">
      <w:pPr>
        <w:pStyle w:val="ListBullet"/>
      </w:pPr>
      <w:r>
        <w:t>iris scanner;</w:t>
      </w:r>
    </w:p>
    <w:p w14:paraId="29D1D07F" w14:textId="4A2DCFA6" w:rsidR="00BD4537" w:rsidRDefault="00D5306E" w:rsidP="00BD4537">
      <w:pPr>
        <w:pStyle w:val="ListBullet"/>
      </w:pPr>
      <w:r>
        <w:t>PIN</w:t>
      </w:r>
      <w:r w:rsidR="00BD4537">
        <w:t xml:space="preserve"> </w:t>
      </w:r>
      <w:proofErr w:type="gramStart"/>
      <w:r w:rsidR="00BD4537">
        <w:t>pad;</w:t>
      </w:r>
      <w:proofErr w:type="gramEnd"/>
    </w:p>
    <w:p w14:paraId="713866A9" w14:textId="77777777" w:rsidR="00BD4537" w:rsidRDefault="00BD4537" w:rsidP="00BD4537">
      <w:pPr>
        <w:pStyle w:val="ListBullet"/>
      </w:pPr>
      <w:r>
        <w:t>electric lockset or electromagnetic lock;</w:t>
      </w:r>
    </w:p>
    <w:p w14:paraId="1BC74906" w14:textId="77777777" w:rsidR="00BD4537" w:rsidRDefault="00BD4537" w:rsidP="00BD4537">
      <w:pPr>
        <w:pStyle w:val="ListBullet"/>
      </w:pPr>
      <w:r>
        <w:t>passive Infrared sensor used in lieu of a card reader, for exiting a zone or sub-zone only;</w:t>
      </w:r>
    </w:p>
    <w:p w14:paraId="474926BF" w14:textId="77777777" w:rsidR="00BD4537" w:rsidRDefault="00BD4537" w:rsidP="00BD4537">
      <w:pPr>
        <w:pStyle w:val="ListBullet"/>
      </w:pPr>
      <w:r>
        <w:t>exit push button used in lieu of a card reader, for exiting a zone or sub-zone only;</w:t>
      </w:r>
    </w:p>
    <w:p w14:paraId="5C6056BC" w14:textId="77777777" w:rsidR="00BD4537" w:rsidRDefault="00BD4537" w:rsidP="00BD4537">
      <w:pPr>
        <w:pStyle w:val="ListBullet"/>
      </w:pPr>
      <w:r>
        <w:t>emergency break-glass door release integrated with the SMS (used where a break-out escape means are not provided).</w:t>
      </w:r>
    </w:p>
    <w:p w14:paraId="1EC5C18E" w14:textId="77777777" w:rsidR="00BD4537" w:rsidRDefault="00BD4537" w:rsidP="00BD4537"/>
    <w:p w14:paraId="76EC52F8" w14:textId="7BD7BEF5" w:rsidR="00BD4537" w:rsidRDefault="00BD4537" w:rsidP="00BD4537">
      <w:r>
        <w:t>High risk access points must have dual factor authentication such as keypads or biometrics as determined by a security risk assessment. Examples of these high risk areas include:</w:t>
      </w:r>
    </w:p>
    <w:p w14:paraId="6337EAC7" w14:textId="77777777" w:rsidR="00BD4537" w:rsidRDefault="00BD4537" w:rsidP="00BD4537">
      <w:pPr>
        <w:pStyle w:val="ListBullet"/>
      </w:pPr>
      <w:r>
        <w:t>ICT data centres or server rooms;</w:t>
      </w:r>
    </w:p>
    <w:p w14:paraId="7336C9B4" w14:textId="77777777" w:rsidR="00BD4537" w:rsidRDefault="00BD4537" w:rsidP="00BD4537">
      <w:pPr>
        <w:pStyle w:val="ListBullet"/>
      </w:pPr>
      <w:r>
        <w:t>pharmacies;</w:t>
      </w:r>
    </w:p>
    <w:p w14:paraId="17E4F06F" w14:textId="77777777" w:rsidR="00BD4537" w:rsidRDefault="00BD4537" w:rsidP="00BD4537">
      <w:pPr>
        <w:pStyle w:val="ListBullet"/>
      </w:pPr>
      <w:r>
        <w:t>analytical and toxicology laboratories; and</w:t>
      </w:r>
    </w:p>
    <w:p w14:paraId="44E8977C" w14:textId="77777777" w:rsidR="00BD4537" w:rsidRDefault="00BD4537" w:rsidP="00BD4537">
      <w:pPr>
        <w:pStyle w:val="ListBullet"/>
      </w:pPr>
      <w:r>
        <w:t>high security environments.</w:t>
      </w:r>
    </w:p>
    <w:p w14:paraId="50871125" w14:textId="77777777" w:rsidR="00BD4537" w:rsidRDefault="00BD4537" w:rsidP="00BD4537"/>
    <w:p w14:paraId="2A083CA0" w14:textId="4629E6C6" w:rsidR="00BD4537" w:rsidRDefault="00BD4537" w:rsidP="00BD4537">
      <w:r>
        <w:t xml:space="preserve">EACS will not be utilised for control of access to individual offices throughout the facility. EACS are required to be installed on meeting rooms and multi-person meeting rooms where there maybe general public access. Cardholder management must maintain an interface with the Identify Access Management System (IAMS). </w:t>
      </w:r>
    </w:p>
    <w:p w14:paraId="434DDF2B" w14:textId="3F3FE9DE" w:rsidR="00BD4537" w:rsidRPr="00BD4537" w:rsidRDefault="00BD4537" w:rsidP="00BD4537">
      <w:pPr>
        <w:rPr>
          <w:rFonts w:asciiTheme="minorHAnsi" w:hAnsiTheme="minorHAnsi" w:cstheme="minorHAnsi"/>
          <w:color w:val="000000" w:themeColor="text1"/>
        </w:rPr>
      </w:pPr>
    </w:p>
    <w:p w14:paraId="7FCA03A2" w14:textId="77777777" w:rsidR="00BD4537" w:rsidRPr="00BD4537" w:rsidRDefault="00BD4537" w:rsidP="00BD4537">
      <w:pPr>
        <w:pStyle w:val="Heading3"/>
        <w:spacing w:before="0"/>
        <w:rPr>
          <w:rFonts w:asciiTheme="minorHAnsi" w:hAnsiTheme="minorHAnsi" w:cstheme="minorHAnsi"/>
          <w:i/>
          <w:iCs/>
          <w:color w:val="000000" w:themeColor="text1"/>
        </w:rPr>
      </w:pPr>
      <w:bookmarkStart w:id="12" w:name="_Toc503620459"/>
      <w:bookmarkStart w:id="13" w:name="_Toc527040128"/>
      <w:r w:rsidRPr="00BD4537">
        <w:rPr>
          <w:rFonts w:asciiTheme="minorHAnsi" w:hAnsiTheme="minorHAnsi" w:cstheme="minorHAnsi"/>
          <w:i/>
          <w:iCs/>
          <w:color w:val="000000" w:themeColor="text1"/>
        </w:rPr>
        <w:t>Mechanical Access Control Systems (MACS)</w:t>
      </w:r>
      <w:bookmarkEnd w:id="12"/>
      <w:bookmarkEnd w:id="13"/>
    </w:p>
    <w:p w14:paraId="03FA65B3" w14:textId="77777777" w:rsidR="00BD4537" w:rsidRPr="00BD4537" w:rsidRDefault="00BD4537" w:rsidP="00BD4537">
      <w:pPr>
        <w:rPr>
          <w:rFonts w:asciiTheme="minorHAnsi" w:hAnsiTheme="minorHAnsi" w:cstheme="minorHAnsi"/>
          <w:color w:val="000000" w:themeColor="text1"/>
        </w:rPr>
      </w:pPr>
      <w:r w:rsidRPr="00BD4537">
        <w:rPr>
          <w:rFonts w:asciiTheme="minorHAnsi" w:hAnsiTheme="minorHAnsi" w:cstheme="minorHAnsi"/>
          <w:color w:val="000000" w:themeColor="text1"/>
        </w:rPr>
        <w:t>Mechanical locks and keys will be used to supplement the EACS, where EACS is not required. The following guidelines apply for MACS:</w:t>
      </w:r>
    </w:p>
    <w:p w14:paraId="381C43A4" w14:textId="77777777" w:rsidR="00BD4537" w:rsidRPr="00BD4537" w:rsidRDefault="00BD4537" w:rsidP="00BD4537">
      <w:pPr>
        <w:pStyle w:val="ListBullet"/>
      </w:pPr>
      <w:r w:rsidRPr="00BD4537">
        <w:t>all keys used for major and internal flow control points are to conform to the Health Master Key System, and must be copy-resistant with unique numbering;</w:t>
      </w:r>
    </w:p>
    <w:p w14:paraId="2F5BCC96" w14:textId="77777777" w:rsidR="00BD4537" w:rsidRPr="00BD4537" w:rsidRDefault="00BD4537" w:rsidP="00BD4537">
      <w:pPr>
        <w:pStyle w:val="ListBullet"/>
      </w:pPr>
      <w:r w:rsidRPr="00BD4537">
        <w:t xml:space="preserve">keys will be secured either in the Security Operations Centre (SOC) or Electronic Key Cabinets; and </w:t>
      </w:r>
    </w:p>
    <w:p w14:paraId="6FC46072" w14:textId="77777777" w:rsidR="00BD4537" w:rsidRPr="00BD4537" w:rsidRDefault="00BD4537" w:rsidP="00BD4537">
      <w:pPr>
        <w:pStyle w:val="ListBullet"/>
      </w:pPr>
      <w:r w:rsidRPr="00BD4537">
        <w:t xml:space="preserve">keys will be secured in an electronic secure key cabinet and controlled through the SCR Key Management System and will control access to keys in accordance with programmable profiles. </w:t>
      </w:r>
    </w:p>
    <w:p w14:paraId="15CDB5AB" w14:textId="77777777" w:rsidR="00D5306E" w:rsidRDefault="00D5306E" w:rsidP="00BD4537">
      <w:pPr>
        <w:rPr>
          <w:rFonts w:asciiTheme="minorHAnsi" w:hAnsiTheme="minorHAnsi" w:cstheme="minorHAnsi"/>
          <w:color w:val="000000" w:themeColor="text1"/>
        </w:rPr>
      </w:pPr>
    </w:p>
    <w:p w14:paraId="5BB4D9F7" w14:textId="2AABA460" w:rsidR="00BD4537" w:rsidRPr="00BD4537" w:rsidRDefault="00BD4537" w:rsidP="00BD4537">
      <w:pPr>
        <w:rPr>
          <w:rFonts w:asciiTheme="minorHAnsi" w:hAnsiTheme="minorHAnsi" w:cstheme="minorHAnsi"/>
          <w:color w:val="000000" w:themeColor="text1"/>
        </w:rPr>
      </w:pPr>
      <w:r w:rsidRPr="00BD4537">
        <w:rPr>
          <w:rFonts w:asciiTheme="minorHAnsi" w:hAnsiTheme="minorHAnsi" w:cstheme="minorHAnsi"/>
          <w:color w:val="000000" w:themeColor="text1"/>
        </w:rPr>
        <w:t xml:space="preserve">The following locks are exempt from the Master Key System: </w:t>
      </w:r>
    </w:p>
    <w:p w14:paraId="441ACFF1" w14:textId="77777777" w:rsidR="00BD4537" w:rsidRPr="00BD4537" w:rsidRDefault="00BD4537" w:rsidP="00BD4537">
      <w:pPr>
        <w:pStyle w:val="ListBullet"/>
      </w:pPr>
      <w:r w:rsidRPr="00BD4537">
        <w:t>filing cabinets;</w:t>
      </w:r>
    </w:p>
    <w:p w14:paraId="53A82A04" w14:textId="77777777" w:rsidR="00BD4537" w:rsidRPr="00BD4537" w:rsidRDefault="00BD4537" w:rsidP="00BD4537">
      <w:pPr>
        <w:pStyle w:val="ListBullet"/>
      </w:pPr>
      <w:r w:rsidRPr="00BD4537">
        <w:t>patient cupboards;</w:t>
      </w:r>
    </w:p>
    <w:p w14:paraId="7560B0A5" w14:textId="77777777" w:rsidR="00BD4537" w:rsidRPr="00BD4537" w:rsidRDefault="00BD4537" w:rsidP="00BD4537">
      <w:pPr>
        <w:pStyle w:val="ListBullet"/>
      </w:pPr>
      <w:r w:rsidRPr="00BD4537">
        <w:t>office joinery;</w:t>
      </w:r>
    </w:p>
    <w:p w14:paraId="196597F0" w14:textId="77777777" w:rsidR="00BD4537" w:rsidRPr="00BD4537" w:rsidRDefault="00BD4537" w:rsidP="00BD4537">
      <w:pPr>
        <w:pStyle w:val="ListBullet"/>
      </w:pPr>
      <w:r w:rsidRPr="00BD4537">
        <w:t>communications racks managed through SSICT; and</w:t>
      </w:r>
    </w:p>
    <w:p w14:paraId="69829E8A" w14:textId="77777777" w:rsidR="00BD4537" w:rsidRPr="00BD4537" w:rsidRDefault="00BD4537" w:rsidP="00BD4537">
      <w:pPr>
        <w:pStyle w:val="ListBullet"/>
      </w:pPr>
      <w:r w:rsidRPr="00BD4537">
        <w:t>staff lockers.</w:t>
      </w:r>
    </w:p>
    <w:p w14:paraId="6BC2E589" w14:textId="77777777" w:rsidR="00BD4537" w:rsidRDefault="00BD4537" w:rsidP="00BD4537">
      <w:pPr>
        <w:pStyle w:val="Heading3"/>
        <w:spacing w:before="0"/>
        <w:rPr>
          <w:rFonts w:asciiTheme="minorHAnsi" w:hAnsiTheme="minorHAnsi" w:cstheme="minorHAnsi"/>
          <w:color w:val="000000" w:themeColor="text1"/>
        </w:rPr>
      </w:pPr>
      <w:bookmarkStart w:id="14" w:name="_Toc503620460"/>
      <w:bookmarkStart w:id="15" w:name="_Toc527040129"/>
    </w:p>
    <w:p w14:paraId="5308F17E" w14:textId="254BE5FD" w:rsidR="00BD4537" w:rsidRPr="00BD4537" w:rsidRDefault="00BD4537" w:rsidP="00BD4537">
      <w:pPr>
        <w:pStyle w:val="Heading3"/>
        <w:spacing w:before="0"/>
        <w:rPr>
          <w:rFonts w:asciiTheme="minorHAnsi" w:hAnsiTheme="minorHAnsi" w:cstheme="minorHAnsi"/>
          <w:i/>
          <w:iCs/>
          <w:color w:val="000000" w:themeColor="text1"/>
        </w:rPr>
      </w:pPr>
      <w:r w:rsidRPr="00BD4537">
        <w:rPr>
          <w:rFonts w:asciiTheme="minorHAnsi" w:hAnsiTheme="minorHAnsi" w:cstheme="minorHAnsi"/>
          <w:i/>
          <w:iCs/>
          <w:color w:val="000000" w:themeColor="text1"/>
        </w:rPr>
        <w:t>Door Access Requirements</w:t>
      </w:r>
      <w:bookmarkEnd w:id="14"/>
      <w:bookmarkEnd w:id="15"/>
      <w:r w:rsidRPr="00BD4537">
        <w:rPr>
          <w:rFonts w:asciiTheme="minorHAnsi" w:hAnsiTheme="minorHAnsi" w:cstheme="minorHAnsi"/>
          <w:i/>
          <w:iCs/>
          <w:color w:val="000000" w:themeColor="text1"/>
        </w:rPr>
        <w:t xml:space="preserve"> </w:t>
      </w:r>
    </w:p>
    <w:p w14:paraId="1925550E" w14:textId="4A45BB4D" w:rsidR="00BD4537" w:rsidRPr="00BD4537" w:rsidRDefault="00BD4537" w:rsidP="00BD4537">
      <w:pPr>
        <w:rPr>
          <w:rFonts w:asciiTheme="minorHAnsi" w:hAnsiTheme="minorHAnsi" w:cstheme="minorHAnsi"/>
          <w:color w:val="000000" w:themeColor="text1"/>
        </w:rPr>
      </w:pPr>
      <w:r w:rsidRPr="00BD4537">
        <w:rPr>
          <w:rFonts w:asciiTheme="minorHAnsi" w:hAnsiTheme="minorHAnsi" w:cstheme="minorHAnsi"/>
          <w:color w:val="000000" w:themeColor="text1"/>
        </w:rPr>
        <w:t xml:space="preserve">The selection of door type and hardware will commonly be derived by the clinical and operational requirement in conjunction with the CHS’ </w:t>
      </w:r>
      <w:r w:rsidR="00A63FCC">
        <w:rPr>
          <w:rFonts w:asciiTheme="minorHAnsi" w:hAnsiTheme="minorHAnsi" w:cstheme="minorHAnsi"/>
          <w:color w:val="000000" w:themeColor="text1"/>
        </w:rPr>
        <w:t>Security Specifications guideline</w:t>
      </w:r>
      <w:r w:rsidRPr="00BD4537">
        <w:rPr>
          <w:rFonts w:asciiTheme="minorHAnsi" w:hAnsiTheme="minorHAnsi" w:cstheme="minorHAnsi"/>
          <w:color w:val="000000" w:themeColor="text1"/>
        </w:rPr>
        <w:t xml:space="preserve">. Door </w:t>
      </w:r>
      <w:r w:rsidRPr="00BD4537">
        <w:rPr>
          <w:rFonts w:asciiTheme="minorHAnsi" w:hAnsiTheme="minorHAnsi" w:cstheme="minorHAnsi"/>
          <w:color w:val="000000" w:themeColor="text1"/>
        </w:rPr>
        <w:lastRenderedPageBreak/>
        <w:t>access requirements can be configured depending on the operational and clinical requirements of each functional zone area.</w:t>
      </w:r>
    </w:p>
    <w:p w14:paraId="4A027FE5" w14:textId="77777777" w:rsidR="00BD4537" w:rsidRDefault="00BD4537" w:rsidP="00BD4537">
      <w:pPr>
        <w:pStyle w:val="Heading3"/>
        <w:spacing w:before="0"/>
        <w:rPr>
          <w:rFonts w:asciiTheme="minorHAnsi" w:hAnsiTheme="minorHAnsi" w:cstheme="minorHAnsi"/>
          <w:color w:val="000000" w:themeColor="text1"/>
        </w:rPr>
      </w:pPr>
      <w:bookmarkStart w:id="16" w:name="_Toc503620461"/>
      <w:bookmarkStart w:id="17" w:name="_Toc527040130"/>
    </w:p>
    <w:p w14:paraId="483CAB3D" w14:textId="2EECB5AD" w:rsidR="00BD4537" w:rsidRPr="00BD4537" w:rsidRDefault="00BD4537" w:rsidP="00BD4537">
      <w:pPr>
        <w:pStyle w:val="Heading3"/>
        <w:spacing w:before="0"/>
        <w:rPr>
          <w:rFonts w:asciiTheme="minorHAnsi" w:hAnsiTheme="minorHAnsi" w:cstheme="minorHAnsi"/>
          <w:i/>
          <w:iCs/>
          <w:color w:val="000000" w:themeColor="text1"/>
        </w:rPr>
      </w:pPr>
      <w:r w:rsidRPr="00BD4537">
        <w:rPr>
          <w:rFonts w:asciiTheme="minorHAnsi" w:hAnsiTheme="minorHAnsi" w:cstheme="minorHAnsi"/>
          <w:i/>
          <w:iCs/>
          <w:color w:val="000000" w:themeColor="text1"/>
        </w:rPr>
        <w:t>Area Lockdown Requirements</w:t>
      </w:r>
      <w:bookmarkEnd w:id="16"/>
      <w:bookmarkEnd w:id="17"/>
      <w:r w:rsidRPr="00BD4537">
        <w:rPr>
          <w:rFonts w:asciiTheme="minorHAnsi" w:hAnsiTheme="minorHAnsi" w:cstheme="minorHAnsi"/>
          <w:i/>
          <w:iCs/>
          <w:color w:val="000000" w:themeColor="text1"/>
        </w:rPr>
        <w:t xml:space="preserve"> </w:t>
      </w:r>
    </w:p>
    <w:p w14:paraId="5A8222FE" w14:textId="77777777" w:rsidR="00BD4537" w:rsidRPr="00BD4537" w:rsidRDefault="00BD4537" w:rsidP="00BD4537">
      <w:pPr>
        <w:rPr>
          <w:rFonts w:asciiTheme="minorHAnsi" w:hAnsiTheme="minorHAnsi" w:cstheme="minorHAnsi"/>
          <w:color w:val="000000" w:themeColor="text1"/>
        </w:rPr>
      </w:pPr>
      <w:r w:rsidRPr="00BD4537">
        <w:rPr>
          <w:rFonts w:asciiTheme="minorHAnsi" w:hAnsiTheme="minorHAnsi" w:cstheme="minorHAnsi"/>
          <w:color w:val="000000" w:themeColor="text1"/>
        </w:rPr>
        <w:t xml:space="preserve">The primary purpose of the lockdown capability is to ensure that no person can enter or exit the lockdown area without appropriate security oversight. Authorised entry/egress from/to a lockdown area should only be allowed by an authorised individual from within/outside the lockdown area. This arrangement will allow for persons to enter/exit a lockdown zone, but will mitigate the potential escalation of an incident that was the cause of the lock-down (i.e. contagion, security incident, aggrieved/violent individual). </w:t>
      </w:r>
    </w:p>
    <w:p w14:paraId="2FB3016F" w14:textId="77777777" w:rsidR="00BD4537" w:rsidRDefault="00BD4537" w:rsidP="00BD4537">
      <w:pPr>
        <w:rPr>
          <w:rFonts w:asciiTheme="minorHAnsi" w:hAnsiTheme="minorHAnsi" w:cstheme="minorHAnsi"/>
          <w:color w:val="000000" w:themeColor="text1"/>
        </w:rPr>
      </w:pPr>
    </w:p>
    <w:p w14:paraId="4D855053" w14:textId="5CF14A0F" w:rsidR="00BD4537" w:rsidRPr="00BD4537" w:rsidRDefault="00BD4537" w:rsidP="00BD4537">
      <w:pPr>
        <w:rPr>
          <w:rFonts w:asciiTheme="minorHAnsi" w:hAnsiTheme="minorHAnsi" w:cstheme="minorHAnsi"/>
          <w:color w:val="000000" w:themeColor="text1"/>
        </w:rPr>
      </w:pPr>
      <w:r w:rsidRPr="00BD4537">
        <w:rPr>
          <w:rFonts w:asciiTheme="minorHAnsi" w:hAnsiTheme="minorHAnsi" w:cstheme="minorHAnsi"/>
          <w:color w:val="000000" w:themeColor="text1"/>
        </w:rPr>
        <w:t xml:space="preserve">The following guidelines apply: </w:t>
      </w:r>
    </w:p>
    <w:p w14:paraId="0E676921" w14:textId="702F53A2" w:rsidR="00BD4537" w:rsidRDefault="0034661D" w:rsidP="00BD4537">
      <w:pPr>
        <w:pStyle w:val="ListBullet"/>
      </w:pPr>
      <w:r>
        <w:t>t</w:t>
      </w:r>
      <w:r w:rsidR="00BD4537" w:rsidRPr="00BD4537">
        <w:t xml:space="preserve">he facility must be configured to allow for 100% ‘lockdown’ if </w:t>
      </w:r>
      <w:proofErr w:type="gramStart"/>
      <w:r w:rsidR="00BD4537" w:rsidRPr="00BD4537">
        <w:t>required;</w:t>
      </w:r>
      <w:proofErr w:type="gramEnd"/>
    </w:p>
    <w:p w14:paraId="3B700A01" w14:textId="62A865CF" w:rsidR="00BD4537" w:rsidRDefault="0034661D" w:rsidP="00BD4537">
      <w:pPr>
        <w:pStyle w:val="ListBullet"/>
      </w:pPr>
      <w:r>
        <w:t>z</w:t>
      </w:r>
      <w:r w:rsidR="00BD4537">
        <w:t xml:space="preserve">oned lockdown of discrete areas must also be </w:t>
      </w:r>
      <w:proofErr w:type="gramStart"/>
      <w:r w:rsidR="00BD4537">
        <w:t>permitted;</w:t>
      </w:r>
      <w:proofErr w:type="gramEnd"/>
    </w:p>
    <w:p w14:paraId="543CA187" w14:textId="7156AF0E" w:rsidR="00BD4537" w:rsidRDefault="0034661D" w:rsidP="00BD4537">
      <w:pPr>
        <w:pStyle w:val="ListBullet"/>
      </w:pPr>
      <w:r>
        <w:t>s</w:t>
      </w:r>
      <w:r w:rsidR="00BD4537">
        <w:t xml:space="preserve">ub-zone lockdown should be enabled for high-security or high-risk zones – such as Emergency Department, Mental Health Units, Maternity and Paediatrics, and high risk clinical areas such as infectious diseases </w:t>
      </w:r>
      <w:proofErr w:type="gramStart"/>
      <w:r w:rsidR="00BD4537">
        <w:t>wards;</w:t>
      </w:r>
      <w:proofErr w:type="gramEnd"/>
      <w:r w:rsidR="00BD4537">
        <w:t xml:space="preserve"> </w:t>
      </w:r>
    </w:p>
    <w:p w14:paraId="350D97BA" w14:textId="2586ABC4" w:rsidR="00BD4537" w:rsidRDefault="0034661D" w:rsidP="00BD4537">
      <w:pPr>
        <w:pStyle w:val="ListBullet"/>
      </w:pPr>
      <w:r>
        <w:t>l</w:t>
      </w:r>
      <w:r w:rsidR="00BD4537">
        <w:t xml:space="preserve">ockdown must be able to be implemented locally within the facility and remotely from the Security Operations </w:t>
      </w:r>
      <w:proofErr w:type="gramStart"/>
      <w:r w:rsidR="00BD4537">
        <w:t>Centre;</w:t>
      </w:r>
      <w:proofErr w:type="gramEnd"/>
    </w:p>
    <w:p w14:paraId="658292AF" w14:textId="3A784576" w:rsidR="00BD4537" w:rsidRDefault="0034661D" w:rsidP="00BD4537">
      <w:pPr>
        <w:pStyle w:val="ListBullet"/>
      </w:pPr>
      <w:r>
        <w:t>a</w:t>
      </w:r>
      <w:r w:rsidR="00BD4537">
        <w:t>uthorisation and override of lockdown must be controlled and restricted to key personnel (</w:t>
      </w:r>
      <w:proofErr w:type="gramStart"/>
      <w:r w:rsidR="00BD4537">
        <w:t>i</w:t>
      </w:r>
      <w:r w:rsidR="00484BDA">
        <w:t>.</w:t>
      </w:r>
      <w:r w:rsidR="00BD4537">
        <w:t>e.</w:t>
      </w:r>
      <w:proofErr w:type="gramEnd"/>
      <w:r w:rsidR="00BD4537">
        <w:t xml:space="preserve"> Security and Hospital Managers). </w:t>
      </w:r>
    </w:p>
    <w:p w14:paraId="1E466494" w14:textId="77777777" w:rsidR="00031E8A" w:rsidRDefault="00031E8A" w:rsidP="001F5929">
      <w:pPr>
        <w:rPr>
          <w:i/>
          <w:iCs/>
        </w:rPr>
      </w:pPr>
      <w:bookmarkStart w:id="18" w:name="_Toc503620462"/>
      <w:bookmarkStart w:id="19" w:name="_Toc527040131"/>
    </w:p>
    <w:p w14:paraId="5D4234CA" w14:textId="5FA6D501" w:rsidR="00BD4537" w:rsidRPr="001F5929" w:rsidRDefault="00BD4537" w:rsidP="001F5929">
      <w:pPr>
        <w:rPr>
          <w:i/>
          <w:iCs/>
        </w:rPr>
      </w:pPr>
      <w:r w:rsidRPr="001F5929">
        <w:rPr>
          <w:i/>
          <w:iCs/>
        </w:rPr>
        <w:t>Staff Access</w:t>
      </w:r>
      <w:bookmarkEnd w:id="18"/>
      <w:bookmarkEnd w:id="19"/>
      <w:r w:rsidRPr="001F5929">
        <w:rPr>
          <w:i/>
          <w:iCs/>
        </w:rPr>
        <w:t xml:space="preserve"> </w:t>
      </w:r>
    </w:p>
    <w:p w14:paraId="4FF014D4" w14:textId="77777777" w:rsidR="00BD4537" w:rsidRDefault="00BD4537" w:rsidP="001F5929">
      <w:r>
        <w:t>Staff will enter the facility through multiple routes. Access for staff will depend on the time of day (to be referred to as Operating Hours and After Hours).  Staff access entries will be provisioned with EACS.</w:t>
      </w:r>
    </w:p>
    <w:p w14:paraId="11FBB135" w14:textId="77777777" w:rsidR="00BD4537" w:rsidRDefault="00BD4537" w:rsidP="00BD4537"/>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BD4537" w:rsidRPr="001B2BAC" w14:paraId="5ADD18EA" w14:textId="77777777" w:rsidTr="002267D8">
        <w:trPr>
          <w:cantSplit/>
          <w:trHeight w:val="285"/>
        </w:trPr>
        <w:tc>
          <w:tcPr>
            <w:tcW w:w="9158" w:type="dxa"/>
            <w:shd w:val="clear" w:color="auto" w:fill="000000"/>
          </w:tcPr>
          <w:p w14:paraId="7F181B52" w14:textId="006FD74D" w:rsidR="00BD4537" w:rsidRPr="001502DF" w:rsidRDefault="00BD4537" w:rsidP="002267D8">
            <w:pPr>
              <w:pStyle w:val="Heading1"/>
              <w:rPr>
                <w:b w:val="0"/>
                <w:szCs w:val="24"/>
              </w:rPr>
            </w:pPr>
            <w:bookmarkStart w:id="20" w:name="_Toc72493423"/>
            <w:r>
              <w:rPr>
                <w:szCs w:val="24"/>
              </w:rPr>
              <w:t>Closed Circuit Television</w:t>
            </w:r>
            <w:bookmarkEnd w:id="20"/>
          </w:p>
        </w:tc>
      </w:tr>
    </w:tbl>
    <w:p w14:paraId="5E49D085" w14:textId="5104C208" w:rsidR="00BD4537" w:rsidRDefault="00BD4537" w:rsidP="001F5929"/>
    <w:p w14:paraId="578A7F6D" w14:textId="2420902A" w:rsidR="001F5929" w:rsidRDefault="001F5929" w:rsidP="001F5929">
      <w:r>
        <w:t>CCTV functionality – linked to the SMS – is for security and other investigative surveillance (</w:t>
      </w:r>
      <w:proofErr w:type="spellStart"/>
      <w:r>
        <w:t>ie</w:t>
      </w:r>
      <w:proofErr w:type="spellEnd"/>
      <w:r>
        <w:t xml:space="preserve">. work health safety) purposes. </w:t>
      </w:r>
    </w:p>
    <w:p w14:paraId="10475388" w14:textId="77777777" w:rsidR="001F5929" w:rsidRDefault="001F5929" w:rsidP="001F5929"/>
    <w:p w14:paraId="77476DA2" w14:textId="77777777" w:rsidR="001F5929" w:rsidRDefault="001F5929" w:rsidP="001F5929">
      <w:r>
        <w:t>General CCTV functions differ from local or clinical CCTV, where the purpose is to provide patient monitoring capability through a localised connection (</w:t>
      </w:r>
      <w:proofErr w:type="spellStart"/>
      <w:r>
        <w:t>ie</w:t>
      </w:r>
      <w:proofErr w:type="spellEnd"/>
      <w:r>
        <w:t>. to a terminal located in an adjacent monitoring room), that is not connected with the SMS.</w:t>
      </w:r>
    </w:p>
    <w:p w14:paraId="3ED0A37C" w14:textId="77777777" w:rsidR="001F5929" w:rsidRDefault="001F5929" w:rsidP="001F5929"/>
    <w:p w14:paraId="0A45D56B" w14:textId="1B5C4BB2" w:rsidR="001F5929" w:rsidRDefault="001F5929" w:rsidP="001F5929">
      <w:r>
        <w:t xml:space="preserve">The following specific deployment locations apply to CCTV: </w:t>
      </w:r>
    </w:p>
    <w:p w14:paraId="34191D33" w14:textId="77777777" w:rsidR="001F5929" w:rsidRDefault="001F5929" w:rsidP="001F5929">
      <w:pPr>
        <w:pStyle w:val="ListBullet"/>
      </w:pPr>
      <w:r>
        <w:t>public entrances;</w:t>
      </w:r>
    </w:p>
    <w:p w14:paraId="4281F143" w14:textId="77777777" w:rsidR="001F5929" w:rsidRDefault="001F5929" w:rsidP="001F5929">
      <w:pPr>
        <w:pStyle w:val="ListBullet"/>
      </w:pPr>
      <w:r>
        <w:t>public elevators (where deemed necessary) such as multi-storey car parks;</w:t>
      </w:r>
    </w:p>
    <w:p w14:paraId="0E1178FA" w14:textId="77777777" w:rsidR="001F5929" w:rsidRDefault="001F5929" w:rsidP="001F5929">
      <w:pPr>
        <w:pStyle w:val="ListBullet"/>
      </w:pPr>
      <w:r>
        <w:t>entries to department/area security zones requiring a determined level of security;</w:t>
      </w:r>
    </w:p>
    <w:p w14:paraId="4F5AB5EF" w14:textId="77777777" w:rsidR="001F5929" w:rsidRDefault="001F5929" w:rsidP="001F5929">
      <w:pPr>
        <w:pStyle w:val="ListBullet"/>
      </w:pPr>
      <w:r>
        <w:t>reception desks located in high risk areas;</w:t>
      </w:r>
    </w:p>
    <w:p w14:paraId="6602649E" w14:textId="77777777" w:rsidR="001F5929" w:rsidRDefault="001F5929" w:rsidP="001F5929">
      <w:pPr>
        <w:pStyle w:val="ListBullet"/>
      </w:pPr>
      <w:r>
        <w:t>selected high-risk areas (such as the Emergency Department, Mental Health Units, Maternity and Paediatrics); and</w:t>
      </w:r>
    </w:p>
    <w:p w14:paraId="04DAF697" w14:textId="77777777" w:rsidR="001F5929" w:rsidRDefault="001F5929" w:rsidP="001F5929">
      <w:pPr>
        <w:pStyle w:val="ListBullet"/>
      </w:pPr>
      <w:r>
        <w:lastRenderedPageBreak/>
        <w:t xml:space="preserve">selected internal spaces such as vault rooms. </w:t>
      </w:r>
    </w:p>
    <w:p w14:paraId="202B163A" w14:textId="77777777" w:rsidR="001F5929" w:rsidRDefault="001F5929" w:rsidP="001F5929"/>
    <w:p w14:paraId="5F32B5A0" w14:textId="3000846A" w:rsidR="001F5929" w:rsidRDefault="001F5929" w:rsidP="001F5929">
      <w:r>
        <w:t>The following specific guidelines apply to CCTV:</w:t>
      </w:r>
    </w:p>
    <w:p w14:paraId="2FC795CF" w14:textId="77777777" w:rsidR="001F5929" w:rsidRDefault="001F5929" w:rsidP="001F5929">
      <w:pPr>
        <w:pStyle w:val="ListBullet"/>
      </w:pPr>
      <w:r>
        <w:t xml:space="preserve">the requirements for the installation of CCTV in high-risk areas should be derived from the findings of any security risk assessments conducted for proposed projects and or identified in the CHS’ Enterprise Security Risk Assessment;  </w:t>
      </w:r>
    </w:p>
    <w:p w14:paraId="16CAF34E" w14:textId="77777777" w:rsidR="001F5929" w:rsidRDefault="001F5929" w:rsidP="001F5929">
      <w:pPr>
        <w:pStyle w:val="ListBullet"/>
      </w:pPr>
      <w:r>
        <w:t>reception desks and ward stations located in public areas of the hospital at the entrances to a ward considered high risk and must be positioned to allow for monitoring of access to their relative areas;</w:t>
      </w:r>
    </w:p>
    <w:p w14:paraId="02E4A74B" w14:textId="77777777" w:rsidR="001F5929" w:rsidRDefault="001F5929" w:rsidP="001F5929">
      <w:pPr>
        <w:pStyle w:val="ListBullet"/>
      </w:pPr>
      <w:r>
        <w:t>where deployed to building entrances, CCTV security cameras will record images of pedestrian entrants sufficient to allow their forensic identification and assist in investigation and prosecutions;</w:t>
      </w:r>
    </w:p>
    <w:p w14:paraId="18F2A551" w14:textId="77777777" w:rsidR="001F5929" w:rsidRDefault="001F5929" w:rsidP="001F5929">
      <w:pPr>
        <w:pStyle w:val="ListBullet"/>
      </w:pPr>
      <w:r>
        <w:t>where deployed to vehicle entrances, CCTV cameras will record legible images of number plates;</w:t>
      </w:r>
    </w:p>
    <w:p w14:paraId="2FBCC954" w14:textId="77777777" w:rsidR="001F5929" w:rsidRDefault="001F5929" w:rsidP="001F5929">
      <w:pPr>
        <w:pStyle w:val="ListBullet"/>
      </w:pPr>
      <w:r>
        <w:t>the Security Operations Centre (SOC) will be the primary location for live monitoring of CCTV services. Provision should be made for secondary location monitoring solution as a back-up/remote location solution within Canberra Hospital;</w:t>
      </w:r>
    </w:p>
    <w:p w14:paraId="78846F22" w14:textId="77777777" w:rsidR="001F5929" w:rsidRDefault="001F5929" w:rsidP="001F5929">
      <w:pPr>
        <w:pStyle w:val="ListBullet"/>
      </w:pPr>
      <w:r>
        <w:t>selected CCTV cameras should be able to be viewed from the security control point located in the Emergency Department;</w:t>
      </w:r>
    </w:p>
    <w:p w14:paraId="0BA86078" w14:textId="77777777" w:rsidR="001F5929" w:rsidRDefault="001F5929" w:rsidP="001F5929">
      <w:pPr>
        <w:pStyle w:val="ListBullet"/>
      </w:pPr>
      <w:r>
        <w:t>CCTV security cameras will be at a resolution sufficient for the criticality of field of view. For example, areas with a wide or long field of view may require higher resolution CCTV security cameras;</w:t>
      </w:r>
    </w:p>
    <w:p w14:paraId="55898B79" w14:textId="77777777" w:rsidR="001F5929" w:rsidRDefault="001F5929" w:rsidP="001F5929">
      <w:pPr>
        <w:pStyle w:val="ListBullet"/>
      </w:pPr>
      <w:r>
        <w:t>all external cameras are to be capable of high-resolution operation in ambient light, including low light conditions where security lighting is not in place;</w:t>
      </w:r>
    </w:p>
    <w:p w14:paraId="18B87D6C" w14:textId="77777777" w:rsidR="001F5929" w:rsidRDefault="001F5929" w:rsidP="001F5929">
      <w:pPr>
        <w:pStyle w:val="ListBullet"/>
      </w:pPr>
      <w:r>
        <w:t>live images will be capable of being streamed to computer terminals operating on the site Security Network within staff areas;</w:t>
      </w:r>
    </w:p>
    <w:p w14:paraId="78B05140" w14:textId="77777777" w:rsidR="001F5929" w:rsidRDefault="001F5929" w:rsidP="001F5929">
      <w:pPr>
        <w:pStyle w:val="ListBullet"/>
      </w:pPr>
      <w:r>
        <w:t>CCTV cameras will be installed where a fixed duress button is installed at reception areas that are located in public areas which have been deemed to be a high risk area;</w:t>
      </w:r>
    </w:p>
    <w:p w14:paraId="1F2A0D39" w14:textId="77777777" w:rsidR="001F5929" w:rsidRDefault="001F5929" w:rsidP="001F5929">
      <w:pPr>
        <w:pStyle w:val="ListBullet"/>
      </w:pPr>
      <w:r>
        <w:t>CCTV security camera will be provided in all car parks; and</w:t>
      </w:r>
    </w:p>
    <w:p w14:paraId="2B49F8AF" w14:textId="77777777" w:rsidR="001F5929" w:rsidRDefault="001F5929" w:rsidP="001F5929">
      <w:pPr>
        <w:pStyle w:val="ListBullet"/>
      </w:pPr>
      <w:r>
        <w:t>CCTV cameras will be a digital IP-type.</w:t>
      </w:r>
    </w:p>
    <w:p w14:paraId="3E9492E2" w14:textId="77777777" w:rsidR="001F5929" w:rsidRDefault="001F5929" w:rsidP="00BD4537"/>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BD4537" w:rsidRPr="001B2BAC" w14:paraId="3E0D3C20" w14:textId="77777777" w:rsidTr="002267D8">
        <w:trPr>
          <w:cantSplit/>
          <w:trHeight w:val="285"/>
        </w:trPr>
        <w:tc>
          <w:tcPr>
            <w:tcW w:w="9158" w:type="dxa"/>
            <w:shd w:val="clear" w:color="auto" w:fill="000000"/>
          </w:tcPr>
          <w:p w14:paraId="0E646F44" w14:textId="23D9CBC8" w:rsidR="00BD4537" w:rsidRPr="001502DF" w:rsidRDefault="00BD4537" w:rsidP="002267D8">
            <w:pPr>
              <w:pStyle w:val="Heading1"/>
              <w:rPr>
                <w:b w:val="0"/>
                <w:szCs w:val="24"/>
              </w:rPr>
            </w:pPr>
            <w:bookmarkStart w:id="21" w:name="_Toc72493424"/>
            <w:r>
              <w:rPr>
                <w:szCs w:val="24"/>
              </w:rPr>
              <w:t>Intrusion Detection</w:t>
            </w:r>
            <w:bookmarkEnd w:id="21"/>
          </w:p>
        </w:tc>
      </w:tr>
    </w:tbl>
    <w:p w14:paraId="6067EFB9" w14:textId="483D4362" w:rsidR="00BD4537" w:rsidRDefault="00BD4537" w:rsidP="00BD4537"/>
    <w:p w14:paraId="43AE3440" w14:textId="4CD78608" w:rsidR="001F5929" w:rsidRDefault="001F5929" w:rsidP="001F5929">
      <w:r>
        <w:t xml:space="preserve">Intrusion detection will be linked to the Security Monitoring System (SMS) and third party monitoring arrangements (as determined by the project and in accordance with CHS’ security contractual arrangements), and include functionality embedded in the access control system through reed switch elements to protect against Door Open Too Long (DOTL), Forced Entry (when activated), Break Glass (when activated) and unauthorised access into intruder alarm zones. </w:t>
      </w:r>
    </w:p>
    <w:p w14:paraId="033DCD8E" w14:textId="77777777" w:rsidR="001F5929" w:rsidRDefault="001F5929" w:rsidP="001F5929"/>
    <w:p w14:paraId="0D174A61" w14:textId="75038298" w:rsidR="001F5929" w:rsidRDefault="001F5929" w:rsidP="001F5929">
      <w:r>
        <w:t xml:space="preserve">Level 4 and 5 security zones will also be installed with additional layers of security, such as Passive Infrared sensors linked to the Intrusion Detection on the SMS and third party monitoring arrangements.  In addition, fire stairwell ground level exit points should have </w:t>
      </w:r>
      <w:r>
        <w:lastRenderedPageBreak/>
        <w:t>localised audible alarms should the intrusion detection (door reed switch) be trigger through unauthorised access.</w:t>
      </w:r>
    </w:p>
    <w:p w14:paraId="22B60266" w14:textId="77777777" w:rsidR="001F5929" w:rsidRDefault="001F5929" w:rsidP="001F5929"/>
    <w:p w14:paraId="714EE0AA" w14:textId="3B86D34E" w:rsidR="001F5929" w:rsidRDefault="001F5929" w:rsidP="001F5929">
      <w:r>
        <w:t>The specifications for intrusion detection must be consistent with the systems currently is use across CHS facilities.</w:t>
      </w:r>
    </w:p>
    <w:p w14:paraId="3E651F6B" w14:textId="77777777" w:rsidR="001F5929" w:rsidRDefault="001F5929" w:rsidP="001F5929"/>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BD4537" w:rsidRPr="001B2BAC" w14:paraId="1A35BD7B" w14:textId="77777777" w:rsidTr="002267D8">
        <w:trPr>
          <w:cantSplit/>
          <w:trHeight w:val="285"/>
        </w:trPr>
        <w:tc>
          <w:tcPr>
            <w:tcW w:w="9158" w:type="dxa"/>
            <w:shd w:val="clear" w:color="auto" w:fill="000000"/>
          </w:tcPr>
          <w:p w14:paraId="65A8DD11" w14:textId="3C2724D2" w:rsidR="00BD4537" w:rsidRPr="001502DF" w:rsidRDefault="00BD4537" w:rsidP="002267D8">
            <w:pPr>
              <w:pStyle w:val="Heading1"/>
              <w:rPr>
                <w:b w:val="0"/>
                <w:szCs w:val="24"/>
              </w:rPr>
            </w:pPr>
            <w:bookmarkStart w:id="22" w:name="_Toc72493425"/>
            <w:r>
              <w:rPr>
                <w:szCs w:val="24"/>
              </w:rPr>
              <w:t>Alarm Systems</w:t>
            </w:r>
            <w:bookmarkEnd w:id="22"/>
          </w:p>
        </w:tc>
      </w:tr>
    </w:tbl>
    <w:p w14:paraId="358C626E" w14:textId="442FD70C" w:rsidR="00BD4537" w:rsidRDefault="00BD4537" w:rsidP="00BD4537"/>
    <w:p w14:paraId="4E6C4ECB" w14:textId="77777777" w:rsidR="001F5929" w:rsidRDefault="001F5929" w:rsidP="001F5929">
      <w:r>
        <w:t xml:space="preserve">The duress alarm system will incorporate fixed point and mobile duress capabilities (including Real Time Location Services as required), which will be connected to the SMS and paging system to enable an appropriate response to a security incident or emergency. </w:t>
      </w:r>
    </w:p>
    <w:p w14:paraId="2C17A2EE" w14:textId="4B13A146" w:rsidR="001F5929" w:rsidRDefault="001F5929" w:rsidP="001F5929">
      <w:r>
        <w:t>The following guidelines apply for the duress system.</w:t>
      </w:r>
    </w:p>
    <w:p w14:paraId="4B1ED039" w14:textId="77777777" w:rsidR="001F5929" w:rsidRDefault="001F5929" w:rsidP="001F5929"/>
    <w:p w14:paraId="21D24E7E" w14:textId="77777777" w:rsidR="001F5929" w:rsidRDefault="001F5929" w:rsidP="001F5929">
      <w:r>
        <w:t xml:space="preserve">Fixed duress alarms will be installed in all high risk consult, interview, </w:t>
      </w:r>
      <w:proofErr w:type="gramStart"/>
      <w:r>
        <w:t>meeting</w:t>
      </w:r>
      <w:proofErr w:type="gramEnd"/>
      <w:r>
        <w:t xml:space="preserve"> and clinical treatment rooms and will also include: </w:t>
      </w:r>
    </w:p>
    <w:p w14:paraId="1C19FCEF" w14:textId="77777777" w:rsidR="001F5929" w:rsidRDefault="001F5929" w:rsidP="001F5929">
      <w:pPr>
        <w:pStyle w:val="ListBullet"/>
      </w:pPr>
      <w:r>
        <w:t>reception areas (linked to the SMS and third party monitoring arrangements);</w:t>
      </w:r>
    </w:p>
    <w:p w14:paraId="2C092967" w14:textId="77777777" w:rsidR="001F5929" w:rsidRDefault="001F5929" w:rsidP="001F5929">
      <w:pPr>
        <w:pStyle w:val="ListBullet"/>
      </w:pPr>
      <w:r>
        <w:t>ward stations; and</w:t>
      </w:r>
    </w:p>
    <w:p w14:paraId="76862051" w14:textId="77777777" w:rsidR="001F5929" w:rsidRDefault="001F5929" w:rsidP="001F5929">
      <w:pPr>
        <w:pStyle w:val="ListBullet"/>
      </w:pPr>
      <w:r>
        <w:t xml:space="preserve">cash management areas. </w:t>
      </w:r>
    </w:p>
    <w:p w14:paraId="6E9B93A4" w14:textId="77777777" w:rsidR="001F5929" w:rsidRDefault="001F5929" w:rsidP="001F5929"/>
    <w:p w14:paraId="1292C3B5" w14:textId="330D8FBE" w:rsidR="001F5929" w:rsidRDefault="001F5929" w:rsidP="001F5929">
      <w:r>
        <w:t xml:space="preserve">Mobile duress capability will be provided to all Mental Health inpatient units, Drug </w:t>
      </w:r>
      <w:r w:rsidR="00282826">
        <w:t>and</w:t>
      </w:r>
      <w:r>
        <w:t xml:space="preserve"> Alcohol Inpatient and Outpatient Units, Emergency </w:t>
      </w:r>
      <w:proofErr w:type="gramStart"/>
      <w:r>
        <w:t>Departments</w:t>
      </w:r>
      <w:proofErr w:type="gramEnd"/>
      <w:r>
        <w:t xml:space="preserve"> and secure mental health facilities. As the mobile duress capability will not function outside of a hospital, a combination of fixed duress alarms and area-specific mobile duress alarms must be provided for external areas utilised for patient rehabilitation and clinical care. </w:t>
      </w:r>
    </w:p>
    <w:p w14:paraId="6A7C1168" w14:textId="77777777" w:rsidR="001F5929" w:rsidRDefault="001F5929" w:rsidP="001F5929"/>
    <w:p w14:paraId="236AA908" w14:textId="34B4AFBA" w:rsidR="001F5929" w:rsidRDefault="001F5929" w:rsidP="001F5929">
      <w:r>
        <w:t>Consideration should be given to provide specific mobile duress alarms for use in external areas. These devices will be picked up on the closest duress point located in the health facility – with a signal that can be quickly identified by security as being from an externally-located device to improve the efficiency of any response.</w:t>
      </w:r>
    </w:p>
    <w:p w14:paraId="12C65075" w14:textId="77777777" w:rsidR="001F5929" w:rsidRDefault="001F5929" w:rsidP="001F5929"/>
    <w:p w14:paraId="4DE36D2D" w14:textId="77777777" w:rsidR="001F5929" w:rsidRDefault="001F5929" w:rsidP="001F5929">
      <w:r>
        <w:t>Bollard mounted fixed duress alarm points must be installed at strategic locations along external pedestrian walkways with strobe and audible alarm.</w:t>
      </w:r>
    </w:p>
    <w:p w14:paraId="7A59BD4D" w14:textId="77777777" w:rsidR="001F5929" w:rsidRDefault="001F5929" w:rsidP="001F5929"/>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BD4537" w:rsidRPr="001B2BAC" w14:paraId="19AF5335" w14:textId="77777777" w:rsidTr="002267D8">
        <w:trPr>
          <w:cantSplit/>
          <w:trHeight w:val="285"/>
        </w:trPr>
        <w:tc>
          <w:tcPr>
            <w:tcW w:w="9158" w:type="dxa"/>
            <w:shd w:val="clear" w:color="auto" w:fill="000000"/>
          </w:tcPr>
          <w:p w14:paraId="4CF62326" w14:textId="13B6BE43" w:rsidR="00BD4537" w:rsidRPr="001502DF" w:rsidRDefault="00BD4537" w:rsidP="002267D8">
            <w:pPr>
              <w:pStyle w:val="Heading1"/>
              <w:rPr>
                <w:b w:val="0"/>
                <w:szCs w:val="24"/>
              </w:rPr>
            </w:pPr>
            <w:bookmarkStart w:id="23" w:name="_Toc72493426"/>
            <w:r>
              <w:rPr>
                <w:szCs w:val="24"/>
              </w:rPr>
              <w:t>Visitor Management</w:t>
            </w:r>
            <w:bookmarkEnd w:id="23"/>
          </w:p>
        </w:tc>
      </w:tr>
    </w:tbl>
    <w:p w14:paraId="080BEFAB" w14:textId="0BA9AAD4" w:rsidR="00BD4537" w:rsidRDefault="00BD4537" w:rsidP="001F5929"/>
    <w:p w14:paraId="572B6A49" w14:textId="55E6C3EF" w:rsidR="001F5929" w:rsidRDefault="001F5929" w:rsidP="001F5929">
      <w:r>
        <w:t>Visitor management concerns the access control, surveillance and escort requirements of unauthorised persons into a particular zone.  The following guidelines apply for Visitor Management.</w:t>
      </w:r>
    </w:p>
    <w:p w14:paraId="10F789C2" w14:textId="77777777" w:rsidR="001F5929" w:rsidRDefault="001F5929" w:rsidP="001F5929"/>
    <w:p w14:paraId="37995CD8" w14:textId="28080F34" w:rsidR="001F5929" w:rsidRDefault="001F5929" w:rsidP="001F5929">
      <w:r>
        <w:t>EACS for each security zone should be configured as follows:</w:t>
      </w:r>
    </w:p>
    <w:p w14:paraId="583BFC9B" w14:textId="1056A16D" w:rsidR="00A63FCC" w:rsidRDefault="00A63FCC" w:rsidP="001F5929"/>
    <w:p w14:paraId="2B1B60DA" w14:textId="77777777" w:rsidR="00A63FCC" w:rsidRDefault="00A63FCC" w:rsidP="00A63FCC"/>
    <w:p w14:paraId="545F5FCA" w14:textId="77777777" w:rsidR="00A63FCC" w:rsidRDefault="00A63FCC" w:rsidP="00A63FCC"/>
    <w:tbl>
      <w:tblPr>
        <w:tblStyle w:val="TableGrid"/>
        <w:tblW w:w="0" w:type="auto"/>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1502"/>
        <w:gridCol w:w="7524"/>
      </w:tblGrid>
      <w:tr w:rsidR="00A63FCC" w14:paraId="4E864E95" w14:textId="77777777" w:rsidTr="00AF0B85">
        <w:trPr>
          <w:tblHeader/>
        </w:trPr>
        <w:tc>
          <w:tcPr>
            <w:tcW w:w="1502" w:type="dxa"/>
            <w:shd w:val="clear" w:color="auto" w:fill="F2F2F2" w:themeFill="background1" w:themeFillShade="F2"/>
          </w:tcPr>
          <w:p w14:paraId="69EAA4FE" w14:textId="77777777" w:rsidR="00A63FCC" w:rsidRPr="00125CE4" w:rsidRDefault="00A63FCC" w:rsidP="00AF0B85">
            <w:pPr>
              <w:rPr>
                <w:b/>
              </w:rPr>
            </w:pPr>
            <w:r w:rsidRPr="00125CE4">
              <w:rPr>
                <w:b/>
              </w:rPr>
              <w:lastRenderedPageBreak/>
              <w:t>Category</w:t>
            </w:r>
          </w:p>
        </w:tc>
        <w:tc>
          <w:tcPr>
            <w:tcW w:w="7524" w:type="dxa"/>
            <w:shd w:val="clear" w:color="auto" w:fill="F2F2F2" w:themeFill="background1" w:themeFillShade="F2"/>
          </w:tcPr>
          <w:p w14:paraId="69C89197" w14:textId="77777777" w:rsidR="00A63FCC" w:rsidRPr="00125CE4" w:rsidRDefault="00A63FCC" w:rsidP="00AF0B85">
            <w:pPr>
              <w:rPr>
                <w:b/>
              </w:rPr>
            </w:pPr>
            <w:r>
              <w:rPr>
                <w:b/>
              </w:rPr>
              <w:t>Configuration</w:t>
            </w:r>
          </w:p>
        </w:tc>
      </w:tr>
      <w:tr w:rsidR="00A63FCC" w14:paraId="2527F587" w14:textId="77777777" w:rsidTr="00AF0B85">
        <w:tc>
          <w:tcPr>
            <w:tcW w:w="1502" w:type="dxa"/>
          </w:tcPr>
          <w:p w14:paraId="11818638" w14:textId="77777777" w:rsidR="00A63FCC" w:rsidRDefault="00A63FCC" w:rsidP="00AF0B85">
            <w:r>
              <w:t>Zone One</w:t>
            </w:r>
          </w:p>
        </w:tc>
        <w:tc>
          <w:tcPr>
            <w:tcW w:w="7524" w:type="dxa"/>
          </w:tcPr>
          <w:p w14:paraId="3BB597CF" w14:textId="77777777" w:rsidR="00A63FCC" w:rsidRDefault="00A63FCC" w:rsidP="00AF0B85">
            <w:r>
              <w:t>Visitors will be allowed free access during all Operating Hours and approved visiting periods.</w:t>
            </w:r>
          </w:p>
          <w:p w14:paraId="6D3BAB4F" w14:textId="57AA4F6B" w:rsidR="00A63FCC" w:rsidRDefault="00A63FCC" w:rsidP="00AF0B85"/>
        </w:tc>
      </w:tr>
      <w:tr w:rsidR="00A63FCC" w14:paraId="47B86CD9" w14:textId="77777777" w:rsidTr="00AF0B85">
        <w:tc>
          <w:tcPr>
            <w:tcW w:w="1502" w:type="dxa"/>
          </w:tcPr>
          <w:p w14:paraId="09031164" w14:textId="77777777" w:rsidR="00A63FCC" w:rsidRDefault="00A63FCC" w:rsidP="00AF0B85">
            <w:r>
              <w:t>Zone Two</w:t>
            </w:r>
          </w:p>
        </w:tc>
        <w:tc>
          <w:tcPr>
            <w:tcW w:w="7524" w:type="dxa"/>
          </w:tcPr>
          <w:p w14:paraId="176C0BB7" w14:textId="77777777" w:rsidR="00A63FCC" w:rsidRDefault="00A63FCC" w:rsidP="00AF0B85">
            <w:r>
              <w:t>Visitors will be allowed free access during Operating Hours, with After Hours access to be managed by health staff (with authorised access).</w:t>
            </w:r>
          </w:p>
          <w:p w14:paraId="1585C3E2" w14:textId="408DB52B" w:rsidR="00A63FCC" w:rsidRDefault="00A63FCC" w:rsidP="00AF0B85"/>
        </w:tc>
      </w:tr>
      <w:tr w:rsidR="00A63FCC" w14:paraId="2E504781" w14:textId="77777777" w:rsidTr="00AF0B85">
        <w:tc>
          <w:tcPr>
            <w:tcW w:w="1502" w:type="dxa"/>
          </w:tcPr>
          <w:p w14:paraId="0934A012" w14:textId="77777777" w:rsidR="00A63FCC" w:rsidRDefault="00A63FCC" w:rsidP="00AF0B85">
            <w:r>
              <w:t>Zone Three</w:t>
            </w:r>
          </w:p>
        </w:tc>
        <w:tc>
          <w:tcPr>
            <w:tcW w:w="7524" w:type="dxa"/>
          </w:tcPr>
          <w:p w14:paraId="7FBF892E" w14:textId="77777777" w:rsidR="00A63FCC" w:rsidRDefault="00A63FCC" w:rsidP="00AF0B85">
            <w:r>
              <w:t xml:space="preserve">Access to be </w:t>
            </w:r>
            <w:proofErr w:type="gramStart"/>
            <w:r>
              <w:t>managed by health staff (with authorised access) at all times</w:t>
            </w:r>
            <w:proofErr w:type="gramEnd"/>
            <w:r>
              <w:t>.</w:t>
            </w:r>
          </w:p>
          <w:p w14:paraId="773E5BAF" w14:textId="50058B58" w:rsidR="00A63FCC" w:rsidRDefault="00A63FCC" w:rsidP="00AF0B85"/>
        </w:tc>
      </w:tr>
      <w:tr w:rsidR="00A63FCC" w14:paraId="77721D4B" w14:textId="77777777" w:rsidTr="00AF0B85">
        <w:tc>
          <w:tcPr>
            <w:tcW w:w="1502" w:type="dxa"/>
          </w:tcPr>
          <w:p w14:paraId="58D3EE50" w14:textId="77777777" w:rsidR="00A63FCC" w:rsidRDefault="00A63FCC" w:rsidP="00AF0B85">
            <w:r>
              <w:t>Zone Four</w:t>
            </w:r>
          </w:p>
        </w:tc>
        <w:tc>
          <w:tcPr>
            <w:tcW w:w="7524" w:type="dxa"/>
          </w:tcPr>
          <w:p w14:paraId="3169A96B" w14:textId="214375EE" w:rsidR="00A63FCC" w:rsidRDefault="00A63FCC" w:rsidP="00AF0B85">
            <w:r>
              <w:t>Visitors must be inducted, cleared and bona fides checked to access these areas without an escort.</w:t>
            </w:r>
          </w:p>
          <w:p w14:paraId="6B1A9FD2" w14:textId="748BC74C" w:rsidR="00A63FCC" w:rsidRDefault="00A63FCC" w:rsidP="00AF0B85"/>
        </w:tc>
      </w:tr>
      <w:tr w:rsidR="00A63FCC" w14:paraId="185CD2A0" w14:textId="77777777" w:rsidTr="00AF0B85">
        <w:tc>
          <w:tcPr>
            <w:tcW w:w="1502" w:type="dxa"/>
          </w:tcPr>
          <w:p w14:paraId="6FDAB690" w14:textId="77777777" w:rsidR="00A63FCC" w:rsidRDefault="00A63FCC" w:rsidP="00AF0B85">
            <w:r>
              <w:t>Zone Five</w:t>
            </w:r>
          </w:p>
        </w:tc>
        <w:tc>
          <w:tcPr>
            <w:tcW w:w="7524" w:type="dxa"/>
          </w:tcPr>
          <w:p w14:paraId="144040B8" w14:textId="77777777" w:rsidR="00A63FCC" w:rsidRDefault="00A63FCC" w:rsidP="00AF0B85">
            <w:r>
              <w:t xml:space="preserve">Visitors must be approved and bona fides checked. All visitors </w:t>
            </w:r>
            <w:proofErr w:type="gramStart"/>
            <w:r>
              <w:t>require escort from an authorised person at all times</w:t>
            </w:r>
            <w:proofErr w:type="gramEnd"/>
            <w:r>
              <w:t>.</w:t>
            </w:r>
          </w:p>
          <w:p w14:paraId="299D734B" w14:textId="1B39D229" w:rsidR="00A63FCC" w:rsidRDefault="00A63FCC" w:rsidP="00AF0B85"/>
        </w:tc>
      </w:tr>
    </w:tbl>
    <w:p w14:paraId="3C08F774" w14:textId="77777777" w:rsidR="00A63FCC" w:rsidRDefault="00A63FCC" w:rsidP="00A63FCC"/>
    <w:p w14:paraId="69775F35" w14:textId="439F69D2" w:rsidR="001F5929" w:rsidRDefault="001F5929" w:rsidP="001F5929">
      <w:r>
        <w:t>Where visual identification of the visitor is required by the Ward Station or Reception area, a telephone intercom system may be utilised to achieve this, if deemed suitable as decided through consultation.</w:t>
      </w:r>
    </w:p>
    <w:p w14:paraId="55AB6C56" w14:textId="77777777" w:rsidR="001F5929" w:rsidRDefault="001F5929" w:rsidP="001F5929"/>
    <w:p w14:paraId="238C700A" w14:textId="2C681149" w:rsidR="001F5929" w:rsidRDefault="001F5929" w:rsidP="001F5929">
      <w:r>
        <w:t>Where visual identification of the visitor is not possible from the ward station or reception area, or where facilities have the capability to ‘lockdown’, Video Intercom systems may be utilised at flow control points if deemed necessary through consultation with the relevant clinical area.</w:t>
      </w:r>
    </w:p>
    <w:p w14:paraId="2F6BE288" w14:textId="77777777" w:rsidR="001F5929" w:rsidRDefault="001F5929" w:rsidP="001F5929"/>
    <w:p w14:paraId="5DB2E5CE" w14:textId="77777777" w:rsidR="001F5929" w:rsidRDefault="001F5929" w:rsidP="001F5929">
      <w:r>
        <w:t>Intercoms must interface with the EACS remote door release functionality.</w:t>
      </w:r>
    </w:p>
    <w:p w14:paraId="070B4A3B" w14:textId="77777777" w:rsidR="001F5929" w:rsidRDefault="001F5929" w:rsidP="001F5929"/>
    <w:tbl>
      <w:tblPr>
        <w:tblpPr w:leftFromText="180" w:rightFromText="180" w:bottomFromText="200" w:vertAnchor="text" w:horzAnchor="margin" w:tblpY="181"/>
        <w:tblW w:w="9158" w:type="dxa"/>
        <w:tblLook w:val="04A0" w:firstRow="1" w:lastRow="0" w:firstColumn="1" w:lastColumn="0" w:noHBand="0" w:noVBand="1"/>
      </w:tblPr>
      <w:tblGrid>
        <w:gridCol w:w="9158"/>
      </w:tblGrid>
      <w:tr w:rsidR="00667C96" w14:paraId="313CDDEF" w14:textId="77777777" w:rsidTr="00667C96">
        <w:trPr>
          <w:cantSplit/>
          <w:trHeight w:val="285"/>
        </w:trPr>
        <w:tc>
          <w:tcPr>
            <w:tcW w:w="9158" w:type="dxa"/>
            <w:shd w:val="clear" w:color="auto" w:fill="000000" w:themeFill="text1"/>
            <w:hideMark/>
          </w:tcPr>
          <w:p w14:paraId="49147798" w14:textId="77777777" w:rsidR="00667C96" w:rsidRPr="00667C96" w:rsidRDefault="00667C96" w:rsidP="00667C96">
            <w:pPr>
              <w:pStyle w:val="Heading1"/>
            </w:pPr>
            <w:bookmarkStart w:id="24" w:name="_Toc43903671"/>
            <w:bookmarkStart w:id="25" w:name="_Toc72493427"/>
            <w:r w:rsidRPr="00667C96">
              <w:t>Evaluation</w:t>
            </w:r>
            <w:bookmarkEnd w:id="24"/>
            <w:bookmarkEnd w:id="25"/>
            <w:r w:rsidRPr="00667C96">
              <w:t xml:space="preserve"> </w:t>
            </w:r>
            <w:r w:rsidRPr="00667C96">
              <w:tab/>
            </w:r>
          </w:p>
        </w:tc>
      </w:tr>
    </w:tbl>
    <w:p w14:paraId="59E78E46" w14:textId="77777777" w:rsidR="00C44106" w:rsidRDefault="00C44106" w:rsidP="00C44106">
      <w:pPr>
        <w:pStyle w:val="Default"/>
        <w:rPr>
          <w:rFonts w:ascii="Calibri" w:hAnsi="Calibri" w:cs="Arial"/>
          <w:b/>
          <w:bCs/>
          <w:iCs/>
          <w:color w:val="auto"/>
          <w:lang w:eastAsia="en-US"/>
        </w:rPr>
      </w:pPr>
      <w:r>
        <w:rPr>
          <w:rFonts w:ascii="Calibri" w:hAnsi="Calibri" w:cs="Arial"/>
          <w:b/>
          <w:bCs/>
          <w:iCs/>
          <w:color w:val="auto"/>
          <w:lang w:eastAsia="en-US"/>
        </w:rPr>
        <w:t>Outcome</w:t>
      </w:r>
    </w:p>
    <w:p w14:paraId="3F02EF79" w14:textId="09A253D1" w:rsidR="003A6A16" w:rsidRPr="00123645" w:rsidRDefault="003A6A16" w:rsidP="003A6A16">
      <w:pPr>
        <w:pStyle w:val="ListBullet"/>
      </w:pPr>
      <w:r w:rsidRPr="00123645">
        <w:t>The Agency Security Advisor will be informed of any intended new or refurbishment works during the design phase</w:t>
      </w:r>
    </w:p>
    <w:p w14:paraId="2349ECD2" w14:textId="33762A28" w:rsidR="00C44106" w:rsidRPr="00123645" w:rsidRDefault="003A6A16" w:rsidP="003A6A16">
      <w:pPr>
        <w:pStyle w:val="ListBullet"/>
        <w:rPr>
          <w:rFonts w:cs="Arial"/>
          <w:iCs/>
        </w:rPr>
      </w:pPr>
      <w:r w:rsidRPr="00123645">
        <w:t>The Agency Security Advisor will provide input and advice on security-related design matters as required</w:t>
      </w:r>
    </w:p>
    <w:p w14:paraId="660F0283" w14:textId="77777777" w:rsidR="00C44106" w:rsidRDefault="00C44106" w:rsidP="00C44106">
      <w:pPr>
        <w:pStyle w:val="Default"/>
        <w:rPr>
          <w:rFonts w:ascii="Calibri" w:hAnsi="Calibri" w:cs="Arial"/>
          <w:b/>
          <w:bCs/>
          <w:iCs/>
          <w:color w:val="auto"/>
          <w:lang w:eastAsia="en-US"/>
        </w:rPr>
      </w:pPr>
    </w:p>
    <w:p w14:paraId="68E04DB4" w14:textId="77777777" w:rsidR="00C44106" w:rsidRDefault="00C44106" w:rsidP="00C44106">
      <w:pPr>
        <w:pStyle w:val="Default"/>
        <w:rPr>
          <w:rFonts w:ascii="Calibri" w:hAnsi="Calibri" w:cs="Arial"/>
          <w:b/>
          <w:bCs/>
          <w:iCs/>
          <w:color w:val="auto"/>
          <w:lang w:eastAsia="en-US"/>
        </w:rPr>
      </w:pPr>
      <w:r>
        <w:rPr>
          <w:rFonts w:ascii="Calibri" w:hAnsi="Calibri" w:cs="Arial"/>
          <w:b/>
          <w:bCs/>
          <w:iCs/>
          <w:color w:val="auto"/>
          <w:lang w:eastAsia="en-US"/>
        </w:rPr>
        <w:t>Measures</w:t>
      </w:r>
    </w:p>
    <w:p w14:paraId="0011E4BC" w14:textId="0FC40A9B" w:rsidR="00C44106" w:rsidRDefault="003A6A16" w:rsidP="00C44106">
      <w:pPr>
        <w:pStyle w:val="Default"/>
        <w:numPr>
          <w:ilvl w:val="0"/>
          <w:numId w:val="12"/>
        </w:numPr>
        <w:ind w:left="426"/>
        <w:rPr>
          <w:rFonts w:ascii="Calibri" w:hAnsi="Calibri" w:cs="Arial"/>
          <w:iCs/>
          <w:color w:val="auto"/>
          <w:lang w:eastAsia="en-US"/>
        </w:rPr>
      </w:pPr>
      <w:r>
        <w:rPr>
          <w:rFonts w:ascii="Calibri" w:hAnsi="Calibri" w:cs="Arial"/>
          <w:iCs/>
          <w:color w:val="auto"/>
          <w:lang w:eastAsia="en-US"/>
        </w:rPr>
        <w:t>Applications for new or refurbished works will be reviewed yearly</w:t>
      </w:r>
    </w:p>
    <w:p w14:paraId="6ED7934E" w14:textId="35E24BC6" w:rsidR="003A6A16" w:rsidRDefault="003A6A16" w:rsidP="00C44106">
      <w:pPr>
        <w:pStyle w:val="Default"/>
        <w:numPr>
          <w:ilvl w:val="0"/>
          <w:numId w:val="12"/>
        </w:numPr>
        <w:ind w:left="426"/>
        <w:rPr>
          <w:rFonts w:ascii="Calibri" w:hAnsi="Calibri" w:cs="Arial"/>
          <w:iCs/>
          <w:color w:val="auto"/>
          <w:lang w:eastAsia="en-US"/>
        </w:rPr>
      </w:pPr>
      <w:r>
        <w:rPr>
          <w:rFonts w:ascii="Calibri" w:hAnsi="Calibri" w:cs="Arial"/>
          <w:iCs/>
          <w:color w:val="auto"/>
          <w:lang w:eastAsia="en-US"/>
        </w:rPr>
        <w:t xml:space="preserve">Any instances of new or refurbished works being conducted </w:t>
      </w:r>
      <w:proofErr w:type="spellStart"/>
      <w:r>
        <w:rPr>
          <w:rFonts w:ascii="Calibri" w:hAnsi="Calibri" w:cs="Arial"/>
          <w:iCs/>
          <w:color w:val="auto"/>
          <w:lang w:eastAsia="en-US"/>
        </w:rPr>
        <w:t>with out</w:t>
      </w:r>
      <w:proofErr w:type="spellEnd"/>
      <w:r>
        <w:rPr>
          <w:rFonts w:ascii="Calibri" w:hAnsi="Calibri" w:cs="Arial"/>
          <w:iCs/>
          <w:color w:val="auto"/>
          <w:lang w:eastAsia="en-US"/>
        </w:rPr>
        <w:t xml:space="preserve"> input from security will be notified to</w:t>
      </w:r>
    </w:p>
    <w:p w14:paraId="7E6609FD" w14:textId="77777777" w:rsidR="00C44106" w:rsidRPr="00635646" w:rsidRDefault="00C44106" w:rsidP="00C44106">
      <w:pPr>
        <w:pStyle w:val="Default"/>
        <w:rPr>
          <w:rFonts w:ascii="Calibri" w:hAnsi="Calibri" w:cs="Arial"/>
          <w:iCs/>
          <w:color w:val="auto"/>
          <w:lang w:eastAsia="en-US"/>
        </w:rPr>
      </w:pPr>
    </w:p>
    <w:p w14:paraId="3D3597AA" w14:textId="13797000" w:rsidR="00667C96" w:rsidRDefault="00E64699" w:rsidP="00667C96">
      <w:pPr>
        <w:jc w:val="right"/>
        <w:rPr>
          <w:rStyle w:val="Hyperlink"/>
          <w:rFonts w:eastAsiaTheme="majorEastAsia"/>
          <w:i/>
          <w:szCs w:val="24"/>
        </w:rPr>
      </w:pPr>
      <w:hyperlink r:id="rId11" w:anchor="Contents" w:history="1">
        <w:r w:rsidR="00667C96">
          <w:rPr>
            <w:rStyle w:val="Hyperlink"/>
            <w:rFonts w:eastAsiaTheme="majorEastAsia"/>
            <w:i/>
            <w:szCs w:val="24"/>
          </w:rPr>
          <w:t>Back to Table of Contents</w:t>
        </w:r>
      </w:hyperlink>
    </w:p>
    <w:p w14:paraId="34CA6713" w14:textId="53E10AC9" w:rsidR="00123645" w:rsidRDefault="00123645" w:rsidP="00667C96">
      <w:pPr>
        <w:jc w:val="right"/>
        <w:rPr>
          <w:rStyle w:val="Hyperlink"/>
          <w:rFonts w:eastAsiaTheme="majorEastAsia"/>
          <w:i/>
          <w:szCs w:val="24"/>
        </w:rPr>
      </w:pPr>
    </w:p>
    <w:p w14:paraId="7B679469" w14:textId="77777777" w:rsidR="00123645" w:rsidRDefault="00123645" w:rsidP="00667C96">
      <w:pPr>
        <w:jc w:val="right"/>
        <w:rPr>
          <w:rFonts w:cs="Arial"/>
          <w:szCs w:val="24"/>
        </w:rPr>
      </w:pPr>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A86A9D" w:rsidRPr="001B2BAC" w14:paraId="3742B903" w14:textId="77777777" w:rsidTr="009F2977">
        <w:trPr>
          <w:cantSplit/>
          <w:trHeight w:val="285"/>
        </w:trPr>
        <w:tc>
          <w:tcPr>
            <w:tcW w:w="9158" w:type="dxa"/>
            <w:shd w:val="clear" w:color="auto" w:fill="000000"/>
          </w:tcPr>
          <w:p w14:paraId="3742B902" w14:textId="77777777" w:rsidR="00A86A9D" w:rsidRPr="001502DF" w:rsidRDefault="00344838" w:rsidP="007A238D">
            <w:pPr>
              <w:pStyle w:val="Heading1"/>
              <w:rPr>
                <w:b w:val="0"/>
                <w:szCs w:val="24"/>
              </w:rPr>
            </w:pPr>
            <w:bookmarkStart w:id="26" w:name="_Toc72493428"/>
            <w:r>
              <w:rPr>
                <w:szCs w:val="24"/>
              </w:rPr>
              <w:lastRenderedPageBreak/>
              <w:t xml:space="preserve">Related </w:t>
            </w:r>
            <w:r w:rsidRPr="008652F8">
              <w:rPr>
                <w:szCs w:val="24"/>
              </w:rPr>
              <w:t>Policies</w:t>
            </w:r>
            <w:r w:rsidR="00A86A9D" w:rsidRPr="008652F8">
              <w:rPr>
                <w:szCs w:val="24"/>
              </w:rPr>
              <w:t>, Procedures, Guidelines and Legislation</w:t>
            </w:r>
            <w:bookmarkEnd w:id="26"/>
          </w:p>
        </w:tc>
      </w:tr>
    </w:tbl>
    <w:p w14:paraId="3742B904" w14:textId="77777777" w:rsidR="00A86A9D" w:rsidRPr="006019FE" w:rsidRDefault="00A86A9D" w:rsidP="00A86A9D">
      <w:pPr>
        <w:rPr>
          <w:rFonts w:cs="Arial"/>
          <w:szCs w:val="24"/>
        </w:rPr>
      </w:pPr>
    </w:p>
    <w:p w14:paraId="3742B907" w14:textId="77777777" w:rsidR="00536503" w:rsidRPr="004961E2" w:rsidRDefault="00536503" w:rsidP="004961E2">
      <w:pPr>
        <w:rPr>
          <w:b/>
        </w:rPr>
      </w:pPr>
      <w:r w:rsidRPr="004961E2">
        <w:rPr>
          <w:b/>
        </w:rPr>
        <w:t>Policies</w:t>
      </w:r>
    </w:p>
    <w:p w14:paraId="206F5853" w14:textId="77777777" w:rsidR="001F5929" w:rsidRPr="00EE4CF9" w:rsidRDefault="001F5929" w:rsidP="001F5929">
      <w:pPr>
        <w:pStyle w:val="ListBullet"/>
      </w:pPr>
      <w:r w:rsidRPr="00EE4CF9">
        <w:t>ACT Government Code of Practice</w:t>
      </w:r>
      <w:r>
        <w:t xml:space="preserve"> for Closed Circuit Television</w:t>
      </w:r>
    </w:p>
    <w:p w14:paraId="6A9C2A50" w14:textId="77777777" w:rsidR="001F5929" w:rsidRPr="00EE4CF9" w:rsidRDefault="001F5929" w:rsidP="001F5929">
      <w:pPr>
        <w:pStyle w:val="ListBullet"/>
      </w:pPr>
      <w:r w:rsidRPr="00EE4CF9">
        <w:t>ACT Government Protective Security Policy Framework</w:t>
      </w:r>
    </w:p>
    <w:p w14:paraId="041027D1" w14:textId="77777777" w:rsidR="001F5929" w:rsidRPr="00EE4CF9" w:rsidRDefault="001F5929" w:rsidP="001F5929">
      <w:pPr>
        <w:pStyle w:val="ListBullet"/>
      </w:pPr>
      <w:r>
        <w:t>Canberra Health Services</w:t>
      </w:r>
      <w:r w:rsidRPr="00EE4CF9">
        <w:t xml:space="preserve"> Project Document Reference </w:t>
      </w:r>
    </w:p>
    <w:p w14:paraId="7AD42DDA" w14:textId="31867DAE" w:rsidR="001F5929" w:rsidRDefault="001F5929" w:rsidP="001F5929">
      <w:pPr>
        <w:pStyle w:val="ListBullet"/>
      </w:pPr>
      <w:r>
        <w:t>Canberra Health Services</w:t>
      </w:r>
      <w:r w:rsidRPr="00EE4CF9">
        <w:t xml:space="preserve"> Protective Security Polic</w:t>
      </w:r>
      <w:r>
        <w:t>ies</w:t>
      </w:r>
    </w:p>
    <w:p w14:paraId="6B29056A" w14:textId="77777777" w:rsidR="001F5929" w:rsidRDefault="001F5929" w:rsidP="004961E2">
      <w:pPr>
        <w:rPr>
          <w:b/>
        </w:rPr>
      </w:pPr>
    </w:p>
    <w:p w14:paraId="3742B90B" w14:textId="21523E34" w:rsidR="00536503" w:rsidRPr="004961E2" w:rsidRDefault="00536503" w:rsidP="004961E2">
      <w:pPr>
        <w:rPr>
          <w:b/>
        </w:rPr>
      </w:pPr>
      <w:r w:rsidRPr="004961E2">
        <w:rPr>
          <w:b/>
        </w:rPr>
        <w:t>Procedures</w:t>
      </w:r>
    </w:p>
    <w:p w14:paraId="290A2447" w14:textId="051E789C" w:rsidR="001F5929" w:rsidRDefault="001F5929" w:rsidP="001F5929">
      <w:pPr>
        <w:pStyle w:val="ListBullet"/>
      </w:pPr>
      <w:r>
        <w:t>Canberra Health Services</w:t>
      </w:r>
      <w:r w:rsidRPr="00EE4CF9">
        <w:t xml:space="preserve"> Protective Security </w:t>
      </w:r>
      <w:r>
        <w:t>Procedures</w:t>
      </w:r>
    </w:p>
    <w:p w14:paraId="47014436" w14:textId="77777777" w:rsidR="001F5929" w:rsidRPr="00EE4CF9" w:rsidRDefault="001F5929" w:rsidP="001F5929">
      <w:pPr>
        <w:pStyle w:val="ListBullet"/>
      </w:pPr>
      <w:r>
        <w:t>Canberra Health Services</w:t>
      </w:r>
      <w:r w:rsidRPr="00EE4CF9">
        <w:t xml:space="preserve"> </w:t>
      </w:r>
      <w:r>
        <w:t>Occupational Violence Framework</w:t>
      </w:r>
    </w:p>
    <w:p w14:paraId="3742B90E" w14:textId="77777777" w:rsidR="00536503" w:rsidRPr="00536503" w:rsidRDefault="00536503" w:rsidP="00536503">
      <w:pPr>
        <w:ind w:left="360"/>
        <w:rPr>
          <w:rFonts w:cs="Arial"/>
          <w:szCs w:val="24"/>
        </w:rPr>
      </w:pPr>
    </w:p>
    <w:p w14:paraId="3742B90F" w14:textId="77777777" w:rsidR="00536503" w:rsidRPr="004961E2" w:rsidRDefault="00536503" w:rsidP="004961E2">
      <w:pPr>
        <w:rPr>
          <w:b/>
        </w:rPr>
      </w:pPr>
      <w:r w:rsidRPr="004961E2">
        <w:rPr>
          <w:b/>
        </w:rPr>
        <w:t xml:space="preserve">Guidelines </w:t>
      </w:r>
    </w:p>
    <w:p w14:paraId="0FCA2371" w14:textId="77777777" w:rsidR="001F5929" w:rsidRPr="00EE4CF9" w:rsidRDefault="001F5929" w:rsidP="001F5929">
      <w:pPr>
        <w:pStyle w:val="ListBullet"/>
      </w:pPr>
      <w:r>
        <w:t>Canberra Health Services Security Specification Standard Inclusions</w:t>
      </w:r>
    </w:p>
    <w:p w14:paraId="58BE5BEC" w14:textId="77777777" w:rsidR="001F5929" w:rsidRPr="00EE4CF9" w:rsidRDefault="001F5929" w:rsidP="001F5929">
      <w:pPr>
        <w:pStyle w:val="ListBullet"/>
      </w:pPr>
      <w:r>
        <w:t>Canberra Health Services</w:t>
      </w:r>
      <w:r w:rsidRPr="00EE4CF9">
        <w:t xml:space="preserve"> </w:t>
      </w:r>
      <w:r>
        <w:t>Infrastructure Services</w:t>
      </w:r>
      <w:r w:rsidRPr="00EE4CF9">
        <w:t xml:space="preserve"> </w:t>
      </w:r>
      <w:r>
        <w:t>Standards</w:t>
      </w:r>
      <w:r w:rsidRPr="00EE4CF9">
        <w:t xml:space="preserve"> Documentation</w:t>
      </w:r>
    </w:p>
    <w:p w14:paraId="19D95D94" w14:textId="77777777" w:rsidR="001F5929" w:rsidRPr="00EE4CF9" w:rsidRDefault="001F5929" w:rsidP="001F5929">
      <w:pPr>
        <w:pStyle w:val="ListBullet"/>
      </w:pPr>
      <w:r>
        <w:t>Canberra Health Services</w:t>
      </w:r>
      <w:r w:rsidRPr="00EE4CF9">
        <w:t xml:space="preserve"> </w:t>
      </w:r>
      <w:r>
        <w:t>Infrastructure Planning Brief</w:t>
      </w:r>
    </w:p>
    <w:p w14:paraId="3742B911" w14:textId="7F080C91" w:rsidR="00536503" w:rsidRDefault="001F5929" w:rsidP="00536503">
      <w:pPr>
        <w:pStyle w:val="ListBullet"/>
      </w:pPr>
      <w:r>
        <w:t>Canberra Health Services</w:t>
      </w:r>
      <w:r w:rsidRPr="00EE4CF9">
        <w:t xml:space="preserve"> Enterprise</w:t>
      </w:r>
      <w:r>
        <w:t xml:space="preserve"> Security Risk Assessment</w:t>
      </w:r>
    </w:p>
    <w:p w14:paraId="0ECD28DB" w14:textId="77777777" w:rsidR="001F5929" w:rsidRPr="00EE4CF9" w:rsidRDefault="001F5929" w:rsidP="001F5929">
      <w:pPr>
        <w:pStyle w:val="ListBullet"/>
      </w:pPr>
      <w:r w:rsidRPr="00EE4CF9">
        <w:t xml:space="preserve">Security Risk Assessment </w:t>
      </w:r>
      <w:r>
        <w:t>and</w:t>
      </w:r>
      <w:r w:rsidRPr="00EE4CF9">
        <w:t xml:space="preserve"> Risk Mitigation Strategy</w:t>
      </w:r>
    </w:p>
    <w:p w14:paraId="7E86A47C" w14:textId="77777777" w:rsidR="001F5929" w:rsidRPr="00EE4CF9" w:rsidRDefault="001F5929" w:rsidP="001F5929">
      <w:pPr>
        <w:pStyle w:val="ListBullet"/>
      </w:pPr>
      <w:r>
        <w:t xml:space="preserve">Shared Services </w:t>
      </w:r>
      <w:r w:rsidRPr="00EE4CF9">
        <w:t>ICT Security Systems Specifications</w:t>
      </w:r>
    </w:p>
    <w:p w14:paraId="19EC67C8" w14:textId="77777777" w:rsidR="001F5929" w:rsidRPr="00EE4CF9" w:rsidRDefault="001F5929" w:rsidP="001F5929">
      <w:pPr>
        <w:pStyle w:val="ListBullet"/>
      </w:pPr>
      <w:r>
        <w:t>Australasian Health</w:t>
      </w:r>
      <w:r w:rsidRPr="00EE4CF9">
        <w:t xml:space="preserve"> Facility Guidelines (AHFG)</w:t>
      </w:r>
    </w:p>
    <w:p w14:paraId="50DF23D3" w14:textId="77777777" w:rsidR="001F5929" w:rsidRPr="00536503" w:rsidRDefault="001F5929" w:rsidP="001F5929">
      <w:pPr>
        <w:pStyle w:val="ListBullet"/>
        <w:rPr>
          <w:rFonts w:cs="Arial"/>
          <w:szCs w:val="24"/>
        </w:rPr>
      </w:pPr>
      <w:r w:rsidRPr="00EE4CF9">
        <w:t>Functional Design Briefs and Technical Specifications relative to the specific project</w:t>
      </w:r>
      <w:r>
        <w:t>.</w:t>
      </w:r>
    </w:p>
    <w:p w14:paraId="3742B916" w14:textId="77777777" w:rsidR="00A86A9D" w:rsidRDefault="00A86A9D" w:rsidP="00A86A9D">
      <w:pPr>
        <w:jc w:val="both"/>
        <w:rPr>
          <w:rFonts w:cs="Arial"/>
          <w:szCs w:val="24"/>
        </w:rPr>
      </w:pPr>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A86A9D" w:rsidRPr="001B2BAC" w14:paraId="3742B918" w14:textId="77777777" w:rsidTr="009F2977">
        <w:trPr>
          <w:cantSplit/>
          <w:trHeight w:val="285"/>
        </w:trPr>
        <w:tc>
          <w:tcPr>
            <w:tcW w:w="9158" w:type="dxa"/>
            <w:shd w:val="clear" w:color="auto" w:fill="000000"/>
          </w:tcPr>
          <w:p w14:paraId="3742B917" w14:textId="5528A2E8" w:rsidR="00A86A9D" w:rsidRPr="007A238D" w:rsidRDefault="00A86A9D" w:rsidP="007A238D">
            <w:pPr>
              <w:pStyle w:val="Heading1"/>
              <w:rPr>
                <w:color w:val="FFFFFF" w:themeColor="background1"/>
              </w:rPr>
            </w:pPr>
            <w:bookmarkStart w:id="27" w:name="_Toc72493429"/>
            <w:r w:rsidRPr="007A238D">
              <w:rPr>
                <w:color w:val="FFFFFF" w:themeColor="background1"/>
              </w:rPr>
              <w:t>Definition of Terms</w:t>
            </w:r>
            <w:bookmarkEnd w:id="27"/>
          </w:p>
        </w:tc>
      </w:tr>
    </w:tbl>
    <w:p w14:paraId="3742B919" w14:textId="5C25E0BF" w:rsidR="00A86A9D" w:rsidRDefault="00A86A9D" w:rsidP="00A86A9D">
      <w:pPr>
        <w:jc w:val="both"/>
        <w:rPr>
          <w:rFonts w:cs="Arial"/>
          <w:b/>
          <w:szCs w:val="24"/>
        </w:rPr>
      </w:pPr>
    </w:p>
    <w:p w14:paraId="1604C086" w14:textId="388399CA" w:rsidR="001F5929" w:rsidRDefault="001F5929" w:rsidP="001F5929">
      <w:r>
        <w:rPr>
          <w:b/>
        </w:rPr>
        <w:t xml:space="preserve">Agency Security Advisor (ASA) </w:t>
      </w:r>
      <w:r w:rsidRPr="00DF3A81">
        <w:t xml:space="preserve">means the </w:t>
      </w:r>
      <w:r>
        <w:t>Director</w:t>
      </w:r>
      <w:r w:rsidR="00C44106">
        <w:t xml:space="preserve"> of CHS Protective Services</w:t>
      </w:r>
      <w:r w:rsidRPr="00DF3A81">
        <w:t>.</w:t>
      </w:r>
    </w:p>
    <w:p w14:paraId="4710E9B0" w14:textId="77777777" w:rsidR="001F5929" w:rsidRPr="00DF3A81" w:rsidRDefault="001F5929" w:rsidP="001F5929"/>
    <w:p w14:paraId="4F5A8CBA" w14:textId="6EE1E452" w:rsidR="001F5929" w:rsidRDefault="001F5929" w:rsidP="001F5929">
      <w:r>
        <w:rPr>
          <w:b/>
        </w:rPr>
        <w:t xml:space="preserve">Better Infrastructure Fund (BIF) </w:t>
      </w:r>
      <w:r w:rsidRPr="00DF3A81">
        <w:t xml:space="preserve">means </w:t>
      </w:r>
      <w:r>
        <w:t>funded upgrade projects across CHS</w:t>
      </w:r>
      <w:r w:rsidRPr="00DF3A81">
        <w:t>.</w:t>
      </w:r>
    </w:p>
    <w:p w14:paraId="6B010064" w14:textId="77777777" w:rsidR="001F5929" w:rsidRPr="00DF3A81" w:rsidRDefault="001F5929" w:rsidP="001F5929"/>
    <w:p w14:paraId="5FD59050" w14:textId="2078FE08" w:rsidR="001F5929" w:rsidRDefault="001F5929" w:rsidP="001F5929">
      <w:r>
        <w:rPr>
          <w:b/>
        </w:rPr>
        <w:t xml:space="preserve">Electronic Access Control Systems (EACS) </w:t>
      </w:r>
      <w:r w:rsidRPr="00DF3A81">
        <w:t xml:space="preserve">means </w:t>
      </w:r>
      <w:r>
        <w:t>proximity card readers, door controllers and other forms of technology to control access.</w:t>
      </w:r>
    </w:p>
    <w:p w14:paraId="5CB63C91" w14:textId="77777777" w:rsidR="001F5929" w:rsidRPr="00DF3A81" w:rsidRDefault="001F5929" w:rsidP="001F5929">
      <w:pPr>
        <w:rPr>
          <w:b/>
        </w:rPr>
      </w:pPr>
    </w:p>
    <w:p w14:paraId="1F0E379D" w14:textId="563E6157" w:rsidR="001F5929" w:rsidRDefault="001F5929" w:rsidP="001F5929">
      <w:r>
        <w:rPr>
          <w:b/>
        </w:rPr>
        <w:t xml:space="preserve">Radio Frequency Identification (RFID) </w:t>
      </w:r>
      <w:r w:rsidRPr="00DF3A81">
        <w:t xml:space="preserve">means </w:t>
      </w:r>
      <w:r>
        <w:t>wireless technology capable of tracking</w:t>
      </w:r>
      <w:r w:rsidRPr="00DF3A81">
        <w:t>.</w:t>
      </w:r>
    </w:p>
    <w:p w14:paraId="32291834" w14:textId="77777777" w:rsidR="001F5929" w:rsidRDefault="001F5929" w:rsidP="001F5929"/>
    <w:p w14:paraId="7F7840BF" w14:textId="77777777" w:rsidR="001F5929" w:rsidRDefault="001F5929" w:rsidP="001F5929">
      <w:r>
        <w:rPr>
          <w:b/>
        </w:rPr>
        <w:t xml:space="preserve">Security Operations Centre (SOC) </w:t>
      </w:r>
      <w:r w:rsidRPr="00DF3A81">
        <w:t xml:space="preserve">means </w:t>
      </w:r>
      <w:r>
        <w:t>the security operations centre responsible for monitoring closed circuit television and alarms</w:t>
      </w:r>
      <w:r w:rsidRPr="00DF3A81">
        <w:t>.</w:t>
      </w:r>
    </w:p>
    <w:p w14:paraId="3742B923" w14:textId="77777777" w:rsidR="003D1D90" w:rsidRDefault="003D1D90"/>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636DD9" w:rsidRPr="001B2BAC" w14:paraId="3742B925" w14:textId="77777777" w:rsidTr="009F2977">
        <w:trPr>
          <w:cantSplit/>
          <w:trHeight w:val="285"/>
        </w:trPr>
        <w:tc>
          <w:tcPr>
            <w:tcW w:w="9158" w:type="dxa"/>
            <w:shd w:val="clear" w:color="auto" w:fill="000000"/>
          </w:tcPr>
          <w:p w14:paraId="3742B924" w14:textId="77777777" w:rsidR="00636DD9" w:rsidRPr="007A238D" w:rsidRDefault="00636DD9" w:rsidP="004C183B">
            <w:pPr>
              <w:pStyle w:val="Heading1"/>
              <w:rPr>
                <w:color w:val="FFFFFF" w:themeColor="background1"/>
              </w:rPr>
            </w:pPr>
            <w:bookmarkStart w:id="28" w:name="_Toc72493430"/>
            <w:r>
              <w:rPr>
                <w:color w:val="FFFFFF" w:themeColor="background1"/>
              </w:rPr>
              <w:t>Search Terms</w:t>
            </w:r>
            <w:bookmarkEnd w:id="28"/>
          </w:p>
        </w:tc>
      </w:tr>
    </w:tbl>
    <w:p w14:paraId="3742B926" w14:textId="77777777" w:rsidR="00636DD9" w:rsidRDefault="00636DD9" w:rsidP="00636DD9">
      <w:pPr>
        <w:rPr>
          <w:rFonts w:cs="Calibri,Bold"/>
          <w:bCs/>
          <w:i/>
          <w:szCs w:val="24"/>
          <w:lang w:eastAsia="en-AU"/>
        </w:rPr>
      </w:pPr>
    </w:p>
    <w:p w14:paraId="3742B928" w14:textId="6D1204F4" w:rsidR="007A238D" w:rsidRDefault="001F5929" w:rsidP="00A86A9D">
      <w:pPr>
        <w:jc w:val="both"/>
        <w:rPr>
          <w:rFonts w:cs="Arial"/>
          <w:szCs w:val="24"/>
        </w:rPr>
      </w:pPr>
      <w:r w:rsidRPr="001F5929">
        <w:rPr>
          <w:lang w:eastAsia="en-AU"/>
        </w:rPr>
        <w:t>Security design, physical security, security zoning, public spaces, official spaces, access control, perimeter security, electronic access, lockdown, CCTV, alarms, intrusion, visitors.</w:t>
      </w:r>
    </w:p>
    <w:p w14:paraId="3742B92E" w14:textId="77777777" w:rsidR="00A86A9D" w:rsidRPr="006019FE" w:rsidRDefault="00A86A9D" w:rsidP="00A86A9D">
      <w:pPr>
        <w:rPr>
          <w:rFonts w:cs="Arial"/>
          <w:szCs w:val="24"/>
        </w:rPr>
      </w:pPr>
    </w:p>
    <w:p w14:paraId="3742B92F" w14:textId="2E7D07EE" w:rsidR="0069341E" w:rsidRDefault="0098354D" w:rsidP="0069341E">
      <w:pPr>
        <w:rPr>
          <w:rFonts w:cs="Arial"/>
          <w:i/>
          <w:iCs/>
          <w:sz w:val="20"/>
        </w:rPr>
      </w:pPr>
      <w:r w:rsidRPr="003E167B">
        <w:rPr>
          <w:rFonts w:cs="Arial"/>
          <w:b/>
          <w:sz w:val="20"/>
        </w:rPr>
        <w:lastRenderedPageBreak/>
        <w:t>Disclaimer</w:t>
      </w:r>
      <w:r w:rsidRPr="003E167B">
        <w:rPr>
          <w:rFonts w:cs="Arial"/>
          <w:sz w:val="20"/>
        </w:rPr>
        <w:t xml:space="preserve">: </w:t>
      </w:r>
      <w:r w:rsidRPr="003E167B">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3E167B">
        <w:rPr>
          <w:rFonts w:cs="Arial"/>
          <w:i/>
          <w:iCs/>
          <w:sz w:val="20"/>
        </w:rPr>
        <w:t xml:space="preserve"> assumes no responsibility whatsoever.</w:t>
      </w:r>
    </w:p>
    <w:p w14:paraId="3742B930" w14:textId="77777777" w:rsidR="0069341E" w:rsidRDefault="0069341E" w:rsidP="0069341E">
      <w:pPr>
        <w:rPr>
          <w:rFonts w:cs="Arial"/>
          <w:i/>
          <w:iCs/>
          <w:sz w:val="20"/>
        </w:rPr>
      </w:pPr>
    </w:p>
    <w:p w14:paraId="3742B931" w14:textId="77777777" w:rsidR="0069341E" w:rsidRPr="00817254" w:rsidRDefault="0069341E" w:rsidP="0069341E">
      <w:pPr>
        <w:rPr>
          <w:rFonts w:cs="Arial"/>
          <w:i/>
          <w:iCs/>
          <w:sz w:val="20"/>
          <w:szCs w:val="24"/>
        </w:rPr>
      </w:pPr>
      <w:r w:rsidRPr="00817254">
        <w:rPr>
          <w:rFonts w:cs="Arial"/>
          <w:i/>
          <w:iCs/>
          <w:sz w:val="20"/>
          <w:szCs w:val="24"/>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69341E" w:rsidRPr="00817254" w14:paraId="3742B936" w14:textId="77777777" w:rsidTr="005B3A1A">
        <w:tc>
          <w:tcPr>
            <w:tcW w:w="2265" w:type="dxa"/>
          </w:tcPr>
          <w:p w14:paraId="3742B932" w14:textId="77777777" w:rsidR="0069341E" w:rsidRPr="00817254" w:rsidRDefault="0069341E" w:rsidP="005B3A1A">
            <w:pPr>
              <w:rPr>
                <w:i/>
                <w:sz w:val="20"/>
                <w:szCs w:val="24"/>
              </w:rPr>
            </w:pPr>
            <w:r w:rsidRPr="00817254">
              <w:rPr>
                <w:i/>
                <w:sz w:val="20"/>
                <w:szCs w:val="24"/>
              </w:rPr>
              <w:t>Date Amended</w:t>
            </w:r>
          </w:p>
        </w:tc>
        <w:tc>
          <w:tcPr>
            <w:tcW w:w="2265" w:type="dxa"/>
          </w:tcPr>
          <w:p w14:paraId="3742B933" w14:textId="77777777" w:rsidR="0069341E" w:rsidRPr="00817254" w:rsidRDefault="0069341E" w:rsidP="005B3A1A">
            <w:pPr>
              <w:rPr>
                <w:i/>
                <w:sz w:val="20"/>
                <w:szCs w:val="24"/>
              </w:rPr>
            </w:pPr>
            <w:r w:rsidRPr="00817254">
              <w:rPr>
                <w:i/>
                <w:sz w:val="20"/>
                <w:szCs w:val="24"/>
              </w:rPr>
              <w:t>Section Amended</w:t>
            </w:r>
          </w:p>
        </w:tc>
        <w:tc>
          <w:tcPr>
            <w:tcW w:w="2265" w:type="dxa"/>
          </w:tcPr>
          <w:p w14:paraId="3742B934" w14:textId="77777777" w:rsidR="0069341E" w:rsidRPr="00817254" w:rsidRDefault="0069341E" w:rsidP="005B3A1A">
            <w:pPr>
              <w:rPr>
                <w:i/>
                <w:sz w:val="20"/>
                <w:szCs w:val="24"/>
              </w:rPr>
            </w:pPr>
            <w:r w:rsidRPr="00817254">
              <w:rPr>
                <w:i/>
                <w:sz w:val="20"/>
                <w:szCs w:val="24"/>
              </w:rPr>
              <w:t>Divisional Approval</w:t>
            </w:r>
          </w:p>
        </w:tc>
        <w:tc>
          <w:tcPr>
            <w:tcW w:w="2265" w:type="dxa"/>
          </w:tcPr>
          <w:p w14:paraId="3742B935" w14:textId="77777777" w:rsidR="0069341E" w:rsidRPr="00817254" w:rsidRDefault="0069341E" w:rsidP="005B3A1A">
            <w:pPr>
              <w:rPr>
                <w:i/>
                <w:sz w:val="20"/>
                <w:szCs w:val="24"/>
              </w:rPr>
            </w:pPr>
            <w:r w:rsidRPr="00817254">
              <w:rPr>
                <w:i/>
                <w:sz w:val="20"/>
                <w:szCs w:val="24"/>
              </w:rPr>
              <w:t xml:space="preserve">Final Approval </w:t>
            </w:r>
          </w:p>
        </w:tc>
      </w:tr>
      <w:tr w:rsidR="00AC26D7" w:rsidRPr="00817254" w14:paraId="3742B93B" w14:textId="77777777" w:rsidTr="005B3A1A">
        <w:tc>
          <w:tcPr>
            <w:tcW w:w="2265" w:type="dxa"/>
          </w:tcPr>
          <w:p w14:paraId="3742B937" w14:textId="228C3B50" w:rsidR="00AC26D7" w:rsidRPr="00817254" w:rsidRDefault="00AC26D7" w:rsidP="00AC26D7">
            <w:pPr>
              <w:rPr>
                <w:i/>
                <w:sz w:val="20"/>
                <w:szCs w:val="24"/>
              </w:rPr>
            </w:pPr>
            <w:r>
              <w:rPr>
                <w:i/>
                <w:sz w:val="20"/>
                <w:szCs w:val="24"/>
              </w:rPr>
              <w:t>17/02/2021</w:t>
            </w:r>
          </w:p>
        </w:tc>
        <w:tc>
          <w:tcPr>
            <w:tcW w:w="2265" w:type="dxa"/>
          </w:tcPr>
          <w:p w14:paraId="3742B938" w14:textId="7A7E2913" w:rsidR="00AC26D7" w:rsidRPr="00817254" w:rsidRDefault="00AC26D7" w:rsidP="00AC26D7">
            <w:pPr>
              <w:rPr>
                <w:i/>
                <w:sz w:val="20"/>
                <w:szCs w:val="24"/>
              </w:rPr>
            </w:pPr>
            <w:r>
              <w:rPr>
                <w:i/>
                <w:sz w:val="20"/>
                <w:szCs w:val="24"/>
              </w:rPr>
              <w:t>New Document</w:t>
            </w:r>
          </w:p>
        </w:tc>
        <w:tc>
          <w:tcPr>
            <w:tcW w:w="2265" w:type="dxa"/>
          </w:tcPr>
          <w:p w14:paraId="3742B939" w14:textId="4B7AF071" w:rsidR="00AC26D7" w:rsidRPr="00817254" w:rsidRDefault="00AC26D7" w:rsidP="00AC26D7">
            <w:pPr>
              <w:rPr>
                <w:i/>
                <w:sz w:val="20"/>
                <w:szCs w:val="24"/>
              </w:rPr>
            </w:pPr>
            <w:r>
              <w:rPr>
                <w:i/>
                <w:sz w:val="20"/>
                <w:szCs w:val="24"/>
              </w:rPr>
              <w:t>Colm Mooney, ED IHSS</w:t>
            </w:r>
          </w:p>
        </w:tc>
        <w:tc>
          <w:tcPr>
            <w:tcW w:w="2265" w:type="dxa"/>
          </w:tcPr>
          <w:p w14:paraId="3742B93A" w14:textId="4666EEB3" w:rsidR="00AC26D7" w:rsidRPr="00817254" w:rsidRDefault="00AC26D7" w:rsidP="00AC26D7">
            <w:pPr>
              <w:rPr>
                <w:i/>
                <w:sz w:val="20"/>
                <w:szCs w:val="24"/>
              </w:rPr>
            </w:pPr>
            <w:r>
              <w:rPr>
                <w:i/>
                <w:sz w:val="20"/>
                <w:szCs w:val="24"/>
              </w:rPr>
              <w:t>CHS Policy Committee</w:t>
            </w:r>
          </w:p>
        </w:tc>
      </w:tr>
      <w:tr w:rsidR="0069341E" w:rsidRPr="00817254" w14:paraId="3742B940" w14:textId="77777777" w:rsidTr="005B3A1A">
        <w:tc>
          <w:tcPr>
            <w:tcW w:w="2265" w:type="dxa"/>
          </w:tcPr>
          <w:p w14:paraId="3742B93C" w14:textId="77777777" w:rsidR="0069341E" w:rsidRPr="00817254" w:rsidRDefault="0069341E" w:rsidP="005B3A1A">
            <w:pPr>
              <w:rPr>
                <w:i/>
                <w:sz w:val="20"/>
                <w:szCs w:val="24"/>
              </w:rPr>
            </w:pPr>
          </w:p>
        </w:tc>
        <w:tc>
          <w:tcPr>
            <w:tcW w:w="2265" w:type="dxa"/>
          </w:tcPr>
          <w:p w14:paraId="3742B93D" w14:textId="77777777" w:rsidR="0069341E" w:rsidRPr="00817254" w:rsidRDefault="0069341E" w:rsidP="005B3A1A">
            <w:pPr>
              <w:rPr>
                <w:i/>
                <w:sz w:val="20"/>
                <w:szCs w:val="24"/>
              </w:rPr>
            </w:pPr>
          </w:p>
        </w:tc>
        <w:tc>
          <w:tcPr>
            <w:tcW w:w="2265" w:type="dxa"/>
          </w:tcPr>
          <w:p w14:paraId="3742B93E" w14:textId="77777777" w:rsidR="0069341E" w:rsidRPr="00817254" w:rsidRDefault="0069341E" w:rsidP="005B3A1A">
            <w:pPr>
              <w:rPr>
                <w:i/>
                <w:sz w:val="20"/>
                <w:szCs w:val="24"/>
              </w:rPr>
            </w:pPr>
          </w:p>
        </w:tc>
        <w:tc>
          <w:tcPr>
            <w:tcW w:w="2265" w:type="dxa"/>
          </w:tcPr>
          <w:p w14:paraId="3742B93F" w14:textId="77777777" w:rsidR="0069341E" w:rsidRPr="00817254" w:rsidRDefault="0069341E" w:rsidP="005B3A1A">
            <w:pPr>
              <w:rPr>
                <w:i/>
                <w:sz w:val="20"/>
                <w:szCs w:val="24"/>
              </w:rPr>
            </w:pPr>
          </w:p>
        </w:tc>
      </w:tr>
    </w:tbl>
    <w:p w14:paraId="3742B941" w14:textId="77777777" w:rsidR="0069341E" w:rsidRPr="00817254" w:rsidRDefault="0069341E" w:rsidP="0069341E">
      <w:pPr>
        <w:rPr>
          <w:rFonts w:cs="Arial"/>
          <w:sz w:val="20"/>
          <w:szCs w:val="24"/>
        </w:rPr>
      </w:pPr>
    </w:p>
    <w:p w14:paraId="3742B942" w14:textId="77777777" w:rsidR="0069341E" w:rsidRPr="00817254" w:rsidRDefault="0069341E" w:rsidP="0069341E">
      <w:pPr>
        <w:rPr>
          <w:rFonts w:cs="Arial"/>
          <w:i/>
          <w:sz w:val="20"/>
          <w:szCs w:val="24"/>
        </w:rPr>
      </w:pPr>
      <w:r w:rsidRPr="00817254">
        <w:rPr>
          <w:rFonts w:cs="Arial"/>
          <w:i/>
          <w:sz w:val="20"/>
          <w:szCs w:val="24"/>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69341E" w:rsidRPr="00817254" w14:paraId="3742B945" w14:textId="77777777" w:rsidTr="005B3A1A">
        <w:tc>
          <w:tcPr>
            <w:tcW w:w="2122" w:type="dxa"/>
          </w:tcPr>
          <w:p w14:paraId="3742B943" w14:textId="77777777" w:rsidR="0069341E" w:rsidRPr="00817254" w:rsidRDefault="0069341E" w:rsidP="005B3A1A">
            <w:pPr>
              <w:rPr>
                <w:i/>
                <w:sz w:val="20"/>
                <w:szCs w:val="24"/>
              </w:rPr>
            </w:pPr>
            <w:r w:rsidRPr="00817254">
              <w:rPr>
                <w:i/>
                <w:sz w:val="20"/>
                <w:szCs w:val="24"/>
              </w:rPr>
              <w:t>Document Number</w:t>
            </w:r>
          </w:p>
        </w:tc>
        <w:tc>
          <w:tcPr>
            <w:tcW w:w="6938" w:type="dxa"/>
          </w:tcPr>
          <w:p w14:paraId="3742B944" w14:textId="77777777" w:rsidR="0069341E" w:rsidRPr="00817254" w:rsidRDefault="0069341E" w:rsidP="005B3A1A">
            <w:pPr>
              <w:rPr>
                <w:i/>
                <w:sz w:val="20"/>
                <w:szCs w:val="24"/>
              </w:rPr>
            </w:pPr>
            <w:r w:rsidRPr="00817254">
              <w:rPr>
                <w:i/>
                <w:sz w:val="20"/>
                <w:szCs w:val="24"/>
              </w:rPr>
              <w:t>Document Name</w:t>
            </w:r>
          </w:p>
        </w:tc>
      </w:tr>
      <w:tr w:rsidR="0069341E" w:rsidRPr="00817254" w14:paraId="3742B948" w14:textId="77777777" w:rsidTr="005B3A1A">
        <w:tc>
          <w:tcPr>
            <w:tcW w:w="2122" w:type="dxa"/>
          </w:tcPr>
          <w:p w14:paraId="3742B946" w14:textId="77777777" w:rsidR="0069341E" w:rsidRPr="00817254" w:rsidRDefault="0069341E" w:rsidP="005B3A1A">
            <w:pPr>
              <w:rPr>
                <w:i/>
                <w:sz w:val="20"/>
                <w:szCs w:val="24"/>
              </w:rPr>
            </w:pPr>
          </w:p>
        </w:tc>
        <w:tc>
          <w:tcPr>
            <w:tcW w:w="6938" w:type="dxa"/>
          </w:tcPr>
          <w:p w14:paraId="3742B947" w14:textId="77777777" w:rsidR="0069341E" w:rsidRPr="00817254" w:rsidRDefault="0069341E" w:rsidP="005B3A1A">
            <w:pPr>
              <w:rPr>
                <w:i/>
                <w:sz w:val="20"/>
                <w:szCs w:val="24"/>
              </w:rPr>
            </w:pPr>
          </w:p>
        </w:tc>
      </w:tr>
      <w:tr w:rsidR="0069341E" w:rsidRPr="00817254" w14:paraId="3742B94B" w14:textId="77777777" w:rsidTr="005B3A1A">
        <w:tc>
          <w:tcPr>
            <w:tcW w:w="2122" w:type="dxa"/>
          </w:tcPr>
          <w:p w14:paraId="3742B949" w14:textId="77777777" w:rsidR="0069341E" w:rsidRPr="00817254" w:rsidRDefault="0069341E" w:rsidP="005B3A1A">
            <w:pPr>
              <w:rPr>
                <w:i/>
                <w:sz w:val="20"/>
                <w:szCs w:val="24"/>
              </w:rPr>
            </w:pPr>
          </w:p>
        </w:tc>
        <w:tc>
          <w:tcPr>
            <w:tcW w:w="6938" w:type="dxa"/>
          </w:tcPr>
          <w:p w14:paraId="3742B94A" w14:textId="77777777" w:rsidR="0069341E" w:rsidRPr="00817254" w:rsidRDefault="0069341E" w:rsidP="005B3A1A">
            <w:pPr>
              <w:rPr>
                <w:i/>
                <w:sz w:val="20"/>
                <w:szCs w:val="24"/>
              </w:rPr>
            </w:pPr>
          </w:p>
        </w:tc>
      </w:tr>
    </w:tbl>
    <w:p w14:paraId="3742B94C" w14:textId="77777777" w:rsidR="0069341E" w:rsidRPr="00010E74" w:rsidRDefault="0069341E" w:rsidP="0069341E">
      <w:pPr>
        <w:rPr>
          <w:i/>
          <w:sz w:val="20"/>
          <w:szCs w:val="24"/>
        </w:rPr>
      </w:pPr>
    </w:p>
    <w:p w14:paraId="3742B94D" w14:textId="77777777" w:rsidR="002F61F7" w:rsidRPr="00A86A9D" w:rsidRDefault="002F61F7" w:rsidP="00A86A9D">
      <w:pPr>
        <w:rPr>
          <w:szCs w:val="24"/>
        </w:rPr>
      </w:pPr>
    </w:p>
    <w:sectPr w:rsidR="002F61F7" w:rsidRPr="00A86A9D" w:rsidSect="002F61F7">
      <w:headerReference w:type="default" r:id="rId12"/>
      <w:footerReference w:type="default" r:id="rId13"/>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42B950" w14:textId="77777777" w:rsidR="00E9072F" w:rsidRDefault="00E9072F" w:rsidP="00F66CB0">
      <w:r>
        <w:separator/>
      </w:r>
    </w:p>
  </w:endnote>
  <w:endnote w:type="continuationSeparator" w:id="0">
    <w:p w14:paraId="3742B951" w14:textId="77777777" w:rsidR="00E9072F" w:rsidRDefault="00E9072F"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insideH w:val="single" w:sz="4" w:space="0" w:color="auto"/>
      </w:tblBorders>
      <w:tblLook w:val="00A0" w:firstRow="1" w:lastRow="0" w:firstColumn="1" w:lastColumn="0" w:noHBand="0" w:noVBand="0"/>
    </w:tblPr>
    <w:tblGrid>
      <w:gridCol w:w="1513"/>
      <w:gridCol w:w="964"/>
      <w:gridCol w:w="1552"/>
      <w:gridCol w:w="1469"/>
      <w:gridCol w:w="1743"/>
      <w:gridCol w:w="1829"/>
    </w:tblGrid>
    <w:tr w:rsidR="00E9072F" w:rsidRPr="00AE7C5C" w14:paraId="3742B95C" w14:textId="77777777" w:rsidTr="00AC26D7">
      <w:tc>
        <w:tcPr>
          <w:tcW w:w="1513" w:type="dxa"/>
        </w:tcPr>
        <w:p w14:paraId="3742B956" w14:textId="77777777" w:rsidR="00E9072F" w:rsidRPr="00B3752F" w:rsidRDefault="00E9072F" w:rsidP="002F61F7">
          <w:pPr>
            <w:pStyle w:val="Footer"/>
            <w:rPr>
              <w:rFonts w:cs="Arial"/>
              <w:b/>
              <w:bCs/>
              <w:i/>
              <w:sz w:val="20"/>
            </w:rPr>
          </w:pPr>
          <w:r w:rsidRPr="00B3752F">
            <w:rPr>
              <w:rFonts w:cs="Arial"/>
              <w:b/>
              <w:bCs/>
              <w:i/>
              <w:sz w:val="20"/>
            </w:rPr>
            <w:t>Doc Number</w:t>
          </w:r>
        </w:p>
      </w:tc>
      <w:tc>
        <w:tcPr>
          <w:tcW w:w="964" w:type="dxa"/>
        </w:tcPr>
        <w:p w14:paraId="3742B957" w14:textId="77777777" w:rsidR="00E9072F" w:rsidRPr="00B3752F" w:rsidRDefault="00E9072F" w:rsidP="002F61F7">
          <w:pPr>
            <w:pStyle w:val="Footer"/>
            <w:rPr>
              <w:rFonts w:cs="Arial"/>
              <w:b/>
              <w:bCs/>
              <w:i/>
              <w:sz w:val="20"/>
            </w:rPr>
          </w:pPr>
          <w:r w:rsidRPr="00B3752F">
            <w:rPr>
              <w:rFonts w:cs="Arial"/>
              <w:b/>
              <w:bCs/>
              <w:i/>
              <w:sz w:val="20"/>
            </w:rPr>
            <w:t>Version</w:t>
          </w:r>
        </w:p>
      </w:tc>
      <w:tc>
        <w:tcPr>
          <w:tcW w:w="1552" w:type="dxa"/>
        </w:tcPr>
        <w:p w14:paraId="3742B958" w14:textId="77777777" w:rsidR="00E9072F" w:rsidRPr="00B3752F" w:rsidRDefault="00E9072F" w:rsidP="002F61F7">
          <w:pPr>
            <w:pStyle w:val="Footer"/>
            <w:rPr>
              <w:rFonts w:cs="Arial"/>
              <w:b/>
              <w:bCs/>
              <w:i/>
              <w:sz w:val="20"/>
            </w:rPr>
          </w:pPr>
          <w:r w:rsidRPr="00B3752F">
            <w:rPr>
              <w:rFonts w:cs="Arial"/>
              <w:b/>
              <w:bCs/>
              <w:i/>
              <w:sz w:val="20"/>
            </w:rPr>
            <w:t>Issued</w:t>
          </w:r>
        </w:p>
      </w:tc>
      <w:tc>
        <w:tcPr>
          <w:tcW w:w="1469" w:type="dxa"/>
        </w:tcPr>
        <w:p w14:paraId="3742B959" w14:textId="77777777" w:rsidR="00E9072F" w:rsidRPr="00B3752F" w:rsidRDefault="00E9072F" w:rsidP="002F61F7">
          <w:pPr>
            <w:pStyle w:val="Footer"/>
            <w:rPr>
              <w:rFonts w:cs="Arial"/>
              <w:b/>
              <w:bCs/>
              <w:i/>
              <w:sz w:val="20"/>
            </w:rPr>
          </w:pPr>
          <w:r w:rsidRPr="00B3752F">
            <w:rPr>
              <w:rFonts w:cs="Arial"/>
              <w:b/>
              <w:bCs/>
              <w:i/>
              <w:sz w:val="20"/>
            </w:rPr>
            <w:t>Review Date</w:t>
          </w:r>
        </w:p>
      </w:tc>
      <w:tc>
        <w:tcPr>
          <w:tcW w:w="1743" w:type="dxa"/>
        </w:tcPr>
        <w:p w14:paraId="3742B95A" w14:textId="77777777" w:rsidR="00E9072F" w:rsidRPr="00B3752F" w:rsidRDefault="00E9072F" w:rsidP="002F61F7">
          <w:pPr>
            <w:pStyle w:val="Footer"/>
            <w:rPr>
              <w:rFonts w:cs="Arial"/>
              <w:b/>
              <w:bCs/>
              <w:i/>
              <w:sz w:val="20"/>
            </w:rPr>
          </w:pPr>
          <w:r w:rsidRPr="00B3752F">
            <w:rPr>
              <w:rFonts w:cs="Arial"/>
              <w:b/>
              <w:bCs/>
              <w:i/>
              <w:sz w:val="20"/>
            </w:rPr>
            <w:t>Area Responsible</w:t>
          </w:r>
        </w:p>
      </w:tc>
      <w:tc>
        <w:tcPr>
          <w:tcW w:w="1829" w:type="dxa"/>
        </w:tcPr>
        <w:p w14:paraId="3742B95B" w14:textId="77777777" w:rsidR="00E9072F" w:rsidRPr="00B3752F" w:rsidRDefault="00E9072F" w:rsidP="002F61F7">
          <w:pPr>
            <w:pStyle w:val="Footer"/>
            <w:rPr>
              <w:rFonts w:cs="Arial"/>
              <w:b/>
              <w:bCs/>
              <w:i/>
              <w:sz w:val="20"/>
            </w:rPr>
          </w:pPr>
          <w:r w:rsidRPr="00B3752F">
            <w:rPr>
              <w:rFonts w:cs="Arial"/>
              <w:b/>
              <w:bCs/>
              <w:i/>
              <w:sz w:val="20"/>
            </w:rPr>
            <w:t>Page</w:t>
          </w:r>
        </w:p>
      </w:tc>
    </w:tr>
    <w:tr w:rsidR="00AC26D7" w14:paraId="3742B963" w14:textId="77777777" w:rsidTr="00AC26D7">
      <w:tc>
        <w:tcPr>
          <w:tcW w:w="1513" w:type="dxa"/>
        </w:tcPr>
        <w:p w14:paraId="3742B95D" w14:textId="754EBB06" w:rsidR="00AC26D7" w:rsidRPr="00542EE6" w:rsidRDefault="00AC26D7" w:rsidP="00AC26D7">
          <w:pPr>
            <w:pStyle w:val="Footer"/>
            <w:rPr>
              <w:rFonts w:cs="Arial"/>
              <w:b/>
              <w:bCs/>
              <w:sz w:val="20"/>
            </w:rPr>
          </w:pPr>
          <w:r>
            <w:rPr>
              <w:b/>
              <w:sz w:val="20"/>
            </w:rPr>
            <w:t>CHS21/315</w:t>
          </w:r>
        </w:p>
      </w:tc>
      <w:tc>
        <w:tcPr>
          <w:tcW w:w="964" w:type="dxa"/>
        </w:tcPr>
        <w:p w14:paraId="3742B95E" w14:textId="5BA5BA21" w:rsidR="00AC26D7" w:rsidRPr="00B3752F" w:rsidRDefault="00AC26D7" w:rsidP="00AC26D7">
          <w:pPr>
            <w:pStyle w:val="Footer"/>
            <w:rPr>
              <w:rFonts w:cs="Arial"/>
              <w:b/>
              <w:bCs/>
              <w:sz w:val="20"/>
            </w:rPr>
          </w:pPr>
          <w:r>
            <w:rPr>
              <w:rFonts w:cs="Arial"/>
              <w:b/>
              <w:bCs/>
              <w:sz w:val="20"/>
            </w:rPr>
            <w:t>1</w:t>
          </w:r>
        </w:p>
      </w:tc>
      <w:tc>
        <w:tcPr>
          <w:tcW w:w="1552" w:type="dxa"/>
        </w:tcPr>
        <w:p w14:paraId="3742B95F" w14:textId="2CC8A213" w:rsidR="00AC26D7" w:rsidRPr="00B3752F" w:rsidRDefault="00AC26D7" w:rsidP="00AC26D7">
          <w:pPr>
            <w:pStyle w:val="Footer"/>
            <w:rPr>
              <w:rFonts w:cs="Arial"/>
              <w:b/>
              <w:bCs/>
              <w:sz w:val="20"/>
            </w:rPr>
          </w:pPr>
          <w:r>
            <w:rPr>
              <w:rFonts w:cs="Arial"/>
              <w:b/>
              <w:bCs/>
              <w:sz w:val="20"/>
            </w:rPr>
            <w:t>21/05/2021</w:t>
          </w:r>
        </w:p>
      </w:tc>
      <w:tc>
        <w:tcPr>
          <w:tcW w:w="1469" w:type="dxa"/>
        </w:tcPr>
        <w:p w14:paraId="3742B960" w14:textId="3E81B2D3" w:rsidR="00AC26D7" w:rsidRPr="00B3752F" w:rsidRDefault="00AC26D7" w:rsidP="00AC26D7">
          <w:pPr>
            <w:pStyle w:val="Footer"/>
            <w:rPr>
              <w:rFonts w:cs="Arial"/>
              <w:b/>
              <w:bCs/>
              <w:sz w:val="20"/>
            </w:rPr>
          </w:pPr>
          <w:r>
            <w:rPr>
              <w:rFonts w:cs="Arial"/>
              <w:b/>
              <w:bCs/>
              <w:sz w:val="20"/>
            </w:rPr>
            <w:t>01/03/202</w:t>
          </w:r>
          <w:r w:rsidR="00E64699">
            <w:rPr>
              <w:rFonts w:cs="Arial"/>
              <w:b/>
              <w:bCs/>
              <w:sz w:val="20"/>
            </w:rPr>
            <w:t>4</w:t>
          </w:r>
        </w:p>
      </w:tc>
      <w:tc>
        <w:tcPr>
          <w:tcW w:w="1743" w:type="dxa"/>
        </w:tcPr>
        <w:p w14:paraId="3742B961" w14:textId="5FB2AC0C" w:rsidR="00AC26D7" w:rsidRPr="00B3752F" w:rsidRDefault="00AC26D7" w:rsidP="00AC26D7">
          <w:pPr>
            <w:pStyle w:val="Footer"/>
            <w:rPr>
              <w:rFonts w:cs="Arial"/>
              <w:b/>
              <w:bCs/>
              <w:sz w:val="20"/>
            </w:rPr>
          </w:pPr>
          <w:r>
            <w:rPr>
              <w:rFonts w:cs="Arial"/>
              <w:b/>
              <w:bCs/>
              <w:sz w:val="20"/>
            </w:rPr>
            <w:t>IHSS</w:t>
          </w:r>
        </w:p>
      </w:tc>
      <w:tc>
        <w:tcPr>
          <w:tcW w:w="1829" w:type="dxa"/>
        </w:tcPr>
        <w:p w14:paraId="3742B962" w14:textId="47B04F8B" w:rsidR="00AC26D7" w:rsidRPr="00B3752F" w:rsidRDefault="00AC26D7" w:rsidP="00AC26D7">
          <w:pPr>
            <w:pStyle w:val="Footer"/>
            <w:rPr>
              <w:sz w:val="20"/>
            </w:rPr>
          </w:pPr>
          <w:r w:rsidRPr="00B3752F">
            <w:rPr>
              <w:rStyle w:val="PageNumber"/>
              <w:sz w:val="20"/>
            </w:rPr>
            <w:fldChar w:fldCharType="begin"/>
          </w:r>
          <w:r w:rsidRPr="00B3752F">
            <w:rPr>
              <w:rStyle w:val="PageNumber"/>
              <w:sz w:val="20"/>
            </w:rPr>
            <w:instrText xml:space="preserve"> PAGE </w:instrText>
          </w:r>
          <w:r w:rsidRPr="00B3752F">
            <w:rPr>
              <w:rStyle w:val="PageNumber"/>
              <w:sz w:val="20"/>
            </w:rPr>
            <w:fldChar w:fldCharType="separate"/>
          </w:r>
          <w:r>
            <w:rPr>
              <w:rStyle w:val="PageNumber"/>
              <w:noProof/>
              <w:sz w:val="20"/>
            </w:rPr>
            <w:t>13</w:t>
          </w:r>
          <w:r w:rsidRPr="00B3752F">
            <w:rPr>
              <w:rStyle w:val="PageNumber"/>
              <w:sz w:val="20"/>
            </w:rPr>
            <w:fldChar w:fldCharType="end"/>
          </w:r>
          <w:r w:rsidRPr="00B3752F">
            <w:rPr>
              <w:rStyle w:val="PageNumber"/>
              <w:sz w:val="20"/>
            </w:rPr>
            <w:t xml:space="preserve"> of </w:t>
          </w:r>
          <w:r w:rsidRPr="00B3752F">
            <w:rPr>
              <w:rStyle w:val="PageNumber"/>
              <w:sz w:val="20"/>
            </w:rPr>
            <w:fldChar w:fldCharType="begin"/>
          </w:r>
          <w:r w:rsidRPr="00B3752F">
            <w:rPr>
              <w:rStyle w:val="PageNumber"/>
              <w:sz w:val="20"/>
            </w:rPr>
            <w:instrText xml:space="preserve"> NUMPAGES </w:instrText>
          </w:r>
          <w:r w:rsidRPr="00B3752F">
            <w:rPr>
              <w:rStyle w:val="PageNumber"/>
              <w:sz w:val="20"/>
            </w:rPr>
            <w:fldChar w:fldCharType="separate"/>
          </w:r>
          <w:r>
            <w:rPr>
              <w:rStyle w:val="PageNumber"/>
              <w:noProof/>
              <w:sz w:val="20"/>
            </w:rPr>
            <w:t>13</w:t>
          </w:r>
          <w:r w:rsidRPr="00B3752F">
            <w:rPr>
              <w:rStyle w:val="PageNumber"/>
              <w:sz w:val="20"/>
            </w:rPr>
            <w:fldChar w:fldCharType="end"/>
          </w:r>
        </w:p>
      </w:tc>
    </w:tr>
    <w:tr w:rsidR="00B44F9C" w14:paraId="16F20E08" w14:textId="77777777" w:rsidTr="00861252">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477E752" w14:textId="4E9958C9" w:rsidR="00B44F9C" w:rsidRPr="002C1428" w:rsidRDefault="00B44F9C" w:rsidP="00B44F9C">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sidR="00BD0779">
            <w:rPr>
              <w:sz w:val="16"/>
              <w:szCs w:val="16"/>
            </w:rPr>
            <w:t>CHS</w:t>
          </w:r>
          <w:r w:rsidRPr="002C1428">
            <w:rPr>
              <w:sz w:val="16"/>
              <w:szCs w:val="16"/>
            </w:rPr>
            <w:t xml:space="preserve"> Policy Register</w:t>
          </w:r>
        </w:p>
      </w:tc>
    </w:tr>
  </w:tbl>
  <w:p w14:paraId="3742B964" w14:textId="77777777" w:rsidR="00E9072F" w:rsidRPr="00A547D6" w:rsidRDefault="00E9072F" w:rsidP="002F61F7">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42B94E" w14:textId="77777777" w:rsidR="00E9072F" w:rsidRDefault="00E9072F" w:rsidP="00F66CB0">
      <w:r>
        <w:separator/>
      </w:r>
    </w:p>
  </w:footnote>
  <w:footnote w:type="continuationSeparator" w:id="0">
    <w:p w14:paraId="3742B94F" w14:textId="77777777" w:rsidR="00E9072F" w:rsidRDefault="00E9072F"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E9072F" w14:paraId="3742B954" w14:textId="77777777" w:rsidTr="009F2977">
      <w:trPr>
        <w:trHeight w:val="1418"/>
      </w:trPr>
      <w:tc>
        <w:tcPr>
          <w:tcW w:w="5556" w:type="dxa"/>
          <w:vAlign w:val="center"/>
          <w:hideMark/>
        </w:tcPr>
        <w:p w14:paraId="3742B952" w14:textId="2FD9127C" w:rsidR="00E9072F" w:rsidRDefault="00DA0702" w:rsidP="009F2977">
          <w:pPr>
            <w:pStyle w:val="Header"/>
            <w:rPr>
              <w:sz w:val="20"/>
            </w:rPr>
          </w:pPr>
          <w:r>
            <w:rPr>
              <w:noProof/>
              <w:sz w:val="20"/>
            </w:rPr>
            <w:drawing>
              <wp:inline distT="0" distB="0" distL="0" distR="0" wp14:anchorId="35A6FE35" wp14:editId="627304F4">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3742B953" w14:textId="438241C4" w:rsidR="00E9072F" w:rsidRDefault="00AC26D7">
          <w:pPr>
            <w:pStyle w:val="Header"/>
            <w:tabs>
              <w:tab w:val="left" w:pos="720"/>
            </w:tabs>
            <w:jc w:val="right"/>
            <w:rPr>
              <w:sz w:val="20"/>
            </w:rPr>
          </w:pPr>
          <w:bookmarkStart w:id="29" w:name="_top"/>
          <w:bookmarkEnd w:id="29"/>
          <w:r>
            <w:rPr>
              <w:sz w:val="20"/>
            </w:rPr>
            <w:t>CHS21/315</w:t>
          </w:r>
        </w:p>
      </w:tc>
    </w:tr>
  </w:tbl>
  <w:p w14:paraId="3742B955" w14:textId="77777777" w:rsidR="00E9072F" w:rsidRPr="00FC3538" w:rsidRDefault="00E9072F">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F0A03AC"/>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2" w15:restartNumberingAfterBreak="0">
    <w:nsid w:val="0B667BA0"/>
    <w:multiLevelType w:val="hybridMultilevel"/>
    <w:tmpl w:val="08840E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C97CAB"/>
    <w:multiLevelType w:val="hybridMultilevel"/>
    <w:tmpl w:val="4E0812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F41841"/>
    <w:multiLevelType w:val="hybridMultilevel"/>
    <w:tmpl w:val="3120E748"/>
    <w:lvl w:ilvl="0" w:tplc="BC80EBF4">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1BF208D"/>
    <w:multiLevelType w:val="hybridMultilevel"/>
    <w:tmpl w:val="E864F6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624C4880"/>
    <w:multiLevelType w:val="hybridMultilevel"/>
    <w:tmpl w:val="B6D24632"/>
    <w:lvl w:ilvl="0" w:tplc="BC80EBF4">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4FD0412"/>
    <w:multiLevelType w:val="hybridMultilevel"/>
    <w:tmpl w:val="C1B83B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9837006"/>
    <w:multiLevelType w:val="hybridMultilevel"/>
    <w:tmpl w:val="EDB6E8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
  </w:num>
  <w:num w:numId="3">
    <w:abstractNumId w:val="11"/>
  </w:num>
  <w:num w:numId="4">
    <w:abstractNumId w:val="3"/>
  </w:num>
  <w:num w:numId="5">
    <w:abstractNumId w:val="4"/>
  </w:num>
  <w:num w:numId="6">
    <w:abstractNumId w:val="12"/>
  </w:num>
  <w:num w:numId="7">
    <w:abstractNumId w:val="8"/>
  </w:num>
  <w:num w:numId="8">
    <w:abstractNumId w:val="7"/>
  </w:num>
  <w:num w:numId="9">
    <w:abstractNumId w:val="9"/>
  </w:num>
  <w:num w:numId="10">
    <w:abstractNumId w:val="6"/>
  </w:num>
  <w:num w:numId="11">
    <w:abstractNumId w:val="10"/>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hideSpellingErrors/>
  <w:hideGrammaticalErrors/>
  <w:proofState w:spelling="clean" w:grammar="clean"/>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121C3"/>
    <w:rsid w:val="00015B90"/>
    <w:rsid w:val="0001607A"/>
    <w:rsid w:val="00031E8A"/>
    <w:rsid w:val="00050A68"/>
    <w:rsid w:val="000630BA"/>
    <w:rsid w:val="000B5C8C"/>
    <w:rsid w:val="000C59E2"/>
    <w:rsid w:val="000C7B2D"/>
    <w:rsid w:val="000F7B7E"/>
    <w:rsid w:val="00103EEA"/>
    <w:rsid w:val="00123645"/>
    <w:rsid w:val="00191109"/>
    <w:rsid w:val="001A0053"/>
    <w:rsid w:val="001B2465"/>
    <w:rsid w:val="001F5929"/>
    <w:rsid w:val="001F6D2D"/>
    <w:rsid w:val="00240B97"/>
    <w:rsid w:val="0025382D"/>
    <w:rsid w:val="00263BA6"/>
    <w:rsid w:val="0027264D"/>
    <w:rsid w:val="00272A9E"/>
    <w:rsid w:val="00282826"/>
    <w:rsid w:val="00293E43"/>
    <w:rsid w:val="002B5F43"/>
    <w:rsid w:val="002D7104"/>
    <w:rsid w:val="002F61F7"/>
    <w:rsid w:val="00313707"/>
    <w:rsid w:val="00327552"/>
    <w:rsid w:val="00344838"/>
    <w:rsid w:val="0034661D"/>
    <w:rsid w:val="003625A2"/>
    <w:rsid w:val="00376A6D"/>
    <w:rsid w:val="00380B98"/>
    <w:rsid w:val="00396023"/>
    <w:rsid w:val="003A6A16"/>
    <w:rsid w:val="003C4BB5"/>
    <w:rsid w:val="003D1D90"/>
    <w:rsid w:val="003E1E3C"/>
    <w:rsid w:val="003E4CC0"/>
    <w:rsid w:val="003F046D"/>
    <w:rsid w:val="003F3D8F"/>
    <w:rsid w:val="00412CED"/>
    <w:rsid w:val="00427139"/>
    <w:rsid w:val="004358E9"/>
    <w:rsid w:val="004619C2"/>
    <w:rsid w:val="00484BDA"/>
    <w:rsid w:val="00487DD5"/>
    <w:rsid w:val="004961E2"/>
    <w:rsid w:val="004A2E02"/>
    <w:rsid w:val="004B7C43"/>
    <w:rsid w:val="004C2B20"/>
    <w:rsid w:val="004E28AD"/>
    <w:rsid w:val="004E2A5F"/>
    <w:rsid w:val="004E2D2A"/>
    <w:rsid w:val="004E5B45"/>
    <w:rsid w:val="004F1D05"/>
    <w:rsid w:val="004F2497"/>
    <w:rsid w:val="005149D6"/>
    <w:rsid w:val="0052443C"/>
    <w:rsid w:val="0052775E"/>
    <w:rsid w:val="00536503"/>
    <w:rsid w:val="00542514"/>
    <w:rsid w:val="00546AED"/>
    <w:rsid w:val="005621E4"/>
    <w:rsid w:val="00563BB2"/>
    <w:rsid w:val="00596FD7"/>
    <w:rsid w:val="005A2C1F"/>
    <w:rsid w:val="005A3625"/>
    <w:rsid w:val="005A40A2"/>
    <w:rsid w:val="005B4738"/>
    <w:rsid w:val="005B6AEF"/>
    <w:rsid w:val="005C212D"/>
    <w:rsid w:val="005C3CB0"/>
    <w:rsid w:val="005F7499"/>
    <w:rsid w:val="00612231"/>
    <w:rsid w:val="00635EB1"/>
    <w:rsid w:val="00636DD9"/>
    <w:rsid w:val="006473BB"/>
    <w:rsid w:val="0066495D"/>
    <w:rsid w:val="00667C96"/>
    <w:rsid w:val="0069341E"/>
    <w:rsid w:val="00695EB6"/>
    <w:rsid w:val="006A4D46"/>
    <w:rsid w:val="006A6024"/>
    <w:rsid w:val="006C31FF"/>
    <w:rsid w:val="006C6B6C"/>
    <w:rsid w:val="006C704D"/>
    <w:rsid w:val="006E1B0C"/>
    <w:rsid w:val="006E31CB"/>
    <w:rsid w:val="0070331D"/>
    <w:rsid w:val="00712B30"/>
    <w:rsid w:val="0073533C"/>
    <w:rsid w:val="00741B43"/>
    <w:rsid w:val="00750767"/>
    <w:rsid w:val="00756537"/>
    <w:rsid w:val="007A0EBC"/>
    <w:rsid w:val="007A238D"/>
    <w:rsid w:val="007B4ABB"/>
    <w:rsid w:val="007B6904"/>
    <w:rsid w:val="007C0E06"/>
    <w:rsid w:val="00816782"/>
    <w:rsid w:val="00817254"/>
    <w:rsid w:val="0082141D"/>
    <w:rsid w:val="00827F24"/>
    <w:rsid w:val="00855DA8"/>
    <w:rsid w:val="00862E31"/>
    <w:rsid w:val="00886399"/>
    <w:rsid w:val="008974CA"/>
    <w:rsid w:val="008D7E36"/>
    <w:rsid w:val="008E1F7F"/>
    <w:rsid w:val="008F00E8"/>
    <w:rsid w:val="008F6921"/>
    <w:rsid w:val="00933EED"/>
    <w:rsid w:val="00940CDE"/>
    <w:rsid w:val="00942B11"/>
    <w:rsid w:val="00954112"/>
    <w:rsid w:val="009648CB"/>
    <w:rsid w:val="0097742A"/>
    <w:rsid w:val="00980EED"/>
    <w:rsid w:val="0098354D"/>
    <w:rsid w:val="00991670"/>
    <w:rsid w:val="009B3F8C"/>
    <w:rsid w:val="009B6C8C"/>
    <w:rsid w:val="009C0FCA"/>
    <w:rsid w:val="009C3963"/>
    <w:rsid w:val="009D323C"/>
    <w:rsid w:val="009F2977"/>
    <w:rsid w:val="00A24CDA"/>
    <w:rsid w:val="00A35E2D"/>
    <w:rsid w:val="00A52951"/>
    <w:rsid w:val="00A63FCC"/>
    <w:rsid w:val="00A6718B"/>
    <w:rsid w:val="00A74B8A"/>
    <w:rsid w:val="00A83C2D"/>
    <w:rsid w:val="00A85F61"/>
    <w:rsid w:val="00A86A9D"/>
    <w:rsid w:val="00A86DB3"/>
    <w:rsid w:val="00AA25DC"/>
    <w:rsid w:val="00AB4914"/>
    <w:rsid w:val="00AC26D7"/>
    <w:rsid w:val="00AD453A"/>
    <w:rsid w:val="00AD5D7C"/>
    <w:rsid w:val="00AF4463"/>
    <w:rsid w:val="00B21043"/>
    <w:rsid w:val="00B44CAC"/>
    <w:rsid w:val="00B44F9C"/>
    <w:rsid w:val="00B573D6"/>
    <w:rsid w:val="00B7783C"/>
    <w:rsid w:val="00B81455"/>
    <w:rsid w:val="00B9627F"/>
    <w:rsid w:val="00BA2415"/>
    <w:rsid w:val="00BA4F95"/>
    <w:rsid w:val="00BB33F9"/>
    <w:rsid w:val="00BC3CE6"/>
    <w:rsid w:val="00BD0779"/>
    <w:rsid w:val="00BD4537"/>
    <w:rsid w:val="00BE5E41"/>
    <w:rsid w:val="00C24EDC"/>
    <w:rsid w:val="00C25A76"/>
    <w:rsid w:val="00C32206"/>
    <w:rsid w:val="00C44106"/>
    <w:rsid w:val="00C45C67"/>
    <w:rsid w:val="00C46419"/>
    <w:rsid w:val="00C46710"/>
    <w:rsid w:val="00C523FF"/>
    <w:rsid w:val="00C70FD9"/>
    <w:rsid w:val="00C71C3C"/>
    <w:rsid w:val="00CA593D"/>
    <w:rsid w:val="00CC5305"/>
    <w:rsid w:val="00CC71D4"/>
    <w:rsid w:val="00D21780"/>
    <w:rsid w:val="00D23346"/>
    <w:rsid w:val="00D243B8"/>
    <w:rsid w:val="00D34794"/>
    <w:rsid w:val="00D4502D"/>
    <w:rsid w:val="00D5306E"/>
    <w:rsid w:val="00D530CE"/>
    <w:rsid w:val="00D53E3C"/>
    <w:rsid w:val="00D77950"/>
    <w:rsid w:val="00D80114"/>
    <w:rsid w:val="00D8106C"/>
    <w:rsid w:val="00DA0702"/>
    <w:rsid w:val="00DC3762"/>
    <w:rsid w:val="00DD616A"/>
    <w:rsid w:val="00DE0465"/>
    <w:rsid w:val="00E049ED"/>
    <w:rsid w:val="00E34E6D"/>
    <w:rsid w:val="00E37CD4"/>
    <w:rsid w:val="00E57848"/>
    <w:rsid w:val="00E64699"/>
    <w:rsid w:val="00E9072F"/>
    <w:rsid w:val="00E96207"/>
    <w:rsid w:val="00ED21C3"/>
    <w:rsid w:val="00ED388C"/>
    <w:rsid w:val="00EF0105"/>
    <w:rsid w:val="00EF02B0"/>
    <w:rsid w:val="00F01B61"/>
    <w:rsid w:val="00F0517F"/>
    <w:rsid w:val="00F149FD"/>
    <w:rsid w:val="00F4262F"/>
    <w:rsid w:val="00F53719"/>
    <w:rsid w:val="00F56495"/>
    <w:rsid w:val="00F57291"/>
    <w:rsid w:val="00F66CB0"/>
    <w:rsid w:val="00F76C89"/>
    <w:rsid w:val="00FA29B8"/>
    <w:rsid w:val="00FD3D92"/>
    <w:rsid w:val="00FF56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3742B8E0"/>
  <w15:docId w15:val="{FE8DB3A8-D19A-4C78-9181-6BEFC78ED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BD4537"/>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542514"/>
    <w:pPr>
      <w:numPr>
        <w:numId w:val="1"/>
      </w:numPr>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styleId="CommentReference">
    <w:name w:val="annotation reference"/>
    <w:basedOn w:val="DefaultParagraphFont"/>
    <w:uiPriority w:val="99"/>
    <w:semiHidden/>
    <w:unhideWhenUsed/>
    <w:rsid w:val="00C46710"/>
    <w:rPr>
      <w:sz w:val="16"/>
      <w:szCs w:val="16"/>
    </w:rPr>
  </w:style>
  <w:style w:type="paragraph" w:styleId="CommentText">
    <w:name w:val="annotation text"/>
    <w:basedOn w:val="Normal"/>
    <w:link w:val="CommentTextChar"/>
    <w:uiPriority w:val="99"/>
    <w:semiHidden/>
    <w:unhideWhenUsed/>
    <w:rsid w:val="00C46710"/>
    <w:rPr>
      <w:sz w:val="20"/>
    </w:rPr>
  </w:style>
  <w:style w:type="character" w:customStyle="1" w:styleId="CommentTextChar">
    <w:name w:val="Comment Text Char"/>
    <w:basedOn w:val="DefaultParagraphFont"/>
    <w:link w:val="CommentText"/>
    <w:uiPriority w:val="99"/>
    <w:semiHidden/>
    <w:rsid w:val="00C46710"/>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46710"/>
    <w:rPr>
      <w:b/>
      <w:bCs/>
    </w:rPr>
  </w:style>
  <w:style w:type="character" w:customStyle="1" w:styleId="CommentSubjectChar">
    <w:name w:val="Comment Subject Char"/>
    <w:basedOn w:val="CommentTextChar"/>
    <w:link w:val="CommentSubject"/>
    <w:uiPriority w:val="99"/>
    <w:semiHidden/>
    <w:rsid w:val="00C46710"/>
    <w:rPr>
      <w:rFonts w:ascii="Calibri" w:eastAsia="Times New Roman" w:hAnsi="Calibri" w:cs="Times New Roman"/>
      <w:b/>
      <w:bCs/>
      <w:sz w:val="20"/>
      <w:szCs w:val="20"/>
    </w:rPr>
  </w:style>
  <w:style w:type="character" w:customStyle="1" w:styleId="Heading3Char">
    <w:name w:val="Heading 3 Char"/>
    <w:basedOn w:val="DefaultParagraphFont"/>
    <w:link w:val="Heading3"/>
    <w:uiPriority w:val="9"/>
    <w:semiHidden/>
    <w:rsid w:val="00BD453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0408598">
      <w:bodyDiv w:val="1"/>
      <w:marLeft w:val="0"/>
      <w:marRight w:val="0"/>
      <w:marTop w:val="0"/>
      <w:marBottom w:val="0"/>
      <w:divBdr>
        <w:top w:val="none" w:sz="0" w:space="0" w:color="auto"/>
        <w:left w:val="none" w:sz="0" w:space="0" w:color="auto"/>
        <w:bottom w:val="none" w:sz="0" w:space="0" w:color="auto"/>
        <w:right w:val="none" w:sz="0" w:space="0" w:color="auto"/>
      </w:divBdr>
    </w:div>
    <w:div w:id="1180465847">
      <w:bodyDiv w:val="1"/>
      <w:marLeft w:val="0"/>
      <w:marRight w:val="0"/>
      <w:marTop w:val="0"/>
      <w:marBottom w:val="0"/>
      <w:divBdr>
        <w:top w:val="none" w:sz="0" w:space="0" w:color="auto"/>
        <w:left w:val="none" w:sz="0" w:space="0" w:color="auto"/>
        <w:bottom w:val="none" w:sz="0" w:space="0" w:color="auto"/>
        <w:right w:val="none" w:sz="0" w:space="0" w:color="auto"/>
      </w:divBdr>
    </w:div>
    <w:div w:id="185915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Q:/Quality%20and%20Safety/CET/Policy%20Team/CHS%20PC/Resources/Templates/CHS%20Procedure%20Template.doc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47" ma:contentTypeDescription="Create a new document." ma:contentTypeScope="" ma:versionID="74bfe9f5904df3f97b26148cbe47d4a0">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aa3727d4be4d2d3c897992f6faae974d"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cision_x0020_Number xmlns="690b2128-8961-48af-a473-22c34a9accba">CHS21/315</Decision_x0020_Number>
    <Description0 xmlns="690b2128-8961-48af-a473-22c34a9accba">The purpose of this policy is to provide guidance for briefing architects, consultants, and commissioning planners for all CHS infrastructure programs and Better Infrastructure Fund (BIF) projects.</Description0>
    <Display_x0020_on_x0020_Internet xmlns="690b2128-8961-48af-a473-22c34a9accba">true</Display_x0020_on_x0020_Internet>
    <Review_x0020_Date xmlns="690b2128-8961-48af-a473-22c34a9accba">2024-02-29T13:00:00+00:00</Review_x0020_Date>
    <Approval_x0020_Name_x007c_Committee xmlns="690b2128-8961-48af-a473-22c34a9accba">CHS Policy Committee</Approval_x0020_Name_x007c_Committee>
    <Risk_x0020_Rating xmlns="690b2128-8961-48af-a473-22c34a9accba">Medium</Risk_x0020_Rating>
    <Related_x0020_Documents xmlns="690b2128-8961-48af-a473-22c34a9accba" xsi:nil="true"/>
    <Replaces_x003a_ xmlns="690b2128-8961-48af-a473-22c34a9accba" xsi:nil="true"/>
    <Progress xmlns="690b2128-8961-48af-a473-22c34a9accba" xsi:nil="true"/>
    <TaxCatchAll xmlns="c0239a80-7f07-4ed7-82c3-24ad7d76ada5" xsi:nil="true"/>
    <Key_x0020_Words xmlns="690b2128-8961-48af-a473-22c34a9accba">Security design, physical security, security zoning, public spaces, official spaces, access control, perimeter security, electronic access, lockdown, CCTV, alarms, intrusion, visitors</Key_x0020_Words>
    <Type_x0020_of_x0020_Document xmlns="690b2128-8961-48af-a473-22c34a9accba">Policy</Type_x0020_of_x0020_Document>
    <Version_x0020_Number xmlns="690b2128-8961-48af-a473-22c34a9accba">1</Version_x0020_Number>
    <Approval_x0020_Date xmlns="690b2128-8961-48af-a473-22c34a9accba">2021-02-16T13:00:00+00:00</Approval_x0020_Date>
    <Notes0 xmlns="690b2128-8961-48af-a473-22c34a9accba" xsi:nil="true"/>
    <New_x0020_Applies_x0020_To xmlns="690b2128-8961-48af-a473-22c34a9accba">Canberra Health Services</New_x0020_Applies_x0020_To>
    <New_x0020_Owner xmlns="690b2128-8961-48af-a473-22c34a9accba">Infrastructure and Health Support Services (IHSS)</New_x0020_Owner>
    <Status xmlns="690b2128-8961-48af-a473-22c34a9accba">Approved</Statu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78EEFF-BD7A-446F-BBA1-332E66737192}">
  <ds:schemaRefs>
    <ds:schemaRef ds:uri="http://schemas.microsoft.com/sharepoint/v3/contenttype/forms"/>
  </ds:schemaRefs>
</ds:datastoreItem>
</file>

<file path=customXml/itemProps2.xml><?xml version="1.0" encoding="utf-8"?>
<ds:datastoreItem xmlns:ds="http://schemas.openxmlformats.org/officeDocument/2006/customXml" ds:itemID="{1DF8C527-3C46-48D3-8CB0-1F9B5E62CB7A}"/>
</file>

<file path=customXml/itemProps3.xml><?xml version="1.0" encoding="utf-8"?>
<ds:datastoreItem xmlns:ds="http://schemas.openxmlformats.org/officeDocument/2006/customXml" ds:itemID="{F0BF058C-E928-43C8-9BF0-43F1BC651431}">
  <ds:schemaRefs>
    <ds:schemaRef ds:uri="http://schemas.microsoft.com/office/2006/metadata/properties"/>
    <ds:schemaRef ds:uri="http://purl.org/dc/terms/"/>
    <ds:schemaRef ds:uri="http://purl.org/dc/dcmitype/"/>
    <ds:schemaRef ds:uri="http://schemas.microsoft.com/office/2006/documentManagement/types"/>
    <ds:schemaRef ds:uri="http://www.w3.org/XML/1998/namespace"/>
    <ds:schemaRef ds:uri="http://schemas.microsoft.com/office/infopath/2007/PartnerControls"/>
    <ds:schemaRef ds:uri="http://purl.org/dc/elements/1.1/"/>
    <ds:schemaRef ds:uri="http://schemas.openxmlformats.org/package/2006/metadata/core-properties"/>
    <ds:schemaRef ds:uri="0c8e588b-9c83-49d3-a6c8-a54de8f95e6a"/>
    <ds:schemaRef ds:uri="b2806a9b-524a-408a-9242-7f2c397428d8"/>
  </ds:schemaRefs>
</ds:datastoreItem>
</file>

<file path=customXml/itemProps4.xml><?xml version="1.0" encoding="utf-8"?>
<ds:datastoreItem xmlns:ds="http://schemas.openxmlformats.org/officeDocument/2006/customXml" ds:itemID="{107A272B-6AE8-478C-BCEB-71240775E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14</Pages>
  <Words>4102</Words>
  <Characters>23382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Protective Security - Security Design for Facilities</dc:title>
  <dc:subject>23;#</dc:subject>
  <dc:creator>Kerryn Hunter</dc:creator>
  <cp:lastModifiedBy>Hunter, Kerryn (Health)</cp:lastModifiedBy>
  <cp:revision>20</cp:revision>
  <cp:lastPrinted>2014-07-16T01:36:00Z</cp:lastPrinted>
  <dcterms:created xsi:type="dcterms:W3CDTF">2021-02-02T23:26:00Z</dcterms:created>
  <dcterms:modified xsi:type="dcterms:W3CDTF">2021-05-21T02:43:00Z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TaxKeyword">
    <vt:lpwstr/>
  </property>
  <property fmtid="{D5CDD505-2E9C-101B-9397-08002B2CF9AE}" pid="5" name="_ExtendedDescription">
    <vt:lpwstr/>
  </property>
  <property fmtid="{D5CDD505-2E9C-101B-9397-08002B2CF9AE}" pid="7" name="Rank">
    <vt:lpwstr>AND</vt:lpwstr>
  </property>
  <property fmtid="{D5CDD505-2E9C-101B-9397-08002B2CF9AE}" pid="9" name="Manager Contact">
    <vt:lpwstr/>
  </property>
</Properties>
</file>