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93FBD" w14:textId="77777777" w:rsidR="00481A6C" w:rsidRPr="00481A6C" w:rsidRDefault="008606A0" w:rsidP="00481A6C">
      <w:pPr>
        <w:pStyle w:val="Header"/>
        <w:rPr>
          <w:sz w:val="40"/>
          <w:szCs w:val="40"/>
        </w:rPr>
      </w:pPr>
      <w:bookmarkStart w:id="0" w:name="_top"/>
      <w:bookmarkEnd w:id="0"/>
      <w:r w:rsidRPr="008606A0">
        <w:rPr>
          <w:b/>
          <w:bCs/>
          <w:sz w:val="40"/>
          <w:szCs w:val="40"/>
        </w:rPr>
        <w:t>Guideline</w:t>
      </w:r>
      <w:r w:rsidRPr="008606A0">
        <w:rPr>
          <w:sz w:val="40"/>
          <w:szCs w:val="40"/>
        </w:rPr>
        <w:t xml:space="preserve"> | </w:t>
      </w:r>
      <w:r w:rsidR="00481A6C" w:rsidRPr="008606A0">
        <w:rPr>
          <w:sz w:val="40"/>
          <w:szCs w:val="40"/>
        </w:rPr>
        <w:t>Canberra Health Services</w:t>
      </w:r>
    </w:p>
    <w:p w14:paraId="3D9F0DC7" w14:textId="60B54E1F" w:rsidR="00E31596" w:rsidRPr="00E31596" w:rsidRDefault="00E26385" w:rsidP="00481A6C">
      <w:pPr>
        <w:pStyle w:val="Header"/>
        <w:rPr>
          <w:color w:val="575757" w:themeColor="text2"/>
          <w:sz w:val="20"/>
          <w:szCs w:val="20"/>
        </w:rPr>
      </w:pPr>
      <w:r>
        <w:t>Neonatal Nutrition Guide</w:t>
      </w:r>
      <w:r w:rsidR="00481A6C">
        <w:t xml:space="preserve"> </w:t>
      </w:r>
      <w:r w:rsidR="00E31596">
        <w:rPr>
          <w:color w:val="575757" w:themeColor="text2"/>
          <w:sz w:val="20"/>
          <w:szCs w:val="20"/>
        </w:rPr>
        <w:br/>
      </w:r>
      <w:r w:rsidR="00E31596" w:rsidRPr="00E31596">
        <w:t>CHS</w:t>
      </w:r>
      <w:r w:rsidR="002F1887">
        <w:t>25/152</w:t>
      </w:r>
    </w:p>
    <w:p w14:paraId="19E05626" w14:textId="77777777" w:rsidR="00CA4FDE" w:rsidRDefault="00CA4FDE">
      <w:pPr>
        <w:spacing w:before="0" w:after="0" w:line="240" w:lineRule="auto"/>
      </w:pPr>
      <w:bookmarkStart w:id="1" w:name="_Hlk157074578"/>
    </w:p>
    <w:sdt>
      <w:sdtPr>
        <w:rPr>
          <w:rFonts w:eastAsia="Calibri"/>
          <w:b w:val="0"/>
          <w:noProof/>
          <w:color w:val="000000" w:themeColor="text1"/>
          <w:sz w:val="32"/>
          <w:szCs w:val="24"/>
          <w:lang w:eastAsia="en-AU"/>
        </w:rPr>
        <w:id w:val="-1206019646"/>
        <w:docPartObj>
          <w:docPartGallery w:val="Table of Contents"/>
          <w:docPartUnique/>
        </w:docPartObj>
      </w:sdtPr>
      <w:sdtEndPr>
        <w:rPr>
          <w:sz w:val="24"/>
        </w:rPr>
      </w:sdtEndPr>
      <w:sdtContent>
        <w:p w14:paraId="4E55B4E3" w14:textId="77777777" w:rsidR="00A731B8" w:rsidRPr="000E7683" w:rsidRDefault="00A731B8">
          <w:pPr>
            <w:pStyle w:val="TOCHeading"/>
            <w:rPr>
              <w:rStyle w:val="Heading3Char"/>
              <w:b/>
              <w:bCs/>
            </w:rPr>
          </w:pPr>
          <w:r w:rsidRPr="000E7683">
            <w:rPr>
              <w:rStyle w:val="Heading3Char"/>
              <w:b/>
            </w:rPr>
            <w:t>Contents</w:t>
          </w:r>
        </w:p>
        <w:p w14:paraId="7592B871" w14:textId="290FAE92" w:rsidR="00B00077" w:rsidRDefault="00A731B8" w:rsidP="005E671E">
          <w:pPr>
            <w:pStyle w:val="TOC1"/>
            <w:rPr>
              <w:rFonts w:asciiTheme="minorHAnsi" w:eastAsiaTheme="minorEastAsia" w:hAnsiTheme="minorHAnsi" w:cstheme="minorBidi"/>
              <w:color w:val="auto"/>
              <w:kern w:val="2"/>
              <w14:ligatures w14:val="standardContextual"/>
            </w:rPr>
          </w:pPr>
          <w:r>
            <w:rPr>
              <w:rFonts w:cs="Times New Roman"/>
              <w:lang w:eastAsia="en-US"/>
            </w:rPr>
            <w:fldChar w:fldCharType="begin"/>
          </w:r>
          <w:r>
            <w:instrText xml:space="preserve"> TOC \h \z \u \t "Heading 2,1,Heading 3,2" </w:instrText>
          </w:r>
          <w:r>
            <w:rPr>
              <w:rFonts w:cs="Times New Roman"/>
              <w:lang w:eastAsia="en-US"/>
            </w:rPr>
            <w:fldChar w:fldCharType="separate"/>
          </w:r>
          <w:hyperlink w:anchor="_Toc199497054" w:history="1">
            <w:r w:rsidR="00B00077" w:rsidRPr="00782F07">
              <w:rPr>
                <w:rStyle w:val="Hyperlink"/>
              </w:rPr>
              <w:t>Guideline statement</w:t>
            </w:r>
            <w:r w:rsidR="00B00077">
              <w:rPr>
                <w:webHidden/>
              </w:rPr>
              <w:tab/>
            </w:r>
            <w:r w:rsidR="00B00077">
              <w:rPr>
                <w:webHidden/>
              </w:rPr>
              <w:fldChar w:fldCharType="begin"/>
            </w:r>
            <w:r w:rsidR="00B00077">
              <w:rPr>
                <w:webHidden/>
              </w:rPr>
              <w:instrText xml:space="preserve"> PAGEREF _Toc199497054 \h </w:instrText>
            </w:r>
            <w:r w:rsidR="00B00077">
              <w:rPr>
                <w:webHidden/>
              </w:rPr>
            </w:r>
            <w:r w:rsidR="00B00077">
              <w:rPr>
                <w:webHidden/>
              </w:rPr>
              <w:fldChar w:fldCharType="separate"/>
            </w:r>
            <w:r w:rsidR="00B00077">
              <w:rPr>
                <w:webHidden/>
              </w:rPr>
              <w:t>2</w:t>
            </w:r>
            <w:r w:rsidR="00B00077">
              <w:rPr>
                <w:webHidden/>
              </w:rPr>
              <w:fldChar w:fldCharType="end"/>
            </w:r>
          </w:hyperlink>
        </w:p>
        <w:p w14:paraId="18BAB280" w14:textId="0CF692C6"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55" w:history="1">
            <w:r w:rsidRPr="00782F07">
              <w:rPr>
                <w:rStyle w:val="Hyperlink"/>
              </w:rPr>
              <w:t>Scope</w:t>
            </w:r>
            <w:r>
              <w:rPr>
                <w:webHidden/>
              </w:rPr>
              <w:tab/>
            </w:r>
            <w:r>
              <w:rPr>
                <w:webHidden/>
              </w:rPr>
              <w:fldChar w:fldCharType="begin"/>
            </w:r>
            <w:r>
              <w:rPr>
                <w:webHidden/>
              </w:rPr>
              <w:instrText xml:space="preserve"> PAGEREF _Toc199497055 \h </w:instrText>
            </w:r>
            <w:r>
              <w:rPr>
                <w:webHidden/>
              </w:rPr>
            </w:r>
            <w:r>
              <w:rPr>
                <w:webHidden/>
              </w:rPr>
              <w:fldChar w:fldCharType="separate"/>
            </w:r>
            <w:r>
              <w:rPr>
                <w:webHidden/>
              </w:rPr>
              <w:t>3</w:t>
            </w:r>
            <w:r>
              <w:rPr>
                <w:webHidden/>
              </w:rPr>
              <w:fldChar w:fldCharType="end"/>
            </w:r>
          </w:hyperlink>
        </w:p>
        <w:p w14:paraId="4D5E9E42" w14:textId="369603BC"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56" w:history="1">
            <w:r w:rsidRPr="00782F07">
              <w:rPr>
                <w:rStyle w:val="Hyperlink"/>
              </w:rPr>
              <w:t>Section 1 Feeding Guideline</w:t>
            </w:r>
            <w:r>
              <w:rPr>
                <w:webHidden/>
              </w:rPr>
              <w:tab/>
            </w:r>
            <w:r>
              <w:rPr>
                <w:webHidden/>
              </w:rPr>
              <w:fldChar w:fldCharType="begin"/>
            </w:r>
            <w:r>
              <w:rPr>
                <w:webHidden/>
              </w:rPr>
              <w:instrText xml:space="preserve"> PAGEREF _Toc199497056 \h </w:instrText>
            </w:r>
            <w:r>
              <w:rPr>
                <w:webHidden/>
              </w:rPr>
            </w:r>
            <w:r>
              <w:rPr>
                <w:webHidden/>
              </w:rPr>
              <w:fldChar w:fldCharType="separate"/>
            </w:r>
            <w:r>
              <w:rPr>
                <w:webHidden/>
              </w:rPr>
              <w:t>3</w:t>
            </w:r>
            <w:r>
              <w:rPr>
                <w:webHidden/>
              </w:rPr>
              <w:fldChar w:fldCharType="end"/>
            </w:r>
          </w:hyperlink>
        </w:p>
        <w:p w14:paraId="41EA27F0" w14:textId="5436C454"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57" w:history="1">
            <w:r w:rsidRPr="00782F07">
              <w:rPr>
                <w:rStyle w:val="Hyperlink"/>
                <w:noProof/>
              </w:rPr>
              <w:t>1.2 Enteral Feeding Methods</w:t>
            </w:r>
            <w:r>
              <w:rPr>
                <w:noProof/>
                <w:webHidden/>
              </w:rPr>
              <w:tab/>
            </w:r>
            <w:r>
              <w:rPr>
                <w:noProof/>
                <w:webHidden/>
              </w:rPr>
              <w:fldChar w:fldCharType="begin"/>
            </w:r>
            <w:r>
              <w:rPr>
                <w:noProof/>
                <w:webHidden/>
              </w:rPr>
              <w:instrText xml:space="preserve"> PAGEREF _Toc199497057 \h </w:instrText>
            </w:r>
            <w:r>
              <w:rPr>
                <w:noProof/>
                <w:webHidden/>
              </w:rPr>
            </w:r>
            <w:r>
              <w:rPr>
                <w:noProof/>
                <w:webHidden/>
              </w:rPr>
              <w:fldChar w:fldCharType="separate"/>
            </w:r>
            <w:r>
              <w:rPr>
                <w:noProof/>
                <w:webHidden/>
              </w:rPr>
              <w:t>4</w:t>
            </w:r>
            <w:r>
              <w:rPr>
                <w:noProof/>
                <w:webHidden/>
              </w:rPr>
              <w:fldChar w:fldCharType="end"/>
            </w:r>
          </w:hyperlink>
        </w:p>
        <w:p w14:paraId="4F0AF37C" w14:textId="13A9621E"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58" w:history="1">
            <w:r w:rsidRPr="00782F07">
              <w:rPr>
                <w:rStyle w:val="Hyperlink"/>
                <w:noProof/>
              </w:rPr>
              <w:t>1.3 Nil By Mouth (NBM) Criteria</w:t>
            </w:r>
            <w:r>
              <w:rPr>
                <w:noProof/>
                <w:webHidden/>
              </w:rPr>
              <w:tab/>
            </w:r>
            <w:r>
              <w:rPr>
                <w:noProof/>
                <w:webHidden/>
              </w:rPr>
              <w:fldChar w:fldCharType="begin"/>
            </w:r>
            <w:r>
              <w:rPr>
                <w:noProof/>
                <w:webHidden/>
              </w:rPr>
              <w:instrText xml:space="preserve"> PAGEREF _Toc199497058 \h </w:instrText>
            </w:r>
            <w:r>
              <w:rPr>
                <w:noProof/>
                <w:webHidden/>
              </w:rPr>
            </w:r>
            <w:r>
              <w:rPr>
                <w:noProof/>
                <w:webHidden/>
              </w:rPr>
              <w:fldChar w:fldCharType="separate"/>
            </w:r>
            <w:r>
              <w:rPr>
                <w:noProof/>
                <w:webHidden/>
              </w:rPr>
              <w:t>6</w:t>
            </w:r>
            <w:r>
              <w:rPr>
                <w:noProof/>
                <w:webHidden/>
              </w:rPr>
              <w:fldChar w:fldCharType="end"/>
            </w:r>
          </w:hyperlink>
        </w:p>
        <w:p w14:paraId="722BB8F5" w14:textId="1494D57F"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59" w:history="1">
            <w:r w:rsidRPr="00782F07">
              <w:rPr>
                <w:rStyle w:val="Hyperlink"/>
                <w:noProof/>
              </w:rPr>
              <w:t>1.4 Initiation of Feeds</w:t>
            </w:r>
            <w:r>
              <w:rPr>
                <w:noProof/>
                <w:webHidden/>
              </w:rPr>
              <w:tab/>
            </w:r>
            <w:r>
              <w:rPr>
                <w:noProof/>
                <w:webHidden/>
              </w:rPr>
              <w:fldChar w:fldCharType="begin"/>
            </w:r>
            <w:r>
              <w:rPr>
                <w:noProof/>
                <w:webHidden/>
              </w:rPr>
              <w:instrText xml:space="preserve"> PAGEREF _Toc199497059 \h </w:instrText>
            </w:r>
            <w:r>
              <w:rPr>
                <w:noProof/>
                <w:webHidden/>
              </w:rPr>
            </w:r>
            <w:r>
              <w:rPr>
                <w:noProof/>
                <w:webHidden/>
              </w:rPr>
              <w:fldChar w:fldCharType="separate"/>
            </w:r>
            <w:r>
              <w:rPr>
                <w:noProof/>
                <w:webHidden/>
              </w:rPr>
              <w:t>6</w:t>
            </w:r>
            <w:r>
              <w:rPr>
                <w:noProof/>
                <w:webHidden/>
              </w:rPr>
              <w:fldChar w:fldCharType="end"/>
            </w:r>
          </w:hyperlink>
        </w:p>
        <w:p w14:paraId="126371D6" w14:textId="64052997"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0" w:history="1">
            <w:r w:rsidRPr="00782F07">
              <w:rPr>
                <w:rStyle w:val="Hyperlink"/>
                <w:noProof/>
              </w:rPr>
              <w:t>1.5 Feed Initiation and Advancement</w:t>
            </w:r>
            <w:r>
              <w:rPr>
                <w:noProof/>
                <w:webHidden/>
              </w:rPr>
              <w:tab/>
            </w:r>
            <w:r>
              <w:rPr>
                <w:noProof/>
                <w:webHidden/>
              </w:rPr>
              <w:fldChar w:fldCharType="begin"/>
            </w:r>
            <w:r>
              <w:rPr>
                <w:noProof/>
                <w:webHidden/>
              </w:rPr>
              <w:instrText xml:space="preserve"> PAGEREF _Toc199497060 \h </w:instrText>
            </w:r>
            <w:r>
              <w:rPr>
                <w:noProof/>
                <w:webHidden/>
              </w:rPr>
            </w:r>
            <w:r>
              <w:rPr>
                <w:noProof/>
                <w:webHidden/>
              </w:rPr>
              <w:fldChar w:fldCharType="separate"/>
            </w:r>
            <w:r>
              <w:rPr>
                <w:noProof/>
                <w:webHidden/>
              </w:rPr>
              <w:t>7</w:t>
            </w:r>
            <w:r>
              <w:rPr>
                <w:noProof/>
                <w:webHidden/>
              </w:rPr>
              <w:fldChar w:fldCharType="end"/>
            </w:r>
          </w:hyperlink>
        </w:p>
        <w:p w14:paraId="0C12E8B3" w14:textId="067C9AC7"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1" w:history="1">
            <w:r w:rsidRPr="00782F07">
              <w:rPr>
                <w:rStyle w:val="Hyperlink"/>
                <w:noProof/>
              </w:rPr>
              <w:t>1.6 Daily Total Fluid Intake</w:t>
            </w:r>
            <w:r>
              <w:rPr>
                <w:noProof/>
                <w:webHidden/>
              </w:rPr>
              <w:tab/>
            </w:r>
            <w:r>
              <w:rPr>
                <w:noProof/>
                <w:webHidden/>
              </w:rPr>
              <w:fldChar w:fldCharType="begin"/>
            </w:r>
            <w:r>
              <w:rPr>
                <w:noProof/>
                <w:webHidden/>
              </w:rPr>
              <w:instrText xml:space="preserve"> PAGEREF _Toc199497061 \h </w:instrText>
            </w:r>
            <w:r>
              <w:rPr>
                <w:noProof/>
                <w:webHidden/>
              </w:rPr>
            </w:r>
            <w:r>
              <w:rPr>
                <w:noProof/>
                <w:webHidden/>
              </w:rPr>
              <w:fldChar w:fldCharType="separate"/>
            </w:r>
            <w:r>
              <w:rPr>
                <w:noProof/>
                <w:webHidden/>
              </w:rPr>
              <w:t>7</w:t>
            </w:r>
            <w:r>
              <w:rPr>
                <w:noProof/>
                <w:webHidden/>
              </w:rPr>
              <w:fldChar w:fldCharType="end"/>
            </w:r>
          </w:hyperlink>
        </w:p>
        <w:p w14:paraId="4C75D938" w14:textId="4D777037"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2" w:history="1">
            <w:r w:rsidRPr="00782F07">
              <w:rPr>
                <w:rStyle w:val="Hyperlink"/>
                <w:noProof/>
              </w:rPr>
              <w:t>1.7 Standard Feeding Schedules</w:t>
            </w:r>
            <w:r>
              <w:rPr>
                <w:noProof/>
                <w:webHidden/>
              </w:rPr>
              <w:tab/>
            </w:r>
            <w:r>
              <w:rPr>
                <w:noProof/>
                <w:webHidden/>
              </w:rPr>
              <w:fldChar w:fldCharType="begin"/>
            </w:r>
            <w:r>
              <w:rPr>
                <w:noProof/>
                <w:webHidden/>
              </w:rPr>
              <w:instrText xml:space="preserve"> PAGEREF _Toc199497062 \h </w:instrText>
            </w:r>
            <w:r>
              <w:rPr>
                <w:noProof/>
                <w:webHidden/>
              </w:rPr>
            </w:r>
            <w:r>
              <w:rPr>
                <w:noProof/>
                <w:webHidden/>
              </w:rPr>
              <w:fldChar w:fldCharType="separate"/>
            </w:r>
            <w:r>
              <w:rPr>
                <w:noProof/>
                <w:webHidden/>
              </w:rPr>
              <w:t>8</w:t>
            </w:r>
            <w:r>
              <w:rPr>
                <w:noProof/>
                <w:webHidden/>
              </w:rPr>
              <w:fldChar w:fldCharType="end"/>
            </w:r>
          </w:hyperlink>
        </w:p>
        <w:p w14:paraId="601B0A0A" w14:textId="4404D912"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3" w:history="1">
            <w:r w:rsidRPr="00782F07">
              <w:rPr>
                <w:rStyle w:val="Hyperlink"/>
                <w:noProof/>
              </w:rPr>
              <w:t>1.8 Pump and Gravity Feeding Duration and Criteria</w:t>
            </w:r>
            <w:r>
              <w:rPr>
                <w:noProof/>
                <w:webHidden/>
              </w:rPr>
              <w:tab/>
            </w:r>
            <w:r>
              <w:rPr>
                <w:noProof/>
                <w:webHidden/>
              </w:rPr>
              <w:fldChar w:fldCharType="begin"/>
            </w:r>
            <w:r>
              <w:rPr>
                <w:noProof/>
                <w:webHidden/>
              </w:rPr>
              <w:instrText xml:space="preserve"> PAGEREF _Toc199497063 \h </w:instrText>
            </w:r>
            <w:r>
              <w:rPr>
                <w:noProof/>
                <w:webHidden/>
              </w:rPr>
            </w:r>
            <w:r>
              <w:rPr>
                <w:noProof/>
                <w:webHidden/>
              </w:rPr>
              <w:fldChar w:fldCharType="separate"/>
            </w:r>
            <w:r>
              <w:rPr>
                <w:noProof/>
                <w:webHidden/>
              </w:rPr>
              <w:t>10</w:t>
            </w:r>
            <w:r>
              <w:rPr>
                <w:noProof/>
                <w:webHidden/>
              </w:rPr>
              <w:fldChar w:fldCharType="end"/>
            </w:r>
          </w:hyperlink>
        </w:p>
        <w:p w14:paraId="085D1387" w14:textId="537008FA"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4" w:history="1">
            <w:r w:rsidRPr="00782F07">
              <w:rPr>
                <w:rStyle w:val="Hyperlink"/>
                <w:noProof/>
              </w:rPr>
              <w:t>1.9 Gastric Residuals, and Feed Intolerance &amp; Manag</w:t>
            </w:r>
            <w:r w:rsidRPr="00782F07">
              <w:rPr>
                <w:rStyle w:val="Hyperlink"/>
                <w:bCs/>
                <w:noProof/>
              </w:rPr>
              <w:t>ement</w:t>
            </w:r>
            <w:r>
              <w:rPr>
                <w:noProof/>
                <w:webHidden/>
              </w:rPr>
              <w:tab/>
            </w:r>
            <w:r>
              <w:rPr>
                <w:noProof/>
                <w:webHidden/>
              </w:rPr>
              <w:fldChar w:fldCharType="begin"/>
            </w:r>
            <w:r>
              <w:rPr>
                <w:noProof/>
                <w:webHidden/>
              </w:rPr>
              <w:instrText xml:space="preserve"> PAGEREF _Toc199497064 \h </w:instrText>
            </w:r>
            <w:r>
              <w:rPr>
                <w:noProof/>
                <w:webHidden/>
              </w:rPr>
            </w:r>
            <w:r>
              <w:rPr>
                <w:noProof/>
                <w:webHidden/>
              </w:rPr>
              <w:fldChar w:fldCharType="separate"/>
            </w:r>
            <w:r>
              <w:rPr>
                <w:noProof/>
                <w:webHidden/>
              </w:rPr>
              <w:t>11</w:t>
            </w:r>
            <w:r>
              <w:rPr>
                <w:noProof/>
                <w:webHidden/>
              </w:rPr>
              <w:fldChar w:fldCharType="end"/>
            </w:r>
          </w:hyperlink>
        </w:p>
        <w:p w14:paraId="75C2D91D" w14:textId="43141B4C"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5" w:history="1">
            <w:r w:rsidRPr="00782F07">
              <w:rPr>
                <w:rStyle w:val="Hyperlink"/>
                <w:noProof/>
              </w:rPr>
              <w:t>1.10 Fortifying feeds</w:t>
            </w:r>
            <w:r>
              <w:rPr>
                <w:noProof/>
                <w:webHidden/>
              </w:rPr>
              <w:tab/>
            </w:r>
            <w:r>
              <w:rPr>
                <w:noProof/>
                <w:webHidden/>
              </w:rPr>
              <w:fldChar w:fldCharType="begin"/>
            </w:r>
            <w:r>
              <w:rPr>
                <w:noProof/>
                <w:webHidden/>
              </w:rPr>
              <w:instrText xml:space="preserve"> PAGEREF _Toc199497065 \h </w:instrText>
            </w:r>
            <w:r>
              <w:rPr>
                <w:noProof/>
                <w:webHidden/>
              </w:rPr>
            </w:r>
            <w:r>
              <w:rPr>
                <w:noProof/>
                <w:webHidden/>
              </w:rPr>
              <w:fldChar w:fldCharType="separate"/>
            </w:r>
            <w:r>
              <w:rPr>
                <w:noProof/>
                <w:webHidden/>
              </w:rPr>
              <w:t>13</w:t>
            </w:r>
            <w:r>
              <w:rPr>
                <w:noProof/>
                <w:webHidden/>
              </w:rPr>
              <w:fldChar w:fldCharType="end"/>
            </w:r>
          </w:hyperlink>
        </w:p>
        <w:p w14:paraId="4F101AC8" w14:textId="70BA44C7"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6" w:history="1">
            <w:r w:rsidRPr="00782F07">
              <w:rPr>
                <w:rStyle w:val="Hyperlink"/>
                <w:noProof/>
              </w:rPr>
              <w:t>1.11 Vitamin and Mineral Supplementation</w:t>
            </w:r>
            <w:r>
              <w:rPr>
                <w:noProof/>
                <w:webHidden/>
              </w:rPr>
              <w:tab/>
            </w:r>
            <w:r>
              <w:rPr>
                <w:noProof/>
                <w:webHidden/>
              </w:rPr>
              <w:fldChar w:fldCharType="begin"/>
            </w:r>
            <w:r>
              <w:rPr>
                <w:noProof/>
                <w:webHidden/>
              </w:rPr>
              <w:instrText xml:space="preserve"> PAGEREF _Toc199497066 \h </w:instrText>
            </w:r>
            <w:r>
              <w:rPr>
                <w:noProof/>
                <w:webHidden/>
              </w:rPr>
            </w:r>
            <w:r>
              <w:rPr>
                <w:noProof/>
                <w:webHidden/>
              </w:rPr>
              <w:fldChar w:fldCharType="separate"/>
            </w:r>
            <w:r>
              <w:rPr>
                <w:noProof/>
                <w:webHidden/>
              </w:rPr>
              <w:t>14</w:t>
            </w:r>
            <w:r>
              <w:rPr>
                <w:noProof/>
                <w:webHidden/>
              </w:rPr>
              <w:fldChar w:fldCharType="end"/>
            </w:r>
          </w:hyperlink>
        </w:p>
        <w:p w14:paraId="37E03E34" w14:textId="54080917"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7" w:history="1">
            <w:r w:rsidRPr="00782F07">
              <w:rPr>
                <w:rStyle w:val="Hyperlink"/>
                <w:noProof/>
              </w:rPr>
              <w:t>1.12 Fluid, Energy, Protein, and Biochemical Monitoring Requirements based on European Society for Paediatric Gastroenterology Hepatology and Nutrition (ESPGHAN) nutrition recommendation</w:t>
            </w:r>
            <w:r>
              <w:rPr>
                <w:noProof/>
                <w:webHidden/>
              </w:rPr>
              <w:tab/>
            </w:r>
            <w:r>
              <w:rPr>
                <w:noProof/>
                <w:webHidden/>
              </w:rPr>
              <w:fldChar w:fldCharType="begin"/>
            </w:r>
            <w:r>
              <w:rPr>
                <w:noProof/>
                <w:webHidden/>
              </w:rPr>
              <w:instrText xml:space="preserve"> PAGEREF _Toc199497067 \h </w:instrText>
            </w:r>
            <w:r>
              <w:rPr>
                <w:noProof/>
                <w:webHidden/>
              </w:rPr>
            </w:r>
            <w:r>
              <w:rPr>
                <w:noProof/>
                <w:webHidden/>
              </w:rPr>
              <w:fldChar w:fldCharType="separate"/>
            </w:r>
            <w:r>
              <w:rPr>
                <w:noProof/>
                <w:webHidden/>
              </w:rPr>
              <w:t>15</w:t>
            </w:r>
            <w:r>
              <w:rPr>
                <w:noProof/>
                <w:webHidden/>
              </w:rPr>
              <w:fldChar w:fldCharType="end"/>
            </w:r>
          </w:hyperlink>
        </w:p>
        <w:p w14:paraId="30BF18AC" w14:textId="745517AB"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8" w:history="1">
            <w:r w:rsidRPr="00782F07">
              <w:rPr>
                <w:rStyle w:val="Hyperlink"/>
                <w:noProof/>
              </w:rPr>
              <w:t>1.13 Growth Monitoring and Growth failure</w:t>
            </w:r>
            <w:r>
              <w:rPr>
                <w:noProof/>
                <w:webHidden/>
              </w:rPr>
              <w:tab/>
            </w:r>
            <w:r>
              <w:rPr>
                <w:noProof/>
                <w:webHidden/>
              </w:rPr>
              <w:fldChar w:fldCharType="begin"/>
            </w:r>
            <w:r>
              <w:rPr>
                <w:noProof/>
                <w:webHidden/>
              </w:rPr>
              <w:instrText xml:space="preserve"> PAGEREF _Toc199497068 \h </w:instrText>
            </w:r>
            <w:r>
              <w:rPr>
                <w:noProof/>
                <w:webHidden/>
              </w:rPr>
            </w:r>
            <w:r>
              <w:rPr>
                <w:noProof/>
                <w:webHidden/>
              </w:rPr>
              <w:fldChar w:fldCharType="separate"/>
            </w:r>
            <w:r>
              <w:rPr>
                <w:noProof/>
                <w:webHidden/>
              </w:rPr>
              <w:t>16</w:t>
            </w:r>
            <w:r>
              <w:rPr>
                <w:noProof/>
                <w:webHidden/>
              </w:rPr>
              <w:fldChar w:fldCharType="end"/>
            </w:r>
          </w:hyperlink>
        </w:p>
        <w:p w14:paraId="2E2258C6" w14:textId="0DDFE77B"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69" w:history="1">
            <w:r w:rsidRPr="00782F07">
              <w:rPr>
                <w:rStyle w:val="Hyperlink"/>
                <w:noProof/>
              </w:rPr>
              <w:t>1.14 Inpatient and Discharge Dietician Referral Criteria</w:t>
            </w:r>
            <w:r>
              <w:rPr>
                <w:noProof/>
                <w:webHidden/>
              </w:rPr>
              <w:tab/>
            </w:r>
            <w:r>
              <w:rPr>
                <w:noProof/>
                <w:webHidden/>
              </w:rPr>
              <w:fldChar w:fldCharType="begin"/>
            </w:r>
            <w:r>
              <w:rPr>
                <w:noProof/>
                <w:webHidden/>
              </w:rPr>
              <w:instrText xml:space="preserve"> PAGEREF _Toc199497069 \h </w:instrText>
            </w:r>
            <w:r>
              <w:rPr>
                <w:noProof/>
                <w:webHidden/>
              </w:rPr>
            </w:r>
            <w:r>
              <w:rPr>
                <w:noProof/>
                <w:webHidden/>
              </w:rPr>
              <w:fldChar w:fldCharType="separate"/>
            </w:r>
            <w:r>
              <w:rPr>
                <w:noProof/>
                <w:webHidden/>
              </w:rPr>
              <w:t>17</w:t>
            </w:r>
            <w:r>
              <w:rPr>
                <w:noProof/>
                <w:webHidden/>
              </w:rPr>
              <w:fldChar w:fldCharType="end"/>
            </w:r>
          </w:hyperlink>
        </w:p>
        <w:p w14:paraId="76B4790C" w14:textId="7598EFA8"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0" w:history="1">
            <w:r w:rsidRPr="00782F07">
              <w:rPr>
                <w:rStyle w:val="Hyperlink"/>
                <w:noProof/>
              </w:rPr>
              <w:t>1.15 Discharge Fortification</w:t>
            </w:r>
            <w:r>
              <w:rPr>
                <w:noProof/>
                <w:webHidden/>
              </w:rPr>
              <w:tab/>
            </w:r>
            <w:r>
              <w:rPr>
                <w:noProof/>
                <w:webHidden/>
              </w:rPr>
              <w:fldChar w:fldCharType="begin"/>
            </w:r>
            <w:r>
              <w:rPr>
                <w:noProof/>
                <w:webHidden/>
              </w:rPr>
              <w:instrText xml:space="preserve"> PAGEREF _Toc199497070 \h </w:instrText>
            </w:r>
            <w:r>
              <w:rPr>
                <w:noProof/>
                <w:webHidden/>
              </w:rPr>
            </w:r>
            <w:r>
              <w:rPr>
                <w:noProof/>
                <w:webHidden/>
              </w:rPr>
              <w:fldChar w:fldCharType="separate"/>
            </w:r>
            <w:r>
              <w:rPr>
                <w:noProof/>
                <w:webHidden/>
              </w:rPr>
              <w:t>18</w:t>
            </w:r>
            <w:r>
              <w:rPr>
                <w:noProof/>
                <w:webHidden/>
              </w:rPr>
              <w:fldChar w:fldCharType="end"/>
            </w:r>
          </w:hyperlink>
        </w:p>
        <w:p w14:paraId="0494A864" w14:textId="4334C8F3"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71" w:history="1">
            <w:r w:rsidRPr="00782F07">
              <w:rPr>
                <w:rStyle w:val="Hyperlink"/>
              </w:rPr>
              <w:t>Section 2 Pasteurised Donor Human Milk</w:t>
            </w:r>
            <w:r>
              <w:rPr>
                <w:webHidden/>
              </w:rPr>
              <w:tab/>
            </w:r>
            <w:r>
              <w:rPr>
                <w:webHidden/>
              </w:rPr>
              <w:fldChar w:fldCharType="begin"/>
            </w:r>
            <w:r>
              <w:rPr>
                <w:webHidden/>
              </w:rPr>
              <w:instrText xml:space="preserve"> PAGEREF _Toc199497071 \h </w:instrText>
            </w:r>
            <w:r>
              <w:rPr>
                <w:webHidden/>
              </w:rPr>
            </w:r>
            <w:r>
              <w:rPr>
                <w:webHidden/>
              </w:rPr>
              <w:fldChar w:fldCharType="separate"/>
            </w:r>
            <w:r>
              <w:rPr>
                <w:webHidden/>
              </w:rPr>
              <w:t>19</w:t>
            </w:r>
            <w:r>
              <w:rPr>
                <w:webHidden/>
              </w:rPr>
              <w:fldChar w:fldCharType="end"/>
            </w:r>
          </w:hyperlink>
        </w:p>
        <w:p w14:paraId="560CAE83" w14:textId="0E9DD797"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2" w:history="1">
            <w:r w:rsidRPr="00782F07">
              <w:rPr>
                <w:rStyle w:val="Hyperlink"/>
                <w:noProof/>
              </w:rPr>
              <w:t>2.1 Eligibility &amp; Cessation Criteria for PDHM</w:t>
            </w:r>
            <w:r>
              <w:rPr>
                <w:noProof/>
                <w:webHidden/>
              </w:rPr>
              <w:tab/>
            </w:r>
            <w:r>
              <w:rPr>
                <w:noProof/>
                <w:webHidden/>
              </w:rPr>
              <w:fldChar w:fldCharType="begin"/>
            </w:r>
            <w:r>
              <w:rPr>
                <w:noProof/>
                <w:webHidden/>
              </w:rPr>
              <w:instrText xml:space="preserve"> PAGEREF _Toc199497072 \h </w:instrText>
            </w:r>
            <w:r>
              <w:rPr>
                <w:noProof/>
                <w:webHidden/>
              </w:rPr>
            </w:r>
            <w:r>
              <w:rPr>
                <w:noProof/>
                <w:webHidden/>
              </w:rPr>
              <w:fldChar w:fldCharType="separate"/>
            </w:r>
            <w:r>
              <w:rPr>
                <w:noProof/>
                <w:webHidden/>
              </w:rPr>
              <w:t>19</w:t>
            </w:r>
            <w:r>
              <w:rPr>
                <w:noProof/>
                <w:webHidden/>
              </w:rPr>
              <w:fldChar w:fldCharType="end"/>
            </w:r>
          </w:hyperlink>
        </w:p>
        <w:p w14:paraId="3F8FBB8B" w14:textId="576C6058"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3" w:history="1">
            <w:r w:rsidRPr="00782F07">
              <w:rPr>
                <w:rStyle w:val="Hyperlink"/>
                <w:noProof/>
              </w:rPr>
              <w:t>2.2 Consent and Medical Prescription Procedure</w:t>
            </w:r>
            <w:r>
              <w:rPr>
                <w:noProof/>
                <w:webHidden/>
              </w:rPr>
              <w:tab/>
            </w:r>
            <w:r>
              <w:rPr>
                <w:noProof/>
                <w:webHidden/>
              </w:rPr>
              <w:fldChar w:fldCharType="begin"/>
            </w:r>
            <w:r>
              <w:rPr>
                <w:noProof/>
                <w:webHidden/>
              </w:rPr>
              <w:instrText xml:space="preserve"> PAGEREF _Toc199497073 \h </w:instrText>
            </w:r>
            <w:r>
              <w:rPr>
                <w:noProof/>
                <w:webHidden/>
              </w:rPr>
            </w:r>
            <w:r>
              <w:rPr>
                <w:noProof/>
                <w:webHidden/>
              </w:rPr>
              <w:fldChar w:fldCharType="separate"/>
            </w:r>
            <w:r>
              <w:rPr>
                <w:noProof/>
                <w:webHidden/>
              </w:rPr>
              <w:t>20</w:t>
            </w:r>
            <w:r>
              <w:rPr>
                <w:noProof/>
                <w:webHidden/>
              </w:rPr>
              <w:fldChar w:fldCharType="end"/>
            </w:r>
          </w:hyperlink>
        </w:p>
        <w:p w14:paraId="081AA92D" w14:textId="22E2EA30"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4" w:history="1">
            <w:r w:rsidRPr="00782F07">
              <w:rPr>
                <w:rStyle w:val="Hyperlink"/>
                <w:noProof/>
              </w:rPr>
              <w:t>2.3 Supply, Documentation, and Preparation</w:t>
            </w:r>
            <w:r>
              <w:rPr>
                <w:noProof/>
                <w:webHidden/>
              </w:rPr>
              <w:tab/>
            </w:r>
            <w:r>
              <w:rPr>
                <w:noProof/>
                <w:webHidden/>
              </w:rPr>
              <w:fldChar w:fldCharType="begin"/>
            </w:r>
            <w:r>
              <w:rPr>
                <w:noProof/>
                <w:webHidden/>
              </w:rPr>
              <w:instrText xml:space="preserve"> PAGEREF _Toc199497074 \h </w:instrText>
            </w:r>
            <w:r>
              <w:rPr>
                <w:noProof/>
                <w:webHidden/>
              </w:rPr>
            </w:r>
            <w:r>
              <w:rPr>
                <w:noProof/>
                <w:webHidden/>
              </w:rPr>
              <w:fldChar w:fldCharType="separate"/>
            </w:r>
            <w:r>
              <w:rPr>
                <w:noProof/>
                <w:webHidden/>
              </w:rPr>
              <w:t>20</w:t>
            </w:r>
            <w:r>
              <w:rPr>
                <w:noProof/>
                <w:webHidden/>
              </w:rPr>
              <w:fldChar w:fldCharType="end"/>
            </w:r>
          </w:hyperlink>
        </w:p>
        <w:p w14:paraId="01D8E97C" w14:textId="6837B06A"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5" w:history="1">
            <w:r w:rsidRPr="00782F07">
              <w:rPr>
                <w:rStyle w:val="Hyperlink"/>
                <w:noProof/>
              </w:rPr>
              <w:t>2.4 Accidental administration of PDHM without Parental Consent/Medical Prescription</w:t>
            </w:r>
            <w:r>
              <w:rPr>
                <w:noProof/>
                <w:webHidden/>
              </w:rPr>
              <w:tab/>
            </w:r>
            <w:r>
              <w:rPr>
                <w:noProof/>
                <w:webHidden/>
              </w:rPr>
              <w:fldChar w:fldCharType="begin"/>
            </w:r>
            <w:r>
              <w:rPr>
                <w:noProof/>
                <w:webHidden/>
              </w:rPr>
              <w:instrText xml:space="preserve"> PAGEREF _Toc199497075 \h </w:instrText>
            </w:r>
            <w:r>
              <w:rPr>
                <w:noProof/>
                <w:webHidden/>
              </w:rPr>
            </w:r>
            <w:r>
              <w:rPr>
                <w:noProof/>
                <w:webHidden/>
              </w:rPr>
              <w:fldChar w:fldCharType="separate"/>
            </w:r>
            <w:r>
              <w:rPr>
                <w:noProof/>
                <w:webHidden/>
              </w:rPr>
              <w:t>22</w:t>
            </w:r>
            <w:r>
              <w:rPr>
                <w:noProof/>
                <w:webHidden/>
              </w:rPr>
              <w:fldChar w:fldCharType="end"/>
            </w:r>
          </w:hyperlink>
        </w:p>
        <w:p w14:paraId="7981EE1E" w14:textId="22398938"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76" w:history="1">
            <w:r w:rsidRPr="00782F07">
              <w:rPr>
                <w:rStyle w:val="Hyperlink"/>
              </w:rPr>
              <w:t>Section 3 Osteopenia or Metabolic Bone Disease of Prematurity</w:t>
            </w:r>
            <w:r>
              <w:rPr>
                <w:webHidden/>
              </w:rPr>
              <w:tab/>
            </w:r>
            <w:r>
              <w:rPr>
                <w:webHidden/>
              </w:rPr>
              <w:fldChar w:fldCharType="begin"/>
            </w:r>
            <w:r>
              <w:rPr>
                <w:webHidden/>
              </w:rPr>
              <w:instrText xml:space="preserve"> PAGEREF _Toc199497076 \h </w:instrText>
            </w:r>
            <w:r>
              <w:rPr>
                <w:webHidden/>
              </w:rPr>
            </w:r>
            <w:r>
              <w:rPr>
                <w:webHidden/>
              </w:rPr>
              <w:fldChar w:fldCharType="separate"/>
            </w:r>
            <w:r>
              <w:rPr>
                <w:webHidden/>
              </w:rPr>
              <w:t>23</w:t>
            </w:r>
            <w:r>
              <w:rPr>
                <w:webHidden/>
              </w:rPr>
              <w:fldChar w:fldCharType="end"/>
            </w:r>
          </w:hyperlink>
        </w:p>
        <w:p w14:paraId="0898FE53" w14:textId="3804E9C3"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7" w:history="1">
            <w:r w:rsidRPr="00782F07">
              <w:rPr>
                <w:rStyle w:val="Hyperlink"/>
                <w:noProof/>
              </w:rPr>
              <w:t>3.1 Pathophysiology and Risk Factors</w:t>
            </w:r>
            <w:r>
              <w:rPr>
                <w:noProof/>
                <w:webHidden/>
              </w:rPr>
              <w:tab/>
            </w:r>
            <w:r>
              <w:rPr>
                <w:noProof/>
                <w:webHidden/>
              </w:rPr>
              <w:fldChar w:fldCharType="begin"/>
            </w:r>
            <w:r>
              <w:rPr>
                <w:noProof/>
                <w:webHidden/>
              </w:rPr>
              <w:instrText xml:space="preserve"> PAGEREF _Toc199497077 \h </w:instrText>
            </w:r>
            <w:r>
              <w:rPr>
                <w:noProof/>
                <w:webHidden/>
              </w:rPr>
            </w:r>
            <w:r>
              <w:rPr>
                <w:noProof/>
                <w:webHidden/>
              </w:rPr>
              <w:fldChar w:fldCharType="separate"/>
            </w:r>
            <w:r>
              <w:rPr>
                <w:noProof/>
                <w:webHidden/>
              </w:rPr>
              <w:t>23</w:t>
            </w:r>
            <w:r>
              <w:rPr>
                <w:noProof/>
                <w:webHidden/>
              </w:rPr>
              <w:fldChar w:fldCharType="end"/>
            </w:r>
          </w:hyperlink>
        </w:p>
        <w:p w14:paraId="70615F49" w14:textId="672D0F71"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8" w:history="1">
            <w:r w:rsidRPr="00782F07">
              <w:rPr>
                <w:rStyle w:val="Hyperlink"/>
                <w:noProof/>
              </w:rPr>
              <w:t>3.2 Screening and Interpretation</w:t>
            </w:r>
            <w:r>
              <w:rPr>
                <w:noProof/>
                <w:webHidden/>
              </w:rPr>
              <w:tab/>
            </w:r>
            <w:r>
              <w:rPr>
                <w:noProof/>
                <w:webHidden/>
              </w:rPr>
              <w:fldChar w:fldCharType="begin"/>
            </w:r>
            <w:r>
              <w:rPr>
                <w:noProof/>
                <w:webHidden/>
              </w:rPr>
              <w:instrText xml:space="preserve"> PAGEREF _Toc199497078 \h </w:instrText>
            </w:r>
            <w:r>
              <w:rPr>
                <w:noProof/>
                <w:webHidden/>
              </w:rPr>
            </w:r>
            <w:r>
              <w:rPr>
                <w:noProof/>
                <w:webHidden/>
              </w:rPr>
              <w:fldChar w:fldCharType="separate"/>
            </w:r>
            <w:r>
              <w:rPr>
                <w:noProof/>
                <w:webHidden/>
              </w:rPr>
              <w:t>24</w:t>
            </w:r>
            <w:r>
              <w:rPr>
                <w:noProof/>
                <w:webHidden/>
              </w:rPr>
              <w:fldChar w:fldCharType="end"/>
            </w:r>
          </w:hyperlink>
        </w:p>
        <w:p w14:paraId="62916901" w14:textId="294CBA9E" w:rsidR="00B00077" w:rsidRDefault="00B00077" w:rsidP="005E671E">
          <w:pPr>
            <w:pStyle w:val="TOC2"/>
            <w:tabs>
              <w:tab w:val="right" w:leader="dot" w:pos="9911"/>
            </w:tabs>
            <w:rPr>
              <w:rFonts w:asciiTheme="minorHAnsi" w:eastAsiaTheme="minorEastAsia" w:hAnsiTheme="minorHAnsi" w:cstheme="minorBidi"/>
              <w:noProof/>
              <w:color w:val="auto"/>
              <w:kern w:val="2"/>
              <w14:ligatures w14:val="standardContextual"/>
            </w:rPr>
          </w:pPr>
          <w:hyperlink w:anchor="_Toc199497079" w:history="1">
            <w:r w:rsidRPr="00782F07">
              <w:rPr>
                <w:rStyle w:val="Hyperlink"/>
                <w:noProof/>
              </w:rPr>
              <w:t>3.3 Management</w:t>
            </w:r>
            <w:r>
              <w:rPr>
                <w:noProof/>
                <w:webHidden/>
              </w:rPr>
              <w:tab/>
            </w:r>
            <w:r>
              <w:rPr>
                <w:noProof/>
                <w:webHidden/>
              </w:rPr>
              <w:fldChar w:fldCharType="begin"/>
            </w:r>
            <w:r>
              <w:rPr>
                <w:noProof/>
                <w:webHidden/>
              </w:rPr>
              <w:instrText xml:space="preserve"> PAGEREF _Toc199497079 \h </w:instrText>
            </w:r>
            <w:r>
              <w:rPr>
                <w:noProof/>
                <w:webHidden/>
              </w:rPr>
            </w:r>
            <w:r>
              <w:rPr>
                <w:noProof/>
                <w:webHidden/>
              </w:rPr>
              <w:fldChar w:fldCharType="separate"/>
            </w:r>
            <w:r>
              <w:rPr>
                <w:noProof/>
                <w:webHidden/>
              </w:rPr>
              <w:t>26</w:t>
            </w:r>
            <w:r>
              <w:rPr>
                <w:noProof/>
                <w:webHidden/>
              </w:rPr>
              <w:fldChar w:fldCharType="end"/>
            </w:r>
          </w:hyperlink>
        </w:p>
        <w:p w14:paraId="7F76445E" w14:textId="09B2DC64"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80" w:history="1">
            <w:r w:rsidRPr="00782F07">
              <w:rPr>
                <w:rStyle w:val="Hyperlink"/>
              </w:rPr>
              <w:t>Evaluation</w:t>
            </w:r>
            <w:r>
              <w:rPr>
                <w:webHidden/>
              </w:rPr>
              <w:tab/>
            </w:r>
            <w:r>
              <w:rPr>
                <w:webHidden/>
              </w:rPr>
              <w:fldChar w:fldCharType="begin"/>
            </w:r>
            <w:r>
              <w:rPr>
                <w:webHidden/>
              </w:rPr>
              <w:instrText xml:space="preserve"> PAGEREF _Toc199497080 \h </w:instrText>
            </w:r>
            <w:r>
              <w:rPr>
                <w:webHidden/>
              </w:rPr>
            </w:r>
            <w:r>
              <w:rPr>
                <w:webHidden/>
              </w:rPr>
              <w:fldChar w:fldCharType="separate"/>
            </w:r>
            <w:r>
              <w:rPr>
                <w:webHidden/>
              </w:rPr>
              <w:t>28</w:t>
            </w:r>
            <w:r>
              <w:rPr>
                <w:webHidden/>
              </w:rPr>
              <w:fldChar w:fldCharType="end"/>
            </w:r>
          </w:hyperlink>
        </w:p>
        <w:p w14:paraId="7729D7C3" w14:textId="3B4E6623"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81" w:history="1">
            <w:r w:rsidRPr="00782F07">
              <w:rPr>
                <w:rStyle w:val="Hyperlink"/>
              </w:rPr>
              <w:t>Related policies, procedures, guidelines and legislation</w:t>
            </w:r>
            <w:r>
              <w:rPr>
                <w:webHidden/>
              </w:rPr>
              <w:tab/>
            </w:r>
            <w:r>
              <w:rPr>
                <w:webHidden/>
              </w:rPr>
              <w:fldChar w:fldCharType="begin"/>
            </w:r>
            <w:r>
              <w:rPr>
                <w:webHidden/>
              </w:rPr>
              <w:instrText xml:space="preserve"> PAGEREF _Toc199497081 \h </w:instrText>
            </w:r>
            <w:r>
              <w:rPr>
                <w:webHidden/>
              </w:rPr>
            </w:r>
            <w:r>
              <w:rPr>
                <w:webHidden/>
              </w:rPr>
              <w:fldChar w:fldCharType="separate"/>
            </w:r>
            <w:r>
              <w:rPr>
                <w:webHidden/>
              </w:rPr>
              <w:t>28</w:t>
            </w:r>
            <w:r>
              <w:rPr>
                <w:webHidden/>
              </w:rPr>
              <w:fldChar w:fldCharType="end"/>
            </w:r>
          </w:hyperlink>
        </w:p>
        <w:p w14:paraId="1B47395F" w14:textId="5A45EBE4"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82" w:history="1">
            <w:r w:rsidRPr="00782F07">
              <w:rPr>
                <w:rStyle w:val="Hyperlink"/>
              </w:rPr>
              <w:t>References</w:t>
            </w:r>
            <w:r>
              <w:rPr>
                <w:webHidden/>
              </w:rPr>
              <w:tab/>
            </w:r>
            <w:r>
              <w:rPr>
                <w:webHidden/>
              </w:rPr>
              <w:fldChar w:fldCharType="begin"/>
            </w:r>
            <w:r>
              <w:rPr>
                <w:webHidden/>
              </w:rPr>
              <w:instrText xml:space="preserve"> PAGEREF _Toc199497082 \h </w:instrText>
            </w:r>
            <w:r>
              <w:rPr>
                <w:webHidden/>
              </w:rPr>
            </w:r>
            <w:r>
              <w:rPr>
                <w:webHidden/>
              </w:rPr>
              <w:fldChar w:fldCharType="separate"/>
            </w:r>
            <w:r>
              <w:rPr>
                <w:webHidden/>
              </w:rPr>
              <w:t>29</w:t>
            </w:r>
            <w:r>
              <w:rPr>
                <w:webHidden/>
              </w:rPr>
              <w:fldChar w:fldCharType="end"/>
            </w:r>
          </w:hyperlink>
        </w:p>
        <w:p w14:paraId="1670A9C9" w14:textId="4877D1C0"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83" w:history="1">
            <w:r w:rsidRPr="00782F07">
              <w:rPr>
                <w:rStyle w:val="Hyperlink"/>
              </w:rPr>
              <w:t>Definition of terms</w:t>
            </w:r>
            <w:r>
              <w:rPr>
                <w:webHidden/>
              </w:rPr>
              <w:tab/>
            </w:r>
            <w:r>
              <w:rPr>
                <w:webHidden/>
              </w:rPr>
              <w:fldChar w:fldCharType="begin"/>
            </w:r>
            <w:r>
              <w:rPr>
                <w:webHidden/>
              </w:rPr>
              <w:instrText xml:space="preserve"> PAGEREF _Toc199497083 \h </w:instrText>
            </w:r>
            <w:r>
              <w:rPr>
                <w:webHidden/>
              </w:rPr>
            </w:r>
            <w:r>
              <w:rPr>
                <w:webHidden/>
              </w:rPr>
              <w:fldChar w:fldCharType="separate"/>
            </w:r>
            <w:r>
              <w:rPr>
                <w:webHidden/>
              </w:rPr>
              <w:t>32</w:t>
            </w:r>
            <w:r>
              <w:rPr>
                <w:webHidden/>
              </w:rPr>
              <w:fldChar w:fldCharType="end"/>
            </w:r>
          </w:hyperlink>
        </w:p>
        <w:p w14:paraId="7B2E474D" w14:textId="54D25C70" w:rsidR="00B00077" w:rsidRDefault="00B00077" w:rsidP="005E671E">
          <w:pPr>
            <w:pStyle w:val="TOC1"/>
            <w:rPr>
              <w:rFonts w:asciiTheme="minorHAnsi" w:eastAsiaTheme="minorEastAsia" w:hAnsiTheme="minorHAnsi" w:cstheme="minorBidi"/>
              <w:color w:val="auto"/>
              <w:kern w:val="2"/>
              <w14:ligatures w14:val="standardContextual"/>
            </w:rPr>
          </w:pPr>
          <w:hyperlink w:anchor="_Toc199497084" w:history="1">
            <w:r w:rsidRPr="00782F07">
              <w:rPr>
                <w:rStyle w:val="Hyperlink"/>
              </w:rPr>
              <w:t>Search terms</w:t>
            </w:r>
            <w:r>
              <w:rPr>
                <w:webHidden/>
              </w:rPr>
              <w:tab/>
            </w:r>
            <w:r>
              <w:rPr>
                <w:webHidden/>
              </w:rPr>
              <w:fldChar w:fldCharType="begin"/>
            </w:r>
            <w:r>
              <w:rPr>
                <w:webHidden/>
              </w:rPr>
              <w:instrText xml:space="preserve"> PAGEREF _Toc199497084 \h </w:instrText>
            </w:r>
            <w:r>
              <w:rPr>
                <w:webHidden/>
              </w:rPr>
            </w:r>
            <w:r>
              <w:rPr>
                <w:webHidden/>
              </w:rPr>
              <w:fldChar w:fldCharType="separate"/>
            </w:r>
            <w:r>
              <w:rPr>
                <w:webHidden/>
              </w:rPr>
              <w:t>33</w:t>
            </w:r>
            <w:r>
              <w:rPr>
                <w:webHidden/>
              </w:rPr>
              <w:fldChar w:fldCharType="end"/>
            </w:r>
          </w:hyperlink>
        </w:p>
        <w:p w14:paraId="39725986" w14:textId="07A4DEB7" w:rsidR="00B00077" w:rsidRDefault="00B00077" w:rsidP="005E671E">
          <w:pPr>
            <w:pStyle w:val="TOC1"/>
          </w:pPr>
          <w:hyperlink w:anchor="_Toc199497085" w:history="1">
            <w:r w:rsidRPr="00782F07">
              <w:rPr>
                <w:rStyle w:val="Hyperlink"/>
              </w:rPr>
              <w:t>Attachments</w:t>
            </w:r>
            <w:r>
              <w:rPr>
                <w:webHidden/>
              </w:rPr>
              <w:tab/>
            </w:r>
            <w:r>
              <w:rPr>
                <w:webHidden/>
              </w:rPr>
              <w:fldChar w:fldCharType="begin"/>
            </w:r>
            <w:r>
              <w:rPr>
                <w:webHidden/>
              </w:rPr>
              <w:instrText xml:space="preserve"> PAGEREF _Toc199497085 \h </w:instrText>
            </w:r>
            <w:r>
              <w:rPr>
                <w:webHidden/>
              </w:rPr>
            </w:r>
            <w:r>
              <w:rPr>
                <w:webHidden/>
              </w:rPr>
              <w:fldChar w:fldCharType="separate"/>
            </w:r>
            <w:r>
              <w:rPr>
                <w:webHidden/>
              </w:rPr>
              <w:t>33</w:t>
            </w:r>
            <w:r>
              <w:rPr>
                <w:webHidden/>
              </w:rPr>
              <w:fldChar w:fldCharType="end"/>
            </w:r>
          </w:hyperlink>
        </w:p>
        <w:p w14:paraId="30B4A55F" w14:textId="270BDC0C" w:rsidR="00F61AE4" w:rsidRPr="00F61AE4" w:rsidRDefault="00F61AE4" w:rsidP="00F61AE4">
          <w:r>
            <w:t>Attachment 1 - Insertion of Nasogastric/Orogastric Feeding Tube (Neonates/Infants)</w:t>
          </w:r>
          <w:r w:rsidR="009C02BD">
            <w:t>………3</w:t>
          </w:r>
          <w:r w:rsidR="00333E14">
            <w:t>7</w:t>
          </w:r>
        </w:p>
        <w:p w14:paraId="026F5A05" w14:textId="280BD41E" w:rsidR="005E671E" w:rsidRPr="005E671E" w:rsidRDefault="005E671E" w:rsidP="005E671E">
          <w:pPr>
            <w:pStyle w:val="TOC1"/>
            <w:rPr>
              <w:rStyle w:val="Hyperlink"/>
            </w:rPr>
          </w:pPr>
          <w:hyperlink r:id="rId11" w:anchor="_Toc198631871" w:history="1">
            <w:r w:rsidRPr="005E671E">
              <w:rPr>
                <w:rStyle w:val="Hyperlink"/>
              </w:rPr>
              <w:t>Attachment 2 – Enteral Tube Feeding Procedure</w:t>
            </w:r>
            <w:r w:rsidRPr="005E671E">
              <w:rPr>
                <w:rStyle w:val="Hyperlink"/>
                <w:webHidden/>
              </w:rPr>
              <w:tab/>
            </w:r>
            <w:r w:rsidRPr="005E671E">
              <w:rPr>
                <w:rStyle w:val="Hyperlink"/>
                <w:webHidden/>
              </w:rPr>
              <w:fldChar w:fldCharType="begin"/>
            </w:r>
            <w:r w:rsidRPr="005E671E">
              <w:rPr>
                <w:rStyle w:val="Hyperlink"/>
                <w:webHidden/>
              </w:rPr>
              <w:instrText xml:space="preserve"> PAGEREF _Toc198631871 \h </w:instrText>
            </w:r>
            <w:r w:rsidRPr="005E671E">
              <w:rPr>
                <w:rStyle w:val="Hyperlink"/>
                <w:webHidden/>
              </w:rPr>
            </w:r>
            <w:r w:rsidRPr="005E671E">
              <w:rPr>
                <w:rStyle w:val="Hyperlink"/>
                <w:webHidden/>
              </w:rPr>
              <w:fldChar w:fldCharType="separate"/>
            </w:r>
            <w:r w:rsidRPr="005E671E">
              <w:rPr>
                <w:rStyle w:val="Hyperlink"/>
                <w:webHidden/>
              </w:rPr>
              <w:t>4</w:t>
            </w:r>
            <w:r w:rsidRPr="005E671E">
              <w:rPr>
                <w:rStyle w:val="Hyperlink"/>
                <w:webHidden/>
              </w:rPr>
              <w:fldChar w:fldCharType="end"/>
            </w:r>
          </w:hyperlink>
          <w:r w:rsidR="00333E14">
            <w:t>2</w:t>
          </w:r>
        </w:p>
        <w:p w14:paraId="04DD2E10" w14:textId="59A1AF5E" w:rsidR="005E671E" w:rsidRPr="005E671E" w:rsidRDefault="005E671E" w:rsidP="005E671E">
          <w:pPr>
            <w:pStyle w:val="TOC1"/>
            <w:rPr>
              <w:rStyle w:val="Hyperlink"/>
            </w:rPr>
          </w:pPr>
          <w:hyperlink r:id="rId12" w:anchor="_Toc198631872" w:history="1">
            <w:r w:rsidRPr="005E671E">
              <w:rPr>
                <w:rStyle w:val="Hyperlink"/>
              </w:rPr>
              <w:t>Attachment 3 – Department of Neonatology Nutrition Guide</w:t>
            </w:r>
            <w:r w:rsidRPr="005E671E">
              <w:rPr>
                <w:rStyle w:val="Hyperlink"/>
                <w:webHidden/>
              </w:rPr>
              <w:tab/>
            </w:r>
            <w:r w:rsidRPr="005E671E">
              <w:rPr>
                <w:rStyle w:val="Hyperlink"/>
                <w:webHidden/>
              </w:rPr>
              <w:fldChar w:fldCharType="begin"/>
            </w:r>
            <w:r w:rsidRPr="005E671E">
              <w:rPr>
                <w:rStyle w:val="Hyperlink"/>
                <w:webHidden/>
              </w:rPr>
              <w:instrText xml:space="preserve"> PAGEREF _Toc198631872 \h </w:instrText>
            </w:r>
            <w:r w:rsidRPr="005E671E">
              <w:rPr>
                <w:rStyle w:val="Hyperlink"/>
                <w:webHidden/>
              </w:rPr>
            </w:r>
            <w:r w:rsidRPr="005E671E">
              <w:rPr>
                <w:rStyle w:val="Hyperlink"/>
                <w:webHidden/>
              </w:rPr>
              <w:fldChar w:fldCharType="separate"/>
            </w:r>
            <w:r w:rsidRPr="005E671E">
              <w:rPr>
                <w:rStyle w:val="Hyperlink"/>
                <w:webHidden/>
              </w:rPr>
              <w:t>4</w:t>
            </w:r>
            <w:r w:rsidRPr="005E671E">
              <w:rPr>
                <w:rStyle w:val="Hyperlink"/>
                <w:webHidden/>
              </w:rPr>
              <w:fldChar w:fldCharType="end"/>
            </w:r>
          </w:hyperlink>
          <w:r w:rsidR="00333E14">
            <w:t>5</w:t>
          </w:r>
        </w:p>
        <w:p w14:paraId="343CD0CA" w14:textId="470782A1" w:rsidR="005E671E" w:rsidRPr="005E671E" w:rsidRDefault="005E671E" w:rsidP="005E671E">
          <w:pPr>
            <w:pStyle w:val="TOC1"/>
            <w:rPr>
              <w:rStyle w:val="Hyperlink"/>
            </w:rPr>
          </w:pPr>
          <w:hyperlink r:id="rId13" w:anchor="_Toc198631873" w:history="1">
            <w:r w:rsidRPr="005E671E">
              <w:rPr>
                <w:rStyle w:val="Hyperlink"/>
              </w:rPr>
              <w:t>Attachment 4 – Standard Feeding Schedules</w:t>
            </w:r>
            <w:r w:rsidRPr="005E671E">
              <w:rPr>
                <w:rStyle w:val="Hyperlink"/>
                <w:webHidden/>
              </w:rPr>
              <w:tab/>
            </w:r>
            <w:r w:rsidRPr="005E671E">
              <w:rPr>
                <w:rStyle w:val="Hyperlink"/>
                <w:webHidden/>
              </w:rPr>
              <w:fldChar w:fldCharType="begin"/>
            </w:r>
            <w:r w:rsidRPr="005E671E">
              <w:rPr>
                <w:rStyle w:val="Hyperlink"/>
                <w:webHidden/>
              </w:rPr>
              <w:instrText xml:space="preserve"> PAGEREF _Toc198631873 \h </w:instrText>
            </w:r>
            <w:r w:rsidRPr="005E671E">
              <w:rPr>
                <w:rStyle w:val="Hyperlink"/>
                <w:webHidden/>
              </w:rPr>
            </w:r>
            <w:r w:rsidRPr="005E671E">
              <w:rPr>
                <w:rStyle w:val="Hyperlink"/>
                <w:webHidden/>
              </w:rPr>
              <w:fldChar w:fldCharType="separate"/>
            </w:r>
            <w:r w:rsidRPr="005E671E">
              <w:rPr>
                <w:rStyle w:val="Hyperlink"/>
                <w:webHidden/>
              </w:rPr>
              <w:t>4</w:t>
            </w:r>
            <w:r w:rsidRPr="005E671E">
              <w:rPr>
                <w:rStyle w:val="Hyperlink"/>
                <w:webHidden/>
              </w:rPr>
              <w:fldChar w:fldCharType="end"/>
            </w:r>
          </w:hyperlink>
          <w:r w:rsidR="00333E14">
            <w:t>6</w:t>
          </w:r>
        </w:p>
        <w:p w14:paraId="1C22AFF7" w14:textId="77777777" w:rsidR="005E671E" w:rsidRPr="005E671E" w:rsidRDefault="005E671E" w:rsidP="005E671E">
          <w:pPr>
            <w:pStyle w:val="TOC1"/>
            <w:rPr>
              <w:rStyle w:val="Hyperlink"/>
            </w:rPr>
          </w:pPr>
          <w:hyperlink r:id="rId14" w:anchor="_Toc198631874" w:history="1">
            <w:r w:rsidRPr="005E671E">
              <w:rPr>
                <w:rStyle w:val="Hyperlink"/>
              </w:rPr>
              <w:t>Attachment 5 – Feeding Intolerance Algorithm</w:t>
            </w:r>
            <w:r w:rsidRPr="005E671E">
              <w:rPr>
                <w:rStyle w:val="Hyperlink"/>
                <w:webHidden/>
              </w:rPr>
              <w:tab/>
            </w:r>
            <w:r w:rsidRPr="005E671E">
              <w:rPr>
                <w:rStyle w:val="Hyperlink"/>
                <w:webHidden/>
              </w:rPr>
              <w:fldChar w:fldCharType="begin"/>
            </w:r>
            <w:r w:rsidRPr="005E671E">
              <w:rPr>
                <w:rStyle w:val="Hyperlink"/>
                <w:webHidden/>
              </w:rPr>
              <w:instrText xml:space="preserve"> PAGEREF _Toc198631874 \h </w:instrText>
            </w:r>
            <w:r w:rsidRPr="005E671E">
              <w:rPr>
                <w:rStyle w:val="Hyperlink"/>
                <w:webHidden/>
              </w:rPr>
            </w:r>
            <w:r w:rsidRPr="005E671E">
              <w:rPr>
                <w:rStyle w:val="Hyperlink"/>
                <w:webHidden/>
              </w:rPr>
              <w:fldChar w:fldCharType="separate"/>
            </w:r>
            <w:r w:rsidRPr="005E671E">
              <w:rPr>
                <w:rStyle w:val="Hyperlink"/>
                <w:webHidden/>
              </w:rPr>
              <w:t>50</w:t>
            </w:r>
            <w:r w:rsidRPr="005E671E">
              <w:rPr>
                <w:rStyle w:val="Hyperlink"/>
                <w:webHidden/>
              </w:rPr>
              <w:fldChar w:fldCharType="end"/>
            </w:r>
          </w:hyperlink>
        </w:p>
        <w:p w14:paraId="79C5521C" w14:textId="4094E26F" w:rsidR="005E671E" w:rsidRPr="005E671E" w:rsidRDefault="005E671E" w:rsidP="005E671E">
          <w:pPr>
            <w:pStyle w:val="TOC1"/>
            <w:rPr>
              <w:rStyle w:val="Hyperlink"/>
            </w:rPr>
          </w:pPr>
          <w:hyperlink r:id="rId15" w:anchor="_Toc198631875" w:history="1">
            <w:r w:rsidRPr="005E671E">
              <w:rPr>
                <w:rStyle w:val="Hyperlink"/>
              </w:rPr>
              <w:t>Attachment 6 – Medela Calesca Milk Warmer</w:t>
            </w:r>
            <w:r w:rsidRPr="005E671E">
              <w:rPr>
                <w:rStyle w:val="Hyperlink"/>
                <w:webHidden/>
              </w:rPr>
              <w:tab/>
            </w:r>
            <w:r w:rsidRPr="005E671E">
              <w:rPr>
                <w:rStyle w:val="Hyperlink"/>
                <w:webHidden/>
              </w:rPr>
              <w:fldChar w:fldCharType="begin"/>
            </w:r>
            <w:r w:rsidRPr="005E671E">
              <w:rPr>
                <w:rStyle w:val="Hyperlink"/>
                <w:webHidden/>
              </w:rPr>
              <w:instrText xml:space="preserve"> PAGEREF _Toc198631875 \h </w:instrText>
            </w:r>
            <w:r w:rsidRPr="005E671E">
              <w:rPr>
                <w:rStyle w:val="Hyperlink"/>
                <w:webHidden/>
              </w:rPr>
            </w:r>
            <w:r w:rsidRPr="005E671E">
              <w:rPr>
                <w:rStyle w:val="Hyperlink"/>
                <w:webHidden/>
              </w:rPr>
              <w:fldChar w:fldCharType="separate"/>
            </w:r>
            <w:r w:rsidRPr="005E671E">
              <w:rPr>
                <w:rStyle w:val="Hyperlink"/>
                <w:webHidden/>
              </w:rPr>
              <w:t>5</w:t>
            </w:r>
            <w:r w:rsidRPr="005E671E">
              <w:rPr>
                <w:rStyle w:val="Hyperlink"/>
                <w:webHidden/>
              </w:rPr>
              <w:fldChar w:fldCharType="end"/>
            </w:r>
          </w:hyperlink>
          <w:r w:rsidR="00333E14">
            <w:t>1</w:t>
          </w:r>
        </w:p>
        <w:p w14:paraId="64C2B476" w14:textId="0FDCFE5E" w:rsidR="00481A6C" w:rsidRPr="005E671E" w:rsidRDefault="005E671E" w:rsidP="005E671E">
          <w:pPr>
            <w:pStyle w:val="TOC1"/>
            <w:rPr>
              <w:color w:val="auto"/>
              <w:u w:val="single"/>
            </w:rPr>
          </w:pPr>
          <w:hyperlink r:id="rId16" w:anchor="_Toc198631876" w:history="1">
            <w:r w:rsidRPr="005E671E">
              <w:rPr>
                <w:rStyle w:val="Hyperlink"/>
              </w:rPr>
              <w:t>Attachment 7 – ESPGHAN Nutrition Recommendations Table</w:t>
            </w:r>
            <w:r w:rsidRPr="005E671E">
              <w:rPr>
                <w:rStyle w:val="Hyperlink"/>
                <w:webHidden/>
              </w:rPr>
              <w:tab/>
            </w:r>
            <w:r w:rsidRPr="005E671E">
              <w:rPr>
                <w:rStyle w:val="Hyperlink"/>
                <w:webHidden/>
              </w:rPr>
              <w:fldChar w:fldCharType="begin"/>
            </w:r>
            <w:r w:rsidRPr="005E671E">
              <w:rPr>
                <w:rStyle w:val="Hyperlink"/>
                <w:webHidden/>
              </w:rPr>
              <w:instrText xml:space="preserve"> PAGEREF _Toc198631876 \h </w:instrText>
            </w:r>
            <w:r w:rsidRPr="005E671E">
              <w:rPr>
                <w:rStyle w:val="Hyperlink"/>
                <w:webHidden/>
              </w:rPr>
            </w:r>
            <w:r w:rsidRPr="005E671E">
              <w:rPr>
                <w:rStyle w:val="Hyperlink"/>
                <w:webHidden/>
              </w:rPr>
              <w:fldChar w:fldCharType="separate"/>
            </w:r>
            <w:r w:rsidRPr="005E671E">
              <w:rPr>
                <w:rStyle w:val="Hyperlink"/>
                <w:webHidden/>
              </w:rPr>
              <w:t>5</w:t>
            </w:r>
            <w:r w:rsidRPr="005E671E">
              <w:rPr>
                <w:rStyle w:val="Hyperlink"/>
                <w:webHidden/>
              </w:rPr>
              <w:fldChar w:fldCharType="end"/>
            </w:r>
          </w:hyperlink>
          <w:r w:rsidR="00A731B8">
            <w:fldChar w:fldCharType="end"/>
          </w:r>
          <w:r w:rsidR="00333E14">
            <w:t>4</w:t>
          </w:r>
        </w:p>
      </w:sdtContent>
    </w:sdt>
    <w:p w14:paraId="1C920A61" w14:textId="77777777" w:rsidR="0078367D" w:rsidRDefault="0078367D" w:rsidP="0078367D">
      <w:pPr>
        <w:pStyle w:val="Heading2"/>
      </w:pPr>
      <w:bookmarkStart w:id="2" w:name="_Toc199497054"/>
      <w:r>
        <w:t>Guideline statement</w:t>
      </w:r>
      <w:bookmarkEnd w:id="2"/>
    </w:p>
    <w:p w14:paraId="6F5034B0" w14:textId="77777777" w:rsidR="00DF0A6E" w:rsidRPr="00DF0A6E" w:rsidRDefault="00DF0A6E" w:rsidP="005D0BE7">
      <w:pPr>
        <w:pStyle w:val="Heading4"/>
        <w:rPr>
          <w:rStyle w:val="Heading4Char"/>
          <w:b/>
        </w:rPr>
      </w:pPr>
      <w:r w:rsidRPr="00DF0A6E">
        <w:rPr>
          <w:rStyle w:val="Heading4Char"/>
          <w:b/>
        </w:rPr>
        <w:t>Background</w:t>
      </w:r>
    </w:p>
    <w:p w14:paraId="730245EF" w14:textId="032FA8CF" w:rsidR="00DF0A6E" w:rsidRPr="00DF0A6E" w:rsidRDefault="00DF0A6E" w:rsidP="00DF0A6E">
      <w:pPr>
        <w:pStyle w:val="BodyCopy"/>
        <w:rPr>
          <w:rStyle w:val="Heading4Char"/>
          <w:b w:val="0"/>
          <w:color w:val="000000" w:themeColor="text1"/>
          <w:szCs w:val="24"/>
          <w:lang w:eastAsia="en-AU"/>
        </w:rPr>
      </w:pPr>
      <w:r w:rsidRPr="00DF0A6E">
        <w:rPr>
          <w:rStyle w:val="Heading4Char"/>
          <w:b w:val="0"/>
          <w:color w:val="000000" w:themeColor="text1"/>
          <w:szCs w:val="24"/>
          <w:lang w:eastAsia="en-AU"/>
        </w:rPr>
        <w:t xml:space="preserve">Premature infants have greater nutritional needs in the neonatal period. Undernutrition during this critical period negatively impacts short and long-term growth and neurological development. This document provides feeding guidelines for neonates </w:t>
      </w:r>
      <w:r w:rsidR="006827DA">
        <w:rPr>
          <w:rStyle w:val="Heading4Char"/>
          <w:b w:val="0"/>
          <w:color w:val="000000" w:themeColor="text1"/>
          <w:szCs w:val="24"/>
          <w:lang w:eastAsia="en-AU"/>
        </w:rPr>
        <w:t xml:space="preserve">in scope </w:t>
      </w:r>
      <w:r w:rsidR="00D507A6">
        <w:rPr>
          <w:rStyle w:val="Heading4Char"/>
          <w:b w:val="0"/>
          <w:color w:val="000000" w:themeColor="text1"/>
          <w:szCs w:val="24"/>
          <w:lang w:eastAsia="en-AU"/>
        </w:rPr>
        <w:t>to ensure their nutritional needs are met</w:t>
      </w:r>
      <w:r w:rsidRPr="00DF0A6E">
        <w:rPr>
          <w:rStyle w:val="Heading4Char"/>
          <w:b w:val="0"/>
          <w:color w:val="000000" w:themeColor="text1"/>
          <w:szCs w:val="24"/>
          <w:lang w:eastAsia="en-AU"/>
        </w:rPr>
        <w:t xml:space="preserve">. </w:t>
      </w:r>
    </w:p>
    <w:p w14:paraId="3941E7B9" w14:textId="77777777" w:rsidR="00DF0A6E" w:rsidRPr="00DF0A6E" w:rsidRDefault="00DF0A6E" w:rsidP="00DF0A6E">
      <w:pPr>
        <w:pStyle w:val="BodyCopy"/>
        <w:rPr>
          <w:rStyle w:val="Heading4Char"/>
        </w:rPr>
      </w:pPr>
      <w:r w:rsidRPr="00DF0A6E">
        <w:rPr>
          <w:rStyle w:val="Heading4Char"/>
        </w:rPr>
        <w:t>Key Objective</w:t>
      </w:r>
    </w:p>
    <w:p w14:paraId="30636E76" w14:textId="77777777" w:rsidR="00DF0A6E" w:rsidRPr="00DF0A6E" w:rsidRDefault="00DF0A6E" w:rsidP="00DF0A6E">
      <w:pPr>
        <w:pStyle w:val="BodyCopy"/>
        <w:rPr>
          <w:rStyle w:val="Heading4Char"/>
          <w:b w:val="0"/>
          <w:color w:val="000000" w:themeColor="text1"/>
          <w:szCs w:val="24"/>
          <w:lang w:eastAsia="en-AU"/>
        </w:rPr>
      </w:pPr>
      <w:r w:rsidRPr="00DF0A6E">
        <w:rPr>
          <w:rStyle w:val="Heading4Char"/>
          <w:b w:val="0"/>
          <w:color w:val="000000" w:themeColor="text1"/>
          <w:szCs w:val="24"/>
          <w:lang w:eastAsia="en-AU"/>
        </w:rPr>
        <w:t>The goal of nutrition is to achieve as near to normal in-utero growth rate as possible. According to the World Health Organisation (WHO) in-utero data, estimated average fetal weight gain is:</w:t>
      </w:r>
    </w:p>
    <w:p w14:paraId="71917EEE" w14:textId="77777777" w:rsidR="00DF0A6E" w:rsidRPr="00DF0A6E" w:rsidRDefault="00DF0A6E" w:rsidP="0071700E">
      <w:pPr>
        <w:pStyle w:val="Bullet"/>
        <w:ind w:left="425" w:hanging="425"/>
        <w:rPr>
          <w:rStyle w:val="Heading4Char"/>
          <w:b w:val="0"/>
          <w:bCs/>
          <w:iCs/>
          <w:color w:val="000000" w:themeColor="text1"/>
          <w:szCs w:val="24"/>
          <w:lang w:eastAsia="en-AU"/>
        </w:rPr>
      </w:pPr>
      <w:r w:rsidRPr="00DF0A6E">
        <w:rPr>
          <w:rStyle w:val="Heading4Char"/>
          <w:b w:val="0"/>
          <w:color w:val="000000" w:themeColor="text1"/>
          <w:szCs w:val="24"/>
          <w:lang w:eastAsia="en-AU"/>
        </w:rPr>
        <w:t>20 to 23 g/kg/d (12 to16 g/d) from 23 to 25 weeks postmenstrual age (PMA)</w:t>
      </w:r>
    </w:p>
    <w:p w14:paraId="75BF5709" w14:textId="77777777" w:rsidR="00DF0A6E" w:rsidRPr="00DF0A6E" w:rsidRDefault="00DF0A6E" w:rsidP="0071700E">
      <w:pPr>
        <w:pStyle w:val="Bullet"/>
        <w:ind w:left="425" w:hanging="425"/>
        <w:rPr>
          <w:rStyle w:val="Heading4Char"/>
          <w:b w:val="0"/>
          <w:color w:val="000000" w:themeColor="text1"/>
          <w:szCs w:val="24"/>
          <w:lang w:eastAsia="en-AU"/>
        </w:rPr>
      </w:pPr>
      <w:r w:rsidRPr="00DF0A6E">
        <w:rPr>
          <w:rStyle w:val="Heading4Char"/>
          <w:b w:val="0"/>
          <w:color w:val="000000" w:themeColor="text1"/>
          <w:szCs w:val="24"/>
          <w:lang w:eastAsia="en-AU"/>
        </w:rPr>
        <w:t xml:space="preserve">17 to 20 g/kg/d (17 to 23 g/d) from 26 to 29 weeks  </w:t>
      </w:r>
    </w:p>
    <w:p w14:paraId="487AE7BC" w14:textId="77777777" w:rsidR="00DF0A6E" w:rsidRPr="00DF0A6E" w:rsidRDefault="00DF0A6E" w:rsidP="0071700E">
      <w:pPr>
        <w:pStyle w:val="Bullet"/>
        <w:ind w:left="425" w:hanging="425"/>
        <w:rPr>
          <w:rStyle w:val="Heading4Char"/>
          <w:b w:val="0"/>
          <w:color w:val="000000" w:themeColor="text1"/>
          <w:szCs w:val="24"/>
          <w:lang w:eastAsia="en-AU"/>
        </w:rPr>
      </w:pPr>
      <w:r w:rsidRPr="00DF0A6E">
        <w:rPr>
          <w:rStyle w:val="Heading4Char"/>
          <w:b w:val="0"/>
          <w:color w:val="000000" w:themeColor="text1"/>
          <w:szCs w:val="24"/>
          <w:lang w:eastAsia="en-AU"/>
        </w:rPr>
        <w:t xml:space="preserve">13 to 17 g/kg/d (24 to 30 g/d) from 30 to 34 weeks and </w:t>
      </w:r>
    </w:p>
    <w:p w14:paraId="2E18EDB1" w14:textId="77777777" w:rsidR="00DF0A6E" w:rsidRPr="00DF0A6E" w:rsidRDefault="00DF0A6E" w:rsidP="0071700E">
      <w:pPr>
        <w:pStyle w:val="Bullet"/>
        <w:ind w:left="425" w:hanging="425"/>
        <w:rPr>
          <w:rStyle w:val="Heading4Char"/>
          <w:b w:val="0"/>
          <w:color w:val="000000" w:themeColor="text1"/>
          <w:szCs w:val="24"/>
          <w:lang w:eastAsia="en-AU"/>
        </w:rPr>
      </w:pPr>
      <w:r w:rsidRPr="00DF0A6E">
        <w:rPr>
          <w:rStyle w:val="Heading4Char"/>
          <w:b w:val="0"/>
          <w:color w:val="000000" w:themeColor="text1"/>
          <w:szCs w:val="24"/>
          <w:lang w:eastAsia="en-AU"/>
        </w:rPr>
        <w:lastRenderedPageBreak/>
        <w:t>10 to 13 g/kg/d (30 to 32 g/d) from 35 to 37 weeks PMA</w:t>
      </w:r>
    </w:p>
    <w:p w14:paraId="0D636357" w14:textId="77777777" w:rsidR="00DF0A6E" w:rsidRPr="00DF0A6E" w:rsidRDefault="00DF0A6E" w:rsidP="00DF0A6E">
      <w:pPr>
        <w:pStyle w:val="BodyCopy"/>
        <w:rPr>
          <w:rStyle w:val="Heading4Char"/>
          <w:b w:val="0"/>
          <w:color w:val="000000" w:themeColor="text1"/>
          <w:szCs w:val="24"/>
          <w:lang w:eastAsia="en-AU"/>
        </w:rPr>
      </w:pPr>
      <w:r w:rsidRPr="00DF0A6E">
        <w:rPr>
          <w:rStyle w:val="Heading4Char"/>
          <w:b w:val="0"/>
          <w:color w:val="000000" w:themeColor="text1"/>
          <w:szCs w:val="24"/>
          <w:lang w:eastAsia="en-AU"/>
        </w:rPr>
        <w:t xml:space="preserve">The aim should be to introduce enteral milk feeds as early as possible. The recommended nutritional practice for very low birthweight infants is to provide mother’s own milk (MOM). along with a human milk fortifier (HMF) to avoid protein and nutrient deficiencies. </w:t>
      </w:r>
    </w:p>
    <w:p w14:paraId="38E6B162" w14:textId="77777777" w:rsidR="00DF0A6E" w:rsidRPr="00DF0A6E" w:rsidRDefault="00DF0A6E" w:rsidP="00DF0A6E">
      <w:pPr>
        <w:pStyle w:val="BodyCopy"/>
        <w:rPr>
          <w:rStyle w:val="Heading4Char"/>
        </w:rPr>
      </w:pPr>
      <w:r w:rsidRPr="00DF0A6E">
        <w:rPr>
          <w:rStyle w:val="Heading4Char"/>
        </w:rPr>
        <w:t xml:space="preserve">Key Points </w:t>
      </w:r>
    </w:p>
    <w:p w14:paraId="052FDFF6" w14:textId="77777777" w:rsidR="00DF0A6E" w:rsidRPr="00DF0A6E" w:rsidRDefault="00DF0A6E" w:rsidP="0071700E">
      <w:pPr>
        <w:pStyle w:val="Bullet"/>
        <w:ind w:left="425" w:hanging="425"/>
        <w:rPr>
          <w:rStyle w:val="Heading4Char"/>
          <w:b w:val="0"/>
          <w:bCs/>
          <w:iCs/>
          <w:color w:val="000000" w:themeColor="text1"/>
          <w:szCs w:val="24"/>
          <w:lang w:eastAsia="en-AU"/>
        </w:rPr>
      </w:pPr>
      <w:r w:rsidRPr="00DF0A6E">
        <w:rPr>
          <w:rStyle w:val="Heading4Char"/>
          <w:b w:val="0"/>
          <w:color w:val="000000" w:themeColor="text1"/>
          <w:szCs w:val="24"/>
          <w:lang w:eastAsia="en-AU"/>
        </w:rPr>
        <w:t>Standardised feeding protocols improve clinical outcomes.</w:t>
      </w:r>
    </w:p>
    <w:p w14:paraId="18AF8E4D" w14:textId="77777777" w:rsidR="00DF0A6E" w:rsidRPr="00DF0A6E" w:rsidRDefault="00DF0A6E" w:rsidP="0071700E">
      <w:pPr>
        <w:pStyle w:val="Bullet"/>
        <w:ind w:left="425" w:hanging="425"/>
        <w:rPr>
          <w:rStyle w:val="Heading4Char"/>
          <w:b w:val="0"/>
          <w:color w:val="000000" w:themeColor="text1"/>
          <w:szCs w:val="24"/>
          <w:lang w:eastAsia="en-AU"/>
        </w:rPr>
      </w:pPr>
      <w:r w:rsidRPr="00DF0A6E">
        <w:rPr>
          <w:rStyle w:val="Heading4Char"/>
          <w:b w:val="0"/>
          <w:color w:val="000000" w:themeColor="text1"/>
          <w:szCs w:val="24"/>
          <w:lang w:eastAsia="en-AU"/>
        </w:rPr>
        <w:t>Mothers’ own breastmilk (MOM) – also referred to as Expressed Breast Milk (EBM) is always the preferred feed.</w:t>
      </w:r>
    </w:p>
    <w:p w14:paraId="21F2E0B6" w14:textId="77777777" w:rsidR="00DF0A6E" w:rsidRPr="00DF0A6E" w:rsidRDefault="00DF0A6E" w:rsidP="0071700E">
      <w:pPr>
        <w:pStyle w:val="Bullet"/>
        <w:ind w:left="425" w:hanging="425"/>
        <w:rPr>
          <w:rStyle w:val="Heading4Char"/>
          <w:b w:val="0"/>
          <w:color w:val="000000" w:themeColor="text1"/>
          <w:szCs w:val="24"/>
          <w:lang w:eastAsia="en-AU"/>
        </w:rPr>
      </w:pPr>
      <w:r w:rsidRPr="00DF0A6E">
        <w:rPr>
          <w:rStyle w:val="Heading4Char"/>
          <w:b w:val="0"/>
          <w:color w:val="000000" w:themeColor="text1"/>
          <w:szCs w:val="24"/>
          <w:lang w:eastAsia="en-AU"/>
        </w:rPr>
        <w:t>Pasteurised Donor Human Milk (PDHM) is available to eligible infants.</w:t>
      </w:r>
    </w:p>
    <w:p w14:paraId="2192EDCE" w14:textId="0971E192" w:rsidR="00A55107" w:rsidRDefault="00DF0A6E" w:rsidP="00481A6C">
      <w:pPr>
        <w:pStyle w:val="Bullet"/>
        <w:ind w:left="425" w:hanging="425"/>
      </w:pPr>
      <w:r w:rsidRPr="00DF0A6E">
        <w:rPr>
          <w:rStyle w:val="Heading4Char"/>
          <w:b w:val="0"/>
          <w:color w:val="000000" w:themeColor="text1"/>
          <w:szCs w:val="24"/>
          <w:lang w:eastAsia="en-AU"/>
        </w:rPr>
        <w:t>Early commencement of enteral feeds with 18 to 30 ml/kg/day advancements does not increase the risk of Necrotising Enterocolitis (NEC).</w:t>
      </w:r>
    </w:p>
    <w:p w14:paraId="507E8385" w14:textId="17AEA23E" w:rsidR="00481A6C" w:rsidRDefault="00481A6C" w:rsidP="00481A6C">
      <w:pPr>
        <w:pStyle w:val="BodyCopy"/>
        <w:rPr>
          <w:rStyle w:val="Hyperlink"/>
          <w:iCs w:val="0"/>
        </w:rPr>
      </w:pPr>
      <w:hyperlink w:anchor="_top" w:history="1">
        <w:r w:rsidRPr="00481A6C">
          <w:rPr>
            <w:rStyle w:val="Hyperlink"/>
            <w:iCs w:val="0"/>
          </w:rPr>
          <w:t>Back to Contents</w:t>
        </w:r>
      </w:hyperlink>
    </w:p>
    <w:p w14:paraId="20887317" w14:textId="77777777" w:rsidR="0078367D" w:rsidRPr="0078367D" w:rsidRDefault="0078367D" w:rsidP="0078367D">
      <w:pPr>
        <w:pStyle w:val="Heading2"/>
        <w:rPr>
          <w:iCs/>
        </w:rPr>
      </w:pPr>
      <w:bookmarkStart w:id="3" w:name="_Toc199497055"/>
      <w:r w:rsidRPr="0078367D">
        <w:rPr>
          <w:rStyle w:val="Hyperlink"/>
          <w:u w:val="none"/>
        </w:rPr>
        <w:t>Scope</w:t>
      </w:r>
      <w:bookmarkEnd w:id="3"/>
    </w:p>
    <w:p w14:paraId="008FFD64" w14:textId="4FA1A04B" w:rsidR="00DF0A6E" w:rsidRDefault="00DF0A6E" w:rsidP="00DF0A6E">
      <w:pPr>
        <w:pStyle w:val="BodyCopy"/>
        <w:rPr>
          <w:rFonts w:eastAsia="Calibri"/>
        </w:rPr>
      </w:pPr>
      <w:r w:rsidRPr="00C73903">
        <w:t xml:space="preserve">This document provides feeding guidelines for neonates </w:t>
      </w:r>
      <w:r w:rsidR="0049444D">
        <w:t xml:space="preserve">admitted to Canberra Health Services (CHS) specifically </w:t>
      </w:r>
      <w:r w:rsidRPr="00C73903">
        <w:t>Department of Neonatology at the Centenary Hospital for Women, Youth, and Children</w:t>
      </w:r>
      <w:r w:rsidR="0049444D">
        <w:t xml:space="preserve"> and North Canberra Hospital</w:t>
      </w:r>
      <w:r w:rsidR="008A6041">
        <w:t xml:space="preserve">. </w:t>
      </w:r>
    </w:p>
    <w:p w14:paraId="2EF8A83E" w14:textId="10E5A5B7" w:rsidR="00DF0A6E" w:rsidRPr="0004759C" w:rsidRDefault="00DF0A6E" w:rsidP="00DF0A6E">
      <w:pPr>
        <w:pStyle w:val="BodyCopy"/>
        <w:rPr>
          <w:rFonts w:eastAsia="Calibri"/>
        </w:rPr>
      </w:pPr>
      <w:r w:rsidRPr="743239BD">
        <w:rPr>
          <w:rFonts w:eastAsia="Calibri"/>
        </w:rPr>
        <w:t xml:space="preserve">This document applies to the following </w:t>
      </w:r>
      <w:r w:rsidR="0049444D">
        <w:rPr>
          <w:rFonts w:eastAsia="Calibri"/>
        </w:rPr>
        <w:t xml:space="preserve">CHS </w:t>
      </w:r>
      <w:r w:rsidR="0064704F">
        <w:rPr>
          <w:rFonts w:eastAsia="Calibri"/>
        </w:rPr>
        <w:t>staff working</w:t>
      </w:r>
      <w:r w:rsidRPr="743239BD">
        <w:rPr>
          <w:rFonts w:eastAsia="Calibri"/>
        </w:rPr>
        <w:t xml:space="preserve"> within their scope of practice:</w:t>
      </w:r>
    </w:p>
    <w:p w14:paraId="145B0DDF" w14:textId="77777777" w:rsidR="00DF0A6E" w:rsidRPr="0004759C" w:rsidRDefault="00DF0A6E" w:rsidP="00C20F00">
      <w:pPr>
        <w:pStyle w:val="Bullet"/>
        <w:numPr>
          <w:ilvl w:val="0"/>
          <w:numId w:val="15"/>
        </w:numPr>
        <w:ind w:left="425" w:hanging="425"/>
        <w:rPr>
          <w:rFonts w:eastAsia="Calibri"/>
        </w:rPr>
      </w:pPr>
      <w:r w:rsidRPr="743239BD">
        <w:rPr>
          <w:rFonts w:eastAsia="Calibri"/>
        </w:rPr>
        <w:t>Medical Officers</w:t>
      </w:r>
    </w:p>
    <w:p w14:paraId="042FDD99" w14:textId="77777777" w:rsidR="00DF0A6E" w:rsidRPr="0004759C" w:rsidRDefault="00DF0A6E" w:rsidP="00C20F00">
      <w:pPr>
        <w:pStyle w:val="Bullet"/>
        <w:numPr>
          <w:ilvl w:val="0"/>
          <w:numId w:val="15"/>
        </w:numPr>
        <w:ind w:left="425" w:hanging="425"/>
        <w:rPr>
          <w:rFonts w:eastAsia="Calibri"/>
        </w:rPr>
      </w:pPr>
      <w:r w:rsidRPr="743239BD">
        <w:rPr>
          <w:rFonts w:eastAsia="Calibri"/>
        </w:rPr>
        <w:t xml:space="preserve">Nurses and Midwives </w:t>
      </w:r>
    </w:p>
    <w:p w14:paraId="3B54ED8B" w14:textId="77777777" w:rsidR="00DF0A6E" w:rsidRDefault="00DF0A6E" w:rsidP="00C20F00">
      <w:pPr>
        <w:pStyle w:val="Bullet"/>
        <w:numPr>
          <w:ilvl w:val="0"/>
          <w:numId w:val="15"/>
        </w:numPr>
        <w:ind w:left="425" w:hanging="425"/>
        <w:rPr>
          <w:rFonts w:eastAsia="Calibri"/>
        </w:rPr>
      </w:pPr>
      <w:r w:rsidRPr="743239BD">
        <w:rPr>
          <w:rFonts w:eastAsia="Calibri"/>
        </w:rPr>
        <w:t xml:space="preserve">Allied Health </w:t>
      </w:r>
      <w:r>
        <w:rPr>
          <w:rFonts w:eastAsia="Calibri"/>
        </w:rPr>
        <w:t>Professionals</w:t>
      </w:r>
    </w:p>
    <w:p w14:paraId="4429BD1C" w14:textId="77777777" w:rsidR="00DF0A6E" w:rsidRPr="0004759C" w:rsidRDefault="00DF0A6E" w:rsidP="00C20F00">
      <w:pPr>
        <w:pStyle w:val="Bullet"/>
        <w:numPr>
          <w:ilvl w:val="0"/>
          <w:numId w:val="15"/>
        </w:numPr>
        <w:ind w:left="425" w:hanging="425"/>
        <w:rPr>
          <w:rFonts w:eastAsia="Calibri"/>
        </w:rPr>
      </w:pPr>
      <w:r>
        <w:rPr>
          <w:rFonts w:eastAsia="Calibri"/>
        </w:rPr>
        <w:t>Nutrition Room Technician</w:t>
      </w:r>
    </w:p>
    <w:p w14:paraId="1048A19C" w14:textId="72A7A7AA" w:rsidR="00DF0A6E" w:rsidRPr="0004759C" w:rsidRDefault="00DF0A6E" w:rsidP="00C20F00">
      <w:pPr>
        <w:pStyle w:val="Bullet"/>
        <w:numPr>
          <w:ilvl w:val="0"/>
          <w:numId w:val="15"/>
        </w:numPr>
        <w:ind w:left="425" w:hanging="425"/>
        <w:rPr>
          <w:rFonts w:eastAsia="Calibri"/>
        </w:rPr>
      </w:pPr>
      <w:r w:rsidRPr="743239BD">
        <w:rPr>
          <w:rFonts w:eastAsia="Calibri"/>
        </w:rPr>
        <w:t xml:space="preserve">Student under </w:t>
      </w:r>
      <w:r>
        <w:rPr>
          <w:rFonts w:eastAsia="Calibri"/>
        </w:rPr>
        <w:t xml:space="preserve">direct </w:t>
      </w:r>
      <w:r w:rsidRPr="743239BD">
        <w:rPr>
          <w:rFonts w:eastAsia="Calibri"/>
        </w:rPr>
        <w:t>supervision</w:t>
      </w:r>
      <w:r w:rsidR="008A6041">
        <w:rPr>
          <w:rFonts w:eastAsia="Calibri"/>
        </w:rPr>
        <w:t>.</w:t>
      </w:r>
      <w:r>
        <w:t xml:space="preserve"> </w:t>
      </w:r>
    </w:p>
    <w:p w14:paraId="2A12DEA9" w14:textId="4B0796AF" w:rsidR="00481A6C" w:rsidRDefault="00481A6C" w:rsidP="00481A6C">
      <w:pPr>
        <w:pStyle w:val="BodyCopy"/>
        <w:rPr>
          <w:iCs w:val="0"/>
        </w:rPr>
      </w:pPr>
      <w:hyperlink w:anchor="_top" w:history="1">
        <w:r w:rsidRPr="00481A6C">
          <w:rPr>
            <w:rStyle w:val="Hyperlink"/>
            <w:iCs w:val="0"/>
          </w:rPr>
          <w:t>Back to Contents</w:t>
        </w:r>
      </w:hyperlink>
    </w:p>
    <w:p w14:paraId="3296E50A" w14:textId="59162D10" w:rsidR="00A55107" w:rsidRDefault="0078367D" w:rsidP="00A55107">
      <w:pPr>
        <w:pStyle w:val="Heading2"/>
      </w:pPr>
      <w:bookmarkStart w:id="4" w:name="_Toc199497056"/>
      <w:r>
        <w:t xml:space="preserve">Section 1 </w:t>
      </w:r>
      <w:r w:rsidR="00A55107">
        <w:t>Feeding Guideline</w:t>
      </w:r>
      <w:bookmarkEnd w:id="4"/>
    </w:p>
    <w:p w14:paraId="29A80935"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b/>
          <w:bCs w:val="0"/>
        </w:rPr>
      </w:pPr>
      <w:bookmarkStart w:id="5" w:name="_Toc174601146"/>
      <w:r w:rsidRPr="008A6041">
        <w:rPr>
          <w:b/>
          <w:bCs w:val="0"/>
        </w:rPr>
        <w:t>Alert:</w:t>
      </w:r>
    </w:p>
    <w:p w14:paraId="2E75F9D7"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pPr>
      <w:r w:rsidRPr="008A6041">
        <w:t>All preterm neonates are to ideally receive breastmilk, preferably in the order in which it was expressed. This ensures that all infants receive the nutritional and immunological benefits of colostrum and early milk.</w:t>
      </w:r>
    </w:p>
    <w:p w14:paraId="7EFE80CC"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pPr>
      <w:r w:rsidRPr="008A6041">
        <w:t>Mothers/birth parent are encouraged to express within 2 hours post-birth.</w:t>
      </w:r>
    </w:p>
    <w:p w14:paraId="04A00E32"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pPr>
      <w:r w:rsidRPr="008A6041">
        <w:t xml:space="preserve">When approaching 12 hours, and if no MOM available, PDHM should be considered for eligible infants. </w:t>
      </w:r>
    </w:p>
    <w:p w14:paraId="0B4D3FDA"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pPr>
      <w:r w:rsidRPr="008A6041">
        <w:lastRenderedPageBreak/>
        <w:t>Refer to the CHS Breastfeeding Guideline available on the CHS Policy and Guidance Documents Register, for further information on breastmilk expression.</w:t>
      </w:r>
    </w:p>
    <w:p w14:paraId="2D973DB4"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pPr>
      <w:r w:rsidRPr="00E45B52">
        <w:t>Initiation of “Ready to Use” breast milk substitute/formula and bottle feeding requires parental consent before initiation. This is to be documented in the patient’s medical records.</w:t>
      </w:r>
    </w:p>
    <w:p w14:paraId="08FC8DD1" w14:textId="082CA99E" w:rsidR="00A55107" w:rsidRPr="00A55107" w:rsidRDefault="0064704F" w:rsidP="005D0BE7">
      <w:pPr>
        <w:pStyle w:val="Heading4"/>
        <w:rPr>
          <w:szCs w:val="72"/>
        </w:rPr>
      </w:pPr>
      <w:r w:rsidRPr="00A55107">
        <w:t>1.1 Enteral</w:t>
      </w:r>
      <w:r w:rsidR="00A55107" w:rsidRPr="00A55107">
        <w:t xml:space="preserve"> Feed Choice</w:t>
      </w:r>
      <w:bookmarkEnd w:id="5"/>
    </w:p>
    <w:p w14:paraId="062C3A60" w14:textId="1696EF88" w:rsidR="00DF0A6E" w:rsidRPr="00366292" w:rsidRDefault="00DF0A6E" w:rsidP="0064704F">
      <w:pPr>
        <w:pStyle w:val="Bullet"/>
        <w:ind w:left="357" w:hanging="357"/>
      </w:pPr>
      <w:bookmarkStart w:id="6" w:name="_Toc174601147"/>
      <w:r w:rsidRPr="00F04555">
        <w:t xml:space="preserve">Mothers </w:t>
      </w:r>
      <w:r>
        <w:t>O</w:t>
      </w:r>
      <w:r w:rsidRPr="00F04555">
        <w:t xml:space="preserve">wn </w:t>
      </w:r>
      <w:r>
        <w:t>Milk</w:t>
      </w:r>
      <w:r w:rsidRPr="00F04555">
        <w:t xml:space="preserve"> (MOM)</w:t>
      </w:r>
      <w:r>
        <w:t xml:space="preserve"> or Expressed Breast Milk (EBM) (</w:t>
      </w:r>
      <w:r w:rsidRPr="00366292">
        <w:t>preferred feed</w:t>
      </w:r>
      <w:r>
        <w:t xml:space="preserve"> choice).</w:t>
      </w:r>
      <w:r w:rsidRPr="00366292">
        <w:t xml:space="preserve"> </w:t>
      </w:r>
    </w:p>
    <w:p w14:paraId="69C83B4E" w14:textId="2279C515" w:rsidR="00DF0A6E" w:rsidRDefault="00DF0A6E" w:rsidP="0064704F">
      <w:pPr>
        <w:pStyle w:val="Bullet"/>
        <w:ind w:left="357" w:hanging="357"/>
      </w:pPr>
      <w:r w:rsidRPr="00F04555">
        <w:t>Pasteurised Donor Human Milk (PDHM)</w:t>
      </w:r>
      <w:r>
        <w:t>.</w:t>
      </w:r>
      <w:r w:rsidRPr="00F04555">
        <w:t xml:space="preserve"> </w:t>
      </w:r>
    </w:p>
    <w:p w14:paraId="419815A6" w14:textId="333849FE" w:rsidR="00DF0A6E" w:rsidRPr="00F037DB" w:rsidRDefault="00DF0A6E" w:rsidP="0064704F">
      <w:pPr>
        <w:pStyle w:val="Bullet"/>
        <w:numPr>
          <w:ilvl w:val="1"/>
          <w:numId w:val="1"/>
        </w:numPr>
        <w:ind w:left="850"/>
      </w:pPr>
      <w:r w:rsidRPr="00F037DB">
        <w:t>Available to eligible inpatients less than 32 weeks and/or less than</w:t>
      </w:r>
      <w:r>
        <w:t xml:space="preserve"> </w:t>
      </w:r>
      <w:r w:rsidRPr="00F037DB">
        <w:t xml:space="preserve">1500 grams (refer to </w:t>
      </w:r>
      <w:hyperlink w:anchor="_Section_2_–" w:history="1">
        <w:r w:rsidRPr="00510DC1">
          <w:rPr>
            <w:rStyle w:val="Hyperlink"/>
            <w:color w:val="000000" w:themeColor="text1"/>
            <w:u w:val="none"/>
          </w:rPr>
          <w:t>Section 2 - Pasteurised Donor Human Milk (PDHM)</w:t>
        </w:r>
      </w:hyperlink>
      <w:r w:rsidRPr="00F037DB">
        <w:t>)</w:t>
      </w:r>
      <w:r>
        <w:t>.</w:t>
      </w:r>
    </w:p>
    <w:p w14:paraId="028353E1" w14:textId="7FE7FE10" w:rsidR="00DF0A6E" w:rsidRDefault="00DF0A6E" w:rsidP="0064704F">
      <w:pPr>
        <w:pStyle w:val="Bullet"/>
        <w:ind w:left="357" w:hanging="357"/>
      </w:pPr>
      <w:r>
        <w:t>“Ready To Use” breast milk substitute / formula (used when infant is unable to receive breastmilk).</w:t>
      </w:r>
    </w:p>
    <w:p w14:paraId="033598A9" w14:textId="200FA864" w:rsidR="00DF0A6E" w:rsidRPr="00F037DB" w:rsidRDefault="00DF0A6E" w:rsidP="0064704F">
      <w:pPr>
        <w:pStyle w:val="Bullet"/>
        <w:numPr>
          <w:ilvl w:val="1"/>
          <w:numId w:val="1"/>
        </w:numPr>
        <w:ind w:left="850"/>
      </w:pPr>
      <w:r w:rsidRPr="00F037DB">
        <w:t>Preterm Formula (PTF)</w:t>
      </w:r>
    </w:p>
    <w:p w14:paraId="3A2E4E89" w14:textId="4B6ADA15" w:rsidR="00DF0A6E" w:rsidRPr="00F037DB" w:rsidRDefault="00DF0A6E" w:rsidP="0064704F">
      <w:pPr>
        <w:pStyle w:val="Bullet"/>
        <w:numPr>
          <w:ilvl w:val="1"/>
          <w:numId w:val="1"/>
        </w:numPr>
        <w:ind w:left="850"/>
      </w:pPr>
      <w:r w:rsidRPr="00F037DB">
        <w:t>Term Formula</w:t>
      </w:r>
    </w:p>
    <w:p w14:paraId="1AEFB5D2" w14:textId="1C96FABE" w:rsidR="00A55107" w:rsidRPr="00E3337C" w:rsidRDefault="0064704F" w:rsidP="005D0BE7">
      <w:pPr>
        <w:pStyle w:val="Heading3"/>
      </w:pPr>
      <w:bookmarkStart w:id="7" w:name="_Toc199497057"/>
      <w:r w:rsidRPr="00E3337C">
        <w:t>1.2 Enteral</w:t>
      </w:r>
      <w:r w:rsidR="00A55107" w:rsidRPr="00E3337C">
        <w:t xml:space="preserve"> Feeding Methods</w:t>
      </w:r>
      <w:bookmarkEnd w:id="6"/>
      <w:bookmarkEnd w:id="7"/>
    </w:p>
    <w:p w14:paraId="7155E88C" w14:textId="2112194D" w:rsidR="00DF0A6E" w:rsidRPr="00DF0A6E" w:rsidRDefault="00DF0A6E" w:rsidP="00DF0A6E">
      <w:pPr>
        <w:pStyle w:val="BodyCopy"/>
        <w:rPr>
          <w:rFonts w:eastAsiaTheme="minorEastAsia"/>
        </w:rPr>
      </w:pPr>
      <w:r w:rsidRPr="00DF0A6E">
        <w:rPr>
          <w:rFonts w:eastAsiaTheme="minorEastAsia"/>
        </w:rPr>
        <w:t>There are 3 methods of enteral feeding commonly used in the Neonatal Intensive Care Unit (NICU) and Special Care Nursery (SCN)</w:t>
      </w:r>
      <w:r w:rsidR="00F425C7">
        <w:rPr>
          <w:rFonts w:eastAsiaTheme="minorEastAsia"/>
        </w:rPr>
        <w:t>. T</w:t>
      </w:r>
      <w:r w:rsidRPr="00DF0A6E">
        <w:rPr>
          <w:rFonts w:eastAsiaTheme="minorEastAsia"/>
        </w:rPr>
        <w:t>he</w:t>
      </w:r>
      <w:r w:rsidR="003D0EE7">
        <w:rPr>
          <w:rFonts w:eastAsiaTheme="minorEastAsia"/>
        </w:rPr>
        <w:t>se</w:t>
      </w:r>
      <w:r w:rsidRPr="00DF0A6E">
        <w:rPr>
          <w:rFonts w:eastAsiaTheme="minorEastAsia"/>
        </w:rPr>
        <w:t xml:space="preserve"> include:</w:t>
      </w:r>
    </w:p>
    <w:p w14:paraId="07C73654" w14:textId="5866963B" w:rsidR="00DF0A6E" w:rsidRPr="00DF0A6E" w:rsidRDefault="00DF0A6E" w:rsidP="0064704F">
      <w:pPr>
        <w:pStyle w:val="Bullet"/>
        <w:ind w:left="357" w:hanging="357"/>
        <w:rPr>
          <w:rFonts w:eastAsiaTheme="minorEastAsia"/>
        </w:rPr>
      </w:pPr>
      <w:r w:rsidRPr="00DF0A6E">
        <w:rPr>
          <w:rFonts w:eastAsiaTheme="minorEastAsia"/>
        </w:rPr>
        <w:t>enteral tube feeding</w:t>
      </w:r>
    </w:p>
    <w:p w14:paraId="007BE48D" w14:textId="60611E47" w:rsidR="00DF0A6E" w:rsidRPr="00DF0A6E" w:rsidRDefault="00DF0A6E" w:rsidP="0064704F">
      <w:pPr>
        <w:pStyle w:val="Bullet"/>
        <w:ind w:left="357" w:hanging="357"/>
        <w:rPr>
          <w:rFonts w:eastAsiaTheme="minorEastAsia"/>
        </w:rPr>
      </w:pPr>
      <w:r w:rsidRPr="00DF0A6E">
        <w:rPr>
          <w:rFonts w:eastAsiaTheme="minorEastAsia"/>
        </w:rPr>
        <w:t>breastfeeding</w:t>
      </w:r>
    </w:p>
    <w:p w14:paraId="2BFB92E5" w14:textId="2B7DBAA4" w:rsidR="00DF0A6E" w:rsidRPr="00DF0A6E" w:rsidRDefault="00DF0A6E" w:rsidP="0064704F">
      <w:pPr>
        <w:pStyle w:val="Bullet"/>
        <w:ind w:left="357" w:hanging="357"/>
        <w:rPr>
          <w:rFonts w:eastAsiaTheme="minorEastAsia"/>
        </w:rPr>
      </w:pPr>
      <w:r w:rsidRPr="00DF0A6E">
        <w:rPr>
          <w:rFonts w:eastAsiaTheme="minorEastAsia"/>
        </w:rPr>
        <w:t>paced bottle feeding</w:t>
      </w:r>
    </w:p>
    <w:p w14:paraId="79DFBCA7" w14:textId="09936972" w:rsidR="00DF0A6E" w:rsidRPr="00DF0A6E" w:rsidRDefault="00DF0A6E" w:rsidP="00DF0A6E">
      <w:pPr>
        <w:pStyle w:val="BodyCopy"/>
        <w:rPr>
          <w:rFonts w:eastAsiaTheme="minorEastAsia"/>
        </w:rPr>
      </w:pPr>
      <w:r w:rsidRPr="00DF0A6E">
        <w:rPr>
          <w:rFonts w:eastAsiaTheme="minorEastAsia"/>
        </w:rPr>
        <w:t>It is important to coordinate feeding sessions and to promote kangaroo cuddles for when parents are available, to help promote infant-parental bonding and developmental care.</w:t>
      </w:r>
    </w:p>
    <w:p w14:paraId="45B84CEC" w14:textId="5A877A22" w:rsidR="00DF0A6E" w:rsidRPr="00DF0A6E" w:rsidRDefault="00A55107" w:rsidP="00DF0A6E">
      <w:pPr>
        <w:pStyle w:val="Heading6"/>
        <w:rPr>
          <w:rFonts w:eastAsiaTheme="minorHAnsi"/>
        </w:rPr>
      </w:pPr>
      <w:r>
        <w:rPr>
          <w:rFonts w:eastAsiaTheme="minorHAnsi"/>
        </w:rPr>
        <w:t xml:space="preserve">Enteral </w:t>
      </w:r>
      <w:r w:rsidRPr="00204690">
        <w:rPr>
          <w:rFonts w:eastAsiaTheme="minorHAnsi"/>
        </w:rPr>
        <w:t>Tube Feeding</w:t>
      </w:r>
    </w:p>
    <w:p w14:paraId="1D2601AC"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rFonts w:eastAsiaTheme="minorEastAsia"/>
          <w:b/>
        </w:rPr>
      </w:pPr>
      <w:r w:rsidRPr="008A6041">
        <w:rPr>
          <w:rFonts w:eastAsiaTheme="minorEastAsia"/>
          <w:b/>
        </w:rPr>
        <w:t>Note:</w:t>
      </w:r>
    </w:p>
    <w:p w14:paraId="561AF41B"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rFonts w:eastAsiaTheme="minorEastAsia"/>
        </w:rPr>
      </w:pPr>
      <w:r w:rsidRPr="008A6041">
        <w:rPr>
          <w:rFonts w:eastAsiaTheme="minorEastAsia"/>
        </w:rPr>
        <w:t>For infants on long term low flow nasal cannula oxygen and trying to establish suck feeds, it may be appropriate to use a NGT instead of an OGT. Seek advice from the Neonatologist before proceeding with NGT.</w:t>
      </w:r>
    </w:p>
    <w:p w14:paraId="63139ABB" w14:textId="19DF6829"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rFonts w:eastAsiaTheme="minorEastAsia"/>
        </w:rPr>
      </w:pPr>
      <w:r w:rsidRPr="008A6041">
        <w:rPr>
          <w:rFonts w:eastAsiaTheme="minorEastAsia"/>
        </w:rPr>
        <w:t xml:space="preserve">For insertion for enteral tube, refer to </w:t>
      </w:r>
      <w:r w:rsidRPr="008A6041">
        <w:rPr>
          <w:rFonts w:eastAsiaTheme="minorEastAsia"/>
          <w:b/>
        </w:rPr>
        <w:t>Attachment 1</w:t>
      </w:r>
      <w:r w:rsidR="00A86079">
        <w:rPr>
          <w:rFonts w:eastAsiaTheme="minorEastAsia"/>
          <w:b/>
        </w:rPr>
        <w:t xml:space="preserve"> </w:t>
      </w:r>
      <w:r w:rsidR="00A86079" w:rsidRPr="00A86079">
        <w:rPr>
          <w:rFonts w:eastAsiaTheme="minorEastAsia"/>
          <w:bCs w:val="0"/>
        </w:rPr>
        <w:t>-</w:t>
      </w:r>
      <w:r w:rsidRPr="008A6041">
        <w:rPr>
          <w:rFonts w:eastAsiaTheme="minorEastAsia"/>
        </w:rPr>
        <w:t xml:space="preserve"> Insertion of Nasogastric/Orogastric Feeding Tube (Neonates/Infants).</w:t>
      </w:r>
    </w:p>
    <w:p w14:paraId="76749668" w14:textId="1A654D69" w:rsidR="00DF0A6E" w:rsidRPr="00510DC1" w:rsidRDefault="00DF0A6E" w:rsidP="00C20F00">
      <w:pPr>
        <w:pStyle w:val="Bullet"/>
        <w:numPr>
          <w:ilvl w:val="0"/>
          <w:numId w:val="16"/>
        </w:numPr>
        <w:ind w:left="425" w:hanging="425"/>
        <w:rPr>
          <w:rFonts w:eastAsiaTheme="minorEastAsia"/>
          <w:color w:val="000000"/>
        </w:rPr>
      </w:pPr>
      <w:r w:rsidRPr="1A6045E7">
        <w:rPr>
          <w:rFonts w:eastAsiaTheme="minorEastAsia"/>
        </w:rPr>
        <w:t xml:space="preserve">Orogastric (OGT) and nasogastric (NGT) tubes are frequently used for the management of infants who require nutritional support, decompression of the gastrointestinal tract (GIT), diagnosis and assessment, and/or medication administration. </w:t>
      </w:r>
    </w:p>
    <w:p w14:paraId="71BB0778" w14:textId="77777777" w:rsidR="00DF0A6E" w:rsidRPr="005500C2" w:rsidRDefault="00DF0A6E" w:rsidP="0064704F">
      <w:pPr>
        <w:pStyle w:val="Bullet"/>
        <w:ind w:left="425" w:hanging="425"/>
        <w:rPr>
          <w:rFonts w:eastAsiaTheme="minorHAnsi" w:cstheme="minorHAnsi"/>
          <w:b/>
          <w:bCs/>
          <w:color w:val="000000"/>
        </w:rPr>
      </w:pPr>
      <w:r>
        <w:rPr>
          <w:rFonts w:eastAsiaTheme="minorHAnsi" w:cstheme="minorHAnsi"/>
          <w:color w:val="000000"/>
        </w:rPr>
        <w:lastRenderedPageBreak/>
        <w:t xml:space="preserve">NGT is preferred as evidence </w:t>
      </w:r>
      <w:r w:rsidRPr="00D836A6">
        <w:rPr>
          <w:rFonts w:eastAsiaTheme="minorHAnsi" w:cstheme="minorHAnsi"/>
          <w:color w:val="000000"/>
        </w:rPr>
        <w:t xml:space="preserve">suggests that infants receiving nasogastric tube feeds achieve full enteral feeding sooner than those receiving </w:t>
      </w:r>
      <w:r>
        <w:rPr>
          <w:rFonts w:eastAsiaTheme="minorHAnsi" w:cstheme="minorHAnsi"/>
          <w:color w:val="000000"/>
        </w:rPr>
        <w:t>OGT</w:t>
      </w:r>
      <w:r w:rsidRPr="00D836A6">
        <w:rPr>
          <w:rFonts w:eastAsiaTheme="minorHAnsi" w:cstheme="minorHAnsi"/>
          <w:color w:val="000000"/>
        </w:rPr>
        <w:t xml:space="preserve"> feeds, with a lower incidence of aspiration or tube displacement</w:t>
      </w:r>
      <w:r>
        <w:rPr>
          <w:rFonts w:eastAsiaTheme="minorHAnsi" w:cstheme="minorHAnsi"/>
          <w:color w:val="000000"/>
        </w:rPr>
        <w:t>.</w:t>
      </w:r>
    </w:p>
    <w:p w14:paraId="2F1A71D1" w14:textId="77777777" w:rsidR="00DF0A6E" w:rsidRPr="00320CDA" w:rsidRDefault="00DF0A6E" w:rsidP="0064704F">
      <w:pPr>
        <w:pStyle w:val="Bullet"/>
        <w:ind w:left="425" w:hanging="425"/>
        <w:rPr>
          <w:rFonts w:eastAsiaTheme="minorHAnsi" w:cstheme="minorHAnsi"/>
          <w:b/>
          <w:bCs/>
          <w:color w:val="000000"/>
        </w:rPr>
      </w:pPr>
      <w:r w:rsidRPr="003F28A1">
        <w:rPr>
          <w:rFonts w:eastAsiaTheme="minorHAnsi" w:cstheme="minorHAnsi"/>
          <w:color w:val="000000"/>
        </w:rPr>
        <w:t>OG</w:t>
      </w:r>
      <w:r>
        <w:rPr>
          <w:rFonts w:eastAsiaTheme="minorHAnsi" w:cstheme="minorHAnsi"/>
          <w:color w:val="000000"/>
        </w:rPr>
        <w:t xml:space="preserve">T </w:t>
      </w:r>
      <w:r w:rsidRPr="003F28A1">
        <w:rPr>
          <w:rFonts w:eastAsiaTheme="minorHAnsi" w:cstheme="minorHAnsi"/>
          <w:color w:val="000000"/>
        </w:rPr>
        <w:t xml:space="preserve">are to be used for the following infants: </w:t>
      </w:r>
    </w:p>
    <w:p w14:paraId="248D3612" w14:textId="77777777" w:rsidR="00DF0A6E" w:rsidRPr="00ED5020" w:rsidRDefault="00DF0A6E" w:rsidP="0064704F">
      <w:pPr>
        <w:pStyle w:val="Bullet"/>
        <w:numPr>
          <w:ilvl w:val="1"/>
          <w:numId w:val="1"/>
        </w:numPr>
        <w:ind w:left="850"/>
        <w:rPr>
          <w:rFonts w:asciiTheme="minorHAnsi" w:eastAsiaTheme="minorEastAsia" w:hAnsiTheme="minorHAnsi" w:cstheme="minorBidi"/>
          <w:b/>
          <w:bCs/>
          <w:color w:val="000000"/>
        </w:rPr>
      </w:pPr>
      <w:r w:rsidRPr="1A6045E7">
        <w:rPr>
          <w:rFonts w:asciiTheme="minorHAnsi" w:eastAsiaTheme="minorEastAsia" w:hAnsiTheme="minorHAnsi" w:cstheme="minorBidi"/>
          <w:color w:val="000000"/>
        </w:rPr>
        <w:t>Requiring respiratory support i.e.</w:t>
      </w:r>
      <w:r>
        <w:rPr>
          <w:rFonts w:asciiTheme="minorHAnsi" w:eastAsiaTheme="minorEastAsia" w:hAnsiTheme="minorHAnsi" w:cstheme="minorBidi"/>
          <w:color w:val="000000"/>
        </w:rPr>
        <w:t>,</w:t>
      </w:r>
      <w:r w:rsidRPr="1A6045E7">
        <w:rPr>
          <w:rFonts w:asciiTheme="minorHAnsi" w:eastAsiaTheme="minorEastAsia" w:hAnsiTheme="minorHAnsi" w:cstheme="minorBidi"/>
          <w:color w:val="000000"/>
        </w:rPr>
        <w:t xml:space="preserve"> Continuous Positive Airway Pressure (CPAP), ventilation</w:t>
      </w:r>
      <w:r>
        <w:rPr>
          <w:rFonts w:asciiTheme="minorHAnsi" w:eastAsiaTheme="minorEastAsia" w:hAnsiTheme="minorHAnsi" w:cstheme="minorBidi"/>
          <w:color w:val="000000"/>
        </w:rPr>
        <w:t>.</w:t>
      </w:r>
    </w:p>
    <w:p w14:paraId="58600D88" w14:textId="77777777" w:rsidR="00DF0A6E" w:rsidRPr="00ED5020" w:rsidRDefault="00DF0A6E" w:rsidP="0064704F">
      <w:pPr>
        <w:pStyle w:val="Bullet"/>
        <w:numPr>
          <w:ilvl w:val="1"/>
          <w:numId w:val="1"/>
        </w:numPr>
        <w:ind w:left="850"/>
        <w:rPr>
          <w:rFonts w:asciiTheme="minorHAnsi" w:eastAsiaTheme="minorHAnsi" w:hAnsiTheme="minorHAnsi" w:cstheme="minorHAnsi"/>
          <w:b/>
          <w:bCs/>
          <w:color w:val="000000"/>
        </w:rPr>
      </w:pPr>
      <w:r w:rsidRPr="00ED5020">
        <w:rPr>
          <w:rFonts w:asciiTheme="minorHAnsi" w:eastAsiaTheme="minorHAnsi" w:hAnsiTheme="minorHAnsi" w:cstheme="minorHAnsi"/>
          <w:color w:val="000000"/>
        </w:rPr>
        <w:t>Showing signs of respiratory distress</w:t>
      </w:r>
      <w:r>
        <w:rPr>
          <w:rFonts w:asciiTheme="minorHAnsi" w:eastAsiaTheme="minorHAnsi" w:hAnsiTheme="minorHAnsi" w:cstheme="minorHAnsi"/>
          <w:color w:val="000000"/>
        </w:rPr>
        <w:t>.</w:t>
      </w:r>
    </w:p>
    <w:p w14:paraId="77F3EEB3" w14:textId="77777777" w:rsidR="00DF0A6E" w:rsidRPr="00FE4C7F" w:rsidRDefault="00DF0A6E" w:rsidP="0064704F">
      <w:pPr>
        <w:pStyle w:val="Bullet"/>
        <w:numPr>
          <w:ilvl w:val="1"/>
          <w:numId w:val="1"/>
        </w:numPr>
        <w:ind w:left="850"/>
        <w:rPr>
          <w:rFonts w:asciiTheme="minorHAnsi" w:eastAsiaTheme="minorEastAsia" w:hAnsiTheme="minorHAnsi" w:cstheme="minorBidi"/>
          <w:b/>
          <w:bCs/>
          <w:color w:val="000000"/>
        </w:rPr>
      </w:pPr>
      <w:r w:rsidRPr="50BDB2FB">
        <w:rPr>
          <w:rFonts w:asciiTheme="minorHAnsi" w:eastAsiaTheme="minorEastAsia" w:hAnsiTheme="minorHAnsi" w:cstheme="minorBidi"/>
          <w:color w:val="000000"/>
        </w:rPr>
        <w:t xml:space="preserve">Diagnosed with choanal atresia or </w:t>
      </w:r>
      <w:r>
        <w:rPr>
          <w:rFonts w:asciiTheme="minorHAnsi" w:eastAsiaTheme="minorEastAsia" w:hAnsiTheme="minorHAnsi" w:cstheme="minorBidi"/>
          <w:color w:val="000000"/>
        </w:rPr>
        <w:t>complete bilateral cleft palate.</w:t>
      </w:r>
      <w:r w:rsidRPr="50BDB2FB">
        <w:rPr>
          <w:rFonts w:asciiTheme="minorHAnsi" w:eastAsiaTheme="minorEastAsia" w:hAnsiTheme="minorHAnsi" w:cstheme="minorBidi"/>
          <w:color w:val="000000"/>
        </w:rPr>
        <w:t xml:space="preserve"> </w:t>
      </w:r>
    </w:p>
    <w:p w14:paraId="64193020" w14:textId="77777777" w:rsidR="00DF0A6E" w:rsidRPr="00596705" w:rsidRDefault="00DF0A6E" w:rsidP="0064704F">
      <w:pPr>
        <w:pStyle w:val="Bullet"/>
        <w:ind w:left="425" w:hanging="425"/>
        <w:rPr>
          <w:rFonts w:eastAsiaTheme="minorHAnsi"/>
          <w:b/>
          <w:bCs/>
        </w:rPr>
      </w:pPr>
      <w:r>
        <w:rPr>
          <w:rFonts w:eastAsiaTheme="minorHAnsi"/>
        </w:rPr>
        <w:t>Transpyloric Tube (TPT)</w:t>
      </w:r>
    </w:p>
    <w:p w14:paraId="3558396E" w14:textId="77777777" w:rsidR="00DF0A6E" w:rsidRPr="00FE4C7F" w:rsidRDefault="00DF0A6E" w:rsidP="0064704F">
      <w:pPr>
        <w:pStyle w:val="Bullet"/>
        <w:numPr>
          <w:ilvl w:val="1"/>
          <w:numId w:val="1"/>
        </w:numPr>
        <w:ind w:left="850"/>
        <w:rPr>
          <w:rFonts w:asciiTheme="minorHAnsi" w:eastAsiaTheme="minorHAnsi" w:hAnsiTheme="minorHAnsi" w:cstheme="minorHAnsi"/>
          <w:b/>
          <w:bCs/>
          <w:color w:val="000000"/>
        </w:rPr>
      </w:pPr>
      <w:r>
        <w:t xml:space="preserve">Occasionally, infants may require the insertion of a transpyloric tube – e.g., Duodenal atresia – post-operatively. </w:t>
      </w:r>
    </w:p>
    <w:p w14:paraId="14A009D4" w14:textId="77777777" w:rsidR="00DF0A6E" w:rsidRPr="00AD095A" w:rsidRDefault="00DF0A6E" w:rsidP="0064704F">
      <w:pPr>
        <w:pStyle w:val="Bullet"/>
        <w:numPr>
          <w:ilvl w:val="1"/>
          <w:numId w:val="1"/>
        </w:numPr>
        <w:ind w:left="850"/>
        <w:rPr>
          <w:rFonts w:asciiTheme="minorHAnsi" w:eastAsiaTheme="minorHAnsi" w:hAnsiTheme="minorHAnsi" w:cstheme="minorHAnsi"/>
          <w:b/>
          <w:bCs/>
          <w:color w:val="000000"/>
        </w:rPr>
      </w:pPr>
      <w:r>
        <w:t>TPTs are inserted by a medical officer (MO) and placement is confirmed by x-ray due to the difficulty with tube placement and risk of perforation of gut.</w:t>
      </w:r>
    </w:p>
    <w:p w14:paraId="0B2C9BF6" w14:textId="77777777" w:rsidR="009F46B5" w:rsidRDefault="009F46B5" w:rsidP="00E3337C">
      <w:pPr>
        <w:pStyle w:val="Heading6"/>
      </w:pPr>
    </w:p>
    <w:p w14:paraId="694389B1" w14:textId="5CA042B9" w:rsidR="00A55107" w:rsidRPr="00FE4C7F" w:rsidRDefault="00A55107" w:rsidP="00E3337C">
      <w:pPr>
        <w:pStyle w:val="Heading6"/>
        <w:rPr>
          <w:rFonts w:asciiTheme="minorHAnsi" w:eastAsiaTheme="minorHAnsi" w:hAnsiTheme="minorHAnsi" w:cstheme="minorHAnsi"/>
          <w:b/>
          <w:bCs/>
          <w:color w:val="000000"/>
        </w:rPr>
      </w:pPr>
      <w:r w:rsidRPr="00FE4C7F">
        <w:t>Breastfeeding</w:t>
      </w:r>
    </w:p>
    <w:p w14:paraId="26F8AFC7" w14:textId="77777777" w:rsidR="00DF0A6E" w:rsidRPr="00E10AC2" w:rsidRDefault="00DF0A6E" w:rsidP="0064704F">
      <w:pPr>
        <w:pStyle w:val="Bullet"/>
        <w:ind w:left="425" w:hanging="425"/>
        <w:rPr>
          <w:rFonts w:eastAsiaTheme="minorHAnsi"/>
          <w:b/>
          <w:bCs/>
        </w:rPr>
      </w:pPr>
      <w:r>
        <w:rPr>
          <w:rFonts w:eastAsiaTheme="minorHAnsi"/>
        </w:rPr>
        <w:t>Infants greater than or equal to 34 weeks corrected gestational age (CGA), who are medically stable are encouraged to commence suck feeding if they are showing signs of feeding readiness such as:</w:t>
      </w:r>
    </w:p>
    <w:p w14:paraId="2D7C3372" w14:textId="77777777" w:rsidR="00DF0A6E" w:rsidRPr="003E5038" w:rsidRDefault="00DF0A6E" w:rsidP="0064704F">
      <w:pPr>
        <w:pStyle w:val="Bullet"/>
        <w:numPr>
          <w:ilvl w:val="1"/>
          <w:numId w:val="1"/>
        </w:numPr>
        <w:ind w:left="714" w:hanging="357"/>
        <w:rPr>
          <w:rFonts w:eastAsiaTheme="minorHAnsi"/>
          <w:b/>
          <w:bCs/>
        </w:rPr>
      </w:pPr>
      <w:r>
        <w:rPr>
          <w:rFonts w:eastAsiaTheme="minorHAnsi"/>
        </w:rPr>
        <w:t xml:space="preserve">Rooting </w:t>
      </w:r>
    </w:p>
    <w:p w14:paraId="10CE6134" w14:textId="77777777" w:rsidR="00DF0A6E" w:rsidRPr="003E5038" w:rsidRDefault="00DF0A6E" w:rsidP="0064704F">
      <w:pPr>
        <w:pStyle w:val="Bullet"/>
        <w:numPr>
          <w:ilvl w:val="1"/>
          <w:numId w:val="1"/>
        </w:numPr>
        <w:ind w:left="714" w:hanging="357"/>
        <w:rPr>
          <w:rFonts w:eastAsiaTheme="minorHAnsi"/>
          <w:b/>
          <w:bCs/>
        </w:rPr>
      </w:pPr>
      <w:r>
        <w:rPr>
          <w:rFonts w:eastAsiaTheme="minorHAnsi"/>
        </w:rPr>
        <w:t>Waking for feeds</w:t>
      </w:r>
    </w:p>
    <w:p w14:paraId="5873B1A0" w14:textId="77777777" w:rsidR="00DF0A6E" w:rsidRPr="003E5038" w:rsidRDefault="00DF0A6E" w:rsidP="0064704F">
      <w:pPr>
        <w:pStyle w:val="Bullet"/>
        <w:numPr>
          <w:ilvl w:val="1"/>
          <w:numId w:val="1"/>
        </w:numPr>
        <w:ind w:left="714" w:hanging="357"/>
        <w:rPr>
          <w:rFonts w:eastAsiaTheme="minorHAnsi"/>
          <w:b/>
          <w:bCs/>
        </w:rPr>
      </w:pPr>
      <w:r>
        <w:rPr>
          <w:rFonts w:eastAsiaTheme="minorHAnsi"/>
        </w:rPr>
        <w:t>Sucking on dummy</w:t>
      </w:r>
    </w:p>
    <w:p w14:paraId="697227A1" w14:textId="77777777" w:rsidR="00DF0A6E" w:rsidRPr="004D34F1" w:rsidRDefault="00DF0A6E" w:rsidP="0064704F">
      <w:pPr>
        <w:pStyle w:val="Bullet"/>
        <w:numPr>
          <w:ilvl w:val="1"/>
          <w:numId w:val="1"/>
        </w:numPr>
        <w:ind w:left="714" w:hanging="357"/>
        <w:rPr>
          <w:rFonts w:eastAsiaTheme="minorHAnsi"/>
          <w:b/>
          <w:bCs/>
        </w:rPr>
      </w:pPr>
      <w:r>
        <w:rPr>
          <w:rFonts w:eastAsiaTheme="minorHAnsi"/>
        </w:rPr>
        <w:t>Other hunger cues</w:t>
      </w:r>
    </w:p>
    <w:p w14:paraId="5B6749E4" w14:textId="77777777" w:rsidR="00DF0A6E" w:rsidRPr="007F29AB" w:rsidRDefault="00DF0A6E" w:rsidP="0064704F">
      <w:pPr>
        <w:pStyle w:val="Bullet"/>
        <w:ind w:left="425" w:hanging="425"/>
        <w:rPr>
          <w:rFonts w:asciiTheme="minorHAnsi" w:eastAsiaTheme="minorHAnsi" w:hAnsiTheme="minorHAnsi" w:cstheme="minorHAnsi"/>
          <w:color w:val="000000"/>
        </w:rPr>
      </w:pPr>
      <w:r>
        <w:rPr>
          <w:rFonts w:eastAsiaTheme="minorHAnsi"/>
        </w:rPr>
        <w:t xml:space="preserve">Kangaroo cuddles or skin-to-skin contact with the mother can help promote breastfeeding. </w:t>
      </w:r>
    </w:p>
    <w:p w14:paraId="248A9A14" w14:textId="77777777" w:rsidR="00DF0A6E" w:rsidRDefault="00DF0A6E" w:rsidP="0064704F">
      <w:pPr>
        <w:pStyle w:val="Bullet"/>
        <w:ind w:left="425" w:hanging="425"/>
        <w:rPr>
          <w:rFonts w:eastAsiaTheme="minorHAnsi"/>
        </w:rPr>
      </w:pPr>
      <w:r>
        <w:rPr>
          <w:rFonts w:eastAsiaTheme="minorHAnsi"/>
        </w:rPr>
        <w:t xml:space="preserve">Mothers/birth parent should be encouraged to have breast cuddles with their neonate to encourage familiarity and confidence on the breast for both mother/birth parent and neonate.  </w:t>
      </w:r>
    </w:p>
    <w:p w14:paraId="7445BA78" w14:textId="77777777" w:rsidR="00DF0A6E" w:rsidRDefault="00DF0A6E" w:rsidP="0064704F">
      <w:pPr>
        <w:pStyle w:val="Bullet"/>
        <w:ind w:left="425" w:hanging="425"/>
        <w:rPr>
          <w:rFonts w:eastAsiaTheme="minorHAnsi"/>
        </w:rPr>
      </w:pPr>
      <w:r>
        <w:rPr>
          <w:rFonts w:eastAsiaTheme="minorHAnsi"/>
        </w:rPr>
        <w:t>If required, referral to be sent to a Lactation Consultant.</w:t>
      </w:r>
    </w:p>
    <w:p w14:paraId="320F7931" w14:textId="77777777" w:rsidR="00DF0A6E" w:rsidRPr="00AD095A" w:rsidRDefault="00DF0A6E" w:rsidP="0064704F">
      <w:pPr>
        <w:pStyle w:val="Bullet"/>
        <w:ind w:left="425" w:hanging="425"/>
        <w:rPr>
          <w:rFonts w:eastAsiaTheme="minorHAnsi"/>
        </w:rPr>
      </w:pPr>
      <w:r>
        <w:rPr>
          <w:rFonts w:eastAsiaTheme="minorHAnsi"/>
        </w:rPr>
        <w:t xml:space="preserve">Refer to </w:t>
      </w:r>
      <w:r w:rsidRPr="0022355E">
        <w:rPr>
          <w:rFonts w:eastAsiaTheme="minorHAnsi"/>
          <w:i/>
          <w:iCs/>
        </w:rPr>
        <w:t>Breastfeeding Guideline</w:t>
      </w:r>
      <w:r>
        <w:rPr>
          <w:rFonts w:eastAsiaTheme="minorHAnsi"/>
        </w:rPr>
        <w:t xml:space="preserve"> available on the CHS Policy and Guidance Documents Register. </w:t>
      </w:r>
      <w:r w:rsidDel="008E7492">
        <w:rPr>
          <w:rFonts w:eastAsiaTheme="minorHAnsi"/>
        </w:rPr>
        <w:t xml:space="preserve"> </w:t>
      </w:r>
    </w:p>
    <w:p w14:paraId="30A1778A" w14:textId="77777777" w:rsidR="009F46B5" w:rsidRDefault="009F46B5" w:rsidP="00E3337C">
      <w:pPr>
        <w:pStyle w:val="Heading6"/>
        <w:rPr>
          <w:rFonts w:eastAsiaTheme="minorEastAsia"/>
        </w:rPr>
      </w:pPr>
    </w:p>
    <w:p w14:paraId="68A9390F" w14:textId="4967DD4C" w:rsidR="00A55107" w:rsidRPr="00204690" w:rsidRDefault="00A55107" w:rsidP="00E3337C">
      <w:pPr>
        <w:pStyle w:val="Heading6"/>
        <w:rPr>
          <w:rFonts w:eastAsiaTheme="minorEastAsia"/>
          <w:color w:val="000000"/>
        </w:rPr>
      </w:pPr>
      <w:r>
        <w:rPr>
          <w:rFonts w:eastAsiaTheme="minorEastAsia"/>
        </w:rPr>
        <w:t xml:space="preserve">Pace </w:t>
      </w:r>
      <w:r w:rsidRPr="1A6045E7">
        <w:rPr>
          <w:rFonts w:eastAsiaTheme="minorEastAsia"/>
        </w:rPr>
        <w:t>Bottle Feeding</w:t>
      </w:r>
    </w:p>
    <w:p w14:paraId="7FFACECC" w14:textId="77777777" w:rsidR="00EB516D" w:rsidRPr="004D34F1" w:rsidRDefault="00EB516D" w:rsidP="0064704F">
      <w:pPr>
        <w:pStyle w:val="Bullet"/>
        <w:ind w:left="425" w:hanging="425"/>
        <w:rPr>
          <w:rFonts w:eastAsiaTheme="minorHAnsi"/>
          <w:b/>
          <w:bCs/>
        </w:rPr>
      </w:pPr>
      <w:r>
        <w:rPr>
          <w:rFonts w:eastAsiaTheme="minorHAnsi"/>
        </w:rPr>
        <w:t>Infants greater than or equal to 34 weeks corrected gestational age (CGA) are encouraged to commence suck feeding if they are showing signs of feeding readiness such as:</w:t>
      </w:r>
    </w:p>
    <w:p w14:paraId="53DC6EE8" w14:textId="77777777" w:rsidR="00EB516D" w:rsidRPr="00BE4671" w:rsidRDefault="00EB516D" w:rsidP="0064704F">
      <w:pPr>
        <w:pStyle w:val="Bullet"/>
        <w:numPr>
          <w:ilvl w:val="1"/>
          <w:numId w:val="1"/>
        </w:numPr>
        <w:ind w:left="714" w:hanging="357"/>
        <w:rPr>
          <w:rFonts w:eastAsiaTheme="minorHAnsi"/>
          <w:b/>
          <w:bCs/>
        </w:rPr>
      </w:pPr>
      <w:r>
        <w:rPr>
          <w:rFonts w:eastAsiaTheme="minorHAnsi"/>
        </w:rPr>
        <w:t xml:space="preserve">Rooting </w:t>
      </w:r>
    </w:p>
    <w:p w14:paraId="4A978B6E" w14:textId="77777777" w:rsidR="00EB516D" w:rsidRPr="00BE4671" w:rsidRDefault="00EB516D" w:rsidP="0064704F">
      <w:pPr>
        <w:pStyle w:val="Bullet"/>
        <w:numPr>
          <w:ilvl w:val="1"/>
          <w:numId w:val="1"/>
        </w:numPr>
        <w:ind w:left="714" w:hanging="357"/>
        <w:rPr>
          <w:rFonts w:eastAsiaTheme="minorHAnsi"/>
          <w:b/>
          <w:bCs/>
        </w:rPr>
      </w:pPr>
      <w:r>
        <w:rPr>
          <w:rFonts w:eastAsiaTheme="minorHAnsi"/>
        </w:rPr>
        <w:t>Waking for feeds</w:t>
      </w:r>
    </w:p>
    <w:p w14:paraId="32CCC9F0" w14:textId="77777777" w:rsidR="00EB516D" w:rsidRPr="003E5038" w:rsidRDefault="00EB516D" w:rsidP="0064704F">
      <w:pPr>
        <w:pStyle w:val="Bullet"/>
        <w:numPr>
          <w:ilvl w:val="1"/>
          <w:numId w:val="1"/>
        </w:numPr>
        <w:ind w:left="714" w:hanging="357"/>
        <w:rPr>
          <w:rFonts w:eastAsiaTheme="minorHAnsi"/>
          <w:b/>
          <w:bCs/>
        </w:rPr>
      </w:pPr>
      <w:r>
        <w:rPr>
          <w:rFonts w:eastAsiaTheme="minorHAnsi"/>
        </w:rPr>
        <w:lastRenderedPageBreak/>
        <w:t>Sucking on dummy</w:t>
      </w:r>
    </w:p>
    <w:p w14:paraId="756BC0E5" w14:textId="40239EFC" w:rsidR="00EB516D" w:rsidRPr="00404AFC" w:rsidRDefault="00EB516D" w:rsidP="0064704F">
      <w:pPr>
        <w:pStyle w:val="Bullet"/>
        <w:numPr>
          <w:ilvl w:val="1"/>
          <w:numId w:val="1"/>
        </w:numPr>
        <w:ind w:left="714" w:hanging="357"/>
        <w:rPr>
          <w:rFonts w:eastAsiaTheme="minorHAnsi"/>
          <w:b/>
          <w:bCs/>
        </w:rPr>
      </w:pPr>
      <w:r>
        <w:rPr>
          <w:rFonts w:eastAsiaTheme="minorHAnsi"/>
        </w:rPr>
        <w:t>Other hunger cues</w:t>
      </w:r>
      <w:r w:rsidR="00F425C7">
        <w:rPr>
          <w:rFonts w:eastAsiaTheme="minorHAnsi"/>
        </w:rPr>
        <w:t>.</w:t>
      </w:r>
    </w:p>
    <w:p w14:paraId="41D400AF" w14:textId="77777777" w:rsidR="00EB516D" w:rsidRPr="00FE4C7F" w:rsidRDefault="00EB516D" w:rsidP="0064704F">
      <w:pPr>
        <w:pStyle w:val="Bullet"/>
        <w:ind w:left="425" w:hanging="425"/>
        <w:rPr>
          <w:rFonts w:eastAsiaTheme="minorEastAsia"/>
        </w:rPr>
      </w:pPr>
      <w:r w:rsidRPr="6675AFDB">
        <w:rPr>
          <w:rFonts w:eastAsiaTheme="minorEastAsia"/>
        </w:rPr>
        <w:t xml:space="preserve">Parents </w:t>
      </w:r>
      <w:r>
        <w:rPr>
          <w:rFonts w:eastAsiaTheme="minorEastAsia"/>
        </w:rPr>
        <w:t>must provide informed consent</w:t>
      </w:r>
      <w:r w:rsidRPr="6675AFDB">
        <w:rPr>
          <w:rFonts w:eastAsiaTheme="minorEastAsia"/>
        </w:rPr>
        <w:t xml:space="preserve"> before bottle feeding is commenced. </w:t>
      </w:r>
      <w:r>
        <w:rPr>
          <w:rFonts w:eastAsiaTheme="minorEastAsia"/>
        </w:rPr>
        <w:t>Consent (verbal) must be documented in the infant’s medical records.</w:t>
      </w:r>
    </w:p>
    <w:p w14:paraId="7D2B1E33" w14:textId="77777777" w:rsidR="00EB516D" w:rsidRPr="003E5038" w:rsidRDefault="00EB516D" w:rsidP="0064704F">
      <w:pPr>
        <w:pStyle w:val="Bullet"/>
        <w:ind w:left="425" w:hanging="425"/>
        <w:rPr>
          <w:rFonts w:eastAsiaTheme="minorEastAsia"/>
          <w:color w:val="000000"/>
        </w:rPr>
      </w:pPr>
      <w:r w:rsidRPr="66A47BAB">
        <w:rPr>
          <w:rFonts w:eastAsiaTheme="minorEastAsia"/>
        </w:rPr>
        <w:t xml:space="preserve">The bedside nurse can clinically assess the suitability of the flow rate for the teat.  </w:t>
      </w:r>
    </w:p>
    <w:p w14:paraId="7A32888E" w14:textId="77777777" w:rsidR="00EB516D" w:rsidRPr="003E5038" w:rsidRDefault="00EB516D" w:rsidP="0064704F">
      <w:pPr>
        <w:pStyle w:val="Bullet"/>
        <w:ind w:left="425" w:hanging="425"/>
        <w:rPr>
          <w:rFonts w:eastAsiaTheme="minorEastAsia"/>
          <w:color w:val="000000"/>
        </w:rPr>
      </w:pPr>
      <w:r>
        <w:rPr>
          <w:rFonts w:eastAsiaTheme="minorEastAsia"/>
        </w:rPr>
        <w:t>Consider referring infant to Speech Pathology for the following at risk criteria:</w:t>
      </w:r>
    </w:p>
    <w:p w14:paraId="7FAD9D81" w14:textId="77777777" w:rsidR="00EB516D" w:rsidRPr="003E5038" w:rsidRDefault="00EB516D" w:rsidP="0064704F">
      <w:pPr>
        <w:pStyle w:val="Bullet"/>
        <w:numPr>
          <w:ilvl w:val="1"/>
          <w:numId w:val="1"/>
        </w:numPr>
        <w:ind w:left="714" w:hanging="357"/>
        <w:rPr>
          <w:rFonts w:eastAsiaTheme="minorEastAsia"/>
          <w:color w:val="000000"/>
        </w:rPr>
      </w:pPr>
      <w:r>
        <w:rPr>
          <w:rFonts w:eastAsiaTheme="minorEastAsia"/>
        </w:rPr>
        <w:t>Infants born less than 28 weeks GA</w:t>
      </w:r>
    </w:p>
    <w:p w14:paraId="428049AF" w14:textId="4DD02778" w:rsidR="00EB516D" w:rsidRPr="003E5038" w:rsidRDefault="00EB516D" w:rsidP="0064704F">
      <w:pPr>
        <w:pStyle w:val="Bullet"/>
        <w:numPr>
          <w:ilvl w:val="1"/>
          <w:numId w:val="1"/>
        </w:numPr>
        <w:ind w:left="714" w:hanging="357"/>
        <w:rPr>
          <w:rFonts w:eastAsiaTheme="minorEastAsia"/>
          <w:color w:val="000000"/>
        </w:rPr>
      </w:pPr>
      <w:r>
        <w:rPr>
          <w:rFonts w:eastAsiaTheme="minorEastAsia"/>
        </w:rPr>
        <w:t xml:space="preserve">Infants with Chronic Lung Disease (requiring oxygen therapy after </w:t>
      </w:r>
      <w:r w:rsidR="00FB557C">
        <w:rPr>
          <w:rFonts w:eastAsiaTheme="minorEastAsia"/>
        </w:rPr>
        <w:t>37-week</w:t>
      </w:r>
      <w:r>
        <w:rPr>
          <w:rFonts w:eastAsiaTheme="minorEastAsia"/>
        </w:rPr>
        <w:t xml:space="preserve"> CGA)</w:t>
      </w:r>
    </w:p>
    <w:p w14:paraId="4E97A719" w14:textId="77777777" w:rsidR="00EB516D" w:rsidRPr="003E5038" w:rsidRDefault="00EB516D" w:rsidP="0064704F">
      <w:pPr>
        <w:pStyle w:val="Bullet"/>
        <w:numPr>
          <w:ilvl w:val="1"/>
          <w:numId w:val="1"/>
        </w:numPr>
        <w:ind w:left="714" w:hanging="357"/>
        <w:rPr>
          <w:rFonts w:eastAsiaTheme="minorEastAsia"/>
          <w:color w:val="000000"/>
        </w:rPr>
      </w:pPr>
      <w:r>
        <w:rPr>
          <w:rFonts w:eastAsiaTheme="minorEastAsia"/>
        </w:rPr>
        <w:t>Neurological conditions</w:t>
      </w:r>
    </w:p>
    <w:p w14:paraId="76124E3E" w14:textId="3196F706" w:rsidR="00A55107" w:rsidRPr="003E5038" w:rsidRDefault="00EB516D" w:rsidP="0064704F">
      <w:pPr>
        <w:pStyle w:val="Bullet"/>
        <w:numPr>
          <w:ilvl w:val="1"/>
          <w:numId w:val="1"/>
        </w:numPr>
        <w:ind w:left="714" w:hanging="357"/>
        <w:rPr>
          <w:rFonts w:eastAsiaTheme="minorEastAsia"/>
          <w:color w:val="000000"/>
        </w:rPr>
      </w:pPr>
      <w:r>
        <w:rPr>
          <w:rFonts w:eastAsiaTheme="minorEastAsia"/>
        </w:rPr>
        <w:t>Genetic disorders affecting airway/digestive tract such as Tracheoesophageal fistulas (TOF)</w:t>
      </w:r>
      <w:r w:rsidR="00F425C7">
        <w:rPr>
          <w:rFonts w:eastAsiaTheme="minorEastAsia"/>
        </w:rPr>
        <w:t>.</w:t>
      </w:r>
      <w:r w:rsidR="00A42AE3">
        <w:rPr>
          <w:rFonts w:eastAsiaTheme="minorEastAsia"/>
        </w:rPr>
        <w:t xml:space="preserve">   </w:t>
      </w:r>
    </w:p>
    <w:p w14:paraId="4FE6FD0D" w14:textId="43A314D0" w:rsidR="00A42AE3" w:rsidRDefault="00A42AE3" w:rsidP="008A6041">
      <w:pPr>
        <w:pStyle w:val="BodyCopy"/>
        <w:rPr>
          <w:rFonts w:eastAsiaTheme="minorEastAsia"/>
        </w:rPr>
      </w:pPr>
    </w:p>
    <w:p w14:paraId="05260F3A"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rFonts w:eastAsiaTheme="minorEastAsia"/>
          <w:b/>
        </w:rPr>
      </w:pPr>
      <w:r w:rsidRPr="008A6041">
        <w:rPr>
          <w:rFonts w:eastAsiaTheme="minorEastAsia"/>
          <w:b/>
        </w:rPr>
        <w:t>Note:</w:t>
      </w:r>
    </w:p>
    <w:p w14:paraId="2022E722"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rFonts w:eastAsiaTheme="minorEastAsia"/>
        </w:rPr>
      </w:pPr>
      <w:r w:rsidRPr="008A6041">
        <w:rPr>
          <w:rFonts w:eastAsiaTheme="minorEastAsia"/>
        </w:rPr>
        <w:t xml:space="preserve">For further information on breastfeeding recommendations and techniques, refer to the </w:t>
      </w:r>
      <w:r w:rsidRPr="008A6041">
        <w:rPr>
          <w:rFonts w:eastAsiaTheme="minorEastAsia"/>
          <w:i/>
        </w:rPr>
        <w:t xml:space="preserve">Breastfeeding Guideline </w:t>
      </w:r>
      <w:r w:rsidRPr="008A6041">
        <w:rPr>
          <w:rFonts w:eastAsiaTheme="minorEastAsia"/>
        </w:rPr>
        <w:t>available on the CHS Policy and Guidance Documents Register.</w:t>
      </w:r>
    </w:p>
    <w:p w14:paraId="7609CCA1"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rFonts w:eastAsiaTheme="minorEastAsia"/>
        </w:rPr>
      </w:pPr>
      <w:r w:rsidRPr="008A6041">
        <w:rPr>
          <w:rFonts w:eastAsiaTheme="minorEastAsia"/>
        </w:rPr>
        <w:t xml:space="preserve">For further information on feeding cues, developmental care, and oral aversion, refer to the </w:t>
      </w:r>
      <w:r w:rsidRPr="008A6041">
        <w:rPr>
          <w:rFonts w:eastAsiaTheme="minorEastAsia"/>
          <w:i/>
        </w:rPr>
        <w:t>Developmental Care in the Neonatal Intensive Care Unit and Special Care Nursery</w:t>
      </w:r>
      <w:r w:rsidRPr="008A6041">
        <w:rPr>
          <w:rFonts w:eastAsiaTheme="minorEastAsia"/>
        </w:rPr>
        <w:t xml:space="preserve"> also available on the CHS Policy and Guidance Documents Register.</w:t>
      </w:r>
    </w:p>
    <w:p w14:paraId="3750A479" w14:textId="56E8BCDD" w:rsidR="00A55107" w:rsidRPr="00E3337C" w:rsidRDefault="0064704F" w:rsidP="005D0BE7">
      <w:pPr>
        <w:pStyle w:val="Heading3"/>
      </w:pPr>
      <w:bookmarkStart w:id="8" w:name="_Toc174601148"/>
      <w:bookmarkStart w:id="9" w:name="_Toc199497058"/>
      <w:r w:rsidRPr="00E3337C">
        <w:t>1.3 Nil</w:t>
      </w:r>
      <w:r w:rsidR="00A55107" w:rsidRPr="00E3337C">
        <w:t xml:space="preserve"> By Mouth (NBM) Criteria</w:t>
      </w:r>
      <w:bookmarkEnd w:id="8"/>
      <w:bookmarkEnd w:id="9"/>
    </w:p>
    <w:p w14:paraId="430132F0" w14:textId="77777777" w:rsidR="00EB516D" w:rsidRDefault="00EB516D" w:rsidP="00EB516D">
      <w:pPr>
        <w:pStyle w:val="BodyCopy"/>
      </w:pPr>
      <w:bookmarkStart w:id="10" w:name="_Toc174601149"/>
      <w:r>
        <w:t>There are very specific groups of infants with clinical conditions who may require NBM for limited periods of time. The clinical conditions include:</w:t>
      </w:r>
    </w:p>
    <w:p w14:paraId="200BF02A" w14:textId="77777777" w:rsidR="00EB516D" w:rsidRDefault="00EB516D" w:rsidP="0064704F">
      <w:pPr>
        <w:pStyle w:val="Bullet"/>
        <w:ind w:left="425" w:hanging="425"/>
      </w:pPr>
      <w:r>
        <w:t>Shock – infants may require NBM in the initial phase of illness. Infants with early onset sepsis, or early phase of hypoxic ischemic encephalopathy (HIE) and those with clinically poor perfusion may remain NBM and commence minimal enteral feeds as soon as stable.</w:t>
      </w:r>
    </w:p>
    <w:p w14:paraId="05093FF9" w14:textId="77777777" w:rsidR="00EB516D" w:rsidRDefault="00EB516D" w:rsidP="0064704F">
      <w:pPr>
        <w:pStyle w:val="Bullet"/>
        <w:ind w:left="425" w:hanging="425"/>
      </w:pPr>
      <w:r>
        <w:t>Exchange transfusion – infants should remain NBM for duration of procedure.</w:t>
      </w:r>
    </w:p>
    <w:p w14:paraId="4EE7D639" w14:textId="515B2338" w:rsidR="00EB516D" w:rsidRDefault="00EB516D" w:rsidP="0064704F">
      <w:pPr>
        <w:pStyle w:val="Bullet"/>
        <w:ind w:left="425" w:hanging="425"/>
      </w:pPr>
      <w:r>
        <w:t>Suspected or proven inborn error of metabolism – Galactosemia or phenylketonuria being most common, these infants should remain NBM while investigations such as ammonia levels and urinary ketones are underway.</w:t>
      </w:r>
    </w:p>
    <w:p w14:paraId="2F122D56" w14:textId="77777777" w:rsidR="00EB516D" w:rsidRDefault="00EB516D" w:rsidP="0064704F">
      <w:pPr>
        <w:pStyle w:val="Bullet"/>
        <w:ind w:left="425" w:hanging="425"/>
      </w:pPr>
      <w:r>
        <w:t>Suspected or proven gastrointestinal obstruction or abnormality – until diagnosis or repair</w:t>
      </w:r>
    </w:p>
    <w:p w14:paraId="676213E8" w14:textId="77777777" w:rsidR="00EB516D" w:rsidRPr="00AD095A" w:rsidRDefault="00EB516D" w:rsidP="0064704F">
      <w:pPr>
        <w:pStyle w:val="Bullet"/>
        <w:ind w:left="425" w:hanging="425"/>
      </w:pPr>
      <w:r>
        <w:t>Post surgery – some infants may remain NBM for a period of time following surgical repair of gastroschisis, omphalocele, diaphragmatic hernia etc. Oral care with MOM and initiation of feeding is discussed by surgical and neonatal team.</w:t>
      </w:r>
    </w:p>
    <w:p w14:paraId="2184A1FB" w14:textId="36DA1CD8" w:rsidR="00A55107" w:rsidRPr="00E3337C" w:rsidRDefault="0064704F" w:rsidP="005D0BE7">
      <w:pPr>
        <w:pStyle w:val="Heading3"/>
      </w:pPr>
      <w:bookmarkStart w:id="11" w:name="_Toc199497059"/>
      <w:r w:rsidRPr="00E3337C">
        <w:lastRenderedPageBreak/>
        <w:t>1.4 Initiation</w:t>
      </w:r>
      <w:r w:rsidR="00A55107" w:rsidRPr="00E3337C">
        <w:t xml:space="preserve"> of Feeds</w:t>
      </w:r>
      <w:bookmarkEnd w:id="10"/>
      <w:bookmarkEnd w:id="11"/>
    </w:p>
    <w:p w14:paraId="55B362C1" w14:textId="77777777" w:rsidR="00EB516D" w:rsidRDefault="00EB516D" w:rsidP="00EB516D">
      <w:pPr>
        <w:pStyle w:val="BodyCopy"/>
      </w:pPr>
      <w:bookmarkStart w:id="12" w:name="_Toc174601150"/>
      <w:r w:rsidRPr="00D22842">
        <w:t xml:space="preserve">Early Minimal Enteral </w:t>
      </w:r>
      <w:r>
        <w:t>Feeds</w:t>
      </w:r>
      <w:r w:rsidRPr="00D22842">
        <w:t xml:space="preserve"> (ME</w:t>
      </w:r>
      <w:r>
        <w:t>F</w:t>
      </w:r>
      <w:r w:rsidRPr="00D22842">
        <w:t xml:space="preserve">) or Trophic Feeds </w:t>
      </w:r>
      <w:r>
        <w:t>help</w:t>
      </w:r>
      <w:r w:rsidRPr="001B0F01">
        <w:t xml:space="preserve"> maintain gut integrity and are encouraged for all </w:t>
      </w:r>
      <w:r>
        <w:t>neonates</w:t>
      </w:r>
      <w:r w:rsidRPr="001B0F01">
        <w:t xml:space="preserve"> when MOM or PDHM is available</w:t>
      </w:r>
      <w:r>
        <w:t xml:space="preserve">. </w:t>
      </w:r>
      <w:r w:rsidRPr="0033419D">
        <w:t>Minimal Enteral Feeds are defined as nutritional insignificant small volumes of milk (typically 12</w:t>
      </w:r>
      <w:r>
        <w:t xml:space="preserve"> to </w:t>
      </w:r>
      <w:r w:rsidRPr="0033419D">
        <w:t>24 mL/kg/d) without advancing the feed volumes for a period of 3</w:t>
      </w:r>
      <w:r>
        <w:t xml:space="preserve"> to </w:t>
      </w:r>
      <w:r w:rsidRPr="0033419D">
        <w:t xml:space="preserve">7 days. </w:t>
      </w:r>
      <w:r>
        <w:t xml:space="preserve"> </w:t>
      </w:r>
    </w:p>
    <w:p w14:paraId="5DE0663F" w14:textId="77777777" w:rsidR="00EB516D" w:rsidRDefault="00EB516D" w:rsidP="00EB516D">
      <w:pPr>
        <w:pStyle w:val="BodyCopy"/>
      </w:pPr>
      <w:r w:rsidRPr="001B0F01">
        <w:t>Enteral feeding should start as early after birth as possible</w:t>
      </w:r>
      <w:r>
        <w:t xml:space="preserve">. Refer to </w:t>
      </w:r>
      <w:r w:rsidRPr="006E6E3C">
        <w:rPr>
          <w:b/>
          <w:bCs w:val="0"/>
        </w:rPr>
        <w:t xml:space="preserve">Attachment 3 </w:t>
      </w:r>
      <w:r>
        <w:t xml:space="preserve">- </w:t>
      </w:r>
      <w:r w:rsidRPr="00C33AAC">
        <w:t xml:space="preserve">Department of Neonatology Nutrition Guide. </w:t>
      </w:r>
    </w:p>
    <w:p w14:paraId="04BF5A74" w14:textId="77777777" w:rsidR="00EB516D" w:rsidRDefault="00EB516D" w:rsidP="0064704F">
      <w:pPr>
        <w:pStyle w:val="Bullet"/>
        <w:ind w:left="425" w:hanging="425"/>
      </w:pPr>
      <w:bookmarkStart w:id="13" w:name="_Hlk188961270"/>
      <w:r>
        <w:t>MOM should be given soon after birth, ideally:</w:t>
      </w:r>
    </w:p>
    <w:p w14:paraId="3BFDC645" w14:textId="77777777" w:rsidR="00EB516D" w:rsidRDefault="00EB516D" w:rsidP="0064704F">
      <w:pPr>
        <w:pStyle w:val="Bullet"/>
        <w:numPr>
          <w:ilvl w:val="1"/>
          <w:numId w:val="1"/>
        </w:numPr>
        <w:ind w:left="714" w:hanging="357"/>
      </w:pPr>
      <w:r>
        <w:t>2 hours for normal vaginal delivery (NVD)</w:t>
      </w:r>
    </w:p>
    <w:p w14:paraId="11AC0C67" w14:textId="77777777" w:rsidR="00EB516D" w:rsidRDefault="00EB516D" w:rsidP="0064704F">
      <w:pPr>
        <w:pStyle w:val="Bullet"/>
        <w:numPr>
          <w:ilvl w:val="1"/>
          <w:numId w:val="1"/>
        </w:numPr>
        <w:ind w:left="714" w:hanging="357"/>
      </w:pPr>
      <w:r>
        <w:t>4 hours for lower segment caesarean section (LSCS)</w:t>
      </w:r>
    </w:p>
    <w:p w14:paraId="10647BE6" w14:textId="77777777" w:rsidR="00EB516D" w:rsidRDefault="00EB516D" w:rsidP="0064704F">
      <w:pPr>
        <w:pStyle w:val="Bullet"/>
        <w:ind w:left="425" w:hanging="425"/>
      </w:pPr>
      <w:r>
        <w:t>For infants less than 1000g, MEF may be considered for a set period (no longer than 48hrs) as extra, based on clinical condition and Neonatologist advice.</w:t>
      </w:r>
    </w:p>
    <w:bookmarkEnd w:id="13"/>
    <w:p w14:paraId="79F1EE08" w14:textId="77777777" w:rsidR="00EB516D" w:rsidRDefault="00EB516D" w:rsidP="0064704F">
      <w:pPr>
        <w:pStyle w:val="Bullet"/>
        <w:ind w:left="425" w:hanging="425"/>
      </w:pPr>
      <w:r w:rsidRPr="001B0F01">
        <w:t>If approaching 12 hours, and no MOM available, consent for PDHM must be actively considered.</w:t>
      </w:r>
    </w:p>
    <w:p w14:paraId="5145B40C" w14:textId="77777777" w:rsidR="00EB516D" w:rsidRPr="001B0F01" w:rsidRDefault="00EB516D" w:rsidP="0064704F">
      <w:pPr>
        <w:pStyle w:val="Bullet"/>
        <w:ind w:left="425" w:hanging="425"/>
      </w:pPr>
      <w:r w:rsidRPr="001B0F01">
        <w:t xml:space="preserve">If no MOM available, and no consent for PDHM given, it is appropriate to wait up to 48hrs before administering infant formula and where an infant is receiving </w:t>
      </w:r>
      <w:r w:rsidRPr="00663E1A">
        <w:t xml:space="preserve">intravenous </w:t>
      </w:r>
      <w:r>
        <w:t>(</w:t>
      </w:r>
      <w:r w:rsidRPr="001B0F01">
        <w:t>IV</w:t>
      </w:r>
      <w:r>
        <w:t>)</w:t>
      </w:r>
      <w:r w:rsidRPr="001B0F01">
        <w:t xml:space="preserve"> fluids. </w:t>
      </w:r>
    </w:p>
    <w:p w14:paraId="244527FA" w14:textId="0B62FDF0" w:rsidR="00A55107" w:rsidRPr="00E3337C" w:rsidRDefault="0064704F" w:rsidP="005D0BE7">
      <w:pPr>
        <w:pStyle w:val="Heading3"/>
      </w:pPr>
      <w:bookmarkStart w:id="14" w:name="_Toc199497060"/>
      <w:r w:rsidRPr="00E3337C">
        <w:t>1.5 Feed</w:t>
      </w:r>
      <w:r w:rsidR="00A55107" w:rsidRPr="00E3337C">
        <w:t xml:space="preserve"> Initiation and Advancement</w:t>
      </w:r>
      <w:bookmarkEnd w:id="12"/>
      <w:bookmarkEnd w:id="14"/>
      <w:r w:rsidR="00A55107" w:rsidRPr="00E3337C">
        <w:t xml:space="preserve"> </w:t>
      </w:r>
    </w:p>
    <w:p w14:paraId="0E25A39F" w14:textId="77777777" w:rsidR="00EB516D" w:rsidRDefault="00EB516D" w:rsidP="0064704F">
      <w:pPr>
        <w:pStyle w:val="Bullet"/>
        <w:ind w:left="425" w:hanging="425"/>
      </w:pPr>
      <w:bookmarkStart w:id="15" w:name="_-_Standard_Feeding"/>
      <w:bookmarkStart w:id="16" w:name="_1.6_–_Standard"/>
      <w:bookmarkStart w:id="17" w:name="_Toc174601151"/>
      <w:bookmarkEnd w:id="15"/>
      <w:bookmarkEnd w:id="16"/>
      <w:r w:rsidRPr="1A6045E7">
        <w:rPr>
          <w:rFonts w:eastAsia="TimesNewRomanPSStd-Regular"/>
        </w:rPr>
        <w:t xml:space="preserve">Start </w:t>
      </w:r>
      <w:r>
        <w:rPr>
          <w:rFonts w:eastAsia="TimesNewRomanPSStd-Regular"/>
        </w:rPr>
        <w:t>Early MEF or Trophic Feeds</w:t>
      </w:r>
      <w:r w:rsidRPr="1A6045E7">
        <w:rPr>
          <w:rFonts w:eastAsia="TimesNewRomanPSStd-Regular"/>
        </w:rPr>
        <w:t xml:space="preserve"> as soon as possible after birth and advance feeds as clinically tolerated</w:t>
      </w:r>
      <w:r>
        <w:t xml:space="preserve">. Refer to </w:t>
      </w:r>
      <w:r w:rsidRPr="006E6E3C">
        <w:rPr>
          <w:b/>
          <w:bCs/>
        </w:rPr>
        <w:t>Attachment 3</w:t>
      </w:r>
      <w:r>
        <w:t xml:space="preserve"> -</w:t>
      </w:r>
      <w:r w:rsidRPr="00663E1A">
        <w:rPr>
          <w:rFonts w:eastAsia="Calibri"/>
          <w:bCs/>
        </w:rPr>
        <w:t xml:space="preserve"> </w:t>
      </w:r>
      <w:r w:rsidRPr="00663E1A">
        <w:rPr>
          <w:bCs/>
        </w:rPr>
        <w:t>Department of Neonatology Nutrition Guide</w:t>
      </w:r>
      <w:r>
        <w:t>.</w:t>
      </w:r>
    </w:p>
    <w:p w14:paraId="5502CD13" w14:textId="5C3041D2" w:rsidR="00EB516D" w:rsidRDefault="00EB516D" w:rsidP="0064704F">
      <w:pPr>
        <w:pStyle w:val="Bullet"/>
        <w:ind w:left="425" w:hanging="425"/>
      </w:pPr>
      <w:r>
        <w:t xml:space="preserve">For neonates </w:t>
      </w:r>
      <w:r>
        <w:rPr>
          <w:rFonts w:cs="Calibri"/>
        </w:rPr>
        <w:t xml:space="preserve">less than or equal to </w:t>
      </w:r>
      <w:r>
        <w:t xml:space="preserve">32 weeks GA and/or </w:t>
      </w:r>
      <w:r>
        <w:rPr>
          <w:rFonts w:cs="Calibri"/>
        </w:rPr>
        <w:t xml:space="preserve">less than or equal to </w:t>
      </w:r>
      <w:r>
        <w:t xml:space="preserve">1800g, advancement of feeds is directed by the </w:t>
      </w:r>
      <w:r w:rsidRPr="006E6E3C">
        <w:rPr>
          <w:b/>
          <w:bCs/>
        </w:rPr>
        <w:t>Section 1.7</w:t>
      </w:r>
      <w:r>
        <w:t xml:space="preserve"> - Standard Feeding Schedules (SFS) and </w:t>
      </w:r>
      <w:r w:rsidRPr="006E6E3C">
        <w:rPr>
          <w:b/>
          <w:bCs/>
        </w:rPr>
        <w:t>Attachment 4</w:t>
      </w:r>
      <w:r>
        <w:rPr>
          <w:b/>
          <w:bCs/>
        </w:rPr>
        <w:t xml:space="preserve"> </w:t>
      </w:r>
      <w:r w:rsidRPr="006E6E3C">
        <w:t>– Standard Feeding Schedules</w:t>
      </w:r>
      <w:r>
        <w:t xml:space="preserve">. It is initiated by the </w:t>
      </w:r>
      <w:r w:rsidR="00CB1064">
        <w:t>medical officer and</w:t>
      </w:r>
      <w:r w:rsidR="00F83AF5">
        <w:t>/or</w:t>
      </w:r>
      <w:r w:rsidR="00CB1064">
        <w:t xml:space="preserve"> the </w:t>
      </w:r>
      <w:r>
        <w:t xml:space="preserve">clinical bedside nurse and feed tolerance is assessed before every feed. Any signs of feed intolerance will require immediate medical review. Refer to </w:t>
      </w:r>
      <w:r w:rsidRPr="006E6E3C">
        <w:rPr>
          <w:b/>
          <w:bCs/>
        </w:rPr>
        <w:t>Attachment 5</w:t>
      </w:r>
      <w:r>
        <w:t xml:space="preserve"> – Feed Intolerance Algorithm. </w:t>
      </w:r>
    </w:p>
    <w:p w14:paraId="67822239" w14:textId="77777777" w:rsidR="00EB516D" w:rsidRDefault="00EB516D" w:rsidP="0064704F">
      <w:pPr>
        <w:pStyle w:val="Bullet"/>
        <w:ind w:left="425" w:hanging="425"/>
      </w:pPr>
      <w:r>
        <w:t>Once an infant is tolerating 80 to 90ml/kg/day, all IV medications should change to oral where possible (except if the neonate has IV antibiotics in some circumstances), and fortifier may be added.</w:t>
      </w:r>
    </w:p>
    <w:p w14:paraId="0C1CDE8D" w14:textId="2FCC194A" w:rsidR="00F67028" w:rsidRDefault="00EB516D" w:rsidP="0064704F">
      <w:pPr>
        <w:pStyle w:val="Bullet"/>
        <w:ind w:left="425" w:hanging="425"/>
      </w:pPr>
      <w:r>
        <w:t xml:space="preserve">Once the infant is tolerating 120ml/kg/day of enteral feeds, removal of vascular devices should occur. If devices are not removed, reasons must be documented in </w:t>
      </w:r>
      <w:r w:rsidR="009B6096">
        <w:t xml:space="preserve">the </w:t>
      </w:r>
      <w:r>
        <w:t>patient clinical record.</w:t>
      </w:r>
    </w:p>
    <w:p w14:paraId="275BAEFA" w14:textId="4D05C262" w:rsidR="00F67028" w:rsidRPr="00E3337C" w:rsidRDefault="0064704F" w:rsidP="005D0BE7">
      <w:pPr>
        <w:pStyle w:val="Heading3"/>
      </w:pPr>
      <w:bookmarkStart w:id="18" w:name="_Toc199497061"/>
      <w:r w:rsidRPr="00E3337C">
        <w:t>1.</w:t>
      </w:r>
      <w:r>
        <w:t>6</w:t>
      </w:r>
      <w:r w:rsidRPr="00E3337C">
        <w:t xml:space="preserve"> Daily</w:t>
      </w:r>
      <w:r w:rsidR="00F67028" w:rsidRPr="00E3337C">
        <w:t xml:space="preserve"> Total Fluid Intake</w:t>
      </w:r>
      <w:bookmarkEnd w:id="18"/>
    </w:p>
    <w:p w14:paraId="0FD6D119" w14:textId="77777777" w:rsidR="00EB516D" w:rsidRDefault="00EB516D" w:rsidP="0064704F">
      <w:pPr>
        <w:pStyle w:val="Bullet"/>
        <w:ind w:left="425" w:hanging="425"/>
      </w:pPr>
      <w:r>
        <w:t>The daily total fluid intake (TFI) for infants is calculated as ml/kg/day.</w:t>
      </w:r>
    </w:p>
    <w:p w14:paraId="3F205D4F" w14:textId="77777777" w:rsidR="00EB516D" w:rsidRDefault="00EB516D" w:rsidP="0064704F">
      <w:pPr>
        <w:pStyle w:val="Bullet"/>
        <w:ind w:left="425" w:hanging="425"/>
      </w:pPr>
      <w:r>
        <w:lastRenderedPageBreak/>
        <w:t>The dosing weight or weight used to calculate the TFI</w:t>
      </w:r>
      <w:r w:rsidRPr="00606A22">
        <w:rPr>
          <w:rStyle w:val="Heading1Char"/>
          <w:rFonts w:cs="Calibri"/>
          <w:color w:val="000000"/>
          <w:shd w:val="clear" w:color="auto" w:fill="FFFFFF"/>
        </w:rPr>
        <w:t xml:space="preserve"> </w:t>
      </w:r>
      <w:r>
        <w:rPr>
          <w:rStyle w:val="normaltextrun"/>
          <w:rFonts w:cs="Calibri"/>
          <w:color w:val="000000"/>
          <w:shd w:val="clear" w:color="auto" w:fill="FFFFFF"/>
        </w:rPr>
        <w:t>is usually the neonate’s highest weight or unless directed by the Neonatologist.</w:t>
      </w:r>
    </w:p>
    <w:p w14:paraId="57A88680" w14:textId="77777777" w:rsidR="00EB516D" w:rsidRDefault="00EB516D" w:rsidP="0064704F">
      <w:pPr>
        <w:pStyle w:val="Bullet"/>
        <w:ind w:left="425" w:hanging="425"/>
      </w:pPr>
      <w:r>
        <w:t>For neonates who require IV therapy at birth, IV fluid intake is titrated based on the recommended daily total fluid intake (See Table 1 – Daily Total Fluid Intake) and enteral fluid intake.</w:t>
      </w:r>
    </w:p>
    <w:p w14:paraId="773CBE6E" w14:textId="77777777" w:rsidR="00EB516D" w:rsidRDefault="00EB516D" w:rsidP="0064704F">
      <w:pPr>
        <w:pStyle w:val="Bullet"/>
        <w:ind w:left="425" w:hanging="425"/>
      </w:pPr>
      <w:r>
        <w:t xml:space="preserve">For infants commencing on enteral feeds without IV therapy (e.g., </w:t>
      </w:r>
      <w:r>
        <w:rPr>
          <w:rFonts w:cs="Calibri"/>
        </w:rPr>
        <w:t xml:space="preserve">greater than or equal to </w:t>
      </w:r>
      <w:r>
        <w:t>33 weeks GA and/or greater than 1800g), feeds should be commenced and advanced based on the daily total fluid intake (See Table 1 – Daily Total Fluid Intake).</w:t>
      </w:r>
    </w:p>
    <w:p w14:paraId="4ED83033" w14:textId="77777777" w:rsidR="008D5B34" w:rsidRDefault="008D5B34" w:rsidP="00F425C7">
      <w:pPr>
        <w:pStyle w:val="Bullet"/>
        <w:numPr>
          <w:ilvl w:val="0"/>
          <w:numId w:val="0"/>
        </w:numPr>
      </w:pPr>
    </w:p>
    <w:tbl>
      <w:tblPr>
        <w:tblStyle w:val="TableGrid"/>
        <w:tblpPr w:leftFromText="180" w:rightFromText="180" w:vertAnchor="text" w:horzAnchor="margin" w:tblpY="82"/>
        <w:tblW w:w="9918" w:type="dxa"/>
        <w:tblLook w:val="04A0" w:firstRow="1" w:lastRow="0" w:firstColumn="1" w:lastColumn="0" w:noHBand="0" w:noVBand="1"/>
      </w:tblPr>
      <w:tblGrid>
        <w:gridCol w:w="1271"/>
        <w:gridCol w:w="3119"/>
        <w:gridCol w:w="5528"/>
      </w:tblGrid>
      <w:tr w:rsidR="00EB516D" w14:paraId="5364C320" w14:textId="77777777" w:rsidTr="008D5985">
        <w:tc>
          <w:tcPr>
            <w:tcW w:w="9918" w:type="dxa"/>
            <w:gridSpan w:val="3"/>
            <w:shd w:val="clear" w:color="auto" w:fill="D9D9D9" w:themeFill="background1" w:themeFillShade="D9"/>
          </w:tcPr>
          <w:p w14:paraId="684C54F9" w14:textId="77777777" w:rsidR="00EB516D" w:rsidRPr="00713170" w:rsidRDefault="00EB516D" w:rsidP="008D5985">
            <w:pPr>
              <w:pStyle w:val="Tableheader-black"/>
              <w:jc w:val="center"/>
            </w:pPr>
            <w:r>
              <w:t>Table 1 – Daily Fluid Intake</w:t>
            </w:r>
          </w:p>
        </w:tc>
      </w:tr>
      <w:tr w:rsidR="00EB516D" w14:paraId="79D10F79" w14:textId="77777777" w:rsidTr="008D5985">
        <w:tc>
          <w:tcPr>
            <w:tcW w:w="1271" w:type="dxa"/>
            <w:shd w:val="clear" w:color="auto" w:fill="D9D9D9" w:themeFill="background1" w:themeFillShade="D9"/>
          </w:tcPr>
          <w:p w14:paraId="5B9E8754" w14:textId="77777777" w:rsidR="00EB516D" w:rsidRPr="00713170" w:rsidRDefault="00EB516D" w:rsidP="008D5985">
            <w:pPr>
              <w:pStyle w:val="Tableheader-black"/>
              <w:jc w:val="center"/>
            </w:pPr>
            <w:r w:rsidRPr="00713170">
              <w:t>Day of Life</w:t>
            </w:r>
          </w:p>
        </w:tc>
        <w:tc>
          <w:tcPr>
            <w:tcW w:w="3119" w:type="dxa"/>
            <w:shd w:val="clear" w:color="auto" w:fill="D9D9D9" w:themeFill="background1" w:themeFillShade="D9"/>
          </w:tcPr>
          <w:p w14:paraId="6BBA8026" w14:textId="77777777" w:rsidR="00EB516D" w:rsidRPr="00713170" w:rsidRDefault="00EB516D" w:rsidP="008D5985">
            <w:pPr>
              <w:pStyle w:val="Tableheader-black"/>
              <w:jc w:val="center"/>
            </w:pPr>
            <w:r w:rsidRPr="00713170">
              <w:t xml:space="preserve">Total Daily </w:t>
            </w:r>
            <w:r>
              <w:t xml:space="preserve">Fluid </w:t>
            </w:r>
            <w:r w:rsidRPr="00713170">
              <w:t>Intake</w:t>
            </w:r>
          </w:p>
        </w:tc>
        <w:tc>
          <w:tcPr>
            <w:tcW w:w="5528" w:type="dxa"/>
            <w:shd w:val="clear" w:color="auto" w:fill="D9D9D9" w:themeFill="background1" w:themeFillShade="D9"/>
          </w:tcPr>
          <w:p w14:paraId="6CD31B74" w14:textId="77777777" w:rsidR="00EB516D" w:rsidRPr="00713170" w:rsidRDefault="00EB516D" w:rsidP="008D5985">
            <w:pPr>
              <w:pStyle w:val="Tableheader-black"/>
              <w:jc w:val="center"/>
            </w:pPr>
            <w:r w:rsidRPr="00713170">
              <w:t>Additional Information</w:t>
            </w:r>
          </w:p>
        </w:tc>
      </w:tr>
      <w:tr w:rsidR="00EB516D" w14:paraId="138E76DA" w14:textId="77777777" w:rsidTr="008D5985">
        <w:tc>
          <w:tcPr>
            <w:tcW w:w="1271" w:type="dxa"/>
          </w:tcPr>
          <w:p w14:paraId="644B892B" w14:textId="77777777" w:rsidR="00EB516D" w:rsidRDefault="00EB516D" w:rsidP="008D5985">
            <w:pPr>
              <w:pStyle w:val="BodyCopy"/>
              <w:jc w:val="center"/>
            </w:pPr>
            <w:r>
              <w:t>1</w:t>
            </w:r>
          </w:p>
        </w:tc>
        <w:tc>
          <w:tcPr>
            <w:tcW w:w="3119" w:type="dxa"/>
          </w:tcPr>
          <w:p w14:paraId="40DA2C55" w14:textId="77777777" w:rsidR="00EB516D" w:rsidRDefault="00EB516D" w:rsidP="008D5985">
            <w:pPr>
              <w:pStyle w:val="BodyCopy"/>
              <w:jc w:val="center"/>
            </w:pPr>
            <w:r>
              <w:t>60 to 80 ml/kg/day</w:t>
            </w:r>
          </w:p>
        </w:tc>
        <w:tc>
          <w:tcPr>
            <w:tcW w:w="5528" w:type="dxa"/>
          </w:tcPr>
          <w:p w14:paraId="0CE3A06F" w14:textId="77777777" w:rsidR="00EB516D" w:rsidRDefault="00EB516D" w:rsidP="008D5985">
            <w:pPr>
              <w:pStyle w:val="BodyCopy"/>
            </w:pPr>
            <w:r>
              <w:t>Extremely Low Birth Weight (</w:t>
            </w:r>
            <w:r w:rsidRPr="009A1B65">
              <w:t>ELBW</w:t>
            </w:r>
            <w:r>
              <w:t>)</w:t>
            </w:r>
            <w:r w:rsidRPr="009A1B65">
              <w:t xml:space="preserve"> infants </w:t>
            </w:r>
            <w:r>
              <w:t>especially no/partially steroid covered infants may</w:t>
            </w:r>
            <w:r w:rsidRPr="009A1B65">
              <w:t xml:space="preserve"> need higher intake initially due to insensible water loss</w:t>
            </w:r>
            <w:r>
              <w:t xml:space="preserve">. </w:t>
            </w:r>
          </w:p>
        </w:tc>
      </w:tr>
      <w:tr w:rsidR="00EB516D" w14:paraId="1DF3BD3B" w14:textId="77777777" w:rsidTr="008D5985">
        <w:tc>
          <w:tcPr>
            <w:tcW w:w="1271" w:type="dxa"/>
          </w:tcPr>
          <w:p w14:paraId="5B724955" w14:textId="77777777" w:rsidR="00EB516D" w:rsidRDefault="00EB516D" w:rsidP="008D5985">
            <w:pPr>
              <w:pStyle w:val="BodyCopy"/>
              <w:jc w:val="center"/>
            </w:pPr>
            <w:r>
              <w:t>2</w:t>
            </w:r>
          </w:p>
        </w:tc>
        <w:tc>
          <w:tcPr>
            <w:tcW w:w="3119" w:type="dxa"/>
          </w:tcPr>
          <w:p w14:paraId="4A742E4D" w14:textId="77777777" w:rsidR="00EB516D" w:rsidRDefault="00EB516D" w:rsidP="008D5985">
            <w:pPr>
              <w:pStyle w:val="BodyCopy"/>
              <w:jc w:val="center"/>
            </w:pPr>
            <w:r>
              <w:t>80 to 100 ml/kg/day</w:t>
            </w:r>
          </w:p>
        </w:tc>
        <w:tc>
          <w:tcPr>
            <w:tcW w:w="5528" w:type="dxa"/>
          </w:tcPr>
          <w:p w14:paraId="66211371" w14:textId="77777777" w:rsidR="00EB516D" w:rsidRDefault="00EB516D" w:rsidP="008D5985">
            <w:pPr>
              <w:pStyle w:val="BodyCopy"/>
            </w:pPr>
          </w:p>
        </w:tc>
      </w:tr>
      <w:tr w:rsidR="00EB516D" w14:paraId="0A616386" w14:textId="77777777" w:rsidTr="008D5985">
        <w:tc>
          <w:tcPr>
            <w:tcW w:w="1271" w:type="dxa"/>
          </w:tcPr>
          <w:p w14:paraId="2AAF387B" w14:textId="77777777" w:rsidR="00EB516D" w:rsidRDefault="00EB516D" w:rsidP="008D5985">
            <w:pPr>
              <w:pStyle w:val="BodyCopy"/>
              <w:jc w:val="center"/>
            </w:pPr>
            <w:r>
              <w:t>3</w:t>
            </w:r>
          </w:p>
        </w:tc>
        <w:tc>
          <w:tcPr>
            <w:tcW w:w="3119" w:type="dxa"/>
          </w:tcPr>
          <w:p w14:paraId="1F169B6E" w14:textId="77777777" w:rsidR="00EB516D" w:rsidRDefault="00EB516D" w:rsidP="008D5985">
            <w:pPr>
              <w:pStyle w:val="BodyCopy"/>
              <w:jc w:val="center"/>
            </w:pPr>
            <w:r>
              <w:t>100 to 120 ml/kg/day</w:t>
            </w:r>
          </w:p>
        </w:tc>
        <w:tc>
          <w:tcPr>
            <w:tcW w:w="5528" w:type="dxa"/>
          </w:tcPr>
          <w:p w14:paraId="41558F25" w14:textId="77777777" w:rsidR="00EB516D" w:rsidRDefault="00EB516D" w:rsidP="008D5985">
            <w:pPr>
              <w:pStyle w:val="BodyCopy"/>
            </w:pPr>
          </w:p>
        </w:tc>
      </w:tr>
      <w:tr w:rsidR="00EB516D" w14:paraId="13908AD5" w14:textId="77777777" w:rsidTr="008D5985">
        <w:tc>
          <w:tcPr>
            <w:tcW w:w="1271" w:type="dxa"/>
          </w:tcPr>
          <w:p w14:paraId="5533C06E" w14:textId="77777777" w:rsidR="00EB516D" w:rsidRDefault="00EB516D" w:rsidP="008D5985">
            <w:pPr>
              <w:pStyle w:val="BodyCopy"/>
              <w:jc w:val="center"/>
            </w:pPr>
            <w:r>
              <w:t>4</w:t>
            </w:r>
          </w:p>
        </w:tc>
        <w:tc>
          <w:tcPr>
            <w:tcW w:w="3119" w:type="dxa"/>
          </w:tcPr>
          <w:p w14:paraId="3D6A1101" w14:textId="77777777" w:rsidR="00EB516D" w:rsidRDefault="00EB516D" w:rsidP="008D5985">
            <w:pPr>
              <w:pStyle w:val="BodyCopy"/>
              <w:jc w:val="center"/>
            </w:pPr>
            <w:r>
              <w:t>120 to 140 ml/kg/day</w:t>
            </w:r>
          </w:p>
        </w:tc>
        <w:tc>
          <w:tcPr>
            <w:tcW w:w="5528" w:type="dxa"/>
          </w:tcPr>
          <w:p w14:paraId="291B336C" w14:textId="77777777" w:rsidR="00EB516D" w:rsidRDefault="00EB516D" w:rsidP="008D5985">
            <w:pPr>
              <w:pStyle w:val="BodyCopy"/>
            </w:pPr>
          </w:p>
        </w:tc>
      </w:tr>
      <w:tr w:rsidR="00EB516D" w14:paraId="4736AF61" w14:textId="77777777" w:rsidTr="008D5985">
        <w:tc>
          <w:tcPr>
            <w:tcW w:w="1271" w:type="dxa"/>
          </w:tcPr>
          <w:p w14:paraId="2B2AC3A1" w14:textId="77777777" w:rsidR="00EB516D" w:rsidRDefault="00EB516D" w:rsidP="008D5985">
            <w:pPr>
              <w:pStyle w:val="BodyCopy"/>
              <w:jc w:val="center"/>
            </w:pPr>
            <w:r>
              <w:t>5</w:t>
            </w:r>
          </w:p>
        </w:tc>
        <w:tc>
          <w:tcPr>
            <w:tcW w:w="3119" w:type="dxa"/>
          </w:tcPr>
          <w:p w14:paraId="229FBE73" w14:textId="77777777" w:rsidR="00EB516D" w:rsidRDefault="00EB516D" w:rsidP="008D5985">
            <w:pPr>
              <w:pStyle w:val="BodyCopy"/>
              <w:jc w:val="center"/>
            </w:pPr>
            <w:r>
              <w:t>140 to 160 ml/kg/day</w:t>
            </w:r>
          </w:p>
        </w:tc>
        <w:tc>
          <w:tcPr>
            <w:tcW w:w="5528" w:type="dxa"/>
          </w:tcPr>
          <w:p w14:paraId="6559F5C7" w14:textId="77777777" w:rsidR="00EB516D" w:rsidRDefault="00EB516D" w:rsidP="008D5985">
            <w:pPr>
              <w:pStyle w:val="BodyCopy"/>
            </w:pPr>
          </w:p>
        </w:tc>
      </w:tr>
      <w:tr w:rsidR="00EB516D" w14:paraId="6FB99286" w14:textId="77777777" w:rsidTr="008D5985">
        <w:tc>
          <w:tcPr>
            <w:tcW w:w="1271" w:type="dxa"/>
          </w:tcPr>
          <w:p w14:paraId="17F2FF25" w14:textId="77777777" w:rsidR="00EB516D" w:rsidRDefault="00EB516D" w:rsidP="008D5985">
            <w:pPr>
              <w:pStyle w:val="BodyCopy"/>
              <w:jc w:val="center"/>
            </w:pPr>
            <w:r>
              <w:t>6</w:t>
            </w:r>
          </w:p>
        </w:tc>
        <w:tc>
          <w:tcPr>
            <w:tcW w:w="3119" w:type="dxa"/>
          </w:tcPr>
          <w:p w14:paraId="6032FF4A" w14:textId="77777777" w:rsidR="00EB516D" w:rsidRDefault="00EB516D" w:rsidP="008D5985">
            <w:pPr>
              <w:pStyle w:val="BodyCopy"/>
              <w:jc w:val="center"/>
            </w:pPr>
            <w:r>
              <w:t>160 ml/kg/day</w:t>
            </w:r>
          </w:p>
        </w:tc>
        <w:tc>
          <w:tcPr>
            <w:tcW w:w="5528" w:type="dxa"/>
          </w:tcPr>
          <w:p w14:paraId="1F789359" w14:textId="77777777" w:rsidR="00EB516D" w:rsidRDefault="00EB516D" w:rsidP="008D5985">
            <w:pPr>
              <w:pStyle w:val="BodyCopy"/>
            </w:pPr>
          </w:p>
        </w:tc>
      </w:tr>
      <w:tr w:rsidR="00EB516D" w14:paraId="033744BF" w14:textId="77777777" w:rsidTr="008D5985">
        <w:trPr>
          <w:trHeight w:val="1125"/>
        </w:trPr>
        <w:tc>
          <w:tcPr>
            <w:tcW w:w="9918" w:type="dxa"/>
            <w:gridSpan w:val="3"/>
          </w:tcPr>
          <w:p w14:paraId="3D370CAD" w14:textId="7AB8A74E" w:rsidR="00EB516D" w:rsidRDefault="00EB516D" w:rsidP="0064704F">
            <w:pPr>
              <w:pStyle w:val="Bullet"/>
              <w:ind w:left="425" w:hanging="425"/>
            </w:pPr>
            <w:r w:rsidRPr="00250F86">
              <w:t xml:space="preserve">Feeds can be increased further depending on weight gain or at the recommendation of a </w:t>
            </w:r>
            <w:r>
              <w:t>MO</w:t>
            </w:r>
            <w:r w:rsidRPr="00250F86">
              <w:t>.</w:t>
            </w:r>
            <w:r>
              <w:t xml:space="preserve"> Most stable growing infants will require fluid intakes of 150 to 180 mL/kg/d to achieve appropriate nutrient intakes.</w:t>
            </w:r>
          </w:p>
          <w:p w14:paraId="03EE1534" w14:textId="77777777" w:rsidR="00EB516D" w:rsidRDefault="00EB516D" w:rsidP="0064704F">
            <w:pPr>
              <w:pStyle w:val="Bullet"/>
              <w:ind w:left="425" w:hanging="425"/>
            </w:pPr>
            <w:r>
              <w:t>If nutritional needs can be met, fluid intake as low as 135 mL/kg/d may be considered safe to maintain body homeostasis and avoid renal compromise.</w:t>
            </w:r>
          </w:p>
          <w:p w14:paraId="5FB022E3" w14:textId="7843751C" w:rsidR="00EB516D" w:rsidRDefault="00EB516D" w:rsidP="0064704F">
            <w:pPr>
              <w:pStyle w:val="Bullet"/>
              <w:ind w:left="425" w:hanging="425"/>
            </w:pPr>
            <w:r>
              <w:t>In individual infants born preterm, enteral fluid intakes up to 200 mL/kg/d may be appropriate and safe depending on current clinical status.</w:t>
            </w:r>
          </w:p>
        </w:tc>
      </w:tr>
    </w:tbl>
    <w:p w14:paraId="5ED0F3D9" w14:textId="7A16168A" w:rsidR="00F67028" w:rsidRDefault="00F67028" w:rsidP="00F67028">
      <w:pPr>
        <w:pStyle w:val="Bullet"/>
        <w:numPr>
          <w:ilvl w:val="0"/>
          <w:numId w:val="0"/>
        </w:numPr>
      </w:pPr>
    </w:p>
    <w:p w14:paraId="306ACD7D" w14:textId="77777777" w:rsidR="0081653E" w:rsidRDefault="0081653E" w:rsidP="00F67028">
      <w:pPr>
        <w:pStyle w:val="Bullet"/>
        <w:numPr>
          <w:ilvl w:val="0"/>
          <w:numId w:val="0"/>
        </w:numPr>
      </w:pPr>
    </w:p>
    <w:p w14:paraId="3B5B0A8B" w14:textId="7ACC77C4" w:rsidR="00A55107" w:rsidRPr="00E3337C" w:rsidRDefault="0064704F" w:rsidP="005D0BE7">
      <w:pPr>
        <w:pStyle w:val="Heading3"/>
      </w:pPr>
      <w:bookmarkStart w:id="19" w:name="_Toc199497062"/>
      <w:r w:rsidRPr="00E3337C">
        <w:lastRenderedPageBreak/>
        <w:t>1.</w:t>
      </w:r>
      <w:r>
        <w:t>7</w:t>
      </w:r>
      <w:r w:rsidRPr="00E3337C">
        <w:t xml:space="preserve"> Standard</w:t>
      </w:r>
      <w:r w:rsidR="00A55107" w:rsidRPr="00E3337C">
        <w:t xml:space="preserve"> Feeding Schedules</w:t>
      </w:r>
      <w:bookmarkEnd w:id="17"/>
      <w:bookmarkEnd w:id="19"/>
    </w:p>
    <w:p w14:paraId="0C92036D" w14:textId="77777777"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b/>
          <w:lang w:val="en-US"/>
        </w:rPr>
      </w:pPr>
      <w:r w:rsidRPr="008A6041">
        <w:rPr>
          <w:b/>
          <w:lang w:val="en-US"/>
        </w:rPr>
        <w:t>Alert:</w:t>
      </w:r>
    </w:p>
    <w:p w14:paraId="22B4E650" w14:textId="77777777" w:rsidR="008A6041" w:rsidRDefault="008A6041" w:rsidP="008A6041">
      <w:pPr>
        <w:pStyle w:val="BodyCopy"/>
        <w:pBdr>
          <w:top w:val="single" w:sz="4" w:space="1" w:color="auto"/>
          <w:left w:val="single" w:sz="4" w:space="4" w:color="auto"/>
          <w:bottom w:val="single" w:sz="4" w:space="1" w:color="auto"/>
          <w:right w:val="single" w:sz="4" w:space="4" w:color="auto"/>
        </w:pBdr>
        <w:rPr>
          <w:lang w:val="en-US"/>
        </w:rPr>
      </w:pPr>
      <w:r w:rsidRPr="008A6041">
        <w:rPr>
          <w:lang w:val="en-US"/>
        </w:rPr>
        <w:t>Grading up feeds may need to be slow or altered (e.g., hourly bolus feeds, pump feeds over longer period, continuous feeds, transpyloric feeds) in special circumstances, such as:</w:t>
      </w:r>
    </w:p>
    <w:p w14:paraId="5F600AB2" w14:textId="5A1CECCA" w:rsidR="008A6041" w:rsidRPr="008A6041" w:rsidRDefault="008A6041" w:rsidP="00C20F00">
      <w:pPr>
        <w:pStyle w:val="Bullet"/>
        <w:numPr>
          <w:ilvl w:val="0"/>
          <w:numId w:val="44"/>
        </w:numPr>
        <w:pBdr>
          <w:top w:val="single" w:sz="4" w:space="1" w:color="auto"/>
          <w:left w:val="single" w:sz="4" w:space="4" w:color="auto"/>
          <w:bottom w:val="single" w:sz="4" w:space="1" w:color="auto"/>
          <w:right w:val="single" w:sz="4" w:space="4" w:color="auto"/>
        </w:pBdr>
        <w:rPr>
          <w:lang w:val="en-US"/>
        </w:rPr>
      </w:pPr>
      <w:r w:rsidRPr="008A6041">
        <w:rPr>
          <w:lang w:val="en-US"/>
        </w:rPr>
        <w:t xml:space="preserve">Growth restriction </w:t>
      </w:r>
    </w:p>
    <w:p w14:paraId="6F2A8224" w14:textId="77777777" w:rsidR="008A6041" w:rsidRPr="008A6041" w:rsidRDefault="008A6041" w:rsidP="00C20F00">
      <w:pPr>
        <w:pStyle w:val="Bullet"/>
        <w:numPr>
          <w:ilvl w:val="0"/>
          <w:numId w:val="44"/>
        </w:numPr>
        <w:pBdr>
          <w:top w:val="single" w:sz="4" w:space="1" w:color="auto"/>
          <w:left w:val="single" w:sz="4" w:space="4" w:color="auto"/>
          <w:bottom w:val="single" w:sz="4" w:space="1" w:color="auto"/>
          <w:right w:val="single" w:sz="4" w:space="4" w:color="auto"/>
        </w:pBdr>
        <w:rPr>
          <w:lang w:val="en-US"/>
        </w:rPr>
      </w:pPr>
      <w:r w:rsidRPr="008A6041">
        <w:rPr>
          <w:lang w:val="en-US"/>
        </w:rPr>
        <w:t xml:space="preserve">Abnormal umbilical Dopplers </w:t>
      </w:r>
    </w:p>
    <w:p w14:paraId="65FFFA7A" w14:textId="77777777" w:rsidR="008A6041" w:rsidRPr="008A6041" w:rsidRDefault="008A6041" w:rsidP="00C20F00">
      <w:pPr>
        <w:pStyle w:val="Bullet"/>
        <w:numPr>
          <w:ilvl w:val="0"/>
          <w:numId w:val="44"/>
        </w:numPr>
        <w:pBdr>
          <w:top w:val="single" w:sz="4" w:space="1" w:color="auto"/>
          <w:left w:val="single" w:sz="4" w:space="4" w:color="auto"/>
          <w:bottom w:val="single" w:sz="4" w:space="1" w:color="auto"/>
          <w:right w:val="single" w:sz="4" w:space="4" w:color="auto"/>
        </w:pBdr>
        <w:rPr>
          <w:lang w:val="en-US"/>
        </w:rPr>
      </w:pPr>
      <w:r w:rsidRPr="008A6041">
        <w:rPr>
          <w:lang w:val="en-US"/>
        </w:rPr>
        <w:t xml:space="preserve">Feed intolerance </w:t>
      </w:r>
    </w:p>
    <w:p w14:paraId="59EB4024" w14:textId="77777777" w:rsidR="008A6041" w:rsidRPr="008A6041" w:rsidRDefault="008A6041" w:rsidP="00C20F00">
      <w:pPr>
        <w:pStyle w:val="Bullet"/>
        <w:numPr>
          <w:ilvl w:val="0"/>
          <w:numId w:val="44"/>
        </w:numPr>
        <w:pBdr>
          <w:top w:val="single" w:sz="4" w:space="1" w:color="auto"/>
          <w:left w:val="single" w:sz="4" w:space="4" w:color="auto"/>
          <w:bottom w:val="single" w:sz="4" w:space="1" w:color="auto"/>
          <w:right w:val="single" w:sz="4" w:space="4" w:color="auto"/>
        </w:pBdr>
        <w:rPr>
          <w:lang w:val="en-US"/>
        </w:rPr>
      </w:pPr>
      <w:r w:rsidRPr="008A6041">
        <w:rPr>
          <w:lang w:val="en-US"/>
        </w:rPr>
        <w:t xml:space="preserve">NEC and other medical or surgical gastrointestinal conditions </w:t>
      </w:r>
    </w:p>
    <w:p w14:paraId="1207DFAB" w14:textId="77777777" w:rsidR="008A6041" w:rsidRPr="008A6041" w:rsidRDefault="008A6041" w:rsidP="00C20F00">
      <w:pPr>
        <w:pStyle w:val="Bullet"/>
        <w:numPr>
          <w:ilvl w:val="0"/>
          <w:numId w:val="44"/>
        </w:numPr>
        <w:pBdr>
          <w:top w:val="single" w:sz="4" w:space="1" w:color="auto"/>
          <w:left w:val="single" w:sz="4" w:space="4" w:color="auto"/>
          <w:bottom w:val="single" w:sz="4" w:space="1" w:color="auto"/>
          <w:right w:val="single" w:sz="4" w:space="4" w:color="auto"/>
        </w:pBdr>
        <w:rPr>
          <w:lang w:val="en-US"/>
        </w:rPr>
      </w:pPr>
      <w:r w:rsidRPr="008A6041">
        <w:rPr>
          <w:lang w:val="en-US"/>
        </w:rPr>
        <w:t xml:space="preserve">Haemodynamically significant patent ductus arteriosus (PDA) (particularly infants on ibuprofen) </w:t>
      </w:r>
    </w:p>
    <w:p w14:paraId="6AA91D68" w14:textId="0A7C86B5" w:rsidR="008A6041" w:rsidRPr="008A6041" w:rsidRDefault="008A6041" w:rsidP="00C20F00">
      <w:pPr>
        <w:pStyle w:val="Bullet"/>
        <w:numPr>
          <w:ilvl w:val="0"/>
          <w:numId w:val="44"/>
        </w:numPr>
        <w:pBdr>
          <w:top w:val="single" w:sz="4" w:space="1" w:color="auto"/>
          <w:left w:val="single" w:sz="4" w:space="4" w:color="auto"/>
          <w:bottom w:val="single" w:sz="4" w:space="1" w:color="auto"/>
          <w:right w:val="single" w:sz="4" w:space="4" w:color="auto"/>
        </w:pBdr>
        <w:rPr>
          <w:lang w:val="en-US"/>
        </w:rPr>
      </w:pPr>
      <w:r w:rsidRPr="008A6041">
        <w:rPr>
          <w:lang w:val="en-US"/>
        </w:rPr>
        <w:t>Infants on inotropic support and/or muscle relaxants</w:t>
      </w:r>
      <w:r>
        <w:rPr>
          <w:lang w:val="en-US"/>
        </w:rPr>
        <w:t>.</w:t>
      </w:r>
    </w:p>
    <w:p w14:paraId="0424103C" w14:textId="111B9829" w:rsidR="00EB516D" w:rsidRPr="00EB516D" w:rsidRDefault="00EB516D" w:rsidP="00EB516D">
      <w:pPr>
        <w:pStyle w:val="BodyCopy"/>
      </w:pPr>
      <w:r w:rsidRPr="00EB516D">
        <w:t>The Standard Feeding Schedule applies to neonates born less than or equal to 32 weeks GA and less than or equal to 1800g. Most preterm neonates will have IV therapy commenced at birth and for those neonates, select the Standardised Feeding Schedule according to the neonate’s birthweight. This can be found in Attachment 4 – Standard Feeding Schedules.</w:t>
      </w:r>
    </w:p>
    <w:p w14:paraId="7B6053FB" w14:textId="4982856B" w:rsidR="00A55107" w:rsidRPr="001B61CC" w:rsidRDefault="00A55107" w:rsidP="00E3337C">
      <w:pPr>
        <w:pStyle w:val="Heading6"/>
      </w:pPr>
      <w:r>
        <w:t>Procedure</w:t>
      </w:r>
    </w:p>
    <w:p w14:paraId="374C1742" w14:textId="63C7C368" w:rsidR="00EB516D" w:rsidRPr="00101B5B" w:rsidRDefault="00EB516D" w:rsidP="00E94ECA">
      <w:pPr>
        <w:pStyle w:val="Numberedlist"/>
        <w:numPr>
          <w:ilvl w:val="0"/>
          <w:numId w:val="9"/>
        </w:numPr>
        <w:rPr>
          <w:b/>
          <w:bCs/>
        </w:rPr>
      </w:pPr>
      <w:r>
        <w:t xml:space="preserve">Commence appropriate fluid/feed regimen based on gestation and birth weight following admission and stabilisation (Refer to </w:t>
      </w:r>
      <w:r w:rsidRPr="00101B5B">
        <w:rPr>
          <w:b/>
          <w:bCs/>
        </w:rPr>
        <w:t>Attachment 3</w:t>
      </w:r>
      <w:r>
        <w:t xml:space="preserve"> –</w:t>
      </w:r>
      <w:r w:rsidRPr="006E6E3C">
        <w:t xml:space="preserve"> Department of Neonatology Nutrition Guide). </w:t>
      </w:r>
    </w:p>
    <w:p w14:paraId="7D25131E" w14:textId="469ED128" w:rsidR="00EB516D" w:rsidRPr="00496422" w:rsidRDefault="00EB516D" w:rsidP="0064704F">
      <w:pPr>
        <w:pStyle w:val="Numberedlist"/>
        <w:tabs>
          <w:tab w:val="num" w:pos="360"/>
        </w:tabs>
      </w:pPr>
      <w:r>
        <w:t>Medical Officer to order fluids/feeds on the Digital Health Record (DHR).</w:t>
      </w:r>
    </w:p>
    <w:p w14:paraId="125B656E" w14:textId="1E388A6B" w:rsidR="00EB516D" w:rsidRDefault="00EB516D" w:rsidP="0064704F">
      <w:pPr>
        <w:pStyle w:val="Numberedlist"/>
        <w:tabs>
          <w:tab w:val="num" w:pos="360"/>
        </w:tabs>
      </w:pPr>
      <w:r>
        <w:t xml:space="preserve">Bedside nurse to commence enteral feeds as soon as possible unless NBM orders from medical staff. Refer to </w:t>
      </w:r>
      <w:r w:rsidRPr="00642DB9">
        <w:rPr>
          <w:b/>
          <w:bCs/>
        </w:rPr>
        <w:t>Section 1.4</w:t>
      </w:r>
      <w:r>
        <w:t xml:space="preserve"> – Initiation of Feeds. </w:t>
      </w:r>
    </w:p>
    <w:p w14:paraId="2067741E" w14:textId="77777777" w:rsidR="00AF3BCB" w:rsidRDefault="00EB516D" w:rsidP="0064704F">
      <w:pPr>
        <w:pStyle w:val="Numberedlist"/>
        <w:tabs>
          <w:tab w:val="num" w:pos="360"/>
        </w:tabs>
      </w:pPr>
      <w:r>
        <w:t xml:space="preserve">For neonates </w:t>
      </w:r>
      <w:r>
        <w:rPr>
          <w:rFonts w:cs="Calibri"/>
        </w:rPr>
        <w:t xml:space="preserve">less than or equal </w:t>
      </w:r>
      <w:r>
        <w:t xml:space="preserve">32 weeks GA and/or </w:t>
      </w:r>
      <w:r>
        <w:rPr>
          <w:rFonts w:cs="Calibri"/>
        </w:rPr>
        <w:t xml:space="preserve">less than or equal to </w:t>
      </w:r>
      <w:r>
        <w:t xml:space="preserve">1800g, select Bedside Standard Feeding Schedule (SFS) Protocol Card based on neonate’s birthweight which can be found in the NICU workroom. See </w:t>
      </w:r>
      <w:r w:rsidRPr="00A324B9">
        <w:rPr>
          <w:b/>
          <w:bCs/>
        </w:rPr>
        <w:t>Image 1</w:t>
      </w:r>
      <w:r>
        <w:t xml:space="preserve"> </w:t>
      </w:r>
      <w:r w:rsidRPr="00A324B9">
        <w:rPr>
          <w:b/>
          <w:bCs/>
        </w:rPr>
        <w:t xml:space="preserve">– </w:t>
      </w:r>
      <w:r w:rsidRPr="00A324B9">
        <w:t>Bedside SFS Protocol</w:t>
      </w:r>
      <w:r>
        <w:t xml:space="preserve"> Card</w:t>
      </w:r>
      <w:r w:rsidRPr="00A324B9">
        <w:t xml:space="preserve"> Template</w:t>
      </w:r>
      <w:r>
        <w:t xml:space="preserve">. </w:t>
      </w:r>
    </w:p>
    <w:p w14:paraId="574EE66E" w14:textId="64561AAB" w:rsidR="00EB516D" w:rsidRDefault="00F64C3D" w:rsidP="0012221D">
      <w:pPr>
        <w:pStyle w:val="Numberedlist"/>
        <w:numPr>
          <w:ilvl w:val="1"/>
          <w:numId w:val="5"/>
        </w:numPr>
      </w:pPr>
      <w:r>
        <w:t>Staff to</w:t>
      </w:r>
      <w:r w:rsidR="0012221D">
        <w:t xml:space="preserve"> document patient’s specific</w:t>
      </w:r>
      <w:r>
        <w:t xml:space="preserve"> protocol</w:t>
      </w:r>
      <w:r w:rsidR="00076ABE">
        <w:t xml:space="preserve"> </w:t>
      </w:r>
      <w:r w:rsidR="0012221D">
        <w:t>number, feed day, and feed number into</w:t>
      </w:r>
      <w:r w:rsidR="00D625B9">
        <w:t xml:space="preserve"> the</w:t>
      </w:r>
      <w:r w:rsidR="00076ABE">
        <w:t xml:space="preserve"> patient</w:t>
      </w:r>
      <w:r w:rsidR="00514689">
        <w:t>’s medical record</w:t>
      </w:r>
      <w:r w:rsidR="00016AA4">
        <w:t>s</w:t>
      </w:r>
      <w:r w:rsidR="00514689">
        <w:t>.</w:t>
      </w:r>
    </w:p>
    <w:p w14:paraId="08EAF004" w14:textId="2B2094D9" w:rsidR="00EB516D" w:rsidRPr="00496422" w:rsidRDefault="001E5C38" w:rsidP="00EB516D">
      <w:pPr>
        <w:jc w:val="center"/>
      </w:pPr>
      <w:r>
        <w:rPr>
          <w:noProof/>
        </w:rPr>
        <w:lastRenderedPageBreak/>
        <w:drawing>
          <wp:inline distT="0" distB="0" distL="0" distR="0" wp14:anchorId="1BFB0766" wp14:editId="6007AB35">
            <wp:extent cx="6299835" cy="4796790"/>
            <wp:effectExtent l="0" t="0" r="5715" b="3810"/>
            <wp:docPr id="1139512399" name="Picture 1" descr="A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12399" name="Picture 1" descr="A chart with numbers and symbols&#10;&#10;AI-generated content may be incorrect."/>
                    <pic:cNvPicPr/>
                  </pic:nvPicPr>
                  <pic:blipFill>
                    <a:blip r:embed="rId17"/>
                    <a:stretch>
                      <a:fillRect/>
                    </a:stretch>
                  </pic:blipFill>
                  <pic:spPr>
                    <a:xfrm>
                      <a:off x="0" y="0"/>
                      <a:ext cx="6299835" cy="4796790"/>
                    </a:xfrm>
                    <a:prstGeom prst="rect">
                      <a:avLst/>
                    </a:prstGeom>
                  </pic:spPr>
                </pic:pic>
              </a:graphicData>
            </a:graphic>
          </wp:inline>
        </w:drawing>
      </w:r>
      <w:r w:rsidR="00EB516D" w:rsidRPr="00873827">
        <w:rPr>
          <w:noProof/>
        </w:rPr>
        <w:t xml:space="preserve"> </w:t>
      </w:r>
    </w:p>
    <w:p w14:paraId="38068C11" w14:textId="77777777" w:rsidR="00EB516D" w:rsidRDefault="00EB516D" w:rsidP="0064704F">
      <w:pPr>
        <w:pStyle w:val="Numberedlist"/>
        <w:tabs>
          <w:tab w:val="num" w:pos="360"/>
        </w:tabs>
      </w:pPr>
      <w:r w:rsidRPr="00496422">
        <w:t>Beside nurse to attach</w:t>
      </w:r>
      <w:r>
        <w:t xml:space="preserve"> small</w:t>
      </w:r>
      <w:r w:rsidRPr="00496422">
        <w:t xml:space="preserve"> patient label </w:t>
      </w:r>
      <w:r>
        <w:t xml:space="preserve">(e.g., linear patient label) </w:t>
      </w:r>
      <w:r w:rsidRPr="00496422">
        <w:t>and document</w:t>
      </w:r>
      <w:r>
        <w:t xml:space="preserve"> dates for</w:t>
      </w:r>
      <w:r w:rsidRPr="00496422">
        <w:t xml:space="preserve"> Feed Days</w:t>
      </w:r>
      <w:r>
        <w:t xml:space="preserve"> </w:t>
      </w:r>
      <w:r w:rsidRPr="00496422">
        <w:t>using whiteboard marker</w:t>
      </w:r>
      <w:r>
        <w:t xml:space="preserve"> (Refer to Image 1 – Bedside SFS Protocol Card Template).</w:t>
      </w:r>
      <w:r w:rsidRPr="00496422">
        <w:t xml:space="preserve"> The Bedside SFS Card to be attached on neonate’s </w:t>
      </w:r>
      <w:r>
        <w:t>pendant</w:t>
      </w:r>
      <w:r w:rsidRPr="00496422">
        <w:t xml:space="preserve"> for easy reference</w:t>
      </w:r>
      <w:r>
        <w:t>.</w:t>
      </w:r>
    </w:p>
    <w:p w14:paraId="6E382E02" w14:textId="77777777" w:rsidR="00EB516D" w:rsidRDefault="00EB516D" w:rsidP="0064704F">
      <w:pPr>
        <w:pStyle w:val="Numberedlist"/>
        <w:numPr>
          <w:ilvl w:val="1"/>
          <w:numId w:val="5"/>
        </w:numPr>
        <w:ind w:left="714" w:hanging="357"/>
      </w:pPr>
      <w:r>
        <w:t>Feed Day- refers to the day feeding is occurring, NOT the day of life.</w:t>
      </w:r>
    </w:p>
    <w:p w14:paraId="7C49E7A7" w14:textId="77777777" w:rsidR="00EB516D" w:rsidRDefault="00EB516D" w:rsidP="0064704F">
      <w:pPr>
        <w:pStyle w:val="Numberedlist"/>
        <w:numPr>
          <w:ilvl w:val="1"/>
          <w:numId w:val="5"/>
        </w:numPr>
        <w:ind w:left="714" w:hanging="357"/>
      </w:pPr>
      <w:r w:rsidRPr="00BC3772">
        <w:t>Feed Number</w:t>
      </w:r>
      <w:r>
        <w:t xml:space="preserve"> -</w:t>
      </w:r>
      <w:r w:rsidRPr="00BC3772">
        <w:t xml:space="preserve"> is determined by frequency of feed (e.g., 2nd hourly has a total of 12 feed numbers or 3rd hourly has 8</w:t>
      </w:r>
      <w:r>
        <w:t>).</w:t>
      </w:r>
    </w:p>
    <w:p w14:paraId="3A48E548" w14:textId="77777777" w:rsidR="00EB516D" w:rsidRDefault="00EB516D" w:rsidP="0064704F">
      <w:pPr>
        <w:pStyle w:val="Numberedlist"/>
        <w:tabs>
          <w:tab w:val="num" w:pos="360"/>
        </w:tabs>
      </w:pPr>
      <w:bookmarkStart w:id="20" w:name="_Hlk169179054"/>
      <w:r w:rsidRPr="00BC3772">
        <w:t xml:space="preserve">Commence </w:t>
      </w:r>
      <w:r>
        <w:t xml:space="preserve">standard </w:t>
      </w:r>
      <w:r w:rsidRPr="00BC3772">
        <w:t>feeding schedule protocol</w:t>
      </w:r>
      <w:r>
        <w:t xml:space="preserve"> by giving feed number volume (e.g., Protocol #, Feed Day 3, and Feed Number 6 is a 1.5ml). Nurse to give feed via enteral tube feeding and to cross off each feed volume once given (Refer to </w:t>
      </w:r>
      <w:r w:rsidRPr="005C2976">
        <w:t>Image 1</w:t>
      </w:r>
      <w:r>
        <w:t>).</w:t>
      </w:r>
    </w:p>
    <w:p w14:paraId="1990DF7D" w14:textId="77777777" w:rsidR="00EB516D" w:rsidRPr="00BC3772" w:rsidRDefault="00EB516D" w:rsidP="0064704F">
      <w:pPr>
        <w:pStyle w:val="Numberedlist"/>
        <w:numPr>
          <w:ilvl w:val="1"/>
          <w:numId w:val="5"/>
        </w:numPr>
        <w:ind w:left="714" w:hanging="357"/>
      </w:pPr>
      <w:r>
        <w:t>A</w:t>
      </w:r>
      <w:r w:rsidRPr="00496422">
        <w:t>dvance feed as per SFS Protocol and the increase is approximately 20</w:t>
      </w:r>
      <w:r>
        <w:t xml:space="preserve"> to </w:t>
      </w:r>
      <w:r w:rsidRPr="00496422">
        <w:t xml:space="preserve">30ml/kg/day. </w:t>
      </w:r>
    </w:p>
    <w:p w14:paraId="65DA7A33" w14:textId="77777777" w:rsidR="00EB516D" w:rsidRDefault="00EB516D" w:rsidP="0064704F">
      <w:pPr>
        <w:pStyle w:val="Numberedlist"/>
        <w:tabs>
          <w:tab w:val="num" w:pos="360"/>
        </w:tabs>
        <w:spacing w:line="276" w:lineRule="auto"/>
      </w:pPr>
      <w:r w:rsidRPr="00496422">
        <w:t>Bedside nurse to assess feed intolerance before every feed. Refer to</w:t>
      </w:r>
      <w:r>
        <w:t xml:space="preserve"> </w:t>
      </w:r>
      <w:r w:rsidRPr="00A324B9">
        <w:rPr>
          <w:b/>
          <w:bCs/>
        </w:rPr>
        <w:t>Attachment 5</w:t>
      </w:r>
      <w:r>
        <w:t xml:space="preserve"> – </w:t>
      </w:r>
      <w:r w:rsidRPr="00A324B9">
        <w:t>Feeding Intolerance Algorithm</w:t>
      </w:r>
      <w:r>
        <w:t>,</w:t>
      </w:r>
      <w:r w:rsidRPr="00496422">
        <w:t xml:space="preserve"> for management of feed intolerance</w:t>
      </w:r>
      <w:r>
        <w:t>.</w:t>
      </w:r>
      <w:bookmarkEnd w:id="20"/>
    </w:p>
    <w:p w14:paraId="098EF4C9" w14:textId="77777777" w:rsidR="00EB516D" w:rsidRDefault="00EB516D" w:rsidP="0064704F">
      <w:pPr>
        <w:pStyle w:val="Numberedlist"/>
        <w:numPr>
          <w:ilvl w:val="1"/>
          <w:numId w:val="5"/>
        </w:numPr>
        <w:spacing w:line="276" w:lineRule="auto"/>
        <w:ind w:left="714" w:hanging="357"/>
      </w:pPr>
      <w:r>
        <w:lastRenderedPageBreak/>
        <w:t>If feeds are paused due to medical assessment for feed intolerance or blood transfusion, bedside nurse to continue from last feed given unless directed by medical team</w:t>
      </w:r>
    </w:p>
    <w:p w14:paraId="4C5178F8" w14:textId="77777777" w:rsidR="00EB516D" w:rsidRDefault="00EB516D" w:rsidP="0064704F">
      <w:pPr>
        <w:pStyle w:val="Numberedlist"/>
        <w:tabs>
          <w:tab w:val="num" w:pos="360"/>
        </w:tabs>
        <w:spacing w:line="276" w:lineRule="auto"/>
      </w:pPr>
      <w:r>
        <w:t>Once neonate reaches 80 to 100ml/kg/day enteral feeds:</w:t>
      </w:r>
    </w:p>
    <w:p w14:paraId="6C9A938A" w14:textId="77777777" w:rsidR="00EB516D" w:rsidRDefault="00EB516D" w:rsidP="0064704F">
      <w:pPr>
        <w:pStyle w:val="Numberedlist"/>
        <w:numPr>
          <w:ilvl w:val="1"/>
          <w:numId w:val="5"/>
        </w:numPr>
        <w:spacing w:line="276" w:lineRule="auto"/>
        <w:ind w:left="714" w:hanging="357"/>
      </w:pPr>
      <w:r w:rsidRPr="00496422">
        <w:t>Commence fortification</w:t>
      </w:r>
      <w:r>
        <w:t xml:space="preserve"> of MOM and/or PDHM. C</w:t>
      </w:r>
      <w:r w:rsidRPr="00496422">
        <w:t>ommence with half strength for 2 days then full strength. Refer to</w:t>
      </w:r>
      <w:r>
        <w:t xml:space="preserve"> </w:t>
      </w:r>
      <w:r w:rsidRPr="00066EAD">
        <w:rPr>
          <w:b/>
          <w:bCs/>
        </w:rPr>
        <w:t xml:space="preserve">Section 1.10 </w:t>
      </w:r>
      <w:r w:rsidRPr="00A324B9">
        <w:t>– Fortifying Feeds</w:t>
      </w:r>
      <w:r>
        <w:t xml:space="preserve">. </w:t>
      </w:r>
      <w:r w:rsidRPr="00496422">
        <w:t>Medical officer to order fortification</w:t>
      </w:r>
      <w:r>
        <w:t>.</w:t>
      </w:r>
      <w:r w:rsidRPr="00496422">
        <w:t xml:space="preserve"> </w:t>
      </w:r>
    </w:p>
    <w:p w14:paraId="011AFFFC" w14:textId="77777777" w:rsidR="00EB516D" w:rsidRDefault="00EB516D" w:rsidP="0064704F">
      <w:pPr>
        <w:pStyle w:val="Numberedlist"/>
        <w:numPr>
          <w:ilvl w:val="1"/>
          <w:numId w:val="5"/>
        </w:numPr>
        <w:spacing w:line="276" w:lineRule="auto"/>
        <w:ind w:left="714" w:hanging="357"/>
      </w:pPr>
      <w:r>
        <w:t>All IV medications should change to oral where possible (except if the neonate has IV antibiotics in some circumstances).</w:t>
      </w:r>
    </w:p>
    <w:p w14:paraId="03DB1AED" w14:textId="77777777" w:rsidR="00EB516D" w:rsidRPr="00496422" w:rsidRDefault="00EB516D" w:rsidP="0064704F">
      <w:pPr>
        <w:pStyle w:val="Numberedlist"/>
        <w:tabs>
          <w:tab w:val="num" w:pos="360"/>
        </w:tabs>
        <w:spacing w:line="276" w:lineRule="auto"/>
      </w:pPr>
      <w:r>
        <w:t>Once the neonate is tolerating 120ml/kg/day of enteral feeds, removal of vascular devices should occur.</w:t>
      </w:r>
    </w:p>
    <w:p w14:paraId="1466201D" w14:textId="77777777" w:rsidR="00EB516D" w:rsidRDefault="00EB516D" w:rsidP="0064704F">
      <w:pPr>
        <w:pStyle w:val="Numberedlist"/>
        <w:tabs>
          <w:tab w:val="clear" w:pos="425"/>
          <w:tab w:val="num" w:pos="142"/>
        </w:tabs>
        <w:spacing w:line="276" w:lineRule="auto"/>
      </w:pPr>
      <w:r>
        <w:t>By Feed Day 7, full enteral feeds should be ideally achieved which will be a Total Fluid Intake (TFI) of 160ml/kg/day.</w:t>
      </w:r>
    </w:p>
    <w:p w14:paraId="5A12CEB7" w14:textId="403A373E" w:rsidR="00A55107" w:rsidRPr="000E3D59" w:rsidRDefault="00EB516D" w:rsidP="0064704F">
      <w:pPr>
        <w:pStyle w:val="Numberedlist"/>
        <w:tabs>
          <w:tab w:val="num" w:pos="360"/>
        </w:tabs>
        <w:spacing w:line="276" w:lineRule="auto"/>
      </w:pPr>
      <w:r>
        <w:t>Bedside nurse to document feeds and observation/assessments via DHR.</w:t>
      </w:r>
    </w:p>
    <w:p w14:paraId="3885B9C5" w14:textId="4C53E918" w:rsidR="00AD73BE" w:rsidRPr="00E362BA" w:rsidRDefault="008D5B34" w:rsidP="005D0BE7">
      <w:pPr>
        <w:pStyle w:val="Heading3"/>
      </w:pPr>
      <w:bookmarkStart w:id="21" w:name="_Toc174601153"/>
      <w:bookmarkStart w:id="22" w:name="_Toc199497063"/>
      <w:r w:rsidRPr="00AD73BE">
        <w:t>1.8 Pump</w:t>
      </w:r>
      <w:r w:rsidR="00A55107" w:rsidRPr="00AD73BE">
        <w:t xml:space="preserve"> and Gravity Feeding Duration and Criteria</w:t>
      </w:r>
      <w:bookmarkEnd w:id="21"/>
      <w:bookmarkEnd w:id="22"/>
    </w:p>
    <w:p w14:paraId="5C9E5823" w14:textId="77777777" w:rsidR="008A6041" w:rsidRDefault="008A6041" w:rsidP="008A6041">
      <w:pPr>
        <w:pStyle w:val="BodyCopy"/>
        <w:pBdr>
          <w:top w:val="single" w:sz="4" w:space="1" w:color="auto"/>
          <w:left w:val="single" w:sz="4" w:space="4" w:color="auto"/>
          <w:bottom w:val="single" w:sz="4" w:space="1" w:color="auto"/>
          <w:right w:val="single" w:sz="4" w:space="4" w:color="auto"/>
        </w:pBdr>
        <w:rPr>
          <w:b/>
        </w:rPr>
      </w:pPr>
      <w:r w:rsidRPr="008A6041">
        <w:rPr>
          <w:b/>
        </w:rPr>
        <w:t xml:space="preserve">Note: </w:t>
      </w:r>
    </w:p>
    <w:p w14:paraId="0C01A4FB" w14:textId="68256288"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b/>
        </w:rPr>
      </w:pPr>
      <w:r w:rsidRPr="008A6041">
        <w:t xml:space="preserve">For enteral feeding procedure refer to </w:t>
      </w:r>
      <w:hyperlink w:anchor="_Attachment_2_-" w:history="1">
        <w:r w:rsidRPr="008A6041">
          <w:rPr>
            <w:rStyle w:val="Hyperlink"/>
            <w:b/>
          </w:rPr>
          <w:t>Attachment 2</w:t>
        </w:r>
        <w:r w:rsidRPr="008A6041">
          <w:rPr>
            <w:rStyle w:val="Hyperlink"/>
          </w:rPr>
          <w:t xml:space="preserve"> – Enteral Tube Feeding Procedure</w:t>
        </w:r>
      </w:hyperlink>
      <w:r w:rsidRPr="008A6041">
        <w:t>.</w:t>
      </w:r>
    </w:p>
    <w:p w14:paraId="57F62953" w14:textId="4A220B7E" w:rsidR="00A55107" w:rsidRPr="006F2113" w:rsidRDefault="00A55107" w:rsidP="00AD73BE">
      <w:pPr>
        <w:pStyle w:val="Heading6"/>
      </w:pPr>
      <w:r w:rsidRPr="006F2113">
        <w:t>Pump Feeds</w:t>
      </w:r>
    </w:p>
    <w:p w14:paraId="572097FF" w14:textId="6352EFA2" w:rsidR="00EB516D" w:rsidRDefault="00EB516D" w:rsidP="00EB516D">
      <w:pPr>
        <w:pStyle w:val="BodyCopy"/>
      </w:pPr>
      <w:r>
        <w:t xml:space="preserve">Neonates </w:t>
      </w:r>
      <w:r>
        <w:rPr>
          <w:rFonts w:eastAsia="Calibri" w:cs="Calibri"/>
        </w:rPr>
        <w:t xml:space="preserve">less than or equal to </w:t>
      </w:r>
      <w:r w:rsidRPr="0D77BFA6">
        <w:rPr>
          <w:rFonts w:eastAsia="Calibri" w:cs="Calibri"/>
        </w:rPr>
        <w:t xml:space="preserve">32 weeks GA and/or </w:t>
      </w:r>
      <w:r>
        <w:rPr>
          <w:rFonts w:eastAsia="Calibri" w:cs="Calibri"/>
        </w:rPr>
        <w:t xml:space="preserve">less than or equal to </w:t>
      </w:r>
      <w:r w:rsidRPr="0D77BFA6">
        <w:rPr>
          <w:rFonts w:eastAsia="Calibri" w:cs="Calibri"/>
        </w:rPr>
        <w:t>1800g</w:t>
      </w:r>
      <w:r w:rsidRPr="007D5534">
        <w:rPr>
          <w:rFonts w:cs="Calibri"/>
        </w:rPr>
        <w:t xml:space="preserve"> are to commence on pump feeds</w:t>
      </w:r>
      <w:r>
        <w:rPr>
          <w:rFonts w:cs="Calibri"/>
        </w:rPr>
        <w:t>.</w:t>
      </w:r>
      <w:r w:rsidRPr="006F2113">
        <w:t xml:space="preserve"> </w:t>
      </w:r>
    </w:p>
    <w:tbl>
      <w:tblPr>
        <w:tblStyle w:val="TableGrid"/>
        <w:tblpPr w:leftFromText="180" w:rightFromText="180" w:vertAnchor="text" w:horzAnchor="margin" w:tblpY="-14"/>
        <w:tblW w:w="9918" w:type="dxa"/>
        <w:tblLook w:val="04A0" w:firstRow="1" w:lastRow="0" w:firstColumn="1" w:lastColumn="0" w:noHBand="0" w:noVBand="1"/>
      </w:tblPr>
      <w:tblGrid>
        <w:gridCol w:w="4959"/>
        <w:gridCol w:w="4959"/>
      </w:tblGrid>
      <w:tr w:rsidR="00EB516D" w14:paraId="336AE9FE" w14:textId="77777777" w:rsidTr="008D5985">
        <w:trPr>
          <w:trHeight w:val="561"/>
        </w:trPr>
        <w:tc>
          <w:tcPr>
            <w:tcW w:w="9918" w:type="dxa"/>
            <w:gridSpan w:val="2"/>
            <w:shd w:val="clear" w:color="auto" w:fill="D9D9D9" w:themeFill="background1" w:themeFillShade="D9"/>
            <w:vAlign w:val="center"/>
          </w:tcPr>
          <w:p w14:paraId="1873F42C" w14:textId="77777777" w:rsidR="00EB516D" w:rsidRDefault="00EB516D" w:rsidP="008D5985">
            <w:pPr>
              <w:pStyle w:val="Tableheader-black"/>
              <w:jc w:val="center"/>
            </w:pPr>
            <w:r>
              <w:t>Table 2 – Pump Feed Duration Based on Volume</w:t>
            </w:r>
          </w:p>
        </w:tc>
      </w:tr>
      <w:tr w:rsidR="00EB516D" w14:paraId="57D73A1A" w14:textId="77777777" w:rsidTr="008D5985">
        <w:trPr>
          <w:trHeight w:val="556"/>
        </w:trPr>
        <w:tc>
          <w:tcPr>
            <w:tcW w:w="4959" w:type="dxa"/>
            <w:shd w:val="clear" w:color="auto" w:fill="D9D9D9" w:themeFill="background1" w:themeFillShade="D9"/>
            <w:vAlign w:val="center"/>
          </w:tcPr>
          <w:p w14:paraId="279F7CFB" w14:textId="77777777" w:rsidR="00EB516D" w:rsidRPr="00872952" w:rsidRDefault="00EB516D" w:rsidP="008D5985">
            <w:pPr>
              <w:pStyle w:val="Tableheader-black"/>
              <w:jc w:val="center"/>
            </w:pPr>
            <w:r w:rsidRPr="00872952">
              <w:t>Volume</w:t>
            </w:r>
          </w:p>
        </w:tc>
        <w:tc>
          <w:tcPr>
            <w:tcW w:w="4959" w:type="dxa"/>
            <w:shd w:val="clear" w:color="auto" w:fill="D9D9D9" w:themeFill="background1" w:themeFillShade="D9"/>
            <w:vAlign w:val="center"/>
          </w:tcPr>
          <w:p w14:paraId="2C8A7C81" w14:textId="77777777" w:rsidR="00EB516D" w:rsidRPr="00872952" w:rsidRDefault="00EB516D" w:rsidP="008D5985">
            <w:pPr>
              <w:pStyle w:val="Tableheader-black"/>
              <w:jc w:val="center"/>
            </w:pPr>
            <w:r>
              <w:t xml:space="preserve">Pump </w:t>
            </w:r>
            <w:r w:rsidRPr="00872952">
              <w:t>Duration</w:t>
            </w:r>
          </w:p>
        </w:tc>
      </w:tr>
      <w:tr w:rsidR="00EB516D" w14:paraId="6B377F91" w14:textId="77777777" w:rsidTr="008D5985">
        <w:trPr>
          <w:trHeight w:val="408"/>
        </w:trPr>
        <w:tc>
          <w:tcPr>
            <w:tcW w:w="4959" w:type="dxa"/>
            <w:vAlign w:val="center"/>
          </w:tcPr>
          <w:p w14:paraId="76DCDE18" w14:textId="77777777" w:rsidR="00EB516D" w:rsidRDefault="00EB516D" w:rsidP="008D5985">
            <w:pPr>
              <w:pStyle w:val="BodyCopy"/>
              <w:jc w:val="center"/>
            </w:pPr>
            <w:r>
              <w:t>Less than 5 milliliters (mls)</w:t>
            </w:r>
          </w:p>
        </w:tc>
        <w:tc>
          <w:tcPr>
            <w:tcW w:w="4959" w:type="dxa"/>
            <w:vAlign w:val="center"/>
          </w:tcPr>
          <w:p w14:paraId="12413914" w14:textId="77777777" w:rsidR="00EB516D" w:rsidRDefault="00EB516D" w:rsidP="008D5985">
            <w:pPr>
              <w:pStyle w:val="BodyCopy"/>
              <w:jc w:val="center"/>
            </w:pPr>
            <w:r>
              <w:t>Manual Push/Bolus (1 to 2 minutes)</w:t>
            </w:r>
          </w:p>
        </w:tc>
      </w:tr>
      <w:tr w:rsidR="00EB516D" w14:paraId="39B452CB" w14:textId="77777777" w:rsidTr="008D5985">
        <w:trPr>
          <w:trHeight w:val="677"/>
        </w:trPr>
        <w:tc>
          <w:tcPr>
            <w:tcW w:w="4959" w:type="dxa"/>
            <w:vAlign w:val="center"/>
          </w:tcPr>
          <w:p w14:paraId="4B25CC92" w14:textId="77777777" w:rsidR="00EB516D" w:rsidRDefault="00EB516D" w:rsidP="008D5985">
            <w:pPr>
              <w:pStyle w:val="BodyCopy"/>
              <w:jc w:val="center"/>
            </w:pPr>
            <w:r>
              <w:t>5 to 20mls</w:t>
            </w:r>
          </w:p>
        </w:tc>
        <w:tc>
          <w:tcPr>
            <w:tcW w:w="4959" w:type="dxa"/>
            <w:vAlign w:val="center"/>
          </w:tcPr>
          <w:p w14:paraId="0425D04A" w14:textId="77777777" w:rsidR="00EB516D" w:rsidRDefault="00EB516D" w:rsidP="008D5985">
            <w:pPr>
              <w:pStyle w:val="BodyCopy"/>
              <w:jc w:val="center"/>
            </w:pPr>
            <w:r>
              <w:t>10 minutes</w:t>
            </w:r>
          </w:p>
        </w:tc>
      </w:tr>
      <w:tr w:rsidR="00EB516D" w14:paraId="5A033AEB" w14:textId="77777777" w:rsidTr="008D5985">
        <w:trPr>
          <w:trHeight w:val="116"/>
        </w:trPr>
        <w:tc>
          <w:tcPr>
            <w:tcW w:w="4959" w:type="dxa"/>
            <w:vAlign w:val="center"/>
          </w:tcPr>
          <w:p w14:paraId="55D8FA28" w14:textId="77777777" w:rsidR="00EB516D" w:rsidRDefault="00EB516D" w:rsidP="008D5985">
            <w:pPr>
              <w:pStyle w:val="BodyCopy"/>
              <w:jc w:val="center"/>
            </w:pPr>
            <w:r>
              <w:t>Greater than 20mls</w:t>
            </w:r>
          </w:p>
        </w:tc>
        <w:tc>
          <w:tcPr>
            <w:tcW w:w="4959" w:type="dxa"/>
            <w:vAlign w:val="center"/>
          </w:tcPr>
          <w:p w14:paraId="0001A428" w14:textId="77777777" w:rsidR="00EB516D" w:rsidRDefault="00EB516D" w:rsidP="008D5985">
            <w:pPr>
              <w:pStyle w:val="BodyCopy"/>
              <w:jc w:val="center"/>
            </w:pPr>
            <w:r>
              <w:t>20 minutes</w:t>
            </w:r>
          </w:p>
        </w:tc>
      </w:tr>
    </w:tbl>
    <w:p w14:paraId="3152D9E8" w14:textId="0DCA8A4E" w:rsidR="00FB557C" w:rsidRDefault="00EB516D" w:rsidP="00FB557C">
      <w:pPr>
        <w:pStyle w:val="BodyCopy"/>
      </w:pPr>
      <w:r>
        <w:t xml:space="preserve">Once a neonate reaches greater than </w:t>
      </w:r>
      <w:r w:rsidDel="009567B6">
        <w:t>34</w:t>
      </w:r>
      <w:r>
        <w:t xml:space="preserve"> weeks CGA, they can be transitioned to gravity feed</w:t>
      </w:r>
      <w:r w:rsidR="00FB557C">
        <w:t>s</w:t>
      </w:r>
      <w:r>
        <w:t>.</w:t>
      </w:r>
    </w:p>
    <w:p w14:paraId="3D2EB2BF" w14:textId="1CD4F8A0" w:rsidR="00A55107" w:rsidRPr="006F2113" w:rsidRDefault="00A55107" w:rsidP="00FB557C">
      <w:pPr>
        <w:pStyle w:val="Heading6"/>
      </w:pPr>
      <w:r w:rsidRPr="006F2113">
        <w:t>Gravity Feeds</w:t>
      </w:r>
    </w:p>
    <w:p w14:paraId="15D495DD" w14:textId="427E1F59" w:rsidR="00EB516D" w:rsidRPr="00E45B52" w:rsidRDefault="00EB516D" w:rsidP="00EB516D">
      <w:pPr>
        <w:pStyle w:val="BodyCopy"/>
        <w:rPr>
          <w:rFonts w:eastAsia="Calibri"/>
        </w:rPr>
      </w:pPr>
      <w:r>
        <w:t>Neona</w:t>
      </w:r>
      <w:r w:rsidRPr="00E45B52">
        <w:t xml:space="preserve">tes greater than </w:t>
      </w:r>
      <w:r w:rsidRPr="00E45B52">
        <w:rPr>
          <w:rFonts w:eastAsia="Calibri"/>
        </w:rPr>
        <w:t xml:space="preserve">32 weeks GA and/or greater than 1800g are to commence on gravity feeds. </w:t>
      </w:r>
      <w:r w:rsidR="002554B3" w:rsidRPr="00E45B52">
        <w:rPr>
          <w:rFonts w:eastAsia="Calibri"/>
        </w:rPr>
        <w:t>Feed to be administered over 15-20 minutes by allowing milk to free flow via gravity</w:t>
      </w:r>
      <w:r w:rsidR="00F425C7" w:rsidRPr="00E45B52">
        <w:rPr>
          <w:rFonts w:eastAsia="Calibri"/>
        </w:rPr>
        <w:t>.</w:t>
      </w:r>
    </w:p>
    <w:p w14:paraId="21658763" w14:textId="50C64A11" w:rsidR="00A55107" w:rsidRPr="00D53483" w:rsidRDefault="00FB557C" w:rsidP="005D0BE7">
      <w:pPr>
        <w:pStyle w:val="Heading3"/>
      </w:pPr>
      <w:bookmarkStart w:id="23" w:name="_Toc174601154"/>
      <w:bookmarkStart w:id="24" w:name="_Toc199497064"/>
      <w:r w:rsidRPr="00E45B52">
        <w:lastRenderedPageBreak/>
        <w:t>1.9 Gastric</w:t>
      </w:r>
      <w:r w:rsidR="00A55107" w:rsidRPr="00E45B52">
        <w:t xml:space="preserve"> Residuals, and Feed Intolerance &amp; Manag</w:t>
      </w:r>
      <w:r w:rsidR="00A55107" w:rsidRPr="00E45B52">
        <w:rPr>
          <w:rStyle w:val="Heading3Char"/>
          <w:b/>
          <w:bCs/>
        </w:rPr>
        <w:t>ement</w:t>
      </w:r>
      <w:bookmarkEnd w:id="23"/>
      <w:bookmarkEnd w:id="24"/>
    </w:p>
    <w:p w14:paraId="4F07B21D" w14:textId="77777777" w:rsidR="00A55107" w:rsidRPr="007C5262" w:rsidRDefault="00A55107" w:rsidP="00D53483">
      <w:pPr>
        <w:pStyle w:val="Heading6"/>
      </w:pPr>
      <w:r w:rsidRPr="00BD2C4E">
        <w:t>Gastric Residuals</w:t>
      </w:r>
    </w:p>
    <w:p w14:paraId="4C4D3CE1" w14:textId="6C6F4960" w:rsidR="00EB516D" w:rsidRDefault="00EB516D" w:rsidP="00EB516D">
      <w:pPr>
        <w:pStyle w:val="BodyCopy"/>
      </w:pPr>
      <w:r>
        <w:t>Routine monitoring of gastric residuals (GR) in the clinically stable infant is not recommended.</w:t>
      </w:r>
    </w:p>
    <w:p w14:paraId="4A25556A" w14:textId="77777777" w:rsidR="00EB516D" w:rsidRDefault="00EB516D" w:rsidP="00EB516D">
      <w:pPr>
        <w:pStyle w:val="BodyCopy"/>
      </w:pPr>
      <w:r>
        <w:t>Assessment of GR should be performed only when other clinical signs associated with feeding intolerance or NEC are present such as extreme abdominal distension,</w:t>
      </w:r>
      <w:r w:rsidRPr="0010710B">
        <w:t xml:space="preserve"> </w:t>
      </w:r>
      <w:r>
        <w:t xml:space="preserve">tenderness, emesis, bloody stools, apnoea, and temperature instability. Refer to </w:t>
      </w:r>
      <w:r w:rsidRPr="00A324B9">
        <w:rPr>
          <w:b/>
          <w:bCs w:val="0"/>
        </w:rPr>
        <w:t xml:space="preserve">Attachment 5 </w:t>
      </w:r>
      <w:r>
        <w:t>– Feeding Intolerance Algorithm</w:t>
      </w:r>
      <w:r w:rsidRPr="00A324B9">
        <w:rPr>
          <w:rStyle w:val="Hyperlink"/>
          <w:u w:val="none"/>
        </w:rPr>
        <w:t>.</w:t>
      </w:r>
    </w:p>
    <w:p w14:paraId="51ADFBF2" w14:textId="5E74E0E6" w:rsidR="00A55107" w:rsidRPr="00905249" w:rsidRDefault="00A55107" w:rsidP="0062690C">
      <w:pPr>
        <w:pStyle w:val="Heading6"/>
      </w:pPr>
      <w:r w:rsidRPr="6FD8DA99">
        <w:t>Feed Intolerance Clinical Signs</w:t>
      </w:r>
    </w:p>
    <w:p w14:paraId="4FD2BEFC" w14:textId="39E522F2" w:rsidR="006A7F1B" w:rsidRPr="00A731BA" w:rsidRDefault="006A7F1B" w:rsidP="006A7F1B">
      <w:pPr>
        <w:pStyle w:val="Bullet"/>
        <w:numPr>
          <w:ilvl w:val="0"/>
          <w:numId w:val="0"/>
        </w:numPr>
      </w:pPr>
      <w:bookmarkStart w:id="25" w:name="_1.9_-_Fortifying"/>
      <w:bookmarkStart w:id="26" w:name="_1.10_-_Fortifying"/>
      <w:bookmarkStart w:id="27" w:name="_Toc174601155"/>
      <w:bookmarkEnd w:id="25"/>
      <w:bookmarkEnd w:id="26"/>
      <w:r w:rsidRPr="00A731BA">
        <w:t xml:space="preserve">Significant clinical changes to vital signs such as frequent apnoeic and bradycardic episodes, and thermal instability. </w:t>
      </w:r>
    </w:p>
    <w:p w14:paraId="62F5B3F1" w14:textId="5EB73871" w:rsidR="006A7F1B" w:rsidRPr="00A731BA" w:rsidRDefault="006A7F1B" w:rsidP="00FB557C">
      <w:pPr>
        <w:pStyle w:val="Bullet"/>
        <w:ind w:left="425" w:hanging="425"/>
      </w:pPr>
      <w:r w:rsidRPr="00A731BA">
        <w:t xml:space="preserve">Vomiting may be the result of an over distended stomach, poorly positioned feeding tube, reflux, or may be more serious </w:t>
      </w:r>
      <w:r>
        <w:t>such as</w:t>
      </w:r>
      <w:r w:rsidRPr="00A731BA">
        <w:t xml:space="preserve"> infection, obstruction, or other disorders.</w:t>
      </w:r>
    </w:p>
    <w:p w14:paraId="0705220F" w14:textId="1AC81463" w:rsidR="006A7F1B" w:rsidRPr="00A731BA" w:rsidRDefault="006A7F1B" w:rsidP="00FB557C">
      <w:pPr>
        <w:pStyle w:val="Bullet"/>
        <w:ind w:left="425" w:hanging="425"/>
      </w:pPr>
      <w:r w:rsidRPr="00A731BA">
        <w:t>Aspirate colour</w:t>
      </w:r>
    </w:p>
    <w:p w14:paraId="0E746077" w14:textId="77777777" w:rsidR="0071700E" w:rsidRPr="0071700E" w:rsidRDefault="0071700E" w:rsidP="0071700E">
      <w:pPr>
        <w:pStyle w:val="ListParagraph"/>
        <w:numPr>
          <w:ilvl w:val="1"/>
          <w:numId w:val="1"/>
        </w:numPr>
        <w:ind w:left="714" w:hanging="357"/>
        <w:rPr>
          <w:rFonts w:ascii="Arial" w:hAnsi="Arial" w:cs="Arial"/>
          <w:color w:val="000000" w:themeColor="text1"/>
          <w:szCs w:val="24"/>
          <w:lang w:eastAsia="en-AU"/>
        </w:rPr>
      </w:pPr>
      <w:r w:rsidRPr="0071700E">
        <w:rPr>
          <w:rFonts w:ascii="Arial" w:hAnsi="Arial" w:cs="Arial"/>
          <w:color w:val="000000" w:themeColor="text1"/>
          <w:szCs w:val="24"/>
          <w:lang w:eastAsia="en-AU"/>
        </w:rPr>
        <w:t>If for clinical reasons a gastric aspirate has been obtained, green-coloured aspirates (Box 1 – 6 in Figure 1 – Gastric Aspirate Colour and pH Chart) are not associated with any increase in NEC in the absence of any other clinical manifestation and should generally not drive the decision to withhold feeds.</w:t>
      </w:r>
    </w:p>
    <w:p w14:paraId="243B7C13" w14:textId="53EF1987" w:rsidR="0071700E" w:rsidRDefault="0071700E" w:rsidP="00E13650">
      <w:pPr>
        <w:pStyle w:val="Bullet"/>
        <w:numPr>
          <w:ilvl w:val="1"/>
          <w:numId w:val="1"/>
        </w:numPr>
        <w:ind w:left="714" w:hanging="357"/>
      </w:pPr>
      <w:r w:rsidRPr="006731FC">
        <w:t>Bile in the aspirate can be a sign of a poorly positioned feeding tube, an ileus</w:t>
      </w:r>
      <w:r>
        <w:t xml:space="preserve"> </w:t>
      </w:r>
      <w:r w:rsidRPr="006731FC">
        <w:t xml:space="preserve">or obstruction and therefore should be evaluated. Heavily bile-stained aspirate, such as in </w:t>
      </w:r>
      <w:r>
        <w:t xml:space="preserve">Box </w:t>
      </w:r>
      <w:r w:rsidRPr="006731FC">
        <w:t xml:space="preserve">7 or 8 </w:t>
      </w:r>
      <w:r>
        <w:t xml:space="preserve">in Figure 1 </w:t>
      </w:r>
      <w:r w:rsidRPr="006731FC">
        <w:t>above, warrants medical assessment.</w:t>
      </w:r>
    </w:p>
    <w:p w14:paraId="0F558DDB" w14:textId="654B0C79" w:rsidR="006A7F1B" w:rsidRDefault="006A7F1B" w:rsidP="0071700E">
      <w:pPr>
        <w:pStyle w:val="Bullet"/>
        <w:numPr>
          <w:ilvl w:val="1"/>
          <w:numId w:val="1"/>
        </w:numPr>
        <w:ind w:left="714" w:hanging="357"/>
      </w:pPr>
      <w:r w:rsidRPr="006731FC">
        <w:t>For heavily bile-stained vomiting, feeds m</w:t>
      </w:r>
      <w:r>
        <w:t>ust</w:t>
      </w:r>
      <w:r w:rsidRPr="006731FC">
        <w:t xml:space="preserve"> be stopped for 24 </w:t>
      </w:r>
      <w:r w:rsidR="0071700E" w:rsidRPr="006731FC">
        <w:t>hours,</w:t>
      </w:r>
      <w:r w:rsidRPr="006731FC">
        <w:t xml:space="preserve"> and should this worsen, there may be further investigations required. The decision whether the feeds could be continued but not upgraded will be at the discretion of the MO.</w:t>
      </w:r>
    </w:p>
    <w:p w14:paraId="68B8E04F" w14:textId="3ED1173E" w:rsidR="002554B3" w:rsidRDefault="002554B3" w:rsidP="002554B3">
      <w:pPr>
        <w:pStyle w:val="Bullet"/>
        <w:numPr>
          <w:ilvl w:val="0"/>
          <w:numId w:val="0"/>
        </w:numPr>
        <w:ind w:left="714"/>
      </w:pPr>
    </w:p>
    <w:p w14:paraId="38EE73EB" w14:textId="6887D15A" w:rsidR="002554B3" w:rsidRDefault="008D5B34" w:rsidP="002554B3">
      <w:pPr>
        <w:pStyle w:val="Bullet"/>
        <w:numPr>
          <w:ilvl w:val="0"/>
          <w:numId w:val="0"/>
        </w:numPr>
        <w:ind w:left="714"/>
      </w:pPr>
      <w:r>
        <w:rPr>
          <w:noProof/>
        </w:rPr>
        <w:lastRenderedPageBreak/>
        <w:drawing>
          <wp:anchor distT="0" distB="0" distL="114300" distR="114300" simplePos="0" relativeHeight="251664406" behindDoc="0" locked="0" layoutInCell="1" allowOverlap="1" wp14:anchorId="15E97AA7" wp14:editId="424AB5C3">
            <wp:simplePos x="0" y="0"/>
            <wp:positionH relativeFrom="margin">
              <wp:posOffset>1225550</wp:posOffset>
            </wp:positionH>
            <wp:positionV relativeFrom="paragraph">
              <wp:posOffset>375920</wp:posOffset>
            </wp:positionV>
            <wp:extent cx="3810000" cy="2973070"/>
            <wp:effectExtent l="0" t="0" r="0" b="0"/>
            <wp:wrapTopAndBottom/>
            <wp:docPr id="23" name="Picture 23" descr="A chart of yellow and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art of yellow and green squar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810000" cy="2973070"/>
                    </a:xfrm>
                    <a:prstGeom prst="rect">
                      <a:avLst/>
                    </a:prstGeom>
                  </pic:spPr>
                </pic:pic>
              </a:graphicData>
            </a:graphic>
            <wp14:sizeRelH relativeFrom="margin">
              <wp14:pctWidth>0</wp14:pctWidth>
            </wp14:sizeRelH>
            <wp14:sizeRelV relativeFrom="margin">
              <wp14:pctHeight>0</wp14:pctHeight>
            </wp14:sizeRelV>
          </wp:anchor>
        </w:drawing>
      </w:r>
    </w:p>
    <w:p w14:paraId="3599DDD4" w14:textId="522DD7DE" w:rsidR="008D5B34" w:rsidRDefault="008D5B34" w:rsidP="002554B3">
      <w:pPr>
        <w:pStyle w:val="Bullet"/>
        <w:numPr>
          <w:ilvl w:val="0"/>
          <w:numId w:val="0"/>
        </w:numPr>
        <w:ind w:left="714"/>
      </w:pPr>
    </w:p>
    <w:p w14:paraId="27A6D293" w14:textId="06BA12A7" w:rsidR="008D5B34" w:rsidRDefault="008D5B34" w:rsidP="002554B3">
      <w:pPr>
        <w:pStyle w:val="Bullet"/>
        <w:numPr>
          <w:ilvl w:val="0"/>
          <w:numId w:val="0"/>
        </w:numPr>
        <w:ind w:left="714"/>
      </w:pPr>
    </w:p>
    <w:p w14:paraId="602FB8F0" w14:textId="678B5D51" w:rsidR="006A7F1B" w:rsidRDefault="006A7F1B" w:rsidP="00C20F00">
      <w:pPr>
        <w:pStyle w:val="Bullet"/>
        <w:numPr>
          <w:ilvl w:val="0"/>
          <w:numId w:val="40"/>
        </w:numPr>
        <w:ind w:left="425" w:hanging="425"/>
      </w:pPr>
      <w:r w:rsidRPr="006731FC">
        <w:t>Abdominal distension</w:t>
      </w:r>
    </w:p>
    <w:p w14:paraId="21D6B9BD" w14:textId="121B975C" w:rsidR="006A7F1B" w:rsidRDefault="006A7F1B" w:rsidP="0071700E">
      <w:pPr>
        <w:pStyle w:val="Bullet"/>
        <w:numPr>
          <w:ilvl w:val="1"/>
          <w:numId w:val="1"/>
        </w:numPr>
        <w:ind w:left="714" w:hanging="357"/>
      </w:pPr>
      <w:r>
        <w:t xml:space="preserve">Distension with or without visible loops of bowel can be due to poor gastric motility, ileus, constipation or ‘gas’. If the abdomen remains soft / nontender it may resolve with prone positioning. Consider a lower flow rate if the infant requires CPAP support. </w:t>
      </w:r>
    </w:p>
    <w:p w14:paraId="45A04660" w14:textId="3255361A" w:rsidR="006A7F1B" w:rsidRPr="006731FC" w:rsidRDefault="006A7F1B" w:rsidP="0071700E">
      <w:pPr>
        <w:pStyle w:val="Bullet"/>
        <w:numPr>
          <w:ilvl w:val="1"/>
          <w:numId w:val="1"/>
        </w:numPr>
        <w:ind w:left="714" w:hanging="357"/>
      </w:pPr>
      <w:r w:rsidRPr="006731FC">
        <w:t>A tense abdomen with or without visible loops of bowel is abnormal and requires investigation for obstruction, infection, or NEC.</w:t>
      </w:r>
    </w:p>
    <w:p w14:paraId="30B8ABFD" w14:textId="175C4E9C" w:rsidR="006A7F1B" w:rsidRPr="00924A2B" w:rsidRDefault="006A7F1B" w:rsidP="006A7F1B">
      <w:pPr>
        <w:pStyle w:val="Heading6"/>
      </w:pPr>
      <w:r w:rsidRPr="00924A2B">
        <w:t>Feed Intolerance Management</w:t>
      </w:r>
    </w:p>
    <w:p w14:paraId="37AADDF4" w14:textId="2B8853A5" w:rsidR="006A7F1B" w:rsidRPr="00E41521" w:rsidRDefault="006A7F1B" w:rsidP="006A7F1B">
      <w:pPr>
        <w:pStyle w:val="Bullet"/>
        <w:numPr>
          <w:ilvl w:val="0"/>
          <w:numId w:val="0"/>
        </w:numPr>
        <w:rPr>
          <w:b/>
          <w:bCs/>
        </w:rPr>
      </w:pPr>
      <w:r w:rsidRPr="006731FC">
        <w:t>Deciding whether feeds should be continued, reduced, or stopped should be according to the</w:t>
      </w:r>
      <w:r>
        <w:t xml:space="preserve"> </w:t>
      </w:r>
      <w:r w:rsidRPr="00E41521">
        <w:rPr>
          <w:b/>
          <w:bCs/>
        </w:rPr>
        <w:t>Attachment 5</w:t>
      </w:r>
      <w:r w:rsidRPr="00A324B9">
        <w:t xml:space="preserve"> – Feeding Intolerance Algorithm.</w:t>
      </w:r>
      <w:r w:rsidRPr="00E41521">
        <w:rPr>
          <w:b/>
          <w:bCs/>
        </w:rPr>
        <w:t xml:space="preserve">  </w:t>
      </w:r>
    </w:p>
    <w:p w14:paraId="3111B9B3" w14:textId="58779EC1" w:rsidR="006A7F1B" w:rsidRDefault="006A7F1B" w:rsidP="0071700E">
      <w:pPr>
        <w:pStyle w:val="Bullet"/>
        <w:ind w:left="425" w:hanging="425"/>
      </w:pPr>
      <w:r w:rsidRPr="006731FC">
        <w:t xml:space="preserve">Feeds are usually stopped if there is frequent vomiting and/or abdominal distension and/or blood in the stools. </w:t>
      </w:r>
    </w:p>
    <w:p w14:paraId="100DDCA0" w14:textId="386AFB5A" w:rsidR="006A7F1B" w:rsidRDefault="006A7F1B" w:rsidP="0071700E">
      <w:pPr>
        <w:pStyle w:val="Bullet"/>
        <w:ind w:left="425" w:hanging="425"/>
      </w:pPr>
      <w:r w:rsidRPr="006731FC">
        <w:t>Investigations are carried out and an assessment is made after 12</w:t>
      </w:r>
      <w:r>
        <w:t xml:space="preserve"> to </w:t>
      </w:r>
      <w:r w:rsidRPr="006731FC">
        <w:t xml:space="preserve">24 hours. </w:t>
      </w:r>
    </w:p>
    <w:p w14:paraId="7D3A0FC4" w14:textId="7D5CFF78" w:rsidR="00B61343" w:rsidRPr="00ED5EBE" w:rsidRDefault="006A7F1B" w:rsidP="008D5B34">
      <w:pPr>
        <w:pStyle w:val="Bullet"/>
        <w:ind w:left="425" w:hanging="425"/>
      </w:pPr>
      <w:r>
        <w:t xml:space="preserve">Feeds can generally be restarted when the infant has stabilised and has had a </w:t>
      </w:r>
      <w:r w:rsidR="0071700E">
        <w:t>12-to-24-hour</w:t>
      </w:r>
      <w:r>
        <w:t xml:space="preserve"> absence of any significant clinical signs of feed intolerance and after consultation with the MO.</w:t>
      </w:r>
    </w:p>
    <w:p w14:paraId="3724C0A7" w14:textId="76DB4742" w:rsidR="0071700E" w:rsidRPr="0071700E" w:rsidRDefault="0071700E" w:rsidP="005D0BE7">
      <w:pPr>
        <w:pStyle w:val="Heading3"/>
        <w:rPr>
          <w:rStyle w:val="Heading4Char"/>
          <w:b/>
          <w:bCs/>
          <w:szCs w:val="24"/>
        </w:rPr>
      </w:pPr>
      <w:bookmarkStart w:id="28" w:name="_Toc199497065"/>
      <w:r w:rsidRPr="0071700E">
        <w:t>1.10 Fortifying</w:t>
      </w:r>
      <w:r w:rsidR="00A55107" w:rsidRPr="0071700E">
        <w:rPr>
          <w:rStyle w:val="Heading4Char"/>
          <w:b/>
          <w:szCs w:val="24"/>
        </w:rPr>
        <w:t xml:space="preserve"> feeds</w:t>
      </w:r>
      <w:bookmarkEnd w:id="27"/>
      <w:bookmarkEnd w:id="28"/>
    </w:p>
    <w:p w14:paraId="5CDB70AA" w14:textId="46BC0BFD" w:rsidR="00B61343" w:rsidRDefault="00B61343" w:rsidP="00B61343">
      <w:pPr>
        <w:pStyle w:val="BodyCopy"/>
      </w:pPr>
      <w:r>
        <w:t xml:space="preserve">Despite the immunological and other advantages of human milk, MOM does not provide sufficient nutrients to sustain in utero growth rates and does not meet the recommended nutrients and energy intake of preterm infants with a birth weight less than 1800g. Additionally, preterm neonates have low nutrient stores because they were born before the </w:t>
      </w:r>
      <w:r>
        <w:lastRenderedPageBreak/>
        <w:t xml:space="preserve">transplacental acquisition in the last trimester of pregnancy. Fortification of MOM with multi-component fortifier leads to improved short term in-hospital growth which in turn improves long term neurodevelopmental outcome. </w:t>
      </w:r>
    </w:p>
    <w:p w14:paraId="1D050BB1" w14:textId="40FDD14E" w:rsidR="006A7F1B" w:rsidRDefault="006A7F1B" w:rsidP="006A7F1B">
      <w:pPr>
        <w:pStyle w:val="BodyCopy"/>
      </w:pPr>
      <w:r>
        <w:t>The criteria for fortification are:</w:t>
      </w:r>
    </w:p>
    <w:p w14:paraId="659E461D" w14:textId="19C6E2C8" w:rsidR="006A7F1B" w:rsidRPr="00C517CF" w:rsidRDefault="006A7F1B" w:rsidP="00C20F00">
      <w:pPr>
        <w:pStyle w:val="Bullet"/>
        <w:numPr>
          <w:ilvl w:val="0"/>
          <w:numId w:val="17"/>
        </w:numPr>
        <w:ind w:left="425" w:hanging="425"/>
      </w:pPr>
      <w:r w:rsidRPr="00C517CF">
        <w:t>Neonates less than or equal to 32 weeks GA and/or less than or equal to 1800g.</w:t>
      </w:r>
    </w:p>
    <w:p w14:paraId="03F4A4F3" w14:textId="5C56C6B0" w:rsidR="006A7F1B" w:rsidRPr="00C517CF" w:rsidRDefault="006A7F1B" w:rsidP="00C20F00">
      <w:pPr>
        <w:pStyle w:val="Bullet"/>
        <w:numPr>
          <w:ilvl w:val="0"/>
          <w:numId w:val="17"/>
        </w:numPr>
        <w:ind w:left="425" w:hanging="425"/>
      </w:pPr>
      <w:r w:rsidRPr="00C517CF">
        <w:t>Infants with postnatal growth failure at the time of discharge or those with increased nutritional requirements.</w:t>
      </w:r>
    </w:p>
    <w:p w14:paraId="5B68ACA8" w14:textId="17C6D745" w:rsidR="006A7F1B" w:rsidRDefault="006A7F1B" w:rsidP="006A7F1B">
      <w:pPr>
        <w:pStyle w:val="BodyCopy"/>
      </w:pPr>
      <w:r>
        <w:t>Feeds are fortified in the Department of Neonatology as per instructions below:</w:t>
      </w:r>
    </w:p>
    <w:p w14:paraId="416EC2A4" w14:textId="2431A49D" w:rsidR="006A7F1B" w:rsidRDefault="006A7F1B" w:rsidP="00C20F00">
      <w:pPr>
        <w:pStyle w:val="Bullet"/>
        <w:numPr>
          <w:ilvl w:val="0"/>
          <w:numId w:val="18"/>
        </w:numPr>
        <w:ind w:left="425" w:hanging="425"/>
      </w:pPr>
      <w:r w:rsidRPr="00055D0F">
        <w:t>Fortify at 80</w:t>
      </w:r>
      <w:r>
        <w:t xml:space="preserve"> to </w:t>
      </w:r>
      <w:r w:rsidRPr="00055D0F">
        <w:t>100 mL/kg/day</w:t>
      </w:r>
      <w:r>
        <w:t>.</w:t>
      </w:r>
      <w:r w:rsidRPr="00055D0F">
        <w:t xml:space="preserve"> </w:t>
      </w:r>
    </w:p>
    <w:p w14:paraId="1016F329" w14:textId="604E06F1" w:rsidR="006A7F1B" w:rsidRDefault="006A7F1B" w:rsidP="00C20F00">
      <w:pPr>
        <w:pStyle w:val="Bullet"/>
        <w:numPr>
          <w:ilvl w:val="1"/>
          <w:numId w:val="18"/>
        </w:numPr>
        <w:ind w:left="714" w:hanging="357"/>
      </w:pPr>
      <w:r w:rsidRPr="006A7F1B">
        <w:t>Start with 75 kilo Calories (kCal)/100mL for 2 days (half).</w:t>
      </w:r>
    </w:p>
    <w:p w14:paraId="61C5A1CC" w14:textId="3172F8A7" w:rsidR="006A7F1B" w:rsidRDefault="006A7F1B" w:rsidP="00C20F00">
      <w:pPr>
        <w:pStyle w:val="Bullet"/>
        <w:numPr>
          <w:ilvl w:val="1"/>
          <w:numId w:val="18"/>
        </w:numPr>
        <w:ind w:left="714" w:hanging="357"/>
      </w:pPr>
      <w:r w:rsidRPr="006A7F1B">
        <w:t>Increase to 82 kcal/100mL (full) once tolerated</w:t>
      </w:r>
    </w:p>
    <w:p w14:paraId="08564C1D" w14:textId="1AE80F84" w:rsidR="006A7F1B" w:rsidRPr="00E45B52" w:rsidRDefault="006A7F1B" w:rsidP="00C20F00">
      <w:pPr>
        <w:pStyle w:val="Bullet"/>
        <w:numPr>
          <w:ilvl w:val="1"/>
          <w:numId w:val="18"/>
        </w:numPr>
        <w:ind w:left="714" w:hanging="357"/>
      </w:pPr>
      <w:r w:rsidRPr="006A7F1B">
        <w:t xml:space="preserve">Cease fortification at 36 weeks </w:t>
      </w:r>
      <w:r w:rsidRPr="00E45B52">
        <w:t>and weight 2.2kg, if appropriate growth.</w:t>
      </w:r>
    </w:p>
    <w:p w14:paraId="76D67B0A" w14:textId="07F328A8" w:rsidR="006A7F1B" w:rsidRPr="00E45B52" w:rsidRDefault="006A7F1B" w:rsidP="00C20F00">
      <w:pPr>
        <w:pStyle w:val="Bullet"/>
        <w:numPr>
          <w:ilvl w:val="1"/>
          <w:numId w:val="18"/>
        </w:numPr>
        <w:ind w:left="714" w:hanging="357"/>
      </w:pPr>
      <w:r w:rsidRPr="00E45B52">
        <w:t>For discharge fortification, refer to Section 1.15 – Discharge Fortification.</w:t>
      </w:r>
    </w:p>
    <w:p w14:paraId="1D3B2998" w14:textId="5E047B0E" w:rsidR="006A7F1B" w:rsidRPr="00E45B52" w:rsidRDefault="006A7F1B" w:rsidP="003F1B56">
      <w:pPr>
        <w:pStyle w:val="Bullet"/>
        <w:ind w:left="425" w:hanging="425"/>
      </w:pPr>
      <w:r w:rsidRPr="00E45B52">
        <w:t>The various enteral feed choices available in the Department of Neonatology, their caloric composition per 100ml, and fortification instructions are listed below:</w:t>
      </w:r>
    </w:p>
    <w:p w14:paraId="76597396" w14:textId="77777777" w:rsidR="00B61343" w:rsidRPr="00E45B52" w:rsidRDefault="00B61343" w:rsidP="0071700E">
      <w:pPr>
        <w:pStyle w:val="Bullet"/>
        <w:numPr>
          <w:ilvl w:val="0"/>
          <w:numId w:val="0"/>
        </w:numPr>
      </w:pPr>
    </w:p>
    <w:p w14:paraId="368341C8" w14:textId="77777777" w:rsidR="008A6041" w:rsidRPr="00E45B52" w:rsidRDefault="008A6041" w:rsidP="008A6041">
      <w:pPr>
        <w:pStyle w:val="BodyCopy"/>
        <w:pBdr>
          <w:top w:val="single" w:sz="4" w:space="1" w:color="auto"/>
          <w:left w:val="single" w:sz="4" w:space="4" w:color="auto"/>
          <w:bottom w:val="single" w:sz="4" w:space="1" w:color="auto"/>
          <w:right w:val="single" w:sz="4" w:space="4" w:color="auto"/>
        </w:pBdr>
        <w:rPr>
          <w:b/>
        </w:rPr>
      </w:pPr>
      <w:r w:rsidRPr="00E45B52">
        <w:rPr>
          <w:b/>
        </w:rPr>
        <w:t>Alert:</w:t>
      </w:r>
    </w:p>
    <w:p w14:paraId="647F635B" w14:textId="77777777" w:rsidR="008A6041" w:rsidRPr="00E45B52" w:rsidRDefault="008A6041" w:rsidP="00C20F00">
      <w:pPr>
        <w:pStyle w:val="Bullet"/>
        <w:numPr>
          <w:ilvl w:val="0"/>
          <w:numId w:val="45"/>
        </w:numPr>
        <w:pBdr>
          <w:top w:val="single" w:sz="4" w:space="1" w:color="auto"/>
          <w:left w:val="single" w:sz="4" w:space="4" w:color="auto"/>
          <w:bottom w:val="single" w:sz="4" w:space="1" w:color="auto"/>
          <w:right w:val="single" w:sz="4" w:space="4" w:color="auto"/>
        </w:pBdr>
        <w:rPr>
          <w:b/>
        </w:rPr>
      </w:pPr>
      <w:r w:rsidRPr="00E45B52">
        <w:t>When fortifying feeds, staff are required to maintain medication safety, work, health, and safety, and hand hygiene practices and protocols.</w:t>
      </w:r>
    </w:p>
    <w:p w14:paraId="061381C3" w14:textId="2F2F352E" w:rsidR="008A6041" w:rsidRPr="00E45B52" w:rsidRDefault="008A6041" w:rsidP="00C20F00">
      <w:pPr>
        <w:pStyle w:val="Bullet"/>
        <w:numPr>
          <w:ilvl w:val="0"/>
          <w:numId w:val="45"/>
        </w:numPr>
        <w:pBdr>
          <w:top w:val="single" w:sz="4" w:space="1" w:color="auto"/>
          <w:left w:val="single" w:sz="4" w:space="4" w:color="auto"/>
          <w:bottom w:val="single" w:sz="4" w:space="1" w:color="auto"/>
          <w:right w:val="single" w:sz="4" w:space="4" w:color="auto"/>
        </w:pBdr>
        <w:rPr>
          <w:b/>
        </w:rPr>
      </w:pPr>
      <w:r w:rsidRPr="00E45B52">
        <w:t>Breastmilk and fortifier to be checked and co-signed by 2 nurses.</w:t>
      </w:r>
    </w:p>
    <w:p w14:paraId="3565D84D" w14:textId="4117E51A" w:rsidR="008A6041" w:rsidRPr="00E45B52" w:rsidRDefault="008A6041" w:rsidP="00C20F00">
      <w:pPr>
        <w:pStyle w:val="Bullet"/>
        <w:numPr>
          <w:ilvl w:val="0"/>
          <w:numId w:val="45"/>
        </w:numPr>
        <w:pBdr>
          <w:top w:val="single" w:sz="4" w:space="1" w:color="auto"/>
          <w:left w:val="single" w:sz="4" w:space="4" w:color="auto"/>
          <w:bottom w:val="single" w:sz="4" w:space="1" w:color="auto"/>
          <w:right w:val="single" w:sz="4" w:space="4" w:color="auto"/>
        </w:pBdr>
        <w:rPr>
          <w:b/>
        </w:rPr>
      </w:pPr>
      <w:r w:rsidRPr="00E45B52">
        <w:t xml:space="preserve">Handling of breastmilk and fortifier requires a clean work surface and careful management to reduce risk of contaminating milk.  </w:t>
      </w:r>
    </w:p>
    <w:p w14:paraId="0FC735DF" w14:textId="2D83CDAF" w:rsidR="008D5B34" w:rsidRPr="008E55F5" w:rsidRDefault="008A6041" w:rsidP="008E55F5">
      <w:pPr>
        <w:pStyle w:val="Bullet"/>
        <w:numPr>
          <w:ilvl w:val="0"/>
          <w:numId w:val="45"/>
        </w:numPr>
        <w:pBdr>
          <w:top w:val="single" w:sz="4" w:space="1" w:color="auto"/>
          <w:left w:val="single" w:sz="4" w:space="4" w:color="auto"/>
          <w:bottom w:val="single" w:sz="4" w:space="1" w:color="auto"/>
          <w:right w:val="single" w:sz="4" w:space="4" w:color="auto"/>
        </w:pBdr>
        <w:rPr>
          <w:b/>
        </w:rPr>
      </w:pPr>
      <w:r w:rsidRPr="00E45B52">
        <w:t>Staff to maintain hand hygiene and wear appropriate personal protective equipment when handling breastmilk.</w:t>
      </w:r>
    </w:p>
    <w:p w14:paraId="02120797" w14:textId="77777777" w:rsidR="008D5B34" w:rsidRDefault="008D5B34" w:rsidP="0071700E">
      <w:pPr>
        <w:pStyle w:val="Bullet"/>
        <w:numPr>
          <w:ilvl w:val="0"/>
          <w:numId w:val="0"/>
        </w:numPr>
      </w:pPr>
    </w:p>
    <w:tbl>
      <w:tblPr>
        <w:tblStyle w:val="TableGrid"/>
        <w:tblW w:w="9918" w:type="dxa"/>
        <w:tblLook w:val="04A0" w:firstRow="1" w:lastRow="0" w:firstColumn="1" w:lastColumn="0" w:noHBand="0" w:noVBand="1"/>
      </w:tblPr>
      <w:tblGrid>
        <w:gridCol w:w="2470"/>
        <w:gridCol w:w="1991"/>
        <w:gridCol w:w="5457"/>
      </w:tblGrid>
      <w:tr w:rsidR="006A7F1B" w14:paraId="734C3C6B" w14:textId="77777777" w:rsidTr="008D5B34">
        <w:trPr>
          <w:tblHeader/>
        </w:trPr>
        <w:tc>
          <w:tcPr>
            <w:tcW w:w="9918" w:type="dxa"/>
            <w:gridSpan w:val="3"/>
            <w:shd w:val="clear" w:color="auto" w:fill="D9D9D9" w:themeFill="background1" w:themeFillShade="D9"/>
            <w:vAlign w:val="center"/>
          </w:tcPr>
          <w:p w14:paraId="01B7628C" w14:textId="13B71820" w:rsidR="006A7F1B" w:rsidRPr="00A10312" w:rsidRDefault="006A7F1B" w:rsidP="0049444D">
            <w:pPr>
              <w:pStyle w:val="Tableheader-black"/>
              <w:jc w:val="center"/>
            </w:pPr>
            <w:r>
              <w:t>Table 3 – Fortification and Calories of Enteral Feeding Choices</w:t>
            </w:r>
          </w:p>
        </w:tc>
      </w:tr>
      <w:tr w:rsidR="006A7F1B" w14:paraId="59012FAC" w14:textId="77777777" w:rsidTr="0049444D">
        <w:tc>
          <w:tcPr>
            <w:tcW w:w="2470" w:type="dxa"/>
            <w:shd w:val="clear" w:color="auto" w:fill="D9D9D9" w:themeFill="background1" w:themeFillShade="D9"/>
            <w:vAlign w:val="center"/>
          </w:tcPr>
          <w:p w14:paraId="4EB6D17B" w14:textId="77777777" w:rsidR="006A7F1B" w:rsidRPr="00A10312" w:rsidRDefault="006A7F1B" w:rsidP="0049444D">
            <w:pPr>
              <w:pStyle w:val="Tableheader-black"/>
              <w:jc w:val="center"/>
            </w:pPr>
            <w:r w:rsidRPr="00A10312">
              <w:t>Enteral Feed</w:t>
            </w:r>
            <w:r>
              <w:t xml:space="preserve">ing </w:t>
            </w:r>
            <w:r w:rsidRPr="00A10312">
              <w:t>Choice</w:t>
            </w:r>
          </w:p>
        </w:tc>
        <w:tc>
          <w:tcPr>
            <w:tcW w:w="1991" w:type="dxa"/>
            <w:shd w:val="clear" w:color="auto" w:fill="D9D9D9" w:themeFill="background1" w:themeFillShade="D9"/>
            <w:vAlign w:val="center"/>
          </w:tcPr>
          <w:p w14:paraId="568F28C9" w14:textId="77777777" w:rsidR="006A7F1B" w:rsidRPr="00A10312" w:rsidRDefault="006A7F1B" w:rsidP="0049444D">
            <w:pPr>
              <w:pStyle w:val="Tableheader-black"/>
              <w:jc w:val="center"/>
            </w:pPr>
            <w:r w:rsidRPr="00A10312">
              <w:t>Calories</w:t>
            </w:r>
            <w:r>
              <w:t>/100mL</w:t>
            </w:r>
          </w:p>
        </w:tc>
        <w:tc>
          <w:tcPr>
            <w:tcW w:w="5457" w:type="dxa"/>
            <w:shd w:val="clear" w:color="auto" w:fill="D9D9D9" w:themeFill="background1" w:themeFillShade="D9"/>
            <w:vAlign w:val="center"/>
          </w:tcPr>
          <w:p w14:paraId="4D1C7D56" w14:textId="77777777" w:rsidR="006A7F1B" w:rsidRPr="00A10312" w:rsidRDefault="006A7F1B" w:rsidP="0049444D">
            <w:pPr>
              <w:pStyle w:val="Tableheader-black"/>
              <w:jc w:val="center"/>
            </w:pPr>
            <w:r w:rsidRPr="00A10312">
              <w:t>Fortification Instructions/Additional Information</w:t>
            </w:r>
          </w:p>
        </w:tc>
      </w:tr>
      <w:tr w:rsidR="006A7F1B" w14:paraId="56228813" w14:textId="77777777" w:rsidTr="0049444D">
        <w:tc>
          <w:tcPr>
            <w:tcW w:w="2470" w:type="dxa"/>
            <w:vAlign w:val="center"/>
          </w:tcPr>
          <w:p w14:paraId="1D8EB4C0" w14:textId="77777777" w:rsidR="006A7F1B" w:rsidRDefault="006A7F1B" w:rsidP="0049444D">
            <w:pPr>
              <w:pStyle w:val="BodyCopy"/>
              <w:jc w:val="center"/>
            </w:pPr>
            <w:r>
              <w:t>MOM/EBM/PDHM</w:t>
            </w:r>
          </w:p>
        </w:tc>
        <w:tc>
          <w:tcPr>
            <w:tcW w:w="1991" w:type="dxa"/>
            <w:vAlign w:val="center"/>
          </w:tcPr>
          <w:p w14:paraId="06B8E65F" w14:textId="77777777" w:rsidR="006A7F1B" w:rsidRDefault="006A7F1B" w:rsidP="0049444D">
            <w:pPr>
              <w:pStyle w:val="BodyCopy"/>
              <w:jc w:val="center"/>
            </w:pPr>
            <w:r>
              <w:t>~66 kcal</w:t>
            </w:r>
          </w:p>
        </w:tc>
        <w:tc>
          <w:tcPr>
            <w:tcW w:w="5457" w:type="dxa"/>
          </w:tcPr>
          <w:p w14:paraId="7E6A7BF6" w14:textId="77777777" w:rsidR="006A7F1B" w:rsidRDefault="006A7F1B" w:rsidP="0049444D">
            <w:pPr>
              <w:pStyle w:val="BodyCopy"/>
            </w:pPr>
          </w:p>
        </w:tc>
      </w:tr>
      <w:tr w:rsidR="006A7F1B" w14:paraId="59F1A5F4" w14:textId="77777777" w:rsidTr="0049444D">
        <w:tc>
          <w:tcPr>
            <w:tcW w:w="2470" w:type="dxa"/>
            <w:vAlign w:val="center"/>
          </w:tcPr>
          <w:p w14:paraId="05CB168D" w14:textId="77777777" w:rsidR="006A7F1B" w:rsidRDefault="006A7F1B" w:rsidP="0049444D">
            <w:pPr>
              <w:pStyle w:val="BodyCopy"/>
              <w:jc w:val="center"/>
            </w:pPr>
            <w:r>
              <w:t>Term formula</w:t>
            </w:r>
          </w:p>
        </w:tc>
        <w:tc>
          <w:tcPr>
            <w:tcW w:w="1991" w:type="dxa"/>
            <w:vAlign w:val="center"/>
          </w:tcPr>
          <w:p w14:paraId="5B2CC3F0" w14:textId="77777777" w:rsidR="006A7F1B" w:rsidRDefault="006A7F1B" w:rsidP="0049444D">
            <w:pPr>
              <w:pStyle w:val="BodyCopy"/>
              <w:jc w:val="center"/>
            </w:pPr>
            <w:r>
              <w:t>67 kcal</w:t>
            </w:r>
          </w:p>
        </w:tc>
        <w:tc>
          <w:tcPr>
            <w:tcW w:w="5457" w:type="dxa"/>
          </w:tcPr>
          <w:p w14:paraId="5F65A82D" w14:textId="77777777" w:rsidR="006A7F1B" w:rsidRDefault="006A7F1B" w:rsidP="0049444D">
            <w:pPr>
              <w:pStyle w:val="BodyCopy"/>
            </w:pPr>
          </w:p>
        </w:tc>
      </w:tr>
      <w:tr w:rsidR="006A7F1B" w14:paraId="626C2D5F" w14:textId="77777777" w:rsidTr="0049444D">
        <w:tc>
          <w:tcPr>
            <w:tcW w:w="2470" w:type="dxa"/>
            <w:vAlign w:val="center"/>
          </w:tcPr>
          <w:p w14:paraId="26787927" w14:textId="77777777" w:rsidR="006A7F1B" w:rsidRDefault="006A7F1B" w:rsidP="0049444D">
            <w:pPr>
              <w:pStyle w:val="BodyCopy"/>
              <w:jc w:val="center"/>
            </w:pPr>
            <w:r>
              <w:t>Preterm formula</w:t>
            </w:r>
          </w:p>
        </w:tc>
        <w:tc>
          <w:tcPr>
            <w:tcW w:w="1991" w:type="dxa"/>
            <w:vAlign w:val="center"/>
          </w:tcPr>
          <w:p w14:paraId="76CC9C24" w14:textId="77777777" w:rsidR="006A7F1B" w:rsidRDefault="006A7F1B" w:rsidP="0049444D">
            <w:pPr>
              <w:pStyle w:val="BodyCopy"/>
              <w:jc w:val="center"/>
            </w:pPr>
            <w:r>
              <w:t>80 kcal</w:t>
            </w:r>
          </w:p>
        </w:tc>
        <w:tc>
          <w:tcPr>
            <w:tcW w:w="5457" w:type="dxa"/>
          </w:tcPr>
          <w:p w14:paraId="228EFC27" w14:textId="77777777" w:rsidR="006A7F1B" w:rsidRDefault="006A7F1B" w:rsidP="0049444D">
            <w:pPr>
              <w:pStyle w:val="BodyCopy"/>
            </w:pPr>
          </w:p>
        </w:tc>
      </w:tr>
      <w:tr w:rsidR="006A7F1B" w14:paraId="396DD849" w14:textId="77777777" w:rsidTr="0049444D">
        <w:tc>
          <w:tcPr>
            <w:tcW w:w="2470" w:type="dxa"/>
            <w:vAlign w:val="center"/>
          </w:tcPr>
          <w:p w14:paraId="6B15811B" w14:textId="77777777" w:rsidR="006A7F1B" w:rsidRDefault="006A7F1B" w:rsidP="0049444D">
            <w:pPr>
              <w:pStyle w:val="BodyCopy"/>
              <w:jc w:val="center"/>
            </w:pPr>
            <w:r>
              <w:lastRenderedPageBreak/>
              <w:t>MOM fortified – half strength</w:t>
            </w:r>
          </w:p>
        </w:tc>
        <w:tc>
          <w:tcPr>
            <w:tcW w:w="1991" w:type="dxa"/>
            <w:vAlign w:val="center"/>
          </w:tcPr>
          <w:p w14:paraId="3306E2B8" w14:textId="77777777" w:rsidR="006A7F1B" w:rsidRDefault="006A7F1B" w:rsidP="0049444D">
            <w:pPr>
              <w:pStyle w:val="BodyCopy"/>
              <w:jc w:val="center"/>
            </w:pPr>
            <w:r>
              <w:t>~75 kcal</w:t>
            </w:r>
          </w:p>
        </w:tc>
        <w:tc>
          <w:tcPr>
            <w:tcW w:w="5457" w:type="dxa"/>
          </w:tcPr>
          <w:p w14:paraId="2A3474B4" w14:textId="77777777" w:rsidR="006A7F1B" w:rsidRDefault="006A7F1B" w:rsidP="0049444D">
            <w:pPr>
              <w:pStyle w:val="BodyCopy"/>
            </w:pPr>
            <w:r>
              <w:t>1 x 1g sachet of Nutricia HMF + 50ml of EBM</w:t>
            </w:r>
          </w:p>
        </w:tc>
      </w:tr>
      <w:tr w:rsidR="006A7F1B" w14:paraId="1CF86F79" w14:textId="77777777" w:rsidTr="0049444D">
        <w:tc>
          <w:tcPr>
            <w:tcW w:w="2470" w:type="dxa"/>
            <w:vAlign w:val="center"/>
          </w:tcPr>
          <w:p w14:paraId="460F3984" w14:textId="77777777" w:rsidR="006A7F1B" w:rsidRDefault="006A7F1B" w:rsidP="0049444D">
            <w:pPr>
              <w:pStyle w:val="BodyCopy"/>
              <w:jc w:val="center"/>
            </w:pPr>
            <w:r>
              <w:t>MOM fortified – full strength</w:t>
            </w:r>
          </w:p>
        </w:tc>
        <w:tc>
          <w:tcPr>
            <w:tcW w:w="1991" w:type="dxa"/>
            <w:vAlign w:val="center"/>
          </w:tcPr>
          <w:p w14:paraId="511E645A" w14:textId="77777777" w:rsidR="006A7F1B" w:rsidRDefault="006A7F1B" w:rsidP="0049444D">
            <w:pPr>
              <w:pStyle w:val="BodyCopy"/>
              <w:jc w:val="center"/>
            </w:pPr>
            <w:r>
              <w:t>~82 kcal</w:t>
            </w:r>
          </w:p>
        </w:tc>
        <w:tc>
          <w:tcPr>
            <w:tcW w:w="5457" w:type="dxa"/>
          </w:tcPr>
          <w:p w14:paraId="15FCC403" w14:textId="77777777" w:rsidR="006A7F1B" w:rsidRDefault="006A7F1B" w:rsidP="0049444D">
            <w:pPr>
              <w:pStyle w:val="BodyCopy"/>
            </w:pPr>
            <w:r>
              <w:t>1x 1g sachet Nutricia HMF + 25ml EBM</w:t>
            </w:r>
          </w:p>
        </w:tc>
      </w:tr>
      <w:tr w:rsidR="006A7F1B" w14:paraId="1F716506" w14:textId="77777777" w:rsidTr="0049444D">
        <w:tc>
          <w:tcPr>
            <w:tcW w:w="2470" w:type="dxa"/>
            <w:vAlign w:val="center"/>
          </w:tcPr>
          <w:p w14:paraId="01D93A45" w14:textId="77777777" w:rsidR="006A7F1B" w:rsidRDefault="006A7F1B" w:rsidP="0049444D">
            <w:pPr>
              <w:pStyle w:val="BodyCopy"/>
              <w:jc w:val="center"/>
            </w:pPr>
            <w:r>
              <w:t>PDHM fortified – half strength</w:t>
            </w:r>
          </w:p>
        </w:tc>
        <w:tc>
          <w:tcPr>
            <w:tcW w:w="1991" w:type="dxa"/>
            <w:vAlign w:val="center"/>
          </w:tcPr>
          <w:p w14:paraId="059D1D38" w14:textId="77777777" w:rsidR="006A7F1B" w:rsidRDefault="006A7F1B" w:rsidP="0049444D">
            <w:pPr>
              <w:pStyle w:val="BodyCopy"/>
              <w:jc w:val="center"/>
            </w:pPr>
            <w:r>
              <w:t>~75 kcal</w:t>
            </w:r>
          </w:p>
        </w:tc>
        <w:tc>
          <w:tcPr>
            <w:tcW w:w="5457" w:type="dxa"/>
          </w:tcPr>
          <w:p w14:paraId="7776B101" w14:textId="77777777" w:rsidR="006A7F1B" w:rsidRPr="00071FE5" w:rsidRDefault="006A7F1B" w:rsidP="0049444D">
            <w:pPr>
              <w:pStyle w:val="BodyCopy"/>
              <w:rPr>
                <w:lang w:val="de-DE"/>
              </w:rPr>
            </w:pPr>
            <w:r w:rsidRPr="00071FE5">
              <w:rPr>
                <w:lang w:val="de-DE"/>
              </w:rPr>
              <w:t>1 x 1g sachet Nutricia HMF + 50ml PDHM</w:t>
            </w:r>
          </w:p>
        </w:tc>
      </w:tr>
      <w:tr w:rsidR="006A7F1B" w14:paraId="6F6B60B2" w14:textId="77777777" w:rsidTr="0049444D">
        <w:tc>
          <w:tcPr>
            <w:tcW w:w="2470" w:type="dxa"/>
            <w:vAlign w:val="center"/>
          </w:tcPr>
          <w:p w14:paraId="5C3D5080" w14:textId="77777777" w:rsidR="006A7F1B" w:rsidRDefault="006A7F1B" w:rsidP="0049444D">
            <w:pPr>
              <w:pStyle w:val="BodyCopy"/>
              <w:jc w:val="center"/>
            </w:pPr>
            <w:r>
              <w:t>PDHM fortified – full strength</w:t>
            </w:r>
          </w:p>
        </w:tc>
        <w:tc>
          <w:tcPr>
            <w:tcW w:w="1991" w:type="dxa"/>
            <w:vAlign w:val="center"/>
          </w:tcPr>
          <w:p w14:paraId="3746169E" w14:textId="77777777" w:rsidR="006A7F1B" w:rsidRDefault="006A7F1B" w:rsidP="0049444D">
            <w:pPr>
              <w:pStyle w:val="BodyCopy"/>
              <w:jc w:val="center"/>
            </w:pPr>
            <w:r>
              <w:t>~82 kcal</w:t>
            </w:r>
          </w:p>
        </w:tc>
        <w:tc>
          <w:tcPr>
            <w:tcW w:w="5457" w:type="dxa"/>
          </w:tcPr>
          <w:p w14:paraId="16DE7641" w14:textId="77777777" w:rsidR="006A7F1B" w:rsidRPr="00071FE5" w:rsidRDefault="006A7F1B" w:rsidP="0049444D">
            <w:pPr>
              <w:pStyle w:val="BodyCopy"/>
              <w:rPr>
                <w:lang w:val="de-DE"/>
              </w:rPr>
            </w:pPr>
            <w:r w:rsidRPr="00071FE5">
              <w:rPr>
                <w:lang w:val="de-DE"/>
              </w:rPr>
              <w:t>1x 1g sachet Nutricia HMF + 25ml EBM + 0.15g beneprotein</w:t>
            </w:r>
          </w:p>
        </w:tc>
      </w:tr>
      <w:tr w:rsidR="006A7F1B" w14:paraId="2B30AD29" w14:textId="77777777" w:rsidTr="0049444D">
        <w:tc>
          <w:tcPr>
            <w:tcW w:w="2470" w:type="dxa"/>
            <w:vAlign w:val="center"/>
          </w:tcPr>
          <w:p w14:paraId="056978A4" w14:textId="77777777" w:rsidR="006A7F1B" w:rsidRDefault="006A7F1B" w:rsidP="0049444D">
            <w:pPr>
              <w:pStyle w:val="BodyCopy"/>
              <w:jc w:val="center"/>
            </w:pPr>
            <w:r>
              <w:t>Infatrini</w:t>
            </w:r>
          </w:p>
        </w:tc>
        <w:tc>
          <w:tcPr>
            <w:tcW w:w="1991" w:type="dxa"/>
            <w:vAlign w:val="center"/>
          </w:tcPr>
          <w:p w14:paraId="3A45D550" w14:textId="77777777" w:rsidR="006A7F1B" w:rsidRDefault="006A7F1B" w:rsidP="0049444D">
            <w:pPr>
              <w:pStyle w:val="BodyCopy"/>
              <w:jc w:val="center"/>
            </w:pPr>
            <w:r>
              <w:t>100 kcal</w:t>
            </w:r>
          </w:p>
        </w:tc>
        <w:tc>
          <w:tcPr>
            <w:tcW w:w="5457" w:type="dxa"/>
          </w:tcPr>
          <w:p w14:paraId="24153E92" w14:textId="77777777" w:rsidR="006A7F1B" w:rsidRPr="0019343E" w:rsidRDefault="006A7F1B" w:rsidP="0064704F">
            <w:pPr>
              <w:pStyle w:val="Bullet"/>
              <w:ind w:left="425" w:hanging="425"/>
            </w:pPr>
            <w:r w:rsidRPr="0019343E">
              <w:t xml:space="preserve">Infants </w:t>
            </w:r>
            <w:r>
              <w:t xml:space="preserve">greater than </w:t>
            </w:r>
            <w:r w:rsidRPr="0019343E">
              <w:t>1800g requiring reduced volume (e.g., cardiac patients)</w:t>
            </w:r>
          </w:p>
          <w:p w14:paraId="5E0E3F14" w14:textId="77777777" w:rsidR="006A7F1B" w:rsidRPr="0019343E" w:rsidRDefault="006A7F1B" w:rsidP="0064704F">
            <w:pPr>
              <w:pStyle w:val="Bullet"/>
              <w:ind w:left="425" w:hanging="425"/>
            </w:pPr>
            <w:r w:rsidRPr="0019343E">
              <w:t>Not recommended for preterm infants due to reduced micronutrient content</w:t>
            </w:r>
          </w:p>
          <w:p w14:paraId="6396CC83" w14:textId="77777777" w:rsidR="006A7F1B" w:rsidRDefault="006A7F1B" w:rsidP="0064704F">
            <w:pPr>
              <w:pStyle w:val="Bullet"/>
              <w:ind w:left="425" w:hanging="425"/>
            </w:pPr>
            <w:r w:rsidRPr="0019343E">
              <w:t>Dietitian referral required</w:t>
            </w:r>
          </w:p>
        </w:tc>
      </w:tr>
      <w:tr w:rsidR="006A7F1B" w14:paraId="6728B8B5" w14:textId="77777777" w:rsidTr="0049444D">
        <w:tc>
          <w:tcPr>
            <w:tcW w:w="2470" w:type="dxa"/>
            <w:vAlign w:val="center"/>
          </w:tcPr>
          <w:p w14:paraId="056FC322" w14:textId="77777777" w:rsidR="006A7F1B" w:rsidRDefault="006A7F1B" w:rsidP="0049444D">
            <w:pPr>
              <w:pStyle w:val="BodyCopy"/>
              <w:jc w:val="center"/>
            </w:pPr>
            <w:r>
              <w:t>Elecare/PeptiJunior</w:t>
            </w:r>
          </w:p>
        </w:tc>
        <w:tc>
          <w:tcPr>
            <w:tcW w:w="1991" w:type="dxa"/>
            <w:vAlign w:val="center"/>
          </w:tcPr>
          <w:p w14:paraId="2B9D9C89" w14:textId="77777777" w:rsidR="006A7F1B" w:rsidRDefault="006A7F1B" w:rsidP="0049444D">
            <w:pPr>
              <w:pStyle w:val="BodyCopy"/>
              <w:jc w:val="center"/>
            </w:pPr>
            <w:r w:rsidRPr="00BA6EC3">
              <w:t>67 kcal/80kcal</w:t>
            </w:r>
          </w:p>
        </w:tc>
        <w:tc>
          <w:tcPr>
            <w:tcW w:w="5457" w:type="dxa"/>
          </w:tcPr>
          <w:p w14:paraId="588AFB8D" w14:textId="77777777" w:rsidR="006A7F1B" w:rsidRDefault="006A7F1B" w:rsidP="0064704F">
            <w:pPr>
              <w:pStyle w:val="Bullet"/>
              <w:ind w:left="425" w:hanging="425"/>
            </w:pPr>
            <w:r>
              <w:t>Malabsorption/allergy</w:t>
            </w:r>
          </w:p>
          <w:p w14:paraId="66E12A82" w14:textId="77777777" w:rsidR="006A7F1B" w:rsidRDefault="006A7F1B" w:rsidP="0064704F">
            <w:pPr>
              <w:pStyle w:val="Bullet"/>
              <w:ind w:left="425" w:hanging="425"/>
            </w:pPr>
            <w:r w:rsidRPr="007C3F48">
              <w:t>Consider dietitian referral for commencement of these products – fortification only with dietitian referral</w:t>
            </w:r>
          </w:p>
        </w:tc>
      </w:tr>
      <w:tr w:rsidR="006A7F1B" w14:paraId="4FF93741" w14:textId="77777777" w:rsidTr="0049444D">
        <w:tc>
          <w:tcPr>
            <w:tcW w:w="2470" w:type="dxa"/>
            <w:vAlign w:val="center"/>
          </w:tcPr>
          <w:p w14:paraId="2042DEC8" w14:textId="77777777" w:rsidR="006A7F1B" w:rsidRDefault="006A7F1B" w:rsidP="0049444D">
            <w:pPr>
              <w:pStyle w:val="BodyCopy"/>
              <w:jc w:val="center"/>
            </w:pPr>
            <w:r>
              <w:t>S26 Formula Lactose Free</w:t>
            </w:r>
          </w:p>
        </w:tc>
        <w:tc>
          <w:tcPr>
            <w:tcW w:w="1991" w:type="dxa"/>
            <w:vAlign w:val="center"/>
          </w:tcPr>
          <w:p w14:paraId="40696F21" w14:textId="77777777" w:rsidR="006A7F1B" w:rsidRDefault="006A7F1B" w:rsidP="0049444D">
            <w:pPr>
              <w:pStyle w:val="BodyCopy"/>
              <w:jc w:val="center"/>
            </w:pPr>
            <w:r>
              <w:t>67 kcal</w:t>
            </w:r>
          </w:p>
        </w:tc>
        <w:tc>
          <w:tcPr>
            <w:tcW w:w="5457" w:type="dxa"/>
          </w:tcPr>
          <w:p w14:paraId="27D921FA" w14:textId="77777777" w:rsidR="006A7F1B" w:rsidRDefault="006A7F1B" w:rsidP="0049444D">
            <w:pPr>
              <w:pStyle w:val="BodyCopy"/>
            </w:pPr>
          </w:p>
        </w:tc>
      </w:tr>
    </w:tbl>
    <w:p w14:paraId="41A1FC65" w14:textId="76F4818E" w:rsidR="00A55107" w:rsidRPr="003F547B" w:rsidRDefault="0064704F" w:rsidP="005D0BE7">
      <w:pPr>
        <w:pStyle w:val="Heading3"/>
      </w:pPr>
      <w:bookmarkStart w:id="29" w:name="_Toc174601156"/>
      <w:bookmarkStart w:id="30" w:name="_Toc199497066"/>
      <w:r w:rsidRPr="003F547B">
        <w:t>1.11 Vitamin</w:t>
      </w:r>
      <w:r w:rsidR="00A55107" w:rsidRPr="003F547B">
        <w:t xml:space="preserve"> and Mineral Supplementation</w:t>
      </w:r>
      <w:bookmarkEnd w:id="29"/>
      <w:bookmarkEnd w:id="30"/>
      <w:r w:rsidR="00A55107" w:rsidRPr="003F547B">
        <w:t xml:space="preserve"> </w:t>
      </w:r>
    </w:p>
    <w:p w14:paraId="0A8BAAEC" w14:textId="77777777" w:rsidR="006A7F1B" w:rsidRDefault="006A7F1B" w:rsidP="006A7F1B">
      <w:pPr>
        <w:pStyle w:val="BodyCopy"/>
      </w:pPr>
      <w:bookmarkStart w:id="31" w:name="_Toc174601157"/>
      <w:r>
        <w:t xml:space="preserve">Preterm infants are at high risk of micronutrient deficiencies due to maternal deficiencies, low body stores at birth, and low nutritional intakes. Most preterm infants require vitamin supplementations sometime after birth. </w:t>
      </w:r>
      <w:r w:rsidRPr="004E7A6E">
        <w:t xml:space="preserve">Except for </w:t>
      </w:r>
      <w:r>
        <w:t xml:space="preserve">iron (Nutricia HMF) and </w:t>
      </w:r>
      <w:r w:rsidRPr="004E7A6E">
        <w:t>vitamin D, the intake of most micronutrients is met by fortified breast milk and preterm infant formula feeds at enteral feed volumes greater than 150 ml/kg/day</w:t>
      </w:r>
      <w:r>
        <w:t xml:space="preserve">. </w:t>
      </w:r>
    </w:p>
    <w:p w14:paraId="5B88AA44" w14:textId="112ADFF9" w:rsidR="006A7F1B" w:rsidRDefault="006A7F1B" w:rsidP="006A7F1B">
      <w:pPr>
        <w:pStyle w:val="BodyCopy"/>
      </w:pPr>
      <w:r>
        <w:t xml:space="preserve">As </w:t>
      </w:r>
      <w:r w:rsidRPr="004E7A6E">
        <w:t>individual requirements may vary significantly depending on gestational ages, stores at birth, and clinical factors</w:t>
      </w:r>
      <w:r>
        <w:t xml:space="preserve">, we recommend commencing Pentavite, Folic Acid, Iron and zinc in preterm infants </w:t>
      </w:r>
      <w:r w:rsidRPr="00E45B52">
        <w:rPr>
          <w:rFonts w:cs="Calibri"/>
        </w:rPr>
        <w:t xml:space="preserve">less than or equal to </w:t>
      </w:r>
      <w:r w:rsidRPr="00E45B52">
        <w:t xml:space="preserve">32 weeks and/or </w:t>
      </w:r>
      <w:r w:rsidRPr="00E45B52">
        <w:rPr>
          <w:rFonts w:cs="Calibri"/>
        </w:rPr>
        <w:t xml:space="preserve">less than or equal to </w:t>
      </w:r>
      <w:r w:rsidRPr="00E45B52">
        <w:t xml:space="preserve">1800g in the Department of Neonatology. </w:t>
      </w:r>
      <w:r w:rsidR="002554B3" w:rsidRPr="00E45B52">
        <w:t>All supplementations should be continued up to 3 to 6 months of age. Refer</w:t>
      </w:r>
      <w:r w:rsidRPr="00E45B52">
        <w:t xml:space="preserve"> to Table</w:t>
      </w:r>
      <w:r>
        <w:t xml:space="preserve"> 4 – Supplement Prescription Guide</w:t>
      </w:r>
    </w:p>
    <w:tbl>
      <w:tblPr>
        <w:tblStyle w:val="TableGrid"/>
        <w:tblW w:w="9918" w:type="dxa"/>
        <w:tblLook w:val="04A0" w:firstRow="1" w:lastRow="0" w:firstColumn="1" w:lastColumn="0" w:noHBand="0" w:noVBand="1"/>
      </w:tblPr>
      <w:tblGrid>
        <w:gridCol w:w="1590"/>
        <w:gridCol w:w="4085"/>
        <w:gridCol w:w="4243"/>
      </w:tblGrid>
      <w:tr w:rsidR="006A7F1B" w14:paraId="7A21A744" w14:textId="77777777" w:rsidTr="008D5985">
        <w:tc>
          <w:tcPr>
            <w:tcW w:w="9918" w:type="dxa"/>
            <w:gridSpan w:val="3"/>
            <w:shd w:val="clear" w:color="auto" w:fill="D9D9D9" w:themeFill="background1" w:themeFillShade="D9"/>
          </w:tcPr>
          <w:p w14:paraId="24F8DC21" w14:textId="77777777" w:rsidR="006A7F1B" w:rsidRPr="009873C8" w:rsidRDefault="006A7F1B" w:rsidP="008D5985">
            <w:pPr>
              <w:pStyle w:val="Tableheader-black"/>
              <w:jc w:val="center"/>
            </w:pPr>
            <w:r>
              <w:lastRenderedPageBreak/>
              <w:t>Table 4 – Supplement Prescription Guide</w:t>
            </w:r>
          </w:p>
        </w:tc>
      </w:tr>
      <w:tr w:rsidR="006A7F1B" w14:paraId="60C10BFD" w14:textId="77777777" w:rsidTr="0064704F">
        <w:tc>
          <w:tcPr>
            <w:tcW w:w="1271" w:type="dxa"/>
            <w:shd w:val="clear" w:color="auto" w:fill="D9D9D9" w:themeFill="background1" w:themeFillShade="D9"/>
          </w:tcPr>
          <w:p w14:paraId="781ACE44" w14:textId="77777777" w:rsidR="006A7F1B" w:rsidRPr="009873C8" w:rsidRDefault="006A7F1B" w:rsidP="008D5985">
            <w:pPr>
              <w:pStyle w:val="Tableheader-black"/>
              <w:jc w:val="center"/>
            </w:pPr>
            <w:r w:rsidRPr="009873C8">
              <w:t>Supplement</w:t>
            </w:r>
          </w:p>
        </w:tc>
        <w:tc>
          <w:tcPr>
            <w:tcW w:w="4253" w:type="dxa"/>
            <w:shd w:val="clear" w:color="auto" w:fill="D9D9D9" w:themeFill="background1" w:themeFillShade="D9"/>
          </w:tcPr>
          <w:p w14:paraId="3767FC91" w14:textId="77777777" w:rsidR="006A7F1B" w:rsidRPr="009873C8" w:rsidRDefault="006A7F1B" w:rsidP="008D5985">
            <w:pPr>
              <w:pStyle w:val="Tableheader-black"/>
              <w:jc w:val="center"/>
            </w:pPr>
            <w:r w:rsidRPr="009873C8">
              <w:t>Procedure</w:t>
            </w:r>
          </w:p>
        </w:tc>
        <w:tc>
          <w:tcPr>
            <w:tcW w:w="4394" w:type="dxa"/>
            <w:shd w:val="clear" w:color="auto" w:fill="D9D9D9" w:themeFill="background1" w:themeFillShade="D9"/>
          </w:tcPr>
          <w:p w14:paraId="2B5115E0" w14:textId="77777777" w:rsidR="006A7F1B" w:rsidRPr="009873C8" w:rsidRDefault="006A7F1B" w:rsidP="008D5985">
            <w:pPr>
              <w:pStyle w:val="Tableheader-black"/>
              <w:jc w:val="center"/>
            </w:pPr>
            <w:r w:rsidRPr="009873C8">
              <w:t>Additional Information</w:t>
            </w:r>
          </w:p>
        </w:tc>
      </w:tr>
      <w:tr w:rsidR="006A7F1B" w14:paraId="0056E27F" w14:textId="77777777" w:rsidTr="0064704F">
        <w:tc>
          <w:tcPr>
            <w:tcW w:w="1271" w:type="dxa"/>
          </w:tcPr>
          <w:p w14:paraId="68F5CC0A" w14:textId="77777777" w:rsidR="006A7F1B" w:rsidRDefault="006A7F1B" w:rsidP="008D5985">
            <w:pPr>
              <w:tabs>
                <w:tab w:val="left" w:pos="372"/>
              </w:tabs>
              <w:ind w:firstLine="171"/>
              <w:jc w:val="center"/>
            </w:pPr>
            <w:r>
              <w:t>Pentavite</w:t>
            </w:r>
          </w:p>
        </w:tc>
        <w:tc>
          <w:tcPr>
            <w:tcW w:w="4253" w:type="dxa"/>
          </w:tcPr>
          <w:p w14:paraId="38A18163" w14:textId="77777777" w:rsidR="006A7F1B" w:rsidRDefault="006A7F1B" w:rsidP="008D5985">
            <w:r>
              <w:t xml:space="preserve">Commence Pentavite for all neonates </w:t>
            </w:r>
            <w:r>
              <w:rPr>
                <w:rFonts w:cs="Calibri"/>
              </w:rPr>
              <w:t xml:space="preserve">less than or equal to </w:t>
            </w:r>
            <w:r>
              <w:t xml:space="preserve">32 weeks and/or </w:t>
            </w:r>
            <w:r>
              <w:rPr>
                <w:rFonts w:cs="Calibri"/>
              </w:rPr>
              <w:t xml:space="preserve">less than or equal to </w:t>
            </w:r>
            <w:r>
              <w:t>1800g once they reach full feeds.</w:t>
            </w:r>
          </w:p>
        </w:tc>
        <w:tc>
          <w:tcPr>
            <w:tcW w:w="4394" w:type="dxa"/>
          </w:tcPr>
          <w:p w14:paraId="26ED8011" w14:textId="77777777" w:rsidR="006A7F1B" w:rsidRDefault="006A7F1B" w:rsidP="008D5985">
            <w:r>
              <w:t>Pentavite is a neonatal multivitamin preparation containing vitamins A, D, C, B1, B2, B6, pantothenic acid and niacin</w:t>
            </w:r>
          </w:p>
        </w:tc>
      </w:tr>
      <w:tr w:rsidR="006A7F1B" w14:paraId="437AF91D" w14:textId="77777777" w:rsidTr="0064704F">
        <w:tc>
          <w:tcPr>
            <w:tcW w:w="1271" w:type="dxa"/>
          </w:tcPr>
          <w:p w14:paraId="203BDF35" w14:textId="77777777" w:rsidR="006A7F1B" w:rsidRDefault="006A7F1B" w:rsidP="008D5985">
            <w:pPr>
              <w:tabs>
                <w:tab w:val="left" w:pos="372"/>
              </w:tabs>
              <w:ind w:firstLine="171"/>
              <w:jc w:val="center"/>
            </w:pPr>
            <w:r>
              <w:t>Folic Acid</w:t>
            </w:r>
          </w:p>
        </w:tc>
        <w:tc>
          <w:tcPr>
            <w:tcW w:w="4253" w:type="dxa"/>
          </w:tcPr>
          <w:p w14:paraId="33EEA928" w14:textId="77777777" w:rsidR="006A7F1B" w:rsidRDefault="006A7F1B" w:rsidP="008D5985">
            <w:r>
              <w:t xml:space="preserve">Commence Folic acid in all neonates </w:t>
            </w:r>
            <w:r>
              <w:rPr>
                <w:rFonts w:cs="Calibri"/>
              </w:rPr>
              <w:t xml:space="preserve">less than or equal to </w:t>
            </w:r>
            <w:r>
              <w:t xml:space="preserve">32 weeks and/or </w:t>
            </w:r>
            <w:r>
              <w:rPr>
                <w:rFonts w:cs="Calibri"/>
              </w:rPr>
              <w:t xml:space="preserve">less than or equal to </w:t>
            </w:r>
            <w:r>
              <w:t>1800g once they reach full feeds</w:t>
            </w:r>
          </w:p>
          <w:p w14:paraId="65DC2E88" w14:textId="77777777" w:rsidR="006A7F1B" w:rsidRDefault="006A7F1B" w:rsidP="008D5985">
            <w:pPr>
              <w:jc w:val="both"/>
            </w:pPr>
          </w:p>
        </w:tc>
        <w:tc>
          <w:tcPr>
            <w:tcW w:w="4394" w:type="dxa"/>
          </w:tcPr>
          <w:p w14:paraId="4AF210CA" w14:textId="77777777" w:rsidR="006A7F1B" w:rsidRDefault="006A7F1B" w:rsidP="008D5985">
            <w:r>
              <w:t>There is no folic acid in Pentavite and Brauer Baby &amp; Toddler Liquid Multivitamin, two commonly used multivitamin preparations in Australian Capital Territory (ACT). Current guidelines recommend routine supplementation of folic acid to prevent development of folic acid deficiency in preterm infants.</w:t>
            </w:r>
          </w:p>
        </w:tc>
      </w:tr>
      <w:tr w:rsidR="006A7F1B" w14:paraId="748097F0" w14:textId="77777777" w:rsidTr="0064704F">
        <w:tc>
          <w:tcPr>
            <w:tcW w:w="1271" w:type="dxa"/>
          </w:tcPr>
          <w:p w14:paraId="5FB39E4E" w14:textId="77777777" w:rsidR="006A7F1B" w:rsidRDefault="006A7F1B" w:rsidP="008D5985">
            <w:pPr>
              <w:tabs>
                <w:tab w:val="left" w:pos="372"/>
              </w:tabs>
              <w:ind w:firstLine="171"/>
              <w:jc w:val="center"/>
            </w:pPr>
            <w:r>
              <w:t>Iron</w:t>
            </w:r>
          </w:p>
        </w:tc>
        <w:tc>
          <w:tcPr>
            <w:tcW w:w="4253" w:type="dxa"/>
          </w:tcPr>
          <w:p w14:paraId="08CD0F33" w14:textId="77777777" w:rsidR="006A7F1B" w:rsidRDefault="006A7F1B" w:rsidP="008D5985">
            <w:r>
              <w:t xml:space="preserve">Commence Iron supplements in all neonates </w:t>
            </w:r>
            <w:r>
              <w:rPr>
                <w:rFonts w:cs="Calibri"/>
              </w:rPr>
              <w:t xml:space="preserve">less than or equal to </w:t>
            </w:r>
            <w:r>
              <w:t xml:space="preserve">32 weeks and/or </w:t>
            </w:r>
            <w:r>
              <w:rPr>
                <w:rFonts w:cs="Calibri"/>
              </w:rPr>
              <w:t xml:space="preserve">less than or equal to </w:t>
            </w:r>
            <w:r>
              <w:t>1800g at 2 weeks of age once they reach full feeds.</w:t>
            </w:r>
          </w:p>
        </w:tc>
        <w:tc>
          <w:tcPr>
            <w:tcW w:w="4394" w:type="dxa"/>
          </w:tcPr>
          <w:p w14:paraId="3DCCCA7B" w14:textId="77777777" w:rsidR="006A7F1B" w:rsidRDefault="006A7F1B" w:rsidP="008D5985">
            <w:r>
              <w:t>Iron intakes of</w:t>
            </w:r>
            <w:r w:rsidRPr="000E4CF7">
              <w:t xml:space="preserve"> </w:t>
            </w:r>
            <w:r>
              <w:t>less than 2mg/kg/day are likely to result in iron deficiency in preterm infants especially in those with birth weights of less than 1800g.</w:t>
            </w:r>
          </w:p>
        </w:tc>
      </w:tr>
      <w:tr w:rsidR="006A7F1B" w14:paraId="1677A05F" w14:textId="77777777" w:rsidTr="0064704F">
        <w:tc>
          <w:tcPr>
            <w:tcW w:w="1271" w:type="dxa"/>
          </w:tcPr>
          <w:p w14:paraId="0451C86E" w14:textId="77777777" w:rsidR="006A7F1B" w:rsidRDefault="006A7F1B" w:rsidP="008D5985">
            <w:pPr>
              <w:tabs>
                <w:tab w:val="left" w:pos="372"/>
              </w:tabs>
              <w:ind w:firstLine="171"/>
              <w:jc w:val="center"/>
            </w:pPr>
            <w:r>
              <w:t>Zinc</w:t>
            </w:r>
          </w:p>
        </w:tc>
        <w:tc>
          <w:tcPr>
            <w:tcW w:w="4253" w:type="dxa"/>
          </w:tcPr>
          <w:p w14:paraId="5082C959" w14:textId="77777777" w:rsidR="006A7F1B" w:rsidRDefault="006A7F1B" w:rsidP="008D5985">
            <w:r>
              <w:t xml:space="preserve">Commence Zinc supplements in all neonates </w:t>
            </w:r>
            <w:r>
              <w:rPr>
                <w:rFonts w:cs="Calibri"/>
              </w:rPr>
              <w:t xml:space="preserve">less than or equal to </w:t>
            </w:r>
            <w:r>
              <w:t xml:space="preserve">32 weeks and/or </w:t>
            </w:r>
            <w:r>
              <w:rPr>
                <w:rFonts w:cs="Calibri"/>
              </w:rPr>
              <w:t xml:space="preserve">less than or equal to </w:t>
            </w:r>
            <w:r>
              <w:t>1800g at 2 weeks of age once they reach full feeds.</w:t>
            </w:r>
          </w:p>
        </w:tc>
        <w:tc>
          <w:tcPr>
            <w:tcW w:w="4394" w:type="dxa"/>
          </w:tcPr>
          <w:p w14:paraId="44734DAC" w14:textId="77777777" w:rsidR="006A7F1B" w:rsidRDefault="006A7F1B" w:rsidP="008D5985">
            <w:r>
              <w:t>Routine zinc supplementation may improve short term weight gain and linear growth</w:t>
            </w:r>
          </w:p>
        </w:tc>
      </w:tr>
    </w:tbl>
    <w:p w14:paraId="06A7DD9E" w14:textId="76F459EB" w:rsidR="00B61343" w:rsidRDefault="00A55107" w:rsidP="005D0BE7">
      <w:pPr>
        <w:pStyle w:val="Heading3"/>
      </w:pPr>
      <w:bookmarkStart w:id="32" w:name="_Toc199497067"/>
      <w:r w:rsidRPr="00E362BA">
        <w:t xml:space="preserve">1.12 </w:t>
      </w:r>
      <w:bookmarkEnd w:id="31"/>
      <w:r w:rsidR="006A7F1B" w:rsidRPr="0064704F">
        <w:t>Fluid, Energy, Protein, and Biochemical Monitoring Requirements based on European Society for Paediatric Gastroenterology Hepatology and Nutrition (ESPGHAN) nutrition recommendation</w:t>
      </w:r>
      <w:bookmarkEnd w:id="32"/>
      <w:r w:rsidR="00B61343" w:rsidRPr="0064704F">
        <w:t xml:space="preserve"> </w:t>
      </w:r>
    </w:p>
    <w:p w14:paraId="57392692" w14:textId="77777777" w:rsidR="008A6041" w:rsidRDefault="008A6041" w:rsidP="008A6041">
      <w:pPr>
        <w:pStyle w:val="BodyCopy"/>
        <w:pBdr>
          <w:top w:val="single" w:sz="4" w:space="1" w:color="auto"/>
          <w:left w:val="single" w:sz="4" w:space="4" w:color="auto"/>
          <w:bottom w:val="single" w:sz="4" w:space="1" w:color="auto"/>
          <w:right w:val="single" w:sz="4" w:space="4" w:color="auto"/>
        </w:pBdr>
        <w:rPr>
          <w:rFonts w:eastAsiaTheme="majorEastAsia"/>
        </w:rPr>
      </w:pPr>
      <w:r w:rsidRPr="008A6041">
        <w:rPr>
          <w:rFonts w:eastAsiaTheme="majorEastAsia"/>
          <w:b/>
        </w:rPr>
        <w:t>Note:</w:t>
      </w:r>
      <w:r w:rsidRPr="008A6041">
        <w:rPr>
          <w:rFonts w:eastAsiaTheme="majorEastAsia"/>
        </w:rPr>
        <w:t xml:space="preserve"> </w:t>
      </w:r>
    </w:p>
    <w:p w14:paraId="1E64BED9" w14:textId="3473BD7D" w:rsidR="008A6041" w:rsidRPr="008A6041" w:rsidRDefault="008A6041" w:rsidP="008A6041">
      <w:pPr>
        <w:pStyle w:val="BodyCopy"/>
        <w:pBdr>
          <w:top w:val="single" w:sz="4" w:space="1" w:color="auto"/>
          <w:left w:val="single" w:sz="4" w:space="4" w:color="auto"/>
          <w:bottom w:val="single" w:sz="4" w:space="1" w:color="auto"/>
          <w:right w:val="single" w:sz="4" w:space="4" w:color="auto"/>
        </w:pBdr>
        <w:rPr>
          <w:rFonts w:eastAsiaTheme="majorEastAsia"/>
        </w:rPr>
      </w:pPr>
      <w:r w:rsidRPr="008A6041">
        <w:rPr>
          <w:rFonts w:eastAsiaTheme="majorEastAsia"/>
        </w:rPr>
        <w:t xml:space="preserve">Updated (2022) recommendations for enteral nutrient intake are provided in </w:t>
      </w:r>
      <w:r w:rsidRPr="008A6041">
        <w:rPr>
          <w:rFonts w:eastAsiaTheme="majorEastAsia"/>
          <w:b/>
          <w:bCs w:val="0"/>
        </w:rPr>
        <w:t>Attachment 7</w:t>
      </w:r>
      <w:r w:rsidRPr="008A6041">
        <w:rPr>
          <w:rFonts w:eastAsiaTheme="majorEastAsia"/>
        </w:rPr>
        <w:t xml:space="preserve"> – ESPGHAN Nutrition Recommendations Table.</w:t>
      </w:r>
    </w:p>
    <w:p w14:paraId="7CC0BF8A" w14:textId="172A860F" w:rsidR="006A7F1B" w:rsidRDefault="006A7F1B" w:rsidP="006A7F1B">
      <w:pPr>
        <w:pStyle w:val="BodyCopy"/>
      </w:pPr>
      <w:r w:rsidRPr="00447E51">
        <w:rPr>
          <w:rStyle w:val="Heading6Char"/>
        </w:rPr>
        <w:t xml:space="preserve">Fluid </w:t>
      </w:r>
    </w:p>
    <w:p w14:paraId="0980FFBB" w14:textId="77777777" w:rsidR="006A7F1B" w:rsidRPr="00447E51" w:rsidRDefault="006A7F1B" w:rsidP="006A7F1B">
      <w:pPr>
        <w:pStyle w:val="BodyCopy"/>
      </w:pPr>
      <w:r w:rsidRPr="00447E51">
        <w:lastRenderedPageBreak/>
        <w:t>Most stable growing infants will require fluid intakes of 150</w:t>
      </w:r>
      <w:r>
        <w:t xml:space="preserve"> to </w:t>
      </w:r>
      <w:r w:rsidRPr="00447E51">
        <w:t>180ml/kg to achieve appropriate nutrient intakes. ESPGHAN suggests a minimum of 135ml/kg (if nutrition needs can be met) to avoid renal compromise and up to 200ml/kg may be safe depending on the clinical status of the neonate.</w:t>
      </w:r>
    </w:p>
    <w:p w14:paraId="34DF604E" w14:textId="77777777" w:rsidR="006A7F1B" w:rsidRDefault="006A7F1B" w:rsidP="006A7F1B">
      <w:pPr>
        <w:pStyle w:val="Heading6"/>
      </w:pPr>
      <w:r w:rsidRPr="00447E51">
        <w:t>Energy</w:t>
      </w:r>
    </w:p>
    <w:p w14:paraId="787E7317" w14:textId="77777777" w:rsidR="006A7F1B" w:rsidRPr="00447E51" w:rsidRDefault="006A7F1B" w:rsidP="006A7F1B">
      <w:pPr>
        <w:pStyle w:val="BodyCopy"/>
      </w:pPr>
      <w:r w:rsidRPr="00447E51">
        <w:t>A reasonable range of total energy intake for most healthy growing preterm infants is 115</w:t>
      </w:r>
      <w:r>
        <w:t xml:space="preserve"> to </w:t>
      </w:r>
      <w:r w:rsidRPr="00447E51">
        <w:t xml:space="preserve">140 kcal/kg/d. Energy intakes </w:t>
      </w:r>
      <w:r>
        <w:t xml:space="preserve">greater than </w:t>
      </w:r>
      <w:r w:rsidRPr="00447E51">
        <w:t>140 kcal/kg/d may be needed where growth is below the recommended range but should not be provided until protein and other nutrient sufficiency has been ensured and should not exceed 160 kcal/kg/d.</w:t>
      </w:r>
    </w:p>
    <w:p w14:paraId="261222A2" w14:textId="77777777" w:rsidR="006A7F1B" w:rsidRDefault="006A7F1B" w:rsidP="006A7F1B">
      <w:pPr>
        <w:pStyle w:val="Heading6"/>
      </w:pPr>
      <w:r w:rsidRPr="00447E51">
        <w:t xml:space="preserve">Protein </w:t>
      </w:r>
    </w:p>
    <w:p w14:paraId="20C75C46" w14:textId="77777777" w:rsidR="006A7F1B" w:rsidRPr="00447E51" w:rsidRDefault="006A7F1B" w:rsidP="006A7F1B">
      <w:pPr>
        <w:pStyle w:val="BodyCopy"/>
      </w:pPr>
      <w:r w:rsidRPr="00447E51">
        <w:t>Very preterm infants should be given at least 3.5</w:t>
      </w:r>
      <w:r>
        <w:t xml:space="preserve"> to </w:t>
      </w:r>
      <w:r w:rsidRPr="00447E51">
        <w:t>4.0 g protein/kg/d together with sufficient other macro- and micronutrients. Protein intake may be further increased up to 4.5 g/kg/d where growth is slow, provided protein quality is good, concomitant energy and other micronutrient intakes are optimal, and there are no other causes for suboptimal growth.</w:t>
      </w:r>
    </w:p>
    <w:p w14:paraId="1B2B9E7B" w14:textId="77777777" w:rsidR="006A7F1B" w:rsidRDefault="006A7F1B" w:rsidP="006A7F1B">
      <w:pPr>
        <w:pStyle w:val="Heading6"/>
      </w:pPr>
      <w:r w:rsidRPr="00447E51">
        <w:t xml:space="preserve">Biochemical </w:t>
      </w:r>
      <w:r>
        <w:t>M</w:t>
      </w:r>
      <w:r w:rsidRPr="00447E51">
        <w:t>onitoring (Blood Urea level)</w:t>
      </w:r>
    </w:p>
    <w:p w14:paraId="062725E0" w14:textId="6735D80C" w:rsidR="00A55107" w:rsidRDefault="006A7F1B" w:rsidP="00E82C70">
      <w:pPr>
        <w:pStyle w:val="BodyCopy"/>
      </w:pPr>
      <w:r w:rsidRPr="00447E51">
        <w:t>The evidence for cut-off values of plasma urea concentrations to guide protein intake is very limited and concentrations may be affected by immature glomerular filtration rate as well. Yet, elevated urea concentrations in the absence of fluid or renal derangements indicate that proteins are not fully used for protein synthesis but are oxidized instead. This thus hints at either optimizing concomitant nutritional intakes or decreasing protein intake. Plasma urea should be monitored at regular intervals. Low urea concentrations (</w:t>
      </w:r>
      <w:r>
        <w:t xml:space="preserve">less than </w:t>
      </w:r>
      <w:r w:rsidRPr="00447E51">
        <w:t>3 mmol/L) after the first few weeks of life may indicate enteral protein intakes can be increased up to 4.5 g/kg/d. If urea concentrations are above 5.7 mmol/L in the absence of fluid or renal derangements, while providing sufficient concomitant energy, lowering of protein intake should be considered.</w:t>
      </w:r>
    </w:p>
    <w:p w14:paraId="26E4A704" w14:textId="1C2D113C" w:rsidR="00A55107" w:rsidRPr="00E362BA" w:rsidRDefault="00A55107" w:rsidP="005D0BE7">
      <w:pPr>
        <w:pStyle w:val="Heading3"/>
      </w:pPr>
      <w:bookmarkStart w:id="33" w:name="_Toc174601158"/>
      <w:bookmarkStart w:id="34" w:name="_Toc199497068"/>
      <w:r w:rsidRPr="00E362BA">
        <w:t>1.13 Growth Monitoring and Growth failure</w:t>
      </w:r>
      <w:bookmarkEnd w:id="33"/>
      <w:bookmarkEnd w:id="34"/>
    </w:p>
    <w:p w14:paraId="58687481" w14:textId="77777777" w:rsidR="00DB1564" w:rsidRDefault="00DB1564" w:rsidP="0064704F">
      <w:pPr>
        <w:pStyle w:val="Bullet"/>
        <w:ind w:left="425" w:hanging="425"/>
      </w:pPr>
      <w:bookmarkStart w:id="35" w:name="_Toc174601159"/>
      <w:r>
        <w:t xml:space="preserve">Growth is evaluated by measuring gain in weight, length, and head circumference (HC) but also using measures of body composition. (Refer to </w:t>
      </w:r>
      <w:r w:rsidRPr="00C517CF">
        <w:rPr>
          <w:b/>
          <w:bCs/>
        </w:rPr>
        <w:t>Section 2</w:t>
      </w:r>
      <w:r w:rsidRPr="0019343E">
        <w:t xml:space="preserve"> – Growth Measurements in the Neonatal Routine Care Clinical Guideline</w:t>
      </w:r>
      <w:r>
        <w:t>).</w:t>
      </w:r>
    </w:p>
    <w:p w14:paraId="3A4A54BA" w14:textId="77777777" w:rsidR="00DB1564" w:rsidRDefault="00DB1564" w:rsidP="0064704F">
      <w:pPr>
        <w:pStyle w:val="Bullet"/>
        <w:ind w:left="425" w:hanging="425"/>
      </w:pPr>
      <w:r>
        <w:t xml:space="preserve">For neonates </w:t>
      </w:r>
      <w:r>
        <w:rPr>
          <w:rFonts w:cs="Calibri"/>
        </w:rPr>
        <w:t xml:space="preserve">less than or equal to </w:t>
      </w:r>
      <w:r>
        <w:t xml:space="preserve">32 weeks and/or </w:t>
      </w:r>
      <w:r>
        <w:rPr>
          <w:rFonts w:cs="Calibri"/>
        </w:rPr>
        <w:t xml:space="preserve">less than or equal to </w:t>
      </w:r>
      <w:r>
        <w:t xml:space="preserve">1800g, measure weight at least once or twice daily during the first 1 to 2 weeks of life, followed by 2 to 3 times per week in the stable growing phase. </w:t>
      </w:r>
    </w:p>
    <w:p w14:paraId="50A13192" w14:textId="77777777" w:rsidR="00DB1564" w:rsidRDefault="00DB1564" w:rsidP="0064704F">
      <w:pPr>
        <w:pStyle w:val="Bullet"/>
        <w:ind w:left="425" w:hanging="425"/>
      </w:pPr>
      <w:r>
        <w:t>Length and HC should be measured once weekly in all infants.</w:t>
      </w:r>
    </w:p>
    <w:p w14:paraId="52F78B40" w14:textId="77777777" w:rsidR="00DB1564" w:rsidRDefault="00DB1564" w:rsidP="0064704F">
      <w:pPr>
        <w:pStyle w:val="Bullet"/>
        <w:ind w:left="425" w:hanging="425"/>
      </w:pPr>
      <w:r>
        <w:t>Weight loss up to 7 to 10 percent is acceptable in the first 3 to 4 days after birth in average gestational age (AGA) neonates. Small for gestational age (SGA) neonates often lose less (4 percent to 7 percent).</w:t>
      </w:r>
    </w:p>
    <w:p w14:paraId="7DA5EE96" w14:textId="77777777" w:rsidR="00DB1564" w:rsidRDefault="00DB1564" w:rsidP="0064704F">
      <w:pPr>
        <w:pStyle w:val="Bullet"/>
        <w:ind w:left="425" w:hanging="425"/>
      </w:pPr>
      <w:r>
        <w:lastRenderedPageBreak/>
        <w:t>Growth velocity in g/kg/day is measured over 7 days (1 week) by using average weight for that week. For example, if the neonate weighed 1kg on day 1 of the week and 1.2 kg on Day 7, average weight for the week is (1+1.2)</w:t>
      </w:r>
      <w:r>
        <w:rPr>
          <w:rFonts w:cs="Calibri"/>
        </w:rPr>
        <w:t xml:space="preserve"> ÷</w:t>
      </w:r>
      <w:r>
        <w:t>2=1.1kg. Growth velocity is calculated as 200/ (7x1.1) = 26g/kg/day.</w:t>
      </w:r>
    </w:p>
    <w:p w14:paraId="61BEF69D" w14:textId="77777777" w:rsidR="00DB1564" w:rsidRPr="00447E51" w:rsidRDefault="00DB1564" w:rsidP="0064704F">
      <w:pPr>
        <w:pStyle w:val="Bullet"/>
        <w:ind w:left="425" w:hanging="425"/>
      </w:pPr>
      <w:r w:rsidRPr="00072230">
        <w:rPr>
          <w:rFonts w:eastAsia="TimesNewRomanPSStd-Regular"/>
        </w:rPr>
        <w:t>Using fetal ultrasound estimates, an average fetal weight gain of 20</w:t>
      </w:r>
      <w:r>
        <w:rPr>
          <w:rFonts w:eastAsia="TimesNewRomanPSStd-Regular"/>
        </w:rPr>
        <w:t xml:space="preserve"> to </w:t>
      </w:r>
      <w:r w:rsidRPr="00072230">
        <w:rPr>
          <w:rFonts w:eastAsia="TimesNewRomanPSStd-Regular"/>
        </w:rPr>
        <w:t>23 g/kg/d during 23</w:t>
      </w:r>
      <w:r>
        <w:rPr>
          <w:rFonts w:eastAsia="TimesNewRomanPSStd-Regular"/>
        </w:rPr>
        <w:t xml:space="preserve"> to </w:t>
      </w:r>
      <w:r w:rsidRPr="00072230">
        <w:rPr>
          <w:rFonts w:eastAsia="TimesNewRomanPSStd-Regular"/>
        </w:rPr>
        <w:t>25 weeks of gestation, 17</w:t>
      </w:r>
      <w:r>
        <w:rPr>
          <w:rFonts w:eastAsia="TimesNewRomanPSStd-Regular"/>
        </w:rPr>
        <w:t xml:space="preserve"> to </w:t>
      </w:r>
      <w:r w:rsidRPr="00072230">
        <w:rPr>
          <w:rFonts w:eastAsia="TimesNewRomanPSStd-Regular"/>
        </w:rPr>
        <w:t>20 g/kg/d during weeks 26</w:t>
      </w:r>
      <w:r>
        <w:rPr>
          <w:rFonts w:eastAsia="TimesNewRomanPSStd-Regular"/>
        </w:rPr>
        <w:t xml:space="preserve"> to </w:t>
      </w:r>
      <w:r w:rsidRPr="00072230">
        <w:rPr>
          <w:rFonts w:eastAsia="TimesNewRomanPSStd-Regular"/>
        </w:rPr>
        <w:t>29, 13</w:t>
      </w:r>
      <w:r>
        <w:rPr>
          <w:rFonts w:eastAsia="TimesNewRomanPSStd-Regular"/>
        </w:rPr>
        <w:t xml:space="preserve"> to</w:t>
      </w:r>
      <w:r w:rsidRPr="00072230">
        <w:rPr>
          <w:rFonts w:eastAsia="TimesNewRomanPSStd-Regular"/>
        </w:rPr>
        <w:t>17 g/kg/d during weeks 30</w:t>
      </w:r>
      <w:r>
        <w:rPr>
          <w:rFonts w:eastAsia="TimesNewRomanPSStd-Regular"/>
        </w:rPr>
        <w:t xml:space="preserve"> to </w:t>
      </w:r>
      <w:r w:rsidRPr="00072230">
        <w:rPr>
          <w:rFonts w:eastAsia="TimesNewRomanPSStd-Regular"/>
        </w:rPr>
        <w:t>34, and 10</w:t>
      </w:r>
      <w:r>
        <w:rPr>
          <w:rFonts w:eastAsia="TimesNewRomanPSStd-Regular"/>
        </w:rPr>
        <w:t xml:space="preserve"> to </w:t>
      </w:r>
      <w:r w:rsidRPr="00072230">
        <w:rPr>
          <w:rFonts w:eastAsia="TimesNewRomanPSStd-Regular"/>
        </w:rPr>
        <w:t>13 g/kg/d during weeks 35</w:t>
      </w:r>
      <w:r>
        <w:rPr>
          <w:rFonts w:eastAsia="TimesNewRomanPSStd-Regular"/>
        </w:rPr>
        <w:t xml:space="preserve"> to </w:t>
      </w:r>
      <w:r w:rsidRPr="00072230">
        <w:rPr>
          <w:rFonts w:eastAsia="TimesNewRomanPSStd-Regular"/>
        </w:rPr>
        <w:t>37</w:t>
      </w:r>
      <w:r w:rsidRPr="00072230">
        <w:t xml:space="preserve"> is considered appropriate as per </w:t>
      </w:r>
      <w:r w:rsidRPr="00072230">
        <w:rPr>
          <w:rFonts w:eastAsia="TimesNewRomanPSStd-Regular"/>
        </w:rPr>
        <w:t>World Health Organization (WHO)</w:t>
      </w:r>
      <w:r>
        <w:rPr>
          <w:rFonts w:eastAsia="TimesNewRomanPSStd-Regular"/>
        </w:rPr>
        <w:t>.</w:t>
      </w:r>
    </w:p>
    <w:p w14:paraId="7607C444" w14:textId="77777777" w:rsidR="00DB1564" w:rsidRPr="00072230" w:rsidRDefault="00DB1564" w:rsidP="0064704F">
      <w:pPr>
        <w:pStyle w:val="Bullet"/>
        <w:numPr>
          <w:ilvl w:val="1"/>
          <w:numId w:val="1"/>
        </w:numPr>
        <w:ind w:left="714" w:hanging="357"/>
      </w:pPr>
      <w:r>
        <w:t>T</w:t>
      </w:r>
      <w:r w:rsidRPr="00072230">
        <w:t>hese growth targets showed better weight, length, and HC at 18</w:t>
      </w:r>
      <w:r>
        <w:t xml:space="preserve"> to </w:t>
      </w:r>
      <w:r w:rsidRPr="00072230">
        <w:t>22 months CGA. These growth targets also matched with intrauterine growth and maintain the birth percentile in extra uterine life</w:t>
      </w:r>
      <w:r>
        <w:t>.</w:t>
      </w:r>
    </w:p>
    <w:p w14:paraId="23015FBD" w14:textId="77777777" w:rsidR="00DB1564" w:rsidRPr="00072230" w:rsidRDefault="00DB1564" w:rsidP="0064704F">
      <w:pPr>
        <w:pStyle w:val="Bullet"/>
        <w:ind w:left="425" w:hanging="425"/>
      </w:pPr>
      <w:r w:rsidRPr="6675AFDB">
        <w:rPr>
          <w:rFonts w:eastAsia="TimesNewRomanPSStd-Regular"/>
        </w:rPr>
        <w:t>Fenton’s chart is the reference growth chart used in Department of Neonatology</w:t>
      </w:r>
      <w:r>
        <w:rPr>
          <w:rFonts w:eastAsia="TimesNewRomanPSStd-Regular"/>
        </w:rPr>
        <w:t xml:space="preserve"> (which can be found on the DHR)</w:t>
      </w:r>
      <w:r w:rsidRPr="6675AFDB">
        <w:rPr>
          <w:rFonts w:eastAsia="TimesNewRomanPSStd-Regular"/>
        </w:rPr>
        <w:t xml:space="preserve"> and is based on in-utero fetal growth</w:t>
      </w:r>
      <w:r>
        <w:rPr>
          <w:rFonts w:eastAsia="TimesNewRomanPSStd-Regular"/>
        </w:rPr>
        <w:t xml:space="preserve">. </w:t>
      </w:r>
    </w:p>
    <w:p w14:paraId="06C29308" w14:textId="77777777" w:rsidR="00DB1564" w:rsidRPr="00072230" w:rsidRDefault="00DB1564" w:rsidP="0064704F">
      <w:pPr>
        <w:pStyle w:val="Bullet"/>
        <w:ind w:left="425" w:hanging="425"/>
      </w:pPr>
      <w:r>
        <w:t>The optimal growth velocity that optimises outcomes in preterm infants remains unclear. We recommend a pragmatic approach with an aim of not losing more than 1 Standard Deviation Score (SDS) in weight, length, and HC from 1 to 2 weeks of age (age infant regained birth weight) to discharge.</w:t>
      </w:r>
    </w:p>
    <w:p w14:paraId="718F4450" w14:textId="77777777" w:rsidR="00DB1564" w:rsidRPr="0064704F" w:rsidRDefault="00DB1564" w:rsidP="00B61343">
      <w:pPr>
        <w:pStyle w:val="Bullet"/>
        <w:ind w:left="425" w:hanging="425"/>
        <w:rPr>
          <w:rFonts w:asciiTheme="minorHAnsi" w:hAnsiTheme="minorHAnsi" w:cstheme="minorHAnsi"/>
        </w:rPr>
      </w:pPr>
      <w:r w:rsidRPr="00072230">
        <w:t>Growth failure (GF) or postnatal growth retardation describes an infant whose growth slows such that they do not follow a certain centile during the period of established growth (and is not defined as any anthropometric measurement below the 10th percentile)</w:t>
      </w:r>
      <w:r>
        <w:t>.</w:t>
      </w:r>
    </w:p>
    <w:p w14:paraId="66C8F808" w14:textId="5555A1CC" w:rsidR="00A55107" w:rsidRPr="00BB22E7" w:rsidRDefault="0064704F" w:rsidP="005D0BE7">
      <w:pPr>
        <w:pStyle w:val="Heading3"/>
      </w:pPr>
      <w:bookmarkStart w:id="36" w:name="_Toc199497069"/>
      <w:r w:rsidRPr="00BB22E7">
        <w:t>1.14 Inpatient</w:t>
      </w:r>
      <w:r w:rsidR="00A55107" w:rsidRPr="00BB22E7">
        <w:t xml:space="preserve"> and Discharge Dietician Referral Criteria</w:t>
      </w:r>
      <w:bookmarkEnd w:id="35"/>
      <w:bookmarkEnd w:id="36"/>
      <w:r w:rsidR="00A55107" w:rsidRPr="00BB22E7">
        <w:t xml:space="preserve"> </w:t>
      </w:r>
    </w:p>
    <w:p w14:paraId="46E0451D" w14:textId="77777777" w:rsidR="00A55107" w:rsidRDefault="00A55107" w:rsidP="00BB22E7">
      <w:pPr>
        <w:pStyle w:val="Heading6"/>
      </w:pPr>
      <w:r w:rsidRPr="00F36414">
        <w:t>Inpatient Dietician Referral Criteria</w:t>
      </w:r>
    </w:p>
    <w:p w14:paraId="03941485" w14:textId="77777777" w:rsidR="00DB1564" w:rsidRPr="00F36414" w:rsidRDefault="00DB1564" w:rsidP="00C20F00">
      <w:pPr>
        <w:pStyle w:val="Bullet"/>
        <w:numPr>
          <w:ilvl w:val="0"/>
          <w:numId w:val="19"/>
        </w:numPr>
        <w:ind w:left="425" w:hanging="425"/>
      </w:pPr>
      <w:r w:rsidRPr="00F36414">
        <w:t xml:space="preserve">Restricted fluid intake </w:t>
      </w:r>
      <w:r>
        <w:rPr>
          <w:rFonts w:cs="Calibri"/>
        </w:rPr>
        <w:t>less than or equal to</w:t>
      </w:r>
      <w:r>
        <w:t xml:space="preserve"> </w:t>
      </w:r>
      <w:r w:rsidRPr="00F36414">
        <w:t>160 mL/kg/day – at greater than 2 weeks of age</w:t>
      </w:r>
      <w:r>
        <w:t>.</w:t>
      </w:r>
    </w:p>
    <w:p w14:paraId="62E3F7A0" w14:textId="77777777" w:rsidR="00DB1564" w:rsidRPr="00F36414" w:rsidRDefault="00DB1564" w:rsidP="00C20F00">
      <w:pPr>
        <w:pStyle w:val="Bullet"/>
        <w:numPr>
          <w:ilvl w:val="0"/>
          <w:numId w:val="19"/>
        </w:numPr>
        <w:ind w:left="425" w:hanging="425"/>
      </w:pPr>
      <w:r>
        <w:t xml:space="preserve">Less than </w:t>
      </w:r>
      <w:r w:rsidRPr="00F36414">
        <w:t>15 g/kg/day weight gain (</w:t>
      </w:r>
      <w:r>
        <w:t xml:space="preserve">less than </w:t>
      </w:r>
      <w:r w:rsidRPr="00F36414">
        <w:t xml:space="preserve">35/40 CGA) or </w:t>
      </w:r>
      <w:r>
        <w:t xml:space="preserve">less than </w:t>
      </w:r>
      <w:r w:rsidRPr="00F36414">
        <w:t>10 g/kg/day (35</w:t>
      </w:r>
      <w:r>
        <w:t xml:space="preserve"> to</w:t>
      </w:r>
      <w:r w:rsidRPr="00F36414">
        <w:t xml:space="preserve"> 37/40 weeks CGA)</w:t>
      </w:r>
      <w:r>
        <w:t>.</w:t>
      </w:r>
    </w:p>
    <w:p w14:paraId="5E9F8FA3" w14:textId="77777777" w:rsidR="00DB1564" w:rsidRPr="00F36414" w:rsidRDefault="00DB1564" w:rsidP="00C20F00">
      <w:pPr>
        <w:pStyle w:val="Bullet"/>
        <w:numPr>
          <w:ilvl w:val="0"/>
          <w:numId w:val="19"/>
        </w:numPr>
        <w:ind w:left="425" w:hanging="425"/>
      </w:pPr>
      <w:r w:rsidRPr="00F36414">
        <w:t>Growth faltering/crossing centiles/</w:t>
      </w:r>
      <w:r>
        <w:t xml:space="preserve"> greater than -</w:t>
      </w:r>
      <w:r w:rsidRPr="00F36414">
        <w:t>1 SD</w:t>
      </w:r>
      <w:r>
        <w:t>S</w:t>
      </w:r>
      <w:r w:rsidRPr="00F36414">
        <w:t xml:space="preserve"> from time regained birth weight on Fenton’s Z score calculator</w:t>
      </w:r>
      <w:r>
        <w:t>.</w:t>
      </w:r>
    </w:p>
    <w:p w14:paraId="2A564A3D" w14:textId="77777777" w:rsidR="00DB1564" w:rsidRPr="00F36414" w:rsidRDefault="00DB1564" w:rsidP="00C20F00">
      <w:pPr>
        <w:pStyle w:val="Bullet"/>
        <w:numPr>
          <w:ilvl w:val="0"/>
          <w:numId w:val="19"/>
        </w:numPr>
        <w:ind w:left="425" w:hanging="425"/>
      </w:pPr>
      <w:r>
        <w:t xml:space="preserve">Greater than </w:t>
      </w:r>
      <w:r w:rsidRPr="00F36414">
        <w:t>200mL/kg/day of preterm formula or fortified breast milk intake</w:t>
      </w:r>
      <w:r>
        <w:t>.</w:t>
      </w:r>
    </w:p>
    <w:p w14:paraId="4B6AE0D3" w14:textId="77777777" w:rsidR="00DB1564" w:rsidRPr="00F36414" w:rsidRDefault="00DB1564" w:rsidP="00C20F00">
      <w:pPr>
        <w:pStyle w:val="Bullet"/>
        <w:numPr>
          <w:ilvl w:val="0"/>
          <w:numId w:val="19"/>
        </w:numPr>
        <w:ind w:left="425" w:hanging="425"/>
      </w:pPr>
      <w:r w:rsidRPr="00F36414">
        <w:t>Short bowel syndrome/NEC/ where use of elemental formula is considered</w:t>
      </w:r>
      <w:r>
        <w:t>.</w:t>
      </w:r>
    </w:p>
    <w:p w14:paraId="5E3FD03F" w14:textId="77777777" w:rsidR="00DB1564" w:rsidRPr="00F36414" w:rsidRDefault="00DB1564" w:rsidP="00C20F00">
      <w:pPr>
        <w:pStyle w:val="Bullet"/>
        <w:numPr>
          <w:ilvl w:val="0"/>
          <w:numId w:val="19"/>
        </w:numPr>
        <w:ind w:left="425" w:hanging="425"/>
      </w:pPr>
      <w:r w:rsidRPr="00F36414">
        <w:t>Gastrointestinal anomaly</w:t>
      </w:r>
      <w:r>
        <w:t>.</w:t>
      </w:r>
    </w:p>
    <w:p w14:paraId="5124F9AC" w14:textId="77777777" w:rsidR="00DB1564" w:rsidRPr="00F36414" w:rsidRDefault="00DB1564" w:rsidP="00C20F00">
      <w:pPr>
        <w:pStyle w:val="Bullet"/>
        <w:numPr>
          <w:ilvl w:val="0"/>
          <w:numId w:val="19"/>
        </w:numPr>
        <w:ind w:left="425" w:hanging="425"/>
      </w:pPr>
      <w:r w:rsidRPr="00F36414">
        <w:t>Chylothorax</w:t>
      </w:r>
      <w:r>
        <w:t>.</w:t>
      </w:r>
    </w:p>
    <w:p w14:paraId="128B0DD5" w14:textId="77777777" w:rsidR="00DB1564" w:rsidRDefault="00DB1564" w:rsidP="00C20F00">
      <w:pPr>
        <w:pStyle w:val="Bullet"/>
        <w:numPr>
          <w:ilvl w:val="0"/>
          <w:numId w:val="19"/>
        </w:numPr>
        <w:ind w:left="425" w:hanging="425"/>
      </w:pPr>
      <w:r w:rsidRPr="00F36414">
        <w:t>Significant obstructive jaundice</w:t>
      </w:r>
      <w:r>
        <w:t>.</w:t>
      </w:r>
    </w:p>
    <w:p w14:paraId="7B9E6FC1" w14:textId="77777777" w:rsidR="00DB1564" w:rsidRDefault="00DB1564" w:rsidP="00C20F00">
      <w:pPr>
        <w:pStyle w:val="Bullet"/>
        <w:numPr>
          <w:ilvl w:val="0"/>
          <w:numId w:val="19"/>
        </w:numPr>
        <w:ind w:left="425" w:hanging="425"/>
      </w:pPr>
      <w:r>
        <w:t>Less than 75 percent of prescribed quota of nutritional fluids for more than 2 weeks</w:t>
      </w:r>
    </w:p>
    <w:p w14:paraId="083234FB" w14:textId="77777777" w:rsidR="00DB1564" w:rsidRDefault="00DB1564" w:rsidP="00C20F00">
      <w:pPr>
        <w:pStyle w:val="Bullet"/>
        <w:numPr>
          <w:ilvl w:val="0"/>
          <w:numId w:val="19"/>
        </w:numPr>
        <w:ind w:left="425" w:hanging="425"/>
      </w:pPr>
      <w:r>
        <w:t>Not regained birthweight by 14 days.</w:t>
      </w:r>
    </w:p>
    <w:p w14:paraId="09272A06" w14:textId="77777777" w:rsidR="00DB1564" w:rsidRDefault="00DB1564" w:rsidP="00C20F00">
      <w:pPr>
        <w:pStyle w:val="Bullet"/>
        <w:numPr>
          <w:ilvl w:val="0"/>
          <w:numId w:val="19"/>
        </w:numPr>
        <w:ind w:left="425" w:hanging="425"/>
      </w:pPr>
      <w:r>
        <w:lastRenderedPageBreak/>
        <w:t>Intolerance to preterm formula of breast milk fortifier.</w:t>
      </w:r>
    </w:p>
    <w:p w14:paraId="3E83DB6E" w14:textId="77777777" w:rsidR="00DB1564" w:rsidRDefault="00DB1564" w:rsidP="00C20F00">
      <w:pPr>
        <w:pStyle w:val="Bullet"/>
        <w:numPr>
          <w:ilvl w:val="0"/>
          <w:numId w:val="19"/>
        </w:numPr>
        <w:ind w:left="425" w:hanging="425"/>
      </w:pPr>
      <w:r>
        <w:t>Chronic Lung Disease (CLD) where growth impairment is likely.</w:t>
      </w:r>
    </w:p>
    <w:p w14:paraId="6385EE17" w14:textId="77777777" w:rsidR="00DB1564" w:rsidRDefault="00DB1564" w:rsidP="00C20F00">
      <w:pPr>
        <w:pStyle w:val="Bullet"/>
        <w:numPr>
          <w:ilvl w:val="0"/>
          <w:numId w:val="19"/>
        </w:numPr>
        <w:ind w:left="425" w:hanging="425"/>
      </w:pPr>
      <w:r>
        <w:t>Malabsorption.</w:t>
      </w:r>
    </w:p>
    <w:p w14:paraId="240BCE1C" w14:textId="77777777" w:rsidR="00DB1564" w:rsidRDefault="00DB1564" w:rsidP="00C20F00">
      <w:pPr>
        <w:pStyle w:val="Bullet"/>
        <w:numPr>
          <w:ilvl w:val="0"/>
          <w:numId w:val="19"/>
        </w:numPr>
        <w:ind w:left="425" w:hanging="425"/>
      </w:pPr>
      <w:r>
        <w:t>Congenital heart disease where growth impairment is likely.</w:t>
      </w:r>
    </w:p>
    <w:p w14:paraId="73EED545" w14:textId="77777777" w:rsidR="00DB1564" w:rsidRDefault="00DB1564" w:rsidP="00C20F00">
      <w:pPr>
        <w:pStyle w:val="Bullet"/>
        <w:numPr>
          <w:ilvl w:val="0"/>
          <w:numId w:val="19"/>
        </w:numPr>
        <w:ind w:left="425" w:hanging="425"/>
      </w:pPr>
      <w:r>
        <w:t>Renal failure.</w:t>
      </w:r>
    </w:p>
    <w:p w14:paraId="2C78B4C0" w14:textId="77777777" w:rsidR="00DB1564" w:rsidRDefault="00DB1564" w:rsidP="00C20F00">
      <w:pPr>
        <w:pStyle w:val="Bullet"/>
        <w:numPr>
          <w:ilvl w:val="0"/>
          <w:numId w:val="19"/>
        </w:numPr>
        <w:ind w:left="425" w:hanging="425"/>
      </w:pPr>
      <w:r>
        <w:t>Metabolic disorder.</w:t>
      </w:r>
    </w:p>
    <w:p w14:paraId="71BD2512" w14:textId="77777777" w:rsidR="00BB22E7" w:rsidRDefault="00BB22E7" w:rsidP="00BB22E7">
      <w:pPr>
        <w:pStyle w:val="Bullet"/>
        <w:numPr>
          <w:ilvl w:val="0"/>
          <w:numId w:val="0"/>
        </w:numPr>
        <w:ind w:left="360"/>
      </w:pPr>
    </w:p>
    <w:p w14:paraId="73E68D60" w14:textId="77777777" w:rsidR="00DB1564" w:rsidRDefault="00DB1564" w:rsidP="00DB1564">
      <w:pPr>
        <w:pStyle w:val="Heading6"/>
      </w:pPr>
      <w:r>
        <w:t>Outpatient Dietician Referral Criteria</w:t>
      </w:r>
    </w:p>
    <w:p w14:paraId="6ECA8239" w14:textId="77777777" w:rsidR="00DB1564" w:rsidRPr="00F36414" w:rsidRDefault="00DB1564" w:rsidP="00C20F00">
      <w:pPr>
        <w:pStyle w:val="Bullet"/>
        <w:numPr>
          <w:ilvl w:val="0"/>
          <w:numId w:val="20"/>
        </w:numPr>
        <w:ind w:left="425" w:hanging="425"/>
      </w:pPr>
      <w:r w:rsidRPr="00F36414">
        <w:t>Weight</w:t>
      </w:r>
      <w:r>
        <w:t xml:space="preserve"> or </w:t>
      </w:r>
      <w:r w:rsidRPr="00F36414">
        <w:t xml:space="preserve">Length </w:t>
      </w:r>
      <w:r>
        <w:t>greater than -</w:t>
      </w:r>
      <w:r w:rsidRPr="00F36414">
        <w:t>1 SD</w:t>
      </w:r>
      <w:r>
        <w:t>S</w:t>
      </w:r>
      <w:r w:rsidRPr="00F36414">
        <w:t xml:space="preserve"> at discharge from time regained birth weight on Fenton’s Z score calculator</w:t>
      </w:r>
      <w:r>
        <w:t>.</w:t>
      </w:r>
      <w:r w:rsidRPr="00F36414">
        <w:t xml:space="preserve"> </w:t>
      </w:r>
    </w:p>
    <w:p w14:paraId="69F2C9B4" w14:textId="77777777" w:rsidR="00DB1564" w:rsidRPr="00F36414" w:rsidRDefault="00DB1564" w:rsidP="00C20F00">
      <w:pPr>
        <w:pStyle w:val="Bullet"/>
        <w:numPr>
          <w:ilvl w:val="0"/>
          <w:numId w:val="20"/>
        </w:numPr>
        <w:ind w:left="425" w:hanging="425"/>
      </w:pPr>
      <w:r w:rsidRPr="00F36414">
        <w:t>Home oxygen</w:t>
      </w:r>
      <w:r>
        <w:t>.</w:t>
      </w:r>
    </w:p>
    <w:p w14:paraId="2230E81E" w14:textId="77777777" w:rsidR="00DB1564" w:rsidRPr="00F36414" w:rsidRDefault="00DB1564" w:rsidP="00C20F00">
      <w:pPr>
        <w:pStyle w:val="Bullet"/>
        <w:numPr>
          <w:ilvl w:val="0"/>
          <w:numId w:val="20"/>
        </w:numPr>
        <w:ind w:left="425" w:hanging="425"/>
      </w:pPr>
      <w:r w:rsidRPr="00F36414">
        <w:t>Exclusive nasogastric feeding</w:t>
      </w:r>
      <w:r>
        <w:t>.</w:t>
      </w:r>
    </w:p>
    <w:p w14:paraId="494585B0" w14:textId="77777777" w:rsidR="00DB1564" w:rsidRPr="00F36414" w:rsidRDefault="00DB1564" w:rsidP="00C20F00">
      <w:pPr>
        <w:pStyle w:val="Bullet"/>
        <w:numPr>
          <w:ilvl w:val="0"/>
          <w:numId w:val="20"/>
        </w:numPr>
        <w:ind w:left="425" w:hanging="425"/>
      </w:pPr>
      <w:r w:rsidRPr="00F36414">
        <w:t>Infants with ongoing gastrointestinal issues – stoma</w:t>
      </w:r>
      <w:r>
        <w:t>.</w:t>
      </w:r>
    </w:p>
    <w:p w14:paraId="2832FB53" w14:textId="67936F3D" w:rsidR="00B61691" w:rsidRDefault="00DB1564" w:rsidP="00C20F00">
      <w:pPr>
        <w:pStyle w:val="Bullet"/>
        <w:numPr>
          <w:ilvl w:val="0"/>
          <w:numId w:val="20"/>
        </w:numPr>
        <w:ind w:left="425" w:hanging="425"/>
      </w:pPr>
      <w:r w:rsidRPr="00F36414">
        <w:t>Infants with ongoing cardiac failure requiring restricted fluids</w:t>
      </w:r>
      <w:r w:rsidR="008D5B34">
        <w:t>.</w:t>
      </w:r>
    </w:p>
    <w:p w14:paraId="0C3917F8" w14:textId="3F35C46F" w:rsidR="00A55107" w:rsidRPr="00BB22E7" w:rsidRDefault="0064704F" w:rsidP="005D0BE7">
      <w:pPr>
        <w:pStyle w:val="Heading3"/>
      </w:pPr>
      <w:bookmarkStart w:id="37" w:name="_1.15_-_Discharge"/>
      <w:bookmarkStart w:id="38" w:name="_Toc174601160"/>
      <w:bookmarkStart w:id="39" w:name="_Toc199497070"/>
      <w:bookmarkEnd w:id="37"/>
      <w:r w:rsidRPr="00BB22E7">
        <w:t>1.15 Discharge</w:t>
      </w:r>
      <w:r w:rsidR="00A55107" w:rsidRPr="00BB22E7">
        <w:t xml:space="preserve"> Fortification</w:t>
      </w:r>
      <w:bookmarkEnd w:id="38"/>
      <w:bookmarkEnd w:id="39"/>
    </w:p>
    <w:p w14:paraId="096667D6" w14:textId="77777777" w:rsidR="00DB1564" w:rsidRDefault="00DB1564" w:rsidP="00C20F00">
      <w:pPr>
        <w:pStyle w:val="Bullet"/>
        <w:numPr>
          <w:ilvl w:val="0"/>
          <w:numId w:val="21"/>
        </w:numPr>
        <w:ind w:left="425" w:hanging="425"/>
      </w:pPr>
      <w:r>
        <w:t>Infants with postnatal growth failure at the time of discharge, or those with increased nutritional requirements (e.g., CLD, Cardiac failure) may need ongoing fortification prior to being</w:t>
      </w:r>
      <w:r w:rsidRPr="00F63B86">
        <w:t xml:space="preserve"> discharge</w:t>
      </w:r>
      <w:r>
        <w:t>d</w:t>
      </w:r>
      <w:r w:rsidRPr="00F63B86">
        <w:t xml:space="preserve"> home to support "catch-up growth."</w:t>
      </w:r>
      <w:r>
        <w:t xml:space="preserve"> </w:t>
      </w:r>
    </w:p>
    <w:p w14:paraId="38AA3504" w14:textId="77777777" w:rsidR="00DB1564" w:rsidRDefault="00DB1564" w:rsidP="00C20F00">
      <w:pPr>
        <w:pStyle w:val="Bullet"/>
        <w:numPr>
          <w:ilvl w:val="0"/>
          <w:numId w:val="21"/>
        </w:numPr>
        <w:ind w:left="425" w:hanging="425"/>
      </w:pPr>
      <w:r>
        <w:t>Fortification could be achieved by concentrating term formula for those on formula or by adding formula powder, polyjoule or MCT oil to MOM for those on breast milk</w:t>
      </w:r>
    </w:p>
    <w:p w14:paraId="74C09DBC" w14:textId="77777777" w:rsidR="00DB1564" w:rsidRDefault="00DB1564" w:rsidP="00C20F00">
      <w:pPr>
        <w:pStyle w:val="Bullet"/>
        <w:numPr>
          <w:ilvl w:val="0"/>
          <w:numId w:val="21"/>
        </w:numPr>
        <w:ind w:left="425" w:hanging="425"/>
      </w:pPr>
      <w:r>
        <w:t xml:space="preserve">The dietician should always be consulted </w:t>
      </w:r>
      <w:r w:rsidRPr="00DC2E25">
        <w:t>to</w:t>
      </w:r>
      <w:r>
        <w:t xml:space="preserve"> provide a recipe </w:t>
      </w:r>
      <w:r w:rsidRPr="00DC2E25">
        <w:t>prior to discharge</w:t>
      </w:r>
      <w:r>
        <w:t>.</w:t>
      </w:r>
    </w:p>
    <w:p w14:paraId="1C7039D9" w14:textId="4616919B" w:rsidR="00DB1564" w:rsidRDefault="00DB1564" w:rsidP="00C20F00">
      <w:pPr>
        <w:pStyle w:val="Bullet"/>
        <w:numPr>
          <w:ilvl w:val="1"/>
          <w:numId w:val="21"/>
        </w:numPr>
        <w:ind w:left="714" w:hanging="357"/>
      </w:pPr>
      <w:r>
        <w:t>These infants will need ongoing follow-up in the nutrition clinic post discharge for monitoring growth and weaning of fortification.</w:t>
      </w:r>
    </w:p>
    <w:p w14:paraId="391B877B" w14:textId="0FE8D4FC" w:rsidR="00481A6C" w:rsidRDefault="00481A6C" w:rsidP="005C5F49">
      <w:pPr>
        <w:pStyle w:val="BodyCopy"/>
        <w:spacing w:before="240"/>
      </w:pPr>
      <w:hyperlink w:anchor="_top" w:history="1">
        <w:r w:rsidRPr="00481A6C">
          <w:rPr>
            <w:rStyle w:val="Hyperlink"/>
            <w:iCs w:val="0"/>
          </w:rPr>
          <w:t>Back to Contents</w:t>
        </w:r>
      </w:hyperlink>
    </w:p>
    <w:p w14:paraId="6A5F1F3D" w14:textId="77777777" w:rsidR="00807E9D" w:rsidRDefault="00807E9D" w:rsidP="005C5F49">
      <w:pPr>
        <w:pStyle w:val="BodyCopy"/>
        <w:spacing w:before="240"/>
      </w:pPr>
    </w:p>
    <w:p w14:paraId="79FB7DD7" w14:textId="77777777" w:rsidR="00807E9D" w:rsidRDefault="00807E9D" w:rsidP="005C5F49">
      <w:pPr>
        <w:pStyle w:val="BodyCopy"/>
        <w:spacing w:before="240"/>
      </w:pPr>
    </w:p>
    <w:p w14:paraId="08A9DFA8" w14:textId="77777777" w:rsidR="00807E9D" w:rsidRDefault="00807E9D" w:rsidP="005C5F49">
      <w:pPr>
        <w:pStyle w:val="BodyCopy"/>
        <w:spacing w:before="240"/>
      </w:pPr>
    </w:p>
    <w:p w14:paraId="7AC579B2" w14:textId="77777777" w:rsidR="00807E9D" w:rsidRDefault="00807E9D" w:rsidP="005C5F49">
      <w:pPr>
        <w:pStyle w:val="BodyCopy"/>
        <w:spacing w:before="240"/>
      </w:pPr>
    </w:p>
    <w:p w14:paraId="6B27B8AD" w14:textId="77777777" w:rsidR="00807E9D" w:rsidRDefault="00807E9D" w:rsidP="005C5F49">
      <w:pPr>
        <w:pStyle w:val="BodyCopy"/>
        <w:spacing w:before="240"/>
      </w:pPr>
    </w:p>
    <w:p w14:paraId="542B3421" w14:textId="77777777" w:rsidR="00807E9D" w:rsidRDefault="00807E9D" w:rsidP="005C5F49">
      <w:pPr>
        <w:pStyle w:val="BodyCopy"/>
        <w:spacing w:before="240"/>
      </w:pPr>
    </w:p>
    <w:p w14:paraId="1A7F710D" w14:textId="77777777" w:rsidR="00807E9D" w:rsidRDefault="00807E9D" w:rsidP="005C5F49">
      <w:pPr>
        <w:pStyle w:val="BodyCopy"/>
        <w:spacing w:before="240"/>
      </w:pPr>
    </w:p>
    <w:p w14:paraId="4A899787" w14:textId="3D45279A" w:rsidR="00BB22E7" w:rsidRDefault="0078367D" w:rsidP="00BB22E7">
      <w:pPr>
        <w:pStyle w:val="Heading2"/>
      </w:pPr>
      <w:bookmarkStart w:id="40" w:name="_Section_2_–"/>
      <w:bookmarkStart w:id="41" w:name="_Toc199497071"/>
      <w:bookmarkEnd w:id="40"/>
      <w:r>
        <w:lastRenderedPageBreak/>
        <w:t xml:space="preserve">Section 2 </w:t>
      </w:r>
      <w:r w:rsidR="00BB22E7">
        <w:t>Pasteurised Donor Human Milk</w:t>
      </w:r>
      <w:bookmarkEnd w:id="41"/>
    </w:p>
    <w:p w14:paraId="56DB5DEC" w14:textId="77777777" w:rsidR="00DB1564" w:rsidRDefault="00DB1564" w:rsidP="00DB1564">
      <w:pPr>
        <w:pStyle w:val="BodyCopy"/>
      </w:pPr>
      <w:r w:rsidRPr="1A6045E7">
        <w:t>N</w:t>
      </w:r>
      <w:r>
        <w:t>ecrotising Enterocolitis (N</w:t>
      </w:r>
      <w:r w:rsidRPr="1A6045E7">
        <w:t>EC</w:t>
      </w:r>
      <w:r>
        <w:t>)</w:t>
      </w:r>
      <w:r w:rsidRPr="1A6045E7">
        <w:t xml:space="preserve"> is one of the most common gastrointestinal emergencies in infants. Risk factors being preterm birth (particularly </w:t>
      </w:r>
      <w:r>
        <w:t xml:space="preserve">less than </w:t>
      </w:r>
      <w:r w:rsidRPr="1A6045E7">
        <w:t xml:space="preserve">32 weeks </w:t>
      </w:r>
      <w:r>
        <w:t>CGA</w:t>
      </w:r>
      <w:r w:rsidRPr="1A6045E7">
        <w:t>) and very low birth weight (</w:t>
      </w:r>
      <w:r>
        <w:t xml:space="preserve">less than </w:t>
      </w:r>
      <w:r w:rsidRPr="1A6045E7">
        <w:t xml:space="preserve">1500g). NEC has considerable morbidity and mortality implications. </w:t>
      </w:r>
    </w:p>
    <w:p w14:paraId="41FF29A0" w14:textId="77777777" w:rsidR="008A6041" w:rsidRDefault="008A6041" w:rsidP="008A6041">
      <w:pPr>
        <w:pStyle w:val="BodyCopy"/>
        <w:pBdr>
          <w:top w:val="single" w:sz="4" w:space="1" w:color="auto"/>
          <w:left w:val="single" w:sz="4" w:space="4" w:color="auto"/>
          <w:bottom w:val="single" w:sz="4" w:space="1" w:color="auto"/>
          <w:right w:val="single" w:sz="4" w:space="4" w:color="auto"/>
        </w:pBdr>
      </w:pPr>
      <w:r w:rsidRPr="008A6041">
        <w:rPr>
          <w:b/>
        </w:rPr>
        <w:t>Alert:</w:t>
      </w:r>
      <w:r w:rsidRPr="008A6041">
        <w:t xml:space="preserve"> </w:t>
      </w:r>
    </w:p>
    <w:p w14:paraId="3369813C" w14:textId="2E710CA7" w:rsidR="008A6041" w:rsidRPr="008A6041" w:rsidRDefault="008A6041" w:rsidP="008A6041">
      <w:pPr>
        <w:pStyle w:val="BodyCopy"/>
        <w:pBdr>
          <w:top w:val="single" w:sz="4" w:space="1" w:color="auto"/>
          <w:left w:val="single" w:sz="4" w:space="4" w:color="auto"/>
          <w:bottom w:val="single" w:sz="4" w:space="1" w:color="auto"/>
          <w:right w:val="single" w:sz="4" w:space="4" w:color="auto"/>
        </w:pBdr>
      </w:pPr>
      <w:r w:rsidRPr="008A6041">
        <w:t>MOM takes precedence over PDHM. Encouragement and support for mothers to express and increase milk supply should be the primary focus. This can be achieved by referring mother to Lactation Consultant and/or delaying consent for PDHM for 12. to 24 hours.</w:t>
      </w:r>
    </w:p>
    <w:p w14:paraId="2D345363" w14:textId="77777777" w:rsidR="00DB1564" w:rsidRDefault="00DB1564" w:rsidP="00DB1564">
      <w:pPr>
        <w:pStyle w:val="BodyCopy"/>
      </w:pPr>
      <w:r w:rsidRPr="65698D34">
        <w:t xml:space="preserve">Human milk feeding has been shown to decrease the risk of NEC, and the </w:t>
      </w:r>
      <w:r>
        <w:t>WHO</w:t>
      </w:r>
      <w:r w:rsidRPr="65698D34">
        <w:t xml:space="preserve"> recommends that low birth weight infants, who cannot be fed their MOM should be fed donor human milk.</w:t>
      </w:r>
    </w:p>
    <w:p w14:paraId="4BC649C0" w14:textId="4F442EC0" w:rsidR="00BB22E7" w:rsidRDefault="00DB1564" w:rsidP="00DB1564">
      <w:pPr>
        <w:pStyle w:val="BodyCopy"/>
      </w:pPr>
      <w:r>
        <w:t xml:space="preserve">This guideline outlines best practice for the safe preparation in the Nutrition Milk Room (found in the Centenary Hospital for Women and Children) and handling of Pasteurised Donor Human Milk (PDHM) by staff within the Department of Neonatology. It also </w:t>
      </w:r>
      <w:r w:rsidRPr="50194592">
        <w:t xml:space="preserve">is to be used in </w:t>
      </w:r>
      <w:r w:rsidR="00B61691">
        <w:t>c</w:t>
      </w:r>
      <w:r w:rsidRPr="50194592">
        <w:t xml:space="preserve">onjunction with the </w:t>
      </w:r>
      <w:hyperlink r:id="rId19" w:history="1">
        <w:r w:rsidRPr="003B1265">
          <w:rPr>
            <w:rStyle w:val="Hyperlink"/>
            <w:rFonts w:asciiTheme="minorHAnsi" w:hAnsiTheme="minorHAnsi" w:cstheme="minorBidi"/>
          </w:rPr>
          <w:t>Pasteurised Donor Human Milk (PDHM) for Vulnerable Infants - NSW Health and Australian Red Cross Blood Service Partnership Service Protocol</w:t>
        </w:r>
      </w:hyperlink>
      <w:r>
        <w:t>.</w:t>
      </w:r>
    </w:p>
    <w:p w14:paraId="0C256D16" w14:textId="77777777" w:rsidR="00C20F00" w:rsidRPr="00C20F00" w:rsidRDefault="00C20F00" w:rsidP="00C20F00">
      <w:pPr>
        <w:pStyle w:val="BodyCopy"/>
        <w:pBdr>
          <w:top w:val="single" w:sz="4" w:space="1" w:color="auto"/>
          <w:left w:val="single" w:sz="4" w:space="4" w:color="auto"/>
          <w:bottom w:val="single" w:sz="4" w:space="1" w:color="auto"/>
          <w:right w:val="single" w:sz="4" w:space="4" w:color="auto"/>
        </w:pBdr>
        <w:rPr>
          <w:b/>
        </w:rPr>
      </w:pPr>
      <w:r w:rsidRPr="00C20F00">
        <w:rPr>
          <w:b/>
        </w:rPr>
        <w:t>Note:</w:t>
      </w:r>
    </w:p>
    <w:p w14:paraId="12D6AE5A" w14:textId="5B7E8BE0" w:rsidR="00C20F00" w:rsidRDefault="00C20F00" w:rsidP="00A7734B">
      <w:pPr>
        <w:pStyle w:val="Bullet"/>
        <w:numPr>
          <w:ilvl w:val="0"/>
          <w:numId w:val="0"/>
        </w:numPr>
        <w:pBdr>
          <w:top w:val="single" w:sz="4" w:space="1" w:color="auto"/>
          <w:left w:val="single" w:sz="4" w:space="4" w:color="auto"/>
          <w:bottom w:val="single" w:sz="4" w:space="1" w:color="auto"/>
          <w:right w:val="single" w:sz="4" w:space="4" w:color="auto"/>
        </w:pBdr>
        <w:ind w:left="360" w:hanging="360"/>
      </w:pPr>
      <w:r w:rsidRPr="00C20F00">
        <w:t xml:space="preserve">For mothers/birth parent who want to donate their excess milk, EBM can be donated to Mothers’ Milk Bank Charity. Process for donation can be found on the Mothers Milk Bank Charity website. </w:t>
      </w:r>
    </w:p>
    <w:p w14:paraId="606B11BD" w14:textId="77777777" w:rsidR="00A7734B" w:rsidRPr="00C20F00" w:rsidRDefault="00A7734B" w:rsidP="00A7734B">
      <w:pPr>
        <w:pStyle w:val="Bullet"/>
        <w:numPr>
          <w:ilvl w:val="0"/>
          <w:numId w:val="0"/>
        </w:numPr>
        <w:pBdr>
          <w:top w:val="single" w:sz="4" w:space="1" w:color="auto"/>
          <w:left w:val="single" w:sz="4" w:space="4" w:color="auto"/>
          <w:bottom w:val="single" w:sz="4" w:space="1" w:color="auto"/>
          <w:right w:val="single" w:sz="4" w:space="4" w:color="auto"/>
        </w:pBdr>
        <w:ind w:left="360" w:hanging="360"/>
      </w:pPr>
    </w:p>
    <w:p w14:paraId="50EB5F80" w14:textId="57F34476" w:rsidR="00C20F00" w:rsidRPr="00C20F00" w:rsidRDefault="00C20F00" w:rsidP="00A7734B">
      <w:pPr>
        <w:pStyle w:val="Bullet"/>
        <w:numPr>
          <w:ilvl w:val="0"/>
          <w:numId w:val="0"/>
        </w:numPr>
        <w:pBdr>
          <w:top w:val="single" w:sz="4" w:space="1" w:color="auto"/>
          <w:left w:val="single" w:sz="4" w:space="4" w:color="auto"/>
          <w:bottom w:val="single" w:sz="4" w:space="1" w:color="auto"/>
          <w:right w:val="single" w:sz="4" w:space="4" w:color="auto"/>
        </w:pBdr>
        <w:ind w:left="360" w:hanging="360"/>
      </w:pPr>
      <w:r w:rsidRPr="00C20F00">
        <w:t xml:space="preserve">If PDHM supply issues occur, the Nutrition Department and Department of Neonatology will be informed, and alternative supply/processes will be decided. </w:t>
      </w:r>
    </w:p>
    <w:p w14:paraId="2AD500CD" w14:textId="6787EAD0" w:rsidR="00BB22E7" w:rsidRPr="00BB22E7" w:rsidRDefault="00BB22E7" w:rsidP="005D0BE7">
      <w:pPr>
        <w:pStyle w:val="Heading3"/>
      </w:pPr>
      <w:bookmarkStart w:id="42" w:name="_Toc174601162"/>
      <w:bookmarkStart w:id="43" w:name="_Toc199497072"/>
      <w:r w:rsidRPr="00BB22E7">
        <w:t>2.1 Eligibility &amp; Cessation Criteria for PDHM</w:t>
      </w:r>
      <w:bookmarkEnd w:id="42"/>
      <w:bookmarkEnd w:id="43"/>
    </w:p>
    <w:p w14:paraId="488C7B3C" w14:textId="0720F7CC" w:rsidR="00BB22E7" w:rsidRPr="00085BE5" w:rsidRDefault="00BB22E7" w:rsidP="00BB22E7">
      <w:pPr>
        <w:pStyle w:val="Heading6"/>
      </w:pPr>
      <w:r w:rsidRPr="00085BE5">
        <w:t>Eligibility Criteria</w:t>
      </w:r>
    </w:p>
    <w:p w14:paraId="44CFA116" w14:textId="77777777" w:rsidR="00DB1564" w:rsidRDefault="00DB1564" w:rsidP="00C20F00">
      <w:pPr>
        <w:pStyle w:val="Bullet"/>
        <w:numPr>
          <w:ilvl w:val="0"/>
          <w:numId w:val="22"/>
        </w:numPr>
        <w:ind w:left="425" w:hanging="425"/>
      </w:pPr>
      <w:r>
        <w:t>Infants less than 32 weeks gestation.</w:t>
      </w:r>
    </w:p>
    <w:p w14:paraId="6C639DE2" w14:textId="77777777" w:rsidR="00DB1564" w:rsidRDefault="00DB1564" w:rsidP="00C20F00">
      <w:pPr>
        <w:pStyle w:val="Bullet"/>
        <w:numPr>
          <w:ilvl w:val="0"/>
          <w:numId w:val="22"/>
        </w:numPr>
        <w:ind w:left="425" w:hanging="425"/>
      </w:pPr>
      <w:r>
        <w:t>Infants greater than 32 weeks gestation and less than 1500g.</w:t>
      </w:r>
    </w:p>
    <w:p w14:paraId="44ACDF96" w14:textId="77777777" w:rsidR="00DB1564" w:rsidRDefault="00DB1564" w:rsidP="00C20F00">
      <w:pPr>
        <w:pStyle w:val="Bullet"/>
        <w:numPr>
          <w:ilvl w:val="0"/>
          <w:numId w:val="22"/>
        </w:numPr>
        <w:ind w:left="425" w:hanging="425"/>
      </w:pPr>
      <w:r>
        <w:t>Infants treated and recovering from NEC.</w:t>
      </w:r>
    </w:p>
    <w:p w14:paraId="370A5A54" w14:textId="77777777" w:rsidR="00DB1564" w:rsidRDefault="00DB1564" w:rsidP="00C20F00">
      <w:pPr>
        <w:pStyle w:val="Bullet"/>
        <w:numPr>
          <w:ilvl w:val="0"/>
          <w:numId w:val="22"/>
        </w:numPr>
        <w:ind w:left="425" w:hanging="425"/>
      </w:pPr>
      <w:r>
        <w:t xml:space="preserve">Feed intolerance to </w:t>
      </w:r>
      <w:bookmarkStart w:id="44" w:name="_Hlk188341735"/>
      <w:r>
        <w:t>PTF</w:t>
      </w:r>
      <w:bookmarkEnd w:id="44"/>
      <w:r>
        <w:t>.</w:t>
      </w:r>
    </w:p>
    <w:p w14:paraId="23382461" w14:textId="77777777" w:rsidR="00DB1564" w:rsidRDefault="00DB1564" w:rsidP="00C20F00">
      <w:pPr>
        <w:pStyle w:val="Bullet"/>
        <w:numPr>
          <w:ilvl w:val="0"/>
          <w:numId w:val="22"/>
        </w:numPr>
        <w:ind w:left="425" w:hanging="425"/>
      </w:pPr>
      <w:r>
        <w:t>Medically indicated as per Neonatologist.</w:t>
      </w:r>
    </w:p>
    <w:p w14:paraId="2283D24A" w14:textId="2D74A350" w:rsidR="00BB22E7" w:rsidRPr="00085BE5" w:rsidRDefault="00DB1564" w:rsidP="00C20F00">
      <w:pPr>
        <w:pStyle w:val="Bullet"/>
        <w:numPr>
          <w:ilvl w:val="0"/>
          <w:numId w:val="22"/>
        </w:numPr>
        <w:ind w:left="425" w:hanging="425"/>
      </w:pPr>
      <w:r>
        <w:t>Infants transferred with PDHM from other hospitals.</w:t>
      </w:r>
    </w:p>
    <w:p w14:paraId="6D2E815D" w14:textId="77777777" w:rsidR="00FD4950" w:rsidRDefault="00FD4950" w:rsidP="00BB22E7">
      <w:pPr>
        <w:pStyle w:val="Heading6"/>
      </w:pPr>
    </w:p>
    <w:p w14:paraId="6B3E1F35" w14:textId="51FCE01C" w:rsidR="00BB22E7" w:rsidRPr="00085BE5" w:rsidRDefault="00BB22E7" w:rsidP="00BB22E7">
      <w:pPr>
        <w:pStyle w:val="Heading6"/>
      </w:pPr>
      <w:r w:rsidRPr="00085BE5">
        <w:t>Cessation of PDHM</w:t>
      </w:r>
    </w:p>
    <w:p w14:paraId="139F4C1E" w14:textId="77777777" w:rsidR="00DB1564" w:rsidRDefault="00DB1564" w:rsidP="00DB1564">
      <w:pPr>
        <w:pStyle w:val="BodyCopy"/>
      </w:pPr>
      <w:bookmarkStart w:id="45" w:name="_2.2_-_Consent"/>
      <w:bookmarkStart w:id="46" w:name="_Toc174601163"/>
      <w:bookmarkEnd w:id="45"/>
      <w:r>
        <w:t>When infants reach 34 weeks CGA, PDHM will be ceased unless clinically indicated.</w:t>
      </w:r>
    </w:p>
    <w:p w14:paraId="7DA7B337" w14:textId="012B7F7A" w:rsidR="00BB22E7" w:rsidRPr="00BB22E7" w:rsidRDefault="00BB22E7" w:rsidP="005D0BE7">
      <w:pPr>
        <w:pStyle w:val="Heading3"/>
      </w:pPr>
      <w:bookmarkStart w:id="47" w:name="_Toc199497073"/>
      <w:r w:rsidRPr="00BB22E7">
        <w:t>2.2 Consent and Medical Prescription Procedure</w:t>
      </w:r>
      <w:bookmarkEnd w:id="46"/>
      <w:bookmarkEnd w:id="47"/>
    </w:p>
    <w:p w14:paraId="25934E07" w14:textId="1C65AB99" w:rsidR="00BB22E7" w:rsidRPr="001B5283" w:rsidRDefault="00BB22E7" w:rsidP="00BB22E7">
      <w:pPr>
        <w:pStyle w:val="Heading6"/>
      </w:pPr>
      <w:r w:rsidRPr="001B5283">
        <w:t>Equipment</w:t>
      </w:r>
    </w:p>
    <w:p w14:paraId="1F251E90" w14:textId="77777777" w:rsidR="00BB22E7" w:rsidRPr="00605159" w:rsidRDefault="00BB22E7" w:rsidP="0071700E">
      <w:pPr>
        <w:pStyle w:val="Bullet"/>
        <w:ind w:left="425" w:hanging="425"/>
      </w:pPr>
      <w:r>
        <w:t>PDHM</w:t>
      </w:r>
    </w:p>
    <w:p w14:paraId="6E1240BE" w14:textId="77777777" w:rsidR="00BB22E7" w:rsidRPr="00605159" w:rsidRDefault="00BB22E7" w:rsidP="0071700E">
      <w:pPr>
        <w:pStyle w:val="Bullet"/>
        <w:ind w:left="425" w:hanging="425"/>
      </w:pPr>
      <w:r>
        <w:t>PDHM Distribution Record (Nutrition Room)</w:t>
      </w:r>
    </w:p>
    <w:p w14:paraId="4D4AAF56" w14:textId="30AE6CE3" w:rsidR="00BB22E7" w:rsidRDefault="00BB22E7" w:rsidP="0071700E">
      <w:pPr>
        <w:pStyle w:val="Bullet"/>
        <w:ind w:left="425" w:hanging="425"/>
      </w:pPr>
      <w:r w:rsidRPr="00BB22E7">
        <w:t>CHS Informed Consent Form</w:t>
      </w:r>
    </w:p>
    <w:p w14:paraId="23D33BF3" w14:textId="2C25BBE8" w:rsidR="00586A60" w:rsidRPr="00586A60" w:rsidRDefault="00BB22E7" w:rsidP="0071700E">
      <w:pPr>
        <w:pStyle w:val="Bullet"/>
        <w:ind w:left="425" w:hanging="425"/>
        <w:rPr>
          <w:rStyle w:val="CommentReference"/>
          <w:rFonts w:eastAsiaTheme="majorEastAsia" w:cstheme="majorBidi"/>
          <w:b/>
          <w:bCs/>
          <w:sz w:val="24"/>
          <w:szCs w:val="24"/>
        </w:rPr>
      </w:pPr>
      <w:r>
        <w:t>Fluid Order</w:t>
      </w:r>
      <w:r w:rsidR="00FD4950">
        <w:t>.</w:t>
      </w:r>
    </w:p>
    <w:p w14:paraId="6449179F" w14:textId="77777777" w:rsidR="00586A60" w:rsidRDefault="00586A60" w:rsidP="00586A60">
      <w:pPr>
        <w:pStyle w:val="Bullet"/>
        <w:numPr>
          <w:ilvl w:val="0"/>
          <w:numId w:val="0"/>
        </w:numPr>
        <w:rPr>
          <w:rStyle w:val="CommentReference"/>
          <w:rFonts w:eastAsia="Calibri"/>
        </w:rPr>
      </w:pPr>
    </w:p>
    <w:p w14:paraId="1779208C" w14:textId="05889858" w:rsidR="00BB22E7" w:rsidRPr="00605159" w:rsidRDefault="00BB22E7" w:rsidP="00586A60">
      <w:pPr>
        <w:pStyle w:val="Heading6"/>
      </w:pPr>
      <w:r w:rsidRPr="064061D1">
        <w:t xml:space="preserve">Procedure </w:t>
      </w:r>
    </w:p>
    <w:p w14:paraId="3ADC4C18" w14:textId="77777777" w:rsidR="00DB1564" w:rsidRDefault="00DB1564" w:rsidP="00B61691">
      <w:pPr>
        <w:pStyle w:val="Numberedlist"/>
        <w:numPr>
          <w:ilvl w:val="0"/>
          <w:numId w:val="10"/>
        </w:numPr>
      </w:pPr>
      <w:r w:rsidRPr="1A6045E7">
        <w:t>Medical staff or a Neonatal International Board-Certified Lactation Consultant (IBCLC) must obtain signed written consent from the parent/guardian for infant to receive PDHM using the Informed Consent form</w:t>
      </w:r>
      <w:r>
        <w:t xml:space="preserve"> </w:t>
      </w:r>
      <w:r w:rsidRPr="00351BA1">
        <w:t>(Form No. 15270)</w:t>
      </w:r>
      <w:r>
        <w:t xml:space="preserve"> </w:t>
      </w:r>
      <w:r w:rsidRPr="1A6045E7">
        <w:t xml:space="preserve">. </w:t>
      </w:r>
    </w:p>
    <w:p w14:paraId="305FFE86" w14:textId="77777777" w:rsidR="00DB1564" w:rsidRDefault="00DB1564" w:rsidP="0071700E">
      <w:pPr>
        <w:pStyle w:val="Numberedlist"/>
        <w:numPr>
          <w:ilvl w:val="1"/>
          <w:numId w:val="5"/>
        </w:numPr>
        <w:ind w:left="714" w:hanging="357"/>
      </w:pPr>
      <w:r>
        <w:t>Written consent must be obtained before PDHM can be ordered/prescribed.</w:t>
      </w:r>
    </w:p>
    <w:p w14:paraId="6DB4314B" w14:textId="77777777" w:rsidR="00DB1564" w:rsidRDefault="00DB1564" w:rsidP="0071700E">
      <w:pPr>
        <w:pStyle w:val="Numberedlist"/>
        <w:numPr>
          <w:ilvl w:val="1"/>
          <w:numId w:val="5"/>
        </w:numPr>
        <w:ind w:left="714" w:hanging="357"/>
      </w:pPr>
      <w:r w:rsidRPr="00955A0E">
        <w:t xml:space="preserve">The signed consent form must be filed in the infant’s </w:t>
      </w:r>
      <w:r>
        <w:t>clinical</w:t>
      </w:r>
      <w:r w:rsidRPr="00955A0E">
        <w:t xml:space="preserve"> record</w:t>
      </w:r>
      <w:r>
        <w:t xml:space="preserve"> on DHR.</w:t>
      </w:r>
    </w:p>
    <w:p w14:paraId="34D4098D" w14:textId="77777777" w:rsidR="00DB1564" w:rsidRPr="00912468" w:rsidRDefault="00DB1564" w:rsidP="0071700E">
      <w:pPr>
        <w:pStyle w:val="Numberedlist"/>
        <w:numPr>
          <w:ilvl w:val="1"/>
          <w:numId w:val="5"/>
        </w:numPr>
        <w:ind w:left="714" w:hanging="357"/>
      </w:pPr>
      <w:r>
        <w:rPr>
          <w:noProof/>
        </w:rPr>
        <w:t>PDHM</w:t>
      </w:r>
      <w:r w:rsidRPr="064061D1">
        <w:rPr>
          <w:noProof/>
        </w:rPr>
        <w:t xml:space="preserve"> must be ordered by a medical officer</w:t>
      </w:r>
      <w:r>
        <w:rPr>
          <w:noProof/>
        </w:rPr>
        <w:t>.</w:t>
      </w:r>
    </w:p>
    <w:p w14:paraId="457F3113" w14:textId="77777777" w:rsidR="00DB1564" w:rsidRDefault="00DB1564" w:rsidP="0071700E">
      <w:pPr>
        <w:pStyle w:val="Numberedlist"/>
        <w:tabs>
          <w:tab w:val="num" w:pos="360"/>
        </w:tabs>
        <w:rPr>
          <w:noProof/>
        </w:rPr>
      </w:pPr>
      <w:r w:rsidRPr="064061D1">
        <w:rPr>
          <w:noProof/>
        </w:rPr>
        <w:t>Once consent has been obtained</w:t>
      </w:r>
      <w:r>
        <w:rPr>
          <w:noProof/>
        </w:rPr>
        <w:t xml:space="preserve"> and PDHM order completed, Nutrition Room Technician will receive order and dispense milk accordingly.</w:t>
      </w:r>
    </w:p>
    <w:p w14:paraId="36BBB1DC" w14:textId="296B1F89" w:rsidR="00BB22E7" w:rsidRPr="00E45B52" w:rsidRDefault="00DB1564" w:rsidP="0071700E">
      <w:pPr>
        <w:pStyle w:val="Numberedlist"/>
        <w:numPr>
          <w:ilvl w:val="1"/>
          <w:numId w:val="5"/>
        </w:numPr>
        <w:ind w:left="714" w:hanging="357"/>
        <w:rPr>
          <w:noProof/>
        </w:rPr>
      </w:pPr>
      <w:r w:rsidRPr="65698D34">
        <w:rPr>
          <w:noProof/>
        </w:rPr>
        <w:t xml:space="preserve">If the infant has a combination of different enteral milk orders (e.g. MOM and PDHM), </w:t>
      </w:r>
      <w:r>
        <w:rPr>
          <w:noProof/>
        </w:rPr>
        <w:t>MOM should be gi</w:t>
      </w:r>
      <w:r w:rsidRPr="00E45B52">
        <w:rPr>
          <w:noProof/>
        </w:rPr>
        <w:t xml:space="preserve">ven before PDHM. </w:t>
      </w:r>
    </w:p>
    <w:p w14:paraId="62ED90FC" w14:textId="66C4A79E" w:rsidR="006755B2" w:rsidRPr="00E45B52" w:rsidRDefault="00BB22E7" w:rsidP="005D0BE7">
      <w:pPr>
        <w:pStyle w:val="Heading3"/>
      </w:pPr>
      <w:bookmarkStart w:id="48" w:name="_Toc174601164"/>
      <w:bookmarkStart w:id="49" w:name="_Toc199497074"/>
      <w:r w:rsidRPr="00E45B52">
        <w:t>2.3 Supply, Documentation, and Preparation</w:t>
      </w:r>
      <w:bookmarkEnd w:id="48"/>
      <w:bookmarkEnd w:id="49"/>
    </w:p>
    <w:p w14:paraId="2B5303B4" w14:textId="77777777" w:rsidR="00C20F00" w:rsidRPr="00E45B52" w:rsidRDefault="00C20F00" w:rsidP="00C20F00">
      <w:pPr>
        <w:pStyle w:val="BodyCopy"/>
        <w:pBdr>
          <w:top w:val="single" w:sz="4" w:space="1" w:color="auto"/>
          <w:left w:val="single" w:sz="4" w:space="4" w:color="auto"/>
          <w:bottom w:val="single" w:sz="4" w:space="1" w:color="auto"/>
          <w:right w:val="single" w:sz="4" w:space="4" w:color="auto"/>
        </w:pBdr>
        <w:rPr>
          <w:b/>
        </w:rPr>
      </w:pPr>
      <w:r w:rsidRPr="00E45B52">
        <w:rPr>
          <w:b/>
        </w:rPr>
        <w:t>Alert:</w:t>
      </w:r>
    </w:p>
    <w:p w14:paraId="2AC1E74F" w14:textId="77777777" w:rsidR="00C20F00" w:rsidRPr="00E45B52" w:rsidRDefault="00C20F00" w:rsidP="00C20F00">
      <w:pPr>
        <w:pStyle w:val="Bullet"/>
        <w:pBdr>
          <w:top w:val="single" w:sz="4" w:space="1" w:color="auto"/>
          <w:left w:val="single" w:sz="4" w:space="4" w:color="auto"/>
          <w:bottom w:val="single" w:sz="4" w:space="1" w:color="auto"/>
          <w:right w:val="single" w:sz="4" w:space="4" w:color="auto"/>
        </w:pBdr>
        <w:rPr>
          <w:b/>
        </w:rPr>
      </w:pPr>
      <w:r w:rsidRPr="00E45B52">
        <w:t>Breastmilk and fortifier to be checked and co-signed by 2 nurses/nutrition room technicians</w:t>
      </w:r>
    </w:p>
    <w:p w14:paraId="6BD39026" w14:textId="77777777" w:rsidR="00C20F00" w:rsidRPr="00E45B52" w:rsidRDefault="00C20F00" w:rsidP="00C20F00">
      <w:pPr>
        <w:pStyle w:val="Bullet"/>
        <w:pBdr>
          <w:top w:val="single" w:sz="4" w:space="1" w:color="auto"/>
          <w:left w:val="single" w:sz="4" w:space="4" w:color="auto"/>
          <w:bottom w:val="single" w:sz="4" w:space="1" w:color="auto"/>
          <w:right w:val="single" w:sz="4" w:space="4" w:color="auto"/>
        </w:pBdr>
        <w:rPr>
          <w:b/>
        </w:rPr>
      </w:pPr>
      <w:r w:rsidRPr="00E45B52">
        <w:t xml:space="preserve">Handling of breastmilk requires a clean work surface and careful management to reduce risk of contaminating milk  </w:t>
      </w:r>
    </w:p>
    <w:p w14:paraId="2E4DE277" w14:textId="5E6387F9" w:rsidR="00C20F00" w:rsidRPr="00E45B52" w:rsidRDefault="00C20F00" w:rsidP="00C20F00">
      <w:pPr>
        <w:pStyle w:val="Bullet"/>
        <w:pBdr>
          <w:top w:val="single" w:sz="4" w:space="1" w:color="auto"/>
          <w:left w:val="single" w:sz="4" w:space="4" w:color="auto"/>
          <w:bottom w:val="single" w:sz="4" w:space="1" w:color="auto"/>
          <w:right w:val="single" w:sz="4" w:space="4" w:color="auto"/>
        </w:pBdr>
        <w:rPr>
          <w:b/>
        </w:rPr>
      </w:pPr>
      <w:r w:rsidRPr="00E45B52">
        <w:t>Staff to maintain hand hygiene and wear appropriate personal protective equipment when handling breastmilk.</w:t>
      </w:r>
    </w:p>
    <w:p w14:paraId="6319426A" w14:textId="215F51C9" w:rsidR="00BB22E7" w:rsidRPr="00E45B52" w:rsidRDefault="00BB22E7" w:rsidP="00BB22E7">
      <w:pPr>
        <w:pStyle w:val="Heading6"/>
        <w:rPr>
          <w:b/>
        </w:rPr>
      </w:pPr>
      <w:r w:rsidRPr="00E45B52">
        <w:t>Supply</w:t>
      </w:r>
    </w:p>
    <w:p w14:paraId="15217C20" w14:textId="77777777" w:rsidR="00DB1564" w:rsidRDefault="00DB1564" w:rsidP="00DB1564">
      <w:pPr>
        <w:pStyle w:val="BodyCopy"/>
      </w:pPr>
      <w:r w:rsidRPr="00E45B52">
        <w:t>A partnership service with the Austr</w:t>
      </w:r>
      <w:r w:rsidRPr="064061D1">
        <w:t>alian Red</w:t>
      </w:r>
      <w:r>
        <w:t xml:space="preserve"> Cross</w:t>
      </w:r>
      <w:r w:rsidRPr="064061D1">
        <w:t xml:space="preserve"> Blood Service</w:t>
      </w:r>
      <w:r>
        <w:t xml:space="preserve"> (ARCBS)</w:t>
      </w:r>
      <w:r w:rsidRPr="064061D1">
        <w:t xml:space="preserve"> has been developed to provide </w:t>
      </w:r>
      <w:r>
        <w:t>PDHM</w:t>
      </w:r>
      <w:r w:rsidRPr="064061D1">
        <w:t xml:space="preserve"> to infants at high risk of NEC in </w:t>
      </w:r>
      <w:r>
        <w:t>New South Wales (NSW)</w:t>
      </w:r>
      <w:r w:rsidRPr="064061D1">
        <w:t xml:space="preserve"> and A</w:t>
      </w:r>
      <w:r>
        <w:t>ustralian Capital Territory (ACT)</w:t>
      </w:r>
      <w:r w:rsidRPr="064061D1">
        <w:t xml:space="preserve"> when maternal supply is not sufficient to meet the </w:t>
      </w:r>
      <w:r w:rsidRPr="064061D1">
        <w:lastRenderedPageBreak/>
        <w:t xml:space="preserve">nutritional needs of the infant. The use of </w:t>
      </w:r>
      <w:r>
        <w:t>PDHM</w:t>
      </w:r>
      <w:r w:rsidRPr="064061D1">
        <w:t xml:space="preserve"> may be effective in protecting against other high-risk conditions in vulnerable infants, such as late-onset sepsis. </w:t>
      </w:r>
    </w:p>
    <w:p w14:paraId="630B2055" w14:textId="5CAE90CB" w:rsidR="00BB22E7" w:rsidRPr="00DB1564" w:rsidRDefault="00DB1564" w:rsidP="00DB1564">
      <w:pPr>
        <w:pStyle w:val="BodyCopy"/>
      </w:pPr>
      <w:r>
        <w:t>Donor human milk from the</w:t>
      </w:r>
      <w:r>
        <w:rPr>
          <w:i/>
          <w:sz w:val="40"/>
          <w:szCs w:val="40"/>
        </w:rPr>
        <w:t xml:space="preserve"> </w:t>
      </w:r>
      <w:r w:rsidRPr="00C61ACF">
        <w:rPr>
          <w:iCs w:val="0"/>
        </w:rPr>
        <w:t xml:space="preserve">ARCBS </w:t>
      </w:r>
      <w:r>
        <w:t xml:space="preserve">is pasteurised and transported to the Centenary Hospital for Women and Children and is available for eligible infants with insufficient expressed breast milk. </w:t>
      </w:r>
      <w:r w:rsidR="00BB22E7">
        <w:rPr>
          <w:rStyle w:val="eop"/>
          <w:rFonts w:ascii="Calibri" w:hAnsi="Calibri" w:cs="Calibri"/>
        </w:rPr>
        <w:t> </w:t>
      </w:r>
    </w:p>
    <w:p w14:paraId="613F31B5" w14:textId="77777777" w:rsidR="00BB22E7" w:rsidRPr="009C0B51" w:rsidRDefault="00BB22E7" w:rsidP="00BC7329">
      <w:pPr>
        <w:pStyle w:val="Heading6"/>
      </w:pPr>
      <w:r w:rsidRPr="009C0B51">
        <w:t>Documentation, and Preparation</w:t>
      </w:r>
    </w:p>
    <w:p w14:paraId="267A29ED" w14:textId="77777777" w:rsidR="00DB1564" w:rsidRPr="00601DFE" w:rsidRDefault="00DB1564" w:rsidP="00C20F00">
      <w:pPr>
        <w:pStyle w:val="Numberedlist"/>
        <w:numPr>
          <w:ilvl w:val="0"/>
          <w:numId w:val="23"/>
        </w:numPr>
      </w:pPr>
      <w:r>
        <w:rPr>
          <w:noProof/>
        </w:rPr>
        <w:t>Nutrition Room Technician will</w:t>
      </w:r>
      <w:r w:rsidRPr="064061D1">
        <w:rPr>
          <w:noProof/>
        </w:rPr>
        <w:t xml:space="preserve"> monitor any data loggers to ensure the cold chain has been maintained during transport </w:t>
      </w:r>
      <w:r w:rsidRPr="00DB1564">
        <w:rPr>
          <w:rFonts w:eastAsiaTheme="majorEastAsia" w:cstheme="majorBidi"/>
        </w:rPr>
        <w:t xml:space="preserve">for each delivery of PDHM. The </w:t>
      </w:r>
      <w:r w:rsidRPr="064061D1">
        <w:rPr>
          <w:noProof/>
        </w:rPr>
        <w:t>Nutrition</w:t>
      </w:r>
      <w:r>
        <w:t xml:space="preserve"> Room Technician</w:t>
      </w:r>
      <w:r w:rsidRPr="064061D1">
        <w:t xml:space="preserve"> </w:t>
      </w:r>
      <w:r w:rsidRPr="00DB1564">
        <w:rPr>
          <w:rFonts w:eastAsiaTheme="majorEastAsia" w:cstheme="majorBidi"/>
        </w:rPr>
        <w:t>should note the condition of the milk on arrival following transport (hard frozen) and the expiry date.</w:t>
      </w:r>
    </w:p>
    <w:p w14:paraId="37A7251E" w14:textId="77777777" w:rsidR="00DB1564" w:rsidRPr="003904BE" w:rsidRDefault="00DB1564" w:rsidP="0064704F">
      <w:pPr>
        <w:pStyle w:val="Numberedlist"/>
        <w:numPr>
          <w:ilvl w:val="1"/>
          <w:numId w:val="5"/>
        </w:numPr>
        <w:ind w:left="714" w:hanging="357"/>
      </w:pPr>
      <w:r w:rsidRPr="064061D1">
        <w:rPr>
          <w:noProof/>
        </w:rPr>
        <w:t xml:space="preserve">If there is any concern, the </w:t>
      </w:r>
      <w:r>
        <w:rPr>
          <w:noProof/>
        </w:rPr>
        <w:t xml:space="preserve">PDHM </w:t>
      </w:r>
      <w:r w:rsidRPr="064061D1">
        <w:rPr>
          <w:noProof/>
        </w:rPr>
        <w:t>is discarded</w:t>
      </w:r>
      <w:r>
        <w:rPr>
          <w:noProof/>
        </w:rPr>
        <w:t>.</w:t>
      </w:r>
    </w:p>
    <w:p w14:paraId="2247B655" w14:textId="77777777" w:rsidR="00DB1564" w:rsidRDefault="00DB1564" w:rsidP="0064704F">
      <w:pPr>
        <w:pStyle w:val="Numberedlist"/>
        <w:tabs>
          <w:tab w:val="num" w:pos="360"/>
        </w:tabs>
      </w:pPr>
      <w:r w:rsidRPr="00690694">
        <w:t xml:space="preserve">Once the milk has been prepared, the Distribution Record Form from must be completed by the </w:t>
      </w:r>
      <w:r w:rsidRPr="064061D1">
        <w:rPr>
          <w:noProof/>
        </w:rPr>
        <w:t xml:space="preserve">Nutrition </w:t>
      </w:r>
      <w:r>
        <w:t>Room Technician.</w:t>
      </w:r>
    </w:p>
    <w:p w14:paraId="342AAAD4" w14:textId="77777777" w:rsidR="00DB1564" w:rsidRPr="008B06BD" w:rsidRDefault="00DB1564" w:rsidP="0064704F">
      <w:pPr>
        <w:pStyle w:val="Numberedlist"/>
        <w:tabs>
          <w:tab w:val="num" w:pos="360"/>
        </w:tabs>
        <w:rPr>
          <w:noProof/>
        </w:rPr>
      </w:pPr>
      <w:r w:rsidRPr="064061D1">
        <w:rPr>
          <w:rFonts w:eastAsiaTheme="majorEastAsia" w:cstheme="majorBidi"/>
        </w:rPr>
        <w:t>T</w:t>
      </w:r>
      <w:r w:rsidRPr="064061D1">
        <w:rPr>
          <w:noProof/>
        </w:rPr>
        <w:t xml:space="preserve">he required volume of </w:t>
      </w:r>
      <w:r>
        <w:rPr>
          <w:noProof/>
        </w:rPr>
        <w:t>PDHM</w:t>
      </w:r>
      <w:r w:rsidRPr="064061D1">
        <w:rPr>
          <w:noProof/>
        </w:rPr>
        <w:t xml:space="preserve"> will be thawed, allo</w:t>
      </w:r>
      <w:r>
        <w:rPr>
          <w:noProof/>
        </w:rPr>
        <w:t xml:space="preserve">cated, labelled with the patient’s identifiers, </w:t>
      </w:r>
      <w:r w:rsidRPr="064061D1">
        <w:rPr>
          <w:noProof/>
        </w:rPr>
        <w:t xml:space="preserve">and delivered to the individual </w:t>
      </w:r>
      <w:r>
        <w:rPr>
          <w:noProof/>
        </w:rPr>
        <w:t>infant</w:t>
      </w:r>
      <w:r w:rsidRPr="064061D1">
        <w:rPr>
          <w:noProof/>
        </w:rPr>
        <w:t xml:space="preserve"> and placed in</w:t>
      </w:r>
      <w:r>
        <w:rPr>
          <w:noProof/>
        </w:rPr>
        <w:t xml:space="preserve"> the</w:t>
      </w:r>
      <w:r w:rsidRPr="064061D1">
        <w:rPr>
          <w:noProof/>
        </w:rPr>
        <w:t xml:space="preserve"> </w:t>
      </w:r>
      <w:r>
        <w:rPr>
          <w:noProof/>
        </w:rPr>
        <w:t>patient room</w:t>
      </w:r>
      <w:r w:rsidRPr="064061D1">
        <w:rPr>
          <w:noProof/>
        </w:rPr>
        <w:t xml:space="preserve"> refrigerator.</w:t>
      </w:r>
    </w:p>
    <w:p w14:paraId="63E85996" w14:textId="77777777" w:rsidR="00DB1564" w:rsidRDefault="00DB1564" w:rsidP="0064704F">
      <w:pPr>
        <w:pStyle w:val="Numberedlist"/>
        <w:numPr>
          <w:ilvl w:val="1"/>
          <w:numId w:val="5"/>
        </w:numPr>
        <w:ind w:left="714" w:hanging="357"/>
        <w:rPr>
          <w:noProof/>
        </w:rPr>
      </w:pPr>
      <w:r w:rsidRPr="65698D34">
        <w:rPr>
          <w:noProof/>
        </w:rPr>
        <w:t xml:space="preserve">This process is to be </w:t>
      </w:r>
      <w:r>
        <w:rPr>
          <w:noProof/>
        </w:rPr>
        <w:t>checked by</w:t>
      </w:r>
      <w:r w:rsidRPr="65698D34">
        <w:rPr>
          <w:noProof/>
        </w:rPr>
        <w:t xml:space="preserve"> a second Nutrition Room Technician, Allied Health Staff, or nurse</w:t>
      </w:r>
      <w:r>
        <w:rPr>
          <w:noProof/>
        </w:rPr>
        <w:t>.</w:t>
      </w:r>
    </w:p>
    <w:p w14:paraId="63C1AFC6" w14:textId="77777777" w:rsidR="00DB1564" w:rsidRPr="00605159" w:rsidRDefault="00DB1564" w:rsidP="0064704F">
      <w:pPr>
        <w:pStyle w:val="Numberedlist"/>
        <w:numPr>
          <w:ilvl w:val="1"/>
          <w:numId w:val="5"/>
        </w:numPr>
        <w:ind w:left="714" w:hanging="357"/>
        <w:rPr>
          <w:noProof/>
        </w:rPr>
      </w:pPr>
      <w:r>
        <w:t xml:space="preserve">After hours: </w:t>
      </w:r>
      <w:r w:rsidRPr="064061D1">
        <w:t xml:space="preserve">Any </w:t>
      </w:r>
      <w:r>
        <w:t>PDHM</w:t>
      </w:r>
      <w:r w:rsidRPr="064061D1">
        <w:t xml:space="preserve"> taken from the freezer in the above circumstances should be clearly identified with the </w:t>
      </w:r>
      <w:r>
        <w:t>infant</w:t>
      </w:r>
      <w:r w:rsidRPr="064061D1">
        <w:t>’s</w:t>
      </w:r>
      <w:r>
        <w:t xml:space="preserve"> medical record</w:t>
      </w:r>
      <w:r w:rsidRPr="064061D1">
        <w:t xml:space="preserve"> number, the date thawed and the expiry date.</w:t>
      </w:r>
      <w:r w:rsidRPr="004F753F">
        <w:rPr>
          <w:noProof/>
        </w:rPr>
        <w:t xml:space="preserve"> </w:t>
      </w:r>
    </w:p>
    <w:p w14:paraId="1881286E" w14:textId="77777777" w:rsidR="00DB1564" w:rsidRPr="00DD4417" w:rsidRDefault="00DB1564" w:rsidP="0064704F">
      <w:pPr>
        <w:pStyle w:val="Numberedlist"/>
        <w:tabs>
          <w:tab w:val="num" w:pos="360"/>
        </w:tabs>
      </w:pPr>
      <w:r w:rsidRPr="064061D1">
        <w:t xml:space="preserve">Additives including HMF will be added to PDHM by the </w:t>
      </w:r>
      <w:r>
        <w:t>Nutrition</w:t>
      </w:r>
      <w:r w:rsidRPr="064061D1">
        <w:t xml:space="preserve"> </w:t>
      </w:r>
      <w:r>
        <w:t>R</w:t>
      </w:r>
      <w:r w:rsidRPr="064061D1">
        <w:t xml:space="preserve">oom </w:t>
      </w:r>
      <w:r w:rsidRPr="00DD4417">
        <w:t>staff as per</w:t>
      </w:r>
      <w:r>
        <w:t xml:space="preserve"> MO’s order or</w:t>
      </w:r>
      <w:r w:rsidRPr="00DD4417">
        <w:t xml:space="preserve"> </w:t>
      </w:r>
      <w:r>
        <w:t xml:space="preserve">Standard Feeding Schedule </w:t>
      </w:r>
      <w:r w:rsidRPr="00DD4417">
        <w:t>prior to dispensing to the infant.</w:t>
      </w:r>
    </w:p>
    <w:p w14:paraId="2DF8D436" w14:textId="77777777" w:rsidR="00DB1564" w:rsidRDefault="00DB1564" w:rsidP="0064704F">
      <w:pPr>
        <w:pStyle w:val="Numberedlist"/>
        <w:tabs>
          <w:tab w:val="num" w:pos="360"/>
        </w:tabs>
      </w:pPr>
      <w:r w:rsidRPr="1A6045E7">
        <w:rPr>
          <w:noProof/>
        </w:rPr>
        <w:t>Nutrition Room Technician</w:t>
      </w:r>
      <w:r w:rsidRPr="1A6045E7">
        <w:t xml:space="preserve"> will document: </w:t>
      </w:r>
    </w:p>
    <w:p w14:paraId="3DF1E3B3" w14:textId="77777777" w:rsidR="00DB1564" w:rsidRDefault="00DB1564" w:rsidP="0064704F">
      <w:pPr>
        <w:pStyle w:val="Numberedlist"/>
        <w:numPr>
          <w:ilvl w:val="1"/>
          <w:numId w:val="5"/>
        </w:numPr>
        <w:ind w:left="714" w:hanging="357"/>
      </w:pPr>
      <w:r w:rsidRPr="1A6045E7">
        <w:t>Each bottle of PDHM used in the patient</w:t>
      </w:r>
      <w:r>
        <w:t>’s clinical</w:t>
      </w:r>
      <w:r w:rsidRPr="1A6045E7">
        <w:t xml:space="preserve"> record</w:t>
      </w:r>
    </w:p>
    <w:p w14:paraId="03B919D4" w14:textId="77777777" w:rsidR="00DB1564" w:rsidRDefault="00DB1564" w:rsidP="00DB1564">
      <w:pPr>
        <w:pStyle w:val="Numberedlist"/>
        <w:numPr>
          <w:ilvl w:val="2"/>
          <w:numId w:val="5"/>
        </w:numPr>
      </w:pPr>
      <w:r w:rsidRPr="1A6045E7">
        <w:t xml:space="preserve">The batch numbers </w:t>
      </w:r>
    </w:p>
    <w:p w14:paraId="6F209EA6" w14:textId="77777777" w:rsidR="00DB1564" w:rsidRDefault="00DB1564" w:rsidP="00DB1564">
      <w:pPr>
        <w:pStyle w:val="Numberedlist"/>
        <w:numPr>
          <w:ilvl w:val="2"/>
          <w:numId w:val="5"/>
        </w:numPr>
      </w:pPr>
      <w:r w:rsidRPr="1A6045E7">
        <w:t>Date administered</w:t>
      </w:r>
    </w:p>
    <w:p w14:paraId="51732ED4" w14:textId="77777777" w:rsidR="00DB1564" w:rsidRPr="003904BE" w:rsidRDefault="00DB1564" w:rsidP="0064704F">
      <w:pPr>
        <w:pStyle w:val="Numberedlist"/>
        <w:numPr>
          <w:ilvl w:val="1"/>
          <w:numId w:val="5"/>
        </w:numPr>
        <w:ind w:left="714" w:hanging="357"/>
      </w:pPr>
      <w:r w:rsidRPr="1A6045E7">
        <w:t xml:space="preserve">In the data registry: </w:t>
      </w:r>
    </w:p>
    <w:p w14:paraId="4AD863D7" w14:textId="77777777" w:rsidR="00DB1564" w:rsidRPr="003904BE" w:rsidRDefault="00DB1564" w:rsidP="00DB1564">
      <w:pPr>
        <w:pStyle w:val="Numberedlist"/>
        <w:numPr>
          <w:ilvl w:val="2"/>
          <w:numId w:val="5"/>
        </w:numPr>
      </w:pPr>
      <w:r w:rsidRPr="1A6045E7">
        <w:t>The infant name</w:t>
      </w:r>
    </w:p>
    <w:p w14:paraId="6A7B0D5D" w14:textId="77777777" w:rsidR="00DB1564" w:rsidRPr="003904BE" w:rsidRDefault="00DB1564" w:rsidP="00DB1564">
      <w:pPr>
        <w:pStyle w:val="Numberedlist"/>
        <w:numPr>
          <w:ilvl w:val="2"/>
          <w:numId w:val="5"/>
        </w:numPr>
      </w:pPr>
      <w:r w:rsidRPr="1A6045E7">
        <w:t>Date of birth</w:t>
      </w:r>
    </w:p>
    <w:p w14:paraId="0DBC95F6" w14:textId="77777777" w:rsidR="00DB1564" w:rsidRPr="003904BE" w:rsidRDefault="00DB1564" w:rsidP="00DB1564">
      <w:pPr>
        <w:pStyle w:val="Numberedlist"/>
        <w:numPr>
          <w:ilvl w:val="2"/>
          <w:numId w:val="5"/>
        </w:numPr>
      </w:pPr>
      <w:r w:rsidRPr="1A6045E7">
        <w:t>Hospital identifier</w:t>
      </w:r>
    </w:p>
    <w:p w14:paraId="16D1A46F" w14:textId="77777777" w:rsidR="00DB1564" w:rsidRPr="003904BE" w:rsidRDefault="00DB1564" w:rsidP="00DB1564">
      <w:pPr>
        <w:pStyle w:val="Numberedlist"/>
        <w:numPr>
          <w:ilvl w:val="2"/>
          <w:numId w:val="5"/>
        </w:numPr>
      </w:pPr>
      <w:r w:rsidRPr="1A6045E7">
        <w:t>Batch/bottle number</w:t>
      </w:r>
    </w:p>
    <w:p w14:paraId="039DF44B" w14:textId="563F7251" w:rsidR="00DB1564" w:rsidRDefault="00DB1564" w:rsidP="00DB1564">
      <w:pPr>
        <w:pStyle w:val="Numberedlist"/>
        <w:numPr>
          <w:ilvl w:val="2"/>
          <w:numId w:val="5"/>
        </w:numPr>
      </w:pPr>
      <w:r w:rsidRPr="1A6045E7">
        <w:t>Date administered</w:t>
      </w:r>
      <w:r w:rsidR="0011711E">
        <w:t>.</w:t>
      </w:r>
    </w:p>
    <w:p w14:paraId="4911C694" w14:textId="77777777" w:rsidR="0011711E" w:rsidRDefault="0011711E" w:rsidP="0011711E">
      <w:pPr>
        <w:pStyle w:val="Numberedlist"/>
        <w:numPr>
          <w:ilvl w:val="0"/>
          <w:numId w:val="0"/>
        </w:numPr>
        <w:ind w:left="425" w:hanging="425"/>
      </w:pPr>
    </w:p>
    <w:p w14:paraId="51ACBDA9" w14:textId="77777777" w:rsidR="0011711E" w:rsidRDefault="0011711E" w:rsidP="0011711E">
      <w:pPr>
        <w:pStyle w:val="Numberedlist"/>
        <w:numPr>
          <w:ilvl w:val="0"/>
          <w:numId w:val="0"/>
        </w:numPr>
        <w:ind w:left="425" w:hanging="425"/>
      </w:pPr>
    </w:p>
    <w:p w14:paraId="4FB7175A" w14:textId="77777777" w:rsidR="0011711E" w:rsidRDefault="0011711E" w:rsidP="0011711E">
      <w:pPr>
        <w:pStyle w:val="Numberedlist"/>
        <w:numPr>
          <w:ilvl w:val="0"/>
          <w:numId w:val="0"/>
        </w:numPr>
        <w:ind w:left="425" w:hanging="425"/>
      </w:pPr>
    </w:p>
    <w:p w14:paraId="4BC4BD51" w14:textId="77777777" w:rsidR="0011711E" w:rsidRDefault="0011711E" w:rsidP="0011711E">
      <w:pPr>
        <w:pStyle w:val="Numberedlist"/>
        <w:numPr>
          <w:ilvl w:val="0"/>
          <w:numId w:val="0"/>
        </w:numPr>
        <w:ind w:left="425" w:hanging="425"/>
      </w:pPr>
    </w:p>
    <w:p w14:paraId="5DB19D0A" w14:textId="77777777" w:rsidR="00DB1564" w:rsidRDefault="00DB1564" w:rsidP="00C20F00">
      <w:pPr>
        <w:pStyle w:val="Numberedlist"/>
        <w:numPr>
          <w:ilvl w:val="0"/>
          <w:numId w:val="0"/>
        </w:numPr>
        <w:pBdr>
          <w:top w:val="single" w:sz="4" w:space="1" w:color="auto"/>
          <w:left w:val="single" w:sz="4" w:space="1" w:color="auto"/>
          <w:bottom w:val="single" w:sz="4" w:space="1" w:color="auto"/>
          <w:right w:val="single" w:sz="4" w:space="1" w:color="auto"/>
        </w:pBdr>
        <w:ind w:left="425" w:hanging="425"/>
        <w:rPr>
          <w:b/>
          <w:bCs/>
          <w:noProof/>
        </w:rPr>
      </w:pPr>
      <w:r w:rsidRPr="00647015">
        <w:rPr>
          <w:b/>
          <w:bCs/>
          <w:noProof/>
        </w:rPr>
        <w:lastRenderedPageBreak/>
        <w:t>Note:</w:t>
      </w:r>
    </w:p>
    <w:p w14:paraId="01E26087" w14:textId="77777777" w:rsidR="00DB1564" w:rsidRDefault="00DB1564" w:rsidP="00C20F00">
      <w:pPr>
        <w:pStyle w:val="BodyCopy"/>
        <w:pBdr>
          <w:top w:val="single" w:sz="4" w:space="1" w:color="auto"/>
          <w:left w:val="single" w:sz="4" w:space="1" w:color="auto"/>
          <w:bottom w:val="single" w:sz="4" w:space="1" w:color="auto"/>
          <w:right w:val="single" w:sz="4" w:space="1" w:color="auto"/>
        </w:pBdr>
        <w:rPr>
          <w:noProof/>
        </w:rPr>
      </w:pPr>
      <w:r w:rsidRPr="00647015">
        <w:rPr>
          <w:noProof/>
        </w:rPr>
        <w:t>Thawing of frozen PDHM</w:t>
      </w:r>
      <w:r>
        <w:rPr>
          <w:noProof/>
        </w:rPr>
        <w:t>:</w:t>
      </w:r>
      <w:r w:rsidRPr="00647015">
        <w:rPr>
          <w:noProof/>
        </w:rPr>
        <w:t xml:space="preserve"> </w:t>
      </w:r>
    </w:p>
    <w:p w14:paraId="649DD0FD" w14:textId="76E6E9D7" w:rsidR="00DB1564" w:rsidRPr="00647015" w:rsidRDefault="00DB1564" w:rsidP="00C20F00">
      <w:pPr>
        <w:pStyle w:val="Bullet"/>
        <w:pBdr>
          <w:top w:val="single" w:sz="4" w:space="1" w:color="auto"/>
          <w:left w:val="single" w:sz="4" w:space="1" w:color="auto"/>
          <w:bottom w:val="single" w:sz="4" w:space="1" w:color="auto"/>
          <w:right w:val="single" w:sz="4" w:space="1" w:color="auto"/>
        </w:pBdr>
        <w:rPr>
          <w:noProof/>
        </w:rPr>
      </w:pPr>
      <w:r w:rsidRPr="00647015">
        <w:rPr>
          <w:noProof/>
        </w:rPr>
        <w:t>Use the oldest milk first</w:t>
      </w:r>
      <w:r>
        <w:rPr>
          <w:noProof/>
        </w:rPr>
        <w:t>.</w:t>
      </w:r>
    </w:p>
    <w:p w14:paraId="156771BA" w14:textId="595C5D28" w:rsidR="00DB1564" w:rsidRPr="00647015" w:rsidRDefault="00DB1564" w:rsidP="00C20F00">
      <w:pPr>
        <w:pStyle w:val="Bullet"/>
        <w:pBdr>
          <w:top w:val="single" w:sz="4" w:space="1" w:color="auto"/>
          <w:left w:val="single" w:sz="4" w:space="1" w:color="auto"/>
          <w:bottom w:val="single" w:sz="4" w:space="1" w:color="auto"/>
          <w:right w:val="single" w:sz="4" w:space="1" w:color="auto"/>
        </w:pBdr>
        <w:rPr>
          <w:noProof/>
        </w:rPr>
      </w:pPr>
      <w:r w:rsidRPr="00647015">
        <w:rPr>
          <w:noProof/>
        </w:rPr>
        <w:t>Ideally breastmilk should be thawed in the fridge. It can also be placed the container in a pan or jug of warm water</w:t>
      </w:r>
      <w:r>
        <w:rPr>
          <w:noProof/>
        </w:rPr>
        <w:t>.</w:t>
      </w:r>
    </w:p>
    <w:p w14:paraId="3C82A1B2" w14:textId="7CF1CB7F" w:rsidR="00DB1564" w:rsidRPr="00647015" w:rsidRDefault="00DB1564" w:rsidP="00C20F00">
      <w:pPr>
        <w:pStyle w:val="Bullet"/>
        <w:pBdr>
          <w:top w:val="single" w:sz="4" w:space="1" w:color="auto"/>
          <w:left w:val="single" w:sz="4" w:space="1" w:color="auto"/>
          <w:bottom w:val="single" w:sz="4" w:space="1" w:color="auto"/>
          <w:right w:val="single" w:sz="4" w:space="1" w:color="auto"/>
        </w:pBdr>
        <w:rPr>
          <w:noProof/>
        </w:rPr>
      </w:pPr>
      <w:r w:rsidRPr="00647015">
        <w:rPr>
          <w:noProof/>
        </w:rPr>
        <w:t>Thawed milk should be refrigerated, if not used immediately</w:t>
      </w:r>
      <w:r>
        <w:rPr>
          <w:noProof/>
        </w:rPr>
        <w:t>.</w:t>
      </w:r>
    </w:p>
    <w:p w14:paraId="7A81FB2F" w14:textId="46BE5C48" w:rsidR="00DB1564" w:rsidRPr="00647015" w:rsidRDefault="00DB1564" w:rsidP="00C20F00">
      <w:pPr>
        <w:pStyle w:val="Bullet"/>
        <w:pBdr>
          <w:top w:val="single" w:sz="4" w:space="1" w:color="auto"/>
          <w:left w:val="single" w:sz="4" w:space="1" w:color="auto"/>
          <w:bottom w:val="single" w:sz="4" w:space="1" w:color="auto"/>
          <w:right w:val="single" w:sz="4" w:space="1" w:color="auto"/>
        </w:pBdr>
        <w:rPr>
          <w:noProof/>
        </w:rPr>
      </w:pPr>
      <w:r w:rsidRPr="00647015">
        <w:rPr>
          <w:noProof/>
        </w:rPr>
        <w:t>Shake the container to evenly distribute the fat</w:t>
      </w:r>
      <w:r>
        <w:rPr>
          <w:noProof/>
        </w:rPr>
        <w:t>.</w:t>
      </w:r>
    </w:p>
    <w:p w14:paraId="678E2BE3" w14:textId="3145F9D0" w:rsidR="00DB1564" w:rsidRDefault="00DB1564" w:rsidP="00C20F00">
      <w:pPr>
        <w:pStyle w:val="Bullet"/>
        <w:pBdr>
          <w:top w:val="single" w:sz="4" w:space="1" w:color="auto"/>
          <w:left w:val="single" w:sz="4" w:space="1" w:color="auto"/>
          <w:bottom w:val="single" w:sz="4" w:space="1" w:color="auto"/>
          <w:right w:val="single" w:sz="4" w:space="1" w:color="auto"/>
        </w:pBdr>
        <w:rPr>
          <w:noProof/>
        </w:rPr>
      </w:pPr>
      <w:r w:rsidRPr="00647015">
        <w:rPr>
          <w:noProof/>
        </w:rPr>
        <w:t>Discard any thawed milk within 24 hours.</w:t>
      </w:r>
    </w:p>
    <w:p w14:paraId="5436A05F" w14:textId="77777777" w:rsidR="00DB1564" w:rsidRDefault="00DB1564" w:rsidP="00DB1564">
      <w:pPr>
        <w:pStyle w:val="Numberedlist"/>
        <w:numPr>
          <w:ilvl w:val="0"/>
          <w:numId w:val="0"/>
        </w:numPr>
        <w:rPr>
          <w:noProof/>
        </w:rPr>
      </w:pPr>
    </w:p>
    <w:p w14:paraId="4EB32E7C" w14:textId="77777777" w:rsidR="00DB1564" w:rsidRDefault="00DB1564" w:rsidP="0064704F">
      <w:pPr>
        <w:pStyle w:val="Numberedlist"/>
        <w:tabs>
          <w:tab w:val="num" w:pos="360"/>
        </w:tabs>
        <w:rPr>
          <w:noProof/>
        </w:rPr>
      </w:pPr>
      <w:r>
        <w:rPr>
          <w:noProof/>
        </w:rPr>
        <w:t>Once the PDHM is decanted from its original bottle into individual patient bottles, the new</w:t>
      </w:r>
      <w:r w:rsidRPr="064061D1">
        <w:rPr>
          <w:noProof/>
        </w:rPr>
        <w:t xml:space="preserve"> bottles will be clearly</w:t>
      </w:r>
      <w:r>
        <w:rPr>
          <w:noProof/>
        </w:rPr>
        <w:t xml:space="preserve"> labelled: </w:t>
      </w:r>
    </w:p>
    <w:p w14:paraId="4B0B19F2" w14:textId="77777777" w:rsidR="00DB1564" w:rsidRDefault="00DB1564" w:rsidP="0064704F">
      <w:pPr>
        <w:pStyle w:val="Numberedlist"/>
        <w:numPr>
          <w:ilvl w:val="1"/>
          <w:numId w:val="5"/>
        </w:numPr>
        <w:ind w:left="714" w:hanging="357"/>
        <w:rPr>
          <w:noProof/>
        </w:rPr>
      </w:pPr>
      <w:r w:rsidRPr="00800C2E">
        <w:rPr>
          <w:noProof/>
        </w:rPr>
        <w:t>“Pasteurised Donor Human Milk”</w:t>
      </w:r>
      <w:r>
        <w:rPr>
          <w:noProof/>
        </w:rPr>
        <w:t>.</w:t>
      </w:r>
    </w:p>
    <w:p w14:paraId="03EF3D06" w14:textId="77777777" w:rsidR="00DB1564" w:rsidRDefault="00DB1564" w:rsidP="0064704F">
      <w:pPr>
        <w:pStyle w:val="Numberedlist"/>
        <w:numPr>
          <w:ilvl w:val="1"/>
          <w:numId w:val="5"/>
        </w:numPr>
        <w:ind w:left="714" w:hanging="357"/>
        <w:rPr>
          <w:noProof/>
        </w:rPr>
      </w:pPr>
      <w:r>
        <w:rPr>
          <w:noProof/>
        </w:rPr>
        <w:t>Patient Label with identifiers that is Name, Date of Birth, and MRN.</w:t>
      </w:r>
    </w:p>
    <w:p w14:paraId="0C04B612" w14:textId="77777777" w:rsidR="00DB1564" w:rsidRDefault="00DB1564" w:rsidP="0064704F">
      <w:pPr>
        <w:pStyle w:val="Numberedlist"/>
        <w:numPr>
          <w:ilvl w:val="1"/>
          <w:numId w:val="5"/>
        </w:numPr>
        <w:ind w:left="714" w:hanging="357"/>
        <w:rPr>
          <w:noProof/>
        </w:rPr>
      </w:pPr>
      <w:r>
        <w:rPr>
          <w:noProof/>
        </w:rPr>
        <w:t>B</w:t>
      </w:r>
      <w:r w:rsidRPr="00800C2E">
        <w:rPr>
          <w:noProof/>
        </w:rPr>
        <w:t>atch number</w:t>
      </w:r>
      <w:r>
        <w:rPr>
          <w:noProof/>
        </w:rPr>
        <w:t>.</w:t>
      </w:r>
    </w:p>
    <w:p w14:paraId="2BC98E6E" w14:textId="77777777" w:rsidR="00DB1564" w:rsidRDefault="00DB1564" w:rsidP="0064704F">
      <w:pPr>
        <w:pStyle w:val="Numberedlist"/>
        <w:numPr>
          <w:ilvl w:val="1"/>
          <w:numId w:val="5"/>
        </w:numPr>
        <w:ind w:left="714" w:hanging="357"/>
        <w:rPr>
          <w:noProof/>
        </w:rPr>
      </w:pPr>
      <w:r>
        <w:rPr>
          <w:noProof/>
        </w:rPr>
        <w:t>A</w:t>
      </w:r>
      <w:r w:rsidRPr="00800C2E">
        <w:rPr>
          <w:noProof/>
        </w:rPr>
        <w:t>ny additives (e.g.</w:t>
      </w:r>
      <w:r>
        <w:rPr>
          <w:noProof/>
        </w:rPr>
        <w:t>,</w:t>
      </w:r>
      <w:r w:rsidRPr="00800C2E">
        <w:rPr>
          <w:noProof/>
        </w:rPr>
        <w:t xml:space="preserve"> Human Milk Fortifier (HMF)</w:t>
      </w:r>
      <w:r>
        <w:rPr>
          <w:noProof/>
        </w:rPr>
        <w:t>.</w:t>
      </w:r>
    </w:p>
    <w:p w14:paraId="6E69ED25" w14:textId="77777777" w:rsidR="00DB1564" w:rsidRDefault="00DB1564" w:rsidP="0064704F">
      <w:pPr>
        <w:pStyle w:val="Numberedlist"/>
        <w:numPr>
          <w:ilvl w:val="1"/>
          <w:numId w:val="5"/>
        </w:numPr>
        <w:ind w:left="714" w:hanging="357"/>
        <w:rPr>
          <w:noProof/>
        </w:rPr>
      </w:pPr>
      <w:r>
        <w:rPr>
          <w:noProof/>
        </w:rPr>
        <w:t>C</w:t>
      </w:r>
      <w:r w:rsidRPr="00800C2E">
        <w:rPr>
          <w:noProof/>
        </w:rPr>
        <w:t>aloric value (e.g., 85kcal)</w:t>
      </w:r>
      <w:r>
        <w:rPr>
          <w:noProof/>
        </w:rPr>
        <w:t>.</w:t>
      </w:r>
    </w:p>
    <w:p w14:paraId="70BBA6D0" w14:textId="77777777" w:rsidR="00DB1564" w:rsidRDefault="00DB1564" w:rsidP="0064704F">
      <w:pPr>
        <w:pStyle w:val="Numberedlist"/>
        <w:numPr>
          <w:ilvl w:val="1"/>
          <w:numId w:val="5"/>
        </w:numPr>
        <w:ind w:left="714" w:hanging="357"/>
        <w:rPr>
          <w:noProof/>
        </w:rPr>
      </w:pPr>
      <w:r>
        <w:rPr>
          <w:noProof/>
        </w:rPr>
        <w:t>D</w:t>
      </w:r>
      <w:r w:rsidRPr="00800C2E">
        <w:rPr>
          <w:noProof/>
        </w:rPr>
        <w:t>ate removed from the freezer</w:t>
      </w:r>
      <w:r>
        <w:rPr>
          <w:noProof/>
        </w:rPr>
        <w:t>.</w:t>
      </w:r>
    </w:p>
    <w:p w14:paraId="69FB7BDC" w14:textId="77777777" w:rsidR="00DB1564" w:rsidRDefault="00DB1564" w:rsidP="0064704F">
      <w:pPr>
        <w:pStyle w:val="Numberedlist"/>
        <w:numPr>
          <w:ilvl w:val="1"/>
          <w:numId w:val="5"/>
        </w:numPr>
        <w:ind w:left="714" w:hanging="357"/>
        <w:rPr>
          <w:noProof/>
        </w:rPr>
      </w:pPr>
      <w:r>
        <w:rPr>
          <w:noProof/>
        </w:rPr>
        <w:t>D</w:t>
      </w:r>
      <w:r w:rsidRPr="00800C2E">
        <w:rPr>
          <w:noProof/>
        </w:rPr>
        <w:t>ate dispensed</w:t>
      </w:r>
      <w:r>
        <w:rPr>
          <w:noProof/>
        </w:rPr>
        <w:t>.</w:t>
      </w:r>
    </w:p>
    <w:p w14:paraId="540D1E9C" w14:textId="77777777" w:rsidR="00D065DE" w:rsidRDefault="00DB1564" w:rsidP="00A94EC9">
      <w:pPr>
        <w:pStyle w:val="Numberedlist"/>
        <w:numPr>
          <w:ilvl w:val="1"/>
          <w:numId w:val="5"/>
        </w:numPr>
        <w:ind w:left="714" w:hanging="357"/>
      </w:pPr>
      <w:r>
        <w:rPr>
          <w:noProof/>
        </w:rPr>
        <w:t>U</w:t>
      </w:r>
      <w:r w:rsidRPr="00800C2E">
        <w:rPr>
          <w:noProof/>
        </w:rPr>
        <w:t xml:space="preserve">se-by </w:t>
      </w:r>
      <w:r>
        <w:rPr>
          <w:noProof/>
        </w:rPr>
        <w:t>D</w:t>
      </w:r>
      <w:r w:rsidRPr="00800C2E">
        <w:rPr>
          <w:noProof/>
        </w:rPr>
        <w:t>ate</w:t>
      </w:r>
      <w:r>
        <w:rPr>
          <w:noProof/>
        </w:rPr>
        <w:t>.</w:t>
      </w:r>
      <w:bookmarkStart w:id="50" w:name="_Toc174601165"/>
    </w:p>
    <w:p w14:paraId="6ABC2C34" w14:textId="2FCBFB9B" w:rsidR="00D065DE" w:rsidRDefault="00D065DE" w:rsidP="00D065DE">
      <w:pPr>
        <w:pStyle w:val="Numberedlist"/>
        <w:numPr>
          <w:ilvl w:val="0"/>
          <w:numId w:val="0"/>
        </w:numPr>
        <w:ind w:left="425" w:hanging="425"/>
        <w:rPr>
          <w:noProof/>
        </w:rPr>
      </w:pPr>
    </w:p>
    <w:p w14:paraId="3C80D34F" w14:textId="6718F64D" w:rsidR="00BB22E7" w:rsidRPr="005D0BE7" w:rsidRDefault="00BB22E7" w:rsidP="005D0BE7">
      <w:pPr>
        <w:pStyle w:val="Heading3"/>
      </w:pPr>
      <w:bookmarkStart w:id="51" w:name="_Toc199497075"/>
      <w:r w:rsidRPr="005D0BE7">
        <w:t>2.4 Accidental administration of PDHM without Parental Consent/Medical Prescription</w:t>
      </w:r>
      <w:bookmarkEnd w:id="50"/>
      <w:bookmarkEnd w:id="51"/>
      <w:r w:rsidRPr="005D0BE7">
        <w:t xml:space="preserve"> </w:t>
      </w:r>
    </w:p>
    <w:p w14:paraId="642C95A7" w14:textId="77777777" w:rsidR="003E2A09" w:rsidRDefault="003E2A09" w:rsidP="003E2A09">
      <w:pPr>
        <w:pStyle w:val="BodyCopy"/>
        <w:pBdr>
          <w:top w:val="single" w:sz="4" w:space="1" w:color="auto"/>
          <w:left w:val="single" w:sz="4" w:space="4" w:color="auto"/>
          <w:bottom w:val="single" w:sz="4" w:space="1" w:color="auto"/>
          <w:right w:val="single" w:sz="4" w:space="4" w:color="auto"/>
        </w:pBdr>
        <w:rPr>
          <w:b/>
        </w:rPr>
      </w:pPr>
      <w:r w:rsidRPr="003E2A09">
        <w:rPr>
          <w:b/>
        </w:rPr>
        <w:t xml:space="preserve">Note: </w:t>
      </w:r>
    </w:p>
    <w:p w14:paraId="145C6B17" w14:textId="6098E240" w:rsidR="003E2A09" w:rsidRPr="003E2A09" w:rsidRDefault="003E2A09" w:rsidP="003E2A09">
      <w:pPr>
        <w:pStyle w:val="BodyCopy"/>
        <w:pBdr>
          <w:top w:val="single" w:sz="4" w:space="1" w:color="auto"/>
          <w:left w:val="single" w:sz="4" w:space="4" w:color="auto"/>
          <w:bottom w:val="single" w:sz="4" w:space="1" w:color="auto"/>
          <w:right w:val="single" w:sz="4" w:space="4" w:color="auto"/>
        </w:pBdr>
        <w:rPr>
          <w:b/>
        </w:rPr>
      </w:pPr>
      <w:r w:rsidRPr="003E2A09">
        <w:t xml:space="preserve">Refer to </w:t>
      </w:r>
      <w:bookmarkStart w:id="52" w:name="_Hlk188347972"/>
      <w:r w:rsidRPr="003E2A09">
        <w:rPr>
          <w:i/>
        </w:rPr>
        <w:t>Expressed Breastmilk Incident Guide</w:t>
      </w:r>
      <w:r w:rsidRPr="003E2A09">
        <w:t xml:space="preserve"> </w:t>
      </w:r>
      <w:r w:rsidRPr="003E2A09">
        <w:rPr>
          <w:i/>
        </w:rPr>
        <w:t>Clinical Guideline</w:t>
      </w:r>
      <w:r w:rsidRPr="003E2A09">
        <w:t xml:space="preserve"> (available on the CHS Policy and Guidance Documents Register)</w:t>
      </w:r>
      <w:bookmarkEnd w:id="52"/>
      <w:r w:rsidRPr="003E2A09">
        <w:t xml:space="preserve"> for further follow up processes offered to parents/guardians and governance following incorrect breastmilk incidents.</w:t>
      </w:r>
    </w:p>
    <w:p w14:paraId="4EA76BED" w14:textId="43ADCFC0" w:rsidR="00DB1564" w:rsidRPr="00BC7329" w:rsidRDefault="00DB1564" w:rsidP="00B61691">
      <w:pPr>
        <w:pStyle w:val="Numberedlist"/>
        <w:numPr>
          <w:ilvl w:val="0"/>
          <w:numId w:val="11"/>
        </w:numPr>
        <w:rPr>
          <w:color w:val="000000"/>
        </w:rPr>
      </w:pPr>
      <w:r w:rsidRPr="064061D1">
        <w:t xml:space="preserve">If the infant has an </w:t>
      </w:r>
      <w:r>
        <w:t xml:space="preserve">enteral </w:t>
      </w:r>
      <w:r w:rsidRPr="064061D1">
        <w:t>feeding tube insitu</w:t>
      </w:r>
      <w:r>
        <w:t>,</w:t>
      </w:r>
      <w:r w:rsidRPr="064061D1">
        <w:t xml:space="preserve"> aspirate the ingested PDHM as soon as possible. The feed may be aspirated up to 30 minutes after feeding</w:t>
      </w:r>
      <w:r>
        <w:t>.</w:t>
      </w:r>
    </w:p>
    <w:p w14:paraId="07E45392" w14:textId="77777777" w:rsidR="00DB1564" w:rsidRPr="000C1CCF" w:rsidRDefault="00DB1564" w:rsidP="0064704F">
      <w:pPr>
        <w:pStyle w:val="Numberedlist"/>
        <w:tabs>
          <w:tab w:val="num" w:pos="360"/>
        </w:tabs>
      </w:pPr>
      <w:r w:rsidRPr="064061D1">
        <w:t xml:space="preserve">Report incident to </w:t>
      </w:r>
      <w:r>
        <w:t>the MO, Nurse Team Leader, and Nutrition Room Manager</w:t>
      </w:r>
      <w:r w:rsidRPr="064061D1">
        <w:t xml:space="preserve"> immediately.</w:t>
      </w:r>
    </w:p>
    <w:p w14:paraId="5D66ADCD" w14:textId="77777777" w:rsidR="00DB1564" w:rsidRPr="00BA6D90" w:rsidRDefault="00DB1564" w:rsidP="0064704F">
      <w:pPr>
        <w:pStyle w:val="Numberedlist"/>
        <w:tabs>
          <w:tab w:val="num" w:pos="360"/>
        </w:tabs>
      </w:pPr>
      <w:r w:rsidRPr="064061D1">
        <w:t xml:space="preserve">Ensure open disclosure to the </w:t>
      </w:r>
      <w:r>
        <w:t>parents/guardian,</w:t>
      </w:r>
      <w:r w:rsidRPr="064061D1">
        <w:t xml:space="preserve"> informing them that the risk of transmission and possible acquisition of infection is negligible due to donor screening and the pasteurisation process. </w:t>
      </w:r>
    </w:p>
    <w:p w14:paraId="4726804B" w14:textId="77777777" w:rsidR="00DB1564" w:rsidRDefault="00DB1564" w:rsidP="0064704F">
      <w:pPr>
        <w:pStyle w:val="Numberedlist"/>
        <w:numPr>
          <w:ilvl w:val="1"/>
          <w:numId w:val="5"/>
        </w:numPr>
        <w:ind w:left="714" w:hanging="357"/>
      </w:pPr>
      <w:r w:rsidRPr="064061D1">
        <w:t xml:space="preserve">Screening of the mother or </w:t>
      </w:r>
      <w:r>
        <w:t>infant</w:t>
      </w:r>
      <w:r w:rsidRPr="064061D1">
        <w:t xml:space="preserve"> is unlikely to be necessary unless requested by the </w:t>
      </w:r>
      <w:r>
        <w:t>Neonatologist</w:t>
      </w:r>
      <w:r w:rsidRPr="064061D1">
        <w:t xml:space="preserve"> following a risk assessment and discussion with the parents. </w:t>
      </w:r>
    </w:p>
    <w:p w14:paraId="2B148986" w14:textId="77777777" w:rsidR="00DB1564" w:rsidRPr="009854AC" w:rsidRDefault="00DB1564" w:rsidP="0064704F">
      <w:pPr>
        <w:pStyle w:val="Numberedlist"/>
        <w:numPr>
          <w:ilvl w:val="1"/>
          <w:numId w:val="5"/>
        </w:numPr>
        <w:ind w:left="714" w:hanging="357"/>
      </w:pPr>
      <w:r w:rsidRPr="00BA6D90">
        <w:t>If screening is to be performed ensure pre-test counsellin</w:t>
      </w:r>
      <w:r>
        <w:t>g by MO.</w:t>
      </w:r>
    </w:p>
    <w:p w14:paraId="4DECB012" w14:textId="77777777" w:rsidR="00DB1564" w:rsidRPr="00850537" w:rsidRDefault="00DB1564" w:rsidP="0064704F">
      <w:pPr>
        <w:pStyle w:val="Numberedlist"/>
        <w:tabs>
          <w:tab w:val="num" w:pos="360"/>
        </w:tabs>
      </w:pPr>
      <w:r w:rsidRPr="65698D34">
        <w:lastRenderedPageBreak/>
        <w:t>Complete a formal incident report via RiskMan immediately</w:t>
      </w:r>
      <w:r>
        <w:t>.</w:t>
      </w:r>
      <w:r w:rsidRPr="65698D34">
        <w:t xml:space="preserve"> </w:t>
      </w:r>
    </w:p>
    <w:p w14:paraId="321D0E50" w14:textId="7BAE1A9E" w:rsidR="00BB22E7" w:rsidRDefault="00DB1564" w:rsidP="0064704F">
      <w:pPr>
        <w:pStyle w:val="Numberedlist"/>
        <w:tabs>
          <w:tab w:val="num" w:pos="360"/>
        </w:tabs>
      </w:pPr>
      <w:r w:rsidRPr="064061D1">
        <w:t>Inform the ARCBS</w:t>
      </w:r>
      <w:r>
        <w:t xml:space="preserve"> (or </w:t>
      </w:r>
      <w:r w:rsidRPr="064061D1">
        <w:t>Mothers Milk Bank</w:t>
      </w:r>
      <w:r>
        <w:t>)</w:t>
      </w:r>
      <w:r w:rsidRPr="064061D1">
        <w:t xml:space="preserve"> and ask them to provide the original infection screen from the source mother and infection screen of the PDHM and document in recipient </w:t>
      </w:r>
      <w:r>
        <w:t>infant’s medical record.</w:t>
      </w:r>
    </w:p>
    <w:p w14:paraId="2AF56E8C" w14:textId="222F2B76" w:rsidR="00481A6C" w:rsidRDefault="00481A6C" w:rsidP="0091462B">
      <w:pPr>
        <w:pStyle w:val="BodyCopy"/>
      </w:pPr>
      <w:hyperlink w:anchor="_top" w:history="1">
        <w:r w:rsidRPr="00481A6C">
          <w:rPr>
            <w:rStyle w:val="Hyperlink"/>
            <w:iCs w:val="0"/>
          </w:rPr>
          <w:t>Back to Contents</w:t>
        </w:r>
      </w:hyperlink>
    </w:p>
    <w:p w14:paraId="48A7AD46" w14:textId="4CD898FC" w:rsidR="002B5F7A" w:rsidRDefault="0078367D" w:rsidP="002B5F7A">
      <w:pPr>
        <w:pStyle w:val="Heading2"/>
      </w:pPr>
      <w:bookmarkStart w:id="53" w:name="_Toc199497076"/>
      <w:r w:rsidRPr="0078367D">
        <w:t xml:space="preserve">Section </w:t>
      </w:r>
      <w:r w:rsidR="00BC7329">
        <w:t>3</w:t>
      </w:r>
      <w:r w:rsidRPr="0078367D">
        <w:t xml:space="preserve"> </w:t>
      </w:r>
      <w:r w:rsidR="00BC7329">
        <w:t>Osteopenia or Metabolic Bone Disease of Prematurity</w:t>
      </w:r>
      <w:bookmarkEnd w:id="53"/>
    </w:p>
    <w:p w14:paraId="5701D85E" w14:textId="57FB1D3A" w:rsidR="002B5F7A" w:rsidRPr="002B5F7A" w:rsidRDefault="002B5F7A" w:rsidP="005D0BE7">
      <w:pPr>
        <w:pStyle w:val="Heading4"/>
      </w:pPr>
      <w:r>
        <w:t>Background</w:t>
      </w:r>
    </w:p>
    <w:p w14:paraId="4FDB8E6C" w14:textId="7BA24355" w:rsidR="00DB1564" w:rsidRPr="007F4C8E" w:rsidRDefault="00DB1564" w:rsidP="00DB1564">
      <w:pPr>
        <w:pStyle w:val="BodyCopy"/>
      </w:pPr>
      <w:r>
        <w:t xml:space="preserve">Metabolic bone disease of prematurity (MBD) is the under-mineralisation of the preterm infant’s skeleton </w:t>
      </w:r>
      <w:r w:rsidR="00151F43">
        <w:t>because of</w:t>
      </w:r>
      <w:r>
        <w:t xml:space="preserve"> inadequate calcium (Ca) and phosphate (P) mineral, both prenatally and postnatally.</w:t>
      </w:r>
    </w:p>
    <w:p w14:paraId="34F396C2" w14:textId="1AFE059F" w:rsidR="00DB1564" w:rsidRDefault="00DB1564" w:rsidP="00C20F00">
      <w:pPr>
        <w:pStyle w:val="Bullet"/>
        <w:numPr>
          <w:ilvl w:val="0"/>
          <w:numId w:val="24"/>
        </w:numPr>
        <w:ind w:left="425" w:hanging="425"/>
      </w:pPr>
      <w:r>
        <w:t xml:space="preserve">Bone mineralisation is maximal during the third trimester (80 percent). Very preterm infants </w:t>
      </w:r>
      <w:r w:rsidR="00151F43">
        <w:t>miss</w:t>
      </w:r>
      <w:r>
        <w:t xml:space="preserve"> the accretion process.</w:t>
      </w:r>
    </w:p>
    <w:p w14:paraId="7FEB5BED" w14:textId="77777777" w:rsidR="00DB1564" w:rsidRDefault="00DB1564" w:rsidP="00C20F00">
      <w:pPr>
        <w:pStyle w:val="Bullet"/>
        <w:numPr>
          <w:ilvl w:val="0"/>
          <w:numId w:val="24"/>
        </w:numPr>
        <w:ind w:left="425" w:hanging="425"/>
      </w:pPr>
      <w:r>
        <w:t>Postnatally, it is difficult to maintain a comparable intake of minerals (risk of Ca and P precipitation in Total Parenteral Nutrition (TPN), feed intolerance in high-risk preterm infants, medications, renal immaturity).</w:t>
      </w:r>
    </w:p>
    <w:p w14:paraId="03328FEF" w14:textId="77777777" w:rsidR="00DB1564" w:rsidRDefault="00DB1564" w:rsidP="00C20F00">
      <w:pPr>
        <w:pStyle w:val="Bullet"/>
        <w:numPr>
          <w:ilvl w:val="0"/>
          <w:numId w:val="24"/>
        </w:numPr>
        <w:ind w:left="425" w:hanging="425"/>
      </w:pPr>
      <w:r>
        <w:t>A Ca intake of 3.0 to 5.0 mmol (120 to 200 mg)/kg/d and a P intake of 2.2 to 3.7 mmol (70 to 115 mg P)/kg/d of P are recommended.</w:t>
      </w:r>
    </w:p>
    <w:p w14:paraId="45C8689D" w14:textId="77777777" w:rsidR="00DB1564" w:rsidRPr="002B5F7A" w:rsidRDefault="00DB1564" w:rsidP="00C20F00">
      <w:pPr>
        <w:pStyle w:val="Bullet"/>
        <w:numPr>
          <w:ilvl w:val="0"/>
          <w:numId w:val="24"/>
        </w:numPr>
        <w:ind w:left="425" w:hanging="425"/>
      </w:pPr>
      <w:r>
        <w:t>The recommended molar calcium to phosphate ratio to ensure adequate Ca retention is less than or equal to 1.4 (less than or equal to 1.8 in mass).</w:t>
      </w:r>
    </w:p>
    <w:p w14:paraId="0F18B3A0" w14:textId="06B99C83" w:rsidR="00BC7329" w:rsidRDefault="008D5B34" w:rsidP="005D0BE7">
      <w:pPr>
        <w:pStyle w:val="Heading3"/>
      </w:pPr>
      <w:bookmarkStart w:id="54" w:name="_Toc199497077"/>
      <w:r>
        <w:t>3.1 Pathophysiology</w:t>
      </w:r>
      <w:r w:rsidR="002B5F7A">
        <w:t xml:space="preserve"> and Risk Factors</w:t>
      </w:r>
      <w:bookmarkEnd w:id="54"/>
    </w:p>
    <w:p w14:paraId="360EF14D" w14:textId="764BEAAA" w:rsidR="005A15BA" w:rsidRPr="005A15BA" w:rsidRDefault="002B5F7A" w:rsidP="005D0BE7">
      <w:pPr>
        <w:pStyle w:val="Heading4"/>
      </w:pPr>
      <w:r>
        <w:t xml:space="preserve">Pathophysiology </w:t>
      </w:r>
    </w:p>
    <w:p w14:paraId="41AFC263" w14:textId="77777777" w:rsidR="00BC7329" w:rsidRPr="005A15BA" w:rsidRDefault="00BC7329" w:rsidP="005A15BA">
      <w:pPr>
        <w:pStyle w:val="Heading6"/>
      </w:pPr>
      <w:r w:rsidRPr="005A15BA">
        <w:t>Calcium Deficiency</w:t>
      </w:r>
    </w:p>
    <w:p w14:paraId="191EDE8C" w14:textId="77777777" w:rsidR="00DB1564" w:rsidRDefault="00DB1564" w:rsidP="00C20F00">
      <w:pPr>
        <w:pStyle w:val="Bullet"/>
        <w:numPr>
          <w:ilvl w:val="0"/>
          <w:numId w:val="25"/>
        </w:numPr>
        <w:ind w:left="425" w:hanging="425"/>
      </w:pPr>
      <w:r>
        <w:t>Immediate drop in Ca at birth with the lowest value by 24 to 30 hours.</w:t>
      </w:r>
    </w:p>
    <w:p w14:paraId="504C565C" w14:textId="77777777" w:rsidR="00DB1564" w:rsidRDefault="00DB1564" w:rsidP="00C20F00">
      <w:pPr>
        <w:pStyle w:val="Bullet"/>
        <w:numPr>
          <w:ilvl w:val="0"/>
          <w:numId w:val="25"/>
        </w:numPr>
        <w:ind w:left="425" w:hanging="425"/>
      </w:pPr>
      <w:r>
        <w:t>Stimulates parathyroid hormone (PTH) release (action on bones and kidneys).</w:t>
      </w:r>
    </w:p>
    <w:p w14:paraId="1B99D56D" w14:textId="77777777" w:rsidR="00DB1564" w:rsidRDefault="00DB1564" w:rsidP="00C20F00">
      <w:pPr>
        <w:pStyle w:val="Bullet"/>
        <w:numPr>
          <w:ilvl w:val="0"/>
          <w:numId w:val="25"/>
        </w:numPr>
        <w:ind w:left="425" w:hanging="425"/>
      </w:pPr>
      <w:r>
        <w:t>Net effect through action on kidneys-normo or hypercalcemia and hypophosphatemia.</w:t>
      </w:r>
    </w:p>
    <w:p w14:paraId="779D6D71" w14:textId="77777777" w:rsidR="00DB1564" w:rsidRDefault="00DB1564" w:rsidP="00C20F00">
      <w:pPr>
        <w:pStyle w:val="Bullet"/>
        <w:numPr>
          <w:ilvl w:val="0"/>
          <w:numId w:val="25"/>
        </w:numPr>
        <w:ind w:left="425" w:hanging="425"/>
      </w:pPr>
      <w:r>
        <w:t>Insufficient calcium intake over time, long term medications like frusemide causes persistent hyperparathyroidism leading to persistent biochemical changes causing metabolic bone disease.</w:t>
      </w:r>
    </w:p>
    <w:p w14:paraId="6D7C86C1" w14:textId="77777777" w:rsidR="00DB1564" w:rsidRPr="00C61ACF" w:rsidRDefault="00DB1564" w:rsidP="00C20F00">
      <w:pPr>
        <w:pStyle w:val="Bullet"/>
        <w:numPr>
          <w:ilvl w:val="0"/>
          <w:numId w:val="25"/>
        </w:numPr>
        <w:ind w:left="425" w:hanging="425"/>
        <w:rPr>
          <w:rStyle w:val="Bold"/>
          <w:b w:val="0"/>
          <w:bCs w:val="0"/>
        </w:rPr>
      </w:pPr>
      <w:r>
        <w:t>Calcium is an extracellular ion and greater than 95 percent calcium is stored in bones.</w:t>
      </w:r>
    </w:p>
    <w:p w14:paraId="6059CDE3" w14:textId="1FB5B8AA" w:rsidR="00BC7329" w:rsidRPr="005A15BA" w:rsidRDefault="00BC7329" w:rsidP="005A15BA">
      <w:pPr>
        <w:pStyle w:val="Heading6"/>
      </w:pPr>
      <w:r w:rsidRPr="005A15BA">
        <w:t>Phosphate Deficiency</w:t>
      </w:r>
    </w:p>
    <w:p w14:paraId="326E868A" w14:textId="77777777" w:rsidR="00DB1564" w:rsidRDefault="00DB1564" w:rsidP="00C20F00">
      <w:pPr>
        <w:pStyle w:val="Bullet"/>
        <w:numPr>
          <w:ilvl w:val="0"/>
          <w:numId w:val="26"/>
        </w:numPr>
        <w:ind w:left="425" w:hanging="425"/>
      </w:pPr>
      <w:r>
        <w:t xml:space="preserve">In contrast, phosphate is an intracellular ion with only 60 to 70 percent stored in bones. The rest is used for metabolic pathways and organ/soft tissue growth. </w:t>
      </w:r>
    </w:p>
    <w:p w14:paraId="552C18E6" w14:textId="77777777" w:rsidR="00DB1564" w:rsidRDefault="00DB1564" w:rsidP="00C20F00">
      <w:pPr>
        <w:pStyle w:val="Bullet"/>
        <w:numPr>
          <w:ilvl w:val="0"/>
          <w:numId w:val="26"/>
        </w:numPr>
        <w:ind w:left="425" w:hanging="425"/>
      </w:pPr>
      <w:r>
        <w:lastRenderedPageBreak/>
        <w:t>Unlike calcium, there is no robust mechanism to maintain serum phosphate concentration hence phosphate deficiency is the most common biochemical change of osteopenia of prematurity (as early as 7 to 14 days).</w:t>
      </w:r>
    </w:p>
    <w:p w14:paraId="17C4154F" w14:textId="77777777" w:rsidR="00DB1564" w:rsidRDefault="00DB1564" w:rsidP="00C20F00">
      <w:pPr>
        <w:pStyle w:val="Bullet"/>
        <w:numPr>
          <w:ilvl w:val="0"/>
          <w:numId w:val="26"/>
        </w:numPr>
        <w:ind w:left="425" w:hanging="425"/>
      </w:pPr>
      <w:r>
        <w:t>Hypophosphatemia suppresses PTH</w:t>
      </w:r>
      <w:r>
        <w:rPr>
          <w:rFonts w:asciiTheme="minorHAnsi" w:eastAsia="Wingdings" w:hAnsiTheme="minorHAnsi" w:cstheme="minorHAnsi"/>
        </w:rPr>
        <w:t xml:space="preserve"> leading to </w:t>
      </w:r>
      <w:r>
        <w:t>low or normal PTH levels.</w:t>
      </w:r>
    </w:p>
    <w:p w14:paraId="587244CD" w14:textId="77777777" w:rsidR="00DB1564" w:rsidRDefault="00DB1564" w:rsidP="00C20F00">
      <w:pPr>
        <w:pStyle w:val="Bullet"/>
        <w:numPr>
          <w:ilvl w:val="0"/>
          <w:numId w:val="26"/>
        </w:numPr>
        <w:ind w:left="425" w:hanging="425"/>
      </w:pPr>
      <w:r>
        <w:t>Hypophosphatemia also activates the synthesis of active Vit D, which increases Ca and P absorption leading to hypercalcemia and hypercalciuria.</w:t>
      </w:r>
    </w:p>
    <w:p w14:paraId="32C642CB" w14:textId="0CB0A184" w:rsidR="00DB1564" w:rsidRDefault="00DB1564" w:rsidP="00C20F00">
      <w:pPr>
        <w:pStyle w:val="Bullet"/>
        <w:numPr>
          <w:ilvl w:val="0"/>
          <w:numId w:val="26"/>
        </w:numPr>
        <w:ind w:left="425" w:hanging="425"/>
      </w:pPr>
      <w:r>
        <w:t xml:space="preserve">Hypophosphatemia causes the kidneys </w:t>
      </w:r>
      <w:r w:rsidR="0028588E">
        <w:t xml:space="preserve">to </w:t>
      </w:r>
      <w:r>
        <w:t>respond by increasing P reabsorption which increases TRP (Tubular reabsorption of phosphate).</w:t>
      </w:r>
    </w:p>
    <w:p w14:paraId="7AFD22CF" w14:textId="3D0C821C" w:rsidR="00DB1564" w:rsidRDefault="00DB1564" w:rsidP="00C20F00">
      <w:pPr>
        <w:pStyle w:val="Bullet"/>
        <w:numPr>
          <w:ilvl w:val="0"/>
          <w:numId w:val="26"/>
        </w:numPr>
        <w:ind w:left="425" w:hanging="425"/>
      </w:pPr>
      <w:r>
        <w:t xml:space="preserve">To calculate the </w:t>
      </w:r>
      <w:r w:rsidR="002304E0">
        <w:t xml:space="preserve">TRP, </w:t>
      </w:r>
      <w:r>
        <w:t>use calculation below:</w:t>
      </w:r>
    </w:p>
    <w:p w14:paraId="5C2D60D3" w14:textId="77777777" w:rsidR="00DB1564" w:rsidRPr="00C61ACF" w:rsidRDefault="00DB1564" w:rsidP="0064704F">
      <w:pPr>
        <w:pStyle w:val="Bullet"/>
        <w:numPr>
          <w:ilvl w:val="1"/>
          <w:numId w:val="1"/>
        </w:numPr>
        <w:ind w:left="714" w:hanging="357"/>
      </w:pPr>
      <w:r>
        <w:t>TRP = [1-(urinary phosphorus/urinary creatinine × serum creatinine/serum phosphorus)] × 100</w:t>
      </w:r>
    </w:p>
    <w:p w14:paraId="3B47AF28" w14:textId="77777777" w:rsidR="00BC7329" w:rsidRPr="00801872" w:rsidRDefault="00BC7329" w:rsidP="005A15BA">
      <w:pPr>
        <w:pStyle w:val="Heading6"/>
      </w:pPr>
      <w:r w:rsidRPr="00801872">
        <w:t>Vitamin D Deficiency</w:t>
      </w:r>
    </w:p>
    <w:p w14:paraId="68F33E9E" w14:textId="77777777" w:rsidR="00DB1564" w:rsidRDefault="00DB1564" w:rsidP="0064704F">
      <w:pPr>
        <w:pStyle w:val="Bullet"/>
        <w:ind w:left="425" w:hanging="425"/>
      </w:pPr>
      <w:r>
        <w:t>MBD occurs due to substrate deficiency (Ca, P) rather than Vit D deficiency.</w:t>
      </w:r>
    </w:p>
    <w:p w14:paraId="56B6146E" w14:textId="77777777" w:rsidR="00DB1564" w:rsidRDefault="00DB1564" w:rsidP="0064704F">
      <w:pPr>
        <w:pStyle w:val="Bullet"/>
        <w:ind w:left="425" w:hanging="425"/>
      </w:pPr>
      <w:r>
        <w:t>With routine Vitamin D supplementation (400IU per day in Pentavite), deficiency is rare.</w:t>
      </w:r>
    </w:p>
    <w:p w14:paraId="223AA26B" w14:textId="77777777" w:rsidR="00DB1564" w:rsidRPr="00C61ACF" w:rsidRDefault="00DB1564" w:rsidP="0064704F">
      <w:pPr>
        <w:pStyle w:val="Bullet"/>
        <w:ind w:left="425" w:hanging="425"/>
      </w:pPr>
      <w:r>
        <w:t>Consider Vitamin D levels in select cases like known maternal Vit D deficiency, short gut syndrome, cholestasis.</w:t>
      </w:r>
    </w:p>
    <w:p w14:paraId="1DD8F234" w14:textId="77777777" w:rsidR="00BC7329" w:rsidRPr="00801872" w:rsidRDefault="00BC7329" w:rsidP="005A15BA">
      <w:pPr>
        <w:pStyle w:val="Heading6"/>
      </w:pPr>
      <w:r w:rsidRPr="00801872">
        <w:t>Alkaline Phosphatase (ALKP)</w:t>
      </w:r>
    </w:p>
    <w:p w14:paraId="47B718AC" w14:textId="77777777" w:rsidR="00DB1564" w:rsidRDefault="00DB1564" w:rsidP="0064704F">
      <w:pPr>
        <w:pStyle w:val="Bullet"/>
        <w:ind w:left="425" w:hanging="425"/>
      </w:pPr>
      <w:r>
        <w:t>Marker of bone turnover or resorption.</w:t>
      </w:r>
    </w:p>
    <w:p w14:paraId="563A691B" w14:textId="77777777" w:rsidR="00DB1564" w:rsidRDefault="00DB1564" w:rsidP="0064704F">
      <w:pPr>
        <w:pStyle w:val="Bullet"/>
        <w:ind w:left="425" w:hanging="425"/>
      </w:pPr>
      <w:r>
        <w:t>Physiologically increase in the first few weeks of life and plateaus around 5 to 6 weeks.</w:t>
      </w:r>
    </w:p>
    <w:p w14:paraId="060F5030" w14:textId="19941F35" w:rsidR="00BC7329" w:rsidRDefault="00DB1564" w:rsidP="0064704F">
      <w:pPr>
        <w:pStyle w:val="Bullet"/>
        <w:ind w:left="425" w:hanging="425"/>
      </w:pPr>
      <w:r>
        <w:t>Persistent increase in ALKP or rising ALKP beyond 5 to 6 weeks may be suggestive of impaired bone homeostasis and mineralisation.</w:t>
      </w:r>
    </w:p>
    <w:p w14:paraId="1483EC00" w14:textId="47714A9B" w:rsidR="00BC7329" w:rsidRPr="00527B9F" w:rsidRDefault="00BC7329" w:rsidP="005D0BE7">
      <w:pPr>
        <w:pStyle w:val="Heading4"/>
      </w:pPr>
      <w:r w:rsidRPr="064061D1">
        <w:t>Risk factors</w:t>
      </w:r>
    </w:p>
    <w:p w14:paraId="751B9A82" w14:textId="77777777" w:rsidR="00DB1564" w:rsidRDefault="00DB1564" w:rsidP="0064704F">
      <w:pPr>
        <w:pStyle w:val="Bullet"/>
        <w:ind w:left="425" w:hanging="425"/>
      </w:pPr>
      <w:r>
        <w:t>Prematurity less than 28 weeks gestation</w:t>
      </w:r>
    </w:p>
    <w:p w14:paraId="3F03541A" w14:textId="77777777" w:rsidR="00DB1564" w:rsidRDefault="00DB1564" w:rsidP="0064704F">
      <w:pPr>
        <w:pStyle w:val="Bullet"/>
        <w:ind w:left="425" w:hanging="425"/>
      </w:pPr>
      <w:r>
        <w:t>Very Low Birth Weight less than 1500 grams</w:t>
      </w:r>
    </w:p>
    <w:p w14:paraId="7DBE526B" w14:textId="77777777" w:rsidR="00DB1564" w:rsidRDefault="00DB1564" w:rsidP="0064704F">
      <w:pPr>
        <w:pStyle w:val="Bullet"/>
        <w:ind w:left="425" w:hanging="425"/>
      </w:pPr>
      <w:r>
        <w:t>NEC</w:t>
      </w:r>
    </w:p>
    <w:p w14:paraId="096CBF12" w14:textId="77777777" w:rsidR="00DB1564" w:rsidRDefault="00DB1564" w:rsidP="0064704F">
      <w:pPr>
        <w:pStyle w:val="Bullet"/>
        <w:ind w:left="425" w:hanging="425"/>
      </w:pPr>
      <w:r>
        <w:t>Short gut syndrome</w:t>
      </w:r>
    </w:p>
    <w:p w14:paraId="2BEAD41B" w14:textId="77777777" w:rsidR="00DB1564" w:rsidRDefault="00DB1564" w:rsidP="0064704F">
      <w:pPr>
        <w:pStyle w:val="Bullet"/>
        <w:ind w:left="425" w:hanging="425"/>
      </w:pPr>
      <w:r>
        <w:t>Prolonged TPN greater than 4 weeks</w:t>
      </w:r>
    </w:p>
    <w:p w14:paraId="6AD7DCFC" w14:textId="77777777" w:rsidR="00DB1564" w:rsidRDefault="00DB1564" w:rsidP="0064704F">
      <w:pPr>
        <w:pStyle w:val="Bullet"/>
        <w:ind w:left="425" w:hanging="425"/>
      </w:pPr>
      <w:r>
        <w:t xml:space="preserve">Postnatal Steroids </w:t>
      </w:r>
    </w:p>
    <w:p w14:paraId="76458CD4" w14:textId="77777777" w:rsidR="00DB1564" w:rsidRDefault="00DB1564" w:rsidP="0064704F">
      <w:pPr>
        <w:pStyle w:val="Bullet"/>
        <w:ind w:left="425" w:hanging="425"/>
      </w:pPr>
      <w:r>
        <w:t>Loop diuretics</w:t>
      </w:r>
    </w:p>
    <w:p w14:paraId="6538A6C3" w14:textId="77777777" w:rsidR="00DB1564" w:rsidRDefault="00DB1564" w:rsidP="0064704F">
      <w:pPr>
        <w:pStyle w:val="Bullet"/>
        <w:ind w:left="425" w:hanging="425"/>
      </w:pPr>
      <w:r>
        <w:t>Renal or Liver disease</w:t>
      </w:r>
    </w:p>
    <w:p w14:paraId="49626985" w14:textId="3004B660" w:rsidR="00DB1564" w:rsidRDefault="00DB1564" w:rsidP="0064704F">
      <w:pPr>
        <w:pStyle w:val="Bullet"/>
        <w:ind w:left="425" w:hanging="425"/>
      </w:pPr>
      <w:r>
        <w:t xml:space="preserve">Unable to fortify breast </w:t>
      </w:r>
      <w:r w:rsidR="00151F43">
        <w:t>milk.</w:t>
      </w:r>
    </w:p>
    <w:p w14:paraId="68A64176" w14:textId="77777777" w:rsidR="008363D2" w:rsidRDefault="008363D2" w:rsidP="005D0BE7">
      <w:pPr>
        <w:pStyle w:val="Heading3"/>
      </w:pPr>
      <w:bookmarkStart w:id="55" w:name="_Toc174601168"/>
      <w:bookmarkStart w:id="56" w:name="_Toc199497078"/>
    </w:p>
    <w:p w14:paraId="691452F6" w14:textId="77777777" w:rsidR="008363D2" w:rsidRDefault="008363D2" w:rsidP="005D0BE7">
      <w:pPr>
        <w:pStyle w:val="Heading3"/>
      </w:pPr>
    </w:p>
    <w:p w14:paraId="6B631927" w14:textId="4D2A4134" w:rsidR="00BC7329" w:rsidRPr="005A15BA" w:rsidRDefault="008D5B34" w:rsidP="005D0BE7">
      <w:pPr>
        <w:pStyle w:val="Heading3"/>
      </w:pPr>
      <w:r w:rsidRPr="005A15BA">
        <w:lastRenderedPageBreak/>
        <w:t>3.2 Screening</w:t>
      </w:r>
      <w:r w:rsidR="00BC7329" w:rsidRPr="005A15BA">
        <w:t xml:space="preserve"> and Interpretation</w:t>
      </w:r>
      <w:bookmarkEnd w:id="55"/>
      <w:bookmarkEnd w:id="56"/>
    </w:p>
    <w:p w14:paraId="1319DEC9" w14:textId="4ACE544F" w:rsidR="00E326C6" w:rsidRPr="00E326C6" w:rsidRDefault="00BC7329" w:rsidP="00E326C6">
      <w:pPr>
        <w:pStyle w:val="Heading6"/>
      </w:pPr>
      <w:r w:rsidRPr="005D36E9">
        <w:t>Screening</w:t>
      </w:r>
    </w:p>
    <w:tbl>
      <w:tblPr>
        <w:tblStyle w:val="TableGrid"/>
        <w:tblW w:w="9493" w:type="dxa"/>
        <w:tblLook w:val="04A0" w:firstRow="1" w:lastRow="0" w:firstColumn="1" w:lastColumn="0" w:noHBand="0" w:noVBand="1"/>
      </w:tblPr>
      <w:tblGrid>
        <w:gridCol w:w="1980"/>
        <w:gridCol w:w="2693"/>
        <w:gridCol w:w="4820"/>
      </w:tblGrid>
      <w:tr w:rsidR="00DB1564" w:rsidRPr="00527B9F" w14:paraId="27DD27AF" w14:textId="77777777" w:rsidTr="008D5985">
        <w:tc>
          <w:tcPr>
            <w:tcW w:w="9493" w:type="dxa"/>
            <w:gridSpan w:val="3"/>
            <w:shd w:val="clear" w:color="auto" w:fill="D9D9D9" w:themeFill="background1" w:themeFillShade="D9"/>
          </w:tcPr>
          <w:p w14:paraId="7D044522" w14:textId="77777777" w:rsidR="00DB1564" w:rsidRPr="0005028A" w:rsidRDefault="00DB1564" w:rsidP="008D5985">
            <w:pPr>
              <w:pStyle w:val="Tableheader-black"/>
              <w:jc w:val="center"/>
            </w:pPr>
            <w:r>
              <w:t>Table 5 – Screening for MBD</w:t>
            </w:r>
          </w:p>
        </w:tc>
      </w:tr>
      <w:tr w:rsidR="00DB1564" w:rsidRPr="00527B9F" w14:paraId="513EF5E2" w14:textId="77777777" w:rsidTr="008D5985">
        <w:tc>
          <w:tcPr>
            <w:tcW w:w="1980" w:type="dxa"/>
            <w:shd w:val="clear" w:color="auto" w:fill="D9D9D9" w:themeFill="background1" w:themeFillShade="D9"/>
          </w:tcPr>
          <w:p w14:paraId="6A4821A3" w14:textId="77777777" w:rsidR="00DB1564" w:rsidRPr="0005028A" w:rsidRDefault="00DB1564" w:rsidP="008D5985">
            <w:pPr>
              <w:pStyle w:val="Tableheader-black"/>
              <w:jc w:val="center"/>
            </w:pPr>
            <w:r w:rsidRPr="0005028A">
              <w:t>Test</w:t>
            </w:r>
          </w:p>
        </w:tc>
        <w:tc>
          <w:tcPr>
            <w:tcW w:w="2693" w:type="dxa"/>
            <w:shd w:val="clear" w:color="auto" w:fill="D9D9D9" w:themeFill="background1" w:themeFillShade="D9"/>
          </w:tcPr>
          <w:p w14:paraId="6C3F6BD7" w14:textId="77777777" w:rsidR="00DB1564" w:rsidRPr="0005028A" w:rsidRDefault="00DB1564" w:rsidP="008D5985">
            <w:pPr>
              <w:pStyle w:val="Tableheader-black"/>
              <w:jc w:val="center"/>
            </w:pPr>
            <w:r w:rsidRPr="0005028A">
              <w:t>Level of Interest</w:t>
            </w:r>
          </w:p>
        </w:tc>
        <w:tc>
          <w:tcPr>
            <w:tcW w:w="4820" w:type="dxa"/>
            <w:shd w:val="clear" w:color="auto" w:fill="D9D9D9" w:themeFill="background1" w:themeFillShade="D9"/>
          </w:tcPr>
          <w:p w14:paraId="5818FA16" w14:textId="77777777" w:rsidR="00DB1564" w:rsidRPr="0005028A" w:rsidRDefault="00DB1564" w:rsidP="008D5985">
            <w:pPr>
              <w:pStyle w:val="Tableheader-black"/>
              <w:jc w:val="center"/>
            </w:pPr>
            <w:r w:rsidRPr="0005028A">
              <w:t>Key Points</w:t>
            </w:r>
          </w:p>
        </w:tc>
      </w:tr>
      <w:tr w:rsidR="00DB1564" w:rsidRPr="00527B9F" w14:paraId="33768246" w14:textId="77777777" w:rsidTr="008D5985">
        <w:tc>
          <w:tcPr>
            <w:tcW w:w="1980" w:type="dxa"/>
          </w:tcPr>
          <w:p w14:paraId="776BBB69" w14:textId="77777777" w:rsidR="00DB1564" w:rsidRPr="00E55947" w:rsidRDefault="00DB1564" w:rsidP="008D5985">
            <w:pPr>
              <w:pStyle w:val="BodyCopy"/>
              <w:rPr>
                <w:b/>
              </w:rPr>
            </w:pPr>
            <w:r>
              <w:t>Alkaline Phosphatase (</w:t>
            </w:r>
            <w:r w:rsidRPr="00E55947">
              <w:t>ALP</w:t>
            </w:r>
            <w:r>
              <w:t>)</w:t>
            </w:r>
          </w:p>
        </w:tc>
        <w:tc>
          <w:tcPr>
            <w:tcW w:w="2693" w:type="dxa"/>
          </w:tcPr>
          <w:p w14:paraId="7B01A2F4" w14:textId="77777777" w:rsidR="00DB1564" w:rsidRPr="00E55947" w:rsidRDefault="00DB1564" w:rsidP="008D5985">
            <w:pPr>
              <w:pStyle w:val="BodyCopy"/>
              <w:rPr>
                <w:rFonts w:asciiTheme="minorHAnsi" w:hAnsiTheme="minorHAnsi"/>
              </w:rPr>
            </w:pPr>
            <w:r>
              <w:rPr>
                <w:rFonts w:asciiTheme="minorHAnsi" w:hAnsiTheme="minorHAnsi"/>
              </w:rPr>
              <w:t xml:space="preserve">Less than </w:t>
            </w:r>
            <w:r w:rsidRPr="00E55947">
              <w:rPr>
                <w:rFonts w:asciiTheme="minorHAnsi" w:hAnsiTheme="minorHAnsi"/>
              </w:rPr>
              <w:t>500</w:t>
            </w:r>
          </w:p>
          <w:p w14:paraId="08D55591" w14:textId="77777777" w:rsidR="00DB1564" w:rsidRPr="00E55947" w:rsidRDefault="00DB1564" w:rsidP="008D5985">
            <w:pPr>
              <w:pStyle w:val="BodyCopy"/>
              <w:rPr>
                <w:b/>
              </w:rPr>
            </w:pPr>
            <w:r w:rsidRPr="00E55947">
              <w:t xml:space="preserve">(N </w:t>
            </w:r>
            <w:r>
              <w:t xml:space="preserve">less than </w:t>
            </w:r>
            <w:r w:rsidRPr="00E55947">
              <w:t>500)</w:t>
            </w:r>
          </w:p>
        </w:tc>
        <w:tc>
          <w:tcPr>
            <w:tcW w:w="4820" w:type="dxa"/>
          </w:tcPr>
          <w:p w14:paraId="7B4056F1" w14:textId="77777777" w:rsidR="00DB1564" w:rsidRPr="00E55947" w:rsidRDefault="00DB1564" w:rsidP="008D5985">
            <w:pPr>
              <w:pStyle w:val="BodyCopy"/>
              <w:rPr>
                <w:rFonts w:asciiTheme="minorHAnsi" w:hAnsiTheme="minorHAnsi" w:cstheme="minorBidi"/>
              </w:rPr>
            </w:pPr>
            <w:r w:rsidRPr="00E55947">
              <w:rPr>
                <w:rFonts w:asciiTheme="minorHAnsi" w:hAnsiTheme="minorHAnsi" w:cstheme="minorBidi"/>
                <w:kern w:val="24"/>
              </w:rPr>
              <w:t>High values associated with MBD</w:t>
            </w:r>
          </w:p>
          <w:p w14:paraId="6E544F63" w14:textId="77777777" w:rsidR="00DB1564" w:rsidRPr="00E55947" w:rsidRDefault="00DB1564" w:rsidP="008D5985">
            <w:pPr>
              <w:pStyle w:val="BodyCopy"/>
              <w:rPr>
                <w:rFonts w:cstheme="minorBidi"/>
                <w:b/>
              </w:rPr>
            </w:pPr>
            <w:r w:rsidRPr="00E55947">
              <w:rPr>
                <w:rFonts w:cstheme="minorBidi"/>
                <w:kern w:val="24"/>
              </w:rPr>
              <w:t>Low in Zn deficiency or steroid exposure</w:t>
            </w:r>
          </w:p>
        </w:tc>
      </w:tr>
      <w:tr w:rsidR="00DB1564" w:rsidRPr="00527B9F" w14:paraId="39A9820F" w14:textId="77777777" w:rsidTr="008D5985">
        <w:tc>
          <w:tcPr>
            <w:tcW w:w="1980" w:type="dxa"/>
          </w:tcPr>
          <w:p w14:paraId="64709444" w14:textId="77777777" w:rsidR="00DB1564" w:rsidRPr="00E55947" w:rsidRDefault="00DB1564" w:rsidP="008D5985">
            <w:pPr>
              <w:pStyle w:val="BodyCopy"/>
              <w:rPr>
                <w:b/>
              </w:rPr>
            </w:pPr>
            <w:r w:rsidRPr="00E55947">
              <w:t>Calcium corrected</w:t>
            </w:r>
          </w:p>
        </w:tc>
        <w:tc>
          <w:tcPr>
            <w:tcW w:w="2693" w:type="dxa"/>
          </w:tcPr>
          <w:p w14:paraId="4DF4D091" w14:textId="77777777" w:rsidR="00DB1564" w:rsidRPr="00E55947" w:rsidRDefault="00DB1564" w:rsidP="008D5985">
            <w:pPr>
              <w:pStyle w:val="BodyCopy"/>
              <w:rPr>
                <w:b/>
              </w:rPr>
            </w:pPr>
            <w:r>
              <w:t xml:space="preserve">Less than </w:t>
            </w:r>
            <w:r w:rsidRPr="00E55947">
              <w:t xml:space="preserve">2.1 or </w:t>
            </w:r>
            <w:r>
              <w:t>greater than</w:t>
            </w:r>
            <w:r w:rsidRPr="00E55947">
              <w:t xml:space="preserve"> 2.6 mmol/L</w:t>
            </w:r>
          </w:p>
        </w:tc>
        <w:tc>
          <w:tcPr>
            <w:tcW w:w="4820" w:type="dxa"/>
          </w:tcPr>
          <w:p w14:paraId="43F218AD" w14:textId="77777777" w:rsidR="00DB1564" w:rsidRPr="00E55947" w:rsidRDefault="00DB1564" w:rsidP="008D5985">
            <w:pPr>
              <w:pStyle w:val="BodyCopy"/>
              <w:rPr>
                <w:rFonts w:cstheme="minorBidi"/>
                <w:b/>
              </w:rPr>
            </w:pPr>
            <w:r w:rsidRPr="00E55947">
              <w:rPr>
                <w:rFonts w:cstheme="minorBidi"/>
                <w:kern w:val="24"/>
              </w:rPr>
              <w:t>Often NORMAL (compensation)</w:t>
            </w:r>
          </w:p>
        </w:tc>
      </w:tr>
      <w:tr w:rsidR="00DB1564" w:rsidRPr="00527B9F" w14:paraId="3DE940BB" w14:textId="77777777" w:rsidTr="008D5985">
        <w:tc>
          <w:tcPr>
            <w:tcW w:w="1980" w:type="dxa"/>
          </w:tcPr>
          <w:p w14:paraId="36EF51CA" w14:textId="77777777" w:rsidR="00DB1564" w:rsidRPr="00E55947" w:rsidRDefault="00DB1564" w:rsidP="008D5985">
            <w:pPr>
              <w:pStyle w:val="BodyCopy"/>
              <w:rPr>
                <w:b/>
              </w:rPr>
            </w:pPr>
            <w:r>
              <w:t>Tubular Reabsorption of Phosphorus (</w:t>
            </w:r>
            <w:r w:rsidRPr="00E55947">
              <w:t>TRP</w:t>
            </w:r>
            <w:r>
              <w:t>)</w:t>
            </w:r>
          </w:p>
        </w:tc>
        <w:tc>
          <w:tcPr>
            <w:tcW w:w="2693" w:type="dxa"/>
          </w:tcPr>
          <w:p w14:paraId="16219225" w14:textId="77777777" w:rsidR="00DB1564" w:rsidRPr="00E55947" w:rsidRDefault="00DB1564" w:rsidP="008D5985">
            <w:pPr>
              <w:pStyle w:val="BodyCopy"/>
            </w:pPr>
            <w:r>
              <w:t xml:space="preserve">Greater than </w:t>
            </w:r>
            <w:r w:rsidRPr="00E55947">
              <w:t>95</w:t>
            </w:r>
            <w:r>
              <w:t xml:space="preserve"> percent</w:t>
            </w:r>
            <w:r w:rsidRPr="00E55947">
              <w:t xml:space="preserve"> in the setting of low phosphate</w:t>
            </w:r>
          </w:p>
          <w:p w14:paraId="20F04E2A" w14:textId="77777777" w:rsidR="00DB1564" w:rsidRPr="00E55947" w:rsidRDefault="00DB1564" w:rsidP="008D5985">
            <w:pPr>
              <w:pStyle w:val="BodyCopy"/>
              <w:rPr>
                <w:b/>
              </w:rPr>
            </w:pPr>
            <w:r w:rsidRPr="00E55947">
              <w:t>(N 78</w:t>
            </w:r>
            <w:r>
              <w:t xml:space="preserve"> to </w:t>
            </w:r>
            <w:r w:rsidRPr="00E55947">
              <w:t>91</w:t>
            </w:r>
            <w:r>
              <w:t>percent</w:t>
            </w:r>
            <w:r w:rsidRPr="00E55947">
              <w:t>)</w:t>
            </w:r>
          </w:p>
        </w:tc>
        <w:tc>
          <w:tcPr>
            <w:tcW w:w="4820" w:type="dxa"/>
          </w:tcPr>
          <w:p w14:paraId="3DF367FE" w14:textId="77777777" w:rsidR="00DB1564" w:rsidRPr="00E55947" w:rsidRDefault="00DB1564" w:rsidP="008D5985">
            <w:pPr>
              <w:pStyle w:val="BodyCopy"/>
              <w:rPr>
                <w:rFonts w:cstheme="minorBidi"/>
                <w:b/>
              </w:rPr>
            </w:pPr>
            <w:r w:rsidRPr="00E55947">
              <w:rPr>
                <w:rFonts w:cstheme="minorBidi"/>
                <w:kern w:val="24"/>
              </w:rPr>
              <w:t xml:space="preserve">HIGH </w:t>
            </w:r>
            <w:r>
              <w:rPr>
                <w:rFonts w:cstheme="minorBidi"/>
                <w:kern w:val="24"/>
              </w:rPr>
              <w:t>equals</w:t>
            </w:r>
            <w:r w:rsidRPr="00E55947">
              <w:rPr>
                <w:rFonts w:cstheme="minorBidi"/>
                <w:kern w:val="24"/>
              </w:rPr>
              <w:t xml:space="preserve"> low urinary phosphate wasting: PO4 deficient</w:t>
            </w:r>
          </w:p>
        </w:tc>
      </w:tr>
      <w:tr w:rsidR="00DB1564" w:rsidRPr="00527B9F" w14:paraId="52EFF64D" w14:textId="77777777" w:rsidTr="008D5985">
        <w:tc>
          <w:tcPr>
            <w:tcW w:w="1980" w:type="dxa"/>
          </w:tcPr>
          <w:p w14:paraId="38652E62" w14:textId="0D1025F2" w:rsidR="00DB1564" w:rsidRPr="00E55947" w:rsidRDefault="00DB1564" w:rsidP="008D5985">
            <w:pPr>
              <w:pStyle w:val="BodyCopy"/>
              <w:rPr>
                <w:b/>
              </w:rPr>
            </w:pPr>
            <w:r w:rsidRPr="00E55947">
              <w:t xml:space="preserve">Urine </w:t>
            </w:r>
            <w:r>
              <w:t>Calcium Creatinine Ratio (</w:t>
            </w:r>
            <w:r w:rsidR="003F3D3C" w:rsidRPr="00E55947">
              <w:t>Ca: Cr</w:t>
            </w:r>
            <w:r>
              <w:t>)</w:t>
            </w:r>
          </w:p>
        </w:tc>
        <w:tc>
          <w:tcPr>
            <w:tcW w:w="2693" w:type="dxa"/>
          </w:tcPr>
          <w:p w14:paraId="1CB14763" w14:textId="77777777" w:rsidR="00DB1564" w:rsidRPr="00E55947" w:rsidRDefault="00DB1564" w:rsidP="008D5985">
            <w:pPr>
              <w:pStyle w:val="BodyCopy"/>
              <w:rPr>
                <w:rFonts w:asciiTheme="minorHAnsi" w:hAnsiTheme="minorHAnsi"/>
              </w:rPr>
            </w:pPr>
            <w:r>
              <w:rPr>
                <w:rFonts w:asciiTheme="minorHAnsi" w:hAnsiTheme="minorHAnsi"/>
              </w:rPr>
              <w:t xml:space="preserve">Greater than </w:t>
            </w:r>
            <w:r w:rsidRPr="00E55947">
              <w:rPr>
                <w:rFonts w:asciiTheme="minorHAnsi" w:hAnsiTheme="minorHAnsi"/>
              </w:rPr>
              <w:t>2.3 mmol/mmol</w:t>
            </w:r>
          </w:p>
          <w:p w14:paraId="580C5603" w14:textId="77777777" w:rsidR="00DB1564" w:rsidRPr="00E55947" w:rsidRDefault="00DB1564" w:rsidP="008D5985">
            <w:pPr>
              <w:pStyle w:val="BodyCopy"/>
              <w:rPr>
                <w:b/>
              </w:rPr>
            </w:pPr>
            <w:r w:rsidRPr="00E55947">
              <w:t xml:space="preserve">(N Preterm: </w:t>
            </w:r>
            <w:r>
              <w:t xml:space="preserve">less than </w:t>
            </w:r>
            <w:r w:rsidRPr="00E55947">
              <w:t>2.3)</w:t>
            </w:r>
          </w:p>
        </w:tc>
        <w:tc>
          <w:tcPr>
            <w:tcW w:w="4820" w:type="dxa"/>
          </w:tcPr>
          <w:p w14:paraId="6C4CA201" w14:textId="77777777" w:rsidR="00DB1564" w:rsidRPr="00E55947" w:rsidRDefault="00DB1564" w:rsidP="008D5985">
            <w:pPr>
              <w:pStyle w:val="BodyCopy"/>
              <w:rPr>
                <w:rFonts w:cstheme="minorBidi"/>
                <w:b/>
              </w:rPr>
            </w:pPr>
            <w:r w:rsidRPr="00E55947">
              <w:rPr>
                <w:rFonts w:cstheme="minorBidi"/>
                <w:kern w:val="24"/>
              </w:rPr>
              <w:t>Screen for hypercalciuria (excess Ca, loop diuretic, methylxanthine)</w:t>
            </w:r>
          </w:p>
        </w:tc>
      </w:tr>
      <w:tr w:rsidR="00DB1564" w:rsidRPr="00527B9F" w14:paraId="680CD7CC" w14:textId="77777777" w:rsidTr="008D5985">
        <w:tc>
          <w:tcPr>
            <w:tcW w:w="1980" w:type="dxa"/>
          </w:tcPr>
          <w:p w14:paraId="5AC8BE37" w14:textId="77777777" w:rsidR="00DB1564" w:rsidRPr="00E55947" w:rsidRDefault="00DB1564" w:rsidP="008D5985">
            <w:pPr>
              <w:pStyle w:val="BodyCopy"/>
              <w:rPr>
                <w:b/>
              </w:rPr>
            </w:pPr>
            <w:r>
              <w:t>Parathyroid Hormone (</w:t>
            </w:r>
            <w:r w:rsidRPr="00E55947">
              <w:t>PTH</w:t>
            </w:r>
            <w:r>
              <w:t>)</w:t>
            </w:r>
          </w:p>
        </w:tc>
        <w:tc>
          <w:tcPr>
            <w:tcW w:w="2693" w:type="dxa"/>
          </w:tcPr>
          <w:p w14:paraId="62362071" w14:textId="77777777" w:rsidR="00DB1564" w:rsidRPr="00E55947" w:rsidRDefault="00DB1564" w:rsidP="008D5985">
            <w:pPr>
              <w:pStyle w:val="BodyCopy"/>
              <w:rPr>
                <w:rFonts w:asciiTheme="minorHAnsi" w:hAnsiTheme="minorHAnsi"/>
              </w:rPr>
            </w:pPr>
            <w:r>
              <w:rPr>
                <w:rFonts w:asciiTheme="minorHAnsi" w:hAnsiTheme="minorHAnsi"/>
              </w:rPr>
              <w:t xml:space="preserve">Greater than </w:t>
            </w:r>
            <w:r w:rsidRPr="00E55947">
              <w:rPr>
                <w:rFonts w:asciiTheme="minorHAnsi" w:hAnsiTheme="minorHAnsi"/>
              </w:rPr>
              <w:t>10 pmol/L</w:t>
            </w:r>
          </w:p>
          <w:p w14:paraId="51876E6F" w14:textId="77777777" w:rsidR="00DB1564" w:rsidRPr="00E55947" w:rsidRDefault="00DB1564" w:rsidP="008D5985">
            <w:pPr>
              <w:pStyle w:val="BodyCopy"/>
              <w:rPr>
                <w:b/>
              </w:rPr>
            </w:pPr>
            <w:r w:rsidRPr="00E55947">
              <w:t>(N 1.1-7.4)</w:t>
            </w:r>
          </w:p>
        </w:tc>
        <w:tc>
          <w:tcPr>
            <w:tcW w:w="4820" w:type="dxa"/>
          </w:tcPr>
          <w:p w14:paraId="53A47AEE" w14:textId="3F8C7DD2" w:rsidR="00DB1564" w:rsidRPr="00E55947" w:rsidRDefault="00DB1564" w:rsidP="008D5985">
            <w:pPr>
              <w:pStyle w:val="BodyCopy"/>
              <w:rPr>
                <w:rFonts w:cstheme="minorBidi"/>
                <w:b/>
              </w:rPr>
            </w:pPr>
            <w:r w:rsidRPr="00E55947">
              <w:rPr>
                <w:rFonts w:cstheme="minorBidi"/>
                <w:kern w:val="24"/>
              </w:rPr>
              <w:t xml:space="preserve">Elevated in subclinical </w:t>
            </w:r>
            <w:r w:rsidR="00151F43" w:rsidRPr="00E55947">
              <w:rPr>
                <w:rFonts w:cstheme="minorBidi"/>
                <w:kern w:val="24"/>
              </w:rPr>
              <w:t>hypocalcemia</w:t>
            </w:r>
          </w:p>
        </w:tc>
      </w:tr>
      <w:tr w:rsidR="00DB1564" w:rsidRPr="00527B9F" w14:paraId="69B911F0" w14:textId="77777777" w:rsidTr="008D5985">
        <w:tc>
          <w:tcPr>
            <w:tcW w:w="1980" w:type="dxa"/>
          </w:tcPr>
          <w:p w14:paraId="4FBF970F" w14:textId="77777777" w:rsidR="00DB1564" w:rsidRPr="00E55947" w:rsidRDefault="00DB1564" w:rsidP="008D5985">
            <w:pPr>
              <w:pStyle w:val="BodyCopy"/>
              <w:rPr>
                <w:b/>
              </w:rPr>
            </w:pPr>
            <w:r w:rsidRPr="00E55947">
              <w:t>Vitamin D</w:t>
            </w:r>
          </w:p>
        </w:tc>
        <w:tc>
          <w:tcPr>
            <w:tcW w:w="2693" w:type="dxa"/>
          </w:tcPr>
          <w:p w14:paraId="0412EE26" w14:textId="77777777" w:rsidR="00DB1564" w:rsidRPr="00E55947" w:rsidRDefault="00DB1564" w:rsidP="008D5985">
            <w:pPr>
              <w:pStyle w:val="BodyCopy"/>
              <w:rPr>
                <w:b/>
              </w:rPr>
            </w:pPr>
            <w:r>
              <w:t xml:space="preserve">Less than </w:t>
            </w:r>
            <w:r w:rsidRPr="00E55947">
              <w:t>75 nmol/L</w:t>
            </w:r>
          </w:p>
        </w:tc>
        <w:tc>
          <w:tcPr>
            <w:tcW w:w="4820" w:type="dxa"/>
          </w:tcPr>
          <w:p w14:paraId="6546D728" w14:textId="77777777" w:rsidR="00DB1564" w:rsidRPr="00E55947" w:rsidRDefault="00DB1564" w:rsidP="008D5985">
            <w:pPr>
              <w:pStyle w:val="BodyCopy"/>
              <w:rPr>
                <w:rFonts w:cstheme="minorBidi"/>
                <w:b/>
              </w:rPr>
            </w:pPr>
            <w:r>
              <w:rPr>
                <w:rFonts w:cstheme="minorBidi"/>
                <w:kern w:val="24"/>
              </w:rPr>
              <w:t xml:space="preserve">Less than </w:t>
            </w:r>
            <w:r w:rsidRPr="00E55947">
              <w:rPr>
                <w:rFonts w:cstheme="minorBidi"/>
                <w:kern w:val="24"/>
              </w:rPr>
              <w:t>50 nmol/L s/o deficiency</w:t>
            </w:r>
          </w:p>
        </w:tc>
      </w:tr>
      <w:tr w:rsidR="00DB1564" w:rsidRPr="00527B9F" w14:paraId="6B2213AC" w14:textId="77777777" w:rsidTr="008D5985">
        <w:tc>
          <w:tcPr>
            <w:tcW w:w="1980" w:type="dxa"/>
          </w:tcPr>
          <w:p w14:paraId="7BF2206A" w14:textId="77777777" w:rsidR="00DB1564" w:rsidRPr="00E55947" w:rsidRDefault="00DB1564" w:rsidP="008D5985">
            <w:pPr>
              <w:pStyle w:val="BodyCopy"/>
              <w:rPr>
                <w:b/>
              </w:rPr>
            </w:pPr>
            <w:r w:rsidRPr="00E55947">
              <w:t>Phosphate</w:t>
            </w:r>
          </w:p>
        </w:tc>
        <w:tc>
          <w:tcPr>
            <w:tcW w:w="2693" w:type="dxa"/>
          </w:tcPr>
          <w:p w14:paraId="12D288DB" w14:textId="77777777" w:rsidR="00DB1564" w:rsidRPr="00E55947" w:rsidRDefault="00DB1564" w:rsidP="008D5985">
            <w:pPr>
              <w:pStyle w:val="BodyCopy"/>
              <w:rPr>
                <w:rFonts w:asciiTheme="minorHAnsi" w:hAnsiTheme="minorHAnsi"/>
              </w:rPr>
            </w:pPr>
            <w:r>
              <w:rPr>
                <w:rFonts w:asciiTheme="minorHAnsi" w:hAnsiTheme="minorHAnsi"/>
              </w:rPr>
              <w:t xml:space="preserve">Less than </w:t>
            </w:r>
            <w:r w:rsidRPr="00E55947">
              <w:rPr>
                <w:rFonts w:asciiTheme="minorHAnsi" w:hAnsiTheme="minorHAnsi"/>
              </w:rPr>
              <w:t>1.8 mmol/L</w:t>
            </w:r>
          </w:p>
          <w:p w14:paraId="31D90743" w14:textId="77777777" w:rsidR="00DB1564" w:rsidRPr="00E55947" w:rsidRDefault="00DB1564" w:rsidP="008D5985">
            <w:pPr>
              <w:pStyle w:val="BodyCopy"/>
              <w:rPr>
                <w:b/>
              </w:rPr>
            </w:pPr>
            <w:r w:rsidRPr="00E55947">
              <w:t>(N 1.8-2.3)</w:t>
            </w:r>
          </w:p>
        </w:tc>
        <w:tc>
          <w:tcPr>
            <w:tcW w:w="4820" w:type="dxa"/>
          </w:tcPr>
          <w:p w14:paraId="6DF856AD" w14:textId="77777777" w:rsidR="00DB1564" w:rsidRPr="00E55947" w:rsidRDefault="00DB1564" w:rsidP="008D5985">
            <w:pPr>
              <w:pStyle w:val="BodyCopy"/>
              <w:rPr>
                <w:rFonts w:cstheme="minorBidi"/>
                <w:b/>
              </w:rPr>
            </w:pPr>
            <w:r w:rsidRPr="00E55947">
              <w:rPr>
                <w:rFonts w:cstheme="minorBidi"/>
                <w:kern w:val="24"/>
              </w:rPr>
              <w:t>Low levels correlate with MBD</w:t>
            </w:r>
          </w:p>
        </w:tc>
      </w:tr>
    </w:tbl>
    <w:p w14:paraId="556F0F84" w14:textId="77777777" w:rsidR="003E2A09" w:rsidRDefault="003E2A09" w:rsidP="00C61ACF">
      <w:pPr>
        <w:pStyle w:val="Heading6"/>
        <w:rPr>
          <w:b/>
          <w:bCs/>
        </w:rPr>
      </w:pPr>
    </w:p>
    <w:p w14:paraId="592F0473" w14:textId="77777777" w:rsidR="00E326C6" w:rsidRDefault="00E326C6" w:rsidP="00E326C6">
      <w:pPr>
        <w:pStyle w:val="BodyCopy"/>
      </w:pPr>
    </w:p>
    <w:p w14:paraId="27138149" w14:textId="77777777" w:rsidR="00E326C6" w:rsidRDefault="00E326C6" w:rsidP="00E326C6">
      <w:pPr>
        <w:pStyle w:val="BodyCopy"/>
      </w:pPr>
    </w:p>
    <w:p w14:paraId="4912821A" w14:textId="77777777" w:rsidR="00E326C6" w:rsidRPr="00E326C6" w:rsidRDefault="00E326C6" w:rsidP="00E326C6">
      <w:pPr>
        <w:pStyle w:val="BodyCopy"/>
      </w:pPr>
    </w:p>
    <w:p w14:paraId="10D511E0" w14:textId="1D7610CB" w:rsidR="00BC7329" w:rsidRPr="00E326C6" w:rsidRDefault="00BC7329" w:rsidP="00C61ACF">
      <w:pPr>
        <w:pStyle w:val="Heading6"/>
      </w:pPr>
      <w:r w:rsidRPr="00E326C6">
        <w:lastRenderedPageBreak/>
        <w:t>Interpretation</w:t>
      </w:r>
    </w:p>
    <w:tbl>
      <w:tblPr>
        <w:tblStyle w:val="TableGrid"/>
        <w:tblW w:w="9493" w:type="dxa"/>
        <w:tblLook w:val="04A0" w:firstRow="1" w:lastRow="0" w:firstColumn="1" w:lastColumn="0" w:noHBand="0" w:noVBand="1"/>
      </w:tblPr>
      <w:tblGrid>
        <w:gridCol w:w="3020"/>
        <w:gridCol w:w="3020"/>
        <w:gridCol w:w="3453"/>
      </w:tblGrid>
      <w:tr w:rsidR="00DB1564" w14:paraId="51040168" w14:textId="77777777" w:rsidTr="0064704F">
        <w:trPr>
          <w:trHeight w:val="545"/>
        </w:trPr>
        <w:tc>
          <w:tcPr>
            <w:tcW w:w="9493" w:type="dxa"/>
            <w:gridSpan w:val="3"/>
            <w:shd w:val="clear" w:color="auto" w:fill="D9D9D9" w:themeFill="background1" w:themeFillShade="D9"/>
          </w:tcPr>
          <w:p w14:paraId="36E38221" w14:textId="77777777" w:rsidR="00DB1564" w:rsidRPr="064061D1" w:rsidRDefault="00DB1564" w:rsidP="008D5985">
            <w:pPr>
              <w:pStyle w:val="Tableheader-black"/>
              <w:jc w:val="center"/>
            </w:pPr>
            <w:r>
              <w:t>Table 6 – Interpretation of MBD screening</w:t>
            </w:r>
          </w:p>
        </w:tc>
      </w:tr>
      <w:tr w:rsidR="00DB1564" w14:paraId="6195FABA" w14:textId="77777777" w:rsidTr="008D5985">
        <w:trPr>
          <w:trHeight w:val="720"/>
        </w:trPr>
        <w:tc>
          <w:tcPr>
            <w:tcW w:w="3020" w:type="dxa"/>
            <w:shd w:val="clear" w:color="auto" w:fill="D9D9D9" w:themeFill="background1" w:themeFillShade="D9"/>
          </w:tcPr>
          <w:p w14:paraId="21B6CF52" w14:textId="77777777" w:rsidR="00DB1564" w:rsidRDefault="00DB1564" w:rsidP="008D5985">
            <w:pPr>
              <w:pStyle w:val="Tableheader-black"/>
              <w:jc w:val="center"/>
            </w:pPr>
            <w:r w:rsidRPr="064061D1">
              <w:t>Phosphate Deficiency</w:t>
            </w:r>
          </w:p>
          <w:p w14:paraId="7D3C3CC6" w14:textId="77777777" w:rsidR="00DB1564" w:rsidRDefault="00DB1564" w:rsidP="008D5985">
            <w:pPr>
              <w:pStyle w:val="Tableheader-black"/>
              <w:jc w:val="center"/>
            </w:pPr>
            <w:r w:rsidRPr="064061D1">
              <w:t>(Most Common)</w:t>
            </w:r>
          </w:p>
        </w:tc>
        <w:tc>
          <w:tcPr>
            <w:tcW w:w="3020" w:type="dxa"/>
            <w:shd w:val="clear" w:color="auto" w:fill="D9D9D9" w:themeFill="background1" w:themeFillShade="D9"/>
          </w:tcPr>
          <w:p w14:paraId="0AF47CC8" w14:textId="77777777" w:rsidR="00DB1564" w:rsidRDefault="00DB1564" w:rsidP="008D5985">
            <w:pPr>
              <w:pStyle w:val="Tableheader-black"/>
              <w:jc w:val="center"/>
            </w:pPr>
            <w:r w:rsidRPr="064061D1">
              <w:t>Calcium Deficiency</w:t>
            </w:r>
          </w:p>
          <w:p w14:paraId="6063BA14" w14:textId="77777777" w:rsidR="00DB1564" w:rsidRDefault="00DB1564" w:rsidP="008D5985">
            <w:pPr>
              <w:pStyle w:val="Tableheader-black"/>
              <w:jc w:val="center"/>
            </w:pPr>
          </w:p>
        </w:tc>
        <w:tc>
          <w:tcPr>
            <w:tcW w:w="3453" w:type="dxa"/>
            <w:shd w:val="clear" w:color="auto" w:fill="D9D9D9" w:themeFill="background1" w:themeFillShade="D9"/>
          </w:tcPr>
          <w:p w14:paraId="6CE67EA9" w14:textId="77777777" w:rsidR="00DB1564" w:rsidRDefault="00DB1564" w:rsidP="008D5985">
            <w:pPr>
              <w:pStyle w:val="Tableheader-black"/>
              <w:jc w:val="center"/>
            </w:pPr>
            <w:r w:rsidRPr="064061D1">
              <w:t>Calcium And Phosphate Deficienc</w:t>
            </w:r>
            <w:r>
              <w:t>y</w:t>
            </w:r>
          </w:p>
        </w:tc>
      </w:tr>
      <w:tr w:rsidR="00DB1564" w14:paraId="6FB9685D" w14:textId="77777777" w:rsidTr="008D5985">
        <w:trPr>
          <w:trHeight w:val="2117"/>
        </w:trPr>
        <w:tc>
          <w:tcPr>
            <w:tcW w:w="3020" w:type="dxa"/>
            <w:shd w:val="clear" w:color="auto" w:fill="auto"/>
          </w:tcPr>
          <w:p w14:paraId="51C0899C" w14:textId="77777777" w:rsidR="00DB1564" w:rsidRPr="00527B9F" w:rsidRDefault="00DB1564" w:rsidP="0064704F">
            <w:pPr>
              <w:pStyle w:val="Bullet"/>
              <w:ind w:left="425" w:hanging="425"/>
              <w:rPr>
                <w:lang w:val="en-PH"/>
              </w:rPr>
            </w:pPr>
            <w:r w:rsidRPr="064061D1">
              <w:rPr>
                <w:lang w:val="en-PH"/>
              </w:rPr>
              <w:t>Low Phosphate</w:t>
            </w:r>
          </w:p>
          <w:p w14:paraId="626C0FEB" w14:textId="77777777" w:rsidR="00DB1564" w:rsidRPr="00527B9F" w:rsidRDefault="00DB1564" w:rsidP="0064704F">
            <w:pPr>
              <w:pStyle w:val="Bullet"/>
              <w:ind w:left="425" w:hanging="425"/>
              <w:rPr>
                <w:lang w:val="en-PH"/>
              </w:rPr>
            </w:pPr>
            <w:r w:rsidRPr="064061D1">
              <w:rPr>
                <w:lang w:val="en-PH"/>
              </w:rPr>
              <w:t>Increased ALKP</w:t>
            </w:r>
          </w:p>
          <w:p w14:paraId="66AB99F0" w14:textId="77777777" w:rsidR="00DB1564" w:rsidRPr="00527B9F" w:rsidRDefault="00DB1564" w:rsidP="0064704F">
            <w:pPr>
              <w:pStyle w:val="Bullet"/>
              <w:ind w:left="425" w:hanging="425"/>
              <w:rPr>
                <w:lang w:val="en-PH"/>
              </w:rPr>
            </w:pPr>
            <w:r w:rsidRPr="064061D1">
              <w:rPr>
                <w:lang w:val="en-PH"/>
              </w:rPr>
              <w:t>Increased TRP</w:t>
            </w:r>
          </w:p>
          <w:p w14:paraId="603D77C8" w14:textId="77777777" w:rsidR="00DB1564" w:rsidRPr="00527B9F" w:rsidRDefault="00DB1564" w:rsidP="0064704F">
            <w:pPr>
              <w:pStyle w:val="Bullet"/>
              <w:ind w:left="425" w:hanging="425"/>
              <w:rPr>
                <w:lang w:val="en-PH"/>
              </w:rPr>
            </w:pPr>
            <w:r w:rsidRPr="064061D1">
              <w:rPr>
                <w:lang w:val="en-PH"/>
              </w:rPr>
              <w:t>Normal or Decreased PTH</w:t>
            </w:r>
          </w:p>
          <w:p w14:paraId="31292D91" w14:textId="77777777" w:rsidR="00DB1564" w:rsidRPr="00527B9F" w:rsidRDefault="00DB1564" w:rsidP="0064704F">
            <w:pPr>
              <w:pStyle w:val="Bullet"/>
              <w:ind w:left="425" w:hanging="425"/>
              <w:rPr>
                <w:lang w:val="en-PH"/>
              </w:rPr>
            </w:pPr>
            <w:r w:rsidRPr="064061D1">
              <w:rPr>
                <w:lang w:val="en-PH"/>
              </w:rPr>
              <w:t>Increased urine Ca/Creat</w:t>
            </w:r>
          </w:p>
          <w:p w14:paraId="13C5DB76" w14:textId="77777777" w:rsidR="00DB1564" w:rsidRPr="00527B9F" w:rsidRDefault="00DB1564" w:rsidP="0064704F">
            <w:pPr>
              <w:pStyle w:val="Bullet"/>
              <w:ind w:left="425" w:hanging="425"/>
              <w:rPr>
                <w:b/>
                <w:bCs/>
              </w:rPr>
            </w:pPr>
            <w:r w:rsidRPr="064061D1">
              <w:rPr>
                <w:lang w:val="en-PH"/>
              </w:rPr>
              <w:t>Normal or Increased Ca</w:t>
            </w:r>
          </w:p>
        </w:tc>
        <w:tc>
          <w:tcPr>
            <w:tcW w:w="3020" w:type="dxa"/>
            <w:shd w:val="clear" w:color="auto" w:fill="auto"/>
          </w:tcPr>
          <w:p w14:paraId="2880F1CB" w14:textId="012D8A4C" w:rsidR="00DB1564" w:rsidRPr="000E1645" w:rsidRDefault="00DB1564" w:rsidP="0064704F">
            <w:pPr>
              <w:pStyle w:val="Bullet"/>
              <w:ind w:left="425" w:hanging="425"/>
            </w:pPr>
            <w:r>
              <w:t>Normal of decreased Ca</w:t>
            </w:r>
          </w:p>
          <w:p w14:paraId="75C8CDDD" w14:textId="77777777" w:rsidR="00DB1564" w:rsidRPr="000E1645" w:rsidRDefault="00DB1564" w:rsidP="0064704F">
            <w:pPr>
              <w:pStyle w:val="Bullet"/>
              <w:ind w:left="425" w:hanging="425"/>
            </w:pPr>
            <w:r>
              <w:t>Increased ALKP</w:t>
            </w:r>
          </w:p>
          <w:p w14:paraId="338E7E50" w14:textId="77777777" w:rsidR="00DB1564" w:rsidRPr="000E1645" w:rsidRDefault="00DB1564" w:rsidP="0064704F">
            <w:pPr>
              <w:pStyle w:val="Bullet"/>
              <w:ind w:left="425" w:hanging="425"/>
            </w:pPr>
            <w:r>
              <w:t>Decreased TRP</w:t>
            </w:r>
          </w:p>
          <w:p w14:paraId="7C90939B" w14:textId="77777777" w:rsidR="00DB1564" w:rsidRPr="000E1645" w:rsidRDefault="00DB1564" w:rsidP="0064704F">
            <w:pPr>
              <w:pStyle w:val="Bullet"/>
              <w:ind w:left="425" w:hanging="425"/>
            </w:pPr>
            <w:r>
              <w:t>Increased PTH</w:t>
            </w:r>
          </w:p>
          <w:p w14:paraId="517BABA0" w14:textId="77777777" w:rsidR="00DB1564" w:rsidRPr="000E1645" w:rsidRDefault="00DB1564" w:rsidP="0064704F">
            <w:pPr>
              <w:pStyle w:val="Bullet"/>
              <w:ind w:left="425" w:hanging="425"/>
            </w:pPr>
            <w:r>
              <w:t>Normal of decreased urinary Ca/Creat</w:t>
            </w:r>
          </w:p>
          <w:p w14:paraId="1073FEF5" w14:textId="77777777" w:rsidR="00DB1564" w:rsidRPr="00527B9F" w:rsidRDefault="00DB1564" w:rsidP="0064704F">
            <w:pPr>
              <w:pStyle w:val="Bullet"/>
              <w:ind w:left="425" w:hanging="425"/>
              <w:rPr>
                <w:b/>
                <w:bCs/>
              </w:rPr>
            </w:pPr>
            <w:r>
              <w:t>Normal or high Phosphate</w:t>
            </w:r>
          </w:p>
        </w:tc>
        <w:tc>
          <w:tcPr>
            <w:tcW w:w="3453" w:type="dxa"/>
            <w:shd w:val="clear" w:color="auto" w:fill="auto"/>
          </w:tcPr>
          <w:p w14:paraId="4D08AAB6" w14:textId="77777777" w:rsidR="00DB1564" w:rsidRPr="000E1645" w:rsidRDefault="00DB1564" w:rsidP="0064704F">
            <w:pPr>
              <w:pStyle w:val="Bullet"/>
              <w:ind w:left="425" w:hanging="425"/>
            </w:pPr>
            <w:r>
              <w:t>Normal of decreased Ca</w:t>
            </w:r>
          </w:p>
          <w:p w14:paraId="6089DA50" w14:textId="77777777" w:rsidR="00DB1564" w:rsidRPr="000E1645" w:rsidRDefault="00DB1564" w:rsidP="0064704F">
            <w:pPr>
              <w:pStyle w:val="Bullet"/>
              <w:ind w:left="425" w:hanging="425"/>
            </w:pPr>
            <w:r>
              <w:t>Increased ALKP</w:t>
            </w:r>
          </w:p>
          <w:p w14:paraId="238912DE" w14:textId="77777777" w:rsidR="00DB1564" w:rsidRPr="000E1645" w:rsidRDefault="00DB1564" w:rsidP="0064704F">
            <w:pPr>
              <w:pStyle w:val="Bullet"/>
              <w:ind w:left="425" w:hanging="425"/>
            </w:pPr>
            <w:r>
              <w:t>Decreased TRP</w:t>
            </w:r>
          </w:p>
          <w:p w14:paraId="5CA5A663" w14:textId="77777777" w:rsidR="00DB1564" w:rsidRPr="000E1645" w:rsidRDefault="00DB1564" w:rsidP="0064704F">
            <w:pPr>
              <w:pStyle w:val="Bullet"/>
              <w:ind w:left="425" w:hanging="425"/>
            </w:pPr>
            <w:r>
              <w:t>Increased PTH</w:t>
            </w:r>
          </w:p>
          <w:p w14:paraId="59ED18B4" w14:textId="77777777" w:rsidR="00DB1564" w:rsidRPr="000E1645" w:rsidRDefault="00DB1564" w:rsidP="0064704F">
            <w:pPr>
              <w:pStyle w:val="Bullet"/>
              <w:ind w:left="425" w:hanging="425"/>
            </w:pPr>
            <w:r>
              <w:t>Normal of decreased urinary Ca/Creat</w:t>
            </w:r>
          </w:p>
          <w:p w14:paraId="77D98B14" w14:textId="77777777" w:rsidR="00DB1564" w:rsidRPr="00527B9F" w:rsidRDefault="00DB1564" w:rsidP="0064704F">
            <w:pPr>
              <w:pStyle w:val="Bullet"/>
              <w:ind w:left="425" w:hanging="425"/>
              <w:rPr>
                <w:b/>
                <w:bCs/>
              </w:rPr>
            </w:pPr>
            <w:r>
              <w:t>Low Phosphate</w:t>
            </w:r>
          </w:p>
        </w:tc>
      </w:tr>
    </w:tbl>
    <w:p w14:paraId="6DDB1DD2" w14:textId="77777777" w:rsidR="00D065DE" w:rsidRPr="00DB1564" w:rsidRDefault="00D065DE" w:rsidP="00DB1564">
      <w:pPr>
        <w:jc w:val="both"/>
      </w:pPr>
    </w:p>
    <w:p w14:paraId="0F8C49E5" w14:textId="7C646C6B" w:rsidR="00BC7329" w:rsidRDefault="00BC7329" w:rsidP="005D0BE7">
      <w:pPr>
        <w:pStyle w:val="Heading3"/>
      </w:pPr>
      <w:bookmarkStart w:id="57" w:name="_Toc174601169"/>
      <w:bookmarkStart w:id="58" w:name="_Toc199497079"/>
      <w:r w:rsidRPr="0005028A">
        <w:t>3.3 Management</w:t>
      </w:r>
      <w:bookmarkEnd w:id="57"/>
      <w:bookmarkEnd w:id="58"/>
    </w:p>
    <w:p w14:paraId="47632712" w14:textId="77777777" w:rsidR="003E2A09" w:rsidRDefault="003E2A09" w:rsidP="003E2A09">
      <w:pPr>
        <w:pStyle w:val="BodyCopy"/>
        <w:pBdr>
          <w:top w:val="single" w:sz="4" w:space="1" w:color="auto"/>
          <w:left w:val="single" w:sz="4" w:space="4" w:color="auto"/>
          <w:bottom w:val="single" w:sz="4" w:space="1" w:color="auto"/>
          <w:right w:val="single" w:sz="4" w:space="4" w:color="auto"/>
        </w:pBdr>
      </w:pPr>
      <w:r w:rsidRPr="003E2A09">
        <w:rPr>
          <w:b/>
        </w:rPr>
        <w:t>Note</w:t>
      </w:r>
      <w:r w:rsidRPr="003E2A09">
        <w:t xml:space="preserve">: </w:t>
      </w:r>
    </w:p>
    <w:p w14:paraId="71282F9E" w14:textId="42796D4E" w:rsidR="003E2A09" w:rsidRPr="003E2A09" w:rsidRDefault="003E2A09" w:rsidP="003E2A09">
      <w:pPr>
        <w:pStyle w:val="BodyCopy"/>
        <w:pBdr>
          <w:top w:val="single" w:sz="4" w:space="1" w:color="auto"/>
          <w:left w:val="single" w:sz="4" w:space="4" w:color="auto"/>
          <w:bottom w:val="single" w:sz="4" w:space="1" w:color="auto"/>
          <w:right w:val="single" w:sz="4" w:space="4" w:color="auto"/>
        </w:pBdr>
      </w:pPr>
      <w:r w:rsidRPr="003E2A09">
        <w:t xml:space="preserve">Refer to the </w:t>
      </w:r>
      <w:r w:rsidRPr="003E2A09">
        <w:rPr>
          <w:i/>
        </w:rPr>
        <w:t>Neonatal Intensive Care Medication Guidance: Australian Neonatal Medicines Formulary (ANMF) Guideline</w:t>
      </w:r>
      <w:r w:rsidRPr="003E2A09">
        <w:t xml:space="preserve"> (available on the CHS Policy and Guidance Documents Register) for dosing of supplements.</w:t>
      </w:r>
    </w:p>
    <w:p w14:paraId="2439763D" w14:textId="77777777" w:rsidR="003E2A09" w:rsidRPr="003E2A09" w:rsidRDefault="003E2A09" w:rsidP="003E2A09">
      <w:pPr>
        <w:pStyle w:val="BodyCopy"/>
      </w:pPr>
    </w:p>
    <w:p w14:paraId="3295858A" w14:textId="56081B55" w:rsidR="00BC7329" w:rsidRPr="00AD518A" w:rsidRDefault="00DB1564" w:rsidP="0005028A">
      <w:pPr>
        <w:jc w:val="center"/>
      </w:pPr>
      <w:r w:rsidDel="00B61691">
        <w:rPr>
          <w:noProof/>
        </w:rPr>
        <w:lastRenderedPageBreak/>
        <w:drawing>
          <wp:inline distT="0" distB="0" distL="0" distR="0" wp14:anchorId="4C6AEED9" wp14:editId="100D62F3">
            <wp:extent cx="3782596" cy="4937760"/>
            <wp:effectExtent l="0" t="0" r="8890" b="0"/>
            <wp:docPr id="35270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01791" name=""/>
                    <pic:cNvPicPr/>
                  </pic:nvPicPr>
                  <pic:blipFill>
                    <a:blip r:embed="rId20"/>
                    <a:stretch>
                      <a:fillRect/>
                    </a:stretch>
                  </pic:blipFill>
                  <pic:spPr>
                    <a:xfrm>
                      <a:off x="0" y="0"/>
                      <a:ext cx="3792695" cy="4950944"/>
                    </a:xfrm>
                    <a:prstGeom prst="rect">
                      <a:avLst/>
                    </a:prstGeom>
                  </pic:spPr>
                </pic:pic>
              </a:graphicData>
            </a:graphic>
          </wp:inline>
        </w:drawing>
      </w:r>
    </w:p>
    <w:p w14:paraId="2718F065" w14:textId="77777777" w:rsidR="00DB1564" w:rsidRDefault="00DB1564" w:rsidP="00C20F00">
      <w:pPr>
        <w:pStyle w:val="Bullet"/>
        <w:numPr>
          <w:ilvl w:val="0"/>
          <w:numId w:val="27"/>
        </w:numPr>
        <w:ind w:left="425" w:hanging="425"/>
      </w:pPr>
      <w:r>
        <w:t>Add fortifier as soon as possible after commencing feeds (per protocol)</w:t>
      </w:r>
    </w:p>
    <w:p w14:paraId="02CB251E" w14:textId="2BD1F716" w:rsidR="00DB1564" w:rsidRDefault="00DB1564" w:rsidP="00C20F00">
      <w:pPr>
        <w:pStyle w:val="Bullet"/>
        <w:numPr>
          <w:ilvl w:val="0"/>
          <w:numId w:val="27"/>
        </w:numPr>
        <w:ind w:left="425" w:hanging="425"/>
      </w:pPr>
      <w:r>
        <w:t xml:space="preserve">For specific dosing, </w:t>
      </w:r>
      <w:r w:rsidR="00222CC9">
        <w:t>administration, precautions</w:t>
      </w:r>
      <w:r w:rsidR="002304E0">
        <w:t>, and</w:t>
      </w:r>
      <w:r>
        <w:t xml:space="preserve"> instructions for Calcium and Phosphate supplements, refer to </w:t>
      </w:r>
      <w:r w:rsidRPr="0088447B">
        <w:rPr>
          <w:i/>
          <w:iCs/>
        </w:rPr>
        <w:t>Neonatal Intensive Care Medication Guidance</w:t>
      </w:r>
      <w:r>
        <w:rPr>
          <w:i/>
          <w:iCs/>
        </w:rPr>
        <w:t>:</w:t>
      </w:r>
      <w:r w:rsidRPr="0088447B">
        <w:rPr>
          <w:i/>
          <w:iCs/>
        </w:rPr>
        <w:t xml:space="preserve"> Australian Neonatal Medicines Formulary (ANMF)</w:t>
      </w:r>
      <w:r>
        <w:rPr>
          <w:i/>
          <w:iCs/>
        </w:rPr>
        <w:t xml:space="preserve"> Guideline </w:t>
      </w:r>
      <w:r>
        <w:t xml:space="preserve">(available on the CHS Policy and Guidance Documents Register). </w:t>
      </w:r>
    </w:p>
    <w:p w14:paraId="465B9BE2" w14:textId="1291E0DB" w:rsidR="00DB1564" w:rsidRDefault="00DB1564" w:rsidP="00C20F00">
      <w:pPr>
        <w:pStyle w:val="Bullet"/>
        <w:numPr>
          <w:ilvl w:val="0"/>
          <w:numId w:val="27"/>
        </w:numPr>
        <w:ind w:left="425" w:hanging="425"/>
      </w:pPr>
      <w:r>
        <w:t>The method described to optimise mineral intake is to supplement calcium and phosphate with the goal of achieving a slight surplus of supply (SSS). In infants not on diuretics or methylxanthines, this is achieved by regular adjustments to mineral intake with a goal of achieving a slight excess of urinary mineral excretion (urine concentrations of 1 to 2 mmo/L).</w:t>
      </w:r>
    </w:p>
    <w:p w14:paraId="4377F87B" w14:textId="77777777" w:rsidR="00DB1564" w:rsidRDefault="00DB1564" w:rsidP="00C20F00">
      <w:pPr>
        <w:pStyle w:val="Bullet"/>
        <w:numPr>
          <w:ilvl w:val="0"/>
          <w:numId w:val="27"/>
        </w:numPr>
        <w:ind w:left="425" w:hanging="425"/>
      </w:pPr>
      <w:r>
        <w:t>Poor linear growth in an otherwise well-nourished ex-preterm infant may indicate ongoing Ca and P deficiency.</w:t>
      </w:r>
    </w:p>
    <w:p w14:paraId="6C846D2F" w14:textId="77777777" w:rsidR="00DB1564" w:rsidRDefault="00DB1564" w:rsidP="00C20F00">
      <w:pPr>
        <w:pStyle w:val="Bullet"/>
        <w:numPr>
          <w:ilvl w:val="0"/>
          <w:numId w:val="27"/>
        </w:numPr>
        <w:ind w:left="425" w:hanging="425"/>
      </w:pPr>
      <w:r w:rsidRPr="00F8261B">
        <w:t xml:space="preserve">Hypercalcaemia </w:t>
      </w:r>
      <w:r>
        <w:t xml:space="preserve">(Ca greater than 2.8 mmol/L) </w:t>
      </w:r>
      <w:r w:rsidRPr="00F8261B">
        <w:t>is rarely a sign of excessive Ca intake</w:t>
      </w:r>
      <w:r>
        <w:t xml:space="preserve">; </w:t>
      </w:r>
      <w:r w:rsidRPr="00F8261B">
        <w:t>therefore</w:t>
      </w:r>
      <w:r>
        <w:t>,</w:t>
      </w:r>
      <w:r w:rsidRPr="00F8261B">
        <w:t xml:space="preserve"> decreasing fortifier concentration will not help improve hypercalcaemia (and will deprive the patient of all other extra nutrients)</w:t>
      </w:r>
      <w:r>
        <w:t>.</w:t>
      </w:r>
    </w:p>
    <w:p w14:paraId="2F5D907F" w14:textId="06A30705" w:rsidR="00DB1564" w:rsidRDefault="00BB0E03" w:rsidP="00C20F00">
      <w:pPr>
        <w:pStyle w:val="Bullet"/>
        <w:numPr>
          <w:ilvl w:val="0"/>
          <w:numId w:val="27"/>
        </w:numPr>
        <w:ind w:left="425" w:hanging="425"/>
      </w:pPr>
      <w:r>
        <w:lastRenderedPageBreak/>
        <w:t>The m</w:t>
      </w:r>
      <w:r w:rsidR="00DB1564">
        <w:t xml:space="preserve">ost common cause for hypercalcemia is hypophosphatemia and thiazide diuretics. Excess Vitamin D supplements can also cause hypercalcemia. For persistent hypercalcemia, check TRP, Vit D and PTH levels. </w:t>
      </w:r>
      <w:r w:rsidR="00DB1564" w:rsidRPr="00701175">
        <w:t>Add more P supplements in suggestive circumstances, stop diuretics, and/or screen for nephrocalcinosis by renal ultrasound</w:t>
      </w:r>
      <w:r w:rsidR="00DB1564">
        <w:t>.</w:t>
      </w:r>
    </w:p>
    <w:p w14:paraId="337D2BAF" w14:textId="77777777" w:rsidR="00DB1564" w:rsidRPr="00AD518A" w:rsidRDefault="00DB1564" w:rsidP="00C20F00">
      <w:pPr>
        <w:pStyle w:val="Bullet"/>
        <w:numPr>
          <w:ilvl w:val="0"/>
          <w:numId w:val="27"/>
        </w:numPr>
        <w:ind w:left="425" w:hanging="425"/>
      </w:pPr>
      <w:r>
        <w:t>Refer infant to Endocrinologist if:</w:t>
      </w:r>
    </w:p>
    <w:p w14:paraId="6401A05B" w14:textId="77777777" w:rsidR="00DB1564" w:rsidRDefault="00DB1564" w:rsidP="00C20F00">
      <w:pPr>
        <w:pStyle w:val="Bullet"/>
        <w:numPr>
          <w:ilvl w:val="1"/>
          <w:numId w:val="27"/>
        </w:numPr>
      </w:pPr>
      <w:r>
        <w:t>Clinically complex</w:t>
      </w:r>
    </w:p>
    <w:p w14:paraId="2D719D59" w14:textId="77777777" w:rsidR="00DB1564" w:rsidRDefault="00DB1564" w:rsidP="00C20F00">
      <w:pPr>
        <w:pStyle w:val="Bullet"/>
        <w:numPr>
          <w:ilvl w:val="1"/>
          <w:numId w:val="27"/>
        </w:numPr>
      </w:pPr>
      <w:r>
        <w:t>Failure to respond despite supplementation</w:t>
      </w:r>
    </w:p>
    <w:p w14:paraId="7AAE3473" w14:textId="77777777" w:rsidR="00DB1564" w:rsidRDefault="00DB1564" w:rsidP="00C20F00">
      <w:pPr>
        <w:pStyle w:val="Bullet"/>
        <w:numPr>
          <w:ilvl w:val="1"/>
          <w:numId w:val="27"/>
        </w:numPr>
      </w:pPr>
      <w:r>
        <w:t xml:space="preserve">NBM, intolerant to supplements and high PTH (Considering </w:t>
      </w:r>
      <w:r w:rsidRPr="00AD518A">
        <w:t>calcitriol</w:t>
      </w:r>
      <w:r>
        <w:t>)</w:t>
      </w:r>
    </w:p>
    <w:p w14:paraId="081F06CF" w14:textId="77777777" w:rsidR="00DB1564" w:rsidRDefault="00DB1564" w:rsidP="00C20F00">
      <w:pPr>
        <w:pStyle w:val="Bullet"/>
        <w:numPr>
          <w:ilvl w:val="1"/>
          <w:numId w:val="27"/>
        </w:numPr>
      </w:pPr>
      <w:r>
        <w:t>Monitor urine Ca/Creatine if on calcium or calcitriol</w:t>
      </w:r>
    </w:p>
    <w:p w14:paraId="5F9EE4FF" w14:textId="5422B691" w:rsidR="00BC7329" w:rsidRDefault="00DB1564" w:rsidP="00C20F00">
      <w:pPr>
        <w:pStyle w:val="Bullet"/>
        <w:numPr>
          <w:ilvl w:val="0"/>
          <w:numId w:val="27"/>
        </w:numPr>
        <w:ind w:left="425" w:hanging="425"/>
      </w:pPr>
      <w:r>
        <w:t xml:space="preserve">There is limited research and date on supplementation cessation. Continue supplements until 4 to 6 months if ongoing biochemical abnormalities and poor linear growth. Several high-risk infants continue to show bone mineral deficit up to 1 year of age. </w:t>
      </w:r>
    </w:p>
    <w:p w14:paraId="2BCE2CF0" w14:textId="50349E44" w:rsidR="00BB22E7" w:rsidRDefault="00481A6C" w:rsidP="0091462B">
      <w:pPr>
        <w:pStyle w:val="BodyCopy"/>
      </w:pPr>
      <w:hyperlink w:anchor="_top" w:history="1">
        <w:r w:rsidRPr="00481A6C">
          <w:rPr>
            <w:rStyle w:val="Hyperlink"/>
            <w:iCs w:val="0"/>
          </w:rPr>
          <w:t>Back to Contents</w:t>
        </w:r>
      </w:hyperlink>
    </w:p>
    <w:p w14:paraId="4F35C51E" w14:textId="77777777" w:rsidR="0078367D" w:rsidRDefault="0078367D" w:rsidP="0078367D">
      <w:pPr>
        <w:pStyle w:val="Heading2"/>
      </w:pPr>
      <w:bookmarkStart w:id="59" w:name="_Toc199497080"/>
      <w:bookmarkStart w:id="60" w:name="_Hlk43366294"/>
      <w:r>
        <w:t>Evaluation</w:t>
      </w:r>
      <w:bookmarkEnd w:id="59"/>
    </w:p>
    <w:bookmarkEnd w:id="60"/>
    <w:p w14:paraId="1F79D808" w14:textId="77777777" w:rsidR="0005028A" w:rsidRPr="00BE4337" w:rsidRDefault="0005028A" w:rsidP="005D0BE7">
      <w:pPr>
        <w:pStyle w:val="Heading4"/>
      </w:pPr>
      <w:r w:rsidRPr="00BE4337">
        <w:t xml:space="preserve">Outcomes </w:t>
      </w:r>
    </w:p>
    <w:p w14:paraId="5E4465CA" w14:textId="77777777" w:rsidR="00DB1564" w:rsidRDefault="00DB1564" w:rsidP="00C20F00">
      <w:pPr>
        <w:pStyle w:val="Bullet"/>
        <w:numPr>
          <w:ilvl w:val="0"/>
          <w:numId w:val="28"/>
        </w:numPr>
        <w:ind w:left="425" w:hanging="425"/>
      </w:pPr>
      <w:r w:rsidRPr="064061D1">
        <w:t>Nursing and medical staff are guided in nutrition management for optimal growth and development for infants in the Department of Neonatology</w:t>
      </w:r>
      <w:r>
        <w:t>.</w:t>
      </w:r>
      <w:r w:rsidRPr="064061D1">
        <w:t xml:space="preserve"> </w:t>
      </w:r>
    </w:p>
    <w:p w14:paraId="0101E129" w14:textId="77777777" w:rsidR="00DB1564" w:rsidRDefault="00DB1564" w:rsidP="00C20F00">
      <w:pPr>
        <w:pStyle w:val="Bullet"/>
        <w:numPr>
          <w:ilvl w:val="0"/>
          <w:numId w:val="28"/>
        </w:numPr>
        <w:ind w:left="425" w:hanging="425"/>
      </w:pPr>
      <w:r>
        <w:t>Improved nutritional outcomes for infants requiring nutritional management in the Department of Neonatology.</w:t>
      </w:r>
      <w:r w:rsidRPr="064061D1">
        <w:t xml:space="preserve"> </w:t>
      </w:r>
    </w:p>
    <w:p w14:paraId="523421E4" w14:textId="77777777" w:rsidR="0005028A" w:rsidRPr="00BE4337" w:rsidRDefault="0005028A" w:rsidP="005D0BE7">
      <w:pPr>
        <w:pStyle w:val="Heading4"/>
      </w:pPr>
      <w:r w:rsidRPr="00BE4337">
        <w:t>Measures</w:t>
      </w:r>
    </w:p>
    <w:p w14:paraId="4F08AAAE" w14:textId="77777777" w:rsidR="00DB1564" w:rsidRDefault="00DB1564" w:rsidP="00C20F00">
      <w:pPr>
        <w:pStyle w:val="Bullet"/>
        <w:numPr>
          <w:ilvl w:val="0"/>
          <w:numId w:val="29"/>
        </w:numPr>
        <w:ind w:left="425" w:hanging="425"/>
      </w:pPr>
      <w:r w:rsidRPr="00562DFD">
        <w:t xml:space="preserve">Review conducted by </w:t>
      </w:r>
      <w:r>
        <w:t>MO</w:t>
      </w:r>
      <w:r w:rsidRPr="00562DFD">
        <w:t xml:space="preserve"> yearly on 20</w:t>
      </w:r>
      <w:r>
        <w:t xml:space="preserve"> percent</w:t>
      </w:r>
      <w:r w:rsidRPr="00562DFD">
        <w:t xml:space="preserve"> neonates </w:t>
      </w:r>
      <w:r>
        <w:t xml:space="preserve">less than </w:t>
      </w:r>
      <w:r w:rsidRPr="00562DFD">
        <w:t xml:space="preserve">28 weeks gestation (approximately 5 neonates/year) to assess if adherence to </w:t>
      </w:r>
      <w:r>
        <w:t>guideline</w:t>
      </w:r>
      <w:r w:rsidRPr="00562DFD">
        <w:t xml:space="preserve"> with regards to</w:t>
      </w:r>
      <w:r>
        <w:t xml:space="preserve"> Standardised Feeding Schedules and presented at departmental Policy and Guidelines meeting. </w:t>
      </w:r>
    </w:p>
    <w:p w14:paraId="1A88AD54" w14:textId="77777777" w:rsidR="00DB1564" w:rsidRDefault="00DB1564" w:rsidP="00C20F00">
      <w:pPr>
        <w:pStyle w:val="Bullet"/>
        <w:numPr>
          <w:ilvl w:val="0"/>
          <w:numId w:val="29"/>
        </w:numPr>
        <w:ind w:left="425" w:hanging="425"/>
      </w:pPr>
      <w:r w:rsidRPr="00562DFD">
        <w:t xml:space="preserve">Review conducted by </w:t>
      </w:r>
      <w:r>
        <w:t>MO</w:t>
      </w:r>
      <w:r w:rsidRPr="00562DFD">
        <w:t xml:space="preserve"> yearly on 20</w:t>
      </w:r>
      <w:r>
        <w:t xml:space="preserve"> percent</w:t>
      </w:r>
      <w:r w:rsidRPr="00562DFD">
        <w:t xml:space="preserve"> neonates </w:t>
      </w:r>
      <w:r>
        <w:t xml:space="preserve">less than </w:t>
      </w:r>
      <w:r w:rsidRPr="00562DFD">
        <w:t>28 weeks gestation (approximately 5 neonates/year) to assess</w:t>
      </w:r>
      <w:r>
        <w:t xml:space="preserve"> of incidence of postnatal growth failure at discharge.</w:t>
      </w:r>
    </w:p>
    <w:p w14:paraId="086E3A5F" w14:textId="77777777" w:rsidR="00DB1564" w:rsidRPr="00801872" w:rsidRDefault="00DB1564" w:rsidP="00C20F00">
      <w:pPr>
        <w:pStyle w:val="Bullet"/>
        <w:numPr>
          <w:ilvl w:val="0"/>
          <w:numId w:val="29"/>
        </w:numPr>
        <w:ind w:left="425" w:hanging="425"/>
      </w:pPr>
      <w:r w:rsidRPr="1A6045E7">
        <w:t xml:space="preserve">Monitoring NEC and </w:t>
      </w:r>
      <w:r>
        <w:t>c</w:t>
      </w:r>
      <w:r w:rsidRPr="1A6045E7">
        <w:t xml:space="preserve">entral line data through </w:t>
      </w:r>
      <w:r>
        <w:t>d</w:t>
      </w:r>
      <w:r w:rsidRPr="1A6045E7">
        <w:t>epartmental Morbidity and Mortality meeting 3 monthly</w:t>
      </w:r>
      <w:r>
        <w:t>.</w:t>
      </w:r>
    </w:p>
    <w:p w14:paraId="4DEB2A88" w14:textId="77777777" w:rsidR="003C4CC0" w:rsidRPr="00801872" w:rsidRDefault="003C4CC0" w:rsidP="0005028A">
      <w:pPr>
        <w:pStyle w:val="Bullet"/>
        <w:numPr>
          <w:ilvl w:val="0"/>
          <w:numId w:val="0"/>
        </w:numPr>
      </w:pPr>
    </w:p>
    <w:p w14:paraId="33C7C832" w14:textId="77777777" w:rsidR="00481A6C" w:rsidRDefault="00481A6C" w:rsidP="0091462B">
      <w:pPr>
        <w:pStyle w:val="BodyCopy"/>
      </w:pPr>
      <w:hyperlink w:anchor="_top" w:history="1">
        <w:r w:rsidRPr="00481A6C">
          <w:rPr>
            <w:rStyle w:val="Hyperlink"/>
            <w:iCs w:val="0"/>
          </w:rPr>
          <w:t>Back to Contents</w:t>
        </w:r>
      </w:hyperlink>
    </w:p>
    <w:p w14:paraId="7E8DF232" w14:textId="77777777" w:rsidR="003C4CC0" w:rsidRDefault="003C4CC0" w:rsidP="0091462B">
      <w:pPr>
        <w:pStyle w:val="BodyCopy"/>
      </w:pPr>
    </w:p>
    <w:tbl>
      <w:tblPr>
        <w:tblStyle w:val="TableGrid"/>
        <w:tblW w:w="0" w:type="auto"/>
        <w:tblLook w:val="04A0" w:firstRow="1" w:lastRow="0" w:firstColumn="1" w:lastColumn="0" w:noHBand="0" w:noVBand="1"/>
      </w:tblPr>
      <w:tblGrid>
        <w:gridCol w:w="9911"/>
      </w:tblGrid>
      <w:tr w:rsidR="00481A6C" w14:paraId="5213D9EB" w14:textId="77777777" w:rsidTr="0005028A">
        <w:tc>
          <w:tcPr>
            <w:tcW w:w="9911" w:type="dxa"/>
            <w:shd w:val="clear" w:color="auto" w:fill="3D2262" w:themeFill="accent1"/>
          </w:tcPr>
          <w:p w14:paraId="1257EC60" w14:textId="77777777" w:rsidR="00481A6C" w:rsidRDefault="00481A6C" w:rsidP="003B0E72">
            <w:pPr>
              <w:pStyle w:val="Heading2"/>
            </w:pPr>
            <w:bookmarkStart w:id="61" w:name="_Toc199497081"/>
            <w:r>
              <w:lastRenderedPageBreak/>
              <w:t>Related policies, procedures, guidelines and legislation</w:t>
            </w:r>
            <w:bookmarkEnd w:id="61"/>
            <w:r>
              <w:t xml:space="preserve"> </w:t>
            </w:r>
          </w:p>
        </w:tc>
      </w:tr>
    </w:tbl>
    <w:p w14:paraId="2B3689EF" w14:textId="77777777" w:rsidR="00DB1564" w:rsidRPr="00BE4337" w:rsidRDefault="00DB1564" w:rsidP="005D0BE7">
      <w:pPr>
        <w:pStyle w:val="Heading4"/>
      </w:pPr>
      <w:r w:rsidRPr="00BE4337">
        <w:t>Policies</w:t>
      </w:r>
    </w:p>
    <w:p w14:paraId="66565643" w14:textId="77777777" w:rsidR="00DB1564" w:rsidRPr="00BE4337" w:rsidRDefault="00DB1564" w:rsidP="00C20F00">
      <w:pPr>
        <w:pStyle w:val="Bullet"/>
        <w:numPr>
          <w:ilvl w:val="0"/>
          <w:numId w:val="30"/>
        </w:numPr>
        <w:ind w:left="425" w:hanging="425"/>
      </w:pPr>
      <w:r w:rsidRPr="00BE4337">
        <w:t>Medication Safety</w:t>
      </w:r>
    </w:p>
    <w:p w14:paraId="19382A46" w14:textId="77777777" w:rsidR="00DB1564" w:rsidRDefault="00DB1564" w:rsidP="00C20F00">
      <w:pPr>
        <w:pStyle w:val="Bullet"/>
        <w:numPr>
          <w:ilvl w:val="0"/>
          <w:numId w:val="30"/>
        </w:numPr>
        <w:ind w:left="425" w:hanging="425"/>
      </w:pPr>
      <w:r w:rsidRPr="00BE4337">
        <w:t>Medication Handling</w:t>
      </w:r>
    </w:p>
    <w:p w14:paraId="1ABA826B" w14:textId="77777777" w:rsidR="00DB1564" w:rsidRPr="00382ECF" w:rsidRDefault="00DB1564" w:rsidP="00C20F00">
      <w:pPr>
        <w:pStyle w:val="Bullet"/>
        <w:numPr>
          <w:ilvl w:val="0"/>
          <w:numId w:val="30"/>
        </w:numPr>
        <w:ind w:left="425" w:hanging="425"/>
      </w:pPr>
      <w:r w:rsidRPr="00382ECF">
        <w:t>Preventing and Controlling Healthcare Associated Infections</w:t>
      </w:r>
    </w:p>
    <w:p w14:paraId="002A0530" w14:textId="77777777" w:rsidR="00DB1564" w:rsidRPr="00BE4337" w:rsidRDefault="00DB1564" w:rsidP="005D0BE7">
      <w:pPr>
        <w:pStyle w:val="Heading4"/>
      </w:pPr>
      <w:r w:rsidRPr="00BE4337">
        <w:t>Guideline</w:t>
      </w:r>
    </w:p>
    <w:p w14:paraId="6715AC65" w14:textId="77777777" w:rsidR="00DB1564" w:rsidRPr="00382ECF" w:rsidRDefault="00DB1564" w:rsidP="00C20F00">
      <w:pPr>
        <w:pStyle w:val="Bullet"/>
        <w:numPr>
          <w:ilvl w:val="0"/>
          <w:numId w:val="31"/>
        </w:numPr>
        <w:ind w:left="425" w:hanging="425"/>
      </w:pPr>
      <w:r w:rsidRPr="001869AE">
        <w:t xml:space="preserve">Consent for Healthcare Treatment </w:t>
      </w:r>
    </w:p>
    <w:p w14:paraId="4583941B" w14:textId="77777777" w:rsidR="00DB1564" w:rsidRDefault="00DB1564" w:rsidP="00C20F00">
      <w:pPr>
        <w:pStyle w:val="Bullet"/>
        <w:numPr>
          <w:ilvl w:val="0"/>
          <w:numId w:val="31"/>
        </w:numPr>
        <w:ind w:left="425" w:hanging="425"/>
      </w:pPr>
      <w:r>
        <w:t>Expressed Breast Milk Incident Guide</w:t>
      </w:r>
    </w:p>
    <w:p w14:paraId="63D5A9DF" w14:textId="77777777" w:rsidR="00DB1564" w:rsidRPr="00BE4337" w:rsidRDefault="00DB1564" w:rsidP="00C20F00">
      <w:pPr>
        <w:pStyle w:val="Bullet"/>
        <w:numPr>
          <w:ilvl w:val="0"/>
          <w:numId w:val="31"/>
        </w:numPr>
        <w:ind w:left="425" w:hanging="425"/>
      </w:pPr>
      <w:r w:rsidRPr="00BE4337">
        <w:t>Developmental Care in the Neonatal Intensive Care Unit and Special Care Nursery</w:t>
      </w:r>
    </w:p>
    <w:p w14:paraId="16E2B697" w14:textId="77777777" w:rsidR="00DB1564" w:rsidRPr="00BE4337" w:rsidRDefault="00DB1564" w:rsidP="00C20F00">
      <w:pPr>
        <w:pStyle w:val="Bullet"/>
        <w:numPr>
          <w:ilvl w:val="0"/>
          <w:numId w:val="31"/>
        </w:numPr>
        <w:ind w:left="425" w:hanging="425"/>
      </w:pPr>
      <w:r w:rsidRPr="00BE4337">
        <w:t xml:space="preserve">Breastfeeding </w:t>
      </w:r>
    </w:p>
    <w:p w14:paraId="12838BE3" w14:textId="77777777" w:rsidR="00DB1564" w:rsidRPr="00BE4337" w:rsidRDefault="00DB1564" w:rsidP="00C20F00">
      <w:pPr>
        <w:pStyle w:val="Bullet"/>
        <w:numPr>
          <w:ilvl w:val="0"/>
          <w:numId w:val="31"/>
        </w:numPr>
        <w:ind w:left="425" w:hanging="425"/>
      </w:pPr>
      <w:r w:rsidRPr="00BE4337">
        <w:t>Neonatal Surgery</w:t>
      </w:r>
    </w:p>
    <w:p w14:paraId="5B9A2C73" w14:textId="77777777" w:rsidR="00DB1564" w:rsidRDefault="00DB1564" w:rsidP="00C20F00">
      <w:pPr>
        <w:pStyle w:val="Bullet"/>
        <w:numPr>
          <w:ilvl w:val="0"/>
          <w:numId w:val="31"/>
        </w:numPr>
        <w:ind w:left="425" w:hanging="425"/>
      </w:pPr>
      <w:r w:rsidRPr="00BE4337">
        <w:t>Total Parenteral Nutrition and Lipids (Neonates)</w:t>
      </w:r>
    </w:p>
    <w:p w14:paraId="44A81F54" w14:textId="77777777" w:rsidR="00DB1564" w:rsidRDefault="00DB1564" w:rsidP="00C20F00">
      <w:pPr>
        <w:pStyle w:val="Bullet"/>
        <w:numPr>
          <w:ilvl w:val="0"/>
          <w:numId w:val="31"/>
        </w:numPr>
        <w:ind w:left="425" w:hanging="425"/>
      </w:pPr>
      <w:r>
        <w:t>Neonatal Routine Care</w:t>
      </w:r>
    </w:p>
    <w:p w14:paraId="00C6B468" w14:textId="77777777" w:rsidR="00DB1564" w:rsidRDefault="00DB1564" w:rsidP="00C20F00">
      <w:pPr>
        <w:pStyle w:val="Bullet"/>
        <w:numPr>
          <w:ilvl w:val="0"/>
          <w:numId w:val="31"/>
        </w:numPr>
        <w:ind w:left="425" w:hanging="425"/>
      </w:pPr>
      <w:r w:rsidRPr="001869AE">
        <w:t>Neonatal Intensive Care Medication Guidance: Australian Neonatal Medicines Formulary (ANMF)</w:t>
      </w:r>
    </w:p>
    <w:p w14:paraId="6203B9EB" w14:textId="77777777" w:rsidR="00DB1564" w:rsidRDefault="00DB1564" w:rsidP="00C20F00">
      <w:pPr>
        <w:pStyle w:val="Bullet"/>
        <w:numPr>
          <w:ilvl w:val="0"/>
          <w:numId w:val="31"/>
        </w:numPr>
        <w:ind w:left="425" w:hanging="425"/>
      </w:pPr>
      <w:r w:rsidRPr="00382ECF">
        <w:t>Healthcare Associated Infection Surveillance Guideline (for adults and children)</w:t>
      </w:r>
    </w:p>
    <w:p w14:paraId="440058CB" w14:textId="77777777" w:rsidR="00DB1564" w:rsidRPr="00620121" w:rsidRDefault="00DB1564" w:rsidP="00C20F00">
      <w:pPr>
        <w:pStyle w:val="Bullet"/>
        <w:numPr>
          <w:ilvl w:val="0"/>
          <w:numId w:val="31"/>
        </w:numPr>
        <w:ind w:left="425" w:hanging="425"/>
      </w:pPr>
      <w:r w:rsidRPr="00620121">
        <w:t>Respiratory Support – Invasive and Non-Invasive (Neonates and Infants)</w:t>
      </w:r>
    </w:p>
    <w:p w14:paraId="5C5B42AE" w14:textId="77777777" w:rsidR="00DB1564" w:rsidRPr="0005028A" w:rsidRDefault="00DB1564" w:rsidP="005D0BE7">
      <w:pPr>
        <w:pStyle w:val="Heading4"/>
      </w:pPr>
      <w:r w:rsidRPr="0005028A">
        <w:t>Procedures</w:t>
      </w:r>
    </w:p>
    <w:p w14:paraId="3419EC5F" w14:textId="77777777" w:rsidR="00DB1564" w:rsidRDefault="00DB1564" w:rsidP="00C20F00">
      <w:pPr>
        <w:pStyle w:val="Bullet"/>
        <w:numPr>
          <w:ilvl w:val="0"/>
          <w:numId w:val="32"/>
        </w:numPr>
        <w:ind w:left="425" w:hanging="425"/>
      </w:pPr>
      <w:r w:rsidRPr="00351BA1">
        <w:t>Infection Prevention and Control</w:t>
      </w:r>
    </w:p>
    <w:p w14:paraId="618DC636" w14:textId="77777777" w:rsidR="00DB1564" w:rsidRDefault="00DB1564" w:rsidP="00C20F00">
      <w:pPr>
        <w:pStyle w:val="Bullet"/>
        <w:numPr>
          <w:ilvl w:val="0"/>
          <w:numId w:val="32"/>
        </w:numPr>
        <w:ind w:left="425" w:hanging="425"/>
      </w:pPr>
      <w:r w:rsidRPr="00351BA1">
        <w:t>Patient Identification and Health Care Activity Matching</w:t>
      </w:r>
    </w:p>
    <w:p w14:paraId="16F9ED52" w14:textId="77777777" w:rsidR="00DB1564" w:rsidRPr="0005028A" w:rsidRDefault="00DB1564" w:rsidP="00C20F00">
      <w:pPr>
        <w:pStyle w:val="Bullet"/>
        <w:numPr>
          <w:ilvl w:val="0"/>
          <w:numId w:val="32"/>
        </w:numPr>
        <w:ind w:left="425" w:hanging="425"/>
      </w:pPr>
      <w:r w:rsidRPr="00BE4337">
        <w:t>Venous and Arterial Access: Management in the Department of Neonatology</w:t>
      </w:r>
    </w:p>
    <w:p w14:paraId="0D122541" w14:textId="77777777" w:rsidR="00DB1564" w:rsidRPr="0005028A" w:rsidRDefault="00DB1564" w:rsidP="005D0BE7">
      <w:pPr>
        <w:pStyle w:val="Heading4"/>
      </w:pPr>
      <w:r w:rsidRPr="0005028A">
        <w:t>Legislation</w:t>
      </w:r>
    </w:p>
    <w:p w14:paraId="0C2BE683" w14:textId="77777777" w:rsidR="00DB1564" w:rsidRPr="00BE4337" w:rsidRDefault="00DB1564" w:rsidP="00C20F00">
      <w:pPr>
        <w:pStyle w:val="Bullet"/>
        <w:numPr>
          <w:ilvl w:val="0"/>
          <w:numId w:val="33"/>
        </w:numPr>
        <w:ind w:left="425" w:hanging="425"/>
      </w:pPr>
      <w:r w:rsidRPr="00351BA1">
        <w:rPr>
          <w:i/>
          <w:iCs/>
        </w:rPr>
        <w:t>Health Records (Privacy and Access) Act</w:t>
      </w:r>
      <w:r w:rsidRPr="00BE4337">
        <w:t xml:space="preserve"> 1997</w:t>
      </w:r>
    </w:p>
    <w:p w14:paraId="0B36F667" w14:textId="77777777" w:rsidR="00DB1564" w:rsidRPr="00BE4337" w:rsidRDefault="00DB1564" w:rsidP="00C20F00">
      <w:pPr>
        <w:pStyle w:val="Bullet"/>
        <w:numPr>
          <w:ilvl w:val="0"/>
          <w:numId w:val="33"/>
        </w:numPr>
        <w:ind w:left="425" w:hanging="425"/>
      </w:pPr>
      <w:r w:rsidRPr="00351BA1">
        <w:rPr>
          <w:i/>
          <w:iCs/>
        </w:rPr>
        <w:t>Human Rights Act</w:t>
      </w:r>
      <w:r w:rsidRPr="00BE4337">
        <w:t xml:space="preserve"> 2004</w:t>
      </w:r>
    </w:p>
    <w:p w14:paraId="5697737B" w14:textId="77777777" w:rsidR="00DB1564" w:rsidRPr="0005028A" w:rsidRDefault="00DB1564" w:rsidP="00C20F00">
      <w:pPr>
        <w:pStyle w:val="Bullet"/>
        <w:numPr>
          <w:ilvl w:val="0"/>
          <w:numId w:val="33"/>
        </w:numPr>
        <w:ind w:left="425" w:hanging="425"/>
      </w:pPr>
      <w:r w:rsidRPr="00351BA1">
        <w:rPr>
          <w:i/>
          <w:iCs/>
        </w:rPr>
        <w:t>Work Health and Safety Act</w:t>
      </w:r>
      <w:r w:rsidRPr="00BE4337">
        <w:t xml:space="preserve"> 2011</w:t>
      </w:r>
    </w:p>
    <w:p w14:paraId="0B361A04" w14:textId="77777777" w:rsidR="00DB1564" w:rsidRPr="0005028A" w:rsidRDefault="00DB1564" w:rsidP="005D0BE7">
      <w:pPr>
        <w:pStyle w:val="Heading4"/>
      </w:pPr>
      <w:r w:rsidRPr="0005028A">
        <w:t>Forms</w:t>
      </w:r>
    </w:p>
    <w:p w14:paraId="3590C73F" w14:textId="77777777" w:rsidR="00DB1564" w:rsidRDefault="00DB1564" w:rsidP="00C20F00">
      <w:pPr>
        <w:pStyle w:val="Bullet"/>
        <w:numPr>
          <w:ilvl w:val="0"/>
          <w:numId w:val="34"/>
        </w:numPr>
        <w:ind w:left="425" w:hanging="425"/>
      </w:pPr>
      <w:r>
        <w:t>Informed Consent (Form No. 15270)</w:t>
      </w:r>
    </w:p>
    <w:p w14:paraId="0E3893C8" w14:textId="77777777" w:rsidR="00DB1564" w:rsidRDefault="00DB1564" w:rsidP="005D0BE7">
      <w:pPr>
        <w:pStyle w:val="Heading4"/>
      </w:pPr>
      <w:r>
        <w:t>Other</w:t>
      </w:r>
    </w:p>
    <w:p w14:paraId="4CAC1C4C" w14:textId="34BAF14C" w:rsidR="0005028A" w:rsidRPr="00955A0E" w:rsidRDefault="00DB1564" w:rsidP="00C20F00">
      <w:pPr>
        <w:pStyle w:val="Bullet"/>
        <w:numPr>
          <w:ilvl w:val="0"/>
          <w:numId w:val="34"/>
        </w:numPr>
        <w:spacing w:after="240"/>
        <w:ind w:left="425" w:hanging="425"/>
      </w:pPr>
      <w:r w:rsidRPr="000E7683">
        <w:t>Australian Charter of Healthcare Rights</w:t>
      </w:r>
    </w:p>
    <w:p w14:paraId="7DB5FF76" w14:textId="5BC10165" w:rsidR="00920D2D" w:rsidRPr="000E7683" w:rsidRDefault="000E7683" w:rsidP="008606A0">
      <w:pPr>
        <w:pStyle w:val="BodyCopy"/>
      </w:pPr>
      <w:hyperlink w:anchor="_top" w:history="1">
        <w:r w:rsidRPr="004A7A7F">
          <w:rPr>
            <w:rStyle w:val="Hyperlink"/>
          </w:rPr>
          <w:t>Back to Contents</w:t>
        </w:r>
      </w:hyperlink>
    </w:p>
    <w:p w14:paraId="11A9DFAF" w14:textId="77777777" w:rsidR="0078367D" w:rsidRPr="0078367D" w:rsidRDefault="0078367D" w:rsidP="0078367D">
      <w:pPr>
        <w:pStyle w:val="Heading2"/>
      </w:pPr>
      <w:bookmarkStart w:id="62" w:name="_Toc199497082"/>
      <w:r w:rsidRPr="0078367D">
        <w:lastRenderedPageBreak/>
        <w:t>References</w:t>
      </w:r>
      <w:bookmarkEnd w:id="62"/>
    </w:p>
    <w:p w14:paraId="50B281C9" w14:textId="77777777" w:rsidR="00DB1564" w:rsidRDefault="00DB1564" w:rsidP="00920D2D">
      <w:pPr>
        <w:pStyle w:val="Numberedlist"/>
        <w:numPr>
          <w:ilvl w:val="0"/>
          <w:numId w:val="12"/>
        </w:numPr>
      </w:pPr>
      <w:r w:rsidRPr="009A0A26">
        <w:t>Embleton ND, Jennifer Moltu S, Lapillonne A, van den Akker CHP, Carnielli V, Fusch C, Gerasimidis K, van Goudoever JB, Haiden N, Iacobelli S, Johnson MJ, Meyer S, Mihatsch W, de Pipaon MS, Rigo J, Zachariassen G, Bronsky J, Indrio F, Köglmeier J, de Koning B, Norsa L, Verduci E, Domellöf M. Enteral Nutrition in Preterm Infants (2022): A Position Paper From the ESPGHAN Committee on Nutrition and Invited Experts. J Pediatr Gastroenterol Nutr. 2023 Feb 1;76(2):248-268. doi: 10.1097/MPG.0000000000003642. Epub 2022 Oct 28. PMID: 36705703.</w:t>
      </w:r>
    </w:p>
    <w:p w14:paraId="6B29ED29" w14:textId="77777777" w:rsidR="00DB1564" w:rsidRDefault="00DB1564" w:rsidP="00920D2D">
      <w:pPr>
        <w:pStyle w:val="Numberedlist"/>
        <w:numPr>
          <w:ilvl w:val="0"/>
          <w:numId w:val="12"/>
        </w:numPr>
      </w:pPr>
      <w:r>
        <w:t>Oddie SJ, Young L, McGuire W. Slow advancement of enteral feed volumes to prevent necrotising enterocolitis in very low birth weight infants. Cochrane Database Syst Rev 2017;8:CD001241.</w:t>
      </w:r>
    </w:p>
    <w:p w14:paraId="427C2260" w14:textId="77777777" w:rsidR="00DB1564" w:rsidRDefault="00DB1564" w:rsidP="00920D2D">
      <w:pPr>
        <w:pStyle w:val="Numberedlist"/>
        <w:numPr>
          <w:ilvl w:val="0"/>
          <w:numId w:val="12"/>
        </w:numPr>
      </w:pPr>
      <w:r>
        <w:t>Dorling J, Abbott J, Berrington J, et al. Controlled trial of two incremental milk-feeding rates in preterm infants. N Engl J Med 2019;381:1434–43.</w:t>
      </w:r>
    </w:p>
    <w:p w14:paraId="2F3F86AE" w14:textId="77777777" w:rsidR="00DB1564" w:rsidRDefault="00DB1564" w:rsidP="00920D2D">
      <w:pPr>
        <w:pStyle w:val="Numberedlist"/>
        <w:numPr>
          <w:ilvl w:val="0"/>
          <w:numId w:val="12"/>
        </w:numPr>
        <w:rPr>
          <w:noProof/>
        </w:rPr>
      </w:pPr>
      <w:r>
        <w:rPr>
          <w:noProof/>
        </w:rPr>
        <w:t>Abdelrahman,K; Jarjour,J; Hagan,J et al. Optimizing Delivery of Breast Milk for Premature Infants: Comparison of Current Enteral Feeding Systems. (2020) Nutrition in Clinical Practice. Vol.35</w:t>
      </w:r>
    </w:p>
    <w:p w14:paraId="331E97D4" w14:textId="77777777" w:rsidR="00DB1564" w:rsidRDefault="00DB1564" w:rsidP="00920D2D">
      <w:pPr>
        <w:pStyle w:val="Numberedlist"/>
        <w:numPr>
          <w:ilvl w:val="0"/>
          <w:numId w:val="12"/>
        </w:numPr>
        <w:rPr>
          <w:noProof/>
        </w:rPr>
      </w:pPr>
      <w:r>
        <w:rPr>
          <w:noProof/>
        </w:rPr>
        <w:t>Alizadeh, T; Sajjadian, N; Asgharyan, F and Shariat, M. Is early breastmilk fortification more effective in preterm infants? A clinical trial. (2017) J Perinat Med Vol 45</w:t>
      </w:r>
    </w:p>
    <w:p w14:paraId="37B378F5" w14:textId="77777777" w:rsidR="00DB1564" w:rsidRDefault="00DB1564" w:rsidP="00920D2D">
      <w:pPr>
        <w:pStyle w:val="Numberedlist"/>
        <w:numPr>
          <w:ilvl w:val="0"/>
          <w:numId w:val="12"/>
        </w:numPr>
        <w:rPr>
          <w:noProof/>
        </w:rPr>
      </w:pPr>
      <w:r>
        <w:rPr>
          <w:noProof/>
        </w:rPr>
        <w:t>Badran, A; Hashish, M; Ali, A; Shokeir, M and Shabaan, A. Nasogastric versus Orogastric Bolus Tube Feeding in Preterm Infants: Pilot Randomized Clinical Trial. (2020) American Journal of Perinatology.</w:t>
      </w:r>
    </w:p>
    <w:p w14:paraId="7B3419C7" w14:textId="77777777" w:rsidR="00DB1564" w:rsidRDefault="00DB1564" w:rsidP="00920D2D">
      <w:pPr>
        <w:pStyle w:val="Numberedlist"/>
        <w:numPr>
          <w:ilvl w:val="0"/>
          <w:numId w:val="12"/>
        </w:numPr>
        <w:rPr>
          <w:noProof/>
        </w:rPr>
      </w:pPr>
      <w:r w:rsidRPr="00AA2247">
        <w:rPr>
          <w:noProof/>
          <w:lang w:val="it-IT"/>
        </w:rPr>
        <w:t xml:space="preserve">California Perinatal Quality Care Collaborative. </w:t>
      </w:r>
      <w:r>
        <w:rPr>
          <w:noProof/>
        </w:rPr>
        <w:t>Nutritional Support of the Very Low Birth Weight Infant: A Quality Improvement Toolkit (2018)</w:t>
      </w:r>
    </w:p>
    <w:p w14:paraId="18CDF223" w14:textId="77777777" w:rsidR="00DB1564" w:rsidRDefault="00DB1564" w:rsidP="00920D2D">
      <w:pPr>
        <w:pStyle w:val="Numberedlist"/>
        <w:numPr>
          <w:ilvl w:val="0"/>
          <w:numId w:val="12"/>
        </w:numPr>
        <w:rPr>
          <w:noProof/>
        </w:rPr>
      </w:pPr>
      <w:r>
        <w:rPr>
          <w:noProof/>
        </w:rPr>
        <w:t>Chu, S., Procaskey, A., Tripp, S., Naples, M., White, H., &amp; Rhein, L. Quality improvement initiative to decrease time to full feeds and central line utilization among infants born less than or equal to 32 weeks through compliance with standardized feeding guidelines. (2019) Journal of Perinatology : Official journal of the California Perinatal Association Vol. 39, No.8</w:t>
      </w:r>
    </w:p>
    <w:p w14:paraId="2FCEF285" w14:textId="77777777" w:rsidR="00DB1564" w:rsidRDefault="00DB1564" w:rsidP="00920D2D">
      <w:pPr>
        <w:pStyle w:val="Numberedlist"/>
        <w:numPr>
          <w:ilvl w:val="0"/>
          <w:numId w:val="12"/>
        </w:numPr>
        <w:rPr>
          <w:noProof/>
        </w:rPr>
      </w:pPr>
      <w:r>
        <w:rPr>
          <w:noProof/>
        </w:rPr>
        <w:t>D’Costa, R; Gallipoli, A; Fucile, S; Dickson, B &amp; Dow, K. A standardised daily feeding protocol improves nutrition and overall health in premature low birth weight infants. (2019) Paediatrics &amp; Child Health. Vol. 24</w:t>
      </w:r>
    </w:p>
    <w:p w14:paraId="313AAEEF" w14:textId="77777777" w:rsidR="00DB1564" w:rsidRDefault="00DB1564" w:rsidP="00920D2D">
      <w:pPr>
        <w:pStyle w:val="Numberedlist"/>
        <w:numPr>
          <w:ilvl w:val="0"/>
          <w:numId w:val="12"/>
        </w:numPr>
        <w:rPr>
          <w:noProof/>
        </w:rPr>
      </w:pPr>
      <w:r>
        <w:rPr>
          <w:noProof/>
        </w:rPr>
        <w:t>De Waard,M; Li,Y; Zhu,Y et al. Time to Full Enteral Feeding for Very Low Birth Weight Infants Varies Markedly Among Hospitals Worldwide But May Not Be Associated With Incidence of Necrotizing Enterocolitis: The NEOMUNE-NeoNutriNet Cohort Study. (2019) Journal of Parenteral and Enteral Nutrition. Vol. 43, No.5</w:t>
      </w:r>
    </w:p>
    <w:p w14:paraId="3355DFC4" w14:textId="77777777" w:rsidR="00DB1564" w:rsidRDefault="00DB1564" w:rsidP="00920D2D">
      <w:pPr>
        <w:pStyle w:val="Numberedlist"/>
        <w:numPr>
          <w:ilvl w:val="0"/>
          <w:numId w:val="12"/>
        </w:numPr>
        <w:rPr>
          <w:noProof/>
        </w:rPr>
      </w:pPr>
      <w:r>
        <w:rPr>
          <w:noProof/>
        </w:rPr>
        <w:t>Fenin, A; Newman, J and Taylor, S. Very low birth weight infants receive full enteral nutrition within 2 postnatal weeks. (2020) Journal of Perinatology.</w:t>
      </w:r>
    </w:p>
    <w:p w14:paraId="00762CFC" w14:textId="77777777" w:rsidR="00DB1564" w:rsidRPr="0094326A" w:rsidRDefault="00DB1564" w:rsidP="00920D2D">
      <w:pPr>
        <w:pStyle w:val="Numberedlist"/>
        <w:numPr>
          <w:ilvl w:val="0"/>
          <w:numId w:val="12"/>
        </w:numPr>
        <w:rPr>
          <w:noProof/>
        </w:rPr>
      </w:pPr>
      <w:r w:rsidRPr="064061D1">
        <w:rPr>
          <w:noProof/>
        </w:rPr>
        <w:lastRenderedPageBreak/>
        <w:t>Donor breastmilk banks: the operation of donor breastmilk bank services. National Institute for Health and Clinical Excellence (2010)</w:t>
      </w:r>
    </w:p>
    <w:p w14:paraId="50A87DA9" w14:textId="77777777" w:rsidR="00DB1564" w:rsidRPr="007A5C66" w:rsidRDefault="00DB1564" w:rsidP="00920D2D">
      <w:pPr>
        <w:pStyle w:val="Numberedlist"/>
        <w:numPr>
          <w:ilvl w:val="0"/>
          <w:numId w:val="12"/>
        </w:numPr>
      </w:pPr>
      <w:r w:rsidRPr="064061D1">
        <w:rPr>
          <w:noProof/>
        </w:rPr>
        <w:t>Best Practice for Expressing, Storing and Handling Human Milk in hospitals,   homes, and Child Care Settings. Frances Jones and Mary Rose Tully 2nd Edition    © HMBANA 2006</w:t>
      </w:r>
      <w:r w:rsidRPr="064061D1">
        <w:t xml:space="preserve"> </w:t>
      </w:r>
    </w:p>
    <w:p w14:paraId="6AE9AC7C" w14:textId="77777777" w:rsidR="00DB1564" w:rsidRPr="001732C8" w:rsidRDefault="00DB1564" w:rsidP="00920D2D">
      <w:pPr>
        <w:pStyle w:val="Numberedlist"/>
        <w:numPr>
          <w:ilvl w:val="0"/>
          <w:numId w:val="12"/>
        </w:numPr>
      </w:pPr>
      <w:r w:rsidRPr="064061D1">
        <w:t xml:space="preserve">Effect of Holder Pasteurization and Frozen Storage on Macronutrients and Energy Content of Breastmilk, Journal of Paediatric Gastroenterology &amp; Nutrition, </w:t>
      </w:r>
      <w:hyperlink r:id="rId21">
        <w:r w:rsidRPr="0005028A">
          <w:rPr>
            <w:rStyle w:val="Hyperlink"/>
            <w:rFonts w:asciiTheme="minorHAnsi" w:hAnsiTheme="minorHAnsi"/>
          </w:rPr>
          <w:t>September 2013 - Volume 57 - Issue 3 - p 377–382</w:t>
        </w:r>
      </w:hyperlink>
    </w:p>
    <w:p w14:paraId="218B1286" w14:textId="79BC3D76" w:rsidR="00DB1564" w:rsidRDefault="00DB1564" w:rsidP="00920D2D">
      <w:pPr>
        <w:pStyle w:val="Numberedlist"/>
        <w:numPr>
          <w:ilvl w:val="0"/>
          <w:numId w:val="12"/>
        </w:numPr>
      </w:pPr>
      <w:r>
        <w:t xml:space="preserve">Department of Health and Aged Care </w:t>
      </w:r>
      <w:r w:rsidRPr="005A3232">
        <w:t>Donor human milk banking in Australia - issues and background paper, Australian Government - Department of Health and Aged Care</w:t>
      </w:r>
      <w:r>
        <w:t>. (2014</w:t>
      </w:r>
      <w:r w:rsidR="00151F43">
        <w:t>) Available</w:t>
      </w:r>
      <w:r>
        <w:t xml:space="preserve"> at: https://www.health.gov.au/sites/default/files/documents/2022/02/donor-human-milk-banking-in-australia-issues-and-background-paper.pdf (Accessed: 05 December 2024). </w:t>
      </w:r>
    </w:p>
    <w:p w14:paraId="6F5273B9" w14:textId="77777777" w:rsidR="00DB1564" w:rsidRPr="0064160D" w:rsidRDefault="00DB1564" w:rsidP="00920D2D">
      <w:pPr>
        <w:pStyle w:val="Numberedlist"/>
        <w:numPr>
          <w:ilvl w:val="0"/>
          <w:numId w:val="12"/>
        </w:numPr>
      </w:pPr>
      <w:r w:rsidRPr="00AA2247">
        <w:rPr>
          <w:lang w:val="it-IT"/>
        </w:rPr>
        <w:t xml:space="preserve">Rustico SE, Calabria AC, Garber SJ. </w:t>
      </w:r>
      <w:r>
        <w:t>Metabolic bone disease of prematurity. J Clin Transl Endocrinol. 2014 Jul 4;1(3):85-91. doi: 10.1016/j.jcte.2014.06.004. PMID: 29159088; PMCID: PMC5684970.</w:t>
      </w:r>
    </w:p>
    <w:p w14:paraId="492E6044" w14:textId="77777777" w:rsidR="00DB1564" w:rsidRPr="00390B46" w:rsidRDefault="00DB1564" w:rsidP="00920D2D">
      <w:pPr>
        <w:pStyle w:val="Numberedlist"/>
        <w:numPr>
          <w:ilvl w:val="0"/>
          <w:numId w:val="12"/>
        </w:numPr>
      </w:pPr>
      <w:r w:rsidRPr="0005028A">
        <w:rPr>
          <w:rFonts w:cs="Helvetica"/>
        </w:rPr>
        <w:t xml:space="preserve"> </w:t>
      </w:r>
      <w:r w:rsidRPr="00AA2247">
        <w:rPr>
          <w:rFonts w:cs="Helvetica"/>
          <w:lang w:val="it-IT"/>
        </w:rPr>
        <w:t xml:space="preserve">Faienza MF, D'Amato E, Natale MP, et al. </w:t>
      </w:r>
      <w:r w:rsidRPr="0005028A">
        <w:rPr>
          <w:rFonts w:cs="Helvetica"/>
        </w:rPr>
        <w:t xml:space="preserve">Metabolic Bone Disease of Prematurity: Diagnosis and Management. Front Pediatr. 2019;7:143. Published 2019 Apr 12. doi:10.3389/fped.2019.00143 </w:t>
      </w:r>
    </w:p>
    <w:p w14:paraId="132FE573" w14:textId="77777777" w:rsidR="00DB1564" w:rsidRPr="0005028A" w:rsidRDefault="00DB1564" w:rsidP="00920D2D">
      <w:pPr>
        <w:pStyle w:val="Numberedlist"/>
        <w:numPr>
          <w:ilvl w:val="0"/>
          <w:numId w:val="12"/>
        </w:numPr>
        <w:rPr>
          <w:rFonts w:cs="Helvetica"/>
        </w:rPr>
      </w:pPr>
      <w:r w:rsidRPr="0005028A">
        <w:rPr>
          <w:rFonts w:cs="Helvetica"/>
        </w:rPr>
        <w:t xml:space="preserve">Dawson, J. A., Summan, R., Badawi, N., &amp; Foster, J. P. (2021). Push versus gravity for intermittent bolus gavage tube feeding of preterm and low birth weight infants. Cochrane Database of Systematic Reviews, 2021(8). </w:t>
      </w:r>
      <w:hyperlink r:id="rId22">
        <w:r w:rsidRPr="0005028A">
          <w:rPr>
            <w:rFonts w:cs="Helvetica"/>
          </w:rPr>
          <w:t>https://doi.org/10.1002/14651858.cd005249.pub3</w:t>
        </w:r>
      </w:hyperlink>
    </w:p>
    <w:p w14:paraId="2F8230F7" w14:textId="77777777" w:rsidR="00DB1564" w:rsidRPr="0005028A" w:rsidRDefault="00DB1564" w:rsidP="00920D2D">
      <w:pPr>
        <w:pStyle w:val="Numberedlist"/>
        <w:numPr>
          <w:ilvl w:val="0"/>
          <w:numId w:val="12"/>
        </w:numPr>
        <w:rPr>
          <w:rFonts w:cs="Helvetica"/>
        </w:rPr>
      </w:pPr>
      <w:r w:rsidRPr="00071FE5">
        <w:rPr>
          <w:rFonts w:cs="Helvetica"/>
          <w:lang w:val="de-DE"/>
        </w:rPr>
        <w:t xml:space="preserve">Kohler,J; Fowler,J; Moore,R et al. </w:t>
      </w:r>
      <w:r w:rsidRPr="0005028A">
        <w:rPr>
          <w:rFonts w:cs="Helvetica"/>
        </w:rPr>
        <w:t>Improved Use of Human Milk, Growth and Central Line Utilization with Standard Feeding Roadmap in an Academic NICU Nutrition in Clinical Practice: Official Publication of the American Society for Parenteral and Enteral Nutrition. Vol.35, No.4</w:t>
      </w:r>
    </w:p>
    <w:p w14:paraId="309D3272" w14:textId="77777777" w:rsidR="00DB1564" w:rsidRPr="0005028A" w:rsidRDefault="00DB1564" w:rsidP="00920D2D">
      <w:pPr>
        <w:pStyle w:val="Numberedlist"/>
        <w:numPr>
          <w:ilvl w:val="0"/>
          <w:numId w:val="12"/>
        </w:numPr>
        <w:rPr>
          <w:rFonts w:cs="Helvetica"/>
        </w:rPr>
      </w:pPr>
      <w:r w:rsidRPr="0005028A">
        <w:rPr>
          <w:rFonts w:cs="Helvetica"/>
        </w:rPr>
        <w:t>Lubbe, W. Clinicians guide for cue-based transition to oral feeding in preterm infants: An easy-to-use clinical guide. (2018) J Eval Clin Pract</w:t>
      </w:r>
    </w:p>
    <w:p w14:paraId="19A51A88" w14:textId="77777777" w:rsidR="00DB1564" w:rsidRPr="0005028A" w:rsidRDefault="00DB1564" w:rsidP="00920D2D">
      <w:pPr>
        <w:pStyle w:val="Numberedlist"/>
        <w:numPr>
          <w:ilvl w:val="0"/>
          <w:numId w:val="12"/>
        </w:numPr>
        <w:rPr>
          <w:rFonts w:cs="Helvetica"/>
        </w:rPr>
      </w:pPr>
      <w:r w:rsidRPr="0005028A">
        <w:rPr>
          <w:rFonts w:cs="Helvetica"/>
        </w:rPr>
        <w:t>Ma, X; Fan, W. Earlier Nutrient Fortification of Breastmilk Fed LBW Infants Improves Jaundice Related Outcomes. (2020) Nutrients Vol.12, No.7</w:t>
      </w:r>
    </w:p>
    <w:p w14:paraId="6DF78216" w14:textId="1F4F1AE3" w:rsidR="00DB1564" w:rsidRPr="0005028A" w:rsidRDefault="00DB1564" w:rsidP="00920D2D">
      <w:pPr>
        <w:pStyle w:val="Numberedlist"/>
        <w:numPr>
          <w:ilvl w:val="0"/>
          <w:numId w:val="12"/>
        </w:numPr>
        <w:rPr>
          <w:rFonts w:cs="Helvetica"/>
        </w:rPr>
      </w:pPr>
      <w:r w:rsidRPr="0005028A">
        <w:rPr>
          <w:rFonts w:cs="Helvetica"/>
        </w:rPr>
        <w:t xml:space="preserve">Morton, S; Belfort,M; </w:t>
      </w:r>
      <w:r w:rsidR="00151F43" w:rsidRPr="0005028A">
        <w:rPr>
          <w:rFonts w:cs="Helvetica"/>
        </w:rPr>
        <w:t>Kahlon, P</w:t>
      </w:r>
      <w:r w:rsidRPr="0005028A">
        <w:rPr>
          <w:rFonts w:cs="Helvetica"/>
        </w:rPr>
        <w:t>; Barfjani,S; Rudie,C; Hashim,E; Hansen,A &amp; Huh,S. Reducing time to initiation and advancement of enteral feeding in an all-referral neonatal intensive care unit. (2018) Journal of Perinatology Vol.38</w:t>
      </w:r>
    </w:p>
    <w:p w14:paraId="4B46660D" w14:textId="4B44D85C" w:rsidR="00DB1564" w:rsidRPr="0005028A" w:rsidRDefault="00151F43" w:rsidP="00920D2D">
      <w:pPr>
        <w:pStyle w:val="Numberedlist"/>
        <w:numPr>
          <w:ilvl w:val="0"/>
          <w:numId w:val="12"/>
        </w:numPr>
        <w:rPr>
          <w:rFonts w:cs="Helvetica"/>
        </w:rPr>
      </w:pPr>
      <w:r w:rsidRPr="0005028A">
        <w:rPr>
          <w:rFonts w:cs="Helvetica"/>
        </w:rPr>
        <w:t>Oliver, C</w:t>
      </w:r>
      <w:r w:rsidR="00DB1564" w:rsidRPr="0005028A">
        <w:rPr>
          <w:rFonts w:cs="Helvetica"/>
        </w:rPr>
        <w:t xml:space="preserve">; </w:t>
      </w:r>
      <w:r w:rsidRPr="0005028A">
        <w:rPr>
          <w:rFonts w:cs="Helvetica"/>
        </w:rPr>
        <w:t>Watson, C</w:t>
      </w:r>
      <w:r w:rsidR="00DB1564" w:rsidRPr="0005028A">
        <w:rPr>
          <w:rFonts w:cs="Helvetica"/>
        </w:rPr>
        <w:t>; Crowley,E; Gilroy,M; Page,D; Weber,K; Messina,D &amp; Cormack,B. Vitamin and Mineral Supplementation Practices in Preterm Infants: A survey of Australian and New Zealand Neonatal Intensive and Special Care Units. (2019) Nutrients. 12 (1)</w:t>
      </w:r>
    </w:p>
    <w:p w14:paraId="66C5D577" w14:textId="5CE7F00B" w:rsidR="00DB1564" w:rsidRPr="0005028A" w:rsidRDefault="00DB1564" w:rsidP="00920D2D">
      <w:pPr>
        <w:pStyle w:val="Numberedlist"/>
        <w:numPr>
          <w:ilvl w:val="0"/>
          <w:numId w:val="12"/>
        </w:numPr>
        <w:rPr>
          <w:rFonts w:cs="Helvetica"/>
        </w:rPr>
      </w:pPr>
      <w:r w:rsidRPr="0005028A">
        <w:rPr>
          <w:rFonts w:cs="Helvetica"/>
        </w:rPr>
        <w:lastRenderedPageBreak/>
        <w:t>Parker, L; Torrazza, R; Li, Y; Talaga, E; Shuster, J and Neu, J. Aspiration and evaluation of gastric residuals in the neonatal intensive care unit: state of the science. (2015) Journal of Perinatal &amp; Neonatal Nursing. Vol.29 No.1</w:t>
      </w:r>
    </w:p>
    <w:p w14:paraId="4E9B20C7" w14:textId="77777777" w:rsidR="00DB1564" w:rsidRPr="0005028A" w:rsidRDefault="00DB1564" w:rsidP="00920D2D">
      <w:pPr>
        <w:pStyle w:val="Numberedlist"/>
        <w:numPr>
          <w:ilvl w:val="0"/>
          <w:numId w:val="12"/>
        </w:numPr>
        <w:rPr>
          <w:rFonts w:cs="Helvetica"/>
        </w:rPr>
      </w:pPr>
      <w:r w:rsidRPr="0005028A">
        <w:rPr>
          <w:rFonts w:cs="Helvetica"/>
        </w:rPr>
        <w:t>Pereira-da-Silva, L &amp; Virella, D. Is intrauterine growth appropriate to monitor postnatal growth of preterm neonates? (2014) BMC Pediatrics Vol 14</w:t>
      </w:r>
    </w:p>
    <w:p w14:paraId="3045575F" w14:textId="77777777" w:rsidR="00DB1564" w:rsidRPr="0005028A" w:rsidRDefault="00DB1564" w:rsidP="00920D2D">
      <w:pPr>
        <w:pStyle w:val="Numberedlist"/>
        <w:numPr>
          <w:ilvl w:val="0"/>
          <w:numId w:val="12"/>
        </w:numPr>
        <w:rPr>
          <w:rFonts w:cs="Helvetica"/>
        </w:rPr>
      </w:pPr>
      <w:r w:rsidRPr="0005028A">
        <w:rPr>
          <w:rFonts w:cs="Helvetica"/>
        </w:rPr>
        <w:t>Purohit, G; Mehkarkar, P; Athalye-Jape, G; Natahn, E &amp; Patole, S. Association of gastric volumes with necrotising enterocolitis in extremely preterm infants- a case-control study. (2021) European Journal of Pediatrics.</w:t>
      </w:r>
    </w:p>
    <w:p w14:paraId="6F35B29F" w14:textId="77777777" w:rsidR="00DB1564" w:rsidRPr="0005028A" w:rsidRDefault="00DB1564" w:rsidP="00920D2D">
      <w:pPr>
        <w:pStyle w:val="Numberedlist"/>
        <w:numPr>
          <w:ilvl w:val="0"/>
          <w:numId w:val="12"/>
        </w:numPr>
        <w:rPr>
          <w:rFonts w:cs="Helvetica"/>
        </w:rPr>
      </w:pPr>
      <w:r w:rsidRPr="0005028A">
        <w:rPr>
          <w:rFonts w:cs="Helvetica"/>
        </w:rPr>
        <w:t>Torazza, R; Parker, L; Li, Y; Shuster, J and Neu, J. The value of routine evaluation of gastric residuals in very low birth weight infants. (2015) Journal of Perinatology. Vol.35, No.1</w:t>
      </w:r>
    </w:p>
    <w:p w14:paraId="7A12792A" w14:textId="77777777" w:rsidR="00DB1564" w:rsidRPr="0005028A" w:rsidRDefault="00DB1564" w:rsidP="00920D2D">
      <w:pPr>
        <w:pStyle w:val="Numberedlist"/>
        <w:numPr>
          <w:ilvl w:val="0"/>
          <w:numId w:val="12"/>
        </w:numPr>
        <w:rPr>
          <w:rFonts w:cs="Helvetica"/>
        </w:rPr>
      </w:pPr>
      <w:r w:rsidRPr="0005028A">
        <w:rPr>
          <w:rFonts w:cs="Helvetica"/>
        </w:rPr>
        <w:t xml:space="preserve">Ehrenkranz RA, Dusick AM, Vohr BR, Wright LL, Wrage LA, Poole WK, National Institutes of Child Health and Human Development Neonatal Research Network. Growth in the neonatal intensive care unit influences neurodevelopmental and growth outcomes of extremely low birth weight infants. Pediatrics. 2006 Apr 1;117(4):1253-61 </w:t>
      </w:r>
    </w:p>
    <w:p w14:paraId="31BF46C1" w14:textId="77777777" w:rsidR="00DB1564" w:rsidRPr="0005028A" w:rsidRDefault="00DB1564" w:rsidP="00920D2D">
      <w:pPr>
        <w:pStyle w:val="Numberedlist"/>
        <w:numPr>
          <w:ilvl w:val="0"/>
          <w:numId w:val="12"/>
        </w:numPr>
        <w:rPr>
          <w:rFonts w:cs="Helvetica"/>
        </w:rPr>
      </w:pPr>
      <w:r w:rsidRPr="0005028A">
        <w:rPr>
          <w:rFonts w:cs="Helvetica"/>
        </w:rPr>
        <w:t xml:space="preserve">Olsen IE, Groveman SA, Lawson ML, Clark RH, Zemel BS. New intrauterine growth curves based on United States data. Pediatrics. 2010 Feb 1; 125(2): e214-24. </w:t>
      </w:r>
    </w:p>
    <w:p w14:paraId="120A35C1" w14:textId="77777777" w:rsidR="00DB1564" w:rsidRPr="0005028A" w:rsidRDefault="00DB1564" w:rsidP="00920D2D">
      <w:pPr>
        <w:pStyle w:val="Numberedlist"/>
        <w:numPr>
          <w:ilvl w:val="0"/>
          <w:numId w:val="12"/>
        </w:numPr>
        <w:rPr>
          <w:rFonts w:cs="Helvetica"/>
        </w:rPr>
      </w:pPr>
      <w:r w:rsidRPr="0005028A">
        <w:rPr>
          <w:rFonts w:cs="Helvetica"/>
        </w:rPr>
        <w:t>Winnipeg Regional Health Authority. Enteral Feeding and Nutrition for the Preterm and High Risk Neonate. Clinical Practice Guideline. June 2020.</w:t>
      </w:r>
    </w:p>
    <w:p w14:paraId="2CBCE636" w14:textId="77777777" w:rsidR="00DB1564" w:rsidRDefault="00DB1564" w:rsidP="00920D2D">
      <w:pPr>
        <w:pStyle w:val="Numberedlist"/>
        <w:numPr>
          <w:ilvl w:val="0"/>
          <w:numId w:val="12"/>
        </w:numPr>
      </w:pPr>
      <w:r>
        <w:t xml:space="preserve">Royal Hospital for Women Neonatal Enteral Nutrition Guide. Available online at </w:t>
      </w:r>
      <w:hyperlink r:id="rId23" w:history="1">
        <w:r w:rsidRPr="005D7DD1">
          <w:rPr>
            <w:rStyle w:val="Hyperlink"/>
          </w:rPr>
          <w:t>https://www.seslhd.health.nsw.gov.au/royal-hospital-for-women/services-clinics/directory/newborn-care-centre-nicu/neonatal-medical-guidelines</w:t>
        </w:r>
      </w:hyperlink>
      <w:r>
        <w:t>. Accessed 29-5-24</w:t>
      </w:r>
    </w:p>
    <w:p w14:paraId="65D868D3" w14:textId="77777777" w:rsidR="00DB1564" w:rsidRPr="003F3E30" w:rsidRDefault="00DB1564" w:rsidP="00920D2D">
      <w:pPr>
        <w:pStyle w:val="Numberedlist"/>
        <w:numPr>
          <w:ilvl w:val="0"/>
          <w:numId w:val="12"/>
        </w:numPr>
        <w:rPr>
          <w:rStyle w:val="Hyperlink"/>
          <w:color w:val="000000" w:themeColor="text1"/>
          <w:u w:val="none"/>
        </w:rPr>
      </w:pPr>
      <w:r>
        <w:t xml:space="preserve">John Hunter Childrens Hospital Neonatal Enteral Nutrition guide. Available online at </w:t>
      </w:r>
      <w:hyperlink r:id="rId24" w:history="1">
        <w:r w:rsidRPr="005D7DD1">
          <w:rPr>
            <w:rStyle w:val="Hyperlink"/>
          </w:rPr>
          <w:t>https://www.hnekidshealth.nsw.gov.au/__data/assets/pdf_file/0018/423108/Enteral_Feeding_September_2018.pdf. Accessed 29-5-24</w:t>
        </w:r>
      </w:hyperlink>
    </w:p>
    <w:p w14:paraId="3A3A643C" w14:textId="77777777" w:rsidR="00DB1564" w:rsidRDefault="00DB1564" w:rsidP="00920D2D">
      <w:pPr>
        <w:pStyle w:val="Numberedlist"/>
        <w:numPr>
          <w:ilvl w:val="0"/>
          <w:numId w:val="12"/>
        </w:numPr>
      </w:pPr>
      <w:r>
        <w:t xml:space="preserve">Health and Social Policy. Pasteurised Donor Human Milk For Vulnerable Infants [Internet]. Pasteurised Donor Human Milk for Vulnerable Infants. NSW Government Health; 2018 Nov [cited 2025 Jan 22]. Available from: </w:t>
      </w:r>
      <w:hyperlink r:id="rId25" w:history="1">
        <w:r w:rsidRPr="00AB49DB">
          <w:rPr>
            <w:rStyle w:val="Hyperlink"/>
          </w:rPr>
          <w:t>https://www1.health.nsw.gov.au/pds/ActivePDSDocuments/PD2018_043.pdf</w:t>
        </w:r>
      </w:hyperlink>
    </w:p>
    <w:p w14:paraId="6D2415C1" w14:textId="77777777" w:rsidR="00DB1564" w:rsidRPr="003F3E30" w:rsidRDefault="00DB1564" w:rsidP="00920D2D">
      <w:pPr>
        <w:pStyle w:val="Numberedlist"/>
        <w:numPr>
          <w:ilvl w:val="0"/>
          <w:numId w:val="12"/>
        </w:numPr>
        <w:rPr>
          <w:rStyle w:val="Hyperlink"/>
          <w:color w:val="000000" w:themeColor="text1"/>
          <w:u w:val="none"/>
        </w:rPr>
      </w:pPr>
      <w:r>
        <w:t>Medela . Calesca Warming and Thawing Device [Internet]. [cited 2025 Jan 22]. Available from: https://www.medela.com/en/breastfeeding-pumping/products/nicu/calesca-warming-and-thawing-device?productId=4487</w:t>
      </w:r>
    </w:p>
    <w:p w14:paraId="5A0CE548" w14:textId="77777777" w:rsidR="00280C5D" w:rsidRDefault="00280C5D" w:rsidP="00280C5D">
      <w:pPr>
        <w:pStyle w:val="Bullet"/>
        <w:numPr>
          <w:ilvl w:val="0"/>
          <w:numId w:val="0"/>
        </w:numPr>
        <w:tabs>
          <w:tab w:val="clear" w:pos="425"/>
        </w:tabs>
        <w:ind w:left="360" w:hanging="360"/>
      </w:pPr>
      <w:hyperlink w:anchor="_top" w:history="1">
        <w:r w:rsidRPr="004A7A7F">
          <w:rPr>
            <w:rStyle w:val="Hyperlink"/>
          </w:rPr>
          <w:t>Back to Contents</w:t>
        </w:r>
      </w:hyperlink>
    </w:p>
    <w:p w14:paraId="066BB8CF" w14:textId="77777777" w:rsidR="00D9123A" w:rsidRDefault="00D9123A" w:rsidP="00280C5D">
      <w:pPr>
        <w:pStyle w:val="Bullet"/>
        <w:numPr>
          <w:ilvl w:val="0"/>
          <w:numId w:val="0"/>
        </w:numPr>
        <w:tabs>
          <w:tab w:val="clear" w:pos="425"/>
        </w:tabs>
        <w:ind w:left="360" w:hanging="360"/>
      </w:pPr>
    </w:p>
    <w:p w14:paraId="10B5C711" w14:textId="77777777" w:rsidR="00D9123A" w:rsidRDefault="00D9123A" w:rsidP="00280C5D">
      <w:pPr>
        <w:pStyle w:val="Bullet"/>
        <w:numPr>
          <w:ilvl w:val="0"/>
          <w:numId w:val="0"/>
        </w:numPr>
        <w:tabs>
          <w:tab w:val="clear" w:pos="425"/>
        </w:tabs>
        <w:ind w:left="360" w:hanging="360"/>
      </w:pPr>
    </w:p>
    <w:p w14:paraId="2688F6E3" w14:textId="77777777" w:rsidR="00D9123A" w:rsidRDefault="00D9123A" w:rsidP="00280C5D">
      <w:pPr>
        <w:pStyle w:val="Bullet"/>
        <w:numPr>
          <w:ilvl w:val="0"/>
          <w:numId w:val="0"/>
        </w:numPr>
        <w:tabs>
          <w:tab w:val="clear" w:pos="425"/>
        </w:tabs>
        <w:ind w:left="360" w:hanging="360"/>
      </w:pPr>
    </w:p>
    <w:p w14:paraId="3BC4E33B" w14:textId="0CC8DF1D" w:rsidR="0078367D" w:rsidRDefault="0078367D" w:rsidP="0078367D">
      <w:pPr>
        <w:pStyle w:val="Heading2"/>
      </w:pPr>
      <w:bookmarkStart w:id="63" w:name="_Toc199497083"/>
      <w:r>
        <w:lastRenderedPageBreak/>
        <w:t>Definition of terms</w:t>
      </w:r>
      <w:bookmarkEnd w:id="63"/>
      <w:r>
        <w:t xml:space="preserve"> </w:t>
      </w:r>
    </w:p>
    <w:p w14:paraId="449B30D5" w14:textId="5801D4BA" w:rsidR="00DB1564" w:rsidRDefault="00DB1564" w:rsidP="00DB1564">
      <w:pPr>
        <w:pStyle w:val="BodyCopy"/>
      </w:pPr>
      <w:r w:rsidRPr="00066EAD">
        <w:rPr>
          <w:b/>
          <w:bCs w:val="0"/>
        </w:rPr>
        <w:t>Accretion process</w:t>
      </w:r>
      <w:r>
        <w:t xml:space="preserve"> – </w:t>
      </w:r>
      <w:r w:rsidRPr="00AB703F">
        <w:t xml:space="preserve">Mineral accretion in the fetus refers to the process of accumulating minerals, particularly calcium and phosphorus, in the developing fetus during pregnancy. This process is crucial for proper fetal bone development and overall </w:t>
      </w:r>
      <w:r w:rsidR="00151F43" w:rsidRPr="00AB703F">
        <w:t>growth.</w:t>
      </w:r>
    </w:p>
    <w:p w14:paraId="10AD4674" w14:textId="77777777" w:rsidR="00DB1564" w:rsidRDefault="00DB1564" w:rsidP="00DB1564">
      <w:pPr>
        <w:jc w:val="both"/>
      </w:pPr>
      <w:r>
        <w:rPr>
          <w:b/>
          <w:bCs/>
        </w:rPr>
        <w:t xml:space="preserve">Neonate – </w:t>
      </w:r>
      <w:r w:rsidRPr="000554F1">
        <w:t>a child under 28 days old</w:t>
      </w:r>
    </w:p>
    <w:p w14:paraId="62749945" w14:textId="77777777" w:rsidR="00DB1564" w:rsidRPr="00F13BB3" w:rsidRDefault="00DB1564" w:rsidP="00DB1564">
      <w:pPr>
        <w:jc w:val="both"/>
      </w:pPr>
      <w:r>
        <w:rPr>
          <w:b/>
          <w:bCs/>
        </w:rPr>
        <w:t>Infant –</w:t>
      </w:r>
      <w:r>
        <w:t xml:space="preserve"> a child under 1 year old</w:t>
      </w:r>
    </w:p>
    <w:p w14:paraId="2E28D0B2" w14:textId="77777777" w:rsidR="00DB1564" w:rsidRDefault="00DB1564" w:rsidP="00DB1564">
      <w:pPr>
        <w:jc w:val="both"/>
        <w:rPr>
          <w:b/>
          <w:bCs/>
        </w:rPr>
      </w:pPr>
      <w:r>
        <w:rPr>
          <w:b/>
          <w:bCs/>
        </w:rPr>
        <w:t xml:space="preserve">Preterm neonate – </w:t>
      </w:r>
      <w:r w:rsidRPr="000554F1">
        <w:t>a neonate born before 37 weeks gestational age</w:t>
      </w:r>
    </w:p>
    <w:p w14:paraId="6EDB1454" w14:textId="77777777" w:rsidR="00DB1564" w:rsidRDefault="00DB1564" w:rsidP="00DB1564">
      <w:pPr>
        <w:jc w:val="both"/>
      </w:pPr>
      <w:r w:rsidRPr="1A6045E7">
        <w:rPr>
          <w:b/>
          <w:bCs/>
        </w:rPr>
        <w:t xml:space="preserve">Mothers own Milk (MOM) or Expressed Breast Milk (EBM) </w:t>
      </w:r>
      <w:r w:rsidRPr="1A6045E7">
        <w:t xml:space="preserve">– Expressed milk from the mother </w:t>
      </w:r>
    </w:p>
    <w:p w14:paraId="65A7C849" w14:textId="1F72DEB7" w:rsidR="00DB1564" w:rsidRPr="005630B9" w:rsidRDefault="00DB1564" w:rsidP="00DB1564">
      <w:pPr>
        <w:pStyle w:val="BodyCopy"/>
      </w:pPr>
      <w:r>
        <w:rPr>
          <w:b/>
          <w:bCs w:val="0"/>
        </w:rPr>
        <w:t xml:space="preserve">Suck feeding – </w:t>
      </w:r>
      <w:r>
        <w:t xml:space="preserve">is the mode of feeding when an infant breastfeeds or </w:t>
      </w:r>
      <w:r w:rsidR="00920D2D">
        <w:t>bottle feeds</w:t>
      </w:r>
      <w:r>
        <w:t>.</w:t>
      </w:r>
    </w:p>
    <w:p w14:paraId="70BB7667" w14:textId="77777777" w:rsidR="00DB1564" w:rsidRDefault="00DB1564" w:rsidP="00DB1564">
      <w:pPr>
        <w:jc w:val="both"/>
        <w:rPr>
          <w:rFonts w:asciiTheme="minorHAnsi" w:hAnsiTheme="minorHAnsi"/>
          <w:b/>
          <w:bCs/>
        </w:rPr>
      </w:pPr>
      <w:r w:rsidRPr="00A85365">
        <w:rPr>
          <w:rFonts w:asciiTheme="minorHAnsi" w:hAnsiTheme="minorHAnsi"/>
          <w:b/>
          <w:bCs/>
        </w:rPr>
        <w:t>Gestational age (GA)</w:t>
      </w:r>
      <w:r>
        <w:rPr>
          <w:rFonts w:asciiTheme="minorHAnsi" w:hAnsiTheme="minorHAnsi"/>
          <w:b/>
          <w:bCs/>
        </w:rPr>
        <w:t xml:space="preserve"> – </w:t>
      </w:r>
      <w:r w:rsidRPr="008E1AFE">
        <w:rPr>
          <w:rFonts w:asciiTheme="minorHAnsi" w:hAnsiTheme="minorHAnsi"/>
        </w:rPr>
        <w:t>is the length of pregnancy based in weeks and in terms of neonates i</w:t>
      </w:r>
      <w:r>
        <w:rPr>
          <w:rFonts w:asciiTheme="minorHAnsi" w:hAnsiTheme="minorHAnsi"/>
        </w:rPr>
        <w:t>t i</w:t>
      </w:r>
      <w:r w:rsidRPr="008E1AFE">
        <w:rPr>
          <w:rFonts w:asciiTheme="minorHAnsi" w:hAnsiTheme="minorHAnsi"/>
        </w:rPr>
        <w:t>s the gestational age which the child is born</w:t>
      </w:r>
    </w:p>
    <w:p w14:paraId="62BA3E1C" w14:textId="77777777" w:rsidR="00DB1564" w:rsidRPr="008E1AFE" w:rsidRDefault="00DB1564" w:rsidP="00DB1564">
      <w:pPr>
        <w:jc w:val="both"/>
        <w:rPr>
          <w:rFonts w:asciiTheme="minorHAnsi" w:hAnsiTheme="minorHAnsi"/>
        </w:rPr>
      </w:pPr>
      <w:r w:rsidRPr="00A85365">
        <w:rPr>
          <w:rFonts w:asciiTheme="minorHAnsi" w:hAnsiTheme="minorHAnsi"/>
          <w:b/>
          <w:bCs/>
        </w:rPr>
        <w:t>Corrected gestational age (CGA)</w:t>
      </w:r>
      <w:r>
        <w:rPr>
          <w:rFonts w:asciiTheme="minorHAnsi" w:hAnsiTheme="minorHAnsi"/>
          <w:b/>
          <w:bCs/>
        </w:rPr>
        <w:t xml:space="preserve"> – </w:t>
      </w:r>
      <w:r>
        <w:rPr>
          <w:rFonts w:asciiTheme="minorHAnsi" w:hAnsiTheme="minorHAnsi"/>
        </w:rPr>
        <w:t xml:space="preserve">is the current gestational age of child after he/she is born. For example, a neonate born at 32 weeks GA at 9 in the morning has a CGA of 32+3 weeks at Day 4 of life. </w:t>
      </w:r>
    </w:p>
    <w:p w14:paraId="1DED9935" w14:textId="77777777" w:rsidR="00DB1564" w:rsidRPr="0005028A" w:rsidRDefault="00DB1564" w:rsidP="00DB1564">
      <w:pPr>
        <w:jc w:val="both"/>
        <w:rPr>
          <w:rFonts w:asciiTheme="minorHAnsi" w:hAnsiTheme="minorHAnsi"/>
        </w:rPr>
      </w:pPr>
      <w:r w:rsidRPr="064061D1">
        <w:rPr>
          <w:rStyle w:val="st1"/>
          <w:rFonts w:asciiTheme="minorHAnsi" w:hAnsiTheme="minorHAnsi"/>
          <w:b/>
          <w:bCs/>
        </w:rPr>
        <w:t>Osteopenia</w:t>
      </w:r>
      <w:r w:rsidRPr="064061D1">
        <w:rPr>
          <w:rStyle w:val="st1"/>
          <w:rFonts w:asciiTheme="minorHAnsi" w:hAnsiTheme="minorHAnsi"/>
        </w:rPr>
        <w:t xml:space="preserve"> - a condition in which bone mineral density is lower than normal.</w:t>
      </w:r>
    </w:p>
    <w:p w14:paraId="3A224B87" w14:textId="193AE3E6" w:rsidR="0005028A" w:rsidRDefault="00DB1564" w:rsidP="0005028A">
      <w:pPr>
        <w:jc w:val="both"/>
      </w:pPr>
      <w:r w:rsidRPr="064061D1">
        <w:rPr>
          <w:b/>
          <w:bCs/>
        </w:rPr>
        <w:t>Pasteurised Donor Human Milk (PDHM)</w:t>
      </w:r>
      <w:r w:rsidRPr="064061D1">
        <w:t xml:space="preserve"> - Human breastmilk heated to 62.5</w:t>
      </w:r>
      <w:r>
        <w:t xml:space="preserve"> degrees Celsius</w:t>
      </w:r>
      <w:r w:rsidRPr="064061D1">
        <w:t xml:space="preserve"> for 30 minutes then passed as sterile by microbiology </w:t>
      </w:r>
    </w:p>
    <w:p w14:paraId="5223A350" w14:textId="77777777" w:rsidR="00280C5D" w:rsidRDefault="00280C5D" w:rsidP="00280C5D">
      <w:pPr>
        <w:pStyle w:val="BodyCopy"/>
      </w:pPr>
      <w:hyperlink w:anchor="_top" w:history="1">
        <w:r w:rsidRPr="00481A6C">
          <w:rPr>
            <w:rStyle w:val="Hyperlink"/>
            <w:iCs w:val="0"/>
          </w:rPr>
          <w:t>Back to Contents</w:t>
        </w:r>
      </w:hyperlink>
    </w:p>
    <w:p w14:paraId="3C3D231B" w14:textId="77777777" w:rsidR="0078367D" w:rsidRDefault="0078367D" w:rsidP="0078367D">
      <w:pPr>
        <w:pStyle w:val="Heading2"/>
      </w:pPr>
      <w:bookmarkStart w:id="64" w:name="_Toc199497084"/>
      <w:r>
        <w:t>Search terms</w:t>
      </w:r>
      <w:bookmarkEnd w:id="64"/>
    </w:p>
    <w:p w14:paraId="480CD294" w14:textId="77777777" w:rsidR="0005028A" w:rsidRPr="0079054F" w:rsidRDefault="0005028A" w:rsidP="0005028A">
      <w:pPr>
        <w:pStyle w:val="BodyCopy"/>
        <w:rPr>
          <w:rFonts w:cs="Calibri,Bold"/>
        </w:rPr>
      </w:pPr>
      <w:r w:rsidRPr="1A6045E7">
        <w:t xml:space="preserve">NICU, SCN, Breastmilk, Pasteurised Donor Breastmilk, PDBM, PDHM, Infant feeding room, naso-gastric tube, nutrition, feeding, trophic feed, </w:t>
      </w:r>
      <w:r w:rsidRPr="1A6045E7">
        <w:rPr>
          <w:rFonts w:cs="Calibri,Bold"/>
        </w:rPr>
        <w:t>Osteopenia, Osteopenia and Metabolic Bone Disorder Prematurity, Metabolic Bone Disorder of Prematurity, Calcium Deficiency, Phosphate Deficiency, Vitamin D Deficiency, Alkaline Phosphatase, Calcium and Phosphate Deficiency, Nasogastric Tube, Orogastric Tube, Enteral feeding, insertion of nasogastric tube, insertion of orogastric tube, tube feeding, gravity feeds, pump feeding, neonate, neonates, neonatal, baby, infant, infants, nutrition guide, standard feeding schedule, standard feeding regime, feed intolerance, green aspirates, bile aspirates, orogastric tube, NGT, OGT, fortification</w:t>
      </w:r>
    </w:p>
    <w:p w14:paraId="0E319D05" w14:textId="6D04BF25" w:rsidR="00151F43" w:rsidRDefault="00280C5D" w:rsidP="00280C5D">
      <w:pPr>
        <w:pStyle w:val="Bullet"/>
        <w:numPr>
          <w:ilvl w:val="0"/>
          <w:numId w:val="0"/>
        </w:numPr>
      </w:pPr>
      <w:hyperlink w:anchor="_top" w:history="1">
        <w:r w:rsidRPr="00481A6C">
          <w:rPr>
            <w:rStyle w:val="Hyperlink"/>
          </w:rPr>
          <w:t>Back to Contents</w:t>
        </w:r>
      </w:hyperlink>
    </w:p>
    <w:p w14:paraId="24FCA27F" w14:textId="3A55688E" w:rsidR="0078367D" w:rsidRPr="009A5010" w:rsidRDefault="0078367D" w:rsidP="009369C2">
      <w:pPr>
        <w:pStyle w:val="Heading2"/>
      </w:pPr>
      <w:bookmarkStart w:id="65" w:name="_Toc199497085"/>
      <w:r>
        <w:lastRenderedPageBreak/>
        <w:t>Attachments</w:t>
      </w:r>
      <w:bookmarkEnd w:id="65"/>
    </w:p>
    <w:p w14:paraId="21979CB6" w14:textId="335FF28B" w:rsidR="00DB1564" w:rsidRPr="00920D2D" w:rsidRDefault="00DB1564" w:rsidP="0071700E">
      <w:pPr>
        <w:pStyle w:val="Heading7"/>
        <w:rPr>
          <w:rStyle w:val="Bold"/>
          <w:b/>
          <w:bCs w:val="0"/>
          <w:iCs w:val="0"/>
          <w:color w:val="FFFFFF" w:themeColor="background1"/>
          <w:szCs w:val="80"/>
          <w:lang w:eastAsia="en-US"/>
        </w:rPr>
      </w:pPr>
      <w:r w:rsidRPr="00920D2D">
        <w:rPr>
          <w:rStyle w:val="Bold"/>
          <w:b/>
          <w:bCs w:val="0"/>
        </w:rPr>
        <w:t xml:space="preserve">Attachment 1 </w:t>
      </w:r>
      <w:r w:rsidR="00E85D48">
        <w:rPr>
          <w:rStyle w:val="Bold"/>
          <w:b/>
          <w:bCs w:val="0"/>
        </w:rPr>
        <w:t xml:space="preserve">– </w:t>
      </w:r>
      <w:r w:rsidRPr="00920D2D">
        <w:rPr>
          <w:rStyle w:val="Bold"/>
          <w:b/>
          <w:bCs w:val="0"/>
        </w:rPr>
        <w:t>Insertion of Nasogastric/Orogastric Feeding Tube (Neonates/Infants)</w:t>
      </w:r>
    </w:p>
    <w:p w14:paraId="5063C8A9" w14:textId="438B3CBD" w:rsidR="00DB1564" w:rsidRPr="00920D2D" w:rsidRDefault="00DB1564" w:rsidP="0071700E">
      <w:pPr>
        <w:pStyle w:val="Heading7"/>
        <w:rPr>
          <w:rStyle w:val="Bold"/>
        </w:rPr>
      </w:pPr>
      <w:r w:rsidRPr="00920D2D">
        <w:rPr>
          <w:rStyle w:val="Bold"/>
          <w:b/>
          <w:bCs w:val="0"/>
        </w:rPr>
        <w:t xml:space="preserve">Attachment 2 </w:t>
      </w:r>
      <w:r w:rsidR="00E85D48">
        <w:rPr>
          <w:rStyle w:val="Bold"/>
          <w:b/>
          <w:bCs w:val="0"/>
        </w:rPr>
        <w:t xml:space="preserve">– </w:t>
      </w:r>
      <w:r w:rsidRPr="00920D2D">
        <w:rPr>
          <w:rStyle w:val="Bold"/>
          <w:b/>
          <w:bCs w:val="0"/>
        </w:rPr>
        <w:t>Enteral Tube Feeding Procedure</w:t>
      </w:r>
    </w:p>
    <w:p w14:paraId="1F15CD5E" w14:textId="234BE2EA" w:rsidR="00DB1564" w:rsidRPr="00920D2D" w:rsidRDefault="00DB1564" w:rsidP="0071700E">
      <w:pPr>
        <w:pStyle w:val="Heading7"/>
        <w:rPr>
          <w:rStyle w:val="Bold"/>
        </w:rPr>
      </w:pPr>
      <w:r w:rsidRPr="00920D2D">
        <w:rPr>
          <w:rStyle w:val="Bold"/>
          <w:b/>
          <w:bCs w:val="0"/>
        </w:rPr>
        <w:t xml:space="preserve">Attachment 3 </w:t>
      </w:r>
      <w:r w:rsidR="00E85D48">
        <w:rPr>
          <w:rStyle w:val="Bold"/>
          <w:b/>
          <w:bCs w:val="0"/>
        </w:rPr>
        <w:t xml:space="preserve">– </w:t>
      </w:r>
      <w:r w:rsidRPr="00920D2D">
        <w:rPr>
          <w:rStyle w:val="Bold"/>
          <w:b/>
          <w:bCs w:val="0"/>
        </w:rPr>
        <w:t>Department of Neonatology Nutrition Guide</w:t>
      </w:r>
    </w:p>
    <w:p w14:paraId="22745E0D" w14:textId="764F3ACE" w:rsidR="00DB1564" w:rsidRPr="00920D2D" w:rsidRDefault="00DB1564" w:rsidP="0071700E">
      <w:pPr>
        <w:pStyle w:val="Heading7"/>
        <w:rPr>
          <w:rStyle w:val="Bold"/>
        </w:rPr>
      </w:pPr>
      <w:r w:rsidRPr="00920D2D">
        <w:rPr>
          <w:rStyle w:val="Bold"/>
          <w:b/>
          <w:bCs w:val="0"/>
        </w:rPr>
        <w:t xml:space="preserve">Attachment 4 </w:t>
      </w:r>
      <w:r w:rsidR="00E85D48">
        <w:rPr>
          <w:rStyle w:val="Bold"/>
          <w:b/>
          <w:bCs w:val="0"/>
        </w:rPr>
        <w:t xml:space="preserve">– </w:t>
      </w:r>
      <w:r w:rsidRPr="0071700E">
        <w:rPr>
          <w:rStyle w:val="Bold"/>
          <w:b/>
          <w:bCs w:val="0"/>
        </w:rPr>
        <w:t>Standard Feeding Schedules</w:t>
      </w:r>
    </w:p>
    <w:p w14:paraId="6548D676" w14:textId="172617B2" w:rsidR="00DB1564" w:rsidRPr="00920D2D" w:rsidRDefault="00DB1564" w:rsidP="0071700E">
      <w:pPr>
        <w:pStyle w:val="Heading7"/>
        <w:rPr>
          <w:rStyle w:val="Bold"/>
          <w:b/>
          <w:bCs w:val="0"/>
        </w:rPr>
      </w:pPr>
      <w:r w:rsidRPr="00920D2D">
        <w:rPr>
          <w:rStyle w:val="Bold"/>
          <w:b/>
          <w:bCs w:val="0"/>
        </w:rPr>
        <w:t xml:space="preserve">Attachment 5 </w:t>
      </w:r>
      <w:r w:rsidR="00E85D48">
        <w:rPr>
          <w:rStyle w:val="Bold"/>
          <w:b/>
          <w:bCs w:val="0"/>
        </w:rPr>
        <w:t xml:space="preserve">– </w:t>
      </w:r>
      <w:r w:rsidRPr="00920D2D">
        <w:rPr>
          <w:rStyle w:val="Bold"/>
          <w:b/>
          <w:bCs w:val="0"/>
        </w:rPr>
        <w:t>Feeding Intolerance Algorithm</w:t>
      </w:r>
    </w:p>
    <w:p w14:paraId="3658607C" w14:textId="74D7A553" w:rsidR="00DB1564" w:rsidRPr="00920D2D" w:rsidRDefault="00DB1564" w:rsidP="0071700E">
      <w:pPr>
        <w:pStyle w:val="Heading7"/>
      </w:pPr>
      <w:r w:rsidRPr="00920D2D">
        <w:rPr>
          <w:rStyle w:val="Bold"/>
          <w:b/>
          <w:bCs w:val="0"/>
        </w:rPr>
        <w:t xml:space="preserve">Attachment 6 </w:t>
      </w:r>
      <w:r w:rsidR="00E85D48">
        <w:rPr>
          <w:rStyle w:val="Bold"/>
          <w:b/>
          <w:bCs w:val="0"/>
        </w:rPr>
        <w:t xml:space="preserve">– </w:t>
      </w:r>
      <w:r w:rsidRPr="00920D2D">
        <w:t>Medela Calesca Milk Warmer</w:t>
      </w:r>
    </w:p>
    <w:p w14:paraId="44498181" w14:textId="1BA097A5" w:rsidR="00A12D50" w:rsidRPr="00920D2D" w:rsidRDefault="00DB1564" w:rsidP="0071700E">
      <w:pPr>
        <w:pStyle w:val="Heading7"/>
      </w:pPr>
      <w:r w:rsidRPr="00920D2D">
        <w:t xml:space="preserve">Attachment 7 </w:t>
      </w:r>
      <w:r w:rsidR="00E85D48">
        <w:t xml:space="preserve">– </w:t>
      </w:r>
      <w:r w:rsidRPr="00920D2D">
        <w:t>ESPGHAN Nutrition Recommendations Table</w:t>
      </w:r>
    </w:p>
    <w:p w14:paraId="1B60229D" w14:textId="77777777" w:rsidR="003E2A09" w:rsidRDefault="003E2A09">
      <w:pPr>
        <w:spacing w:before="0" w:after="0" w:line="240" w:lineRule="auto"/>
        <w:rPr>
          <w:b/>
          <w:bCs/>
        </w:rPr>
      </w:pPr>
    </w:p>
    <w:p w14:paraId="521CA239" w14:textId="082811BC" w:rsidR="003E2A09" w:rsidRPr="003F3D3C" w:rsidRDefault="003E2A09" w:rsidP="003E2A09">
      <w:pPr>
        <w:rPr>
          <w:b/>
          <w:bCs/>
        </w:rPr>
      </w:pPr>
      <w:r w:rsidRPr="003F3D3C">
        <w:rPr>
          <w:b/>
          <w:bCs/>
        </w:rPr>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3E2A09" w14:paraId="54057A29" w14:textId="77777777" w:rsidTr="00E9181B">
        <w:trPr>
          <w:cnfStyle w:val="100000000000" w:firstRow="1" w:lastRow="0" w:firstColumn="0" w:lastColumn="0" w:oddVBand="0" w:evenVBand="0" w:oddHBand="0" w:evenHBand="0" w:firstRowFirstColumn="0" w:firstRowLastColumn="0" w:lastRowFirstColumn="0" w:lastRowLastColumn="0"/>
        </w:trPr>
        <w:tc>
          <w:tcPr>
            <w:tcW w:w="2476" w:type="dxa"/>
          </w:tcPr>
          <w:p w14:paraId="2F883F99" w14:textId="77777777" w:rsidR="003E2A09" w:rsidRDefault="003E2A09" w:rsidP="00E9181B">
            <w:pPr>
              <w:pStyle w:val="Tableheader"/>
            </w:pPr>
            <w:r>
              <w:t>Date amended</w:t>
            </w:r>
          </w:p>
        </w:tc>
        <w:tc>
          <w:tcPr>
            <w:tcW w:w="2477" w:type="dxa"/>
          </w:tcPr>
          <w:p w14:paraId="18FC90B9" w14:textId="77777777" w:rsidR="003E2A09" w:rsidRDefault="003E2A09" w:rsidP="00E9181B">
            <w:pPr>
              <w:pStyle w:val="Tableheader"/>
            </w:pPr>
            <w:r>
              <w:t>Section amended</w:t>
            </w:r>
          </w:p>
        </w:tc>
        <w:tc>
          <w:tcPr>
            <w:tcW w:w="2555" w:type="dxa"/>
          </w:tcPr>
          <w:p w14:paraId="2C48CF44" w14:textId="77777777" w:rsidR="003E2A09" w:rsidRDefault="003E2A09" w:rsidP="00E9181B">
            <w:pPr>
              <w:pStyle w:val="Tableheader"/>
            </w:pPr>
            <w:r>
              <w:t>Divisional approval</w:t>
            </w:r>
          </w:p>
        </w:tc>
        <w:tc>
          <w:tcPr>
            <w:tcW w:w="2403" w:type="dxa"/>
          </w:tcPr>
          <w:p w14:paraId="0044372D" w14:textId="77777777" w:rsidR="003E2A09" w:rsidRDefault="003E2A09" w:rsidP="00E9181B">
            <w:pPr>
              <w:pStyle w:val="Tableheader"/>
            </w:pPr>
            <w:r>
              <w:t>Final approval</w:t>
            </w:r>
          </w:p>
        </w:tc>
      </w:tr>
      <w:tr w:rsidR="003E2A09" w14:paraId="6B53BE83" w14:textId="77777777" w:rsidTr="00E9181B">
        <w:tc>
          <w:tcPr>
            <w:tcW w:w="2476" w:type="dxa"/>
          </w:tcPr>
          <w:p w14:paraId="712C554E" w14:textId="671B8763" w:rsidR="003E2A09" w:rsidRDefault="002F1887" w:rsidP="00E9181B">
            <w:pPr>
              <w:pStyle w:val="Tablebody"/>
              <w:rPr>
                <w:lang w:eastAsia="en-US"/>
              </w:rPr>
            </w:pPr>
            <w:r>
              <w:rPr>
                <w:lang w:eastAsia="en-US"/>
              </w:rPr>
              <w:t>09/04/2025</w:t>
            </w:r>
          </w:p>
        </w:tc>
        <w:tc>
          <w:tcPr>
            <w:tcW w:w="2477" w:type="dxa"/>
          </w:tcPr>
          <w:p w14:paraId="4CD17477" w14:textId="18DB2BD0" w:rsidR="003E2A09" w:rsidRDefault="002F1887" w:rsidP="00E9181B">
            <w:pPr>
              <w:pStyle w:val="Tablebody"/>
              <w:rPr>
                <w:lang w:eastAsia="en-US"/>
              </w:rPr>
            </w:pPr>
            <w:r>
              <w:rPr>
                <w:lang w:eastAsia="en-US"/>
              </w:rPr>
              <w:t>Complete review</w:t>
            </w:r>
          </w:p>
        </w:tc>
        <w:tc>
          <w:tcPr>
            <w:tcW w:w="2555" w:type="dxa"/>
          </w:tcPr>
          <w:p w14:paraId="1A6DDF10" w14:textId="582F3C9B" w:rsidR="003E2A09" w:rsidRDefault="002F1887" w:rsidP="00E9181B">
            <w:pPr>
              <w:pStyle w:val="Tablebody"/>
              <w:rPr>
                <w:lang w:eastAsia="en-US"/>
              </w:rPr>
            </w:pPr>
            <w:r>
              <w:rPr>
                <w:lang w:eastAsia="en-US"/>
              </w:rPr>
              <w:t>Katherine Wakefield, ED WY&amp;C</w:t>
            </w:r>
          </w:p>
        </w:tc>
        <w:tc>
          <w:tcPr>
            <w:tcW w:w="2403" w:type="dxa"/>
          </w:tcPr>
          <w:p w14:paraId="04131686" w14:textId="70B8BAD1" w:rsidR="003E2A09" w:rsidRDefault="002F1887" w:rsidP="00E9181B">
            <w:pPr>
              <w:pStyle w:val="Tablebody"/>
              <w:rPr>
                <w:lang w:eastAsia="en-US"/>
              </w:rPr>
            </w:pPr>
            <w:r>
              <w:rPr>
                <w:lang w:eastAsia="en-US"/>
              </w:rPr>
              <w:t>Policy Document Review Panel</w:t>
            </w:r>
          </w:p>
        </w:tc>
      </w:tr>
      <w:tr w:rsidR="003E2A09" w14:paraId="3DE11F94" w14:textId="77777777" w:rsidTr="00E9181B">
        <w:tc>
          <w:tcPr>
            <w:tcW w:w="2476" w:type="dxa"/>
          </w:tcPr>
          <w:p w14:paraId="06C08B66" w14:textId="433513A3" w:rsidR="003E2A09" w:rsidRDefault="005E671E" w:rsidP="00E9181B">
            <w:pPr>
              <w:pStyle w:val="Tablebody"/>
              <w:rPr>
                <w:lang w:eastAsia="en-US"/>
              </w:rPr>
            </w:pPr>
            <w:r>
              <w:rPr>
                <w:lang w:eastAsia="en-US"/>
              </w:rPr>
              <w:t>30/05/2025</w:t>
            </w:r>
          </w:p>
        </w:tc>
        <w:tc>
          <w:tcPr>
            <w:tcW w:w="2477" w:type="dxa"/>
          </w:tcPr>
          <w:p w14:paraId="23B0796F" w14:textId="01E0A837" w:rsidR="003E2A09" w:rsidRDefault="00675AE0" w:rsidP="00E9181B">
            <w:pPr>
              <w:pStyle w:val="Tablebody"/>
              <w:rPr>
                <w:lang w:eastAsia="en-US"/>
              </w:rPr>
            </w:pPr>
            <w:r>
              <w:rPr>
                <w:lang w:eastAsia="en-US"/>
              </w:rPr>
              <w:t>Minor a</w:t>
            </w:r>
            <w:r w:rsidR="005E671E">
              <w:rPr>
                <w:lang w:eastAsia="en-US"/>
              </w:rPr>
              <w:t xml:space="preserve">mendments made </w:t>
            </w:r>
            <w:r>
              <w:rPr>
                <w:lang w:eastAsia="en-US"/>
              </w:rPr>
              <w:t xml:space="preserve">throughout including </w:t>
            </w:r>
            <w:r w:rsidR="00F430E7">
              <w:rPr>
                <w:lang w:eastAsia="en-US"/>
              </w:rPr>
              <w:t>Attachment</w:t>
            </w:r>
            <w:r>
              <w:rPr>
                <w:lang w:eastAsia="en-US"/>
              </w:rPr>
              <w:t>s</w:t>
            </w:r>
            <w:r w:rsidR="00332AAF">
              <w:rPr>
                <w:lang w:eastAsia="en-US"/>
              </w:rPr>
              <w:t>.</w:t>
            </w:r>
          </w:p>
        </w:tc>
        <w:tc>
          <w:tcPr>
            <w:tcW w:w="2555" w:type="dxa"/>
          </w:tcPr>
          <w:p w14:paraId="442F65B3" w14:textId="5111B1B6" w:rsidR="003E2A09" w:rsidRDefault="00332AAF" w:rsidP="00E9181B">
            <w:pPr>
              <w:pStyle w:val="Tablebody"/>
              <w:rPr>
                <w:lang w:eastAsia="en-US"/>
              </w:rPr>
            </w:pPr>
            <w:r>
              <w:rPr>
                <w:lang w:eastAsia="en-US"/>
              </w:rPr>
              <w:t xml:space="preserve">Dr Tejasvi Chaudhari, </w:t>
            </w:r>
            <w:r w:rsidR="00FA79FF">
              <w:rPr>
                <w:lang w:eastAsia="en-US"/>
              </w:rPr>
              <w:t xml:space="preserve">Neonatology </w:t>
            </w:r>
            <w:r>
              <w:rPr>
                <w:lang w:eastAsia="en-US"/>
              </w:rPr>
              <w:t>S</w:t>
            </w:r>
            <w:r w:rsidR="00FA79FF">
              <w:rPr>
                <w:lang w:eastAsia="en-US"/>
              </w:rPr>
              <w:t xml:space="preserve">taff Specialist &amp; Hazel Carlisle </w:t>
            </w:r>
            <w:r w:rsidR="00365938">
              <w:rPr>
                <w:lang w:eastAsia="en-US"/>
              </w:rPr>
              <w:t xml:space="preserve">Neonatology </w:t>
            </w:r>
            <w:r w:rsidR="00FA79FF">
              <w:rPr>
                <w:lang w:eastAsia="en-US"/>
              </w:rPr>
              <w:t>Clinical Director</w:t>
            </w:r>
          </w:p>
        </w:tc>
        <w:tc>
          <w:tcPr>
            <w:tcW w:w="2403" w:type="dxa"/>
          </w:tcPr>
          <w:p w14:paraId="695D5DB7" w14:textId="7B725C79" w:rsidR="003E2A09" w:rsidRDefault="00365938" w:rsidP="00E9181B">
            <w:pPr>
              <w:pStyle w:val="Tablebody"/>
              <w:rPr>
                <w:lang w:eastAsia="en-US"/>
              </w:rPr>
            </w:pPr>
            <w:r>
              <w:rPr>
                <w:lang w:eastAsia="en-US"/>
              </w:rPr>
              <w:t>CHS Policy Team</w:t>
            </w:r>
          </w:p>
        </w:tc>
      </w:tr>
    </w:tbl>
    <w:p w14:paraId="00855267" w14:textId="77777777" w:rsidR="003E2A09" w:rsidRDefault="003E2A09" w:rsidP="003E2A09">
      <w:pPr>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3E2A09" w14:paraId="13D26938" w14:textId="77777777" w:rsidTr="00E9181B">
        <w:trPr>
          <w:cnfStyle w:val="100000000000" w:firstRow="1" w:lastRow="0" w:firstColumn="0" w:lastColumn="0" w:oddVBand="0" w:evenVBand="0" w:oddHBand="0" w:evenHBand="0" w:firstRowFirstColumn="0" w:firstRowLastColumn="0" w:lastRowFirstColumn="0" w:lastRowLastColumn="0"/>
        </w:trPr>
        <w:tc>
          <w:tcPr>
            <w:tcW w:w="2548" w:type="dxa"/>
          </w:tcPr>
          <w:p w14:paraId="15B6E089" w14:textId="77777777" w:rsidR="003E2A09" w:rsidRDefault="003E2A09" w:rsidP="00E9181B">
            <w:pPr>
              <w:pStyle w:val="Tableheader"/>
            </w:pPr>
            <w:r>
              <w:t>Document number</w:t>
            </w:r>
          </w:p>
        </w:tc>
        <w:tc>
          <w:tcPr>
            <w:tcW w:w="7653" w:type="dxa"/>
          </w:tcPr>
          <w:p w14:paraId="23D09435" w14:textId="77777777" w:rsidR="003E2A09" w:rsidRDefault="003E2A09" w:rsidP="00E9181B">
            <w:pPr>
              <w:pStyle w:val="Tableheader"/>
            </w:pPr>
            <w:r>
              <w:t>Document name</w:t>
            </w:r>
          </w:p>
        </w:tc>
      </w:tr>
      <w:tr w:rsidR="003E2A09" w14:paraId="06AC6893" w14:textId="77777777" w:rsidTr="00E9181B">
        <w:tc>
          <w:tcPr>
            <w:tcW w:w="2548" w:type="dxa"/>
          </w:tcPr>
          <w:p w14:paraId="0A1B4EC5" w14:textId="564EBECB" w:rsidR="003E2A09" w:rsidRDefault="002F1887" w:rsidP="00E9181B">
            <w:pPr>
              <w:pStyle w:val="Tablebody"/>
              <w:rPr>
                <w:lang w:eastAsia="en-US"/>
              </w:rPr>
            </w:pPr>
            <w:r w:rsidRPr="002F1887">
              <w:rPr>
                <w:lang w:val="en-AU" w:eastAsia="en-US"/>
              </w:rPr>
              <w:t>CHS19/157</w:t>
            </w:r>
          </w:p>
        </w:tc>
        <w:tc>
          <w:tcPr>
            <w:tcW w:w="7653" w:type="dxa"/>
          </w:tcPr>
          <w:p w14:paraId="54A986FD" w14:textId="702854EB" w:rsidR="003E2A09" w:rsidRDefault="002F1887" w:rsidP="00E9181B">
            <w:pPr>
              <w:pStyle w:val="Tablebody"/>
              <w:rPr>
                <w:lang w:eastAsia="en-US"/>
              </w:rPr>
            </w:pPr>
            <w:r w:rsidRPr="002F1887">
              <w:rPr>
                <w:lang w:val="en-AU" w:eastAsia="en-US"/>
              </w:rPr>
              <w:t>Neonatal Nutrition Guide</w:t>
            </w:r>
          </w:p>
        </w:tc>
      </w:tr>
      <w:tr w:rsidR="003E2A09" w14:paraId="54C84875" w14:textId="77777777" w:rsidTr="00E9181B">
        <w:tc>
          <w:tcPr>
            <w:tcW w:w="2548" w:type="dxa"/>
          </w:tcPr>
          <w:p w14:paraId="1F34844E" w14:textId="77777777" w:rsidR="003E2A09" w:rsidRDefault="003E2A09" w:rsidP="00E9181B">
            <w:pPr>
              <w:pStyle w:val="Tablebody"/>
              <w:rPr>
                <w:lang w:eastAsia="en-US"/>
              </w:rPr>
            </w:pPr>
          </w:p>
        </w:tc>
        <w:tc>
          <w:tcPr>
            <w:tcW w:w="7653" w:type="dxa"/>
          </w:tcPr>
          <w:p w14:paraId="3CC460F4" w14:textId="77777777" w:rsidR="003E2A09" w:rsidRDefault="003E2A09" w:rsidP="00E9181B">
            <w:pPr>
              <w:pStyle w:val="Tablebody"/>
              <w:rPr>
                <w:lang w:eastAsia="en-US"/>
              </w:rPr>
            </w:pPr>
          </w:p>
        </w:tc>
      </w:tr>
    </w:tbl>
    <w:p w14:paraId="229085D9" w14:textId="77777777" w:rsidR="003E2A09" w:rsidRPr="0078367D" w:rsidRDefault="003E2A09" w:rsidP="003E2A09">
      <w:pPr>
        <w:pStyle w:val="Heading5"/>
      </w:pPr>
      <w:r w:rsidRPr="0078367D">
        <w:t>Disclaimer</w:t>
      </w:r>
    </w:p>
    <w:p w14:paraId="1D6BAB67" w14:textId="77777777" w:rsidR="003E2A09" w:rsidRDefault="003E2A09" w:rsidP="003E2A09">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469B5287" w14:textId="77777777" w:rsidR="003E2A09" w:rsidRDefault="003E2A09" w:rsidP="003E2A09">
      <w:pPr>
        <w:pStyle w:val="Bullet"/>
        <w:numPr>
          <w:ilvl w:val="0"/>
          <w:numId w:val="0"/>
        </w:numPr>
        <w:rPr>
          <w:rStyle w:val="Hyperlink"/>
        </w:rPr>
      </w:pPr>
      <w:hyperlink w:anchor="_top" w:history="1">
        <w:r w:rsidRPr="00481A6C">
          <w:rPr>
            <w:rStyle w:val="Hyperlink"/>
          </w:rPr>
          <w:t>Back to Contents</w:t>
        </w:r>
      </w:hyperlink>
    </w:p>
    <w:p w14:paraId="4FB9E327" w14:textId="77777777" w:rsidR="003E2A09" w:rsidRDefault="003E2A09" w:rsidP="002F1887">
      <w:pPr>
        <w:pStyle w:val="Bullet"/>
        <w:numPr>
          <w:ilvl w:val="0"/>
          <w:numId w:val="0"/>
        </w:numPr>
        <w:jc w:val="cente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3E2A09" w14:paraId="1B8634ED" w14:textId="77777777" w:rsidTr="00E9181B">
        <w:tc>
          <w:tcPr>
            <w:tcW w:w="5529" w:type="dxa"/>
            <w:shd w:val="clear" w:color="auto" w:fill="F4F3EE"/>
            <w:tcMar>
              <w:top w:w="142" w:type="dxa"/>
              <w:left w:w="170" w:type="dxa"/>
              <w:bottom w:w="142" w:type="dxa"/>
              <w:right w:w="170" w:type="dxa"/>
            </w:tcMar>
          </w:tcPr>
          <w:bookmarkStart w:id="66" w:name="_Hlk160027189" w:displacedByCustomXml="next"/>
          <w:sdt>
            <w:sdtPr>
              <w:rPr>
                <w:color w:val="auto"/>
                <w:u w:val="single"/>
              </w:rPr>
              <w:id w:val="643171884"/>
              <w:placeholder>
                <w:docPart w:val="09A991ABAFDA44398F4F07165028AF57"/>
              </w:placeholder>
            </w:sdtPr>
            <w:sdtEndPr>
              <w:rPr>
                <w:color w:val="000000" w:themeColor="text1"/>
                <w:u w:val="none"/>
              </w:rPr>
            </w:sdtEndPr>
            <w:sdtContent>
              <w:p w14:paraId="294C2E67" w14:textId="77777777" w:rsidR="003E2A09" w:rsidRPr="00350211" w:rsidRDefault="003E2A09" w:rsidP="00E9181B">
                <w:pPr>
                  <w:pStyle w:val="Bottomblocktext"/>
                  <w:rPr>
                    <w:b/>
                    <w:bCs w:val="0"/>
                    <w:sz w:val="20"/>
                    <w:szCs w:val="20"/>
                  </w:rPr>
                </w:pPr>
                <w:r>
                  <w:rPr>
                    <w:noProof/>
                    <w:sz w:val="20"/>
                    <w:szCs w:val="20"/>
                  </w:rPr>
                  <w:drawing>
                    <wp:inline distT="0" distB="0" distL="0" distR="0" wp14:anchorId="06A93055" wp14:editId="23AFE441">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26"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6A9CFA16" w14:textId="77777777" w:rsidR="003E2A09" w:rsidRDefault="003E2A09" w:rsidP="00E9181B">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23330193" w14:textId="77777777" w:rsidR="003E2A09" w:rsidRPr="00350211" w:rsidRDefault="003E2A09" w:rsidP="00E9181B">
                <w:pPr>
                  <w:pStyle w:val="Bottomblocktext"/>
                </w:pPr>
                <w:r w:rsidRPr="00AF532B">
                  <w:t>© Australian Capital Territory, C</w:t>
                </w:r>
                <w:r w:rsidRPr="003F6C0E">
                  <w:t>anberra 20</w:t>
                </w:r>
                <w:sdt>
                  <w:sdtPr>
                    <w:alias w:val="Year selector"/>
                    <w:tag w:val="Year selector"/>
                    <w:id w:val="1385675321"/>
                    <w:placeholder>
                      <w:docPart w:val="36D2CFD2B3754693BFB059B7DE7B54E1"/>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222FB727FA994103BD923FA3B054D92B"/>
            </w:placeholder>
            <w:showingPlcHdr/>
          </w:sdtPr>
          <w:sdtEndPr/>
          <w:sdtContent>
            <w:tc>
              <w:tcPr>
                <w:tcW w:w="4665" w:type="dxa"/>
                <w:shd w:val="clear" w:color="auto" w:fill="F4F3EE"/>
                <w:tcMar>
                  <w:top w:w="142" w:type="dxa"/>
                  <w:left w:w="170" w:type="dxa"/>
                  <w:bottom w:w="142" w:type="dxa"/>
                  <w:right w:w="170" w:type="dxa"/>
                </w:tcMar>
              </w:tcPr>
              <w:p w14:paraId="76D0273C" w14:textId="77777777" w:rsidR="003E2A09" w:rsidRPr="00F26C97" w:rsidRDefault="003E2A09" w:rsidP="00E9181B">
                <w:pPr>
                  <w:pStyle w:val="Bottomblocktext"/>
                  <w:rPr>
                    <w:b/>
                    <w:bCs w:val="0"/>
                    <w:sz w:val="20"/>
                    <w:szCs w:val="20"/>
                  </w:rPr>
                </w:pPr>
                <w:r>
                  <w:rPr>
                    <w:b/>
                    <w:bCs w:val="0"/>
                    <w:noProof/>
                    <w:sz w:val="20"/>
                    <w:szCs w:val="20"/>
                  </w:rPr>
                  <w:drawing>
                    <wp:inline distT="0" distB="0" distL="0" distR="0" wp14:anchorId="2DD44E02" wp14:editId="44C165A3">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27"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4A64FFEC" wp14:editId="1FBAD52E">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28"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2A7E29E6" w14:textId="77777777" w:rsidR="003E2A09" w:rsidRPr="00F26C97" w:rsidRDefault="003E2A09" w:rsidP="00E9181B">
                <w:pPr>
                  <w:pStyle w:val="Bottomblocktext"/>
                  <w:rPr>
                    <w:b/>
                    <w:bCs w:val="0"/>
                    <w:sz w:val="20"/>
                    <w:szCs w:val="20"/>
                  </w:rPr>
                </w:pPr>
                <w:r>
                  <w:rPr>
                    <w:b/>
                    <w:bCs w:val="0"/>
                    <w:noProof/>
                    <w:sz w:val="20"/>
                    <w:szCs w:val="20"/>
                  </w:rPr>
                  <w:drawing>
                    <wp:inline distT="0" distB="0" distL="0" distR="0" wp14:anchorId="5D911462" wp14:editId="21C7E92B">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29"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0D48C9E0" wp14:editId="3C755324">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28"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451A3532" w14:textId="77777777" w:rsidR="003E2A09" w:rsidRDefault="003E2A09" w:rsidP="00E9181B">
                <w:pPr>
                  <w:pStyle w:val="Bottomblocktext"/>
                  <w:rPr>
                    <w:sz w:val="20"/>
                    <w:szCs w:val="20"/>
                  </w:rPr>
                </w:pPr>
                <w:hyperlink r:id="rId30" w:history="1">
                  <w:r w:rsidRPr="00350211">
                    <w:rPr>
                      <w:rStyle w:val="Hyperlink"/>
                      <w:sz w:val="20"/>
                      <w:szCs w:val="20"/>
                    </w:rPr>
                    <w:t>canberrahealthservices.act.gov.au/accessibility</w:t>
                  </w:r>
                </w:hyperlink>
              </w:p>
              <w:p w14:paraId="1977946F" w14:textId="77777777" w:rsidR="003E2A09" w:rsidRDefault="003E2A09" w:rsidP="00E9181B">
                <w:pPr>
                  <w:pStyle w:val="Bottomblocktext"/>
                </w:pPr>
                <w:r>
                  <w:rPr>
                    <w:b/>
                    <w:bCs w:val="0"/>
                    <w:noProof/>
                  </w:rPr>
                  <w:drawing>
                    <wp:inline distT="0" distB="0" distL="0" distR="0" wp14:anchorId="7C0371D4" wp14:editId="2B32C57B">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31"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66"/>
    </w:tbl>
    <w:p w14:paraId="653FFE47" w14:textId="2582861F" w:rsidR="00A12D50" w:rsidRDefault="00A12D50">
      <w:pPr>
        <w:spacing w:before="0" w:after="0" w:line="240" w:lineRule="auto"/>
        <w:rPr>
          <w:rFonts w:eastAsia="Times New Roman"/>
          <w:b/>
          <w:iCs/>
        </w:rPr>
      </w:pPr>
      <w:r>
        <w:rPr>
          <w:b/>
          <w:bCs/>
        </w:rPr>
        <w:br w:type="page"/>
      </w:r>
    </w:p>
    <w:p w14:paraId="065EB530" w14:textId="1A937526" w:rsidR="0005028A" w:rsidRPr="00E82C70" w:rsidRDefault="0005028A" w:rsidP="00A12D50">
      <w:pPr>
        <w:pStyle w:val="Heading5"/>
      </w:pPr>
      <w:bookmarkStart w:id="67" w:name="_Attachment_1_–"/>
      <w:bookmarkEnd w:id="67"/>
      <w:r w:rsidRPr="00E82C70">
        <w:lastRenderedPageBreak/>
        <w:t xml:space="preserve">Attachment </w:t>
      </w:r>
      <w:r w:rsidR="00D065DE" w:rsidRPr="00E82C70">
        <w:t xml:space="preserve">1 </w:t>
      </w:r>
      <w:r w:rsidR="00D656AB">
        <w:t xml:space="preserve">– </w:t>
      </w:r>
      <w:r w:rsidR="00D065DE" w:rsidRPr="00E82C70">
        <w:t>Insertion</w:t>
      </w:r>
      <w:r w:rsidRPr="00E82C70">
        <w:t xml:space="preserve"> of Nasogastric/Orogastric Feeding Tube (Neonates/Infants)</w:t>
      </w:r>
    </w:p>
    <w:p w14:paraId="1E057B05" w14:textId="77777777" w:rsidR="003E2A09" w:rsidRPr="003E2A09" w:rsidRDefault="003E2A09" w:rsidP="003E2A09">
      <w:pPr>
        <w:pStyle w:val="BodyCopy"/>
        <w:pBdr>
          <w:top w:val="single" w:sz="4" w:space="1" w:color="auto"/>
          <w:left w:val="single" w:sz="4" w:space="1" w:color="auto"/>
          <w:bottom w:val="single" w:sz="4" w:space="1" w:color="auto"/>
          <w:right w:val="single" w:sz="4" w:space="1" w:color="auto"/>
        </w:pBdr>
        <w:rPr>
          <w:b/>
        </w:rPr>
      </w:pPr>
      <w:r w:rsidRPr="003E2A09">
        <w:rPr>
          <w:b/>
        </w:rPr>
        <w:t>Alert:</w:t>
      </w:r>
    </w:p>
    <w:p w14:paraId="534D3805" w14:textId="77777777" w:rsidR="003E2A09" w:rsidRPr="003E2A09" w:rsidRDefault="003E2A09" w:rsidP="003E2A09">
      <w:pPr>
        <w:pStyle w:val="Bullet"/>
        <w:pBdr>
          <w:top w:val="single" w:sz="4" w:space="1" w:color="auto"/>
          <w:left w:val="single" w:sz="4" w:space="1" w:color="auto"/>
          <w:bottom w:val="single" w:sz="4" w:space="1" w:color="auto"/>
          <w:right w:val="single" w:sz="4" w:space="1" w:color="auto"/>
        </w:pBdr>
      </w:pPr>
      <w:r w:rsidRPr="003E2A09">
        <w:t>Apnoea, bradycardia, desaturation may occur following stimulation of the vagal nerve. Ensure infant is monitored throughout procedure. If infant does have a vagal response, either remove tube or give infant time to recover.</w:t>
      </w:r>
    </w:p>
    <w:p w14:paraId="546B036A" w14:textId="77777777" w:rsidR="003E2A09" w:rsidRPr="003E2A09" w:rsidRDefault="003E2A09" w:rsidP="003E2A09">
      <w:pPr>
        <w:pStyle w:val="Bullet"/>
        <w:pBdr>
          <w:top w:val="single" w:sz="4" w:space="1" w:color="auto"/>
          <w:left w:val="single" w:sz="4" w:space="1" w:color="auto"/>
          <w:bottom w:val="single" w:sz="4" w:space="1" w:color="auto"/>
          <w:right w:val="single" w:sz="4" w:space="1" w:color="auto"/>
        </w:pBdr>
      </w:pPr>
      <w:r w:rsidRPr="003E2A09">
        <w:t xml:space="preserve">The feeding tube should never be forced during insertion due to risk of perforation of the oesophagus, stomach or duodenum. </w:t>
      </w:r>
    </w:p>
    <w:p w14:paraId="286ECD0E" w14:textId="77777777" w:rsidR="003E2A09" w:rsidRPr="003E2A09" w:rsidRDefault="003E2A09" w:rsidP="003E2A09">
      <w:pPr>
        <w:pStyle w:val="Bullet"/>
        <w:pBdr>
          <w:top w:val="single" w:sz="4" w:space="1" w:color="auto"/>
          <w:left w:val="single" w:sz="4" w:space="1" w:color="auto"/>
          <w:bottom w:val="single" w:sz="4" w:space="1" w:color="auto"/>
          <w:right w:val="single" w:sz="4" w:space="1" w:color="auto"/>
        </w:pBdr>
      </w:pPr>
      <w:r w:rsidRPr="003E2A09">
        <w:t>Aspiration of feed due to feeding tube being placed into trachea. Always verify tube placement thoroughly, upon insertion, once a shift, or when in doubt.</w:t>
      </w:r>
    </w:p>
    <w:p w14:paraId="1CC72EF8" w14:textId="77777777" w:rsidR="0005028A" w:rsidRPr="008C0475" w:rsidRDefault="0005028A" w:rsidP="001F5A30">
      <w:pPr>
        <w:pStyle w:val="Heading6"/>
      </w:pPr>
      <w:r w:rsidRPr="064061D1">
        <w:t xml:space="preserve">Equipment </w:t>
      </w:r>
    </w:p>
    <w:p w14:paraId="2AD3B846" w14:textId="77777777" w:rsidR="00DB1564" w:rsidRDefault="00DB1564" w:rsidP="00C20F00">
      <w:pPr>
        <w:pStyle w:val="Bullet"/>
        <w:numPr>
          <w:ilvl w:val="0"/>
          <w:numId w:val="34"/>
        </w:numPr>
        <w:ind w:left="425" w:hanging="425"/>
      </w:pPr>
      <w:r>
        <w:t>Alcohol based hand rub (ABHR)</w:t>
      </w:r>
    </w:p>
    <w:p w14:paraId="17512B27" w14:textId="77777777" w:rsidR="00DB1564" w:rsidRPr="008C0475" w:rsidRDefault="00DB1564" w:rsidP="00C20F00">
      <w:pPr>
        <w:pStyle w:val="Bullet"/>
        <w:numPr>
          <w:ilvl w:val="0"/>
          <w:numId w:val="34"/>
        </w:numPr>
        <w:ind w:left="425" w:hanging="425"/>
      </w:pPr>
      <w:r>
        <w:t>Enteral feeding tube</w:t>
      </w:r>
    </w:p>
    <w:tbl>
      <w:tblPr>
        <w:tblStyle w:val="TableGrid"/>
        <w:tblW w:w="10060" w:type="dxa"/>
        <w:tblLayout w:type="fixed"/>
        <w:tblLook w:val="06A0" w:firstRow="1" w:lastRow="0" w:firstColumn="1" w:lastColumn="0" w:noHBand="1" w:noVBand="1"/>
      </w:tblPr>
      <w:tblGrid>
        <w:gridCol w:w="3353"/>
        <w:gridCol w:w="3353"/>
        <w:gridCol w:w="3354"/>
      </w:tblGrid>
      <w:tr w:rsidR="00DB1564" w14:paraId="00D2DB11" w14:textId="77777777" w:rsidTr="008D5985">
        <w:trPr>
          <w:trHeight w:val="300"/>
        </w:trPr>
        <w:tc>
          <w:tcPr>
            <w:tcW w:w="10060" w:type="dxa"/>
            <w:gridSpan w:val="3"/>
            <w:shd w:val="clear" w:color="auto" w:fill="D9D9D9" w:themeFill="background1" w:themeFillShade="D9"/>
          </w:tcPr>
          <w:p w14:paraId="1FF122DA" w14:textId="77777777" w:rsidR="00DB1564" w:rsidRPr="064061D1" w:rsidRDefault="00DB1564" w:rsidP="008D5985">
            <w:pPr>
              <w:pStyle w:val="Tableheader-black"/>
              <w:jc w:val="center"/>
            </w:pPr>
            <w:r>
              <w:t>Table 7 – Enteral Feeding Tube Sizing Guide</w:t>
            </w:r>
          </w:p>
        </w:tc>
      </w:tr>
      <w:tr w:rsidR="00DB1564" w14:paraId="0445A9AE" w14:textId="77777777" w:rsidTr="008D5985">
        <w:trPr>
          <w:trHeight w:val="300"/>
        </w:trPr>
        <w:tc>
          <w:tcPr>
            <w:tcW w:w="3353" w:type="dxa"/>
            <w:shd w:val="clear" w:color="auto" w:fill="D9D9D9" w:themeFill="background1" w:themeFillShade="D9"/>
          </w:tcPr>
          <w:p w14:paraId="342AD4CC" w14:textId="77777777" w:rsidR="00DB1564" w:rsidRDefault="00DB1564" w:rsidP="008D5985">
            <w:pPr>
              <w:pStyle w:val="Tableheader-black"/>
              <w:jc w:val="center"/>
            </w:pPr>
            <w:r w:rsidRPr="064061D1">
              <w:t>F</w:t>
            </w:r>
            <w:r>
              <w:t>rench Catheter Size (Fr)</w:t>
            </w:r>
            <w:r w:rsidRPr="064061D1">
              <w:t xml:space="preserve"> 5</w:t>
            </w:r>
          </w:p>
        </w:tc>
        <w:tc>
          <w:tcPr>
            <w:tcW w:w="3353" w:type="dxa"/>
            <w:shd w:val="clear" w:color="auto" w:fill="D9D9D9" w:themeFill="background1" w:themeFillShade="D9"/>
          </w:tcPr>
          <w:p w14:paraId="6A3263BC" w14:textId="77777777" w:rsidR="00DB1564" w:rsidRDefault="00DB1564" w:rsidP="008D5985">
            <w:pPr>
              <w:pStyle w:val="Tableheader-black"/>
              <w:jc w:val="center"/>
            </w:pPr>
            <w:r w:rsidRPr="064061D1">
              <w:t>F</w:t>
            </w:r>
            <w:r>
              <w:t>r</w:t>
            </w:r>
            <w:r w:rsidRPr="064061D1">
              <w:t xml:space="preserve"> </w:t>
            </w:r>
            <w:r>
              <w:t>6-</w:t>
            </w:r>
            <w:r w:rsidRPr="064061D1">
              <w:t>6</w:t>
            </w:r>
            <w:r>
              <w:t>.5</w:t>
            </w:r>
          </w:p>
        </w:tc>
        <w:tc>
          <w:tcPr>
            <w:tcW w:w="3354" w:type="dxa"/>
            <w:shd w:val="clear" w:color="auto" w:fill="D9D9D9" w:themeFill="background1" w:themeFillShade="D9"/>
          </w:tcPr>
          <w:p w14:paraId="2A290F88" w14:textId="77777777" w:rsidR="00DB1564" w:rsidRDefault="00DB1564" w:rsidP="008D5985">
            <w:pPr>
              <w:pStyle w:val="Tableheader-black"/>
              <w:jc w:val="center"/>
            </w:pPr>
            <w:r w:rsidRPr="064061D1">
              <w:t>F</w:t>
            </w:r>
            <w:r>
              <w:t>r</w:t>
            </w:r>
            <w:r w:rsidRPr="064061D1">
              <w:t xml:space="preserve"> 8</w:t>
            </w:r>
          </w:p>
        </w:tc>
      </w:tr>
      <w:tr w:rsidR="00DB1564" w14:paraId="615F979F" w14:textId="77777777" w:rsidTr="0071700E">
        <w:trPr>
          <w:trHeight w:val="755"/>
        </w:trPr>
        <w:tc>
          <w:tcPr>
            <w:tcW w:w="3353" w:type="dxa"/>
          </w:tcPr>
          <w:p w14:paraId="7F8B2072" w14:textId="77777777" w:rsidR="00DB1564" w:rsidRPr="007702E6" w:rsidRDefault="00DB1564" w:rsidP="008D5985">
            <w:pPr>
              <w:pStyle w:val="BodyCopy"/>
              <w:jc w:val="center"/>
            </w:pPr>
            <w:r>
              <w:t>Less than 1000 grams</w:t>
            </w:r>
          </w:p>
        </w:tc>
        <w:tc>
          <w:tcPr>
            <w:tcW w:w="3353" w:type="dxa"/>
          </w:tcPr>
          <w:p w14:paraId="1768A403" w14:textId="77777777" w:rsidR="00DB1564" w:rsidRPr="007702E6" w:rsidRDefault="00DB1564" w:rsidP="008D5985">
            <w:pPr>
              <w:pStyle w:val="BodyCopy"/>
              <w:jc w:val="center"/>
            </w:pPr>
            <w:r>
              <w:t xml:space="preserve">Greater than or equal to 1000 </w:t>
            </w:r>
            <w:r w:rsidRPr="007702E6">
              <w:t>grams</w:t>
            </w:r>
          </w:p>
        </w:tc>
        <w:tc>
          <w:tcPr>
            <w:tcW w:w="3354" w:type="dxa"/>
          </w:tcPr>
          <w:p w14:paraId="2468BE77" w14:textId="77777777" w:rsidR="00DB1564" w:rsidRPr="007702E6" w:rsidRDefault="00DB1564" w:rsidP="008D5985">
            <w:pPr>
              <w:pStyle w:val="BodyCopy"/>
              <w:jc w:val="center"/>
            </w:pPr>
            <w:r w:rsidRPr="007702E6">
              <w:t>G</w:t>
            </w:r>
            <w:r>
              <w:t>astrointestinal</w:t>
            </w:r>
            <w:r w:rsidRPr="007702E6">
              <w:t xml:space="preserve"> Surgery</w:t>
            </w:r>
          </w:p>
        </w:tc>
      </w:tr>
    </w:tbl>
    <w:p w14:paraId="2B48980A" w14:textId="77777777" w:rsidR="00DB1564" w:rsidRPr="008C0475" w:rsidRDefault="00DB1564" w:rsidP="00C20F00">
      <w:pPr>
        <w:pStyle w:val="Bullet"/>
        <w:numPr>
          <w:ilvl w:val="0"/>
          <w:numId w:val="34"/>
        </w:numPr>
        <w:ind w:left="425" w:hanging="425"/>
      </w:pPr>
      <w:r>
        <w:t>3, 5 or 10 mL oral syringe</w:t>
      </w:r>
    </w:p>
    <w:p w14:paraId="1AFD72FB" w14:textId="77777777" w:rsidR="00DB1564" w:rsidRPr="008C0475" w:rsidRDefault="00DB1564" w:rsidP="00C20F00">
      <w:pPr>
        <w:pStyle w:val="Bullet"/>
        <w:numPr>
          <w:ilvl w:val="0"/>
          <w:numId w:val="34"/>
        </w:numPr>
        <w:ind w:left="425" w:hanging="425"/>
      </w:pPr>
      <w:r>
        <w:t>pH indicator strip</w:t>
      </w:r>
    </w:p>
    <w:p w14:paraId="0830B545" w14:textId="77777777" w:rsidR="00DB1564" w:rsidRDefault="00DB1564" w:rsidP="00C20F00">
      <w:pPr>
        <w:pStyle w:val="Bullet"/>
        <w:numPr>
          <w:ilvl w:val="0"/>
          <w:numId w:val="34"/>
        </w:numPr>
        <w:ind w:left="425" w:hanging="425"/>
      </w:pPr>
      <w:r>
        <w:t>Duoderm</w:t>
      </w:r>
    </w:p>
    <w:p w14:paraId="4FA6C061" w14:textId="77777777" w:rsidR="00DB1564" w:rsidRDefault="00DB1564" w:rsidP="00C20F00">
      <w:pPr>
        <w:pStyle w:val="Bullet"/>
        <w:numPr>
          <w:ilvl w:val="0"/>
          <w:numId w:val="34"/>
        </w:numPr>
        <w:ind w:left="425" w:hanging="425"/>
      </w:pPr>
      <w:r>
        <w:t>Neoplast brown tape</w:t>
      </w:r>
    </w:p>
    <w:p w14:paraId="34E2E202" w14:textId="77777777" w:rsidR="00DB1564" w:rsidRDefault="00DB1564" w:rsidP="00C20F00">
      <w:pPr>
        <w:pStyle w:val="Bullet"/>
        <w:numPr>
          <w:ilvl w:val="0"/>
          <w:numId w:val="34"/>
        </w:numPr>
        <w:ind w:left="425" w:hanging="425"/>
      </w:pPr>
      <w:r>
        <w:t>Scissors</w:t>
      </w:r>
    </w:p>
    <w:p w14:paraId="09C18969" w14:textId="262D5A03" w:rsidR="001F5A30" w:rsidRDefault="00DB1564" w:rsidP="00C20F00">
      <w:pPr>
        <w:pStyle w:val="Bullet"/>
        <w:numPr>
          <w:ilvl w:val="0"/>
          <w:numId w:val="34"/>
        </w:numPr>
        <w:ind w:left="425" w:hanging="425"/>
      </w:pPr>
      <w:r>
        <w:t>Additional: MOM, swaddling wrap, dummy, and/or sucrose</w:t>
      </w:r>
    </w:p>
    <w:p w14:paraId="66171B0B" w14:textId="77777777" w:rsidR="003E2A09" w:rsidRPr="003E2A09" w:rsidRDefault="003E2A09" w:rsidP="003E2A09">
      <w:pPr>
        <w:pStyle w:val="BodyCopy"/>
        <w:pBdr>
          <w:top w:val="single" w:sz="4" w:space="1" w:color="auto"/>
          <w:left w:val="single" w:sz="4" w:space="1" w:color="auto"/>
          <w:bottom w:val="single" w:sz="4" w:space="1" w:color="auto"/>
          <w:right w:val="single" w:sz="4" w:space="1" w:color="auto"/>
        </w:pBdr>
        <w:rPr>
          <w:b/>
          <w:bCs w:val="0"/>
        </w:rPr>
      </w:pPr>
      <w:r w:rsidRPr="003E2A09">
        <w:rPr>
          <w:b/>
          <w:bCs w:val="0"/>
        </w:rPr>
        <w:t>Note:</w:t>
      </w:r>
    </w:p>
    <w:p w14:paraId="1F756697" w14:textId="059088DB" w:rsidR="003E2A09" w:rsidRDefault="003E2A09" w:rsidP="003E2A09">
      <w:pPr>
        <w:pStyle w:val="Bullet"/>
        <w:pBdr>
          <w:top w:val="single" w:sz="4" w:space="1" w:color="auto"/>
          <w:left w:val="single" w:sz="4" w:space="1" w:color="auto"/>
          <w:bottom w:val="single" w:sz="4" w:space="1" w:color="auto"/>
          <w:right w:val="single" w:sz="4" w:space="1" w:color="auto"/>
        </w:pBdr>
      </w:pPr>
      <w:r>
        <w:t>Nasogastric tube is preferred for enteral feeding for its reduced risk of displacement and its promotion of suck feeding (e.g., greater than 34-week CGA infants, High Flow or Low Flow Nasal Oxygen Therapy).</w:t>
      </w:r>
    </w:p>
    <w:p w14:paraId="75ED706A" w14:textId="45A2F62D" w:rsidR="003E2A09" w:rsidRDefault="003E2A09" w:rsidP="003E2A09">
      <w:pPr>
        <w:pStyle w:val="Bullet"/>
        <w:pBdr>
          <w:top w:val="single" w:sz="4" w:space="1" w:color="auto"/>
          <w:left w:val="single" w:sz="4" w:space="1" w:color="auto"/>
          <w:bottom w:val="single" w:sz="4" w:space="1" w:color="auto"/>
          <w:right w:val="single" w:sz="4" w:space="1" w:color="auto"/>
        </w:pBdr>
      </w:pPr>
      <w:r>
        <w:t>For infants on non-invasive respiratory support (e.g., Bubble CPAP) or issues with nasal blockage an orogastric tube is recommended.</w:t>
      </w:r>
    </w:p>
    <w:p w14:paraId="30FE903D" w14:textId="6119B82F" w:rsidR="003E2A09" w:rsidRDefault="003E2A09" w:rsidP="003E2A09">
      <w:pPr>
        <w:pStyle w:val="Bullet"/>
        <w:pBdr>
          <w:top w:val="single" w:sz="4" w:space="1" w:color="auto"/>
          <w:left w:val="single" w:sz="4" w:space="1" w:color="auto"/>
          <w:bottom w:val="single" w:sz="4" w:space="1" w:color="auto"/>
          <w:right w:val="single" w:sz="4" w:space="1" w:color="auto"/>
        </w:pBdr>
      </w:pPr>
      <w:r>
        <w:t>For surgical infants with trans anastomotic tubes (which will be inserted nasally), an orogastric tube may be requested for gastric drainage by paediatric surgical team.</w:t>
      </w:r>
    </w:p>
    <w:p w14:paraId="1010B21C" w14:textId="5D6EA858" w:rsidR="001F5A30" w:rsidRPr="001F5A30" w:rsidRDefault="003E2A09" w:rsidP="003E2A09">
      <w:pPr>
        <w:pStyle w:val="Bullet"/>
        <w:pBdr>
          <w:top w:val="single" w:sz="4" w:space="1" w:color="auto"/>
          <w:left w:val="single" w:sz="4" w:space="1" w:color="auto"/>
          <w:bottom w:val="single" w:sz="4" w:space="1" w:color="auto"/>
          <w:right w:val="single" w:sz="4" w:space="1" w:color="auto"/>
        </w:pBdr>
      </w:pPr>
      <w:r>
        <w:t>Sizing up on enteral tube may also be considered in consultation with the MO.</w:t>
      </w:r>
    </w:p>
    <w:p w14:paraId="22454774" w14:textId="77777777" w:rsidR="0005028A" w:rsidRPr="008C0475" w:rsidRDefault="0005028A" w:rsidP="001F5A30">
      <w:pPr>
        <w:pStyle w:val="Heading6"/>
      </w:pPr>
      <w:r w:rsidRPr="064061D1">
        <w:lastRenderedPageBreak/>
        <w:t>Procedure</w:t>
      </w:r>
    </w:p>
    <w:p w14:paraId="243AFF04" w14:textId="77777777" w:rsidR="00DB1564" w:rsidRDefault="00DB1564" w:rsidP="00920D2D">
      <w:pPr>
        <w:pStyle w:val="Numberedlist"/>
        <w:numPr>
          <w:ilvl w:val="0"/>
          <w:numId w:val="13"/>
        </w:numPr>
      </w:pPr>
      <w:r>
        <w:t>Attend to hand hygiene and patient identification</w:t>
      </w:r>
    </w:p>
    <w:p w14:paraId="065606DC" w14:textId="77777777" w:rsidR="00DB1564" w:rsidRDefault="00DB1564" w:rsidP="0071700E">
      <w:pPr>
        <w:pStyle w:val="Numberedlist"/>
        <w:tabs>
          <w:tab w:val="num" w:pos="360"/>
        </w:tabs>
      </w:pPr>
      <w:r>
        <w:t>Gather equipment</w:t>
      </w:r>
    </w:p>
    <w:p w14:paraId="2D51E78F" w14:textId="77777777" w:rsidR="00DB1564" w:rsidRDefault="00DB1564" w:rsidP="0071700E">
      <w:pPr>
        <w:pStyle w:val="Numberedlist"/>
        <w:tabs>
          <w:tab w:val="num" w:pos="360"/>
        </w:tabs>
      </w:pPr>
      <w:r>
        <w:t>Determine appropriate route: nasogastric or orogastric</w:t>
      </w:r>
    </w:p>
    <w:p w14:paraId="3A2D3749" w14:textId="77777777" w:rsidR="00DB1564" w:rsidRDefault="00DB1564" w:rsidP="0071700E">
      <w:pPr>
        <w:pStyle w:val="Numberedlist"/>
        <w:numPr>
          <w:ilvl w:val="1"/>
          <w:numId w:val="5"/>
        </w:numPr>
        <w:ind w:left="714" w:hanging="357"/>
      </w:pPr>
      <w:r>
        <w:t>Nasogastric tubes are preferable for infants greater than 1kg, infants with a strong gag reflex, and those starting suck feeding.</w:t>
      </w:r>
    </w:p>
    <w:p w14:paraId="73AEB94B" w14:textId="77777777" w:rsidR="00DB1564" w:rsidRDefault="00DB1564" w:rsidP="0071700E">
      <w:pPr>
        <w:pStyle w:val="Numberedlist"/>
        <w:numPr>
          <w:ilvl w:val="1"/>
          <w:numId w:val="5"/>
        </w:numPr>
        <w:ind w:left="714" w:hanging="357"/>
      </w:pPr>
      <w:r>
        <w:t xml:space="preserve">Orogastric tubes are appropriate for infants on nasal bubble CPAP, those that have high oxygen requirements, infants less than 1kg, and those with excoriated nares. </w:t>
      </w:r>
    </w:p>
    <w:p w14:paraId="110760EB" w14:textId="77777777" w:rsidR="00DB1564" w:rsidRDefault="00DB1564" w:rsidP="0071700E">
      <w:pPr>
        <w:pStyle w:val="Numberedlist"/>
        <w:tabs>
          <w:tab w:val="num" w:pos="360"/>
        </w:tabs>
      </w:pPr>
      <w:r>
        <w:t xml:space="preserve">Determine depth of insertion of feeding tube (See </w:t>
      </w:r>
      <w:r w:rsidRPr="00DE63A1">
        <w:rPr>
          <w:b/>
          <w:bCs/>
        </w:rPr>
        <w:t>Image 1</w:t>
      </w:r>
      <w:r>
        <w:t xml:space="preserve"> – Feeding Insertion Landmarks/Depth below).</w:t>
      </w:r>
    </w:p>
    <w:p w14:paraId="631DD5C9" w14:textId="77777777" w:rsidR="00DB1564" w:rsidRDefault="00DB1564" w:rsidP="0071700E">
      <w:pPr>
        <w:pStyle w:val="Numberedlist"/>
        <w:numPr>
          <w:ilvl w:val="1"/>
          <w:numId w:val="5"/>
        </w:numPr>
        <w:ind w:left="714" w:hanging="357"/>
      </w:pPr>
      <w:r>
        <w:t>Nasogastric (NGT) – measure from nose to ear lobe, down to halfway between xiphoid process and umbilicus.</w:t>
      </w:r>
    </w:p>
    <w:p w14:paraId="0A9F65A0" w14:textId="77777777" w:rsidR="00DB1564" w:rsidRPr="0004759C" w:rsidRDefault="00DB1564" w:rsidP="0071700E">
      <w:pPr>
        <w:pStyle w:val="Numberedlist"/>
        <w:numPr>
          <w:ilvl w:val="1"/>
          <w:numId w:val="5"/>
        </w:numPr>
        <w:ind w:left="714" w:hanging="357"/>
      </w:pPr>
      <w:r>
        <w:t>Orogastric (OGT) – measure from centre of mouth to ear lobe, down to halfway between xiphoid process and umbilicus.</w:t>
      </w:r>
    </w:p>
    <w:p w14:paraId="200A6A4B" w14:textId="77777777" w:rsidR="00DB1564" w:rsidRDefault="00DB1564" w:rsidP="00DB1564">
      <w:pPr>
        <w:jc w:val="center"/>
      </w:pPr>
      <w:r>
        <w:rPr>
          <w:noProof/>
        </w:rPr>
        <w:drawing>
          <wp:inline distT="0" distB="0" distL="0" distR="0" wp14:anchorId="5F109CD5" wp14:editId="1B5D7D49">
            <wp:extent cx="6192964" cy="3937686"/>
            <wp:effectExtent l="0" t="0" r="0" b="5715"/>
            <wp:docPr id="1" name="Picture 1" descr="A diagram of a baby'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baby's face"/>
                    <pic:cNvPicPr/>
                  </pic:nvPicPr>
                  <pic:blipFill>
                    <a:blip r:embed="rId32"/>
                    <a:stretch>
                      <a:fillRect/>
                    </a:stretch>
                  </pic:blipFill>
                  <pic:spPr>
                    <a:xfrm>
                      <a:off x="0" y="0"/>
                      <a:ext cx="6207910" cy="3947189"/>
                    </a:xfrm>
                    <a:prstGeom prst="rect">
                      <a:avLst/>
                    </a:prstGeom>
                  </pic:spPr>
                </pic:pic>
              </a:graphicData>
            </a:graphic>
          </wp:inline>
        </w:drawing>
      </w:r>
    </w:p>
    <w:p w14:paraId="4A9C7771" w14:textId="77777777" w:rsidR="00DB1564" w:rsidRPr="0004759C" w:rsidRDefault="00DB1564" w:rsidP="0071700E">
      <w:pPr>
        <w:pStyle w:val="Numberedlist"/>
        <w:tabs>
          <w:tab w:val="num" w:pos="360"/>
        </w:tabs>
      </w:pPr>
      <w:r>
        <w:t>Encourage non-nutritive sucking and administer MOM or sucrose to the infant two minutes prior to insertion of feeding tube for analgesia.</w:t>
      </w:r>
    </w:p>
    <w:p w14:paraId="6F9F0CBB" w14:textId="77777777" w:rsidR="00DB1564" w:rsidRPr="0004759C" w:rsidRDefault="00DB1564" w:rsidP="0071700E">
      <w:pPr>
        <w:pStyle w:val="Numberedlist"/>
        <w:tabs>
          <w:tab w:val="num" w:pos="360"/>
        </w:tabs>
      </w:pPr>
      <w:r>
        <w:t>Position infant supine and swaddle with arms tucked inside wrap.</w:t>
      </w:r>
    </w:p>
    <w:p w14:paraId="43B8443D" w14:textId="77777777" w:rsidR="00DB1564" w:rsidRPr="0004759C" w:rsidRDefault="00DB1564" w:rsidP="0071700E">
      <w:pPr>
        <w:pStyle w:val="Numberedlist"/>
        <w:tabs>
          <w:tab w:val="num" w:pos="360"/>
        </w:tabs>
      </w:pPr>
      <w:r>
        <w:t>Moisten tip of tube with infant’s saliva and gently insert into nose (NGT) or mouth (OGT) to desired depth.</w:t>
      </w:r>
    </w:p>
    <w:p w14:paraId="0F1EBDFE" w14:textId="77777777" w:rsidR="00DB1564" w:rsidRDefault="00DB1564" w:rsidP="0071700E">
      <w:pPr>
        <w:pStyle w:val="Numberedlist"/>
        <w:tabs>
          <w:tab w:val="num" w:pos="360"/>
        </w:tabs>
      </w:pPr>
      <w:r>
        <w:lastRenderedPageBreak/>
        <w:t>Taping of:</w:t>
      </w:r>
    </w:p>
    <w:p w14:paraId="296B66FB" w14:textId="77777777" w:rsidR="00DB1564" w:rsidRDefault="00DB1564" w:rsidP="0071700E">
      <w:pPr>
        <w:pStyle w:val="Numberedlist"/>
        <w:numPr>
          <w:ilvl w:val="1"/>
          <w:numId w:val="5"/>
        </w:numPr>
        <w:ind w:left="714" w:hanging="357"/>
      </w:pPr>
      <w:r>
        <w:t>NGT insertion</w:t>
      </w:r>
    </w:p>
    <w:p w14:paraId="185A7D62" w14:textId="77777777" w:rsidR="00DB1564" w:rsidRDefault="00DB1564" w:rsidP="00DB1564">
      <w:pPr>
        <w:pStyle w:val="Numberedlist"/>
        <w:numPr>
          <w:ilvl w:val="2"/>
          <w:numId w:val="5"/>
        </w:numPr>
      </w:pPr>
      <w:r>
        <w:t xml:space="preserve">Cut Duoderm® to appropriate size and neoplast brown tape to single trouser leg shape as is shown in </w:t>
      </w:r>
      <w:r w:rsidRPr="00DE63A1">
        <w:rPr>
          <w:b/>
          <w:bCs/>
        </w:rPr>
        <w:t>Image 2</w:t>
      </w:r>
      <w:r>
        <w:rPr>
          <w:b/>
          <w:bCs/>
        </w:rPr>
        <w:t xml:space="preserve"> – </w:t>
      </w:r>
      <w:r w:rsidRPr="00DE63A1">
        <w:t>Taping of Nasogastric Tube.</w:t>
      </w:r>
      <w:r>
        <w:t xml:space="preserve"> </w:t>
      </w:r>
    </w:p>
    <w:p w14:paraId="6288D60A" w14:textId="77777777" w:rsidR="00DB1564" w:rsidRDefault="00DB1564" w:rsidP="00DB1564">
      <w:pPr>
        <w:pStyle w:val="Numberedlist"/>
        <w:numPr>
          <w:ilvl w:val="2"/>
          <w:numId w:val="5"/>
        </w:numPr>
      </w:pPr>
      <w:r>
        <w:t xml:space="preserve">Place duoderm on side of face, abutting the nose. </w:t>
      </w:r>
    </w:p>
    <w:p w14:paraId="36883BBD" w14:textId="77777777" w:rsidR="00DB1564" w:rsidRDefault="00DB1564" w:rsidP="00DB1564">
      <w:pPr>
        <w:pStyle w:val="Numberedlist"/>
        <w:numPr>
          <w:ilvl w:val="2"/>
          <w:numId w:val="5"/>
        </w:numPr>
      </w:pPr>
      <w:r>
        <w:rPr>
          <w:noProof/>
        </w:rPr>
        <w:drawing>
          <wp:anchor distT="0" distB="0" distL="114300" distR="114300" simplePos="0" relativeHeight="251658257" behindDoc="0" locked="0" layoutInCell="1" allowOverlap="1" wp14:anchorId="6C9C0E31" wp14:editId="39D9623D">
            <wp:simplePos x="0" y="0"/>
            <wp:positionH relativeFrom="column">
              <wp:posOffset>433293</wp:posOffset>
            </wp:positionH>
            <wp:positionV relativeFrom="paragraph">
              <wp:posOffset>635000</wp:posOffset>
            </wp:positionV>
            <wp:extent cx="5720715" cy="2743200"/>
            <wp:effectExtent l="0" t="0" r="0" b="0"/>
            <wp:wrapTopAndBottom/>
            <wp:docPr id="1751329179" name="Picture 1751329179" descr="Close-up of a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29179" name="Picture 1751329179" descr="Close-up of a nose"/>
                    <pic:cNvPicPr/>
                  </pic:nvPicPr>
                  <pic:blipFill>
                    <a:blip r:embed="rId33">
                      <a:extLst>
                        <a:ext uri="{28A0092B-C50C-407E-A947-70E740481C1C}">
                          <a14:useLocalDpi xmlns:a14="http://schemas.microsoft.com/office/drawing/2010/main" val="0"/>
                        </a:ext>
                      </a:extLst>
                    </a:blip>
                    <a:stretch>
                      <a:fillRect/>
                    </a:stretch>
                  </pic:blipFill>
                  <pic:spPr>
                    <a:xfrm>
                      <a:off x="0" y="0"/>
                      <a:ext cx="5720715" cy="2743200"/>
                    </a:xfrm>
                    <a:prstGeom prst="rect">
                      <a:avLst/>
                    </a:prstGeom>
                  </pic:spPr>
                </pic:pic>
              </a:graphicData>
            </a:graphic>
            <wp14:sizeRelH relativeFrom="margin">
              <wp14:pctWidth>0</wp14:pctWidth>
            </wp14:sizeRelH>
            <wp14:sizeRelV relativeFrom="margin">
              <wp14:pctHeight>0</wp14:pctHeight>
            </wp14:sizeRelV>
          </wp:anchor>
        </w:drawing>
      </w:r>
      <w:r>
        <w:t>Secure NGT by applying neoplast brown tape over with single trouser leg over bridge of nose and wide portion over NGT and duoderm. See Image 2 – Taping of Nasogastric Tube below for reference.</w:t>
      </w:r>
    </w:p>
    <w:p w14:paraId="2368900A" w14:textId="77777777" w:rsidR="00DB1564" w:rsidRDefault="00DB1564" w:rsidP="0071700E">
      <w:pPr>
        <w:pStyle w:val="Numberedlist"/>
        <w:numPr>
          <w:ilvl w:val="1"/>
          <w:numId w:val="5"/>
        </w:numPr>
        <w:ind w:left="714" w:hanging="357"/>
      </w:pPr>
      <w:r>
        <w:t xml:space="preserve">OGT insertion: </w:t>
      </w:r>
    </w:p>
    <w:p w14:paraId="7D6A82F5" w14:textId="77777777" w:rsidR="00DB1564" w:rsidRDefault="00DB1564" w:rsidP="0071700E">
      <w:pPr>
        <w:pStyle w:val="Numberedlist"/>
        <w:numPr>
          <w:ilvl w:val="2"/>
          <w:numId w:val="5"/>
        </w:numPr>
        <w:ind w:left="1276"/>
      </w:pPr>
      <w:r>
        <w:t xml:space="preserve">Cut Duoderm® to appropriate size and place on infant’s chin. </w:t>
      </w:r>
    </w:p>
    <w:p w14:paraId="7A2EDB19" w14:textId="77777777" w:rsidR="00DB1564" w:rsidRDefault="00DB1564" w:rsidP="0071700E">
      <w:pPr>
        <w:pStyle w:val="Numberedlist"/>
        <w:numPr>
          <w:ilvl w:val="2"/>
          <w:numId w:val="5"/>
        </w:numPr>
        <w:ind w:left="1276"/>
      </w:pPr>
      <w:r>
        <w:t>Cut neoplast brown tape into a trouser leg shape (</w:t>
      </w:r>
      <w:r w:rsidRPr="00DE63A1">
        <w:rPr>
          <w:b/>
          <w:bCs/>
        </w:rPr>
        <w:t>Step 1- Image 3</w:t>
      </w:r>
      <w:r>
        <w:t xml:space="preserve"> – Taping of Orogastric Tube below). Wrap one trouser leg over gastric tube and other leg around feeding tube to ensure non-slippage (</w:t>
      </w:r>
      <w:r w:rsidRPr="00DE63A1">
        <w:rPr>
          <w:b/>
          <w:bCs/>
        </w:rPr>
        <w:t>Step 2 – Image 3</w:t>
      </w:r>
      <w:r>
        <w:t xml:space="preserve"> – Taping of Orogastric Tube).</w:t>
      </w:r>
    </w:p>
    <w:p w14:paraId="634ACDC3" w14:textId="553C1450" w:rsidR="00DB1564" w:rsidRDefault="00DB1564" w:rsidP="0071700E">
      <w:pPr>
        <w:pStyle w:val="Numberedlist"/>
        <w:numPr>
          <w:ilvl w:val="2"/>
          <w:numId w:val="5"/>
        </w:numPr>
        <w:ind w:left="1276"/>
      </w:pPr>
      <w:r>
        <w:rPr>
          <w:noProof/>
        </w:rPr>
        <w:lastRenderedPageBreak/>
        <w:drawing>
          <wp:anchor distT="0" distB="0" distL="114300" distR="114300" simplePos="0" relativeHeight="251658258" behindDoc="0" locked="0" layoutInCell="1" allowOverlap="1" wp14:anchorId="639AA27D" wp14:editId="2F659146">
            <wp:simplePos x="0" y="0"/>
            <wp:positionH relativeFrom="column">
              <wp:posOffset>201021</wp:posOffset>
            </wp:positionH>
            <wp:positionV relativeFrom="paragraph">
              <wp:posOffset>455433</wp:posOffset>
            </wp:positionV>
            <wp:extent cx="5949315" cy="2668905"/>
            <wp:effectExtent l="0" t="0" r="0" b="0"/>
            <wp:wrapTopAndBottom/>
            <wp:docPr id="2" name="Picture 2" descr="Close-up of a child'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a child's mout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9315" cy="2668905"/>
                    </a:xfrm>
                    <a:prstGeom prst="rect">
                      <a:avLst/>
                    </a:prstGeom>
                  </pic:spPr>
                </pic:pic>
              </a:graphicData>
            </a:graphic>
            <wp14:sizeRelH relativeFrom="margin">
              <wp14:pctWidth>0</wp14:pctWidth>
            </wp14:sizeRelH>
            <wp14:sizeRelV relativeFrom="margin">
              <wp14:pctHeight>0</wp14:pctHeight>
            </wp14:sizeRelV>
          </wp:anchor>
        </w:drawing>
      </w:r>
      <w:r>
        <w:t>Place a second piece of neoplast brown tape over the top to ensure extra security (</w:t>
      </w:r>
      <w:r w:rsidRPr="00DE63A1">
        <w:rPr>
          <w:b/>
          <w:bCs/>
        </w:rPr>
        <w:t>Step 3 – Image 3</w:t>
      </w:r>
      <w:r>
        <w:t xml:space="preserve"> – Taping of Orogastric Tube).</w:t>
      </w:r>
    </w:p>
    <w:p w14:paraId="636A7073" w14:textId="77777777" w:rsidR="003E2A09" w:rsidRDefault="003E2A09" w:rsidP="003E2A09">
      <w:pPr>
        <w:pStyle w:val="Numberedlist"/>
        <w:numPr>
          <w:ilvl w:val="0"/>
          <w:numId w:val="0"/>
        </w:numPr>
        <w:ind w:left="1276"/>
      </w:pPr>
    </w:p>
    <w:p w14:paraId="2AE301E4" w14:textId="024B60F9" w:rsidR="003E2A09" w:rsidRPr="003E2A09" w:rsidRDefault="003E2A09" w:rsidP="003E2A09">
      <w:pPr>
        <w:pStyle w:val="BodyCopy"/>
        <w:pBdr>
          <w:top w:val="single" w:sz="4" w:space="1" w:color="auto"/>
          <w:left w:val="single" w:sz="4" w:space="1" w:color="auto"/>
          <w:bottom w:val="single" w:sz="4" w:space="1" w:color="auto"/>
          <w:right w:val="single" w:sz="4" w:space="1" w:color="auto"/>
        </w:pBdr>
        <w:rPr>
          <w:b/>
          <w:bCs w:val="0"/>
        </w:rPr>
      </w:pPr>
      <w:r w:rsidRPr="003E2A09">
        <w:rPr>
          <w:b/>
          <w:bCs w:val="0"/>
        </w:rPr>
        <w:t>Alert:</w:t>
      </w:r>
    </w:p>
    <w:p w14:paraId="61CC40D9" w14:textId="54DB27D0" w:rsidR="003E2A09" w:rsidRDefault="003E2A09" w:rsidP="003E2A09">
      <w:pPr>
        <w:pStyle w:val="Bullet"/>
        <w:pBdr>
          <w:top w:val="single" w:sz="4" w:space="1" w:color="auto"/>
          <w:left w:val="single" w:sz="4" w:space="1" w:color="auto"/>
          <w:bottom w:val="single" w:sz="4" w:space="1" w:color="auto"/>
          <w:right w:val="single" w:sz="4" w:space="1" w:color="auto"/>
        </w:pBdr>
      </w:pPr>
      <w:r>
        <w:t xml:space="preserve">The “Whoosh” test i.e. injecting air down the gastric tube and listening with a stethoscope is no longer recommended as a method to confirm tube placement. </w:t>
      </w:r>
    </w:p>
    <w:p w14:paraId="5A873218" w14:textId="0AFC0B55" w:rsidR="003E2A09" w:rsidRDefault="003E2A09" w:rsidP="003E2A09">
      <w:pPr>
        <w:pStyle w:val="Bullet"/>
        <w:pBdr>
          <w:top w:val="single" w:sz="4" w:space="1" w:color="auto"/>
          <w:left w:val="single" w:sz="4" w:space="1" w:color="auto"/>
          <w:bottom w:val="single" w:sz="4" w:space="1" w:color="auto"/>
          <w:right w:val="single" w:sz="4" w:space="1" w:color="auto"/>
        </w:pBdr>
      </w:pPr>
      <w:r>
        <w:t>Visible presence of gastric aspirate in tube is also unreliable.</w:t>
      </w:r>
    </w:p>
    <w:p w14:paraId="47C4A9E0" w14:textId="3D3FFAD9" w:rsidR="00DB1564" w:rsidRDefault="00DB1564" w:rsidP="0071700E">
      <w:pPr>
        <w:pStyle w:val="Numberedlist"/>
        <w:tabs>
          <w:tab w:val="num" w:pos="360"/>
        </w:tabs>
      </w:pPr>
      <w:r>
        <w:t>Nurse to check position of NGT/OGT via testing the pH of gastric aspirate.</w:t>
      </w:r>
    </w:p>
    <w:p w14:paraId="5EB5CFC3" w14:textId="77777777" w:rsidR="00DB1564" w:rsidRDefault="00DB1564" w:rsidP="0071700E">
      <w:pPr>
        <w:pStyle w:val="Numberedlist"/>
        <w:numPr>
          <w:ilvl w:val="1"/>
          <w:numId w:val="5"/>
        </w:numPr>
        <w:ind w:left="714" w:hanging="357"/>
      </w:pPr>
      <w:r>
        <w:t>Using a 3ml or 5ml oral syringe aspirate 0.5 to 1ml of gastric contents and use this aspirate to test acidity using pH strips. The tested aspirate must be less than pH 5.5. Discard aspirated milk.</w:t>
      </w:r>
    </w:p>
    <w:p w14:paraId="7FF0606D" w14:textId="77777777" w:rsidR="00DB1564" w:rsidRDefault="00DB1564" w:rsidP="0071700E">
      <w:pPr>
        <w:pStyle w:val="Numberedlist"/>
        <w:numPr>
          <w:ilvl w:val="1"/>
          <w:numId w:val="5"/>
        </w:numPr>
        <w:ind w:left="714" w:hanging="357"/>
      </w:pPr>
      <w:r>
        <w:t xml:space="preserve">If unable to aspirate any gastric contents: </w:t>
      </w:r>
    </w:p>
    <w:p w14:paraId="43B027B7" w14:textId="77777777" w:rsidR="00DB1564" w:rsidRDefault="00DB1564" w:rsidP="00C20F00">
      <w:pPr>
        <w:pStyle w:val="Numberedlist"/>
        <w:numPr>
          <w:ilvl w:val="2"/>
          <w:numId w:val="42"/>
        </w:numPr>
        <w:ind w:left="1208" w:hanging="357"/>
      </w:pPr>
      <w:r>
        <w:t>When appropriate, turn infant to left side-lying with tube secure and retry aspiration.</w:t>
      </w:r>
    </w:p>
    <w:p w14:paraId="57F06388" w14:textId="77777777" w:rsidR="00DB1564" w:rsidRDefault="00DB1564" w:rsidP="00C20F00">
      <w:pPr>
        <w:pStyle w:val="Numberedlist"/>
        <w:numPr>
          <w:ilvl w:val="2"/>
          <w:numId w:val="42"/>
        </w:numPr>
        <w:ind w:left="1208" w:hanging="357"/>
      </w:pPr>
      <w:r>
        <w:t xml:space="preserve">If unsuccessful again, consider repositioning tube by remeasuring tube depth, adjusting tube position and re-aspirate. </w:t>
      </w:r>
    </w:p>
    <w:p w14:paraId="3C274042" w14:textId="77777777" w:rsidR="00DB1564" w:rsidRDefault="00DB1564" w:rsidP="00C20F00">
      <w:pPr>
        <w:pStyle w:val="Numberedlist"/>
        <w:numPr>
          <w:ilvl w:val="2"/>
          <w:numId w:val="42"/>
        </w:numPr>
        <w:ind w:left="1208" w:hanging="357"/>
      </w:pPr>
      <w:r>
        <w:t>After this, if still aspirate is unattainable, remove gastric tube and consult with MO.</w:t>
      </w:r>
    </w:p>
    <w:p w14:paraId="48D8F460" w14:textId="77777777" w:rsidR="00DB1564" w:rsidRDefault="00DB1564" w:rsidP="00C20F00">
      <w:pPr>
        <w:pStyle w:val="Numberedlist"/>
        <w:numPr>
          <w:ilvl w:val="2"/>
          <w:numId w:val="42"/>
        </w:numPr>
        <w:ind w:left="1208" w:hanging="357"/>
      </w:pPr>
      <w:r>
        <w:t>Confirmation via x-ray maybe necessary.</w:t>
      </w:r>
    </w:p>
    <w:p w14:paraId="4623DCE5" w14:textId="77777777" w:rsidR="00DB1564" w:rsidRDefault="00DB1564" w:rsidP="00C20F00">
      <w:pPr>
        <w:pStyle w:val="Numberedlist"/>
        <w:numPr>
          <w:ilvl w:val="2"/>
          <w:numId w:val="42"/>
        </w:numPr>
        <w:ind w:left="1208" w:hanging="357"/>
      </w:pPr>
      <w:r>
        <w:t>If pH is greater than 6, consider possible causes such as presence of amniotic fluid (if neonate is less than 48 hours old), continuous enteral feeding, medications, and presence of milk or blood in tube.</w:t>
      </w:r>
    </w:p>
    <w:p w14:paraId="68DE04BF" w14:textId="77777777" w:rsidR="00DB1564" w:rsidRDefault="00DB1564" w:rsidP="0071700E">
      <w:pPr>
        <w:pStyle w:val="Numberedlist"/>
        <w:tabs>
          <w:tab w:val="num" w:pos="993"/>
        </w:tabs>
      </w:pPr>
      <w:r>
        <w:t xml:space="preserve">Attach patient label with patient identifiers on distal end of gastric tube. </w:t>
      </w:r>
    </w:p>
    <w:p w14:paraId="2868FF23" w14:textId="77777777" w:rsidR="00DB1564" w:rsidRPr="00B4617F" w:rsidRDefault="00DB1564" w:rsidP="0071700E">
      <w:pPr>
        <w:pStyle w:val="Numberedlist"/>
        <w:tabs>
          <w:tab w:val="num" w:pos="993"/>
        </w:tabs>
      </w:pPr>
      <w:r>
        <w:t>Document feeding tube insertion with relevant information in infant’s medical records such as date of insertion, tube length/depth, inserting clinician’s name in patient clinical records and patient label attached to gastric tube.</w:t>
      </w:r>
    </w:p>
    <w:p w14:paraId="23838F75" w14:textId="77777777" w:rsidR="001F5A30" w:rsidRDefault="00684A68" w:rsidP="00684A68">
      <w:pPr>
        <w:pStyle w:val="Bullet"/>
        <w:numPr>
          <w:ilvl w:val="0"/>
          <w:numId w:val="0"/>
        </w:numPr>
        <w:rPr>
          <w:rStyle w:val="Hyperlink"/>
        </w:rPr>
      </w:pPr>
      <w:hyperlink w:anchor="_top" w:history="1">
        <w:r w:rsidRPr="00481A6C">
          <w:rPr>
            <w:rStyle w:val="Hyperlink"/>
          </w:rPr>
          <w:t>Back to Contents</w:t>
        </w:r>
      </w:hyperlink>
    </w:p>
    <w:p w14:paraId="24AA1328" w14:textId="77777777" w:rsidR="003E2A09" w:rsidRDefault="003E2A09">
      <w:pPr>
        <w:spacing w:before="0" w:after="0" w:line="240" w:lineRule="auto"/>
        <w:rPr>
          <w:rFonts w:eastAsia="Times New Roman"/>
          <w:b/>
          <w:color w:val="FFFFFF" w:themeColor="background1"/>
          <w:szCs w:val="80"/>
          <w:lang w:eastAsia="en-US"/>
        </w:rPr>
      </w:pPr>
      <w:r>
        <w:br w:type="page"/>
      </w:r>
    </w:p>
    <w:p w14:paraId="2B075E2C" w14:textId="08525152" w:rsidR="001F5A30" w:rsidRPr="008411C2" w:rsidRDefault="001F5A30" w:rsidP="0071700E">
      <w:pPr>
        <w:pStyle w:val="Heading5"/>
        <w:ind w:left="425" w:hanging="425"/>
      </w:pPr>
      <w:r w:rsidRPr="008411C2">
        <w:lastRenderedPageBreak/>
        <w:t xml:space="preserve">Attachment </w:t>
      </w:r>
      <w:r w:rsidR="0064704F" w:rsidRPr="008411C2">
        <w:t xml:space="preserve">2 </w:t>
      </w:r>
      <w:r w:rsidR="00D656AB">
        <w:t xml:space="preserve">– </w:t>
      </w:r>
      <w:r w:rsidR="0064704F" w:rsidRPr="008411C2">
        <w:t>Enteral</w:t>
      </w:r>
      <w:r w:rsidRPr="008411C2">
        <w:t xml:space="preserve"> Tube Feeding Procedure</w:t>
      </w:r>
    </w:p>
    <w:p w14:paraId="0909D929" w14:textId="77777777" w:rsidR="003E2A09" w:rsidRPr="003E2A09" w:rsidRDefault="003E2A09" w:rsidP="003E2A09">
      <w:pPr>
        <w:pStyle w:val="BodyCopy"/>
        <w:pBdr>
          <w:top w:val="single" w:sz="4" w:space="1" w:color="auto"/>
          <w:left w:val="single" w:sz="4" w:space="1" w:color="auto"/>
          <w:bottom w:val="single" w:sz="4" w:space="1" w:color="auto"/>
          <w:right w:val="single" w:sz="4" w:space="1" w:color="auto"/>
        </w:pBdr>
        <w:rPr>
          <w:b/>
        </w:rPr>
      </w:pPr>
      <w:r w:rsidRPr="003E2A09">
        <w:rPr>
          <w:b/>
        </w:rPr>
        <w:t>Alert:</w:t>
      </w:r>
    </w:p>
    <w:p w14:paraId="59DCA760" w14:textId="77777777" w:rsidR="003E2A09" w:rsidRPr="003E2A09" w:rsidRDefault="003E2A09" w:rsidP="003E2A09">
      <w:pPr>
        <w:pStyle w:val="Bullet"/>
        <w:pBdr>
          <w:top w:val="single" w:sz="4" w:space="1" w:color="auto"/>
          <w:left w:val="single" w:sz="4" w:space="1" w:color="auto"/>
          <w:bottom w:val="single" w:sz="4" w:space="1" w:color="auto"/>
          <w:right w:val="single" w:sz="4" w:space="1" w:color="auto"/>
        </w:pBdr>
      </w:pPr>
      <w:r w:rsidRPr="003E2A09">
        <w:t>All enteral milk choices given to infants must be checked by 2 clinical staff members (e.g., nursing, medical, and/or allied health staff) and must be documented in the infant’s clinical record.</w:t>
      </w:r>
    </w:p>
    <w:p w14:paraId="010DF189" w14:textId="77777777" w:rsidR="003E2A09" w:rsidRPr="003E2A09" w:rsidRDefault="003E2A09" w:rsidP="003E2A09">
      <w:pPr>
        <w:pStyle w:val="Bullet"/>
        <w:pBdr>
          <w:top w:val="single" w:sz="4" w:space="1" w:color="auto"/>
          <w:left w:val="single" w:sz="4" w:space="1" w:color="auto"/>
          <w:bottom w:val="single" w:sz="4" w:space="1" w:color="auto"/>
          <w:right w:val="single" w:sz="4" w:space="1" w:color="auto"/>
        </w:pBdr>
      </w:pPr>
      <w:r w:rsidRPr="003E2A09">
        <w:t xml:space="preserve">If incorrect breast milk given to infant, refer to </w:t>
      </w:r>
      <w:r w:rsidRPr="003E2A09">
        <w:rPr>
          <w:i/>
        </w:rPr>
        <w:t>Expressed Breastmilk Incident Guide</w:t>
      </w:r>
      <w:r w:rsidRPr="003E2A09">
        <w:t xml:space="preserve"> </w:t>
      </w:r>
      <w:r w:rsidRPr="003E2A09">
        <w:rPr>
          <w:i/>
        </w:rPr>
        <w:t>Clinical Guideline</w:t>
      </w:r>
      <w:r w:rsidRPr="003E2A09">
        <w:t xml:space="preserve"> (available on the CHS Policy and Guidance Documents Register).</w:t>
      </w:r>
    </w:p>
    <w:p w14:paraId="0EF7B837" w14:textId="77777777" w:rsidR="003E2A09" w:rsidRPr="003E2A09" w:rsidRDefault="003E2A09" w:rsidP="003E2A09">
      <w:pPr>
        <w:pStyle w:val="Bullet"/>
        <w:pBdr>
          <w:top w:val="single" w:sz="4" w:space="1" w:color="auto"/>
          <w:left w:val="single" w:sz="4" w:space="1" w:color="auto"/>
          <w:bottom w:val="single" w:sz="4" w:space="1" w:color="auto"/>
          <w:right w:val="single" w:sz="4" w:space="1" w:color="auto"/>
        </w:pBdr>
        <w:rPr>
          <w:b/>
        </w:rPr>
      </w:pPr>
      <w:r w:rsidRPr="003E2A09">
        <w:t>Breastmilk and fortifier to be checked and co-signed by 2 nurses/nutrition room technicians</w:t>
      </w:r>
    </w:p>
    <w:p w14:paraId="5062C63C" w14:textId="77777777" w:rsidR="003E2A09" w:rsidRPr="003E2A09" w:rsidRDefault="003E2A09" w:rsidP="003E2A09">
      <w:pPr>
        <w:pStyle w:val="Bullet"/>
        <w:pBdr>
          <w:top w:val="single" w:sz="4" w:space="1" w:color="auto"/>
          <w:left w:val="single" w:sz="4" w:space="1" w:color="auto"/>
          <w:bottom w:val="single" w:sz="4" w:space="1" w:color="auto"/>
          <w:right w:val="single" w:sz="4" w:space="1" w:color="auto"/>
        </w:pBdr>
        <w:rPr>
          <w:b/>
        </w:rPr>
      </w:pPr>
      <w:r w:rsidRPr="003E2A09">
        <w:t xml:space="preserve">Handling of breastmilk requires a clean work service and careful management to reduce risk of contaminating milk  </w:t>
      </w:r>
    </w:p>
    <w:p w14:paraId="785BD03C" w14:textId="0E1BF795" w:rsidR="003E2A09" w:rsidRPr="003E2A09" w:rsidRDefault="003E2A09" w:rsidP="003E2A09">
      <w:pPr>
        <w:pStyle w:val="Bullet"/>
        <w:pBdr>
          <w:top w:val="single" w:sz="4" w:space="1" w:color="auto"/>
          <w:left w:val="single" w:sz="4" w:space="1" w:color="auto"/>
          <w:bottom w:val="single" w:sz="4" w:space="1" w:color="auto"/>
          <w:right w:val="single" w:sz="4" w:space="1" w:color="auto"/>
        </w:pBdr>
        <w:rPr>
          <w:b/>
        </w:rPr>
      </w:pPr>
      <w:r w:rsidRPr="003E2A09">
        <w:t>Staff to maintain hand hygiene and wear appropriate personal protective equipment when handling breastmilk</w:t>
      </w:r>
      <w:r>
        <w:t>.</w:t>
      </w:r>
    </w:p>
    <w:p w14:paraId="5D7FE1AD" w14:textId="77777777" w:rsidR="003E2A09" w:rsidRPr="003E2A09" w:rsidRDefault="003E2A09" w:rsidP="003E2A09">
      <w:pPr>
        <w:pStyle w:val="BodyCopy"/>
        <w:pBdr>
          <w:top w:val="single" w:sz="4" w:space="1" w:color="auto"/>
          <w:left w:val="single" w:sz="4" w:space="4" w:color="auto"/>
          <w:bottom w:val="single" w:sz="4" w:space="1" w:color="auto"/>
          <w:right w:val="single" w:sz="4" w:space="4" w:color="auto"/>
        </w:pBdr>
        <w:rPr>
          <w:b/>
          <w:bCs w:val="0"/>
        </w:rPr>
      </w:pPr>
      <w:r w:rsidRPr="003E2A09">
        <w:rPr>
          <w:b/>
          <w:bCs w:val="0"/>
        </w:rPr>
        <w:t>Note:</w:t>
      </w:r>
    </w:p>
    <w:p w14:paraId="0E0197B2" w14:textId="7E4E987D" w:rsidR="003E2A09" w:rsidRDefault="003E2A09" w:rsidP="003E2A09">
      <w:pPr>
        <w:pStyle w:val="Bullet"/>
        <w:pBdr>
          <w:top w:val="single" w:sz="4" w:space="1" w:color="auto"/>
          <w:left w:val="single" w:sz="4" w:space="4" w:color="auto"/>
          <w:bottom w:val="single" w:sz="4" w:space="1" w:color="auto"/>
          <w:right w:val="single" w:sz="4" w:space="4" w:color="auto"/>
        </w:pBdr>
      </w:pPr>
      <w:r>
        <w:t>If the infant requires a naso/orogastric tube, refer to Attachment 1 – Insertion of a Nasogastric/Orogastric Tube (Neonates/Infants).</w:t>
      </w:r>
    </w:p>
    <w:p w14:paraId="6E254614" w14:textId="46BC2FF3" w:rsidR="003E2A09" w:rsidRDefault="003E2A09" w:rsidP="003E2A09">
      <w:pPr>
        <w:pStyle w:val="Bullet"/>
        <w:pBdr>
          <w:top w:val="single" w:sz="4" w:space="1" w:color="auto"/>
          <w:left w:val="single" w:sz="4" w:space="4" w:color="auto"/>
          <w:bottom w:val="single" w:sz="4" w:space="1" w:color="auto"/>
          <w:right w:val="single" w:sz="4" w:space="4" w:color="auto"/>
        </w:pBdr>
      </w:pPr>
      <w:r>
        <w:t>For the fluid, nutritional and gastrointestinal management of surgical patients, please refer to the Neonatal Surgery Guideline (available on the CHS Policy and Guidance Documents Register).</w:t>
      </w:r>
    </w:p>
    <w:p w14:paraId="75508D9F" w14:textId="564F0263" w:rsidR="003E2A09" w:rsidRPr="003E2A09" w:rsidRDefault="003E2A09" w:rsidP="003E2A09">
      <w:pPr>
        <w:pStyle w:val="Bullet"/>
        <w:pBdr>
          <w:top w:val="single" w:sz="4" w:space="1" w:color="auto"/>
          <w:left w:val="single" w:sz="4" w:space="4" w:color="auto"/>
          <w:bottom w:val="single" w:sz="4" w:space="1" w:color="auto"/>
          <w:right w:val="single" w:sz="4" w:space="4" w:color="auto"/>
        </w:pBdr>
      </w:pPr>
      <w:r>
        <w:t>Please refer to the Developmental Care in the Neonatal Intensive Care Unit and Special Care Nursery Guideline (available on the CHS Policy and Guidance Documents Register) for a guide on incorporating developmental care practices to infants feeding and nutrition (e.g. non-nutritive sucking, kangaroo care, immune-supportive oral care etc.).</w:t>
      </w:r>
    </w:p>
    <w:p w14:paraId="61DB324D" w14:textId="77777777" w:rsidR="00897F35" w:rsidRDefault="00897F35" w:rsidP="003E2A09">
      <w:pPr>
        <w:pStyle w:val="Heading6"/>
        <w:ind w:left="425" w:hanging="425"/>
      </w:pPr>
    </w:p>
    <w:p w14:paraId="027ACEC4" w14:textId="7579EF38" w:rsidR="001F5A30" w:rsidRDefault="001F5A30" w:rsidP="003E2A09">
      <w:pPr>
        <w:pStyle w:val="Heading6"/>
        <w:ind w:left="425" w:hanging="425"/>
      </w:pPr>
      <w:r w:rsidRPr="064061D1">
        <w:t xml:space="preserve">Equipment </w:t>
      </w:r>
    </w:p>
    <w:p w14:paraId="5E287DC1" w14:textId="77777777" w:rsidR="00E03126" w:rsidRDefault="00E03126" w:rsidP="00C20F00">
      <w:pPr>
        <w:pStyle w:val="Bullet"/>
        <w:numPr>
          <w:ilvl w:val="0"/>
          <w:numId w:val="38"/>
        </w:numPr>
        <w:ind w:left="425" w:hanging="425"/>
      </w:pPr>
      <w:r>
        <w:t>Alcohol based hand rub (ABHR)</w:t>
      </w:r>
    </w:p>
    <w:p w14:paraId="526D3B04" w14:textId="77777777" w:rsidR="00E03126" w:rsidRDefault="00E03126" w:rsidP="00C20F00">
      <w:pPr>
        <w:pStyle w:val="Bullet"/>
        <w:numPr>
          <w:ilvl w:val="0"/>
          <w:numId w:val="38"/>
        </w:numPr>
        <w:ind w:left="425" w:hanging="425"/>
      </w:pPr>
      <w:r>
        <w:t>Prescribed Enteral Milk Feed</w:t>
      </w:r>
    </w:p>
    <w:p w14:paraId="437DE37E" w14:textId="77777777" w:rsidR="00E03126" w:rsidRDefault="00E03126" w:rsidP="00C20F00">
      <w:pPr>
        <w:pStyle w:val="Bullet"/>
        <w:numPr>
          <w:ilvl w:val="0"/>
          <w:numId w:val="38"/>
        </w:numPr>
        <w:ind w:left="425" w:hanging="425"/>
      </w:pPr>
      <w:r>
        <w:t>3ml/5ml oral syringe for pH test</w:t>
      </w:r>
    </w:p>
    <w:p w14:paraId="4F8D26D9" w14:textId="77777777" w:rsidR="00E03126" w:rsidRDefault="00E03126" w:rsidP="00C20F00">
      <w:pPr>
        <w:pStyle w:val="Bullet"/>
        <w:numPr>
          <w:ilvl w:val="0"/>
          <w:numId w:val="38"/>
        </w:numPr>
        <w:ind w:left="425" w:hanging="425"/>
      </w:pPr>
      <w:r>
        <w:t xml:space="preserve">Appropriate oral syringe for feeding </w:t>
      </w:r>
    </w:p>
    <w:p w14:paraId="75183702" w14:textId="77777777" w:rsidR="00E03126" w:rsidRDefault="00E03126" w:rsidP="00C20F00">
      <w:pPr>
        <w:pStyle w:val="Bullet"/>
        <w:numPr>
          <w:ilvl w:val="0"/>
          <w:numId w:val="38"/>
        </w:numPr>
        <w:ind w:left="425" w:hanging="425"/>
      </w:pPr>
      <w:r>
        <w:t>pH test strips</w:t>
      </w:r>
    </w:p>
    <w:p w14:paraId="3D03424F" w14:textId="10801F08" w:rsidR="00E03126" w:rsidRDefault="00E03126" w:rsidP="00C20F00">
      <w:pPr>
        <w:pStyle w:val="Bullet"/>
        <w:numPr>
          <w:ilvl w:val="0"/>
          <w:numId w:val="38"/>
        </w:numPr>
        <w:ind w:left="425" w:hanging="425"/>
      </w:pPr>
      <w:r>
        <w:t xml:space="preserve">Enteral Feeding </w:t>
      </w:r>
      <w:r w:rsidR="00151F43">
        <w:t xml:space="preserve">Pump </w:t>
      </w:r>
      <w:r w:rsidR="00151F43" w:rsidRPr="0D77BFA6">
        <w:rPr>
          <w:rFonts w:eastAsia="Calibri" w:cs="Calibri"/>
        </w:rPr>
        <w:t>for</w:t>
      </w:r>
      <w:r w:rsidRPr="0D77BFA6">
        <w:rPr>
          <w:rFonts w:eastAsia="Calibri" w:cs="Calibri"/>
        </w:rPr>
        <w:t xml:space="preserve"> </w:t>
      </w:r>
      <w:r>
        <w:rPr>
          <w:rFonts w:eastAsia="Calibri" w:cs="Calibri"/>
        </w:rPr>
        <w:t xml:space="preserve">less than or equal to </w:t>
      </w:r>
      <w:r w:rsidRPr="0D77BFA6">
        <w:rPr>
          <w:rFonts w:eastAsia="Calibri" w:cs="Calibri"/>
        </w:rPr>
        <w:t xml:space="preserve">32 weeks GA and/or </w:t>
      </w:r>
      <w:r>
        <w:rPr>
          <w:rFonts w:eastAsia="Calibri" w:cs="Calibri"/>
        </w:rPr>
        <w:t xml:space="preserve">less than or equal to </w:t>
      </w:r>
      <w:r w:rsidRPr="0D77BFA6">
        <w:rPr>
          <w:rFonts w:eastAsia="Calibri" w:cs="Calibri"/>
        </w:rPr>
        <w:t>1800g</w:t>
      </w:r>
    </w:p>
    <w:p w14:paraId="4113B0D5" w14:textId="77777777" w:rsidR="00E03126" w:rsidRDefault="00E03126" w:rsidP="00C20F00">
      <w:pPr>
        <w:pStyle w:val="Bullet"/>
        <w:numPr>
          <w:ilvl w:val="0"/>
          <w:numId w:val="38"/>
        </w:numPr>
        <w:ind w:left="425" w:hanging="425"/>
      </w:pPr>
      <w:r>
        <w:t xml:space="preserve">Appropriately sized oral syringe </w:t>
      </w:r>
    </w:p>
    <w:p w14:paraId="2B73B6F1" w14:textId="77777777" w:rsidR="00E03126" w:rsidRDefault="00E03126" w:rsidP="00C20F00">
      <w:pPr>
        <w:pStyle w:val="Bullet"/>
        <w:numPr>
          <w:ilvl w:val="0"/>
          <w:numId w:val="38"/>
        </w:numPr>
        <w:ind w:left="425" w:hanging="425"/>
      </w:pPr>
      <w:r>
        <w:t>Optional: Sterile Water for Injection (WFI), milk bottle</w:t>
      </w:r>
    </w:p>
    <w:p w14:paraId="4F6B6FE4" w14:textId="7AA263BF" w:rsidR="001F5A30" w:rsidRDefault="001F5A30" w:rsidP="001F5A30">
      <w:pPr>
        <w:pStyle w:val="BodyCopy"/>
      </w:pPr>
    </w:p>
    <w:p w14:paraId="67B06839" w14:textId="7FE77FC9" w:rsidR="001F5A30" w:rsidRDefault="001F5A30" w:rsidP="001F5A30">
      <w:pPr>
        <w:pStyle w:val="Heading6"/>
      </w:pPr>
      <w:r>
        <w:t>Procedure</w:t>
      </w:r>
    </w:p>
    <w:p w14:paraId="2219C441" w14:textId="77777777" w:rsidR="00E03126" w:rsidRPr="00B60CC0" w:rsidRDefault="00E03126" w:rsidP="00C20F00">
      <w:pPr>
        <w:pStyle w:val="Numberedlist"/>
        <w:numPr>
          <w:ilvl w:val="0"/>
          <w:numId w:val="14"/>
        </w:numPr>
        <w:rPr>
          <w:rFonts w:cs="Calibri"/>
        </w:rPr>
      </w:pPr>
      <w:r>
        <w:t>Attend hand hygiene and identify correct patient.</w:t>
      </w:r>
    </w:p>
    <w:p w14:paraId="518AAED4" w14:textId="77777777" w:rsidR="00E03126" w:rsidRPr="00B60CC0" w:rsidRDefault="00E03126" w:rsidP="00C20F00">
      <w:pPr>
        <w:pStyle w:val="Numberedlist"/>
        <w:numPr>
          <w:ilvl w:val="0"/>
          <w:numId w:val="14"/>
        </w:numPr>
        <w:rPr>
          <w:rFonts w:cs="Calibri"/>
        </w:rPr>
      </w:pPr>
      <w:r>
        <w:t xml:space="preserve">Check infant’s abdomen for bowel sounds, signs of distension, colour and/or visible loops of bowel. Refer to </w:t>
      </w:r>
      <w:r w:rsidRPr="00382ECF">
        <w:rPr>
          <w:b/>
          <w:bCs/>
        </w:rPr>
        <w:t>Attachment 5</w:t>
      </w:r>
      <w:r w:rsidRPr="00382ECF">
        <w:t xml:space="preserve"> – Feeding Intolerance Algorithm</w:t>
      </w:r>
      <w:r>
        <w:t>. If there are concerns, immediately consult with MO before giving feed.</w:t>
      </w:r>
    </w:p>
    <w:p w14:paraId="5061E437" w14:textId="77777777" w:rsidR="00E03126" w:rsidRDefault="00E03126" w:rsidP="00C20F00">
      <w:pPr>
        <w:pStyle w:val="Numberedlist"/>
        <w:numPr>
          <w:ilvl w:val="0"/>
          <w:numId w:val="14"/>
        </w:numPr>
      </w:pPr>
      <w:r>
        <w:t>Bedside nurse to retrieve patient’s enteral milk feed as per fluid order from the patient room refrigerator, checking patient identification, type of milk feed, and use-by date.</w:t>
      </w:r>
    </w:p>
    <w:p w14:paraId="567CECB8" w14:textId="000C3B65" w:rsidR="00E03126" w:rsidRDefault="00E03126" w:rsidP="00C20F00">
      <w:pPr>
        <w:pStyle w:val="Numberedlist"/>
        <w:numPr>
          <w:ilvl w:val="0"/>
          <w:numId w:val="14"/>
        </w:numPr>
      </w:pPr>
      <w:r>
        <w:t>Place milk feed in milk warmer.</w:t>
      </w:r>
    </w:p>
    <w:p w14:paraId="477FF0F2" w14:textId="77777777" w:rsidR="003E2A09" w:rsidRPr="003E2A09" w:rsidRDefault="003E2A09" w:rsidP="003E2A09">
      <w:pPr>
        <w:pStyle w:val="BodyCopy"/>
        <w:pBdr>
          <w:top w:val="single" w:sz="4" w:space="1" w:color="auto"/>
          <w:left w:val="single" w:sz="4" w:space="4" w:color="auto"/>
          <w:bottom w:val="single" w:sz="4" w:space="1" w:color="auto"/>
          <w:right w:val="single" w:sz="4" w:space="4" w:color="auto"/>
        </w:pBdr>
        <w:rPr>
          <w:b/>
          <w:bCs w:val="0"/>
        </w:rPr>
      </w:pPr>
      <w:r w:rsidRPr="003E2A09">
        <w:rPr>
          <w:b/>
          <w:bCs w:val="0"/>
        </w:rPr>
        <w:t xml:space="preserve">Note: </w:t>
      </w:r>
    </w:p>
    <w:p w14:paraId="29433525" w14:textId="0B25E2F1" w:rsidR="003E2A09" w:rsidRDefault="003E2A09" w:rsidP="003E2A09">
      <w:pPr>
        <w:pStyle w:val="BodyCopy"/>
        <w:pBdr>
          <w:top w:val="single" w:sz="4" w:space="1" w:color="auto"/>
          <w:left w:val="single" w:sz="4" w:space="4" w:color="auto"/>
          <w:bottom w:val="single" w:sz="4" w:space="1" w:color="auto"/>
          <w:right w:val="single" w:sz="4" w:space="4" w:color="auto"/>
        </w:pBdr>
      </w:pPr>
      <w:r w:rsidRPr="003E2A09">
        <w:t>Medela Calesca Milk Warmer is used in the Department of Neonatology and is a waterless thawing and warming device that warms milk to body temperature. It uses a 24-hour use disposable insert. Refer to Attachment 6 - Medela Calesca Milk Warmer</w:t>
      </w:r>
      <w:r>
        <w:t>.</w:t>
      </w:r>
    </w:p>
    <w:p w14:paraId="1192276A" w14:textId="77777777" w:rsidR="00E03126" w:rsidRDefault="00E03126" w:rsidP="00C20F00">
      <w:pPr>
        <w:pStyle w:val="Numberedlist"/>
        <w:numPr>
          <w:ilvl w:val="0"/>
          <w:numId w:val="14"/>
        </w:numPr>
      </w:pPr>
      <w:r>
        <w:t>Apply developmental care practice prior to giving enteral feed through kangaroo care, non-nutritive sucking, and/or immuno-supportive oral care depending on the developmental care (gestational) needs of the infant.</w:t>
      </w:r>
    </w:p>
    <w:p w14:paraId="2EFEB572" w14:textId="77777777" w:rsidR="00E03126" w:rsidRDefault="00E03126" w:rsidP="00C20F00">
      <w:pPr>
        <w:pStyle w:val="Numberedlist"/>
        <w:numPr>
          <w:ilvl w:val="0"/>
          <w:numId w:val="14"/>
        </w:numPr>
      </w:pPr>
      <w:r>
        <w:t xml:space="preserve">Nurse to check position NGT/OGT via: </w:t>
      </w:r>
    </w:p>
    <w:p w14:paraId="7C83A922" w14:textId="77777777" w:rsidR="00E03126" w:rsidRDefault="00E03126" w:rsidP="00C20F00">
      <w:pPr>
        <w:pStyle w:val="Numberedlist"/>
        <w:numPr>
          <w:ilvl w:val="1"/>
          <w:numId w:val="14"/>
        </w:numPr>
        <w:ind w:left="714" w:hanging="357"/>
      </w:pPr>
      <w:r>
        <w:t xml:space="preserve">pH test: to be attended once a shift. Refer to </w:t>
      </w:r>
      <w:r w:rsidRPr="00382ECF">
        <w:rPr>
          <w:b/>
          <w:bCs/>
        </w:rPr>
        <w:t>Attachment 1</w:t>
      </w:r>
      <w:r w:rsidRPr="00382ECF">
        <w:t xml:space="preserve"> – Insertion of Nasogastric/Orogastric Feeding Tube (Neonates/Infants)</w:t>
      </w:r>
      <w:r>
        <w:t xml:space="preserve"> on how to test pH. Gastric aspirate pH should be less than 5.5</w:t>
      </w:r>
    </w:p>
    <w:p w14:paraId="61FC6B92" w14:textId="2E976206" w:rsidR="00E03126" w:rsidRDefault="00E03126" w:rsidP="00C20F00">
      <w:pPr>
        <w:pStyle w:val="Numberedlist"/>
        <w:numPr>
          <w:ilvl w:val="1"/>
          <w:numId w:val="14"/>
        </w:numPr>
        <w:ind w:left="714" w:hanging="357"/>
      </w:pPr>
      <w:r>
        <w:t>Visual check: to be attended before every feed. Bedside nurse to check correct tube length and dressing integrity. If in doubt, attend to pH test.</w:t>
      </w:r>
    </w:p>
    <w:p w14:paraId="47F6C503" w14:textId="77777777" w:rsidR="003E2A09" w:rsidRPr="003E2A09" w:rsidRDefault="003E2A09" w:rsidP="003E2A09">
      <w:pPr>
        <w:pStyle w:val="BodyCopy"/>
        <w:pBdr>
          <w:top w:val="single" w:sz="4" w:space="1" w:color="auto"/>
          <w:left w:val="single" w:sz="4" w:space="4" w:color="auto"/>
          <w:bottom w:val="single" w:sz="4" w:space="1" w:color="auto"/>
          <w:right w:val="single" w:sz="4" w:space="4" w:color="auto"/>
        </w:pBdr>
        <w:rPr>
          <w:b/>
          <w:bCs w:val="0"/>
        </w:rPr>
      </w:pPr>
      <w:r w:rsidRPr="003E2A09">
        <w:rPr>
          <w:b/>
          <w:bCs w:val="0"/>
        </w:rPr>
        <w:t>Alert:</w:t>
      </w:r>
    </w:p>
    <w:p w14:paraId="60F0E0C6" w14:textId="1906D5D2" w:rsidR="003E2A09" w:rsidRDefault="003E2A09" w:rsidP="00365339">
      <w:pPr>
        <w:pStyle w:val="Bullet"/>
        <w:numPr>
          <w:ilvl w:val="0"/>
          <w:numId w:val="0"/>
        </w:numPr>
        <w:pBdr>
          <w:top w:val="single" w:sz="4" w:space="1" w:color="auto"/>
          <w:left w:val="single" w:sz="4" w:space="4" w:color="auto"/>
          <w:bottom w:val="single" w:sz="4" w:space="1" w:color="auto"/>
          <w:right w:val="single" w:sz="4" w:space="4" w:color="auto"/>
        </w:pBdr>
        <w:ind w:left="360" w:hanging="360"/>
      </w:pPr>
      <w:r>
        <w:t>Do not routinely aspirate the entire gastric residuals.</w:t>
      </w:r>
    </w:p>
    <w:p w14:paraId="483F2EFF" w14:textId="77777777" w:rsidR="0063586E" w:rsidRDefault="0063586E" w:rsidP="00365339">
      <w:pPr>
        <w:pStyle w:val="Bullet"/>
        <w:numPr>
          <w:ilvl w:val="0"/>
          <w:numId w:val="0"/>
        </w:numPr>
        <w:pBdr>
          <w:top w:val="single" w:sz="4" w:space="1" w:color="auto"/>
          <w:left w:val="single" w:sz="4" w:space="4" w:color="auto"/>
          <w:bottom w:val="single" w:sz="4" w:space="1" w:color="auto"/>
          <w:right w:val="single" w:sz="4" w:space="4" w:color="auto"/>
        </w:pBdr>
        <w:ind w:left="360" w:hanging="360"/>
      </w:pPr>
    </w:p>
    <w:p w14:paraId="48ADA96C" w14:textId="77777777" w:rsidR="0063586E" w:rsidRDefault="003E2A09" w:rsidP="0043591D">
      <w:pPr>
        <w:pStyle w:val="Bullet"/>
        <w:numPr>
          <w:ilvl w:val="0"/>
          <w:numId w:val="0"/>
        </w:numPr>
        <w:pBdr>
          <w:top w:val="single" w:sz="4" w:space="1" w:color="auto"/>
          <w:left w:val="single" w:sz="4" w:space="4" w:color="auto"/>
          <w:bottom w:val="single" w:sz="4" w:space="1" w:color="auto"/>
          <w:right w:val="single" w:sz="4" w:space="4" w:color="auto"/>
        </w:pBdr>
        <w:ind w:left="360" w:hanging="360"/>
      </w:pPr>
      <w:r>
        <w:t>The “Whoosh” test i.e. injecting air down the gastric tube and listening with a stethoscope is</w:t>
      </w:r>
    </w:p>
    <w:p w14:paraId="13EC0039" w14:textId="6EB24929" w:rsidR="003E2A09" w:rsidRDefault="003E2A09" w:rsidP="0043591D">
      <w:pPr>
        <w:pStyle w:val="Bullet"/>
        <w:numPr>
          <w:ilvl w:val="0"/>
          <w:numId w:val="0"/>
        </w:numPr>
        <w:pBdr>
          <w:top w:val="single" w:sz="4" w:space="1" w:color="auto"/>
          <w:left w:val="single" w:sz="4" w:space="4" w:color="auto"/>
          <w:bottom w:val="single" w:sz="4" w:space="1" w:color="auto"/>
          <w:right w:val="single" w:sz="4" w:space="4" w:color="auto"/>
        </w:pBdr>
        <w:ind w:left="360" w:hanging="360"/>
      </w:pPr>
      <w:r>
        <w:t>no longer recommended as a method to confirm tube placement</w:t>
      </w:r>
      <w:r w:rsidR="0063586E">
        <w:t>.</w:t>
      </w:r>
      <w:r>
        <w:t xml:space="preserve"> </w:t>
      </w:r>
    </w:p>
    <w:p w14:paraId="3FFF1A9E" w14:textId="77777777" w:rsidR="0063586E" w:rsidRDefault="0063586E" w:rsidP="0043591D">
      <w:pPr>
        <w:pStyle w:val="Bullet"/>
        <w:numPr>
          <w:ilvl w:val="0"/>
          <w:numId w:val="0"/>
        </w:numPr>
        <w:pBdr>
          <w:top w:val="single" w:sz="4" w:space="1" w:color="auto"/>
          <w:left w:val="single" w:sz="4" w:space="4" w:color="auto"/>
          <w:bottom w:val="single" w:sz="4" w:space="1" w:color="auto"/>
          <w:right w:val="single" w:sz="4" w:space="4" w:color="auto"/>
        </w:pBdr>
        <w:ind w:left="360" w:hanging="360"/>
      </w:pPr>
    </w:p>
    <w:p w14:paraId="6D863D39" w14:textId="6688F2E9" w:rsidR="003E2A09" w:rsidRDefault="003E2A09" w:rsidP="0043591D">
      <w:pPr>
        <w:pStyle w:val="Bullet"/>
        <w:numPr>
          <w:ilvl w:val="0"/>
          <w:numId w:val="0"/>
        </w:numPr>
        <w:pBdr>
          <w:top w:val="single" w:sz="4" w:space="1" w:color="auto"/>
          <w:left w:val="single" w:sz="4" w:space="4" w:color="auto"/>
          <w:bottom w:val="single" w:sz="4" w:space="1" w:color="auto"/>
          <w:right w:val="single" w:sz="4" w:space="4" w:color="auto"/>
        </w:pBdr>
        <w:ind w:left="360" w:hanging="360"/>
      </w:pPr>
      <w:r>
        <w:t>Visible presence of gastric aspirate in tube is also unreliable.</w:t>
      </w:r>
    </w:p>
    <w:p w14:paraId="2BB7A15F" w14:textId="77777777" w:rsidR="00E03126" w:rsidRDefault="00E03126" w:rsidP="00C20F00">
      <w:pPr>
        <w:pStyle w:val="Numberedlist"/>
        <w:numPr>
          <w:ilvl w:val="0"/>
          <w:numId w:val="14"/>
        </w:numPr>
      </w:pPr>
      <w:r>
        <w:t xml:space="preserve">Once position of tube confirmed, bedside nurse to retrieve warmed milk and to check that the correct milk is to be given to the correct patient via patient identifiers on milk container and patient label. </w:t>
      </w:r>
      <w:r w:rsidRPr="000376DB">
        <w:t xml:space="preserve">Both nurses to co-sign in patient </w:t>
      </w:r>
      <w:r>
        <w:t>clinical</w:t>
      </w:r>
      <w:r w:rsidRPr="000376DB">
        <w:t xml:space="preserve"> record</w:t>
      </w:r>
      <w:r>
        <w:t>.</w:t>
      </w:r>
    </w:p>
    <w:p w14:paraId="3EB6917A" w14:textId="77777777" w:rsidR="00E03126" w:rsidRPr="000376DB" w:rsidRDefault="00E03126" w:rsidP="00C20F00">
      <w:pPr>
        <w:pStyle w:val="Numberedlist"/>
        <w:numPr>
          <w:ilvl w:val="0"/>
          <w:numId w:val="14"/>
        </w:numPr>
      </w:pPr>
      <w:r>
        <w:t>Bedside nurse to shake milk container before commencing feeds (to mix fat, additives, etc. thoroughly in milk).</w:t>
      </w:r>
    </w:p>
    <w:p w14:paraId="7CF7D899" w14:textId="77777777" w:rsidR="00E03126" w:rsidRDefault="00E03126" w:rsidP="00C20F00">
      <w:pPr>
        <w:pStyle w:val="Numberedlist"/>
        <w:numPr>
          <w:ilvl w:val="0"/>
          <w:numId w:val="14"/>
        </w:numPr>
      </w:pPr>
      <w:r>
        <w:t>Commence feed by either:</w:t>
      </w:r>
    </w:p>
    <w:p w14:paraId="4B3D5945" w14:textId="77777777" w:rsidR="00E03126" w:rsidRPr="00B60CC0" w:rsidRDefault="00E03126" w:rsidP="00C20F00">
      <w:pPr>
        <w:pStyle w:val="Numberedlist"/>
        <w:numPr>
          <w:ilvl w:val="1"/>
          <w:numId w:val="14"/>
        </w:numPr>
        <w:ind w:left="714" w:hanging="357"/>
      </w:pPr>
      <w:r w:rsidRPr="00B60CC0">
        <w:rPr>
          <w:rFonts w:eastAsia="Calibri" w:cs="Calibri"/>
        </w:rPr>
        <w:lastRenderedPageBreak/>
        <w:t xml:space="preserve">Pump feed (for infants </w:t>
      </w:r>
      <w:r>
        <w:rPr>
          <w:rFonts w:eastAsia="Calibri" w:cs="Calibri"/>
        </w:rPr>
        <w:t xml:space="preserve">less than or equal to </w:t>
      </w:r>
      <w:r w:rsidRPr="00B60CC0">
        <w:rPr>
          <w:rFonts w:eastAsia="Calibri" w:cs="Calibri"/>
        </w:rPr>
        <w:t>32 weeks GA and/or</w:t>
      </w:r>
      <w:r w:rsidRPr="00415117">
        <w:rPr>
          <w:rFonts w:eastAsia="Calibri" w:cs="Calibri"/>
        </w:rPr>
        <w:t xml:space="preserve"> </w:t>
      </w:r>
      <w:r>
        <w:rPr>
          <w:rFonts w:eastAsia="Calibri" w:cs="Calibri"/>
        </w:rPr>
        <w:t xml:space="preserve">less than or equal to </w:t>
      </w:r>
      <w:r w:rsidRPr="00B60CC0">
        <w:rPr>
          <w:rFonts w:eastAsia="Calibri" w:cs="Calibri"/>
        </w:rPr>
        <w:t>1800g)</w:t>
      </w:r>
      <w:r>
        <w:rPr>
          <w:rFonts w:eastAsia="Calibri" w:cs="Calibri"/>
        </w:rPr>
        <w:t>.</w:t>
      </w:r>
    </w:p>
    <w:p w14:paraId="0B96974B" w14:textId="77777777" w:rsidR="00E03126" w:rsidRDefault="00E03126" w:rsidP="00C20F00">
      <w:pPr>
        <w:pStyle w:val="Numberedlist"/>
        <w:numPr>
          <w:ilvl w:val="0"/>
          <w:numId w:val="41"/>
        </w:numPr>
        <w:ind w:left="1208" w:hanging="357"/>
      </w:pPr>
      <w:r>
        <w:t>Pour enteral milk feed into an oral syringe, attach and prime long feeding line, then attach to patient’s gastric tube.</w:t>
      </w:r>
    </w:p>
    <w:p w14:paraId="2B36C8F3" w14:textId="24F993AA" w:rsidR="00E03126" w:rsidRDefault="00E03126" w:rsidP="00C20F00">
      <w:pPr>
        <w:pStyle w:val="Numberedlist"/>
        <w:numPr>
          <w:ilvl w:val="0"/>
          <w:numId w:val="41"/>
        </w:numPr>
        <w:ind w:left="1208" w:hanging="357"/>
      </w:pPr>
      <w:r w:rsidRPr="0D77BFA6">
        <w:t xml:space="preserve">Place oral syringe into enteral feeding pump and set infusion rate depending to prescribed infusion time. See </w:t>
      </w:r>
      <w:r>
        <w:t xml:space="preserve">Table </w:t>
      </w:r>
      <w:r w:rsidR="00151F43">
        <w:t>2</w:t>
      </w:r>
      <w:r w:rsidRPr="0D77BFA6">
        <w:t xml:space="preserve"> for pump duration:</w:t>
      </w:r>
    </w:p>
    <w:p w14:paraId="6FC7EEA9" w14:textId="77777777" w:rsidR="00E03126" w:rsidRPr="00B60CC0" w:rsidRDefault="00E03126" w:rsidP="00C20F00">
      <w:pPr>
        <w:pStyle w:val="Numberedlist"/>
        <w:numPr>
          <w:ilvl w:val="0"/>
          <w:numId w:val="41"/>
        </w:numPr>
        <w:ind w:left="1208" w:hanging="357"/>
        <w:rPr>
          <w:rFonts w:eastAsia="Calibri" w:cs="Calibri"/>
        </w:rPr>
      </w:pPr>
      <w:r>
        <w:rPr>
          <w:rFonts w:eastAsia="Calibri" w:cs="Calibri"/>
        </w:rPr>
        <w:t xml:space="preserve">See table below for pump duration as per volume. </w:t>
      </w:r>
      <w:r w:rsidRPr="00B60CC0">
        <w:rPr>
          <w:rFonts w:eastAsia="Calibri" w:cs="Calibri"/>
        </w:rPr>
        <w:t xml:space="preserve">Consider transitioning to gravity feeds once the baby is </w:t>
      </w:r>
      <w:r>
        <w:rPr>
          <w:rFonts w:eastAsia="Calibri" w:cs="Calibri"/>
        </w:rPr>
        <w:t xml:space="preserve">greater than </w:t>
      </w:r>
      <w:r w:rsidRPr="00B60CC0">
        <w:rPr>
          <w:rFonts w:eastAsia="Calibri" w:cs="Calibri"/>
        </w:rPr>
        <w:t>34 weeks CGA</w:t>
      </w:r>
      <w:r>
        <w:rPr>
          <w:rFonts w:eastAsia="Calibri" w:cs="Calibri"/>
        </w:rPr>
        <w:t>.</w:t>
      </w:r>
    </w:p>
    <w:p w14:paraId="641BC82C" w14:textId="77777777" w:rsidR="00E03126" w:rsidRPr="00B60CC0" w:rsidRDefault="00E03126" w:rsidP="00E03126">
      <w:pPr>
        <w:pStyle w:val="Numberedlist"/>
        <w:numPr>
          <w:ilvl w:val="0"/>
          <w:numId w:val="0"/>
        </w:numPr>
        <w:rPr>
          <w:rFonts w:eastAsia="Calibri" w:cs="Calibri"/>
        </w:rPr>
      </w:pPr>
    </w:p>
    <w:tbl>
      <w:tblPr>
        <w:tblStyle w:val="TableGrid"/>
        <w:tblW w:w="9639" w:type="dxa"/>
        <w:tblInd w:w="-5" w:type="dxa"/>
        <w:tblLook w:val="04A0" w:firstRow="1" w:lastRow="0" w:firstColumn="1" w:lastColumn="0" w:noHBand="0" w:noVBand="1"/>
      </w:tblPr>
      <w:tblGrid>
        <w:gridCol w:w="5015"/>
        <w:gridCol w:w="4624"/>
      </w:tblGrid>
      <w:tr w:rsidR="00E03126" w14:paraId="2A68EF15" w14:textId="77777777" w:rsidTr="008D5985">
        <w:tc>
          <w:tcPr>
            <w:tcW w:w="9639" w:type="dxa"/>
            <w:gridSpan w:val="2"/>
            <w:shd w:val="clear" w:color="auto" w:fill="D9D9D9" w:themeFill="background1" w:themeFillShade="D9"/>
          </w:tcPr>
          <w:p w14:paraId="18DB26B7" w14:textId="77777777" w:rsidR="00E03126" w:rsidRPr="00B60CC0" w:rsidRDefault="00E03126" w:rsidP="008D5985">
            <w:pPr>
              <w:pStyle w:val="Tableheader-black"/>
              <w:jc w:val="center"/>
            </w:pPr>
            <w:r>
              <w:t>Table 2 – Pump Feed Duration Based on Volume</w:t>
            </w:r>
          </w:p>
        </w:tc>
      </w:tr>
      <w:tr w:rsidR="00E03126" w14:paraId="7288FC6D" w14:textId="77777777" w:rsidTr="008D5985">
        <w:tc>
          <w:tcPr>
            <w:tcW w:w="5015" w:type="dxa"/>
            <w:shd w:val="clear" w:color="auto" w:fill="D9D9D9" w:themeFill="background1" w:themeFillShade="D9"/>
          </w:tcPr>
          <w:p w14:paraId="16A8BFBD" w14:textId="77777777" w:rsidR="00E03126" w:rsidRPr="00B60CC0" w:rsidRDefault="00E03126" w:rsidP="008D5985">
            <w:pPr>
              <w:pStyle w:val="Tableheader-black"/>
              <w:jc w:val="center"/>
            </w:pPr>
            <w:r w:rsidRPr="00B60CC0">
              <w:t>Volume</w:t>
            </w:r>
          </w:p>
        </w:tc>
        <w:tc>
          <w:tcPr>
            <w:tcW w:w="4624" w:type="dxa"/>
            <w:shd w:val="clear" w:color="auto" w:fill="D9D9D9" w:themeFill="background1" w:themeFillShade="D9"/>
          </w:tcPr>
          <w:p w14:paraId="62D07798" w14:textId="77777777" w:rsidR="00E03126" w:rsidRPr="00B60CC0" w:rsidRDefault="00E03126" w:rsidP="008D5985">
            <w:pPr>
              <w:pStyle w:val="Tableheader-black"/>
              <w:jc w:val="center"/>
            </w:pPr>
            <w:r w:rsidRPr="00B60CC0">
              <w:t>Pump Duration</w:t>
            </w:r>
          </w:p>
        </w:tc>
      </w:tr>
      <w:tr w:rsidR="00E03126" w14:paraId="23EF573B" w14:textId="77777777" w:rsidTr="008D5985">
        <w:trPr>
          <w:trHeight w:val="528"/>
        </w:trPr>
        <w:tc>
          <w:tcPr>
            <w:tcW w:w="5015" w:type="dxa"/>
          </w:tcPr>
          <w:p w14:paraId="0C48C541" w14:textId="77777777" w:rsidR="00E03126" w:rsidRPr="00B60CC0" w:rsidRDefault="00E03126" w:rsidP="008D5985">
            <w:pPr>
              <w:pStyle w:val="BodyCopy"/>
              <w:jc w:val="center"/>
            </w:pPr>
            <w:r>
              <w:t xml:space="preserve">Less than </w:t>
            </w:r>
            <w:r w:rsidRPr="00B60CC0">
              <w:t>5mls</w:t>
            </w:r>
          </w:p>
        </w:tc>
        <w:tc>
          <w:tcPr>
            <w:tcW w:w="4624" w:type="dxa"/>
          </w:tcPr>
          <w:p w14:paraId="5EC41891" w14:textId="77777777" w:rsidR="00E03126" w:rsidRPr="00B60CC0" w:rsidRDefault="00E03126" w:rsidP="008D5985">
            <w:pPr>
              <w:pStyle w:val="BodyCopy"/>
              <w:jc w:val="center"/>
            </w:pPr>
            <w:r w:rsidRPr="00B60CC0">
              <w:t>Manual Push/Bolus</w:t>
            </w:r>
            <w:r>
              <w:t xml:space="preserve"> (1-2 minutes)</w:t>
            </w:r>
          </w:p>
        </w:tc>
      </w:tr>
      <w:tr w:rsidR="00E03126" w14:paraId="160DA72D" w14:textId="77777777" w:rsidTr="008D5985">
        <w:tc>
          <w:tcPr>
            <w:tcW w:w="5015" w:type="dxa"/>
          </w:tcPr>
          <w:p w14:paraId="2FF24322" w14:textId="77777777" w:rsidR="00E03126" w:rsidRPr="00B60CC0" w:rsidRDefault="00E03126" w:rsidP="008D5985">
            <w:pPr>
              <w:pStyle w:val="BodyCopy"/>
              <w:jc w:val="center"/>
            </w:pPr>
            <w:r w:rsidRPr="00B60CC0">
              <w:t>5 – 20mls</w:t>
            </w:r>
          </w:p>
        </w:tc>
        <w:tc>
          <w:tcPr>
            <w:tcW w:w="4624" w:type="dxa"/>
          </w:tcPr>
          <w:p w14:paraId="7C063AE0" w14:textId="77777777" w:rsidR="00E03126" w:rsidRPr="00B60CC0" w:rsidRDefault="00E03126" w:rsidP="008D5985">
            <w:pPr>
              <w:pStyle w:val="BodyCopy"/>
              <w:jc w:val="center"/>
            </w:pPr>
            <w:r w:rsidRPr="00B60CC0">
              <w:t>10 minutes</w:t>
            </w:r>
          </w:p>
        </w:tc>
      </w:tr>
      <w:tr w:rsidR="00E03126" w14:paraId="3BCE811D" w14:textId="77777777" w:rsidTr="008D5985">
        <w:tc>
          <w:tcPr>
            <w:tcW w:w="5015" w:type="dxa"/>
          </w:tcPr>
          <w:p w14:paraId="24D3304F" w14:textId="77777777" w:rsidR="00E03126" w:rsidRPr="00B60CC0" w:rsidRDefault="00E03126" w:rsidP="008D5985">
            <w:pPr>
              <w:pStyle w:val="BodyCopy"/>
              <w:jc w:val="center"/>
            </w:pPr>
            <w:r>
              <w:t xml:space="preserve">Greater than </w:t>
            </w:r>
            <w:r w:rsidRPr="00B60CC0">
              <w:t>20mls</w:t>
            </w:r>
          </w:p>
        </w:tc>
        <w:tc>
          <w:tcPr>
            <w:tcW w:w="4624" w:type="dxa"/>
          </w:tcPr>
          <w:p w14:paraId="54F0FAB3" w14:textId="77777777" w:rsidR="00E03126" w:rsidRPr="00B60CC0" w:rsidRDefault="00E03126" w:rsidP="008D5985">
            <w:pPr>
              <w:pStyle w:val="BodyCopy"/>
              <w:jc w:val="center"/>
            </w:pPr>
            <w:r w:rsidRPr="00B60CC0">
              <w:t>20 minutes</w:t>
            </w:r>
          </w:p>
        </w:tc>
      </w:tr>
    </w:tbl>
    <w:p w14:paraId="7C3C1870" w14:textId="77777777" w:rsidR="00E03126" w:rsidRPr="006539F0" w:rsidRDefault="00E03126" w:rsidP="0064704F">
      <w:pPr>
        <w:pStyle w:val="Numberedlist"/>
        <w:numPr>
          <w:ilvl w:val="0"/>
          <w:numId w:val="0"/>
        </w:numPr>
        <w:ind w:left="714" w:hanging="357"/>
      </w:pPr>
    </w:p>
    <w:p w14:paraId="288277E6" w14:textId="77777777" w:rsidR="00E03126" w:rsidRDefault="00E03126" w:rsidP="00C20F00">
      <w:pPr>
        <w:pStyle w:val="Numberedlist"/>
        <w:numPr>
          <w:ilvl w:val="1"/>
          <w:numId w:val="14"/>
        </w:numPr>
        <w:ind w:left="714" w:hanging="357"/>
      </w:pPr>
      <w:r w:rsidRPr="6FD8DA99">
        <w:t xml:space="preserve">Gravity Feed </w:t>
      </w:r>
      <w:r w:rsidRPr="00B60CC0">
        <w:rPr>
          <w:rFonts w:eastAsia="Calibri" w:cs="Calibri"/>
        </w:rPr>
        <w:t xml:space="preserve">(for infants </w:t>
      </w:r>
      <w:r>
        <w:rPr>
          <w:rFonts w:eastAsia="Calibri" w:cs="Calibri"/>
        </w:rPr>
        <w:t xml:space="preserve">greater than </w:t>
      </w:r>
      <w:r w:rsidRPr="00B60CC0">
        <w:rPr>
          <w:rFonts w:eastAsia="Calibri" w:cs="Calibri"/>
        </w:rPr>
        <w:t xml:space="preserve">32weeks GA and/or </w:t>
      </w:r>
      <w:r>
        <w:rPr>
          <w:rFonts w:eastAsia="Calibri" w:cs="Calibri"/>
        </w:rPr>
        <w:t xml:space="preserve">greater than </w:t>
      </w:r>
      <w:r w:rsidRPr="00B60CC0">
        <w:rPr>
          <w:rFonts w:eastAsia="Calibri" w:cs="Calibri"/>
        </w:rPr>
        <w:t>1800 g)</w:t>
      </w:r>
    </w:p>
    <w:p w14:paraId="303E8C18" w14:textId="77777777" w:rsidR="00E03126" w:rsidRDefault="00E03126" w:rsidP="00C20F00">
      <w:pPr>
        <w:pStyle w:val="Numberedlist"/>
        <w:numPr>
          <w:ilvl w:val="2"/>
          <w:numId w:val="43"/>
        </w:numPr>
        <w:ind w:left="1208" w:hanging="357"/>
      </w:pPr>
      <w:r>
        <w:t>Attach filled oral syringe to infant’s gastric tube and use plunger to initiate feed through tube and allow milk to free flow via gravity.</w:t>
      </w:r>
    </w:p>
    <w:p w14:paraId="6A9150E1" w14:textId="77777777" w:rsidR="00E03126" w:rsidRPr="002F15D9" w:rsidRDefault="00E03126" w:rsidP="00C20F00">
      <w:pPr>
        <w:pStyle w:val="Numberedlist"/>
        <w:numPr>
          <w:ilvl w:val="2"/>
          <w:numId w:val="43"/>
        </w:numPr>
        <w:ind w:left="1208" w:hanging="357"/>
      </w:pPr>
      <w:r>
        <w:t>The time/flow in which a feed is given via gravity depends on the height of the syringe. Lowering the syringe slows the milk flow and raising it makes it faster. The aim is 15 to 20 minutes.</w:t>
      </w:r>
    </w:p>
    <w:p w14:paraId="63D8B19C" w14:textId="77777777" w:rsidR="00E03126" w:rsidRPr="002F15D9" w:rsidRDefault="00E03126" w:rsidP="00C20F00">
      <w:pPr>
        <w:pStyle w:val="Numberedlist"/>
        <w:numPr>
          <w:ilvl w:val="0"/>
          <w:numId w:val="14"/>
        </w:numPr>
      </w:pPr>
      <w:r>
        <w:t>If apnoea and bradycardias occur during feeding, cease feed, check tube placement, give the infant time to recover and continue to feed slowly.</w:t>
      </w:r>
    </w:p>
    <w:p w14:paraId="0B22A0C4" w14:textId="74490284" w:rsidR="00E03126" w:rsidRDefault="00E03126" w:rsidP="00C20F00">
      <w:pPr>
        <w:pStyle w:val="Numberedlist"/>
        <w:numPr>
          <w:ilvl w:val="0"/>
          <w:numId w:val="14"/>
        </w:numPr>
      </w:pPr>
      <w:r w:rsidRPr="1A6045E7">
        <w:t>Once feed is given, disconnect syringe and clear gastric tube by flushing line with 0.5ml of air or sterile (WFI), and close gastric tube</w:t>
      </w:r>
      <w:r>
        <w:t>.</w:t>
      </w:r>
    </w:p>
    <w:p w14:paraId="5A7D10B5" w14:textId="77777777" w:rsidR="003E2A09" w:rsidRPr="003E2A09" w:rsidRDefault="003E2A09" w:rsidP="003E2A09">
      <w:pPr>
        <w:pStyle w:val="BodyCopy"/>
        <w:pBdr>
          <w:top w:val="single" w:sz="4" w:space="1" w:color="auto"/>
          <w:left w:val="single" w:sz="4" w:space="4" w:color="auto"/>
          <w:bottom w:val="single" w:sz="4" w:space="1" w:color="auto"/>
          <w:right w:val="single" w:sz="4" w:space="4" w:color="auto"/>
        </w:pBdr>
        <w:rPr>
          <w:b/>
          <w:bCs w:val="0"/>
        </w:rPr>
      </w:pPr>
      <w:r w:rsidRPr="003E2A09">
        <w:rPr>
          <w:b/>
          <w:bCs w:val="0"/>
        </w:rPr>
        <w:t xml:space="preserve">Note: </w:t>
      </w:r>
    </w:p>
    <w:p w14:paraId="04305906" w14:textId="0C37F9F6" w:rsidR="003E2A09" w:rsidRDefault="003E2A09" w:rsidP="003E2A09">
      <w:pPr>
        <w:pStyle w:val="BodyCopy"/>
        <w:pBdr>
          <w:top w:val="single" w:sz="4" w:space="1" w:color="auto"/>
          <w:left w:val="single" w:sz="4" w:space="4" w:color="auto"/>
          <w:bottom w:val="single" w:sz="4" w:space="1" w:color="auto"/>
          <w:right w:val="single" w:sz="4" w:space="4" w:color="auto"/>
        </w:pBdr>
      </w:pPr>
      <w:r w:rsidRPr="003E2A09">
        <w:t>For management of the gastric tube for infants on non-invasive respiratory support, refer to the</w:t>
      </w:r>
      <w:r w:rsidRPr="003E2A09">
        <w:rPr>
          <w:i/>
          <w:iCs w:val="0"/>
        </w:rPr>
        <w:t xml:space="preserve"> Respiratory Support – Invasive and Non-Invasive (Neonates and Infants) Guideline</w:t>
      </w:r>
      <w:r w:rsidRPr="003E2A09">
        <w:t xml:space="preserve"> (available on the CHS Policy and Guidance Documents Register).</w:t>
      </w:r>
    </w:p>
    <w:p w14:paraId="666B0EE1" w14:textId="77777777" w:rsidR="00E03126" w:rsidRPr="002F15D9" w:rsidRDefault="00E03126" w:rsidP="00C20F00">
      <w:pPr>
        <w:pStyle w:val="Numberedlist"/>
        <w:numPr>
          <w:ilvl w:val="0"/>
          <w:numId w:val="14"/>
        </w:numPr>
      </w:pPr>
      <w:r>
        <w:t>Document the milk feed given in patient clinical record and feeding tube properties</w:t>
      </w:r>
    </w:p>
    <w:p w14:paraId="1D4E7ECE" w14:textId="21E21681" w:rsidR="00B60CC0" w:rsidRPr="00D065DE" w:rsidRDefault="00151F43" w:rsidP="005D0BE7">
      <w:pPr>
        <w:pStyle w:val="Heading3"/>
        <w:rPr>
          <w:rStyle w:val="Hyperlink"/>
          <w:b w:val="0"/>
          <w:bCs/>
          <w:color w:val="000000" w:themeColor="text1"/>
          <w:u w:val="none"/>
        </w:rPr>
        <w:sectPr w:rsidR="00B60CC0" w:rsidRPr="00D065DE" w:rsidSect="00E3733D">
          <w:footerReference w:type="default" r:id="rId35"/>
          <w:headerReference w:type="first" r:id="rId36"/>
          <w:footerReference w:type="first" r:id="rId37"/>
          <w:pgSz w:w="11906" w:h="16838" w:code="9"/>
          <w:pgMar w:top="970" w:right="1134" w:bottom="1134" w:left="851" w:header="284" w:footer="53" w:gutter="0"/>
          <w:cols w:space="708"/>
          <w:titlePg/>
          <w:docGrid w:linePitch="360"/>
        </w:sectPr>
      </w:pPr>
      <w:hyperlink w:anchor="_top" w:history="1">
        <w:bookmarkStart w:id="68" w:name="_Toc199497086"/>
        <w:r w:rsidRPr="00D065DE">
          <w:rPr>
            <w:rStyle w:val="Hyperlink"/>
            <w:b w:val="0"/>
          </w:rPr>
          <w:t>Back to Contents</w:t>
        </w:r>
        <w:bookmarkEnd w:id="68"/>
      </w:hyperlink>
    </w:p>
    <w:p w14:paraId="55104473" w14:textId="4D52F92E" w:rsidR="00B60CC0" w:rsidRPr="008411C2" w:rsidRDefault="00B60CC0" w:rsidP="008411C2">
      <w:pPr>
        <w:pStyle w:val="Heading5"/>
        <w:rPr>
          <w:rStyle w:val="Hyperlink"/>
          <w:color w:val="FFFFFF" w:themeColor="background1"/>
          <w:u w:val="none"/>
        </w:rPr>
      </w:pPr>
      <w:bookmarkStart w:id="69" w:name="_Attachment_3_–"/>
      <w:bookmarkEnd w:id="69"/>
      <w:r w:rsidRPr="008411C2">
        <w:rPr>
          <w:rStyle w:val="Hyperlink"/>
          <w:color w:val="FFFFFF" w:themeColor="background1"/>
          <w:u w:val="none"/>
        </w:rPr>
        <w:lastRenderedPageBreak/>
        <w:t xml:space="preserve">Attachment </w:t>
      </w:r>
      <w:r w:rsidR="0064704F" w:rsidRPr="008411C2">
        <w:rPr>
          <w:rStyle w:val="Hyperlink"/>
          <w:color w:val="FFFFFF" w:themeColor="background1"/>
          <w:u w:val="none"/>
        </w:rPr>
        <w:t>3</w:t>
      </w:r>
      <w:r w:rsidR="003E2A09">
        <w:rPr>
          <w:rStyle w:val="Hyperlink"/>
          <w:color w:val="FFFFFF" w:themeColor="background1"/>
          <w:u w:val="none"/>
        </w:rPr>
        <w:t xml:space="preserve"> – </w:t>
      </w:r>
      <w:r w:rsidR="0064704F" w:rsidRPr="008411C2">
        <w:rPr>
          <w:rStyle w:val="Hyperlink"/>
          <w:color w:val="FFFFFF" w:themeColor="background1"/>
          <w:u w:val="none"/>
        </w:rPr>
        <w:t>Department</w:t>
      </w:r>
      <w:r w:rsidRPr="008411C2">
        <w:rPr>
          <w:rStyle w:val="Hyperlink"/>
          <w:color w:val="FFFFFF" w:themeColor="background1"/>
          <w:u w:val="none"/>
        </w:rPr>
        <w:t xml:space="preserve"> of Neonatology Nutrition Guide</w:t>
      </w:r>
    </w:p>
    <w:p w14:paraId="6C6A5836" w14:textId="69BBFCDE" w:rsidR="00B60CC0" w:rsidRDefault="00340194" w:rsidP="00B60CC0">
      <w:pPr>
        <w:pStyle w:val="BodyCopy"/>
        <w:jc w:val="center"/>
        <w:rPr>
          <w:lang w:eastAsia="en-US"/>
        </w:rPr>
      </w:pPr>
      <w:r>
        <w:rPr>
          <w:noProof/>
        </w:rPr>
        <w:drawing>
          <wp:inline distT="0" distB="0" distL="0" distR="0" wp14:anchorId="6BE0D1AC" wp14:editId="28FEC7DF">
            <wp:extent cx="6726804" cy="3994252"/>
            <wp:effectExtent l="0" t="0" r="0" b="6350"/>
            <wp:docPr id="177327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70607" name=""/>
                    <pic:cNvPicPr/>
                  </pic:nvPicPr>
                  <pic:blipFill>
                    <a:blip r:embed="rId38"/>
                    <a:stretch>
                      <a:fillRect/>
                    </a:stretch>
                  </pic:blipFill>
                  <pic:spPr>
                    <a:xfrm>
                      <a:off x="0" y="0"/>
                      <a:ext cx="6757476" cy="4012465"/>
                    </a:xfrm>
                    <a:prstGeom prst="rect">
                      <a:avLst/>
                    </a:prstGeom>
                  </pic:spPr>
                </pic:pic>
              </a:graphicData>
            </a:graphic>
          </wp:inline>
        </w:drawing>
      </w:r>
    </w:p>
    <w:p w14:paraId="62E9E0FC" w14:textId="4169106B" w:rsidR="00E26385" w:rsidRDefault="00B60CC0" w:rsidP="005D31B5">
      <w:pPr>
        <w:pStyle w:val="Numberedlist"/>
        <w:numPr>
          <w:ilvl w:val="0"/>
          <w:numId w:val="0"/>
        </w:numPr>
        <w:rPr>
          <w:rStyle w:val="Hyperlink"/>
        </w:rPr>
        <w:sectPr w:rsidR="00E26385" w:rsidSect="00E26385">
          <w:pgSz w:w="16838" w:h="11906" w:orient="landscape" w:code="9"/>
          <w:pgMar w:top="1440" w:right="1440" w:bottom="1440" w:left="1440" w:header="357" w:footer="306" w:gutter="0"/>
          <w:cols w:space="708"/>
          <w:docGrid w:linePitch="360"/>
        </w:sectPr>
      </w:pPr>
      <w:hyperlink w:anchor="_top" w:history="1">
        <w:r w:rsidRPr="00481A6C">
          <w:rPr>
            <w:rStyle w:val="Hyperlink"/>
          </w:rPr>
          <w:t>Back to Contents</w:t>
        </w:r>
      </w:hyperlink>
    </w:p>
    <w:p w14:paraId="7029D6E3" w14:textId="09B704D4" w:rsidR="005D31B5" w:rsidRPr="008411C2" w:rsidRDefault="005D31B5" w:rsidP="008411C2">
      <w:pPr>
        <w:pStyle w:val="Heading5"/>
      </w:pPr>
      <w:bookmarkStart w:id="70" w:name="_Attachment_4_–"/>
      <w:bookmarkEnd w:id="70"/>
      <w:r w:rsidRPr="008411C2">
        <w:rPr>
          <w:rStyle w:val="Hyperlink"/>
          <w:color w:val="FFFFFF" w:themeColor="background1"/>
          <w:u w:val="none"/>
        </w:rPr>
        <w:lastRenderedPageBreak/>
        <w:t xml:space="preserve">Attachment </w:t>
      </w:r>
      <w:r w:rsidR="00D065DE" w:rsidRPr="008411C2">
        <w:rPr>
          <w:rStyle w:val="Hyperlink"/>
          <w:color w:val="FFFFFF" w:themeColor="background1"/>
          <w:u w:val="none"/>
        </w:rPr>
        <w:t xml:space="preserve">4 </w:t>
      </w:r>
      <w:r w:rsidR="003E2A09">
        <w:rPr>
          <w:rStyle w:val="Hyperlink"/>
          <w:color w:val="FFFFFF" w:themeColor="background1"/>
          <w:u w:val="none"/>
        </w:rPr>
        <w:t xml:space="preserve">– </w:t>
      </w:r>
      <w:r w:rsidR="00D065DE" w:rsidRPr="008411C2">
        <w:rPr>
          <w:rStyle w:val="Hyperlink"/>
          <w:color w:val="FFFFFF" w:themeColor="background1"/>
          <w:u w:val="none"/>
        </w:rPr>
        <w:t>Standard</w:t>
      </w:r>
      <w:r w:rsidRPr="008411C2">
        <w:rPr>
          <w:rStyle w:val="Hyperlink"/>
          <w:color w:val="FFFFFF" w:themeColor="background1"/>
          <w:u w:val="none"/>
        </w:rPr>
        <w:t xml:space="preserve"> Feeding Schedules</w:t>
      </w:r>
    </w:p>
    <w:p w14:paraId="591EC536" w14:textId="77777777" w:rsidR="00B60CC0" w:rsidRPr="00481560" w:rsidRDefault="00B60CC0" w:rsidP="00B60CC0">
      <w:pPr>
        <w:pStyle w:val="Heading6"/>
      </w:pPr>
      <w:r w:rsidRPr="00481560">
        <w:t>Key points:</w:t>
      </w:r>
    </w:p>
    <w:p w14:paraId="6FCF6674" w14:textId="77777777" w:rsidR="00E03126" w:rsidRDefault="00E03126" w:rsidP="00C20F00">
      <w:pPr>
        <w:pStyle w:val="Bullet"/>
        <w:numPr>
          <w:ilvl w:val="0"/>
          <w:numId w:val="39"/>
        </w:numPr>
        <w:ind w:left="425" w:hanging="425"/>
      </w:pPr>
      <w:bookmarkStart w:id="71" w:name="_Hlk169172287"/>
      <w:r w:rsidRPr="004959F3">
        <w:t xml:space="preserve">For infants </w:t>
      </w:r>
      <w:r>
        <w:t xml:space="preserve">less than </w:t>
      </w:r>
      <w:r w:rsidRPr="004959F3">
        <w:t xml:space="preserve">1000g, minimal enteral feeds may be considered for a set period (no longer than 48hrs) as </w:t>
      </w:r>
      <w:r>
        <w:t>extra</w:t>
      </w:r>
      <w:r w:rsidRPr="004959F3">
        <w:t xml:space="preserve"> based on clinical condition and Neonatologist advice.</w:t>
      </w:r>
    </w:p>
    <w:p w14:paraId="029A58D2" w14:textId="77777777" w:rsidR="00E03126" w:rsidRDefault="00E03126" w:rsidP="00C20F00">
      <w:pPr>
        <w:pStyle w:val="Bullet"/>
        <w:numPr>
          <w:ilvl w:val="0"/>
          <w:numId w:val="39"/>
        </w:numPr>
        <w:ind w:left="425" w:hanging="425"/>
      </w:pPr>
      <w:r>
        <w:t>‘Feed day’ refers to the day feeding is occurring, NOT the day of life.</w:t>
      </w:r>
    </w:p>
    <w:p w14:paraId="764E1A52" w14:textId="77777777" w:rsidR="00E03126" w:rsidRDefault="00E03126" w:rsidP="00C20F00">
      <w:pPr>
        <w:pStyle w:val="Bullet"/>
        <w:numPr>
          <w:ilvl w:val="0"/>
          <w:numId w:val="39"/>
        </w:numPr>
        <w:ind w:left="425" w:hanging="425"/>
        <w:rPr>
          <w:rFonts w:eastAsia="Calibri" w:cs="Calibri"/>
        </w:rPr>
      </w:pPr>
      <w:r w:rsidRPr="0D77BFA6">
        <w:rPr>
          <w:rFonts w:eastAsia="Calibri" w:cs="Calibri"/>
        </w:rPr>
        <w:t>Grading up feeds may need to be slow or altered (e</w:t>
      </w:r>
      <w:r>
        <w:rPr>
          <w:rFonts w:eastAsia="Calibri" w:cs="Calibri"/>
        </w:rPr>
        <w:t>.</w:t>
      </w:r>
      <w:r w:rsidRPr="0D77BFA6">
        <w:rPr>
          <w:rFonts w:eastAsia="Calibri" w:cs="Calibri"/>
        </w:rPr>
        <w:t>g.</w:t>
      </w:r>
      <w:r>
        <w:rPr>
          <w:rFonts w:eastAsia="Calibri" w:cs="Calibri"/>
        </w:rPr>
        <w:t>,</w:t>
      </w:r>
      <w:r w:rsidRPr="0D77BFA6">
        <w:rPr>
          <w:rFonts w:eastAsia="Calibri" w:cs="Calibri"/>
        </w:rPr>
        <w:t xml:space="preserve"> hourly bolus feeds, pump feeds over longer period, continuous feeds, transpyloric feeds) in special circumstances, such as: </w:t>
      </w:r>
    </w:p>
    <w:p w14:paraId="2D54B82D" w14:textId="77777777" w:rsidR="00E03126" w:rsidRDefault="00E03126" w:rsidP="00C20F00">
      <w:pPr>
        <w:pStyle w:val="Bullet"/>
        <w:numPr>
          <w:ilvl w:val="0"/>
          <w:numId w:val="39"/>
        </w:numPr>
        <w:ind w:left="425" w:hanging="425"/>
        <w:rPr>
          <w:rFonts w:eastAsia="Calibri" w:cs="Calibri"/>
        </w:rPr>
      </w:pPr>
      <w:r w:rsidRPr="0D77BFA6">
        <w:rPr>
          <w:rFonts w:eastAsia="Calibri" w:cs="Calibri"/>
        </w:rPr>
        <w:t xml:space="preserve">Growth restriction </w:t>
      </w:r>
    </w:p>
    <w:p w14:paraId="262A4E9F" w14:textId="77777777" w:rsidR="00E03126" w:rsidRDefault="00E03126" w:rsidP="00C20F00">
      <w:pPr>
        <w:pStyle w:val="Bullet"/>
        <w:numPr>
          <w:ilvl w:val="0"/>
          <w:numId w:val="39"/>
        </w:numPr>
        <w:ind w:left="425" w:hanging="425"/>
        <w:rPr>
          <w:rFonts w:eastAsia="Calibri" w:cs="Calibri"/>
        </w:rPr>
      </w:pPr>
      <w:r w:rsidRPr="0D77BFA6">
        <w:rPr>
          <w:rFonts w:eastAsia="Calibri" w:cs="Calibri"/>
        </w:rPr>
        <w:t xml:space="preserve">Abnormal umbilical Doppler’s </w:t>
      </w:r>
    </w:p>
    <w:p w14:paraId="4016ED0C" w14:textId="77777777" w:rsidR="00E03126" w:rsidRDefault="00E03126" w:rsidP="00C20F00">
      <w:pPr>
        <w:pStyle w:val="Bullet"/>
        <w:numPr>
          <w:ilvl w:val="0"/>
          <w:numId w:val="39"/>
        </w:numPr>
        <w:ind w:left="425" w:hanging="425"/>
        <w:rPr>
          <w:rFonts w:eastAsia="Calibri" w:cs="Calibri"/>
        </w:rPr>
      </w:pPr>
      <w:r w:rsidRPr="0D77BFA6">
        <w:rPr>
          <w:rFonts w:eastAsia="Calibri" w:cs="Calibri"/>
        </w:rPr>
        <w:t xml:space="preserve">Feed intolerance </w:t>
      </w:r>
    </w:p>
    <w:p w14:paraId="4A90C38B" w14:textId="77777777" w:rsidR="00E03126" w:rsidRDefault="00E03126" w:rsidP="00C20F00">
      <w:pPr>
        <w:pStyle w:val="Bullet"/>
        <w:numPr>
          <w:ilvl w:val="0"/>
          <w:numId w:val="39"/>
        </w:numPr>
        <w:ind w:left="425" w:hanging="425"/>
        <w:rPr>
          <w:rFonts w:eastAsia="Calibri" w:cs="Calibri"/>
        </w:rPr>
      </w:pPr>
      <w:r w:rsidRPr="0D77BFA6">
        <w:rPr>
          <w:rFonts w:eastAsia="Calibri" w:cs="Calibri"/>
        </w:rPr>
        <w:t xml:space="preserve">Necrotising enterocolitis and other medical or surgical gastrointestinal conditions </w:t>
      </w:r>
    </w:p>
    <w:p w14:paraId="0A21012C" w14:textId="59EF7CE4" w:rsidR="00E03126" w:rsidRDefault="00E03126" w:rsidP="00C20F00">
      <w:pPr>
        <w:pStyle w:val="Bullet"/>
        <w:numPr>
          <w:ilvl w:val="0"/>
          <w:numId w:val="39"/>
        </w:numPr>
        <w:ind w:left="425" w:hanging="425"/>
        <w:rPr>
          <w:rFonts w:eastAsia="Calibri" w:cs="Calibri"/>
        </w:rPr>
      </w:pPr>
      <w:r w:rsidRPr="0D77BFA6">
        <w:rPr>
          <w:rFonts w:eastAsia="Calibri" w:cs="Calibri"/>
        </w:rPr>
        <w:t xml:space="preserve">Hemodynamically significant </w:t>
      </w:r>
      <w:r>
        <w:rPr>
          <w:rFonts w:eastAsia="Calibri" w:cs="Calibri"/>
        </w:rPr>
        <w:t xml:space="preserve">Patent Ductus </w:t>
      </w:r>
      <w:r w:rsidR="00C36A15">
        <w:rPr>
          <w:rFonts w:eastAsia="Calibri" w:cs="Calibri"/>
        </w:rPr>
        <w:t>Arteriosus</w:t>
      </w:r>
      <w:r>
        <w:rPr>
          <w:rFonts w:eastAsia="Calibri" w:cs="Calibri"/>
        </w:rPr>
        <w:t xml:space="preserve"> (</w:t>
      </w:r>
      <w:r w:rsidRPr="0D77BFA6">
        <w:rPr>
          <w:rFonts w:eastAsia="Calibri" w:cs="Calibri"/>
        </w:rPr>
        <w:t>PDA</w:t>
      </w:r>
      <w:r>
        <w:rPr>
          <w:rFonts w:eastAsia="Calibri" w:cs="Calibri"/>
        </w:rPr>
        <w:t>)</w:t>
      </w:r>
      <w:r w:rsidRPr="0D77BFA6">
        <w:rPr>
          <w:rFonts w:eastAsia="Calibri" w:cs="Calibri"/>
        </w:rPr>
        <w:t xml:space="preserve"> (particularly infants on ibuprofen) </w:t>
      </w:r>
    </w:p>
    <w:p w14:paraId="6A7AA6E1" w14:textId="30E52140" w:rsidR="00535EF4" w:rsidRPr="00E03126" w:rsidRDefault="00E03126" w:rsidP="00C20F00">
      <w:pPr>
        <w:pStyle w:val="Bullet"/>
        <w:numPr>
          <w:ilvl w:val="0"/>
          <w:numId w:val="39"/>
        </w:numPr>
        <w:ind w:left="425" w:hanging="425"/>
        <w:rPr>
          <w:rFonts w:eastAsia="Calibri" w:cs="Calibri"/>
        </w:rPr>
      </w:pPr>
      <w:r w:rsidRPr="00E03126">
        <w:rPr>
          <w:rFonts w:eastAsia="Calibri" w:cs="Calibri"/>
        </w:rPr>
        <w:t>Infants on inotropic support and/or muscle relaxants</w:t>
      </w:r>
      <w:bookmarkEnd w:id="71"/>
    </w:p>
    <w:p w14:paraId="4D91909D" w14:textId="77777777" w:rsidR="00535EF4" w:rsidRPr="00535EF4" w:rsidRDefault="00535EF4" w:rsidP="00535EF4">
      <w:pPr>
        <w:spacing w:before="0" w:after="0" w:line="240" w:lineRule="auto"/>
        <w:ind w:left="1080"/>
        <w:rPr>
          <w:rFonts w:ascii="Calibri" w:hAnsi="Calibri" w:cs="Calibri"/>
          <w:color w:val="auto"/>
          <w:lang w:eastAsia="en-US"/>
        </w:rPr>
      </w:pPr>
    </w:p>
    <w:tbl>
      <w:tblPr>
        <w:tblStyle w:val="TableGrid2"/>
        <w:tblW w:w="5107" w:type="pct"/>
        <w:jc w:val="center"/>
        <w:tblLayout w:type="fixed"/>
        <w:tblLook w:val="0020" w:firstRow="1" w:lastRow="0" w:firstColumn="0" w:lastColumn="0" w:noHBand="0" w:noVBand="0"/>
      </w:tblPr>
      <w:tblGrid>
        <w:gridCol w:w="1090"/>
        <w:gridCol w:w="558"/>
        <w:gridCol w:w="558"/>
        <w:gridCol w:w="560"/>
        <w:gridCol w:w="558"/>
        <w:gridCol w:w="558"/>
        <w:gridCol w:w="560"/>
        <w:gridCol w:w="558"/>
        <w:gridCol w:w="558"/>
        <w:gridCol w:w="560"/>
        <w:gridCol w:w="558"/>
        <w:gridCol w:w="558"/>
        <w:gridCol w:w="560"/>
        <w:gridCol w:w="1415"/>
        <w:tblGridChange w:id="72">
          <w:tblGrid>
            <w:gridCol w:w="1090"/>
            <w:gridCol w:w="558"/>
            <w:gridCol w:w="558"/>
            <w:gridCol w:w="560"/>
            <w:gridCol w:w="558"/>
            <w:gridCol w:w="558"/>
            <w:gridCol w:w="560"/>
            <w:gridCol w:w="558"/>
            <w:gridCol w:w="558"/>
            <w:gridCol w:w="560"/>
            <w:gridCol w:w="558"/>
            <w:gridCol w:w="558"/>
            <w:gridCol w:w="560"/>
            <w:gridCol w:w="1415"/>
          </w:tblGrid>
        </w:tblGridChange>
      </w:tblGrid>
      <w:tr w:rsidR="009C4B33" w:rsidRPr="00535EF4" w14:paraId="4B010F7E" w14:textId="77777777" w:rsidTr="001A54D9">
        <w:trPr>
          <w:trHeight w:val="262"/>
          <w:jc w:val="center"/>
        </w:trPr>
        <w:tc>
          <w:tcPr>
            <w:tcW w:w="5000" w:type="pct"/>
            <w:gridSpan w:val="14"/>
            <w:shd w:val="clear" w:color="auto" w:fill="B8CCE4"/>
          </w:tcPr>
          <w:p w14:paraId="4A0C0AA4" w14:textId="77777777" w:rsidR="009C4B33" w:rsidRPr="00535EF4" w:rsidRDefault="009C4B33" w:rsidP="001A54D9">
            <w:pPr>
              <w:spacing w:before="0" w:after="0" w:line="240" w:lineRule="auto"/>
              <w:jc w:val="center"/>
              <w:rPr>
                <w:rFonts w:ascii="Calibri" w:hAnsi="Calibri"/>
                <w:b/>
                <w:bCs/>
                <w:sz w:val="36"/>
                <w:szCs w:val="36"/>
                <w:lang w:eastAsia="en-US"/>
              </w:rPr>
            </w:pPr>
            <w:r w:rsidRPr="00535EF4">
              <w:rPr>
                <w:rFonts w:ascii="Calibri" w:hAnsi="Calibri" w:cs="Calibri"/>
                <w:b/>
                <w:bCs/>
                <w:color w:val="000000"/>
                <w:sz w:val="32"/>
                <w:szCs w:val="32"/>
                <w:lang w:eastAsia="en-US"/>
              </w:rPr>
              <w:t>PROTOCOL 1 – 400-499g</w:t>
            </w:r>
          </w:p>
        </w:tc>
      </w:tr>
      <w:tr w:rsidR="009C4B33" w:rsidRPr="00535EF4" w14:paraId="7AE6E06A" w14:textId="77777777" w:rsidTr="001A54D9">
        <w:trPr>
          <w:trHeight w:val="262"/>
          <w:jc w:val="center"/>
        </w:trPr>
        <w:tc>
          <w:tcPr>
            <w:tcW w:w="592" w:type="pct"/>
            <w:vMerge w:val="restart"/>
            <w:shd w:val="clear" w:color="auto" w:fill="C2D69B"/>
            <w:vAlign w:val="center"/>
          </w:tcPr>
          <w:p w14:paraId="02BC2D6B"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000000"/>
              </w:rPr>
            </w:pPr>
            <w:r w:rsidRPr="003E5038">
              <w:rPr>
                <w:rFonts w:ascii="Calibri" w:hAnsi="Calibri" w:cs="Calibri"/>
                <w:b/>
                <w:bCs/>
                <w:color w:val="000000"/>
                <w:sz w:val="22"/>
                <w:szCs w:val="22"/>
              </w:rPr>
              <w:t>FEED DAY</w:t>
            </w:r>
          </w:p>
        </w:tc>
        <w:tc>
          <w:tcPr>
            <w:tcW w:w="4408" w:type="pct"/>
            <w:gridSpan w:val="13"/>
            <w:shd w:val="clear" w:color="auto" w:fill="FBD4B4"/>
          </w:tcPr>
          <w:p w14:paraId="082710C8" w14:textId="77777777" w:rsidR="009C4B33" w:rsidRPr="00535EF4" w:rsidRDefault="009C4B33" w:rsidP="001A54D9">
            <w:pPr>
              <w:spacing w:before="0" w:after="0" w:line="240" w:lineRule="auto"/>
              <w:rPr>
                <w:rFonts w:ascii="Calibri" w:hAnsi="Calibri"/>
                <w:b/>
                <w:bCs/>
                <w:lang w:eastAsia="en-US"/>
              </w:rPr>
            </w:pPr>
            <w:r w:rsidRPr="00535EF4">
              <w:rPr>
                <w:rFonts w:ascii="Calibri" w:hAnsi="Calibri"/>
                <w:b/>
                <w:bCs/>
                <w:lang w:eastAsia="en-US"/>
              </w:rPr>
              <w:t xml:space="preserve">FEED NUMBER and </w:t>
            </w:r>
            <w:r w:rsidRPr="00535EF4">
              <w:rPr>
                <w:rFonts w:ascii="Calibri" w:hAnsi="Calibri"/>
                <w:b/>
                <w:bCs/>
                <w:color w:val="C00000"/>
                <w:lang w:eastAsia="en-US"/>
              </w:rPr>
              <w:t xml:space="preserve">VOLUME (ml) </w:t>
            </w:r>
            <w:r w:rsidRPr="00535EF4">
              <w:rPr>
                <w:rFonts w:ascii="Calibri" w:hAnsi="Calibri"/>
                <w:b/>
                <w:bCs/>
                <w:lang w:eastAsia="en-US"/>
              </w:rPr>
              <w:t>2</w:t>
            </w:r>
            <w:r w:rsidRPr="00535EF4">
              <w:rPr>
                <w:rFonts w:ascii="Calibri" w:hAnsi="Calibri"/>
                <w:b/>
                <w:bCs/>
                <w:vertAlign w:val="superscript"/>
                <w:lang w:eastAsia="en-US"/>
              </w:rPr>
              <w:t>nd</w:t>
            </w:r>
            <w:r w:rsidRPr="00535EF4">
              <w:rPr>
                <w:rFonts w:ascii="Calibri" w:hAnsi="Calibri"/>
                <w:b/>
                <w:bCs/>
                <w:lang w:eastAsia="en-US"/>
              </w:rPr>
              <w:t xml:space="preserve"> HOURLY FEEDS</w:t>
            </w:r>
            <w:r w:rsidRPr="00535EF4">
              <w:rPr>
                <w:rFonts w:ascii="Calibri" w:hAnsi="Calibri" w:cs="Calibri"/>
                <w:b/>
                <w:bCs/>
                <w:lang w:eastAsia="en-US"/>
              </w:rPr>
              <w:t xml:space="preserve"> </w:t>
            </w:r>
          </w:p>
          <w:p w14:paraId="5DBB70E5" w14:textId="77777777" w:rsidR="009C4B33" w:rsidRPr="00535EF4" w:rsidRDefault="009C4B33" w:rsidP="001A54D9">
            <w:pPr>
              <w:autoSpaceDE w:val="0"/>
              <w:autoSpaceDN w:val="0"/>
              <w:adjustRightInd w:val="0"/>
              <w:spacing w:before="0" w:after="0" w:line="240" w:lineRule="auto"/>
              <w:rPr>
                <w:rFonts w:ascii="Calibri" w:hAnsi="Calibri" w:cs="Calibri"/>
                <w:b/>
                <w:bCs/>
                <w:color w:val="000000"/>
              </w:rPr>
            </w:pPr>
            <w:r w:rsidRPr="00535EF4">
              <w:rPr>
                <w:rFonts w:ascii="Calibri" w:hAnsi="Calibri" w:cs="Calibri"/>
                <w:b/>
                <w:bCs/>
                <w:color w:val="000000"/>
              </w:rPr>
              <w:t>*Cease grading once a volume of 160mL/kg/d is reached</w:t>
            </w:r>
          </w:p>
        </w:tc>
      </w:tr>
      <w:tr w:rsidR="009C4B33" w:rsidRPr="00535EF4" w14:paraId="3C9FB4E0" w14:textId="77777777" w:rsidTr="001A54D9">
        <w:trPr>
          <w:trHeight w:val="262"/>
          <w:jc w:val="center"/>
        </w:trPr>
        <w:tc>
          <w:tcPr>
            <w:tcW w:w="592" w:type="pct"/>
            <w:vMerge/>
          </w:tcPr>
          <w:p w14:paraId="063C2E42" w14:textId="77777777" w:rsidR="009C4B33" w:rsidRPr="00535EF4" w:rsidRDefault="009C4B33" w:rsidP="001A54D9">
            <w:pPr>
              <w:autoSpaceDE w:val="0"/>
              <w:autoSpaceDN w:val="0"/>
              <w:adjustRightInd w:val="0"/>
              <w:spacing w:before="0" w:after="0" w:line="240" w:lineRule="auto"/>
              <w:rPr>
                <w:rFonts w:ascii="Calibri" w:hAnsi="Calibri" w:cs="Calibri"/>
                <w:color w:val="000000"/>
              </w:rPr>
            </w:pPr>
          </w:p>
        </w:tc>
        <w:tc>
          <w:tcPr>
            <w:tcW w:w="303" w:type="pct"/>
            <w:shd w:val="clear" w:color="auto" w:fill="FBD4B4"/>
            <w:vAlign w:val="center"/>
          </w:tcPr>
          <w:p w14:paraId="4DC7553F"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1</w:t>
            </w:r>
          </w:p>
        </w:tc>
        <w:tc>
          <w:tcPr>
            <w:tcW w:w="303" w:type="pct"/>
            <w:shd w:val="clear" w:color="auto" w:fill="FBD4B4"/>
            <w:vAlign w:val="center"/>
          </w:tcPr>
          <w:p w14:paraId="731E1F5C"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2</w:t>
            </w:r>
          </w:p>
        </w:tc>
        <w:tc>
          <w:tcPr>
            <w:tcW w:w="304" w:type="pct"/>
            <w:shd w:val="clear" w:color="auto" w:fill="FBD4B4"/>
            <w:vAlign w:val="center"/>
          </w:tcPr>
          <w:p w14:paraId="65A60594"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3</w:t>
            </w:r>
          </w:p>
        </w:tc>
        <w:tc>
          <w:tcPr>
            <w:tcW w:w="303" w:type="pct"/>
            <w:shd w:val="clear" w:color="auto" w:fill="FBD4B4"/>
            <w:vAlign w:val="center"/>
          </w:tcPr>
          <w:p w14:paraId="2D30F408"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4</w:t>
            </w:r>
          </w:p>
        </w:tc>
        <w:tc>
          <w:tcPr>
            <w:tcW w:w="303" w:type="pct"/>
            <w:shd w:val="clear" w:color="auto" w:fill="FBD4B4"/>
            <w:vAlign w:val="center"/>
          </w:tcPr>
          <w:p w14:paraId="4A0E94A6"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5</w:t>
            </w:r>
          </w:p>
        </w:tc>
        <w:tc>
          <w:tcPr>
            <w:tcW w:w="304" w:type="pct"/>
            <w:shd w:val="clear" w:color="auto" w:fill="FBD4B4"/>
            <w:vAlign w:val="center"/>
          </w:tcPr>
          <w:p w14:paraId="2C69718F"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6</w:t>
            </w:r>
          </w:p>
        </w:tc>
        <w:tc>
          <w:tcPr>
            <w:tcW w:w="303" w:type="pct"/>
            <w:shd w:val="clear" w:color="auto" w:fill="FBD4B4"/>
            <w:vAlign w:val="center"/>
          </w:tcPr>
          <w:p w14:paraId="643638D7"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7</w:t>
            </w:r>
          </w:p>
        </w:tc>
        <w:tc>
          <w:tcPr>
            <w:tcW w:w="303" w:type="pct"/>
            <w:shd w:val="clear" w:color="auto" w:fill="FBD4B4"/>
            <w:vAlign w:val="center"/>
          </w:tcPr>
          <w:p w14:paraId="0F2F6B4C"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8</w:t>
            </w:r>
          </w:p>
        </w:tc>
        <w:tc>
          <w:tcPr>
            <w:tcW w:w="304" w:type="pct"/>
            <w:shd w:val="clear" w:color="auto" w:fill="FBD4B4"/>
            <w:vAlign w:val="center"/>
          </w:tcPr>
          <w:p w14:paraId="2933F842"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9</w:t>
            </w:r>
          </w:p>
        </w:tc>
        <w:tc>
          <w:tcPr>
            <w:tcW w:w="303" w:type="pct"/>
            <w:shd w:val="clear" w:color="auto" w:fill="FBD4B4"/>
            <w:vAlign w:val="center"/>
          </w:tcPr>
          <w:p w14:paraId="49C7D7EA"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10</w:t>
            </w:r>
          </w:p>
        </w:tc>
        <w:tc>
          <w:tcPr>
            <w:tcW w:w="303" w:type="pct"/>
            <w:shd w:val="clear" w:color="auto" w:fill="FBD4B4"/>
            <w:vAlign w:val="center"/>
          </w:tcPr>
          <w:p w14:paraId="12B300FB"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11</w:t>
            </w:r>
          </w:p>
        </w:tc>
        <w:tc>
          <w:tcPr>
            <w:tcW w:w="304" w:type="pct"/>
            <w:shd w:val="clear" w:color="auto" w:fill="FBD4B4"/>
            <w:vAlign w:val="center"/>
          </w:tcPr>
          <w:p w14:paraId="78394FE8"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12</w:t>
            </w:r>
          </w:p>
        </w:tc>
        <w:tc>
          <w:tcPr>
            <w:tcW w:w="770" w:type="pct"/>
            <w:shd w:val="clear" w:color="auto" w:fill="BFBFBF"/>
          </w:tcPr>
          <w:p w14:paraId="49BB765C"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000000"/>
              </w:rPr>
            </w:pPr>
            <w:r w:rsidRPr="00535EF4">
              <w:rPr>
                <w:rFonts w:ascii="Calibri" w:hAnsi="Calibri" w:cs="Calibri"/>
                <w:b/>
                <w:bCs/>
                <w:color w:val="000000"/>
              </w:rPr>
              <w:t>TFI@ feed12</w:t>
            </w:r>
          </w:p>
          <w:p w14:paraId="37B883A9"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000000"/>
              </w:rPr>
            </w:pPr>
            <w:r w:rsidRPr="00535EF4">
              <w:rPr>
                <w:rFonts w:ascii="Calibri" w:hAnsi="Calibri" w:cs="Calibri"/>
                <w:b/>
                <w:bCs/>
                <w:color w:val="000000"/>
              </w:rPr>
              <w:t>(mL/kg/d)</w:t>
            </w:r>
          </w:p>
        </w:tc>
      </w:tr>
      <w:tr w:rsidR="009C4B33" w:rsidRPr="00535EF4" w14:paraId="1F49BAAB" w14:textId="77777777" w:rsidTr="001A54D9">
        <w:trPr>
          <w:trHeight w:val="218"/>
          <w:jc w:val="center"/>
        </w:trPr>
        <w:tc>
          <w:tcPr>
            <w:tcW w:w="592" w:type="pct"/>
            <w:shd w:val="clear" w:color="auto" w:fill="C2D69B"/>
            <w:vAlign w:val="center"/>
          </w:tcPr>
          <w:p w14:paraId="55EABDFB"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1</w:t>
            </w:r>
          </w:p>
        </w:tc>
        <w:tc>
          <w:tcPr>
            <w:tcW w:w="303" w:type="pct"/>
            <w:vAlign w:val="center"/>
          </w:tcPr>
          <w:p w14:paraId="29872066"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3FF2B735"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p>
        </w:tc>
        <w:tc>
          <w:tcPr>
            <w:tcW w:w="304" w:type="pct"/>
            <w:vAlign w:val="center"/>
          </w:tcPr>
          <w:p w14:paraId="5D6B3109"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74451CBA"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p>
        </w:tc>
        <w:tc>
          <w:tcPr>
            <w:tcW w:w="303" w:type="pct"/>
            <w:vAlign w:val="center"/>
          </w:tcPr>
          <w:p w14:paraId="1A6C1272"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4" w:type="pct"/>
            <w:vAlign w:val="center"/>
          </w:tcPr>
          <w:p w14:paraId="3F0C511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p>
        </w:tc>
        <w:tc>
          <w:tcPr>
            <w:tcW w:w="303" w:type="pct"/>
            <w:vAlign w:val="center"/>
          </w:tcPr>
          <w:p w14:paraId="568FC99A"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65360883"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p>
        </w:tc>
        <w:tc>
          <w:tcPr>
            <w:tcW w:w="304" w:type="pct"/>
            <w:vAlign w:val="center"/>
          </w:tcPr>
          <w:p w14:paraId="64F1752F"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1E2985FC"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p>
        </w:tc>
        <w:tc>
          <w:tcPr>
            <w:tcW w:w="303" w:type="pct"/>
            <w:vAlign w:val="center"/>
          </w:tcPr>
          <w:p w14:paraId="3A05DC54"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4" w:type="pct"/>
            <w:vAlign w:val="center"/>
          </w:tcPr>
          <w:p w14:paraId="0DE25CCF"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p>
        </w:tc>
        <w:tc>
          <w:tcPr>
            <w:tcW w:w="770" w:type="pct"/>
            <w:shd w:val="clear" w:color="auto" w:fill="F2F2F2"/>
            <w:vAlign w:val="center"/>
          </w:tcPr>
          <w:p w14:paraId="400F1FF4"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color w:val="000000"/>
              </w:rPr>
              <w:t>12-15</w:t>
            </w:r>
          </w:p>
        </w:tc>
      </w:tr>
      <w:tr w:rsidR="009C4B33" w:rsidRPr="00535EF4" w14:paraId="47D239F6" w14:textId="77777777" w:rsidTr="001A54D9">
        <w:trPr>
          <w:trHeight w:val="218"/>
          <w:jc w:val="center"/>
        </w:trPr>
        <w:tc>
          <w:tcPr>
            <w:tcW w:w="592" w:type="pct"/>
            <w:shd w:val="clear" w:color="auto" w:fill="C2D69B"/>
            <w:vAlign w:val="center"/>
          </w:tcPr>
          <w:p w14:paraId="6A8B0298"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2</w:t>
            </w:r>
          </w:p>
        </w:tc>
        <w:tc>
          <w:tcPr>
            <w:tcW w:w="303" w:type="pct"/>
            <w:vAlign w:val="center"/>
          </w:tcPr>
          <w:p w14:paraId="71EF5E34"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06FDDAB1"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4" w:type="pct"/>
            <w:vAlign w:val="center"/>
          </w:tcPr>
          <w:p w14:paraId="53BB7E0F"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5ADFE36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5A240471"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4" w:type="pct"/>
            <w:vAlign w:val="center"/>
          </w:tcPr>
          <w:p w14:paraId="32CB3FF7"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3A61A333"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4EBEA56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4" w:type="pct"/>
            <w:vAlign w:val="center"/>
          </w:tcPr>
          <w:p w14:paraId="02DC645F"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5C033EF7"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3" w:type="pct"/>
            <w:vAlign w:val="center"/>
          </w:tcPr>
          <w:p w14:paraId="03937B41"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304" w:type="pct"/>
            <w:vAlign w:val="center"/>
          </w:tcPr>
          <w:p w14:paraId="4BEC17D9"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1</w:t>
            </w:r>
          </w:p>
        </w:tc>
        <w:tc>
          <w:tcPr>
            <w:tcW w:w="770" w:type="pct"/>
            <w:shd w:val="clear" w:color="auto" w:fill="F2F2F2"/>
            <w:vAlign w:val="center"/>
          </w:tcPr>
          <w:p w14:paraId="3B5BB241"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color w:val="000000"/>
              </w:rPr>
              <w:t>24-30</w:t>
            </w:r>
          </w:p>
        </w:tc>
      </w:tr>
      <w:tr w:rsidR="009C4B33" w:rsidRPr="00535EF4" w14:paraId="2513FA6B" w14:textId="77777777" w:rsidTr="001A54D9">
        <w:trPr>
          <w:trHeight w:val="218"/>
          <w:jc w:val="center"/>
        </w:trPr>
        <w:tc>
          <w:tcPr>
            <w:tcW w:w="592" w:type="pct"/>
            <w:shd w:val="clear" w:color="auto" w:fill="C2D69B"/>
            <w:vAlign w:val="center"/>
          </w:tcPr>
          <w:p w14:paraId="67065DBE"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3</w:t>
            </w:r>
          </w:p>
        </w:tc>
        <w:tc>
          <w:tcPr>
            <w:tcW w:w="303" w:type="pct"/>
            <w:vAlign w:val="center"/>
          </w:tcPr>
          <w:p w14:paraId="7A4737E2"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1.5</w:t>
            </w:r>
          </w:p>
        </w:tc>
        <w:tc>
          <w:tcPr>
            <w:tcW w:w="303" w:type="pct"/>
            <w:vAlign w:val="center"/>
          </w:tcPr>
          <w:p w14:paraId="1937CE98"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1.5</w:t>
            </w:r>
          </w:p>
        </w:tc>
        <w:tc>
          <w:tcPr>
            <w:tcW w:w="304" w:type="pct"/>
            <w:vAlign w:val="center"/>
          </w:tcPr>
          <w:p w14:paraId="0CFD4981"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1.5</w:t>
            </w:r>
          </w:p>
        </w:tc>
        <w:tc>
          <w:tcPr>
            <w:tcW w:w="303" w:type="pct"/>
            <w:vAlign w:val="center"/>
          </w:tcPr>
          <w:p w14:paraId="6BF99AC0"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1.5</w:t>
            </w:r>
          </w:p>
        </w:tc>
        <w:tc>
          <w:tcPr>
            <w:tcW w:w="303" w:type="pct"/>
            <w:vAlign w:val="center"/>
          </w:tcPr>
          <w:p w14:paraId="61B29D20"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1.5</w:t>
            </w:r>
          </w:p>
        </w:tc>
        <w:tc>
          <w:tcPr>
            <w:tcW w:w="304" w:type="pct"/>
            <w:vAlign w:val="center"/>
          </w:tcPr>
          <w:p w14:paraId="1C42CBB0"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1.5</w:t>
            </w:r>
          </w:p>
        </w:tc>
        <w:tc>
          <w:tcPr>
            <w:tcW w:w="303" w:type="pct"/>
            <w:vAlign w:val="center"/>
          </w:tcPr>
          <w:p w14:paraId="498CEA77"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2</w:t>
            </w:r>
          </w:p>
        </w:tc>
        <w:tc>
          <w:tcPr>
            <w:tcW w:w="303" w:type="pct"/>
            <w:vAlign w:val="center"/>
          </w:tcPr>
          <w:p w14:paraId="3E0BB4AB"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2</w:t>
            </w:r>
          </w:p>
        </w:tc>
        <w:tc>
          <w:tcPr>
            <w:tcW w:w="304" w:type="pct"/>
            <w:vAlign w:val="center"/>
          </w:tcPr>
          <w:p w14:paraId="621ECB00"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2</w:t>
            </w:r>
          </w:p>
        </w:tc>
        <w:tc>
          <w:tcPr>
            <w:tcW w:w="303" w:type="pct"/>
            <w:vAlign w:val="center"/>
          </w:tcPr>
          <w:p w14:paraId="525EB8C2"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2</w:t>
            </w:r>
          </w:p>
        </w:tc>
        <w:tc>
          <w:tcPr>
            <w:tcW w:w="303" w:type="pct"/>
            <w:vAlign w:val="center"/>
          </w:tcPr>
          <w:p w14:paraId="16E2CAB0"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2</w:t>
            </w:r>
          </w:p>
        </w:tc>
        <w:tc>
          <w:tcPr>
            <w:tcW w:w="304" w:type="pct"/>
            <w:vAlign w:val="center"/>
          </w:tcPr>
          <w:p w14:paraId="15867E1C"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2</w:t>
            </w:r>
          </w:p>
        </w:tc>
        <w:tc>
          <w:tcPr>
            <w:tcW w:w="770" w:type="pct"/>
            <w:shd w:val="clear" w:color="auto" w:fill="F2F2F2"/>
            <w:vAlign w:val="center"/>
          </w:tcPr>
          <w:p w14:paraId="63A0A62D"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color w:val="000000"/>
              </w:rPr>
              <w:t>48-60</w:t>
            </w:r>
          </w:p>
        </w:tc>
      </w:tr>
      <w:tr w:rsidR="009C4B33" w:rsidRPr="00535EF4" w14:paraId="78C4E10D" w14:textId="77777777" w:rsidTr="001A54D9">
        <w:trPr>
          <w:trHeight w:val="218"/>
          <w:jc w:val="center"/>
        </w:trPr>
        <w:tc>
          <w:tcPr>
            <w:tcW w:w="592" w:type="pct"/>
            <w:shd w:val="clear" w:color="auto" w:fill="C2D69B"/>
            <w:vAlign w:val="center"/>
          </w:tcPr>
          <w:p w14:paraId="0A7AAE32"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4</w:t>
            </w:r>
          </w:p>
        </w:tc>
        <w:tc>
          <w:tcPr>
            <w:tcW w:w="303" w:type="pct"/>
            <w:vAlign w:val="center"/>
          </w:tcPr>
          <w:p w14:paraId="1F79670B"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2.5</w:t>
            </w:r>
          </w:p>
        </w:tc>
        <w:tc>
          <w:tcPr>
            <w:tcW w:w="303" w:type="pct"/>
            <w:vAlign w:val="center"/>
          </w:tcPr>
          <w:p w14:paraId="0F72D14A"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2.5</w:t>
            </w:r>
          </w:p>
        </w:tc>
        <w:tc>
          <w:tcPr>
            <w:tcW w:w="304" w:type="pct"/>
            <w:vAlign w:val="center"/>
          </w:tcPr>
          <w:p w14:paraId="42D3B184"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2.5</w:t>
            </w:r>
          </w:p>
        </w:tc>
        <w:tc>
          <w:tcPr>
            <w:tcW w:w="303" w:type="pct"/>
            <w:vAlign w:val="center"/>
          </w:tcPr>
          <w:p w14:paraId="4E4DE02E"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2.5</w:t>
            </w:r>
          </w:p>
        </w:tc>
        <w:tc>
          <w:tcPr>
            <w:tcW w:w="303" w:type="pct"/>
            <w:vAlign w:val="center"/>
          </w:tcPr>
          <w:p w14:paraId="1C9E2CA4"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2.5</w:t>
            </w:r>
          </w:p>
        </w:tc>
        <w:tc>
          <w:tcPr>
            <w:tcW w:w="304" w:type="pct"/>
            <w:vAlign w:val="center"/>
          </w:tcPr>
          <w:p w14:paraId="7B234094"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2.5</w:t>
            </w:r>
          </w:p>
        </w:tc>
        <w:tc>
          <w:tcPr>
            <w:tcW w:w="303" w:type="pct"/>
            <w:vAlign w:val="center"/>
          </w:tcPr>
          <w:p w14:paraId="12716607"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3</w:t>
            </w:r>
          </w:p>
        </w:tc>
        <w:tc>
          <w:tcPr>
            <w:tcW w:w="303" w:type="pct"/>
            <w:vAlign w:val="center"/>
          </w:tcPr>
          <w:p w14:paraId="2363E28D"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3</w:t>
            </w:r>
          </w:p>
        </w:tc>
        <w:tc>
          <w:tcPr>
            <w:tcW w:w="304" w:type="pct"/>
            <w:vAlign w:val="center"/>
          </w:tcPr>
          <w:p w14:paraId="49F7040D"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3</w:t>
            </w:r>
          </w:p>
        </w:tc>
        <w:tc>
          <w:tcPr>
            <w:tcW w:w="303" w:type="pct"/>
            <w:vAlign w:val="center"/>
          </w:tcPr>
          <w:p w14:paraId="246355D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3</w:t>
            </w:r>
          </w:p>
        </w:tc>
        <w:tc>
          <w:tcPr>
            <w:tcW w:w="303" w:type="pct"/>
            <w:vAlign w:val="center"/>
          </w:tcPr>
          <w:p w14:paraId="11E10142"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3</w:t>
            </w:r>
          </w:p>
        </w:tc>
        <w:tc>
          <w:tcPr>
            <w:tcW w:w="304" w:type="pct"/>
            <w:vAlign w:val="center"/>
          </w:tcPr>
          <w:p w14:paraId="7FFA06E2"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3</w:t>
            </w:r>
          </w:p>
        </w:tc>
        <w:tc>
          <w:tcPr>
            <w:tcW w:w="770" w:type="pct"/>
            <w:shd w:val="clear" w:color="auto" w:fill="F2F2F2"/>
            <w:vAlign w:val="center"/>
          </w:tcPr>
          <w:p w14:paraId="35E6F800" w14:textId="77777777" w:rsidR="009C4B33" w:rsidRPr="00535EF4" w:rsidRDefault="009C4B33" w:rsidP="001A54D9">
            <w:pPr>
              <w:autoSpaceDE w:val="0"/>
              <w:autoSpaceDN w:val="0"/>
              <w:adjustRightInd w:val="0"/>
              <w:spacing w:before="0" w:after="0" w:line="240" w:lineRule="auto"/>
              <w:jc w:val="center"/>
              <w:rPr>
                <w:rFonts w:ascii="Calibri" w:hAnsi="Calibri"/>
                <w:color w:val="000000"/>
              </w:rPr>
            </w:pPr>
            <w:r w:rsidRPr="00535EF4">
              <w:rPr>
                <w:rFonts w:ascii="Calibri" w:hAnsi="Calibri"/>
                <w:color w:val="000000"/>
              </w:rPr>
              <w:t>72-90</w:t>
            </w:r>
          </w:p>
        </w:tc>
      </w:tr>
      <w:tr w:rsidR="009C4B33" w:rsidRPr="00535EF4" w14:paraId="16A8C7BD" w14:textId="77777777" w:rsidTr="001A54D9">
        <w:trPr>
          <w:trHeight w:val="218"/>
          <w:jc w:val="center"/>
        </w:trPr>
        <w:tc>
          <w:tcPr>
            <w:tcW w:w="592" w:type="pct"/>
            <w:shd w:val="clear" w:color="auto" w:fill="C2D69B"/>
            <w:vAlign w:val="center"/>
          </w:tcPr>
          <w:p w14:paraId="33FAB3BF"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000000"/>
              </w:rPr>
            </w:pPr>
            <w:r w:rsidRPr="00535EF4">
              <w:rPr>
                <w:rFonts w:ascii="Calibri" w:hAnsi="Calibri" w:cs="Calibri"/>
                <w:b/>
                <w:bCs/>
                <w:color w:val="000000"/>
              </w:rPr>
              <w:t>5 (half Fortify)</w:t>
            </w:r>
          </w:p>
        </w:tc>
        <w:tc>
          <w:tcPr>
            <w:tcW w:w="303" w:type="pct"/>
            <w:vAlign w:val="center"/>
          </w:tcPr>
          <w:p w14:paraId="33CE8253"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3.5</w:t>
            </w:r>
          </w:p>
        </w:tc>
        <w:tc>
          <w:tcPr>
            <w:tcW w:w="303" w:type="pct"/>
            <w:vAlign w:val="center"/>
          </w:tcPr>
          <w:p w14:paraId="146A7F20"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3.5</w:t>
            </w:r>
          </w:p>
        </w:tc>
        <w:tc>
          <w:tcPr>
            <w:tcW w:w="304" w:type="pct"/>
            <w:vAlign w:val="center"/>
          </w:tcPr>
          <w:p w14:paraId="549BA15A"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3.5</w:t>
            </w:r>
          </w:p>
        </w:tc>
        <w:tc>
          <w:tcPr>
            <w:tcW w:w="303" w:type="pct"/>
            <w:vAlign w:val="center"/>
          </w:tcPr>
          <w:p w14:paraId="7189D268"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3.5</w:t>
            </w:r>
          </w:p>
        </w:tc>
        <w:tc>
          <w:tcPr>
            <w:tcW w:w="303" w:type="pct"/>
            <w:vAlign w:val="center"/>
          </w:tcPr>
          <w:p w14:paraId="4F59E261"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3.5</w:t>
            </w:r>
          </w:p>
        </w:tc>
        <w:tc>
          <w:tcPr>
            <w:tcW w:w="304" w:type="pct"/>
            <w:vAlign w:val="center"/>
          </w:tcPr>
          <w:p w14:paraId="464E9428"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3.5</w:t>
            </w:r>
          </w:p>
        </w:tc>
        <w:tc>
          <w:tcPr>
            <w:tcW w:w="303" w:type="pct"/>
            <w:vAlign w:val="center"/>
          </w:tcPr>
          <w:p w14:paraId="4F96921B"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4</w:t>
            </w:r>
          </w:p>
        </w:tc>
        <w:tc>
          <w:tcPr>
            <w:tcW w:w="303" w:type="pct"/>
            <w:vAlign w:val="center"/>
          </w:tcPr>
          <w:p w14:paraId="5E6FEBE6"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4</w:t>
            </w:r>
          </w:p>
        </w:tc>
        <w:tc>
          <w:tcPr>
            <w:tcW w:w="304" w:type="pct"/>
            <w:vAlign w:val="center"/>
          </w:tcPr>
          <w:p w14:paraId="06B9CB72"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4</w:t>
            </w:r>
          </w:p>
        </w:tc>
        <w:tc>
          <w:tcPr>
            <w:tcW w:w="303" w:type="pct"/>
            <w:vAlign w:val="center"/>
          </w:tcPr>
          <w:p w14:paraId="20BE95AE"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4</w:t>
            </w:r>
          </w:p>
        </w:tc>
        <w:tc>
          <w:tcPr>
            <w:tcW w:w="303" w:type="pct"/>
            <w:vAlign w:val="center"/>
          </w:tcPr>
          <w:p w14:paraId="4A80EFB4"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4</w:t>
            </w:r>
          </w:p>
        </w:tc>
        <w:tc>
          <w:tcPr>
            <w:tcW w:w="304" w:type="pct"/>
            <w:vAlign w:val="center"/>
          </w:tcPr>
          <w:p w14:paraId="4F78AEC5"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4</w:t>
            </w:r>
          </w:p>
        </w:tc>
        <w:tc>
          <w:tcPr>
            <w:tcW w:w="770" w:type="pct"/>
            <w:shd w:val="clear" w:color="auto" w:fill="F2F2F2"/>
            <w:vAlign w:val="center"/>
          </w:tcPr>
          <w:p w14:paraId="63D5A85C"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color w:val="000000"/>
              </w:rPr>
              <w:t>96-120</w:t>
            </w:r>
          </w:p>
        </w:tc>
      </w:tr>
      <w:tr w:rsidR="009C4B33" w:rsidRPr="00535EF4" w14:paraId="5EC2BC66" w14:textId="77777777" w:rsidTr="001A54D9">
        <w:trPr>
          <w:trHeight w:val="218"/>
          <w:jc w:val="center"/>
        </w:trPr>
        <w:tc>
          <w:tcPr>
            <w:tcW w:w="592" w:type="pct"/>
            <w:shd w:val="clear" w:color="auto" w:fill="C2D69B"/>
            <w:vAlign w:val="center"/>
          </w:tcPr>
          <w:p w14:paraId="640349DE"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6 (half Fortify)</w:t>
            </w:r>
          </w:p>
        </w:tc>
        <w:tc>
          <w:tcPr>
            <w:tcW w:w="303" w:type="pct"/>
            <w:vAlign w:val="center"/>
          </w:tcPr>
          <w:p w14:paraId="6D35A9EE"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4.5</w:t>
            </w:r>
          </w:p>
        </w:tc>
        <w:tc>
          <w:tcPr>
            <w:tcW w:w="303" w:type="pct"/>
            <w:vAlign w:val="center"/>
          </w:tcPr>
          <w:p w14:paraId="3EC4F8F6"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4.5</w:t>
            </w:r>
          </w:p>
        </w:tc>
        <w:tc>
          <w:tcPr>
            <w:tcW w:w="304" w:type="pct"/>
            <w:vAlign w:val="center"/>
          </w:tcPr>
          <w:p w14:paraId="258FC59E"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4.5</w:t>
            </w:r>
          </w:p>
        </w:tc>
        <w:tc>
          <w:tcPr>
            <w:tcW w:w="303" w:type="pct"/>
            <w:vAlign w:val="center"/>
          </w:tcPr>
          <w:p w14:paraId="179D067B"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4.5</w:t>
            </w:r>
          </w:p>
        </w:tc>
        <w:tc>
          <w:tcPr>
            <w:tcW w:w="303" w:type="pct"/>
            <w:vAlign w:val="center"/>
          </w:tcPr>
          <w:p w14:paraId="7E0E6C7B"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4.5</w:t>
            </w:r>
          </w:p>
        </w:tc>
        <w:tc>
          <w:tcPr>
            <w:tcW w:w="304" w:type="pct"/>
            <w:vAlign w:val="center"/>
          </w:tcPr>
          <w:p w14:paraId="0A6495AF"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4.5</w:t>
            </w:r>
          </w:p>
        </w:tc>
        <w:tc>
          <w:tcPr>
            <w:tcW w:w="303" w:type="pct"/>
            <w:vAlign w:val="center"/>
          </w:tcPr>
          <w:p w14:paraId="4FCF1CBC"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5</w:t>
            </w:r>
          </w:p>
        </w:tc>
        <w:tc>
          <w:tcPr>
            <w:tcW w:w="303" w:type="pct"/>
            <w:vAlign w:val="center"/>
          </w:tcPr>
          <w:p w14:paraId="578E410C"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5</w:t>
            </w:r>
          </w:p>
        </w:tc>
        <w:tc>
          <w:tcPr>
            <w:tcW w:w="304" w:type="pct"/>
            <w:vAlign w:val="center"/>
          </w:tcPr>
          <w:p w14:paraId="076240A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5</w:t>
            </w:r>
          </w:p>
        </w:tc>
        <w:tc>
          <w:tcPr>
            <w:tcW w:w="303" w:type="pct"/>
            <w:vAlign w:val="center"/>
          </w:tcPr>
          <w:p w14:paraId="5F57119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5</w:t>
            </w:r>
          </w:p>
        </w:tc>
        <w:tc>
          <w:tcPr>
            <w:tcW w:w="303" w:type="pct"/>
            <w:vAlign w:val="center"/>
          </w:tcPr>
          <w:p w14:paraId="2A4AE6A3"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5</w:t>
            </w:r>
          </w:p>
        </w:tc>
        <w:tc>
          <w:tcPr>
            <w:tcW w:w="304" w:type="pct"/>
            <w:vAlign w:val="center"/>
          </w:tcPr>
          <w:p w14:paraId="167EBCB4"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5</w:t>
            </w:r>
          </w:p>
        </w:tc>
        <w:tc>
          <w:tcPr>
            <w:tcW w:w="770" w:type="pct"/>
            <w:shd w:val="clear" w:color="auto" w:fill="F2F2F2"/>
            <w:vAlign w:val="center"/>
          </w:tcPr>
          <w:p w14:paraId="171A15CB"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color w:val="000000"/>
              </w:rPr>
              <w:t>120-150</w:t>
            </w:r>
          </w:p>
        </w:tc>
      </w:tr>
      <w:tr w:rsidR="009C4B33" w:rsidRPr="00535EF4" w14:paraId="11934628" w14:textId="77777777" w:rsidTr="001A54D9">
        <w:trPr>
          <w:trHeight w:val="218"/>
          <w:jc w:val="center"/>
        </w:trPr>
        <w:tc>
          <w:tcPr>
            <w:tcW w:w="592" w:type="pct"/>
            <w:shd w:val="clear" w:color="auto" w:fill="C2D69B"/>
            <w:vAlign w:val="center"/>
          </w:tcPr>
          <w:p w14:paraId="6FC282F9"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b/>
                <w:bCs/>
                <w:color w:val="000000"/>
              </w:rPr>
              <w:t>7 (fully fortify)</w:t>
            </w:r>
          </w:p>
        </w:tc>
        <w:tc>
          <w:tcPr>
            <w:tcW w:w="303" w:type="pct"/>
            <w:vAlign w:val="center"/>
          </w:tcPr>
          <w:p w14:paraId="14277635"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5.5</w:t>
            </w:r>
          </w:p>
        </w:tc>
        <w:tc>
          <w:tcPr>
            <w:tcW w:w="303" w:type="pct"/>
            <w:vAlign w:val="center"/>
          </w:tcPr>
          <w:p w14:paraId="48EE8A86"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5.5</w:t>
            </w:r>
          </w:p>
        </w:tc>
        <w:tc>
          <w:tcPr>
            <w:tcW w:w="304" w:type="pct"/>
            <w:vAlign w:val="center"/>
          </w:tcPr>
          <w:p w14:paraId="02450429"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5.5</w:t>
            </w:r>
          </w:p>
        </w:tc>
        <w:tc>
          <w:tcPr>
            <w:tcW w:w="303" w:type="pct"/>
            <w:vAlign w:val="center"/>
          </w:tcPr>
          <w:p w14:paraId="2CBD4554"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5.5</w:t>
            </w:r>
          </w:p>
        </w:tc>
        <w:tc>
          <w:tcPr>
            <w:tcW w:w="303" w:type="pct"/>
            <w:vAlign w:val="center"/>
          </w:tcPr>
          <w:p w14:paraId="74197657"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5.5</w:t>
            </w:r>
          </w:p>
        </w:tc>
        <w:tc>
          <w:tcPr>
            <w:tcW w:w="304" w:type="pct"/>
            <w:vAlign w:val="center"/>
          </w:tcPr>
          <w:p w14:paraId="0FDDDBBF" w14:textId="77777777" w:rsidR="009C4B33" w:rsidRPr="00535EF4" w:rsidRDefault="009C4B33" w:rsidP="001A54D9">
            <w:pPr>
              <w:autoSpaceDE w:val="0"/>
              <w:autoSpaceDN w:val="0"/>
              <w:adjustRightInd w:val="0"/>
              <w:spacing w:before="0" w:after="0" w:line="240" w:lineRule="auto"/>
              <w:jc w:val="center"/>
              <w:rPr>
                <w:rFonts w:ascii="Calibri" w:hAnsi="Calibri"/>
                <w:b/>
                <w:bCs/>
                <w:color w:val="C00000"/>
              </w:rPr>
            </w:pPr>
            <w:r w:rsidRPr="00535EF4">
              <w:rPr>
                <w:rFonts w:ascii="Calibri" w:hAnsi="Calibri"/>
                <w:b/>
                <w:bCs/>
                <w:color w:val="C00000"/>
              </w:rPr>
              <w:t>5.5</w:t>
            </w:r>
          </w:p>
        </w:tc>
        <w:tc>
          <w:tcPr>
            <w:tcW w:w="303" w:type="pct"/>
            <w:vAlign w:val="center"/>
          </w:tcPr>
          <w:p w14:paraId="4D43F6D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6</w:t>
            </w:r>
          </w:p>
        </w:tc>
        <w:tc>
          <w:tcPr>
            <w:tcW w:w="303" w:type="pct"/>
            <w:vAlign w:val="center"/>
          </w:tcPr>
          <w:p w14:paraId="436188BF"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6</w:t>
            </w:r>
          </w:p>
        </w:tc>
        <w:tc>
          <w:tcPr>
            <w:tcW w:w="304" w:type="pct"/>
            <w:vAlign w:val="center"/>
          </w:tcPr>
          <w:p w14:paraId="0FC7DDC8"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6</w:t>
            </w:r>
          </w:p>
        </w:tc>
        <w:tc>
          <w:tcPr>
            <w:tcW w:w="303" w:type="pct"/>
            <w:vAlign w:val="center"/>
          </w:tcPr>
          <w:p w14:paraId="019405B2"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6</w:t>
            </w:r>
          </w:p>
        </w:tc>
        <w:tc>
          <w:tcPr>
            <w:tcW w:w="303" w:type="pct"/>
            <w:vAlign w:val="center"/>
          </w:tcPr>
          <w:p w14:paraId="26AB2E72"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6</w:t>
            </w:r>
          </w:p>
        </w:tc>
        <w:tc>
          <w:tcPr>
            <w:tcW w:w="304" w:type="pct"/>
            <w:vAlign w:val="center"/>
          </w:tcPr>
          <w:p w14:paraId="10218869" w14:textId="77777777" w:rsidR="009C4B33" w:rsidRPr="00535EF4" w:rsidRDefault="009C4B33" w:rsidP="001A54D9">
            <w:pPr>
              <w:autoSpaceDE w:val="0"/>
              <w:autoSpaceDN w:val="0"/>
              <w:adjustRightInd w:val="0"/>
              <w:spacing w:before="0" w:after="0" w:line="240" w:lineRule="auto"/>
              <w:jc w:val="center"/>
              <w:rPr>
                <w:rFonts w:ascii="Calibri" w:hAnsi="Calibri" w:cs="Calibri"/>
                <w:b/>
                <w:bCs/>
                <w:color w:val="C00000"/>
              </w:rPr>
            </w:pPr>
            <w:r w:rsidRPr="00535EF4">
              <w:rPr>
                <w:rFonts w:ascii="Calibri" w:hAnsi="Calibri" w:cs="Calibri"/>
                <w:b/>
                <w:bCs/>
                <w:color w:val="C00000"/>
              </w:rPr>
              <w:t>6</w:t>
            </w:r>
          </w:p>
        </w:tc>
        <w:tc>
          <w:tcPr>
            <w:tcW w:w="770" w:type="pct"/>
            <w:shd w:val="clear" w:color="auto" w:fill="F2F2F2"/>
            <w:vAlign w:val="center"/>
          </w:tcPr>
          <w:p w14:paraId="717ADD93" w14:textId="77777777" w:rsidR="009C4B33" w:rsidRPr="00535EF4" w:rsidRDefault="009C4B33" w:rsidP="001A54D9">
            <w:pPr>
              <w:autoSpaceDE w:val="0"/>
              <w:autoSpaceDN w:val="0"/>
              <w:adjustRightInd w:val="0"/>
              <w:spacing w:before="0" w:after="0" w:line="240" w:lineRule="auto"/>
              <w:jc w:val="center"/>
              <w:rPr>
                <w:rFonts w:ascii="Calibri" w:hAnsi="Calibri" w:cs="Calibri"/>
                <w:color w:val="000000"/>
              </w:rPr>
            </w:pPr>
            <w:r w:rsidRPr="00535EF4">
              <w:rPr>
                <w:rFonts w:ascii="Calibri" w:hAnsi="Calibri" w:cs="Calibri"/>
                <w:color w:val="000000"/>
              </w:rPr>
              <w:t>144-180</w:t>
            </w:r>
          </w:p>
        </w:tc>
      </w:tr>
    </w:tbl>
    <w:p w14:paraId="30BCBD22"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p w14:paraId="30C422F8" w14:textId="77777777" w:rsidR="00535EF4" w:rsidRDefault="00535EF4" w:rsidP="00535EF4">
      <w:pPr>
        <w:spacing w:before="0" w:after="0" w:line="240" w:lineRule="auto"/>
        <w:rPr>
          <w:rFonts w:ascii="Calibri" w:eastAsia="Times New Roman" w:hAnsi="Calibri" w:cs="Times New Roman"/>
          <w:color w:val="auto"/>
          <w:szCs w:val="20"/>
          <w:lang w:eastAsia="en-US"/>
        </w:rPr>
      </w:pPr>
    </w:p>
    <w:p w14:paraId="1EB79254" w14:textId="77777777" w:rsidR="00E82C70" w:rsidRPr="00535EF4" w:rsidRDefault="00E82C70" w:rsidP="00535EF4">
      <w:pPr>
        <w:spacing w:before="0" w:after="0" w:line="240" w:lineRule="auto"/>
        <w:rPr>
          <w:rFonts w:ascii="Calibri" w:eastAsia="Times New Roman" w:hAnsi="Calibri" w:cs="Times New Roman"/>
          <w:color w:val="auto"/>
          <w:szCs w:val="20"/>
          <w:lang w:eastAsia="en-US"/>
        </w:rPr>
      </w:pPr>
    </w:p>
    <w:p w14:paraId="74EA4D9A" w14:textId="1F989EDD" w:rsidR="005D31B5" w:rsidRDefault="005D31B5" w:rsidP="00535EF4">
      <w:pPr>
        <w:spacing w:before="0" w:after="0" w:line="240" w:lineRule="auto"/>
        <w:rPr>
          <w:rFonts w:ascii="Calibri" w:eastAsia="Times New Roman" w:hAnsi="Calibri" w:cs="Times New Roman"/>
          <w:color w:val="auto"/>
          <w:szCs w:val="20"/>
          <w:lang w:eastAsia="en-US"/>
        </w:rPr>
      </w:pPr>
    </w:p>
    <w:p w14:paraId="325DF1A0" w14:textId="77777777" w:rsidR="00535EF4" w:rsidRDefault="00535EF4" w:rsidP="00535EF4">
      <w:pPr>
        <w:spacing w:before="0" w:after="0" w:line="240" w:lineRule="auto"/>
        <w:rPr>
          <w:rFonts w:ascii="Calibri" w:eastAsia="Times New Roman" w:hAnsi="Calibri" w:cs="Times New Roman"/>
          <w:color w:val="auto"/>
          <w:szCs w:val="20"/>
          <w:lang w:eastAsia="en-US"/>
        </w:rPr>
      </w:pPr>
    </w:p>
    <w:p w14:paraId="25A4C91E"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577"/>
        <w:gridCol w:w="579"/>
        <w:gridCol w:w="580"/>
        <w:gridCol w:w="580"/>
        <w:gridCol w:w="578"/>
        <w:gridCol w:w="580"/>
        <w:gridCol w:w="580"/>
        <w:gridCol w:w="580"/>
        <w:gridCol w:w="578"/>
        <w:gridCol w:w="580"/>
        <w:gridCol w:w="580"/>
        <w:gridCol w:w="580"/>
        <w:gridCol w:w="1270"/>
        <w:tblGridChange w:id="73">
          <w:tblGrid>
            <w:gridCol w:w="1129"/>
            <w:gridCol w:w="577"/>
            <w:gridCol w:w="579"/>
            <w:gridCol w:w="580"/>
            <w:gridCol w:w="580"/>
            <w:gridCol w:w="578"/>
            <w:gridCol w:w="580"/>
            <w:gridCol w:w="580"/>
            <w:gridCol w:w="580"/>
            <w:gridCol w:w="578"/>
            <w:gridCol w:w="580"/>
            <w:gridCol w:w="580"/>
            <w:gridCol w:w="580"/>
            <w:gridCol w:w="1270"/>
          </w:tblGrid>
        </w:tblGridChange>
      </w:tblGrid>
      <w:tr w:rsidR="006E26B3" w:rsidRPr="00535EF4" w14:paraId="2F19BDDD" w14:textId="77777777" w:rsidTr="001A54D9">
        <w:trPr>
          <w:trHeight w:val="171"/>
          <w:jc w:val="center"/>
        </w:trPr>
        <w:tc>
          <w:tcPr>
            <w:tcW w:w="5000" w:type="pct"/>
            <w:gridSpan w:val="14"/>
            <w:shd w:val="clear" w:color="auto" w:fill="CC99FF"/>
            <w:vAlign w:val="center"/>
          </w:tcPr>
          <w:p w14:paraId="38083D05" w14:textId="77777777" w:rsidR="006E26B3" w:rsidRPr="00535EF4" w:rsidRDefault="006E26B3" w:rsidP="001A54D9">
            <w:pPr>
              <w:spacing w:before="0" w:after="0" w:line="240" w:lineRule="auto"/>
              <w:jc w:val="center"/>
              <w:rPr>
                <w:rFonts w:ascii="Calibri" w:eastAsia="Times New Roman" w:hAnsi="Calibri" w:cs="Times New Roman"/>
                <w:b/>
                <w:bCs/>
                <w:color w:val="auto"/>
                <w:sz w:val="36"/>
                <w:szCs w:val="36"/>
                <w:lang w:eastAsia="en-US"/>
              </w:rPr>
            </w:pPr>
            <w:r w:rsidRPr="00535EF4">
              <w:rPr>
                <w:rFonts w:ascii="Calibri" w:eastAsia="Times New Roman" w:hAnsi="Calibri" w:cs="Times New Roman"/>
                <w:b/>
                <w:bCs/>
                <w:color w:val="auto"/>
                <w:sz w:val="32"/>
                <w:szCs w:val="32"/>
                <w:lang w:eastAsia="en-US"/>
              </w:rPr>
              <w:lastRenderedPageBreak/>
              <w:t>PROTOCOL 2 - 500-599g</w:t>
            </w:r>
          </w:p>
        </w:tc>
      </w:tr>
      <w:tr w:rsidR="006E26B3" w:rsidRPr="00535EF4" w14:paraId="3277FA3D" w14:textId="77777777" w:rsidTr="001A54D9">
        <w:trPr>
          <w:trHeight w:val="461"/>
          <w:jc w:val="center"/>
        </w:trPr>
        <w:tc>
          <w:tcPr>
            <w:tcW w:w="604" w:type="pct"/>
            <w:vMerge w:val="restart"/>
            <w:shd w:val="clear" w:color="auto" w:fill="C2D69B"/>
            <w:vAlign w:val="center"/>
          </w:tcPr>
          <w:p w14:paraId="099580FC"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FEED DAY</w:t>
            </w:r>
          </w:p>
        </w:tc>
        <w:tc>
          <w:tcPr>
            <w:tcW w:w="4396" w:type="pct"/>
            <w:gridSpan w:val="13"/>
            <w:tcBorders>
              <w:bottom w:val="single" w:sz="4" w:space="0" w:color="auto"/>
            </w:tcBorders>
            <w:shd w:val="clear" w:color="auto" w:fill="FBD4B4"/>
            <w:vAlign w:val="center"/>
          </w:tcPr>
          <w:p w14:paraId="4781F1C7" w14:textId="77777777" w:rsidR="006E26B3" w:rsidRPr="00535EF4" w:rsidRDefault="006E26B3" w:rsidP="001A54D9">
            <w:pPr>
              <w:spacing w:before="0" w:after="0" w:line="240" w:lineRule="auto"/>
              <w:rPr>
                <w:rFonts w:ascii="Calibri" w:eastAsia="Times New Roman" w:hAnsi="Calibri" w:cs="Times New Roman"/>
                <w:b/>
                <w:bCs/>
                <w:color w:val="auto"/>
                <w:lang w:eastAsia="en-US"/>
              </w:rPr>
            </w:pPr>
            <w:r w:rsidRPr="00535EF4">
              <w:rPr>
                <w:rFonts w:ascii="Calibri" w:eastAsia="Times New Roman" w:hAnsi="Calibri" w:cs="Times New Roman"/>
                <w:b/>
                <w:bCs/>
                <w:color w:val="auto"/>
                <w:lang w:eastAsia="en-US"/>
              </w:rPr>
              <w:t xml:space="preserve">FEED NUMBER and </w:t>
            </w:r>
            <w:r w:rsidRPr="00535EF4">
              <w:rPr>
                <w:rFonts w:ascii="Calibri" w:eastAsia="Times New Roman" w:hAnsi="Calibri" w:cs="Times New Roman"/>
                <w:b/>
                <w:bCs/>
                <w:color w:val="C00000"/>
                <w:lang w:eastAsia="en-US"/>
              </w:rPr>
              <w:t xml:space="preserve">VOLUME (ml) </w:t>
            </w:r>
            <w:r w:rsidRPr="00535EF4">
              <w:rPr>
                <w:rFonts w:ascii="Calibri" w:eastAsia="Times New Roman" w:hAnsi="Calibri" w:cs="Times New Roman"/>
                <w:b/>
                <w:bCs/>
                <w:color w:val="auto"/>
                <w:szCs w:val="20"/>
                <w:lang w:eastAsia="en-US"/>
              </w:rPr>
              <w:t>2</w:t>
            </w:r>
            <w:r w:rsidRPr="00535EF4">
              <w:rPr>
                <w:rFonts w:ascii="Calibri" w:eastAsia="Times New Roman" w:hAnsi="Calibri" w:cs="Times New Roman"/>
                <w:b/>
                <w:bCs/>
                <w:color w:val="auto"/>
                <w:szCs w:val="20"/>
                <w:vertAlign w:val="superscript"/>
                <w:lang w:eastAsia="en-US"/>
              </w:rPr>
              <w:t>nd</w:t>
            </w:r>
            <w:r w:rsidRPr="00535EF4">
              <w:rPr>
                <w:rFonts w:ascii="Calibri" w:eastAsia="Times New Roman" w:hAnsi="Calibri" w:cs="Times New Roman"/>
                <w:b/>
                <w:bCs/>
                <w:color w:val="auto"/>
                <w:szCs w:val="20"/>
                <w:lang w:eastAsia="en-US"/>
              </w:rPr>
              <w:t xml:space="preserve"> HOURLY FEEDS</w:t>
            </w:r>
            <w:r w:rsidRPr="00535EF4">
              <w:rPr>
                <w:rFonts w:ascii="Calibri" w:eastAsia="Times New Roman" w:hAnsi="Calibri" w:cs="Calibri"/>
                <w:b/>
                <w:bCs/>
                <w:color w:val="auto"/>
                <w:szCs w:val="20"/>
                <w:lang w:eastAsia="en-US"/>
              </w:rPr>
              <w:t xml:space="preserve"> </w:t>
            </w:r>
          </w:p>
          <w:p w14:paraId="5F253BE7" w14:textId="77777777" w:rsidR="006E26B3" w:rsidRPr="00535EF4" w:rsidRDefault="006E26B3" w:rsidP="001A54D9">
            <w:pPr>
              <w:autoSpaceDE w:val="0"/>
              <w:autoSpaceDN w:val="0"/>
              <w:adjustRightInd w:val="0"/>
              <w:spacing w:before="0" w:after="0" w:line="240" w:lineRule="auto"/>
              <w:rPr>
                <w:rFonts w:ascii="Calibri" w:eastAsia="Times New Roman" w:hAnsi="Calibri" w:cs="Calibri"/>
                <w:b/>
                <w:bCs/>
                <w:color w:val="000000"/>
              </w:rPr>
            </w:pPr>
            <w:r w:rsidRPr="00535EF4">
              <w:rPr>
                <w:rFonts w:ascii="Calibri" w:eastAsia="Times New Roman" w:hAnsi="Calibri" w:cs="Calibri"/>
                <w:b/>
                <w:bCs/>
                <w:color w:val="000000"/>
              </w:rPr>
              <w:t>*Cease grading once a volume of 160mL/kg/d is reached</w:t>
            </w:r>
          </w:p>
        </w:tc>
      </w:tr>
      <w:tr w:rsidR="006E26B3" w:rsidRPr="00535EF4" w14:paraId="2A7226AB" w14:textId="77777777" w:rsidTr="001A54D9">
        <w:trPr>
          <w:trHeight w:val="171"/>
          <w:jc w:val="center"/>
        </w:trPr>
        <w:tc>
          <w:tcPr>
            <w:tcW w:w="604" w:type="pct"/>
            <w:vMerge/>
            <w:vAlign w:val="center"/>
          </w:tcPr>
          <w:p w14:paraId="3FC7D086"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000000"/>
              </w:rPr>
            </w:pPr>
          </w:p>
        </w:tc>
        <w:tc>
          <w:tcPr>
            <w:tcW w:w="309" w:type="pct"/>
            <w:shd w:val="clear" w:color="auto" w:fill="FBD4B4"/>
            <w:vAlign w:val="center"/>
          </w:tcPr>
          <w:p w14:paraId="6F9780C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w:t>
            </w:r>
          </w:p>
        </w:tc>
        <w:tc>
          <w:tcPr>
            <w:tcW w:w="310" w:type="pct"/>
            <w:shd w:val="clear" w:color="auto" w:fill="FBD4B4"/>
            <w:vAlign w:val="center"/>
          </w:tcPr>
          <w:p w14:paraId="2233C21C"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2</w:t>
            </w:r>
          </w:p>
        </w:tc>
        <w:tc>
          <w:tcPr>
            <w:tcW w:w="310" w:type="pct"/>
            <w:shd w:val="clear" w:color="auto" w:fill="FBD4B4"/>
            <w:vAlign w:val="center"/>
          </w:tcPr>
          <w:p w14:paraId="36AA7D05"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3</w:t>
            </w:r>
          </w:p>
        </w:tc>
        <w:tc>
          <w:tcPr>
            <w:tcW w:w="310" w:type="pct"/>
            <w:shd w:val="clear" w:color="auto" w:fill="FBD4B4"/>
            <w:vAlign w:val="center"/>
          </w:tcPr>
          <w:p w14:paraId="458B024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4</w:t>
            </w:r>
          </w:p>
        </w:tc>
        <w:tc>
          <w:tcPr>
            <w:tcW w:w="309" w:type="pct"/>
            <w:shd w:val="clear" w:color="auto" w:fill="FBD4B4"/>
            <w:vAlign w:val="center"/>
          </w:tcPr>
          <w:p w14:paraId="00E3595B"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5</w:t>
            </w:r>
          </w:p>
        </w:tc>
        <w:tc>
          <w:tcPr>
            <w:tcW w:w="310" w:type="pct"/>
            <w:shd w:val="clear" w:color="auto" w:fill="FBD4B4"/>
            <w:vAlign w:val="center"/>
          </w:tcPr>
          <w:p w14:paraId="2CE7995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6</w:t>
            </w:r>
          </w:p>
        </w:tc>
        <w:tc>
          <w:tcPr>
            <w:tcW w:w="310" w:type="pct"/>
            <w:shd w:val="clear" w:color="auto" w:fill="FBD4B4"/>
            <w:vAlign w:val="center"/>
          </w:tcPr>
          <w:p w14:paraId="4BF1F7D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7</w:t>
            </w:r>
          </w:p>
        </w:tc>
        <w:tc>
          <w:tcPr>
            <w:tcW w:w="310" w:type="pct"/>
            <w:shd w:val="clear" w:color="auto" w:fill="FBD4B4"/>
            <w:vAlign w:val="center"/>
          </w:tcPr>
          <w:p w14:paraId="1CBEE88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8</w:t>
            </w:r>
          </w:p>
        </w:tc>
        <w:tc>
          <w:tcPr>
            <w:tcW w:w="309" w:type="pct"/>
            <w:shd w:val="clear" w:color="auto" w:fill="FBD4B4"/>
            <w:vAlign w:val="center"/>
          </w:tcPr>
          <w:p w14:paraId="62EAB81D"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9</w:t>
            </w:r>
          </w:p>
        </w:tc>
        <w:tc>
          <w:tcPr>
            <w:tcW w:w="310" w:type="pct"/>
            <w:shd w:val="clear" w:color="auto" w:fill="FBD4B4"/>
            <w:vAlign w:val="center"/>
          </w:tcPr>
          <w:p w14:paraId="61A6182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10</w:t>
            </w:r>
          </w:p>
        </w:tc>
        <w:tc>
          <w:tcPr>
            <w:tcW w:w="310" w:type="pct"/>
            <w:shd w:val="clear" w:color="auto" w:fill="FBD4B4"/>
            <w:vAlign w:val="center"/>
          </w:tcPr>
          <w:p w14:paraId="3BF9BEC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11</w:t>
            </w:r>
          </w:p>
        </w:tc>
        <w:tc>
          <w:tcPr>
            <w:tcW w:w="310" w:type="pct"/>
            <w:shd w:val="clear" w:color="auto" w:fill="FBD4B4"/>
            <w:vAlign w:val="center"/>
          </w:tcPr>
          <w:p w14:paraId="7717AE21"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12</w:t>
            </w:r>
          </w:p>
        </w:tc>
        <w:tc>
          <w:tcPr>
            <w:tcW w:w="683" w:type="pct"/>
            <w:shd w:val="clear" w:color="auto" w:fill="BFBFBF"/>
            <w:vAlign w:val="center"/>
          </w:tcPr>
          <w:p w14:paraId="628014C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000000"/>
                <w:sz w:val="20"/>
                <w:szCs w:val="20"/>
              </w:rPr>
            </w:pPr>
            <w:r w:rsidRPr="00535EF4">
              <w:rPr>
                <w:rFonts w:ascii="Calibri" w:eastAsia="Times New Roman" w:hAnsi="Calibri" w:cs="Calibri"/>
                <w:b/>
                <w:bCs/>
                <w:color w:val="000000"/>
                <w:sz w:val="20"/>
                <w:szCs w:val="20"/>
              </w:rPr>
              <w:t>TFI@ feed12</w:t>
            </w:r>
          </w:p>
          <w:p w14:paraId="66AA32F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sz w:val="20"/>
                <w:szCs w:val="20"/>
              </w:rPr>
              <w:t>(mL/kg/d)</w:t>
            </w:r>
          </w:p>
        </w:tc>
      </w:tr>
      <w:tr w:rsidR="006E26B3" w:rsidRPr="00535EF4" w14:paraId="60F5634D" w14:textId="77777777" w:rsidTr="001A54D9">
        <w:trPr>
          <w:trHeight w:val="142"/>
          <w:jc w:val="center"/>
        </w:trPr>
        <w:tc>
          <w:tcPr>
            <w:tcW w:w="604" w:type="pct"/>
            <w:shd w:val="clear" w:color="auto" w:fill="C2D69B"/>
            <w:vAlign w:val="center"/>
          </w:tcPr>
          <w:p w14:paraId="7842280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309" w:type="pct"/>
            <w:vAlign w:val="center"/>
          </w:tcPr>
          <w:p w14:paraId="1D06F122"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2E5D759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52755D0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7B7EA55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09" w:type="pct"/>
            <w:vAlign w:val="center"/>
          </w:tcPr>
          <w:p w14:paraId="4499E59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5F0A2D7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247F3D5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4061304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09" w:type="pct"/>
            <w:vAlign w:val="center"/>
          </w:tcPr>
          <w:p w14:paraId="6B85454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72BF341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2C3F4AD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1326581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683" w:type="pct"/>
            <w:shd w:val="clear" w:color="auto" w:fill="F2F2F2"/>
            <w:vAlign w:val="center"/>
          </w:tcPr>
          <w:p w14:paraId="410E6995"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20-24</w:t>
            </w:r>
          </w:p>
        </w:tc>
      </w:tr>
      <w:tr w:rsidR="006E26B3" w:rsidRPr="00535EF4" w14:paraId="56EC4FC5" w14:textId="77777777" w:rsidTr="001A54D9">
        <w:trPr>
          <w:trHeight w:val="142"/>
          <w:jc w:val="center"/>
        </w:trPr>
        <w:tc>
          <w:tcPr>
            <w:tcW w:w="604" w:type="pct"/>
            <w:shd w:val="clear" w:color="auto" w:fill="C2D69B"/>
            <w:vAlign w:val="center"/>
          </w:tcPr>
          <w:p w14:paraId="40EF699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309" w:type="pct"/>
            <w:vAlign w:val="center"/>
          </w:tcPr>
          <w:p w14:paraId="3BB1F5C2"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352DE6A6"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3CF6399C"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4D0CDE3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09" w:type="pct"/>
            <w:vAlign w:val="center"/>
          </w:tcPr>
          <w:p w14:paraId="01B5442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2203C4FD"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05A8E25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3AFF4E6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09" w:type="pct"/>
            <w:vAlign w:val="center"/>
          </w:tcPr>
          <w:p w14:paraId="6F6FFE3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367774CB"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1FC8653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65E0B8A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683" w:type="pct"/>
            <w:shd w:val="clear" w:color="auto" w:fill="F2F2F2"/>
            <w:vAlign w:val="center"/>
          </w:tcPr>
          <w:p w14:paraId="791933FC"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40-48</w:t>
            </w:r>
          </w:p>
        </w:tc>
      </w:tr>
      <w:tr w:rsidR="006E26B3" w:rsidRPr="00535EF4" w14:paraId="5EBBB67F" w14:textId="77777777" w:rsidTr="001A54D9">
        <w:trPr>
          <w:trHeight w:val="142"/>
          <w:jc w:val="center"/>
        </w:trPr>
        <w:tc>
          <w:tcPr>
            <w:tcW w:w="604" w:type="pct"/>
            <w:shd w:val="clear" w:color="auto" w:fill="C2D69B"/>
            <w:vAlign w:val="center"/>
          </w:tcPr>
          <w:p w14:paraId="42BD10E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w:t>
            </w:r>
          </w:p>
        </w:tc>
        <w:tc>
          <w:tcPr>
            <w:tcW w:w="309" w:type="pct"/>
            <w:vAlign w:val="center"/>
          </w:tcPr>
          <w:p w14:paraId="6A3E740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78F682B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2401939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6B875A3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09" w:type="pct"/>
            <w:vAlign w:val="center"/>
          </w:tcPr>
          <w:p w14:paraId="429D252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21A7517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2AED053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61EDF7A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09" w:type="pct"/>
            <w:vAlign w:val="center"/>
          </w:tcPr>
          <w:p w14:paraId="0142B85C"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77A74A1B"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67D2DFD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310" w:type="pct"/>
            <w:vAlign w:val="center"/>
          </w:tcPr>
          <w:p w14:paraId="1FE27EBF"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683" w:type="pct"/>
            <w:shd w:val="clear" w:color="auto" w:fill="F2F2F2"/>
            <w:vAlign w:val="center"/>
          </w:tcPr>
          <w:p w14:paraId="4F2522F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60-72</w:t>
            </w:r>
          </w:p>
        </w:tc>
      </w:tr>
      <w:tr w:rsidR="006E26B3" w:rsidRPr="00535EF4" w14:paraId="00B8C4D2" w14:textId="77777777" w:rsidTr="001A54D9">
        <w:trPr>
          <w:trHeight w:val="142"/>
          <w:jc w:val="center"/>
        </w:trPr>
        <w:tc>
          <w:tcPr>
            <w:tcW w:w="604" w:type="pct"/>
            <w:shd w:val="clear" w:color="auto" w:fill="C2D69B"/>
            <w:vAlign w:val="center"/>
          </w:tcPr>
          <w:p w14:paraId="625512A2"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 (</w:t>
            </w:r>
            <w:r w:rsidRPr="00535EF4">
              <w:rPr>
                <w:rFonts w:ascii="Calibri" w:eastAsia="Times New Roman" w:hAnsi="Calibri" w:cs="Calibri"/>
                <w:b/>
                <w:bCs/>
                <w:color w:val="000000"/>
                <w:sz w:val="20"/>
                <w:szCs w:val="20"/>
              </w:rPr>
              <w:t xml:space="preserve">half </w:t>
            </w:r>
            <w:r w:rsidRPr="00535EF4">
              <w:rPr>
                <w:rFonts w:ascii="Calibri" w:eastAsia="Times New Roman" w:hAnsi="Calibri" w:cs="Calibri"/>
                <w:b/>
                <w:color w:val="000000"/>
                <w:sz w:val="20"/>
                <w:szCs w:val="20"/>
              </w:rPr>
              <w:t>Fortify</w:t>
            </w:r>
            <w:r w:rsidRPr="00535EF4">
              <w:rPr>
                <w:rFonts w:ascii="Calibri" w:eastAsia="Times New Roman" w:hAnsi="Calibri" w:cs="Calibri"/>
                <w:b/>
                <w:bCs/>
                <w:color w:val="000000"/>
                <w:sz w:val="20"/>
                <w:szCs w:val="20"/>
              </w:rPr>
              <w:t>)</w:t>
            </w:r>
          </w:p>
        </w:tc>
        <w:tc>
          <w:tcPr>
            <w:tcW w:w="309" w:type="pct"/>
            <w:vAlign w:val="center"/>
          </w:tcPr>
          <w:p w14:paraId="74B8AB4A"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6B9018F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12198E2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796E1A7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09" w:type="pct"/>
            <w:vAlign w:val="center"/>
          </w:tcPr>
          <w:p w14:paraId="0FFB4ECF"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370B1891"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3FBA437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67BA6545"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09" w:type="pct"/>
            <w:vAlign w:val="center"/>
          </w:tcPr>
          <w:p w14:paraId="74CC07B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5251F1A5"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2CB016E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7A6AFB65"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683" w:type="pct"/>
            <w:shd w:val="clear" w:color="auto" w:fill="F2F2F2"/>
            <w:vAlign w:val="center"/>
          </w:tcPr>
          <w:p w14:paraId="753B5856"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80-96</w:t>
            </w:r>
          </w:p>
        </w:tc>
      </w:tr>
      <w:tr w:rsidR="006E26B3" w:rsidRPr="00535EF4" w14:paraId="5E9AE284" w14:textId="77777777" w:rsidTr="001A54D9">
        <w:trPr>
          <w:trHeight w:val="142"/>
          <w:jc w:val="center"/>
        </w:trPr>
        <w:tc>
          <w:tcPr>
            <w:tcW w:w="604" w:type="pct"/>
            <w:shd w:val="clear" w:color="auto" w:fill="C2D69B"/>
            <w:vAlign w:val="center"/>
          </w:tcPr>
          <w:p w14:paraId="4B635D3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 xml:space="preserve">5 </w:t>
            </w:r>
            <w:r w:rsidRPr="00535EF4">
              <w:rPr>
                <w:rFonts w:ascii="Calibri" w:eastAsia="Times New Roman" w:hAnsi="Calibri" w:cs="Calibri"/>
                <w:b/>
                <w:bCs/>
                <w:color w:val="000000"/>
                <w:sz w:val="20"/>
                <w:szCs w:val="20"/>
              </w:rPr>
              <w:t>(half Fortify)</w:t>
            </w:r>
          </w:p>
        </w:tc>
        <w:tc>
          <w:tcPr>
            <w:tcW w:w="309" w:type="pct"/>
            <w:vAlign w:val="center"/>
          </w:tcPr>
          <w:p w14:paraId="3DFBF846"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06706CF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22105FC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6936087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09" w:type="pct"/>
            <w:vAlign w:val="center"/>
          </w:tcPr>
          <w:p w14:paraId="58EE99A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5489D49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46AD89C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b/>
                <w:bCs/>
                <w:color w:val="C00000"/>
                <w:sz w:val="20"/>
                <w:szCs w:val="20"/>
              </w:rPr>
            </w:pPr>
            <w:r w:rsidRPr="00535EF4">
              <w:rPr>
                <w:rFonts w:ascii="Calibri" w:eastAsia="Times New Roman" w:hAnsi="Calibri"/>
                <w:b/>
                <w:bCs/>
                <w:color w:val="C00000"/>
                <w:sz w:val="20"/>
                <w:szCs w:val="20"/>
              </w:rPr>
              <w:t>5.5</w:t>
            </w:r>
          </w:p>
        </w:tc>
        <w:tc>
          <w:tcPr>
            <w:tcW w:w="310" w:type="pct"/>
            <w:vAlign w:val="center"/>
          </w:tcPr>
          <w:p w14:paraId="0A8BB13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b/>
                <w:bCs/>
                <w:color w:val="C00000"/>
                <w:sz w:val="20"/>
                <w:szCs w:val="20"/>
              </w:rPr>
            </w:pPr>
            <w:r w:rsidRPr="00535EF4">
              <w:rPr>
                <w:rFonts w:ascii="Calibri" w:eastAsia="Times New Roman" w:hAnsi="Calibri"/>
                <w:b/>
                <w:bCs/>
                <w:color w:val="C00000"/>
                <w:sz w:val="20"/>
                <w:szCs w:val="20"/>
              </w:rPr>
              <w:t>5.5</w:t>
            </w:r>
          </w:p>
        </w:tc>
        <w:tc>
          <w:tcPr>
            <w:tcW w:w="309" w:type="pct"/>
            <w:vAlign w:val="center"/>
          </w:tcPr>
          <w:p w14:paraId="2C19A87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b/>
                <w:bCs/>
                <w:color w:val="C00000"/>
                <w:sz w:val="20"/>
                <w:szCs w:val="20"/>
              </w:rPr>
            </w:pPr>
            <w:r w:rsidRPr="00535EF4">
              <w:rPr>
                <w:rFonts w:ascii="Calibri" w:eastAsia="Times New Roman" w:hAnsi="Calibri"/>
                <w:b/>
                <w:bCs/>
                <w:color w:val="C00000"/>
                <w:sz w:val="20"/>
                <w:szCs w:val="20"/>
              </w:rPr>
              <w:t>5.5</w:t>
            </w:r>
          </w:p>
        </w:tc>
        <w:tc>
          <w:tcPr>
            <w:tcW w:w="310" w:type="pct"/>
            <w:vAlign w:val="center"/>
          </w:tcPr>
          <w:p w14:paraId="6F602315"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b/>
                <w:bCs/>
                <w:color w:val="C00000"/>
                <w:sz w:val="20"/>
                <w:szCs w:val="20"/>
              </w:rPr>
            </w:pPr>
            <w:r w:rsidRPr="00535EF4">
              <w:rPr>
                <w:rFonts w:ascii="Calibri" w:eastAsia="Times New Roman" w:hAnsi="Calibri"/>
                <w:b/>
                <w:bCs/>
                <w:color w:val="C00000"/>
                <w:sz w:val="20"/>
                <w:szCs w:val="20"/>
              </w:rPr>
              <w:t>5.5</w:t>
            </w:r>
          </w:p>
        </w:tc>
        <w:tc>
          <w:tcPr>
            <w:tcW w:w="310" w:type="pct"/>
            <w:vAlign w:val="center"/>
          </w:tcPr>
          <w:p w14:paraId="562EDEA1"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b/>
                <w:bCs/>
                <w:color w:val="C00000"/>
                <w:sz w:val="20"/>
                <w:szCs w:val="20"/>
              </w:rPr>
            </w:pPr>
            <w:r w:rsidRPr="00535EF4">
              <w:rPr>
                <w:rFonts w:ascii="Calibri" w:eastAsia="Times New Roman" w:hAnsi="Calibri"/>
                <w:b/>
                <w:bCs/>
                <w:color w:val="C00000"/>
                <w:sz w:val="20"/>
                <w:szCs w:val="20"/>
              </w:rPr>
              <w:t>5.5</w:t>
            </w:r>
          </w:p>
        </w:tc>
        <w:tc>
          <w:tcPr>
            <w:tcW w:w="310" w:type="pct"/>
            <w:vAlign w:val="center"/>
          </w:tcPr>
          <w:p w14:paraId="5F1FA605"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b/>
                <w:bCs/>
                <w:color w:val="C00000"/>
                <w:sz w:val="20"/>
                <w:szCs w:val="20"/>
              </w:rPr>
            </w:pPr>
            <w:r w:rsidRPr="00535EF4">
              <w:rPr>
                <w:rFonts w:ascii="Calibri" w:eastAsia="Times New Roman" w:hAnsi="Calibri"/>
                <w:b/>
                <w:bCs/>
                <w:color w:val="C00000"/>
                <w:sz w:val="20"/>
                <w:szCs w:val="20"/>
              </w:rPr>
              <w:t>5.5</w:t>
            </w:r>
          </w:p>
        </w:tc>
        <w:tc>
          <w:tcPr>
            <w:tcW w:w="683" w:type="pct"/>
            <w:shd w:val="clear" w:color="auto" w:fill="F2F2F2"/>
            <w:vAlign w:val="center"/>
          </w:tcPr>
          <w:p w14:paraId="5C30FE5B"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110-132</w:t>
            </w:r>
          </w:p>
        </w:tc>
      </w:tr>
      <w:tr w:rsidR="006E26B3" w:rsidRPr="00535EF4" w14:paraId="63104045" w14:textId="77777777" w:rsidTr="001A54D9">
        <w:trPr>
          <w:trHeight w:val="142"/>
          <w:jc w:val="center"/>
        </w:trPr>
        <w:tc>
          <w:tcPr>
            <w:tcW w:w="604" w:type="pct"/>
            <w:shd w:val="clear" w:color="auto" w:fill="C2D69B"/>
            <w:vAlign w:val="center"/>
          </w:tcPr>
          <w:p w14:paraId="76F0CCA6"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 xml:space="preserve">6 </w:t>
            </w:r>
            <w:r w:rsidRPr="00535EF4">
              <w:rPr>
                <w:rFonts w:ascii="Calibri" w:eastAsia="Times New Roman" w:hAnsi="Calibri" w:cs="Calibri"/>
                <w:b/>
                <w:bCs/>
                <w:color w:val="000000"/>
                <w:sz w:val="20"/>
                <w:szCs w:val="20"/>
              </w:rPr>
              <w:t>(fully fortify)</w:t>
            </w:r>
          </w:p>
        </w:tc>
        <w:tc>
          <w:tcPr>
            <w:tcW w:w="309" w:type="pct"/>
            <w:vAlign w:val="center"/>
          </w:tcPr>
          <w:p w14:paraId="0EE7EF5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72D4EFBB"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6DFDDC0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3EF0007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09" w:type="pct"/>
            <w:vAlign w:val="center"/>
          </w:tcPr>
          <w:p w14:paraId="184FC1E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46CEBCD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042F82F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2DBFDEB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09" w:type="pct"/>
            <w:vAlign w:val="center"/>
          </w:tcPr>
          <w:p w14:paraId="34CF4FDF"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1037E57F"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4B6BF78D"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0804C1D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683" w:type="pct"/>
            <w:shd w:val="clear" w:color="auto" w:fill="F2F2F2"/>
            <w:vAlign w:val="center"/>
          </w:tcPr>
          <w:p w14:paraId="398CA12E"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140-168</w:t>
            </w:r>
          </w:p>
        </w:tc>
      </w:tr>
      <w:tr w:rsidR="006E26B3" w:rsidRPr="00535EF4" w14:paraId="39F117C2" w14:textId="77777777" w:rsidTr="001A54D9">
        <w:trPr>
          <w:trHeight w:val="142"/>
          <w:jc w:val="center"/>
        </w:trPr>
        <w:tc>
          <w:tcPr>
            <w:tcW w:w="604" w:type="pct"/>
            <w:shd w:val="clear" w:color="auto" w:fill="C2D69B"/>
            <w:vAlign w:val="center"/>
          </w:tcPr>
          <w:p w14:paraId="017E79C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7</w:t>
            </w:r>
          </w:p>
        </w:tc>
        <w:tc>
          <w:tcPr>
            <w:tcW w:w="309" w:type="pct"/>
            <w:vAlign w:val="center"/>
          </w:tcPr>
          <w:p w14:paraId="6C1176B1"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75034A20"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1A3FB3AD"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18DCA5AD"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09" w:type="pct"/>
            <w:vAlign w:val="center"/>
          </w:tcPr>
          <w:p w14:paraId="63CCAFAB"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3E7C1A7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3A0F73C3"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7DD8CC5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09" w:type="pct"/>
            <w:vAlign w:val="center"/>
          </w:tcPr>
          <w:p w14:paraId="012410E8"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5FA94BF4"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7CD3A7E7"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310" w:type="pct"/>
            <w:vAlign w:val="center"/>
          </w:tcPr>
          <w:p w14:paraId="5EDD5389"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683" w:type="pct"/>
            <w:shd w:val="clear" w:color="auto" w:fill="F2F2F2"/>
            <w:vAlign w:val="center"/>
          </w:tcPr>
          <w:p w14:paraId="6BDA8A1B" w14:textId="77777777" w:rsidR="006E26B3" w:rsidRPr="00535EF4" w:rsidRDefault="006E26B3"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160-192</w:t>
            </w:r>
          </w:p>
        </w:tc>
      </w:tr>
    </w:tbl>
    <w:p w14:paraId="1E041E50" w14:textId="77777777" w:rsidR="00535EF4" w:rsidRDefault="00535EF4" w:rsidP="00535EF4">
      <w:pPr>
        <w:spacing w:before="0" w:after="0" w:line="240" w:lineRule="auto"/>
        <w:rPr>
          <w:rFonts w:ascii="Calibri" w:eastAsia="Times New Roman" w:hAnsi="Calibri" w:cs="Times New Roman"/>
          <w:color w:val="auto"/>
          <w:szCs w:val="20"/>
          <w:lang w:eastAsia="en-US"/>
        </w:rPr>
      </w:pPr>
    </w:p>
    <w:p w14:paraId="6BDE8D5F" w14:textId="77777777" w:rsidR="00535EF4" w:rsidRDefault="00535EF4" w:rsidP="00535EF4">
      <w:pPr>
        <w:spacing w:before="0" w:after="0" w:line="240" w:lineRule="auto"/>
        <w:rPr>
          <w:rFonts w:ascii="Calibri" w:eastAsia="Times New Roman" w:hAnsi="Calibri" w:cs="Times New Roman"/>
          <w:color w:val="auto"/>
          <w:szCs w:val="20"/>
          <w:lang w:eastAsia="en-US"/>
        </w:rPr>
      </w:pP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579"/>
        <w:gridCol w:w="579"/>
        <w:gridCol w:w="580"/>
        <w:gridCol w:w="580"/>
        <w:gridCol w:w="580"/>
        <w:gridCol w:w="580"/>
        <w:gridCol w:w="580"/>
        <w:gridCol w:w="580"/>
        <w:gridCol w:w="580"/>
        <w:gridCol w:w="580"/>
        <w:gridCol w:w="580"/>
        <w:gridCol w:w="580"/>
        <w:gridCol w:w="1264"/>
        <w:tblGridChange w:id="74">
          <w:tblGrid>
            <w:gridCol w:w="1129"/>
            <w:gridCol w:w="579"/>
            <w:gridCol w:w="579"/>
            <w:gridCol w:w="580"/>
            <w:gridCol w:w="580"/>
            <w:gridCol w:w="580"/>
            <w:gridCol w:w="580"/>
            <w:gridCol w:w="580"/>
            <w:gridCol w:w="580"/>
            <w:gridCol w:w="580"/>
            <w:gridCol w:w="580"/>
            <w:gridCol w:w="580"/>
            <w:gridCol w:w="580"/>
            <w:gridCol w:w="1264"/>
          </w:tblGrid>
        </w:tblGridChange>
      </w:tblGrid>
      <w:tr w:rsidR="00614348" w:rsidRPr="00535EF4" w14:paraId="7CBBB695" w14:textId="77777777" w:rsidTr="00614348">
        <w:trPr>
          <w:trHeight w:val="171"/>
          <w:jc w:val="center"/>
        </w:trPr>
        <w:tc>
          <w:tcPr>
            <w:tcW w:w="5000" w:type="pct"/>
            <w:gridSpan w:val="14"/>
            <w:shd w:val="clear" w:color="auto" w:fill="FF99CC"/>
            <w:vAlign w:val="center"/>
          </w:tcPr>
          <w:p w14:paraId="2C5CBC9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sz w:val="32"/>
                <w:szCs w:val="32"/>
              </w:rPr>
              <w:t>PROTOCOL 3 - 600-699g</w:t>
            </w:r>
          </w:p>
        </w:tc>
      </w:tr>
      <w:tr w:rsidR="00614348" w:rsidRPr="00535EF4" w14:paraId="3F04AD94" w14:textId="77777777" w:rsidTr="00614348">
        <w:trPr>
          <w:trHeight w:val="171"/>
          <w:jc w:val="center"/>
        </w:trPr>
        <w:tc>
          <w:tcPr>
            <w:tcW w:w="604" w:type="pct"/>
            <w:vMerge w:val="restart"/>
            <w:shd w:val="clear" w:color="auto" w:fill="C2D69B"/>
            <w:vAlign w:val="center"/>
          </w:tcPr>
          <w:p w14:paraId="48586824"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FEED DAY</w:t>
            </w:r>
          </w:p>
        </w:tc>
        <w:tc>
          <w:tcPr>
            <w:tcW w:w="4396" w:type="pct"/>
            <w:gridSpan w:val="13"/>
            <w:shd w:val="clear" w:color="auto" w:fill="FBD4B4"/>
            <w:vAlign w:val="center"/>
          </w:tcPr>
          <w:p w14:paraId="02A00A38" w14:textId="77777777" w:rsidR="00614348" w:rsidRPr="00535EF4" w:rsidRDefault="00614348" w:rsidP="001A54D9">
            <w:pPr>
              <w:spacing w:before="0" w:after="0" w:line="240" w:lineRule="auto"/>
              <w:rPr>
                <w:rFonts w:ascii="Calibri" w:eastAsia="Times New Roman" w:hAnsi="Calibri" w:cs="Times New Roman"/>
                <w:b/>
                <w:bCs/>
                <w:color w:val="auto"/>
                <w:lang w:eastAsia="en-US"/>
              </w:rPr>
            </w:pPr>
            <w:r w:rsidRPr="00535EF4">
              <w:rPr>
                <w:rFonts w:ascii="Calibri" w:eastAsia="Times New Roman" w:hAnsi="Calibri" w:cs="Times New Roman"/>
                <w:b/>
                <w:bCs/>
                <w:color w:val="auto"/>
                <w:lang w:eastAsia="en-US"/>
              </w:rPr>
              <w:t xml:space="preserve">FEED NUMBER and </w:t>
            </w:r>
            <w:r w:rsidRPr="00535EF4">
              <w:rPr>
                <w:rFonts w:ascii="Calibri" w:eastAsia="Times New Roman" w:hAnsi="Calibri" w:cs="Times New Roman"/>
                <w:b/>
                <w:bCs/>
                <w:color w:val="C00000"/>
                <w:lang w:eastAsia="en-US"/>
              </w:rPr>
              <w:t xml:space="preserve">VOLUME (ml) </w:t>
            </w:r>
            <w:r w:rsidRPr="00535EF4">
              <w:rPr>
                <w:rFonts w:ascii="Calibri" w:eastAsia="Times New Roman" w:hAnsi="Calibri" w:cs="Times New Roman"/>
                <w:b/>
                <w:bCs/>
                <w:color w:val="auto"/>
                <w:szCs w:val="20"/>
                <w:lang w:eastAsia="en-US"/>
              </w:rPr>
              <w:t>2</w:t>
            </w:r>
            <w:r w:rsidRPr="00535EF4">
              <w:rPr>
                <w:rFonts w:ascii="Calibri" w:eastAsia="Times New Roman" w:hAnsi="Calibri" w:cs="Times New Roman"/>
                <w:b/>
                <w:bCs/>
                <w:color w:val="auto"/>
                <w:szCs w:val="20"/>
                <w:vertAlign w:val="superscript"/>
                <w:lang w:eastAsia="en-US"/>
              </w:rPr>
              <w:t>nd</w:t>
            </w:r>
            <w:r w:rsidRPr="00535EF4">
              <w:rPr>
                <w:rFonts w:ascii="Calibri" w:eastAsia="Times New Roman" w:hAnsi="Calibri" w:cs="Times New Roman"/>
                <w:b/>
                <w:bCs/>
                <w:color w:val="auto"/>
                <w:szCs w:val="20"/>
                <w:lang w:eastAsia="en-US"/>
              </w:rPr>
              <w:t xml:space="preserve"> HOURLY FEEDS</w:t>
            </w:r>
            <w:r w:rsidRPr="00535EF4">
              <w:rPr>
                <w:rFonts w:ascii="Calibri" w:eastAsia="Times New Roman" w:hAnsi="Calibri" w:cs="Calibri"/>
                <w:b/>
                <w:bCs/>
                <w:color w:val="auto"/>
                <w:szCs w:val="20"/>
                <w:lang w:eastAsia="en-US"/>
              </w:rPr>
              <w:t xml:space="preserve"> </w:t>
            </w:r>
          </w:p>
          <w:p w14:paraId="50B4B15A" w14:textId="77777777" w:rsidR="00614348" w:rsidRPr="00535EF4" w:rsidRDefault="00614348" w:rsidP="001A54D9">
            <w:pPr>
              <w:autoSpaceDE w:val="0"/>
              <w:autoSpaceDN w:val="0"/>
              <w:adjustRightInd w:val="0"/>
              <w:spacing w:before="0" w:after="0" w:line="240" w:lineRule="auto"/>
              <w:rPr>
                <w:rFonts w:ascii="Calibri" w:eastAsia="Times New Roman" w:hAnsi="Calibri" w:cs="Calibri"/>
                <w:b/>
                <w:bCs/>
                <w:color w:val="000000"/>
              </w:rPr>
            </w:pPr>
            <w:r w:rsidRPr="00535EF4">
              <w:rPr>
                <w:rFonts w:ascii="Calibri" w:eastAsia="Times New Roman" w:hAnsi="Calibri" w:cs="Calibri"/>
                <w:b/>
                <w:bCs/>
                <w:color w:val="000000"/>
              </w:rPr>
              <w:t>*Cease grading once a volume of 160mL/kg/d is reached</w:t>
            </w:r>
          </w:p>
        </w:tc>
      </w:tr>
      <w:tr w:rsidR="00614348" w:rsidRPr="00535EF4" w14:paraId="26E6AEA3" w14:textId="77777777" w:rsidTr="001A54D9">
        <w:trPr>
          <w:trHeight w:val="171"/>
          <w:jc w:val="center"/>
        </w:trPr>
        <w:tc>
          <w:tcPr>
            <w:tcW w:w="604" w:type="pct"/>
            <w:vMerge/>
            <w:vAlign w:val="center"/>
          </w:tcPr>
          <w:p w14:paraId="3183D61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p>
        </w:tc>
        <w:tc>
          <w:tcPr>
            <w:tcW w:w="310" w:type="pct"/>
            <w:shd w:val="clear" w:color="auto" w:fill="FBD4B4"/>
            <w:vAlign w:val="center"/>
          </w:tcPr>
          <w:p w14:paraId="29B9FE16"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w:t>
            </w:r>
          </w:p>
        </w:tc>
        <w:tc>
          <w:tcPr>
            <w:tcW w:w="310" w:type="pct"/>
            <w:shd w:val="clear" w:color="auto" w:fill="FBD4B4"/>
            <w:vAlign w:val="center"/>
          </w:tcPr>
          <w:p w14:paraId="5F556CE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2</w:t>
            </w:r>
          </w:p>
        </w:tc>
        <w:tc>
          <w:tcPr>
            <w:tcW w:w="310" w:type="pct"/>
            <w:shd w:val="clear" w:color="auto" w:fill="FBD4B4"/>
            <w:vAlign w:val="center"/>
          </w:tcPr>
          <w:p w14:paraId="6B3EDA3D"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3</w:t>
            </w:r>
          </w:p>
        </w:tc>
        <w:tc>
          <w:tcPr>
            <w:tcW w:w="310" w:type="pct"/>
            <w:shd w:val="clear" w:color="auto" w:fill="FBD4B4"/>
            <w:vAlign w:val="center"/>
          </w:tcPr>
          <w:p w14:paraId="65474294"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4</w:t>
            </w:r>
          </w:p>
        </w:tc>
        <w:tc>
          <w:tcPr>
            <w:tcW w:w="310" w:type="pct"/>
            <w:shd w:val="clear" w:color="auto" w:fill="FBD4B4"/>
            <w:vAlign w:val="center"/>
          </w:tcPr>
          <w:p w14:paraId="79D221A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5</w:t>
            </w:r>
          </w:p>
        </w:tc>
        <w:tc>
          <w:tcPr>
            <w:tcW w:w="310" w:type="pct"/>
            <w:shd w:val="clear" w:color="auto" w:fill="FBD4B4"/>
            <w:vAlign w:val="center"/>
          </w:tcPr>
          <w:p w14:paraId="0D62B1A2"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6</w:t>
            </w:r>
          </w:p>
        </w:tc>
        <w:tc>
          <w:tcPr>
            <w:tcW w:w="310" w:type="pct"/>
            <w:shd w:val="clear" w:color="auto" w:fill="FBD4B4"/>
            <w:vAlign w:val="center"/>
          </w:tcPr>
          <w:p w14:paraId="1E4547E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7</w:t>
            </w:r>
          </w:p>
        </w:tc>
        <w:tc>
          <w:tcPr>
            <w:tcW w:w="310" w:type="pct"/>
            <w:shd w:val="clear" w:color="auto" w:fill="FBD4B4"/>
            <w:vAlign w:val="center"/>
          </w:tcPr>
          <w:p w14:paraId="62E5322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8</w:t>
            </w:r>
          </w:p>
        </w:tc>
        <w:tc>
          <w:tcPr>
            <w:tcW w:w="310" w:type="pct"/>
            <w:shd w:val="clear" w:color="auto" w:fill="FBD4B4"/>
            <w:vAlign w:val="center"/>
          </w:tcPr>
          <w:p w14:paraId="0DC1E0F5"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9</w:t>
            </w:r>
          </w:p>
        </w:tc>
        <w:tc>
          <w:tcPr>
            <w:tcW w:w="310" w:type="pct"/>
            <w:shd w:val="clear" w:color="auto" w:fill="FBD4B4"/>
            <w:vAlign w:val="center"/>
          </w:tcPr>
          <w:p w14:paraId="61DFC1D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10</w:t>
            </w:r>
          </w:p>
        </w:tc>
        <w:tc>
          <w:tcPr>
            <w:tcW w:w="310" w:type="pct"/>
            <w:shd w:val="clear" w:color="auto" w:fill="FBD4B4"/>
            <w:vAlign w:val="center"/>
          </w:tcPr>
          <w:p w14:paraId="601D113A"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11</w:t>
            </w:r>
          </w:p>
        </w:tc>
        <w:tc>
          <w:tcPr>
            <w:tcW w:w="310" w:type="pct"/>
            <w:shd w:val="clear" w:color="auto" w:fill="FBD4B4"/>
            <w:vAlign w:val="center"/>
          </w:tcPr>
          <w:p w14:paraId="562AC505"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color w:val="000000"/>
              </w:rPr>
              <w:t>12</w:t>
            </w:r>
          </w:p>
        </w:tc>
        <w:tc>
          <w:tcPr>
            <w:tcW w:w="676" w:type="pct"/>
            <w:shd w:val="clear" w:color="auto" w:fill="BFBFBF"/>
            <w:vAlign w:val="center"/>
          </w:tcPr>
          <w:p w14:paraId="41D540A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color w:val="000000"/>
                <w:sz w:val="20"/>
                <w:szCs w:val="20"/>
              </w:rPr>
            </w:pPr>
            <w:r w:rsidRPr="00535EF4">
              <w:rPr>
                <w:rFonts w:ascii="Calibri" w:eastAsia="Times New Roman" w:hAnsi="Calibri" w:cs="Calibri"/>
                <w:b/>
                <w:color w:val="000000"/>
                <w:sz w:val="20"/>
                <w:szCs w:val="20"/>
              </w:rPr>
              <w:t>TFI@ feed12</w:t>
            </w:r>
          </w:p>
          <w:p w14:paraId="2D1F5AA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color w:val="000000"/>
                <w:sz w:val="20"/>
                <w:szCs w:val="20"/>
              </w:rPr>
            </w:pPr>
            <w:r w:rsidRPr="00535EF4">
              <w:rPr>
                <w:rFonts w:ascii="Calibri" w:eastAsia="Times New Roman" w:hAnsi="Calibri" w:cs="Calibri"/>
                <w:b/>
                <w:bCs/>
                <w:color w:val="000000"/>
                <w:sz w:val="20"/>
                <w:szCs w:val="20"/>
              </w:rPr>
              <w:t>(mL/kg/d)</w:t>
            </w:r>
          </w:p>
        </w:tc>
      </w:tr>
      <w:tr w:rsidR="00614348" w:rsidRPr="00535EF4" w14:paraId="130FB445" w14:textId="77777777" w:rsidTr="001A54D9">
        <w:trPr>
          <w:trHeight w:val="142"/>
          <w:jc w:val="center"/>
        </w:trPr>
        <w:tc>
          <w:tcPr>
            <w:tcW w:w="604" w:type="pct"/>
            <w:shd w:val="clear" w:color="auto" w:fill="C2D69B"/>
            <w:vAlign w:val="center"/>
          </w:tcPr>
          <w:p w14:paraId="7AC66C7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310" w:type="pct"/>
            <w:vAlign w:val="center"/>
          </w:tcPr>
          <w:p w14:paraId="293D105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26A8A91B"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2F6C3FE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66DD8678"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5B7C90D8"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54CD93D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6DADBC74"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3D239910"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19B3DC72"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241CCEE4"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0039D3A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310" w:type="pct"/>
            <w:vAlign w:val="center"/>
          </w:tcPr>
          <w:p w14:paraId="45786FF3"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676" w:type="pct"/>
            <w:shd w:val="clear" w:color="auto" w:fill="F2F2F2"/>
            <w:vAlign w:val="center"/>
          </w:tcPr>
          <w:p w14:paraId="386B9A6A"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17-20</w:t>
            </w:r>
          </w:p>
        </w:tc>
      </w:tr>
      <w:tr w:rsidR="00614348" w:rsidRPr="00535EF4" w14:paraId="79ACFE75" w14:textId="77777777" w:rsidTr="001A54D9">
        <w:trPr>
          <w:trHeight w:val="142"/>
          <w:jc w:val="center"/>
        </w:trPr>
        <w:tc>
          <w:tcPr>
            <w:tcW w:w="604" w:type="pct"/>
            <w:shd w:val="clear" w:color="auto" w:fill="C2D69B"/>
            <w:vAlign w:val="center"/>
          </w:tcPr>
          <w:p w14:paraId="5C8373C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310" w:type="pct"/>
            <w:vAlign w:val="center"/>
          </w:tcPr>
          <w:p w14:paraId="39FDD31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5998EB5B"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5A89EA82"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77F65F0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41A7AB24"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585D4EA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310" w:type="pct"/>
            <w:vAlign w:val="center"/>
          </w:tcPr>
          <w:p w14:paraId="0E9E6C6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310" w:type="pct"/>
            <w:vAlign w:val="center"/>
          </w:tcPr>
          <w:p w14:paraId="6EB267B0"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310" w:type="pct"/>
            <w:vAlign w:val="center"/>
          </w:tcPr>
          <w:p w14:paraId="4D40BFD3"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310" w:type="pct"/>
            <w:vAlign w:val="center"/>
          </w:tcPr>
          <w:p w14:paraId="480BE94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310" w:type="pct"/>
            <w:vAlign w:val="center"/>
          </w:tcPr>
          <w:p w14:paraId="0C012AA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310" w:type="pct"/>
            <w:vAlign w:val="center"/>
          </w:tcPr>
          <w:p w14:paraId="23CE04B0"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676" w:type="pct"/>
            <w:shd w:val="clear" w:color="auto" w:fill="F2F2F2"/>
            <w:vAlign w:val="center"/>
          </w:tcPr>
          <w:p w14:paraId="31969A5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42-50</w:t>
            </w:r>
          </w:p>
        </w:tc>
      </w:tr>
      <w:tr w:rsidR="00614348" w:rsidRPr="00535EF4" w14:paraId="677BE2AC" w14:textId="77777777" w:rsidTr="001A54D9">
        <w:trPr>
          <w:trHeight w:val="142"/>
          <w:jc w:val="center"/>
        </w:trPr>
        <w:tc>
          <w:tcPr>
            <w:tcW w:w="604" w:type="pct"/>
            <w:shd w:val="clear" w:color="auto" w:fill="C2D69B"/>
            <w:vAlign w:val="center"/>
          </w:tcPr>
          <w:p w14:paraId="7CAAC76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w:t>
            </w:r>
          </w:p>
        </w:tc>
        <w:tc>
          <w:tcPr>
            <w:tcW w:w="310" w:type="pct"/>
            <w:vAlign w:val="center"/>
          </w:tcPr>
          <w:p w14:paraId="3EB1F41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310" w:type="pct"/>
            <w:vAlign w:val="center"/>
          </w:tcPr>
          <w:p w14:paraId="4BEF1A6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310" w:type="pct"/>
            <w:vAlign w:val="center"/>
          </w:tcPr>
          <w:p w14:paraId="2ED4FD1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310" w:type="pct"/>
            <w:vAlign w:val="center"/>
          </w:tcPr>
          <w:p w14:paraId="3BFF52F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310" w:type="pct"/>
            <w:vAlign w:val="center"/>
          </w:tcPr>
          <w:p w14:paraId="4D1EE396"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310" w:type="pct"/>
            <w:vAlign w:val="center"/>
          </w:tcPr>
          <w:p w14:paraId="350DD61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310" w:type="pct"/>
            <w:vAlign w:val="center"/>
          </w:tcPr>
          <w:p w14:paraId="6EDC3AED"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11CD83D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1448B98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4502871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0D05AB1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310" w:type="pct"/>
            <w:vAlign w:val="center"/>
          </w:tcPr>
          <w:p w14:paraId="2D8259F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676" w:type="pct"/>
            <w:shd w:val="clear" w:color="auto" w:fill="F2F2F2"/>
            <w:vAlign w:val="center"/>
          </w:tcPr>
          <w:p w14:paraId="7CC332A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68-80</w:t>
            </w:r>
          </w:p>
        </w:tc>
      </w:tr>
      <w:tr w:rsidR="00614348" w:rsidRPr="00535EF4" w14:paraId="0062D16F" w14:textId="77777777" w:rsidTr="001A54D9">
        <w:trPr>
          <w:trHeight w:val="142"/>
          <w:jc w:val="center"/>
        </w:trPr>
        <w:tc>
          <w:tcPr>
            <w:tcW w:w="604" w:type="pct"/>
            <w:shd w:val="clear" w:color="auto" w:fill="C2D69B"/>
            <w:vAlign w:val="center"/>
          </w:tcPr>
          <w:p w14:paraId="16B3D9C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 (</w:t>
            </w:r>
            <w:r w:rsidRPr="00535EF4">
              <w:rPr>
                <w:rFonts w:ascii="Calibri" w:eastAsia="Times New Roman" w:hAnsi="Calibri" w:cs="Calibri"/>
                <w:b/>
                <w:bCs/>
                <w:color w:val="000000"/>
                <w:sz w:val="20"/>
                <w:szCs w:val="20"/>
              </w:rPr>
              <w:t xml:space="preserve">half </w:t>
            </w:r>
            <w:r w:rsidRPr="00535EF4">
              <w:rPr>
                <w:rFonts w:ascii="Calibri" w:eastAsia="Times New Roman" w:hAnsi="Calibri" w:cs="Calibri"/>
                <w:b/>
                <w:color w:val="000000"/>
                <w:sz w:val="20"/>
                <w:szCs w:val="20"/>
              </w:rPr>
              <w:t>Fortify</w:t>
            </w:r>
            <w:r w:rsidRPr="00535EF4">
              <w:rPr>
                <w:rFonts w:ascii="Calibri" w:eastAsia="Times New Roman" w:hAnsi="Calibri" w:cs="Calibri"/>
                <w:b/>
                <w:bCs/>
                <w:color w:val="000000"/>
                <w:sz w:val="20"/>
                <w:szCs w:val="20"/>
              </w:rPr>
              <w:t>)</w:t>
            </w:r>
          </w:p>
        </w:tc>
        <w:tc>
          <w:tcPr>
            <w:tcW w:w="310" w:type="pct"/>
            <w:vAlign w:val="center"/>
          </w:tcPr>
          <w:p w14:paraId="0CB71D83"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67F3D91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10DD4C63"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14C8287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5DC42C8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49EDEB3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310" w:type="pct"/>
            <w:vAlign w:val="center"/>
          </w:tcPr>
          <w:p w14:paraId="4765C6EB"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310" w:type="pct"/>
            <w:vAlign w:val="center"/>
          </w:tcPr>
          <w:p w14:paraId="268CFDB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310" w:type="pct"/>
            <w:vAlign w:val="center"/>
          </w:tcPr>
          <w:p w14:paraId="09EE0EE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310" w:type="pct"/>
            <w:vAlign w:val="center"/>
          </w:tcPr>
          <w:p w14:paraId="0CBD8676"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310" w:type="pct"/>
            <w:vAlign w:val="center"/>
          </w:tcPr>
          <w:p w14:paraId="5DDC239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310" w:type="pct"/>
            <w:vAlign w:val="center"/>
          </w:tcPr>
          <w:p w14:paraId="614E906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676" w:type="pct"/>
            <w:shd w:val="clear" w:color="auto" w:fill="F2F2F2"/>
            <w:vAlign w:val="center"/>
          </w:tcPr>
          <w:p w14:paraId="1E06A7D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94-110</w:t>
            </w:r>
          </w:p>
        </w:tc>
      </w:tr>
      <w:tr w:rsidR="00614348" w:rsidRPr="00535EF4" w14:paraId="7CA2A63C" w14:textId="77777777" w:rsidTr="001A54D9">
        <w:trPr>
          <w:trHeight w:val="142"/>
          <w:jc w:val="center"/>
        </w:trPr>
        <w:tc>
          <w:tcPr>
            <w:tcW w:w="604" w:type="pct"/>
            <w:shd w:val="clear" w:color="auto" w:fill="C2D69B"/>
            <w:vAlign w:val="center"/>
          </w:tcPr>
          <w:p w14:paraId="6A09445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5 (</w:t>
            </w:r>
            <w:r w:rsidRPr="00535EF4">
              <w:rPr>
                <w:rFonts w:ascii="Calibri" w:eastAsia="Times New Roman" w:hAnsi="Calibri" w:cs="Calibri"/>
                <w:b/>
                <w:bCs/>
                <w:color w:val="000000"/>
                <w:sz w:val="20"/>
                <w:szCs w:val="20"/>
              </w:rPr>
              <w:t>half Fortify)</w:t>
            </w:r>
          </w:p>
        </w:tc>
        <w:tc>
          <w:tcPr>
            <w:tcW w:w="310" w:type="pct"/>
            <w:vAlign w:val="center"/>
          </w:tcPr>
          <w:p w14:paraId="0090E16F"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512516E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16ED2D0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23E57449"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310" w:type="pct"/>
            <w:vAlign w:val="center"/>
          </w:tcPr>
          <w:p w14:paraId="34AAC8F8"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16ECB1A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116737A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3FCF6E38"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310" w:type="pct"/>
            <w:vAlign w:val="center"/>
          </w:tcPr>
          <w:p w14:paraId="13C41EA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310" w:type="pct"/>
            <w:vAlign w:val="center"/>
          </w:tcPr>
          <w:p w14:paraId="65D9C5D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310" w:type="pct"/>
            <w:vAlign w:val="center"/>
          </w:tcPr>
          <w:p w14:paraId="6E88822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310" w:type="pct"/>
            <w:vAlign w:val="center"/>
          </w:tcPr>
          <w:p w14:paraId="05F60E54"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676" w:type="pct"/>
            <w:shd w:val="clear" w:color="auto" w:fill="F2F2F2"/>
            <w:vAlign w:val="center"/>
          </w:tcPr>
          <w:p w14:paraId="4B905F3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128-150</w:t>
            </w:r>
          </w:p>
        </w:tc>
      </w:tr>
      <w:tr w:rsidR="00614348" w:rsidRPr="00535EF4" w14:paraId="15D30B8F" w14:textId="77777777" w:rsidTr="001A54D9">
        <w:trPr>
          <w:trHeight w:val="142"/>
          <w:jc w:val="center"/>
        </w:trPr>
        <w:tc>
          <w:tcPr>
            <w:tcW w:w="604" w:type="pct"/>
            <w:shd w:val="clear" w:color="auto" w:fill="C2D69B"/>
            <w:vAlign w:val="center"/>
          </w:tcPr>
          <w:p w14:paraId="06D04E67"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 xml:space="preserve">6 </w:t>
            </w:r>
            <w:r w:rsidRPr="00535EF4">
              <w:rPr>
                <w:rFonts w:ascii="Calibri" w:eastAsia="Times New Roman" w:hAnsi="Calibri" w:cs="Calibri"/>
                <w:b/>
                <w:bCs/>
                <w:color w:val="000000"/>
                <w:sz w:val="20"/>
                <w:szCs w:val="20"/>
              </w:rPr>
              <w:t>(fully fortify)</w:t>
            </w:r>
          </w:p>
        </w:tc>
        <w:tc>
          <w:tcPr>
            <w:tcW w:w="310" w:type="pct"/>
            <w:vAlign w:val="center"/>
          </w:tcPr>
          <w:p w14:paraId="005C699D"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310" w:type="pct"/>
            <w:vAlign w:val="center"/>
          </w:tcPr>
          <w:p w14:paraId="744C553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310" w:type="pct"/>
            <w:vAlign w:val="center"/>
          </w:tcPr>
          <w:p w14:paraId="2F6F27FB"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310" w:type="pct"/>
            <w:vAlign w:val="center"/>
          </w:tcPr>
          <w:p w14:paraId="565DA52B"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310" w:type="pct"/>
            <w:vAlign w:val="center"/>
          </w:tcPr>
          <w:p w14:paraId="61964C6B"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310" w:type="pct"/>
            <w:vAlign w:val="center"/>
          </w:tcPr>
          <w:p w14:paraId="5DFE90FE"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310" w:type="pct"/>
            <w:vAlign w:val="center"/>
          </w:tcPr>
          <w:p w14:paraId="0A0D3E3D"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310" w:type="pct"/>
            <w:vAlign w:val="center"/>
          </w:tcPr>
          <w:p w14:paraId="39195518"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310" w:type="pct"/>
            <w:vAlign w:val="center"/>
          </w:tcPr>
          <w:p w14:paraId="1BE256A2"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310" w:type="pct"/>
            <w:vAlign w:val="center"/>
          </w:tcPr>
          <w:p w14:paraId="55224151"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310" w:type="pct"/>
            <w:vAlign w:val="center"/>
          </w:tcPr>
          <w:p w14:paraId="1E30B0AC"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310" w:type="pct"/>
            <w:vAlign w:val="center"/>
          </w:tcPr>
          <w:p w14:paraId="4CF66DB5"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676" w:type="pct"/>
            <w:shd w:val="clear" w:color="auto" w:fill="F2F2F2"/>
            <w:vAlign w:val="center"/>
          </w:tcPr>
          <w:p w14:paraId="24DB8D93" w14:textId="77777777" w:rsidR="00614348" w:rsidRPr="00535EF4" w:rsidRDefault="00614348"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162-190</w:t>
            </w:r>
          </w:p>
        </w:tc>
      </w:tr>
    </w:tbl>
    <w:p w14:paraId="4012CC26"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sectPr w:rsidR="00535EF4" w:rsidRPr="00535EF4" w:rsidSect="005D31B5">
          <w:pgSz w:w="11906" w:h="16838" w:code="9"/>
          <w:pgMar w:top="1440" w:right="1440" w:bottom="1440" w:left="1440" w:header="357" w:footer="306" w:gutter="0"/>
          <w:cols w:space="708"/>
          <w:docGrid w:linePitch="360"/>
        </w:sectPr>
      </w:pPr>
    </w:p>
    <w:p w14:paraId="14D6B722"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578"/>
        <w:gridCol w:w="579"/>
        <w:gridCol w:w="579"/>
        <w:gridCol w:w="579"/>
        <w:gridCol w:w="579"/>
        <w:gridCol w:w="579"/>
        <w:gridCol w:w="578"/>
        <w:gridCol w:w="579"/>
        <w:gridCol w:w="579"/>
        <w:gridCol w:w="579"/>
        <w:gridCol w:w="579"/>
        <w:gridCol w:w="579"/>
        <w:gridCol w:w="1281"/>
      </w:tblGrid>
      <w:tr w:rsidR="00535EF4" w:rsidRPr="00535EF4" w14:paraId="01DD2904" w14:textId="77777777" w:rsidTr="00E26385">
        <w:trPr>
          <w:trHeight w:val="194"/>
          <w:jc w:val="center"/>
        </w:trPr>
        <w:tc>
          <w:tcPr>
            <w:tcW w:w="9356" w:type="dxa"/>
            <w:gridSpan w:val="14"/>
            <w:shd w:val="clear" w:color="auto" w:fill="FFCC00"/>
          </w:tcPr>
          <w:p w14:paraId="0C3C56DE" w14:textId="77777777" w:rsidR="00535EF4" w:rsidRPr="00535EF4" w:rsidRDefault="00535EF4" w:rsidP="00535EF4">
            <w:pPr>
              <w:autoSpaceDE w:val="0"/>
              <w:autoSpaceDN w:val="0"/>
              <w:adjustRightInd w:val="0"/>
              <w:spacing w:before="0" w:after="0" w:line="240" w:lineRule="auto"/>
              <w:jc w:val="center"/>
              <w:rPr>
                <w:rFonts w:ascii="Calibri" w:eastAsia="Times New Roman" w:hAnsi="Calibri" w:cs="Calibri"/>
                <w:b/>
                <w:bCs/>
                <w:color w:val="000000"/>
                <w:sz w:val="32"/>
                <w:szCs w:val="32"/>
              </w:rPr>
            </w:pPr>
            <w:r w:rsidRPr="00535EF4">
              <w:rPr>
                <w:rFonts w:ascii="Calibri" w:eastAsia="Times New Roman" w:hAnsi="Calibri" w:cs="Calibri"/>
                <w:b/>
                <w:bCs/>
                <w:color w:val="000000"/>
                <w:sz w:val="32"/>
                <w:szCs w:val="32"/>
              </w:rPr>
              <w:t>PROTOCOL 4 - 700-799g</w:t>
            </w:r>
          </w:p>
        </w:tc>
      </w:tr>
      <w:tr w:rsidR="005D31B5" w:rsidRPr="00535EF4" w14:paraId="76339D8B" w14:textId="77777777" w:rsidTr="003E5038">
        <w:trPr>
          <w:trHeight w:val="194"/>
          <w:jc w:val="center"/>
        </w:trPr>
        <w:tc>
          <w:tcPr>
            <w:tcW w:w="1129" w:type="dxa"/>
            <w:vMerge w:val="restart"/>
            <w:shd w:val="clear" w:color="auto" w:fill="C2D69B"/>
            <w:vAlign w:val="center"/>
          </w:tcPr>
          <w:p w14:paraId="1C7B31EE" w14:textId="77777777" w:rsidR="00535EF4" w:rsidRPr="00535EF4" w:rsidRDefault="00535EF4" w:rsidP="00535EF4">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FEED DAY</w:t>
            </w:r>
          </w:p>
        </w:tc>
        <w:tc>
          <w:tcPr>
            <w:tcW w:w="8227" w:type="dxa"/>
            <w:gridSpan w:val="13"/>
            <w:shd w:val="clear" w:color="auto" w:fill="FBD4B4"/>
            <w:vAlign w:val="center"/>
          </w:tcPr>
          <w:p w14:paraId="3D374923" w14:textId="77777777" w:rsidR="00535EF4" w:rsidRPr="00535EF4" w:rsidRDefault="00535EF4" w:rsidP="00535EF4">
            <w:pPr>
              <w:spacing w:before="0" w:after="0" w:line="240" w:lineRule="auto"/>
              <w:rPr>
                <w:rFonts w:ascii="Calibri" w:eastAsia="Times New Roman" w:hAnsi="Calibri" w:cs="Times New Roman"/>
                <w:b/>
                <w:bCs/>
                <w:color w:val="auto"/>
                <w:lang w:eastAsia="en-US"/>
              </w:rPr>
            </w:pPr>
            <w:r w:rsidRPr="00535EF4">
              <w:rPr>
                <w:rFonts w:ascii="Calibri" w:eastAsia="Times New Roman" w:hAnsi="Calibri" w:cs="Times New Roman"/>
                <w:b/>
                <w:bCs/>
                <w:color w:val="auto"/>
                <w:lang w:eastAsia="en-US"/>
              </w:rPr>
              <w:t xml:space="preserve">FEED NUMBER and </w:t>
            </w:r>
            <w:r w:rsidRPr="00535EF4">
              <w:rPr>
                <w:rFonts w:ascii="Calibri" w:eastAsia="Times New Roman" w:hAnsi="Calibri" w:cs="Times New Roman"/>
                <w:b/>
                <w:bCs/>
                <w:color w:val="C00000"/>
                <w:lang w:eastAsia="en-US"/>
              </w:rPr>
              <w:t xml:space="preserve">VOLUME (ml) </w:t>
            </w:r>
            <w:r w:rsidRPr="00535EF4">
              <w:rPr>
                <w:rFonts w:ascii="Calibri" w:eastAsia="Times New Roman" w:hAnsi="Calibri" w:cs="Times New Roman"/>
                <w:b/>
                <w:bCs/>
                <w:color w:val="auto"/>
                <w:szCs w:val="20"/>
                <w:lang w:eastAsia="en-US"/>
              </w:rPr>
              <w:t>2</w:t>
            </w:r>
            <w:r w:rsidRPr="00535EF4">
              <w:rPr>
                <w:rFonts w:ascii="Calibri" w:eastAsia="Times New Roman" w:hAnsi="Calibri" w:cs="Times New Roman"/>
                <w:b/>
                <w:bCs/>
                <w:color w:val="auto"/>
                <w:szCs w:val="20"/>
                <w:vertAlign w:val="superscript"/>
                <w:lang w:eastAsia="en-US"/>
              </w:rPr>
              <w:t>nd</w:t>
            </w:r>
            <w:r w:rsidRPr="00535EF4">
              <w:rPr>
                <w:rFonts w:ascii="Calibri" w:eastAsia="Times New Roman" w:hAnsi="Calibri" w:cs="Times New Roman"/>
                <w:b/>
                <w:bCs/>
                <w:color w:val="auto"/>
                <w:szCs w:val="20"/>
                <w:lang w:eastAsia="en-US"/>
              </w:rPr>
              <w:t xml:space="preserve"> HOURLY FEEDS</w:t>
            </w:r>
            <w:r w:rsidRPr="00535EF4">
              <w:rPr>
                <w:rFonts w:ascii="Calibri" w:eastAsia="Times New Roman" w:hAnsi="Calibri" w:cs="Calibri"/>
                <w:b/>
                <w:bCs/>
                <w:color w:val="auto"/>
                <w:szCs w:val="20"/>
                <w:lang w:eastAsia="en-US"/>
              </w:rPr>
              <w:t xml:space="preserve"> </w:t>
            </w:r>
          </w:p>
          <w:p w14:paraId="0CFD8DBF" w14:textId="77777777" w:rsidR="00535EF4" w:rsidRPr="00535EF4" w:rsidRDefault="00535EF4" w:rsidP="00535EF4">
            <w:pPr>
              <w:autoSpaceDE w:val="0"/>
              <w:autoSpaceDN w:val="0"/>
              <w:adjustRightInd w:val="0"/>
              <w:spacing w:before="0" w:after="0" w:line="240" w:lineRule="auto"/>
              <w:rPr>
                <w:rFonts w:ascii="Calibri" w:eastAsia="Times New Roman" w:hAnsi="Calibri" w:cs="Calibri"/>
                <w:b/>
                <w:bCs/>
                <w:color w:val="000000"/>
                <w:sz w:val="32"/>
                <w:szCs w:val="32"/>
              </w:rPr>
            </w:pPr>
            <w:r w:rsidRPr="00535EF4">
              <w:rPr>
                <w:rFonts w:ascii="Calibri" w:eastAsia="Times New Roman" w:hAnsi="Calibri" w:cs="Calibri"/>
                <w:b/>
                <w:bCs/>
                <w:color w:val="000000"/>
              </w:rPr>
              <w:t>*Cease grading once a volume of 160mL/kg/d is reached</w:t>
            </w:r>
          </w:p>
        </w:tc>
      </w:tr>
      <w:tr w:rsidR="00796DA5" w:rsidRPr="00535EF4" w14:paraId="292DC211" w14:textId="77777777" w:rsidTr="003E5038">
        <w:trPr>
          <w:trHeight w:val="194"/>
          <w:jc w:val="center"/>
        </w:trPr>
        <w:tc>
          <w:tcPr>
            <w:tcW w:w="1129" w:type="dxa"/>
            <w:vMerge/>
            <w:shd w:val="clear" w:color="auto" w:fill="C2D69B"/>
            <w:vAlign w:val="center"/>
          </w:tcPr>
          <w:p w14:paraId="352FD070"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p>
        </w:tc>
        <w:tc>
          <w:tcPr>
            <w:tcW w:w="578" w:type="dxa"/>
            <w:shd w:val="clear" w:color="auto" w:fill="FBD4B4"/>
            <w:vAlign w:val="center"/>
          </w:tcPr>
          <w:p w14:paraId="065C24BE"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579" w:type="dxa"/>
            <w:shd w:val="clear" w:color="auto" w:fill="FBD4B4"/>
            <w:vAlign w:val="center"/>
          </w:tcPr>
          <w:p w14:paraId="17FA4E83"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579" w:type="dxa"/>
            <w:shd w:val="clear" w:color="auto" w:fill="FBD4B4"/>
            <w:vAlign w:val="center"/>
          </w:tcPr>
          <w:p w14:paraId="78A2C7FC"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w:t>
            </w:r>
          </w:p>
        </w:tc>
        <w:tc>
          <w:tcPr>
            <w:tcW w:w="579" w:type="dxa"/>
            <w:shd w:val="clear" w:color="auto" w:fill="FBD4B4"/>
            <w:vAlign w:val="center"/>
          </w:tcPr>
          <w:p w14:paraId="17DF0AEE"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w:t>
            </w:r>
          </w:p>
        </w:tc>
        <w:tc>
          <w:tcPr>
            <w:tcW w:w="579" w:type="dxa"/>
            <w:shd w:val="clear" w:color="auto" w:fill="FBD4B4"/>
            <w:vAlign w:val="center"/>
          </w:tcPr>
          <w:p w14:paraId="62B3140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5</w:t>
            </w:r>
          </w:p>
        </w:tc>
        <w:tc>
          <w:tcPr>
            <w:tcW w:w="579" w:type="dxa"/>
            <w:shd w:val="clear" w:color="auto" w:fill="FBD4B4"/>
            <w:vAlign w:val="center"/>
          </w:tcPr>
          <w:p w14:paraId="0B13C93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6</w:t>
            </w:r>
          </w:p>
        </w:tc>
        <w:tc>
          <w:tcPr>
            <w:tcW w:w="578" w:type="dxa"/>
            <w:shd w:val="clear" w:color="auto" w:fill="FBD4B4"/>
            <w:vAlign w:val="center"/>
          </w:tcPr>
          <w:p w14:paraId="111A8B03"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7</w:t>
            </w:r>
          </w:p>
        </w:tc>
        <w:tc>
          <w:tcPr>
            <w:tcW w:w="579" w:type="dxa"/>
            <w:shd w:val="clear" w:color="auto" w:fill="FBD4B4"/>
            <w:vAlign w:val="center"/>
          </w:tcPr>
          <w:p w14:paraId="4253B1A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8</w:t>
            </w:r>
          </w:p>
        </w:tc>
        <w:tc>
          <w:tcPr>
            <w:tcW w:w="579" w:type="dxa"/>
            <w:shd w:val="clear" w:color="auto" w:fill="FBD4B4"/>
            <w:vAlign w:val="center"/>
          </w:tcPr>
          <w:p w14:paraId="1FD2488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9</w:t>
            </w:r>
          </w:p>
        </w:tc>
        <w:tc>
          <w:tcPr>
            <w:tcW w:w="579" w:type="dxa"/>
            <w:shd w:val="clear" w:color="auto" w:fill="FBD4B4"/>
            <w:vAlign w:val="center"/>
          </w:tcPr>
          <w:p w14:paraId="6135311E"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10</w:t>
            </w:r>
          </w:p>
        </w:tc>
        <w:tc>
          <w:tcPr>
            <w:tcW w:w="579" w:type="dxa"/>
            <w:shd w:val="clear" w:color="auto" w:fill="FBD4B4"/>
            <w:vAlign w:val="center"/>
          </w:tcPr>
          <w:p w14:paraId="50AA301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11</w:t>
            </w:r>
          </w:p>
        </w:tc>
        <w:tc>
          <w:tcPr>
            <w:tcW w:w="579" w:type="dxa"/>
            <w:shd w:val="clear" w:color="auto" w:fill="FBD4B4"/>
            <w:vAlign w:val="center"/>
          </w:tcPr>
          <w:p w14:paraId="2C03437D"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12</w:t>
            </w:r>
          </w:p>
        </w:tc>
        <w:tc>
          <w:tcPr>
            <w:tcW w:w="1281" w:type="dxa"/>
            <w:shd w:val="clear" w:color="auto" w:fill="BFBFBF"/>
            <w:vAlign w:val="center"/>
          </w:tcPr>
          <w:p w14:paraId="14E5DC4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color w:val="000000"/>
                <w:sz w:val="20"/>
                <w:szCs w:val="20"/>
              </w:rPr>
            </w:pPr>
            <w:r w:rsidRPr="00535EF4">
              <w:rPr>
                <w:rFonts w:ascii="Calibri" w:eastAsia="Times New Roman" w:hAnsi="Calibri" w:cs="Calibri"/>
                <w:b/>
                <w:color w:val="000000"/>
                <w:sz w:val="20"/>
                <w:szCs w:val="20"/>
              </w:rPr>
              <w:t>TFI@ feed12</w:t>
            </w:r>
          </w:p>
          <w:p w14:paraId="514041EB"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color w:val="000000"/>
                <w:sz w:val="20"/>
                <w:szCs w:val="20"/>
              </w:rPr>
            </w:pPr>
            <w:r w:rsidRPr="00535EF4">
              <w:rPr>
                <w:rFonts w:ascii="Calibri" w:eastAsia="Times New Roman" w:hAnsi="Calibri" w:cs="Calibri"/>
                <w:b/>
                <w:color w:val="000000"/>
                <w:sz w:val="20"/>
                <w:szCs w:val="20"/>
              </w:rPr>
              <w:t>(mL/kg/d)</w:t>
            </w:r>
          </w:p>
        </w:tc>
      </w:tr>
      <w:tr w:rsidR="00796DA5" w:rsidRPr="00535EF4" w14:paraId="092A3FEF" w14:textId="77777777" w:rsidTr="003E5038">
        <w:trPr>
          <w:trHeight w:val="160"/>
          <w:jc w:val="center"/>
        </w:trPr>
        <w:tc>
          <w:tcPr>
            <w:tcW w:w="1129" w:type="dxa"/>
            <w:shd w:val="clear" w:color="auto" w:fill="C2D69B"/>
            <w:vAlign w:val="center"/>
          </w:tcPr>
          <w:p w14:paraId="5B7ADD0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578" w:type="dxa"/>
            <w:vAlign w:val="center"/>
          </w:tcPr>
          <w:p w14:paraId="137DD04D"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79" w:type="dxa"/>
            <w:vAlign w:val="center"/>
          </w:tcPr>
          <w:p w14:paraId="5CACD863"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79" w:type="dxa"/>
            <w:vAlign w:val="center"/>
          </w:tcPr>
          <w:p w14:paraId="6DF6339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79" w:type="dxa"/>
            <w:vAlign w:val="center"/>
          </w:tcPr>
          <w:p w14:paraId="1925273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79" w:type="dxa"/>
            <w:vAlign w:val="center"/>
          </w:tcPr>
          <w:p w14:paraId="415DD48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79" w:type="dxa"/>
            <w:vAlign w:val="center"/>
          </w:tcPr>
          <w:p w14:paraId="47AF025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78" w:type="dxa"/>
            <w:vAlign w:val="center"/>
          </w:tcPr>
          <w:p w14:paraId="1FF92EB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1.5</w:t>
            </w:r>
          </w:p>
        </w:tc>
        <w:tc>
          <w:tcPr>
            <w:tcW w:w="579" w:type="dxa"/>
            <w:vAlign w:val="center"/>
          </w:tcPr>
          <w:p w14:paraId="35816F3B"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1.5</w:t>
            </w:r>
          </w:p>
        </w:tc>
        <w:tc>
          <w:tcPr>
            <w:tcW w:w="579" w:type="dxa"/>
            <w:vAlign w:val="center"/>
          </w:tcPr>
          <w:p w14:paraId="4194FAFB"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1.5</w:t>
            </w:r>
          </w:p>
        </w:tc>
        <w:tc>
          <w:tcPr>
            <w:tcW w:w="579" w:type="dxa"/>
            <w:vAlign w:val="center"/>
          </w:tcPr>
          <w:p w14:paraId="0B6D532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1.5</w:t>
            </w:r>
          </w:p>
        </w:tc>
        <w:tc>
          <w:tcPr>
            <w:tcW w:w="579" w:type="dxa"/>
            <w:vAlign w:val="center"/>
          </w:tcPr>
          <w:p w14:paraId="7C1B4B6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1.5</w:t>
            </w:r>
          </w:p>
        </w:tc>
        <w:tc>
          <w:tcPr>
            <w:tcW w:w="579" w:type="dxa"/>
            <w:vAlign w:val="center"/>
          </w:tcPr>
          <w:p w14:paraId="3E2827D3"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1.5</w:t>
            </w:r>
          </w:p>
        </w:tc>
        <w:tc>
          <w:tcPr>
            <w:tcW w:w="1281" w:type="dxa"/>
            <w:shd w:val="clear" w:color="auto" w:fill="F2F2F2"/>
            <w:vAlign w:val="center"/>
          </w:tcPr>
          <w:p w14:paraId="1F7FE96A"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22-25</w:t>
            </w:r>
          </w:p>
        </w:tc>
      </w:tr>
      <w:tr w:rsidR="00796DA5" w:rsidRPr="00535EF4" w14:paraId="3FA75D88" w14:textId="77777777" w:rsidTr="003E5038">
        <w:trPr>
          <w:trHeight w:val="160"/>
          <w:jc w:val="center"/>
        </w:trPr>
        <w:tc>
          <w:tcPr>
            <w:tcW w:w="1129" w:type="dxa"/>
            <w:shd w:val="clear" w:color="auto" w:fill="C2D69B"/>
            <w:vAlign w:val="center"/>
          </w:tcPr>
          <w:p w14:paraId="34E35EAF"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578" w:type="dxa"/>
            <w:vAlign w:val="center"/>
          </w:tcPr>
          <w:p w14:paraId="11B4358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579" w:type="dxa"/>
            <w:vAlign w:val="center"/>
          </w:tcPr>
          <w:p w14:paraId="4975EFE8"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579" w:type="dxa"/>
            <w:vAlign w:val="center"/>
          </w:tcPr>
          <w:p w14:paraId="4C8160C9"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579" w:type="dxa"/>
            <w:vAlign w:val="center"/>
          </w:tcPr>
          <w:p w14:paraId="1A6AE02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579" w:type="dxa"/>
            <w:vAlign w:val="center"/>
          </w:tcPr>
          <w:p w14:paraId="1125150D"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579" w:type="dxa"/>
            <w:vAlign w:val="center"/>
          </w:tcPr>
          <w:p w14:paraId="56A55D00"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2.5</w:t>
            </w:r>
          </w:p>
        </w:tc>
        <w:tc>
          <w:tcPr>
            <w:tcW w:w="578" w:type="dxa"/>
            <w:vAlign w:val="center"/>
          </w:tcPr>
          <w:p w14:paraId="20EDBB9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79" w:type="dxa"/>
            <w:vAlign w:val="center"/>
          </w:tcPr>
          <w:p w14:paraId="5B417919"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79" w:type="dxa"/>
            <w:vAlign w:val="center"/>
          </w:tcPr>
          <w:p w14:paraId="79CFA299"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79" w:type="dxa"/>
            <w:vAlign w:val="center"/>
          </w:tcPr>
          <w:p w14:paraId="2D9DC4B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79" w:type="dxa"/>
            <w:vAlign w:val="center"/>
          </w:tcPr>
          <w:p w14:paraId="1890612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79" w:type="dxa"/>
            <w:vAlign w:val="center"/>
          </w:tcPr>
          <w:p w14:paraId="75EB98E9"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1281" w:type="dxa"/>
            <w:shd w:val="clear" w:color="auto" w:fill="F2F2F2"/>
            <w:vAlign w:val="center"/>
          </w:tcPr>
          <w:p w14:paraId="05FC6B2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52-60</w:t>
            </w:r>
          </w:p>
        </w:tc>
      </w:tr>
      <w:tr w:rsidR="00796DA5" w:rsidRPr="00535EF4" w14:paraId="0A023C81" w14:textId="77777777" w:rsidTr="003E5038">
        <w:trPr>
          <w:trHeight w:val="160"/>
          <w:jc w:val="center"/>
        </w:trPr>
        <w:tc>
          <w:tcPr>
            <w:tcW w:w="1129" w:type="dxa"/>
            <w:shd w:val="clear" w:color="auto" w:fill="C2D69B"/>
            <w:vAlign w:val="center"/>
          </w:tcPr>
          <w:p w14:paraId="12BC0440"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 (</w:t>
            </w:r>
            <w:r w:rsidRPr="00535EF4">
              <w:rPr>
                <w:rFonts w:ascii="Calibri" w:eastAsia="Times New Roman" w:hAnsi="Calibri" w:cs="Calibri"/>
                <w:b/>
                <w:bCs/>
                <w:color w:val="000000"/>
                <w:sz w:val="20"/>
                <w:szCs w:val="20"/>
              </w:rPr>
              <w:t>half Fortify)</w:t>
            </w:r>
          </w:p>
        </w:tc>
        <w:tc>
          <w:tcPr>
            <w:tcW w:w="578" w:type="dxa"/>
            <w:vAlign w:val="center"/>
          </w:tcPr>
          <w:p w14:paraId="51FBB68F"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79" w:type="dxa"/>
            <w:vAlign w:val="center"/>
          </w:tcPr>
          <w:p w14:paraId="4097655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79" w:type="dxa"/>
            <w:vAlign w:val="center"/>
          </w:tcPr>
          <w:p w14:paraId="0B1788D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79" w:type="dxa"/>
            <w:vAlign w:val="center"/>
          </w:tcPr>
          <w:p w14:paraId="20E91F22"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79" w:type="dxa"/>
            <w:vAlign w:val="center"/>
          </w:tcPr>
          <w:p w14:paraId="2A5C275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79" w:type="dxa"/>
            <w:vAlign w:val="center"/>
          </w:tcPr>
          <w:p w14:paraId="2C5DA26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78" w:type="dxa"/>
            <w:vAlign w:val="center"/>
          </w:tcPr>
          <w:p w14:paraId="1F2BF793"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79" w:type="dxa"/>
            <w:vAlign w:val="center"/>
          </w:tcPr>
          <w:p w14:paraId="74C5980B"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79" w:type="dxa"/>
            <w:vAlign w:val="center"/>
          </w:tcPr>
          <w:p w14:paraId="5B66CF70"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79" w:type="dxa"/>
            <w:vAlign w:val="center"/>
          </w:tcPr>
          <w:p w14:paraId="1230D5D4"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79" w:type="dxa"/>
            <w:vAlign w:val="center"/>
          </w:tcPr>
          <w:p w14:paraId="7687ED32"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79" w:type="dxa"/>
            <w:vAlign w:val="center"/>
          </w:tcPr>
          <w:p w14:paraId="57A3866E"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1281" w:type="dxa"/>
            <w:shd w:val="clear" w:color="auto" w:fill="F2F2F2"/>
            <w:vAlign w:val="center"/>
          </w:tcPr>
          <w:p w14:paraId="57023042"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82-94</w:t>
            </w:r>
          </w:p>
        </w:tc>
      </w:tr>
      <w:tr w:rsidR="00796DA5" w:rsidRPr="00535EF4" w14:paraId="1EA1F2A9" w14:textId="77777777" w:rsidTr="003E5038">
        <w:trPr>
          <w:trHeight w:val="160"/>
          <w:jc w:val="center"/>
        </w:trPr>
        <w:tc>
          <w:tcPr>
            <w:tcW w:w="1129" w:type="dxa"/>
            <w:shd w:val="clear" w:color="auto" w:fill="C2D69B"/>
            <w:vAlign w:val="center"/>
          </w:tcPr>
          <w:p w14:paraId="12D7E34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 (</w:t>
            </w:r>
            <w:r w:rsidRPr="00535EF4">
              <w:rPr>
                <w:rFonts w:ascii="Calibri" w:eastAsia="Times New Roman" w:hAnsi="Calibri" w:cs="Calibri"/>
                <w:b/>
                <w:bCs/>
                <w:color w:val="000000"/>
                <w:sz w:val="20"/>
                <w:szCs w:val="20"/>
              </w:rPr>
              <w:t>half Fortify)</w:t>
            </w:r>
          </w:p>
        </w:tc>
        <w:tc>
          <w:tcPr>
            <w:tcW w:w="578" w:type="dxa"/>
            <w:vAlign w:val="center"/>
          </w:tcPr>
          <w:p w14:paraId="7F35E58A"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579" w:type="dxa"/>
            <w:vAlign w:val="center"/>
          </w:tcPr>
          <w:p w14:paraId="51B3D06C"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579" w:type="dxa"/>
            <w:vAlign w:val="center"/>
          </w:tcPr>
          <w:p w14:paraId="7A4FB1A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579" w:type="dxa"/>
            <w:vAlign w:val="center"/>
          </w:tcPr>
          <w:p w14:paraId="5E5F152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579" w:type="dxa"/>
            <w:vAlign w:val="center"/>
          </w:tcPr>
          <w:p w14:paraId="00BB701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579" w:type="dxa"/>
            <w:vAlign w:val="center"/>
          </w:tcPr>
          <w:p w14:paraId="31C79339"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6.5</w:t>
            </w:r>
          </w:p>
        </w:tc>
        <w:tc>
          <w:tcPr>
            <w:tcW w:w="578" w:type="dxa"/>
            <w:vAlign w:val="center"/>
          </w:tcPr>
          <w:p w14:paraId="5067B10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579" w:type="dxa"/>
            <w:vAlign w:val="center"/>
          </w:tcPr>
          <w:p w14:paraId="34FF04D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579" w:type="dxa"/>
            <w:vAlign w:val="center"/>
          </w:tcPr>
          <w:p w14:paraId="3668889D"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579" w:type="dxa"/>
            <w:vAlign w:val="center"/>
          </w:tcPr>
          <w:p w14:paraId="634DBBD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579" w:type="dxa"/>
            <w:vAlign w:val="center"/>
          </w:tcPr>
          <w:p w14:paraId="382BE18D"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579" w:type="dxa"/>
            <w:vAlign w:val="center"/>
          </w:tcPr>
          <w:p w14:paraId="0678ABC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7.5</w:t>
            </w:r>
          </w:p>
        </w:tc>
        <w:tc>
          <w:tcPr>
            <w:tcW w:w="1281" w:type="dxa"/>
            <w:shd w:val="clear" w:color="auto" w:fill="F2F2F2"/>
            <w:vAlign w:val="center"/>
          </w:tcPr>
          <w:p w14:paraId="09550B5F"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112-128</w:t>
            </w:r>
          </w:p>
        </w:tc>
      </w:tr>
      <w:tr w:rsidR="00796DA5" w:rsidRPr="00535EF4" w14:paraId="2474BE6D" w14:textId="77777777" w:rsidTr="003E5038">
        <w:trPr>
          <w:trHeight w:val="160"/>
          <w:jc w:val="center"/>
        </w:trPr>
        <w:tc>
          <w:tcPr>
            <w:tcW w:w="1129" w:type="dxa"/>
            <w:shd w:val="clear" w:color="auto" w:fill="C2D69B"/>
            <w:vAlign w:val="center"/>
          </w:tcPr>
          <w:p w14:paraId="45E70B3F"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 xml:space="preserve">5 </w:t>
            </w:r>
            <w:r w:rsidRPr="00535EF4">
              <w:rPr>
                <w:rFonts w:ascii="Calibri" w:eastAsia="Times New Roman" w:hAnsi="Calibri" w:cs="Calibri"/>
                <w:b/>
                <w:bCs/>
                <w:color w:val="000000"/>
                <w:sz w:val="20"/>
                <w:szCs w:val="20"/>
              </w:rPr>
              <w:t>(fully fortify)</w:t>
            </w:r>
          </w:p>
        </w:tc>
        <w:tc>
          <w:tcPr>
            <w:tcW w:w="578" w:type="dxa"/>
            <w:vAlign w:val="center"/>
          </w:tcPr>
          <w:p w14:paraId="4BA73F29"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79" w:type="dxa"/>
            <w:vAlign w:val="center"/>
          </w:tcPr>
          <w:p w14:paraId="6A2EE87A"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79" w:type="dxa"/>
            <w:vAlign w:val="center"/>
          </w:tcPr>
          <w:p w14:paraId="24996F5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79" w:type="dxa"/>
            <w:vAlign w:val="center"/>
          </w:tcPr>
          <w:p w14:paraId="2D50CFA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79" w:type="dxa"/>
            <w:vAlign w:val="center"/>
          </w:tcPr>
          <w:p w14:paraId="103AB68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79" w:type="dxa"/>
            <w:vAlign w:val="center"/>
          </w:tcPr>
          <w:p w14:paraId="3778F46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78" w:type="dxa"/>
            <w:vAlign w:val="center"/>
          </w:tcPr>
          <w:p w14:paraId="364485A2"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579" w:type="dxa"/>
            <w:vAlign w:val="center"/>
          </w:tcPr>
          <w:p w14:paraId="7DC7618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579" w:type="dxa"/>
            <w:vAlign w:val="center"/>
          </w:tcPr>
          <w:p w14:paraId="64F480E8"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579" w:type="dxa"/>
            <w:vAlign w:val="center"/>
          </w:tcPr>
          <w:p w14:paraId="1302259E"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579" w:type="dxa"/>
            <w:vAlign w:val="center"/>
          </w:tcPr>
          <w:p w14:paraId="5469D000"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579" w:type="dxa"/>
            <w:vAlign w:val="center"/>
          </w:tcPr>
          <w:p w14:paraId="7A5D734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9.5</w:t>
            </w:r>
          </w:p>
        </w:tc>
        <w:tc>
          <w:tcPr>
            <w:tcW w:w="1281" w:type="dxa"/>
            <w:shd w:val="clear" w:color="auto" w:fill="F2F2F2"/>
            <w:vAlign w:val="center"/>
          </w:tcPr>
          <w:p w14:paraId="51617FE8"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142-162</w:t>
            </w:r>
          </w:p>
        </w:tc>
      </w:tr>
      <w:tr w:rsidR="00796DA5" w:rsidRPr="00535EF4" w14:paraId="0758D006" w14:textId="77777777" w:rsidTr="003E5038">
        <w:trPr>
          <w:trHeight w:val="160"/>
          <w:jc w:val="center"/>
        </w:trPr>
        <w:tc>
          <w:tcPr>
            <w:tcW w:w="1129" w:type="dxa"/>
            <w:shd w:val="clear" w:color="auto" w:fill="C2D69B"/>
            <w:vAlign w:val="center"/>
          </w:tcPr>
          <w:p w14:paraId="2DBA189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6</w:t>
            </w:r>
          </w:p>
        </w:tc>
        <w:tc>
          <w:tcPr>
            <w:tcW w:w="578" w:type="dxa"/>
            <w:vAlign w:val="center"/>
          </w:tcPr>
          <w:p w14:paraId="574E2D2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10.5</w:t>
            </w:r>
          </w:p>
        </w:tc>
        <w:tc>
          <w:tcPr>
            <w:tcW w:w="579" w:type="dxa"/>
            <w:vAlign w:val="center"/>
          </w:tcPr>
          <w:p w14:paraId="6D26F1E7"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10.5</w:t>
            </w:r>
          </w:p>
        </w:tc>
        <w:tc>
          <w:tcPr>
            <w:tcW w:w="579" w:type="dxa"/>
            <w:vAlign w:val="center"/>
          </w:tcPr>
          <w:p w14:paraId="0A1B28BA"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10.5</w:t>
            </w:r>
          </w:p>
        </w:tc>
        <w:tc>
          <w:tcPr>
            <w:tcW w:w="579" w:type="dxa"/>
            <w:vAlign w:val="center"/>
          </w:tcPr>
          <w:p w14:paraId="4EF61A2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10.5</w:t>
            </w:r>
          </w:p>
        </w:tc>
        <w:tc>
          <w:tcPr>
            <w:tcW w:w="579" w:type="dxa"/>
            <w:vAlign w:val="center"/>
          </w:tcPr>
          <w:p w14:paraId="5255EE9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10.5</w:t>
            </w:r>
          </w:p>
        </w:tc>
        <w:tc>
          <w:tcPr>
            <w:tcW w:w="579" w:type="dxa"/>
            <w:vAlign w:val="center"/>
          </w:tcPr>
          <w:p w14:paraId="45AEAE9C"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10.5</w:t>
            </w:r>
          </w:p>
        </w:tc>
        <w:tc>
          <w:tcPr>
            <w:tcW w:w="578" w:type="dxa"/>
            <w:vAlign w:val="center"/>
          </w:tcPr>
          <w:p w14:paraId="596D606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9" w:type="dxa"/>
            <w:vAlign w:val="center"/>
          </w:tcPr>
          <w:p w14:paraId="54181F1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9" w:type="dxa"/>
            <w:vAlign w:val="center"/>
          </w:tcPr>
          <w:p w14:paraId="3C6CAC3D"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9" w:type="dxa"/>
            <w:vAlign w:val="center"/>
          </w:tcPr>
          <w:p w14:paraId="30186A91"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9" w:type="dxa"/>
            <w:vAlign w:val="center"/>
          </w:tcPr>
          <w:p w14:paraId="33BCFE50"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9" w:type="dxa"/>
            <w:vAlign w:val="center"/>
          </w:tcPr>
          <w:p w14:paraId="74752165"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1281" w:type="dxa"/>
            <w:shd w:val="clear" w:color="auto" w:fill="F2F2F2"/>
            <w:vAlign w:val="center"/>
          </w:tcPr>
          <w:p w14:paraId="27F89AD6" w14:textId="77777777" w:rsidR="00796DA5" w:rsidRPr="00535EF4" w:rsidRDefault="00796DA5" w:rsidP="00535EF4">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165-188</w:t>
            </w:r>
          </w:p>
        </w:tc>
      </w:tr>
    </w:tbl>
    <w:p w14:paraId="75312635"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p w14:paraId="7993A9A6"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567"/>
        <w:gridCol w:w="567"/>
        <w:gridCol w:w="567"/>
        <w:gridCol w:w="567"/>
        <w:gridCol w:w="567"/>
        <w:gridCol w:w="567"/>
        <w:gridCol w:w="567"/>
        <w:gridCol w:w="567"/>
        <w:gridCol w:w="567"/>
        <w:gridCol w:w="567"/>
        <w:gridCol w:w="567"/>
        <w:gridCol w:w="567"/>
        <w:gridCol w:w="1418"/>
        <w:tblGridChange w:id="75">
          <w:tblGrid>
            <w:gridCol w:w="1129"/>
            <w:gridCol w:w="567"/>
            <w:gridCol w:w="567"/>
            <w:gridCol w:w="567"/>
            <w:gridCol w:w="567"/>
            <w:gridCol w:w="567"/>
            <w:gridCol w:w="567"/>
            <w:gridCol w:w="567"/>
            <w:gridCol w:w="567"/>
            <w:gridCol w:w="567"/>
            <w:gridCol w:w="567"/>
            <w:gridCol w:w="567"/>
            <w:gridCol w:w="567"/>
            <w:gridCol w:w="1418"/>
          </w:tblGrid>
        </w:tblGridChange>
      </w:tblGrid>
      <w:tr w:rsidR="004767DD" w:rsidRPr="00535EF4" w14:paraId="587DB9BD" w14:textId="77777777" w:rsidTr="001A54D9">
        <w:trPr>
          <w:trHeight w:val="278"/>
          <w:jc w:val="center"/>
        </w:trPr>
        <w:tc>
          <w:tcPr>
            <w:tcW w:w="9351" w:type="dxa"/>
            <w:gridSpan w:val="14"/>
            <w:shd w:val="clear" w:color="auto" w:fill="CC9900"/>
            <w:vAlign w:val="center"/>
          </w:tcPr>
          <w:p w14:paraId="667959FA"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sz w:val="20"/>
                <w:szCs w:val="20"/>
              </w:rPr>
            </w:pPr>
            <w:r w:rsidRPr="00535EF4">
              <w:rPr>
                <w:rFonts w:ascii="Calibri" w:eastAsia="Times New Roman" w:hAnsi="Calibri" w:cs="Calibri"/>
                <w:b/>
                <w:bCs/>
                <w:color w:val="000000"/>
                <w:sz w:val="32"/>
                <w:szCs w:val="32"/>
              </w:rPr>
              <w:t xml:space="preserve">PROTOCOL 5 </w:t>
            </w:r>
            <w:r w:rsidRPr="00535EF4">
              <w:rPr>
                <w:rFonts w:ascii="Calibri" w:eastAsia="Times New Roman" w:hAnsi="Calibri" w:cs="Calibri"/>
                <w:b/>
                <w:bCs/>
                <w:color w:val="000000"/>
                <w:sz w:val="32"/>
                <w:szCs w:val="32"/>
                <w:shd w:val="clear" w:color="auto" w:fill="CC9900"/>
              </w:rPr>
              <w:t>-</w:t>
            </w:r>
            <w:r w:rsidRPr="00535EF4">
              <w:rPr>
                <w:rFonts w:ascii="Calibri" w:eastAsia="Times New Roman" w:hAnsi="Calibri" w:cs="Calibri"/>
                <w:b/>
                <w:bCs/>
                <w:color w:val="000000"/>
                <w:sz w:val="32"/>
                <w:szCs w:val="32"/>
              </w:rPr>
              <w:t xml:space="preserve"> 800-999g</w:t>
            </w:r>
          </w:p>
        </w:tc>
      </w:tr>
      <w:tr w:rsidR="004767DD" w:rsidRPr="00535EF4" w14:paraId="3E910390" w14:textId="77777777" w:rsidTr="001A54D9">
        <w:trPr>
          <w:trHeight w:val="237"/>
          <w:jc w:val="center"/>
        </w:trPr>
        <w:tc>
          <w:tcPr>
            <w:tcW w:w="1129" w:type="dxa"/>
            <w:vMerge w:val="restart"/>
            <w:shd w:val="clear" w:color="auto" w:fill="C2D69B"/>
            <w:vAlign w:val="center"/>
          </w:tcPr>
          <w:p w14:paraId="6A4B736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FEED DAY</w:t>
            </w:r>
          </w:p>
        </w:tc>
        <w:tc>
          <w:tcPr>
            <w:tcW w:w="8222" w:type="dxa"/>
            <w:gridSpan w:val="13"/>
            <w:shd w:val="clear" w:color="auto" w:fill="FBD4B4"/>
            <w:vAlign w:val="center"/>
          </w:tcPr>
          <w:p w14:paraId="6B973E43" w14:textId="77777777" w:rsidR="004767DD" w:rsidRPr="00535EF4" w:rsidRDefault="004767DD" w:rsidP="001A54D9">
            <w:pPr>
              <w:spacing w:before="0" w:after="0" w:line="240" w:lineRule="auto"/>
              <w:rPr>
                <w:rFonts w:ascii="Calibri" w:eastAsia="Times New Roman" w:hAnsi="Calibri" w:cs="Times New Roman"/>
                <w:b/>
                <w:bCs/>
                <w:color w:val="auto"/>
                <w:lang w:eastAsia="en-US"/>
              </w:rPr>
            </w:pPr>
            <w:r w:rsidRPr="00535EF4">
              <w:rPr>
                <w:rFonts w:ascii="Calibri" w:eastAsia="Times New Roman" w:hAnsi="Calibri" w:cs="Times New Roman"/>
                <w:b/>
                <w:bCs/>
                <w:color w:val="auto"/>
                <w:lang w:eastAsia="en-US"/>
              </w:rPr>
              <w:t xml:space="preserve">FEED NUMBER and </w:t>
            </w:r>
            <w:r w:rsidRPr="00535EF4">
              <w:rPr>
                <w:rFonts w:ascii="Calibri" w:eastAsia="Times New Roman" w:hAnsi="Calibri" w:cs="Times New Roman"/>
                <w:b/>
                <w:bCs/>
                <w:color w:val="C00000"/>
                <w:lang w:eastAsia="en-US"/>
              </w:rPr>
              <w:t xml:space="preserve">VOLUME (ml) </w:t>
            </w:r>
            <w:r w:rsidRPr="00535EF4">
              <w:rPr>
                <w:rFonts w:ascii="Calibri" w:eastAsia="Times New Roman" w:hAnsi="Calibri" w:cs="Times New Roman"/>
                <w:b/>
                <w:bCs/>
                <w:color w:val="auto"/>
                <w:szCs w:val="20"/>
                <w:lang w:eastAsia="en-US"/>
              </w:rPr>
              <w:t>2</w:t>
            </w:r>
            <w:r w:rsidRPr="00535EF4">
              <w:rPr>
                <w:rFonts w:ascii="Calibri" w:eastAsia="Times New Roman" w:hAnsi="Calibri" w:cs="Times New Roman"/>
                <w:b/>
                <w:bCs/>
                <w:color w:val="auto"/>
                <w:szCs w:val="20"/>
                <w:vertAlign w:val="superscript"/>
                <w:lang w:eastAsia="en-US"/>
              </w:rPr>
              <w:t>nd</w:t>
            </w:r>
            <w:r w:rsidRPr="00535EF4">
              <w:rPr>
                <w:rFonts w:ascii="Calibri" w:eastAsia="Times New Roman" w:hAnsi="Calibri" w:cs="Times New Roman"/>
                <w:b/>
                <w:bCs/>
                <w:color w:val="auto"/>
                <w:szCs w:val="20"/>
                <w:lang w:eastAsia="en-US"/>
              </w:rPr>
              <w:t xml:space="preserve"> HOURLY FEEDS</w:t>
            </w:r>
            <w:r w:rsidRPr="00535EF4">
              <w:rPr>
                <w:rFonts w:ascii="Calibri" w:eastAsia="Times New Roman" w:hAnsi="Calibri" w:cs="Calibri"/>
                <w:b/>
                <w:bCs/>
                <w:color w:val="auto"/>
                <w:szCs w:val="20"/>
                <w:lang w:eastAsia="en-US"/>
              </w:rPr>
              <w:t xml:space="preserve"> </w:t>
            </w:r>
          </w:p>
          <w:p w14:paraId="243C763F" w14:textId="77777777" w:rsidR="004767DD" w:rsidRPr="00535EF4" w:rsidRDefault="004767DD" w:rsidP="001A54D9">
            <w:pPr>
              <w:autoSpaceDE w:val="0"/>
              <w:autoSpaceDN w:val="0"/>
              <w:adjustRightInd w:val="0"/>
              <w:spacing w:before="0" w:after="0" w:line="240" w:lineRule="auto"/>
              <w:rPr>
                <w:rFonts w:ascii="Calibri" w:eastAsia="Times New Roman" w:hAnsi="Calibri" w:cs="Calibri"/>
                <w:b/>
                <w:bCs/>
                <w:color w:val="000000"/>
              </w:rPr>
            </w:pPr>
            <w:r w:rsidRPr="00535EF4">
              <w:rPr>
                <w:rFonts w:ascii="Calibri" w:eastAsia="Times New Roman" w:hAnsi="Calibri" w:cs="Calibri"/>
                <w:b/>
                <w:bCs/>
                <w:color w:val="000000"/>
              </w:rPr>
              <w:t>*Cease grading once a volume of 160mL/kg/d is reached</w:t>
            </w:r>
          </w:p>
        </w:tc>
      </w:tr>
      <w:tr w:rsidR="004767DD" w:rsidRPr="00535EF4" w14:paraId="54A8E485" w14:textId="77777777" w:rsidTr="001A54D9">
        <w:trPr>
          <w:trHeight w:val="237"/>
          <w:jc w:val="center"/>
        </w:trPr>
        <w:tc>
          <w:tcPr>
            <w:tcW w:w="1129" w:type="dxa"/>
            <w:vMerge/>
            <w:shd w:val="clear" w:color="auto" w:fill="C2D69B"/>
            <w:vAlign w:val="center"/>
          </w:tcPr>
          <w:p w14:paraId="5C427963"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color w:val="000000"/>
              </w:rPr>
            </w:pPr>
          </w:p>
        </w:tc>
        <w:tc>
          <w:tcPr>
            <w:tcW w:w="567" w:type="dxa"/>
            <w:shd w:val="clear" w:color="auto" w:fill="FBD4B4"/>
            <w:vAlign w:val="center"/>
          </w:tcPr>
          <w:p w14:paraId="7D37AF2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1</w:t>
            </w:r>
          </w:p>
        </w:tc>
        <w:tc>
          <w:tcPr>
            <w:tcW w:w="567" w:type="dxa"/>
            <w:shd w:val="clear" w:color="auto" w:fill="FBD4B4"/>
            <w:vAlign w:val="center"/>
          </w:tcPr>
          <w:p w14:paraId="5C46F2A9"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2</w:t>
            </w:r>
          </w:p>
        </w:tc>
        <w:tc>
          <w:tcPr>
            <w:tcW w:w="567" w:type="dxa"/>
            <w:shd w:val="clear" w:color="auto" w:fill="FBD4B4"/>
            <w:vAlign w:val="center"/>
          </w:tcPr>
          <w:p w14:paraId="28D81D8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3</w:t>
            </w:r>
          </w:p>
        </w:tc>
        <w:tc>
          <w:tcPr>
            <w:tcW w:w="567" w:type="dxa"/>
            <w:shd w:val="clear" w:color="auto" w:fill="FBD4B4"/>
            <w:vAlign w:val="center"/>
          </w:tcPr>
          <w:p w14:paraId="05F19F9C"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4</w:t>
            </w:r>
          </w:p>
        </w:tc>
        <w:tc>
          <w:tcPr>
            <w:tcW w:w="567" w:type="dxa"/>
            <w:shd w:val="clear" w:color="auto" w:fill="FBD4B4"/>
            <w:vAlign w:val="center"/>
          </w:tcPr>
          <w:p w14:paraId="2184D5CD"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5</w:t>
            </w:r>
          </w:p>
        </w:tc>
        <w:tc>
          <w:tcPr>
            <w:tcW w:w="567" w:type="dxa"/>
            <w:shd w:val="clear" w:color="auto" w:fill="FBD4B4"/>
            <w:vAlign w:val="center"/>
          </w:tcPr>
          <w:p w14:paraId="000AE0CF"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6</w:t>
            </w:r>
          </w:p>
        </w:tc>
        <w:tc>
          <w:tcPr>
            <w:tcW w:w="567" w:type="dxa"/>
            <w:shd w:val="clear" w:color="auto" w:fill="FBD4B4"/>
            <w:vAlign w:val="center"/>
          </w:tcPr>
          <w:p w14:paraId="3C5F15AE"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7</w:t>
            </w:r>
          </w:p>
        </w:tc>
        <w:tc>
          <w:tcPr>
            <w:tcW w:w="567" w:type="dxa"/>
            <w:shd w:val="clear" w:color="auto" w:fill="FBD4B4"/>
            <w:vAlign w:val="center"/>
          </w:tcPr>
          <w:p w14:paraId="26CF7BB2"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8</w:t>
            </w:r>
          </w:p>
        </w:tc>
        <w:tc>
          <w:tcPr>
            <w:tcW w:w="567" w:type="dxa"/>
            <w:shd w:val="clear" w:color="auto" w:fill="FBD4B4"/>
            <w:vAlign w:val="center"/>
          </w:tcPr>
          <w:p w14:paraId="00C927B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9</w:t>
            </w:r>
          </w:p>
        </w:tc>
        <w:tc>
          <w:tcPr>
            <w:tcW w:w="567" w:type="dxa"/>
            <w:shd w:val="clear" w:color="auto" w:fill="FBD4B4"/>
            <w:vAlign w:val="center"/>
          </w:tcPr>
          <w:p w14:paraId="40057F55"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10</w:t>
            </w:r>
          </w:p>
        </w:tc>
        <w:tc>
          <w:tcPr>
            <w:tcW w:w="567" w:type="dxa"/>
            <w:shd w:val="clear" w:color="auto" w:fill="FBD4B4"/>
            <w:vAlign w:val="center"/>
          </w:tcPr>
          <w:p w14:paraId="2DF2B04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11</w:t>
            </w:r>
          </w:p>
        </w:tc>
        <w:tc>
          <w:tcPr>
            <w:tcW w:w="567" w:type="dxa"/>
            <w:shd w:val="clear" w:color="auto" w:fill="FBD4B4"/>
            <w:vAlign w:val="center"/>
          </w:tcPr>
          <w:p w14:paraId="52617546"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12</w:t>
            </w:r>
          </w:p>
        </w:tc>
        <w:tc>
          <w:tcPr>
            <w:tcW w:w="1418" w:type="dxa"/>
            <w:shd w:val="clear" w:color="auto" w:fill="BFBFBF"/>
            <w:vAlign w:val="center"/>
          </w:tcPr>
          <w:p w14:paraId="7FDCE45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sz w:val="22"/>
                <w:szCs w:val="22"/>
              </w:rPr>
            </w:pPr>
            <w:r w:rsidRPr="00535EF4">
              <w:rPr>
                <w:rFonts w:ascii="Calibri" w:eastAsia="Times New Roman" w:hAnsi="Calibri" w:cs="Calibri"/>
                <w:b/>
                <w:bCs/>
                <w:color w:val="000000"/>
                <w:sz w:val="22"/>
                <w:szCs w:val="22"/>
              </w:rPr>
              <w:t>TFI@ feed12</w:t>
            </w:r>
          </w:p>
          <w:p w14:paraId="58306BEA"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sz w:val="22"/>
                <w:szCs w:val="22"/>
              </w:rPr>
            </w:pPr>
            <w:r w:rsidRPr="00535EF4">
              <w:rPr>
                <w:rFonts w:ascii="Calibri" w:eastAsia="Times New Roman" w:hAnsi="Calibri" w:cs="Calibri"/>
                <w:b/>
                <w:bCs/>
                <w:color w:val="000000"/>
                <w:sz w:val="22"/>
                <w:szCs w:val="22"/>
              </w:rPr>
              <w:t>(mL/kg/d)</w:t>
            </w:r>
          </w:p>
        </w:tc>
      </w:tr>
      <w:tr w:rsidR="004767DD" w:rsidRPr="00535EF4" w14:paraId="11C77818" w14:textId="77777777" w:rsidTr="001A54D9">
        <w:trPr>
          <w:trHeight w:val="237"/>
          <w:jc w:val="center"/>
        </w:trPr>
        <w:tc>
          <w:tcPr>
            <w:tcW w:w="1129" w:type="dxa"/>
            <w:shd w:val="clear" w:color="auto" w:fill="C2D69B"/>
            <w:vAlign w:val="center"/>
          </w:tcPr>
          <w:p w14:paraId="6E53AD76"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1</w:t>
            </w:r>
          </w:p>
        </w:tc>
        <w:tc>
          <w:tcPr>
            <w:tcW w:w="567" w:type="dxa"/>
            <w:vAlign w:val="center"/>
          </w:tcPr>
          <w:p w14:paraId="1B327E55"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67" w:type="dxa"/>
            <w:vAlign w:val="center"/>
          </w:tcPr>
          <w:p w14:paraId="7B253D1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67" w:type="dxa"/>
            <w:vAlign w:val="center"/>
          </w:tcPr>
          <w:p w14:paraId="5EA5C71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67" w:type="dxa"/>
            <w:vAlign w:val="center"/>
          </w:tcPr>
          <w:p w14:paraId="18D3A37C"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67" w:type="dxa"/>
            <w:vAlign w:val="center"/>
          </w:tcPr>
          <w:p w14:paraId="0A3395A1"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67" w:type="dxa"/>
            <w:vAlign w:val="center"/>
          </w:tcPr>
          <w:p w14:paraId="78000333"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67" w:type="dxa"/>
            <w:vAlign w:val="center"/>
          </w:tcPr>
          <w:p w14:paraId="3387A0D5"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67" w:type="dxa"/>
            <w:vAlign w:val="center"/>
          </w:tcPr>
          <w:p w14:paraId="7531D50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67" w:type="dxa"/>
            <w:vAlign w:val="center"/>
          </w:tcPr>
          <w:p w14:paraId="13C682F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67" w:type="dxa"/>
            <w:vAlign w:val="center"/>
          </w:tcPr>
          <w:p w14:paraId="419A859C"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67" w:type="dxa"/>
            <w:vAlign w:val="center"/>
          </w:tcPr>
          <w:p w14:paraId="600489A3"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67" w:type="dxa"/>
            <w:vAlign w:val="center"/>
          </w:tcPr>
          <w:p w14:paraId="2921157F"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1418" w:type="dxa"/>
            <w:shd w:val="clear" w:color="auto" w:fill="F2F2F2"/>
            <w:vAlign w:val="center"/>
          </w:tcPr>
          <w:p w14:paraId="75427676"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25-30</w:t>
            </w:r>
          </w:p>
        </w:tc>
      </w:tr>
      <w:tr w:rsidR="004767DD" w:rsidRPr="00535EF4" w14:paraId="2259454A" w14:textId="77777777" w:rsidTr="001A54D9">
        <w:trPr>
          <w:trHeight w:val="237"/>
          <w:jc w:val="center"/>
        </w:trPr>
        <w:tc>
          <w:tcPr>
            <w:tcW w:w="1129" w:type="dxa"/>
            <w:shd w:val="clear" w:color="auto" w:fill="C2D69B"/>
            <w:vAlign w:val="center"/>
          </w:tcPr>
          <w:p w14:paraId="2C56E180"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2</w:t>
            </w:r>
          </w:p>
        </w:tc>
        <w:tc>
          <w:tcPr>
            <w:tcW w:w="567" w:type="dxa"/>
            <w:vAlign w:val="center"/>
          </w:tcPr>
          <w:p w14:paraId="1C15A87F"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67" w:type="dxa"/>
            <w:vAlign w:val="center"/>
          </w:tcPr>
          <w:p w14:paraId="05EDBE12"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67" w:type="dxa"/>
            <w:vAlign w:val="center"/>
          </w:tcPr>
          <w:p w14:paraId="0CA1794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67" w:type="dxa"/>
            <w:vAlign w:val="center"/>
          </w:tcPr>
          <w:p w14:paraId="29B6703C"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67" w:type="dxa"/>
            <w:vAlign w:val="center"/>
          </w:tcPr>
          <w:p w14:paraId="56FC86A9"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67" w:type="dxa"/>
            <w:vAlign w:val="center"/>
          </w:tcPr>
          <w:p w14:paraId="30C6EB92"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3.5</w:t>
            </w:r>
          </w:p>
        </w:tc>
        <w:tc>
          <w:tcPr>
            <w:tcW w:w="567" w:type="dxa"/>
            <w:vAlign w:val="center"/>
          </w:tcPr>
          <w:p w14:paraId="5A480246"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67" w:type="dxa"/>
            <w:vAlign w:val="center"/>
          </w:tcPr>
          <w:p w14:paraId="178C272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67" w:type="dxa"/>
            <w:vAlign w:val="center"/>
          </w:tcPr>
          <w:p w14:paraId="76C6AFF9"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67" w:type="dxa"/>
            <w:vAlign w:val="center"/>
          </w:tcPr>
          <w:p w14:paraId="3F59D520"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67" w:type="dxa"/>
            <w:vAlign w:val="center"/>
          </w:tcPr>
          <w:p w14:paraId="7451F53A"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567" w:type="dxa"/>
            <w:vAlign w:val="center"/>
          </w:tcPr>
          <w:p w14:paraId="0739B2A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4.5</w:t>
            </w:r>
          </w:p>
        </w:tc>
        <w:tc>
          <w:tcPr>
            <w:tcW w:w="1418" w:type="dxa"/>
            <w:shd w:val="clear" w:color="auto" w:fill="F2F2F2"/>
            <w:vAlign w:val="center"/>
          </w:tcPr>
          <w:p w14:paraId="4B87587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54-67.5</w:t>
            </w:r>
          </w:p>
        </w:tc>
      </w:tr>
      <w:tr w:rsidR="004767DD" w:rsidRPr="00535EF4" w14:paraId="24C262F7" w14:textId="77777777" w:rsidTr="001A54D9">
        <w:trPr>
          <w:trHeight w:val="237"/>
          <w:jc w:val="center"/>
        </w:trPr>
        <w:tc>
          <w:tcPr>
            <w:tcW w:w="1129" w:type="dxa"/>
            <w:shd w:val="clear" w:color="auto" w:fill="C2D69B"/>
            <w:vAlign w:val="center"/>
          </w:tcPr>
          <w:p w14:paraId="55C3F7F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3 (</w:t>
            </w:r>
            <w:r w:rsidRPr="00535EF4">
              <w:rPr>
                <w:rFonts w:ascii="Calibri" w:eastAsia="Times New Roman" w:hAnsi="Calibri" w:cs="Calibri"/>
                <w:b/>
                <w:bCs/>
                <w:color w:val="000000"/>
                <w:sz w:val="20"/>
                <w:szCs w:val="20"/>
              </w:rPr>
              <w:t>half Fortify)</w:t>
            </w:r>
          </w:p>
        </w:tc>
        <w:tc>
          <w:tcPr>
            <w:tcW w:w="567" w:type="dxa"/>
            <w:vAlign w:val="center"/>
          </w:tcPr>
          <w:p w14:paraId="5A0D38B1"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67" w:type="dxa"/>
            <w:vAlign w:val="center"/>
          </w:tcPr>
          <w:p w14:paraId="4844B65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67" w:type="dxa"/>
            <w:vAlign w:val="center"/>
          </w:tcPr>
          <w:p w14:paraId="0F1411D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5.5</w:t>
            </w:r>
          </w:p>
        </w:tc>
        <w:tc>
          <w:tcPr>
            <w:tcW w:w="567" w:type="dxa"/>
            <w:vAlign w:val="center"/>
          </w:tcPr>
          <w:p w14:paraId="0FFDC7C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67" w:type="dxa"/>
            <w:vAlign w:val="center"/>
          </w:tcPr>
          <w:p w14:paraId="15E56F71"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67" w:type="dxa"/>
            <w:vAlign w:val="center"/>
          </w:tcPr>
          <w:p w14:paraId="1DF0EF3C"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67" w:type="dxa"/>
            <w:vAlign w:val="center"/>
          </w:tcPr>
          <w:p w14:paraId="3F16989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6.5</w:t>
            </w:r>
          </w:p>
        </w:tc>
        <w:tc>
          <w:tcPr>
            <w:tcW w:w="567" w:type="dxa"/>
            <w:vAlign w:val="center"/>
          </w:tcPr>
          <w:p w14:paraId="60E8400D"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6.5</w:t>
            </w:r>
          </w:p>
        </w:tc>
        <w:tc>
          <w:tcPr>
            <w:tcW w:w="567" w:type="dxa"/>
            <w:vAlign w:val="center"/>
          </w:tcPr>
          <w:p w14:paraId="48EE2E3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6.5</w:t>
            </w:r>
          </w:p>
        </w:tc>
        <w:tc>
          <w:tcPr>
            <w:tcW w:w="567" w:type="dxa"/>
            <w:vAlign w:val="center"/>
          </w:tcPr>
          <w:p w14:paraId="746F67EA"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67" w:type="dxa"/>
            <w:vAlign w:val="center"/>
          </w:tcPr>
          <w:p w14:paraId="70F272D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67" w:type="dxa"/>
            <w:vAlign w:val="center"/>
          </w:tcPr>
          <w:p w14:paraId="202CA59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1418" w:type="dxa"/>
            <w:shd w:val="clear" w:color="auto" w:fill="F2F2F2"/>
            <w:vAlign w:val="center"/>
          </w:tcPr>
          <w:p w14:paraId="6BD9FCC1"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84-105</w:t>
            </w:r>
          </w:p>
        </w:tc>
      </w:tr>
      <w:tr w:rsidR="004767DD" w:rsidRPr="00535EF4" w14:paraId="0F34E5CB" w14:textId="77777777" w:rsidTr="001A54D9">
        <w:trPr>
          <w:trHeight w:val="237"/>
          <w:jc w:val="center"/>
        </w:trPr>
        <w:tc>
          <w:tcPr>
            <w:tcW w:w="1129" w:type="dxa"/>
            <w:shd w:val="clear" w:color="auto" w:fill="C2D69B"/>
            <w:vAlign w:val="center"/>
          </w:tcPr>
          <w:p w14:paraId="505B521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4 (</w:t>
            </w:r>
            <w:r w:rsidRPr="00535EF4">
              <w:rPr>
                <w:rFonts w:ascii="Calibri" w:eastAsia="Times New Roman" w:hAnsi="Calibri" w:cs="Calibri"/>
                <w:b/>
                <w:bCs/>
                <w:color w:val="000000"/>
                <w:sz w:val="20"/>
                <w:szCs w:val="20"/>
              </w:rPr>
              <w:t>half Fortify)</w:t>
            </w:r>
          </w:p>
        </w:tc>
        <w:tc>
          <w:tcPr>
            <w:tcW w:w="567" w:type="dxa"/>
            <w:vAlign w:val="center"/>
          </w:tcPr>
          <w:p w14:paraId="5A69AE5F"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67" w:type="dxa"/>
            <w:vAlign w:val="center"/>
          </w:tcPr>
          <w:p w14:paraId="2353672D"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67" w:type="dxa"/>
            <w:vAlign w:val="center"/>
          </w:tcPr>
          <w:p w14:paraId="51A9FC11"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67" w:type="dxa"/>
            <w:vAlign w:val="center"/>
          </w:tcPr>
          <w:p w14:paraId="01380666"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67" w:type="dxa"/>
            <w:vAlign w:val="center"/>
          </w:tcPr>
          <w:p w14:paraId="5D5A31F2"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67" w:type="dxa"/>
            <w:vAlign w:val="center"/>
          </w:tcPr>
          <w:p w14:paraId="683B0846"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8.5</w:t>
            </w:r>
          </w:p>
        </w:tc>
        <w:tc>
          <w:tcPr>
            <w:tcW w:w="567" w:type="dxa"/>
            <w:vAlign w:val="center"/>
          </w:tcPr>
          <w:p w14:paraId="3BB9584C"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567" w:type="dxa"/>
            <w:vAlign w:val="center"/>
          </w:tcPr>
          <w:p w14:paraId="507D208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567" w:type="dxa"/>
            <w:vAlign w:val="center"/>
          </w:tcPr>
          <w:p w14:paraId="6B56528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567" w:type="dxa"/>
            <w:vAlign w:val="center"/>
          </w:tcPr>
          <w:p w14:paraId="69A903A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67" w:type="dxa"/>
            <w:vAlign w:val="center"/>
          </w:tcPr>
          <w:p w14:paraId="13FEB66D"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67" w:type="dxa"/>
            <w:vAlign w:val="center"/>
          </w:tcPr>
          <w:p w14:paraId="2DA93E61"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1418" w:type="dxa"/>
            <w:shd w:val="clear" w:color="auto" w:fill="F2F2F2"/>
            <w:vAlign w:val="center"/>
          </w:tcPr>
          <w:p w14:paraId="50CACD5A"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120-150</w:t>
            </w:r>
          </w:p>
        </w:tc>
      </w:tr>
      <w:tr w:rsidR="004767DD" w:rsidRPr="00535EF4" w14:paraId="019FC271" w14:textId="77777777" w:rsidTr="001A54D9">
        <w:trPr>
          <w:trHeight w:val="237"/>
          <w:jc w:val="center"/>
        </w:trPr>
        <w:tc>
          <w:tcPr>
            <w:tcW w:w="1129" w:type="dxa"/>
            <w:shd w:val="clear" w:color="auto" w:fill="C2D69B"/>
            <w:vAlign w:val="center"/>
          </w:tcPr>
          <w:p w14:paraId="7B60460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 xml:space="preserve">5 </w:t>
            </w:r>
            <w:r w:rsidRPr="00535EF4">
              <w:rPr>
                <w:rFonts w:ascii="Calibri" w:eastAsia="Times New Roman" w:hAnsi="Calibri" w:cs="Calibri"/>
                <w:b/>
                <w:bCs/>
                <w:color w:val="000000"/>
                <w:sz w:val="20"/>
                <w:szCs w:val="20"/>
              </w:rPr>
              <w:t>(fully fortify)</w:t>
            </w:r>
          </w:p>
        </w:tc>
        <w:tc>
          <w:tcPr>
            <w:tcW w:w="567" w:type="dxa"/>
            <w:vAlign w:val="center"/>
          </w:tcPr>
          <w:p w14:paraId="376B7DF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67" w:type="dxa"/>
            <w:vAlign w:val="center"/>
          </w:tcPr>
          <w:p w14:paraId="31CC5DA6"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67" w:type="dxa"/>
            <w:vAlign w:val="center"/>
          </w:tcPr>
          <w:p w14:paraId="083178E2"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67" w:type="dxa"/>
            <w:vAlign w:val="center"/>
          </w:tcPr>
          <w:p w14:paraId="6CF725D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11.5</w:t>
            </w:r>
          </w:p>
        </w:tc>
        <w:tc>
          <w:tcPr>
            <w:tcW w:w="567" w:type="dxa"/>
            <w:vAlign w:val="center"/>
          </w:tcPr>
          <w:p w14:paraId="60732AE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11.5</w:t>
            </w:r>
          </w:p>
        </w:tc>
        <w:tc>
          <w:tcPr>
            <w:tcW w:w="567" w:type="dxa"/>
            <w:vAlign w:val="center"/>
          </w:tcPr>
          <w:p w14:paraId="3D41C78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2"/>
                <w:szCs w:val="22"/>
              </w:rPr>
            </w:pPr>
            <w:r w:rsidRPr="00535EF4">
              <w:rPr>
                <w:rFonts w:ascii="Calibri" w:eastAsia="Times New Roman" w:hAnsi="Calibri" w:cs="Calibri"/>
                <w:b/>
                <w:bCs/>
                <w:color w:val="C00000"/>
                <w:sz w:val="22"/>
                <w:szCs w:val="22"/>
              </w:rPr>
              <w:t>11.5</w:t>
            </w:r>
          </w:p>
        </w:tc>
        <w:tc>
          <w:tcPr>
            <w:tcW w:w="567" w:type="dxa"/>
            <w:vAlign w:val="center"/>
          </w:tcPr>
          <w:p w14:paraId="1F91015B"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67" w:type="dxa"/>
            <w:vAlign w:val="center"/>
          </w:tcPr>
          <w:p w14:paraId="18EDBC1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67" w:type="dxa"/>
            <w:vAlign w:val="center"/>
          </w:tcPr>
          <w:p w14:paraId="735511B2"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67" w:type="dxa"/>
            <w:vAlign w:val="center"/>
          </w:tcPr>
          <w:p w14:paraId="2194CFFA"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0"/>
                <w:szCs w:val="20"/>
              </w:rPr>
            </w:pPr>
            <w:r w:rsidRPr="00535EF4">
              <w:rPr>
                <w:rFonts w:ascii="Calibri" w:eastAsia="Times New Roman" w:hAnsi="Calibri" w:cs="Calibri"/>
                <w:b/>
                <w:bCs/>
                <w:color w:val="C00000"/>
                <w:sz w:val="20"/>
                <w:szCs w:val="20"/>
              </w:rPr>
              <w:t>12.5</w:t>
            </w:r>
          </w:p>
        </w:tc>
        <w:tc>
          <w:tcPr>
            <w:tcW w:w="567" w:type="dxa"/>
            <w:vAlign w:val="center"/>
          </w:tcPr>
          <w:p w14:paraId="64FB7C7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0"/>
                <w:szCs w:val="20"/>
              </w:rPr>
            </w:pPr>
            <w:r w:rsidRPr="00535EF4">
              <w:rPr>
                <w:rFonts w:ascii="Calibri" w:eastAsia="Times New Roman" w:hAnsi="Calibri" w:cs="Calibri"/>
                <w:b/>
                <w:bCs/>
                <w:color w:val="C00000"/>
                <w:sz w:val="20"/>
                <w:szCs w:val="20"/>
              </w:rPr>
              <w:t>12.5</w:t>
            </w:r>
          </w:p>
        </w:tc>
        <w:tc>
          <w:tcPr>
            <w:tcW w:w="567" w:type="dxa"/>
            <w:vAlign w:val="center"/>
          </w:tcPr>
          <w:p w14:paraId="1EE2C87C"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sz w:val="20"/>
                <w:szCs w:val="20"/>
              </w:rPr>
            </w:pPr>
            <w:r w:rsidRPr="00535EF4">
              <w:rPr>
                <w:rFonts w:ascii="Calibri" w:eastAsia="Times New Roman" w:hAnsi="Calibri" w:cs="Calibri"/>
                <w:b/>
                <w:bCs/>
                <w:color w:val="C00000"/>
                <w:sz w:val="20"/>
                <w:szCs w:val="20"/>
              </w:rPr>
              <w:t>12.5</w:t>
            </w:r>
          </w:p>
        </w:tc>
        <w:tc>
          <w:tcPr>
            <w:tcW w:w="1418" w:type="dxa"/>
            <w:shd w:val="clear" w:color="auto" w:fill="F2F2F2"/>
            <w:vAlign w:val="center"/>
          </w:tcPr>
          <w:p w14:paraId="7D31FC0F"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150-188</w:t>
            </w:r>
          </w:p>
        </w:tc>
      </w:tr>
      <w:tr w:rsidR="004767DD" w:rsidRPr="00535EF4" w14:paraId="552077EA" w14:textId="77777777" w:rsidTr="001A54D9">
        <w:trPr>
          <w:trHeight w:val="237"/>
          <w:jc w:val="center"/>
        </w:trPr>
        <w:tc>
          <w:tcPr>
            <w:tcW w:w="1129" w:type="dxa"/>
            <w:shd w:val="clear" w:color="auto" w:fill="C2D69B"/>
            <w:vAlign w:val="center"/>
          </w:tcPr>
          <w:p w14:paraId="68F3073F"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6</w:t>
            </w:r>
          </w:p>
        </w:tc>
        <w:tc>
          <w:tcPr>
            <w:tcW w:w="567" w:type="dxa"/>
            <w:vAlign w:val="center"/>
          </w:tcPr>
          <w:p w14:paraId="4E69DD72"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4E613063"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018A14DE"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294F466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614C379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43FD1885"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5FA2901D"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7A7F94A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0B76CEFF"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67EFB7B8"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7267F8B0"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67" w:type="dxa"/>
            <w:vAlign w:val="center"/>
          </w:tcPr>
          <w:p w14:paraId="19BC78E4"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1418" w:type="dxa"/>
            <w:shd w:val="clear" w:color="auto" w:fill="F2F2F2"/>
            <w:vAlign w:val="center"/>
          </w:tcPr>
          <w:p w14:paraId="6E768D87" w14:textId="77777777" w:rsidR="004767DD" w:rsidRPr="00535EF4" w:rsidRDefault="004767DD"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156-195</w:t>
            </w:r>
          </w:p>
        </w:tc>
      </w:tr>
    </w:tbl>
    <w:p w14:paraId="7A8684AD" w14:textId="77777777" w:rsidR="00535EF4" w:rsidRDefault="00535EF4" w:rsidP="00535EF4">
      <w:pPr>
        <w:spacing w:before="0" w:after="0" w:line="240" w:lineRule="auto"/>
        <w:rPr>
          <w:rFonts w:ascii="Calibri" w:eastAsia="Times New Roman" w:hAnsi="Calibri" w:cs="Times New Roman"/>
          <w:color w:val="auto"/>
          <w:szCs w:val="20"/>
          <w:lang w:eastAsia="en-US"/>
        </w:rPr>
      </w:pPr>
    </w:p>
    <w:p w14:paraId="338CA1DE" w14:textId="77777777" w:rsidR="00E26385" w:rsidRDefault="00E26385" w:rsidP="00535EF4">
      <w:pPr>
        <w:spacing w:before="0" w:after="0" w:line="240" w:lineRule="auto"/>
        <w:rPr>
          <w:rFonts w:ascii="Calibri" w:eastAsia="Times New Roman" w:hAnsi="Calibri" w:cs="Times New Roman"/>
          <w:color w:val="auto"/>
          <w:szCs w:val="20"/>
          <w:lang w:eastAsia="en-US"/>
        </w:rPr>
      </w:pPr>
    </w:p>
    <w:p w14:paraId="4142F66C" w14:textId="77777777" w:rsidR="00796DA5" w:rsidRDefault="00796DA5" w:rsidP="00535EF4">
      <w:pPr>
        <w:spacing w:before="0" w:after="0" w:line="240" w:lineRule="auto"/>
        <w:rPr>
          <w:rFonts w:ascii="Calibri" w:eastAsia="Times New Roman" w:hAnsi="Calibri" w:cs="Times New Roman"/>
          <w:color w:val="auto"/>
          <w:szCs w:val="20"/>
          <w:lang w:eastAsia="en-US"/>
        </w:rPr>
      </w:pPr>
    </w:p>
    <w:p w14:paraId="2D9D0C90" w14:textId="77777777" w:rsidR="00796DA5" w:rsidRDefault="00796DA5" w:rsidP="00535EF4">
      <w:pPr>
        <w:spacing w:before="0" w:after="0" w:line="240" w:lineRule="auto"/>
        <w:rPr>
          <w:rFonts w:ascii="Calibri" w:eastAsia="Times New Roman" w:hAnsi="Calibri" w:cs="Times New Roman"/>
          <w:color w:val="auto"/>
          <w:szCs w:val="20"/>
          <w:lang w:eastAsia="en-US"/>
        </w:rPr>
      </w:pPr>
    </w:p>
    <w:p w14:paraId="3059F655" w14:textId="77777777" w:rsidR="00460428" w:rsidRDefault="00460428" w:rsidP="00535EF4">
      <w:pPr>
        <w:spacing w:before="0" w:after="0" w:line="240" w:lineRule="auto"/>
        <w:rPr>
          <w:rFonts w:ascii="Calibri" w:eastAsia="Times New Roman" w:hAnsi="Calibri" w:cs="Times New Roman"/>
          <w:color w:val="auto"/>
          <w:szCs w:val="20"/>
          <w:lang w:eastAsia="en-US"/>
        </w:rPr>
      </w:pPr>
    </w:p>
    <w:p w14:paraId="34B0D259" w14:textId="77777777" w:rsidR="00460428" w:rsidRDefault="00460428" w:rsidP="00535EF4">
      <w:pPr>
        <w:spacing w:before="0" w:after="0" w:line="240" w:lineRule="auto"/>
        <w:rPr>
          <w:rFonts w:ascii="Calibri" w:eastAsia="Times New Roman" w:hAnsi="Calibri" w:cs="Times New Roman"/>
          <w:color w:val="auto"/>
          <w:szCs w:val="20"/>
          <w:lang w:eastAsia="en-US"/>
        </w:rPr>
      </w:pPr>
    </w:p>
    <w:p w14:paraId="3B23A40B" w14:textId="77777777" w:rsidR="00E26385" w:rsidRDefault="00E26385" w:rsidP="00535EF4">
      <w:pPr>
        <w:spacing w:before="0" w:after="0" w:line="240" w:lineRule="auto"/>
        <w:rPr>
          <w:rFonts w:ascii="Calibri" w:eastAsia="Times New Roman" w:hAnsi="Calibri" w:cs="Times New Roman"/>
          <w:color w:val="auto"/>
          <w:szCs w:val="20"/>
          <w:lang w:eastAsia="en-US"/>
        </w:rPr>
      </w:pPr>
    </w:p>
    <w:p w14:paraId="32661E63" w14:textId="77777777" w:rsidR="00E26385" w:rsidRPr="00535EF4" w:rsidRDefault="00E26385" w:rsidP="00535EF4">
      <w:pPr>
        <w:spacing w:before="0" w:after="0" w:line="240" w:lineRule="auto"/>
        <w:rPr>
          <w:rFonts w:ascii="Calibri" w:eastAsia="Times New Roman" w:hAnsi="Calibri" w:cs="Times New Roman"/>
          <w:color w:val="auto"/>
          <w:szCs w:val="20"/>
          <w:lang w:eastAsia="en-US"/>
        </w:rPr>
      </w:pPr>
    </w:p>
    <w:p w14:paraId="159CED6B"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p w14:paraId="404CCC0E"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581"/>
        <w:gridCol w:w="581"/>
        <w:gridCol w:w="581"/>
        <w:gridCol w:w="581"/>
        <w:gridCol w:w="581"/>
        <w:gridCol w:w="581"/>
        <w:gridCol w:w="581"/>
        <w:gridCol w:w="581"/>
        <w:gridCol w:w="581"/>
        <w:gridCol w:w="581"/>
        <w:gridCol w:w="581"/>
        <w:gridCol w:w="582"/>
        <w:gridCol w:w="1276"/>
      </w:tblGrid>
      <w:tr w:rsidR="00604774" w:rsidRPr="00535EF4" w14:paraId="1F7993BC" w14:textId="77777777" w:rsidTr="001A54D9">
        <w:trPr>
          <w:trHeight w:val="209"/>
          <w:jc w:val="center"/>
        </w:trPr>
        <w:tc>
          <w:tcPr>
            <w:tcW w:w="9351" w:type="dxa"/>
            <w:gridSpan w:val="14"/>
            <w:shd w:val="clear" w:color="auto" w:fill="FF5050"/>
          </w:tcPr>
          <w:p w14:paraId="4C276C7B"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000000"/>
                <w:sz w:val="20"/>
                <w:szCs w:val="20"/>
              </w:rPr>
            </w:pPr>
            <w:r w:rsidRPr="00535EF4">
              <w:rPr>
                <w:rFonts w:ascii="Calibri" w:eastAsia="Times New Roman" w:hAnsi="Calibri" w:cs="Calibri"/>
                <w:b/>
                <w:bCs/>
                <w:color w:val="000000"/>
                <w:sz w:val="32"/>
                <w:szCs w:val="32"/>
              </w:rPr>
              <w:lastRenderedPageBreak/>
              <w:t>PROTOCOL 6 - 1000-1249g</w:t>
            </w:r>
          </w:p>
        </w:tc>
      </w:tr>
      <w:tr w:rsidR="00604774" w:rsidRPr="00535EF4" w14:paraId="5C263200" w14:textId="77777777" w:rsidTr="001A54D9">
        <w:trPr>
          <w:trHeight w:val="209"/>
          <w:jc w:val="center"/>
        </w:trPr>
        <w:tc>
          <w:tcPr>
            <w:tcW w:w="1102" w:type="dxa"/>
            <w:vMerge w:val="restart"/>
            <w:shd w:val="clear" w:color="auto" w:fill="C2D69B"/>
            <w:vAlign w:val="center"/>
          </w:tcPr>
          <w:p w14:paraId="1625601A"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FEED DAY</w:t>
            </w:r>
          </w:p>
        </w:tc>
        <w:tc>
          <w:tcPr>
            <w:tcW w:w="8249" w:type="dxa"/>
            <w:gridSpan w:val="13"/>
            <w:shd w:val="clear" w:color="auto" w:fill="FBD4B4"/>
          </w:tcPr>
          <w:p w14:paraId="32E47FE4" w14:textId="77777777" w:rsidR="00604774" w:rsidRPr="00535EF4" w:rsidRDefault="00604774" w:rsidP="001A54D9">
            <w:pPr>
              <w:spacing w:before="0" w:after="0" w:line="240" w:lineRule="auto"/>
              <w:rPr>
                <w:rFonts w:ascii="Calibri" w:eastAsia="Times New Roman" w:hAnsi="Calibri" w:cs="Times New Roman"/>
                <w:b/>
                <w:bCs/>
                <w:color w:val="auto"/>
                <w:lang w:eastAsia="en-US"/>
              </w:rPr>
            </w:pPr>
            <w:r w:rsidRPr="00535EF4">
              <w:rPr>
                <w:rFonts w:ascii="Calibri" w:eastAsia="Times New Roman" w:hAnsi="Calibri" w:cs="Times New Roman"/>
                <w:b/>
                <w:bCs/>
                <w:color w:val="auto"/>
                <w:lang w:eastAsia="en-US"/>
              </w:rPr>
              <w:t xml:space="preserve">FEED NUMBER and </w:t>
            </w:r>
            <w:r w:rsidRPr="00535EF4">
              <w:rPr>
                <w:rFonts w:ascii="Calibri" w:eastAsia="Times New Roman" w:hAnsi="Calibri" w:cs="Times New Roman"/>
                <w:b/>
                <w:bCs/>
                <w:color w:val="C00000"/>
                <w:lang w:eastAsia="en-US"/>
              </w:rPr>
              <w:t xml:space="preserve">VOLUME (ml) </w:t>
            </w:r>
            <w:r w:rsidRPr="00535EF4">
              <w:rPr>
                <w:rFonts w:ascii="Calibri" w:eastAsia="Times New Roman" w:hAnsi="Calibri" w:cs="Times New Roman"/>
                <w:b/>
                <w:bCs/>
                <w:color w:val="auto"/>
                <w:szCs w:val="20"/>
                <w:lang w:eastAsia="en-US"/>
              </w:rPr>
              <w:t>2</w:t>
            </w:r>
            <w:r w:rsidRPr="00535EF4">
              <w:rPr>
                <w:rFonts w:ascii="Calibri" w:eastAsia="Times New Roman" w:hAnsi="Calibri" w:cs="Times New Roman"/>
                <w:b/>
                <w:bCs/>
                <w:color w:val="auto"/>
                <w:szCs w:val="20"/>
                <w:vertAlign w:val="superscript"/>
                <w:lang w:eastAsia="en-US"/>
              </w:rPr>
              <w:t>nd</w:t>
            </w:r>
            <w:r w:rsidRPr="00535EF4">
              <w:rPr>
                <w:rFonts w:ascii="Calibri" w:eastAsia="Times New Roman" w:hAnsi="Calibri" w:cs="Times New Roman"/>
                <w:b/>
                <w:bCs/>
                <w:color w:val="auto"/>
                <w:szCs w:val="20"/>
                <w:lang w:eastAsia="en-US"/>
              </w:rPr>
              <w:t xml:space="preserve"> HOURLY FEEDS</w:t>
            </w:r>
            <w:r w:rsidRPr="00535EF4">
              <w:rPr>
                <w:rFonts w:ascii="Calibri" w:eastAsia="Times New Roman" w:hAnsi="Calibri" w:cs="Calibri"/>
                <w:b/>
                <w:bCs/>
                <w:color w:val="auto"/>
                <w:szCs w:val="20"/>
                <w:lang w:eastAsia="en-US"/>
              </w:rPr>
              <w:t xml:space="preserve"> </w:t>
            </w:r>
          </w:p>
          <w:p w14:paraId="030B1B62" w14:textId="77777777" w:rsidR="00604774" w:rsidRPr="00535EF4" w:rsidRDefault="00604774" w:rsidP="001A54D9">
            <w:pPr>
              <w:autoSpaceDE w:val="0"/>
              <w:autoSpaceDN w:val="0"/>
              <w:adjustRightInd w:val="0"/>
              <w:spacing w:before="0" w:after="0" w:line="240" w:lineRule="auto"/>
              <w:rPr>
                <w:rFonts w:ascii="Calibri" w:eastAsia="Times New Roman" w:hAnsi="Calibri" w:cs="Calibri"/>
                <w:b/>
                <w:bCs/>
                <w:color w:val="000000"/>
              </w:rPr>
            </w:pPr>
            <w:r w:rsidRPr="00535EF4">
              <w:rPr>
                <w:rFonts w:ascii="Calibri" w:eastAsia="Times New Roman" w:hAnsi="Calibri" w:cs="Calibri"/>
                <w:b/>
                <w:bCs/>
                <w:color w:val="000000"/>
              </w:rPr>
              <w:t>*Cease grading once a volume of 160mL/kg/d is reached</w:t>
            </w:r>
          </w:p>
        </w:tc>
      </w:tr>
      <w:tr w:rsidR="00604774" w:rsidRPr="00535EF4" w14:paraId="0B1D67DA" w14:textId="77777777" w:rsidTr="001A54D9">
        <w:trPr>
          <w:trHeight w:val="209"/>
          <w:jc w:val="center"/>
        </w:trPr>
        <w:tc>
          <w:tcPr>
            <w:tcW w:w="1102" w:type="dxa"/>
            <w:vMerge/>
            <w:shd w:val="clear" w:color="auto" w:fill="C2D69B"/>
          </w:tcPr>
          <w:p w14:paraId="40591B12" w14:textId="77777777" w:rsidR="00604774" w:rsidRPr="00535EF4" w:rsidRDefault="00604774" w:rsidP="001A54D9">
            <w:pPr>
              <w:autoSpaceDE w:val="0"/>
              <w:autoSpaceDN w:val="0"/>
              <w:adjustRightInd w:val="0"/>
              <w:spacing w:before="0" w:after="0" w:line="240" w:lineRule="auto"/>
              <w:rPr>
                <w:rFonts w:ascii="Calibri" w:eastAsia="Times New Roman" w:hAnsi="Calibri" w:cs="Calibri"/>
                <w:color w:val="000000"/>
              </w:rPr>
            </w:pPr>
          </w:p>
        </w:tc>
        <w:tc>
          <w:tcPr>
            <w:tcW w:w="581" w:type="dxa"/>
            <w:shd w:val="clear" w:color="auto" w:fill="FBD4B4"/>
            <w:vAlign w:val="center"/>
          </w:tcPr>
          <w:p w14:paraId="35704FB1"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581" w:type="dxa"/>
            <w:shd w:val="clear" w:color="auto" w:fill="FBD4B4"/>
            <w:vAlign w:val="center"/>
          </w:tcPr>
          <w:p w14:paraId="30ADFE16"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581" w:type="dxa"/>
            <w:shd w:val="clear" w:color="auto" w:fill="FBD4B4"/>
            <w:vAlign w:val="center"/>
          </w:tcPr>
          <w:p w14:paraId="1DF96218"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w:t>
            </w:r>
          </w:p>
        </w:tc>
        <w:tc>
          <w:tcPr>
            <w:tcW w:w="581" w:type="dxa"/>
            <w:shd w:val="clear" w:color="auto" w:fill="FBD4B4"/>
            <w:vAlign w:val="center"/>
          </w:tcPr>
          <w:p w14:paraId="0334ECDE"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w:t>
            </w:r>
          </w:p>
        </w:tc>
        <w:tc>
          <w:tcPr>
            <w:tcW w:w="581" w:type="dxa"/>
            <w:shd w:val="clear" w:color="auto" w:fill="FBD4B4"/>
            <w:vAlign w:val="center"/>
          </w:tcPr>
          <w:p w14:paraId="206FB254"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5</w:t>
            </w:r>
          </w:p>
        </w:tc>
        <w:tc>
          <w:tcPr>
            <w:tcW w:w="581" w:type="dxa"/>
            <w:shd w:val="clear" w:color="auto" w:fill="FBD4B4"/>
            <w:vAlign w:val="center"/>
          </w:tcPr>
          <w:p w14:paraId="78190466"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6</w:t>
            </w:r>
          </w:p>
        </w:tc>
        <w:tc>
          <w:tcPr>
            <w:tcW w:w="581" w:type="dxa"/>
            <w:shd w:val="clear" w:color="auto" w:fill="FBD4B4"/>
            <w:vAlign w:val="center"/>
          </w:tcPr>
          <w:p w14:paraId="72CAC3A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7</w:t>
            </w:r>
          </w:p>
        </w:tc>
        <w:tc>
          <w:tcPr>
            <w:tcW w:w="581" w:type="dxa"/>
            <w:shd w:val="clear" w:color="auto" w:fill="FBD4B4"/>
            <w:vAlign w:val="center"/>
          </w:tcPr>
          <w:p w14:paraId="67BFB3A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8</w:t>
            </w:r>
          </w:p>
        </w:tc>
        <w:tc>
          <w:tcPr>
            <w:tcW w:w="581" w:type="dxa"/>
            <w:shd w:val="clear" w:color="auto" w:fill="FBD4B4"/>
            <w:vAlign w:val="center"/>
          </w:tcPr>
          <w:p w14:paraId="405C087A"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9</w:t>
            </w:r>
          </w:p>
        </w:tc>
        <w:tc>
          <w:tcPr>
            <w:tcW w:w="581" w:type="dxa"/>
            <w:shd w:val="clear" w:color="auto" w:fill="FBD4B4"/>
            <w:vAlign w:val="center"/>
          </w:tcPr>
          <w:p w14:paraId="25BDFEFF"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10</w:t>
            </w:r>
          </w:p>
        </w:tc>
        <w:tc>
          <w:tcPr>
            <w:tcW w:w="581" w:type="dxa"/>
            <w:shd w:val="clear" w:color="auto" w:fill="FBD4B4"/>
            <w:vAlign w:val="center"/>
          </w:tcPr>
          <w:p w14:paraId="04EC4BD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11</w:t>
            </w:r>
          </w:p>
        </w:tc>
        <w:tc>
          <w:tcPr>
            <w:tcW w:w="582" w:type="dxa"/>
            <w:shd w:val="clear" w:color="auto" w:fill="FBD4B4"/>
            <w:vAlign w:val="center"/>
          </w:tcPr>
          <w:p w14:paraId="78262A5A"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12</w:t>
            </w:r>
          </w:p>
        </w:tc>
        <w:tc>
          <w:tcPr>
            <w:tcW w:w="1276" w:type="dxa"/>
            <w:shd w:val="clear" w:color="auto" w:fill="BFBFBF"/>
            <w:vAlign w:val="center"/>
          </w:tcPr>
          <w:p w14:paraId="6B33C83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000000"/>
                <w:sz w:val="20"/>
                <w:szCs w:val="20"/>
              </w:rPr>
            </w:pPr>
            <w:r w:rsidRPr="00535EF4">
              <w:rPr>
                <w:rFonts w:ascii="Calibri" w:eastAsia="Times New Roman" w:hAnsi="Calibri" w:cs="Calibri"/>
                <w:b/>
                <w:bCs/>
                <w:color w:val="000000"/>
                <w:sz w:val="20"/>
                <w:szCs w:val="20"/>
              </w:rPr>
              <w:t>TFI@ feed12</w:t>
            </w:r>
          </w:p>
          <w:p w14:paraId="3C93BF44"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sz w:val="20"/>
                <w:szCs w:val="20"/>
              </w:rPr>
              <w:t>(mL/kg/d)</w:t>
            </w:r>
          </w:p>
        </w:tc>
      </w:tr>
      <w:tr w:rsidR="00604774" w:rsidRPr="00535EF4" w14:paraId="115B902D" w14:textId="77777777" w:rsidTr="001A54D9">
        <w:trPr>
          <w:trHeight w:val="173"/>
          <w:jc w:val="center"/>
        </w:trPr>
        <w:tc>
          <w:tcPr>
            <w:tcW w:w="1102" w:type="dxa"/>
            <w:shd w:val="clear" w:color="auto" w:fill="C2D69B"/>
            <w:vAlign w:val="center"/>
          </w:tcPr>
          <w:p w14:paraId="0225C90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581" w:type="dxa"/>
            <w:vAlign w:val="center"/>
          </w:tcPr>
          <w:p w14:paraId="7E9CBE51"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81" w:type="dxa"/>
            <w:vAlign w:val="center"/>
          </w:tcPr>
          <w:p w14:paraId="5E3E27E8"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81" w:type="dxa"/>
            <w:vAlign w:val="center"/>
          </w:tcPr>
          <w:p w14:paraId="118DD13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81" w:type="dxa"/>
            <w:vAlign w:val="center"/>
          </w:tcPr>
          <w:p w14:paraId="089FEDF8"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w:t>
            </w:r>
          </w:p>
        </w:tc>
        <w:tc>
          <w:tcPr>
            <w:tcW w:w="581" w:type="dxa"/>
            <w:vAlign w:val="center"/>
          </w:tcPr>
          <w:p w14:paraId="7A79056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81" w:type="dxa"/>
            <w:vAlign w:val="center"/>
          </w:tcPr>
          <w:p w14:paraId="0FD1371C"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81" w:type="dxa"/>
            <w:vAlign w:val="center"/>
          </w:tcPr>
          <w:p w14:paraId="683BD5DB"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81" w:type="dxa"/>
            <w:vAlign w:val="center"/>
          </w:tcPr>
          <w:p w14:paraId="5A88249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81" w:type="dxa"/>
            <w:vAlign w:val="center"/>
          </w:tcPr>
          <w:p w14:paraId="33F0ECF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81" w:type="dxa"/>
            <w:vAlign w:val="center"/>
          </w:tcPr>
          <w:p w14:paraId="3CBF31A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81" w:type="dxa"/>
            <w:vAlign w:val="center"/>
          </w:tcPr>
          <w:p w14:paraId="0DE05B1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82" w:type="dxa"/>
            <w:vAlign w:val="center"/>
          </w:tcPr>
          <w:p w14:paraId="7313342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1276" w:type="dxa"/>
            <w:shd w:val="clear" w:color="auto" w:fill="F2F2F2"/>
            <w:vAlign w:val="center"/>
          </w:tcPr>
          <w:p w14:paraId="42C4C23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25-30</w:t>
            </w:r>
          </w:p>
        </w:tc>
      </w:tr>
      <w:tr w:rsidR="00604774" w:rsidRPr="00535EF4" w14:paraId="7699252E" w14:textId="77777777" w:rsidTr="001A54D9">
        <w:trPr>
          <w:trHeight w:val="173"/>
          <w:jc w:val="center"/>
        </w:trPr>
        <w:tc>
          <w:tcPr>
            <w:tcW w:w="1102" w:type="dxa"/>
            <w:shd w:val="clear" w:color="auto" w:fill="C2D69B"/>
            <w:vAlign w:val="center"/>
          </w:tcPr>
          <w:p w14:paraId="00B6B9CF"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581" w:type="dxa"/>
            <w:vAlign w:val="center"/>
          </w:tcPr>
          <w:p w14:paraId="7D02FB2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81" w:type="dxa"/>
            <w:vAlign w:val="center"/>
          </w:tcPr>
          <w:p w14:paraId="766A403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81" w:type="dxa"/>
            <w:vAlign w:val="center"/>
          </w:tcPr>
          <w:p w14:paraId="652F629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81" w:type="dxa"/>
            <w:vAlign w:val="center"/>
          </w:tcPr>
          <w:p w14:paraId="65E518A2"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81" w:type="dxa"/>
            <w:vAlign w:val="center"/>
          </w:tcPr>
          <w:p w14:paraId="20EEF564"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581" w:type="dxa"/>
            <w:vAlign w:val="center"/>
          </w:tcPr>
          <w:p w14:paraId="0A48BE72"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581" w:type="dxa"/>
            <w:vAlign w:val="center"/>
          </w:tcPr>
          <w:p w14:paraId="23BEC8F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581" w:type="dxa"/>
            <w:vAlign w:val="center"/>
          </w:tcPr>
          <w:p w14:paraId="6930BCB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5</w:t>
            </w:r>
          </w:p>
        </w:tc>
        <w:tc>
          <w:tcPr>
            <w:tcW w:w="581" w:type="dxa"/>
            <w:vAlign w:val="center"/>
          </w:tcPr>
          <w:p w14:paraId="0DC4A488"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81" w:type="dxa"/>
            <w:vAlign w:val="center"/>
          </w:tcPr>
          <w:p w14:paraId="4BE8A60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81" w:type="dxa"/>
            <w:vAlign w:val="center"/>
          </w:tcPr>
          <w:p w14:paraId="37367CB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82" w:type="dxa"/>
            <w:vAlign w:val="center"/>
          </w:tcPr>
          <w:p w14:paraId="405A487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1276" w:type="dxa"/>
            <w:shd w:val="clear" w:color="auto" w:fill="F2F2F2"/>
            <w:vAlign w:val="center"/>
          </w:tcPr>
          <w:p w14:paraId="629B304F"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50-60</w:t>
            </w:r>
          </w:p>
        </w:tc>
      </w:tr>
      <w:tr w:rsidR="00604774" w:rsidRPr="00535EF4" w14:paraId="58AECA57" w14:textId="77777777" w:rsidTr="001A54D9">
        <w:trPr>
          <w:trHeight w:val="173"/>
          <w:jc w:val="center"/>
        </w:trPr>
        <w:tc>
          <w:tcPr>
            <w:tcW w:w="1102" w:type="dxa"/>
            <w:shd w:val="clear" w:color="auto" w:fill="C2D69B"/>
            <w:vAlign w:val="center"/>
          </w:tcPr>
          <w:p w14:paraId="6C3457C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3 (</w:t>
            </w:r>
            <w:r w:rsidRPr="00535EF4">
              <w:rPr>
                <w:rFonts w:ascii="Calibri" w:eastAsia="Times New Roman" w:hAnsi="Calibri" w:cs="Calibri"/>
                <w:b/>
                <w:bCs/>
                <w:color w:val="000000"/>
                <w:sz w:val="20"/>
                <w:szCs w:val="20"/>
              </w:rPr>
              <w:t>half Fortify)</w:t>
            </w:r>
          </w:p>
        </w:tc>
        <w:tc>
          <w:tcPr>
            <w:tcW w:w="581" w:type="dxa"/>
            <w:vAlign w:val="center"/>
          </w:tcPr>
          <w:p w14:paraId="2F18A073"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81" w:type="dxa"/>
            <w:vAlign w:val="center"/>
          </w:tcPr>
          <w:p w14:paraId="5ED01AF1"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81" w:type="dxa"/>
            <w:vAlign w:val="center"/>
          </w:tcPr>
          <w:p w14:paraId="70A66E1C"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81" w:type="dxa"/>
            <w:vAlign w:val="center"/>
          </w:tcPr>
          <w:p w14:paraId="3BDB0ADA"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81" w:type="dxa"/>
            <w:vAlign w:val="center"/>
          </w:tcPr>
          <w:p w14:paraId="5D3C2F93"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81" w:type="dxa"/>
            <w:vAlign w:val="center"/>
          </w:tcPr>
          <w:p w14:paraId="68FA0732"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81" w:type="dxa"/>
            <w:vAlign w:val="center"/>
          </w:tcPr>
          <w:p w14:paraId="5AF2FF7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81" w:type="dxa"/>
            <w:vAlign w:val="center"/>
          </w:tcPr>
          <w:p w14:paraId="373FBDE4"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81" w:type="dxa"/>
            <w:vAlign w:val="center"/>
          </w:tcPr>
          <w:p w14:paraId="2364B41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581" w:type="dxa"/>
            <w:vAlign w:val="center"/>
          </w:tcPr>
          <w:p w14:paraId="695E7FAB"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581" w:type="dxa"/>
            <w:vAlign w:val="center"/>
          </w:tcPr>
          <w:p w14:paraId="6954B9BB"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582" w:type="dxa"/>
            <w:vAlign w:val="center"/>
          </w:tcPr>
          <w:p w14:paraId="7266296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9</w:t>
            </w:r>
          </w:p>
        </w:tc>
        <w:tc>
          <w:tcPr>
            <w:tcW w:w="1276" w:type="dxa"/>
            <w:shd w:val="clear" w:color="auto" w:fill="F2F2F2"/>
            <w:vAlign w:val="center"/>
          </w:tcPr>
          <w:p w14:paraId="544E3E0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75-90</w:t>
            </w:r>
          </w:p>
        </w:tc>
      </w:tr>
      <w:tr w:rsidR="00604774" w:rsidRPr="00535EF4" w14:paraId="07B9A1D1" w14:textId="77777777" w:rsidTr="001A54D9">
        <w:trPr>
          <w:trHeight w:val="173"/>
          <w:jc w:val="center"/>
        </w:trPr>
        <w:tc>
          <w:tcPr>
            <w:tcW w:w="1102" w:type="dxa"/>
            <w:shd w:val="clear" w:color="auto" w:fill="C2D69B"/>
            <w:vAlign w:val="center"/>
          </w:tcPr>
          <w:p w14:paraId="44955B19"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 (</w:t>
            </w:r>
            <w:r w:rsidRPr="00535EF4">
              <w:rPr>
                <w:rFonts w:ascii="Calibri" w:eastAsia="Times New Roman" w:hAnsi="Calibri" w:cs="Calibri"/>
                <w:b/>
                <w:bCs/>
                <w:color w:val="000000"/>
                <w:sz w:val="20"/>
                <w:szCs w:val="20"/>
              </w:rPr>
              <w:t>half Fortify)</w:t>
            </w:r>
          </w:p>
        </w:tc>
        <w:tc>
          <w:tcPr>
            <w:tcW w:w="581" w:type="dxa"/>
            <w:vAlign w:val="center"/>
          </w:tcPr>
          <w:p w14:paraId="30D4B2B6"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81" w:type="dxa"/>
            <w:vAlign w:val="center"/>
          </w:tcPr>
          <w:p w14:paraId="6AD8C7C8"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81" w:type="dxa"/>
            <w:vAlign w:val="center"/>
          </w:tcPr>
          <w:p w14:paraId="1975316E"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81" w:type="dxa"/>
            <w:vAlign w:val="center"/>
          </w:tcPr>
          <w:p w14:paraId="3FF6007C"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81" w:type="dxa"/>
            <w:vAlign w:val="center"/>
          </w:tcPr>
          <w:p w14:paraId="5B7D5F6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81" w:type="dxa"/>
            <w:vAlign w:val="center"/>
          </w:tcPr>
          <w:p w14:paraId="73C0C6E8"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81" w:type="dxa"/>
            <w:vAlign w:val="center"/>
          </w:tcPr>
          <w:p w14:paraId="459B94B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81" w:type="dxa"/>
            <w:vAlign w:val="center"/>
          </w:tcPr>
          <w:p w14:paraId="7CA5E43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81" w:type="dxa"/>
            <w:vAlign w:val="center"/>
          </w:tcPr>
          <w:p w14:paraId="0330C563"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81" w:type="dxa"/>
            <w:vAlign w:val="center"/>
          </w:tcPr>
          <w:p w14:paraId="01110B76"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81" w:type="dxa"/>
            <w:vAlign w:val="center"/>
          </w:tcPr>
          <w:p w14:paraId="05F14C98"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82" w:type="dxa"/>
            <w:vAlign w:val="center"/>
          </w:tcPr>
          <w:p w14:paraId="1514197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1276" w:type="dxa"/>
            <w:shd w:val="clear" w:color="auto" w:fill="F2F2F2"/>
            <w:vAlign w:val="center"/>
          </w:tcPr>
          <w:p w14:paraId="3F219E1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125-156</w:t>
            </w:r>
          </w:p>
        </w:tc>
      </w:tr>
      <w:tr w:rsidR="00604774" w:rsidRPr="00535EF4" w14:paraId="7F28A9E6" w14:textId="77777777" w:rsidTr="001A54D9">
        <w:trPr>
          <w:trHeight w:val="173"/>
          <w:jc w:val="center"/>
        </w:trPr>
        <w:tc>
          <w:tcPr>
            <w:tcW w:w="1102" w:type="dxa"/>
            <w:shd w:val="clear" w:color="auto" w:fill="C2D69B"/>
            <w:vAlign w:val="center"/>
          </w:tcPr>
          <w:p w14:paraId="778177FC"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5 (</w:t>
            </w:r>
            <w:r w:rsidRPr="00535EF4">
              <w:rPr>
                <w:rFonts w:ascii="Calibri" w:eastAsia="Times New Roman" w:hAnsi="Calibri" w:cs="Calibri"/>
                <w:b/>
                <w:bCs/>
                <w:color w:val="000000"/>
                <w:sz w:val="20"/>
                <w:szCs w:val="20"/>
              </w:rPr>
              <w:t>fully fortify)</w:t>
            </w:r>
          </w:p>
        </w:tc>
        <w:tc>
          <w:tcPr>
            <w:tcW w:w="581" w:type="dxa"/>
            <w:vAlign w:val="center"/>
          </w:tcPr>
          <w:p w14:paraId="3CE4ED11"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81" w:type="dxa"/>
            <w:vAlign w:val="center"/>
          </w:tcPr>
          <w:p w14:paraId="35677C0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81" w:type="dxa"/>
            <w:vAlign w:val="center"/>
          </w:tcPr>
          <w:p w14:paraId="5E0D934C"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81" w:type="dxa"/>
            <w:vAlign w:val="center"/>
          </w:tcPr>
          <w:p w14:paraId="49D8AF63"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13</w:t>
            </w:r>
          </w:p>
        </w:tc>
        <w:tc>
          <w:tcPr>
            <w:tcW w:w="581" w:type="dxa"/>
            <w:vAlign w:val="center"/>
          </w:tcPr>
          <w:p w14:paraId="18CD4E92"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81" w:type="dxa"/>
            <w:vAlign w:val="center"/>
          </w:tcPr>
          <w:p w14:paraId="174BF63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81" w:type="dxa"/>
            <w:vAlign w:val="center"/>
          </w:tcPr>
          <w:p w14:paraId="58310773"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81" w:type="dxa"/>
            <w:vAlign w:val="center"/>
          </w:tcPr>
          <w:p w14:paraId="6BF7A97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81" w:type="dxa"/>
            <w:vAlign w:val="center"/>
          </w:tcPr>
          <w:p w14:paraId="172CCFD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2D2D1E0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36E5C69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2" w:type="dxa"/>
            <w:vAlign w:val="center"/>
          </w:tcPr>
          <w:p w14:paraId="2801473C"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1276" w:type="dxa"/>
            <w:shd w:val="clear" w:color="auto" w:fill="F2F2F2"/>
            <w:vAlign w:val="center"/>
          </w:tcPr>
          <w:p w14:paraId="5416863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144-180</w:t>
            </w:r>
          </w:p>
        </w:tc>
      </w:tr>
      <w:tr w:rsidR="00604774" w:rsidRPr="00535EF4" w14:paraId="4E0E1828" w14:textId="77777777" w:rsidTr="001A54D9">
        <w:trPr>
          <w:trHeight w:val="173"/>
          <w:jc w:val="center"/>
        </w:trPr>
        <w:tc>
          <w:tcPr>
            <w:tcW w:w="1102" w:type="dxa"/>
            <w:shd w:val="clear" w:color="auto" w:fill="C2D69B"/>
            <w:vAlign w:val="center"/>
          </w:tcPr>
          <w:p w14:paraId="560AD14B"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6</w:t>
            </w:r>
          </w:p>
        </w:tc>
        <w:tc>
          <w:tcPr>
            <w:tcW w:w="581" w:type="dxa"/>
            <w:vAlign w:val="center"/>
          </w:tcPr>
          <w:p w14:paraId="780C041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000591AB"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70B2004B"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77C23FC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72156060"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391F2DCC"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81" w:type="dxa"/>
            <w:vAlign w:val="center"/>
          </w:tcPr>
          <w:p w14:paraId="7C2CCCB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81" w:type="dxa"/>
            <w:vAlign w:val="center"/>
          </w:tcPr>
          <w:p w14:paraId="5DB7627F"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81" w:type="dxa"/>
            <w:vAlign w:val="center"/>
          </w:tcPr>
          <w:p w14:paraId="5F4A9B72"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81" w:type="dxa"/>
            <w:vAlign w:val="center"/>
          </w:tcPr>
          <w:p w14:paraId="4C3A412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81" w:type="dxa"/>
            <w:vAlign w:val="center"/>
          </w:tcPr>
          <w:p w14:paraId="71E3303D"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82" w:type="dxa"/>
            <w:vAlign w:val="center"/>
          </w:tcPr>
          <w:p w14:paraId="33BE8CA5"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1276" w:type="dxa"/>
            <w:shd w:val="clear" w:color="auto" w:fill="F2F2F2"/>
            <w:vAlign w:val="center"/>
          </w:tcPr>
          <w:p w14:paraId="302672C7" w14:textId="77777777" w:rsidR="00604774" w:rsidRPr="00535EF4" w:rsidRDefault="00604774"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154-192</w:t>
            </w:r>
          </w:p>
        </w:tc>
      </w:tr>
    </w:tbl>
    <w:p w14:paraId="30DFCE83"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572"/>
        <w:gridCol w:w="572"/>
        <w:gridCol w:w="572"/>
        <w:gridCol w:w="572"/>
        <w:gridCol w:w="572"/>
        <w:gridCol w:w="572"/>
        <w:gridCol w:w="572"/>
        <w:gridCol w:w="572"/>
        <w:gridCol w:w="572"/>
        <w:gridCol w:w="572"/>
        <w:gridCol w:w="572"/>
        <w:gridCol w:w="572"/>
        <w:gridCol w:w="1286"/>
        <w:tblGridChange w:id="76">
          <w:tblGrid>
            <w:gridCol w:w="1324"/>
            <w:gridCol w:w="572"/>
            <w:gridCol w:w="572"/>
            <w:gridCol w:w="572"/>
            <w:gridCol w:w="572"/>
            <w:gridCol w:w="572"/>
            <w:gridCol w:w="572"/>
            <w:gridCol w:w="572"/>
            <w:gridCol w:w="572"/>
            <w:gridCol w:w="572"/>
            <w:gridCol w:w="572"/>
            <w:gridCol w:w="572"/>
            <w:gridCol w:w="572"/>
            <w:gridCol w:w="1286"/>
          </w:tblGrid>
        </w:tblGridChange>
      </w:tblGrid>
      <w:tr w:rsidR="00761797" w:rsidRPr="00535EF4" w14:paraId="244319DE" w14:textId="77777777" w:rsidTr="001A54D9">
        <w:trPr>
          <w:trHeight w:val="209"/>
          <w:jc w:val="center"/>
        </w:trPr>
        <w:tc>
          <w:tcPr>
            <w:tcW w:w="9474" w:type="dxa"/>
            <w:gridSpan w:val="14"/>
            <w:tcBorders>
              <w:top w:val="single" w:sz="4" w:space="0" w:color="auto"/>
              <w:left w:val="single" w:sz="4" w:space="0" w:color="auto"/>
              <w:bottom w:val="single" w:sz="4" w:space="0" w:color="auto"/>
              <w:right w:val="single" w:sz="4" w:space="0" w:color="auto"/>
            </w:tcBorders>
            <w:shd w:val="clear" w:color="auto" w:fill="1395B5" w:themeFill="accent4" w:themeFillShade="BF"/>
          </w:tcPr>
          <w:p w14:paraId="0A4C180B" w14:textId="77777777" w:rsidR="00761797" w:rsidRPr="00436AF9" w:rsidRDefault="00761797" w:rsidP="001A54D9">
            <w:pPr>
              <w:autoSpaceDE w:val="0"/>
              <w:autoSpaceDN w:val="0"/>
              <w:adjustRightInd w:val="0"/>
              <w:spacing w:before="0" w:after="0" w:line="240" w:lineRule="auto"/>
              <w:jc w:val="center"/>
              <w:rPr>
                <w:rFonts w:ascii="Calibri" w:hAnsi="Calibri"/>
                <w:b/>
                <w:color w:val="000000"/>
                <w:sz w:val="32"/>
              </w:rPr>
            </w:pPr>
            <w:r w:rsidRPr="00535EF4">
              <w:rPr>
                <w:rFonts w:ascii="Calibri" w:eastAsia="Times New Roman" w:hAnsi="Calibri" w:cs="Calibri"/>
                <w:b/>
                <w:bCs/>
                <w:color w:val="000000"/>
                <w:sz w:val="32"/>
                <w:szCs w:val="32"/>
              </w:rPr>
              <w:t>PROTOCOL 7 - 1250-1499g</w:t>
            </w:r>
          </w:p>
        </w:tc>
      </w:tr>
      <w:tr w:rsidR="00761797" w:rsidRPr="00535EF4" w14:paraId="611B7ACF" w14:textId="77777777" w:rsidTr="001A54D9">
        <w:trPr>
          <w:trHeight w:val="209"/>
          <w:jc w:val="center"/>
        </w:trPr>
        <w:tc>
          <w:tcPr>
            <w:tcW w:w="1324" w:type="dxa"/>
            <w:vMerge w:val="restart"/>
            <w:shd w:val="clear" w:color="auto" w:fill="C2D69B"/>
            <w:vAlign w:val="center"/>
          </w:tcPr>
          <w:p w14:paraId="3D441225"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FEED DAY</w:t>
            </w:r>
          </w:p>
        </w:tc>
        <w:tc>
          <w:tcPr>
            <w:tcW w:w="8150" w:type="dxa"/>
            <w:gridSpan w:val="13"/>
            <w:shd w:val="clear" w:color="auto" w:fill="FBD4B4"/>
            <w:vAlign w:val="center"/>
          </w:tcPr>
          <w:p w14:paraId="7778EDA1" w14:textId="77777777" w:rsidR="00761797" w:rsidRPr="00535EF4" w:rsidRDefault="00761797" w:rsidP="001A54D9">
            <w:pPr>
              <w:spacing w:before="0" w:after="0" w:line="240" w:lineRule="auto"/>
              <w:rPr>
                <w:rFonts w:ascii="Calibri" w:eastAsia="Times New Roman" w:hAnsi="Calibri" w:cs="Times New Roman"/>
                <w:b/>
                <w:bCs/>
                <w:color w:val="auto"/>
                <w:lang w:eastAsia="en-US"/>
              </w:rPr>
            </w:pPr>
            <w:r w:rsidRPr="00535EF4">
              <w:rPr>
                <w:rFonts w:ascii="Calibri" w:eastAsia="Times New Roman" w:hAnsi="Calibri" w:cs="Times New Roman"/>
                <w:b/>
                <w:bCs/>
                <w:color w:val="auto"/>
                <w:lang w:eastAsia="en-US"/>
              </w:rPr>
              <w:t xml:space="preserve">FEED NUMBER and </w:t>
            </w:r>
            <w:r w:rsidRPr="00535EF4">
              <w:rPr>
                <w:rFonts w:ascii="Calibri" w:eastAsia="Times New Roman" w:hAnsi="Calibri" w:cs="Times New Roman"/>
                <w:b/>
                <w:bCs/>
                <w:color w:val="C00000"/>
                <w:lang w:eastAsia="en-US"/>
              </w:rPr>
              <w:t xml:space="preserve">VOLUME (ml) </w:t>
            </w:r>
            <w:r w:rsidRPr="00535EF4">
              <w:rPr>
                <w:rFonts w:ascii="Calibri" w:eastAsia="Times New Roman" w:hAnsi="Calibri" w:cs="Times New Roman"/>
                <w:b/>
                <w:bCs/>
                <w:color w:val="auto"/>
                <w:szCs w:val="20"/>
                <w:lang w:eastAsia="en-US"/>
              </w:rPr>
              <w:t>2</w:t>
            </w:r>
            <w:r w:rsidRPr="00535EF4">
              <w:rPr>
                <w:rFonts w:ascii="Calibri" w:eastAsia="Times New Roman" w:hAnsi="Calibri" w:cs="Times New Roman"/>
                <w:b/>
                <w:bCs/>
                <w:color w:val="auto"/>
                <w:szCs w:val="20"/>
                <w:vertAlign w:val="superscript"/>
                <w:lang w:eastAsia="en-US"/>
              </w:rPr>
              <w:t>nd</w:t>
            </w:r>
            <w:r w:rsidRPr="00535EF4">
              <w:rPr>
                <w:rFonts w:ascii="Calibri" w:eastAsia="Times New Roman" w:hAnsi="Calibri" w:cs="Times New Roman"/>
                <w:b/>
                <w:bCs/>
                <w:color w:val="auto"/>
                <w:szCs w:val="20"/>
                <w:lang w:eastAsia="en-US"/>
              </w:rPr>
              <w:t xml:space="preserve"> HOURLY FEEDS</w:t>
            </w:r>
            <w:r w:rsidRPr="00535EF4">
              <w:rPr>
                <w:rFonts w:ascii="Calibri" w:eastAsia="Times New Roman" w:hAnsi="Calibri" w:cs="Calibri"/>
                <w:b/>
                <w:bCs/>
                <w:color w:val="auto"/>
                <w:szCs w:val="20"/>
                <w:lang w:eastAsia="en-US"/>
              </w:rPr>
              <w:t xml:space="preserve"> </w:t>
            </w:r>
          </w:p>
          <w:p w14:paraId="754131AC" w14:textId="77777777" w:rsidR="00761797" w:rsidRPr="00535EF4" w:rsidRDefault="00761797" w:rsidP="001A54D9">
            <w:pPr>
              <w:autoSpaceDE w:val="0"/>
              <w:autoSpaceDN w:val="0"/>
              <w:adjustRightInd w:val="0"/>
              <w:spacing w:before="0" w:after="0" w:line="240" w:lineRule="auto"/>
              <w:rPr>
                <w:rFonts w:ascii="Calibri" w:eastAsia="Times New Roman" w:hAnsi="Calibri" w:cs="Calibri"/>
                <w:b/>
                <w:bCs/>
                <w:color w:val="000000"/>
              </w:rPr>
            </w:pPr>
            <w:r w:rsidRPr="00535EF4">
              <w:rPr>
                <w:rFonts w:ascii="Calibri" w:eastAsia="Times New Roman" w:hAnsi="Calibri" w:cs="Calibri"/>
                <w:b/>
                <w:bCs/>
                <w:color w:val="000000"/>
              </w:rPr>
              <w:t>*Cease grading once a volume of 160mL/kg/d is reached</w:t>
            </w:r>
          </w:p>
        </w:tc>
      </w:tr>
      <w:tr w:rsidR="00761797" w:rsidRPr="00535EF4" w14:paraId="2C52FF17" w14:textId="77777777" w:rsidTr="001A54D9">
        <w:trPr>
          <w:trHeight w:val="209"/>
          <w:jc w:val="center"/>
        </w:trPr>
        <w:tc>
          <w:tcPr>
            <w:tcW w:w="1324" w:type="dxa"/>
            <w:vMerge/>
            <w:shd w:val="clear" w:color="auto" w:fill="C2D69B"/>
            <w:vAlign w:val="center"/>
          </w:tcPr>
          <w:p w14:paraId="7643439E"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p>
        </w:tc>
        <w:tc>
          <w:tcPr>
            <w:tcW w:w="572" w:type="dxa"/>
            <w:shd w:val="clear" w:color="auto" w:fill="FBD4B4"/>
            <w:vAlign w:val="center"/>
          </w:tcPr>
          <w:p w14:paraId="0D85FE3C"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572" w:type="dxa"/>
            <w:shd w:val="clear" w:color="auto" w:fill="FBD4B4"/>
            <w:vAlign w:val="center"/>
          </w:tcPr>
          <w:p w14:paraId="687704C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572" w:type="dxa"/>
            <w:shd w:val="clear" w:color="auto" w:fill="FBD4B4"/>
            <w:vAlign w:val="center"/>
          </w:tcPr>
          <w:p w14:paraId="38FE72D3"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w:t>
            </w:r>
          </w:p>
        </w:tc>
        <w:tc>
          <w:tcPr>
            <w:tcW w:w="572" w:type="dxa"/>
            <w:shd w:val="clear" w:color="auto" w:fill="FBD4B4"/>
            <w:vAlign w:val="center"/>
          </w:tcPr>
          <w:p w14:paraId="1487D52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w:t>
            </w:r>
          </w:p>
        </w:tc>
        <w:tc>
          <w:tcPr>
            <w:tcW w:w="572" w:type="dxa"/>
            <w:shd w:val="clear" w:color="auto" w:fill="FBD4B4"/>
            <w:vAlign w:val="center"/>
          </w:tcPr>
          <w:p w14:paraId="3A092477"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5</w:t>
            </w:r>
          </w:p>
        </w:tc>
        <w:tc>
          <w:tcPr>
            <w:tcW w:w="572" w:type="dxa"/>
            <w:shd w:val="clear" w:color="auto" w:fill="FBD4B4"/>
            <w:vAlign w:val="center"/>
          </w:tcPr>
          <w:p w14:paraId="0BC8C745"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6</w:t>
            </w:r>
          </w:p>
        </w:tc>
        <w:tc>
          <w:tcPr>
            <w:tcW w:w="572" w:type="dxa"/>
            <w:shd w:val="clear" w:color="auto" w:fill="FBD4B4"/>
            <w:vAlign w:val="center"/>
          </w:tcPr>
          <w:p w14:paraId="309153F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7</w:t>
            </w:r>
          </w:p>
        </w:tc>
        <w:tc>
          <w:tcPr>
            <w:tcW w:w="572" w:type="dxa"/>
            <w:shd w:val="clear" w:color="auto" w:fill="FBD4B4"/>
            <w:vAlign w:val="center"/>
          </w:tcPr>
          <w:p w14:paraId="524F29E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8</w:t>
            </w:r>
          </w:p>
        </w:tc>
        <w:tc>
          <w:tcPr>
            <w:tcW w:w="572" w:type="dxa"/>
            <w:shd w:val="clear" w:color="auto" w:fill="FBD4B4"/>
            <w:vAlign w:val="center"/>
          </w:tcPr>
          <w:p w14:paraId="4206A64F"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9</w:t>
            </w:r>
          </w:p>
        </w:tc>
        <w:tc>
          <w:tcPr>
            <w:tcW w:w="572" w:type="dxa"/>
            <w:shd w:val="clear" w:color="auto" w:fill="FBD4B4"/>
            <w:vAlign w:val="center"/>
          </w:tcPr>
          <w:p w14:paraId="1426EB0F"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10</w:t>
            </w:r>
          </w:p>
        </w:tc>
        <w:tc>
          <w:tcPr>
            <w:tcW w:w="572" w:type="dxa"/>
            <w:shd w:val="clear" w:color="auto" w:fill="FBD4B4"/>
            <w:vAlign w:val="center"/>
          </w:tcPr>
          <w:p w14:paraId="3414676E"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11</w:t>
            </w:r>
          </w:p>
        </w:tc>
        <w:tc>
          <w:tcPr>
            <w:tcW w:w="572" w:type="dxa"/>
            <w:shd w:val="clear" w:color="auto" w:fill="FBD4B4"/>
            <w:vAlign w:val="center"/>
          </w:tcPr>
          <w:p w14:paraId="0DD0BDA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12</w:t>
            </w:r>
          </w:p>
        </w:tc>
        <w:tc>
          <w:tcPr>
            <w:tcW w:w="1286" w:type="dxa"/>
            <w:shd w:val="clear" w:color="auto" w:fill="BFBFBF"/>
            <w:vAlign w:val="center"/>
          </w:tcPr>
          <w:p w14:paraId="1C088F94"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000000"/>
                <w:sz w:val="20"/>
                <w:szCs w:val="20"/>
              </w:rPr>
            </w:pPr>
            <w:r w:rsidRPr="00535EF4">
              <w:rPr>
                <w:rFonts w:ascii="Calibri" w:eastAsia="Times New Roman" w:hAnsi="Calibri" w:cs="Calibri"/>
                <w:b/>
                <w:bCs/>
                <w:color w:val="000000"/>
                <w:sz w:val="20"/>
                <w:szCs w:val="20"/>
              </w:rPr>
              <w:t>TFI@ feed12</w:t>
            </w:r>
          </w:p>
          <w:p w14:paraId="0F78E76D"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sz w:val="20"/>
                <w:szCs w:val="20"/>
              </w:rPr>
              <w:t>(mL/kg/d)</w:t>
            </w:r>
          </w:p>
        </w:tc>
      </w:tr>
      <w:tr w:rsidR="00761797" w:rsidRPr="00535EF4" w14:paraId="6B32FCBA" w14:textId="77777777" w:rsidTr="001A54D9">
        <w:trPr>
          <w:trHeight w:val="173"/>
          <w:jc w:val="center"/>
        </w:trPr>
        <w:tc>
          <w:tcPr>
            <w:tcW w:w="1324" w:type="dxa"/>
            <w:shd w:val="clear" w:color="auto" w:fill="C2D69B"/>
            <w:vAlign w:val="center"/>
          </w:tcPr>
          <w:p w14:paraId="0710DB91"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572" w:type="dxa"/>
            <w:vAlign w:val="center"/>
          </w:tcPr>
          <w:p w14:paraId="2CC404B9"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72" w:type="dxa"/>
            <w:vAlign w:val="center"/>
          </w:tcPr>
          <w:p w14:paraId="76F5E5C6"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72" w:type="dxa"/>
            <w:vAlign w:val="center"/>
          </w:tcPr>
          <w:p w14:paraId="527CE273"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72" w:type="dxa"/>
            <w:vAlign w:val="center"/>
          </w:tcPr>
          <w:p w14:paraId="1C0849FE"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572" w:type="dxa"/>
            <w:vAlign w:val="center"/>
          </w:tcPr>
          <w:p w14:paraId="050B648D"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72" w:type="dxa"/>
            <w:vAlign w:val="center"/>
          </w:tcPr>
          <w:p w14:paraId="211D2F7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72" w:type="dxa"/>
            <w:vAlign w:val="center"/>
          </w:tcPr>
          <w:p w14:paraId="77B1E10F"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72" w:type="dxa"/>
            <w:vAlign w:val="center"/>
          </w:tcPr>
          <w:p w14:paraId="7E13E293"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w:t>
            </w:r>
          </w:p>
        </w:tc>
        <w:tc>
          <w:tcPr>
            <w:tcW w:w="572" w:type="dxa"/>
            <w:vAlign w:val="center"/>
          </w:tcPr>
          <w:p w14:paraId="5BE8116B"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72" w:type="dxa"/>
            <w:vAlign w:val="center"/>
          </w:tcPr>
          <w:p w14:paraId="70F124FD"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72" w:type="dxa"/>
            <w:vAlign w:val="center"/>
          </w:tcPr>
          <w:p w14:paraId="6E24E60F"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572" w:type="dxa"/>
            <w:vAlign w:val="center"/>
          </w:tcPr>
          <w:p w14:paraId="189AB9E0"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1286" w:type="dxa"/>
            <w:shd w:val="clear" w:color="auto" w:fill="F2F2F2"/>
            <w:vAlign w:val="center"/>
          </w:tcPr>
          <w:p w14:paraId="02D97390"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32-38</w:t>
            </w:r>
          </w:p>
        </w:tc>
      </w:tr>
      <w:tr w:rsidR="00761797" w:rsidRPr="00535EF4" w14:paraId="712CB67F" w14:textId="77777777" w:rsidTr="001A54D9">
        <w:trPr>
          <w:trHeight w:val="173"/>
          <w:jc w:val="center"/>
        </w:trPr>
        <w:tc>
          <w:tcPr>
            <w:tcW w:w="1324" w:type="dxa"/>
            <w:shd w:val="clear" w:color="auto" w:fill="C2D69B"/>
            <w:vAlign w:val="center"/>
          </w:tcPr>
          <w:p w14:paraId="1E166C3A"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572" w:type="dxa"/>
            <w:vAlign w:val="center"/>
          </w:tcPr>
          <w:p w14:paraId="5D42B2D4"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72" w:type="dxa"/>
            <w:vAlign w:val="center"/>
          </w:tcPr>
          <w:p w14:paraId="62D34CF9"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72" w:type="dxa"/>
            <w:vAlign w:val="center"/>
          </w:tcPr>
          <w:p w14:paraId="5F3CE41E"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72" w:type="dxa"/>
            <w:vAlign w:val="center"/>
          </w:tcPr>
          <w:p w14:paraId="3E082FCF"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572" w:type="dxa"/>
            <w:vAlign w:val="center"/>
          </w:tcPr>
          <w:p w14:paraId="5B1EFB07"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72" w:type="dxa"/>
            <w:vAlign w:val="center"/>
          </w:tcPr>
          <w:p w14:paraId="4E912BC9"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72" w:type="dxa"/>
            <w:vAlign w:val="center"/>
          </w:tcPr>
          <w:p w14:paraId="32499B9B"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72" w:type="dxa"/>
            <w:vAlign w:val="center"/>
          </w:tcPr>
          <w:p w14:paraId="4CE35E21"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7</w:t>
            </w:r>
          </w:p>
        </w:tc>
        <w:tc>
          <w:tcPr>
            <w:tcW w:w="572" w:type="dxa"/>
            <w:vAlign w:val="center"/>
          </w:tcPr>
          <w:p w14:paraId="499EE324"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72" w:type="dxa"/>
            <w:vAlign w:val="center"/>
          </w:tcPr>
          <w:p w14:paraId="6F7CBD0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72" w:type="dxa"/>
            <w:vAlign w:val="center"/>
          </w:tcPr>
          <w:p w14:paraId="1F6CDDC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572" w:type="dxa"/>
            <w:vAlign w:val="center"/>
          </w:tcPr>
          <w:p w14:paraId="2E842D13"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8</w:t>
            </w:r>
          </w:p>
        </w:tc>
        <w:tc>
          <w:tcPr>
            <w:tcW w:w="1286" w:type="dxa"/>
            <w:shd w:val="clear" w:color="auto" w:fill="F2F2F2"/>
            <w:vAlign w:val="center"/>
          </w:tcPr>
          <w:p w14:paraId="1FC20453"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64-76</w:t>
            </w:r>
          </w:p>
        </w:tc>
      </w:tr>
      <w:tr w:rsidR="00761797" w:rsidRPr="00535EF4" w14:paraId="506CAF76" w14:textId="77777777" w:rsidTr="001A54D9">
        <w:trPr>
          <w:trHeight w:val="173"/>
          <w:jc w:val="center"/>
        </w:trPr>
        <w:tc>
          <w:tcPr>
            <w:tcW w:w="1324" w:type="dxa"/>
            <w:shd w:val="clear" w:color="auto" w:fill="C2D69B"/>
            <w:vAlign w:val="center"/>
          </w:tcPr>
          <w:p w14:paraId="5B6217E0"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 (</w:t>
            </w:r>
            <w:r w:rsidRPr="00535EF4">
              <w:rPr>
                <w:rFonts w:ascii="Calibri" w:eastAsia="Times New Roman" w:hAnsi="Calibri" w:cs="Calibri"/>
                <w:b/>
                <w:bCs/>
                <w:color w:val="000000"/>
                <w:sz w:val="20"/>
                <w:szCs w:val="20"/>
              </w:rPr>
              <w:t>half Fortify)</w:t>
            </w:r>
          </w:p>
        </w:tc>
        <w:tc>
          <w:tcPr>
            <w:tcW w:w="572" w:type="dxa"/>
            <w:vAlign w:val="center"/>
          </w:tcPr>
          <w:p w14:paraId="5D3AE263"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72" w:type="dxa"/>
            <w:vAlign w:val="center"/>
          </w:tcPr>
          <w:p w14:paraId="370BCD07"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72" w:type="dxa"/>
            <w:vAlign w:val="center"/>
          </w:tcPr>
          <w:p w14:paraId="5AC54FF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72" w:type="dxa"/>
            <w:vAlign w:val="center"/>
          </w:tcPr>
          <w:p w14:paraId="5E98DEEA"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572" w:type="dxa"/>
            <w:vAlign w:val="center"/>
          </w:tcPr>
          <w:p w14:paraId="29AC955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2" w:type="dxa"/>
            <w:vAlign w:val="center"/>
          </w:tcPr>
          <w:p w14:paraId="5CEA1EBE"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2" w:type="dxa"/>
            <w:vAlign w:val="center"/>
          </w:tcPr>
          <w:p w14:paraId="1CAA4DB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2" w:type="dxa"/>
            <w:vAlign w:val="center"/>
          </w:tcPr>
          <w:p w14:paraId="4C736401"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11</w:t>
            </w:r>
          </w:p>
        </w:tc>
        <w:tc>
          <w:tcPr>
            <w:tcW w:w="572" w:type="dxa"/>
            <w:vAlign w:val="center"/>
          </w:tcPr>
          <w:p w14:paraId="01D05900"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72" w:type="dxa"/>
            <w:vAlign w:val="center"/>
          </w:tcPr>
          <w:p w14:paraId="30F31849"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72" w:type="dxa"/>
            <w:vAlign w:val="center"/>
          </w:tcPr>
          <w:p w14:paraId="78F786B4"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572" w:type="dxa"/>
            <w:vAlign w:val="center"/>
          </w:tcPr>
          <w:p w14:paraId="4AF7A49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1286" w:type="dxa"/>
            <w:shd w:val="clear" w:color="auto" w:fill="F2F2F2"/>
            <w:vAlign w:val="center"/>
          </w:tcPr>
          <w:p w14:paraId="19724924"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96-115</w:t>
            </w:r>
          </w:p>
        </w:tc>
      </w:tr>
      <w:tr w:rsidR="00761797" w:rsidRPr="00535EF4" w14:paraId="50A05958" w14:textId="77777777" w:rsidTr="001A54D9">
        <w:trPr>
          <w:trHeight w:val="173"/>
          <w:jc w:val="center"/>
        </w:trPr>
        <w:tc>
          <w:tcPr>
            <w:tcW w:w="1324" w:type="dxa"/>
            <w:shd w:val="clear" w:color="auto" w:fill="C2D69B"/>
            <w:vAlign w:val="center"/>
          </w:tcPr>
          <w:p w14:paraId="74942359"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 (</w:t>
            </w:r>
            <w:r w:rsidRPr="00535EF4">
              <w:rPr>
                <w:rFonts w:ascii="Calibri" w:eastAsia="Times New Roman" w:hAnsi="Calibri" w:cs="Calibri"/>
                <w:b/>
                <w:bCs/>
                <w:color w:val="000000"/>
                <w:sz w:val="20"/>
                <w:szCs w:val="20"/>
              </w:rPr>
              <w:t>half Fortify)</w:t>
            </w:r>
          </w:p>
        </w:tc>
        <w:tc>
          <w:tcPr>
            <w:tcW w:w="572" w:type="dxa"/>
            <w:vAlign w:val="center"/>
          </w:tcPr>
          <w:p w14:paraId="721CF33B"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72" w:type="dxa"/>
            <w:vAlign w:val="center"/>
          </w:tcPr>
          <w:p w14:paraId="5BAC1FD5"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72" w:type="dxa"/>
            <w:vAlign w:val="center"/>
          </w:tcPr>
          <w:p w14:paraId="754E22E4"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72" w:type="dxa"/>
            <w:vAlign w:val="center"/>
          </w:tcPr>
          <w:p w14:paraId="519D6FFA"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572" w:type="dxa"/>
            <w:vAlign w:val="center"/>
          </w:tcPr>
          <w:p w14:paraId="1FDD9A1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72" w:type="dxa"/>
            <w:vAlign w:val="center"/>
          </w:tcPr>
          <w:p w14:paraId="136C6CA0"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72" w:type="dxa"/>
            <w:vAlign w:val="center"/>
          </w:tcPr>
          <w:p w14:paraId="418FDF90"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72" w:type="dxa"/>
            <w:vAlign w:val="center"/>
          </w:tcPr>
          <w:p w14:paraId="47805BF2"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15</w:t>
            </w:r>
          </w:p>
        </w:tc>
        <w:tc>
          <w:tcPr>
            <w:tcW w:w="572" w:type="dxa"/>
            <w:vAlign w:val="center"/>
          </w:tcPr>
          <w:p w14:paraId="22543B71"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72" w:type="dxa"/>
            <w:vAlign w:val="center"/>
          </w:tcPr>
          <w:p w14:paraId="14792071"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72" w:type="dxa"/>
            <w:vAlign w:val="center"/>
          </w:tcPr>
          <w:p w14:paraId="05DE3FFC"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572" w:type="dxa"/>
            <w:vAlign w:val="center"/>
          </w:tcPr>
          <w:p w14:paraId="3A494B1D"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1286" w:type="dxa"/>
            <w:shd w:val="clear" w:color="auto" w:fill="F2F2F2"/>
            <w:vAlign w:val="center"/>
          </w:tcPr>
          <w:p w14:paraId="28D36397"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128-154</w:t>
            </w:r>
          </w:p>
        </w:tc>
      </w:tr>
      <w:tr w:rsidR="00761797" w:rsidRPr="00535EF4" w14:paraId="24DB9F1E" w14:textId="77777777" w:rsidTr="001A54D9">
        <w:trPr>
          <w:trHeight w:val="173"/>
          <w:jc w:val="center"/>
        </w:trPr>
        <w:tc>
          <w:tcPr>
            <w:tcW w:w="1324" w:type="dxa"/>
            <w:shd w:val="clear" w:color="auto" w:fill="C2D69B"/>
            <w:vAlign w:val="center"/>
          </w:tcPr>
          <w:p w14:paraId="3290555E"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 xml:space="preserve">5 </w:t>
            </w:r>
            <w:r w:rsidRPr="00535EF4">
              <w:rPr>
                <w:rFonts w:ascii="Calibri" w:eastAsia="Times New Roman" w:hAnsi="Calibri" w:cs="Calibri"/>
                <w:b/>
                <w:bCs/>
                <w:color w:val="000000"/>
                <w:sz w:val="20"/>
                <w:szCs w:val="20"/>
              </w:rPr>
              <w:t>(fully fortify)</w:t>
            </w:r>
          </w:p>
        </w:tc>
        <w:tc>
          <w:tcPr>
            <w:tcW w:w="572" w:type="dxa"/>
            <w:vAlign w:val="center"/>
          </w:tcPr>
          <w:p w14:paraId="6627CD2A"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18</w:t>
            </w:r>
          </w:p>
        </w:tc>
        <w:tc>
          <w:tcPr>
            <w:tcW w:w="572" w:type="dxa"/>
            <w:vAlign w:val="center"/>
          </w:tcPr>
          <w:p w14:paraId="1FF6B22E"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18</w:t>
            </w:r>
          </w:p>
        </w:tc>
        <w:tc>
          <w:tcPr>
            <w:tcW w:w="572" w:type="dxa"/>
            <w:vAlign w:val="center"/>
          </w:tcPr>
          <w:p w14:paraId="561E541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18</w:t>
            </w:r>
          </w:p>
        </w:tc>
        <w:tc>
          <w:tcPr>
            <w:tcW w:w="572" w:type="dxa"/>
            <w:vAlign w:val="center"/>
          </w:tcPr>
          <w:p w14:paraId="648CFE33"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18</w:t>
            </w:r>
          </w:p>
        </w:tc>
        <w:tc>
          <w:tcPr>
            <w:tcW w:w="572" w:type="dxa"/>
            <w:vAlign w:val="center"/>
          </w:tcPr>
          <w:p w14:paraId="1000D06F"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19</w:t>
            </w:r>
          </w:p>
        </w:tc>
        <w:tc>
          <w:tcPr>
            <w:tcW w:w="572" w:type="dxa"/>
            <w:vAlign w:val="center"/>
          </w:tcPr>
          <w:p w14:paraId="0A48E701"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19</w:t>
            </w:r>
          </w:p>
        </w:tc>
        <w:tc>
          <w:tcPr>
            <w:tcW w:w="572" w:type="dxa"/>
            <w:vAlign w:val="center"/>
          </w:tcPr>
          <w:p w14:paraId="29D2B914"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19</w:t>
            </w:r>
          </w:p>
        </w:tc>
        <w:tc>
          <w:tcPr>
            <w:tcW w:w="572" w:type="dxa"/>
            <w:vAlign w:val="center"/>
          </w:tcPr>
          <w:p w14:paraId="1412F216"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19</w:t>
            </w:r>
          </w:p>
        </w:tc>
        <w:tc>
          <w:tcPr>
            <w:tcW w:w="572" w:type="dxa"/>
            <w:vAlign w:val="center"/>
          </w:tcPr>
          <w:p w14:paraId="35DDE3D9"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20</w:t>
            </w:r>
          </w:p>
        </w:tc>
        <w:tc>
          <w:tcPr>
            <w:tcW w:w="572" w:type="dxa"/>
            <w:vAlign w:val="center"/>
          </w:tcPr>
          <w:p w14:paraId="1C7ADBF8"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20</w:t>
            </w:r>
          </w:p>
        </w:tc>
        <w:tc>
          <w:tcPr>
            <w:tcW w:w="572" w:type="dxa"/>
            <w:vAlign w:val="center"/>
          </w:tcPr>
          <w:p w14:paraId="30556E4B"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20</w:t>
            </w:r>
          </w:p>
        </w:tc>
        <w:tc>
          <w:tcPr>
            <w:tcW w:w="572" w:type="dxa"/>
            <w:vAlign w:val="center"/>
          </w:tcPr>
          <w:p w14:paraId="58750BBC"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20</w:t>
            </w:r>
          </w:p>
        </w:tc>
        <w:tc>
          <w:tcPr>
            <w:tcW w:w="1286" w:type="dxa"/>
            <w:shd w:val="clear" w:color="auto" w:fill="F2F2F2"/>
            <w:vAlign w:val="center"/>
          </w:tcPr>
          <w:p w14:paraId="1D5018FF" w14:textId="77777777" w:rsidR="00761797" w:rsidRPr="00535EF4" w:rsidRDefault="00761797"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160-192</w:t>
            </w:r>
          </w:p>
        </w:tc>
      </w:tr>
    </w:tbl>
    <w:p w14:paraId="300DDBB0" w14:textId="77777777" w:rsidR="00535EF4" w:rsidRPr="00535EF4" w:rsidRDefault="00535EF4" w:rsidP="00535EF4">
      <w:pPr>
        <w:spacing w:before="0" w:after="0" w:line="240" w:lineRule="auto"/>
        <w:rPr>
          <w:rFonts w:ascii="Calibri" w:eastAsia="Times New Roman" w:hAnsi="Calibri" w:cs="Times New Roman"/>
          <w:color w:val="auto"/>
          <w:szCs w:val="20"/>
          <w:lang w:eastAsia="en-US"/>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885"/>
        <w:gridCol w:w="886"/>
        <w:gridCol w:w="886"/>
        <w:gridCol w:w="886"/>
        <w:gridCol w:w="886"/>
        <w:gridCol w:w="886"/>
        <w:gridCol w:w="886"/>
        <w:gridCol w:w="886"/>
        <w:gridCol w:w="1134"/>
        <w:tblGridChange w:id="77">
          <w:tblGrid>
            <w:gridCol w:w="1253"/>
            <w:gridCol w:w="885"/>
            <w:gridCol w:w="886"/>
            <w:gridCol w:w="886"/>
            <w:gridCol w:w="886"/>
            <w:gridCol w:w="886"/>
            <w:gridCol w:w="886"/>
            <w:gridCol w:w="886"/>
            <w:gridCol w:w="886"/>
            <w:gridCol w:w="1134"/>
          </w:tblGrid>
        </w:tblGridChange>
      </w:tblGrid>
      <w:tr w:rsidR="000E4029" w:rsidRPr="00535EF4" w14:paraId="07E38D1B" w14:textId="77777777" w:rsidTr="001A54D9">
        <w:trPr>
          <w:trHeight w:val="209"/>
          <w:jc w:val="center"/>
        </w:trPr>
        <w:tc>
          <w:tcPr>
            <w:tcW w:w="9474" w:type="dxa"/>
            <w:gridSpan w:val="10"/>
            <w:shd w:val="clear" w:color="auto" w:fill="9966FF"/>
          </w:tcPr>
          <w:p w14:paraId="49060B12"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000000"/>
                <w:sz w:val="32"/>
                <w:szCs w:val="32"/>
              </w:rPr>
            </w:pPr>
            <w:r w:rsidRPr="00535EF4">
              <w:rPr>
                <w:rFonts w:ascii="Calibri" w:eastAsia="Times New Roman" w:hAnsi="Calibri" w:cs="Calibri"/>
                <w:b/>
                <w:bCs/>
                <w:color w:val="000000"/>
                <w:sz w:val="32"/>
                <w:szCs w:val="32"/>
              </w:rPr>
              <w:t>PROTOCOL 8 - 1500-1799g</w:t>
            </w:r>
          </w:p>
        </w:tc>
      </w:tr>
      <w:tr w:rsidR="000E4029" w:rsidRPr="00535EF4" w14:paraId="6B407960" w14:textId="77777777" w:rsidTr="001A54D9">
        <w:trPr>
          <w:trHeight w:val="209"/>
          <w:jc w:val="center"/>
        </w:trPr>
        <w:tc>
          <w:tcPr>
            <w:tcW w:w="1253" w:type="dxa"/>
            <w:vMerge w:val="restart"/>
            <w:shd w:val="clear" w:color="auto" w:fill="C2D69B"/>
            <w:vAlign w:val="center"/>
          </w:tcPr>
          <w:p w14:paraId="3FA8F6F0"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FEED DAY</w:t>
            </w:r>
          </w:p>
        </w:tc>
        <w:tc>
          <w:tcPr>
            <w:tcW w:w="8221" w:type="dxa"/>
            <w:gridSpan w:val="9"/>
            <w:shd w:val="clear" w:color="auto" w:fill="FBD4B4"/>
            <w:vAlign w:val="center"/>
          </w:tcPr>
          <w:p w14:paraId="50161C85" w14:textId="77777777" w:rsidR="000E4029" w:rsidRPr="00535EF4" w:rsidRDefault="000E4029" w:rsidP="001A54D9">
            <w:pPr>
              <w:spacing w:before="0" w:after="0" w:line="240" w:lineRule="auto"/>
              <w:rPr>
                <w:rFonts w:ascii="Calibri" w:eastAsia="Times New Roman" w:hAnsi="Calibri" w:cs="Times New Roman"/>
                <w:b/>
                <w:bCs/>
                <w:color w:val="auto"/>
                <w:lang w:eastAsia="en-US"/>
              </w:rPr>
            </w:pPr>
            <w:r w:rsidRPr="00535EF4">
              <w:rPr>
                <w:rFonts w:ascii="Calibri" w:eastAsia="Times New Roman" w:hAnsi="Calibri" w:cs="Times New Roman"/>
                <w:b/>
                <w:bCs/>
                <w:color w:val="auto"/>
                <w:lang w:eastAsia="en-US"/>
              </w:rPr>
              <w:t xml:space="preserve">FEED NUMBER and </w:t>
            </w:r>
            <w:r w:rsidRPr="00535EF4">
              <w:rPr>
                <w:rFonts w:ascii="Calibri" w:eastAsia="Times New Roman" w:hAnsi="Calibri" w:cs="Times New Roman"/>
                <w:b/>
                <w:bCs/>
                <w:color w:val="C00000"/>
                <w:lang w:eastAsia="en-US"/>
              </w:rPr>
              <w:t xml:space="preserve">VOLUME (ml) </w:t>
            </w:r>
            <w:r w:rsidRPr="00535EF4">
              <w:rPr>
                <w:rFonts w:ascii="Calibri" w:eastAsia="Times New Roman" w:hAnsi="Calibri" w:cs="Times New Roman"/>
                <w:b/>
                <w:bCs/>
                <w:color w:val="auto"/>
                <w:szCs w:val="20"/>
                <w:lang w:eastAsia="en-US"/>
              </w:rPr>
              <w:t>3</w:t>
            </w:r>
            <w:r w:rsidRPr="00535EF4">
              <w:rPr>
                <w:rFonts w:ascii="Calibri" w:eastAsia="Times New Roman" w:hAnsi="Calibri" w:cs="Times New Roman"/>
                <w:b/>
                <w:bCs/>
                <w:color w:val="auto"/>
                <w:szCs w:val="20"/>
                <w:vertAlign w:val="superscript"/>
                <w:lang w:eastAsia="en-US"/>
              </w:rPr>
              <w:t>RD</w:t>
            </w:r>
            <w:r w:rsidRPr="00535EF4">
              <w:rPr>
                <w:rFonts w:ascii="Calibri" w:eastAsia="Times New Roman" w:hAnsi="Calibri" w:cs="Times New Roman"/>
                <w:b/>
                <w:bCs/>
                <w:color w:val="auto"/>
                <w:szCs w:val="20"/>
                <w:lang w:eastAsia="en-US"/>
              </w:rPr>
              <w:t xml:space="preserve"> HOURLY FEEDS</w:t>
            </w:r>
          </w:p>
          <w:p w14:paraId="7B50F128" w14:textId="77777777" w:rsidR="000E4029" w:rsidRPr="00535EF4" w:rsidRDefault="000E4029" w:rsidP="001A54D9">
            <w:pPr>
              <w:autoSpaceDE w:val="0"/>
              <w:autoSpaceDN w:val="0"/>
              <w:adjustRightInd w:val="0"/>
              <w:spacing w:before="0" w:after="0" w:line="240" w:lineRule="auto"/>
              <w:rPr>
                <w:rFonts w:ascii="Calibri" w:eastAsia="Times New Roman" w:hAnsi="Calibri" w:cs="Calibri"/>
                <w:b/>
                <w:bCs/>
                <w:color w:val="000000"/>
              </w:rPr>
            </w:pPr>
            <w:r w:rsidRPr="00535EF4">
              <w:rPr>
                <w:rFonts w:ascii="Calibri" w:eastAsia="Times New Roman" w:hAnsi="Calibri" w:cs="Calibri"/>
                <w:b/>
                <w:bCs/>
                <w:color w:val="000000"/>
              </w:rPr>
              <w:t>*Cease grading once a volume of 160mL/kg/d is reached</w:t>
            </w:r>
          </w:p>
        </w:tc>
      </w:tr>
      <w:tr w:rsidR="000E4029" w:rsidRPr="00535EF4" w14:paraId="52A9EF0A" w14:textId="77777777" w:rsidTr="001A54D9">
        <w:trPr>
          <w:trHeight w:val="209"/>
          <w:jc w:val="center"/>
        </w:trPr>
        <w:tc>
          <w:tcPr>
            <w:tcW w:w="1253" w:type="dxa"/>
            <w:vMerge/>
            <w:shd w:val="clear" w:color="auto" w:fill="C2D69B"/>
            <w:vAlign w:val="center"/>
          </w:tcPr>
          <w:p w14:paraId="237D3CCE"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p>
        </w:tc>
        <w:tc>
          <w:tcPr>
            <w:tcW w:w="885" w:type="dxa"/>
            <w:shd w:val="clear" w:color="auto" w:fill="FBD4B4"/>
            <w:vAlign w:val="center"/>
          </w:tcPr>
          <w:p w14:paraId="16927817"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886" w:type="dxa"/>
            <w:shd w:val="clear" w:color="auto" w:fill="FBD4B4"/>
            <w:vAlign w:val="center"/>
          </w:tcPr>
          <w:p w14:paraId="0C15C840"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886" w:type="dxa"/>
            <w:shd w:val="clear" w:color="auto" w:fill="FBD4B4"/>
            <w:vAlign w:val="center"/>
          </w:tcPr>
          <w:p w14:paraId="3AAFF413"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w:t>
            </w:r>
          </w:p>
        </w:tc>
        <w:tc>
          <w:tcPr>
            <w:tcW w:w="886" w:type="dxa"/>
            <w:shd w:val="clear" w:color="auto" w:fill="FBD4B4"/>
            <w:vAlign w:val="center"/>
          </w:tcPr>
          <w:p w14:paraId="0B3358EB"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w:t>
            </w:r>
          </w:p>
        </w:tc>
        <w:tc>
          <w:tcPr>
            <w:tcW w:w="886" w:type="dxa"/>
            <w:shd w:val="clear" w:color="auto" w:fill="FBD4B4"/>
            <w:vAlign w:val="center"/>
          </w:tcPr>
          <w:p w14:paraId="4BE6E4F2"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5</w:t>
            </w:r>
          </w:p>
        </w:tc>
        <w:tc>
          <w:tcPr>
            <w:tcW w:w="886" w:type="dxa"/>
            <w:shd w:val="clear" w:color="auto" w:fill="FBD4B4"/>
            <w:vAlign w:val="center"/>
          </w:tcPr>
          <w:p w14:paraId="73E9ECE1"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6</w:t>
            </w:r>
          </w:p>
        </w:tc>
        <w:tc>
          <w:tcPr>
            <w:tcW w:w="886" w:type="dxa"/>
            <w:shd w:val="clear" w:color="auto" w:fill="FBD4B4"/>
            <w:vAlign w:val="center"/>
          </w:tcPr>
          <w:p w14:paraId="70317330"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7</w:t>
            </w:r>
          </w:p>
        </w:tc>
        <w:tc>
          <w:tcPr>
            <w:tcW w:w="886" w:type="dxa"/>
            <w:shd w:val="clear" w:color="auto" w:fill="FBD4B4"/>
            <w:vAlign w:val="center"/>
          </w:tcPr>
          <w:p w14:paraId="341CF798"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rPr>
              <w:t>8</w:t>
            </w:r>
          </w:p>
        </w:tc>
        <w:tc>
          <w:tcPr>
            <w:tcW w:w="1134" w:type="dxa"/>
            <w:shd w:val="clear" w:color="auto" w:fill="BFBFBF"/>
            <w:vAlign w:val="center"/>
          </w:tcPr>
          <w:p w14:paraId="56533F22"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000000"/>
              </w:rPr>
            </w:pPr>
            <w:r w:rsidRPr="00535EF4">
              <w:rPr>
                <w:rFonts w:ascii="Calibri" w:eastAsia="Times New Roman" w:hAnsi="Calibri" w:cs="Calibri"/>
                <w:b/>
                <w:bCs/>
                <w:color w:val="000000"/>
                <w:sz w:val="20"/>
                <w:szCs w:val="20"/>
              </w:rPr>
              <w:t>TFI@ feed 12 (mL/kg/d)</w:t>
            </w:r>
          </w:p>
        </w:tc>
      </w:tr>
      <w:tr w:rsidR="000E4029" w:rsidRPr="00535EF4" w14:paraId="58310CE4" w14:textId="77777777" w:rsidTr="001A54D9">
        <w:trPr>
          <w:trHeight w:val="173"/>
          <w:jc w:val="center"/>
        </w:trPr>
        <w:tc>
          <w:tcPr>
            <w:tcW w:w="1253" w:type="dxa"/>
            <w:shd w:val="clear" w:color="auto" w:fill="C2D69B"/>
            <w:vAlign w:val="center"/>
          </w:tcPr>
          <w:p w14:paraId="5C443DDB"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1</w:t>
            </w:r>
          </w:p>
        </w:tc>
        <w:tc>
          <w:tcPr>
            <w:tcW w:w="885" w:type="dxa"/>
            <w:vAlign w:val="center"/>
          </w:tcPr>
          <w:p w14:paraId="4105D1A0"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886" w:type="dxa"/>
            <w:vAlign w:val="center"/>
          </w:tcPr>
          <w:p w14:paraId="1747C384"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w:t>
            </w:r>
          </w:p>
        </w:tc>
        <w:tc>
          <w:tcPr>
            <w:tcW w:w="886" w:type="dxa"/>
            <w:vAlign w:val="center"/>
          </w:tcPr>
          <w:p w14:paraId="37245102"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886" w:type="dxa"/>
            <w:vAlign w:val="center"/>
          </w:tcPr>
          <w:p w14:paraId="07447A18"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4</w:t>
            </w:r>
          </w:p>
        </w:tc>
        <w:tc>
          <w:tcPr>
            <w:tcW w:w="886" w:type="dxa"/>
            <w:vAlign w:val="center"/>
          </w:tcPr>
          <w:p w14:paraId="690C9F51"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886" w:type="dxa"/>
            <w:vAlign w:val="center"/>
          </w:tcPr>
          <w:p w14:paraId="2448D3E6"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6</w:t>
            </w:r>
          </w:p>
        </w:tc>
        <w:tc>
          <w:tcPr>
            <w:tcW w:w="886" w:type="dxa"/>
            <w:vAlign w:val="center"/>
          </w:tcPr>
          <w:p w14:paraId="18F5E07F"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886" w:type="dxa"/>
            <w:vAlign w:val="center"/>
          </w:tcPr>
          <w:p w14:paraId="2BB2159F"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10</w:t>
            </w:r>
          </w:p>
        </w:tc>
        <w:tc>
          <w:tcPr>
            <w:tcW w:w="1134" w:type="dxa"/>
            <w:shd w:val="clear" w:color="auto" w:fill="F2F2F2"/>
            <w:vAlign w:val="center"/>
          </w:tcPr>
          <w:p w14:paraId="69F4320D"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44-53</w:t>
            </w:r>
          </w:p>
        </w:tc>
      </w:tr>
      <w:tr w:rsidR="000E4029" w:rsidRPr="00535EF4" w14:paraId="306713CB" w14:textId="77777777" w:rsidTr="001A54D9">
        <w:trPr>
          <w:trHeight w:val="173"/>
          <w:jc w:val="center"/>
        </w:trPr>
        <w:tc>
          <w:tcPr>
            <w:tcW w:w="1253" w:type="dxa"/>
            <w:shd w:val="clear" w:color="auto" w:fill="C2D69B"/>
            <w:vAlign w:val="center"/>
          </w:tcPr>
          <w:p w14:paraId="6CC85D71"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2</w:t>
            </w:r>
          </w:p>
        </w:tc>
        <w:tc>
          <w:tcPr>
            <w:tcW w:w="885" w:type="dxa"/>
            <w:vAlign w:val="center"/>
          </w:tcPr>
          <w:p w14:paraId="5DB5B75A"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886" w:type="dxa"/>
            <w:vAlign w:val="center"/>
          </w:tcPr>
          <w:p w14:paraId="1F47E8EA"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12</w:t>
            </w:r>
          </w:p>
        </w:tc>
        <w:tc>
          <w:tcPr>
            <w:tcW w:w="886" w:type="dxa"/>
            <w:vAlign w:val="center"/>
          </w:tcPr>
          <w:p w14:paraId="24BF1E18"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886" w:type="dxa"/>
            <w:vAlign w:val="center"/>
          </w:tcPr>
          <w:p w14:paraId="52F24454"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14</w:t>
            </w:r>
          </w:p>
        </w:tc>
        <w:tc>
          <w:tcPr>
            <w:tcW w:w="886" w:type="dxa"/>
            <w:vAlign w:val="center"/>
          </w:tcPr>
          <w:p w14:paraId="33341A8A"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886" w:type="dxa"/>
            <w:vAlign w:val="center"/>
          </w:tcPr>
          <w:p w14:paraId="70EAF9AB"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16</w:t>
            </w:r>
          </w:p>
        </w:tc>
        <w:tc>
          <w:tcPr>
            <w:tcW w:w="886" w:type="dxa"/>
            <w:vAlign w:val="center"/>
          </w:tcPr>
          <w:p w14:paraId="017917A6"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18</w:t>
            </w:r>
          </w:p>
        </w:tc>
        <w:tc>
          <w:tcPr>
            <w:tcW w:w="886" w:type="dxa"/>
            <w:vAlign w:val="center"/>
          </w:tcPr>
          <w:p w14:paraId="1D8CFEF8"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18</w:t>
            </w:r>
          </w:p>
        </w:tc>
        <w:tc>
          <w:tcPr>
            <w:tcW w:w="1134" w:type="dxa"/>
            <w:shd w:val="clear" w:color="auto" w:fill="F2F2F2"/>
            <w:vAlign w:val="center"/>
          </w:tcPr>
          <w:p w14:paraId="451E2465"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80-96</w:t>
            </w:r>
          </w:p>
        </w:tc>
      </w:tr>
      <w:tr w:rsidR="000E4029" w:rsidRPr="00535EF4" w14:paraId="724B6663" w14:textId="77777777" w:rsidTr="001A54D9">
        <w:trPr>
          <w:trHeight w:val="173"/>
          <w:jc w:val="center"/>
        </w:trPr>
        <w:tc>
          <w:tcPr>
            <w:tcW w:w="1253" w:type="dxa"/>
            <w:shd w:val="clear" w:color="auto" w:fill="C2D69B"/>
            <w:vAlign w:val="center"/>
          </w:tcPr>
          <w:p w14:paraId="7D6F0D7D"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3 (</w:t>
            </w:r>
            <w:r w:rsidRPr="00535EF4">
              <w:rPr>
                <w:rFonts w:ascii="Calibri" w:eastAsia="Times New Roman" w:hAnsi="Calibri" w:cs="Calibri"/>
                <w:b/>
                <w:bCs/>
                <w:color w:val="000000"/>
                <w:sz w:val="20"/>
                <w:szCs w:val="20"/>
              </w:rPr>
              <w:t>half Fortify)</w:t>
            </w:r>
          </w:p>
        </w:tc>
        <w:tc>
          <w:tcPr>
            <w:tcW w:w="885" w:type="dxa"/>
            <w:vAlign w:val="center"/>
          </w:tcPr>
          <w:p w14:paraId="28655DD6"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21</w:t>
            </w:r>
          </w:p>
        </w:tc>
        <w:tc>
          <w:tcPr>
            <w:tcW w:w="886" w:type="dxa"/>
            <w:vAlign w:val="center"/>
          </w:tcPr>
          <w:p w14:paraId="53CDA419"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21</w:t>
            </w:r>
          </w:p>
        </w:tc>
        <w:tc>
          <w:tcPr>
            <w:tcW w:w="886" w:type="dxa"/>
            <w:vAlign w:val="center"/>
          </w:tcPr>
          <w:p w14:paraId="131D2641"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23</w:t>
            </w:r>
          </w:p>
        </w:tc>
        <w:tc>
          <w:tcPr>
            <w:tcW w:w="886" w:type="dxa"/>
            <w:vAlign w:val="center"/>
          </w:tcPr>
          <w:p w14:paraId="605156EA"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23</w:t>
            </w:r>
          </w:p>
        </w:tc>
        <w:tc>
          <w:tcPr>
            <w:tcW w:w="886" w:type="dxa"/>
            <w:vAlign w:val="center"/>
          </w:tcPr>
          <w:p w14:paraId="2B803DE7"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25</w:t>
            </w:r>
          </w:p>
        </w:tc>
        <w:tc>
          <w:tcPr>
            <w:tcW w:w="886" w:type="dxa"/>
            <w:vAlign w:val="center"/>
          </w:tcPr>
          <w:p w14:paraId="71D39A29"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25</w:t>
            </w:r>
          </w:p>
        </w:tc>
        <w:tc>
          <w:tcPr>
            <w:tcW w:w="886" w:type="dxa"/>
            <w:vAlign w:val="center"/>
          </w:tcPr>
          <w:p w14:paraId="5DCE0F87"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27</w:t>
            </w:r>
          </w:p>
        </w:tc>
        <w:tc>
          <w:tcPr>
            <w:tcW w:w="886" w:type="dxa"/>
            <w:vAlign w:val="center"/>
          </w:tcPr>
          <w:p w14:paraId="453698F7"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27</w:t>
            </w:r>
          </w:p>
        </w:tc>
        <w:tc>
          <w:tcPr>
            <w:tcW w:w="1134" w:type="dxa"/>
            <w:shd w:val="clear" w:color="auto" w:fill="F2F2F2"/>
            <w:vAlign w:val="center"/>
          </w:tcPr>
          <w:p w14:paraId="5A971D49"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120-144</w:t>
            </w:r>
          </w:p>
        </w:tc>
      </w:tr>
      <w:tr w:rsidR="000E4029" w:rsidRPr="00535EF4" w14:paraId="2826223C" w14:textId="77777777" w:rsidTr="001A54D9">
        <w:trPr>
          <w:trHeight w:val="173"/>
          <w:jc w:val="center"/>
        </w:trPr>
        <w:tc>
          <w:tcPr>
            <w:tcW w:w="1253" w:type="dxa"/>
            <w:shd w:val="clear" w:color="auto" w:fill="C2D69B"/>
            <w:vAlign w:val="center"/>
          </w:tcPr>
          <w:p w14:paraId="51A3E13F"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b/>
                <w:bCs/>
                <w:color w:val="000000"/>
              </w:rPr>
              <w:t>4 (</w:t>
            </w:r>
            <w:r w:rsidRPr="00535EF4">
              <w:rPr>
                <w:rFonts w:ascii="Calibri" w:eastAsia="Times New Roman" w:hAnsi="Calibri" w:cs="Calibri"/>
                <w:b/>
                <w:bCs/>
                <w:color w:val="000000"/>
                <w:sz w:val="20"/>
                <w:szCs w:val="20"/>
              </w:rPr>
              <w:t>fully Fortify)</w:t>
            </w:r>
          </w:p>
        </w:tc>
        <w:tc>
          <w:tcPr>
            <w:tcW w:w="885" w:type="dxa"/>
            <w:vAlign w:val="center"/>
          </w:tcPr>
          <w:p w14:paraId="1704FC57"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30</w:t>
            </w:r>
          </w:p>
        </w:tc>
        <w:tc>
          <w:tcPr>
            <w:tcW w:w="886" w:type="dxa"/>
            <w:vAlign w:val="center"/>
          </w:tcPr>
          <w:p w14:paraId="35514FE7"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30</w:t>
            </w:r>
          </w:p>
        </w:tc>
        <w:tc>
          <w:tcPr>
            <w:tcW w:w="886" w:type="dxa"/>
            <w:vAlign w:val="center"/>
          </w:tcPr>
          <w:p w14:paraId="0B731089"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32</w:t>
            </w:r>
          </w:p>
        </w:tc>
        <w:tc>
          <w:tcPr>
            <w:tcW w:w="886" w:type="dxa"/>
            <w:vAlign w:val="center"/>
          </w:tcPr>
          <w:p w14:paraId="584E1369"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32</w:t>
            </w:r>
          </w:p>
        </w:tc>
        <w:tc>
          <w:tcPr>
            <w:tcW w:w="886" w:type="dxa"/>
            <w:vAlign w:val="center"/>
          </w:tcPr>
          <w:p w14:paraId="464B9376"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34</w:t>
            </w:r>
          </w:p>
        </w:tc>
        <w:tc>
          <w:tcPr>
            <w:tcW w:w="886" w:type="dxa"/>
            <w:vAlign w:val="center"/>
          </w:tcPr>
          <w:p w14:paraId="5C64FA6B"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34</w:t>
            </w:r>
          </w:p>
        </w:tc>
        <w:tc>
          <w:tcPr>
            <w:tcW w:w="886" w:type="dxa"/>
            <w:vAlign w:val="center"/>
          </w:tcPr>
          <w:p w14:paraId="28E7D1EF"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36</w:t>
            </w:r>
          </w:p>
        </w:tc>
        <w:tc>
          <w:tcPr>
            <w:tcW w:w="886" w:type="dxa"/>
            <w:vAlign w:val="center"/>
          </w:tcPr>
          <w:p w14:paraId="606D895A"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b/>
                <w:bCs/>
                <w:color w:val="C00000"/>
              </w:rPr>
            </w:pPr>
            <w:r w:rsidRPr="00535EF4">
              <w:rPr>
                <w:rFonts w:ascii="Calibri" w:eastAsia="Times New Roman" w:hAnsi="Calibri" w:cs="Calibri"/>
                <w:b/>
                <w:bCs/>
                <w:color w:val="C00000"/>
              </w:rPr>
              <w:t>36</w:t>
            </w:r>
          </w:p>
        </w:tc>
        <w:tc>
          <w:tcPr>
            <w:tcW w:w="1134" w:type="dxa"/>
            <w:shd w:val="clear" w:color="auto" w:fill="F2F2F2"/>
            <w:vAlign w:val="center"/>
          </w:tcPr>
          <w:p w14:paraId="653B1F21" w14:textId="77777777" w:rsidR="000E4029" w:rsidRPr="00535EF4" w:rsidRDefault="000E4029" w:rsidP="001A54D9">
            <w:pPr>
              <w:autoSpaceDE w:val="0"/>
              <w:autoSpaceDN w:val="0"/>
              <w:adjustRightInd w:val="0"/>
              <w:spacing w:before="0" w:after="0" w:line="240" w:lineRule="auto"/>
              <w:jc w:val="center"/>
              <w:rPr>
                <w:rFonts w:ascii="Calibri" w:eastAsia="Times New Roman" w:hAnsi="Calibri" w:cs="Calibri"/>
                <w:color w:val="000000"/>
              </w:rPr>
            </w:pPr>
            <w:r w:rsidRPr="00535EF4">
              <w:rPr>
                <w:rFonts w:ascii="Calibri" w:eastAsia="Times New Roman" w:hAnsi="Calibri" w:cs="Calibri"/>
                <w:color w:val="000000"/>
              </w:rPr>
              <w:t>160-192</w:t>
            </w:r>
          </w:p>
        </w:tc>
      </w:tr>
    </w:tbl>
    <w:p w14:paraId="3217A03D" w14:textId="00F343A3" w:rsidR="00535EF4" w:rsidRDefault="00535EF4" w:rsidP="00535EF4">
      <w:pPr>
        <w:pStyle w:val="Numberedlist"/>
        <w:numPr>
          <w:ilvl w:val="0"/>
          <w:numId w:val="0"/>
        </w:numPr>
        <w:rPr>
          <w:rStyle w:val="Hyperlink"/>
        </w:rPr>
      </w:pPr>
      <w:hyperlink w:anchor="_top" w:history="1">
        <w:r w:rsidRPr="00481A6C">
          <w:rPr>
            <w:rStyle w:val="Hyperlink"/>
          </w:rPr>
          <w:t>Back to Contents</w:t>
        </w:r>
      </w:hyperlink>
    </w:p>
    <w:p w14:paraId="2ADD9B68" w14:textId="77777777" w:rsidR="00E26385" w:rsidRDefault="00E26385" w:rsidP="005D0BE7">
      <w:pPr>
        <w:pStyle w:val="Heading3"/>
        <w:rPr>
          <w:rStyle w:val="Hyperlink"/>
          <w:color w:val="000000" w:themeColor="text1"/>
          <w:u w:val="none"/>
        </w:rPr>
        <w:sectPr w:rsidR="00E26385" w:rsidSect="00E26385">
          <w:pgSz w:w="11906" w:h="16838" w:code="9"/>
          <w:pgMar w:top="1440" w:right="1440" w:bottom="1440" w:left="1440" w:header="357" w:footer="306" w:gutter="0"/>
          <w:cols w:space="708"/>
          <w:docGrid w:linePitch="360"/>
        </w:sectPr>
      </w:pPr>
    </w:p>
    <w:p w14:paraId="27D11C81" w14:textId="3B4D95CC" w:rsidR="00E26385" w:rsidRPr="008411C2" w:rsidRDefault="00E26385" w:rsidP="008411C2">
      <w:pPr>
        <w:pStyle w:val="Heading5"/>
        <w:rPr>
          <w:rStyle w:val="Hyperlink"/>
          <w:color w:val="FFFFFF" w:themeColor="background1"/>
          <w:u w:val="none"/>
        </w:rPr>
      </w:pPr>
      <w:bookmarkStart w:id="78" w:name="_Attachment_5_–"/>
      <w:bookmarkEnd w:id="78"/>
      <w:r w:rsidRPr="008411C2">
        <w:rPr>
          <w:noProof/>
        </w:rPr>
        <w:lastRenderedPageBreak/>
        <w:drawing>
          <wp:anchor distT="0" distB="0" distL="114300" distR="114300" simplePos="0" relativeHeight="251658252" behindDoc="0" locked="0" layoutInCell="1" allowOverlap="1" wp14:anchorId="2B53BF83" wp14:editId="2613A983">
            <wp:simplePos x="0" y="0"/>
            <wp:positionH relativeFrom="column">
              <wp:posOffset>23495</wp:posOffset>
            </wp:positionH>
            <wp:positionV relativeFrom="paragraph">
              <wp:posOffset>445135</wp:posOffset>
            </wp:positionV>
            <wp:extent cx="6869430" cy="3867785"/>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869430" cy="3867785"/>
                    </a:xfrm>
                    <a:prstGeom prst="rect">
                      <a:avLst/>
                    </a:prstGeom>
                  </pic:spPr>
                </pic:pic>
              </a:graphicData>
            </a:graphic>
            <wp14:sizeRelH relativeFrom="margin">
              <wp14:pctWidth>0</wp14:pctWidth>
            </wp14:sizeRelH>
            <wp14:sizeRelV relativeFrom="margin">
              <wp14:pctHeight>0</wp14:pctHeight>
            </wp14:sizeRelV>
          </wp:anchor>
        </w:drawing>
      </w:r>
      <w:r w:rsidRPr="008411C2">
        <w:rPr>
          <w:rStyle w:val="Hyperlink"/>
          <w:color w:val="FFFFFF" w:themeColor="background1"/>
          <w:u w:val="none"/>
        </w:rPr>
        <w:t xml:space="preserve">Attachment </w:t>
      </w:r>
      <w:r w:rsidR="00D065DE" w:rsidRPr="008411C2">
        <w:rPr>
          <w:rStyle w:val="Hyperlink"/>
          <w:color w:val="FFFFFF" w:themeColor="background1"/>
          <w:u w:val="none"/>
        </w:rPr>
        <w:t xml:space="preserve">5 </w:t>
      </w:r>
      <w:r w:rsidR="003E2A09">
        <w:rPr>
          <w:rStyle w:val="Hyperlink"/>
          <w:color w:val="FFFFFF" w:themeColor="background1"/>
          <w:u w:val="none"/>
        </w:rPr>
        <w:t xml:space="preserve">– </w:t>
      </w:r>
      <w:r w:rsidR="00D065DE" w:rsidRPr="008411C2">
        <w:rPr>
          <w:rStyle w:val="Hyperlink"/>
          <w:color w:val="FFFFFF" w:themeColor="background1"/>
          <w:u w:val="none"/>
        </w:rPr>
        <w:t>Feeding</w:t>
      </w:r>
      <w:r w:rsidRPr="008411C2">
        <w:rPr>
          <w:rStyle w:val="Hyperlink"/>
          <w:color w:val="FFFFFF" w:themeColor="background1"/>
          <w:u w:val="none"/>
        </w:rPr>
        <w:t xml:space="preserve"> Intolerance Algorithm</w:t>
      </w:r>
    </w:p>
    <w:p w14:paraId="1D6D544A" w14:textId="77777777" w:rsidR="00E26385" w:rsidRDefault="00E26385" w:rsidP="00E26385">
      <w:pPr>
        <w:pStyle w:val="Numberedlist"/>
        <w:numPr>
          <w:ilvl w:val="0"/>
          <w:numId w:val="0"/>
        </w:numPr>
        <w:rPr>
          <w:color w:val="auto"/>
          <w:u w:val="single"/>
        </w:rPr>
      </w:pPr>
    </w:p>
    <w:p w14:paraId="257386BF" w14:textId="4F9A2143" w:rsidR="005F0AE4" w:rsidRPr="005F0AE4" w:rsidRDefault="005F0AE4" w:rsidP="005F0AE4">
      <w:pPr>
        <w:pStyle w:val="Numberedlist"/>
        <w:numPr>
          <w:ilvl w:val="0"/>
          <w:numId w:val="0"/>
        </w:numPr>
      </w:pPr>
      <w:r>
        <w:tab/>
      </w:r>
      <w:hyperlink w:anchor="_top" w:history="1">
        <w:r w:rsidRPr="00481A6C">
          <w:rPr>
            <w:rStyle w:val="Hyperlink"/>
          </w:rPr>
          <w:t>Back to Contents</w:t>
        </w:r>
      </w:hyperlink>
    </w:p>
    <w:p w14:paraId="1C3F5037" w14:textId="0CA77838" w:rsidR="005F0AE4" w:rsidRPr="005F0AE4" w:rsidRDefault="005F0AE4" w:rsidP="005F0AE4">
      <w:pPr>
        <w:sectPr w:rsidR="005F0AE4" w:rsidRPr="005F0AE4" w:rsidSect="00E26385">
          <w:pgSz w:w="16838" w:h="11906" w:orient="landscape" w:code="9"/>
          <w:pgMar w:top="1440" w:right="1440" w:bottom="1440" w:left="1440" w:header="357" w:footer="306" w:gutter="0"/>
          <w:cols w:space="708"/>
          <w:docGrid w:linePitch="360"/>
        </w:sectPr>
      </w:pPr>
    </w:p>
    <w:p w14:paraId="549C565B" w14:textId="461942F7" w:rsidR="005D31B5" w:rsidRPr="00C169C6" w:rsidRDefault="00D065DE" w:rsidP="00C169C6">
      <w:pPr>
        <w:pStyle w:val="Heading5"/>
        <w:rPr>
          <w:rStyle w:val="Hyperlink"/>
          <w:color w:val="FFFFFF" w:themeColor="background1"/>
          <w:u w:val="none"/>
        </w:rPr>
      </w:pPr>
      <w:r>
        <w:rPr>
          <w:noProof/>
        </w:rPr>
        <w:lastRenderedPageBreak/>
        <w:drawing>
          <wp:anchor distT="0" distB="0" distL="114300" distR="114300" simplePos="0" relativeHeight="251658251" behindDoc="0" locked="0" layoutInCell="1" allowOverlap="1" wp14:anchorId="7FE1975C" wp14:editId="5B1BA31E">
            <wp:simplePos x="0" y="0"/>
            <wp:positionH relativeFrom="margin">
              <wp:align>center</wp:align>
            </wp:positionH>
            <wp:positionV relativeFrom="paragraph">
              <wp:posOffset>511342</wp:posOffset>
            </wp:positionV>
            <wp:extent cx="4821555" cy="680974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821555" cy="6809740"/>
                    </a:xfrm>
                    <a:prstGeom prst="rect">
                      <a:avLst/>
                    </a:prstGeom>
                  </pic:spPr>
                </pic:pic>
              </a:graphicData>
            </a:graphic>
            <wp14:sizeRelH relativeFrom="margin">
              <wp14:pctWidth>0</wp14:pctWidth>
            </wp14:sizeRelH>
            <wp14:sizeRelV relativeFrom="margin">
              <wp14:pctHeight>0</wp14:pctHeight>
            </wp14:sizeRelV>
          </wp:anchor>
        </w:drawing>
      </w:r>
      <w:r w:rsidR="005D31B5" w:rsidRPr="00C169C6">
        <w:rPr>
          <w:rStyle w:val="Hyperlink"/>
          <w:color w:val="FFFFFF" w:themeColor="background1"/>
          <w:u w:val="none"/>
        </w:rPr>
        <w:t xml:space="preserve">Attachment </w:t>
      </w:r>
      <w:r w:rsidR="008D5B34" w:rsidRPr="00C169C6">
        <w:rPr>
          <w:rStyle w:val="Hyperlink"/>
          <w:color w:val="FFFFFF" w:themeColor="background1"/>
          <w:u w:val="none"/>
        </w:rPr>
        <w:t xml:space="preserve">6 </w:t>
      </w:r>
      <w:r w:rsidR="003E2A09">
        <w:rPr>
          <w:rStyle w:val="Hyperlink"/>
          <w:color w:val="FFFFFF" w:themeColor="background1"/>
          <w:u w:val="none"/>
        </w:rPr>
        <w:t xml:space="preserve">– </w:t>
      </w:r>
      <w:r w:rsidR="008D5B34" w:rsidRPr="00C169C6">
        <w:rPr>
          <w:rStyle w:val="Hyperlink"/>
          <w:color w:val="FFFFFF" w:themeColor="background1"/>
          <w:u w:val="none"/>
        </w:rPr>
        <w:t>Medela</w:t>
      </w:r>
      <w:r w:rsidR="005D31B5" w:rsidRPr="00C169C6">
        <w:rPr>
          <w:rStyle w:val="Hyperlink"/>
          <w:color w:val="FFFFFF" w:themeColor="background1"/>
          <w:u w:val="none"/>
        </w:rPr>
        <w:t xml:space="preserve"> Calesca Milk Warmer</w:t>
      </w:r>
    </w:p>
    <w:p w14:paraId="60E9D5DF" w14:textId="69E768EC" w:rsidR="005D31B5" w:rsidRDefault="005D31B5" w:rsidP="005D31B5">
      <w:pPr>
        <w:pStyle w:val="BodyCopy"/>
        <w:rPr>
          <w:lang w:eastAsia="en-US"/>
        </w:rPr>
      </w:pPr>
    </w:p>
    <w:p w14:paraId="7758F8DE" w14:textId="2B504360" w:rsidR="005D31B5" w:rsidRDefault="005D31B5" w:rsidP="005D31B5">
      <w:pPr>
        <w:pStyle w:val="BodyCopy"/>
        <w:rPr>
          <w:lang w:eastAsia="en-US"/>
        </w:rPr>
      </w:pPr>
      <w:r>
        <w:rPr>
          <w:noProof/>
        </w:rPr>
        <w:lastRenderedPageBreak/>
        <w:drawing>
          <wp:anchor distT="0" distB="0" distL="114300" distR="114300" simplePos="0" relativeHeight="251658250" behindDoc="0" locked="0" layoutInCell="1" allowOverlap="1" wp14:anchorId="413594EA" wp14:editId="0AD28858">
            <wp:simplePos x="0" y="0"/>
            <wp:positionH relativeFrom="margin">
              <wp:align>center</wp:align>
            </wp:positionH>
            <wp:positionV relativeFrom="paragraph">
              <wp:posOffset>149057</wp:posOffset>
            </wp:positionV>
            <wp:extent cx="5509895" cy="767842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509895" cy="7678420"/>
                    </a:xfrm>
                    <a:prstGeom prst="rect">
                      <a:avLst/>
                    </a:prstGeom>
                  </pic:spPr>
                </pic:pic>
              </a:graphicData>
            </a:graphic>
            <wp14:sizeRelH relativeFrom="margin">
              <wp14:pctWidth>0</wp14:pctWidth>
            </wp14:sizeRelH>
            <wp14:sizeRelV relativeFrom="margin">
              <wp14:pctHeight>0</wp14:pctHeight>
            </wp14:sizeRelV>
          </wp:anchor>
        </w:drawing>
      </w:r>
    </w:p>
    <w:p w14:paraId="6E050ED5" w14:textId="53170298" w:rsidR="005D31B5" w:rsidRPr="005D31B5" w:rsidRDefault="005D31B5" w:rsidP="005D31B5">
      <w:pPr>
        <w:pStyle w:val="BodyCopy"/>
        <w:rPr>
          <w:lang w:eastAsia="en-US"/>
        </w:rPr>
      </w:pPr>
      <w:r>
        <w:rPr>
          <w:noProof/>
        </w:rPr>
        <w:lastRenderedPageBreak/>
        <w:drawing>
          <wp:anchor distT="0" distB="0" distL="114300" distR="114300" simplePos="0" relativeHeight="251658249" behindDoc="0" locked="0" layoutInCell="1" allowOverlap="1" wp14:anchorId="34CB512B" wp14:editId="658172B7">
            <wp:simplePos x="0" y="0"/>
            <wp:positionH relativeFrom="column">
              <wp:posOffset>532564</wp:posOffset>
            </wp:positionH>
            <wp:positionV relativeFrom="paragraph">
              <wp:posOffset>133</wp:posOffset>
            </wp:positionV>
            <wp:extent cx="5095875" cy="7315200"/>
            <wp:effectExtent l="0" t="0" r="952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95875" cy="7315200"/>
                    </a:xfrm>
                    <a:prstGeom prst="rect">
                      <a:avLst/>
                    </a:prstGeom>
                  </pic:spPr>
                </pic:pic>
              </a:graphicData>
            </a:graphic>
          </wp:anchor>
        </w:drawing>
      </w:r>
    </w:p>
    <w:p w14:paraId="6AC622D8" w14:textId="77777777" w:rsidR="005D31B5" w:rsidRDefault="005D31B5" w:rsidP="00B60CC0">
      <w:pPr>
        <w:pStyle w:val="BodyCopy"/>
        <w:rPr>
          <w:lang w:eastAsia="en-US"/>
        </w:rPr>
      </w:pPr>
    </w:p>
    <w:p w14:paraId="610BAFF7" w14:textId="119BF5F8" w:rsidR="005D31B5" w:rsidRDefault="005D31B5" w:rsidP="00E26385">
      <w:pPr>
        <w:pStyle w:val="Numberedlist"/>
        <w:numPr>
          <w:ilvl w:val="0"/>
          <w:numId w:val="0"/>
        </w:numPr>
      </w:pPr>
      <w:hyperlink w:anchor="_top" w:history="1">
        <w:r w:rsidRPr="00481A6C">
          <w:rPr>
            <w:rStyle w:val="Hyperlink"/>
          </w:rPr>
          <w:t>Back to Contents</w:t>
        </w:r>
      </w:hyperlink>
    </w:p>
    <w:p w14:paraId="5C627F20" w14:textId="77777777" w:rsidR="00E67163" w:rsidRDefault="00E67163" w:rsidP="00E26385">
      <w:pPr>
        <w:pStyle w:val="Numberedlist"/>
        <w:numPr>
          <w:ilvl w:val="0"/>
          <w:numId w:val="0"/>
        </w:numPr>
      </w:pPr>
    </w:p>
    <w:p w14:paraId="6F72CEB9" w14:textId="6BD5DD77" w:rsidR="00E03126" w:rsidRPr="00C169C6" w:rsidRDefault="00E03126" w:rsidP="00C169C6">
      <w:pPr>
        <w:pStyle w:val="Heading5"/>
      </w:pPr>
      <w:r w:rsidRPr="00C169C6">
        <w:lastRenderedPageBreak/>
        <w:t xml:space="preserve">Attachment </w:t>
      </w:r>
      <w:r w:rsidR="008D5B34" w:rsidRPr="00C169C6">
        <w:t xml:space="preserve">7 </w:t>
      </w:r>
      <w:r w:rsidR="003E2A09">
        <w:t xml:space="preserve">– </w:t>
      </w:r>
      <w:r w:rsidR="008D5B34" w:rsidRPr="00C169C6">
        <w:t>ESPGHAN</w:t>
      </w:r>
      <w:r w:rsidRPr="00C169C6">
        <w:t xml:space="preserve"> Nutrition Recommendations Table</w:t>
      </w:r>
    </w:p>
    <w:tbl>
      <w:tblPr>
        <w:tblStyle w:val="TableGrid"/>
        <w:tblW w:w="9918" w:type="dxa"/>
        <w:tblCellMar>
          <w:top w:w="57" w:type="dxa"/>
        </w:tblCellMar>
        <w:tblLook w:val="04A0" w:firstRow="1" w:lastRow="0" w:firstColumn="1" w:lastColumn="0" w:noHBand="0" w:noVBand="1"/>
      </w:tblPr>
      <w:tblGrid>
        <w:gridCol w:w="3964"/>
        <w:gridCol w:w="5954"/>
      </w:tblGrid>
      <w:tr w:rsidR="00E03126" w:rsidRPr="00A32792" w14:paraId="06B94CAB" w14:textId="77777777" w:rsidTr="00E67163">
        <w:trPr>
          <w:trHeight w:val="434"/>
          <w:tblHeader/>
        </w:trPr>
        <w:tc>
          <w:tcPr>
            <w:tcW w:w="3964" w:type="dxa"/>
            <w:shd w:val="clear" w:color="auto" w:fill="D9D9D9" w:themeFill="background1" w:themeFillShade="D9"/>
          </w:tcPr>
          <w:p w14:paraId="2544FB4D" w14:textId="77777777" w:rsidR="00E03126" w:rsidRPr="00C15E4F" w:rsidRDefault="00E03126" w:rsidP="008D5985">
            <w:pPr>
              <w:jc w:val="center"/>
              <w:rPr>
                <w:rFonts w:asciiTheme="minorHAnsi" w:hAnsiTheme="minorHAnsi" w:cstheme="minorHAnsi"/>
                <w:b/>
                <w:bCs/>
              </w:rPr>
            </w:pPr>
            <w:r w:rsidRPr="00C15E4F">
              <w:rPr>
                <w:rFonts w:asciiTheme="minorHAnsi" w:hAnsiTheme="minorHAnsi" w:cstheme="minorHAnsi"/>
                <w:b/>
                <w:bCs/>
              </w:rPr>
              <w:t xml:space="preserve">Fluid, </w:t>
            </w:r>
            <w:r>
              <w:rPr>
                <w:rFonts w:asciiTheme="minorHAnsi" w:hAnsiTheme="minorHAnsi" w:cstheme="minorHAnsi"/>
                <w:b/>
                <w:bCs/>
              </w:rPr>
              <w:t>E</w:t>
            </w:r>
            <w:r w:rsidRPr="00C15E4F">
              <w:rPr>
                <w:rFonts w:asciiTheme="minorHAnsi" w:hAnsiTheme="minorHAnsi" w:cstheme="minorHAnsi"/>
                <w:b/>
                <w:bCs/>
              </w:rPr>
              <w:t xml:space="preserve">lectrolytes and </w:t>
            </w:r>
            <w:r>
              <w:rPr>
                <w:rFonts w:asciiTheme="minorHAnsi" w:hAnsiTheme="minorHAnsi" w:cstheme="minorHAnsi"/>
                <w:b/>
                <w:bCs/>
              </w:rPr>
              <w:t>N</w:t>
            </w:r>
            <w:r w:rsidRPr="00C15E4F">
              <w:rPr>
                <w:rFonts w:asciiTheme="minorHAnsi" w:hAnsiTheme="minorHAnsi" w:cstheme="minorHAnsi"/>
                <w:b/>
                <w:bCs/>
              </w:rPr>
              <w:t>utrient</w:t>
            </w:r>
          </w:p>
        </w:tc>
        <w:tc>
          <w:tcPr>
            <w:tcW w:w="5954" w:type="dxa"/>
            <w:shd w:val="clear" w:color="auto" w:fill="D9D9D9" w:themeFill="background1" w:themeFillShade="D9"/>
          </w:tcPr>
          <w:p w14:paraId="62698FAA" w14:textId="77777777" w:rsidR="00E03126" w:rsidRPr="00C15E4F" w:rsidRDefault="00E03126" w:rsidP="008D5985">
            <w:pPr>
              <w:jc w:val="center"/>
              <w:rPr>
                <w:rFonts w:asciiTheme="minorHAnsi" w:hAnsiTheme="minorHAnsi" w:cstheme="minorHAnsi"/>
                <w:b/>
                <w:bCs/>
              </w:rPr>
            </w:pPr>
            <w:r w:rsidRPr="00C15E4F">
              <w:rPr>
                <w:rFonts w:asciiTheme="minorHAnsi" w:hAnsiTheme="minorHAnsi" w:cstheme="minorHAnsi"/>
                <w:b/>
                <w:bCs/>
              </w:rPr>
              <w:t>ESPGHAN 2022 recomme</w:t>
            </w:r>
            <w:r>
              <w:rPr>
                <w:rFonts w:asciiTheme="minorHAnsi" w:hAnsiTheme="minorHAnsi" w:cstheme="minorHAnsi"/>
                <w:b/>
                <w:bCs/>
              </w:rPr>
              <w:t>n</w:t>
            </w:r>
            <w:r w:rsidRPr="00C15E4F">
              <w:rPr>
                <w:rFonts w:asciiTheme="minorHAnsi" w:hAnsiTheme="minorHAnsi" w:cstheme="minorHAnsi"/>
                <w:b/>
                <w:bCs/>
              </w:rPr>
              <w:t>dation</w:t>
            </w:r>
          </w:p>
        </w:tc>
      </w:tr>
      <w:tr w:rsidR="00E03126" w:rsidRPr="00A32792" w14:paraId="1E338504" w14:textId="77777777" w:rsidTr="00E67163">
        <w:trPr>
          <w:trHeight w:val="510"/>
        </w:trPr>
        <w:tc>
          <w:tcPr>
            <w:tcW w:w="3964" w:type="dxa"/>
            <w:vAlign w:val="center"/>
          </w:tcPr>
          <w:p w14:paraId="0DBF02C8" w14:textId="77777777" w:rsidR="00E03126" w:rsidRPr="00C15E4F" w:rsidRDefault="00E03126" w:rsidP="00E67163">
            <w:pPr>
              <w:spacing w:before="0"/>
              <w:jc w:val="center"/>
              <w:rPr>
                <w:rFonts w:asciiTheme="minorHAnsi" w:hAnsiTheme="minorHAnsi" w:cstheme="minorHAnsi"/>
              </w:rPr>
            </w:pPr>
            <w:r w:rsidRPr="00072230">
              <w:rPr>
                <w:rFonts w:asciiTheme="minorHAnsi" w:eastAsia="TimesNewRomanPSStd-Regular" w:hAnsiTheme="minorHAnsi" w:cstheme="minorHAnsi"/>
              </w:rPr>
              <w:t>Fluid, mL/kg/d</w:t>
            </w:r>
          </w:p>
        </w:tc>
        <w:tc>
          <w:tcPr>
            <w:tcW w:w="5954" w:type="dxa"/>
            <w:vAlign w:val="center"/>
          </w:tcPr>
          <w:p w14:paraId="73DA7125"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150–180 (135–200)</w:t>
            </w:r>
          </w:p>
        </w:tc>
      </w:tr>
      <w:tr w:rsidR="00E03126" w:rsidRPr="00A32792" w14:paraId="569B7396" w14:textId="77777777" w:rsidTr="00E67163">
        <w:trPr>
          <w:trHeight w:val="510"/>
        </w:trPr>
        <w:tc>
          <w:tcPr>
            <w:tcW w:w="3964" w:type="dxa"/>
            <w:vAlign w:val="center"/>
          </w:tcPr>
          <w:p w14:paraId="3982A593" w14:textId="77777777" w:rsidR="00E03126" w:rsidRPr="00072230" w:rsidRDefault="00E03126" w:rsidP="00E67163">
            <w:pPr>
              <w:spacing w:before="0"/>
              <w:jc w:val="center"/>
              <w:rPr>
                <w:rFonts w:asciiTheme="minorHAnsi" w:hAnsiTheme="minorHAnsi" w:cstheme="minorHAnsi"/>
              </w:rPr>
            </w:pPr>
            <w:r w:rsidRPr="00072230">
              <w:rPr>
                <w:rFonts w:asciiTheme="minorHAnsi" w:eastAsia="TimesNewRomanPSStd-Regular" w:hAnsiTheme="minorHAnsi" w:cstheme="minorHAnsi"/>
              </w:rPr>
              <w:t>Energy, kcal/kg/d</w:t>
            </w:r>
          </w:p>
        </w:tc>
        <w:tc>
          <w:tcPr>
            <w:tcW w:w="5954" w:type="dxa"/>
            <w:vAlign w:val="center"/>
          </w:tcPr>
          <w:p w14:paraId="6416B7F1"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115–140 (−160)</w:t>
            </w:r>
          </w:p>
        </w:tc>
      </w:tr>
      <w:tr w:rsidR="00E03126" w:rsidRPr="00A32792" w14:paraId="25C59ACD" w14:textId="77777777" w:rsidTr="00E67163">
        <w:trPr>
          <w:trHeight w:val="510"/>
        </w:trPr>
        <w:tc>
          <w:tcPr>
            <w:tcW w:w="3964" w:type="dxa"/>
            <w:vAlign w:val="center"/>
          </w:tcPr>
          <w:p w14:paraId="24AE35EF" w14:textId="77777777" w:rsidR="00E03126" w:rsidRPr="00072230" w:rsidRDefault="00E03126" w:rsidP="00E67163">
            <w:pPr>
              <w:spacing w:before="0"/>
              <w:jc w:val="center"/>
              <w:rPr>
                <w:rFonts w:asciiTheme="minorHAnsi" w:hAnsiTheme="minorHAnsi" w:cstheme="minorHAnsi"/>
              </w:rPr>
            </w:pPr>
            <w:r w:rsidRPr="00072230">
              <w:rPr>
                <w:rFonts w:asciiTheme="minorHAnsi" w:eastAsia="TimesNewRomanPSStd-Regular" w:hAnsiTheme="minorHAnsi" w:cstheme="minorHAnsi"/>
              </w:rPr>
              <w:t>Protein, g/kg/d</w:t>
            </w:r>
          </w:p>
        </w:tc>
        <w:tc>
          <w:tcPr>
            <w:tcW w:w="5954" w:type="dxa"/>
            <w:vAlign w:val="center"/>
          </w:tcPr>
          <w:p w14:paraId="4A57CFA4"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3.5–4.0 (−4.5)</w:t>
            </w:r>
          </w:p>
        </w:tc>
      </w:tr>
      <w:tr w:rsidR="00E03126" w:rsidRPr="00A32792" w14:paraId="3D32767C" w14:textId="77777777" w:rsidTr="00E67163">
        <w:trPr>
          <w:trHeight w:val="510"/>
        </w:trPr>
        <w:tc>
          <w:tcPr>
            <w:tcW w:w="3964" w:type="dxa"/>
            <w:vAlign w:val="center"/>
          </w:tcPr>
          <w:p w14:paraId="28D0643E" w14:textId="77777777" w:rsidR="00E03126" w:rsidRPr="00072230" w:rsidRDefault="00E03126" w:rsidP="00E67163">
            <w:pPr>
              <w:spacing w:before="0"/>
              <w:jc w:val="center"/>
              <w:rPr>
                <w:rFonts w:asciiTheme="minorHAnsi" w:hAnsiTheme="minorHAnsi" w:cstheme="minorHAnsi"/>
              </w:rPr>
            </w:pPr>
            <w:r w:rsidRPr="00072230">
              <w:rPr>
                <w:rFonts w:asciiTheme="minorHAnsi" w:eastAsia="TimesNewRomanPSStd-Regular" w:hAnsiTheme="minorHAnsi" w:cstheme="minorHAnsi"/>
              </w:rPr>
              <w:t>Fat, g/kg/d</w:t>
            </w:r>
          </w:p>
        </w:tc>
        <w:tc>
          <w:tcPr>
            <w:tcW w:w="5954" w:type="dxa"/>
            <w:vAlign w:val="center"/>
          </w:tcPr>
          <w:p w14:paraId="5DA27A16"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4.8–8.1</w:t>
            </w:r>
          </w:p>
        </w:tc>
      </w:tr>
      <w:tr w:rsidR="00E03126" w:rsidRPr="00A32792" w14:paraId="7AF9571B" w14:textId="77777777" w:rsidTr="00E67163">
        <w:trPr>
          <w:trHeight w:val="510"/>
        </w:trPr>
        <w:tc>
          <w:tcPr>
            <w:tcW w:w="3964" w:type="dxa"/>
            <w:vAlign w:val="center"/>
          </w:tcPr>
          <w:p w14:paraId="53F83A61" w14:textId="77777777" w:rsidR="00E03126" w:rsidRPr="00072230" w:rsidRDefault="00E03126" w:rsidP="00E67163">
            <w:pPr>
              <w:spacing w:before="0"/>
              <w:jc w:val="center"/>
              <w:rPr>
                <w:rFonts w:asciiTheme="minorHAnsi" w:hAnsiTheme="minorHAnsi" w:cstheme="minorHAnsi"/>
              </w:rPr>
            </w:pPr>
            <w:r w:rsidRPr="00072230">
              <w:rPr>
                <w:rFonts w:asciiTheme="minorHAnsi" w:eastAsia="TimesNewRomanPSStd-Regular" w:hAnsiTheme="minorHAnsi" w:cstheme="minorHAnsi"/>
              </w:rPr>
              <w:t>Carbohydrate, g/kg/d</w:t>
            </w:r>
          </w:p>
        </w:tc>
        <w:tc>
          <w:tcPr>
            <w:tcW w:w="5954" w:type="dxa"/>
            <w:vAlign w:val="center"/>
          </w:tcPr>
          <w:p w14:paraId="74E47214"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11–15 (−17)</w:t>
            </w:r>
          </w:p>
        </w:tc>
      </w:tr>
      <w:tr w:rsidR="00E03126" w:rsidRPr="00A32792" w14:paraId="59E0FCEB" w14:textId="77777777" w:rsidTr="00E67163">
        <w:trPr>
          <w:trHeight w:val="510"/>
        </w:trPr>
        <w:tc>
          <w:tcPr>
            <w:tcW w:w="3964" w:type="dxa"/>
            <w:vAlign w:val="center"/>
          </w:tcPr>
          <w:p w14:paraId="4A8FB21A" w14:textId="77777777" w:rsidR="00E03126" w:rsidRPr="00072230" w:rsidRDefault="00E03126" w:rsidP="00E67163">
            <w:pPr>
              <w:spacing w:before="0"/>
              <w:jc w:val="center"/>
              <w:rPr>
                <w:rFonts w:asciiTheme="minorHAnsi" w:hAnsiTheme="minorHAnsi" w:cstheme="minorHAnsi"/>
              </w:rPr>
            </w:pPr>
            <w:r w:rsidRPr="00072230">
              <w:rPr>
                <w:rFonts w:asciiTheme="minorHAnsi" w:eastAsia="TimesNewRomanPSStd-Regular" w:hAnsiTheme="minorHAnsi" w:cstheme="minorHAnsi"/>
              </w:rPr>
              <w:t>Sodium, mmol/kg/d</w:t>
            </w:r>
          </w:p>
        </w:tc>
        <w:tc>
          <w:tcPr>
            <w:tcW w:w="5954" w:type="dxa"/>
            <w:vAlign w:val="center"/>
          </w:tcPr>
          <w:p w14:paraId="05B05CB3"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3.0–5.0 (−8.0)</w:t>
            </w:r>
          </w:p>
        </w:tc>
      </w:tr>
      <w:tr w:rsidR="00E03126" w:rsidRPr="00A32792" w14:paraId="0BC94C4F" w14:textId="77777777" w:rsidTr="00E67163">
        <w:trPr>
          <w:trHeight w:val="510"/>
        </w:trPr>
        <w:tc>
          <w:tcPr>
            <w:tcW w:w="3964" w:type="dxa"/>
            <w:vAlign w:val="center"/>
          </w:tcPr>
          <w:p w14:paraId="27539E90" w14:textId="77777777" w:rsidR="00E03126" w:rsidRPr="00072230" w:rsidRDefault="00E03126" w:rsidP="00E67163">
            <w:pPr>
              <w:spacing w:before="0"/>
              <w:jc w:val="center"/>
              <w:rPr>
                <w:rFonts w:asciiTheme="minorHAnsi" w:hAnsiTheme="minorHAnsi" w:cstheme="minorHAnsi"/>
              </w:rPr>
            </w:pPr>
            <w:r w:rsidRPr="00072230">
              <w:rPr>
                <w:rFonts w:asciiTheme="minorHAnsi" w:eastAsia="TimesNewRomanPSStd-Regular" w:hAnsiTheme="minorHAnsi" w:cstheme="minorHAnsi"/>
              </w:rPr>
              <w:t>Chloride, mmol/kg/d</w:t>
            </w:r>
          </w:p>
        </w:tc>
        <w:tc>
          <w:tcPr>
            <w:tcW w:w="5954" w:type="dxa"/>
            <w:vAlign w:val="center"/>
          </w:tcPr>
          <w:p w14:paraId="4DF6AFF6"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3.0–5.0 (−8.0)</w:t>
            </w:r>
          </w:p>
        </w:tc>
      </w:tr>
      <w:tr w:rsidR="00E03126" w:rsidRPr="00FE7BFB" w14:paraId="551CDC50" w14:textId="77777777" w:rsidTr="00E67163">
        <w:trPr>
          <w:trHeight w:val="510"/>
        </w:trPr>
        <w:tc>
          <w:tcPr>
            <w:tcW w:w="3964" w:type="dxa"/>
            <w:vAlign w:val="center"/>
          </w:tcPr>
          <w:p w14:paraId="4481214E" w14:textId="77777777" w:rsidR="00E03126" w:rsidRPr="00072230" w:rsidRDefault="00E03126" w:rsidP="00E67163">
            <w:pPr>
              <w:spacing w:before="0"/>
              <w:jc w:val="center"/>
              <w:rPr>
                <w:rFonts w:asciiTheme="minorHAnsi" w:eastAsia="TimesNewRomanPSStd-Regular" w:hAnsiTheme="minorHAnsi" w:cstheme="minorHAnsi"/>
              </w:rPr>
            </w:pPr>
            <w:r w:rsidRPr="00072230">
              <w:rPr>
                <w:rFonts w:asciiTheme="minorHAnsi" w:eastAsia="TimesNewRomanPSStd-Regular" w:hAnsiTheme="minorHAnsi" w:cstheme="minorHAnsi"/>
              </w:rPr>
              <w:t>Potassium, mmol/kg/d</w:t>
            </w:r>
          </w:p>
        </w:tc>
        <w:tc>
          <w:tcPr>
            <w:tcW w:w="5954" w:type="dxa"/>
            <w:vAlign w:val="center"/>
          </w:tcPr>
          <w:p w14:paraId="28E7866D"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2.3–4.6</w:t>
            </w:r>
          </w:p>
        </w:tc>
      </w:tr>
      <w:tr w:rsidR="00E03126" w:rsidRPr="00FE7BFB" w14:paraId="1E945BC0" w14:textId="77777777" w:rsidTr="00E67163">
        <w:trPr>
          <w:trHeight w:val="510"/>
        </w:trPr>
        <w:tc>
          <w:tcPr>
            <w:tcW w:w="3964" w:type="dxa"/>
            <w:vAlign w:val="center"/>
          </w:tcPr>
          <w:p w14:paraId="4F3CC54C" w14:textId="77777777" w:rsidR="00E03126" w:rsidRPr="00072230" w:rsidRDefault="00E03126" w:rsidP="00E67163">
            <w:pPr>
              <w:spacing w:before="0"/>
              <w:jc w:val="center"/>
              <w:rPr>
                <w:rFonts w:asciiTheme="minorHAnsi" w:eastAsia="TimesNewRomanPSStd-Regular" w:hAnsiTheme="minorHAnsi" w:cstheme="minorHAnsi"/>
              </w:rPr>
            </w:pPr>
            <w:r w:rsidRPr="00072230">
              <w:rPr>
                <w:rFonts w:asciiTheme="minorHAnsi" w:eastAsia="TimesNewRomanPSStd-Regular" w:hAnsiTheme="minorHAnsi" w:cstheme="minorHAnsi"/>
              </w:rPr>
              <w:t>Calcium, mmol/kg/d</w:t>
            </w:r>
          </w:p>
        </w:tc>
        <w:tc>
          <w:tcPr>
            <w:tcW w:w="5954" w:type="dxa"/>
            <w:vAlign w:val="center"/>
          </w:tcPr>
          <w:p w14:paraId="6969E573"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3.0–5.0</w:t>
            </w:r>
          </w:p>
        </w:tc>
      </w:tr>
      <w:tr w:rsidR="00E03126" w:rsidRPr="00FE7BFB" w14:paraId="048865DF" w14:textId="77777777" w:rsidTr="00E67163">
        <w:trPr>
          <w:trHeight w:val="510"/>
        </w:trPr>
        <w:tc>
          <w:tcPr>
            <w:tcW w:w="3964" w:type="dxa"/>
            <w:vAlign w:val="center"/>
          </w:tcPr>
          <w:p w14:paraId="3C90889A" w14:textId="77777777" w:rsidR="00E03126" w:rsidRPr="00072230" w:rsidRDefault="00E03126" w:rsidP="00E67163">
            <w:pPr>
              <w:spacing w:before="0"/>
              <w:jc w:val="center"/>
              <w:rPr>
                <w:rFonts w:asciiTheme="minorHAnsi" w:eastAsia="TimesNewRomanPSStd-Regular" w:hAnsiTheme="minorHAnsi" w:cstheme="minorHAnsi"/>
              </w:rPr>
            </w:pPr>
            <w:r w:rsidRPr="00072230">
              <w:rPr>
                <w:rFonts w:asciiTheme="minorHAnsi" w:eastAsia="TimesNewRomanPSStd-Regular" w:hAnsiTheme="minorHAnsi" w:cstheme="minorHAnsi"/>
              </w:rPr>
              <w:t>Phosphorus, mmol/kg/d</w:t>
            </w:r>
          </w:p>
        </w:tc>
        <w:tc>
          <w:tcPr>
            <w:tcW w:w="5954" w:type="dxa"/>
            <w:vAlign w:val="center"/>
          </w:tcPr>
          <w:p w14:paraId="0FD54A19"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2.2–3.7</w:t>
            </w:r>
          </w:p>
        </w:tc>
      </w:tr>
      <w:tr w:rsidR="00E03126" w:rsidRPr="00FE7BFB" w14:paraId="4E9FF93B" w14:textId="77777777" w:rsidTr="00E67163">
        <w:trPr>
          <w:trHeight w:val="510"/>
        </w:trPr>
        <w:tc>
          <w:tcPr>
            <w:tcW w:w="3964" w:type="dxa"/>
            <w:vAlign w:val="center"/>
          </w:tcPr>
          <w:p w14:paraId="7FB8C5BE" w14:textId="77777777" w:rsidR="00E03126" w:rsidRPr="00072230" w:rsidRDefault="00E03126" w:rsidP="00E67163">
            <w:pPr>
              <w:spacing w:before="0"/>
              <w:jc w:val="center"/>
              <w:rPr>
                <w:rFonts w:asciiTheme="minorHAnsi" w:eastAsia="TimesNewRomanPSStd-Regular" w:hAnsiTheme="minorHAnsi" w:cstheme="minorHAnsi"/>
              </w:rPr>
            </w:pPr>
            <w:r w:rsidRPr="00072230">
              <w:rPr>
                <w:rFonts w:asciiTheme="minorHAnsi" w:eastAsia="TimesNewRomanPSStd-Regular" w:hAnsiTheme="minorHAnsi" w:cstheme="minorHAnsi"/>
              </w:rPr>
              <w:t>Magnesium, mmol/kg/d</w:t>
            </w:r>
          </w:p>
        </w:tc>
        <w:tc>
          <w:tcPr>
            <w:tcW w:w="5954" w:type="dxa"/>
            <w:vAlign w:val="center"/>
          </w:tcPr>
          <w:p w14:paraId="6E8710E4"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0.4–0.5</w:t>
            </w:r>
          </w:p>
        </w:tc>
      </w:tr>
      <w:tr w:rsidR="00E03126" w:rsidRPr="00FE7BFB" w14:paraId="422247C8" w14:textId="77777777" w:rsidTr="00E67163">
        <w:trPr>
          <w:trHeight w:val="510"/>
        </w:trPr>
        <w:tc>
          <w:tcPr>
            <w:tcW w:w="3964" w:type="dxa"/>
            <w:vAlign w:val="center"/>
          </w:tcPr>
          <w:p w14:paraId="6A2936C1" w14:textId="77777777" w:rsidR="00E03126" w:rsidRPr="00072230" w:rsidRDefault="00E03126" w:rsidP="00E67163">
            <w:pPr>
              <w:spacing w:before="0"/>
              <w:jc w:val="center"/>
              <w:rPr>
                <w:rFonts w:asciiTheme="minorHAnsi" w:eastAsia="TimesNewRomanPSStd-Regular" w:hAnsiTheme="minorHAnsi" w:cstheme="minorHAnsi"/>
              </w:rPr>
            </w:pPr>
            <w:r w:rsidRPr="00072230">
              <w:rPr>
                <w:rFonts w:asciiTheme="minorHAnsi" w:eastAsia="TimesNewRomanPSStd-Regular" w:hAnsiTheme="minorHAnsi" w:cstheme="minorHAnsi"/>
              </w:rPr>
              <w:t>Iron, mg/kg/d</w:t>
            </w:r>
          </w:p>
        </w:tc>
        <w:tc>
          <w:tcPr>
            <w:tcW w:w="5954" w:type="dxa"/>
            <w:vAlign w:val="center"/>
          </w:tcPr>
          <w:p w14:paraId="4A2680A6"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2.0–3.0 (−6.0)</w:t>
            </w:r>
          </w:p>
        </w:tc>
      </w:tr>
      <w:tr w:rsidR="00E03126" w:rsidRPr="00FE7BFB" w14:paraId="5F054B3A" w14:textId="77777777" w:rsidTr="00E67163">
        <w:trPr>
          <w:trHeight w:val="510"/>
        </w:trPr>
        <w:tc>
          <w:tcPr>
            <w:tcW w:w="3964" w:type="dxa"/>
            <w:vAlign w:val="center"/>
          </w:tcPr>
          <w:p w14:paraId="38289794" w14:textId="77777777" w:rsidR="00E03126" w:rsidRPr="00072230" w:rsidRDefault="00E03126" w:rsidP="00E67163">
            <w:pPr>
              <w:spacing w:before="0"/>
              <w:jc w:val="center"/>
              <w:rPr>
                <w:rFonts w:asciiTheme="minorHAnsi" w:eastAsia="TimesNewRomanPSStd-Regular" w:hAnsiTheme="minorHAnsi" w:cstheme="minorHAnsi"/>
              </w:rPr>
            </w:pPr>
            <w:r w:rsidRPr="00072230">
              <w:rPr>
                <w:rFonts w:asciiTheme="minorHAnsi" w:eastAsia="TimesNewRomanPSStd-Regular" w:hAnsiTheme="minorHAnsi" w:cstheme="minorHAnsi"/>
              </w:rPr>
              <w:t>Zinc, mg/kg/d</w:t>
            </w:r>
          </w:p>
        </w:tc>
        <w:tc>
          <w:tcPr>
            <w:tcW w:w="5954" w:type="dxa"/>
            <w:vAlign w:val="center"/>
          </w:tcPr>
          <w:p w14:paraId="084BCD07"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2.0–3.0</w:t>
            </w:r>
          </w:p>
        </w:tc>
      </w:tr>
      <w:tr w:rsidR="00E03126" w:rsidRPr="00FE7BFB" w14:paraId="226261F9" w14:textId="77777777" w:rsidTr="00E67163">
        <w:trPr>
          <w:trHeight w:val="510"/>
        </w:trPr>
        <w:tc>
          <w:tcPr>
            <w:tcW w:w="3964" w:type="dxa"/>
            <w:vAlign w:val="center"/>
          </w:tcPr>
          <w:p w14:paraId="6923C70F" w14:textId="77777777" w:rsidR="00E03126" w:rsidRPr="00072230" w:rsidRDefault="00E03126" w:rsidP="00E67163">
            <w:pPr>
              <w:spacing w:before="0"/>
              <w:jc w:val="center"/>
              <w:rPr>
                <w:rFonts w:asciiTheme="minorHAnsi" w:eastAsia="TimesNewRomanPSStd-Regular" w:hAnsiTheme="minorHAnsi" w:cstheme="minorHAnsi"/>
              </w:rPr>
            </w:pPr>
            <w:r w:rsidRPr="00072230">
              <w:rPr>
                <w:rFonts w:asciiTheme="minorHAnsi" w:eastAsia="TimesNewRomanPSStd-Regular" w:hAnsiTheme="minorHAnsi" w:cstheme="minorHAnsi"/>
              </w:rPr>
              <w:t xml:space="preserve">Folic acid, </w:t>
            </w:r>
            <w:r w:rsidRPr="00072230">
              <w:rPr>
                <w:rFonts w:asciiTheme="minorHAnsi" w:eastAsia="TimesNewRomanPSStd-Regular" w:hAnsiTheme="minorHAnsi" w:cstheme="minorHAnsi" w:hint="eastAsia"/>
              </w:rPr>
              <w:t>μ</w:t>
            </w:r>
            <w:r w:rsidRPr="00072230">
              <w:rPr>
                <w:rFonts w:asciiTheme="minorHAnsi" w:eastAsia="TimesNewRomanPSStd-Regular" w:hAnsiTheme="minorHAnsi" w:cstheme="minorHAnsi"/>
              </w:rPr>
              <w:t>g/kg/d</w:t>
            </w:r>
          </w:p>
        </w:tc>
        <w:tc>
          <w:tcPr>
            <w:tcW w:w="5954" w:type="dxa"/>
            <w:vAlign w:val="center"/>
          </w:tcPr>
          <w:p w14:paraId="1C98863C"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23–100</w:t>
            </w:r>
          </w:p>
        </w:tc>
      </w:tr>
      <w:tr w:rsidR="00E03126" w:rsidRPr="00FE7BFB" w14:paraId="21F50F45" w14:textId="77777777" w:rsidTr="00E67163">
        <w:trPr>
          <w:trHeight w:val="510"/>
        </w:trPr>
        <w:tc>
          <w:tcPr>
            <w:tcW w:w="3964" w:type="dxa"/>
            <w:vAlign w:val="center"/>
          </w:tcPr>
          <w:p w14:paraId="33554D72" w14:textId="77777777" w:rsidR="00E03126" w:rsidRPr="00AA2247" w:rsidRDefault="00E03126" w:rsidP="00E67163">
            <w:pPr>
              <w:spacing w:before="0"/>
              <w:jc w:val="center"/>
              <w:rPr>
                <w:rFonts w:asciiTheme="minorHAnsi" w:eastAsia="TimesNewRomanPSStd-Regular" w:hAnsiTheme="minorHAnsi" w:cstheme="minorHAnsi"/>
                <w:lang w:val="it-IT"/>
              </w:rPr>
            </w:pPr>
            <w:r w:rsidRPr="00AA2247">
              <w:rPr>
                <w:rFonts w:asciiTheme="minorHAnsi" w:eastAsia="TimesNewRomanPSStd-Regular" w:hAnsiTheme="minorHAnsi" w:cstheme="minorHAnsi"/>
                <w:lang w:val="it-IT"/>
              </w:rPr>
              <w:t>Vitamin A, IU/kg/d</w:t>
            </w:r>
          </w:p>
        </w:tc>
        <w:tc>
          <w:tcPr>
            <w:tcW w:w="5954" w:type="dxa"/>
            <w:vAlign w:val="center"/>
          </w:tcPr>
          <w:p w14:paraId="6A88ECE5"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 xml:space="preserve">1333–3300 (400–1000 </w:t>
            </w:r>
            <w:r w:rsidRPr="00072230">
              <w:rPr>
                <w:rFonts w:asciiTheme="minorHAnsi" w:eastAsia="TimesNewRomanPSStd-Bold" w:hAnsiTheme="minorHAnsi" w:cstheme="minorHAnsi" w:hint="eastAsia"/>
              </w:rPr>
              <w:t>μ</w:t>
            </w:r>
            <w:r w:rsidRPr="00072230">
              <w:rPr>
                <w:rFonts w:asciiTheme="minorHAnsi" w:eastAsia="TimesNewRomanPSStd-Bold" w:hAnsiTheme="minorHAnsi" w:cstheme="minorHAnsi"/>
              </w:rPr>
              <w:t>g retinol ester/kg/d)</w:t>
            </w:r>
          </w:p>
        </w:tc>
      </w:tr>
      <w:tr w:rsidR="00E03126" w:rsidRPr="00FE7BFB" w14:paraId="0B203BA5" w14:textId="77777777" w:rsidTr="00E67163">
        <w:trPr>
          <w:trHeight w:val="510"/>
        </w:trPr>
        <w:tc>
          <w:tcPr>
            <w:tcW w:w="3964" w:type="dxa"/>
            <w:vAlign w:val="center"/>
          </w:tcPr>
          <w:p w14:paraId="51578A21" w14:textId="77777777" w:rsidR="00E03126" w:rsidRPr="00AA2247" w:rsidRDefault="00E03126" w:rsidP="00E67163">
            <w:pPr>
              <w:spacing w:before="0"/>
              <w:jc w:val="center"/>
              <w:rPr>
                <w:rFonts w:asciiTheme="minorHAnsi" w:eastAsia="TimesNewRomanPSStd-Regular" w:hAnsiTheme="minorHAnsi" w:cstheme="minorHAnsi"/>
                <w:lang w:val="it-IT"/>
              </w:rPr>
            </w:pPr>
            <w:r w:rsidRPr="00AA2247">
              <w:rPr>
                <w:rFonts w:asciiTheme="minorHAnsi" w:eastAsia="TimesNewRomanPSStd-Regular" w:hAnsiTheme="minorHAnsi" w:cstheme="minorHAnsi"/>
                <w:lang w:val="it-IT"/>
              </w:rPr>
              <w:t>Vitamin D, IU/kg/d</w:t>
            </w:r>
          </w:p>
        </w:tc>
        <w:tc>
          <w:tcPr>
            <w:tcW w:w="5954" w:type="dxa"/>
            <w:vAlign w:val="center"/>
          </w:tcPr>
          <w:p w14:paraId="265AF971"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400–700 IU/kg/d (&lt;1000)</w:t>
            </w:r>
          </w:p>
        </w:tc>
      </w:tr>
      <w:tr w:rsidR="00E03126" w:rsidRPr="00FE7BFB" w14:paraId="0E232B0C" w14:textId="77777777" w:rsidTr="00E67163">
        <w:trPr>
          <w:trHeight w:val="510"/>
        </w:trPr>
        <w:tc>
          <w:tcPr>
            <w:tcW w:w="3964" w:type="dxa"/>
            <w:vAlign w:val="center"/>
          </w:tcPr>
          <w:p w14:paraId="6E9CE961" w14:textId="77777777" w:rsidR="00E03126" w:rsidRPr="00AA2247" w:rsidRDefault="00E03126" w:rsidP="00E67163">
            <w:pPr>
              <w:spacing w:before="0"/>
              <w:jc w:val="center"/>
              <w:rPr>
                <w:rFonts w:asciiTheme="minorHAnsi" w:eastAsia="TimesNewRomanPSStd-Regular" w:hAnsiTheme="minorHAnsi" w:cstheme="minorHAnsi"/>
                <w:lang w:val="it-IT"/>
              </w:rPr>
            </w:pPr>
            <w:r w:rsidRPr="00AA2247">
              <w:rPr>
                <w:rFonts w:asciiTheme="minorHAnsi" w:eastAsia="TimesNewRomanPSStd-Regular" w:hAnsiTheme="minorHAnsi" w:cstheme="minorHAnsi"/>
                <w:lang w:val="it-IT"/>
              </w:rPr>
              <w:t>Vitamin E, mg/kg/d</w:t>
            </w:r>
          </w:p>
        </w:tc>
        <w:tc>
          <w:tcPr>
            <w:tcW w:w="5954" w:type="dxa"/>
            <w:vAlign w:val="center"/>
          </w:tcPr>
          <w:p w14:paraId="14B2102C"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2.2–11</w:t>
            </w:r>
          </w:p>
        </w:tc>
      </w:tr>
      <w:tr w:rsidR="00E03126" w:rsidRPr="00FE7BFB" w14:paraId="62941F27" w14:textId="77777777" w:rsidTr="00E67163">
        <w:trPr>
          <w:trHeight w:val="510"/>
        </w:trPr>
        <w:tc>
          <w:tcPr>
            <w:tcW w:w="3964" w:type="dxa"/>
            <w:vAlign w:val="center"/>
          </w:tcPr>
          <w:p w14:paraId="763734A3" w14:textId="77777777" w:rsidR="00E03126" w:rsidRPr="00AA2247" w:rsidRDefault="00E03126" w:rsidP="00E67163">
            <w:pPr>
              <w:spacing w:before="0"/>
              <w:jc w:val="center"/>
              <w:rPr>
                <w:rFonts w:asciiTheme="minorHAnsi" w:eastAsia="TimesNewRomanPSStd-Regular" w:hAnsiTheme="minorHAnsi" w:cstheme="minorHAnsi"/>
                <w:lang w:val="it-IT"/>
              </w:rPr>
            </w:pPr>
            <w:r w:rsidRPr="00AA2247">
              <w:rPr>
                <w:rFonts w:asciiTheme="minorHAnsi" w:eastAsia="TimesNewRomanPSStd-Regular" w:hAnsiTheme="minorHAnsi" w:cstheme="minorHAnsi"/>
                <w:lang w:val="it-IT"/>
              </w:rPr>
              <w:t xml:space="preserve">Vitamin K, </w:t>
            </w:r>
            <w:r w:rsidRPr="00072230">
              <w:rPr>
                <w:rFonts w:asciiTheme="minorHAnsi" w:eastAsia="TimesNewRomanPSStd-Regular" w:hAnsiTheme="minorHAnsi" w:cstheme="minorHAnsi" w:hint="eastAsia"/>
              </w:rPr>
              <w:t>μ</w:t>
            </w:r>
            <w:r w:rsidRPr="00AA2247">
              <w:rPr>
                <w:rFonts w:asciiTheme="minorHAnsi" w:eastAsia="TimesNewRomanPSStd-Regular" w:hAnsiTheme="minorHAnsi" w:cstheme="minorHAnsi"/>
                <w:lang w:val="it-IT"/>
              </w:rPr>
              <w:t>g/kg/d</w:t>
            </w:r>
          </w:p>
        </w:tc>
        <w:tc>
          <w:tcPr>
            <w:tcW w:w="5954" w:type="dxa"/>
            <w:vAlign w:val="center"/>
          </w:tcPr>
          <w:p w14:paraId="3EEB43C8" w14:textId="77777777" w:rsidR="00E03126" w:rsidRPr="00072230" w:rsidRDefault="00E03126" w:rsidP="00E67163">
            <w:pPr>
              <w:spacing w:before="0"/>
              <w:ind w:left="596"/>
              <w:jc w:val="center"/>
              <w:rPr>
                <w:rFonts w:asciiTheme="minorHAnsi" w:hAnsiTheme="minorHAnsi" w:cstheme="minorHAnsi"/>
              </w:rPr>
            </w:pPr>
            <w:r w:rsidRPr="00072230">
              <w:rPr>
                <w:rFonts w:asciiTheme="minorHAnsi" w:eastAsia="TimesNewRomanPSStd-Bold" w:hAnsiTheme="minorHAnsi" w:cstheme="minorHAnsi"/>
              </w:rPr>
              <w:t>4.4–28</w:t>
            </w:r>
          </w:p>
        </w:tc>
      </w:tr>
    </w:tbl>
    <w:p w14:paraId="0423DFA0" w14:textId="657BCFFC" w:rsidR="004A7A7F" w:rsidRPr="00481A6C" w:rsidRDefault="003F3D3C" w:rsidP="000E7683">
      <w:hyperlink w:anchor="_top" w:history="1">
        <w:r w:rsidRPr="00481A6C">
          <w:rPr>
            <w:rStyle w:val="Hyperlink"/>
          </w:rPr>
          <w:t>Back to Contents</w:t>
        </w:r>
      </w:hyperlink>
      <w:r>
        <w:t xml:space="preserve"> </w:t>
      </w:r>
      <w:bookmarkEnd w:id="1"/>
    </w:p>
    <w:sectPr w:rsidR="004A7A7F" w:rsidRPr="00481A6C" w:rsidSect="00E67163">
      <w:pgSz w:w="11906" w:h="16838" w:code="9"/>
      <w:pgMar w:top="970" w:right="1134" w:bottom="1134" w:left="851" w:header="113" w:footer="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D3131" w14:textId="77777777" w:rsidR="00692E3C" w:rsidRDefault="00692E3C" w:rsidP="00225769">
      <w:pPr>
        <w:spacing w:after="0" w:line="240" w:lineRule="auto"/>
      </w:pPr>
      <w:r>
        <w:separator/>
      </w:r>
    </w:p>
    <w:p w14:paraId="18F4F5CD" w14:textId="77777777" w:rsidR="00692E3C" w:rsidRDefault="00692E3C"/>
    <w:p w14:paraId="08867A84" w14:textId="77777777" w:rsidR="00692E3C" w:rsidRDefault="00692E3C"/>
    <w:p w14:paraId="2A16C08B" w14:textId="77777777" w:rsidR="00692E3C" w:rsidRDefault="00692E3C"/>
    <w:p w14:paraId="45E55CE0" w14:textId="77777777" w:rsidR="00692E3C" w:rsidRDefault="00692E3C"/>
    <w:p w14:paraId="0B28E90D" w14:textId="77777777" w:rsidR="00692E3C" w:rsidRDefault="00692E3C"/>
    <w:p w14:paraId="3B814BE0" w14:textId="77777777" w:rsidR="00692E3C" w:rsidRDefault="00692E3C"/>
  </w:endnote>
  <w:endnote w:type="continuationSeparator" w:id="0">
    <w:p w14:paraId="7D63F7EE" w14:textId="77777777" w:rsidR="00692E3C" w:rsidRDefault="00692E3C" w:rsidP="00225769">
      <w:pPr>
        <w:spacing w:after="0" w:line="240" w:lineRule="auto"/>
      </w:pPr>
      <w:r>
        <w:continuationSeparator/>
      </w:r>
    </w:p>
    <w:p w14:paraId="7F2B5D6B" w14:textId="77777777" w:rsidR="00692E3C" w:rsidRDefault="00692E3C"/>
    <w:p w14:paraId="3DABCABB" w14:textId="77777777" w:rsidR="00692E3C" w:rsidRDefault="00692E3C"/>
    <w:p w14:paraId="028D4154" w14:textId="77777777" w:rsidR="00692E3C" w:rsidRDefault="00692E3C"/>
    <w:p w14:paraId="000FDB62" w14:textId="77777777" w:rsidR="00692E3C" w:rsidRDefault="00692E3C"/>
    <w:p w14:paraId="7B5FE3FD" w14:textId="77777777" w:rsidR="00692E3C" w:rsidRDefault="00692E3C"/>
    <w:p w14:paraId="28BA6A40" w14:textId="77777777" w:rsidR="00692E3C" w:rsidRDefault="00692E3C"/>
  </w:endnote>
  <w:endnote w:type="continuationNotice" w:id="1">
    <w:p w14:paraId="74C82B9D" w14:textId="77777777" w:rsidR="00692E3C" w:rsidRDefault="00692E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TimesNewRomanPSStd-Regular">
    <w:altName w:val="Yu Gothic"/>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TimesNewRomanPSStd-Bold">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5AC488C0" w14:textId="77777777" w:rsidTr="003B0E72">
      <w:trPr>
        <w:jc w:val="center"/>
      </w:trPr>
      <w:tc>
        <w:tcPr>
          <w:tcW w:w="1515" w:type="dxa"/>
        </w:tcPr>
        <w:p w14:paraId="6FE0D790"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1FBAA075"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55AA66C5"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05356B3D"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6D5FA433"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092B3CB4"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2F1887" w:rsidRPr="006B62B4" w14:paraId="1355CD51" w14:textId="77777777" w:rsidTr="003B0E72">
      <w:trPr>
        <w:jc w:val="center"/>
      </w:trPr>
      <w:tc>
        <w:tcPr>
          <w:tcW w:w="1515" w:type="dxa"/>
        </w:tcPr>
        <w:p w14:paraId="40BF12E7" w14:textId="1A95D04D" w:rsidR="002F1887" w:rsidRPr="00954F7B" w:rsidRDefault="002F1887" w:rsidP="002F1887">
          <w:pPr>
            <w:pStyle w:val="Footer"/>
            <w:jc w:val="center"/>
            <w:rPr>
              <w:bCs/>
              <w:iCs/>
              <w:sz w:val="20"/>
              <w:szCs w:val="20"/>
            </w:rPr>
          </w:pPr>
          <w:r>
            <w:rPr>
              <w:bCs/>
              <w:iCs/>
              <w:sz w:val="20"/>
              <w:szCs w:val="20"/>
            </w:rPr>
            <w:t>CHS25/52</w:t>
          </w:r>
        </w:p>
      </w:tc>
      <w:tc>
        <w:tcPr>
          <w:tcW w:w="965" w:type="dxa"/>
        </w:tcPr>
        <w:p w14:paraId="7D4509FF" w14:textId="38BCC8D6" w:rsidR="002F1887" w:rsidRPr="00954F7B" w:rsidRDefault="002F1887" w:rsidP="002F1887">
          <w:pPr>
            <w:pStyle w:val="Footer"/>
            <w:jc w:val="center"/>
            <w:rPr>
              <w:bCs/>
              <w:iCs/>
              <w:sz w:val="20"/>
              <w:szCs w:val="20"/>
            </w:rPr>
          </w:pPr>
          <w:r>
            <w:rPr>
              <w:bCs/>
              <w:iCs/>
              <w:sz w:val="20"/>
              <w:szCs w:val="20"/>
            </w:rPr>
            <w:t>1</w:t>
          </w:r>
        </w:p>
      </w:tc>
      <w:tc>
        <w:tcPr>
          <w:tcW w:w="1552" w:type="dxa"/>
        </w:tcPr>
        <w:p w14:paraId="5C9D72EC" w14:textId="45B3E3AA" w:rsidR="002F1887" w:rsidRPr="00954F7B" w:rsidRDefault="002F1887" w:rsidP="002F1887">
          <w:pPr>
            <w:pStyle w:val="Footer"/>
            <w:jc w:val="center"/>
            <w:rPr>
              <w:bCs/>
              <w:iCs/>
              <w:sz w:val="20"/>
              <w:szCs w:val="20"/>
            </w:rPr>
          </w:pPr>
          <w:r>
            <w:rPr>
              <w:bCs/>
              <w:iCs/>
              <w:sz w:val="20"/>
              <w:szCs w:val="20"/>
            </w:rPr>
            <w:t>09/04/2025</w:t>
          </w:r>
        </w:p>
      </w:tc>
      <w:tc>
        <w:tcPr>
          <w:tcW w:w="1456" w:type="dxa"/>
        </w:tcPr>
        <w:p w14:paraId="1F4EA82B" w14:textId="1101E10E" w:rsidR="002F1887" w:rsidRPr="00954F7B" w:rsidRDefault="002F1887" w:rsidP="002F1887">
          <w:pPr>
            <w:pStyle w:val="Footer"/>
            <w:jc w:val="center"/>
            <w:rPr>
              <w:bCs/>
              <w:iCs/>
              <w:sz w:val="20"/>
              <w:szCs w:val="20"/>
            </w:rPr>
          </w:pPr>
          <w:r>
            <w:rPr>
              <w:bCs/>
              <w:iCs/>
              <w:sz w:val="20"/>
              <w:szCs w:val="20"/>
            </w:rPr>
            <w:t>01/03/2029</w:t>
          </w:r>
        </w:p>
      </w:tc>
      <w:tc>
        <w:tcPr>
          <w:tcW w:w="1746" w:type="dxa"/>
        </w:tcPr>
        <w:p w14:paraId="27964AB2" w14:textId="3FC2BB14" w:rsidR="002F1887" w:rsidRPr="00954F7B" w:rsidRDefault="002F1887" w:rsidP="002F1887">
          <w:pPr>
            <w:pStyle w:val="Footer"/>
            <w:jc w:val="center"/>
            <w:rPr>
              <w:bCs/>
              <w:iCs/>
              <w:sz w:val="20"/>
              <w:szCs w:val="20"/>
            </w:rPr>
          </w:pPr>
          <w:r>
            <w:rPr>
              <w:bCs/>
              <w:iCs/>
              <w:sz w:val="20"/>
              <w:szCs w:val="20"/>
            </w:rPr>
            <w:t xml:space="preserve">WY&amp;C – Dept of Neonatology </w:t>
          </w:r>
        </w:p>
      </w:tc>
      <w:tc>
        <w:tcPr>
          <w:tcW w:w="1836" w:type="dxa"/>
        </w:tcPr>
        <w:p w14:paraId="4BBC56AB" w14:textId="77777777" w:rsidR="002F1887" w:rsidRPr="00954F7B" w:rsidRDefault="002F1887" w:rsidP="002F1887">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5DB2652E"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p w14:paraId="4798B1D6" w14:textId="77777777" w:rsidR="00CB0895" w:rsidRDefault="00CB08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6E5F4F9A" w14:textId="77777777" w:rsidTr="008E1ED9">
      <w:trPr>
        <w:jc w:val="center"/>
      </w:trPr>
      <w:tc>
        <w:tcPr>
          <w:tcW w:w="1515" w:type="dxa"/>
        </w:tcPr>
        <w:p w14:paraId="4FDC6816"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5591E24B"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58A329F7"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068DD6F4"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0A7C098A"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53869DC4"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8A3DD8" w:rsidRPr="006B62B4" w14:paraId="701D834B" w14:textId="77777777" w:rsidTr="008E1ED9">
      <w:trPr>
        <w:jc w:val="center"/>
      </w:trPr>
      <w:tc>
        <w:tcPr>
          <w:tcW w:w="1515" w:type="dxa"/>
        </w:tcPr>
        <w:p w14:paraId="597DBA42" w14:textId="6ED9E640" w:rsidR="008A3DD8" w:rsidRPr="00954F7B" w:rsidRDefault="002F1887" w:rsidP="008A3DD8">
          <w:pPr>
            <w:pStyle w:val="Footer"/>
            <w:jc w:val="center"/>
            <w:rPr>
              <w:bCs/>
              <w:iCs/>
              <w:sz w:val="20"/>
              <w:szCs w:val="20"/>
            </w:rPr>
          </w:pPr>
          <w:r>
            <w:rPr>
              <w:bCs/>
              <w:iCs/>
              <w:sz w:val="20"/>
              <w:szCs w:val="20"/>
            </w:rPr>
            <w:t>CHS25/52</w:t>
          </w:r>
        </w:p>
      </w:tc>
      <w:tc>
        <w:tcPr>
          <w:tcW w:w="965" w:type="dxa"/>
        </w:tcPr>
        <w:p w14:paraId="475F64CC" w14:textId="4BDD84B3" w:rsidR="008A3DD8" w:rsidRPr="00954F7B" w:rsidRDefault="002F1887" w:rsidP="008A3DD8">
          <w:pPr>
            <w:pStyle w:val="Footer"/>
            <w:jc w:val="center"/>
            <w:rPr>
              <w:bCs/>
              <w:iCs/>
              <w:sz w:val="20"/>
              <w:szCs w:val="20"/>
            </w:rPr>
          </w:pPr>
          <w:r>
            <w:rPr>
              <w:bCs/>
              <w:iCs/>
              <w:sz w:val="20"/>
              <w:szCs w:val="20"/>
            </w:rPr>
            <w:t>1</w:t>
          </w:r>
        </w:p>
      </w:tc>
      <w:tc>
        <w:tcPr>
          <w:tcW w:w="1552" w:type="dxa"/>
        </w:tcPr>
        <w:p w14:paraId="31AAB263" w14:textId="1BC124C5" w:rsidR="008A3DD8" w:rsidRPr="00954F7B" w:rsidRDefault="002F1887" w:rsidP="008A3DD8">
          <w:pPr>
            <w:pStyle w:val="Footer"/>
            <w:jc w:val="center"/>
            <w:rPr>
              <w:bCs/>
              <w:iCs/>
              <w:sz w:val="20"/>
              <w:szCs w:val="20"/>
            </w:rPr>
          </w:pPr>
          <w:r>
            <w:rPr>
              <w:bCs/>
              <w:iCs/>
              <w:sz w:val="20"/>
              <w:szCs w:val="20"/>
            </w:rPr>
            <w:t>09/04/2025</w:t>
          </w:r>
        </w:p>
      </w:tc>
      <w:tc>
        <w:tcPr>
          <w:tcW w:w="1456" w:type="dxa"/>
        </w:tcPr>
        <w:p w14:paraId="7C8A565B" w14:textId="55D9FFC2" w:rsidR="008A3DD8" w:rsidRPr="00954F7B" w:rsidRDefault="002F1887" w:rsidP="008A3DD8">
          <w:pPr>
            <w:pStyle w:val="Footer"/>
            <w:jc w:val="center"/>
            <w:rPr>
              <w:bCs/>
              <w:iCs/>
              <w:sz w:val="20"/>
              <w:szCs w:val="20"/>
            </w:rPr>
          </w:pPr>
          <w:r>
            <w:rPr>
              <w:bCs/>
              <w:iCs/>
              <w:sz w:val="20"/>
              <w:szCs w:val="20"/>
            </w:rPr>
            <w:t>01/03/2029</w:t>
          </w:r>
        </w:p>
      </w:tc>
      <w:tc>
        <w:tcPr>
          <w:tcW w:w="1746" w:type="dxa"/>
        </w:tcPr>
        <w:p w14:paraId="621FCB74" w14:textId="617FF763" w:rsidR="008A3DD8" w:rsidRPr="00954F7B" w:rsidRDefault="002F1887" w:rsidP="008A3DD8">
          <w:pPr>
            <w:pStyle w:val="Footer"/>
            <w:jc w:val="center"/>
            <w:rPr>
              <w:bCs/>
              <w:iCs/>
              <w:sz w:val="20"/>
              <w:szCs w:val="20"/>
            </w:rPr>
          </w:pPr>
          <w:r>
            <w:rPr>
              <w:bCs/>
              <w:iCs/>
              <w:sz w:val="20"/>
              <w:szCs w:val="20"/>
            </w:rPr>
            <w:t xml:space="preserve">WY&amp;C – Dept of Neonatology </w:t>
          </w:r>
        </w:p>
      </w:tc>
      <w:tc>
        <w:tcPr>
          <w:tcW w:w="1836" w:type="dxa"/>
        </w:tcPr>
        <w:p w14:paraId="78CD1EA4" w14:textId="77777777" w:rsidR="008A3DD8" w:rsidRPr="00954F7B" w:rsidRDefault="008A3DD8" w:rsidP="008A3DD8">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3742CF0E"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p w14:paraId="08571DFF" w14:textId="77777777" w:rsidR="00CB0895" w:rsidRDefault="00CB08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7DF12" w14:textId="77777777" w:rsidR="00692E3C" w:rsidRDefault="00692E3C" w:rsidP="009D493B">
      <w:pPr>
        <w:spacing w:after="0" w:line="240" w:lineRule="auto"/>
      </w:pPr>
      <w:r>
        <w:separator/>
      </w:r>
    </w:p>
  </w:footnote>
  <w:footnote w:type="continuationSeparator" w:id="0">
    <w:p w14:paraId="4760245B" w14:textId="77777777" w:rsidR="00692E3C" w:rsidRDefault="00692E3C" w:rsidP="00A9080B">
      <w:pPr>
        <w:spacing w:after="0" w:line="240" w:lineRule="auto"/>
      </w:pPr>
      <w:r>
        <w:continuationSeparator/>
      </w:r>
    </w:p>
    <w:p w14:paraId="4E5FA491" w14:textId="77777777" w:rsidR="00692E3C" w:rsidRDefault="00692E3C"/>
    <w:p w14:paraId="4639273E" w14:textId="77777777" w:rsidR="00692E3C" w:rsidRDefault="00692E3C"/>
  </w:footnote>
  <w:footnote w:type="continuationNotice" w:id="1">
    <w:p w14:paraId="276DC860" w14:textId="77777777" w:rsidR="00692E3C" w:rsidRDefault="00692E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4D33" w14:textId="77777777" w:rsidR="008A3DD8" w:rsidRDefault="008A3DD8">
    <w:pPr>
      <w:pStyle w:val="Header"/>
    </w:pPr>
    <w:r w:rsidRPr="00324CF9">
      <w:rPr>
        <w:noProof/>
      </w:rPr>
      <w:drawing>
        <wp:inline distT="0" distB="0" distL="0" distR="0" wp14:anchorId="200E1524" wp14:editId="574DC338">
          <wp:extent cx="3360385" cy="972000"/>
          <wp:effectExtent l="0" t="0" r="0" b="0"/>
          <wp:docPr id="1598774312" name="Picture 1598774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p w14:paraId="6FEBD235" w14:textId="77777777" w:rsidR="00CB0895" w:rsidRDefault="00CB08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B4FC7"/>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1" w15:restartNumberingAfterBreak="0">
    <w:nsid w:val="0B0B46AC"/>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 w15:restartNumberingAfterBreak="0">
    <w:nsid w:val="0C082E72"/>
    <w:multiLevelType w:val="hybridMultilevel"/>
    <w:tmpl w:val="08CAAE18"/>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3" w15:restartNumberingAfterBreak="0">
    <w:nsid w:val="103A42E8"/>
    <w:multiLevelType w:val="hybridMultilevel"/>
    <w:tmpl w:val="8A92AF20"/>
    <w:lvl w:ilvl="0" w:tplc="0BA8AB7C">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4442B2D"/>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5" w15:restartNumberingAfterBreak="0">
    <w:nsid w:val="18216AA8"/>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6" w15:restartNumberingAfterBreak="0">
    <w:nsid w:val="18731B92"/>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7"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8" w15:restartNumberingAfterBreak="0">
    <w:nsid w:val="220F418A"/>
    <w:multiLevelType w:val="multilevel"/>
    <w:tmpl w:val="41221C0A"/>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9" w15:restartNumberingAfterBreak="0">
    <w:nsid w:val="276C0B6C"/>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10" w15:restartNumberingAfterBreak="0">
    <w:nsid w:val="29502C8B"/>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11" w15:restartNumberingAfterBreak="0">
    <w:nsid w:val="2C4C0901"/>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12" w15:restartNumberingAfterBreak="0">
    <w:nsid w:val="2CA851EA"/>
    <w:multiLevelType w:val="hybridMultilevel"/>
    <w:tmpl w:val="70422342"/>
    <w:lvl w:ilvl="0" w:tplc="C9A8D538">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3" w15:restartNumberingAfterBreak="0">
    <w:nsid w:val="2E814E9A"/>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14" w15:restartNumberingAfterBreak="0">
    <w:nsid w:val="3103063D"/>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15" w15:restartNumberingAfterBreak="0">
    <w:nsid w:val="31997D01"/>
    <w:multiLevelType w:val="hybridMultilevel"/>
    <w:tmpl w:val="BC7A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1A6A93"/>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18"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1" w15:restartNumberingAfterBreak="0">
    <w:nsid w:val="472C2E2E"/>
    <w:multiLevelType w:val="multilevel"/>
    <w:tmpl w:val="1EEA61FA"/>
    <w:lvl w:ilvl="0">
      <w:start w:val="1"/>
      <w:numFmt w:val="decimal"/>
      <w:lvlText w:val="%1."/>
      <w:lvlJc w:val="left"/>
      <w:pPr>
        <w:ind w:left="425" w:hanging="425"/>
      </w:pPr>
      <w:rPr>
        <w:rFonts w:hint="default"/>
        <w:b w:val="0"/>
        <w:bCs w:val="0"/>
      </w:rPr>
    </w:lvl>
    <w:lvl w:ilvl="1">
      <w:start w:val="1"/>
      <w:numFmt w:val="lowerLetter"/>
      <w:lvlText w:val="%2."/>
      <w:lvlJc w:val="left"/>
      <w:pPr>
        <w:ind w:left="785" w:hanging="360"/>
      </w:pPr>
    </w:lvl>
    <w:lvl w:ilvl="2">
      <w:start w:val="1"/>
      <w:numFmt w:val="bullet"/>
      <w:lvlText w:val=""/>
      <w:lvlJc w:val="left"/>
      <w:pPr>
        <w:ind w:left="1210" w:hanging="360"/>
      </w:pPr>
      <w:rPr>
        <w:rFonts w:ascii="Symbol" w:hAnsi="Symbol"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2" w15:restartNumberingAfterBreak="0">
    <w:nsid w:val="48E53916"/>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3" w15:restartNumberingAfterBreak="0">
    <w:nsid w:val="4D84037F"/>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4" w15:restartNumberingAfterBreak="0">
    <w:nsid w:val="546315E5"/>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5" w15:restartNumberingAfterBreak="0">
    <w:nsid w:val="5B116558"/>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6" w15:restartNumberingAfterBreak="0">
    <w:nsid w:val="5DDE67A0"/>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7" w15:restartNumberingAfterBreak="0">
    <w:nsid w:val="5EC73C1F"/>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8" w15:restartNumberingAfterBreak="0">
    <w:nsid w:val="5F1B5685"/>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29" w15:restartNumberingAfterBreak="0">
    <w:nsid w:val="663E1B4F"/>
    <w:multiLevelType w:val="multilevel"/>
    <w:tmpl w:val="04EC0C08"/>
    <w:lvl w:ilvl="0">
      <w:start w:val="1"/>
      <w:numFmt w:val="decimal"/>
      <w:lvlText w:val="%1."/>
      <w:lvlJc w:val="left"/>
      <w:pPr>
        <w:ind w:left="425" w:hanging="425"/>
      </w:pPr>
      <w:rPr>
        <w:rFonts w:hint="default"/>
        <w:b w:val="0"/>
        <w:bCs w:val="0"/>
      </w:rPr>
    </w:lvl>
    <w:lvl w:ilvl="1">
      <w:start w:val="1"/>
      <w:numFmt w:val="lowerLetter"/>
      <w:lvlText w:val="%2."/>
      <w:lvlJc w:val="left"/>
      <w:pPr>
        <w:ind w:left="785" w:hanging="360"/>
      </w:pPr>
    </w:lvl>
    <w:lvl w:ilvl="2">
      <w:start w:val="1"/>
      <w:numFmt w:val="bullet"/>
      <w:lvlText w:val=""/>
      <w:lvlJc w:val="left"/>
      <w:pPr>
        <w:ind w:left="1210" w:hanging="360"/>
      </w:pPr>
      <w:rPr>
        <w:rFonts w:ascii="Symbol" w:hAnsi="Symbol"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30" w15:restartNumberingAfterBreak="0">
    <w:nsid w:val="668E2FA2"/>
    <w:multiLevelType w:val="multilevel"/>
    <w:tmpl w:val="275E8BDC"/>
    <w:lvl w:ilvl="0">
      <w:start w:val="1"/>
      <w:numFmt w:val="decimal"/>
      <w:pStyle w:val="Numberedlist"/>
      <w:lvlText w:val="%1."/>
      <w:lvlJc w:val="left"/>
      <w:pPr>
        <w:ind w:left="425" w:hanging="425"/>
      </w:pPr>
      <w:rPr>
        <w:rFonts w:hint="default"/>
        <w:b w:val="0"/>
        <w:bCs w:val="0"/>
      </w:rPr>
    </w:lvl>
    <w:lvl w:ilvl="1">
      <w:start w:val="1"/>
      <w:numFmt w:val="lowerLetter"/>
      <w:lvlText w:val="%2."/>
      <w:lvlJc w:val="left"/>
      <w:pPr>
        <w:ind w:left="785" w:hanging="360"/>
      </w:p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31" w15:restartNumberingAfterBreak="0">
    <w:nsid w:val="74577252"/>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32" w15:restartNumberingAfterBreak="0">
    <w:nsid w:val="74EF3988"/>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33" w15:restartNumberingAfterBreak="0">
    <w:nsid w:val="77623792"/>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34" w15:restartNumberingAfterBreak="0">
    <w:nsid w:val="7C4F2513"/>
    <w:multiLevelType w:val="multilevel"/>
    <w:tmpl w:val="B48842DA"/>
    <w:lvl w:ilvl="0">
      <w:start w:val="1"/>
      <w:numFmt w:val="bullet"/>
      <w:lvlText w:val=""/>
      <w:lvlJc w:val="left"/>
      <w:pPr>
        <w:ind w:left="502" w:hanging="360"/>
      </w:pPr>
      <w:rPr>
        <w:rFonts w:ascii="Symbol" w:hAnsi="Symbol" w:hint="default"/>
        <w:b w:val="0"/>
        <w:bCs w:val="0"/>
      </w:rPr>
    </w:lvl>
    <w:lvl w:ilvl="1">
      <w:start w:val="1"/>
      <w:numFmt w:val="bullet"/>
      <w:lvlText w:val="-"/>
      <w:lvlJc w:val="left"/>
      <w:pPr>
        <w:ind w:left="1210" w:hanging="425"/>
      </w:pPr>
      <w:rPr>
        <w:rFonts w:ascii="Courier New" w:hAnsi="Courier New" w:hint="default"/>
      </w:rPr>
    </w:lvl>
    <w:lvl w:ilvl="2">
      <w:start w:val="1"/>
      <w:numFmt w:val="bullet"/>
      <w:lvlText w:val=""/>
      <w:lvlJc w:val="left"/>
      <w:pPr>
        <w:ind w:left="1635" w:hanging="425"/>
      </w:pPr>
      <w:rPr>
        <w:rFonts w:ascii="Wingdings" w:hAnsi="Wingdings" w:hint="default"/>
      </w:rPr>
    </w:lvl>
    <w:lvl w:ilvl="3">
      <w:start w:val="1"/>
      <w:numFmt w:val="bullet"/>
      <w:lvlText w:val=""/>
      <w:lvlJc w:val="left"/>
      <w:pPr>
        <w:ind w:left="2060" w:hanging="425"/>
      </w:pPr>
      <w:rPr>
        <w:rFonts w:ascii="Symbol" w:hAnsi="Symbol" w:hint="default"/>
      </w:rPr>
    </w:lvl>
    <w:lvl w:ilvl="4">
      <w:start w:val="1"/>
      <w:numFmt w:val="bullet"/>
      <w:lvlText w:val="-"/>
      <w:lvlJc w:val="left"/>
      <w:pPr>
        <w:ind w:left="2485" w:hanging="425"/>
      </w:pPr>
      <w:rPr>
        <w:rFonts w:ascii="Arial" w:hAnsi="Arial" w:hint="default"/>
      </w:rPr>
    </w:lvl>
    <w:lvl w:ilvl="5">
      <w:start w:val="1"/>
      <w:numFmt w:val="bullet"/>
      <w:lvlText w:val=""/>
      <w:lvlJc w:val="left"/>
      <w:pPr>
        <w:ind w:left="2910" w:hanging="425"/>
      </w:pPr>
      <w:rPr>
        <w:rFonts w:ascii="Wingdings" w:hAnsi="Wingdings" w:hint="default"/>
      </w:rPr>
    </w:lvl>
    <w:lvl w:ilvl="6">
      <w:start w:val="1"/>
      <w:numFmt w:val="bullet"/>
      <w:lvlText w:val=""/>
      <w:lvlJc w:val="left"/>
      <w:pPr>
        <w:ind w:left="3335" w:hanging="425"/>
      </w:pPr>
      <w:rPr>
        <w:rFonts w:ascii="Symbol" w:hAnsi="Symbol" w:hint="default"/>
      </w:rPr>
    </w:lvl>
    <w:lvl w:ilvl="7">
      <w:start w:val="1"/>
      <w:numFmt w:val="bullet"/>
      <w:lvlText w:val="-"/>
      <w:lvlJc w:val="left"/>
      <w:pPr>
        <w:ind w:left="3760" w:hanging="425"/>
      </w:pPr>
      <w:rPr>
        <w:rFonts w:ascii="Arial" w:hAnsi="Arial" w:hint="default"/>
      </w:rPr>
    </w:lvl>
    <w:lvl w:ilvl="8">
      <w:start w:val="1"/>
      <w:numFmt w:val="bullet"/>
      <w:lvlText w:val=""/>
      <w:lvlJc w:val="left"/>
      <w:pPr>
        <w:ind w:left="4185" w:hanging="425"/>
      </w:pPr>
      <w:rPr>
        <w:rFonts w:ascii="Wingdings" w:hAnsi="Wingdings" w:hint="default"/>
      </w:rPr>
    </w:lvl>
  </w:abstractNum>
  <w:abstractNum w:abstractNumId="35" w15:restartNumberingAfterBreak="0">
    <w:nsid w:val="7E153D90"/>
    <w:multiLevelType w:val="hybridMultilevel"/>
    <w:tmpl w:val="0AB4F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8431774">
    <w:abstractNumId w:val="8"/>
  </w:num>
  <w:num w:numId="2" w16cid:durableId="842209657">
    <w:abstractNumId w:val="7"/>
  </w:num>
  <w:num w:numId="3" w16cid:durableId="1971085616">
    <w:abstractNumId w:val="18"/>
  </w:num>
  <w:num w:numId="4" w16cid:durableId="252517802">
    <w:abstractNumId w:val="19"/>
  </w:num>
  <w:num w:numId="5" w16cid:durableId="258952063">
    <w:abstractNumId w:val="30"/>
  </w:num>
  <w:num w:numId="6" w16cid:durableId="681904122">
    <w:abstractNumId w:val="16"/>
  </w:num>
  <w:num w:numId="7" w16cid:durableId="836698820">
    <w:abstractNumId w:val="20"/>
  </w:num>
  <w:num w:numId="8" w16cid:durableId="240723671">
    <w:abstractNumId w:val="3"/>
  </w:num>
  <w:num w:numId="9" w16cid:durableId="6005765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30295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73470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59074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3563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24650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0000888">
    <w:abstractNumId w:val="35"/>
  </w:num>
  <w:num w:numId="16" w16cid:durableId="1032072662">
    <w:abstractNumId w:val="13"/>
  </w:num>
  <w:num w:numId="17" w16cid:durableId="2094475298">
    <w:abstractNumId w:val="28"/>
  </w:num>
  <w:num w:numId="18" w16cid:durableId="4012158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179752">
    <w:abstractNumId w:val="6"/>
  </w:num>
  <w:num w:numId="20" w16cid:durableId="315113703">
    <w:abstractNumId w:val="14"/>
  </w:num>
  <w:num w:numId="21" w16cid:durableId="324862138">
    <w:abstractNumId w:val="4"/>
  </w:num>
  <w:num w:numId="22" w16cid:durableId="989016586">
    <w:abstractNumId w:val="32"/>
  </w:num>
  <w:num w:numId="23" w16cid:durableId="1994407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8796361">
    <w:abstractNumId w:val="24"/>
  </w:num>
  <w:num w:numId="25" w16cid:durableId="1940065261">
    <w:abstractNumId w:val="17"/>
  </w:num>
  <w:num w:numId="26" w16cid:durableId="2081831006">
    <w:abstractNumId w:val="9"/>
  </w:num>
  <w:num w:numId="27" w16cid:durableId="238906895">
    <w:abstractNumId w:val="1"/>
  </w:num>
  <w:num w:numId="28" w16cid:durableId="2024700701">
    <w:abstractNumId w:val="27"/>
  </w:num>
  <w:num w:numId="29" w16cid:durableId="1874616656">
    <w:abstractNumId w:val="0"/>
  </w:num>
  <w:num w:numId="30" w16cid:durableId="446240323">
    <w:abstractNumId w:val="22"/>
  </w:num>
  <w:num w:numId="31" w16cid:durableId="1572502404">
    <w:abstractNumId w:val="25"/>
  </w:num>
  <w:num w:numId="32" w16cid:durableId="222180447">
    <w:abstractNumId w:val="26"/>
  </w:num>
  <w:num w:numId="33" w16cid:durableId="512688488">
    <w:abstractNumId w:val="10"/>
  </w:num>
  <w:num w:numId="34" w16cid:durableId="380372841">
    <w:abstractNumId w:val="31"/>
  </w:num>
  <w:num w:numId="35" w16cid:durableId="349722966">
    <w:abstractNumId w:val="33"/>
  </w:num>
  <w:num w:numId="36" w16cid:durableId="1435513271">
    <w:abstractNumId w:val="34"/>
  </w:num>
  <w:num w:numId="37" w16cid:durableId="154079568">
    <w:abstractNumId w:val="23"/>
  </w:num>
  <w:num w:numId="38" w16cid:durableId="876701650">
    <w:abstractNumId w:val="11"/>
  </w:num>
  <w:num w:numId="39" w16cid:durableId="1703479329">
    <w:abstractNumId w:val="5"/>
  </w:num>
  <w:num w:numId="40" w16cid:durableId="162665527">
    <w:abstractNumId w:val="15"/>
  </w:num>
  <w:num w:numId="41" w16cid:durableId="438069952">
    <w:abstractNumId w:val="2"/>
  </w:num>
  <w:num w:numId="42" w16cid:durableId="1320422076">
    <w:abstractNumId w:val="29"/>
  </w:num>
  <w:num w:numId="43" w16cid:durableId="1667170350">
    <w:abstractNumId w:val="21"/>
  </w:num>
  <w:num w:numId="44" w16cid:durableId="81337163">
    <w:abstractNumId w:val="8"/>
    <w:lvlOverride w:ilvl="0">
      <w:lvl w:ilvl="0">
        <w:start w:val="1"/>
        <w:numFmt w:val="bullet"/>
        <w:pStyle w:val="Bullet"/>
        <w:lvlText w:val=""/>
        <w:lvlJc w:val="left"/>
        <w:pPr>
          <w:ind w:left="360" w:hanging="360"/>
        </w:pPr>
        <w:rPr>
          <w:rFonts w:ascii="Symbol" w:hAnsi="Symbol" w:hint="default"/>
        </w:rPr>
      </w:lvl>
    </w:lvlOverride>
    <w:lvlOverride w:ilvl="1">
      <w:lvl w:ilvl="1">
        <w:start w:val="1"/>
        <w:numFmt w:val="bullet"/>
        <w:lvlText w:val="-"/>
        <w:lvlJc w:val="left"/>
        <w:pPr>
          <w:ind w:left="1210" w:hanging="425"/>
        </w:pPr>
        <w:rPr>
          <w:rFonts w:ascii="Courier New" w:hAnsi="Courier New" w:hint="default"/>
        </w:rPr>
      </w:lvl>
    </w:lvlOverride>
    <w:lvlOverride w:ilvl="2">
      <w:lvl w:ilvl="2">
        <w:start w:val="1"/>
        <w:numFmt w:val="bullet"/>
        <w:lvlText w:val=""/>
        <w:lvlJc w:val="left"/>
        <w:pPr>
          <w:ind w:left="1635" w:hanging="425"/>
        </w:pPr>
        <w:rPr>
          <w:rFonts w:ascii="Wingdings" w:hAnsi="Wingdings" w:hint="default"/>
        </w:rPr>
      </w:lvl>
    </w:lvlOverride>
    <w:lvlOverride w:ilvl="3">
      <w:lvl w:ilvl="3">
        <w:start w:val="1"/>
        <w:numFmt w:val="bullet"/>
        <w:lvlText w:val=""/>
        <w:lvlJc w:val="left"/>
        <w:pPr>
          <w:ind w:left="2060" w:hanging="425"/>
        </w:pPr>
        <w:rPr>
          <w:rFonts w:ascii="Symbol" w:hAnsi="Symbol" w:hint="default"/>
        </w:rPr>
      </w:lvl>
    </w:lvlOverride>
    <w:lvlOverride w:ilvl="4">
      <w:lvl w:ilvl="4">
        <w:start w:val="1"/>
        <w:numFmt w:val="bullet"/>
        <w:lvlText w:val="-"/>
        <w:lvlJc w:val="left"/>
        <w:pPr>
          <w:ind w:left="2485" w:hanging="425"/>
        </w:pPr>
        <w:rPr>
          <w:rFonts w:ascii="Arial" w:hAnsi="Arial" w:hint="default"/>
        </w:rPr>
      </w:lvl>
    </w:lvlOverride>
    <w:lvlOverride w:ilvl="5">
      <w:lvl w:ilvl="5">
        <w:start w:val="1"/>
        <w:numFmt w:val="bullet"/>
        <w:lvlText w:val=""/>
        <w:lvlJc w:val="left"/>
        <w:pPr>
          <w:ind w:left="2910" w:hanging="425"/>
        </w:pPr>
        <w:rPr>
          <w:rFonts w:ascii="Wingdings" w:hAnsi="Wingdings" w:hint="default"/>
        </w:rPr>
      </w:lvl>
    </w:lvlOverride>
    <w:lvlOverride w:ilvl="6">
      <w:lvl w:ilvl="6">
        <w:start w:val="1"/>
        <w:numFmt w:val="bullet"/>
        <w:lvlText w:val=""/>
        <w:lvlJc w:val="left"/>
        <w:pPr>
          <w:ind w:left="3335" w:hanging="425"/>
        </w:pPr>
        <w:rPr>
          <w:rFonts w:ascii="Symbol" w:hAnsi="Symbol" w:hint="default"/>
        </w:rPr>
      </w:lvl>
    </w:lvlOverride>
    <w:lvlOverride w:ilvl="7">
      <w:lvl w:ilvl="7">
        <w:start w:val="1"/>
        <w:numFmt w:val="bullet"/>
        <w:lvlText w:val="-"/>
        <w:lvlJc w:val="left"/>
        <w:pPr>
          <w:ind w:left="3760" w:hanging="425"/>
        </w:pPr>
        <w:rPr>
          <w:rFonts w:ascii="Arial" w:hAnsi="Arial" w:hint="default"/>
        </w:rPr>
      </w:lvl>
    </w:lvlOverride>
    <w:lvlOverride w:ilvl="8">
      <w:lvl w:ilvl="8">
        <w:start w:val="1"/>
        <w:numFmt w:val="bullet"/>
        <w:lvlText w:val=""/>
        <w:lvlJc w:val="left"/>
        <w:pPr>
          <w:ind w:left="4185" w:hanging="425"/>
        </w:pPr>
        <w:rPr>
          <w:rFonts w:ascii="Wingdings" w:hAnsi="Wingdings" w:hint="default"/>
        </w:rPr>
      </w:lvl>
    </w:lvlOverride>
  </w:num>
  <w:num w:numId="45" w16cid:durableId="606157520">
    <w:abstractNumId w:val="8"/>
    <w:lvlOverride w:ilvl="0">
      <w:lvl w:ilvl="0">
        <w:start w:val="1"/>
        <w:numFmt w:val="bullet"/>
        <w:pStyle w:val="Bullet"/>
        <w:lvlText w:val=""/>
        <w:lvlJc w:val="left"/>
        <w:pPr>
          <w:ind w:left="360" w:hanging="360"/>
        </w:pPr>
        <w:rPr>
          <w:rFonts w:ascii="Symbol" w:hAnsi="Symbol" w:hint="default"/>
        </w:rPr>
      </w:lvl>
    </w:lvlOverride>
    <w:lvlOverride w:ilvl="1">
      <w:lvl w:ilvl="1">
        <w:start w:val="1"/>
        <w:numFmt w:val="bullet"/>
        <w:lvlText w:val="-"/>
        <w:lvlJc w:val="left"/>
        <w:pPr>
          <w:ind w:left="1210" w:hanging="425"/>
        </w:pPr>
        <w:rPr>
          <w:rFonts w:ascii="Courier New" w:hAnsi="Courier New" w:hint="default"/>
        </w:rPr>
      </w:lvl>
    </w:lvlOverride>
    <w:lvlOverride w:ilvl="2">
      <w:lvl w:ilvl="2">
        <w:start w:val="1"/>
        <w:numFmt w:val="bullet"/>
        <w:lvlText w:val=""/>
        <w:lvlJc w:val="left"/>
        <w:pPr>
          <w:ind w:left="1635" w:hanging="425"/>
        </w:pPr>
        <w:rPr>
          <w:rFonts w:ascii="Wingdings" w:hAnsi="Wingdings" w:hint="default"/>
        </w:rPr>
      </w:lvl>
    </w:lvlOverride>
    <w:lvlOverride w:ilvl="3">
      <w:lvl w:ilvl="3">
        <w:start w:val="1"/>
        <w:numFmt w:val="bullet"/>
        <w:lvlText w:val=""/>
        <w:lvlJc w:val="left"/>
        <w:pPr>
          <w:ind w:left="2060" w:hanging="425"/>
        </w:pPr>
        <w:rPr>
          <w:rFonts w:ascii="Symbol" w:hAnsi="Symbol" w:hint="default"/>
        </w:rPr>
      </w:lvl>
    </w:lvlOverride>
    <w:lvlOverride w:ilvl="4">
      <w:lvl w:ilvl="4">
        <w:start w:val="1"/>
        <w:numFmt w:val="bullet"/>
        <w:lvlText w:val="-"/>
        <w:lvlJc w:val="left"/>
        <w:pPr>
          <w:ind w:left="2485" w:hanging="425"/>
        </w:pPr>
        <w:rPr>
          <w:rFonts w:ascii="Arial" w:hAnsi="Arial" w:hint="default"/>
        </w:rPr>
      </w:lvl>
    </w:lvlOverride>
    <w:lvlOverride w:ilvl="5">
      <w:lvl w:ilvl="5">
        <w:start w:val="1"/>
        <w:numFmt w:val="bullet"/>
        <w:lvlText w:val=""/>
        <w:lvlJc w:val="left"/>
        <w:pPr>
          <w:ind w:left="2910" w:hanging="425"/>
        </w:pPr>
        <w:rPr>
          <w:rFonts w:ascii="Wingdings" w:hAnsi="Wingdings" w:hint="default"/>
        </w:rPr>
      </w:lvl>
    </w:lvlOverride>
    <w:lvlOverride w:ilvl="6">
      <w:lvl w:ilvl="6">
        <w:start w:val="1"/>
        <w:numFmt w:val="bullet"/>
        <w:lvlText w:val=""/>
        <w:lvlJc w:val="left"/>
        <w:pPr>
          <w:ind w:left="3335" w:hanging="425"/>
        </w:pPr>
        <w:rPr>
          <w:rFonts w:ascii="Symbol" w:hAnsi="Symbol" w:hint="default"/>
        </w:rPr>
      </w:lvl>
    </w:lvlOverride>
    <w:lvlOverride w:ilvl="7">
      <w:lvl w:ilvl="7">
        <w:start w:val="1"/>
        <w:numFmt w:val="bullet"/>
        <w:lvlText w:val="-"/>
        <w:lvlJc w:val="left"/>
        <w:pPr>
          <w:ind w:left="3760" w:hanging="425"/>
        </w:pPr>
        <w:rPr>
          <w:rFonts w:ascii="Arial" w:hAnsi="Arial" w:hint="default"/>
        </w:rPr>
      </w:lvl>
    </w:lvlOverride>
    <w:lvlOverride w:ilvl="8">
      <w:lvl w:ilvl="8">
        <w:start w:val="1"/>
        <w:numFmt w:val="bullet"/>
        <w:lvlText w:val=""/>
        <w:lvlJc w:val="left"/>
        <w:pPr>
          <w:ind w:left="4185" w:hanging="425"/>
        </w:pPr>
        <w:rPr>
          <w:rFonts w:ascii="Wingdings" w:hAnsi="Wingdings" w:hint="default"/>
        </w:rPr>
      </w:lvl>
    </w:lvlOverride>
  </w:num>
  <w:num w:numId="46" w16cid:durableId="1910844869">
    <w:abstractNumId w:val="8"/>
    <w:lvlOverride w:ilvl="0">
      <w:lvl w:ilvl="0">
        <w:start w:val="1"/>
        <w:numFmt w:val="bullet"/>
        <w:pStyle w:val="Bullet"/>
        <w:lvlText w:val=""/>
        <w:lvlJc w:val="left"/>
        <w:pPr>
          <w:ind w:left="360" w:hanging="360"/>
        </w:pPr>
        <w:rPr>
          <w:rFonts w:ascii="Symbol" w:hAnsi="Symbol" w:hint="default"/>
        </w:rPr>
      </w:lvl>
    </w:lvlOverride>
    <w:lvlOverride w:ilvl="1">
      <w:lvl w:ilvl="1">
        <w:start w:val="1"/>
        <w:numFmt w:val="bullet"/>
        <w:lvlText w:val="-"/>
        <w:lvlJc w:val="left"/>
        <w:pPr>
          <w:ind w:left="1210" w:hanging="425"/>
        </w:pPr>
        <w:rPr>
          <w:rFonts w:ascii="Courier New" w:hAnsi="Courier New" w:hint="default"/>
        </w:rPr>
      </w:lvl>
    </w:lvlOverride>
    <w:lvlOverride w:ilvl="2">
      <w:lvl w:ilvl="2">
        <w:start w:val="1"/>
        <w:numFmt w:val="bullet"/>
        <w:lvlText w:val=""/>
        <w:lvlJc w:val="left"/>
        <w:pPr>
          <w:ind w:left="1635" w:hanging="425"/>
        </w:pPr>
        <w:rPr>
          <w:rFonts w:ascii="Wingdings" w:hAnsi="Wingdings" w:hint="default"/>
        </w:rPr>
      </w:lvl>
    </w:lvlOverride>
    <w:lvlOverride w:ilvl="3">
      <w:lvl w:ilvl="3">
        <w:start w:val="1"/>
        <w:numFmt w:val="bullet"/>
        <w:lvlText w:val=""/>
        <w:lvlJc w:val="left"/>
        <w:pPr>
          <w:ind w:left="2060" w:hanging="425"/>
        </w:pPr>
        <w:rPr>
          <w:rFonts w:ascii="Symbol" w:hAnsi="Symbol" w:hint="default"/>
        </w:rPr>
      </w:lvl>
    </w:lvlOverride>
    <w:lvlOverride w:ilvl="4">
      <w:lvl w:ilvl="4">
        <w:start w:val="1"/>
        <w:numFmt w:val="bullet"/>
        <w:lvlText w:val="-"/>
        <w:lvlJc w:val="left"/>
        <w:pPr>
          <w:ind w:left="2485" w:hanging="425"/>
        </w:pPr>
        <w:rPr>
          <w:rFonts w:ascii="Arial" w:hAnsi="Arial" w:hint="default"/>
        </w:rPr>
      </w:lvl>
    </w:lvlOverride>
    <w:lvlOverride w:ilvl="5">
      <w:lvl w:ilvl="5">
        <w:start w:val="1"/>
        <w:numFmt w:val="bullet"/>
        <w:lvlText w:val=""/>
        <w:lvlJc w:val="left"/>
        <w:pPr>
          <w:ind w:left="2910" w:hanging="425"/>
        </w:pPr>
        <w:rPr>
          <w:rFonts w:ascii="Wingdings" w:hAnsi="Wingdings" w:hint="default"/>
        </w:rPr>
      </w:lvl>
    </w:lvlOverride>
    <w:lvlOverride w:ilvl="6">
      <w:lvl w:ilvl="6">
        <w:start w:val="1"/>
        <w:numFmt w:val="bullet"/>
        <w:lvlText w:val=""/>
        <w:lvlJc w:val="left"/>
        <w:pPr>
          <w:ind w:left="3335" w:hanging="425"/>
        </w:pPr>
        <w:rPr>
          <w:rFonts w:ascii="Symbol" w:hAnsi="Symbol" w:hint="default"/>
        </w:rPr>
      </w:lvl>
    </w:lvlOverride>
    <w:lvlOverride w:ilvl="7">
      <w:lvl w:ilvl="7">
        <w:start w:val="1"/>
        <w:numFmt w:val="bullet"/>
        <w:lvlText w:val="-"/>
        <w:lvlJc w:val="left"/>
        <w:pPr>
          <w:ind w:left="3760" w:hanging="425"/>
        </w:pPr>
        <w:rPr>
          <w:rFonts w:ascii="Arial" w:hAnsi="Arial" w:hint="default"/>
        </w:rPr>
      </w:lvl>
    </w:lvlOverride>
    <w:lvlOverride w:ilvl="8">
      <w:lvl w:ilvl="8">
        <w:start w:val="1"/>
        <w:numFmt w:val="bullet"/>
        <w:lvlText w:val=""/>
        <w:lvlJc w:val="left"/>
        <w:pPr>
          <w:ind w:left="4185" w:hanging="425"/>
        </w:pPr>
        <w:rPr>
          <w:rFonts w:ascii="Wingdings" w:hAnsi="Wingdings" w:hint="default"/>
        </w:rPr>
      </w:lvl>
    </w:lvlOverride>
  </w:num>
  <w:num w:numId="47" w16cid:durableId="917787625">
    <w:abstractNumId w:val="8"/>
  </w:num>
  <w:num w:numId="48" w16cid:durableId="127742921">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778"/>
    <w:rsid w:val="00000822"/>
    <w:rsid w:val="00003728"/>
    <w:rsid w:val="00003922"/>
    <w:rsid w:val="00004B91"/>
    <w:rsid w:val="00006344"/>
    <w:rsid w:val="000066DC"/>
    <w:rsid w:val="000068B9"/>
    <w:rsid w:val="000115AB"/>
    <w:rsid w:val="00012DA7"/>
    <w:rsid w:val="00014646"/>
    <w:rsid w:val="0001473F"/>
    <w:rsid w:val="00014D0A"/>
    <w:rsid w:val="00015018"/>
    <w:rsid w:val="00016AA4"/>
    <w:rsid w:val="00016F01"/>
    <w:rsid w:val="000246D6"/>
    <w:rsid w:val="00025025"/>
    <w:rsid w:val="00025C12"/>
    <w:rsid w:val="000313E8"/>
    <w:rsid w:val="000347FB"/>
    <w:rsid w:val="00035A11"/>
    <w:rsid w:val="00041D05"/>
    <w:rsid w:val="00042268"/>
    <w:rsid w:val="0004265C"/>
    <w:rsid w:val="00043534"/>
    <w:rsid w:val="00044058"/>
    <w:rsid w:val="00046D4C"/>
    <w:rsid w:val="00047707"/>
    <w:rsid w:val="0005028A"/>
    <w:rsid w:val="00050A6B"/>
    <w:rsid w:val="000513FD"/>
    <w:rsid w:val="00052D11"/>
    <w:rsid w:val="00053BD7"/>
    <w:rsid w:val="00053CC3"/>
    <w:rsid w:val="00053D2F"/>
    <w:rsid w:val="0005461D"/>
    <w:rsid w:val="0005626F"/>
    <w:rsid w:val="0005685E"/>
    <w:rsid w:val="000570A6"/>
    <w:rsid w:val="00061582"/>
    <w:rsid w:val="0006626A"/>
    <w:rsid w:val="000707E9"/>
    <w:rsid w:val="00070945"/>
    <w:rsid w:val="000717BA"/>
    <w:rsid w:val="00071FE5"/>
    <w:rsid w:val="00075506"/>
    <w:rsid w:val="00076ABE"/>
    <w:rsid w:val="00080F06"/>
    <w:rsid w:val="00080FC2"/>
    <w:rsid w:val="000825CF"/>
    <w:rsid w:val="00082C60"/>
    <w:rsid w:val="00082EB1"/>
    <w:rsid w:val="00083D66"/>
    <w:rsid w:val="000848B6"/>
    <w:rsid w:val="000858DB"/>
    <w:rsid w:val="000905E4"/>
    <w:rsid w:val="0009157D"/>
    <w:rsid w:val="00096D01"/>
    <w:rsid w:val="00097F70"/>
    <w:rsid w:val="000A3AA0"/>
    <w:rsid w:val="000A3F9B"/>
    <w:rsid w:val="000A4C7E"/>
    <w:rsid w:val="000A6268"/>
    <w:rsid w:val="000B4346"/>
    <w:rsid w:val="000B4DF9"/>
    <w:rsid w:val="000B53C5"/>
    <w:rsid w:val="000B6A88"/>
    <w:rsid w:val="000C36A3"/>
    <w:rsid w:val="000C3973"/>
    <w:rsid w:val="000C48B1"/>
    <w:rsid w:val="000C57C6"/>
    <w:rsid w:val="000C76AA"/>
    <w:rsid w:val="000D0A42"/>
    <w:rsid w:val="000D0BFE"/>
    <w:rsid w:val="000D713F"/>
    <w:rsid w:val="000D742A"/>
    <w:rsid w:val="000E058F"/>
    <w:rsid w:val="000E07C3"/>
    <w:rsid w:val="000E1D08"/>
    <w:rsid w:val="000E4029"/>
    <w:rsid w:val="000E5739"/>
    <w:rsid w:val="000E7683"/>
    <w:rsid w:val="000E77F0"/>
    <w:rsid w:val="000F1EB3"/>
    <w:rsid w:val="000F288B"/>
    <w:rsid w:val="000F300A"/>
    <w:rsid w:val="000F3A4B"/>
    <w:rsid w:val="000F5C20"/>
    <w:rsid w:val="000F79EA"/>
    <w:rsid w:val="0010164B"/>
    <w:rsid w:val="00105A9B"/>
    <w:rsid w:val="00107118"/>
    <w:rsid w:val="00110D97"/>
    <w:rsid w:val="00112D1D"/>
    <w:rsid w:val="00112DAD"/>
    <w:rsid w:val="0011711E"/>
    <w:rsid w:val="001171E4"/>
    <w:rsid w:val="00117ADF"/>
    <w:rsid w:val="0012007C"/>
    <w:rsid w:val="00120E2E"/>
    <w:rsid w:val="00121181"/>
    <w:rsid w:val="0012221D"/>
    <w:rsid w:val="00122329"/>
    <w:rsid w:val="001232C3"/>
    <w:rsid w:val="00124B00"/>
    <w:rsid w:val="00126471"/>
    <w:rsid w:val="00126ADF"/>
    <w:rsid w:val="00126BEE"/>
    <w:rsid w:val="00127D91"/>
    <w:rsid w:val="001324A3"/>
    <w:rsid w:val="00135EF0"/>
    <w:rsid w:val="0013675B"/>
    <w:rsid w:val="00136C50"/>
    <w:rsid w:val="00137347"/>
    <w:rsid w:val="00143C66"/>
    <w:rsid w:val="00144A90"/>
    <w:rsid w:val="0014776A"/>
    <w:rsid w:val="00151F43"/>
    <w:rsid w:val="00154D8C"/>
    <w:rsid w:val="001575C5"/>
    <w:rsid w:val="001600FA"/>
    <w:rsid w:val="00160C5B"/>
    <w:rsid w:val="0016125E"/>
    <w:rsid w:val="001616DD"/>
    <w:rsid w:val="00161AE4"/>
    <w:rsid w:val="00161FDC"/>
    <w:rsid w:val="00164AA5"/>
    <w:rsid w:val="00166052"/>
    <w:rsid w:val="001660FE"/>
    <w:rsid w:val="00167C17"/>
    <w:rsid w:val="0017051B"/>
    <w:rsid w:val="00173EDD"/>
    <w:rsid w:val="00174ECE"/>
    <w:rsid w:val="00175212"/>
    <w:rsid w:val="00175FF8"/>
    <w:rsid w:val="001767CA"/>
    <w:rsid w:val="00181504"/>
    <w:rsid w:val="00181729"/>
    <w:rsid w:val="001819E4"/>
    <w:rsid w:val="00183E97"/>
    <w:rsid w:val="00184284"/>
    <w:rsid w:val="00184480"/>
    <w:rsid w:val="00184D6D"/>
    <w:rsid w:val="00184F59"/>
    <w:rsid w:val="00185C37"/>
    <w:rsid w:val="00186FB7"/>
    <w:rsid w:val="00187537"/>
    <w:rsid w:val="00187A41"/>
    <w:rsid w:val="00191413"/>
    <w:rsid w:val="0019193E"/>
    <w:rsid w:val="00192C70"/>
    <w:rsid w:val="0019343E"/>
    <w:rsid w:val="001935B4"/>
    <w:rsid w:val="00193907"/>
    <w:rsid w:val="00195EFB"/>
    <w:rsid w:val="001A0124"/>
    <w:rsid w:val="001A1DD6"/>
    <w:rsid w:val="001A2273"/>
    <w:rsid w:val="001B0711"/>
    <w:rsid w:val="001B0DC3"/>
    <w:rsid w:val="001B19A7"/>
    <w:rsid w:val="001B1A6A"/>
    <w:rsid w:val="001B3430"/>
    <w:rsid w:val="001B4F99"/>
    <w:rsid w:val="001C0F5C"/>
    <w:rsid w:val="001C108E"/>
    <w:rsid w:val="001C223C"/>
    <w:rsid w:val="001C263F"/>
    <w:rsid w:val="001C4FF9"/>
    <w:rsid w:val="001C52D7"/>
    <w:rsid w:val="001C5958"/>
    <w:rsid w:val="001D12A9"/>
    <w:rsid w:val="001D140D"/>
    <w:rsid w:val="001D150B"/>
    <w:rsid w:val="001D178C"/>
    <w:rsid w:val="001D195F"/>
    <w:rsid w:val="001D780B"/>
    <w:rsid w:val="001D7907"/>
    <w:rsid w:val="001E0BEA"/>
    <w:rsid w:val="001E0BED"/>
    <w:rsid w:val="001E1D68"/>
    <w:rsid w:val="001E2C6F"/>
    <w:rsid w:val="001E30A5"/>
    <w:rsid w:val="001E3D5B"/>
    <w:rsid w:val="001E4A13"/>
    <w:rsid w:val="001E4EF9"/>
    <w:rsid w:val="001E579B"/>
    <w:rsid w:val="001E5C38"/>
    <w:rsid w:val="001E5FF2"/>
    <w:rsid w:val="001E626E"/>
    <w:rsid w:val="001E7077"/>
    <w:rsid w:val="001E7A17"/>
    <w:rsid w:val="001F0765"/>
    <w:rsid w:val="001F26B1"/>
    <w:rsid w:val="001F29F4"/>
    <w:rsid w:val="001F4369"/>
    <w:rsid w:val="001F49DF"/>
    <w:rsid w:val="001F5A30"/>
    <w:rsid w:val="001F5AE3"/>
    <w:rsid w:val="001F656A"/>
    <w:rsid w:val="001F68D1"/>
    <w:rsid w:val="001F6D1A"/>
    <w:rsid w:val="001F6E03"/>
    <w:rsid w:val="002012D2"/>
    <w:rsid w:val="0020360D"/>
    <w:rsid w:val="0020449F"/>
    <w:rsid w:val="0020612C"/>
    <w:rsid w:val="0021023E"/>
    <w:rsid w:val="00211BFA"/>
    <w:rsid w:val="00212F1D"/>
    <w:rsid w:val="0022138F"/>
    <w:rsid w:val="00222CC9"/>
    <w:rsid w:val="00225769"/>
    <w:rsid w:val="00225E3B"/>
    <w:rsid w:val="00227104"/>
    <w:rsid w:val="00230054"/>
    <w:rsid w:val="002304E0"/>
    <w:rsid w:val="0023134A"/>
    <w:rsid w:val="0023668B"/>
    <w:rsid w:val="00240DC9"/>
    <w:rsid w:val="00242601"/>
    <w:rsid w:val="002427B0"/>
    <w:rsid w:val="00244149"/>
    <w:rsid w:val="00245BF4"/>
    <w:rsid w:val="00246EDC"/>
    <w:rsid w:val="00247BAF"/>
    <w:rsid w:val="00251D96"/>
    <w:rsid w:val="00253A48"/>
    <w:rsid w:val="00253EC8"/>
    <w:rsid w:val="0025483C"/>
    <w:rsid w:val="002554B3"/>
    <w:rsid w:val="00256701"/>
    <w:rsid w:val="0026085A"/>
    <w:rsid w:val="002666FA"/>
    <w:rsid w:val="002700D3"/>
    <w:rsid w:val="0027262B"/>
    <w:rsid w:val="00274308"/>
    <w:rsid w:val="0027457E"/>
    <w:rsid w:val="00280051"/>
    <w:rsid w:val="00280C5D"/>
    <w:rsid w:val="00281798"/>
    <w:rsid w:val="00281830"/>
    <w:rsid w:val="002827C4"/>
    <w:rsid w:val="00284D13"/>
    <w:rsid w:val="0028588E"/>
    <w:rsid w:val="00292A6B"/>
    <w:rsid w:val="00293B6B"/>
    <w:rsid w:val="00294B76"/>
    <w:rsid w:val="00294F1A"/>
    <w:rsid w:val="002956F1"/>
    <w:rsid w:val="00295D79"/>
    <w:rsid w:val="0029655B"/>
    <w:rsid w:val="002A0163"/>
    <w:rsid w:val="002A295E"/>
    <w:rsid w:val="002A35D3"/>
    <w:rsid w:val="002B2713"/>
    <w:rsid w:val="002B3511"/>
    <w:rsid w:val="002B3D19"/>
    <w:rsid w:val="002B3F13"/>
    <w:rsid w:val="002B3F46"/>
    <w:rsid w:val="002B434C"/>
    <w:rsid w:val="002B5D29"/>
    <w:rsid w:val="002B5F7A"/>
    <w:rsid w:val="002C39F9"/>
    <w:rsid w:val="002C58B8"/>
    <w:rsid w:val="002C7500"/>
    <w:rsid w:val="002C75BC"/>
    <w:rsid w:val="002D1CA0"/>
    <w:rsid w:val="002D22CF"/>
    <w:rsid w:val="002D56A1"/>
    <w:rsid w:val="002D59A9"/>
    <w:rsid w:val="002D5A00"/>
    <w:rsid w:val="002E1E63"/>
    <w:rsid w:val="002E1FA1"/>
    <w:rsid w:val="002E5A19"/>
    <w:rsid w:val="002E63E1"/>
    <w:rsid w:val="002E6515"/>
    <w:rsid w:val="002E6517"/>
    <w:rsid w:val="002E6687"/>
    <w:rsid w:val="002F1887"/>
    <w:rsid w:val="002F2790"/>
    <w:rsid w:val="002F2A26"/>
    <w:rsid w:val="002F6957"/>
    <w:rsid w:val="002F6CB3"/>
    <w:rsid w:val="002F76B8"/>
    <w:rsid w:val="002F7DE5"/>
    <w:rsid w:val="002F7DF1"/>
    <w:rsid w:val="002F7FEE"/>
    <w:rsid w:val="003007EA"/>
    <w:rsid w:val="003027B6"/>
    <w:rsid w:val="00306981"/>
    <w:rsid w:val="00307131"/>
    <w:rsid w:val="00307FDA"/>
    <w:rsid w:val="0031196F"/>
    <w:rsid w:val="00312B51"/>
    <w:rsid w:val="00312C39"/>
    <w:rsid w:val="00314716"/>
    <w:rsid w:val="00316881"/>
    <w:rsid w:val="00317020"/>
    <w:rsid w:val="00317101"/>
    <w:rsid w:val="003172CB"/>
    <w:rsid w:val="00317F10"/>
    <w:rsid w:val="003217E1"/>
    <w:rsid w:val="003218C1"/>
    <w:rsid w:val="0032423A"/>
    <w:rsid w:val="003247E9"/>
    <w:rsid w:val="00330349"/>
    <w:rsid w:val="003303F9"/>
    <w:rsid w:val="00330A1E"/>
    <w:rsid w:val="00331E2B"/>
    <w:rsid w:val="003321DE"/>
    <w:rsid w:val="00332AAF"/>
    <w:rsid w:val="00333A73"/>
    <w:rsid w:val="00333E14"/>
    <w:rsid w:val="00334700"/>
    <w:rsid w:val="003352BA"/>
    <w:rsid w:val="003366C8"/>
    <w:rsid w:val="0033770B"/>
    <w:rsid w:val="00340194"/>
    <w:rsid w:val="0034072B"/>
    <w:rsid w:val="003412E9"/>
    <w:rsid w:val="00342839"/>
    <w:rsid w:val="00343A44"/>
    <w:rsid w:val="003444DC"/>
    <w:rsid w:val="00350211"/>
    <w:rsid w:val="003518BF"/>
    <w:rsid w:val="00352DA1"/>
    <w:rsid w:val="0035392C"/>
    <w:rsid w:val="00354558"/>
    <w:rsid w:val="00363564"/>
    <w:rsid w:val="0036465D"/>
    <w:rsid w:val="00365339"/>
    <w:rsid w:val="00365938"/>
    <w:rsid w:val="00372477"/>
    <w:rsid w:val="00372544"/>
    <w:rsid w:val="0037341B"/>
    <w:rsid w:val="00376B5F"/>
    <w:rsid w:val="003775A3"/>
    <w:rsid w:val="00377AD9"/>
    <w:rsid w:val="00380288"/>
    <w:rsid w:val="003817A2"/>
    <w:rsid w:val="00385359"/>
    <w:rsid w:val="00385468"/>
    <w:rsid w:val="00390CE7"/>
    <w:rsid w:val="00390DAE"/>
    <w:rsid w:val="00391BFA"/>
    <w:rsid w:val="00392642"/>
    <w:rsid w:val="00393C61"/>
    <w:rsid w:val="00393FF3"/>
    <w:rsid w:val="00394681"/>
    <w:rsid w:val="0039618C"/>
    <w:rsid w:val="0039633A"/>
    <w:rsid w:val="00396B90"/>
    <w:rsid w:val="003A0BC9"/>
    <w:rsid w:val="003A0D26"/>
    <w:rsid w:val="003A21CD"/>
    <w:rsid w:val="003A2A9E"/>
    <w:rsid w:val="003A4053"/>
    <w:rsid w:val="003A40A7"/>
    <w:rsid w:val="003A55FF"/>
    <w:rsid w:val="003A5ADA"/>
    <w:rsid w:val="003A6511"/>
    <w:rsid w:val="003A685B"/>
    <w:rsid w:val="003B00E8"/>
    <w:rsid w:val="003B28A5"/>
    <w:rsid w:val="003B3F9A"/>
    <w:rsid w:val="003B57A1"/>
    <w:rsid w:val="003B661D"/>
    <w:rsid w:val="003B720D"/>
    <w:rsid w:val="003B760C"/>
    <w:rsid w:val="003C218A"/>
    <w:rsid w:val="003C4430"/>
    <w:rsid w:val="003C4CC0"/>
    <w:rsid w:val="003C5F3E"/>
    <w:rsid w:val="003C7810"/>
    <w:rsid w:val="003D0EE7"/>
    <w:rsid w:val="003D10DD"/>
    <w:rsid w:val="003D1778"/>
    <w:rsid w:val="003D1C0C"/>
    <w:rsid w:val="003D3B16"/>
    <w:rsid w:val="003D60E0"/>
    <w:rsid w:val="003D709B"/>
    <w:rsid w:val="003D7463"/>
    <w:rsid w:val="003E0103"/>
    <w:rsid w:val="003E0A22"/>
    <w:rsid w:val="003E2A09"/>
    <w:rsid w:val="003E5038"/>
    <w:rsid w:val="003E727F"/>
    <w:rsid w:val="003E7D3D"/>
    <w:rsid w:val="003F01DF"/>
    <w:rsid w:val="003F1B56"/>
    <w:rsid w:val="003F2C18"/>
    <w:rsid w:val="003F3D3C"/>
    <w:rsid w:val="003F547B"/>
    <w:rsid w:val="003F6C0E"/>
    <w:rsid w:val="00404AFC"/>
    <w:rsid w:val="00407C75"/>
    <w:rsid w:val="00411B14"/>
    <w:rsid w:val="00412C91"/>
    <w:rsid w:val="004132C5"/>
    <w:rsid w:val="00414064"/>
    <w:rsid w:val="00415DFF"/>
    <w:rsid w:val="00417745"/>
    <w:rsid w:val="00423CA6"/>
    <w:rsid w:val="00430454"/>
    <w:rsid w:val="004326A8"/>
    <w:rsid w:val="004328A4"/>
    <w:rsid w:val="0043591D"/>
    <w:rsid w:val="00436B86"/>
    <w:rsid w:val="0043706A"/>
    <w:rsid w:val="004401B0"/>
    <w:rsid w:val="00441154"/>
    <w:rsid w:val="00441D90"/>
    <w:rsid w:val="00442224"/>
    <w:rsid w:val="004444EE"/>
    <w:rsid w:val="00451B98"/>
    <w:rsid w:val="004524CF"/>
    <w:rsid w:val="00452582"/>
    <w:rsid w:val="00454812"/>
    <w:rsid w:val="004549FE"/>
    <w:rsid w:val="00454D38"/>
    <w:rsid w:val="00455C81"/>
    <w:rsid w:val="00457272"/>
    <w:rsid w:val="00457DCC"/>
    <w:rsid w:val="004600A6"/>
    <w:rsid w:val="00460428"/>
    <w:rsid w:val="00461A18"/>
    <w:rsid w:val="00462060"/>
    <w:rsid w:val="004622A0"/>
    <w:rsid w:val="00463C1A"/>
    <w:rsid w:val="00463EEC"/>
    <w:rsid w:val="004640FF"/>
    <w:rsid w:val="00465490"/>
    <w:rsid w:val="00473FD3"/>
    <w:rsid w:val="00474746"/>
    <w:rsid w:val="00474A6A"/>
    <w:rsid w:val="00475AAB"/>
    <w:rsid w:val="004767DD"/>
    <w:rsid w:val="00477432"/>
    <w:rsid w:val="00480537"/>
    <w:rsid w:val="00480DA2"/>
    <w:rsid w:val="00481A6C"/>
    <w:rsid w:val="0048389D"/>
    <w:rsid w:val="00486165"/>
    <w:rsid w:val="0049014C"/>
    <w:rsid w:val="00492356"/>
    <w:rsid w:val="0049444D"/>
    <w:rsid w:val="004957A2"/>
    <w:rsid w:val="004A0201"/>
    <w:rsid w:val="004A178D"/>
    <w:rsid w:val="004A1C33"/>
    <w:rsid w:val="004A7A7F"/>
    <w:rsid w:val="004B031B"/>
    <w:rsid w:val="004B474F"/>
    <w:rsid w:val="004C09FA"/>
    <w:rsid w:val="004C221A"/>
    <w:rsid w:val="004C39F8"/>
    <w:rsid w:val="004C416A"/>
    <w:rsid w:val="004C55B7"/>
    <w:rsid w:val="004C5D35"/>
    <w:rsid w:val="004C6F7E"/>
    <w:rsid w:val="004D0A68"/>
    <w:rsid w:val="004D20BF"/>
    <w:rsid w:val="004D2C70"/>
    <w:rsid w:val="004D31D0"/>
    <w:rsid w:val="004D31F1"/>
    <w:rsid w:val="004D4286"/>
    <w:rsid w:val="004D4733"/>
    <w:rsid w:val="004D4B45"/>
    <w:rsid w:val="004D6C3E"/>
    <w:rsid w:val="004D7B29"/>
    <w:rsid w:val="004E14DE"/>
    <w:rsid w:val="004E2562"/>
    <w:rsid w:val="004E2E2F"/>
    <w:rsid w:val="004E7CE8"/>
    <w:rsid w:val="004F1BEF"/>
    <w:rsid w:val="004F2430"/>
    <w:rsid w:val="004F2B91"/>
    <w:rsid w:val="004F3034"/>
    <w:rsid w:val="004F435E"/>
    <w:rsid w:val="00506D24"/>
    <w:rsid w:val="005077D2"/>
    <w:rsid w:val="005118F6"/>
    <w:rsid w:val="0051350A"/>
    <w:rsid w:val="00514689"/>
    <w:rsid w:val="00517604"/>
    <w:rsid w:val="00517DA5"/>
    <w:rsid w:val="00517FA4"/>
    <w:rsid w:val="00525801"/>
    <w:rsid w:val="00530642"/>
    <w:rsid w:val="00530F88"/>
    <w:rsid w:val="00532B1C"/>
    <w:rsid w:val="00532EB9"/>
    <w:rsid w:val="00533388"/>
    <w:rsid w:val="00534E1F"/>
    <w:rsid w:val="00535EF4"/>
    <w:rsid w:val="00537269"/>
    <w:rsid w:val="00540C40"/>
    <w:rsid w:val="005412CE"/>
    <w:rsid w:val="005443C8"/>
    <w:rsid w:val="0054683B"/>
    <w:rsid w:val="00552527"/>
    <w:rsid w:val="005558E1"/>
    <w:rsid w:val="005564A4"/>
    <w:rsid w:val="0055674C"/>
    <w:rsid w:val="00557FAF"/>
    <w:rsid w:val="005606CB"/>
    <w:rsid w:val="00563FD8"/>
    <w:rsid w:val="00564817"/>
    <w:rsid w:val="0056512E"/>
    <w:rsid w:val="0056561D"/>
    <w:rsid w:val="005706E9"/>
    <w:rsid w:val="00570849"/>
    <w:rsid w:val="0057158C"/>
    <w:rsid w:val="00576416"/>
    <w:rsid w:val="005778BD"/>
    <w:rsid w:val="00577C65"/>
    <w:rsid w:val="00581121"/>
    <w:rsid w:val="005840B8"/>
    <w:rsid w:val="005867DF"/>
    <w:rsid w:val="00586A60"/>
    <w:rsid w:val="005900D8"/>
    <w:rsid w:val="005916F1"/>
    <w:rsid w:val="00592081"/>
    <w:rsid w:val="005A0348"/>
    <w:rsid w:val="005A15BA"/>
    <w:rsid w:val="005A1FA3"/>
    <w:rsid w:val="005A27C0"/>
    <w:rsid w:val="005A4691"/>
    <w:rsid w:val="005A74FF"/>
    <w:rsid w:val="005A7C67"/>
    <w:rsid w:val="005B069E"/>
    <w:rsid w:val="005B194A"/>
    <w:rsid w:val="005B234E"/>
    <w:rsid w:val="005B3D8A"/>
    <w:rsid w:val="005B3EC2"/>
    <w:rsid w:val="005C1D68"/>
    <w:rsid w:val="005C2888"/>
    <w:rsid w:val="005C51BC"/>
    <w:rsid w:val="005C58FA"/>
    <w:rsid w:val="005C5F49"/>
    <w:rsid w:val="005C71BC"/>
    <w:rsid w:val="005D0BE7"/>
    <w:rsid w:val="005D0F2F"/>
    <w:rsid w:val="005D2629"/>
    <w:rsid w:val="005D31B5"/>
    <w:rsid w:val="005D367B"/>
    <w:rsid w:val="005D36E9"/>
    <w:rsid w:val="005D4A78"/>
    <w:rsid w:val="005D54F1"/>
    <w:rsid w:val="005D5820"/>
    <w:rsid w:val="005E03EB"/>
    <w:rsid w:val="005E3D07"/>
    <w:rsid w:val="005E4B02"/>
    <w:rsid w:val="005E671E"/>
    <w:rsid w:val="005E6B49"/>
    <w:rsid w:val="005E7252"/>
    <w:rsid w:val="005E7AA8"/>
    <w:rsid w:val="005F02C2"/>
    <w:rsid w:val="005F0AE4"/>
    <w:rsid w:val="005F70F7"/>
    <w:rsid w:val="005F797F"/>
    <w:rsid w:val="00600105"/>
    <w:rsid w:val="006046D3"/>
    <w:rsid w:val="00604774"/>
    <w:rsid w:val="00605E3B"/>
    <w:rsid w:val="006065E8"/>
    <w:rsid w:val="00607B4C"/>
    <w:rsid w:val="00610940"/>
    <w:rsid w:val="00614348"/>
    <w:rsid w:val="006155F0"/>
    <w:rsid w:val="00616766"/>
    <w:rsid w:val="00620386"/>
    <w:rsid w:val="006253B6"/>
    <w:rsid w:val="00625A15"/>
    <w:rsid w:val="0062690C"/>
    <w:rsid w:val="00627BD8"/>
    <w:rsid w:val="0063178C"/>
    <w:rsid w:val="006349C4"/>
    <w:rsid w:val="0063586E"/>
    <w:rsid w:val="00636177"/>
    <w:rsid w:val="006361D0"/>
    <w:rsid w:val="00637BE8"/>
    <w:rsid w:val="00637C90"/>
    <w:rsid w:val="00637D76"/>
    <w:rsid w:val="00640A07"/>
    <w:rsid w:val="0064271E"/>
    <w:rsid w:val="006431FF"/>
    <w:rsid w:val="0064333A"/>
    <w:rsid w:val="00644F89"/>
    <w:rsid w:val="0064704F"/>
    <w:rsid w:val="0065406F"/>
    <w:rsid w:val="006553EC"/>
    <w:rsid w:val="00655674"/>
    <w:rsid w:val="00656027"/>
    <w:rsid w:val="00656746"/>
    <w:rsid w:val="006623D2"/>
    <w:rsid w:val="006648E7"/>
    <w:rsid w:val="0067005A"/>
    <w:rsid w:val="006755B2"/>
    <w:rsid w:val="00675AE0"/>
    <w:rsid w:val="00680130"/>
    <w:rsid w:val="006824E0"/>
    <w:rsid w:val="006827DA"/>
    <w:rsid w:val="00684A68"/>
    <w:rsid w:val="00685883"/>
    <w:rsid w:val="00691C90"/>
    <w:rsid w:val="00692458"/>
    <w:rsid w:val="00692E3C"/>
    <w:rsid w:val="0069388D"/>
    <w:rsid w:val="006A0160"/>
    <w:rsid w:val="006A1847"/>
    <w:rsid w:val="006A31AB"/>
    <w:rsid w:val="006A5215"/>
    <w:rsid w:val="006A7F1B"/>
    <w:rsid w:val="006B18B2"/>
    <w:rsid w:val="006B3640"/>
    <w:rsid w:val="006B61AC"/>
    <w:rsid w:val="006B6C90"/>
    <w:rsid w:val="006B7CA7"/>
    <w:rsid w:val="006C0CF5"/>
    <w:rsid w:val="006C1521"/>
    <w:rsid w:val="006C39B7"/>
    <w:rsid w:val="006C3C89"/>
    <w:rsid w:val="006C4E7E"/>
    <w:rsid w:val="006C7001"/>
    <w:rsid w:val="006C7362"/>
    <w:rsid w:val="006D11DF"/>
    <w:rsid w:val="006D2547"/>
    <w:rsid w:val="006D3EF5"/>
    <w:rsid w:val="006D47A7"/>
    <w:rsid w:val="006E0951"/>
    <w:rsid w:val="006E10A6"/>
    <w:rsid w:val="006E26B3"/>
    <w:rsid w:val="006E4456"/>
    <w:rsid w:val="006E462E"/>
    <w:rsid w:val="006E5856"/>
    <w:rsid w:val="006E71A5"/>
    <w:rsid w:val="006E73F9"/>
    <w:rsid w:val="006F0585"/>
    <w:rsid w:val="006F47AA"/>
    <w:rsid w:val="006F73C8"/>
    <w:rsid w:val="00700549"/>
    <w:rsid w:val="00700B1E"/>
    <w:rsid w:val="00700B46"/>
    <w:rsid w:val="00700EDD"/>
    <w:rsid w:val="00702088"/>
    <w:rsid w:val="00702564"/>
    <w:rsid w:val="007033DE"/>
    <w:rsid w:val="00703CCF"/>
    <w:rsid w:val="00705460"/>
    <w:rsid w:val="0070789A"/>
    <w:rsid w:val="00712F00"/>
    <w:rsid w:val="0071700E"/>
    <w:rsid w:val="00717EEE"/>
    <w:rsid w:val="00721B04"/>
    <w:rsid w:val="00721E2A"/>
    <w:rsid w:val="00724D61"/>
    <w:rsid w:val="00726192"/>
    <w:rsid w:val="007277AF"/>
    <w:rsid w:val="0073154A"/>
    <w:rsid w:val="00735CAA"/>
    <w:rsid w:val="0073719C"/>
    <w:rsid w:val="007406D7"/>
    <w:rsid w:val="00742E09"/>
    <w:rsid w:val="00745452"/>
    <w:rsid w:val="00745956"/>
    <w:rsid w:val="00746818"/>
    <w:rsid w:val="00747FC4"/>
    <w:rsid w:val="00752457"/>
    <w:rsid w:val="0075311C"/>
    <w:rsid w:val="0075415F"/>
    <w:rsid w:val="00754898"/>
    <w:rsid w:val="00754A51"/>
    <w:rsid w:val="00760169"/>
    <w:rsid w:val="007606B4"/>
    <w:rsid w:val="00760845"/>
    <w:rsid w:val="00761797"/>
    <w:rsid w:val="007640E0"/>
    <w:rsid w:val="00766E67"/>
    <w:rsid w:val="007678AC"/>
    <w:rsid w:val="00767BC8"/>
    <w:rsid w:val="00770769"/>
    <w:rsid w:val="0077225F"/>
    <w:rsid w:val="00774042"/>
    <w:rsid w:val="007741B9"/>
    <w:rsid w:val="00774FDE"/>
    <w:rsid w:val="00775D89"/>
    <w:rsid w:val="00777EE3"/>
    <w:rsid w:val="007812CF"/>
    <w:rsid w:val="00782A95"/>
    <w:rsid w:val="0078367D"/>
    <w:rsid w:val="00784D38"/>
    <w:rsid w:val="00785234"/>
    <w:rsid w:val="00794435"/>
    <w:rsid w:val="00794ACF"/>
    <w:rsid w:val="00796DA5"/>
    <w:rsid w:val="007A1603"/>
    <w:rsid w:val="007A4A5C"/>
    <w:rsid w:val="007A682A"/>
    <w:rsid w:val="007A7F29"/>
    <w:rsid w:val="007B03DA"/>
    <w:rsid w:val="007B3138"/>
    <w:rsid w:val="007B40DC"/>
    <w:rsid w:val="007B6F78"/>
    <w:rsid w:val="007B75F4"/>
    <w:rsid w:val="007C10BA"/>
    <w:rsid w:val="007C2324"/>
    <w:rsid w:val="007C2806"/>
    <w:rsid w:val="007C45DA"/>
    <w:rsid w:val="007C5C1B"/>
    <w:rsid w:val="007C5C76"/>
    <w:rsid w:val="007D3448"/>
    <w:rsid w:val="007D5956"/>
    <w:rsid w:val="007E04CD"/>
    <w:rsid w:val="007E1E98"/>
    <w:rsid w:val="007E4E9A"/>
    <w:rsid w:val="007E6AFC"/>
    <w:rsid w:val="007F29F8"/>
    <w:rsid w:val="007F2D82"/>
    <w:rsid w:val="007F43F2"/>
    <w:rsid w:val="007F48B2"/>
    <w:rsid w:val="007F4EF0"/>
    <w:rsid w:val="007F5CFF"/>
    <w:rsid w:val="00807B3C"/>
    <w:rsid w:val="00807E9D"/>
    <w:rsid w:val="0081013E"/>
    <w:rsid w:val="00811237"/>
    <w:rsid w:val="008113B4"/>
    <w:rsid w:val="008114F0"/>
    <w:rsid w:val="00814D74"/>
    <w:rsid w:val="00814DE5"/>
    <w:rsid w:val="00815084"/>
    <w:rsid w:val="0081653E"/>
    <w:rsid w:val="00820942"/>
    <w:rsid w:val="008248D1"/>
    <w:rsid w:val="0082586A"/>
    <w:rsid w:val="008261B4"/>
    <w:rsid w:val="00827EDE"/>
    <w:rsid w:val="008301B3"/>
    <w:rsid w:val="008358B4"/>
    <w:rsid w:val="008363D2"/>
    <w:rsid w:val="00837113"/>
    <w:rsid w:val="008411C2"/>
    <w:rsid w:val="00842EF4"/>
    <w:rsid w:val="00845AA0"/>
    <w:rsid w:val="008510FF"/>
    <w:rsid w:val="008530BE"/>
    <w:rsid w:val="008540FA"/>
    <w:rsid w:val="008606A0"/>
    <w:rsid w:val="00861E1B"/>
    <w:rsid w:val="00863446"/>
    <w:rsid w:val="00863E4E"/>
    <w:rsid w:val="00867895"/>
    <w:rsid w:val="00870F98"/>
    <w:rsid w:val="00875FE9"/>
    <w:rsid w:val="0087684F"/>
    <w:rsid w:val="00876CAC"/>
    <w:rsid w:val="00885A76"/>
    <w:rsid w:val="00886079"/>
    <w:rsid w:val="00891F34"/>
    <w:rsid w:val="00895C04"/>
    <w:rsid w:val="008970B7"/>
    <w:rsid w:val="00897F35"/>
    <w:rsid w:val="008A0530"/>
    <w:rsid w:val="008A1B21"/>
    <w:rsid w:val="008A3DD8"/>
    <w:rsid w:val="008A3F85"/>
    <w:rsid w:val="008A47BD"/>
    <w:rsid w:val="008A51E8"/>
    <w:rsid w:val="008A6041"/>
    <w:rsid w:val="008A7314"/>
    <w:rsid w:val="008B0AC9"/>
    <w:rsid w:val="008B0F37"/>
    <w:rsid w:val="008B55D2"/>
    <w:rsid w:val="008B5C21"/>
    <w:rsid w:val="008B791D"/>
    <w:rsid w:val="008C1C7C"/>
    <w:rsid w:val="008C208A"/>
    <w:rsid w:val="008D0538"/>
    <w:rsid w:val="008D0D9A"/>
    <w:rsid w:val="008D2CA8"/>
    <w:rsid w:val="008D4AA6"/>
    <w:rsid w:val="008D5752"/>
    <w:rsid w:val="008D5B34"/>
    <w:rsid w:val="008E0CD4"/>
    <w:rsid w:val="008E2267"/>
    <w:rsid w:val="008E4430"/>
    <w:rsid w:val="008E5358"/>
    <w:rsid w:val="008E55F5"/>
    <w:rsid w:val="008F0F03"/>
    <w:rsid w:val="008F1341"/>
    <w:rsid w:val="008F2CF5"/>
    <w:rsid w:val="008F3034"/>
    <w:rsid w:val="008F3194"/>
    <w:rsid w:val="008F5E84"/>
    <w:rsid w:val="008F65FF"/>
    <w:rsid w:val="00901844"/>
    <w:rsid w:val="00901E01"/>
    <w:rsid w:val="00904BC8"/>
    <w:rsid w:val="00905424"/>
    <w:rsid w:val="00906D5B"/>
    <w:rsid w:val="00907133"/>
    <w:rsid w:val="009071E8"/>
    <w:rsid w:val="009111B5"/>
    <w:rsid w:val="009118F6"/>
    <w:rsid w:val="00911EB8"/>
    <w:rsid w:val="00912168"/>
    <w:rsid w:val="009139C7"/>
    <w:rsid w:val="00913CAC"/>
    <w:rsid w:val="0091462B"/>
    <w:rsid w:val="009149B8"/>
    <w:rsid w:val="0091550B"/>
    <w:rsid w:val="0091658D"/>
    <w:rsid w:val="00917142"/>
    <w:rsid w:val="00920D2D"/>
    <w:rsid w:val="00920EF6"/>
    <w:rsid w:val="00921C0B"/>
    <w:rsid w:val="00921FF8"/>
    <w:rsid w:val="00922A50"/>
    <w:rsid w:val="00923EC8"/>
    <w:rsid w:val="00925F13"/>
    <w:rsid w:val="00926417"/>
    <w:rsid w:val="009277AD"/>
    <w:rsid w:val="009306ED"/>
    <w:rsid w:val="00932D30"/>
    <w:rsid w:val="00933BFA"/>
    <w:rsid w:val="00933C1D"/>
    <w:rsid w:val="009369C2"/>
    <w:rsid w:val="00936C28"/>
    <w:rsid w:val="00936DC9"/>
    <w:rsid w:val="00936E45"/>
    <w:rsid w:val="00936F4C"/>
    <w:rsid w:val="0093796A"/>
    <w:rsid w:val="00940816"/>
    <w:rsid w:val="00942585"/>
    <w:rsid w:val="0094333E"/>
    <w:rsid w:val="009448F7"/>
    <w:rsid w:val="00945A1D"/>
    <w:rsid w:val="00945CC4"/>
    <w:rsid w:val="00946533"/>
    <w:rsid w:val="00946F20"/>
    <w:rsid w:val="00947A11"/>
    <w:rsid w:val="0095050A"/>
    <w:rsid w:val="0095266F"/>
    <w:rsid w:val="00953E59"/>
    <w:rsid w:val="0095533A"/>
    <w:rsid w:val="0095646B"/>
    <w:rsid w:val="00957565"/>
    <w:rsid w:val="00957A99"/>
    <w:rsid w:val="00964D8D"/>
    <w:rsid w:val="00964EDA"/>
    <w:rsid w:val="00965A01"/>
    <w:rsid w:val="00965EA8"/>
    <w:rsid w:val="0096731B"/>
    <w:rsid w:val="0096785D"/>
    <w:rsid w:val="00970842"/>
    <w:rsid w:val="00971125"/>
    <w:rsid w:val="00971F4F"/>
    <w:rsid w:val="00972D70"/>
    <w:rsid w:val="0097363B"/>
    <w:rsid w:val="00975A13"/>
    <w:rsid w:val="00977BFB"/>
    <w:rsid w:val="00982385"/>
    <w:rsid w:val="00982810"/>
    <w:rsid w:val="009903CC"/>
    <w:rsid w:val="00995B1B"/>
    <w:rsid w:val="009A1396"/>
    <w:rsid w:val="009A2981"/>
    <w:rsid w:val="009A336D"/>
    <w:rsid w:val="009A5010"/>
    <w:rsid w:val="009A63B5"/>
    <w:rsid w:val="009A7037"/>
    <w:rsid w:val="009B4A6A"/>
    <w:rsid w:val="009B5911"/>
    <w:rsid w:val="009B6096"/>
    <w:rsid w:val="009C02BD"/>
    <w:rsid w:val="009C11CF"/>
    <w:rsid w:val="009C13FA"/>
    <w:rsid w:val="009C2AED"/>
    <w:rsid w:val="009C3490"/>
    <w:rsid w:val="009C3BB0"/>
    <w:rsid w:val="009C4B33"/>
    <w:rsid w:val="009C698E"/>
    <w:rsid w:val="009C72D3"/>
    <w:rsid w:val="009D1FC0"/>
    <w:rsid w:val="009D2863"/>
    <w:rsid w:val="009D4238"/>
    <w:rsid w:val="009D493B"/>
    <w:rsid w:val="009D5E09"/>
    <w:rsid w:val="009D5EE5"/>
    <w:rsid w:val="009D5F1E"/>
    <w:rsid w:val="009D7580"/>
    <w:rsid w:val="009E00C4"/>
    <w:rsid w:val="009E0C7A"/>
    <w:rsid w:val="009E0E38"/>
    <w:rsid w:val="009E31CD"/>
    <w:rsid w:val="009E53F4"/>
    <w:rsid w:val="009E59FA"/>
    <w:rsid w:val="009F46B5"/>
    <w:rsid w:val="009F72C8"/>
    <w:rsid w:val="00A006D5"/>
    <w:rsid w:val="00A01509"/>
    <w:rsid w:val="00A02651"/>
    <w:rsid w:val="00A0337B"/>
    <w:rsid w:val="00A035E4"/>
    <w:rsid w:val="00A03809"/>
    <w:rsid w:val="00A0459A"/>
    <w:rsid w:val="00A07C43"/>
    <w:rsid w:val="00A10DBB"/>
    <w:rsid w:val="00A116EA"/>
    <w:rsid w:val="00A11739"/>
    <w:rsid w:val="00A12D50"/>
    <w:rsid w:val="00A13609"/>
    <w:rsid w:val="00A14311"/>
    <w:rsid w:val="00A1579B"/>
    <w:rsid w:val="00A17212"/>
    <w:rsid w:val="00A20CEA"/>
    <w:rsid w:val="00A221CE"/>
    <w:rsid w:val="00A23E41"/>
    <w:rsid w:val="00A24C42"/>
    <w:rsid w:val="00A2629A"/>
    <w:rsid w:val="00A26F1E"/>
    <w:rsid w:val="00A272D4"/>
    <w:rsid w:val="00A2737A"/>
    <w:rsid w:val="00A303C6"/>
    <w:rsid w:val="00A32873"/>
    <w:rsid w:val="00A32B6F"/>
    <w:rsid w:val="00A333F2"/>
    <w:rsid w:val="00A34EAB"/>
    <w:rsid w:val="00A41E01"/>
    <w:rsid w:val="00A42AE3"/>
    <w:rsid w:val="00A435C8"/>
    <w:rsid w:val="00A45D6C"/>
    <w:rsid w:val="00A470E3"/>
    <w:rsid w:val="00A55107"/>
    <w:rsid w:val="00A60EED"/>
    <w:rsid w:val="00A6232E"/>
    <w:rsid w:val="00A64430"/>
    <w:rsid w:val="00A65C0A"/>
    <w:rsid w:val="00A714D1"/>
    <w:rsid w:val="00A721C0"/>
    <w:rsid w:val="00A7294C"/>
    <w:rsid w:val="00A731B8"/>
    <w:rsid w:val="00A7517C"/>
    <w:rsid w:val="00A7734B"/>
    <w:rsid w:val="00A774B1"/>
    <w:rsid w:val="00A84013"/>
    <w:rsid w:val="00A848B7"/>
    <w:rsid w:val="00A84E3E"/>
    <w:rsid w:val="00A856B1"/>
    <w:rsid w:val="00A86079"/>
    <w:rsid w:val="00A875F3"/>
    <w:rsid w:val="00A9080B"/>
    <w:rsid w:val="00A90E16"/>
    <w:rsid w:val="00A94E61"/>
    <w:rsid w:val="00A957B0"/>
    <w:rsid w:val="00A96564"/>
    <w:rsid w:val="00A96CD8"/>
    <w:rsid w:val="00A979FD"/>
    <w:rsid w:val="00AA15EB"/>
    <w:rsid w:val="00AA23C0"/>
    <w:rsid w:val="00AA2D7A"/>
    <w:rsid w:val="00AA2E86"/>
    <w:rsid w:val="00AA3549"/>
    <w:rsid w:val="00AA5307"/>
    <w:rsid w:val="00AB3BAC"/>
    <w:rsid w:val="00AB4AD3"/>
    <w:rsid w:val="00AB6F04"/>
    <w:rsid w:val="00AC0797"/>
    <w:rsid w:val="00AC53AF"/>
    <w:rsid w:val="00AC560A"/>
    <w:rsid w:val="00AD095A"/>
    <w:rsid w:val="00AD4F9D"/>
    <w:rsid w:val="00AD628A"/>
    <w:rsid w:val="00AD73BE"/>
    <w:rsid w:val="00AE05E1"/>
    <w:rsid w:val="00AE0AC0"/>
    <w:rsid w:val="00AE2123"/>
    <w:rsid w:val="00AE486F"/>
    <w:rsid w:val="00AE59E5"/>
    <w:rsid w:val="00AE629D"/>
    <w:rsid w:val="00AE6938"/>
    <w:rsid w:val="00AE6DBC"/>
    <w:rsid w:val="00AF0A65"/>
    <w:rsid w:val="00AF223D"/>
    <w:rsid w:val="00AF22E7"/>
    <w:rsid w:val="00AF2E89"/>
    <w:rsid w:val="00AF3BCB"/>
    <w:rsid w:val="00AF3F61"/>
    <w:rsid w:val="00AF532B"/>
    <w:rsid w:val="00AF5C4F"/>
    <w:rsid w:val="00AF62FB"/>
    <w:rsid w:val="00AF67A9"/>
    <w:rsid w:val="00B00077"/>
    <w:rsid w:val="00B024D9"/>
    <w:rsid w:val="00B03FFF"/>
    <w:rsid w:val="00B0502D"/>
    <w:rsid w:val="00B058EF"/>
    <w:rsid w:val="00B07F75"/>
    <w:rsid w:val="00B10AB7"/>
    <w:rsid w:val="00B1151B"/>
    <w:rsid w:val="00B170A2"/>
    <w:rsid w:val="00B17F72"/>
    <w:rsid w:val="00B203FF"/>
    <w:rsid w:val="00B22277"/>
    <w:rsid w:val="00B22944"/>
    <w:rsid w:val="00B25B02"/>
    <w:rsid w:val="00B2758D"/>
    <w:rsid w:val="00B30482"/>
    <w:rsid w:val="00B31526"/>
    <w:rsid w:val="00B3226B"/>
    <w:rsid w:val="00B326A7"/>
    <w:rsid w:val="00B33322"/>
    <w:rsid w:val="00B33F30"/>
    <w:rsid w:val="00B33FA0"/>
    <w:rsid w:val="00B34124"/>
    <w:rsid w:val="00B3418C"/>
    <w:rsid w:val="00B34980"/>
    <w:rsid w:val="00B36C89"/>
    <w:rsid w:val="00B41CEE"/>
    <w:rsid w:val="00B420B6"/>
    <w:rsid w:val="00B450AD"/>
    <w:rsid w:val="00B47F44"/>
    <w:rsid w:val="00B500E8"/>
    <w:rsid w:val="00B52163"/>
    <w:rsid w:val="00B55EF6"/>
    <w:rsid w:val="00B60CC0"/>
    <w:rsid w:val="00B61343"/>
    <w:rsid w:val="00B61582"/>
    <w:rsid w:val="00B61691"/>
    <w:rsid w:val="00B6217E"/>
    <w:rsid w:val="00B625F2"/>
    <w:rsid w:val="00B627C5"/>
    <w:rsid w:val="00B634DB"/>
    <w:rsid w:val="00B64367"/>
    <w:rsid w:val="00B64C8C"/>
    <w:rsid w:val="00B65F91"/>
    <w:rsid w:val="00B6769D"/>
    <w:rsid w:val="00B6772A"/>
    <w:rsid w:val="00B83559"/>
    <w:rsid w:val="00B853F1"/>
    <w:rsid w:val="00B85689"/>
    <w:rsid w:val="00B86A43"/>
    <w:rsid w:val="00B91976"/>
    <w:rsid w:val="00B92CED"/>
    <w:rsid w:val="00B94117"/>
    <w:rsid w:val="00B968C2"/>
    <w:rsid w:val="00BA028D"/>
    <w:rsid w:val="00BA1722"/>
    <w:rsid w:val="00BA3E7C"/>
    <w:rsid w:val="00BA62AA"/>
    <w:rsid w:val="00BA6C5D"/>
    <w:rsid w:val="00BA6DD4"/>
    <w:rsid w:val="00BB0E03"/>
    <w:rsid w:val="00BB1636"/>
    <w:rsid w:val="00BB1B98"/>
    <w:rsid w:val="00BB22E7"/>
    <w:rsid w:val="00BB374C"/>
    <w:rsid w:val="00BB5BAF"/>
    <w:rsid w:val="00BB6801"/>
    <w:rsid w:val="00BB7B1F"/>
    <w:rsid w:val="00BC0CC9"/>
    <w:rsid w:val="00BC12C5"/>
    <w:rsid w:val="00BC4D26"/>
    <w:rsid w:val="00BC5518"/>
    <w:rsid w:val="00BC7329"/>
    <w:rsid w:val="00BD054F"/>
    <w:rsid w:val="00BD078D"/>
    <w:rsid w:val="00BD1553"/>
    <w:rsid w:val="00BD429D"/>
    <w:rsid w:val="00BD44A9"/>
    <w:rsid w:val="00BD6D69"/>
    <w:rsid w:val="00BE1539"/>
    <w:rsid w:val="00BE1EAB"/>
    <w:rsid w:val="00BE4EDA"/>
    <w:rsid w:val="00BF109E"/>
    <w:rsid w:val="00BF27FA"/>
    <w:rsid w:val="00BF35EB"/>
    <w:rsid w:val="00BF36A0"/>
    <w:rsid w:val="00BF3884"/>
    <w:rsid w:val="00BF52DE"/>
    <w:rsid w:val="00BF6116"/>
    <w:rsid w:val="00C00318"/>
    <w:rsid w:val="00C01BE9"/>
    <w:rsid w:val="00C034D3"/>
    <w:rsid w:val="00C049CA"/>
    <w:rsid w:val="00C055ED"/>
    <w:rsid w:val="00C0660F"/>
    <w:rsid w:val="00C07276"/>
    <w:rsid w:val="00C11030"/>
    <w:rsid w:val="00C111B1"/>
    <w:rsid w:val="00C11E48"/>
    <w:rsid w:val="00C12554"/>
    <w:rsid w:val="00C15F4D"/>
    <w:rsid w:val="00C169C6"/>
    <w:rsid w:val="00C202F8"/>
    <w:rsid w:val="00C20D92"/>
    <w:rsid w:val="00C20F00"/>
    <w:rsid w:val="00C221C1"/>
    <w:rsid w:val="00C24670"/>
    <w:rsid w:val="00C247EA"/>
    <w:rsid w:val="00C25557"/>
    <w:rsid w:val="00C32FD3"/>
    <w:rsid w:val="00C3347F"/>
    <w:rsid w:val="00C338D7"/>
    <w:rsid w:val="00C33B14"/>
    <w:rsid w:val="00C34F92"/>
    <w:rsid w:val="00C36A15"/>
    <w:rsid w:val="00C36B93"/>
    <w:rsid w:val="00C36F3E"/>
    <w:rsid w:val="00C37A4C"/>
    <w:rsid w:val="00C40538"/>
    <w:rsid w:val="00C43EF4"/>
    <w:rsid w:val="00C4612C"/>
    <w:rsid w:val="00C47732"/>
    <w:rsid w:val="00C50963"/>
    <w:rsid w:val="00C50BD6"/>
    <w:rsid w:val="00C50FA2"/>
    <w:rsid w:val="00C51E26"/>
    <w:rsid w:val="00C52430"/>
    <w:rsid w:val="00C54D16"/>
    <w:rsid w:val="00C55135"/>
    <w:rsid w:val="00C57A55"/>
    <w:rsid w:val="00C61ACF"/>
    <w:rsid w:val="00C62A0C"/>
    <w:rsid w:val="00C635E2"/>
    <w:rsid w:val="00C66669"/>
    <w:rsid w:val="00C704CF"/>
    <w:rsid w:val="00C724D0"/>
    <w:rsid w:val="00C72507"/>
    <w:rsid w:val="00C74397"/>
    <w:rsid w:val="00C74A04"/>
    <w:rsid w:val="00C76E2D"/>
    <w:rsid w:val="00C76FFF"/>
    <w:rsid w:val="00C77386"/>
    <w:rsid w:val="00C80421"/>
    <w:rsid w:val="00C818BB"/>
    <w:rsid w:val="00C81DFC"/>
    <w:rsid w:val="00C82214"/>
    <w:rsid w:val="00C84E28"/>
    <w:rsid w:val="00C84F08"/>
    <w:rsid w:val="00C87B33"/>
    <w:rsid w:val="00C90647"/>
    <w:rsid w:val="00C91310"/>
    <w:rsid w:val="00CA0192"/>
    <w:rsid w:val="00CA1F2F"/>
    <w:rsid w:val="00CA299E"/>
    <w:rsid w:val="00CA43F1"/>
    <w:rsid w:val="00CA4FDE"/>
    <w:rsid w:val="00CA70E7"/>
    <w:rsid w:val="00CB0895"/>
    <w:rsid w:val="00CB0FA2"/>
    <w:rsid w:val="00CB1064"/>
    <w:rsid w:val="00CB228A"/>
    <w:rsid w:val="00CB2E17"/>
    <w:rsid w:val="00CB3056"/>
    <w:rsid w:val="00CB3987"/>
    <w:rsid w:val="00CB7E08"/>
    <w:rsid w:val="00CC4F4F"/>
    <w:rsid w:val="00CC5AD8"/>
    <w:rsid w:val="00CD434F"/>
    <w:rsid w:val="00CE1D90"/>
    <w:rsid w:val="00CE2446"/>
    <w:rsid w:val="00CE5F47"/>
    <w:rsid w:val="00CE6986"/>
    <w:rsid w:val="00CE78F5"/>
    <w:rsid w:val="00CF24D4"/>
    <w:rsid w:val="00CF3925"/>
    <w:rsid w:val="00D01536"/>
    <w:rsid w:val="00D027B9"/>
    <w:rsid w:val="00D0489B"/>
    <w:rsid w:val="00D052B4"/>
    <w:rsid w:val="00D065DE"/>
    <w:rsid w:val="00D07A8B"/>
    <w:rsid w:val="00D10F72"/>
    <w:rsid w:val="00D17891"/>
    <w:rsid w:val="00D206E0"/>
    <w:rsid w:val="00D223CA"/>
    <w:rsid w:val="00D228B8"/>
    <w:rsid w:val="00D25E0F"/>
    <w:rsid w:val="00D27637"/>
    <w:rsid w:val="00D30343"/>
    <w:rsid w:val="00D3635A"/>
    <w:rsid w:val="00D36920"/>
    <w:rsid w:val="00D36B09"/>
    <w:rsid w:val="00D434D3"/>
    <w:rsid w:val="00D4358F"/>
    <w:rsid w:val="00D443D7"/>
    <w:rsid w:val="00D507A6"/>
    <w:rsid w:val="00D5188B"/>
    <w:rsid w:val="00D520E7"/>
    <w:rsid w:val="00D53483"/>
    <w:rsid w:val="00D53C66"/>
    <w:rsid w:val="00D56DA0"/>
    <w:rsid w:val="00D625B9"/>
    <w:rsid w:val="00D62793"/>
    <w:rsid w:val="00D627BE"/>
    <w:rsid w:val="00D656AB"/>
    <w:rsid w:val="00D6578B"/>
    <w:rsid w:val="00D65905"/>
    <w:rsid w:val="00D67E6B"/>
    <w:rsid w:val="00D71B35"/>
    <w:rsid w:val="00D74B8D"/>
    <w:rsid w:val="00D74DFD"/>
    <w:rsid w:val="00D7563C"/>
    <w:rsid w:val="00D770C8"/>
    <w:rsid w:val="00D80302"/>
    <w:rsid w:val="00D81A2D"/>
    <w:rsid w:val="00D81CB0"/>
    <w:rsid w:val="00D82211"/>
    <w:rsid w:val="00D8365B"/>
    <w:rsid w:val="00D8559E"/>
    <w:rsid w:val="00D863DB"/>
    <w:rsid w:val="00D87671"/>
    <w:rsid w:val="00D90346"/>
    <w:rsid w:val="00D9123A"/>
    <w:rsid w:val="00D92132"/>
    <w:rsid w:val="00D92CE7"/>
    <w:rsid w:val="00D931B6"/>
    <w:rsid w:val="00D95849"/>
    <w:rsid w:val="00D9595A"/>
    <w:rsid w:val="00D967DA"/>
    <w:rsid w:val="00D96A05"/>
    <w:rsid w:val="00D96ACC"/>
    <w:rsid w:val="00D974FB"/>
    <w:rsid w:val="00DA031B"/>
    <w:rsid w:val="00DA48F8"/>
    <w:rsid w:val="00DA60A4"/>
    <w:rsid w:val="00DA664E"/>
    <w:rsid w:val="00DB0295"/>
    <w:rsid w:val="00DB1564"/>
    <w:rsid w:val="00DB207B"/>
    <w:rsid w:val="00DB3285"/>
    <w:rsid w:val="00DB5138"/>
    <w:rsid w:val="00DB6108"/>
    <w:rsid w:val="00DC008F"/>
    <w:rsid w:val="00DC36B1"/>
    <w:rsid w:val="00DD4464"/>
    <w:rsid w:val="00DD56B9"/>
    <w:rsid w:val="00DD6074"/>
    <w:rsid w:val="00DD693A"/>
    <w:rsid w:val="00DE125D"/>
    <w:rsid w:val="00DE5620"/>
    <w:rsid w:val="00DE5C6B"/>
    <w:rsid w:val="00DE6056"/>
    <w:rsid w:val="00DE6090"/>
    <w:rsid w:val="00DF0A6E"/>
    <w:rsid w:val="00DF1CBC"/>
    <w:rsid w:val="00DF3EFE"/>
    <w:rsid w:val="00DF6065"/>
    <w:rsid w:val="00E02685"/>
    <w:rsid w:val="00E03126"/>
    <w:rsid w:val="00E036D5"/>
    <w:rsid w:val="00E06281"/>
    <w:rsid w:val="00E0642F"/>
    <w:rsid w:val="00E10AC2"/>
    <w:rsid w:val="00E13650"/>
    <w:rsid w:val="00E17DC5"/>
    <w:rsid w:val="00E21634"/>
    <w:rsid w:val="00E25BA6"/>
    <w:rsid w:val="00E26385"/>
    <w:rsid w:val="00E27141"/>
    <w:rsid w:val="00E272E4"/>
    <w:rsid w:val="00E31382"/>
    <w:rsid w:val="00E31596"/>
    <w:rsid w:val="00E326C6"/>
    <w:rsid w:val="00E3337C"/>
    <w:rsid w:val="00E3510F"/>
    <w:rsid w:val="00E362BA"/>
    <w:rsid w:val="00E3663A"/>
    <w:rsid w:val="00E367AD"/>
    <w:rsid w:val="00E3733D"/>
    <w:rsid w:val="00E40792"/>
    <w:rsid w:val="00E41BFA"/>
    <w:rsid w:val="00E43DCB"/>
    <w:rsid w:val="00E44673"/>
    <w:rsid w:val="00E45226"/>
    <w:rsid w:val="00E45436"/>
    <w:rsid w:val="00E45B52"/>
    <w:rsid w:val="00E45C45"/>
    <w:rsid w:val="00E47EAF"/>
    <w:rsid w:val="00E55664"/>
    <w:rsid w:val="00E563D9"/>
    <w:rsid w:val="00E56F2D"/>
    <w:rsid w:val="00E5710E"/>
    <w:rsid w:val="00E63F4F"/>
    <w:rsid w:val="00E64340"/>
    <w:rsid w:val="00E64DA3"/>
    <w:rsid w:val="00E67163"/>
    <w:rsid w:val="00E679F9"/>
    <w:rsid w:val="00E710F2"/>
    <w:rsid w:val="00E72731"/>
    <w:rsid w:val="00E73A87"/>
    <w:rsid w:val="00E76C52"/>
    <w:rsid w:val="00E80B1C"/>
    <w:rsid w:val="00E82C70"/>
    <w:rsid w:val="00E85D48"/>
    <w:rsid w:val="00E870E4"/>
    <w:rsid w:val="00E8796B"/>
    <w:rsid w:val="00E90C07"/>
    <w:rsid w:val="00E93F27"/>
    <w:rsid w:val="00E94350"/>
    <w:rsid w:val="00E94ECA"/>
    <w:rsid w:val="00E97B77"/>
    <w:rsid w:val="00EA060C"/>
    <w:rsid w:val="00EA4041"/>
    <w:rsid w:val="00EA4C6B"/>
    <w:rsid w:val="00EA7109"/>
    <w:rsid w:val="00EB103A"/>
    <w:rsid w:val="00EB1B8D"/>
    <w:rsid w:val="00EB256E"/>
    <w:rsid w:val="00EB26B6"/>
    <w:rsid w:val="00EB44CD"/>
    <w:rsid w:val="00EB516D"/>
    <w:rsid w:val="00EB70EE"/>
    <w:rsid w:val="00EC0190"/>
    <w:rsid w:val="00EC2160"/>
    <w:rsid w:val="00EC3146"/>
    <w:rsid w:val="00EC4BB0"/>
    <w:rsid w:val="00EC4C64"/>
    <w:rsid w:val="00EC7202"/>
    <w:rsid w:val="00ED2843"/>
    <w:rsid w:val="00ED2DE6"/>
    <w:rsid w:val="00ED49C4"/>
    <w:rsid w:val="00ED4AAB"/>
    <w:rsid w:val="00EE0BE0"/>
    <w:rsid w:val="00EE285A"/>
    <w:rsid w:val="00EE3372"/>
    <w:rsid w:val="00EE5549"/>
    <w:rsid w:val="00EE5A45"/>
    <w:rsid w:val="00EE6F7A"/>
    <w:rsid w:val="00EF1F94"/>
    <w:rsid w:val="00EF273A"/>
    <w:rsid w:val="00EF46D9"/>
    <w:rsid w:val="00EF6148"/>
    <w:rsid w:val="00EF7E3E"/>
    <w:rsid w:val="00F03A6B"/>
    <w:rsid w:val="00F04F4D"/>
    <w:rsid w:val="00F0695E"/>
    <w:rsid w:val="00F071B9"/>
    <w:rsid w:val="00F07604"/>
    <w:rsid w:val="00F109DA"/>
    <w:rsid w:val="00F122F6"/>
    <w:rsid w:val="00F14625"/>
    <w:rsid w:val="00F15189"/>
    <w:rsid w:val="00F1598A"/>
    <w:rsid w:val="00F20F66"/>
    <w:rsid w:val="00F21E51"/>
    <w:rsid w:val="00F25056"/>
    <w:rsid w:val="00F26716"/>
    <w:rsid w:val="00F26C97"/>
    <w:rsid w:val="00F30FA6"/>
    <w:rsid w:val="00F3287A"/>
    <w:rsid w:val="00F34BCF"/>
    <w:rsid w:val="00F351DC"/>
    <w:rsid w:val="00F3576A"/>
    <w:rsid w:val="00F35EB0"/>
    <w:rsid w:val="00F373D8"/>
    <w:rsid w:val="00F41308"/>
    <w:rsid w:val="00F41387"/>
    <w:rsid w:val="00F425C7"/>
    <w:rsid w:val="00F4308C"/>
    <w:rsid w:val="00F430E7"/>
    <w:rsid w:val="00F43818"/>
    <w:rsid w:val="00F43B50"/>
    <w:rsid w:val="00F44AAE"/>
    <w:rsid w:val="00F4545C"/>
    <w:rsid w:val="00F478FC"/>
    <w:rsid w:val="00F53EE8"/>
    <w:rsid w:val="00F545A8"/>
    <w:rsid w:val="00F5475F"/>
    <w:rsid w:val="00F54857"/>
    <w:rsid w:val="00F5666F"/>
    <w:rsid w:val="00F56E41"/>
    <w:rsid w:val="00F571EC"/>
    <w:rsid w:val="00F57ABE"/>
    <w:rsid w:val="00F61AE4"/>
    <w:rsid w:val="00F622D7"/>
    <w:rsid w:val="00F64C3D"/>
    <w:rsid w:val="00F658A9"/>
    <w:rsid w:val="00F67028"/>
    <w:rsid w:val="00F715F1"/>
    <w:rsid w:val="00F71652"/>
    <w:rsid w:val="00F74407"/>
    <w:rsid w:val="00F764BE"/>
    <w:rsid w:val="00F77117"/>
    <w:rsid w:val="00F826D8"/>
    <w:rsid w:val="00F83AF5"/>
    <w:rsid w:val="00F84AF1"/>
    <w:rsid w:val="00F86E9A"/>
    <w:rsid w:val="00F879C4"/>
    <w:rsid w:val="00F87D53"/>
    <w:rsid w:val="00F9196B"/>
    <w:rsid w:val="00F942C6"/>
    <w:rsid w:val="00F94451"/>
    <w:rsid w:val="00F9448A"/>
    <w:rsid w:val="00F947D6"/>
    <w:rsid w:val="00F94CDC"/>
    <w:rsid w:val="00F9579E"/>
    <w:rsid w:val="00F961BE"/>
    <w:rsid w:val="00FA029F"/>
    <w:rsid w:val="00FA16AF"/>
    <w:rsid w:val="00FA4E6F"/>
    <w:rsid w:val="00FA5C1A"/>
    <w:rsid w:val="00FA6EFF"/>
    <w:rsid w:val="00FA79FF"/>
    <w:rsid w:val="00FB0F2E"/>
    <w:rsid w:val="00FB3E04"/>
    <w:rsid w:val="00FB4F23"/>
    <w:rsid w:val="00FB557C"/>
    <w:rsid w:val="00FB7092"/>
    <w:rsid w:val="00FC1860"/>
    <w:rsid w:val="00FC1B7F"/>
    <w:rsid w:val="00FC1F3B"/>
    <w:rsid w:val="00FC3A08"/>
    <w:rsid w:val="00FC4A8E"/>
    <w:rsid w:val="00FC5688"/>
    <w:rsid w:val="00FC659D"/>
    <w:rsid w:val="00FD13BC"/>
    <w:rsid w:val="00FD3169"/>
    <w:rsid w:val="00FD36CE"/>
    <w:rsid w:val="00FD4950"/>
    <w:rsid w:val="00FD4961"/>
    <w:rsid w:val="00FD7976"/>
    <w:rsid w:val="00FE0686"/>
    <w:rsid w:val="00FE70A6"/>
    <w:rsid w:val="00FE7FE0"/>
    <w:rsid w:val="00FE7FF1"/>
    <w:rsid w:val="00FF0FE9"/>
    <w:rsid w:val="00FF248A"/>
    <w:rsid w:val="00FF3F96"/>
    <w:rsid w:val="00FF55B2"/>
    <w:rsid w:val="00FF674A"/>
    <w:rsid w:val="00FF6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0C466F44"/>
  <w15:docId w15:val="{7F051FF9-66FB-47F5-BFE3-C3DD7E578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C36B93"/>
    <w:pPr>
      <w:spacing w:before="120" w:after="240" w:line="276" w:lineRule="auto"/>
    </w:pPr>
  </w:style>
  <w:style w:type="paragraph" w:styleId="Heading1">
    <w:name w:val="heading 1"/>
    <w:aliases w:val="Heading 1 (Title)"/>
    <w:basedOn w:val="Header"/>
    <w:next w:val="Normal"/>
    <w:link w:val="Heading1Char"/>
    <w:qFormat/>
    <w:rsid w:val="00535EF4"/>
    <w:pPr>
      <w:widowControl w:val="0"/>
      <w:spacing w:before="840" w:after="320" w:line="640" w:lineRule="atLeast"/>
      <w:ind w:right="2835"/>
      <w:outlineLvl w:val="0"/>
    </w:pPr>
    <w:rPr>
      <w:rFonts w:eastAsia="Times New Roman"/>
      <w:b/>
      <w:sz w:val="28"/>
      <w:szCs w:val="60"/>
      <w:lang w:eastAsia="en-US"/>
    </w:rPr>
  </w:style>
  <w:style w:type="paragraph" w:styleId="Heading2">
    <w:name w:val="heading 2"/>
    <w:aliases w:val="Section Heading"/>
    <w:next w:val="BodyCopy"/>
    <w:link w:val="Heading2Char"/>
    <w:uiPriority w:val="9"/>
    <w:unhideWhenUsed/>
    <w:qFormat/>
    <w:rsid w:val="0078367D"/>
    <w:pPr>
      <w:widowControl w:val="0"/>
      <w:shd w:val="clear" w:color="auto" w:fill="3D2262" w:themeFill="accent1"/>
      <w:spacing w:before="100" w:beforeAutospacing="1" w:line="460" w:lineRule="exact"/>
      <w:outlineLvl w:val="1"/>
    </w:pPr>
    <w:rPr>
      <w:rFonts w:eastAsia="Times New Roman"/>
      <w:b/>
      <w:color w:val="FFFFFF" w:themeColor="background1"/>
      <w:szCs w:val="80"/>
      <w:lang w:eastAsia="en-US"/>
    </w:rPr>
  </w:style>
  <w:style w:type="paragraph" w:styleId="Heading3">
    <w:name w:val="heading 3"/>
    <w:basedOn w:val="Heading2"/>
    <w:next w:val="BodyCopy"/>
    <w:link w:val="Heading3Char"/>
    <w:autoRedefine/>
    <w:uiPriority w:val="9"/>
    <w:unhideWhenUsed/>
    <w:qFormat/>
    <w:rsid w:val="005D0BE7"/>
    <w:pPr>
      <w:shd w:val="clear" w:color="auto" w:fill="auto"/>
      <w:spacing w:after="160" w:line="360" w:lineRule="exact"/>
      <w:outlineLvl w:val="2"/>
    </w:pPr>
    <w:rPr>
      <w:iCs/>
      <w:color w:val="3D2262" w:themeColor="accent1"/>
      <w:szCs w:val="32"/>
    </w:rPr>
  </w:style>
  <w:style w:type="paragraph" w:styleId="Heading4">
    <w:name w:val="heading 4"/>
    <w:basedOn w:val="Heading3"/>
    <w:next w:val="BodyCopy"/>
    <w:link w:val="Heading4Char"/>
    <w:unhideWhenUsed/>
    <w:qFormat/>
    <w:locked/>
    <w:rsid w:val="0078367D"/>
    <w:pPr>
      <w:spacing w:line="300" w:lineRule="exact"/>
      <w:outlineLvl w:val="3"/>
    </w:pPr>
    <w:rPr>
      <w:bCs/>
      <w:iCs w:val="0"/>
    </w:rPr>
  </w:style>
  <w:style w:type="paragraph" w:styleId="Heading5">
    <w:name w:val="heading 5"/>
    <w:basedOn w:val="Heading2"/>
    <w:next w:val="BodyCopy"/>
    <w:link w:val="Heading5Char"/>
    <w:unhideWhenUsed/>
    <w:qFormat/>
    <w:locked/>
    <w:rsid w:val="009A5010"/>
    <w:pPr>
      <w:spacing w:before="120" w:beforeAutospacing="0" w:after="240"/>
      <w:outlineLvl w:val="4"/>
    </w:p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BodyText"/>
    <w:next w:val="BodyCopy"/>
    <w:link w:val="Heading7Char"/>
    <w:unhideWhenUsed/>
    <w:locked/>
    <w:rsid w:val="00920D2D"/>
    <w:pPr>
      <w:keepNext/>
      <w:keepLines/>
      <w:spacing w:before="40" w:after="0"/>
      <w:outlineLvl w:val="6"/>
    </w:pPr>
    <w:rPr>
      <w:rFonts w:asciiTheme="majorHAnsi" w:eastAsiaTheme="majorEastAsia" w:hAnsiTheme="majorHAnsi" w:cstheme="majorBidi"/>
      <w:b/>
      <w:iCs/>
      <w:color w:val="1E1130" w:themeColor="accent1" w:themeShade="7F"/>
    </w:rPr>
  </w:style>
  <w:style w:type="paragraph" w:styleId="Heading8">
    <w:name w:val="heading 8"/>
    <w:basedOn w:val="Normal"/>
    <w:next w:val="Normal"/>
    <w:link w:val="Heading8Char"/>
    <w:semiHidden/>
    <w:unhideWhenUsed/>
    <w:qFormat/>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aliases w:val="Heading 1 (Title) Char"/>
    <w:basedOn w:val="DefaultParagraphFont"/>
    <w:link w:val="Heading1"/>
    <w:rsid w:val="00535EF4"/>
    <w:rPr>
      <w:rFonts w:eastAsia="Times New Roman"/>
      <w:b/>
      <w:sz w:val="28"/>
      <w:szCs w:val="60"/>
      <w:lang w:eastAsia="en-US"/>
    </w:rPr>
  </w:style>
  <w:style w:type="character" w:customStyle="1" w:styleId="Heading2Char">
    <w:name w:val="Heading 2 Char"/>
    <w:aliases w:val="Section Heading Char"/>
    <w:basedOn w:val="DefaultParagraphFont"/>
    <w:link w:val="Heading2"/>
    <w:uiPriority w:val="9"/>
    <w:rsid w:val="0078367D"/>
    <w:rPr>
      <w:rFonts w:eastAsia="Times New Roman"/>
      <w:b/>
      <w:color w:val="FFFFFF" w:themeColor="background1"/>
      <w:szCs w:val="80"/>
      <w:shd w:val="clear" w:color="auto" w:fill="3D2262" w:themeFill="accent1"/>
      <w:lang w:eastAsia="en-US"/>
    </w:rPr>
  </w:style>
  <w:style w:type="character" w:customStyle="1" w:styleId="Heading3Char">
    <w:name w:val="Heading 3 Char"/>
    <w:basedOn w:val="DefaultParagraphFont"/>
    <w:link w:val="Heading3"/>
    <w:uiPriority w:val="9"/>
    <w:rsid w:val="005D0BE7"/>
    <w:rPr>
      <w:rFonts w:eastAsia="Times New Roman"/>
      <w:b/>
      <w:iCs/>
      <w:color w:val="3D2262" w:themeColor="accent1"/>
      <w:szCs w:val="32"/>
      <w:lang w:eastAsia="en-US"/>
    </w:rPr>
  </w:style>
  <w:style w:type="paragraph" w:customStyle="1" w:styleId="Bullet">
    <w:name w:val="Bullet"/>
    <w:basedOn w:val="BodyCopy"/>
    <w:uiPriority w:val="1"/>
    <w:qFormat/>
    <w:rsid w:val="0095646B"/>
    <w:pPr>
      <w:numPr>
        <w:numId w:val="47"/>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E3663A"/>
    <w:pPr>
      <w:spacing w:before="0" w:after="0" w:line="280" w:lineRule="exact"/>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qFormat/>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3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78367D"/>
    <w:rPr>
      <w:rFonts w:eastAsia="Times New Roman"/>
      <w:b/>
      <w:color w:val="3D2262" w:themeColor="accent1"/>
      <w:szCs w:val="32"/>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91462B"/>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9A5010"/>
    <w:rPr>
      <w:rFonts w:eastAsia="Times New Roman"/>
      <w:b/>
      <w:color w:val="FFFFFF" w:themeColor="background1"/>
      <w:szCs w:val="80"/>
      <w:shd w:val="clear" w:color="auto" w:fill="3D2262" w:themeFill="accent1"/>
      <w:lang w:eastAsia="en-US"/>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6"/>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5"/>
      </w:numPr>
    </w:pPr>
  </w:style>
  <w:style w:type="character" w:styleId="CommentReference">
    <w:name w:val="annotation reference"/>
    <w:basedOn w:val="DefaultParagraphFont"/>
    <w:uiPriority w:val="99"/>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qFormat/>
    <w:rsid w:val="009C72D3"/>
    <w:pPr>
      <w:numPr>
        <w:numId w:val="7"/>
      </w:numPr>
      <w:ind w:left="1134" w:hanging="1134"/>
    </w:pPr>
  </w:style>
  <w:style w:type="character" w:customStyle="1" w:styleId="Heading7Char">
    <w:name w:val="Heading 7 Char"/>
    <w:basedOn w:val="DefaultParagraphFont"/>
    <w:link w:val="Heading7"/>
    <w:rsid w:val="00920D2D"/>
    <w:rPr>
      <w:rFonts w:asciiTheme="majorHAnsi" w:eastAsiaTheme="majorEastAsia" w:hAnsiTheme="majorHAnsi" w:cstheme="majorBidi"/>
      <w:b/>
      <w:iCs/>
      <w:color w:val="1E1130" w:themeColor="accent1" w:themeShade="7F"/>
    </w:rPr>
  </w:style>
  <w:style w:type="character" w:customStyle="1" w:styleId="Heading8Char">
    <w:name w:val="Heading 8 Char"/>
    <w:basedOn w:val="DefaultParagraphFont"/>
    <w:link w:val="Heading8"/>
    <w:semiHidden/>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3"/>
      </w:numPr>
    </w:pPr>
    <w:rPr>
      <w:color w:val="000000"/>
    </w:rPr>
  </w:style>
  <w:style w:type="paragraph" w:customStyle="1" w:styleId="Romanlist">
    <w:name w:val="Roman list"/>
    <w:basedOn w:val="AlphaList"/>
    <w:uiPriority w:val="3"/>
    <w:qFormat/>
    <w:rsid w:val="00BA6DD4"/>
    <w:pPr>
      <w:numPr>
        <w:numId w:val="4"/>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uiPriority w:val="99"/>
    <w:semiHidden/>
    <w:unhideWhenUsed/>
    <w:rsid w:val="008F3194"/>
    <w:pPr>
      <w:spacing w:after="120"/>
    </w:pPr>
  </w:style>
  <w:style w:type="character" w:customStyle="1" w:styleId="BodyTextChar">
    <w:name w:val="Body Text Char"/>
    <w:basedOn w:val="DefaultParagraphFont"/>
    <w:link w:val="BodyText"/>
    <w:uiPriority w:val="99"/>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iPriority w:val="99"/>
    <w:unhideWhenUsed/>
    <w:rsid w:val="00CA4FDE"/>
    <w:pPr>
      <w:spacing w:line="240" w:lineRule="auto"/>
    </w:pPr>
    <w:rPr>
      <w:sz w:val="20"/>
      <w:szCs w:val="20"/>
    </w:rPr>
  </w:style>
  <w:style w:type="character" w:customStyle="1" w:styleId="CommentTextChar">
    <w:name w:val="Comment Text Char"/>
    <w:basedOn w:val="DefaultParagraphFont"/>
    <w:link w:val="CommentText"/>
    <w:uiPriority w:val="99"/>
    <w:rsid w:val="00CA4FDE"/>
    <w:rPr>
      <w:sz w:val="20"/>
      <w:szCs w:val="20"/>
    </w:rPr>
  </w:style>
  <w:style w:type="paragraph" w:styleId="TOC2">
    <w:name w:val="toc 2"/>
    <w:basedOn w:val="Normal"/>
    <w:next w:val="Normal"/>
    <w:autoRedefine/>
    <w:uiPriority w:val="39"/>
    <w:unhideWhenUsed/>
    <w:rsid w:val="00BA3E7C"/>
    <w:pPr>
      <w:spacing w:after="100"/>
      <w:ind w:left="240"/>
    </w:pPr>
  </w:style>
  <w:style w:type="paragraph" w:styleId="TOC3">
    <w:name w:val="toc 3"/>
    <w:aliases w:val="TOC 3 - Tables and Figures"/>
    <w:basedOn w:val="Normal"/>
    <w:next w:val="Normal"/>
    <w:autoRedefine/>
    <w:uiPriority w:val="39"/>
    <w:unhideWhenUsed/>
    <w:rsid w:val="00B94117"/>
    <w:pPr>
      <w:tabs>
        <w:tab w:val="left" w:pos="1134"/>
        <w:tab w:val="right" w:leader="dot" w:pos="10206"/>
      </w:tabs>
      <w:spacing w:after="100"/>
      <w:ind w:left="1134" w:hanging="1134"/>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ListBullet">
    <w:name w:val="List Bullet"/>
    <w:basedOn w:val="Normal"/>
    <w:uiPriority w:val="99"/>
    <w:qFormat/>
    <w:rsid w:val="00A55107"/>
    <w:pPr>
      <w:numPr>
        <w:numId w:val="8"/>
      </w:numPr>
      <w:spacing w:before="0" w:after="0" w:line="240" w:lineRule="auto"/>
    </w:pPr>
    <w:rPr>
      <w:rFonts w:ascii="Calibri" w:eastAsia="Times New Roman" w:hAnsi="Calibri" w:cs="Times New Roman"/>
      <w:color w:val="auto"/>
      <w:szCs w:val="20"/>
      <w:lang w:eastAsia="en-US"/>
    </w:rPr>
  </w:style>
  <w:style w:type="paragraph" w:styleId="ListParagraph">
    <w:name w:val="List Paragraph"/>
    <w:basedOn w:val="Normal"/>
    <w:uiPriority w:val="34"/>
    <w:qFormat/>
    <w:locked/>
    <w:rsid w:val="00A55107"/>
    <w:pPr>
      <w:spacing w:before="0" w:after="0" w:line="240" w:lineRule="auto"/>
      <w:ind w:left="720"/>
      <w:contextualSpacing/>
    </w:pPr>
    <w:rPr>
      <w:rFonts w:ascii="Calibri" w:eastAsia="Times New Roman" w:hAnsi="Calibri" w:cs="Times New Roman"/>
      <w:color w:val="auto"/>
      <w:szCs w:val="20"/>
      <w:lang w:eastAsia="en-US"/>
    </w:rPr>
  </w:style>
  <w:style w:type="character" w:customStyle="1" w:styleId="normaltextrun">
    <w:name w:val="normaltextrun"/>
    <w:basedOn w:val="DefaultParagraphFont"/>
    <w:rsid w:val="00A55107"/>
  </w:style>
  <w:style w:type="character" w:customStyle="1" w:styleId="eop">
    <w:name w:val="eop"/>
    <w:basedOn w:val="DefaultParagraphFont"/>
    <w:rsid w:val="00A55107"/>
  </w:style>
  <w:style w:type="paragraph" w:customStyle="1" w:styleId="paragraph">
    <w:name w:val="paragraph"/>
    <w:basedOn w:val="Normal"/>
    <w:rsid w:val="00BB22E7"/>
    <w:pPr>
      <w:spacing w:before="100" w:beforeAutospacing="1" w:after="100" w:afterAutospacing="1" w:line="240" w:lineRule="auto"/>
    </w:pPr>
    <w:rPr>
      <w:rFonts w:ascii="Times New Roman" w:eastAsia="Times New Roman" w:hAnsi="Times New Roman" w:cs="Times New Roman"/>
      <w:color w:val="auto"/>
    </w:rPr>
  </w:style>
  <w:style w:type="paragraph" w:styleId="NormalWeb">
    <w:name w:val="Normal (Web)"/>
    <w:basedOn w:val="Normal"/>
    <w:uiPriority w:val="99"/>
    <w:semiHidden/>
    <w:unhideWhenUsed/>
    <w:rsid w:val="00BC7329"/>
    <w:pPr>
      <w:spacing w:before="100" w:beforeAutospacing="1" w:after="100" w:afterAutospacing="1" w:line="240" w:lineRule="auto"/>
    </w:pPr>
    <w:rPr>
      <w:rFonts w:ascii="Times New Roman" w:eastAsia="Times New Roman" w:hAnsi="Times New Roman" w:cs="Times New Roman"/>
      <w:color w:val="auto"/>
    </w:rPr>
  </w:style>
  <w:style w:type="character" w:styleId="HTMLCite">
    <w:name w:val="HTML Cite"/>
    <w:basedOn w:val="DefaultParagraphFont"/>
    <w:uiPriority w:val="99"/>
    <w:unhideWhenUsed/>
    <w:rsid w:val="0005028A"/>
    <w:rPr>
      <w:i w:val="0"/>
      <w:iCs w:val="0"/>
      <w:color w:val="006621"/>
    </w:rPr>
  </w:style>
  <w:style w:type="character" w:customStyle="1" w:styleId="st1">
    <w:name w:val="st1"/>
    <w:basedOn w:val="DefaultParagraphFont"/>
    <w:rsid w:val="0005028A"/>
  </w:style>
  <w:style w:type="paragraph" w:customStyle="1" w:styleId="Default">
    <w:name w:val="Default"/>
    <w:rsid w:val="00B60CC0"/>
    <w:pPr>
      <w:autoSpaceDE w:val="0"/>
      <w:autoSpaceDN w:val="0"/>
      <w:adjustRightInd w:val="0"/>
    </w:pPr>
    <w:rPr>
      <w:rFonts w:ascii="Times New Roman" w:eastAsia="Times New Roman" w:hAnsi="Times New Roman" w:cs="Times New Roman"/>
      <w:color w:val="000000"/>
    </w:rPr>
  </w:style>
  <w:style w:type="paragraph" w:customStyle="1" w:styleId="ProcedureTemplate">
    <w:name w:val="Procedure Template"/>
    <w:basedOn w:val="Heading1"/>
    <w:rsid w:val="00B60CC0"/>
    <w:pPr>
      <w:keepNext/>
      <w:framePr w:hSpace="180" w:wrap="around" w:vAnchor="text" w:hAnchor="margin" w:x="108" w:y="181"/>
      <w:widowControl/>
      <w:spacing w:before="60" w:after="60" w:line="240" w:lineRule="auto"/>
      <w:ind w:right="0"/>
    </w:pPr>
    <w:rPr>
      <w:rFonts w:ascii="Calibri" w:hAnsi="Calibri"/>
      <w:bCs/>
      <w:iCs/>
      <w:color w:val="auto"/>
      <w:szCs w:val="20"/>
    </w:rPr>
  </w:style>
  <w:style w:type="paragraph" w:customStyle="1" w:styleId="ProcedureTemplateinternalheadings">
    <w:name w:val="Procedure Template internal headings"/>
    <w:basedOn w:val="Heading2"/>
    <w:rsid w:val="00B60CC0"/>
    <w:pPr>
      <w:keepNext/>
      <w:keepLines/>
      <w:framePr w:hSpace="180" w:wrap="around" w:vAnchor="text" w:hAnchor="margin" w:x="108" w:y="181"/>
      <w:widowControl/>
      <w:shd w:val="clear" w:color="auto" w:fill="auto"/>
      <w:spacing w:before="40" w:beforeAutospacing="0" w:after="40" w:line="240" w:lineRule="auto"/>
    </w:pPr>
    <w:rPr>
      <w:rFonts w:ascii="Calibri" w:eastAsiaTheme="majorEastAsia" w:hAnsi="Calibri"/>
      <w:bCs/>
      <w:color w:val="auto"/>
      <w:szCs w:val="24"/>
    </w:rPr>
  </w:style>
  <w:style w:type="paragraph" w:styleId="BodyTextIndent">
    <w:name w:val="Body Text Indent"/>
    <w:basedOn w:val="Normal"/>
    <w:link w:val="BodyTextIndentChar"/>
    <w:rsid w:val="00B60CC0"/>
    <w:pPr>
      <w:tabs>
        <w:tab w:val="left" w:pos="360"/>
        <w:tab w:val="left" w:pos="1418"/>
        <w:tab w:val="left" w:pos="2268"/>
      </w:tabs>
      <w:spacing w:before="0" w:after="0" w:line="240" w:lineRule="auto"/>
      <w:ind w:left="360" w:hanging="360"/>
    </w:pPr>
    <w:rPr>
      <w:rFonts w:ascii="Times New Roman" w:eastAsia="Times New Roman" w:hAnsi="Times New Roman" w:cs="Times New Roman"/>
      <w:color w:val="auto"/>
      <w:szCs w:val="20"/>
      <w:lang w:eastAsia="en-US"/>
    </w:rPr>
  </w:style>
  <w:style w:type="character" w:customStyle="1" w:styleId="BodyTextIndentChar">
    <w:name w:val="Body Text Indent Char"/>
    <w:basedOn w:val="DefaultParagraphFont"/>
    <w:link w:val="BodyTextIndent"/>
    <w:rsid w:val="00B60CC0"/>
    <w:rPr>
      <w:rFonts w:ascii="Times New Roman" w:eastAsia="Times New Roman" w:hAnsi="Times New Roman" w:cs="Times New Roman"/>
      <w:color w:val="auto"/>
      <w:szCs w:val="20"/>
      <w:lang w:eastAsia="en-US"/>
    </w:rPr>
  </w:style>
  <w:style w:type="paragraph" w:styleId="BodyTextIndent2">
    <w:name w:val="Body Text Indent 2"/>
    <w:basedOn w:val="Normal"/>
    <w:link w:val="BodyTextIndent2Char"/>
    <w:uiPriority w:val="99"/>
    <w:semiHidden/>
    <w:unhideWhenUsed/>
    <w:rsid w:val="00B60CC0"/>
    <w:pPr>
      <w:spacing w:before="0" w:after="120" w:line="480" w:lineRule="auto"/>
      <w:ind w:left="283"/>
    </w:pPr>
    <w:rPr>
      <w:rFonts w:ascii="Calibri" w:eastAsia="Times New Roman" w:hAnsi="Calibri" w:cs="Times New Roman"/>
      <w:color w:val="auto"/>
      <w:szCs w:val="20"/>
      <w:lang w:eastAsia="en-US"/>
    </w:rPr>
  </w:style>
  <w:style w:type="character" w:customStyle="1" w:styleId="BodyTextIndent2Char">
    <w:name w:val="Body Text Indent 2 Char"/>
    <w:basedOn w:val="DefaultParagraphFont"/>
    <w:link w:val="BodyTextIndent2"/>
    <w:uiPriority w:val="99"/>
    <w:semiHidden/>
    <w:rsid w:val="00B60CC0"/>
    <w:rPr>
      <w:rFonts w:ascii="Calibri" w:eastAsia="Times New Roman" w:hAnsi="Calibri" w:cs="Times New Roman"/>
      <w:color w:val="auto"/>
      <w:szCs w:val="20"/>
      <w:lang w:eastAsia="en-US"/>
    </w:rPr>
  </w:style>
  <w:style w:type="character" w:customStyle="1" w:styleId="medium-font">
    <w:name w:val="medium-font"/>
    <w:basedOn w:val="DefaultParagraphFont"/>
    <w:rsid w:val="00B60CC0"/>
  </w:style>
  <w:style w:type="paragraph" w:styleId="Title">
    <w:name w:val="Title"/>
    <w:basedOn w:val="Normal"/>
    <w:next w:val="Normal"/>
    <w:link w:val="TitleChar"/>
    <w:uiPriority w:val="10"/>
    <w:qFormat/>
    <w:rsid w:val="00B60CC0"/>
    <w:pPr>
      <w:pBdr>
        <w:bottom w:val="single" w:sz="8" w:space="4" w:color="3D2262" w:themeColor="accent1"/>
      </w:pBdr>
      <w:spacing w:before="0" w:after="300" w:line="240" w:lineRule="auto"/>
      <w:contextualSpacing/>
      <w:jc w:val="both"/>
    </w:pPr>
    <w:rPr>
      <w:rFonts w:asciiTheme="majorHAnsi" w:eastAsiaTheme="majorEastAsia" w:hAnsiTheme="majorHAnsi" w:cstheme="majorBidi"/>
      <w:color w:val="414141" w:themeColor="text2" w:themeShade="BF"/>
      <w:spacing w:val="5"/>
      <w:kern w:val="28"/>
      <w:sz w:val="52"/>
      <w:szCs w:val="52"/>
      <w:lang w:val="en-US" w:eastAsia="en-US" w:bidi="en-US"/>
    </w:rPr>
  </w:style>
  <w:style w:type="character" w:customStyle="1" w:styleId="TitleChar">
    <w:name w:val="Title Char"/>
    <w:basedOn w:val="DefaultParagraphFont"/>
    <w:link w:val="Title"/>
    <w:uiPriority w:val="10"/>
    <w:rsid w:val="00B60CC0"/>
    <w:rPr>
      <w:rFonts w:asciiTheme="majorHAnsi" w:eastAsiaTheme="majorEastAsia" w:hAnsiTheme="majorHAnsi" w:cstheme="majorBidi"/>
      <w:color w:val="414141" w:themeColor="text2" w:themeShade="BF"/>
      <w:spacing w:val="5"/>
      <w:kern w:val="28"/>
      <w:sz w:val="52"/>
      <w:szCs w:val="52"/>
      <w:lang w:val="en-US" w:eastAsia="en-US" w:bidi="en-US"/>
    </w:rPr>
  </w:style>
  <w:style w:type="paragraph" w:customStyle="1" w:styleId="pf0">
    <w:name w:val="pf0"/>
    <w:basedOn w:val="Normal"/>
    <w:rsid w:val="00B60CC0"/>
    <w:pPr>
      <w:spacing w:before="100" w:beforeAutospacing="1" w:after="100" w:afterAutospacing="1" w:line="240" w:lineRule="auto"/>
    </w:pPr>
    <w:rPr>
      <w:rFonts w:ascii="Times New Roman" w:eastAsia="Times New Roman" w:hAnsi="Times New Roman" w:cs="Times New Roman"/>
      <w:color w:val="auto"/>
    </w:rPr>
  </w:style>
  <w:style w:type="character" w:customStyle="1" w:styleId="cf01">
    <w:name w:val="cf01"/>
    <w:basedOn w:val="DefaultParagraphFont"/>
    <w:rsid w:val="00B60CC0"/>
    <w:rPr>
      <w:rFonts w:ascii="Segoe UI" w:hAnsi="Segoe UI" w:cs="Segoe UI" w:hint="default"/>
      <w:sz w:val="18"/>
      <w:szCs w:val="18"/>
    </w:rPr>
  </w:style>
  <w:style w:type="character" w:styleId="Mention">
    <w:name w:val="Mention"/>
    <w:basedOn w:val="DefaultParagraphFont"/>
    <w:uiPriority w:val="99"/>
    <w:unhideWhenUsed/>
    <w:rsid w:val="00B60CC0"/>
    <w:rPr>
      <w:color w:val="2B579A"/>
      <w:shd w:val="clear" w:color="auto" w:fill="E1DFDD"/>
    </w:rPr>
  </w:style>
  <w:style w:type="table" w:customStyle="1" w:styleId="TableGrid1">
    <w:name w:val="Table Grid1"/>
    <w:basedOn w:val="TableNormal"/>
    <w:next w:val="TableGrid"/>
    <w:uiPriority w:val="39"/>
    <w:rsid w:val="00B60CC0"/>
    <w:rPr>
      <w:rFonts w:asciiTheme="minorHAnsi" w:eastAsiaTheme="minorHAnsi" w:hAnsiTheme="minorHAnsi" w:cstheme="minorBidi"/>
      <w:color w:val="auto"/>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B60CC0"/>
  </w:style>
  <w:style w:type="numbering" w:customStyle="1" w:styleId="NoList1">
    <w:name w:val="No List1"/>
    <w:next w:val="NoList"/>
    <w:uiPriority w:val="99"/>
    <w:semiHidden/>
    <w:unhideWhenUsed/>
    <w:rsid w:val="00535EF4"/>
  </w:style>
  <w:style w:type="table" w:customStyle="1" w:styleId="TableGrid2">
    <w:name w:val="Table Grid2"/>
    <w:basedOn w:val="TableNormal"/>
    <w:next w:val="TableGrid"/>
    <w:uiPriority w:val="39"/>
    <w:rsid w:val="00535EF4"/>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7960">
      <w:bodyDiv w:val="1"/>
      <w:marLeft w:val="0"/>
      <w:marRight w:val="0"/>
      <w:marTop w:val="0"/>
      <w:marBottom w:val="0"/>
      <w:divBdr>
        <w:top w:val="none" w:sz="0" w:space="0" w:color="auto"/>
        <w:left w:val="none" w:sz="0" w:space="0" w:color="auto"/>
        <w:bottom w:val="none" w:sz="0" w:space="0" w:color="auto"/>
        <w:right w:val="none" w:sz="0" w:space="0" w:color="auto"/>
      </w:divBdr>
    </w:div>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716903378">
      <w:bodyDiv w:val="1"/>
      <w:marLeft w:val="0"/>
      <w:marRight w:val="0"/>
      <w:marTop w:val="0"/>
      <w:marBottom w:val="0"/>
      <w:divBdr>
        <w:top w:val="none" w:sz="0" w:space="0" w:color="auto"/>
        <w:left w:val="none" w:sz="0" w:space="0" w:color="auto"/>
        <w:bottom w:val="none" w:sz="0" w:space="0" w:color="auto"/>
        <w:right w:val="none" w:sz="0" w:space="0" w:color="auto"/>
      </w:divBdr>
    </w:div>
    <w:div w:id="1455832905">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955477819">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Zoia%20Rusanov\AppData\Local\Microsoft\Windows\INetCache\Content.Outlook\P5IJ6J66\Neonatal%20Nutrition%20Guide%20-%20Amendments%20Reviewed%20by%20Tejas%20C%20and%20Joelle%20M.docx"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hyperlink" Target="http://journals.lww.com/jpgn/toc/2013/09000" TargetMode="External"/><Relationship Id="rId34" Type="http://schemas.openxmlformats.org/officeDocument/2006/relationships/image" Target="media/image11.png"/><Relationship Id="rId42"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Zoia%20Rusanov\AppData\Local\Microsoft\Windows\INetCache\Content.Outlook\P5IJ6J66\Neonatal%20Nutrition%20Guide%20-%20Amendments%20Reviewed%20by%20Tejas%20C%20and%20Joelle%20M.doc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Zoia%20Rusanov\AppData\Local\Microsoft\Windows\INetCache\Content.Outlook\P5IJ6J66\Neonatal%20Nutrition%20Guide%20-%20Amendments%20Reviewed%20by%20Tejas%20C%20and%20Joelle%20M.docx" TargetMode="External"/><Relationship Id="rId24" Type="http://schemas.openxmlformats.org/officeDocument/2006/relationships/hyperlink" Target="https://www.hnekidshealth.nsw.gov.au/__data/assets/pdf_file/0018/423108/Enteral_Feeding_September_2018.pdf.%20Accessed%2029-5-24" TargetMode="External"/><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Zoia%20Rusanov\AppData\Local\Microsoft\Windows\INetCache\Content.Outlook\P5IJ6J66\Neonatal%20Nutrition%20Guide%20-%20Amendments%20Reviewed%20by%20Tejas%20C%20and%20Joelle%20M.docx" TargetMode="External"/><Relationship Id="rId23" Type="http://schemas.openxmlformats.org/officeDocument/2006/relationships/hyperlink" Target="https://www.seslhd.health.nsw.gov.au/royal-hospital-for-women/services-clinics/directory/newborn-care-centre-nicu/neonatal-medical-guidelines" TargetMode="External"/><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1.health.nsw.gov.au/pds/ActivePDSDocuments/PD2018_043.pdf" TargetMode="External"/><Relationship Id="rId31" Type="http://schemas.openxmlformats.org/officeDocument/2006/relationships/image" Target="media/image8.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Zoia%20Rusanov\AppData\Local\Microsoft\Windows\INetCache\Content.Outlook\P5IJ6J66\Neonatal%20Nutrition%20Guide%20-%20Amendments%20Reviewed%20by%20Tejas%20C%20and%20Joelle%20M.docx" TargetMode="External"/><Relationship Id="rId22" Type="http://schemas.openxmlformats.org/officeDocument/2006/relationships/hyperlink" Target="https://doi.org/10.1002/14651858.cd005249.pub3" TargetMode="External"/><Relationship Id="rId27" Type="http://schemas.openxmlformats.org/officeDocument/2006/relationships/image" Target="media/image5.png"/><Relationship Id="rId30" Type="http://schemas.openxmlformats.org/officeDocument/2006/relationships/hyperlink" Target="https://www.canberrahealthservices.act.gov.au/accessibility"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C:\Users\Zoia%20Rusanov\AppData\Local\Microsoft\Windows\INetCache\Content.Outlook\P5IJ6J66\Neonatal%20Nutrition%20Guide%20-%20Amendments%20Reviewed%20by%20Tejas%20C%20and%20Joelle%20M.docx" TargetMode="External"/><Relationship Id="rId17" Type="http://schemas.openxmlformats.org/officeDocument/2006/relationships/image" Target="media/image1.png"/><Relationship Id="rId25" Type="http://schemas.openxmlformats.org/officeDocument/2006/relationships/hyperlink" Target="https://www1.health.nsw.gov.au/pds/ActivePDSDocuments/PD2018_043.pdf" TargetMode="External"/><Relationship Id="rId33" Type="http://schemas.openxmlformats.org/officeDocument/2006/relationships/image" Target="media/image10.png"/><Relationship Id="rId38" Type="http://schemas.openxmlformats.org/officeDocument/2006/relationships/image" Target="media/image13.png"/><Relationship Id="rId20" Type="http://schemas.openxmlformats.org/officeDocument/2006/relationships/image" Target="media/image3.png"/><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le%20martinoski\AppData\Local\Temp\977bfb00-fe4a-4cca-bfde-e964b6c7d8d8_Policy%20Templates%202024.zip.8d8\CHS%20Guideline%20Template.dotx" TargetMode="External"/></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2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19.png"/><Relationship Id="rId10" Type="http://schemas.openxmlformats.org/officeDocument/2006/relationships/fontTable" Target="fontTable.xml"/><Relationship Id="rId4" Type="http://schemas.openxmlformats.org/officeDocument/2006/relationships/image" Target="../media/image18.png"/><Relationship Id="rId9" Type="http://schemas.openxmlformats.org/officeDocument/2006/relationships/image" Target="../media/image22.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9A991ABAFDA44398F4F07165028AF57"/>
        <w:category>
          <w:name w:val="General"/>
          <w:gallery w:val="placeholder"/>
        </w:category>
        <w:types>
          <w:type w:val="bbPlcHdr"/>
        </w:types>
        <w:behaviors>
          <w:behavior w:val="content"/>
        </w:behaviors>
        <w:guid w:val="{0168E048-A141-406E-9A4D-0D1DAE4EEC85}"/>
      </w:docPartPr>
      <w:docPartBody>
        <w:p w:rsidR="0065318D" w:rsidRDefault="0065318D" w:rsidP="0065318D">
          <w:pPr>
            <w:pStyle w:val="09A991ABAFDA44398F4F07165028AF57"/>
          </w:pPr>
          <w:r>
            <w:rPr>
              <w:noProof/>
              <w:sz w:val="20"/>
              <w:szCs w:val="20"/>
            </w:rPr>
            <w:drawing>
              <wp:inline distT="0" distB="0" distL="0" distR="0" wp14:anchorId="1BF8703C" wp14:editId="1BF8703D">
                <wp:extent cx="282575" cy="285750"/>
                <wp:effectExtent l="0" t="0" r="3175" b="0"/>
                <wp:docPr id="28832862"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36D2CFD2B3754693BFB059B7DE7B54E1"/>
        <w:category>
          <w:name w:val="General"/>
          <w:gallery w:val="placeholder"/>
        </w:category>
        <w:types>
          <w:type w:val="bbPlcHdr"/>
        </w:types>
        <w:behaviors>
          <w:behavior w:val="content"/>
        </w:behaviors>
        <w:guid w:val="{EAC4803F-478A-49B8-88C0-D99A487AE711}"/>
      </w:docPartPr>
      <w:docPartBody>
        <w:p w:rsidR="0065318D" w:rsidRDefault="0065318D" w:rsidP="0065318D">
          <w:pPr>
            <w:pStyle w:val="36D2CFD2B3754693BFB059B7DE7B54E1"/>
          </w:pPr>
          <w:r w:rsidRPr="00EE29F8">
            <w:rPr>
              <w:rStyle w:val="PlaceholderText"/>
            </w:rPr>
            <w:t>Choose an item.</w:t>
          </w:r>
        </w:p>
      </w:docPartBody>
    </w:docPart>
    <w:docPart>
      <w:docPartPr>
        <w:name w:val="222FB727FA994103BD923FA3B054D92B"/>
        <w:category>
          <w:name w:val="General"/>
          <w:gallery w:val="placeholder"/>
        </w:category>
        <w:types>
          <w:type w:val="bbPlcHdr"/>
        </w:types>
        <w:behaviors>
          <w:behavior w:val="content"/>
        </w:behaviors>
        <w:guid w:val="{292DDAF4-3593-4E0C-93B0-DD13A7D54B6C}"/>
      </w:docPartPr>
      <w:docPartBody>
        <w:p w:rsidR="0065318D" w:rsidRPr="00F26C97" w:rsidRDefault="0065318D" w:rsidP="00185FE8">
          <w:pPr>
            <w:pStyle w:val="Bottomblocktext"/>
            <w:rPr>
              <w:b/>
              <w:bCs w:val="0"/>
              <w:sz w:val="20"/>
              <w:szCs w:val="20"/>
            </w:rPr>
          </w:pPr>
          <w:r>
            <w:rPr>
              <w:b/>
              <w:bCs w:val="0"/>
              <w:noProof/>
              <w:sz w:val="20"/>
              <w:szCs w:val="20"/>
            </w:rPr>
            <w:drawing>
              <wp:inline distT="0" distB="0" distL="0" distR="0" wp14:anchorId="1BF8703E" wp14:editId="1BF8703F">
                <wp:extent cx="338275" cy="331065"/>
                <wp:effectExtent l="0" t="0" r="5080" b="0"/>
                <wp:docPr id="312686740" name="Picture 2"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1BF87040" wp14:editId="1BF87041">
                <wp:extent cx="143919" cy="139700"/>
                <wp:effectExtent l="0" t="0" r="8890" b="0"/>
                <wp:docPr id="658074481"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65318D" w:rsidRPr="00F26C97" w:rsidRDefault="0065318D" w:rsidP="00185FE8">
          <w:pPr>
            <w:pStyle w:val="Bottomblocktext"/>
            <w:rPr>
              <w:b/>
              <w:bCs w:val="0"/>
              <w:sz w:val="20"/>
              <w:szCs w:val="20"/>
            </w:rPr>
          </w:pPr>
          <w:r>
            <w:rPr>
              <w:b/>
              <w:bCs w:val="0"/>
              <w:noProof/>
              <w:sz w:val="20"/>
              <w:szCs w:val="20"/>
            </w:rPr>
            <w:drawing>
              <wp:inline distT="0" distB="0" distL="0" distR="0" wp14:anchorId="1BF87042" wp14:editId="1BF87043">
                <wp:extent cx="326104" cy="323850"/>
                <wp:effectExtent l="0" t="0" r="0" b="0"/>
                <wp:docPr id="2131369949" name="Picture 4"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1BF87044" wp14:editId="1BF87045">
                <wp:extent cx="143919" cy="139700"/>
                <wp:effectExtent l="0" t="0" r="8890" b="0"/>
                <wp:docPr id="1390318250" name="Picture 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65318D" w:rsidRDefault="0065318D" w:rsidP="00185FE8">
          <w:pPr>
            <w:pStyle w:val="Bottomblocktext"/>
            <w:rPr>
              <w:sz w:val="20"/>
              <w:szCs w:val="20"/>
            </w:rPr>
          </w:pPr>
          <w:hyperlink r:id="rId8" w:history="1">
            <w:r w:rsidRPr="00350211">
              <w:rPr>
                <w:rStyle w:val="Hyperlink"/>
                <w:sz w:val="20"/>
                <w:szCs w:val="20"/>
              </w:rPr>
              <w:t>canberrahealthservices.act.gov.au/accessibility</w:t>
            </w:r>
          </w:hyperlink>
        </w:p>
        <w:p w:rsidR="0065318D" w:rsidRDefault="0065318D" w:rsidP="0065318D">
          <w:pPr>
            <w:pStyle w:val="222FB727FA994103BD923FA3B054D92B"/>
          </w:pPr>
          <w:r>
            <w:rPr>
              <w:b/>
              <w:bCs/>
              <w:noProof/>
            </w:rPr>
            <w:drawing>
              <wp:inline distT="0" distB="0" distL="0" distR="0" wp14:anchorId="1BF87046" wp14:editId="1BF87047">
                <wp:extent cx="1323833" cy="309418"/>
                <wp:effectExtent l="0" t="0" r="0" b="0"/>
                <wp:docPr id="313245409" name="Picture 6"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TimesNewRomanPSStd-Regular">
    <w:altName w:val="Yu Gothic"/>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TimesNewRomanPSStd-Bold">
    <w:altName w:val="Yu Gothic"/>
    <w:panose1 w:val="00000000000000000000"/>
    <w:charset w:val="80"/>
    <w:family w:val="roman"/>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A42"/>
    <w:rsid w:val="000066DC"/>
    <w:rsid w:val="00025025"/>
    <w:rsid w:val="0004265C"/>
    <w:rsid w:val="00117ADF"/>
    <w:rsid w:val="00192C53"/>
    <w:rsid w:val="001B4F99"/>
    <w:rsid w:val="00220D3D"/>
    <w:rsid w:val="002A35D3"/>
    <w:rsid w:val="004622A0"/>
    <w:rsid w:val="0065318D"/>
    <w:rsid w:val="007A4A5C"/>
    <w:rsid w:val="007C45DA"/>
    <w:rsid w:val="00807B3C"/>
    <w:rsid w:val="00823C60"/>
    <w:rsid w:val="008C2592"/>
    <w:rsid w:val="008C5F85"/>
    <w:rsid w:val="00933C1D"/>
    <w:rsid w:val="00A33BA1"/>
    <w:rsid w:val="00AB6154"/>
    <w:rsid w:val="00AC560A"/>
    <w:rsid w:val="00AF2E89"/>
    <w:rsid w:val="00B26725"/>
    <w:rsid w:val="00B85689"/>
    <w:rsid w:val="00C52430"/>
    <w:rsid w:val="00CB7200"/>
    <w:rsid w:val="00DC36B1"/>
    <w:rsid w:val="00E04A42"/>
    <w:rsid w:val="00E8220E"/>
    <w:rsid w:val="00EB1B8D"/>
    <w:rsid w:val="00F0695E"/>
    <w:rsid w:val="00F64B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318D"/>
    <w:rPr>
      <w:color w:val="808080"/>
    </w:rPr>
  </w:style>
  <w:style w:type="character" w:styleId="Hyperlink">
    <w:name w:val="Hyperlink"/>
    <w:uiPriority w:val="99"/>
    <w:rsid w:val="0065318D"/>
    <w:rPr>
      <w:color w:val="auto"/>
      <w:u w:val="single"/>
    </w:rPr>
  </w:style>
  <w:style w:type="paragraph" w:customStyle="1" w:styleId="Bottomblocktext">
    <w:name w:val="Bottom block text"/>
    <w:basedOn w:val="Normal"/>
    <w:uiPriority w:val="99"/>
    <w:rsid w:val="0065318D"/>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09A991ABAFDA44398F4F07165028AF57">
    <w:name w:val="09A991ABAFDA44398F4F07165028AF57"/>
    <w:rsid w:val="0065318D"/>
    <w:pPr>
      <w:spacing w:line="278" w:lineRule="auto"/>
    </w:pPr>
    <w:rPr>
      <w:sz w:val="24"/>
      <w:szCs w:val="24"/>
    </w:rPr>
  </w:style>
  <w:style w:type="paragraph" w:customStyle="1" w:styleId="36D2CFD2B3754693BFB059B7DE7B54E1">
    <w:name w:val="36D2CFD2B3754693BFB059B7DE7B54E1"/>
    <w:rsid w:val="0065318D"/>
    <w:pPr>
      <w:spacing w:line="278" w:lineRule="auto"/>
    </w:pPr>
    <w:rPr>
      <w:sz w:val="24"/>
      <w:szCs w:val="24"/>
    </w:rPr>
  </w:style>
  <w:style w:type="paragraph" w:customStyle="1" w:styleId="222FB727FA994103BD923FA3B054D92B">
    <w:name w:val="222FB727FA994103BD923FA3B054D92B"/>
    <w:rsid w:val="0065318D"/>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e8a3a0a429ce902ce229eb031e74df78">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1d3a2a646d0b40e36e309a43689e00bb"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2025-02-20T13:00:00+00:00</Approval_x0020_Date>
    <Review_x0020_Date xmlns="690b2128-8961-48af-a473-22c34a9accba">2029-02-28T13:00:00+00:00</Review_x0020_Date>
    <TaxCatchAll xmlns="c0239a80-7f07-4ed7-82c3-24ad7d76ada5">
      <Value>417</Value>
      <Value>416</Value>
      <Value>415</Value>
    </TaxCatchAll>
    <Version_x0020_Number xmlns="690b2128-8961-48af-a473-22c34a9accba">1</Version_x0020_Number>
    <Notes0 xmlns="690b2128-8961-48af-a473-22c34a9accba">30/05/2025 - minor amendments made to document, see policy table in doc for details.
</Notes0>
    <Key_x0020_Words xmlns="690b2128-8961-48af-a473-22c34a9accba">NICU, SCN, Breastmilk, Pasteurised Donor Breastmilk, PDBM, PDHM, Infant feeding room, naso-gastric tube, nutrition, feeding, trophic feed, Osteopenia, Metabolic Bone Disorder Prematurity, Calcium Deficiency, Phosphate</Key_x0020_Words>
    <Type_x0020_of_x0020_Document xmlns="690b2128-8961-48af-a473-22c34a9accba">Guideline</Type_x0020_of_x0020_Document>
    <Approval_x0020_Name_x007c_Committee xmlns="690b2128-8961-48af-a473-22c34a9accba">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CHS19/157 Neonatal Nutrition Guide.</Replaces_x003a_>
    <ISD_x0020_Submitted xmlns="690b2128-8961-48af-a473-22c34a9accba">Not Required</ISD_x0020_Submitted>
    <Risk_x0020_Rating xmlns="690b2128-8961-48af-a473-22c34a9accba">Medium</Risk_x0020_Rating>
    <Description0 xmlns="690b2128-8961-48af-a473-22c34a9accba">The goal of nutrition is to achieve as near to normal in-utero growth rate as possible.</Description0>
    <Display_x0020_on_x0020_Internet xmlns="690b2128-8961-48af-a473-22c34a9accba">true</Display_x0020_on_x0020_Internet>
    <Related_x0020_Documents xmlns="690b2128-8961-48af-a473-22c34a9accba" xsi:nil="true"/>
    <Decision_x0020_Number xmlns="690b2128-8961-48af-a473-22c34a9accba">CHS25/152</Decision_x0020_Number>
    <RelatedPolicies_x002c_ProceduresGuidelines xmlns="690b2128-8961-48af-a473-22c34a9accba">
      <Value>15922</Value>
      <Value>16471</Value>
      <Value>15920</Value>
      <Value>17246</Value>
      <Value>16158</Value>
      <Value>13862</Value>
      <Value>17555</Value>
      <Value>14963</Value>
      <Value>16467</Value>
      <Value>14859</Value>
      <Value>17004</Value>
      <Value>16652</Value>
      <Value>16060</Value>
      <Value>17468</Value>
      <Value>17628</Value>
      <Value>15609</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s>
    </k0794e393e1f41c2810d090eedba34a0>
    <New_x0020_Owner xmlns="690b2128-8961-48af-a473-22c34a9accba">Women, Youth and Children (WY&amp;C) - Dept of Neonatology</New_x0020_Owner>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41AB02-96A4-423F-8AA0-64DFD1F9C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3.xml><?xml version="1.0" encoding="utf-8"?>
<ds:datastoreItem xmlns:ds="http://schemas.openxmlformats.org/officeDocument/2006/customXml" ds:itemID="{08F479F7-317B-462B-AD66-D0950C922A81}">
  <ds:schemaRef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purl.org/dc/terms/"/>
    <ds:schemaRef ds:uri="http://www.w3.org/XML/1998/namespace"/>
    <ds:schemaRef ds:uri="690b2128-8961-48af-a473-22c34a9accba"/>
    <ds:schemaRef ds:uri="c0239a80-7f07-4ed7-82c3-24ad7d76ada5"/>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CHS Guideline Template</Template>
  <TotalTime>161</TotalTime>
  <Pages>55</Pages>
  <Words>11803</Words>
  <Characters>67278</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78924</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Neonatal Nutrition Guide</dc:title>
  <dc:creator>Martinoski, Joelle (Health)</dc:creator>
  <cp:lastModifiedBy>Rusanov, Zoia</cp:lastModifiedBy>
  <cp:revision>76</cp:revision>
  <cp:lastPrinted>2017-05-22T07:29:00Z</cp:lastPrinted>
  <dcterms:created xsi:type="dcterms:W3CDTF">2025-04-03T03:08:00Z</dcterms:created>
  <dcterms:modified xsi:type="dcterms:W3CDTF">2025-06-17T02:08:00Z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MediaServiceImageTags">
    <vt:lpwstr/>
  </property>
  <property fmtid="{D5CDD505-2E9C-101B-9397-08002B2CF9AE}" pid="11" name="Related Legislation &amp; Guidelines">
    <vt:lpwstr>415;#Health Records (Privacy and Access) Act 1997 (Territory)|d07d1347-0355-417c-badf-2bae9c7c0e3b;#416;#Human Rights Act 2004 (Territory)|bbb6fb4a-2117-4ff9-8364-021a762deae2;#417;#Work Health and Safety Act 2011 (Territory)|ff017976-c7e7-4dc1-b890-63352415bc5e</vt:lpwstr>
  </property>
  <property fmtid="{D5CDD505-2E9C-101B-9397-08002B2CF9AE}" pid="12" name="Related_x0020_Legislation_x0020__x0026__x0020_Guidelines">
    <vt:lpwstr>415;#Health Records (Privacy and Access) Act 1997 (Territory)|d07d1347-0355-417c-badf-2bae9c7c0e3b;#416;#Human Rights Act 2004 (Territory)|bbb6fb4a-2117-4ff9-8364-021a762deae2;#417;#Work Health and Safety Act 2011 (Territory)|ff017976-c7e7-4dc1-b890-63352415bc5e</vt:lpwstr>
  </property>
</Properties>
</file>