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51A84E" w14:textId="267635CF" w:rsidR="00EF02B0" w:rsidRPr="00EF02B0" w:rsidRDefault="00EF02B0" w:rsidP="00EF02B0">
      <w:pPr>
        <w:outlineLvl w:val="0"/>
        <w:rPr>
          <w:rFonts w:cs="Arial"/>
          <w:b/>
          <w:sz w:val="44"/>
          <w:szCs w:val="44"/>
        </w:rPr>
      </w:pPr>
      <w:bookmarkStart w:id="0" w:name="_Toc389131241"/>
      <w:bookmarkStart w:id="1" w:name="_Toc389473036"/>
      <w:bookmarkStart w:id="2" w:name="_Toc389473185"/>
      <w:bookmarkStart w:id="3" w:name="_Toc389473272"/>
      <w:bookmarkStart w:id="4" w:name="_Toc392770343"/>
      <w:r w:rsidRPr="00EF02B0">
        <w:rPr>
          <w:rFonts w:cs="Arial"/>
          <w:b/>
          <w:sz w:val="44"/>
          <w:szCs w:val="44"/>
        </w:rPr>
        <w:t>Canberra Health Services</w:t>
      </w:r>
    </w:p>
    <w:bookmarkEnd w:id="0"/>
    <w:bookmarkEnd w:id="1"/>
    <w:bookmarkEnd w:id="2"/>
    <w:bookmarkEnd w:id="3"/>
    <w:bookmarkEnd w:id="4"/>
    <w:p w14:paraId="2F51A84F" w14:textId="5338906E" w:rsidR="00EF02B0" w:rsidRPr="00931B93" w:rsidRDefault="00EF02B0" w:rsidP="00EF02B0">
      <w:pPr>
        <w:rPr>
          <w:rFonts w:cs="Arial"/>
          <w:b/>
          <w:i/>
          <w:sz w:val="28"/>
          <w:szCs w:val="44"/>
        </w:rPr>
      </w:pPr>
      <w:r w:rsidRPr="00EF02B0">
        <w:rPr>
          <w:rFonts w:cs="Arial"/>
          <w:b/>
          <w:sz w:val="44"/>
          <w:szCs w:val="44"/>
        </w:rPr>
        <w:t>Clinical</w:t>
      </w:r>
      <w:r w:rsidRPr="00EF02B0">
        <w:rPr>
          <w:rFonts w:cs="Arial"/>
          <w:b/>
          <w:i/>
          <w:sz w:val="44"/>
          <w:szCs w:val="44"/>
        </w:rPr>
        <w:t xml:space="preserve"> </w:t>
      </w:r>
      <w:r w:rsidRPr="00EF02B0">
        <w:rPr>
          <w:rFonts w:cs="Arial"/>
          <w:b/>
          <w:sz w:val="44"/>
          <w:szCs w:val="44"/>
        </w:rPr>
        <w:t>Procedure</w:t>
      </w:r>
    </w:p>
    <w:p w14:paraId="2F51A850" w14:textId="68A42FF0" w:rsidR="007B6904" w:rsidRPr="006A3770" w:rsidRDefault="00601618" w:rsidP="006A3770">
      <w:pPr>
        <w:rPr>
          <w:rFonts w:cs="Arial"/>
          <w:b/>
          <w:i/>
          <w:sz w:val="36"/>
          <w:szCs w:val="36"/>
        </w:rPr>
      </w:pPr>
      <w:r>
        <w:rPr>
          <w:rFonts w:cs="Arial"/>
          <w:b/>
          <w:sz w:val="36"/>
          <w:szCs w:val="36"/>
        </w:rPr>
        <w:t xml:space="preserve">Lumbar Puncture – Nurse Assisting </w:t>
      </w:r>
      <w:r w:rsidR="002F3165">
        <w:rPr>
          <w:rFonts w:cs="Arial"/>
          <w:b/>
          <w:sz w:val="36"/>
          <w:szCs w:val="36"/>
        </w:rPr>
        <w:t>(</w:t>
      </w:r>
      <w:r>
        <w:rPr>
          <w:rFonts w:cs="Arial"/>
          <w:b/>
          <w:sz w:val="36"/>
          <w:szCs w:val="36"/>
        </w:rPr>
        <w:t>Adults Only</w:t>
      </w:r>
      <w:r w:rsidR="002F3165">
        <w:rPr>
          <w:rFonts w:cs="Arial"/>
          <w:b/>
          <w:sz w:val="36"/>
          <w:szCs w:val="36"/>
        </w:rPr>
        <w:t>)</w:t>
      </w:r>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52" w14:textId="77777777" w:rsidTr="0074223E">
        <w:trPr>
          <w:cantSplit/>
          <w:trHeight w:val="285"/>
        </w:trPr>
        <w:tc>
          <w:tcPr>
            <w:tcW w:w="9158" w:type="dxa"/>
            <w:shd w:val="clear" w:color="auto" w:fill="A6A6A6" w:themeFill="background1" w:themeFillShade="A6"/>
          </w:tcPr>
          <w:p w14:paraId="2F51A851" w14:textId="77777777" w:rsidR="007B6904" w:rsidRPr="00CD1C0E" w:rsidRDefault="007B6904" w:rsidP="004213C3">
            <w:pPr>
              <w:pStyle w:val="Heading1"/>
            </w:pPr>
            <w:bookmarkStart w:id="5" w:name="_Toc389473273"/>
            <w:bookmarkStart w:id="6" w:name="Contents"/>
            <w:bookmarkStart w:id="7" w:name="_Toc80974782"/>
            <w:r w:rsidRPr="00CD1C0E">
              <w:t>Contents</w:t>
            </w:r>
            <w:bookmarkEnd w:id="5"/>
            <w:bookmarkEnd w:id="6"/>
            <w:bookmarkEnd w:id="7"/>
          </w:p>
        </w:tc>
      </w:tr>
    </w:tbl>
    <w:p w14:paraId="2F51A853" w14:textId="77777777" w:rsidR="007B6904" w:rsidRDefault="007B6904" w:rsidP="007B6904"/>
    <w:p w14:paraId="0BE0EA21" w14:textId="0436601B" w:rsidR="00B31BCF" w:rsidRDefault="007B7628">
      <w:pPr>
        <w:pStyle w:val="TOC1"/>
        <w:tabs>
          <w:tab w:val="right" w:leader="dot" w:pos="9060"/>
        </w:tabs>
        <w:rPr>
          <w:rFonts w:eastAsiaTheme="minorEastAsia" w:cstheme="minorBidi"/>
          <w:noProof/>
          <w:sz w:val="22"/>
          <w:szCs w:val="22"/>
          <w:lang w:eastAsia="en-AU"/>
        </w:rPr>
      </w:pPr>
      <w:r>
        <w:fldChar w:fldCharType="begin"/>
      </w:r>
      <w:r w:rsidR="007052B1">
        <w:instrText xml:space="preserve"> TOC \h \z \t "Heading 1,1" </w:instrText>
      </w:r>
      <w:r>
        <w:fldChar w:fldCharType="separate"/>
      </w:r>
      <w:hyperlink w:anchor="_Toc80974782" w:history="1">
        <w:r w:rsidR="00B31BCF" w:rsidRPr="008D0520">
          <w:rPr>
            <w:rStyle w:val="Hyperlink"/>
            <w:noProof/>
          </w:rPr>
          <w:t>Contents</w:t>
        </w:r>
        <w:r w:rsidR="00B31BCF">
          <w:rPr>
            <w:noProof/>
            <w:webHidden/>
          </w:rPr>
          <w:tab/>
        </w:r>
        <w:r w:rsidR="00B31BCF">
          <w:rPr>
            <w:noProof/>
            <w:webHidden/>
          </w:rPr>
          <w:fldChar w:fldCharType="begin"/>
        </w:r>
        <w:r w:rsidR="00B31BCF">
          <w:rPr>
            <w:noProof/>
            <w:webHidden/>
          </w:rPr>
          <w:instrText xml:space="preserve"> PAGEREF _Toc80974782 \h </w:instrText>
        </w:r>
        <w:r w:rsidR="00B31BCF">
          <w:rPr>
            <w:noProof/>
            <w:webHidden/>
          </w:rPr>
        </w:r>
        <w:r w:rsidR="00B31BCF">
          <w:rPr>
            <w:noProof/>
            <w:webHidden/>
          </w:rPr>
          <w:fldChar w:fldCharType="separate"/>
        </w:r>
        <w:r w:rsidR="00B31BCF">
          <w:rPr>
            <w:noProof/>
            <w:webHidden/>
          </w:rPr>
          <w:t>1</w:t>
        </w:r>
        <w:r w:rsidR="00B31BCF">
          <w:rPr>
            <w:noProof/>
            <w:webHidden/>
          </w:rPr>
          <w:fldChar w:fldCharType="end"/>
        </w:r>
      </w:hyperlink>
    </w:p>
    <w:p w14:paraId="4E82A032" w14:textId="20E67FBE" w:rsidR="00B31BCF" w:rsidRDefault="00C5586E">
      <w:pPr>
        <w:pStyle w:val="TOC1"/>
        <w:tabs>
          <w:tab w:val="right" w:leader="dot" w:pos="9060"/>
        </w:tabs>
        <w:rPr>
          <w:rFonts w:eastAsiaTheme="minorEastAsia" w:cstheme="minorBidi"/>
          <w:noProof/>
          <w:sz w:val="22"/>
          <w:szCs w:val="22"/>
          <w:lang w:eastAsia="en-AU"/>
        </w:rPr>
      </w:pPr>
      <w:hyperlink w:anchor="_Toc80974783" w:history="1">
        <w:r w:rsidR="00B31BCF" w:rsidRPr="008D0520">
          <w:rPr>
            <w:rStyle w:val="Hyperlink"/>
            <w:noProof/>
          </w:rPr>
          <w:t>Purpose</w:t>
        </w:r>
        <w:r w:rsidR="00B31BCF">
          <w:rPr>
            <w:noProof/>
            <w:webHidden/>
          </w:rPr>
          <w:tab/>
        </w:r>
        <w:r w:rsidR="00B31BCF">
          <w:rPr>
            <w:noProof/>
            <w:webHidden/>
          </w:rPr>
          <w:fldChar w:fldCharType="begin"/>
        </w:r>
        <w:r w:rsidR="00B31BCF">
          <w:rPr>
            <w:noProof/>
            <w:webHidden/>
          </w:rPr>
          <w:instrText xml:space="preserve"> PAGEREF _Toc80974783 \h </w:instrText>
        </w:r>
        <w:r w:rsidR="00B31BCF">
          <w:rPr>
            <w:noProof/>
            <w:webHidden/>
          </w:rPr>
        </w:r>
        <w:r w:rsidR="00B31BCF">
          <w:rPr>
            <w:noProof/>
            <w:webHidden/>
          </w:rPr>
          <w:fldChar w:fldCharType="separate"/>
        </w:r>
        <w:r w:rsidR="00B31BCF">
          <w:rPr>
            <w:noProof/>
            <w:webHidden/>
          </w:rPr>
          <w:t>2</w:t>
        </w:r>
        <w:r w:rsidR="00B31BCF">
          <w:rPr>
            <w:noProof/>
            <w:webHidden/>
          </w:rPr>
          <w:fldChar w:fldCharType="end"/>
        </w:r>
      </w:hyperlink>
    </w:p>
    <w:p w14:paraId="04487E73" w14:textId="6AF69DC4" w:rsidR="00B31BCF" w:rsidRDefault="00C5586E">
      <w:pPr>
        <w:pStyle w:val="TOC1"/>
        <w:tabs>
          <w:tab w:val="right" w:leader="dot" w:pos="9060"/>
        </w:tabs>
        <w:rPr>
          <w:rFonts w:eastAsiaTheme="minorEastAsia" w:cstheme="minorBidi"/>
          <w:noProof/>
          <w:sz w:val="22"/>
          <w:szCs w:val="22"/>
          <w:lang w:eastAsia="en-AU"/>
        </w:rPr>
      </w:pPr>
      <w:hyperlink w:anchor="_Toc80974784" w:history="1">
        <w:r w:rsidR="00B31BCF" w:rsidRPr="008D0520">
          <w:rPr>
            <w:rStyle w:val="Hyperlink"/>
            <w:noProof/>
          </w:rPr>
          <w:t>Alerts</w:t>
        </w:r>
        <w:r w:rsidR="00B31BCF">
          <w:rPr>
            <w:noProof/>
            <w:webHidden/>
          </w:rPr>
          <w:tab/>
        </w:r>
        <w:r w:rsidR="00B31BCF">
          <w:rPr>
            <w:noProof/>
            <w:webHidden/>
          </w:rPr>
          <w:fldChar w:fldCharType="begin"/>
        </w:r>
        <w:r w:rsidR="00B31BCF">
          <w:rPr>
            <w:noProof/>
            <w:webHidden/>
          </w:rPr>
          <w:instrText xml:space="preserve"> PAGEREF _Toc80974784 \h </w:instrText>
        </w:r>
        <w:r w:rsidR="00B31BCF">
          <w:rPr>
            <w:noProof/>
            <w:webHidden/>
          </w:rPr>
        </w:r>
        <w:r w:rsidR="00B31BCF">
          <w:rPr>
            <w:noProof/>
            <w:webHidden/>
          </w:rPr>
          <w:fldChar w:fldCharType="separate"/>
        </w:r>
        <w:r w:rsidR="00B31BCF">
          <w:rPr>
            <w:noProof/>
            <w:webHidden/>
          </w:rPr>
          <w:t>2</w:t>
        </w:r>
        <w:r w:rsidR="00B31BCF">
          <w:rPr>
            <w:noProof/>
            <w:webHidden/>
          </w:rPr>
          <w:fldChar w:fldCharType="end"/>
        </w:r>
      </w:hyperlink>
    </w:p>
    <w:p w14:paraId="6C27C4E9" w14:textId="368CF09E" w:rsidR="00B31BCF" w:rsidRDefault="00C5586E">
      <w:pPr>
        <w:pStyle w:val="TOC1"/>
        <w:tabs>
          <w:tab w:val="right" w:leader="dot" w:pos="9060"/>
        </w:tabs>
        <w:rPr>
          <w:rFonts w:eastAsiaTheme="minorEastAsia" w:cstheme="minorBidi"/>
          <w:noProof/>
          <w:sz w:val="22"/>
          <w:szCs w:val="22"/>
          <w:lang w:eastAsia="en-AU"/>
        </w:rPr>
      </w:pPr>
      <w:hyperlink w:anchor="_Toc80974785" w:history="1">
        <w:r w:rsidR="00B31BCF" w:rsidRPr="008D0520">
          <w:rPr>
            <w:rStyle w:val="Hyperlink"/>
            <w:noProof/>
          </w:rPr>
          <w:t>Scope</w:t>
        </w:r>
        <w:r w:rsidR="00B31BCF">
          <w:rPr>
            <w:noProof/>
            <w:webHidden/>
          </w:rPr>
          <w:tab/>
        </w:r>
        <w:r w:rsidR="00B31BCF">
          <w:rPr>
            <w:noProof/>
            <w:webHidden/>
          </w:rPr>
          <w:fldChar w:fldCharType="begin"/>
        </w:r>
        <w:r w:rsidR="00B31BCF">
          <w:rPr>
            <w:noProof/>
            <w:webHidden/>
          </w:rPr>
          <w:instrText xml:space="preserve"> PAGEREF _Toc80974785 \h </w:instrText>
        </w:r>
        <w:r w:rsidR="00B31BCF">
          <w:rPr>
            <w:noProof/>
            <w:webHidden/>
          </w:rPr>
        </w:r>
        <w:r w:rsidR="00B31BCF">
          <w:rPr>
            <w:noProof/>
            <w:webHidden/>
          </w:rPr>
          <w:fldChar w:fldCharType="separate"/>
        </w:r>
        <w:r w:rsidR="00B31BCF">
          <w:rPr>
            <w:noProof/>
            <w:webHidden/>
          </w:rPr>
          <w:t>2</w:t>
        </w:r>
        <w:r w:rsidR="00B31BCF">
          <w:rPr>
            <w:noProof/>
            <w:webHidden/>
          </w:rPr>
          <w:fldChar w:fldCharType="end"/>
        </w:r>
      </w:hyperlink>
    </w:p>
    <w:p w14:paraId="4CBA1541" w14:textId="44E8B3CE" w:rsidR="00B31BCF" w:rsidRDefault="00C5586E">
      <w:pPr>
        <w:pStyle w:val="TOC1"/>
        <w:tabs>
          <w:tab w:val="right" w:leader="dot" w:pos="9060"/>
        </w:tabs>
        <w:rPr>
          <w:rFonts w:eastAsiaTheme="minorEastAsia" w:cstheme="minorBidi"/>
          <w:noProof/>
          <w:sz w:val="22"/>
          <w:szCs w:val="22"/>
          <w:lang w:eastAsia="en-AU"/>
        </w:rPr>
      </w:pPr>
      <w:hyperlink w:anchor="_Toc80974786" w:history="1">
        <w:r w:rsidR="00B31BCF" w:rsidRPr="008D0520">
          <w:rPr>
            <w:rStyle w:val="Hyperlink"/>
            <w:noProof/>
          </w:rPr>
          <w:t>Section 1 – Assisting Lumbar Puncture</w:t>
        </w:r>
        <w:r w:rsidR="00B31BCF">
          <w:rPr>
            <w:noProof/>
            <w:webHidden/>
          </w:rPr>
          <w:tab/>
        </w:r>
        <w:r w:rsidR="00B31BCF">
          <w:rPr>
            <w:noProof/>
            <w:webHidden/>
          </w:rPr>
          <w:fldChar w:fldCharType="begin"/>
        </w:r>
        <w:r w:rsidR="00B31BCF">
          <w:rPr>
            <w:noProof/>
            <w:webHidden/>
          </w:rPr>
          <w:instrText xml:space="preserve"> PAGEREF _Toc80974786 \h </w:instrText>
        </w:r>
        <w:r w:rsidR="00B31BCF">
          <w:rPr>
            <w:noProof/>
            <w:webHidden/>
          </w:rPr>
        </w:r>
        <w:r w:rsidR="00B31BCF">
          <w:rPr>
            <w:noProof/>
            <w:webHidden/>
          </w:rPr>
          <w:fldChar w:fldCharType="separate"/>
        </w:r>
        <w:r w:rsidR="00B31BCF">
          <w:rPr>
            <w:noProof/>
            <w:webHidden/>
          </w:rPr>
          <w:t>2</w:t>
        </w:r>
        <w:r w:rsidR="00B31BCF">
          <w:rPr>
            <w:noProof/>
            <w:webHidden/>
          </w:rPr>
          <w:fldChar w:fldCharType="end"/>
        </w:r>
      </w:hyperlink>
    </w:p>
    <w:p w14:paraId="19CE4D23" w14:textId="7D67F802" w:rsidR="00B31BCF" w:rsidRDefault="00C5586E">
      <w:pPr>
        <w:pStyle w:val="TOC1"/>
        <w:tabs>
          <w:tab w:val="right" w:leader="dot" w:pos="9060"/>
        </w:tabs>
        <w:rPr>
          <w:rFonts w:eastAsiaTheme="minorEastAsia" w:cstheme="minorBidi"/>
          <w:noProof/>
          <w:sz w:val="22"/>
          <w:szCs w:val="22"/>
          <w:lang w:eastAsia="en-AU"/>
        </w:rPr>
      </w:pPr>
      <w:hyperlink w:anchor="_Toc80974787" w:history="1">
        <w:r w:rsidR="00B31BCF" w:rsidRPr="008D0520">
          <w:rPr>
            <w:rStyle w:val="Hyperlink"/>
            <w:noProof/>
          </w:rPr>
          <w:t>Evaluation</w:t>
        </w:r>
        <w:r w:rsidR="00B31BCF">
          <w:rPr>
            <w:noProof/>
            <w:webHidden/>
          </w:rPr>
          <w:tab/>
        </w:r>
        <w:r w:rsidR="00B31BCF">
          <w:rPr>
            <w:noProof/>
            <w:webHidden/>
          </w:rPr>
          <w:fldChar w:fldCharType="begin"/>
        </w:r>
        <w:r w:rsidR="00B31BCF">
          <w:rPr>
            <w:noProof/>
            <w:webHidden/>
          </w:rPr>
          <w:instrText xml:space="preserve"> PAGEREF _Toc80974787 \h </w:instrText>
        </w:r>
        <w:r w:rsidR="00B31BCF">
          <w:rPr>
            <w:noProof/>
            <w:webHidden/>
          </w:rPr>
        </w:r>
        <w:r w:rsidR="00B31BCF">
          <w:rPr>
            <w:noProof/>
            <w:webHidden/>
          </w:rPr>
          <w:fldChar w:fldCharType="separate"/>
        </w:r>
        <w:r w:rsidR="00B31BCF">
          <w:rPr>
            <w:noProof/>
            <w:webHidden/>
          </w:rPr>
          <w:t>5</w:t>
        </w:r>
        <w:r w:rsidR="00B31BCF">
          <w:rPr>
            <w:noProof/>
            <w:webHidden/>
          </w:rPr>
          <w:fldChar w:fldCharType="end"/>
        </w:r>
      </w:hyperlink>
    </w:p>
    <w:p w14:paraId="1A71E81F" w14:textId="3B4A827A" w:rsidR="00B31BCF" w:rsidRDefault="00C5586E">
      <w:pPr>
        <w:pStyle w:val="TOC1"/>
        <w:tabs>
          <w:tab w:val="right" w:leader="dot" w:pos="9060"/>
        </w:tabs>
        <w:rPr>
          <w:rFonts w:eastAsiaTheme="minorEastAsia" w:cstheme="minorBidi"/>
          <w:noProof/>
          <w:sz w:val="22"/>
          <w:szCs w:val="22"/>
          <w:lang w:eastAsia="en-AU"/>
        </w:rPr>
      </w:pPr>
      <w:hyperlink w:anchor="_Toc80974788" w:history="1">
        <w:r w:rsidR="00B31BCF" w:rsidRPr="008D0520">
          <w:rPr>
            <w:rStyle w:val="Hyperlink"/>
            <w:noProof/>
          </w:rPr>
          <w:t>Related Policies, Procedures and Guidelines</w:t>
        </w:r>
        <w:r w:rsidR="00B31BCF">
          <w:rPr>
            <w:noProof/>
            <w:webHidden/>
          </w:rPr>
          <w:tab/>
        </w:r>
        <w:r w:rsidR="00B31BCF">
          <w:rPr>
            <w:noProof/>
            <w:webHidden/>
          </w:rPr>
          <w:fldChar w:fldCharType="begin"/>
        </w:r>
        <w:r w:rsidR="00B31BCF">
          <w:rPr>
            <w:noProof/>
            <w:webHidden/>
          </w:rPr>
          <w:instrText xml:space="preserve"> PAGEREF _Toc80974788 \h </w:instrText>
        </w:r>
        <w:r w:rsidR="00B31BCF">
          <w:rPr>
            <w:noProof/>
            <w:webHidden/>
          </w:rPr>
        </w:r>
        <w:r w:rsidR="00B31BCF">
          <w:rPr>
            <w:noProof/>
            <w:webHidden/>
          </w:rPr>
          <w:fldChar w:fldCharType="separate"/>
        </w:r>
        <w:r w:rsidR="00B31BCF">
          <w:rPr>
            <w:noProof/>
            <w:webHidden/>
          </w:rPr>
          <w:t>5</w:t>
        </w:r>
        <w:r w:rsidR="00B31BCF">
          <w:rPr>
            <w:noProof/>
            <w:webHidden/>
          </w:rPr>
          <w:fldChar w:fldCharType="end"/>
        </w:r>
      </w:hyperlink>
    </w:p>
    <w:p w14:paraId="1EE2ADC7" w14:textId="05F1C1E4" w:rsidR="00B31BCF" w:rsidRDefault="00C5586E">
      <w:pPr>
        <w:pStyle w:val="TOC1"/>
        <w:tabs>
          <w:tab w:val="right" w:leader="dot" w:pos="9060"/>
        </w:tabs>
        <w:rPr>
          <w:rFonts w:eastAsiaTheme="minorEastAsia" w:cstheme="minorBidi"/>
          <w:noProof/>
          <w:sz w:val="22"/>
          <w:szCs w:val="22"/>
          <w:lang w:eastAsia="en-AU"/>
        </w:rPr>
      </w:pPr>
      <w:hyperlink w:anchor="_Toc80974789" w:history="1">
        <w:r w:rsidR="00B31BCF" w:rsidRPr="008D0520">
          <w:rPr>
            <w:rStyle w:val="Hyperlink"/>
            <w:noProof/>
          </w:rPr>
          <w:t>References</w:t>
        </w:r>
        <w:r w:rsidR="00B31BCF">
          <w:rPr>
            <w:noProof/>
            <w:webHidden/>
          </w:rPr>
          <w:tab/>
        </w:r>
        <w:r w:rsidR="00B31BCF">
          <w:rPr>
            <w:noProof/>
            <w:webHidden/>
          </w:rPr>
          <w:fldChar w:fldCharType="begin"/>
        </w:r>
        <w:r w:rsidR="00B31BCF">
          <w:rPr>
            <w:noProof/>
            <w:webHidden/>
          </w:rPr>
          <w:instrText xml:space="preserve"> PAGEREF _Toc80974789 \h </w:instrText>
        </w:r>
        <w:r w:rsidR="00B31BCF">
          <w:rPr>
            <w:noProof/>
            <w:webHidden/>
          </w:rPr>
        </w:r>
        <w:r w:rsidR="00B31BCF">
          <w:rPr>
            <w:noProof/>
            <w:webHidden/>
          </w:rPr>
          <w:fldChar w:fldCharType="separate"/>
        </w:r>
        <w:r w:rsidR="00B31BCF">
          <w:rPr>
            <w:noProof/>
            <w:webHidden/>
          </w:rPr>
          <w:t>6</w:t>
        </w:r>
        <w:r w:rsidR="00B31BCF">
          <w:rPr>
            <w:noProof/>
            <w:webHidden/>
          </w:rPr>
          <w:fldChar w:fldCharType="end"/>
        </w:r>
      </w:hyperlink>
    </w:p>
    <w:p w14:paraId="79316DD3" w14:textId="56CAC2F3" w:rsidR="00B31BCF" w:rsidRDefault="00C5586E">
      <w:pPr>
        <w:pStyle w:val="TOC1"/>
        <w:tabs>
          <w:tab w:val="right" w:leader="dot" w:pos="9060"/>
        </w:tabs>
        <w:rPr>
          <w:rFonts w:eastAsiaTheme="minorEastAsia" w:cstheme="minorBidi"/>
          <w:noProof/>
          <w:sz w:val="22"/>
          <w:szCs w:val="22"/>
          <w:lang w:eastAsia="en-AU"/>
        </w:rPr>
      </w:pPr>
      <w:hyperlink w:anchor="_Toc80974790" w:history="1">
        <w:r w:rsidR="00B31BCF" w:rsidRPr="008D0520">
          <w:rPr>
            <w:rStyle w:val="Hyperlink"/>
            <w:noProof/>
          </w:rPr>
          <w:t>Search Terms</w:t>
        </w:r>
        <w:r w:rsidR="00B31BCF">
          <w:rPr>
            <w:noProof/>
            <w:webHidden/>
          </w:rPr>
          <w:tab/>
        </w:r>
        <w:r w:rsidR="00B31BCF">
          <w:rPr>
            <w:noProof/>
            <w:webHidden/>
          </w:rPr>
          <w:fldChar w:fldCharType="begin"/>
        </w:r>
        <w:r w:rsidR="00B31BCF">
          <w:rPr>
            <w:noProof/>
            <w:webHidden/>
          </w:rPr>
          <w:instrText xml:space="preserve"> PAGEREF _Toc80974790 \h </w:instrText>
        </w:r>
        <w:r w:rsidR="00B31BCF">
          <w:rPr>
            <w:noProof/>
            <w:webHidden/>
          </w:rPr>
        </w:r>
        <w:r w:rsidR="00B31BCF">
          <w:rPr>
            <w:noProof/>
            <w:webHidden/>
          </w:rPr>
          <w:fldChar w:fldCharType="separate"/>
        </w:r>
        <w:r w:rsidR="00B31BCF">
          <w:rPr>
            <w:noProof/>
            <w:webHidden/>
          </w:rPr>
          <w:t>6</w:t>
        </w:r>
        <w:r w:rsidR="00B31BCF">
          <w:rPr>
            <w:noProof/>
            <w:webHidden/>
          </w:rPr>
          <w:fldChar w:fldCharType="end"/>
        </w:r>
      </w:hyperlink>
    </w:p>
    <w:p w14:paraId="2F51A861" w14:textId="784F433E" w:rsidR="007052B1" w:rsidRDefault="007B7628" w:rsidP="007B6904">
      <w:pPr>
        <w:rPr>
          <w:rFonts w:asciiTheme="minorHAnsi" w:hAnsiTheme="minorHAnsi"/>
        </w:rPr>
      </w:pPr>
      <w:r>
        <w:rPr>
          <w:rFonts w:asciiTheme="minorHAnsi" w:hAnsiTheme="minorHAnsi"/>
        </w:rPr>
        <w:fldChar w:fldCharType="end"/>
      </w:r>
    </w:p>
    <w:p w14:paraId="2F51A862" w14:textId="77777777" w:rsidR="007052B1" w:rsidRDefault="007052B1">
      <w:pPr>
        <w:spacing w:after="200" w:line="276" w:lineRule="auto"/>
        <w:rPr>
          <w:rFonts w:asciiTheme="minorHAnsi" w:hAnsiTheme="minorHAnsi"/>
        </w:rPr>
      </w:pPr>
      <w:r>
        <w:rPr>
          <w:rFonts w:asciiTheme="minorHAnsi" w:hAnsiTheme="minorHAnsi"/>
        </w:rPr>
        <w:br w:type="page"/>
      </w:r>
    </w:p>
    <w:p w14:paraId="2F51A863" w14:textId="77777777" w:rsidR="007B6904" w:rsidRPr="00763141" w:rsidRDefault="007B6904" w:rsidP="007B6904"/>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65" w14:textId="77777777" w:rsidTr="0074223E">
        <w:trPr>
          <w:cantSplit/>
          <w:trHeight w:val="285"/>
        </w:trPr>
        <w:tc>
          <w:tcPr>
            <w:tcW w:w="9158" w:type="dxa"/>
            <w:shd w:val="clear" w:color="auto" w:fill="A6A6A6" w:themeFill="background1" w:themeFillShade="A6"/>
          </w:tcPr>
          <w:p w14:paraId="2F51A864" w14:textId="77777777" w:rsidR="007B6904" w:rsidRPr="00CD1C0E" w:rsidRDefault="007B6904" w:rsidP="004213C3">
            <w:pPr>
              <w:pStyle w:val="Heading1"/>
            </w:pPr>
            <w:bookmarkStart w:id="8" w:name="_Toc389473274"/>
            <w:bookmarkStart w:id="9" w:name="_Toc80974783"/>
            <w:r w:rsidRPr="00CD1C0E">
              <w:t>Purpose</w:t>
            </w:r>
            <w:bookmarkEnd w:id="8"/>
            <w:bookmarkEnd w:id="9"/>
          </w:p>
        </w:tc>
      </w:tr>
    </w:tbl>
    <w:p w14:paraId="2F51A866" w14:textId="77777777" w:rsidR="00931B93" w:rsidRDefault="00931B93" w:rsidP="00931B93">
      <w:pPr>
        <w:rPr>
          <w:rFonts w:cs="Arial"/>
          <w:i/>
          <w:szCs w:val="24"/>
        </w:rPr>
      </w:pPr>
    </w:p>
    <w:p w14:paraId="4478C08F" w14:textId="77777777" w:rsidR="00C5586E" w:rsidRDefault="00C5586E" w:rsidP="00C5586E">
      <w:pPr>
        <w:rPr>
          <w:lang w:eastAsia="en-AU"/>
        </w:rPr>
      </w:pPr>
      <w:r>
        <w:rPr>
          <w:lang w:eastAsia="en-AU"/>
        </w:rPr>
        <w:t>The purpose of this Clinical Procedure is to outline the roles and responsibilities when assisting with a lumbar puncture procedure.</w:t>
      </w:r>
    </w:p>
    <w:p w14:paraId="67801247" w14:textId="77777777" w:rsidR="00C5586E" w:rsidRDefault="00C5586E" w:rsidP="00C5586E">
      <w:pPr>
        <w:rPr>
          <w:lang w:eastAsia="en-AU"/>
        </w:rPr>
      </w:pPr>
    </w:p>
    <w:p w14:paraId="374A0FF3" w14:textId="77777777" w:rsidR="00C5586E" w:rsidRPr="004F646F" w:rsidRDefault="00C5586E" w:rsidP="00C5586E">
      <w:pPr>
        <w:rPr>
          <w:lang w:eastAsia="en-AU"/>
        </w:rPr>
      </w:pPr>
      <w:r>
        <w:rPr>
          <w:lang w:eastAsia="en-AU"/>
        </w:rPr>
        <w:t xml:space="preserve">A lumbar puncture is performed to collect and examine cerebrospinal fluid (CSF). CSF is collected by inserting a needle into the lumbar subarachnoid space and withdrawing the CSF.  A lumbar puncture is performed for: </w:t>
      </w:r>
    </w:p>
    <w:p w14:paraId="2F52B52B" w14:textId="77777777" w:rsidR="00C5586E" w:rsidRDefault="00C5586E" w:rsidP="00C5586E">
      <w:pPr>
        <w:pStyle w:val="ListBullet"/>
        <w:rPr>
          <w:lang w:eastAsia="en-AU"/>
        </w:rPr>
      </w:pPr>
      <w:r>
        <w:rPr>
          <w:lang w:eastAsia="en-AU"/>
        </w:rPr>
        <w:t>Diagnostic purposes</w:t>
      </w:r>
    </w:p>
    <w:p w14:paraId="12FD0EF0" w14:textId="77777777" w:rsidR="00C5586E" w:rsidRDefault="00C5586E" w:rsidP="00C5586E">
      <w:pPr>
        <w:pStyle w:val="ListBullet"/>
        <w:tabs>
          <w:tab w:val="num" w:pos="426"/>
        </w:tabs>
        <w:rPr>
          <w:lang w:eastAsia="en-AU"/>
        </w:rPr>
      </w:pPr>
      <w:r>
        <w:rPr>
          <w:lang w:eastAsia="en-AU"/>
        </w:rPr>
        <w:t>Administration of intrathecal medications</w:t>
      </w:r>
    </w:p>
    <w:p w14:paraId="1132B846" w14:textId="77777777" w:rsidR="00C5586E" w:rsidRDefault="00C5586E" w:rsidP="00C5586E">
      <w:pPr>
        <w:pStyle w:val="ListBullet"/>
        <w:tabs>
          <w:tab w:val="num" w:pos="426"/>
        </w:tabs>
        <w:rPr>
          <w:lang w:eastAsia="en-AU"/>
        </w:rPr>
      </w:pPr>
      <w:r>
        <w:rPr>
          <w:lang w:eastAsia="en-AU"/>
        </w:rPr>
        <w:t>Measuring CSF opening pressure with a manometer.</w:t>
      </w:r>
    </w:p>
    <w:p w14:paraId="61D419EA" w14:textId="77777777" w:rsidR="00C5586E" w:rsidRPr="00601618" w:rsidRDefault="00C5586E" w:rsidP="00C5586E">
      <w:pPr>
        <w:rPr>
          <w:rFonts w:cs="Arial"/>
          <w:iCs/>
          <w:szCs w:val="24"/>
        </w:rPr>
      </w:pPr>
    </w:p>
    <w:p w14:paraId="20F30099" w14:textId="77777777" w:rsidR="00C5586E" w:rsidRPr="00CD1C0E" w:rsidRDefault="00C5586E" w:rsidP="00C5586E">
      <w:pPr>
        <w:jc w:val="right"/>
        <w:rPr>
          <w:rFonts w:cs="Arial"/>
          <w:szCs w:val="24"/>
        </w:rPr>
      </w:pPr>
      <w:hyperlink w:anchor="Contents" w:history="1">
        <w:r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C5586E" w:rsidRPr="00CD1C0E" w14:paraId="0A29C62A" w14:textId="77777777" w:rsidTr="00AC58FA">
        <w:trPr>
          <w:cantSplit/>
          <w:trHeight w:val="285"/>
        </w:trPr>
        <w:tc>
          <w:tcPr>
            <w:tcW w:w="9158" w:type="dxa"/>
            <w:shd w:val="clear" w:color="auto" w:fill="A6A6A6" w:themeFill="background1" w:themeFillShade="A6"/>
          </w:tcPr>
          <w:p w14:paraId="256AB836" w14:textId="77777777" w:rsidR="00C5586E" w:rsidRPr="00CD1C0E" w:rsidRDefault="00C5586E" w:rsidP="00AC58FA">
            <w:pPr>
              <w:pStyle w:val="Heading1"/>
            </w:pPr>
            <w:bookmarkStart w:id="10" w:name="_Toc389473276"/>
            <w:bookmarkStart w:id="11" w:name="_Toc80974784"/>
            <w:r>
              <w:t>Alerts</w:t>
            </w:r>
            <w:bookmarkEnd w:id="10"/>
            <w:bookmarkEnd w:id="11"/>
          </w:p>
        </w:tc>
      </w:tr>
    </w:tbl>
    <w:p w14:paraId="7FA3E4DD" w14:textId="77777777" w:rsidR="00C5586E" w:rsidRDefault="00C5586E" w:rsidP="00C5586E">
      <w:pPr>
        <w:rPr>
          <w:rFonts w:cs="Arial"/>
          <w:b/>
          <w:szCs w:val="24"/>
        </w:rPr>
      </w:pPr>
    </w:p>
    <w:p w14:paraId="4D8FE78C" w14:textId="77777777" w:rsidR="00C5586E" w:rsidRPr="00CB4F70" w:rsidRDefault="00C5586E" w:rsidP="00C5586E">
      <w:pPr>
        <w:pStyle w:val="Default"/>
        <w:rPr>
          <w:u w:val="single"/>
        </w:rPr>
      </w:pPr>
      <w:r w:rsidRPr="00CB4F70">
        <w:rPr>
          <w:rFonts w:ascii="Calibri" w:hAnsi="Calibri"/>
        </w:rPr>
        <w:t>If a lumb</w:t>
      </w:r>
      <w:r>
        <w:rPr>
          <w:rFonts w:ascii="Calibri" w:hAnsi="Calibri"/>
        </w:rPr>
        <w:t>a</w:t>
      </w:r>
      <w:r w:rsidRPr="00CB4F70">
        <w:rPr>
          <w:rFonts w:ascii="Calibri" w:hAnsi="Calibri"/>
        </w:rPr>
        <w:t xml:space="preserve">r puncture is performed for </w:t>
      </w:r>
      <w:r w:rsidRPr="001F75DB">
        <w:rPr>
          <w:rFonts w:ascii="Calibri" w:hAnsi="Calibri"/>
        </w:rPr>
        <w:t>Creutzfeldt-Jakob</w:t>
      </w:r>
      <w:r>
        <w:rPr>
          <w:rFonts w:ascii="Calibri" w:hAnsi="Calibri"/>
        </w:rPr>
        <w:t xml:space="preserve"> Disease (</w:t>
      </w:r>
      <w:r w:rsidRPr="00CB4F70">
        <w:rPr>
          <w:rFonts w:ascii="Calibri" w:hAnsi="Calibri"/>
        </w:rPr>
        <w:t>CJD</w:t>
      </w:r>
      <w:r>
        <w:rPr>
          <w:rFonts w:ascii="Calibri" w:hAnsi="Calibri"/>
        </w:rPr>
        <w:t>)</w:t>
      </w:r>
      <w:r w:rsidRPr="00CB4F70">
        <w:rPr>
          <w:rFonts w:ascii="Calibri" w:hAnsi="Calibri"/>
        </w:rPr>
        <w:t xml:space="preserve"> single use drapes and equipment must be used. </w:t>
      </w:r>
      <w:r w:rsidRPr="008B2F95">
        <w:rPr>
          <w:rFonts w:ascii="Calibri" w:hAnsi="Calibri"/>
        </w:rPr>
        <w:t>Refer to</w:t>
      </w:r>
      <w:r>
        <w:rPr>
          <w:rFonts w:ascii="Calibri" w:hAnsi="Calibri"/>
        </w:rPr>
        <w:t xml:space="preserve">: </w:t>
      </w:r>
      <w:r w:rsidRPr="001A5CE8">
        <w:rPr>
          <w:rFonts w:ascii="Calibri" w:hAnsi="Calibri"/>
        </w:rPr>
        <w:t xml:space="preserve">Creutzfeldt-Jakob Disease (CJD) Transmission Guidelines </w:t>
      </w:r>
      <w:r>
        <w:rPr>
          <w:rFonts w:ascii="Calibri" w:hAnsi="Calibri"/>
        </w:rPr>
        <w:t xml:space="preserve">– Department of Health </w:t>
      </w:r>
      <w:r w:rsidRPr="001A5CE8">
        <w:rPr>
          <w:rFonts w:ascii="Calibri" w:hAnsi="Calibri"/>
        </w:rPr>
        <w:t>on the Policy</w:t>
      </w:r>
      <w:r>
        <w:rPr>
          <w:rFonts w:ascii="Calibri" w:hAnsi="Calibri"/>
        </w:rPr>
        <w:t xml:space="preserve"> and Guidance Documents</w:t>
      </w:r>
      <w:r w:rsidRPr="001A5CE8">
        <w:rPr>
          <w:rFonts w:ascii="Calibri" w:hAnsi="Calibri"/>
        </w:rPr>
        <w:t xml:space="preserve"> Register</w:t>
      </w:r>
      <w:r w:rsidRPr="001A5CE8">
        <w:rPr>
          <w:rFonts w:ascii="Calibri" w:hAnsi="Calibri"/>
          <w:i/>
        </w:rPr>
        <w:t>.</w:t>
      </w:r>
      <w:r w:rsidRPr="00CB4F70">
        <w:rPr>
          <w:rFonts w:ascii="Calibri" w:hAnsi="Calibri"/>
        </w:rPr>
        <w:t xml:space="preserve"> </w:t>
      </w:r>
    </w:p>
    <w:p w14:paraId="24B2CA0A" w14:textId="77777777" w:rsidR="00C5586E" w:rsidRDefault="00C5586E" w:rsidP="00C5586E">
      <w:pPr>
        <w:rPr>
          <w:rFonts w:cs="Arial"/>
          <w:b/>
          <w:szCs w:val="24"/>
        </w:rPr>
      </w:pPr>
    </w:p>
    <w:p w14:paraId="79FDB5D9" w14:textId="77777777" w:rsidR="00C5586E" w:rsidRPr="009121F9" w:rsidRDefault="00C5586E" w:rsidP="00C5586E">
      <w:pPr>
        <w:jc w:val="right"/>
        <w:rPr>
          <w:rFonts w:cs="Arial"/>
          <w:b/>
          <w:szCs w:val="24"/>
        </w:rPr>
      </w:pPr>
      <w:hyperlink w:anchor="Contents" w:history="1">
        <w:r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C5586E" w:rsidRPr="00CD1C0E" w14:paraId="5F1B0E27" w14:textId="77777777" w:rsidTr="00AC58FA">
        <w:trPr>
          <w:cantSplit/>
          <w:trHeight w:val="285"/>
        </w:trPr>
        <w:tc>
          <w:tcPr>
            <w:tcW w:w="9158" w:type="dxa"/>
            <w:shd w:val="clear" w:color="auto" w:fill="A6A6A6" w:themeFill="background1" w:themeFillShade="A6"/>
          </w:tcPr>
          <w:p w14:paraId="15364C55" w14:textId="77777777" w:rsidR="00C5586E" w:rsidRPr="003D2D06" w:rsidRDefault="00C5586E" w:rsidP="00AC58FA">
            <w:pPr>
              <w:pStyle w:val="Heading1"/>
            </w:pPr>
            <w:bookmarkStart w:id="12" w:name="_Toc389473277"/>
            <w:bookmarkStart w:id="13" w:name="_Toc80974785"/>
            <w:r w:rsidRPr="003D2D06">
              <w:t>Scope</w:t>
            </w:r>
            <w:bookmarkEnd w:id="12"/>
            <w:bookmarkEnd w:id="13"/>
          </w:p>
        </w:tc>
      </w:tr>
    </w:tbl>
    <w:p w14:paraId="2BFACDA1" w14:textId="77777777" w:rsidR="00C5586E" w:rsidRPr="00CD1C0E" w:rsidRDefault="00C5586E" w:rsidP="00C5586E">
      <w:pPr>
        <w:rPr>
          <w:szCs w:val="24"/>
        </w:rPr>
      </w:pPr>
    </w:p>
    <w:p w14:paraId="4FAF5CB3" w14:textId="77777777" w:rsidR="00C5586E" w:rsidRPr="00601618" w:rsidRDefault="00C5586E" w:rsidP="00C5586E">
      <w:pPr>
        <w:rPr>
          <w:rFonts w:cs="Arial"/>
          <w:iCs/>
          <w:szCs w:val="24"/>
        </w:rPr>
      </w:pPr>
      <w:r w:rsidRPr="00601618">
        <w:rPr>
          <w:rFonts w:cs="Arial"/>
          <w:iCs/>
          <w:szCs w:val="24"/>
        </w:rPr>
        <w:t xml:space="preserve">This document </w:t>
      </w:r>
      <w:r>
        <w:rPr>
          <w:rFonts w:cs="Arial"/>
          <w:iCs/>
          <w:szCs w:val="24"/>
        </w:rPr>
        <w:t>applies</w:t>
      </w:r>
      <w:r w:rsidRPr="00601618">
        <w:rPr>
          <w:rFonts w:cs="Arial"/>
          <w:iCs/>
          <w:szCs w:val="24"/>
        </w:rPr>
        <w:t xml:space="preserve"> to adult patients that require a lumbar puncture at </w:t>
      </w:r>
      <w:r w:rsidRPr="000E7014">
        <w:rPr>
          <w:rFonts w:cs="Arial"/>
          <w:iCs/>
          <w:szCs w:val="24"/>
        </w:rPr>
        <w:t xml:space="preserve">CHS Network including the inpatient facilities at Canberra Hospital, Clare Holland House, North Canberra Hospital, and University of Canberra and </w:t>
      </w:r>
      <w:proofErr w:type="gramStart"/>
      <w:r w:rsidRPr="000E7014">
        <w:rPr>
          <w:rFonts w:cs="Arial"/>
          <w:iCs/>
          <w:szCs w:val="24"/>
        </w:rPr>
        <w:t>community based</w:t>
      </w:r>
      <w:proofErr w:type="gramEnd"/>
      <w:r w:rsidRPr="000E7014">
        <w:rPr>
          <w:rFonts w:cs="Arial"/>
          <w:iCs/>
          <w:szCs w:val="24"/>
        </w:rPr>
        <w:t xml:space="preserve"> services</w:t>
      </w:r>
      <w:r>
        <w:rPr>
          <w:rFonts w:cs="Arial"/>
          <w:iCs/>
          <w:szCs w:val="24"/>
        </w:rPr>
        <w:t>.</w:t>
      </w:r>
    </w:p>
    <w:p w14:paraId="1584163F" w14:textId="77777777" w:rsidR="00C5586E" w:rsidRPr="00601618" w:rsidRDefault="00C5586E" w:rsidP="00C5586E">
      <w:pPr>
        <w:outlineLvl w:val="0"/>
        <w:rPr>
          <w:rFonts w:cs="Arial"/>
          <w:iCs/>
          <w:szCs w:val="24"/>
        </w:rPr>
      </w:pPr>
    </w:p>
    <w:p w14:paraId="075632DA" w14:textId="77777777" w:rsidR="00C5586E" w:rsidRPr="00601618" w:rsidRDefault="00C5586E" w:rsidP="00C5586E">
      <w:pPr>
        <w:outlineLvl w:val="0"/>
        <w:rPr>
          <w:rFonts w:cs="Arial"/>
          <w:iCs/>
          <w:szCs w:val="24"/>
        </w:rPr>
      </w:pPr>
      <w:r w:rsidRPr="00601618">
        <w:rPr>
          <w:rFonts w:cs="Arial"/>
          <w:iCs/>
          <w:szCs w:val="24"/>
        </w:rPr>
        <w:t>This document applies to the following staff working within their scope of practice:</w:t>
      </w:r>
    </w:p>
    <w:p w14:paraId="10E97F02" w14:textId="77777777" w:rsidR="00C5586E" w:rsidRPr="00601618" w:rsidRDefault="00C5586E" w:rsidP="00C5586E">
      <w:pPr>
        <w:pStyle w:val="ListBullet"/>
        <w:rPr>
          <w:iCs/>
        </w:rPr>
      </w:pPr>
      <w:r w:rsidRPr="00601618">
        <w:rPr>
          <w:iCs/>
        </w:rPr>
        <w:t>Medical Officers</w:t>
      </w:r>
    </w:p>
    <w:p w14:paraId="68BA30D6" w14:textId="77777777" w:rsidR="00C5586E" w:rsidRDefault="00C5586E" w:rsidP="00C5586E">
      <w:pPr>
        <w:pStyle w:val="ListBullet"/>
        <w:rPr>
          <w:iCs/>
        </w:rPr>
      </w:pPr>
      <w:r w:rsidRPr="00601618">
        <w:rPr>
          <w:iCs/>
        </w:rPr>
        <w:t xml:space="preserve">Nurses and Midwives  </w:t>
      </w:r>
    </w:p>
    <w:p w14:paraId="49F07C06" w14:textId="77777777" w:rsidR="00C5586E" w:rsidRPr="00601618" w:rsidRDefault="00C5586E" w:rsidP="00C5586E">
      <w:pPr>
        <w:pStyle w:val="ListBullet"/>
        <w:rPr>
          <w:iCs/>
        </w:rPr>
      </w:pPr>
      <w:r>
        <w:rPr>
          <w:iCs/>
        </w:rPr>
        <w:t>Administration staff</w:t>
      </w:r>
    </w:p>
    <w:p w14:paraId="29D2DCCE" w14:textId="77777777" w:rsidR="00C5586E" w:rsidRPr="00601618" w:rsidRDefault="00C5586E" w:rsidP="00C5586E">
      <w:pPr>
        <w:pStyle w:val="ListBullet"/>
        <w:rPr>
          <w:iCs/>
        </w:rPr>
      </w:pPr>
      <w:r w:rsidRPr="00601618">
        <w:rPr>
          <w:iCs/>
        </w:rPr>
        <w:t>Student</w:t>
      </w:r>
      <w:r>
        <w:rPr>
          <w:iCs/>
        </w:rPr>
        <w:t>s</w:t>
      </w:r>
      <w:r w:rsidRPr="00601618">
        <w:rPr>
          <w:iCs/>
        </w:rPr>
        <w:t xml:space="preserve"> under direct supervision.</w:t>
      </w:r>
    </w:p>
    <w:p w14:paraId="196D9086" w14:textId="77777777" w:rsidR="00C5586E" w:rsidRDefault="00C5586E" w:rsidP="00C5586E"/>
    <w:p w14:paraId="1B4E1550" w14:textId="77777777" w:rsidR="00C5586E" w:rsidRPr="00CD1C0E" w:rsidRDefault="00C5586E" w:rsidP="00C5586E">
      <w:pPr>
        <w:jc w:val="right"/>
      </w:pPr>
      <w:hyperlink w:anchor="Contents" w:history="1">
        <w:r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C5586E" w:rsidRPr="00CD1C0E" w14:paraId="5D5F546F" w14:textId="77777777" w:rsidTr="00AC58FA">
        <w:trPr>
          <w:cantSplit/>
          <w:trHeight w:val="285"/>
        </w:trPr>
        <w:tc>
          <w:tcPr>
            <w:tcW w:w="9158" w:type="dxa"/>
            <w:shd w:val="clear" w:color="auto" w:fill="A6A6A6" w:themeFill="background1" w:themeFillShade="A6"/>
          </w:tcPr>
          <w:p w14:paraId="1D944D1F" w14:textId="77777777" w:rsidR="00C5586E" w:rsidRPr="00C76688" w:rsidRDefault="00C5586E" w:rsidP="00AC58FA">
            <w:pPr>
              <w:pStyle w:val="Heading1"/>
            </w:pPr>
            <w:bookmarkStart w:id="14" w:name="_Toc389473278"/>
            <w:bookmarkStart w:id="15" w:name="_Toc80974786"/>
            <w:r w:rsidRPr="00C76688">
              <w:t>Section 1 –</w:t>
            </w:r>
            <w:r>
              <w:t xml:space="preserve"> </w:t>
            </w:r>
            <w:bookmarkEnd w:id="14"/>
            <w:r>
              <w:t>Assisting Lumbar Puncture</w:t>
            </w:r>
            <w:bookmarkEnd w:id="15"/>
          </w:p>
        </w:tc>
      </w:tr>
    </w:tbl>
    <w:p w14:paraId="2D370CAE" w14:textId="77777777" w:rsidR="00C5586E" w:rsidRDefault="00C5586E" w:rsidP="00C5586E">
      <w:pPr>
        <w:outlineLvl w:val="0"/>
        <w:rPr>
          <w:szCs w:val="24"/>
        </w:rPr>
      </w:pPr>
    </w:p>
    <w:p w14:paraId="33EE2755" w14:textId="77777777" w:rsidR="00C5586E" w:rsidRPr="001F2A9B" w:rsidRDefault="00C5586E" w:rsidP="00C5586E">
      <w:pPr>
        <w:rPr>
          <w:b/>
        </w:rPr>
      </w:pPr>
      <w:r w:rsidRPr="001F2A9B">
        <w:rPr>
          <w:b/>
        </w:rPr>
        <w:t xml:space="preserve">Equipment </w:t>
      </w:r>
    </w:p>
    <w:p w14:paraId="5267C397" w14:textId="77777777" w:rsidR="00C5586E" w:rsidRPr="00FC5F1F" w:rsidRDefault="00C5586E" w:rsidP="00C5586E">
      <w:pPr>
        <w:pStyle w:val="ListBullet"/>
        <w:tabs>
          <w:tab w:val="num" w:pos="1080"/>
        </w:tabs>
        <w:rPr>
          <w:szCs w:val="24"/>
        </w:rPr>
      </w:pPr>
      <w:bookmarkStart w:id="16" w:name="_Toc389473280"/>
      <w:r w:rsidRPr="00FC5F1F">
        <w:rPr>
          <w:szCs w:val="24"/>
        </w:rPr>
        <w:t>Dressing towels x 2</w:t>
      </w:r>
    </w:p>
    <w:p w14:paraId="71C75E48" w14:textId="77777777" w:rsidR="00C5586E" w:rsidRPr="00FC5F1F" w:rsidRDefault="00C5586E" w:rsidP="00C5586E">
      <w:pPr>
        <w:pStyle w:val="ListBullet"/>
        <w:rPr>
          <w:szCs w:val="24"/>
        </w:rPr>
      </w:pPr>
      <w:r w:rsidRPr="00FC5F1F">
        <w:rPr>
          <w:szCs w:val="24"/>
        </w:rPr>
        <w:t>Fenestrated drape and basic dressing pack</w:t>
      </w:r>
    </w:p>
    <w:p w14:paraId="0878D59D" w14:textId="77777777" w:rsidR="00C5586E" w:rsidRDefault="00C5586E" w:rsidP="00C5586E">
      <w:pPr>
        <w:pStyle w:val="ListBullet"/>
        <w:tabs>
          <w:tab w:val="num" w:pos="1080"/>
        </w:tabs>
        <w:rPr>
          <w:szCs w:val="24"/>
        </w:rPr>
      </w:pPr>
      <w:r w:rsidRPr="00FC5F1F">
        <w:rPr>
          <w:szCs w:val="24"/>
        </w:rPr>
        <w:lastRenderedPageBreak/>
        <w:t>Lumbar puncture set or</w:t>
      </w:r>
      <w:r>
        <w:rPr>
          <w:szCs w:val="24"/>
        </w:rPr>
        <w:t>,</w:t>
      </w:r>
      <w:r w:rsidRPr="00FC5F1F">
        <w:rPr>
          <w:szCs w:val="24"/>
        </w:rPr>
        <w:t xml:space="preserve"> if preferred</w:t>
      </w:r>
      <w:r>
        <w:rPr>
          <w:szCs w:val="24"/>
        </w:rPr>
        <w:t>,</w:t>
      </w:r>
      <w:r w:rsidRPr="00FC5F1F">
        <w:rPr>
          <w:szCs w:val="24"/>
        </w:rPr>
        <w:t xml:space="preserve"> a </w:t>
      </w:r>
      <w:proofErr w:type="gramStart"/>
      <w:r w:rsidRPr="00FC5F1F">
        <w:rPr>
          <w:szCs w:val="24"/>
        </w:rPr>
        <w:t>22</w:t>
      </w:r>
      <w:r>
        <w:rPr>
          <w:szCs w:val="24"/>
        </w:rPr>
        <w:t xml:space="preserve"> </w:t>
      </w:r>
      <w:r w:rsidRPr="00FC5F1F">
        <w:rPr>
          <w:szCs w:val="24"/>
        </w:rPr>
        <w:t>g</w:t>
      </w:r>
      <w:r>
        <w:rPr>
          <w:szCs w:val="24"/>
        </w:rPr>
        <w:t>au</w:t>
      </w:r>
      <w:r w:rsidRPr="00FC5F1F">
        <w:rPr>
          <w:szCs w:val="24"/>
        </w:rPr>
        <w:t>ge</w:t>
      </w:r>
      <w:proofErr w:type="gramEnd"/>
      <w:r w:rsidRPr="00FC5F1F">
        <w:rPr>
          <w:szCs w:val="24"/>
        </w:rPr>
        <w:t xml:space="preserve"> lumb</w:t>
      </w:r>
      <w:r>
        <w:rPr>
          <w:szCs w:val="24"/>
        </w:rPr>
        <w:t>a</w:t>
      </w:r>
      <w:r w:rsidRPr="00FC5F1F">
        <w:rPr>
          <w:szCs w:val="24"/>
        </w:rPr>
        <w:t>r puncture needle, manometer</w:t>
      </w:r>
      <w:r>
        <w:rPr>
          <w:szCs w:val="24"/>
        </w:rPr>
        <w:t>,</w:t>
      </w:r>
      <w:r w:rsidRPr="00FC5F1F">
        <w:rPr>
          <w:szCs w:val="24"/>
        </w:rPr>
        <w:t xml:space="preserve"> specimen jars x 3</w:t>
      </w:r>
      <w:r>
        <w:rPr>
          <w:szCs w:val="24"/>
        </w:rPr>
        <w:t xml:space="preserve"> and glucose tube</w:t>
      </w:r>
    </w:p>
    <w:p w14:paraId="1EA7996A" w14:textId="77777777" w:rsidR="00C5586E" w:rsidRPr="00FC5F1F" w:rsidRDefault="00C5586E" w:rsidP="00C5586E">
      <w:pPr>
        <w:pStyle w:val="ListBullet"/>
        <w:tabs>
          <w:tab w:val="num" w:pos="1080"/>
        </w:tabs>
        <w:rPr>
          <w:szCs w:val="24"/>
        </w:rPr>
      </w:pPr>
      <w:r>
        <w:rPr>
          <w:szCs w:val="24"/>
        </w:rPr>
        <w:t>Spare lumbar puncture needles</w:t>
      </w:r>
    </w:p>
    <w:p w14:paraId="1EB545E3" w14:textId="77777777" w:rsidR="00C5586E" w:rsidRPr="00FC5F1F" w:rsidRDefault="00C5586E" w:rsidP="00C5586E">
      <w:pPr>
        <w:pStyle w:val="ListBullet"/>
        <w:tabs>
          <w:tab w:val="num" w:pos="1080"/>
        </w:tabs>
        <w:rPr>
          <w:szCs w:val="24"/>
        </w:rPr>
      </w:pPr>
      <w:r w:rsidRPr="00FC5F1F">
        <w:rPr>
          <w:szCs w:val="24"/>
        </w:rPr>
        <w:t xml:space="preserve">Gown &amp; sterile </w:t>
      </w:r>
      <w:proofErr w:type="gramStart"/>
      <w:r w:rsidRPr="00FC5F1F">
        <w:rPr>
          <w:szCs w:val="24"/>
        </w:rPr>
        <w:t>gloves</w:t>
      </w:r>
      <w:proofErr w:type="gramEnd"/>
    </w:p>
    <w:p w14:paraId="2B46C8CB" w14:textId="77777777" w:rsidR="00C5586E" w:rsidRPr="00FC5F1F" w:rsidRDefault="00C5586E" w:rsidP="00C5586E">
      <w:pPr>
        <w:pStyle w:val="ListBullet"/>
        <w:tabs>
          <w:tab w:val="num" w:pos="1080"/>
        </w:tabs>
        <w:rPr>
          <w:szCs w:val="24"/>
        </w:rPr>
      </w:pPr>
      <w:r>
        <w:rPr>
          <w:szCs w:val="24"/>
        </w:rPr>
        <w:t xml:space="preserve">Personal protective equipment (PPE): gown, protective glasses / </w:t>
      </w:r>
      <w:proofErr w:type="gramStart"/>
      <w:r>
        <w:rPr>
          <w:szCs w:val="24"/>
        </w:rPr>
        <w:t>goggles</w:t>
      </w:r>
      <w:proofErr w:type="gramEnd"/>
      <w:r>
        <w:rPr>
          <w:szCs w:val="24"/>
        </w:rPr>
        <w:t xml:space="preserve"> or face shield</w:t>
      </w:r>
    </w:p>
    <w:p w14:paraId="5591D77B" w14:textId="77777777" w:rsidR="00C5586E" w:rsidRPr="00FC5F1F" w:rsidRDefault="00C5586E" w:rsidP="00C5586E">
      <w:pPr>
        <w:pStyle w:val="ListBullet"/>
        <w:tabs>
          <w:tab w:val="num" w:pos="1080"/>
        </w:tabs>
        <w:rPr>
          <w:szCs w:val="24"/>
        </w:rPr>
      </w:pPr>
      <w:r w:rsidRPr="00FC5F1F">
        <w:rPr>
          <w:szCs w:val="24"/>
        </w:rPr>
        <w:t>Dressing e.g. occlusive dressing</w:t>
      </w:r>
    </w:p>
    <w:p w14:paraId="57046B50" w14:textId="77777777" w:rsidR="00C5586E" w:rsidRDefault="00C5586E" w:rsidP="00C5586E">
      <w:pPr>
        <w:pStyle w:val="ListBullet"/>
        <w:tabs>
          <w:tab w:val="num" w:pos="1080"/>
        </w:tabs>
        <w:rPr>
          <w:szCs w:val="24"/>
        </w:rPr>
      </w:pPr>
      <w:r w:rsidRPr="00FC5F1F">
        <w:rPr>
          <w:szCs w:val="24"/>
        </w:rPr>
        <w:t>Local anaesthetic</w:t>
      </w:r>
      <w:r>
        <w:rPr>
          <w:szCs w:val="24"/>
        </w:rPr>
        <w:t>, lignocaine</w:t>
      </w:r>
      <w:r w:rsidRPr="00FC5F1F">
        <w:rPr>
          <w:szCs w:val="24"/>
        </w:rPr>
        <w:t xml:space="preserve"> 1% ampoules x 2</w:t>
      </w:r>
    </w:p>
    <w:p w14:paraId="5F95CFE6" w14:textId="77777777" w:rsidR="00C5586E" w:rsidRDefault="00C5586E" w:rsidP="00C5586E">
      <w:pPr>
        <w:pStyle w:val="ListBullet"/>
        <w:tabs>
          <w:tab w:val="num" w:pos="1080"/>
        </w:tabs>
        <w:rPr>
          <w:szCs w:val="24"/>
        </w:rPr>
      </w:pPr>
      <w:r>
        <w:rPr>
          <w:szCs w:val="24"/>
        </w:rPr>
        <w:t xml:space="preserve">Drawing up needle x 2 </w:t>
      </w:r>
    </w:p>
    <w:p w14:paraId="1155A3B8" w14:textId="77777777" w:rsidR="00C5586E" w:rsidRPr="00FC5F1F" w:rsidRDefault="00C5586E" w:rsidP="00C5586E">
      <w:pPr>
        <w:pStyle w:val="ListBullet"/>
        <w:rPr>
          <w:szCs w:val="24"/>
        </w:rPr>
      </w:pPr>
      <w:r>
        <w:rPr>
          <w:szCs w:val="24"/>
        </w:rPr>
        <w:t>10 mL syringe x 2</w:t>
      </w:r>
    </w:p>
    <w:p w14:paraId="1D76724F" w14:textId="77777777" w:rsidR="00C5586E" w:rsidRPr="00FC5F1F" w:rsidRDefault="00C5586E" w:rsidP="00C5586E">
      <w:pPr>
        <w:pStyle w:val="ListBullet"/>
        <w:tabs>
          <w:tab w:val="num" w:pos="1080"/>
        </w:tabs>
        <w:rPr>
          <w:szCs w:val="24"/>
        </w:rPr>
      </w:pPr>
      <w:r w:rsidRPr="00FC5F1F">
        <w:rPr>
          <w:szCs w:val="24"/>
        </w:rPr>
        <w:t>Alcohol</w:t>
      </w:r>
      <w:r>
        <w:rPr>
          <w:szCs w:val="24"/>
        </w:rPr>
        <w:t xml:space="preserve"> and</w:t>
      </w:r>
      <w:r w:rsidRPr="00FC5F1F">
        <w:rPr>
          <w:szCs w:val="24"/>
        </w:rPr>
        <w:t xml:space="preserve"> chlorhexidine 2% skin preparation</w:t>
      </w:r>
    </w:p>
    <w:p w14:paraId="640BF778" w14:textId="77777777" w:rsidR="00C5586E" w:rsidRPr="00FC5F1F" w:rsidRDefault="00C5586E" w:rsidP="00C5586E">
      <w:pPr>
        <w:pStyle w:val="ListBullet"/>
        <w:tabs>
          <w:tab w:val="num" w:pos="1080"/>
        </w:tabs>
        <w:rPr>
          <w:szCs w:val="24"/>
        </w:rPr>
      </w:pPr>
      <w:r w:rsidRPr="00FC5F1F">
        <w:rPr>
          <w:szCs w:val="24"/>
        </w:rPr>
        <w:t>Patient identification labels</w:t>
      </w:r>
    </w:p>
    <w:p w14:paraId="3A21AE54" w14:textId="77777777" w:rsidR="00C5586E" w:rsidRPr="00FC5F1F" w:rsidRDefault="00C5586E" w:rsidP="00C5586E">
      <w:pPr>
        <w:pStyle w:val="ListBullet"/>
        <w:tabs>
          <w:tab w:val="num" w:pos="1080"/>
        </w:tabs>
        <w:rPr>
          <w:szCs w:val="24"/>
        </w:rPr>
      </w:pPr>
      <w:r w:rsidRPr="00FC5F1F">
        <w:rPr>
          <w:szCs w:val="24"/>
        </w:rPr>
        <w:t>Sedation and anti-emetic</w:t>
      </w:r>
      <w:r>
        <w:rPr>
          <w:szCs w:val="24"/>
        </w:rPr>
        <w:t xml:space="preserve"> medication for the </w:t>
      </w:r>
      <w:proofErr w:type="spellStart"/>
      <w:r>
        <w:rPr>
          <w:szCs w:val="24"/>
        </w:rPr>
        <w:t>pateint</w:t>
      </w:r>
      <w:proofErr w:type="spellEnd"/>
      <w:r w:rsidRPr="00FC5F1F">
        <w:rPr>
          <w:szCs w:val="24"/>
        </w:rPr>
        <w:t xml:space="preserve"> if </w:t>
      </w:r>
      <w:proofErr w:type="gramStart"/>
      <w:r w:rsidRPr="00FC5F1F">
        <w:rPr>
          <w:szCs w:val="24"/>
        </w:rPr>
        <w:t>required</w:t>
      </w:r>
      <w:proofErr w:type="gramEnd"/>
    </w:p>
    <w:p w14:paraId="3929B065" w14:textId="77777777" w:rsidR="00C5586E" w:rsidRPr="00FC5F1F" w:rsidRDefault="00C5586E" w:rsidP="00C5586E">
      <w:pPr>
        <w:pStyle w:val="ListBullet"/>
        <w:tabs>
          <w:tab w:val="num" w:pos="1080"/>
        </w:tabs>
        <w:rPr>
          <w:szCs w:val="24"/>
        </w:rPr>
      </w:pPr>
      <w:r w:rsidRPr="00FC5F1F">
        <w:rPr>
          <w:szCs w:val="24"/>
        </w:rPr>
        <w:t xml:space="preserve">IV set-up kit if </w:t>
      </w:r>
      <w:proofErr w:type="gramStart"/>
      <w:r w:rsidRPr="00FC5F1F">
        <w:rPr>
          <w:szCs w:val="24"/>
        </w:rPr>
        <w:t>required</w:t>
      </w:r>
      <w:proofErr w:type="gramEnd"/>
    </w:p>
    <w:p w14:paraId="0F60F167" w14:textId="77777777" w:rsidR="00C5586E" w:rsidRPr="00FC5F1F" w:rsidRDefault="00C5586E" w:rsidP="00C5586E">
      <w:pPr>
        <w:pStyle w:val="ListBullet"/>
        <w:tabs>
          <w:tab w:val="num" w:pos="1080"/>
        </w:tabs>
        <w:rPr>
          <w:szCs w:val="24"/>
        </w:rPr>
      </w:pPr>
      <w:proofErr w:type="spellStart"/>
      <w:r w:rsidRPr="00FC5F1F">
        <w:rPr>
          <w:szCs w:val="24"/>
        </w:rPr>
        <w:t>Underpad</w:t>
      </w:r>
      <w:proofErr w:type="spellEnd"/>
      <w:r w:rsidRPr="00FC5F1F">
        <w:rPr>
          <w:szCs w:val="24"/>
        </w:rPr>
        <w:t xml:space="preserve"> to protect bed </w:t>
      </w:r>
      <w:proofErr w:type="gramStart"/>
      <w:r w:rsidRPr="00FC5F1F">
        <w:rPr>
          <w:szCs w:val="24"/>
        </w:rPr>
        <w:t>linen</w:t>
      </w:r>
      <w:proofErr w:type="gramEnd"/>
    </w:p>
    <w:p w14:paraId="1519C6AD" w14:textId="77777777" w:rsidR="00C5586E" w:rsidRDefault="00C5586E" w:rsidP="00C5586E">
      <w:pPr>
        <w:pStyle w:val="ListBullet"/>
        <w:tabs>
          <w:tab w:val="num" w:pos="1080"/>
        </w:tabs>
        <w:rPr>
          <w:szCs w:val="24"/>
        </w:rPr>
      </w:pPr>
      <w:r w:rsidRPr="00FC5F1F">
        <w:rPr>
          <w:szCs w:val="24"/>
        </w:rPr>
        <w:t>Sharps container</w:t>
      </w:r>
    </w:p>
    <w:p w14:paraId="18E78E8D" w14:textId="77777777" w:rsidR="00C5586E" w:rsidRDefault="00C5586E" w:rsidP="00C5586E">
      <w:pPr>
        <w:pStyle w:val="ListBullet"/>
        <w:tabs>
          <w:tab w:val="num" w:pos="1080"/>
        </w:tabs>
        <w:rPr>
          <w:szCs w:val="24"/>
        </w:rPr>
      </w:pPr>
      <w:r>
        <w:rPr>
          <w:szCs w:val="24"/>
        </w:rPr>
        <w:t>Clinical waste bin</w:t>
      </w:r>
    </w:p>
    <w:p w14:paraId="06547771" w14:textId="77777777" w:rsidR="00C5586E" w:rsidRPr="00FC5F1F" w:rsidRDefault="00C5586E" w:rsidP="00C5586E">
      <w:pPr>
        <w:pStyle w:val="ListBullet"/>
        <w:tabs>
          <w:tab w:val="num" w:pos="1080"/>
        </w:tabs>
        <w:rPr>
          <w:szCs w:val="24"/>
        </w:rPr>
      </w:pPr>
      <w:r>
        <w:rPr>
          <w:szCs w:val="24"/>
        </w:rPr>
        <w:t xml:space="preserve">Cytotoxic PPE and waste bin/sharps container if patient is receiving cytotoxic medications or </w:t>
      </w:r>
      <w:proofErr w:type="gramStart"/>
      <w:r>
        <w:rPr>
          <w:szCs w:val="24"/>
        </w:rPr>
        <w:t>chemotherapy</w:t>
      </w:r>
      <w:proofErr w:type="gramEnd"/>
      <w:r w:rsidRPr="00FC5F1F">
        <w:rPr>
          <w:szCs w:val="24"/>
        </w:rPr>
        <w:t xml:space="preserve"> </w:t>
      </w:r>
    </w:p>
    <w:p w14:paraId="7176D0B6" w14:textId="77777777" w:rsidR="00C5586E" w:rsidRDefault="00C5586E" w:rsidP="00C5586E"/>
    <w:p w14:paraId="7631CBD4" w14:textId="77777777" w:rsidR="00C5586E" w:rsidRPr="00201FB6" w:rsidRDefault="00C5586E" w:rsidP="00C5586E">
      <w:pPr>
        <w:rPr>
          <w:b/>
        </w:rPr>
      </w:pPr>
      <w:r w:rsidRPr="00201FB6">
        <w:rPr>
          <w:b/>
        </w:rPr>
        <w:t>Procedure</w:t>
      </w:r>
      <w:bookmarkEnd w:id="16"/>
      <w:r w:rsidRPr="00201FB6">
        <w:rPr>
          <w:b/>
        </w:rPr>
        <w:t xml:space="preserve"> </w:t>
      </w:r>
    </w:p>
    <w:p w14:paraId="6F656BA4" w14:textId="77777777" w:rsidR="00C5586E" w:rsidRDefault="00C5586E" w:rsidP="00C5586E">
      <w:pPr>
        <w:pStyle w:val="ListParagraph"/>
        <w:numPr>
          <w:ilvl w:val="0"/>
          <w:numId w:val="11"/>
        </w:numPr>
        <w:ind w:left="426" w:hanging="426"/>
        <w:rPr>
          <w:szCs w:val="24"/>
          <w:lang w:eastAsia="en-AU"/>
        </w:rPr>
      </w:pPr>
      <w:r>
        <w:rPr>
          <w:szCs w:val="24"/>
          <w:lang w:eastAsia="en-AU"/>
        </w:rPr>
        <w:t>Ensure</w:t>
      </w:r>
      <w:r w:rsidRPr="00FC5F1F">
        <w:rPr>
          <w:szCs w:val="24"/>
          <w:lang w:eastAsia="en-AU"/>
        </w:rPr>
        <w:t xml:space="preserve"> relevant admission</w:t>
      </w:r>
      <w:r>
        <w:rPr>
          <w:szCs w:val="24"/>
          <w:lang w:eastAsia="en-AU"/>
        </w:rPr>
        <w:t xml:space="preserve"> process for the patient is completed</w:t>
      </w:r>
      <w:r w:rsidRPr="00FC5F1F">
        <w:rPr>
          <w:szCs w:val="24"/>
          <w:lang w:eastAsia="en-AU"/>
        </w:rPr>
        <w:t xml:space="preserve"> by </w:t>
      </w:r>
      <w:proofErr w:type="spellStart"/>
      <w:r>
        <w:rPr>
          <w:szCs w:val="24"/>
          <w:lang w:eastAsia="en-AU"/>
        </w:rPr>
        <w:t>Administraiton</w:t>
      </w:r>
      <w:proofErr w:type="spellEnd"/>
      <w:r>
        <w:rPr>
          <w:szCs w:val="24"/>
          <w:lang w:eastAsia="en-AU"/>
        </w:rPr>
        <w:t xml:space="preserve"> staff</w:t>
      </w:r>
      <w:r w:rsidRPr="00FC5F1F">
        <w:rPr>
          <w:szCs w:val="24"/>
          <w:lang w:eastAsia="en-AU"/>
        </w:rPr>
        <w:t>, Medical Office</w:t>
      </w:r>
      <w:r>
        <w:rPr>
          <w:szCs w:val="24"/>
          <w:lang w:eastAsia="en-AU"/>
        </w:rPr>
        <w:t>r</w:t>
      </w:r>
      <w:r w:rsidRPr="00FC5F1F">
        <w:rPr>
          <w:szCs w:val="24"/>
          <w:lang w:eastAsia="en-AU"/>
        </w:rPr>
        <w:t xml:space="preserve"> and Nurse if required</w:t>
      </w:r>
      <w:r>
        <w:rPr>
          <w:szCs w:val="24"/>
          <w:lang w:eastAsia="en-AU"/>
        </w:rPr>
        <w:t>.</w:t>
      </w:r>
    </w:p>
    <w:p w14:paraId="20DF5483" w14:textId="77777777" w:rsidR="00C5586E" w:rsidRDefault="00C5586E" w:rsidP="00C5586E">
      <w:pPr>
        <w:pStyle w:val="ListBullet"/>
        <w:numPr>
          <w:ilvl w:val="0"/>
          <w:numId w:val="11"/>
        </w:numPr>
        <w:ind w:left="426" w:hanging="426"/>
        <w:rPr>
          <w:szCs w:val="24"/>
          <w:lang w:eastAsia="en-AU"/>
        </w:rPr>
      </w:pPr>
      <w:r>
        <w:rPr>
          <w:szCs w:val="24"/>
          <w:lang w:eastAsia="en-AU"/>
        </w:rPr>
        <w:t>Confirm the patient’s</w:t>
      </w:r>
      <w:r w:rsidRPr="0092789D">
        <w:rPr>
          <w:szCs w:val="24"/>
          <w:lang w:eastAsia="en-AU"/>
        </w:rPr>
        <w:t xml:space="preserve"> identification</w:t>
      </w:r>
      <w:r>
        <w:rPr>
          <w:szCs w:val="24"/>
          <w:lang w:eastAsia="en-AU"/>
        </w:rPr>
        <w:t xml:space="preserve"> and ensure that they have an identification band secured, </w:t>
      </w:r>
      <w:r w:rsidRPr="0092789D">
        <w:rPr>
          <w:szCs w:val="24"/>
          <w:lang w:eastAsia="en-AU"/>
        </w:rPr>
        <w:t>as per</w:t>
      </w:r>
      <w:r>
        <w:rPr>
          <w:szCs w:val="24"/>
          <w:lang w:eastAsia="en-AU"/>
        </w:rPr>
        <w:t xml:space="preserve"> CHS </w:t>
      </w:r>
      <w:r w:rsidRPr="0092789D">
        <w:rPr>
          <w:szCs w:val="24"/>
          <w:lang w:eastAsia="en-AU"/>
        </w:rPr>
        <w:t>Patient Identification</w:t>
      </w:r>
      <w:r w:rsidRPr="002149EF">
        <w:rPr>
          <w:rFonts w:cs="Arial"/>
          <w:szCs w:val="24"/>
        </w:rPr>
        <w:t xml:space="preserve"> and Procedure Matching</w:t>
      </w:r>
      <w:r w:rsidRPr="0092789D">
        <w:rPr>
          <w:szCs w:val="24"/>
          <w:lang w:eastAsia="en-AU"/>
        </w:rPr>
        <w:t xml:space="preserve"> </w:t>
      </w:r>
      <w:r>
        <w:rPr>
          <w:szCs w:val="24"/>
          <w:lang w:eastAsia="en-AU"/>
        </w:rPr>
        <w:t>Procedure</w:t>
      </w:r>
    </w:p>
    <w:p w14:paraId="32B9E8A7" w14:textId="77777777" w:rsidR="00C5586E" w:rsidRDefault="00C5586E" w:rsidP="00C5586E">
      <w:pPr>
        <w:pStyle w:val="ListBullet"/>
        <w:numPr>
          <w:ilvl w:val="0"/>
          <w:numId w:val="11"/>
        </w:numPr>
        <w:ind w:left="426" w:hanging="426"/>
        <w:rPr>
          <w:szCs w:val="24"/>
          <w:lang w:eastAsia="en-AU"/>
        </w:rPr>
      </w:pPr>
      <w:r w:rsidRPr="00FC5F1F">
        <w:rPr>
          <w:szCs w:val="24"/>
          <w:lang w:eastAsia="en-AU"/>
        </w:rPr>
        <w:t xml:space="preserve">Record baseline observations </w:t>
      </w:r>
      <w:r>
        <w:rPr>
          <w:szCs w:val="24"/>
          <w:lang w:eastAsia="en-AU"/>
        </w:rPr>
        <w:t xml:space="preserve">including heartrate and rhythm, respiratory rate, blood pressure, oxygen saturation, temperature, blood glucose levels (BGL) </w:t>
      </w:r>
      <w:r w:rsidRPr="00FC5F1F">
        <w:rPr>
          <w:szCs w:val="24"/>
          <w:lang w:eastAsia="en-AU"/>
        </w:rPr>
        <w:t>and neurological status</w:t>
      </w:r>
      <w:r>
        <w:rPr>
          <w:szCs w:val="24"/>
          <w:lang w:eastAsia="en-AU"/>
        </w:rPr>
        <w:t xml:space="preserve"> of the </w:t>
      </w:r>
      <w:proofErr w:type="gramStart"/>
      <w:r>
        <w:rPr>
          <w:szCs w:val="24"/>
          <w:lang w:eastAsia="en-AU"/>
        </w:rPr>
        <w:t>patient</w:t>
      </w:r>
      <w:proofErr w:type="gramEnd"/>
    </w:p>
    <w:p w14:paraId="211F17F3" w14:textId="77777777" w:rsidR="00C5586E" w:rsidRPr="00BF7313" w:rsidRDefault="00C5586E" w:rsidP="00C5586E">
      <w:pPr>
        <w:pStyle w:val="ListParagraph"/>
        <w:numPr>
          <w:ilvl w:val="0"/>
          <w:numId w:val="11"/>
        </w:numPr>
        <w:autoSpaceDE w:val="0"/>
        <w:autoSpaceDN w:val="0"/>
        <w:adjustRightInd w:val="0"/>
        <w:spacing w:line="276" w:lineRule="auto"/>
        <w:contextualSpacing w:val="0"/>
        <w:rPr>
          <w:rFonts w:cs="Arial"/>
          <w:lang w:val="en-US"/>
        </w:rPr>
      </w:pPr>
      <w:bookmarkStart w:id="17" w:name="_Hlk163636977"/>
      <w:r>
        <w:rPr>
          <w:rFonts w:cs="Arial"/>
          <w:bCs/>
          <w:lang w:val="en-US"/>
        </w:rPr>
        <w:t>Check INR &lt; 1.4, no thrombocytopenia present, and anticoagulants have not given within</w:t>
      </w:r>
      <w:bookmarkEnd w:id="17"/>
      <w:r>
        <w:rPr>
          <w:rFonts w:cs="Arial"/>
          <w:bCs/>
          <w:lang w:val="en-US"/>
        </w:rPr>
        <w:t xml:space="preserve"> timeframes recommended in Fig 1 (attachment). Notify medical officer of any concerns. </w:t>
      </w:r>
    </w:p>
    <w:p w14:paraId="40E6917B" w14:textId="77777777" w:rsidR="00C5586E" w:rsidRDefault="00C5586E" w:rsidP="00C5586E">
      <w:pPr>
        <w:pStyle w:val="ListBullet"/>
        <w:numPr>
          <w:ilvl w:val="0"/>
          <w:numId w:val="11"/>
        </w:numPr>
        <w:ind w:left="426" w:hanging="426"/>
        <w:rPr>
          <w:szCs w:val="24"/>
          <w:lang w:eastAsia="en-AU"/>
        </w:rPr>
      </w:pPr>
      <w:r>
        <w:rPr>
          <w:szCs w:val="24"/>
          <w:lang w:eastAsia="en-AU"/>
        </w:rPr>
        <w:t>Have</w:t>
      </w:r>
      <w:r w:rsidRPr="00FC5F1F">
        <w:rPr>
          <w:szCs w:val="24"/>
          <w:lang w:eastAsia="en-AU"/>
        </w:rPr>
        <w:t xml:space="preserve"> the patient empty</w:t>
      </w:r>
      <w:r>
        <w:rPr>
          <w:szCs w:val="24"/>
          <w:lang w:eastAsia="en-AU"/>
        </w:rPr>
        <w:t xml:space="preserve"> their</w:t>
      </w:r>
      <w:r w:rsidRPr="00FC5F1F">
        <w:rPr>
          <w:szCs w:val="24"/>
          <w:lang w:eastAsia="en-AU"/>
        </w:rPr>
        <w:t xml:space="preserve"> bladder before the procedure is </w:t>
      </w:r>
      <w:proofErr w:type="gramStart"/>
      <w:r w:rsidRPr="00FC5F1F">
        <w:rPr>
          <w:szCs w:val="24"/>
          <w:lang w:eastAsia="en-AU"/>
        </w:rPr>
        <w:t>performed</w:t>
      </w:r>
      <w:proofErr w:type="gramEnd"/>
      <w:r>
        <w:rPr>
          <w:szCs w:val="24"/>
          <w:lang w:eastAsia="en-AU"/>
        </w:rPr>
        <w:t xml:space="preserve">  </w:t>
      </w:r>
    </w:p>
    <w:p w14:paraId="6867EB1B" w14:textId="77777777" w:rsidR="00C5586E" w:rsidRPr="00FC5F1F" w:rsidRDefault="00C5586E" w:rsidP="00C5586E">
      <w:pPr>
        <w:pStyle w:val="ListBullet"/>
        <w:numPr>
          <w:ilvl w:val="0"/>
          <w:numId w:val="11"/>
        </w:numPr>
        <w:ind w:left="426" w:hanging="426"/>
        <w:rPr>
          <w:szCs w:val="24"/>
          <w:lang w:eastAsia="en-AU"/>
        </w:rPr>
      </w:pPr>
      <w:r>
        <w:rPr>
          <w:szCs w:val="24"/>
          <w:lang w:eastAsia="en-AU"/>
        </w:rPr>
        <w:t>E</w:t>
      </w:r>
      <w:r w:rsidRPr="00FC5F1F">
        <w:rPr>
          <w:szCs w:val="24"/>
          <w:lang w:eastAsia="en-AU"/>
        </w:rPr>
        <w:t>nsure privacy</w:t>
      </w:r>
      <w:r>
        <w:rPr>
          <w:szCs w:val="24"/>
          <w:lang w:eastAsia="en-AU"/>
        </w:rPr>
        <w:t xml:space="preserve"> for the patient throughout the </w:t>
      </w:r>
      <w:proofErr w:type="gramStart"/>
      <w:r>
        <w:rPr>
          <w:szCs w:val="24"/>
          <w:lang w:eastAsia="en-AU"/>
        </w:rPr>
        <w:t>procedure</w:t>
      </w:r>
      <w:proofErr w:type="gramEnd"/>
    </w:p>
    <w:p w14:paraId="75B35953" w14:textId="77777777" w:rsidR="00C5586E" w:rsidRDefault="00C5586E" w:rsidP="00C5586E">
      <w:pPr>
        <w:pStyle w:val="ListBullet"/>
        <w:numPr>
          <w:ilvl w:val="0"/>
          <w:numId w:val="11"/>
        </w:numPr>
        <w:ind w:left="426" w:hanging="426"/>
        <w:rPr>
          <w:szCs w:val="24"/>
          <w:lang w:eastAsia="en-AU"/>
        </w:rPr>
      </w:pPr>
      <w:r>
        <w:rPr>
          <w:szCs w:val="24"/>
          <w:lang w:eastAsia="en-AU"/>
        </w:rPr>
        <w:t xml:space="preserve">Ask the patient to change into a hospital </w:t>
      </w:r>
      <w:proofErr w:type="gramStart"/>
      <w:r>
        <w:rPr>
          <w:szCs w:val="24"/>
          <w:lang w:eastAsia="en-AU"/>
        </w:rPr>
        <w:t>gown</w:t>
      </w:r>
      <w:proofErr w:type="gramEnd"/>
    </w:p>
    <w:p w14:paraId="7C76C247" w14:textId="77777777" w:rsidR="00C5586E" w:rsidRDefault="00C5586E" w:rsidP="00C5586E">
      <w:pPr>
        <w:pStyle w:val="ListBullet"/>
        <w:numPr>
          <w:ilvl w:val="0"/>
          <w:numId w:val="11"/>
        </w:numPr>
        <w:ind w:left="426" w:hanging="426"/>
        <w:rPr>
          <w:szCs w:val="24"/>
          <w:lang w:eastAsia="en-AU"/>
        </w:rPr>
      </w:pPr>
      <w:r>
        <w:rPr>
          <w:szCs w:val="24"/>
          <w:lang w:eastAsia="en-AU"/>
        </w:rPr>
        <w:t>Ensure</w:t>
      </w:r>
      <w:r w:rsidRPr="0092789D">
        <w:rPr>
          <w:szCs w:val="24"/>
          <w:lang w:eastAsia="en-AU"/>
        </w:rPr>
        <w:t xml:space="preserve"> the medical officer explains the procedure to the patient, outlines possible post-procedure symptoms, </w:t>
      </w:r>
      <w:r>
        <w:rPr>
          <w:szCs w:val="24"/>
          <w:lang w:eastAsia="en-AU"/>
        </w:rPr>
        <w:t xml:space="preserve">and </w:t>
      </w:r>
      <w:r w:rsidRPr="0092789D">
        <w:rPr>
          <w:szCs w:val="24"/>
          <w:lang w:eastAsia="en-AU"/>
        </w:rPr>
        <w:t>obtains verbal consent</w:t>
      </w:r>
      <w:r>
        <w:rPr>
          <w:szCs w:val="24"/>
          <w:lang w:eastAsia="en-AU"/>
        </w:rPr>
        <w:t>, as per Informed Consent (Clinical) Policy</w:t>
      </w:r>
    </w:p>
    <w:p w14:paraId="73082B2E" w14:textId="77777777" w:rsidR="00C5586E" w:rsidRPr="0092789D" w:rsidRDefault="00C5586E" w:rsidP="00C5586E">
      <w:pPr>
        <w:pStyle w:val="ListBullet"/>
        <w:numPr>
          <w:ilvl w:val="0"/>
          <w:numId w:val="11"/>
        </w:numPr>
        <w:ind w:left="426" w:hanging="426"/>
        <w:rPr>
          <w:szCs w:val="24"/>
          <w:lang w:eastAsia="en-AU"/>
        </w:rPr>
      </w:pPr>
      <w:r>
        <w:rPr>
          <w:szCs w:val="24"/>
          <w:lang w:eastAsia="en-AU"/>
        </w:rPr>
        <w:t xml:space="preserve">Perform hand </w:t>
      </w:r>
      <w:proofErr w:type="gramStart"/>
      <w:r>
        <w:rPr>
          <w:szCs w:val="24"/>
          <w:lang w:eastAsia="en-AU"/>
        </w:rPr>
        <w:t>hygiene</w:t>
      </w:r>
      <w:proofErr w:type="gramEnd"/>
    </w:p>
    <w:p w14:paraId="1B6D7AA0" w14:textId="77777777" w:rsidR="00C5586E" w:rsidRDefault="00C5586E" w:rsidP="00C5586E">
      <w:pPr>
        <w:pStyle w:val="ListBullet"/>
        <w:numPr>
          <w:ilvl w:val="0"/>
          <w:numId w:val="11"/>
        </w:numPr>
        <w:ind w:left="426" w:hanging="426"/>
        <w:rPr>
          <w:szCs w:val="24"/>
          <w:lang w:eastAsia="en-AU"/>
        </w:rPr>
      </w:pPr>
      <w:r>
        <w:rPr>
          <w:szCs w:val="24"/>
          <w:lang w:eastAsia="en-AU"/>
        </w:rPr>
        <w:t xml:space="preserve">Insert IV cannula if required for </w:t>
      </w:r>
      <w:proofErr w:type="gramStart"/>
      <w:r>
        <w:rPr>
          <w:szCs w:val="24"/>
          <w:lang w:eastAsia="en-AU"/>
        </w:rPr>
        <w:t>sedation</w:t>
      </w:r>
      <w:proofErr w:type="gramEnd"/>
    </w:p>
    <w:p w14:paraId="520609CA" w14:textId="77777777" w:rsidR="00C5586E" w:rsidRDefault="00C5586E" w:rsidP="00C5586E">
      <w:pPr>
        <w:pStyle w:val="ListBullet"/>
        <w:numPr>
          <w:ilvl w:val="0"/>
          <w:numId w:val="11"/>
        </w:numPr>
        <w:ind w:left="426" w:hanging="426"/>
        <w:rPr>
          <w:szCs w:val="24"/>
          <w:lang w:eastAsia="en-AU"/>
        </w:rPr>
      </w:pPr>
      <w:r>
        <w:rPr>
          <w:szCs w:val="24"/>
          <w:lang w:eastAsia="en-AU"/>
        </w:rPr>
        <w:t xml:space="preserve">Perform hand </w:t>
      </w:r>
      <w:proofErr w:type="gramStart"/>
      <w:r>
        <w:rPr>
          <w:szCs w:val="24"/>
          <w:lang w:eastAsia="en-AU"/>
        </w:rPr>
        <w:t>hygiene</w:t>
      </w:r>
      <w:proofErr w:type="gramEnd"/>
    </w:p>
    <w:p w14:paraId="4CB27707" w14:textId="77777777" w:rsidR="00C5586E" w:rsidRPr="00FC5F1F" w:rsidRDefault="00C5586E" w:rsidP="00C5586E">
      <w:pPr>
        <w:pStyle w:val="ListBullet"/>
        <w:numPr>
          <w:ilvl w:val="0"/>
          <w:numId w:val="11"/>
        </w:numPr>
        <w:ind w:left="426" w:hanging="426"/>
        <w:rPr>
          <w:szCs w:val="24"/>
          <w:lang w:eastAsia="en-AU"/>
        </w:rPr>
      </w:pPr>
      <w:r>
        <w:rPr>
          <w:szCs w:val="24"/>
          <w:lang w:eastAsia="en-AU"/>
        </w:rPr>
        <w:t xml:space="preserve">Obtain a procedural trolley, clean all surfaces with detergent impregnated </w:t>
      </w:r>
      <w:proofErr w:type="gramStart"/>
      <w:r>
        <w:rPr>
          <w:szCs w:val="24"/>
          <w:lang w:eastAsia="en-AU"/>
        </w:rPr>
        <w:t>wipes</w:t>
      </w:r>
      <w:proofErr w:type="gramEnd"/>
    </w:p>
    <w:p w14:paraId="758D2FEA" w14:textId="77777777" w:rsidR="00C5586E" w:rsidRPr="00FC5F1F" w:rsidRDefault="00C5586E" w:rsidP="00C5586E">
      <w:pPr>
        <w:pStyle w:val="ListBullet"/>
        <w:numPr>
          <w:ilvl w:val="0"/>
          <w:numId w:val="11"/>
        </w:numPr>
        <w:ind w:left="426" w:hanging="426"/>
        <w:rPr>
          <w:szCs w:val="24"/>
          <w:lang w:eastAsia="en-AU"/>
        </w:rPr>
      </w:pPr>
      <w:r w:rsidRPr="00FC5F1F">
        <w:rPr>
          <w:szCs w:val="24"/>
          <w:lang w:eastAsia="en-AU"/>
        </w:rPr>
        <w:t xml:space="preserve">Perform </w:t>
      </w:r>
      <w:r>
        <w:rPr>
          <w:szCs w:val="24"/>
          <w:lang w:eastAsia="en-AU"/>
        </w:rPr>
        <w:t>h</w:t>
      </w:r>
      <w:r w:rsidRPr="00FC5F1F">
        <w:rPr>
          <w:szCs w:val="24"/>
          <w:lang w:eastAsia="en-AU"/>
        </w:rPr>
        <w:t xml:space="preserve">and </w:t>
      </w:r>
      <w:proofErr w:type="gramStart"/>
      <w:r w:rsidRPr="00FC5F1F">
        <w:rPr>
          <w:szCs w:val="24"/>
          <w:lang w:eastAsia="en-AU"/>
        </w:rPr>
        <w:t>hygiene</w:t>
      </w:r>
      <w:proofErr w:type="gramEnd"/>
    </w:p>
    <w:p w14:paraId="4474252F" w14:textId="77777777" w:rsidR="00C5586E" w:rsidRPr="00FC5F1F" w:rsidRDefault="00C5586E" w:rsidP="00C5586E">
      <w:pPr>
        <w:pStyle w:val="ListBullet"/>
        <w:numPr>
          <w:ilvl w:val="0"/>
          <w:numId w:val="11"/>
        </w:numPr>
        <w:ind w:left="426" w:hanging="426"/>
        <w:rPr>
          <w:szCs w:val="24"/>
          <w:lang w:eastAsia="en-AU"/>
        </w:rPr>
      </w:pPr>
      <w:r w:rsidRPr="00FC5F1F">
        <w:rPr>
          <w:szCs w:val="24"/>
          <w:lang w:eastAsia="en-AU"/>
        </w:rPr>
        <w:t>Prepare equipment</w:t>
      </w:r>
      <w:r>
        <w:rPr>
          <w:szCs w:val="24"/>
          <w:lang w:eastAsia="en-AU"/>
        </w:rPr>
        <w:t xml:space="preserve"> on the aseptic </w:t>
      </w:r>
      <w:proofErr w:type="gramStart"/>
      <w:r>
        <w:rPr>
          <w:szCs w:val="24"/>
          <w:lang w:eastAsia="en-AU"/>
        </w:rPr>
        <w:t>field</w:t>
      </w:r>
      <w:proofErr w:type="gramEnd"/>
      <w:r>
        <w:rPr>
          <w:szCs w:val="24"/>
          <w:lang w:eastAsia="en-AU"/>
        </w:rPr>
        <w:t xml:space="preserve"> </w:t>
      </w:r>
    </w:p>
    <w:p w14:paraId="36C35B9C" w14:textId="77777777" w:rsidR="00C5586E" w:rsidRPr="00FC5F1F" w:rsidRDefault="00C5586E" w:rsidP="00C5586E">
      <w:pPr>
        <w:pStyle w:val="ListBullet"/>
        <w:numPr>
          <w:ilvl w:val="0"/>
          <w:numId w:val="11"/>
        </w:numPr>
        <w:ind w:left="426" w:hanging="426"/>
        <w:rPr>
          <w:szCs w:val="24"/>
          <w:lang w:eastAsia="en-AU"/>
        </w:rPr>
      </w:pPr>
      <w:r w:rsidRPr="00FC5F1F">
        <w:rPr>
          <w:szCs w:val="24"/>
          <w:lang w:eastAsia="en-AU"/>
        </w:rPr>
        <w:t xml:space="preserve">Position the patient in the </w:t>
      </w:r>
      <w:r>
        <w:rPr>
          <w:szCs w:val="24"/>
          <w:lang w:eastAsia="en-AU"/>
        </w:rPr>
        <w:t xml:space="preserve">left </w:t>
      </w:r>
      <w:r w:rsidRPr="00FC5F1F">
        <w:rPr>
          <w:szCs w:val="24"/>
          <w:lang w:eastAsia="en-AU"/>
        </w:rPr>
        <w:t xml:space="preserve">lateral position </w:t>
      </w:r>
      <w:r>
        <w:rPr>
          <w:szCs w:val="24"/>
          <w:lang w:eastAsia="en-AU"/>
        </w:rPr>
        <w:t>with</w:t>
      </w:r>
      <w:r w:rsidRPr="00FC5F1F">
        <w:rPr>
          <w:szCs w:val="24"/>
          <w:lang w:eastAsia="en-AU"/>
        </w:rPr>
        <w:t xml:space="preserve"> </w:t>
      </w:r>
      <w:r>
        <w:rPr>
          <w:szCs w:val="24"/>
          <w:lang w:eastAsia="en-AU"/>
        </w:rPr>
        <w:t>flexed</w:t>
      </w:r>
      <w:r w:rsidRPr="00FC5F1F">
        <w:rPr>
          <w:szCs w:val="24"/>
          <w:lang w:eastAsia="en-AU"/>
        </w:rPr>
        <w:t xml:space="preserve"> back close to the edge of the bed</w:t>
      </w:r>
      <w:r>
        <w:rPr>
          <w:szCs w:val="24"/>
          <w:lang w:eastAsia="en-AU"/>
        </w:rPr>
        <w:t>,</w:t>
      </w:r>
      <w:r w:rsidRPr="00FC5F1F">
        <w:rPr>
          <w:szCs w:val="24"/>
          <w:lang w:eastAsia="en-AU"/>
        </w:rPr>
        <w:t xml:space="preserve"> knees flexed</w:t>
      </w:r>
      <w:r>
        <w:rPr>
          <w:szCs w:val="24"/>
          <w:lang w:eastAsia="en-AU"/>
        </w:rPr>
        <w:t xml:space="preserve">, neck flexed, and arms under knees, </w:t>
      </w:r>
      <w:r w:rsidRPr="00FC5F1F">
        <w:rPr>
          <w:szCs w:val="24"/>
          <w:lang w:eastAsia="en-AU"/>
        </w:rPr>
        <w:t xml:space="preserve">or position as requested by the medical </w:t>
      </w:r>
      <w:proofErr w:type="gramStart"/>
      <w:r w:rsidRPr="00FC5F1F">
        <w:rPr>
          <w:szCs w:val="24"/>
          <w:lang w:eastAsia="en-AU"/>
        </w:rPr>
        <w:t>officer</w:t>
      </w:r>
      <w:proofErr w:type="gramEnd"/>
    </w:p>
    <w:p w14:paraId="7F9E39D9" w14:textId="77777777" w:rsidR="00C5586E" w:rsidRDefault="00C5586E" w:rsidP="00C5586E">
      <w:pPr>
        <w:pStyle w:val="ListBullet"/>
        <w:numPr>
          <w:ilvl w:val="0"/>
          <w:numId w:val="11"/>
        </w:numPr>
        <w:rPr>
          <w:szCs w:val="24"/>
          <w:lang w:eastAsia="en-AU"/>
        </w:rPr>
      </w:pPr>
      <w:r>
        <w:rPr>
          <w:szCs w:val="24"/>
          <w:lang w:eastAsia="en-AU"/>
        </w:rPr>
        <w:lastRenderedPageBreak/>
        <w:t xml:space="preserve"> </w:t>
      </w:r>
      <w:r w:rsidRPr="00FC5F1F">
        <w:rPr>
          <w:szCs w:val="24"/>
          <w:lang w:eastAsia="en-AU"/>
        </w:rPr>
        <w:t xml:space="preserve">Arrange </w:t>
      </w:r>
      <w:r>
        <w:rPr>
          <w:szCs w:val="24"/>
          <w:lang w:eastAsia="en-AU"/>
        </w:rPr>
        <w:t>patient’s</w:t>
      </w:r>
      <w:r w:rsidRPr="00FC5F1F">
        <w:rPr>
          <w:szCs w:val="24"/>
          <w:lang w:eastAsia="en-AU"/>
        </w:rPr>
        <w:t xml:space="preserve"> </w:t>
      </w:r>
      <w:r>
        <w:rPr>
          <w:szCs w:val="24"/>
          <w:lang w:eastAsia="en-AU"/>
        </w:rPr>
        <w:t xml:space="preserve">lower limb </w:t>
      </w:r>
      <w:r w:rsidRPr="00FC5F1F">
        <w:rPr>
          <w:szCs w:val="24"/>
          <w:lang w:eastAsia="en-AU"/>
        </w:rPr>
        <w:t>cloth</w:t>
      </w:r>
      <w:r>
        <w:rPr>
          <w:szCs w:val="24"/>
          <w:lang w:eastAsia="en-AU"/>
        </w:rPr>
        <w:t xml:space="preserve">ing </w:t>
      </w:r>
      <w:r w:rsidRPr="00FC5F1F">
        <w:rPr>
          <w:szCs w:val="24"/>
          <w:lang w:eastAsia="en-AU"/>
        </w:rPr>
        <w:t xml:space="preserve">to expose lower lumbar </w:t>
      </w:r>
      <w:proofErr w:type="gramStart"/>
      <w:r w:rsidRPr="00FC5F1F">
        <w:rPr>
          <w:szCs w:val="24"/>
          <w:lang w:eastAsia="en-AU"/>
        </w:rPr>
        <w:t>area</w:t>
      </w:r>
      <w:proofErr w:type="gramEnd"/>
    </w:p>
    <w:p w14:paraId="741E334A" w14:textId="77777777" w:rsidR="00C5586E" w:rsidRPr="00FC5F1F" w:rsidRDefault="00C5586E" w:rsidP="00C5586E">
      <w:pPr>
        <w:pStyle w:val="ListBullet"/>
        <w:numPr>
          <w:ilvl w:val="0"/>
          <w:numId w:val="11"/>
        </w:numPr>
        <w:ind w:left="426" w:hanging="426"/>
        <w:rPr>
          <w:szCs w:val="24"/>
          <w:lang w:eastAsia="en-AU"/>
        </w:rPr>
      </w:pPr>
      <w:r w:rsidRPr="00FC5F1F">
        <w:rPr>
          <w:szCs w:val="24"/>
          <w:lang w:eastAsia="en-AU"/>
        </w:rPr>
        <w:t xml:space="preserve">Administer sedation </w:t>
      </w:r>
      <w:r>
        <w:rPr>
          <w:szCs w:val="24"/>
          <w:lang w:eastAsia="en-AU"/>
        </w:rPr>
        <w:t>if</w:t>
      </w:r>
      <w:r w:rsidRPr="00FC5F1F">
        <w:rPr>
          <w:szCs w:val="24"/>
          <w:lang w:eastAsia="en-AU"/>
        </w:rPr>
        <w:t xml:space="preserve"> ordered by the medical officer</w:t>
      </w:r>
      <w:r>
        <w:rPr>
          <w:szCs w:val="24"/>
          <w:lang w:eastAsia="en-AU"/>
        </w:rPr>
        <w:t xml:space="preserve"> and document in the patient’s medication chart. Patients pulse oximetry should be monitored and recorded if sedation is administered.</w:t>
      </w:r>
    </w:p>
    <w:p w14:paraId="45A288A8" w14:textId="77777777" w:rsidR="00C5586E" w:rsidRPr="00FC5F1F" w:rsidRDefault="00C5586E" w:rsidP="00C5586E">
      <w:pPr>
        <w:pStyle w:val="ListBullet"/>
        <w:numPr>
          <w:ilvl w:val="0"/>
          <w:numId w:val="11"/>
        </w:numPr>
        <w:ind w:left="426" w:hanging="426"/>
        <w:rPr>
          <w:szCs w:val="24"/>
          <w:lang w:eastAsia="en-AU"/>
        </w:rPr>
      </w:pPr>
      <w:r w:rsidRPr="00FC5F1F">
        <w:rPr>
          <w:szCs w:val="24"/>
          <w:lang w:eastAsia="en-AU"/>
        </w:rPr>
        <w:t>Assist the medical officer as required during the procedure</w:t>
      </w:r>
      <w:r>
        <w:rPr>
          <w:szCs w:val="24"/>
          <w:lang w:eastAsia="en-AU"/>
        </w:rPr>
        <w:t xml:space="preserve"> using Aseptic Non-Touch Technique</w:t>
      </w:r>
    </w:p>
    <w:p w14:paraId="076168BB" w14:textId="77777777" w:rsidR="00C5586E" w:rsidRPr="00AD760A" w:rsidRDefault="00C5586E" w:rsidP="00C5586E">
      <w:pPr>
        <w:pStyle w:val="ListBullet"/>
        <w:numPr>
          <w:ilvl w:val="0"/>
          <w:numId w:val="11"/>
        </w:numPr>
        <w:ind w:left="426" w:hanging="426"/>
        <w:rPr>
          <w:szCs w:val="24"/>
          <w:lang w:eastAsia="en-AU"/>
        </w:rPr>
      </w:pPr>
      <w:r w:rsidRPr="00AD760A">
        <w:rPr>
          <w:szCs w:val="24"/>
          <w:lang w:eastAsia="en-AU"/>
        </w:rPr>
        <w:t>Stand in front of the patient and reassure the patient during the procedure</w:t>
      </w:r>
      <w:r>
        <w:rPr>
          <w:szCs w:val="24"/>
          <w:lang w:eastAsia="en-AU"/>
        </w:rPr>
        <w:t>.</w:t>
      </w:r>
      <w:r w:rsidRPr="00AD760A">
        <w:rPr>
          <w:szCs w:val="24"/>
          <w:lang w:eastAsia="en-AU"/>
        </w:rPr>
        <w:t xml:space="preserve"> </w:t>
      </w:r>
      <w:r w:rsidRPr="00FC5F1F">
        <w:rPr>
          <w:szCs w:val="24"/>
          <w:lang w:eastAsia="en-AU"/>
        </w:rPr>
        <w:t xml:space="preserve">Encourage the patient to breathe normally and relax as much as possible to prevent excessive muscle tension. </w:t>
      </w:r>
      <w:r w:rsidRPr="00FC5F1F">
        <w:rPr>
          <w:i/>
          <w:iCs/>
          <w:color w:val="000000"/>
          <w:szCs w:val="24"/>
          <w:lang w:eastAsia="en-AU"/>
        </w:rPr>
        <w:t>Rationale: Excessive muscle tension may result in a false reading of CSF pressure</w:t>
      </w:r>
      <w:r w:rsidRPr="00FC5F1F">
        <w:rPr>
          <w:iCs/>
          <w:color w:val="000000"/>
          <w:szCs w:val="24"/>
          <w:lang w:eastAsia="en-AU"/>
        </w:rPr>
        <w:t xml:space="preserve"> </w:t>
      </w:r>
    </w:p>
    <w:p w14:paraId="3EFB7D4A" w14:textId="77777777" w:rsidR="00C5586E" w:rsidRPr="00FC5F1F" w:rsidRDefault="00C5586E" w:rsidP="00C5586E">
      <w:pPr>
        <w:pStyle w:val="ListBullet"/>
        <w:numPr>
          <w:ilvl w:val="0"/>
          <w:numId w:val="11"/>
        </w:numPr>
        <w:ind w:left="426" w:hanging="426"/>
        <w:rPr>
          <w:szCs w:val="24"/>
          <w:lang w:eastAsia="en-AU"/>
        </w:rPr>
      </w:pPr>
      <w:r>
        <w:rPr>
          <w:iCs/>
          <w:color w:val="000000"/>
          <w:szCs w:val="24"/>
          <w:lang w:eastAsia="en-AU"/>
        </w:rPr>
        <w:t>Once the needle is in the subarachnoid space, assist the patient to relax and extend neck and legs, as directed by the medical officer. Otherwise, t</w:t>
      </w:r>
      <w:r w:rsidRPr="00FC5F1F">
        <w:rPr>
          <w:iCs/>
          <w:color w:val="000000"/>
          <w:szCs w:val="24"/>
          <w:lang w:eastAsia="en-AU"/>
        </w:rPr>
        <w:t xml:space="preserve">he patient must remain in the required position during the </w:t>
      </w:r>
      <w:proofErr w:type="gramStart"/>
      <w:r w:rsidRPr="00FC5F1F">
        <w:rPr>
          <w:iCs/>
          <w:color w:val="000000"/>
          <w:szCs w:val="24"/>
          <w:lang w:eastAsia="en-AU"/>
        </w:rPr>
        <w:t>procedure</w:t>
      </w:r>
      <w:proofErr w:type="gramEnd"/>
    </w:p>
    <w:p w14:paraId="510251EE" w14:textId="77777777" w:rsidR="00C5586E" w:rsidRDefault="00C5586E" w:rsidP="00C5586E">
      <w:pPr>
        <w:pStyle w:val="ListBullet"/>
        <w:numPr>
          <w:ilvl w:val="0"/>
          <w:numId w:val="11"/>
        </w:numPr>
        <w:ind w:left="426" w:hanging="426"/>
        <w:rPr>
          <w:i/>
          <w:szCs w:val="24"/>
          <w:lang w:eastAsia="en-AU"/>
        </w:rPr>
      </w:pPr>
      <w:r w:rsidRPr="00FC5F1F">
        <w:rPr>
          <w:szCs w:val="24"/>
          <w:lang w:eastAsia="en-AU"/>
        </w:rPr>
        <w:t xml:space="preserve">The nurse may </w:t>
      </w:r>
      <w:r>
        <w:rPr>
          <w:szCs w:val="24"/>
          <w:lang w:eastAsia="en-AU"/>
        </w:rPr>
        <w:t xml:space="preserve">occasionally </w:t>
      </w:r>
      <w:r w:rsidRPr="00FC5F1F">
        <w:rPr>
          <w:szCs w:val="24"/>
          <w:lang w:eastAsia="en-AU"/>
        </w:rPr>
        <w:t xml:space="preserve">be requested to apply pressure over the jugular veins for the </w:t>
      </w:r>
      <w:proofErr w:type="spellStart"/>
      <w:r w:rsidRPr="00FC5F1F">
        <w:rPr>
          <w:szCs w:val="24"/>
          <w:lang w:eastAsia="en-AU"/>
        </w:rPr>
        <w:t>Queckenstedt</w:t>
      </w:r>
      <w:proofErr w:type="spellEnd"/>
      <w:r w:rsidRPr="00FC5F1F">
        <w:rPr>
          <w:szCs w:val="24"/>
          <w:lang w:eastAsia="en-AU"/>
        </w:rPr>
        <w:t xml:space="preserve"> test during the procedure.</w:t>
      </w:r>
      <w:r w:rsidRPr="00FC5F1F">
        <w:rPr>
          <w:i/>
          <w:szCs w:val="24"/>
          <w:lang w:eastAsia="en-AU"/>
        </w:rPr>
        <w:t xml:space="preserve"> </w:t>
      </w:r>
      <w:r>
        <w:rPr>
          <w:szCs w:val="24"/>
          <w:lang w:eastAsia="en-AU"/>
        </w:rPr>
        <w:t xml:space="preserve">This test is used to determine </w:t>
      </w:r>
      <w:proofErr w:type="gramStart"/>
      <w:r>
        <w:rPr>
          <w:szCs w:val="24"/>
          <w:lang w:eastAsia="en-AU"/>
        </w:rPr>
        <w:t>whether or not</w:t>
      </w:r>
      <w:proofErr w:type="gramEnd"/>
      <w:r>
        <w:rPr>
          <w:szCs w:val="24"/>
          <w:lang w:eastAsia="en-AU"/>
        </w:rPr>
        <w:t xml:space="preserve"> the flow of CSF is blocked in the lumbar </w:t>
      </w:r>
      <w:r>
        <w:rPr>
          <w:lang w:eastAsia="en-AU"/>
        </w:rPr>
        <w:t xml:space="preserve">subarachnoid space. It is performed by measuring the CSF pressure and observing the change in pressure after manual compression of the jugular veins. </w:t>
      </w:r>
      <w:r w:rsidRPr="00FC5F1F">
        <w:rPr>
          <w:i/>
          <w:szCs w:val="24"/>
          <w:lang w:eastAsia="en-AU"/>
        </w:rPr>
        <w:t xml:space="preserve"> </w:t>
      </w:r>
    </w:p>
    <w:p w14:paraId="610DED54" w14:textId="77777777" w:rsidR="00C5586E" w:rsidRDefault="00C5586E" w:rsidP="00C5586E">
      <w:pPr>
        <w:pStyle w:val="ListBullet"/>
        <w:numPr>
          <w:ilvl w:val="0"/>
          <w:numId w:val="11"/>
        </w:numPr>
        <w:ind w:left="426" w:hanging="426"/>
        <w:rPr>
          <w:szCs w:val="24"/>
          <w:lang w:eastAsia="en-AU"/>
        </w:rPr>
      </w:pPr>
      <w:r>
        <w:rPr>
          <w:szCs w:val="24"/>
          <w:lang w:eastAsia="en-AU"/>
        </w:rPr>
        <w:t>During the procedure continually o</w:t>
      </w:r>
      <w:r w:rsidRPr="00FC5F1F">
        <w:rPr>
          <w:szCs w:val="24"/>
          <w:lang w:eastAsia="en-AU"/>
        </w:rPr>
        <w:t xml:space="preserve">bserve patient's colour, </w:t>
      </w:r>
      <w:proofErr w:type="gramStart"/>
      <w:r w:rsidRPr="00FC5F1F">
        <w:rPr>
          <w:szCs w:val="24"/>
          <w:lang w:eastAsia="en-AU"/>
        </w:rPr>
        <w:t>respiration</w:t>
      </w:r>
      <w:proofErr w:type="gramEnd"/>
      <w:r w:rsidRPr="00FC5F1F">
        <w:rPr>
          <w:szCs w:val="24"/>
          <w:lang w:eastAsia="en-AU"/>
        </w:rPr>
        <w:t xml:space="preserve"> and level of consciousness</w:t>
      </w:r>
      <w:r>
        <w:rPr>
          <w:szCs w:val="24"/>
          <w:lang w:eastAsia="en-AU"/>
        </w:rPr>
        <w:t xml:space="preserve">.  If multiple lumbar puncture attempts are required, it is advisable that patients’ blood pressure be monitored and recorded (e.g. 5 minutely or as directed by the medical officer).  </w:t>
      </w:r>
    </w:p>
    <w:p w14:paraId="6E568F7F" w14:textId="77777777" w:rsidR="00C5586E" w:rsidRPr="00FC5F1F" w:rsidRDefault="00C5586E" w:rsidP="00C5586E">
      <w:pPr>
        <w:pStyle w:val="ListBullet"/>
        <w:numPr>
          <w:ilvl w:val="0"/>
          <w:numId w:val="0"/>
        </w:numPr>
        <w:pBdr>
          <w:top w:val="single" w:sz="4" w:space="1" w:color="auto"/>
          <w:left w:val="single" w:sz="4" w:space="4" w:color="auto"/>
          <w:bottom w:val="single" w:sz="4" w:space="1" w:color="auto"/>
          <w:right w:val="single" w:sz="4" w:space="4" w:color="auto"/>
        </w:pBdr>
        <w:spacing w:before="120" w:after="120"/>
        <w:rPr>
          <w:szCs w:val="24"/>
          <w:lang w:eastAsia="en-AU"/>
        </w:rPr>
      </w:pPr>
      <w:r>
        <w:rPr>
          <w:szCs w:val="24"/>
          <w:lang w:eastAsia="en-AU"/>
        </w:rPr>
        <w:t xml:space="preserve">Note: During the procedure patients may experience backache (this can last several days) and shooting pain down the legs (this usually settles once the needle is removed).  </w:t>
      </w:r>
    </w:p>
    <w:p w14:paraId="09CBEF21" w14:textId="77777777" w:rsidR="00C5586E" w:rsidRPr="00FC5F1F" w:rsidRDefault="00C5586E" w:rsidP="00C5586E">
      <w:pPr>
        <w:pStyle w:val="ListBullet"/>
        <w:numPr>
          <w:ilvl w:val="0"/>
          <w:numId w:val="11"/>
        </w:numPr>
        <w:ind w:left="426" w:hanging="426"/>
        <w:rPr>
          <w:szCs w:val="24"/>
          <w:lang w:eastAsia="en-AU"/>
        </w:rPr>
      </w:pPr>
      <w:r>
        <w:rPr>
          <w:szCs w:val="24"/>
          <w:lang w:eastAsia="en-AU"/>
        </w:rPr>
        <w:t xml:space="preserve">Ensure </w:t>
      </w:r>
      <w:r w:rsidRPr="00FC5F1F">
        <w:rPr>
          <w:szCs w:val="24"/>
          <w:lang w:eastAsia="en-AU"/>
        </w:rPr>
        <w:t>sterile dressing</w:t>
      </w:r>
      <w:r>
        <w:rPr>
          <w:szCs w:val="24"/>
          <w:lang w:eastAsia="en-AU"/>
        </w:rPr>
        <w:t xml:space="preserve"> is secured</w:t>
      </w:r>
      <w:r w:rsidRPr="00FC5F1F">
        <w:rPr>
          <w:szCs w:val="24"/>
          <w:lang w:eastAsia="en-AU"/>
        </w:rPr>
        <w:t xml:space="preserve"> over the puncture </w:t>
      </w:r>
      <w:proofErr w:type="gramStart"/>
      <w:r w:rsidRPr="00FC5F1F">
        <w:rPr>
          <w:szCs w:val="24"/>
          <w:lang w:eastAsia="en-AU"/>
        </w:rPr>
        <w:t>site</w:t>
      </w:r>
      <w:proofErr w:type="gramEnd"/>
      <w:r>
        <w:rPr>
          <w:szCs w:val="24"/>
          <w:lang w:eastAsia="en-AU"/>
        </w:rPr>
        <w:t xml:space="preserve"> </w:t>
      </w:r>
    </w:p>
    <w:p w14:paraId="6FA17F5B" w14:textId="77777777" w:rsidR="00C5586E" w:rsidRPr="00FC5F1F" w:rsidRDefault="00C5586E" w:rsidP="00C5586E">
      <w:pPr>
        <w:pStyle w:val="ListBullet"/>
        <w:numPr>
          <w:ilvl w:val="0"/>
          <w:numId w:val="11"/>
        </w:numPr>
        <w:ind w:left="426" w:hanging="426"/>
        <w:rPr>
          <w:szCs w:val="24"/>
          <w:lang w:eastAsia="en-AU"/>
        </w:rPr>
      </w:pPr>
      <w:r>
        <w:rPr>
          <w:szCs w:val="24"/>
          <w:lang w:eastAsia="en-AU"/>
        </w:rPr>
        <w:t xml:space="preserve">Ensure equipment is discarded </w:t>
      </w:r>
      <w:proofErr w:type="gramStart"/>
      <w:r>
        <w:rPr>
          <w:szCs w:val="24"/>
          <w:lang w:eastAsia="en-AU"/>
        </w:rPr>
        <w:t>appropriately</w:t>
      </w:r>
      <w:proofErr w:type="gramEnd"/>
      <w:r>
        <w:rPr>
          <w:szCs w:val="24"/>
          <w:lang w:eastAsia="en-AU"/>
        </w:rPr>
        <w:t xml:space="preserve"> </w:t>
      </w:r>
    </w:p>
    <w:p w14:paraId="219FB302" w14:textId="77777777" w:rsidR="00C5586E" w:rsidRPr="00B47413" w:rsidRDefault="00C5586E" w:rsidP="00C5586E">
      <w:pPr>
        <w:pStyle w:val="ListBullet"/>
        <w:numPr>
          <w:ilvl w:val="0"/>
          <w:numId w:val="11"/>
        </w:numPr>
        <w:ind w:left="426" w:hanging="426"/>
        <w:rPr>
          <w:szCs w:val="24"/>
          <w:lang w:eastAsia="en-AU"/>
        </w:rPr>
      </w:pPr>
      <w:r>
        <w:rPr>
          <w:szCs w:val="24"/>
          <w:lang w:eastAsia="en-AU"/>
        </w:rPr>
        <w:t xml:space="preserve">Perform hand </w:t>
      </w:r>
      <w:proofErr w:type="gramStart"/>
      <w:r>
        <w:rPr>
          <w:szCs w:val="24"/>
          <w:lang w:eastAsia="en-AU"/>
        </w:rPr>
        <w:t>hygiene</w:t>
      </w:r>
      <w:proofErr w:type="gramEnd"/>
    </w:p>
    <w:p w14:paraId="06A30B67" w14:textId="77777777" w:rsidR="00C5586E" w:rsidRPr="00BC332D" w:rsidRDefault="00C5586E" w:rsidP="00C5586E">
      <w:pPr>
        <w:pStyle w:val="ListBullet"/>
        <w:numPr>
          <w:ilvl w:val="0"/>
          <w:numId w:val="11"/>
        </w:numPr>
        <w:ind w:left="426" w:hanging="426"/>
        <w:rPr>
          <w:rFonts w:cs="Calibri"/>
          <w:szCs w:val="24"/>
          <w:lang w:eastAsia="en-AU"/>
        </w:rPr>
      </w:pPr>
      <w:r w:rsidRPr="00B47413">
        <w:rPr>
          <w:szCs w:val="24"/>
          <w:lang w:eastAsia="en-AU"/>
        </w:rPr>
        <w:t>Ensure pathology request form is completed</w:t>
      </w:r>
      <w:r>
        <w:rPr>
          <w:szCs w:val="24"/>
          <w:lang w:eastAsia="en-AU"/>
        </w:rPr>
        <w:t xml:space="preserve"> by the medical officer</w:t>
      </w:r>
      <w:r w:rsidRPr="00B47413">
        <w:rPr>
          <w:szCs w:val="24"/>
          <w:lang w:eastAsia="en-AU"/>
        </w:rPr>
        <w:t xml:space="preserve"> with</w:t>
      </w:r>
      <w:r w:rsidRPr="00B47413">
        <w:rPr>
          <w:rFonts w:cs="Calibri"/>
          <w:szCs w:val="24"/>
          <w:lang w:eastAsia="en-AU"/>
        </w:rPr>
        <w:t xml:space="preserve"> the patient’s full name, date of birth and </w:t>
      </w:r>
      <w:r>
        <w:rPr>
          <w:rFonts w:cs="Calibri"/>
          <w:szCs w:val="24"/>
          <w:lang w:eastAsia="en-AU"/>
        </w:rPr>
        <w:t xml:space="preserve">Medical </w:t>
      </w:r>
      <w:r w:rsidRPr="00B47413">
        <w:rPr>
          <w:rFonts w:cs="Calibri"/>
          <w:szCs w:val="24"/>
          <w:lang w:eastAsia="en-AU"/>
        </w:rPr>
        <w:t>R</w:t>
      </w:r>
      <w:r>
        <w:rPr>
          <w:rFonts w:cs="Calibri"/>
          <w:szCs w:val="24"/>
          <w:lang w:eastAsia="en-AU"/>
        </w:rPr>
        <w:t xml:space="preserve">ecord </w:t>
      </w:r>
      <w:proofErr w:type="gramStart"/>
      <w:r w:rsidRPr="00B47413">
        <w:rPr>
          <w:rFonts w:cs="Calibri"/>
          <w:szCs w:val="24"/>
          <w:lang w:eastAsia="en-AU"/>
        </w:rPr>
        <w:t>N</w:t>
      </w:r>
      <w:r>
        <w:rPr>
          <w:rFonts w:cs="Calibri"/>
          <w:szCs w:val="24"/>
          <w:lang w:eastAsia="en-AU"/>
        </w:rPr>
        <w:t>umber(</w:t>
      </w:r>
      <w:proofErr w:type="gramEnd"/>
      <w:r>
        <w:rPr>
          <w:rFonts w:cs="Calibri"/>
          <w:szCs w:val="24"/>
          <w:lang w:eastAsia="en-AU"/>
        </w:rPr>
        <w:t xml:space="preserve">MRN). Ensure </w:t>
      </w:r>
      <w:r w:rsidRPr="00B47413">
        <w:rPr>
          <w:rFonts w:cs="Calibri"/>
          <w:szCs w:val="24"/>
          <w:lang w:eastAsia="en-AU"/>
        </w:rPr>
        <w:t>specimen labels</w:t>
      </w:r>
      <w:r>
        <w:rPr>
          <w:rFonts w:cs="Calibri"/>
          <w:szCs w:val="24"/>
          <w:lang w:eastAsia="en-AU"/>
        </w:rPr>
        <w:t xml:space="preserve"> are completed by the medical officer (as per Patient Identification – Pathology Specimen Handling procedure) </w:t>
      </w:r>
      <w:r>
        <w:rPr>
          <w:szCs w:val="24"/>
          <w:lang w:eastAsia="en-AU"/>
        </w:rPr>
        <w:t>and placed on</w:t>
      </w:r>
      <w:r w:rsidRPr="002C3739">
        <w:rPr>
          <w:szCs w:val="24"/>
          <w:lang w:eastAsia="en-AU"/>
        </w:rPr>
        <w:t xml:space="preserve"> the following specimens:</w:t>
      </w:r>
      <w:r>
        <w:rPr>
          <w:szCs w:val="24"/>
          <w:lang w:eastAsia="en-AU"/>
        </w:rPr>
        <w:t xml:space="preserve"> </w:t>
      </w:r>
      <w:r w:rsidRPr="002C3739">
        <w:rPr>
          <w:szCs w:val="24"/>
          <w:lang w:eastAsia="en-AU"/>
        </w:rPr>
        <w:t xml:space="preserve">CSF specimens x 3, glucose tube, along with any blood vials </w:t>
      </w:r>
      <w:r>
        <w:rPr>
          <w:szCs w:val="24"/>
          <w:lang w:eastAsia="en-AU"/>
        </w:rPr>
        <w:t xml:space="preserve">by the medical officer performing the </w:t>
      </w:r>
      <w:proofErr w:type="gramStart"/>
      <w:r>
        <w:rPr>
          <w:szCs w:val="24"/>
          <w:lang w:eastAsia="en-AU"/>
        </w:rPr>
        <w:t>procedure</w:t>
      </w:r>
      <w:proofErr w:type="gramEnd"/>
    </w:p>
    <w:p w14:paraId="37F92052" w14:textId="77777777" w:rsidR="00C5586E" w:rsidRPr="00B47413" w:rsidRDefault="00C5586E" w:rsidP="00C5586E">
      <w:pPr>
        <w:pStyle w:val="ListBullet"/>
        <w:numPr>
          <w:ilvl w:val="0"/>
          <w:numId w:val="11"/>
        </w:numPr>
        <w:ind w:left="426" w:hanging="426"/>
        <w:rPr>
          <w:rFonts w:cs="Calibri"/>
          <w:szCs w:val="24"/>
          <w:lang w:eastAsia="en-AU"/>
        </w:rPr>
      </w:pPr>
      <w:r>
        <w:rPr>
          <w:rFonts w:cs="Calibri"/>
          <w:szCs w:val="24"/>
          <w:lang w:eastAsia="en-AU"/>
        </w:rPr>
        <w:t>C</w:t>
      </w:r>
      <w:r w:rsidRPr="002C3739">
        <w:rPr>
          <w:rFonts w:cs="Calibri"/>
          <w:szCs w:val="24"/>
          <w:lang w:eastAsia="en-AU"/>
        </w:rPr>
        <w:t xml:space="preserve">onfirm </w:t>
      </w:r>
      <w:proofErr w:type="spellStart"/>
      <w:r>
        <w:rPr>
          <w:rFonts w:cs="Calibri"/>
          <w:szCs w:val="24"/>
          <w:lang w:eastAsia="en-AU"/>
        </w:rPr>
        <w:t>patients’s</w:t>
      </w:r>
      <w:proofErr w:type="spellEnd"/>
      <w:r>
        <w:rPr>
          <w:rFonts w:cs="Calibri"/>
          <w:szCs w:val="24"/>
          <w:lang w:eastAsia="en-AU"/>
        </w:rPr>
        <w:t xml:space="preserve"> identification by verbal confirmation with patient, </w:t>
      </w:r>
      <w:r w:rsidRPr="002C3739">
        <w:rPr>
          <w:rFonts w:cs="Calibri"/>
          <w:szCs w:val="24"/>
          <w:lang w:eastAsia="en-AU"/>
        </w:rPr>
        <w:t>patient’s identification band, the Pathology Request form, and label</w:t>
      </w:r>
      <w:r>
        <w:rPr>
          <w:rFonts w:cs="Calibri"/>
          <w:szCs w:val="24"/>
          <w:lang w:eastAsia="en-AU"/>
        </w:rPr>
        <w:t>led</w:t>
      </w:r>
      <w:r w:rsidRPr="002C3739">
        <w:rPr>
          <w:rFonts w:cs="Calibri"/>
          <w:szCs w:val="24"/>
          <w:lang w:eastAsia="en-AU"/>
        </w:rPr>
        <w:t xml:space="preserve"> </w:t>
      </w:r>
      <w:proofErr w:type="gramStart"/>
      <w:r w:rsidRPr="002C3739">
        <w:rPr>
          <w:rFonts w:cs="Calibri"/>
          <w:szCs w:val="24"/>
          <w:lang w:eastAsia="en-AU"/>
        </w:rPr>
        <w:t>specimen</w:t>
      </w:r>
      <w:r>
        <w:rPr>
          <w:rFonts w:cs="Calibri"/>
          <w:szCs w:val="24"/>
          <w:lang w:eastAsia="en-AU"/>
        </w:rPr>
        <w:t>s</w:t>
      </w:r>
      <w:proofErr w:type="gramEnd"/>
      <w:r>
        <w:rPr>
          <w:rFonts w:cs="Calibri"/>
          <w:szCs w:val="24"/>
          <w:lang w:eastAsia="en-AU"/>
        </w:rPr>
        <w:t xml:space="preserve">  </w:t>
      </w:r>
    </w:p>
    <w:p w14:paraId="6B59C294" w14:textId="77777777" w:rsidR="00C5586E" w:rsidRPr="00FC5F1F" w:rsidRDefault="00C5586E" w:rsidP="00C5586E">
      <w:pPr>
        <w:pStyle w:val="ListBullet"/>
        <w:numPr>
          <w:ilvl w:val="0"/>
          <w:numId w:val="11"/>
        </w:numPr>
        <w:ind w:left="426" w:hanging="426"/>
        <w:rPr>
          <w:i/>
          <w:iCs/>
          <w:color w:val="000000"/>
          <w:szCs w:val="24"/>
          <w:lang w:eastAsia="en-AU"/>
        </w:rPr>
      </w:pPr>
      <w:r w:rsidRPr="00FC5F1F">
        <w:rPr>
          <w:szCs w:val="24"/>
          <w:lang w:eastAsia="en-AU"/>
        </w:rPr>
        <w:t xml:space="preserve">Assist the patient to </w:t>
      </w:r>
      <w:r w:rsidRPr="004F646F">
        <w:rPr>
          <w:szCs w:val="24"/>
          <w:lang w:eastAsia="en-AU"/>
        </w:rPr>
        <w:t xml:space="preserve">a </w:t>
      </w:r>
      <w:r w:rsidRPr="004559BC">
        <w:rPr>
          <w:bCs/>
          <w:szCs w:val="24"/>
          <w:lang w:eastAsia="en-AU"/>
        </w:rPr>
        <w:t xml:space="preserve">supine position with maximum one head pillow </w:t>
      </w:r>
      <w:r w:rsidRPr="004F646F">
        <w:rPr>
          <w:szCs w:val="24"/>
          <w:lang w:eastAsia="en-AU"/>
        </w:rPr>
        <w:t>for the</w:t>
      </w:r>
      <w:r w:rsidRPr="00FC5F1F">
        <w:rPr>
          <w:szCs w:val="24"/>
          <w:lang w:eastAsia="en-AU"/>
        </w:rPr>
        <w:t xml:space="preserve"> time prescribed by the medical </w:t>
      </w:r>
      <w:proofErr w:type="gramStart"/>
      <w:r w:rsidRPr="00FC5F1F">
        <w:rPr>
          <w:szCs w:val="24"/>
          <w:lang w:eastAsia="en-AU"/>
        </w:rPr>
        <w:t>officer</w:t>
      </w:r>
      <w:proofErr w:type="gramEnd"/>
      <w:r w:rsidRPr="00FC5F1F">
        <w:rPr>
          <w:szCs w:val="24"/>
          <w:lang w:eastAsia="en-AU"/>
        </w:rPr>
        <w:t xml:space="preserve"> </w:t>
      </w:r>
    </w:p>
    <w:p w14:paraId="6D8A8AF8" w14:textId="77777777" w:rsidR="00C5586E" w:rsidRPr="00D3496B" w:rsidRDefault="00C5586E" w:rsidP="00C5586E">
      <w:pPr>
        <w:pStyle w:val="ListBullet"/>
        <w:numPr>
          <w:ilvl w:val="0"/>
          <w:numId w:val="11"/>
        </w:numPr>
        <w:ind w:left="426" w:hanging="426"/>
        <w:rPr>
          <w:szCs w:val="24"/>
          <w:lang w:eastAsia="en-AU"/>
        </w:rPr>
      </w:pPr>
      <w:r w:rsidRPr="00FC5F1F">
        <w:rPr>
          <w:szCs w:val="24"/>
          <w:lang w:eastAsia="en-AU"/>
        </w:rPr>
        <w:t xml:space="preserve">Observe the puncture site half hourly for a minimum of one hour (or as time specified by consultant) for CSF leakage, swelling or bleeding. </w:t>
      </w:r>
      <w:r w:rsidRPr="00FC5F1F">
        <w:rPr>
          <w:b/>
          <w:bCs/>
          <w:szCs w:val="24"/>
          <w:lang w:eastAsia="en-AU"/>
        </w:rPr>
        <w:t xml:space="preserve">Notify the medical officer if signs are </w:t>
      </w:r>
      <w:proofErr w:type="gramStart"/>
      <w:r w:rsidRPr="00FC5F1F">
        <w:rPr>
          <w:b/>
          <w:bCs/>
          <w:szCs w:val="24"/>
          <w:lang w:eastAsia="en-AU"/>
        </w:rPr>
        <w:t>evident</w:t>
      </w:r>
      <w:proofErr w:type="gramEnd"/>
    </w:p>
    <w:p w14:paraId="770238D0" w14:textId="77777777" w:rsidR="00C5586E" w:rsidRPr="007468B0" w:rsidRDefault="00C5586E" w:rsidP="00C5586E">
      <w:pPr>
        <w:pStyle w:val="ListBullet"/>
        <w:numPr>
          <w:ilvl w:val="0"/>
          <w:numId w:val="11"/>
        </w:numPr>
        <w:ind w:left="426" w:hanging="426"/>
        <w:rPr>
          <w:szCs w:val="24"/>
          <w:lang w:eastAsia="en-AU"/>
        </w:rPr>
      </w:pPr>
      <w:r>
        <w:rPr>
          <w:szCs w:val="24"/>
          <w:lang w:eastAsia="en-AU"/>
        </w:rPr>
        <w:t xml:space="preserve">If patient required sedation, perform vital signs every 15 minutes for one hour post </w:t>
      </w:r>
      <w:proofErr w:type="gramStart"/>
      <w:r>
        <w:rPr>
          <w:szCs w:val="24"/>
          <w:lang w:eastAsia="en-AU"/>
        </w:rPr>
        <w:t>procedure</w:t>
      </w:r>
      <w:proofErr w:type="gramEnd"/>
    </w:p>
    <w:p w14:paraId="2B4A72FC" w14:textId="77777777" w:rsidR="00C5586E" w:rsidRPr="00FC5F1F" w:rsidRDefault="00C5586E" w:rsidP="00C5586E">
      <w:pPr>
        <w:pStyle w:val="ListBullet"/>
        <w:numPr>
          <w:ilvl w:val="0"/>
          <w:numId w:val="11"/>
        </w:numPr>
        <w:ind w:left="426" w:hanging="426"/>
        <w:rPr>
          <w:szCs w:val="24"/>
          <w:lang w:eastAsia="en-AU"/>
        </w:rPr>
      </w:pPr>
      <w:r w:rsidRPr="00FC5F1F">
        <w:rPr>
          <w:szCs w:val="24"/>
          <w:lang w:eastAsia="en-AU"/>
        </w:rPr>
        <w:t xml:space="preserve">Administer analgesic and/or antiemetic as </w:t>
      </w:r>
      <w:proofErr w:type="gramStart"/>
      <w:r w:rsidRPr="00FC5F1F">
        <w:rPr>
          <w:szCs w:val="24"/>
          <w:lang w:eastAsia="en-AU"/>
        </w:rPr>
        <w:t>required</w:t>
      </w:r>
      <w:proofErr w:type="gramEnd"/>
    </w:p>
    <w:p w14:paraId="6229E4EB" w14:textId="77777777" w:rsidR="00C5586E" w:rsidRPr="00FC5F1F" w:rsidRDefault="00C5586E" w:rsidP="00C5586E">
      <w:pPr>
        <w:pStyle w:val="ListBullet"/>
        <w:numPr>
          <w:ilvl w:val="0"/>
          <w:numId w:val="11"/>
        </w:numPr>
        <w:ind w:left="426" w:hanging="426"/>
        <w:rPr>
          <w:iCs/>
          <w:color w:val="000000"/>
          <w:szCs w:val="24"/>
          <w:lang w:eastAsia="en-AU"/>
        </w:rPr>
      </w:pPr>
      <w:r>
        <w:rPr>
          <w:szCs w:val="24"/>
          <w:lang w:eastAsia="en-AU"/>
        </w:rPr>
        <w:t>Ensure d</w:t>
      </w:r>
      <w:r w:rsidRPr="00FC5F1F">
        <w:rPr>
          <w:szCs w:val="24"/>
          <w:lang w:eastAsia="en-AU"/>
        </w:rPr>
        <w:t>ocumen</w:t>
      </w:r>
      <w:r>
        <w:rPr>
          <w:szCs w:val="24"/>
          <w:lang w:eastAsia="en-AU"/>
        </w:rPr>
        <w:t>tation</w:t>
      </w:r>
      <w:r w:rsidRPr="00FC5F1F">
        <w:rPr>
          <w:szCs w:val="24"/>
          <w:lang w:eastAsia="en-AU"/>
        </w:rPr>
        <w:t xml:space="preserve"> </w:t>
      </w:r>
      <w:r>
        <w:rPr>
          <w:szCs w:val="24"/>
          <w:lang w:eastAsia="en-AU"/>
        </w:rPr>
        <w:t xml:space="preserve">of </w:t>
      </w:r>
      <w:r w:rsidRPr="00FC5F1F">
        <w:rPr>
          <w:szCs w:val="24"/>
          <w:lang w:eastAsia="en-AU"/>
        </w:rPr>
        <w:t xml:space="preserve">the procedure </w:t>
      </w:r>
      <w:r>
        <w:rPr>
          <w:szCs w:val="24"/>
          <w:lang w:eastAsia="en-AU"/>
        </w:rPr>
        <w:t xml:space="preserve">is recorded </w:t>
      </w:r>
      <w:r w:rsidRPr="00FC5F1F">
        <w:rPr>
          <w:szCs w:val="24"/>
          <w:lang w:eastAsia="en-AU"/>
        </w:rPr>
        <w:t>in the patient's clinical record</w:t>
      </w:r>
      <w:r>
        <w:rPr>
          <w:szCs w:val="24"/>
          <w:lang w:eastAsia="en-AU"/>
        </w:rPr>
        <w:t xml:space="preserve">. Complete nursing documentation as </w:t>
      </w:r>
      <w:proofErr w:type="gramStart"/>
      <w:r>
        <w:rPr>
          <w:szCs w:val="24"/>
          <w:lang w:eastAsia="en-AU"/>
        </w:rPr>
        <w:t>required</w:t>
      </w:r>
      <w:proofErr w:type="gramEnd"/>
      <w:r>
        <w:rPr>
          <w:szCs w:val="24"/>
          <w:lang w:eastAsia="en-AU"/>
        </w:rPr>
        <w:t xml:space="preserve"> </w:t>
      </w:r>
    </w:p>
    <w:p w14:paraId="7C3FEE20" w14:textId="77777777" w:rsidR="00C5586E" w:rsidRDefault="00C5586E" w:rsidP="00C5586E">
      <w:pPr>
        <w:pStyle w:val="ListBullet"/>
        <w:numPr>
          <w:ilvl w:val="0"/>
          <w:numId w:val="11"/>
        </w:numPr>
        <w:ind w:left="426" w:hanging="426"/>
        <w:rPr>
          <w:szCs w:val="24"/>
          <w:lang w:eastAsia="en-AU"/>
        </w:rPr>
      </w:pPr>
      <w:r>
        <w:rPr>
          <w:szCs w:val="24"/>
          <w:lang w:eastAsia="en-AU"/>
        </w:rPr>
        <w:lastRenderedPageBreak/>
        <w:t>Provide post procedural patient education on potential side effects and management.</w:t>
      </w:r>
    </w:p>
    <w:p w14:paraId="3B9F2AE6" w14:textId="77777777" w:rsidR="00C5586E" w:rsidRDefault="00C5586E" w:rsidP="00C5586E">
      <w:pPr>
        <w:pStyle w:val="ListBullet"/>
        <w:numPr>
          <w:ilvl w:val="0"/>
          <w:numId w:val="12"/>
        </w:numPr>
        <w:ind w:left="851" w:hanging="425"/>
        <w:rPr>
          <w:szCs w:val="24"/>
          <w:lang w:eastAsia="en-AU"/>
        </w:rPr>
      </w:pPr>
      <w:r>
        <w:rPr>
          <w:szCs w:val="24"/>
          <w:lang w:eastAsia="en-AU"/>
        </w:rPr>
        <w:t>Headache: Regular Analgesic, lying down and increase fluid. Rationale: headache is caused by leakage of CSF from puncture site. Headaches can be exacerbated by being in an upright position and is relieved by lying down.</w:t>
      </w:r>
    </w:p>
    <w:p w14:paraId="643D9B56" w14:textId="77777777" w:rsidR="00C5586E" w:rsidRDefault="00C5586E" w:rsidP="00C5586E">
      <w:pPr>
        <w:pStyle w:val="ListBullet"/>
        <w:numPr>
          <w:ilvl w:val="0"/>
          <w:numId w:val="12"/>
        </w:numPr>
        <w:ind w:left="851" w:hanging="425"/>
        <w:rPr>
          <w:szCs w:val="24"/>
          <w:lang w:eastAsia="en-AU"/>
        </w:rPr>
      </w:pPr>
      <w:r>
        <w:rPr>
          <w:szCs w:val="24"/>
          <w:lang w:eastAsia="en-AU"/>
        </w:rPr>
        <w:t>Nausea and Vomiting: Administer antiemetic.</w:t>
      </w:r>
    </w:p>
    <w:p w14:paraId="2A7D0DA8" w14:textId="77777777" w:rsidR="00C5586E" w:rsidRDefault="00C5586E" w:rsidP="00C5586E">
      <w:pPr>
        <w:pStyle w:val="ListBullet"/>
        <w:numPr>
          <w:ilvl w:val="0"/>
          <w:numId w:val="0"/>
        </w:numPr>
        <w:ind w:left="720"/>
        <w:rPr>
          <w:szCs w:val="24"/>
          <w:lang w:eastAsia="en-AU"/>
        </w:rPr>
      </w:pPr>
    </w:p>
    <w:p w14:paraId="1A81B096" w14:textId="77777777" w:rsidR="00C5586E" w:rsidRDefault="00C5586E" w:rsidP="00C5586E">
      <w:pPr>
        <w:pStyle w:val="ListBullet"/>
        <w:numPr>
          <w:ilvl w:val="0"/>
          <w:numId w:val="0"/>
        </w:numPr>
        <w:pBdr>
          <w:top w:val="single" w:sz="4" w:space="1" w:color="auto"/>
          <w:left w:val="single" w:sz="4" w:space="4" w:color="auto"/>
          <w:bottom w:val="single" w:sz="4" w:space="1" w:color="auto"/>
          <w:right w:val="single" w:sz="4" w:space="4" w:color="auto"/>
        </w:pBdr>
        <w:spacing w:before="240"/>
        <w:rPr>
          <w:szCs w:val="24"/>
          <w:lang w:eastAsia="en-AU"/>
        </w:rPr>
      </w:pPr>
      <w:r w:rsidRPr="00850D65">
        <w:rPr>
          <w:b/>
          <w:bCs/>
          <w:szCs w:val="24"/>
          <w:lang w:eastAsia="en-AU"/>
        </w:rPr>
        <w:t>Alert:</w:t>
      </w:r>
      <w:r>
        <w:rPr>
          <w:szCs w:val="24"/>
          <w:lang w:eastAsia="en-AU"/>
        </w:rPr>
        <w:t xml:space="preserve"> Inform patient to seek medical advice if they experience limb weakness or numbness, incontinence, draining of blood or persistent pain at insertion site, and/or persistent headaches.  </w:t>
      </w:r>
    </w:p>
    <w:p w14:paraId="7C603A10" w14:textId="77777777" w:rsidR="00C5586E" w:rsidRDefault="00C5586E" w:rsidP="00C5586E">
      <w:pPr>
        <w:rPr>
          <w:rFonts w:cs="Arial"/>
          <w:i/>
          <w:szCs w:val="24"/>
        </w:rPr>
      </w:pPr>
      <w:r>
        <w:rPr>
          <w:rFonts w:cs="Arial"/>
          <w:i/>
          <w:szCs w:val="24"/>
        </w:rPr>
        <w:t xml:space="preserve"> </w:t>
      </w:r>
    </w:p>
    <w:p w14:paraId="12A07446" w14:textId="77777777" w:rsidR="00C5586E" w:rsidRDefault="00C5586E" w:rsidP="00C5586E">
      <w:pPr>
        <w:jc w:val="right"/>
        <w:rPr>
          <w:rFonts w:cs="Arial"/>
          <w:i/>
          <w:szCs w:val="24"/>
        </w:rPr>
      </w:pPr>
      <w:hyperlink w:anchor="Contents" w:history="1">
        <w:r w:rsidRPr="00590902">
          <w:rPr>
            <w:rStyle w:val="Hyperlink"/>
            <w:rFonts w:cs="Arial"/>
            <w:i/>
            <w:szCs w:val="24"/>
          </w:rPr>
          <w:t>Back to Table of Contents</w:t>
        </w:r>
      </w:hyperlink>
      <w:r>
        <w:rPr>
          <w:rFonts w:cs="Arial"/>
          <w:i/>
          <w:szCs w:val="24"/>
        </w:rPr>
        <w:t xml:space="preserve"> </w:t>
      </w:r>
    </w:p>
    <w:tbl>
      <w:tblPr>
        <w:tblpPr w:leftFromText="180" w:rightFromText="180" w:vertAnchor="text" w:horzAnchor="margin" w:tblpY="181"/>
        <w:tblW w:w="9158" w:type="dxa"/>
        <w:tblLook w:val="0000" w:firstRow="0" w:lastRow="0" w:firstColumn="0" w:lastColumn="0" w:noHBand="0" w:noVBand="0"/>
      </w:tblPr>
      <w:tblGrid>
        <w:gridCol w:w="9158"/>
      </w:tblGrid>
      <w:tr w:rsidR="00C5586E" w:rsidRPr="00CD1C0E" w14:paraId="03ABED5B" w14:textId="77777777" w:rsidTr="00AC58FA">
        <w:trPr>
          <w:cantSplit/>
          <w:trHeight w:val="285"/>
        </w:trPr>
        <w:tc>
          <w:tcPr>
            <w:tcW w:w="9158" w:type="dxa"/>
            <w:shd w:val="clear" w:color="auto" w:fill="A6A6A6" w:themeFill="background1" w:themeFillShade="A6"/>
          </w:tcPr>
          <w:p w14:paraId="309949AB" w14:textId="77777777" w:rsidR="00C5586E" w:rsidRPr="00C76688" w:rsidRDefault="00C5586E" w:rsidP="00AC58FA">
            <w:pPr>
              <w:pStyle w:val="Heading1"/>
            </w:pPr>
            <w:r>
              <w:t>Attachments (for NCH only)</w:t>
            </w:r>
          </w:p>
        </w:tc>
      </w:tr>
    </w:tbl>
    <w:p w14:paraId="75BD736D" w14:textId="77777777" w:rsidR="00C5586E" w:rsidRDefault="00C5586E" w:rsidP="00C5586E">
      <w:pPr>
        <w:outlineLvl w:val="0"/>
        <w:rPr>
          <w:szCs w:val="24"/>
        </w:rPr>
      </w:pPr>
    </w:p>
    <w:p w14:paraId="000225B8" w14:textId="77777777" w:rsidR="00C5586E" w:rsidRPr="004570B3" w:rsidRDefault="00C5586E" w:rsidP="00C5586E">
      <w:pPr>
        <w:spacing w:line="276" w:lineRule="auto"/>
        <w:rPr>
          <w:rFonts w:cs="Arial"/>
          <w:lang w:val="en-US"/>
        </w:rPr>
      </w:pPr>
      <w:r>
        <w:rPr>
          <w:b/>
        </w:rPr>
        <w:t>Figure 1:</w:t>
      </w:r>
      <w:r>
        <w:rPr>
          <w:rFonts w:cs="Arial"/>
          <w:lang w:val="en-US"/>
        </w:rPr>
        <w:t xml:space="preserve"> Timeframes for neuraxial procedures after last anticoagulant dose:</w:t>
      </w:r>
    </w:p>
    <w:p w14:paraId="6D6DC6E7" w14:textId="77777777" w:rsidR="00C5586E" w:rsidRDefault="00C5586E" w:rsidP="00C5586E">
      <w:pPr>
        <w:pStyle w:val="ListParagraph"/>
        <w:spacing w:line="276" w:lineRule="auto"/>
        <w:rPr>
          <w:rFonts w:cs="Arial"/>
          <w:lang w:val="en-US"/>
        </w:rPr>
      </w:pPr>
    </w:p>
    <w:p w14:paraId="27747B90" w14:textId="77777777" w:rsidR="00C5586E" w:rsidRDefault="00C5586E" w:rsidP="00C5586E">
      <w:pPr>
        <w:pStyle w:val="ProcedureTemplate"/>
        <w:framePr w:wrap="around"/>
      </w:pPr>
      <w:r>
        <w:rPr>
          <w:noProof/>
          <w:lang w:eastAsia="en-AU"/>
        </w:rPr>
        <w:drawing>
          <wp:inline distT="0" distB="0" distL="0" distR="0" wp14:anchorId="2792F53F" wp14:editId="4BD74B80">
            <wp:extent cx="3838575" cy="27051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838575" cy="2705100"/>
                    </a:xfrm>
                    <a:prstGeom prst="rect">
                      <a:avLst/>
                    </a:prstGeom>
                  </pic:spPr>
                </pic:pic>
              </a:graphicData>
            </a:graphic>
          </wp:inline>
        </w:drawing>
      </w:r>
    </w:p>
    <w:p w14:paraId="3AB51D74" w14:textId="77777777" w:rsidR="00C5586E" w:rsidRDefault="00C5586E" w:rsidP="00C5586E">
      <w:pPr>
        <w:pStyle w:val="ProcedureTemplateinternalheadings"/>
        <w:framePr w:wrap="around"/>
      </w:pPr>
    </w:p>
    <w:tbl>
      <w:tblPr>
        <w:tblpPr w:leftFromText="180" w:rightFromText="180" w:vertAnchor="text" w:horzAnchor="margin" w:tblpY="181"/>
        <w:tblW w:w="9158" w:type="dxa"/>
        <w:tblLook w:val="0000" w:firstRow="0" w:lastRow="0" w:firstColumn="0" w:lastColumn="0" w:noHBand="0" w:noVBand="0"/>
      </w:tblPr>
      <w:tblGrid>
        <w:gridCol w:w="9158"/>
      </w:tblGrid>
      <w:tr w:rsidR="00C5586E" w:rsidRPr="00CD1C0E" w14:paraId="60C0E30E" w14:textId="77777777" w:rsidTr="00AC58FA">
        <w:trPr>
          <w:cantSplit/>
          <w:trHeight w:val="285"/>
        </w:trPr>
        <w:tc>
          <w:tcPr>
            <w:tcW w:w="9158" w:type="dxa"/>
            <w:shd w:val="clear" w:color="auto" w:fill="A6A6A6" w:themeFill="background1" w:themeFillShade="A6"/>
          </w:tcPr>
          <w:p w14:paraId="5137B252" w14:textId="77777777" w:rsidR="00C5586E" w:rsidRPr="00CD1C0E" w:rsidRDefault="00C5586E" w:rsidP="00AC58FA">
            <w:pPr>
              <w:pStyle w:val="Heading1"/>
              <w:tabs>
                <w:tab w:val="left" w:pos="1953"/>
              </w:tabs>
            </w:pPr>
            <w:bookmarkStart w:id="18" w:name="_Toc80974787"/>
            <w:r>
              <w:t>Evaluation</w:t>
            </w:r>
            <w:bookmarkEnd w:id="18"/>
            <w:r>
              <w:t xml:space="preserve"> </w:t>
            </w:r>
            <w:r>
              <w:tab/>
            </w:r>
          </w:p>
        </w:tc>
      </w:tr>
    </w:tbl>
    <w:p w14:paraId="62D3862C" w14:textId="77777777" w:rsidR="00C5586E" w:rsidRPr="0013762C" w:rsidRDefault="00C5586E" w:rsidP="00C5586E">
      <w:pPr>
        <w:autoSpaceDE w:val="0"/>
        <w:autoSpaceDN w:val="0"/>
        <w:adjustRightInd w:val="0"/>
        <w:rPr>
          <w:rFonts w:cs="Arial"/>
          <w:b/>
          <w:bCs/>
          <w:iCs/>
          <w:szCs w:val="24"/>
        </w:rPr>
      </w:pPr>
      <w:r w:rsidRPr="0013762C">
        <w:rPr>
          <w:rFonts w:cs="Arial"/>
          <w:b/>
          <w:bCs/>
          <w:iCs/>
          <w:szCs w:val="24"/>
        </w:rPr>
        <w:t>Outcome</w:t>
      </w:r>
    </w:p>
    <w:p w14:paraId="67CF2A03" w14:textId="77777777" w:rsidR="00C5586E" w:rsidRDefault="00C5586E" w:rsidP="00C5586E">
      <w:pPr>
        <w:autoSpaceDE w:val="0"/>
        <w:autoSpaceDN w:val="0"/>
        <w:adjustRightInd w:val="0"/>
        <w:rPr>
          <w:rFonts w:cs="Arial"/>
          <w:iCs/>
          <w:szCs w:val="24"/>
        </w:rPr>
      </w:pPr>
      <w:r>
        <w:rPr>
          <w:rFonts w:cs="Arial"/>
          <w:iCs/>
          <w:szCs w:val="24"/>
        </w:rPr>
        <w:t>Patients requiring a nurse to assist a lumbar puncture are managed as per this procedure.</w:t>
      </w:r>
    </w:p>
    <w:p w14:paraId="118BA1BD" w14:textId="77777777" w:rsidR="00C5586E" w:rsidRPr="0013762C" w:rsidRDefault="00C5586E" w:rsidP="00C5586E">
      <w:pPr>
        <w:autoSpaceDE w:val="0"/>
        <w:autoSpaceDN w:val="0"/>
        <w:adjustRightInd w:val="0"/>
        <w:rPr>
          <w:rFonts w:cs="Arial"/>
          <w:iCs/>
          <w:szCs w:val="24"/>
        </w:rPr>
      </w:pPr>
    </w:p>
    <w:p w14:paraId="34C891AC" w14:textId="77777777" w:rsidR="00C5586E" w:rsidRPr="0013762C" w:rsidRDefault="00C5586E" w:rsidP="00C5586E">
      <w:pPr>
        <w:autoSpaceDE w:val="0"/>
        <w:autoSpaceDN w:val="0"/>
        <w:adjustRightInd w:val="0"/>
        <w:rPr>
          <w:rFonts w:cs="Arial"/>
          <w:b/>
          <w:bCs/>
          <w:iCs/>
          <w:szCs w:val="24"/>
        </w:rPr>
      </w:pPr>
      <w:r w:rsidRPr="0013762C">
        <w:rPr>
          <w:rFonts w:cs="Arial"/>
          <w:b/>
          <w:bCs/>
          <w:iCs/>
          <w:szCs w:val="24"/>
        </w:rPr>
        <w:t>Measures</w:t>
      </w:r>
    </w:p>
    <w:p w14:paraId="0D894E4D" w14:textId="77777777" w:rsidR="00C5586E" w:rsidRDefault="00C5586E" w:rsidP="00C5586E">
      <w:pPr>
        <w:pStyle w:val="ListBullet"/>
      </w:pPr>
      <w:r>
        <w:t xml:space="preserve">Review of incident reports relating to lumbar puncture procedures. </w:t>
      </w:r>
    </w:p>
    <w:p w14:paraId="678D9924" w14:textId="77777777" w:rsidR="00C5586E" w:rsidRDefault="00C5586E" w:rsidP="00C5586E">
      <w:pPr>
        <w:pStyle w:val="Default"/>
        <w:rPr>
          <w:rFonts w:ascii="Calibri" w:hAnsi="Calibri" w:cs="Arial"/>
          <w:i/>
          <w:color w:val="auto"/>
          <w:lang w:eastAsia="en-US"/>
        </w:rPr>
      </w:pPr>
    </w:p>
    <w:p w14:paraId="3E38EA9F" w14:textId="77777777" w:rsidR="00C5586E" w:rsidRPr="00253F5A" w:rsidRDefault="00C5586E" w:rsidP="00C5586E">
      <w:pPr>
        <w:jc w:val="right"/>
      </w:pPr>
      <w:hyperlink w:anchor="Contents" w:history="1">
        <w:r w:rsidRPr="00C91F3F">
          <w:rPr>
            <w:rStyle w:val="Hyperlink"/>
            <w:rFonts w:eastAsiaTheme="majorEastAsia"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C5586E" w:rsidRPr="00CD1C0E" w14:paraId="5D93C441" w14:textId="77777777" w:rsidTr="00AC58FA">
        <w:trPr>
          <w:cantSplit/>
          <w:trHeight w:val="285"/>
        </w:trPr>
        <w:tc>
          <w:tcPr>
            <w:tcW w:w="9158" w:type="dxa"/>
            <w:shd w:val="clear" w:color="auto" w:fill="A6A6A6" w:themeFill="background1" w:themeFillShade="A6"/>
          </w:tcPr>
          <w:p w14:paraId="288DA8DC" w14:textId="77777777" w:rsidR="00C5586E" w:rsidRPr="00CD1C0E" w:rsidRDefault="00C5586E" w:rsidP="00AC58FA">
            <w:pPr>
              <w:pStyle w:val="Heading1"/>
            </w:pPr>
            <w:bookmarkStart w:id="19" w:name="_Toc389473287"/>
            <w:bookmarkStart w:id="20" w:name="_Toc80974788"/>
            <w:r>
              <w:t>Related Policies, Procedures</w:t>
            </w:r>
            <w:bookmarkEnd w:id="19"/>
            <w:r>
              <w:t xml:space="preserve"> and Guidelines</w:t>
            </w:r>
            <w:bookmarkEnd w:id="20"/>
          </w:p>
        </w:tc>
      </w:tr>
    </w:tbl>
    <w:p w14:paraId="08DCE4A2" w14:textId="77777777" w:rsidR="00C5586E" w:rsidRDefault="00C5586E" w:rsidP="00C5586E">
      <w:pPr>
        <w:pStyle w:val="Heading2"/>
      </w:pPr>
    </w:p>
    <w:p w14:paraId="1D3BC75D" w14:textId="77777777" w:rsidR="00C5586E" w:rsidRPr="00201FB6" w:rsidRDefault="00C5586E" w:rsidP="00C5586E">
      <w:pPr>
        <w:rPr>
          <w:b/>
        </w:rPr>
      </w:pPr>
      <w:r w:rsidRPr="00201FB6">
        <w:rPr>
          <w:b/>
        </w:rPr>
        <w:t>Policies</w:t>
      </w:r>
    </w:p>
    <w:p w14:paraId="195BEA38" w14:textId="77777777" w:rsidR="00C5586E" w:rsidRDefault="00C5586E" w:rsidP="00C5586E">
      <w:pPr>
        <w:numPr>
          <w:ilvl w:val="0"/>
          <w:numId w:val="3"/>
        </w:numPr>
        <w:ind w:left="426" w:hanging="426"/>
        <w:rPr>
          <w:rFonts w:cs="Arial"/>
          <w:szCs w:val="24"/>
        </w:rPr>
      </w:pPr>
      <w:r>
        <w:rPr>
          <w:rFonts w:cs="Arial"/>
          <w:szCs w:val="24"/>
        </w:rPr>
        <w:lastRenderedPageBreak/>
        <w:t>Informed Consent - Clinical</w:t>
      </w:r>
    </w:p>
    <w:p w14:paraId="763518FE" w14:textId="77777777" w:rsidR="00C5586E" w:rsidRPr="000A7335" w:rsidRDefault="00C5586E" w:rsidP="00C5586E">
      <w:pPr>
        <w:numPr>
          <w:ilvl w:val="0"/>
          <w:numId w:val="3"/>
        </w:numPr>
        <w:ind w:left="426" w:hanging="426"/>
        <w:rPr>
          <w:rFonts w:cs="Arial"/>
          <w:szCs w:val="24"/>
        </w:rPr>
      </w:pPr>
      <w:r>
        <w:rPr>
          <w:rFonts w:cs="Arial"/>
          <w:szCs w:val="24"/>
        </w:rPr>
        <w:t>Medication Handling</w:t>
      </w:r>
    </w:p>
    <w:p w14:paraId="6E0CC062" w14:textId="77777777" w:rsidR="00C5586E" w:rsidRPr="000A7335" w:rsidRDefault="00C5586E" w:rsidP="00C5586E">
      <w:pPr>
        <w:ind w:left="426" w:hanging="426"/>
        <w:rPr>
          <w:rFonts w:cs="Arial"/>
          <w:szCs w:val="24"/>
        </w:rPr>
      </w:pPr>
    </w:p>
    <w:p w14:paraId="7A3D5008" w14:textId="77777777" w:rsidR="00C5586E" w:rsidRPr="00201FB6" w:rsidRDefault="00C5586E" w:rsidP="00C5586E">
      <w:pPr>
        <w:ind w:left="426" w:hanging="426"/>
        <w:rPr>
          <w:b/>
        </w:rPr>
      </w:pPr>
      <w:r w:rsidRPr="00201FB6">
        <w:rPr>
          <w:b/>
        </w:rPr>
        <w:t>Procedures</w:t>
      </w:r>
    </w:p>
    <w:p w14:paraId="1D343A6B" w14:textId="77777777" w:rsidR="00C5586E" w:rsidRPr="002149EF" w:rsidRDefault="00C5586E" w:rsidP="00C5586E">
      <w:pPr>
        <w:numPr>
          <w:ilvl w:val="0"/>
          <w:numId w:val="3"/>
        </w:numPr>
        <w:ind w:left="426" w:hanging="426"/>
        <w:rPr>
          <w:rFonts w:cs="Arial"/>
          <w:szCs w:val="24"/>
        </w:rPr>
      </w:pPr>
      <w:r w:rsidRPr="002149EF">
        <w:rPr>
          <w:rFonts w:cs="Arial"/>
          <w:szCs w:val="24"/>
        </w:rPr>
        <w:t>Aseptic Technique</w:t>
      </w:r>
    </w:p>
    <w:p w14:paraId="77B1E9EB" w14:textId="77777777" w:rsidR="00C5586E" w:rsidRPr="002149EF" w:rsidRDefault="00C5586E" w:rsidP="00C5586E">
      <w:pPr>
        <w:pStyle w:val="ListParagraph"/>
        <w:numPr>
          <w:ilvl w:val="0"/>
          <w:numId w:val="3"/>
        </w:numPr>
        <w:ind w:left="426" w:hanging="426"/>
        <w:rPr>
          <w:rFonts w:cs="Arial"/>
          <w:szCs w:val="24"/>
        </w:rPr>
      </w:pPr>
      <w:r w:rsidRPr="002149EF">
        <w:rPr>
          <w:rFonts w:cs="Arial"/>
          <w:szCs w:val="24"/>
        </w:rPr>
        <w:t>Patient Identification and Procedure Matching</w:t>
      </w:r>
    </w:p>
    <w:p w14:paraId="7F67CE69" w14:textId="77777777" w:rsidR="00C5586E" w:rsidRPr="002149EF" w:rsidRDefault="00C5586E" w:rsidP="00C5586E">
      <w:pPr>
        <w:pStyle w:val="ListParagraph"/>
        <w:numPr>
          <w:ilvl w:val="0"/>
          <w:numId w:val="3"/>
        </w:numPr>
        <w:ind w:left="426" w:hanging="426"/>
        <w:rPr>
          <w:rFonts w:cs="Arial"/>
          <w:szCs w:val="24"/>
        </w:rPr>
      </w:pPr>
      <w:r w:rsidRPr="002149EF">
        <w:rPr>
          <w:color w:val="000000"/>
          <w:szCs w:val="24"/>
        </w:rPr>
        <w:t xml:space="preserve">Infection Prevention and Control </w:t>
      </w:r>
    </w:p>
    <w:p w14:paraId="4C667DAB" w14:textId="77777777" w:rsidR="00C5586E" w:rsidRPr="00850D65" w:rsidRDefault="00C5586E" w:rsidP="00C5586E">
      <w:pPr>
        <w:pStyle w:val="ListParagraph"/>
        <w:numPr>
          <w:ilvl w:val="0"/>
          <w:numId w:val="3"/>
        </w:numPr>
        <w:ind w:left="426" w:hanging="426"/>
        <w:rPr>
          <w:rFonts w:cs="Arial"/>
          <w:szCs w:val="24"/>
        </w:rPr>
      </w:pPr>
      <w:r>
        <w:rPr>
          <w:color w:val="000000"/>
          <w:szCs w:val="24"/>
        </w:rPr>
        <w:t>Patient Identification - Pathology Specimen Labelling</w:t>
      </w:r>
    </w:p>
    <w:p w14:paraId="12EFD5C7" w14:textId="77777777" w:rsidR="00C5586E" w:rsidRPr="00850D65" w:rsidRDefault="00C5586E" w:rsidP="00C5586E">
      <w:pPr>
        <w:pStyle w:val="ListParagraph"/>
        <w:numPr>
          <w:ilvl w:val="0"/>
          <w:numId w:val="3"/>
        </w:numPr>
        <w:ind w:left="426" w:hanging="426"/>
        <w:rPr>
          <w:rFonts w:cs="Arial"/>
          <w:szCs w:val="24"/>
        </w:rPr>
      </w:pPr>
      <w:r>
        <w:rPr>
          <w:color w:val="000000"/>
          <w:szCs w:val="24"/>
        </w:rPr>
        <w:t>Pathology Specimen Handling</w:t>
      </w:r>
    </w:p>
    <w:p w14:paraId="15E8DFCE" w14:textId="77777777" w:rsidR="00C5586E" w:rsidRDefault="00C5586E" w:rsidP="00C5586E">
      <w:pPr>
        <w:pStyle w:val="ListParagraph"/>
        <w:numPr>
          <w:ilvl w:val="0"/>
          <w:numId w:val="3"/>
        </w:numPr>
        <w:ind w:left="426" w:hanging="426"/>
        <w:rPr>
          <w:color w:val="000000"/>
          <w:szCs w:val="24"/>
        </w:rPr>
      </w:pPr>
      <w:r w:rsidRPr="002157F0">
        <w:rPr>
          <w:color w:val="000000"/>
          <w:szCs w:val="24"/>
        </w:rPr>
        <w:t xml:space="preserve">Venepuncture Blood Specimen Collection </w:t>
      </w:r>
    </w:p>
    <w:p w14:paraId="21DE9145" w14:textId="77777777" w:rsidR="00C5586E" w:rsidRPr="00F147C4" w:rsidRDefault="00C5586E" w:rsidP="00C5586E">
      <w:pPr>
        <w:pStyle w:val="ListParagraph"/>
        <w:numPr>
          <w:ilvl w:val="0"/>
          <w:numId w:val="3"/>
        </w:numPr>
        <w:ind w:left="426" w:hanging="426"/>
        <w:rPr>
          <w:color w:val="000000"/>
          <w:szCs w:val="24"/>
        </w:rPr>
      </w:pPr>
      <w:r w:rsidRPr="002D0942">
        <w:rPr>
          <w:color w:val="000000"/>
          <w:szCs w:val="24"/>
        </w:rPr>
        <w:t>Peripheral Intravenous Cannula (PIVC) and Midline Catheters- the Insertion and Management of Adults and Children</w:t>
      </w:r>
    </w:p>
    <w:p w14:paraId="7277B6B7" w14:textId="77777777" w:rsidR="00C5586E" w:rsidRPr="00F147C4" w:rsidRDefault="00C5586E" w:rsidP="00C5586E">
      <w:pPr>
        <w:pStyle w:val="ListParagraph"/>
        <w:numPr>
          <w:ilvl w:val="0"/>
          <w:numId w:val="3"/>
        </w:numPr>
        <w:ind w:left="426" w:hanging="426"/>
        <w:rPr>
          <w:color w:val="000000"/>
          <w:szCs w:val="24"/>
        </w:rPr>
      </w:pPr>
      <w:r w:rsidRPr="00F551E1">
        <w:rPr>
          <w:color w:val="000000"/>
          <w:szCs w:val="24"/>
        </w:rPr>
        <w:t>Vital Signs &amp; Early Warning Scores – The Canberra Hospital Inpatients</w:t>
      </w:r>
    </w:p>
    <w:p w14:paraId="75A98296" w14:textId="77777777" w:rsidR="00C5586E" w:rsidRPr="000A7335" w:rsidRDefault="00C5586E" w:rsidP="00C5586E">
      <w:pPr>
        <w:ind w:left="360"/>
        <w:rPr>
          <w:rFonts w:cs="Arial"/>
          <w:szCs w:val="24"/>
        </w:rPr>
      </w:pPr>
    </w:p>
    <w:p w14:paraId="0303BB4B" w14:textId="77777777" w:rsidR="00C5586E" w:rsidRPr="00201FB6" w:rsidRDefault="00C5586E" w:rsidP="00C5586E">
      <w:pPr>
        <w:rPr>
          <w:b/>
        </w:rPr>
      </w:pPr>
      <w:r w:rsidRPr="00201FB6">
        <w:rPr>
          <w:b/>
        </w:rPr>
        <w:t xml:space="preserve">Guidelines </w:t>
      </w:r>
    </w:p>
    <w:p w14:paraId="4134D708" w14:textId="77777777" w:rsidR="00C5586E" w:rsidRPr="00F147C4" w:rsidRDefault="00C5586E" w:rsidP="00C5586E">
      <w:pPr>
        <w:pStyle w:val="ListParagraph"/>
        <w:numPr>
          <w:ilvl w:val="0"/>
          <w:numId w:val="3"/>
        </w:numPr>
        <w:ind w:left="426" w:hanging="426"/>
        <w:rPr>
          <w:color w:val="000000"/>
          <w:szCs w:val="24"/>
        </w:rPr>
      </w:pPr>
      <w:r w:rsidRPr="00F147C4">
        <w:rPr>
          <w:color w:val="000000"/>
          <w:szCs w:val="24"/>
        </w:rPr>
        <w:t>CHS Creutzfeldt-Jakob Disease (CJD) Transmission Guidelines – Department of Health</w:t>
      </w:r>
    </w:p>
    <w:p w14:paraId="232A1CE3" w14:textId="77777777" w:rsidR="00C5586E" w:rsidRPr="00F147C4" w:rsidRDefault="00C5586E" w:rsidP="00C5586E">
      <w:pPr>
        <w:pStyle w:val="ListParagraph"/>
        <w:numPr>
          <w:ilvl w:val="0"/>
          <w:numId w:val="3"/>
        </w:numPr>
        <w:ind w:left="426" w:hanging="426"/>
        <w:rPr>
          <w:color w:val="000000"/>
          <w:szCs w:val="24"/>
        </w:rPr>
      </w:pPr>
      <w:r w:rsidRPr="00F147C4">
        <w:rPr>
          <w:color w:val="000000"/>
          <w:szCs w:val="24"/>
        </w:rPr>
        <w:t>Fasting guidelines for patients requiring Sedation or Anaesthesia</w:t>
      </w:r>
    </w:p>
    <w:p w14:paraId="21A2E5D1" w14:textId="77777777" w:rsidR="00C5586E" w:rsidRDefault="00C5586E" w:rsidP="00C5586E">
      <w:pPr>
        <w:rPr>
          <w:rFonts w:cs="Arial"/>
          <w:szCs w:val="24"/>
        </w:rPr>
      </w:pPr>
    </w:p>
    <w:p w14:paraId="015742FE" w14:textId="77777777" w:rsidR="00C5586E" w:rsidRDefault="00C5586E" w:rsidP="00C5586E">
      <w:pPr>
        <w:rPr>
          <w:rFonts w:cs="Arial"/>
          <w:b/>
          <w:bCs/>
          <w:szCs w:val="24"/>
        </w:rPr>
      </w:pPr>
      <w:r>
        <w:rPr>
          <w:rFonts w:cs="Arial"/>
          <w:b/>
          <w:bCs/>
          <w:szCs w:val="24"/>
        </w:rPr>
        <w:t>Legislation</w:t>
      </w:r>
    </w:p>
    <w:p w14:paraId="0BB1C95E" w14:textId="77777777" w:rsidR="00C5586E" w:rsidRPr="00C4033D" w:rsidRDefault="00C5586E" w:rsidP="00C5586E">
      <w:pPr>
        <w:pStyle w:val="ListBullet"/>
        <w:rPr>
          <w:i/>
          <w:lang w:eastAsia="en-AU"/>
        </w:rPr>
      </w:pPr>
      <w:bookmarkStart w:id="21" w:name="_Hlk156212449"/>
      <w:r w:rsidRPr="003C355B">
        <w:rPr>
          <w:i/>
          <w:lang w:eastAsia="en-AU"/>
        </w:rPr>
        <w:t xml:space="preserve">Health Records (Privacy and Access) Act </w:t>
      </w:r>
      <w:r w:rsidRPr="003C355B">
        <w:rPr>
          <w:lang w:eastAsia="en-AU"/>
        </w:rPr>
        <w:t>1997</w:t>
      </w:r>
    </w:p>
    <w:p w14:paraId="3E86CC61" w14:textId="77777777" w:rsidR="00C5586E" w:rsidRPr="00FE7F5C" w:rsidRDefault="00C5586E" w:rsidP="00C5586E">
      <w:pPr>
        <w:pStyle w:val="ListBullet"/>
        <w:rPr>
          <w:rFonts w:cs="Arial"/>
          <w:i/>
          <w:szCs w:val="24"/>
        </w:rPr>
      </w:pPr>
      <w:r w:rsidRPr="003C355B">
        <w:rPr>
          <w:bCs/>
          <w:i/>
          <w:lang w:eastAsia="en-AU"/>
        </w:rPr>
        <w:t>Human Rights Act</w:t>
      </w:r>
      <w:r w:rsidRPr="003C355B">
        <w:rPr>
          <w:b/>
          <w:bCs/>
          <w:i/>
          <w:lang w:eastAsia="en-AU"/>
        </w:rPr>
        <w:t xml:space="preserve"> </w:t>
      </w:r>
      <w:r w:rsidRPr="003C355B">
        <w:rPr>
          <w:bCs/>
          <w:lang w:eastAsia="en-AU"/>
        </w:rPr>
        <w:t>2000</w:t>
      </w:r>
    </w:p>
    <w:p w14:paraId="545B712D" w14:textId="77777777" w:rsidR="00C5586E" w:rsidRPr="004964ED" w:rsidRDefault="00C5586E" w:rsidP="00C5586E">
      <w:pPr>
        <w:pStyle w:val="ListBullet"/>
        <w:rPr>
          <w:rFonts w:cs="Arial"/>
          <w:i/>
          <w:szCs w:val="24"/>
        </w:rPr>
      </w:pPr>
      <w:r>
        <w:rPr>
          <w:bCs/>
          <w:i/>
          <w:lang w:eastAsia="en-AU"/>
        </w:rPr>
        <w:t xml:space="preserve">Work Health and Safety Act </w:t>
      </w:r>
      <w:r>
        <w:rPr>
          <w:bCs/>
          <w:iCs/>
          <w:lang w:eastAsia="en-AU"/>
        </w:rPr>
        <w:t>2015</w:t>
      </w:r>
    </w:p>
    <w:p w14:paraId="5311BBE4" w14:textId="77777777" w:rsidR="00C5586E" w:rsidRDefault="00C5586E" w:rsidP="00C5586E">
      <w:pPr>
        <w:pStyle w:val="ListBullet"/>
      </w:pPr>
      <w:r>
        <w:rPr>
          <w:i/>
          <w:iCs/>
        </w:rPr>
        <w:t xml:space="preserve">Medicines, </w:t>
      </w:r>
      <w:proofErr w:type="spellStart"/>
      <w:r>
        <w:rPr>
          <w:i/>
          <w:iCs/>
        </w:rPr>
        <w:t>Poisions</w:t>
      </w:r>
      <w:proofErr w:type="spellEnd"/>
      <w:r>
        <w:rPr>
          <w:i/>
          <w:iCs/>
        </w:rPr>
        <w:t xml:space="preserve"> and Therapeutic Goods Act </w:t>
      </w:r>
      <w:r>
        <w:t>2008</w:t>
      </w:r>
    </w:p>
    <w:bookmarkEnd w:id="21"/>
    <w:p w14:paraId="6A61ECEC" w14:textId="77777777" w:rsidR="00C5586E" w:rsidRDefault="00C5586E" w:rsidP="00C5586E">
      <w:pPr>
        <w:pStyle w:val="ListBullet"/>
        <w:numPr>
          <w:ilvl w:val="0"/>
          <w:numId w:val="0"/>
        </w:numPr>
      </w:pPr>
    </w:p>
    <w:p w14:paraId="49CB046F" w14:textId="77777777" w:rsidR="00C5586E" w:rsidRPr="00B77F2B" w:rsidRDefault="00C5586E" w:rsidP="00C5586E">
      <w:pPr>
        <w:pStyle w:val="ListBullet"/>
        <w:numPr>
          <w:ilvl w:val="0"/>
          <w:numId w:val="0"/>
        </w:numPr>
        <w:rPr>
          <w:b/>
          <w:bCs/>
        </w:rPr>
      </w:pPr>
      <w:r w:rsidRPr="00B77F2B">
        <w:rPr>
          <w:b/>
          <w:bCs/>
        </w:rPr>
        <w:t xml:space="preserve">Other </w:t>
      </w:r>
    </w:p>
    <w:p w14:paraId="0C75E2FB" w14:textId="77777777" w:rsidR="00C5586E" w:rsidRPr="00F147C4" w:rsidRDefault="00C5586E" w:rsidP="00C5586E">
      <w:pPr>
        <w:pStyle w:val="ListBullet"/>
      </w:pPr>
      <w:r>
        <w:t>Procedural Sedation – ANZCA PS09</w:t>
      </w:r>
    </w:p>
    <w:p w14:paraId="219163B1" w14:textId="77777777" w:rsidR="00C5586E" w:rsidRDefault="00C5586E" w:rsidP="00C5586E">
      <w:pPr>
        <w:pStyle w:val="ListBullet"/>
      </w:pPr>
      <w:r w:rsidRPr="005764C7">
        <w:t xml:space="preserve">CHS Emergency Management Plans - Code Blue </w:t>
      </w:r>
    </w:p>
    <w:p w14:paraId="61AA5318" w14:textId="77777777" w:rsidR="00C5586E" w:rsidRPr="00D73FF9" w:rsidRDefault="00C5586E" w:rsidP="00C5586E">
      <w:pPr>
        <w:pStyle w:val="ListBullet"/>
      </w:pPr>
      <w:r w:rsidRPr="00D73FF9">
        <w:t xml:space="preserve">Australian Charter of Healthcare Rights </w:t>
      </w:r>
    </w:p>
    <w:p w14:paraId="5E4298BB" w14:textId="77777777" w:rsidR="00C5586E" w:rsidRPr="00D73FF9" w:rsidRDefault="00C5586E" w:rsidP="00C5586E">
      <w:pPr>
        <w:pStyle w:val="ListBullet"/>
      </w:pPr>
      <w:r w:rsidRPr="00D73FF9">
        <w:t>Nursing and Midwifery Board of Australia (NMBA) Requirements for Practice</w:t>
      </w:r>
    </w:p>
    <w:p w14:paraId="3BEA360B" w14:textId="77777777" w:rsidR="00C5586E" w:rsidRPr="001A5CE8" w:rsidRDefault="00C5586E" w:rsidP="00C5586E">
      <w:pPr>
        <w:rPr>
          <w:rFonts w:cs="Arial"/>
          <w:szCs w:val="24"/>
        </w:rPr>
      </w:pPr>
    </w:p>
    <w:p w14:paraId="2328245B" w14:textId="77777777" w:rsidR="00C5586E" w:rsidRDefault="00C5586E" w:rsidP="00C5586E">
      <w:pPr>
        <w:pStyle w:val="ListParagraph"/>
        <w:jc w:val="right"/>
        <w:rPr>
          <w:rStyle w:val="Hyperlink"/>
          <w:rFonts w:cs="Arial"/>
          <w:i/>
          <w:szCs w:val="24"/>
        </w:rPr>
      </w:pPr>
      <w:hyperlink w:anchor="Contents" w:history="1">
        <w:r w:rsidRPr="00590902">
          <w:rPr>
            <w:rStyle w:val="Hyperlink"/>
            <w:rFonts w:cs="Arial"/>
            <w:i/>
            <w:szCs w:val="24"/>
          </w:rPr>
          <w:t>Back to Table of Contents</w:t>
        </w:r>
      </w:hyperlink>
    </w:p>
    <w:p w14:paraId="56078129" w14:textId="77777777" w:rsidR="00C5586E" w:rsidRDefault="00C5586E" w:rsidP="00C5586E">
      <w:pPr>
        <w:pStyle w:val="ListParagraph"/>
        <w:jc w:val="right"/>
        <w:rPr>
          <w:szCs w:val="24"/>
        </w:rPr>
      </w:pPr>
    </w:p>
    <w:tbl>
      <w:tblPr>
        <w:tblpPr w:leftFromText="180" w:rightFromText="180" w:vertAnchor="text" w:horzAnchor="margin" w:tblpY="181"/>
        <w:tblW w:w="9158" w:type="dxa"/>
        <w:tblLook w:val="0000" w:firstRow="0" w:lastRow="0" w:firstColumn="0" w:lastColumn="0" w:noHBand="0" w:noVBand="0"/>
      </w:tblPr>
      <w:tblGrid>
        <w:gridCol w:w="9158"/>
      </w:tblGrid>
      <w:tr w:rsidR="00C5586E" w:rsidRPr="00CD1C0E" w14:paraId="1B96426C" w14:textId="77777777" w:rsidTr="00AC58FA">
        <w:trPr>
          <w:cantSplit/>
          <w:trHeight w:val="285"/>
        </w:trPr>
        <w:tc>
          <w:tcPr>
            <w:tcW w:w="9158" w:type="dxa"/>
            <w:shd w:val="clear" w:color="auto" w:fill="A6A6A6" w:themeFill="background1" w:themeFillShade="A6"/>
          </w:tcPr>
          <w:p w14:paraId="78F2F462" w14:textId="77777777" w:rsidR="00C5586E" w:rsidRPr="00CD1C0E" w:rsidRDefault="00C5586E" w:rsidP="00AC58FA">
            <w:pPr>
              <w:pStyle w:val="Heading1"/>
            </w:pPr>
            <w:bookmarkStart w:id="22" w:name="_Toc389473288"/>
            <w:bookmarkStart w:id="23" w:name="_Toc80974789"/>
            <w:r>
              <w:t>References</w:t>
            </w:r>
            <w:bookmarkEnd w:id="22"/>
            <w:bookmarkEnd w:id="23"/>
          </w:p>
        </w:tc>
      </w:tr>
    </w:tbl>
    <w:p w14:paraId="6E7EF595" w14:textId="77777777" w:rsidR="00C5586E" w:rsidRDefault="00C5586E" w:rsidP="00C5586E">
      <w:pPr>
        <w:rPr>
          <w:rFonts w:asciiTheme="majorHAnsi" w:hAnsiTheme="majorHAnsi" w:cstheme="majorHAnsi"/>
          <w:szCs w:val="24"/>
        </w:rPr>
      </w:pPr>
      <w:bookmarkStart w:id="24" w:name="_Toc389131245"/>
    </w:p>
    <w:p w14:paraId="17A058DB" w14:textId="77777777" w:rsidR="00C5586E" w:rsidRPr="003D3BF1" w:rsidRDefault="00C5586E" w:rsidP="00C5586E">
      <w:pPr>
        <w:pStyle w:val="ListParagraph"/>
        <w:numPr>
          <w:ilvl w:val="0"/>
          <w:numId w:val="13"/>
        </w:numPr>
        <w:ind w:left="426" w:hanging="426"/>
        <w:rPr>
          <w:rStyle w:val="Hyperlink"/>
          <w:color w:val="auto"/>
          <w:szCs w:val="24"/>
          <w:u w:val="none"/>
        </w:rPr>
      </w:pPr>
      <w:r w:rsidRPr="001C3ECE">
        <w:rPr>
          <w:szCs w:val="24"/>
        </w:rPr>
        <w:t xml:space="preserve">Australian Government Department of Health, 2013, </w:t>
      </w:r>
      <w:r w:rsidRPr="001C3ECE">
        <w:rPr>
          <w:i/>
          <w:szCs w:val="24"/>
        </w:rPr>
        <w:t xml:space="preserve">Infection Control </w:t>
      </w:r>
      <w:r>
        <w:rPr>
          <w:i/>
          <w:szCs w:val="24"/>
        </w:rPr>
        <w:t>Guidelines</w:t>
      </w:r>
      <w:r w:rsidRPr="001C3ECE">
        <w:rPr>
          <w:i/>
          <w:szCs w:val="24"/>
        </w:rPr>
        <w:t xml:space="preserve"> </w:t>
      </w:r>
      <w:r w:rsidRPr="001C3ECE">
        <w:rPr>
          <w:szCs w:val="24"/>
        </w:rPr>
        <w:t xml:space="preserve">Accessed </w:t>
      </w:r>
      <w:r>
        <w:rPr>
          <w:szCs w:val="24"/>
        </w:rPr>
        <w:t xml:space="preserve">19/07/2021 </w:t>
      </w:r>
      <w:hyperlink r:id="rId12" w:history="1">
        <w:r w:rsidRPr="0075170B">
          <w:rPr>
            <w:rStyle w:val="Hyperlink"/>
            <w:szCs w:val="24"/>
          </w:rPr>
          <w:t>https://www1.health.gov.au/internet/main/publishing.nsf/Content/icg-guidelines-index.htm</w:t>
        </w:r>
      </w:hyperlink>
    </w:p>
    <w:p w14:paraId="7D7D899E" w14:textId="77777777" w:rsidR="00C5586E" w:rsidRPr="003D3BF1" w:rsidRDefault="00C5586E" w:rsidP="00C5586E">
      <w:pPr>
        <w:pStyle w:val="ListParagraph"/>
        <w:numPr>
          <w:ilvl w:val="0"/>
          <w:numId w:val="13"/>
        </w:numPr>
        <w:ind w:left="426" w:hanging="426"/>
        <w:rPr>
          <w:szCs w:val="24"/>
        </w:rPr>
      </w:pPr>
      <w:r w:rsidRPr="000E7014">
        <w:rPr>
          <w:rFonts w:cs="Arial"/>
          <w:lang w:val="it-IT"/>
        </w:rPr>
        <w:t xml:space="preserve">Arevalo-Rodriguez, I., Ciapponi, A., Roqué i Figuls, M., Muñoz, L., &amp; Bonfill, C. X.(2016). </w:t>
      </w:r>
      <w:r w:rsidRPr="003D3BF1">
        <w:rPr>
          <w:rFonts w:cs="Arial"/>
          <w:lang w:val="en-US"/>
        </w:rPr>
        <w:t>Posture and fluids for preventing post-dural puncture headache. Cochrane Database Systematic Review, 3(3). Retrieved January 17, 2023, from PubMed.gov.</w:t>
      </w:r>
    </w:p>
    <w:p w14:paraId="54157E37" w14:textId="77777777" w:rsidR="00C5586E" w:rsidRPr="003D3BF1" w:rsidRDefault="00C5586E" w:rsidP="00C5586E">
      <w:pPr>
        <w:pStyle w:val="ListParagraph"/>
        <w:numPr>
          <w:ilvl w:val="0"/>
          <w:numId w:val="13"/>
        </w:numPr>
        <w:ind w:left="426" w:hanging="426"/>
        <w:rPr>
          <w:szCs w:val="24"/>
        </w:rPr>
      </w:pPr>
      <w:r w:rsidRPr="003D3BF1">
        <w:rPr>
          <w:rFonts w:cs="Arial"/>
          <w:lang w:val="en-US"/>
        </w:rPr>
        <w:t xml:space="preserve">Bateman, B.T., Cole, N., Sun-Edelstein, C., Lay, C. L. (2022). Post dural puncture headache.  Retrieved January 17, 2023, from </w:t>
      </w:r>
      <w:hyperlink r:id="rId13" w:anchor="disclaimerContent" w:history="1">
        <w:r w:rsidRPr="003D3BF1">
          <w:rPr>
            <w:rFonts w:cs="Arial"/>
            <w:lang w:val="en-US"/>
          </w:rPr>
          <w:t>https://www.uptodate.com/contents/post-dural-puncture-headache?topicRef=4832&amp;source=see_link#disclaimerContent</w:t>
        </w:r>
      </w:hyperlink>
    </w:p>
    <w:p w14:paraId="5797DBB8" w14:textId="77777777" w:rsidR="00C5586E" w:rsidRPr="00436236" w:rsidRDefault="00C5586E" w:rsidP="00C5586E">
      <w:pPr>
        <w:pStyle w:val="ListParagraph"/>
        <w:numPr>
          <w:ilvl w:val="0"/>
          <w:numId w:val="13"/>
        </w:numPr>
        <w:ind w:left="426" w:hanging="426"/>
        <w:rPr>
          <w:szCs w:val="24"/>
        </w:rPr>
      </w:pPr>
      <w:r w:rsidRPr="001C3ECE">
        <w:rPr>
          <w:szCs w:val="24"/>
        </w:rPr>
        <w:t xml:space="preserve">John Hopkins Medicine, Health Library, </w:t>
      </w:r>
      <w:r w:rsidRPr="001C3ECE">
        <w:rPr>
          <w:i/>
          <w:szCs w:val="24"/>
        </w:rPr>
        <w:t xml:space="preserve">Lumbar Puncture. </w:t>
      </w:r>
      <w:r w:rsidRPr="001C3ECE">
        <w:rPr>
          <w:szCs w:val="24"/>
        </w:rPr>
        <w:t xml:space="preserve">Accessed on </w:t>
      </w:r>
      <w:r>
        <w:rPr>
          <w:szCs w:val="24"/>
        </w:rPr>
        <w:t>19</w:t>
      </w:r>
      <w:r w:rsidRPr="001C3ECE">
        <w:rPr>
          <w:szCs w:val="24"/>
        </w:rPr>
        <w:t>/7/</w:t>
      </w:r>
      <w:r>
        <w:rPr>
          <w:szCs w:val="24"/>
        </w:rPr>
        <w:t>21</w:t>
      </w:r>
      <w:r w:rsidRPr="001C3ECE">
        <w:rPr>
          <w:szCs w:val="24"/>
        </w:rPr>
        <w:t xml:space="preserve">; </w:t>
      </w:r>
      <w:hyperlink r:id="rId14" w:history="1">
        <w:r w:rsidRPr="0075170B">
          <w:rPr>
            <w:rStyle w:val="Hyperlink"/>
            <w:szCs w:val="24"/>
          </w:rPr>
          <w:t>https://www.hopkinsmedicine.org/health/treatment-tests-and-therapies/lumbar-puncture</w:t>
        </w:r>
      </w:hyperlink>
    </w:p>
    <w:p w14:paraId="77D51694" w14:textId="77777777" w:rsidR="00C5586E" w:rsidRPr="003D3BF1" w:rsidRDefault="00C5586E" w:rsidP="00C5586E">
      <w:pPr>
        <w:pStyle w:val="ListParagraph"/>
        <w:numPr>
          <w:ilvl w:val="0"/>
          <w:numId w:val="13"/>
        </w:numPr>
        <w:ind w:left="426" w:hanging="426"/>
        <w:rPr>
          <w:szCs w:val="24"/>
        </w:rPr>
      </w:pPr>
      <w:r w:rsidRPr="003D3BF1">
        <w:rPr>
          <w:rFonts w:cs="Arial"/>
          <w:lang w:val="en-US"/>
        </w:rPr>
        <w:t>K C, HB., Pahari, T. (2017). Effect of Posture on Post Lumbar Puncture Headache after Spinal Anesthesia: A Prospective Randomized Study. Kathmandu University Medical Journal (KUMJ), 15(60), 324-328. Retrieved January 17, 2023, from PubMed.gov.</w:t>
      </w:r>
    </w:p>
    <w:p w14:paraId="44D02BD1" w14:textId="77777777" w:rsidR="00C5586E" w:rsidRPr="003D3BF1" w:rsidRDefault="00C5586E" w:rsidP="00C5586E">
      <w:pPr>
        <w:pStyle w:val="ListParagraph"/>
        <w:numPr>
          <w:ilvl w:val="0"/>
          <w:numId w:val="13"/>
        </w:numPr>
        <w:ind w:left="426" w:hanging="426"/>
        <w:rPr>
          <w:szCs w:val="24"/>
        </w:rPr>
      </w:pPr>
      <w:proofErr w:type="spellStart"/>
      <w:r w:rsidRPr="003D3BF1">
        <w:rPr>
          <w:rFonts w:cs="Arial"/>
          <w:lang w:val="en-US"/>
        </w:rPr>
        <w:t>Kietaibl</w:t>
      </w:r>
      <w:proofErr w:type="spellEnd"/>
      <w:r w:rsidRPr="003D3BF1">
        <w:rPr>
          <w:rFonts w:cs="Arial"/>
          <w:lang w:val="en-US"/>
        </w:rPr>
        <w:t xml:space="preserve">, S., et al. (2022) Regional </w:t>
      </w:r>
      <w:proofErr w:type="spellStart"/>
      <w:r w:rsidRPr="003D3BF1">
        <w:rPr>
          <w:rFonts w:cs="Arial"/>
          <w:lang w:val="en-US"/>
        </w:rPr>
        <w:t>anaesthesia</w:t>
      </w:r>
      <w:proofErr w:type="spellEnd"/>
      <w:r w:rsidRPr="003D3BF1">
        <w:rPr>
          <w:rFonts w:cs="Arial"/>
          <w:lang w:val="en-US"/>
        </w:rPr>
        <w:t xml:space="preserve"> in patients on anti-thrombotic drugs. Joint ESAIC/ESRA guidelines. European Journal of </w:t>
      </w:r>
      <w:proofErr w:type="spellStart"/>
      <w:r w:rsidRPr="003D3BF1">
        <w:rPr>
          <w:rFonts w:cs="Arial"/>
          <w:lang w:val="en-US"/>
        </w:rPr>
        <w:t>Anaesthesiology</w:t>
      </w:r>
      <w:proofErr w:type="spellEnd"/>
      <w:r w:rsidRPr="003D3BF1">
        <w:rPr>
          <w:rFonts w:cs="Arial"/>
          <w:lang w:val="en-US"/>
        </w:rPr>
        <w:t>, 39, 100-132.</w:t>
      </w:r>
    </w:p>
    <w:p w14:paraId="012DDB1A" w14:textId="77777777" w:rsidR="00C5586E" w:rsidRPr="003D3BF1" w:rsidRDefault="00C5586E" w:rsidP="00C5586E">
      <w:pPr>
        <w:pStyle w:val="Default"/>
        <w:numPr>
          <w:ilvl w:val="0"/>
          <w:numId w:val="13"/>
        </w:numPr>
        <w:ind w:left="426" w:hanging="426"/>
        <w:rPr>
          <w:rFonts w:asciiTheme="minorHAnsi" w:hAnsiTheme="minorHAnsi" w:cstheme="minorHAnsi"/>
        </w:rPr>
      </w:pPr>
      <w:r>
        <w:rPr>
          <w:rFonts w:ascii="Source Sans Pro" w:hAnsi="Source Sans Pro"/>
          <w:color w:val="3A3A3A"/>
          <w:sz w:val="23"/>
          <w:szCs w:val="23"/>
          <w:shd w:val="clear" w:color="auto" w:fill="FFFFFF"/>
        </w:rPr>
        <w:t>Lippincott. (2015) </w:t>
      </w:r>
      <w:r>
        <w:rPr>
          <w:rFonts w:ascii="Source Sans Pro" w:hAnsi="Source Sans Pro"/>
          <w:i/>
          <w:iCs/>
          <w:color w:val="3A3A3A"/>
          <w:sz w:val="23"/>
          <w:szCs w:val="23"/>
          <w:shd w:val="clear" w:color="auto" w:fill="FFFFFF"/>
        </w:rPr>
        <w:t>Lippincott Nursing Procedures</w:t>
      </w:r>
      <w:r>
        <w:rPr>
          <w:rFonts w:ascii="Source Sans Pro" w:hAnsi="Source Sans Pro"/>
          <w:color w:val="3A3A3A"/>
          <w:sz w:val="23"/>
          <w:szCs w:val="23"/>
          <w:shd w:val="clear" w:color="auto" w:fill="FFFFFF"/>
        </w:rPr>
        <w:t xml:space="preserve">. 7th ed. Philadelphia: Wolters Kluwer. </w:t>
      </w:r>
      <w:r w:rsidRPr="003D3BF1">
        <w:rPr>
          <w:rFonts w:asciiTheme="minorHAnsi" w:hAnsiTheme="minorHAnsi" w:cstheme="minorHAnsi"/>
          <w:color w:val="3A3A3A"/>
          <w:shd w:val="clear" w:color="auto" w:fill="FFFFFF"/>
        </w:rPr>
        <w:t>Lumbar Puncture Assisting. [e-book]</w:t>
      </w:r>
    </w:p>
    <w:p w14:paraId="573B36AE" w14:textId="77777777" w:rsidR="00C5586E" w:rsidRPr="003D3BF1" w:rsidRDefault="00C5586E" w:rsidP="00C5586E">
      <w:pPr>
        <w:pStyle w:val="Default"/>
        <w:numPr>
          <w:ilvl w:val="0"/>
          <w:numId w:val="13"/>
        </w:numPr>
        <w:ind w:left="426" w:hanging="426"/>
        <w:rPr>
          <w:rFonts w:asciiTheme="minorHAnsi" w:hAnsiTheme="minorHAnsi" w:cstheme="minorHAnsi"/>
        </w:rPr>
      </w:pPr>
      <w:proofErr w:type="spellStart"/>
      <w:r w:rsidRPr="003D3BF1">
        <w:rPr>
          <w:rFonts w:asciiTheme="minorHAnsi" w:hAnsiTheme="minorHAnsi" w:cstheme="minorHAnsi"/>
          <w:lang w:val="en-US"/>
        </w:rPr>
        <w:t>Salzer</w:t>
      </w:r>
      <w:proofErr w:type="spellEnd"/>
      <w:r w:rsidRPr="003D3BF1">
        <w:rPr>
          <w:rFonts w:asciiTheme="minorHAnsi" w:hAnsiTheme="minorHAnsi" w:cstheme="minorHAnsi"/>
          <w:lang w:val="en-US"/>
        </w:rPr>
        <w:t xml:space="preserve">, J., </w:t>
      </w:r>
      <w:proofErr w:type="spellStart"/>
      <w:r w:rsidRPr="003D3BF1">
        <w:rPr>
          <w:rFonts w:asciiTheme="minorHAnsi" w:hAnsiTheme="minorHAnsi" w:cstheme="minorHAnsi"/>
          <w:lang w:val="en-US"/>
        </w:rPr>
        <w:t>Granåsen</w:t>
      </w:r>
      <w:proofErr w:type="spellEnd"/>
      <w:r w:rsidRPr="003D3BF1">
        <w:rPr>
          <w:rFonts w:asciiTheme="minorHAnsi" w:hAnsiTheme="minorHAnsi" w:cstheme="minorHAnsi"/>
          <w:lang w:val="en-US"/>
        </w:rPr>
        <w:t xml:space="preserve">, G., </w:t>
      </w:r>
      <w:proofErr w:type="spellStart"/>
      <w:r w:rsidRPr="003D3BF1">
        <w:rPr>
          <w:rFonts w:asciiTheme="minorHAnsi" w:hAnsiTheme="minorHAnsi" w:cstheme="minorHAnsi"/>
          <w:lang w:val="en-US"/>
        </w:rPr>
        <w:t>Sundström</w:t>
      </w:r>
      <w:proofErr w:type="spellEnd"/>
      <w:r w:rsidRPr="003D3BF1">
        <w:rPr>
          <w:rFonts w:asciiTheme="minorHAnsi" w:hAnsiTheme="minorHAnsi" w:cstheme="minorHAnsi"/>
          <w:lang w:val="en-US"/>
        </w:rPr>
        <w:t xml:space="preserve">, P., </w:t>
      </w:r>
      <w:proofErr w:type="spellStart"/>
      <w:r w:rsidRPr="003D3BF1">
        <w:rPr>
          <w:rFonts w:asciiTheme="minorHAnsi" w:hAnsiTheme="minorHAnsi" w:cstheme="minorHAnsi"/>
          <w:lang w:val="en-US"/>
        </w:rPr>
        <w:t>Vågberg</w:t>
      </w:r>
      <w:proofErr w:type="spellEnd"/>
      <w:r w:rsidRPr="003D3BF1">
        <w:rPr>
          <w:rFonts w:asciiTheme="minorHAnsi" w:hAnsiTheme="minorHAnsi" w:cstheme="minorHAnsi"/>
          <w:lang w:val="en-US"/>
        </w:rPr>
        <w:t xml:space="preserve">, M., &amp; </w:t>
      </w:r>
      <w:proofErr w:type="spellStart"/>
      <w:r w:rsidRPr="003D3BF1">
        <w:rPr>
          <w:rFonts w:asciiTheme="minorHAnsi" w:hAnsiTheme="minorHAnsi" w:cstheme="minorHAnsi"/>
          <w:lang w:val="en-US"/>
        </w:rPr>
        <w:t>Svenningsson</w:t>
      </w:r>
      <w:proofErr w:type="spellEnd"/>
      <w:r w:rsidRPr="003D3BF1">
        <w:rPr>
          <w:rFonts w:asciiTheme="minorHAnsi" w:hAnsiTheme="minorHAnsi" w:cstheme="minorHAnsi"/>
          <w:lang w:val="en-US"/>
        </w:rPr>
        <w:t>, A. (2020). Prevention of post-dural puncture headache: a randomized controlled trial. European Journal of Neurology, 27(5), 871-877. Retrieved January 17, 2023, from PubMed.gov.</w:t>
      </w:r>
    </w:p>
    <w:p w14:paraId="15ADA0EF" w14:textId="77777777" w:rsidR="00C5586E" w:rsidRPr="003D3BF1" w:rsidRDefault="00C5586E" w:rsidP="00C5586E">
      <w:pPr>
        <w:pStyle w:val="Default"/>
        <w:numPr>
          <w:ilvl w:val="0"/>
          <w:numId w:val="13"/>
        </w:numPr>
        <w:ind w:left="426" w:hanging="426"/>
        <w:rPr>
          <w:rFonts w:asciiTheme="minorHAnsi" w:hAnsiTheme="minorHAnsi" w:cstheme="minorHAnsi"/>
        </w:rPr>
      </w:pPr>
      <w:r w:rsidRPr="003D3BF1">
        <w:rPr>
          <w:rFonts w:asciiTheme="minorHAnsi" w:hAnsiTheme="minorHAnsi" w:cstheme="minorHAnsi"/>
          <w:lang w:val="en-US"/>
        </w:rPr>
        <w:t xml:space="preserve">Tai, C.H., Wu, S.L., Lin, S.Y., Liang, Y., Wang, S.J., &amp; Chen, S.P. (2021). The </w:t>
      </w:r>
      <w:proofErr w:type="gramStart"/>
      <w:r w:rsidRPr="003D3BF1">
        <w:rPr>
          <w:rFonts w:asciiTheme="minorHAnsi" w:hAnsiTheme="minorHAnsi" w:cstheme="minorHAnsi"/>
          <w:lang w:val="en-US"/>
        </w:rPr>
        <w:t>causal-effect</w:t>
      </w:r>
      <w:proofErr w:type="gramEnd"/>
      <w:r w:rsidRPr="003D3BF1">
        <w:rPr>
          <w:rFonts w:asciiTheme="minorHAnsi" w:hAnsiTheme="minorHAnsi" w:cstheme="minorHAnsi"/>
          <w:lang w:val="en-US"/>
        </w:rPr>
        <w:t xml:space="preserve"> of bed rest and post-dural puncture headache in patients receiving diagnostic lumbar puncture: A prospective cohort study. Journal of Chinese Medication Association, 84(8), 791-794. Retrieved January 17, 2023, from </w:t>
      </w:r>
      <w:proofErr w:type="gramStart"/>
      <w:r w:rsidRPr="003D3BF1">
        <w:rPr>
          <w:rFonts w:asciiTheme="minorHAnsi" w:hAnsiTheme="minorHAnsi" w:cstheme="minorHAnsi"/>
          <w:lang w:val="en-US"/>
        </w:rPr>
        <w:t>https://pubmed.ncbi.nlm.nih.gov/34074932/</w:t>
      </w:r>
      <w:proofErr w:type="gramEnd"/>
    </w:p>
    <w:bookmarkEnd w:id="24"/>
    <w:p w14:paraId="4103A918" w14:textId="77777777" w:rsidR="00C5586E" w:rsidRPr="00DE4E25" w:rsidRDefault="00C5586E" w:rsidP="00C5586E">
      <w:pPr>
        <w:jc w:val="right"/>
        <w:rPr>
          <w:szCs w:val="24"/>
        </w:rPr>
      </w:pPr>
    </w:p>
    <w:p w14:paraId="447AE75E" w14:textId="77777777" w:rsidR="00C5586E" w:rsidRPr="00436236" w:rsidRDefault="00C5586E" w:rsidP="00C5586E">
      <w:pPr>
        <w:jc w:val="right"/>
      </w:pPr>
      <w:hyperlink w:anchor="Contents" w:history="1">
        <w:r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C5586E" w:rsidRPr="00CD1C0E" w14:paraId="4E26A615" w14:textId="77777777" w:rsidTr="00AC58FA">
        <w:trPr>
          <w:cantSplit/>
          <w:trHeight w:val="285"/>
        </w:trPr>
        <w:tc>
          <w:tcPr>
            <w:tcW w:w="9158" w:type="dxa"/>
            <w:shd w:val="clear" w:color="auto" w:fill="A6A6A6" w:themeFill="background1" w:themeFillShade="A6"/>
          </w:tcPr>
          <w:p w14:paraId="3A0ADF56" w14:textId="77777777" w:rsidR="00C5586E" w:rsidRPr="00CD1C0E" w:rsidRDefault="00C5586E" w:rsidP="00AC58FA">
            <w:pPr>
              <w:pStyle w:val="Heading1"/>
            </w:pPr>
            <w:bookmarkStart w:id="25" w:name="_Toc389473290"/>
            <w:bookmarkStart w:id="26" w:name="_Toc80974790"/>
            <w:r>
              <w:t>Search Terms</w:t>
            </w:r>
            <w:bookmarkEnd w:id="25"/>
            <w:bookmarkEnd w:id="26"/>
            <w:r>
              <w:t xml:space="preserve"> </w:t>
            </w:r>
          </w:p>
        </w:tc>
      </w:tr>
    </w:tbl>
    <w:p w14:paraId="3BBE442D" w14:textId="77777777" w:rsidR="00C5586E" w:rsidRDefault="00C5586E" w:rsidP="00C5586E">
      <w:pPr>
        <w:rPr>
          <w:rFonts w:cs="Calibri,Bold"/>
          <w:bCs/>
          <w:i/>
          <w:szCs w:val="24"/>
          <w:lang w:eastAsia="en-AU"/>
        </w:rPr>
      </w:pPr>
    </w:p>
    <w:p w14:paraId="0D4A564E" w14:textId="77777777" w:rsidR="00C5586E" w:rsidRPr="00CB4F70" w:rsidRDefault="00C5586E" w:rsidP="00C5586E">
      <w:pPr>
        <w:jc w:val="both"/>
        <w:rPr>
          <w:rFonts w:asciiTheme="minorHAnsi" w:hAnsiTheme="minorHAnsi" w:cs="Arial"/>
          <w:b/>
          <w:sz w:val="22"/>
          <w:szCs w:val="22"/>
        </w:rPr>
      </w:pPr>
      <w:r w:rsidRPr="00CB4F70">
        <w:rPr>
          <w:rFonts w:cs="Calibri,Bold"/>
          <w:bCs/>
          <w:szCs w:val="24"/>
          <w:lang w:eastAsia="en-AU"/>
        </w:rPr>
        <w:t>Lumbar Puncture, needle</w:t>
      </w:r>
      <w:r>
        <w:rPr>
          <w:rFonts w:cs="Calibri,Bold"/>
          <w:bCs/>
          <w:szCs w:val="24"/>
          <w:lang w:eastAsia="en-AU"/>
        </w:rPr>
        <w:t xml:space="preserve">, CJD, </w:t>
      </w:r>
      <w:proofErr w:type="spellStart"/>
      <w:r w:rsidRPr="00CB4F70">
        <w:rPr>
          <w:szCs w:val="24"/>
          <w:lang w:eastAsia="en-AU"/>
        </w:rPr>
        <w:t>Queckenstedt</w:t>
      </w:r>
      <w:proofErr w:type="spellEnd"/>
      <w:r w:rsidRPr="00CB4F70">
        <w:rPr>
          <w:szCs w:val="24"/>
          <w:lang w:eastAsia="en-AU"/>
        </w:rPr>
        <w:t xml:space="preserve"> test</w:t>
      </w:r>
      <w:r>
        <w:rPr>
          <w:szCs w:val="24"/>
          <w:lang w:eastAsia="en-AU"/>
        </w:rPr>
        <w:t>, CSF pressure, and CSF leak.</w:t>
      </w:r>
    </w:p>
    <w:p w14:paraId="77DDADA6" w14:textId="77777777" w:rsidR="00C5586E" w:rsidRPr="00901883" w:rsidRDefault="00C5586E" w:rsidP="00C5586E">
      <w:pPr>
        <w:jc w:val="both"/>
        <w:rPr>
          <w:rFonts w:asciiTheme="minorHAnsi" w:hAnsiTheme="minorHAnsi" w:cs="Arial"/>
          <w:b/>
          <w:i/>
          <w:sz w:val="22"/>
          <w:szCs w:val="22"/>
        </w:rPr>
      </w:pPr>
    </w:p>
    <w:p w14:paraId="0E5BA5CE" w14:textId="77777777" w:rsidR="00C5586E" w:rsidRDefault="00C5586E" w:rsidP="00C5586E">
      <w:pPr>
        <w:jc w:val="right"/>
        <w:rPr>
          <w:rStyle w:val="Hyperlink"/>
          <w:rFonts w:cs="Arial"/>
          <w:i/>
          <w:szCs w:val="24"/>
        </w:rPr>
      </w:pPr>
      <w:hyperlink w:anchor="Contents" w:history="1">
        <w:r w:rsidRPr="00590902">
          <w:rPr>
            <w:rStyle w:val="Hyperlink"/>
            <w:rFonts w:cs="Arial"/>
            <w:i/>
            <w:szCs w:val="24"/>
          </w:rPr>
          <w:t>Back to Table of Contents</w:t>
        </w:r>
      </w:hyperlink>
      <w:bookmarkStart w:id="27" w:name="_Toc396995664"/>
    </w:p>
    <w:p w14:paraId="6CF483E9" w14:textId="77777777" w:rsidR="00C5586E" w:rsidRDefault="00C5586E" w:rsidP="00C5586E">
      <w:pPr>
        <w:jc w:val="right"/>
        <w:rPr>
          <w:rStyle w:val="Hyperlink"/>
          <w:rFonts w:cs="Arial"/>
          <w:i/>
          <w:szCs w:val="24"/>
        </w:rPr>
      </w:pPr>
    </w:p>
    <w:p w14:paraId="7B7564B2" w14:textId="77777777" w:rsidR="00C5586E" w:rsidRPr="003E167B" w:rsidRDefault="00C5586E" w:rsidP="00C5586E">
      <w:pPr>
        <w:rPr>
          <w:rFonts w:cs="Arial"/>
          <w:i/>
          <w:iCs/>
          <w:sz w:val="20"/>
        </w:rPr>
      </w:pPr>
      <w:r w:rsidRPr="003E167B">
        <w:rPr>
          <w:rFonts w:cs="Arial"/>
          <w:b/>
          <w:sz w:val="20"/>
        </w:rPr>
        <w:t>Disclaimer</w:t>
      </w:r>
      <w:r w:rsidRPr="003E167B">
        <w:rPr>
          <w:rFonts w:cs="Arial"/>
          <w:sz w:val="20"/>
        </w:rPr>
        <w:t xml:space="preserve">: </w:t>
      </w:r>
      <w:r w:rsidRPr="003E167B">
        <w:rPr>
          <w:rFonts w:cs="Arial"/>
          <w:i/>
          <w:iCs/>
          <w:sz w:val="20"/>
        </w:rPr>
        <w:t xml:space="preserve">This document has been developed by Canberra Health Services specifically for its own use.  Use of this document and any reliance on the information contained therein by any third party is at his or her own risk and </w:t>
      </w:r>
      <w:r>
        <w:rPr>
          <w:rFonts w:cs="Arial"/>
          <w:i/>
          <w:iCs/>
          <w:sz w:val="20"/>
        </w:rPr>
        <w:t>Canberra Health Services</w:t>
      </w:r>
      <w:r w:rsidRPr="003E167B">
        <w:rPr>
          <w:rFonts w:cs="Arial"/>
          <w:i/>
          <w:iCs/>
          <w:sz w:val="20"/>
        </w:rPr>
        <w:t xml:space="preserve"> assumes no responsibility whatsoever.</w:t>
      </w:r>
    </w:p>
    <w:p w14:paraId="61A505F6" w14:textId="77777777" w:rsidR="00C5586E" w:rsidRPr="00AC7025" w:rsidRDefault="00C5586E" w:rsidP="00C5586E">
      <w:pPr>
        <w:jc w:val="right"/>
        <w:rPr>
          <w:rFonts w:cs="Calibri,Bold"/>
          <w:bCs/>
          <w:i/>
          <w:szCs w:val="24"/>
          <w:lang w:eastAsia="en-AU"/>
        </w:rPr>
      </w:pPr>
    </w:p>
    <w:bookmarkEnd w:id="27"/>
    <w:p w14:paraId="12E28D9B" w14:textId="77777777" w:rsidR="00C5586E" w:rsidRPr="008202D3" w:rsidRDefault="00C5586E" w:rsidP="00C5586E">
      <w:pPr>
        <w:rPr>
          <w:rFonts w:cs="Arial"/>
          <w:i/>
          <w:iCs/>
          <w:sz w:val="20"/>
        </w:rPr>
      </w:pPr>
    </w:p>
    <w:p w14:paraId="185F219E" w14:textId="77777777" w:rsidR="00C5586E" w:rsidRPr="008202D3" w:rsidRDefault="00C5586E" w:rsidP="00C5586E">
      <w:pPr>
        <w:rPr>
          <w:rFonts w:cs="Arial"/>
          <w:i/>
          <w:iCs/>
          <w:sz w:val="20"/>
        </w:rPr>
      </w:pPr>
      <w:r w:rsidRPr="008202D3">
        <w:rPr>
          <w:rFonts w:cs="Arial"/>
          <w:i/>
          <w:iCs/>
          <w:sz w:val="20"/>
        </w:rPr>
        <w:t>Policy Team ONLY to complete the following:</w:t>
      </w:r>
    </w:p>
    <w:tbl>
      <w:tblPr>
        <w:tblStyle w:val="TableGrid"/>
        <w:tblW w:w="9064" w:type="dxa"/>
        <w:tblLook w:val="04A0" w:firstRow="1" w:lastRow="0" w:firstColumn="1" w:lastColumn="0" w:noHBand="0" w:noVBand="1"/>
      </w:tblPr>
      <w:tblGrid>
        <w:gridCol w:w="2122"/>
        <w:gridCol w:w="2265"/>
        <w:gridCol w:w="2412"/>
        <w:gridCol w:w="2265"/>
      </w:tblGrid>
      <w:tr w:rsidR="00C5586E" w:rsidRPr="008202D3" w14:paraId="2FFC708B" w14:textId="77777777" w:rsidTr="00AC58FA">
        <w:tc>
          <w:tcPr>
            <w:tcW w:w="2122" w:type="dxa"/>
          </w:tcPr>
          <w:p w14:paraId="1499679E" w14:textId="77777777" w:rsidR="00C5586E" w:rsidRPr="008202D3" w:rsidRDefault="00C5586E" w:rsidP="00AC58FA">
            <w:pPr>
              <w:rPr>
                <w:i/>
                <w:sz w:val="20"/>
              </w:rPr>
            </w:pPr>
            <w:r w:rsidRPr="008202D3">
              <w:rPr>
                <w:i/>
                <w:sz w:val="20"/>
              </w:rPr>
              <w:t>Date Amended</w:t>
            </w:r>
          </w:p>
        </w:tc>
        <w:tc>
          <w:tcPr>
            <w:tcW w:w="2265" w:type="dxa"/>
          </w:tcPr>
          <w:p w14:paraId="5C28DB3C" w14:textId="77777777" w:rsidR="00C5586E" w:rsidRPr="008202D3" w:rsidRDefault="00C5586E" w:rsidP="00AC58FA">
            <w:pPr>
              <w:rPr>
                <w:i/>
                <w:sz w:val="20"/>
              </w:rPr>
            </w:pPr>
            <w:r w:rsidRPr="008202D3">
              <w:rPr>
                <w:i/>
                <w:sz w:val="20"/>
              </w:rPr>
              <w:t>Section Amended</w:t>
            </w:r>
          </w:p>
        </w:tc>
        <w:tc>
          <w:tcPr>
            <w:tcW w:w="2412" w:type="dxa"/>
          </w:tcPr>
          <w:p w14:paraId="266F6789" w14:textId="77777777" w:rsidR="00C5586E" w:rsidRPr="008202D3" w:rsidRDefault="00C5586E" w:rsidP="00AC58FA">
            <w:pPr>
              <w:rPr>
                <w:i/>
                <w:sz w:val="20"/>
              </w:rPr>
            </w:pPr>
            <w:r w:rsidRPr="008202D3">
              <w:rPr>
                <w:i/>
                <w:sz w:val="20"/>
              </w:rPr>
              <w:t>Divisional Approval</w:t>
            </w:r>
          </w:p>
        </w:tc>
        <w:tc>
          <w:tcPr>
            <w:tcW w:w="2265" w:type="dxa"/>
          </w:tcPr>
          <w:p w14:paraId="1AE3CB56" w14:textId="77777777" w:rsidR="00C5586E" w:rsidRPr="008202D3" w:rsidRDefault="00C5586E" w:rsidP="00AC58FA">
            <w:pPr>
              <w:rPr>
                <w:i/>
                <w:sz w:val="20"/>
              </w:rPr>
            </w:pPr>
            <w:r w:rsidRPr="008202D3">
              <w:rPr>
                <w:i/>
                <w:sz w:val="20"/>
              </w:rPr>
              <w:t xml:space="preserve">Final Approval </w:t>
            </w:r>
          </w:p>
        </w:tc>
      </w:tr>
      <w:tr w:rsidR="00C5586E" w:rsidRPr="008202D3" w14:paraId="566E7926" w14:textId="77777777" w:rsidTr="00AC58FA">
        <w:tc>
          <w:tcPr>
            <w:tcW w:w="2122" w:type="dxa"/>
          </w:tcPr>
          <w:p w14:paraId="02765739" w14:textId="77777777" w:rsidR="00C5586E" w:rsidRPr="008202D3" w:rsidRDefault="00C5586E" w:rsidP="00AC58FA">
            <w:pPr>
              <w:rPr>
                <w:i/>
                <w:sz w:val="20"/>
              </w:rPr>
            </w:pPr>
            <w:r>
              <w:rPr>
                <w:i/>
                <w:sz w:val="20"/>
              </w:rPr>
              <w:t>27/08/2021</w:t>
            </w:r>
          </w:p>
        </w:tc>
        <w:tc>
          <w:tcPr>
            <w:tcW w:w="2265" w:type="dxa"/>
          </w:tcPr>
          <w:p w14:paraId="10FCC734" w14:textId="77777777" w:rsidR="00C5586E" w:rsidRPr="008202D3" w:rsidRDefault="00C5586E" w:rsidP="00AC58FA">
            <w:pPr>
              <w:rPr>
                <w:i/>
                <w:sz w:val="20"/>
              </w:rPr>
            </w:pPr>
            <w:r>
              <w:rPr>
                <w:i/>
                <w:sz w:val="20"/>
              </w:rPr>
              <w:t>Complete Review</w:t>
            </w:r>
          </w:p>
        </w:tc>
        <w:tc>
          <w:tcPr>
            <w:tcW w:w="2412" w:type="dxa"/>
          </w:tcPr>
          <w:p w14:paraId="4C72D0C9" w14:textId="77777777" w:rsidR="00C5586E" w:rsidRPr="008202D3" w:rsidRDefault="00C5586E" w:rsidP="00AC58FA">
            <w:pPr>
              <w:rPr>
                <w:i/>
                <w:sz w:val="20"/>
              </w:rPr>
            </w:pPr>
            <w:r>
              <w:rPr>
                <w:i/>
                <w:sz w:val="20"/>
              </w:rPr>
              <w:t>Jacqui Taylor, ED Medicine</w:t>
            </w:r>
          </w:p>
        </w:tc>
        <w:tc>
          <w:tcPr>
            <w:tcW w:w="2265" w:type="dxa"/>
          </w:tcPr>
          <w:p w14:paraId="6BC09705" w14:textId="77777777" w:rsidR="00C5586E" w:rsidRPr="008202D3" w:rsidRDefault="00C5586E" w:rsidP="00AC58FA">
            <w:pPr>
              <w:rPr>
                <w:i/>
                <w:sz w:val="20"/>
              </w:rPr>
            </w:pPr>
            <w:r>
              <w:rPr>
                <w:i/>
                <w:sz w:val="20"/>
              </w:rPr>
              <w:t>CHS Policy Committee</w:t>
            </w:r>
          </w:p>
        </w:tc>
      </w:tr>
      <w:tr w:rsidR="00C5586E" w:rsidRPr="008202D3" w14:paraId="7011DA4A" w14:textId="77777777" w:rsidTr="00AC58FA">
        <w:tc>
          <w:tcPr>
            <w:tcW w:w="2122" w:type="dxa"/>
          </w:tcPr>
          <w:p w14:paraId="672A9B04" w14:textId="77777777" w:rsidR="00C5586E" w:rsidRPr="008202D3" w:rsidRDefault="00C5586E" w:rsidP="00AC58FA">
            <w:pPr>
              <w:rPr>
                <w:i/>
                <w:sz w:val="20"/>
              </w:rPr>
            </w:pPr>
          </w:p>
        </w:tc>
        <w:tc>
          <w:tcPr>
            <w:tcW w:w="2265" w:type="dxa"/>
          </w:tcPr>
          <w:p w14:paraId="6889DE17" w14:textId="77777777" w:rsidR="00C5586E" w:rsidRPr="008202D3" w:rsidRDefault="00C5586E" w:rsidP="00AC58FA">
            <w:pPr>
              <w:rPr>
                <w:i/>
                <w:sz w:val="20"/>
              </w:rPr>
            </w:pPr>
          </w:p>
        </w:tc>
        <w:tc>
          <w:tcPr>
            <w:tcW w:w="2412" w:type="dxa"/>
          </w:tcPr>
          <w:p w14:paraId="0C19F8F1" w14:textId="77777777" w:rsidR="00C5586E" w:rsidRPr="008202D3" w:rsidRDefault="00C5586E" w:rsidP="00AC58FA">
            <w:pPr>
              <w:rPr>
                <w:i/>
                <w:sz w:val="20"/>
              </w:rPr>
            </w:pPr>
          </w:p>
        </w:tc>
        <w:tc>
          <w:tcPr>
            <w:tcW w:w="2265" w:type="dxa"/>
          </w:tcPr>
          <w:p w14:paraId="5B6FEE32" w14:textId="77777777" w:rsidR="00C5586E" w:rsidRPr="008202D3" w:rsidRDefault="00C5586E" w:rsidP="00AC58FA">
            <w:pPr>
              <w:rPr>
                <w:i/>
                <w:sz w:val="20"/>
              </w:rPr>
            </w:pPr>
          </w:p>
        </w:tc>
      </w:tr>
    </w:tbl>
    <w:p w14:paraId="77F038D3" w14:textId="77777777" w:rsidR="00C5586E" w:rsidRPr="008202D3" w:rsidRDefault="00C5586E" w:rsidP="00C5586E">
      <w:pPr>
        <w:rPr>
          <w:rFonts w:cs="Arial"/>
          <w:sz w:val="20"/>
        </w:rPr>
      </w:pPr>
    </w:p>
    <w:p w14:paraId="55C0DEE0" w14:textId="77777777" w:rsidR="00C5586E" w:rsidRPr="008202D3" w:rsidRDefault="00C5586E" w:rsidP="00C5586E">
      <w:pPr>
        <w:rPr>
          <w:rFonts w:cs="Arial"/>
          <w:i/>
          <w:sz w:val="20"/>
        </w:rPr>
      </w:pPr>
      <w:r w:rsidRPr="008202D3">
        <w:rPr>
          <w:rFonts w:cs="Arial"/>
          <w:i/>
          <w:sz w:val="20"/>
        </w:rPr>
        <w:t xml:space="preserve">This document supersedes the following: </w:t>
      </w:r>
    </w:p>
    <w:tbl>
      <w:tblPr>
        <w:tblStyle w:val="TableGrid"/>
        <w:tblW w:w="0" w:type="auto"/>
        <w:tblLook w:val="04A0" w:firstRow="1" w:lastRow="0" w:firstColumn="1" w:lastColumn="0" w:noHBand="0" w:noVBand="1"/>
      </w:tblPr>
      <w:tblGrid>
        <w:gridCol w:w="2122"/>
        <w:gridCol w:w="6938"/>
      </w:tblGrid>
      <w:tr w:rsidR="00C5586E" w:rsidRPr="008202D3" w14:paraId="4D304EE2" w14:textId="77777777" w:rsidTr="00AC58FA">
        <w:tc>
          <w:tcPr>
            <w:tcW w:w="2122" w:type="dxa"/>
          </w:tcPr>
          <w:p w14:paraId="63332AB0" w14:textId="77777777" w:rsidR="00C5586E" w:rsidRPr="008202D3" w:rsidRDefault="00C5586E" w:rsidP="00AC58FA">
            <w:pPr>
              <w:rPr>
                <w:i/>
                <w:sz w:val="20"/>
              </w:rPr>
            </w:pPr>
            <w:r w:rsidRPr="008202D3">
              <w:rPr>
                <w:i/>
                <w:sz w:val="20"/>
              </w:rPr>
              <w:t>Document Number</w:t>
            </w:r>
          </w:p>
        </w:tc>
        <w:tc>
          <w:tcPr>
            <w:tcW w:w="6938" w:type="dxa"/>
          </w:tcPr>
          <w:p w14:paraId="3CF990AF" w14:textId="77777777" w:rsidR="00C5586E" w:rsidRPr="008202D3" w:rsidRDefault="00C5586E" w:rsidP="00AC58FA">
            <w:pPr>
              <w:rPr>
                <w:i/>
                <w:sz w:val="20"/>
              </w:rPr>
            </w:pPr>
            <w:r w:rsidRPr="008202D3">
              <w:rPr>
                <w:i/>
                <w:sz w:val="20"/>
              </w:rPr>
              <w:t>Document Name</w:t>
            </w:r>
          </w:p>
        </w:tc>
      </w:tr>
      <w:tr w:rsidR="00C5586E" w:rsidRPr="008202D3" w14:paraId="067A251E" w14:textId="77777777" w:rsidTr="00AC58FA">
        <w:tc>
          <w:tcPr>
            <w:tcW w:w="2122" w:type="dxa"/>
          </w:tcPr>
          <w:p w14:paraId="514F0E9D" w14:textId="77777777" w:rsidR="00C5586E" w:rsidRPr="008202D3" w:rsidRDefault="00C5586E" w:rsidP="00AC58FA">
            <w:pPr>
              <w:rPr>
                <w:i/>
                <w:sz w:val="20"/>
              </w:rPr>
            </w:pPr>
            <w:r>
              <w:rPr>
                <w:i/>
                <w:sz w:val="20"/>
              </w:rPr>
              <w:t>CHHS16/239</w:t>
            </w:r>
          </w:p>
        </w:tc>
        <w:tc>
          <w:tcPr>
            <w:tcW w:w="6938" w:type="dxa"/>
          </w:tcPr>
          <w:p w14:paraId="60F0870F" w14:textId="77777777" w:rsidR="00C5586E" w:rsidRPr="008202D3" w:rsidRDefault="00C5586E" w:rsidP="00AC58FA">
            <w:pPr>
              <w:rPr>
                <w:i/>
                <w:sz w:val="20"/>
              </w:rPr>
            </w:pPr>
            <w:r>
              <w:rPr>
                <w:i/>
                <w:sz w:val="20"/>
              </w:rPr>
              <w:t>Lumbar Puncture – Assisting Guidelines – Adults Only</w:t>
            </w:r>
          </w:p>
        </w:tc>
      </w:tr>
      <w:tr w:rsidR="00C5586E" w:rsidRPr="008202D3" w14:paraId="682F3346" w14:textId="77777777" w:rsidTr="00AC58FA">
        <w:tc>
          <w:tcPr>
            <w:tcW w:w="2122" w:type="dxa"/>
          </w:tcPr>
          <w:p w14:paraId="16EE9B23" w14:textId="77777777" w:rsidR="00C5586E" w:rsidRPr="008202D3" w:rsidRDefault="00C5586E" w:rsidP="00AC58FA">
            <w:pPr>
              <w:rPr>
                <w:i/>
                <w:sz w:val="20"/>
              </w:rPr>
            </w:pPr>
          </w:p>
        </w:tc>
        <w:tc>
          <w:tcPr>
            <w:tcW w:w="6938" w:type="dxa"/>
          </w:tcPr>
          <w:p w14:paraId="5AC239C5" w14:textId="77777777" w:rsidR="00C5586E" w:rsidRPr="008202D3" w:rsidRDefault="00C5586E" w:rsidP="00AC58FA">
            <w:pPr>
              <w:rPr>
                <w:i/>
                <w:sz w:val="20"/>
              </w:rPr>
            </w:pPr>
          </w:p>
        </w:tc>
      </w:tr>
    </w:tbl>
    <w:p w14:paraId="75CEF62B" w14:textId="77777777" w:rsidR="00C5586E" w:rsidRPr="00010E74" w:rsidRDefault="00C5586E" w:rsidP="00C5586E">
      <w:pPr>
        <w:rPr>
          <w:i/>
          <w:sz w:val="20"/>
          <w:szCs w:val="24"/>
        </w:rPr>
      </w:pPr>
    </w:p>
    <w:p w14:paraId="1FC6C57C" w14:textId="77777777" w:rsidR="00C5586E" w:rsidRDefault="00C5586E" w:rsidP="00C5586E">
      <w:pPr>
        <w:rPr>
          <w:rFonts w:cs="Arial"/>
          <w:szCs w:val="24"/>
        </w:rPr>
      </w:pPr>
    </w:p>
    <w:p w14:paraId="2F51A905" w14:textId="77777777" w:rsidR="00395E36" w:rsidRDefault="00395E36" w:rsidP="00C5586E">
      <w:pPr>
        <w:rPr>
          <w:rFonts w:cs="Arial"/>
          <w:szCs w:val="24"/>
        </w:rPr>
      </w:pPr>
    </w:p>
    <w:sectPr w:rsidR="00395E36" w:rsidSect="004213C3">
      <w:headerReference w:type="default" r:id="rId15"/>
      <w:footerReference w:type="default" r:id="rId16"/>
      <w:pgSz w:w="11906" w:h="16838"/>
      <w:pgMar w:top="663" w:right="1418" w:bottom="1440" w:left="1418" w:header="357" w:footer="3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7738AA" w14:textId="77777777" w:rsidR="005C6778" w:rsidRDefault="005C6778" w:rsidP="00F66CB0">
      <w:r>
        <w:separator/>
      </w:r>
    </w:p>
  </w:endnote>
  <w:endnote w:type="continuationSeparator" w:id="0">
    <w:p w14:paraId="47833334" w14:textId="77777777" w:rsidR="005C6778" w:rsidRDefault="005C6778" w:rsidP="00F66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ource Sans Pro">
    <w:panose1 w:val="020B0503030403020204"/>
    <w:charset w:val="00"/>
    <w:family w:val="swiss"/>
    <w:pitch w:val="variable"/>
    <w:sig w:usb0="600002F7" w:usb1="02000001" w:usb2="00000000" w:usb3="00000000" w:csb0="0000019F" w:csb1="00000000"/>
  </w:font>
  <w:font w:name="Calibri,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insideH w:val="single" w:sz="4" w:space="0" w:color="auto"/>
      </w:tblBorders>
      <w:tblLook w:val="00A0" w:firstRow="1" w:lastRow="0" w:firstColumn="1" w:lastColumn="0" w:noHBand="0" w:noVBand="0"/>
    </w:tblPr>
    <w:tblGrid>
      <w:gridCol w:w="1515"/>
      <w:gridCol w:w="965"/>
      <w:gridCol w:w="1552"/>
      <w:gridCol w:w="1456"/>
      <w:gridCol w:w="1746"/>
      <w:gridCol w:w="1836"/>
    </w:tblGrid>
    <w:tr w:rsidR="00E90708" w:rsidRPr="00AE7C5C" w14:paraId="2F51A914" w14:textId="77777777" w:rsidTr="005E1140">
      <w:tc>
        <w:tcPr>
          <w:tcW w:w="1515" w:type="dxa"/>
        </w:tcPr>
        <w:p w14:paraId="2F51A90E" w14:textId="77777777" w:rsidR="00E90708" w:rsidRPr="00B3752F" w:rsidRDefault="00E90708" w:rsidP="004213C3">
          <w:pPr>
            <w:pStyle w:val="Footer"/>
            <w:rPr>
              <w:rFonts w:cs="Arial"/>
              <w:b/>
              <w:bCs/>
              <w:i/>
              <w:sz w:val="20"/>
            </w:rPr>
          </w:pPr>
          <w:r w:rsidRPr="00B3752F">
            <w:rPr>
              <w:rFonts w:cs="Arial"/>
              <w:b/>
              <w:bCs/>
              <w:i/>
              <w:sz w:val="20"/>
            </w:rPr>
            <w:t>Doc Number</w:t>
          </w:r>
        </w:p>
      </w:tc>
      <w:tc>
        <w:tcPr>
          <w:tcW w:w="965" w:type="dxa"/>
        </w:tcPr>
        <w:p w14:paraId="2F51A90F" w14:textId="77777777" w:rsidR="00E90708" w:rsidRPr="00B3752F" w:rsidRDefault="00E90708" w:rsidP="004213C3">
          <w:pPr>
            <w:pStyle w:val="Footer"/>
            <w:rPr>
              <w:rFonts w:cs="Arial"/>
              <w:b/>
              <w:bCs/>
              <w:i/>
              <w:sz w:val="20"/>
            </w:rPr>
          </w:pPr>
          <w:r w:rsidRPr="00B3752F">
            <w:rPr>
              <w:rFonts w:cs="Arial"/>
              <w:b/>
              <w:bCs/>
              <w:i/>
              <w:sz w:val="20"/>
            </w:rPr>
            <w:t>Version</w:t>
          </w:r>
        </w:p>
      </w:tc>
      <w:tc>
        <w:tcPr>
          <w:tcW w:w="1552" w:type="dxa"/>
        </w:tcPr>
        <w:p w14:paraId="2F51A910" w14:textId="77777777" w:rsidR="00E90708" w:rsidRPr="00B3752F" w:rsidRDefault="00E90708" w:rsidP="004213C3">
          <w:pPr>
            <w:pStyle w:val="Footer"/>
            <w:rPr>
              <w:rFonts w:cs="Arial"/>
              <w:b/>
              <w:bCs/>
              <w:i/>
              <w:sz w:val="20"/>
            </w:rPr>
          </w:pPr>
          <w:r w:rsidRPr="00B3752F">
            <w:rPr>
              <w:rFonts w:cs="Arial"/>
              <w:b/>
              <w:bCs/>
              <w:i/>
              <w:sz w:val="20"/>
            </w:rPr>
            <w:t>Issued</w:t>
          </w:r>
        </w:p>
      </w:tc>
      <w:tc>
        <w:tcPr>
          <w:tcW w:w="1456" w:type="dxa"/>
        </w:tcPr>
        <w:p w14:paraId="2F51A911" w14:textId="77777777" w:rsidR="00E90708" w:rsidRPr="00B3752F" w:rsidRDefault="00E90708" w:rsidP="004213C3">
          <w:pPr>
            <w:pStyle w:val="Footer"/>
            <w:rPr>
              <w:rFonts w:cs="Arial"/>
              <w:b/>
              <w:bCs/>
              <w:i/>
              <w:sz w:val="20"/>
            </w:rPr>
          </w:pPr>
          <w:r w:rsidRPr="00B3752F">
            <w:rPr>
              <w:rFonts w:cs="Arial"/>
              <w:b/>
              <w:bCs/>
              <w:i/>
              <w:sz w:val="20"/>
            </w:rPr>
            <w:t>Review Date</w:t>
          </w:r>
        </w:p>
      </w:tc>
      <w:tc>
        <w:tcPr>
          <w:tcW w:w="1746" w:type="dxa"/>
        </w:tcPr>
        <w:p w14:paraId="2F51A912" w14:textId="77777777" w:rsidR="00E90708" w:rsidRPr="00B3752F" w:rsidRDefault="00E90708" w:rsidP="004213C3">
          <w:pPr>
            <w:pStyle w:val="Footer"/>
            <w:rPr>
              <w:rFonts w:cs="Arial"/>
              <w:b/>
              <w:bCs/>
              <w:i/>
              <w:sz w:val="20"/>
            </w:rPr>
          </w:pPr>
          <w:r w:rsidRPr="00B3752F">
            <w:rPr>
              <w:rFonts w:cs="Arial"/>
              <w:b/>
              <w:bCs/>
              <w:i/>
              <w:sz w:val="20"/>
            </w:rPr>
            <w:t>Area Responsible</w:t>
          </w:r>
        </w:p>
      </w:tc>
      <w:tc>
        <w:tcPr>
          <w:tcW w:w="1836" w:type="dxa"/>
        </w:tcPr>
        <w:p w14:paraId="2F51A913" w14:textId="77777777" w:rsidR="00E90708" w:rsidRPr="00B3752F" w:rsidRDefault="00E90708" w:rsidP="004213C3">
          <w:pPr>
            <w:pStyle w:val="Footer"/>
            <w:rPr>
              <w:rFonts w:cs="Arial"/>
              <w:b/>
              <w:bCs/>
              <w:i/>
              <w:sz w:val="20"/>
            </w:rPr>
          </w:pPr>
          <w:r w:rsidRPr="00B3752F">
            <w:rPr>
              <w:rFonts w:cs="Arial"/>
              <w:b/>
              <w:bCs/>
              <w:i/>
              <w:sz w:val="20"/>
            </w:rPr>
            <w:t>Page</w:t>
          </w:r>
        </w:p>
      </w:tc>
    </w:tr>
    <w:tr w:rsidR="00E90708" w14:paraId="2F51A91B" w14:textId="77777777" w:rsidTr="005E1140">
      <w:tc>
        <w:tcPr>
          <w:tcW w:w="1515" w:type="dxa"/>
        </w:tcPr>
        <w:p w14:paraId="2F51A915" w14:textId="2C9ECF5B" w:rsidR="00E90708" w:rsidRPr="00542EE6" w:rsidRDefault="00B31BCF" w:rsidP="004213C3">
          <w:pPr>
            <w:pStyle w:val="Footer"/>
            <w:rPr>
              <w:rFonts w:cs="Arial"/>
              <w:b/>
              <w:bCs/>
              <w:sz w:val="20"/>
            </w:rPr>
          </w:pPr>
          <w:r>
            <w:rPr>
              <w:b/>
              <w:sz w:val="20"/>
            </w:rPr>
            <w:t>CHS21/497</w:t>
          </w:r>
        </w:p>
      </w:tc>
      <w:tc>
        <w:tcPr>
          <w:tcW w:w="965" w:type="dxa"/>
        </w:tcPr>
        <w:p w14:paraId="2F51A916" w14:textId="193E6D4D" w:rsidR="00E90708" w:rsidRPr="00B3752F" w:rsidRDefault="00B31BCF" w:rsidP="004213C3">
          <w:pPr>
            <w:pStyle w:val="Footer"/>
            <w:rPr>
              <w:rFonts w:cs="Arial"/>
              <w:b/>
              <w:bCs/>
              <w:sz w:val="20"/>
            </w:rPr>
          </w:pPr>
          <w:r>
            <w:rPr>
              <w:rFonts w:cs="Arial"/>
              <w:b/>
              <w:bCs/>
              <w:sz w:val="20"/>
            </w:rPr>
            <w:t>1</w:t>
          </w:r>
        </w:p>
      </w:tc>
      <w:tc>
        <w:tcPr>
          <w:tcW w:w="1552" w:type="dxa"/>
        </w:tcPr>
        <w:p w14:paraId="2F51A917" w14:textId="03BD4F89" w:rsidR="00E90708" w:rsidRPr="00B3752F" w:rsidRDefault="00B31BCF" w:rsidP="004213C3">
          <w:pPr>
            <w:pStyle w:val="Footer"/>
            <w:rPr>
              <w:rFonts w:cs="Arial"/>
              <w:b/>
              <w:bCs/>
              <w:sz w:val="20"/>
            </w:rPr>
          </w:pPr>
          <w:r>
            <w:rPr>
              <w:rFonts w:cs="Arial"/>
              <w:b/>
              <w:bCs/>
              <w:sz w:val="20"/>
            </w:rPr>
            <w:t>27/08/2021</w:t>
          </w:r>
        </w:p>
      </w:tc>
      <w:tc>
        <w:tcPr>
          <w:tcW w:w="1456" w:type="dxa"/>
        </w:tcPr>
        <w:p w14:paraId="2F51A918" w14:textId="7E658D04" w:rsidR="00E90708" w:rsidRPr="00B3752F" w:rsidRDefault="00B31BCF" w:rsidP="004213C3">
          <w:pPr>
            <w:pStyle w:val="Footer"/>
            <w:rPr>
              <w:rFonts w:cs="Arial"/>
              <w:b/>
              <w:bCs/>
              <w:sz w:val="20"/>
            </w:rPr>
          </w:pPr>
          <w:r>
            <w:rPr>
              <w:rFonts w:cs="Arial"/>
              <w:b/>
              <w:bCs/>
              <w:sz w:val="20"/>
            </w:rPr>
            <w:t>01/09/2025</w:t>
          </w:r>
        </w:p>
      </w:tc>
      <w:tc>
        <w:tcPr>
          <w:tcW w:w="1746" w:type="dxa"/>
        </w:tcPr>
        <w:p w14:paraId="2F51A919" w14:textId="364ED2ED" w:rsidR="00E90708" w:rsidRPr="00B3752F" w:rsidRDefault="00B31BCF" w:rsidP="004213C3">
          <w:pPr>
            <w:pStyle w:val="Footer"/>
            <w:rPr>
              <w:rFonts w:cs="Arial"/>
              <w:b/>
              <w:bCs/>
              <w:sz w:val="20"/>
            </w:rPr>
          </w:pPr>
          <w:r>
            <w:rPr>
              <w:rFonts w:cs="Arial"/>
              <w:b/>
              <w:bCs/>
              <w:sz w:val="20"/>
            </w:rPr>
            <w:t>Medicine</w:t>
          </w:r>
        </w:p>
      </w:tc>
      <w:tc>
        <w:tcPr>
          <w:tcW w:w="1836" w:type="dxa"/>
        </w:tcPr>
        <w:p w14:paraId="2F51A91A" w14:textId="77777777" w:rsidR="00E90708" w:rsidRPr="00B3752F" w:rsidRDefault="007B7628" w:rsidP="004213C3">
          <w:pPr>
            <w:pStyle w:val="Footer"/>
            <w:rPr>
              <w:sz w:val="20"/>
            </w:rPr>
          </w:pPr>
          <w:r w:rsidRPr="00B3752F">
            <w:rPr>
              <w:rStyle w:val="PageNumber"/>
              <w:sz w:val="20"/>
            </w:rPr>
            <w:fldChar w:fldCharType="begin"/>
          </w:r>
          <w:r w:rsidR="00E90708" w:rsidRPr="00B3752F">
            <w:rPr>
              <w:rStyle w:val="PageNumber"/>
              <w:sz w:val="20"/>
            </w:rPr>
            <w:instrText xml:space="preserve"> PAGE </w:instrText>
          </w:r>
          <w:r w:rsidRPr="00B3752F">
            <w:rPr>
              <w:rStyle w:val="PageNumber"/>
              <w:sz w:val="20"/>
            </w:rPr>
            <w:fldChar w:fldCharType="separate"/>
          </w:r>
          <w:r w:rsidR="00ED46C3">
            <w:rPr>
              <w:rStyle w:val="PageNumber"/>
              <w:noProof/>
              <w:sz w:val="20"/>
            </w:rPr>
            <w:t>6</w:t>
          </w:r>
          <w:r w:rsidRPr="00B3752F">
            <w:rPr>
              <w:rStyle w:val="PageNumber"/>
              <w:sz w:val="20"/>
            </w:rPr>
            <w:fldChar w:fldCharType="end"/>
          </w:r>
          <w:r w:rsidR="00E90708" w:rsidRPr="00B3752F">
            <w:rPr>
              <w:rStyle w:val="PageNumber"/>
              <w:sz w:val="20"/>
            </w:rPr>
            <w:t xml:space="preserve"> of </w:t>
          </w:r>
          <w:r w:rsidRPr="00B3752F">
            <w:rPr>
              <w:rStyle w:val="PageNumber"/>
              <w:sz w:val="20"/>
            </w:rPr>
            <w:fldChar w:fldCharType="begin"/>
          </w:r>
          <w:r w:rsidR="00E90708" w:rsidRPr="00B3752F">
            <w:rPr>
              <w:rStyle w:val="PageNumber"/>
              <w:sz w:val="20"/>
            </w:rPr>
            <w:instrText xml:space="preserve"> NUMPAGES </w:instrText>
          </w:r>
          <w:r w:rsidRPr="00B3752F">
            <w:rPr>
              <w:rStyle w:val="PageNumber"/>
              <w:sz w:val="20"/>
            </w:rPr>
            <w:fldChar w:fldCharType="separate"/>
          </w:r>
          <w:r w:rsidR="00ED46C3">
            <w:rPr>
              <w:rStyle w:val="PageNumber"/>
              <w:noProof/>
              <w:sz w:val="20"/>
            </w:rPr>
            <w:t>6</w:t>
          </w:r>
          <w:r w:rsidRPr="00B3752F">
            <w:rPr>
              <w:rStyle w:val="PageNumber"/>
              <w:sz w:val="20"/>
            </w:rPr>
            <w:fldChar w:fldCharType="end"/>
          </w:r>
        </w:p>
      </w:tc>
    </w:tr>
    <w:tr w:rsidR="005E1140" w14:paraId="668DA41F" w14:textId="77777777" w:rsidTr="00861252">
      <w:trPr>
        <w:trHeight w:val="231"/>
      </w:trPr>
      <w:tc>
        <w:tcPr>
          <w:tcW w:w="9070" w:type="dxa"/>
          <w:gridSpan w:val="6"/>
          <w:tcBorders>
            <w:top w:val="single" w:sz="4" w:space="0" w:color="auto"/>
            <w:left w:val="single" w:sz="4" w:space="0" w:color="auto"/>
            <w:bottom w:val="single" w:sz="4" w:space="0" w:color="auto"/>
            <w:right w:val="single" w:sz="4" w:space="0" w:color="auto"/>
          </w:tcBorders>
        </w:tcPr>
        <w:p w14:paraId="512A806D" w14:textId="713A0083" w:rsidR="005E1140" w:rsidRPr="002C1428" w:rsidRDefault="005E1140" w:rsidP="005E1140">
          <w:pPr>
            <w:pStyle w:val="Footer"/>
            <w:jc w:val="center"/>
            <w:rPr>
              <w:rStyle w:val="PageNumber"/>
              <w:sz w:val="16"/>
              <w:szCs w:val="16"/>
            </w:rPr>
          </w:pPr>
          <w:r w:rsidRPr="002C1428">
            <w:rPr>
              <w:sz w:val="16"/>
              <w:szCs w:val="16"/>
            </w:rPr>
            <w:t xml:space="preserve">Do not refer to a paper based copy of this policy document. </w:t>
          </w:r>
          <w:r>
            <w:rPr>
              <w:sz w:val="16"/>
              <w:szCs w:val="16"/>
            </w:rPr>
            <w:t>The most current</w:t>
          </w:r>
          <w:r w:rsidRPr="002C1428">
            <w:rPr>
              <w:sz w:val="16"/>
              <w:szCs w:val="16"/>
            </w:rPr>
            <w:t xml:space="preserve"> version</w:t>
          </w:r>
          <w:r>
            <w:rPr>
              <w:sz w:val="16"/>
              <w:szCs w:val="16"/>
            </w:rPr>
            <w:t xml:space="preserve"> can be found</w:t>
          </w:r>
          <w:r w:rsidRPr="002C1428">
            <w:rPr>
              <w:sz w:val="16"/>
              <w:szCs w:val="16"/>
            </w:rPr>
            <w:t xml:space="preserve"> on the </w:t>
          </w:r>
          <w:r w:rsidR="00366924">
            <w:rPr>
              <w:sz w:val="16"/>
              <w:szCs w:val="16"/>
            </w:rPr>
            <w:t>CHS</w:t>
          </w:r>
          <w:r w:rsidRPr="002C1428">
            <w:rPr>
              <w:sz w:val="16"/>
              <w:szCs w:val="16"/>
            </w:rPr>
            <w:t xml:space="preserve"> Policy Register</w:t>
          </w:r>
        </w:p>
      </w:tc>
    </w:tr>
  </w:tbl>
  <w:p w14:paraId="2F51A91D" w14:textId="77777777" w:rsidR="00E90708" w:rsidRPr="00AE7C5C" w:rsidRDefault="00E90708" w:rsidP="00CD15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5F7A80" w14:textId="77777777" w:rsidR="005C6778" w:rsidRDefault="005C6778" w:rsidP="00F66CB0">
      <w:r>
        <w:separator/>
      </w:r>
    </w:p>
  </w:footnote>
  <w:footnote w:type="continuationSeparator" w:id="0">
    <w:p w14:paraId="320C8C3E" w14:textId="77777777" w:rsidR="005C6778" w:rsidRDefault="005C6778" w:rsidP="00F66C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4"/>
      <w:gridCol w:w="3526"/>
    </w:tblGrid>
    <w:tr w:rsidR="00E90708" w14:paraId="2F51A90C" w14:textId="77777777" w:rsidTr="0074223E">
      <w:trPr>
        <w:trHeight w:val="1418"/>
      </w:trPr>
      <w:tc>
        <w:tcPr>
          <w:tcW w:w="5556" w:type="dxa"/>
          <w:vAlign w:val="center"/>
          <w:hideMark/>
        </w:tcPr>
        <w:p w14:paraId="2F51A90A" w14:textId="5F72D3B6" w:rsidR="00E90708" w:rsidRDefault="00200D04" w:rsidP="0074223E">
          <w:pPr>
            <w:pStyle w:val="Header"/>
            <w:rPr>
              <w:sz w:val="20"/>
            </w:rPr>
          </w:pPr>
          <w:r>
            <w:rPr>
              <w:noProof/>
              <w:sz w:val="20"/>
            </w:rPr>
            <w:drawing>
              <wp:inline distT="0" distB="0" distL="0" distR="0" wp14:anchorId="5330CC0D" wp14:editId="1210EDE2">
                <wp:extent cx="3295650" cy="723900"/>
                <wp:effectExtent l="0" t="0" r="0" b="0"/>
                <wp:docPr id="2" name="Picture 2" descr="Canberra Health Services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nberra Health Services_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95650" cy="723900"/>
                        </a:xfrm>
                        <a:prstGeom prst="rect">
                          <a:avLst/>
                        </a:prstGeom>
                        <a:noFill/>
                        <a:ln>
                          <a:noFill/>
                        </a:ln>
                      </pic:spPr>
                    </pic:pic>
                  </a:graphicData>
                </a:graphic>
              </wp:inline>
            </w:drawing>
          </w:r>
        </w:p>
      </w:tc>
      <w:tc>
        <w:tcPr>
          <w:tcW w:w="3730" w:type="dxa"/>
          <w:vAlign w:val="center"/>
          <w:hideMark/>
        </w:tcPr>
        <w:p w14:paraId="2F51A90B" w14:textId="0BFB5C3D" w:rsidR="00E90708" w:rsidRDefault="00B31BCF">
          <w:pPr>
            <w:pStyle w:val="Header"/>
            <w:tabs>
              <w:tab w:val="left" w:pos="720"/>
            </w:tabs>
            <w:jc w:val="right"/>
            <w:rPr>
              <w:sz w:val="20"/>
            </w:rPr>
          </w:pPr>
          <w:bookmarkStart w:id="28" w:name="_top"/>
          <w:bookmarkEnd w:id="28"/>
          <w:r>
            <w:rPr>
              <w:sz w:val="20"/>
            </w:rPr>
            <w:t>CHS21/497</w:t>
          </w:r>
        </w:p>
      </w:tc>
    </w:tr>
  </w:tbl>
  <w:p w14:paraId="2F51A90D" w14:textId="77777777" w:rsidR="00E90708" w:rsidRPr="00FC3538" w:rsidRDefault="00E90708">
    <w:pPr>
      <w:pStyle w:val="Head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8FC480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6F7A16"/>
    <w:multiLevelType w:val="hybridMultilevel"/>
    <w:tmpl w:val="B81EF36C"/>
    <w:lvl w:ilvl="0" w:tplc="0C090001">
      <w:start w:val="1"/>
      <w:numFmt w:val="bullet"/>
      <w:lvlText w:val=""/>
      <w:lvlJc w:val="left"/>
      <w:pPr>
        <w:tabs>
          <w:tab w:val="num" w:pos="7590"/>
        </w:tabs>
        <w:ind w:left="7590" w:hanging="360"/>
      </w:pPr>
      <w:rPr>
        <w:rFonts w:ascii="Symbol" w:hAnsi="Symbol" w:hint="default"/>
      </w:rPr>
    </w:lvl>
    <w:lvl w:ilvl="1" w:tplc="0C090003" w:tentative="1">
      <w:start w:val="1"/>
      <w:numFmt w:val="bullet"/>
      <w:lvlText w:val="o"/>
      <w:lvlJc w:val="left"/>
      <w:pPr>
        <w:ind w:left="8310" w:hanging="360"/>
      </w:pPr>
      <w:rPr>
        <w:rFonts w:ascii="Courier New" w:hAnsi="Courier New" w:hint="default"/>
      </w:rPr>
    </w:lvl>
    <w:lvl w:ilvl="2" w:tplc="0C090005" w:tentative="1">
      <w:start w:val="1"/>
      <w:numFmt w:val="bullet"/>
      <w:lvlText w:val=""/>
      <w:lvlJc w:val="left"/>
      <w:pPr>
        <w:ind w:left="9030" w:hanging="360"/>
      </w:pPr>
      <w:rPr>
        <w:rFonts w:ascii="Wingdings" w:hAnsi="Wingdings" w:hint="default"/>
      </w:rPr>
    </w:lvl>
    <w:lvl w:ilvl="3" w:tplc="0C090001" w:tentative="1">
      <w:start w:val="1"/>
      <w:numFmt w:val="bullet"/>
      <w:lvlText w:val=""/>
      <w:lvlJc w:val="left"/>
      <w:pPr>
        <w:ind w:left="9750" w:hanging="360"/>
      </w:pPr>
      <w:rPr>
        <w:rFonts w:ascii="Symbol" w:hAnsi="Symbol" w:hint="default"/>
      </w:rPr>
    </w:lvl>
    <w:lvl w:ilvl="4" w:tplc="0C090003" w:tentative="1">
      <w:start w:val="1"/>
      <w:numFmt w:val="bullet"/>
      <w:lvlText w:val="o"/>
      <w:lvlJc w:val="left"/>
      <w:pPr>
        <w:ind w:left="10470" w:hanging="360"/>
      </w:pPr>
      <w:rPr>
        <w:rFonts w:ascii="Courier New" w:hAnsi="Courier New" w:hint="default"/>
      </w:rPr>
    </w:lvl>
    <w:lvl w:ilvl="5" w:tplc="0C090005" w:tentative="1">
      <w:start w:val="1"/>
      <w:numFmt w:val="bullet"/>
      <w:lvlText w:val=""/>
      <w:lvlJc w:val="left"/>
      <w:pPr>
        <w:ind w:left="11190" w:hanging="360"/>
      </w:pPr>
      <w:rPr>
        <w:rFonts w:ascii="Wingdings" w:hAnsi="Wingdings" w:hint="default"/>
      </w:rPr>
    </w:lvl>
    <w:lvl w:ilvl="6" w:tplc="0C090001" w:tentative="1">
      <w:start w:val="1"/>
      <w:numFmt w:val="bullet"/>
      <w:lvlText w:val=""/>
      <w:lvlJc w:val="left"/>
      <w:pPr>
        <w:ind w:left="11910" w:hanging="360"/>
      </w:pPr>
      <w:rPr>
        <w:rFonts w:ascii="Symbol" w:hAnsi="Symbol" w:hint="default"/>
      </w:rPr>
    </w:lvl>
    <w:lvl w:ilvl="7" w:tplc="0C090003" w:tentative="1">
      <w:start w:val="1"/>
      <w:numFmt w:val="bullet"/>
      <w:lvlText w:val="o"/>
      <w:lvlJc w:val="left"/>
      <w:pPr>
        <w:ind w:left="12630" w:hanging="360"/>
      </w:pPr>
      <w:rPr>
        <w:rFonts w:ascii="Courier New" w:hAnsi="Courier New" w:hint="default"/>
      </w:rPr>
    </w:lvl>
    <w:lvl w:ilvl="8" w:tplc="0C090005" w:tentative="1">
      <w:start w:val="1"/>
      <w:numFmt w:val="bullet"/>
      <w:lvlText w:val=""/>
      <w:lvlJc w:val="left"/>
      <w:pPr>
        <w:ind w:left="13350" w:hanging="360"/>
      </w:pPr>
      <w:rPr>
        <w:rFonts w:ascii="Wingdings" w:hAnsi="Wingdings" w:hint="default"/>
      </w:rPr>
    </w:lvl>
  </w:abstractNum>
  <w:abstractNum w:abstractNumId="2" w15:restartNumberingAfterBreak="0">
    <w:nsid w:val="15050C8F"/>
    <w:multiLevelType w:val="hybridMultilevel"/>
    <w:tmpl w:val="04F469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E6D7DF6"/>
    <w:multiLevelType w:val="hybridMultilevel"/>
    <w:tmpl w:val="410CB9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9B25843"/>
    <w:multiLevelType w:val="hybridMultilevel"/>
    <w:tmpl w:val="2DC67C8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45C028C6"/>
    <w:multiLevelType w:val="hybridMultilevel"/>
    <w:tmpl w:val="C046EE0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47C45DC8"/>
    <w:multiLevelType w:val="hybridMultilevel"/>
    <w:tmpl w:val="28268A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4E815FF8"/>
    <w:multiLevelType w:val="hybridMultilevel"/>
    <w:tmpl w:val="D3CAA554"/>
    <w:lvl w:ilvl="0" w:tplc="0C090001">
      <w:start w:val="1"/>
      <w:numFmt w:val="bullet"/>
      <w:lvlText w:val=""/>
      <w:lvlJc w:val="left"/>
      <w:pPr>
        <w:ind w:left="417" w:hanging="360"/>
      </w:pPr>
      <w:rPr>
        <w:rFonts w:ascii="Symbol" w:hAnsi="Symbol" w:hint="default"/>
      </w:rPr>
    </w:lvl>
    <w:lvl w:ilvl="1" w:tplc="0C090003" w:tentative="1">
      <w:start w:val="1"/>
      <w:numFmt w:val="bullet"/>
      <w:lvlText w:val="o"/>
      <w:lvlJc w:val="left"/>
      <w:pPr>
        <w:ind w:left="1137" w:hanging="360"/>
      </w:pPr>
      <w:rPr>
        <w:rFonts w:ascii="Courier New" w:hAnsi="Courier New" w:cs="Courier New" w:hint="default"/>
      </w:rPr>
    </w:lvl>
    <w:lvl w:ilvl="2" w:tplc="0C090005" w:tentative="1">
      <w:start w:val="1"/>
      <w:numFmt w:val="bullet"/>
      <w:lvlText w:val=""/>
      <w:lvlJc w:val="left"/>
      <w:pPr>
        <w:ind w:left="1857" w:hanging="360"/>
      </w:pPr>
      <w:rPr>
        <w:rFonts w:ascii="Wingdings" w:hAnsi="Wingdings" w:hint="default"/>
      </w:rPr>
    </w:lvl>
    <w:lvl w:ilvl="3" w:tplc="0C090001" w:tentative="1">
      <w:start w:val="1"/>
      <w:numFmt w:val="bullet"/>
      <w:lvlText w:val=""/>
      <w:lvlJc w:val="left"/>
      <w:pPr>
        <w:ind w:left="2577" w:hanging="360"/>
      </w:pPr>
      <w:rPr>
        <w:rFonts w:ascii="Symbol" w:hAnsi="Symbol" w:hint="default"/>
      </w:rPr>
    </w:lvl>
    <w:lvl w:ilvl="4" w:tplc="0C090003" w:tentative="1">
      <w:start w:val="1"/>
      <w:numFmt w:val="bullet"/>
      <w:lvlText w:val="o"/>
      <w:lvlJc w:val="left"/>
      <w:pPr>
        <w:ind w:left="3297" w:hanging="360"/>
      </w:pPr>
      <w:rPr>
        <w:rFonts w:ascii="Courier New" w:hAnsi="Courier New" w:cs="Courier New" w:hint="default"/>
      </w:rPr>
    </w:lvl>
    <w:lvl w:ilvl="5" w:tplc="0C090005" w:tentative="1">
      <w:start w:val="1"/>
      <w:numFmt w:val="bullet"/>
      <w:lvlText w:val=""/>
      <w:lvlJc w:val="left"/>
      <w:pPr>
        <w:ind w:left="4017" w:hanging="360"/>
      </w:pPr>
      <w:rPr>
        <w:rFonts w:ascii="Wingdings" w:hAnsi="Wingdings" w:hint="default"/>
      </w:rPr>
    </w:lvl>
    <w:lvl w:ilvl="6" w:tplc="0C090001" w:tentative="1">
      <w:start w:val="1"/>
      <w:numFmt w:val="bullet"/>
      <w:lvlText w:val=""/>
      <w:lvlJc w:val="left"/>
      <w:pPr>
        <w:ind w:left="4737" w:hanging="360"/>
      </w:pPr>
      <w:rPr>
        <w:rFonts w:ascii="Symbol" w:hAnsi="Symbol" w:hint="default"/>
      </w:rPr>
    </w:lvl>
    <w:lvl w:ilvl="7" w:tplc="0C090003" w:tentative="1">
      <w:start w:val="1"/>
      <w:numFmt w:val="bullet"/>
      <w:lvlText w:val="o"/>
      <w:lvlJc w:val="left"/>
      <w:pPr>
        <w:ind w:left="5457" w:hanging="360"/>
      </w:pPr>
      <w:rPr>
        <w:rFonts w:ascii="Courier New" w:hAnsi="Courier New" w:cs="Courier New" w:hint="default"/>
      </w:rPr>
    </w:lvl>
    <w:lvl w:ilvl="8" w:tplc="0C090005" w:tentative="1">
      <w:start w:val="1"/>
      <w:numFmt w:val="bullet"/>
      <w:lvlText w:val=""/>
      <w:lvlJc w:val="left"/>
      <w:pPr>
        <w:ind w:left="6177" w:hanging="360"/>
      </w:pPr>
      <w:rPr>
        <w:rFonts w:ascii="Wingdings" w:hAnsi="Wingdings" w:hint="default"/>
      </w:rPr>
    </w:lvl>
  </w:abstractNum>
  <w:abstractNum w:abstractNumId="8" w15:restartNumberingAfterBreak="0">
    <w:nsid w:val="71CF5EDF"/>
    <w:multiLevelType w:val="hybridMultilevel"/>
    <w:tmpl w:val="3B20A3B2"/>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9" w15:restartNumberingAfterBreak="0">
    <w:nsid w:val="79837006"/>
    <w:multiLevelType w:val="hybridMultilevel"/>
    <w:tmpl w:val="E690A6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B9D1C4E"/>
    <w:multiLevelType w:val="hybridMultilevel"/>
    <w:tmpl w:val="295886E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161582332">
    <w:abstractNumId w:val="0"/>
  </w:num>
  <w:num w:numId="2" w16cid:durableId="1308852114">
    <w:abstractNumId w:val="1"/>
  </w:num>
  <w:num w:numId="3" w16cid:durableId="623853636">
    <w:abstractNumId w:val="9"/>
  </w:num>
  <w:num w:numId="4" w16cid:durableId="1174564463">
    <w:abstractNumId w:val="2"/>
  </w:num>
  <w:num w:numId="5" w16cid:durableId="1862162663">
    <w:abstractNumId w:val="3"/>
  </w:num>
  <w:num w:numId="6" w16cid:durableId="641930439">
    <w:abstractNumId w:val="10"/>
  </w:num>
  <w:num w:numId="7" w16cid:durableId="1981884816">
    <w:abstractNumId w:val="7"/>
  </w:num>
  <w:num w:numId="8" w16cid:durableId="1270703363">
    <w:abstractNumId w:val="0"/>
  </w:num>
  <w:num w:numId="9" w16cid:durableId="1419718771">
    <w:abstractNumId w:val="0"/>
  </w:num>
  <w:num w:numId="10" w16cid:durableId="2088570675">
    <w:abstractNumId w:val="6"/>
  </w:num>
  <w:num w:numId="11" w16cid:durableId="690305053">
    <w:abstractNumId w:val="5"/>
  </w:num>
  <w:num w:numId="12" w16cid:durableId="1960607286">
    <w:abstractNumId w:val="8"/>
  </w:num>
  <w:num w:numId="13" w16cid:durableId="1039012217">
    <w:abstractNumId w:val="4"/>
  </w:num>
  <w:num w:numId="14" w16cid:durableId="6258174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904"/>
    <w:rsid w:val="000121C3"/>
    <w:rsid w:val="00015B90"/>
    <w:rsid w:val="0001607A"/>
    <w:rsid w:val="00091AC9"/>
    <w:rsid w:val="00095ECD"/>
    <w:rsid w:val="000A7335"/>
    <w:rsid w:val="000B1620"/>
    <w:rsid w:val="000B5C8C"/>
    <w:rsid w:val="000B71ED"/>
    <w:rsid w:val="000C59E2"/>
    <w:rsid w:val="000C7B2D"/>
    <w:rsid w:val="000F7B7E"/>
    <w:rsid w:val="00103EEA"/>
    <w:rsid w:val="001115D7"/>
    <w:rsid w:val="00125B01"/>
    <w:rsid w:val="00191109"/>
    <w:rsid w:val="00191235"/>
    <w:rsid w:val="001926F4"/>
    <w:rsid w:val="001A0053"/>
    <w:rsid w:val="001A5CE8"/>
    <w:rsid w:val="001B2465"/>
    <w:rsid w:val="001B3435"/>
    <w:rsid w:val="001E3EE7"/>
    <w:rsid w:val="001F2A9B"/>
    <w:rsid w:val="001F6D2D"/>
    <w:rsid w:val="00200D04"/>
    <w:rsid w:val="00201FB6"/>
    <w:rsid w:val="002149EF"/>
    <w:rsid w:val="002157F0"/>
    <w:rsid w:val="002405CF"/>
    <w:rsid w:val="00240B97"/>
    <w:rsid w:val="0025382D"/>
    <w:rsid w:val="00263BA6"/>
    <w:rsid w:val="0027264D"/>
    <w:rsid w:val="00285D38"/>
    <w:rsid w:val="00291509"/>
    <w:rsid w:val="00293E43"/>
    <w:rsid w:val="002B5F43"/>
    <w:rsid w:val="002D0942"/>
    <w:rsid w:val="002F3165"/>
    <w:rsid w:val="00313707"/>
    <w:rsid w:val="0032270B"/>
    <w:rsid w:val="00337E7C"/>
    <w:rsid w:val="00351CD9"/>
    <w:rsid w:val="00353CBB"/>
    <w:rsid w:val="00366924"/>
    <w:rsid w:val="00376A6D"/>
    <w:rsid w:val="00380B98"/>
    <w:rsid w:val="00395E36"/>
    <w:rsid w:val="00396023"/>
    <w:rsid w:val="003C204E"/>
    <w:rsid w:val="003C4BB5"/>
    <w:rsid w:val="003E4CC0"/>
    <w:rsid w:val="003F1256"/>
    <w:rsid w:val="003F3D8F"/>
    <w:rsid w:val="00410409"/>
    <w:rsid w:val="00412CED"/>
    <w:rsid w:val="00416751"/>
    <w:rsid w:val="00420F9E"/>
    <w:rsid w:val="004213C3"/>
    <w:rsid w:val="0042413C"/>
    <w:rsid w:val="00427139"/>
    <w:rsid w:val="00431A1C"/>
    <w:rsid w:val="004358E9"/>
    <w:rsid w:val="00436236"/>
    <w:rsid w:val="004537B3"/>
    <w:rsid w:val="0048050C"/>
    <w:rsid w:val="00487DD5"/>
    <w:rsid w:val="004947A7"/>
    <w:rsid w:val="004A2E02"/>
    <w:rsid w:val="004B7C43"/>
    <w:rsid w:val="004C2B20"/>
    <w:rsid w:val="004D6932"/>
    <w:rsid w:val="004E28AD"/>
    <w:rsid w:val="004F0F49"/>
    <w:rsid w:val="004F1D05"/>
    <w:rsid w:val="004F2008"/>
    <w:rsid w:val="00505B5D"/>
    <w:rsid w:val="005067CA"/>
    <w:rsid w:val="0052443C"/>
    <w:rsid w:val="0052775E"/>
    <w:rsid w:val="005416F0"/>
    <w:rsid w:val="00542514"/>
    <w:rsid w:val="00546AED"/>
    <w:rsid w:val="005512EF"/>
    <w:rsid w:val="005621E4"/>
    <w:rsid w:val="005764C7"/>
    <w:rsid w:val="00590902"/>
    <w:rsid w:val="00592A14"/>
    <w:rsid w:val="00593158"/>
    <w:rsid w:val="00596FD7"/>
    <w:rsid w:val="005A19C6"/>
    <w:rsid w:val="005A3625"/>
    <w:rsid w:val="005B4738"/>
    <w:rsid w:val="005C212D"/>
    <w:rsid w:val="005C3CB0"/>
    <w:rsid w:val="005C6778"/>
    <w:rsid w:val="005E003D"/>
    <w:rsid w:val="005E1140"/>
    <w:rsid w:val="005F3214"/>
    <w:rsid w:val="00601618"/>
    <w:rsid w:val="00612231"/>
    <w:rsid w:val="00635EB1"/>
    <w:rsid w:val="006473BB"/>
    <w:rsid w:val="0066495D"/>
    <w:rsid w:val="00695EB6"/>
    <w:rsid w:val="006A3770"/>
    <w:rsid w:val="006A4D46"/>
    <w:rsid w:val="006A6024"/>
    <w:rsid w:val="006C31FF"/>
    <w:rsid w:val="006C6256"/>
    <w:rsid w:val="006C6B6C"/>
    <w:rsid w:val="006C704D"/>
    <w:rsid w:val="006D31A2"/>
    <w:rsid w:val="0070331D"/>
    <w:rsid w:val="007052B1"/>
    <w:rsid w:val="007064F7"/>
    <w:rsid w:val="00711BF4"/>
    <w:rsid w:val="00741B43"/>
    <w:rsid w:val="0074223E"/>
    <w:rsid w:val="007543AC"/>
    <w:rsid w:val="00756537"/>
    <w:rsid w:val="00756A2B"/>
    <w:rsid w:val="007A0EBC"/>
    <w:rsid w:val="007A7390"/>
    <w:rsid w:val="007B27F1"/>
    <w:rsid w:val="007B4ABB"/>
    <w:rsid w:val="007B6904"/>
    <w:rsid w:val="007B7628"/>
    <w:rsid w:val="007C36E4"/>
    <w:rsid w:val="007E17EE"/>
    <w:rsid w:val="00816782"/>
    <w:rsid w:val="0082141D"/>
    <w:rsid w:val="00827F24"/>
    <w:rsid w:val="00845445"/>
    <w:rsid w:val="00850D65"/>
    <w:rsid w:val="00855DA8"/>
    <w:rsid w:val="00881321"/>
    <w:rsid w:val="00886399"/>
    <w:rsid w:val="00891A8D"/>
    <w:rsid w:val="008974CA"/>
    <w:rsid w:val="008E1F7F"/>
    <w:rsid w:val="008F00E8"/>
    <w:rsid w:val="00906142"/>
    <w:rsid w:val="00931B93"/>
    <w:rsid w:val="00933EED"/>
    <w:rsid w:val="00940CDE"/>
    <w:rsid w:val="00962C46"/>
    <w:rsid w:val="0097742A"/>
    <w:rsid w:val="0097744F"/>
    <w:rsid w:val="00980EED"/>
    <w:rsid w:val="00991670"/>
    <w:rsid w:val="00996291"/>
    <w:rsid w:val="009B6C8C"/>
    <w:rsid w:val="009C0FCA"/>
    <w:rsid w:val="009C3963"/>
    <w:rsid w:val="009D323C"/>
    <w:rsid w:val="009E70F4"/>
    <w:rsid w:val="00A35E2D"/>
    <w:rsid w:val="00A54CB3"/>
    <w:rsid w:val="00A7372F"/>
    <w:rsid w:val="00A74B8A"/>
    <w:rsid w:val="00A85F61"/>
    <w:rsid w:val="00A86DB3"/>
    <w:rsid w:val="00A92E4F"/>
    <w:rsid w:val="00AA1EE9"/>
    <w:rsid w:val="00AA25DC"/>
    <w:rsid w:val="00AB50DD"/>
    <w:rsid w:val="00AC7025"/>
    <w:rsid w:val="00AD196F"/>
    <w:rsid w:val="00AD3CCE"/>
    <w:rsid w:val="00B07A46"/>
    <w:rsid w:val="00B07DCE"/>
    <w:rsid w:val="00B12123"/>
    <w:rsid w:val="00B21043"/>
    <w:rsid w:val="00B31BCF"/>
    <w:rsid w:val="00B42EA0"/>
    <w:rsid w:val="00B44CAC"/>
    <w:rsid w:val="00B573D6"/>
    <w:rsid w:val="00B73E65"/>
    <w:rsid w:val="00B77F2B"/>
    <w:rsid w:val="00B81455"/>
    <w:rsid w:val="00B940E2"/>
    <w:rsid w:val="00B9627F"/>
    <w:rsid w:val="00BA2415"/>
    <w:rsid w:val="00BA46E8"/>
    <w:rsid w:val="00BA4DB2"/>
    <w:rsid w:val="00BA4F95"/>
    <w:rsid w:val="00BB33F9"/>
    <w:rsid w:val="00BC3CE6"/>
    <w:rsid w:val="00BE5E41"/>
    <w:rsid w:val="00BF078E"/>
    <w:rsid w:val="00C24EDC"/>
    <w:rsid w:val="00C25A76"/>
    <w:rsid w:val="00C31EB3"/>
    <w:rsid w:val="00C32206"/>
    <w:rsid w:val="00C4033D"/>
    <w:rsid w:val="00C422C8"/>
    <w:rsid w:val="00C45C67"/>
    <w:rsid w:val="00C47091"/>
    <w:rsid w:val="00C523FF"/>
    <w:rsid w:val="00C5586E"/>
    <w:rsid w:val="00C71C3C"/>
    <w:rsid w:val="00C76998"/>
    <w:rsid w:val="00C927D8"/>
    <w:rsid w:val="00C93E83"/>
    <w:rsid w:val="00CA593D"/>
    <w:rsid w:val="00CC167E"/>
    <w:rsid w:val="00CC5D11"/>
    <w:rsid w:val="00CD1505"/>
    <w:rsid w:val="00D21780"/>
    <w:rsid w:val="00D23346"/>
    <w:rsid w:val="00D243B8"/>
    <w:rsid w:val="00D34794"/>
    <w:rsid w:val="00D4502D"/>
    <w:rsid w:val="00D530CE"/>
    <w:rsid w:val="00D53E3C"/>
    <w:rsid w:val="00D73FF9"/>
    <w:rsid w:val="00D77950"/>
    <w:rsid w:val="00DB01D7"/>
    <w:rsid w:val="00DC3762"/>
    <w:rsid w:val="00DC5C47"/>
    <w:rsid w:val="00DC7A81"/>
    <w:rsid w:val="00DD616A"/>
    <w:rsid w:val="00DE0465"/>
    <w:rsid w:val="00DE4E25"/>
    <w:rsid w:val="00E049ED"/>
    <w:rsid w:val="00E34E6D"/>
    <w:rsid w:val="00E37CD4"/>
    <w:rsid w:val="00E57848"/>
    <w:rsid w:val="00E73459"/>
    <w:rsid w:val="00E750BF"/>
    <w:rsid w:val="00E90708"/>
    <w:rsid w:val="00ED21C3"/>
    <w:rsid w:val="00ED388C"/>
    <w:rsid w:val="00ED46C3"/>
    <w:rsid w:val="00EF02B0"/>
    <w:rsid w:val="00EF13A4"/>
    <w:rsid w:val="00F01B61"/>
    <w:rsid w:val="00F11338"/>
    <w:rsid w:val="00F13AE5"/>
    <w:rsid w:val="00F147C4"/>
    <w:rsid w:val="00F149FD"/>
    <w:rsid w:val="00F14EC1"/>
    <w:rsid w:val="00F4262F"/>
    <w:rsid w:val="00F53719"/>
    <w:rsid w:val="00F551E1"/>
    <w:rsid w:val="00F56FA5"/>
    <w:rsid w:val="00F57291"/>
    <w:rsid w:val="00F66CB0"/>
    <w:rsid w:val="00F76C89"/>
    <w:rsid w:val="00F84256"/>
    <w:rsid w:val="00F9158A"/>
    <w:rsid w:val="00F9750A"/>
    <w:rsid w:val="00FA29B8"/>
    <w:rsid w:val="00FA315A"/>
    <w:rsid w:val="00FC7CBC"/>
    <w:rsid w:val="00FD3D92"/>
    <w:rsid w:val="00FF56D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F51A84E"/>
  <w15:docId w15:val="{8C341B6C-4682-4F69-B467-0B456AA48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053"/>
    <w:pPr>
      <w:spacing w:after="0" w:line="240" w:lineRule="auto"/>
    </w:pPr>
    <w:rPr>
      <w:rFonts w:ascii="Calibri" w:eastAsia="Times New Roman" w:hAnsi="Calibri" w:cs="Times New Roman"/>
      <w:sz w:val="24"/>
      <w:szCs w:val="20"/>
    </w:rPr>
  </w:style>
  <w:style w:type="paragraph" w:styleId="Heading1">
    <w:name w:val="heading 1"/>
    <w:basedOn w:val="Normal"/>
    <w:next w:val="Normal"/>
    <w:link w:val="Heading1Char"/>
    <w:qFormat/>
    <w:rsid w:val="007B6904"/>
    <w:pPr>
      <w:keepNext/>
      <w:spacing w:before="60" w:after="60"/>
      <w:outlineLvl w:val="0"/>
    </w:pPr>
    <w:rPr>
      <w:rFonts w:cs="Arial"/>
      <w:b/>
      <w:iCs/>
      <w:sz w:val="28"/>
    </w:rPr>
  </w:style>
  <w:style w:type="paragraph" w:styleId="Heading2">
    <w:name w:val="heading 2"/>
    <w:basedOn w:val="Normal"/>
    <w:next w:val="Normal"/>
    <w:link w:val="Heading2Char"/>
    <w:uiPriority w:val="9"/>
    <w:unhideWhenUsed/>
    <w:qFormat/>
    <w:rsid w:val="007B6904"/>
    <w:pPr>
      <w:keepNext/>
      <w:keepLines/>
      <w:outlineLvl w:val="1"/>
    </w:pPr>
    <w:rPr>
      <w:rFonts w:eastAsiaTheme="majorEastAsia" w:cstheme="majorBidi"/>
      <w:b/>
      <w:bCs/>
      <w:szCs w:val="26"/>
    </w:rPr>
  </w:style>
  <w:style w:type="paragraph" w:styleId="Heading3">
    <w:name w:val="heading 3"/>
    <w:basedOn w:val="Normal"/>
    <w:next w:val="Normal"/>
    <w:link w:val="Heading3Char"/>
    <w:uiPriority w:val="9"/>
    <w:semiHidden/>
    <w:unhideWhenUsed/>
    <w:rsid w:val="007052B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B6904"/>
    <w:rPr>
      <w:rFonts w:ascii="Calibri" w:eastAsia="Times New Roman" w:hAnsi="Calibri" w:cs="Arial"/>
      <w:b/>
      <w:iCs/>
      <w:sz w:val="28"/>
      <w:szCs w:val="20"/>
    </w:rPr>
  </w:style>
  <w:style w:type="table" w:styleId="TableGrid">
    <w:name w:val="Table Grid"/>
    <w:basedOn w:val="TableNormal"/>
    <w:uiPriority w:val="59"/>
    <w:rsid w:val="007B6904"/>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B6904"/>
    <w:pPr>
      <w:tabs>
        <w:tab w:val="center" w:pos="4153"/>
        <w:tab w:val="right" w:pos="8306"/>
      </w:tabs>
    </w:pPr>
  </w:style>
  <w:style w:type="character" w:customStyle="1" w:styleId="FooterChar">
    <w:name w:val="Footer Char"/>
    <w:basedOn w:val="DefaultParagraphFont"/>
    <w:link w:val="Footer"/>
    <w:uiPriority w:val="99"/>
    <w:rsid w:val="007B6904"/>
    <w:rPr>
      <w:rFonts w:ascii="Times New Roman" w:eastAsia="Times New Roman" w:hAnsi="Times New Roman" w:cs="Times New Roman"/>
      <w:sz w:val="24"/>
      <w:szCs w:val="20"/>
    </w:rPr>
  </w:style>
  <w:style w:type="character" w:styleId="PageNumber">
    <w:name w:val="page number"/>
    <w:basedOn w:val="DefaultParagraphFont"/>
    <w:uiPriority w:val="99"/>
    <w:rsid w:val="007B6904"/>
    <w:rPr>
      <w:rFonts w:cs="Times New Roman"/>
    </w:rPr>
  </w:style>
  <w:style w:type="paragraph" w:styleId="Header">
    <w:name w:val="header"/>
    <w:basedOn w:val="Normal"/>
    <w:link w:val="HeaderChar"/>
    <w:rsid w:val="007B6904"/>
    <w:pPr>
      <w:tabs>
        <w:tab w:val="center" w:pos="4153"/>
        <w:tab w:val="right" w:pos="8306"/>
      </w:tabs>
    </w:pPr>
  </w:style>
  <w:style w:type="character" w:customStyle="1" w:styleId="HeaderChar">
    <w:name w:val="Header Char"/>
    <w:basedOn w:val="DefaultParagraphFont"/>
    <w:link w:val="Header"/>
    <w:rsid w:val="007B6904"/>
    <w:rPr>
      <w:rFonts w:ascii="Times New Roman" w:eastAsia="Times New Roman" w:hAnsi="Times New Roman" w:cs="Times New Roman"/>
      <w:sz w:val="24"/>
      <w:szCs w:val="20"/>
    </w:rPr>
  </w:style>
  <w:style w:type="paragraph" w:styleId="ListParagraph">
    <w:name w:val="List Paragraph"/>
    <w:basedOn w:val="Normal"/>
    <w:link w:val="ListParagraphChar"/>
    <w:uiPriority w:val="34"/>
    <w:qFormat/>
    <w:rsid w:val="007B6904"/>
    <w:pPr>
      <w:ind w:left="720"/>
      <w:contextualSpacing/>
    </w:pPr>
  </w:style>
  <w:style w:type="paragraph" w:customStyle="1" w:styleId="Default">
    <w:name w:val="Default"/>
    <w:rsid w:val="007B6904"/>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character" w:styleId="Hyperlink">
    <w:name w:val="Hyperlink"/>
    <w:basedOn w:val="DefaultParagraphFont"/>
    <w:uiPriority w:val="99"/>
    <w:rsid w:val="007B6904"/>
    <w:rPr>
      <w:rFonts w:cs="Times New Roman"/>
      <w:color w:val="0000FF"/>
      <w:u w:val="single"/>
    </w:rPr>
  </w:style>
  <w:style w:type="paragraph" w:styleId="ListBullet">
    <w:name w:val="List Bullet"/>
    <w:basedOn w:val="Normal"/>
    <w:uiPriority w:val="99"/>
    <w:qFormat/>
    <w:rsid w:val="00F14EC1"/>
    <w:pPr>
      <w:numPr>
        <w:numId w:val="1"/>
      </w:numPr>
      <w:tabs>
        <w:tab w:val="clear" w:pos="360"/>
      </w:tabs>
      <w:ind w:left="426" w:hanging="426"/>
    </w:pPr>
  </w:style>
  <w:style w:type="paragraph" w:customStyle="1" w:styleId="ProcedureTemplate">
    <w:name w:val="Procedure Template"/>
    <w:basedOn w:val="Heading1"/>
    <w:rsid w:val="007B6904"/>
    <w:pPr>
      <w:framePr w:hSpace="180" w:wrap="around" w:vAnchor="text" w:hAnchor="margin" w:x="108" w:y="181"/>
    </w:pPr>
    <w:rPr>
      <w:bCs/>
    </w:rPr>
  </w:style>
  <w:style w:type="paragraph" w:customStyle="1" w:styleId="ProcedureTemplateinternalheadings">
    <w:name w:val="Procedure Template internal headings"/>
    <w:basedOn w:val="Heading2"/>
    <w:rsid w:val="007B6904"/>
    <w:pPr>
      <w:framePr w:hSpace="180" w:wrap="around" w:vAnchor="text" w:hAnchor="margin" w:x="108" w:y="181"/>
      <w:spacing w:before="40" w:after="40"/>
    </w:pPr>
    <w:rPr>
      <w:rFonts w:cs="Arial"/>
      <w:szCs w:val="24"/>
    </w:rPr>
  </w:style>
  <w:style w:type="character" w:customStyle="1" w:styleId="Heading2Char">
    <w:name w:val="Heading 2 Char"/>
    <w:basedOn w:val="DefaultParagraphFont"/>
    <w:link w:val="Heading2"/>
    <w:uiPriority w:val="9"/>
    <w:rsid w:val="007B6904"/>
    <w:rPr>
      <w:rFonts w:ascii="Calibri" w:eastAsiaTheme="majorEastAsia" w:hAnsi="Calibri" w:cstheme="majorBidi"/>
      <w:b/>
      <w:bCs/>
      <w:sz w:val="24"/>
      <w:szCs w:val="26"/>
    </w:rPr>
  </w:style>
  <w:style w:type="character" w:styleId="FollowedHyperlink">
    <w:name w:val="FollowedHyperlink"/>
    <w:basedOn w:val="DefaultParagraphFont"/>
    <w:uiPriority w:val="99"/>
    <w:semiHidden/>
    <w:unhideWhenUsed/>
    <w:rsid w:val="007B6904"/>
    <w:rPr>
      <w:color w:val="800080" w:themeColor="followedHyperlink"/>
      <w:u w:val="single"/>
    </w:rPr>
  </w:style>
  <w:style w:type="paragraph" w:styleId="BalloonText">
    <w:name w:val="Balloon Text"/>
    <w:basedOn w:val="Normal"/>
    <w:link w:val="BalloonTextChar"/>
    <w:uiPriority w:val="99"/>
    <w:semiHidden/>
    <w:unhideWhenUsed/>
    <w:rsid w:val="007B6904"/>
    <w:rPr>
      <w:rFonts w:ascii="Tahoma" w:hAnsi="Tahoma" w:cs="Tahoma"/>
      <w:sz w:val="16"/>
      <w:szCs w:val="16"/>
    </w:rPr>
  </w:style>
  <w:style w:type="character" w:customStyle="1" w:styleId="BalloonTextChar">
    <w:name w:val="Balloon Text Char"/>
    <w:basedOn w:val="DefaultParagraphFont"/>
    <w:link w:val="BalloonText"/>
    <w:uiPriority w:val="99"/>
    <w:semiHidden/>
    <w:rsid w:val="007B6904"/>
    <w:rPr>
      <w:rFonts w:ascii="Tahoma" w:eastAsia="Times New Roman" w:hAnsi="Tahoma" w:cs="Tahoma"/>
      <w:sz w:val="16"/>
      <w:szCs w:val="16"/>
    </w:rPr>
  </w:style>
  <w:style w:type="paragraph" w:styleId="TOC1">
    <w:name w:val="toc 1"/>
    <w:basedOn w:val="Normal"/>
    <w:next w:val="Normal"/>
    <w:autoRedefine/>
    <w:uiPriority w:val="39"/>
    <w:unhideWhenUsed/>
    <w:rsid w:val="007B6904"/>
    <w:pPr>
      <w:spacing w:after="100"/>
    </w:pPr>
    <w:rPr>
      <w:rFonts w:asciiTheme="minorHAnsi" w:hAnsiTheme="minorHAnsi"/>
    </w:rPr>
  </w:style>
  <w:style w:type="paragraph" w:styleId="TOC2">
    <w:name w:val="toc 2"/>
    <w:basedOn w:val="Normal"/>
    <w:next w:val="Normal"/>
    <w:autoRedefine/>
    <w:uiPriority w:val="39"/>
    <w:unhideWhenUsed/>
    <w:rsid w:val="007B6904"/>
    <w:pPr>
      <w:spacing w:after="100"/>
      <w:ind w:left="240"/>
    </w:pPr>
    <w:rPr>
      <w:rFonts w:asciiTheme="minorHAnsi" w:hAnsiTheme="minorHAnsi"/>
    </w:rPr>
  </w:style>
  <w:style w:type="character" w:customStyle="1" w:styleId="Heading3Char">
    <w:name w:val="Heading 3 Char"/>
    <w:basedOn w:val="DefaultParagraphFont"/>
    <w:link w:val="Heading3"/>
    <w:uiPriority w:val="9"/>
    <w:semiHidden/>
    <w:rsid w:val="007052B1"/>
    <w:rPr>
      <w:rFonts w:asciiTheme="majorHAnsi" w:eastAsiaTheme="majorEastAsia" w:hAnsiTheme="majorHAnsi" w:cstheme="majorBidi"/>
      <w:b/>
      <w:bCs/>
      <w:color w:val="4F81BD" w:themeColor="accent1"/>
      <w:sz w:val="24"/>
      <w:szCs w:val="20"/>
    </w:rPr>
  </w:style>
  <w:style w:type="character" w:styleId="CommentReference">
    <w:name w:val="annotation reference"/>
    <w:basedOn w:val="DefaultParagraphFont"/>
    <w:uiPriority w:val="99"/>
    <w:semiHidden/>
    <w:unhideWhenUsed/>
    <w:rsid w:val="00CC5D11"/>
    <w:rPr>
      <w:sz w:val="16"/>
      <w:szCs w:val="16"/>
    </w:rPr>
  </w:style>
  <w:style w:type="paragraph" w:styleId="CommentText">
    <w:name w:val="annotation text"/>
    <w:basedOn w:val="Normal"/>
    <w:link w:val="CommentTextChar"/>
    <w:uiPriority w:val="99"/>
    <w:semiHidden/>
    <w:unhideWhenUsed/>
    <w:rsid w:val="00CC5D11"/>
    <w:rPr>
      <w:sz w:val="20"/>
    </w:rPr>
  </w:style>
  <w:style w:type="character" w:customStyle="1" w:styleId="CommentTextChar">
    <w:name w:val="Comment Text Char"/>
    <w:basedOn w:val="DefaultParagraphFont"/>
    <w:link w:val="CommentText"/>
    <w:uiPriority w:val="99"/>
    <w:semiHidden/>
    <w:rsid w:val="00CC5D11"/>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C5D11"/>
    <w:rPr>
      <w:b/>
      <w:bCs/>
    </w:rPr>
  </w:style>
  <w:style w:type="character" w:customStyle="1" w:styleId="CommentSubjectChar">
    <w:name w:val="Comment Subject Char"/>
    <w:basedOn w:val="CommentTextChar"/>
    <w:link w:val="CommentSubject"/>
    <w:uiPriority w:val="99"/>
    <w:semiHidden/>
    <w:rsid w:val="00CC5D11"/>
    <w:rPr>
      <w:rFonts w:ascii="Calibri" w:eastAsia="Times New Roman" w:hAnsi="Calibri" w:cs="Times New Roman"/>
      <w:b/>
      <w:bCs/>
      <w:sz w:val="20"/>
      <w:szCs w:val="20"/>
    </w:rPr>
  </w:style>
  <w:style w:type="character" w:styleId="UnresolvedMention">
    <w:name w:val="Unresolved Mention"/>
    <w:basedOn w:val="DefaultParagraphFont"/>
    <w:uiPriority w:val="99"/>
    <w:semiHidden/>
    <w:unhideWhenUsed/>
    <w:rsid w:val="001E3EE7"/>
    <w:rPr>
      <w:color w:val="605E5C"/>
      <w:shd w:val="clear" w:color="auto" w:fill="E1DFDD"/>
    </w:rPr>
  </w:style>
  <w:style w:type="character" w:customStyle="1" w:styleId="ListParagraphChar">
    <w:name w:val="List Paragraph Char"/>
    <w:basedOn w:val="DefaultParagraphFont"/>
    <w:link w:val="ListParagraph"/>
    <w:uiPriority w:val="34"/>
    <w:rsid w:val="00C5586E"/>
    <w:rPr>
      <w:rFonts w:ascii="Calibri" w:eastAsia="Times New Roman" w:hAnsi="Calibri"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3216866">
      <w:bodyDiv w:val="1"/>
      <w:marLeft w:val="0"/>
      <w:marRight w:val="0"/>
      <w:marTop w:val="0"/>
      <w:marBottom w:val="0"/>
      <w:divBdr>
        <w:top w:val="none" w:sz="0" w:space="0" w:color="auto"/>
        <w:left w:val="none" w:sz="0" w:space="0" w:color="auto"/>
        <w:bottom w:val="none" w:sz="0" w:space="0" w:color="auto"/>
        <w:right w:val="none" w:sz="0" w:space="0" w:color="auto"/>
      </w:divBdr>
    </w:div>
    <w:div w:id="997465457">
      <w:bodyDiv w:val="1"/>
      <w:marLeft w:val="0"/>
      <w:marRight w:val="0"/>
      <w:marTop w:val="0"/>
      <w:marBottom w:val="0"/>
      <w:divBdr>
        <w:top w:val="none" w:sz="0" w:space="0" w:color="auto"/>
        <w:left w:val="none" w:sz="0" w:space="0" w:color="auto"/>
        <w:bottom w:val="none" w:sz="0" w:space="0" w:color="auto"/>
        <w:right w:val="none" w:sz="0" w:space="0" w:color="auto"/>
      </w:divBdr>
    </w:div>
    <w:div w:id="1030256552">
      <w:bodyDiv w:val="1"/>
      <w:marLeft w:val="0"/>
      <w:marRight w:val="0"/>
      <w:marTop w:val="0"/>
      <w:marBottom w:val="0"/>
      <w:divBdr>
        <w:top w:val="none" w:sz="0" w:space="0" w:color="auto"/>
        <w:left w:val="none" w:sz="0" w:space="0" w:color="auto"/>
        <w:bottom w:val="none" w:sz="0" w:space="0" w:color="auto"/>
        <w:right w:val="none" w:sz="0" w:space="0" w:color="auto"/>
      </w:divBdr>
    </w:div>
    <w:div w:id="1479807023">
      <w:bodyDiv w:val="1"/>
      <w:marLeft w:val="0"/>
      <w:marRight w:val="0"/>
      <w:marTop w:val="0"/>
      <w:marBottom w:val="0"/>
      <w:divBdr>
        <w:top w:val="none" w:sz="0" w:space="0" w:color="auto"/>
        <w:left w:val="none" w:sz="0" w:space="0" w:color="auto"/>
        <w:bottom w:val="none" w:sz="0" w:space="0" w:color="auto"/>
        <w:right w:val="none" w:sz="0" w:space="0" w:color="auto"/>
      </w:divBdr>
    </w:div>
    <w:div w:id="1991328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ptodate.com/contents/post-dural-puncture-headache?topicRef=4832&amp;source=see_lin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1.health.gov.au/internet/main/publishing.nsf/Content/icg-guidelines-index.ht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opkinsmedicine.org/health/treatment-tests-and-therapies/lumbar-punctur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gress xmlns="690b2128-8961-48af-a473-22c34a9accba" xsi:nil="true"/>
    <Approval_x0020_Date xmlns="690b2128-8961-48af-a473-22c34a9accba">2021-08-26T14:00:00+00:00</Approval_x0020_Date>
    <Review_x0020_Date xmlns="690b2128-8961-48af-a473-22c34a9accba">2025-08-31T14:00:00+00:00</Review_x0020_Date>
    <TaxCatchAll xmlns="c0239a80-7f07-4ed7-82c3-24ad7d76ada5">
      <Value>417</Value>
      <Value>416</Value>
      <Value>415</Value>
      <Value>435</Value>
    </TaxCatchAll>
    <Version_x0020_Number xmlns="690b2128-8961-48af-a473-22c34a9accba">1</Version_x0020_Number>
    <Notes0 xmlns="690b2128-8961-48af-a473-22c34a9accba" xsi:nil="true"/>
    <Key_x0020_Words xmlns="690b2128-8961-48af-a473-22c34a9accba">Lumbar Puncture, needle, CJD, Queckenstedt test, CSF pressure, and CSF leak.</Key_x0020_Words>
    <Type_x0020_of_x0020_Document xmlns="690b2128-8961-48af-a473-22c34a9accba">Procedure</Type_x0020_of_x0020_Document>
    <Approval_x0020_Name_x007c_Committee xmlns="690b2128-8961-48af-a473-22c34a9accba">CHS Policy Committee</Approval_x0020_Name_x007c_Committee>
    <Status xmlns="690b2128-8961-48af-a473-22c34a9accba">Approved</Status>
    <New_x0020_Applies_x0020_To xmlns="690b2128-8961-48af-a473-22c34a9accba">Canberra Health Services</New_x0020_Applies_x0020_To>
    <Replaces_x003a_ xmlns="690b2128-8961-48af-a473-22c34a9accba">CHHS16/239 Lumbar Puncture - Assisting Guidelines - Adults Only</Replaces_x003a_>
    <Risk_x0020_Rating xmlns="690b2128-8961-48af-a473-22c34a9accba">Medium</Risk_x0020_Rating>
    <Description0 xmlns="690b2128-8961-48af-a473-22c34a9accba">This document applies to adult patients that require a lumbar puncture at Canberra Hospital and to the staff working within their scope of practice: Medical and Clinical Staff, Admin staff, Students under direct supervision.
</Description0>
    <Display_x0020_on_x0020_Internet xmlns="690b2128-8961-48af-a473-22c34a9accba">true</Display_x0020_on_x0020_Internet>
    <Related_x0020_Documents xmlns="690b2128-8961-48af-a473-22c34a9accba" xsi:nil="true"/>
    <Decision_x0020_Number xmlns="690b2128-8961-48af-a473-22c34a9accba">CHS21/497</Decision_x0020_Number>
    <New_x0020_Owner xmlns="690b2128-8961-48af-a473-22c34a9accba">Medicine</New_x0020_Owner>
    <ISD_x0020_Submitted xmlns="690b2128-8961-48af-a473-22c34a9accba">Not Required</ISD_x0020_Submitted>
    <RelatedPolicies_x002c_ProceduresGuidelines xmlns="690b2128-8961-48af-a473-22c34a9accba" xsi:nil="true"/>
    <k0794e393e1f41c2810d090eedba34a0 xmlns="690b2128-8961-48af-a473-22c34a9accba">
      <Terms xmlns="http://schemas.microsoft.com/office/infopath/2007/PartnerControls">
        <TermInfo xmlns="http://schemas.microsoft.com/office/infopath/2007/PartnerControls">
          <TermName xmlns="http://schemas.microsoft.com/office/infopath/2007/PartnerControls">Human Rights Act 2004 (Territory)</TermName>
          <TermId xmlns="http://schemas.microsoft.com/office/infopath/2007/PartnerControls">bbb6fb4a-2117-4ff9-8364-021a762deae2</TermId>
        </TermInfo>
        <TermInfo xmlns="http://schemas.microsoft.com/office/infopath/2007/PartnerControls">
          <TermName xmlns="http://schemas.microsoft.com/office/infopath/2007/PartnerControls">Health Records (Privacy and Access) Act 1997 (Territory)</TermName>
          <TermId xmlns="http://schemas.microsoft.com/office/infopath/2007/PartnerControls">d07d1347-0355-417c-badf-2bae9c7c0e3b</TermId>
        </TermInfo>
        <TermInfo xmlns="http://schemas.microsoft.com/office/infopath/2007/PartnerControls">
          <TermName xmlns="http://schemas.microsoft.com/office/infopath/2007/PartnerControls">Work Health and Safety Act 2011 (Territory)</TermName>
          <TermId xmlns="http://schemas.microsoft.com/office/infopath/2007/PartnerControls">ff017976-c7e7-4dc1-b890-63352415bc5e</TermId>
        </TermInfo>
        <TermInfo xmlns="http://schemas.microsoft.com/office/infopath/2007/PartnerControls">
          <TermName xmlns="http://schemas.microsoft.com/office/infopath/2007/PartnerControls">Medicines, Poisons and Therapeutic Goods Act 2008 (Territory)</TermName>
          <TermId xmlns="http://schemas.microsoft.com/office/infopath/2007/PartnerControls">e04bb8da-bc44-4cb4-a98e-c18b8e4177ac</TermId>
        </TermInfo>
      </Terms>
    </k0794e393e1f41c2810d090eedba34a0>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046B23B19A8774893278BE755DCE152" ma:contentTypeVersion="57" ma:contentTypeDescription="Create a new document." ma:contentTypeScope="" ma:versionID="d2e64bdc2bd6377a6833d64f74ebc14f">
  <xsd:schema xmlns:xsd="http://www.w3.org/2001/XMLSchema" xmlns:xs="http://www.w3.org/2001/XMLSchema" xmlns:p="http://schemas.microsoft.com/office/2006/metadata/properties" xmlns:ns2="690b2128-8961-48af-a473-22c34a9accba" xmlns:ns3="c0239a80-7f07-4ed7-82c3-24ad7d76ada5" targetNamespace="http://schemas.microsoft.com/office/2006/metadata/properties" ma:root="true" ma:fieldsID="91d7cb21ccc58bf03ce266bfff8f634e" ns2:_="" ns3:_="">
    <xsd:import namespace="690b2128-8961-48af-a473-22c34a9accba"/>
    <xsd:import namespace="c0239a80-7f07-4ed7-82c3-24ad7d76ada5"/>
    <xsd:element name="properties">
      <xsd:complexType>
        <xsd:sequence>
          <xsd:element name="documentManagement">
            <xsd:complexType>
              <xsd:all>
                <xsd:element ref="ns2:Description0" minOccurs="0"/>
                <xsd:element ref="ns2:Key_x0020_Words" minOccurs="0"/>
                <xsd:element ref="ns2:Decision_x0020_Number"/>
                <xsd:element ref="ns2:Version_x0020_Number" minOccurs="0"/>
                <xsd:element ref="ns2:Review_x0020_Date" minOccurs="0"/>
                <xsd:element ref="ns2:Status" minOccurs="0"/>
                <xsd:element ref="ns2:New_x0020_Applies_x0020_To" minOccurs="0"/>
                <xsd:element ref="ns2:New_x0020_Owner" minOccurs="0"/>
                <xsd:element ref="ns2:Type_x0020_of_x0020_Document" minOccurs="0"/>
                <xsd:element ref="ns2:Related_x0020_Documents" minOccurs="0"/>
                <xsd:element ref="ns2:Approval_x0020_Name_x007c_Committee" minOccurs="0"/>
                <xsd:element ref="ns2:Approval_x0020_Date" minOccurs="0"/>
                <xsd:element ref="ns2:Display_x0020_on_x0020_Internet" minOccurs="0"/>
                <xsd:element ref="ns2:Notes0" minOccurs="0"/>
                <xsd:element ref="ns2:Progress" minOccurs="0"/>
                <xsd:element ref="ns2:Replaces_x003a_" minOccurs="0"/>
                <xsd:element ref="ns2:Risk_x0020_Rating" minOccurs="0"/>
                <xsd:element ref="ns3:TaxCatchAll"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ISD_x0020_Submitted" minOccurs="0"/>
                <xsd:element ref="ns2:k0794e393e1f41c2810d090eedba34a0" minOccurs="0"/>
                <xsd:element ref="ns2:RelatedPolicies_x002c_ProceduresGuideline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0b2128-8961-48af-a473-22c34a9accba"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ma:readOnly="false">
      <xsd:simpleType>
        <xsd:restriction base="dms:Note">
          <xsd:maxLength value="255"/>
        </xsd:restriction>
      </xsd:simpleType>
    </xsd:element>
    <xsd:element name="Key_x0020_Words" ma:index="3" nillable="true" ma:displayName="Key Words" ma:indexed="true" ma:internalName="Key_x0020_Words" ma:readOnly="false">
      <xsd:simpleType>
        <xsd:restriction base="dms:Text">
          <xsd:maxLength value="255"/>
        </xsd:restriction>
      </xsd:simpleType>
    </xsd:element>
    <xsd:element name="Decision_x0020_Number" ma:index="4" ma:displayName="Decision Number" ma:internalName="Decision_x0020_Number" ma:readOnly="false">
      <xsd:simpleType>
        <xsd:restriction base="dms:Text">
          <xsd:maxLength value="15"/>
        </xsd:restriction>
      </xsd:simpleType>
    </xsd:element>
    <xsd:element name="Version_x0020_Number" ma:index="5" nillable="true" ma:displayName="Version Number" ma:internalName="Version_x0020_Number" ma:readOnly="false">
      <xsd:simpleType>
        <xsd:restriction base="dms:Text">
          <xsd:maxLength value="15"/>
        </xsd:restriction>
      </xsd:simpleType>
    </xsd:element>
    <xsd:element name="Review_x0020_Date" ma:index="6" nillable="true" ma:displayName="Review Date" ma:format="DateOnly" ma:internalName="Review_x0020_Date" ma:readOnly="false">
      <xsd:simpleType>
        <xsd:restriction base="dms:DateTime"/>
      </xsd:simpleType>
    </xsd:element>
    <xsd:element name="Status" ma:index="7" nillable="true" ma:displayName="Status" ma:format="RadioButtons" ma:internalName="Status" ma:readOnly="false">
      <xsd:simpleType>
        <xsd:union memberTypes="dms:Text">
          <xsd:simpleType>
            <xsd:restriction base="dms:Choice">
              <xsd:enumeration value="Approved"/>
              <xsd:enumeration value="Due for Review"/>
              <xsd:enumeration value="Overdue for Review"/>
              <xsd:enumeration value="Draft"/>
            </xsd:restriction>
          </xsd:simpleType>
        </xsd:union>
      </xsd:simpleType>
    </xsd:element>
    <xsd:element name="New_x0020_Applies_x0020_To" ma:index="8" nillable="true" ma:displayName="Applies To" ma:format="Dropdown" ma:internalName="New_x0020_Applies_x0020_To" ma:readOnly="false">
      <xsd:simpleType>
        <xsd:union memberTypes="dms:Text">
          <xsd:simpleType>
            <xsd:restriction base="dms:Choice">
              <xsd:enumeration value="Canberra Health Services"/>
              <xsd:enumeration value="Allied Health"/>
              <xsd:enumeration value="Allied Health - Physiotherapists"/>
              <xsd:enumeration value="Allied Health - Acute Support"/>
              <xsd:enumeration value="Allied Health - Education"/>
              <xsd:enumeration value="Allied Health - Interprofessional Learning"/>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EO"/>
              <xsd:enumeration value="CEO - Canberra Hospital Foundation"/>
              <xsd:enumeration value="CEO - Office of Research and Education (ORE)"/>
              <xsd:enumeration value="COO"/>
              <xsd:enumeration value="COO - DonateLife"/>
              <xsd:enumeration value="COO - Emergency Management Coordination"/>
              <xsd:enumeration value="COO - Patient Flow"/>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North Canberra Hospital"/>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Maternity"/>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restriction>
          </xsd:simpleType>
        </xsd:union>
      </xsd:simpleType>
    </xsd:element>
    <xsd:element name="New_x0020_Owner" ma:index="9" nillable="true" ma:displayName="Owner" ma:format="Dropdown" ma:internalName="New_x0020_Owner" ma:readOnly="false">
      <xsd:simpleType>
        <xsd:union memberTypes="dms:Text">
          <xsd:simpleType>
            <xsd:restriction base="dms:Choice">
              <xsd:enumeration value="Allied Health"/>
              <xsd:enumeration value="Allied Health - Acute Support"/>
              <xsd:enumeration value="Allied Health - Education"/>
              <xsd:enumeration value="Allied Health - Interprofessional Learning"/>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EO"/>
              <xsd:enumeration value="CEO - Canberra Hospital Foundation"/>
              <xsd:enumeration value="CEO - Office of Research and Education (ORE)"/>
              <xsd:enumeration value="COO"/>
              <xsd:enumeration value="COO - DonateLife"/>
              <xsd:enumeration value="COO - Emergency Management Coordination"/>
              <xsd:enumeration value="COO - Patient Flow"/>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North Canberra Hospital (NCH)"/>
              <xsd:enumeration value="North Canberra Hospital (NCH) - Corporate &amp; Finance - Corporate"/>
              <xsd:enumeration value="North Canberra Hospital (NCH) - Corporate &amp; Finance - Finance"/>
              <xsd:enumeration value="North Canberra Hospital (NCH) - Corporate &amp; Finance - Infrastructure"/>
              <xsd:enumeration value="North Canberra Hospital (NCH) - Corporate &amp; Finance - Clinical Support Services"/>
              <xsd:enumeration value="North Canberra Hospital (NCH) - Corporate &amp; Finance - Digital Health and IT"/>
              <xsd:enumeration value="North Canberra Hospital (NCH) - People &amp; Culture - HR"/>
              <xsd:enumeration value="North Canberra Hospital (NCH) - People &amp; Culture - WHS"/>
              <xsd:enumeration value="North Canberra Hospital (NCH) - People &amp; Culture - L&amp;D"/>
              <xsd:enumeration value="North Canberra Hospital (NCH) - People &amp; Culture - Payroll"/>
              <xsd:enumeration value="North Canberra Hospital (NCH) - People &amp; Culture - Volunteer Services"/>
              <xsd:enumeration value="North Canberra Hospital (NCH) - People &amp; Culture - Security"/>
              <xsd:enumeration value="North Canberra Hospital (NCH) - People &amp; Culture - Injury Management"/>
              <xsd:enumeration value="North Canberra Hospital (NCH) - Nursing &amp; Midwifery - IPC"/>
              <xsd:enumeration value="North Canberra Hospital (NCH) - Nursing &amp; Midwifery - Patient Flow"/>
              <xsd:enumeration value="North Canberra Hospital (NCH) - Nursing &amp; Midwifery - Quality &amp; Safety"/>
              <xsd:enumeration value="North Canberra Hospital (NCH) - Nursing &amp; Midwifery - Professional Functions"/>
              <xsd:enumeration value="North Canberra Hospital (NCH) - Nursing &amp; Midwifery - Clinical L&amp;D"/>
              <xsd:enumeration value="North Canberra Hospital (NCH) - Women &amp; Children"/>
              <xsd:enumeration value="North Canberra Hospital (NCH) - Allied Health &amp; Palliative Care - Allied Health"/>
              <xsd:enumeration value="North Canberra Hospital (NCH) - Allied Health &amp; Palliative Care - Pharmacy"/>
              <xsd:enumeration value="North Canberra Hospital (NCH) - Allied Health &amp; Palliative Care - Palliative Care"/>
              <xsd:enumeration value="North Canberra Hospital (NCH) - Allied Health &amp; Palliative Care - Aboriginal &amp; Torres Strait Islander Liaison Service"/>
              <xsd:enumeration value="North Canberra Hospital (NCH) - Allied Health &amp; Palliative Care - Medical Imaging"/>
              <xsd:enumeration value="North Canberra Hospital (NCH) - Allied Health &amp; Palliative Care - Pastoral Care"/>
              <xsd:enumeration value="North Canberra Hospital (NCH) - Medical &amp; Mental Health - Medical"/>
              <xsd:enumeration value="North Canberra Hospital (NCH) - Medical &amp; Mental Health - Mental Health"/>
              <xsd:enumeration value="North Canberra Hospital (NCH) - Medical Services - Ambulatory Care"/>
              <xsd:enumeration value="North Canberra Hospital (NCH) - Medical Services - Medical Administration"/>
              <xsd:enumeration value="North Canberra Hospital (NCH) - Medical Services - Clinical Governance"/>
              <xsd:enumeration value="North Canberra Hospital (NCH) - Medical Services - Credentialling &amp; Scope of Practice"/>
              <xsd:enumeration value="North Canberra Hospital (NCH) - Medical Services - Research &amp; Innovation"/>
              <xsd:enumeration value="North Canberra Hospital (NCH) - Medical Services - Medical Education &amp; Training"/>
              <xsd:enumeration value="North Canberra Hospital (NCH) - Surgical Division - Perioperative Suite"/>
              <xsd:enumeration value="North Canberra Hospital (NCH) - Surgical Division - Surgical Inpatient"/>
              <xsd:enumeration value="North Canberra Hospital (NCH) - Surgical Division - ICU/CCU"/>
              <xsd:enumeration value="North Canberra Hospital (NCH) - Surgical Division - Preadmission"/>
              <xsd:enumeration value="North Canberra Hospital (NCH) - Surgical Division - Anaesthetics/Acute Pain Service"/>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restriction>
          </xsd:simpleType>
        </xsd:union>
      </xsd:simpleType>
    </xsd:element>
    <xsd:element name="Type_x0020_of_x0020_Document" ma:index="10" nillable="true" ma:displayName="Type of Document" ma:format="Dropdown" ma:internalName="Type_x0020_of_x0020_Document" ma:readOnly="false">
      <xsd:simpleType>
        <xsd:union memberTypes="dms:Text">
          <xsd:simpleType>
            <xsd:restriction base="dms:Choice">
              <xsd:enumeration value="ACT Government"/>
              <xsd:enumeration value="Health Information Sheet"/>
              <xsd:enumeration value="Framework"/>
              <xsd:enumeration value="Guideline"/>
              <xsd:enumeration value="Manual"/>
              <xsd:enumeration value="Medication Guideline"/>
              <xsd:enumeration value="Medication Standing Order (MSO)"/>
              <xsd:enumeration value="Placeholder"/>
              <xsd:enumeration value="Plan"/>
              <xsd:enumeration value="Policy"/>
              <xsd:enumeration value="Procedure"/>
              <xsd:enumeration value="Strategy"/>
            </xsd:restriction>
          </xsd:simpleType>
        </xsd:union>
      </xsd:simpleType>
    </xsd:element>
    <xsd:element name="Related_x0020_Documents" ma:index="11" nillable="true" ma:displayName="Related Documents" ma:list="{690b2128-8961-48af-a473-22c34a9accba}" ma:internalName="Related_x0020_Documents" ma:readOnly="false" ma:showField="Title">
      <xsd:complexType>
        <xsd:complexContent>
          <xsd:extension base="dms:MultiChoiceLookup">
            <xsd:sequence>
              <xsd:element name="Value" type="dms:Lookup" maxOccurs="unbounded" minOccurs="0" nillable="true"/>
            </xsd:sequence>
          </xsd:extension>
        </xsd:complexContent>
      </xsd:complexType>
    </xsd:element>
    <xsd:element name="Approval_x0020_Name_x007c_Committee" ma:index="12" nillable="true" ma:displayName="Approval Name|Committee" ma:internalName="Approval_x0020_Name_x007c_Committee" ma:readOnly="false">
      <xsd:simpleType>
        <xsd:restriction base="dms:Text">
          <xsd:maxLength value="255"/>
        </xsd:restriction>
      </xsd:simpleType>
    </xsd:element>
    <xsd:element name="Approval_x0020_Date" ma:index="13" nillable="true" ma:displayName="Approval Date" ma:format="DateOnly" ma:internalName="Approval_x0020_Date" ma:readOnly="false">
      <xsd:simpleType>
        <xsd:restriction base="dms:DateTime"/>
      </xsd:simpleType>
    </xsd:element>
    <xsd:element name="Display_x0020_on_x0020_Internet" ma:index="14" nillable="true" ma:displayName="Display on Internet" ma:default="0" ma:indexed="true" ma:internalName="Display_x0020_on_x0020_Internet" ma:readOnly="false">
      <xsd:simpleType>
        <xsd:restriction base="dms:Boolean"/>
      </xsd:simpleType>
    </xsd:element>
    <xsd:element name="Notes0" ma:index="15" nillable="true" ma:displayName="Notes" ma:internalName="Notes0" ma:readOnly="false">
      <xsd:simpleType>
        <xsd:restriction base="dms:Note">
          <xsd:maxLength value="255"/>
        </xsd:restriction>
      </xsd:simpleType>
    </xsd:element>
    <xsd:element name="Progress" ma:index="16" nillable="true" ma:displayName="Progress" ma:internalName="Progress" ma:readOnly="false">
      <xsd:simpleType>
        <xsd:restriction base="dms:Note"/>
      </xsd:simpleType>
    </xsd:element>
    <xsd:element name="Replaces_x003a_" ma:index="20" nillable="true" ma:displayName="Replaces:" ma:internalName="Replaces_x003a_" ma:readOnly="false">
      <xsd:simpleType>
        <xsd:restriction base="dms:Note"/>
      </xsd:simpleType>
    </xsd:element>
    <xsd:element name="Risk_x0020_Rating" ma:index="21" nillable="true" ma:displayName="Risk Rating" ma:format="Dropdown" ma:internalName="Risk_x0020_Rating" ma:readOnly="false">
      <xsd:simpleType>
        <xsd:restriction base="dms:Choice">
          <xsd:enumeration value="Low"/>
          <xsd:enumeration value="Medium"/>
          <xsd:enumeration value="High"/>
          <xsd:enumeration value="Extreme"/>
          <xsd:enumeration value="Major"/>
          <xsd:enumeration value="Minor"/>
          <xsd:enumeration value="Insignificant"/>
        </xsd:restriction>
      </xsd:simple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element name="ISD_x0020_Submitted" ma:index="38" nillable="true" ma:displayName="ISD Submitted" ma:default="Yes" ma:format="Dropdown" ma:internalName="ISD_x0020_Submitted">
      <xsd:simpleType>
        <xsd:restriction base="dms:Choice">
          <xsd:enumeration value="Yes"/>
          <xsd:enumeration value="Not Required"/>
        </xsd:restriction>
      </xsd:simpleType>
    </xsd:element>
    <xsd:element name="k0794e393e1f41c2810d090eedba34a0" ma:index="40" nillable="true" ma:taxonomy="true" ma:internalName="k0794e393e1f41c2810d090eedba34a0" ma:taxonomyFieldName="Related_x0020_Legislation_x0020__x0026__x0020_Guidelines" ma:displayName="Related Legislation" ma:default="" ma:fieldId="{40794e39-3e1f-41c2-810d-090eedba34a0}" ma:taxonomyMulti="true" ma:sspId="a32ba9fb-117d-4a5c-9dda-ba27611682cc" ma:termSetId="49344749-ac97-47db-a832-94a6952cd0d1" ma:anchorId="00000000-0000-0000-0000-000000000000" ma:open="false" ma:isKeyword="false">
      <xsd:complexType>
        <xsd:sequence>
          <xsd:element ref="pc:Terms" minOccurs="0" maxOccurs="1"/>
        </xsd:sequence>
      </xsd:complexType>
    </xsd:element>
    <xsd:element name="RelatedPolicies_x002c_ProceduresGuidelines" ma:index="41" nillable="true" ma:displayName="Related Policies, Procedures, Guidelines and Industry Standards" ma:format="Dropdown" ma:list="690b2128-8961-48af-a473-22c34a9accba" ma:internalName="RelatedPolicies_x002c_ProceduresGuidelines" ma:showField="Title">
      <xsd:complexType>
        <xsd:complexContent>
          <xsd:extension base="dms:MultiChoiceLookup">
            <xsd:sequence>
              <xsd:element name="Value" type="dms:Lookup" maxOccurs="unbounded" minOccurs="0" nillable="true"/>
            </xsd:sequence>
          </xsd:extension>
        </xsd:complexContent>
      </xsd:complexType>
    </xsd:element>
    <xsd:element name="MediaServiceSearchProperties" ma:index="4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239a80-7f07-4ed7-82c3-24ad7d76ada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3d9c0df-42c0-4395-97bb-7bb7077d361a}" ma:internalName="TaxCatchAll" ma:showField="CatchAllData" ma:web="c0239a80-7f07-4ed7-82c3-24ad7d76ada5">
      <xsd:complexType>
        <xsd:complexContent>
          <xsd:extension base="dms:MultiChoiceLookup">
            <xsd:sequence>
              <xsd:element name="Value" type="dms:Lookup" maxOccurs="unbounded" minOccurs="0" nillable="true"/>
            </xsd:sequence>
          </xsd:extension>
        </xsd:complexContent>
      </xsd:complex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ma:index="19" ma:displayName="Subjects"/>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7F58B0-E6BF-4237-9984-6DF2E01C04FA}">
  <ds:schemaRefs>
    <ds:schemaRef ds:uri="c0239a80-7f07-4ed7-82c3-24ad7d76ada5"/>
    <ds:schemaRef ds:uri="http://purl.org/dc/elements/1.1/"/>
    <ds:schemaRef ds:uri="http://purl.org/dc/dcmitype/"/>
    <ds:schemaRef ds:uri="http://schemas.microsoft.com/office/2006/metadata/properties"/>
    <ds:schemaRef ds:uri="http://schemas.microsoft.com/office/2006/documentManagement/types"/>
    <ds:schemaRef ds:uri="http://www.w3.org/XML/1998/namespace"/>
    <ds:schemaRef ds:uri="http://schemas.microsoft.com/office/infopath/2007/PartnerControls"/>
    <ds:schemaRef ds:uri="690b2128-8961-48af-a473-22c34a9accba"/>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FC384310-5165-4CD1-972A-44FACC480274}">
  <ds:schemaRefs>
    <ds:schemaRef ds:uri="http://schemas.openxmlformats.org/officeDocument/2006/bibliography"/>
  </ds:schemaRefs>
</ds:datastoreItem>
</file>

<file path=customXml/itemProps3.xml><?xml version="1.0" encoding="utf-8"?>
<ds:datastoreItem xmlns:ds="http://schemas.openxmlformats.org/officeDocument/2006/customXml" ds:itemID="{0DA4D85D-37FD-4A82-B786-2D707BCAEE4F}">
  <ds:schemaRefs>
    <ds:schemaRef ds:uri="http://schemas.microsoft.com/sharepoint/v3/contenttype/forms"/>
  </ds:schemaRefs>
</ds:datastoreItem>
</file>

<file path=customXml/itemProps4.xml><?xml version="1.0" encoding="utf-8"?>
<ds:datastoreItem xmlns:ds="http://schemas.openxmlformats.org/officeDocument/2006/customXml" ds:itemID="{21F0E3CB-7811-405B-9D30-6CA0B1FA00BF}"/>
</file>

<file path=docProps/app.xml><?xml version="1.0" encoding="utf-8"?>
<Properties xmlns="http://schemas.openxmlformats.org/officeDocument/2006/extended-properties" xmlns:vt="http://schemas.openxmlformats.org/officeDocument/2006/docPropsVTypes">
  <Template>Normal</Template>
  <TotalTime>23</TotalTime>
  <Pages>7</Pages>
  <Words>1877</Words>
  <Characters>10704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12556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Lumbar Puncture – Nurse Assisting (Adults Only)</dc:title>
  <dc:subject>23;#Clinical Governance;#25;#Comprehensive Care;#18;#Patient Care Procedures &amp; Processes</dc:subject>
  <dc:creator>Kerryn Hunter</dc:creator>
  <cp:lastModifiedBy>Hoffmann, Cameron (Health)</cp:lastModifiedBy>
  <cp:revision>16</cp:revision>
  <cp:lastPrinted>2015-01-20T22:40:00Z</cp:lastPrinted>
  <dcterms:created xsi:type="dcterms:W3CDTF">2021-08-27T01:31:00Z</dcterms:created>
  <dcterms:modified xsi:type="dcterms:W3CDTF">2024-04-18T01:35:00Z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0x0101002046B23B19A8774893278BE755DCE152</vt:lpwstr>
  </property>
  <property fmtid="{D5CDD505-2E9C-101B-9397-08002B2CF9AE}" pid="3" name="TaxKeyword">
    <vt:lpwstr/>
  </property>
  <property fmtid="{D5CDD505-2E9C-101B-9397-08002B2CF9AE}" pid="4" name="Rank">
    <vt:lpwstr>AND</vt:lpwstr>
  </property>
  <property fmtid="{D5CDD505-2E9C-101B-9397-08002B2CF9AE}" pid="5" name="Manager Contact">
    <vt:lpwstr/>
  </property>
  <property fmtid="{D5CDD505-2E9C-101B-9397-08002B2CF9AE}" pid="6" name="Related Legislation &amp; Guidelines">
    <vt:lpwstr>416;#Human Rights Act 2004 (Territory)|bbb6fb4a-2117-4ff9-8364-021a762deae2;#415;#Health Records (Privacy and Access) Act 1997 (Territory)|d07d1347-0355-417c-badf-2bae9c7c0e3b;#417;#Work Health and Safety Act 2011 (Territory)|ff017976-c7e7-4dc1-b890-63352415bc5e;#435;#Medicines, Poisons and Therapeutic Goods Act 2008 (Territory)|e04bb8da-bc44-4cb4-a98e-c18b8e4177ac</vt:lpwstr>
  </property>
  <property fmtid="{D5CDD505-2E9C-101B-9397-08002B2CF9AE}" pid="7" name="MSIP_Label_69af8531-eb46-4968-8cb3-105d2f5ea87e_Enabled">
    <vt:lpwstr>true</vt:lpwstr>
  </property>
  <property fmtid="{D5CDD505-2E9C-101B-9397-08002B2CF9AE}" pid="8" name="MSIP_Label_69af8531-eb46-4968-8cb3-105d2f5ea87e_SetDate">
    <vt:lpwstr>2024-04-18T01:35:09Z</vt:lpwstr>
  </property>
  <property fmtid="{D5CDD505-2E9C-101B-9397-08002B2CF9AE}" pid="9" name="MSIP_Label_69af8531-eb46-4968-8cb3-105d2f5ea87e_Method">
    <vt:lpwstr>Standard</vt:lpwstr>
  </property>
  <property fmtid="{D5CDD505-2E9C-101B-9397-08002B2CF9AE}" pid="10" name="MSIP_Label_69af8531-eb46-4968-8cb3-105d2f5ea87e_Name">
    <vt:lpwstr>Official - No Marking</vt:lpwstr>
  </property>
  <property fmtid="{D5CDD505-2E9C-101B-9397-08002B2CF9AE}" pid="11" name="MSIP_Label_69af8531-eb46-4968-8cb3-105d2f5ea87e_SiteId">
    <vt:lpwstr>b46c1908-0334-4236-b978-585ee88e4199</vt:lpwstr>
  </property>
  <property fmtid="{D5CDD505-2E9C-101B-9397-08002B2CF9AE}" pid="12" name="MSIP_Label_69af8531-eb46-4968-8cb3-105d2f5ea87e_ActionId">
    <vt:lpwstr>5a416665-e476-4b61-9343-f40083086a79</vt:lpwstr>
  </property>
  <property fmtid="{D5CDD505-2E9C-101B-9397-08002B2CF9AE}" pid="13" name="MSIP_Label_69af8531-eb46-4968-8cb3-105d2f5ea87e_ContentBits">
    <vt:lpwstr>0</vt:lpwstr>
  </property>
</Properties>
</file>