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1486125A" w:rsidR="007B6904" w:rsidRPr="006A3770" w:rsidRDefault="00E439C9" w:rsidP="006A3770">
      <w:pPr>
        <w:rPr>
          <w:rFonts w:cs="Arial"/>
          <w:b/>
          <w:i/>
          <w:sz w:val="36"/>
          <w:szCs w:val="36"/>
        </w:rPr>
      </w:pPr>
      <w:r>
        <w:rPr>
          <w:rFonts w:cs="Arial"/>
          <w:b/>
          <w:sz w:val="40"/>
          <w:szCs w:val="40"/>
        </w:rPr>
        <w:t xml:space="preserve">Hyperglycaemia in </w:t>
      </w:r>
      <w:r w:rsidR="00D25934">
        <w:rPr>
          <w:rFonts w:cs="Arial"/>
          <w:b/>
          <w:sz w:val="40"/>
          <w:szCs w:val="40"/>
        </w:rPr>
        <w:t>Neonates</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39140939"/>
            <w:r w:rsidRPr="00CD1C0E">
              <w:t>Contents</w:t>
            </w:r>
            <w:bookmarkEnd w:id="5"/>
            <w:bookmarkEnd w:id="6"/>
            <w:bookmarkEnd w:id="7"/>
          </w:p>
        </w:tc>
      </w:tr>
    </w:tbl>
    <w:p w14:paraId="2F51A853" w14:textId="77777777" w:rsidR="007B6904" w:rsidRDefault="007B6904" w:rsidP="007B6904"/>
    <w:p w14:paraId="1EBD05B3" w14:textId="2D8D5AC6" w:rsidR="00072AE8" w:rsidRDefault="007B7628">
      <w:pPr>
        <w:pStyle w:val="TOC1"/>
        <w:tabs>
          <w:tab w:val="right" w:leader="dot" w:pos="9060"/>
        </w:tabs>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139140939" w:history="1">
        <w:r w:rsidR="00072AE8" w:rsidRPr="00002A88">
          <w:rPr>
            <w:rStyle w:val="Hyperlink"/>
            <w:noProof/>
          </w:rPr>
          <w:t>Contents</w:t>
        </w:r>
        <w:r w:rsidR="00072AE8">
          <w:rPr>
            <w:noProof/>
            <w:webHidden/>
          </w:rPr>
          <w:tab/>
        </w:r>
        <w:r w:rsidR="00072AE8">
          <w:rPr>
            <w:noProof/>
            <w:webHidden/>
          </w:rPr>
          <w:fldChar w:fldCharType="begin"/>
        </w:r>
        <w:r w:rsidR="00072AE8">
          <w:rPr>
            <w:noProof/>
            <w:webHidden/>
          </w:rPr>
          <w:instrText xml:space="preserve"> PAGEREF _Toc139140939 \h </w:instrText>
        </w:r>
        <w:r w:rsidR="00072AE8">
          <w:rPr>
            <w:noProof/>
            <w:webHidden/>
          </w:rPr>
        </w:r>
        <w:r w:rsidR="00072AE8">
          <w:rPr>
            <w:noProof/>
            <w:webHidden/>
          </w:rPr>
          <w:fldChar w:fldCharType="separate"/>
        </w:r>
        <w:r w:rsidR="00072AE8">
          <w:rPr>
            <w:noProof/>
            <w:webHidden/>
          </w:rPr>
          <w:t>1</w:t>
        </w:r>
        <w:r w:rsidR="00072AE8">
          <w:rPr>
            <w:noProof/>
            <w:webHidden/>
          </w:rPr>
          <w:fldChar w:fldCharType="end"/>
        </w:r>
      </w:hyperlink>
    </w:p>
    <w:p w14:paraId="54906836" w14:textId="74F53868" w:rsidR="00072AE8" w:rsidRDefault="004A6A7F">
      <w:pPr>
        <w:pStyle w:val="TOC1"/>
        <w:tabs>
          <w:tab w:val="right" w:leader="dot" w:pos="9060"/>
        </w:tabs>
        <w:rPr>
          <w:rFonts w:eastAsiaTheme="minorEastAsia" w:cstheme="minorBidi"/>
          <w:noProof/>
          <w:sz w:val="22"/>
          <w:szCs w:val="22"/>
          <w:lang w:eastAsia="en-AU"/>
        </w:rPr>
      </w:pPr>
      <w:hyperlink w:anchor="_Toc139140940" w:history="1">
        <w:r w:rsidR="00072AE8" w:rsidRPr="00002A88">
          <w:rPr>
            <w:rStyle w:val="Hyperlink"/>
            <w:noProof/>
          </w:rPr>
          <w:t>Purpose</w:t>
        </w:r>
        <w:r w:rsidR="00072AE8">
          <w:rPr>
            <w:noProof/>
            <w:webHidden/>
          </w:rPr>
          <w:tab/>
        </w:r>
        <w:r w:rsidR="00072AE8">
          <w:rPr>
            <w:noProof/>
            <w:webHidden/>
          </w:rPr>
          <w:fldChar w:fldCharType="begin"/>
        </w:r>
        <w:r w:rsidR="00072AE8">
          <w:rPr>
            <w:noProof/>
            <w:webHidden/>
          </w:rPr>
          <w:instrText xml:space="preserve"> PAGEREF _Toc139140940 \h </w:instrText>
        </w:r>
        <w:r w:rsidR="00072AE8">
          <w:rPr>
            <w:noProof/>
            <w:webHidden/>
          </w:rPr>
        </w:r>
        <w:r w:rsidR="00072AE8">
          <w:rPr>
            <w:noProof/>
            <w:webHidden/>
          </w:rPr>
          <w:fldChar w:fldCharType="separate"/>
        </w:r>
        <w:r w:rsidR="00072AE8">
          <w:rPr>
            <w:noProof/>
            <w:webHidden/>
          </w:rPr>
          <w:t>2</w:t>
        </w:r>
        <w:r w:rsidR="00072AE8">
          <w:rPr>
            <w:noProof/>
            <w:webHidden/>
          </w:rPr>
          <w:fldChar w:fldCharType="end"/>
        </w:r>
      </w:hyperlink>
    </w:p>
    <w:p w14:paraId="42FAC4B2" w14:textId="07936AF0" w:rsidR="00072AE8" w:rsidRDefault="004A6A7F">
      <w:pPr>
        <w:pStyle w:val="TOC1"/>
        <w:tabs>
          <w:tab w:val="right" w:leader="dot" w:pos="9060"/>
        </w:tabs>
        <w:rPr>
          <w:rFonts w:eastAsiaTheme="minorEastAsia" w:cstheme="minorBidi"/>
          <w:noProof/>
          <w:sz w:val="22"/>
          <w:szCs w:val="22"/>
          <w:lang w:eastAsia="en-AU"/>
        </w:rPr>
      </w:pPr>
      <w:hyperlink w:anchor="_Toc139140941" w:history="1">
        <w:r w:rsidR="00072AE8" w:rsidRPr="00002A88">
          <w:rPr>
            <w:rStyle w:val="Hyperlink"/>
            <w:noProof/>
          </w:rPr>
          <w:t>Alerts</w:t>
        </w:r>
        <w:r w:rsidR="00072AE8">
          <w:rPr>
            <w:noProof/>
            <w:webHidden/>
          </w:rPr>
          <w:tab/>
        </w:r>
        <w:r w:rsidR="00072AE8">
          <w:rPr>
            <w:noProof/>
            <w:webHidden/>
          </w:rPr>
          <w:fldChar w:fldCharType="begin"/>
        </w:r>
        <w:r w:rsidR="00072AE8">
          <w:rPr>
            <w:noProof/>
            <w:webHidden/>
          </w:rPr>
          <w:instrText xml:space="preserve"> PAGEREF _Toc139140941 \h </w:instrText>
        </w:r>
        <w:r w:rsidR="00072AE8">
          <w:rPr>
            <w:noProof/>
            <w:webHidden/>
          </w:rPr>
        </w:r>
        <w:r w:rsidR="00072AE8">
          <w:rPr>
            <w:noProof/>
            <w:webHidden/>
          </w:rPr>
          <w:fldChar w:fldCharType="separate"/>
        </w:r>
        <w:r w:rsidR="00072AE8">
          <w:rPr>
            <w:noProof/>
            <w:webHidden/>
          </w:rPr>
          <w:t>2</w:t>
        </w:r>
        <w:r w:rsidR="00072AE8">
          <w:rPr>
            <w:noProof/>
            <w:webHidden/>
          </w:rPr>
          <w:fldChar w:fldCharType="end"/>
        </w:r>
      </w:hyperlink>
    </w:p>
    <w:p w14:paraId="2958BBC7" w14:textId="4D946763" w:rsidR="00072AE8" w:rsidRDefault="004A6A7F">
      <w:pPr>
        <w:pStyle w:val="TOC1"/>
        <w:tabs>
          <w:tab w:val="right" w:leader="dot" w:pos="9060"/>
        </w:tabs>
        <w:rPr>
          <w:rFonts w:eastAsiaTheme="minorEastAsia" w:cstheme="minorBidi"/>
          <w:noProof/>
          <w:sz w:val="22"/>
          <w:szCs w:val="22"/>
          <w:lang w:eastAsia="en-AU"/>
        </w:rPr>
      </w:pPr>
      <w:hyperlink w:anchor="_Toc139140942" w:history="1">
        <w:r w:rsidR="00072AE8" w:rsidRPr="00002A88">
          <w:rPr>
            <w:rStyle w:val="Hyperlink"/>
            <w:noProof/>
          </w:rPr>
          <w:t>Scope</w:t>
        </w:r>
        <w:r w:rsidR="00072AE8">
          <w:rPr>
            <w:noProof/>
            <w:webHidden/>
          </w:rPr>
          <w:tab/>
        </w:r>
        <w:r w:rsidR="00072AE8">
          <w:rPr>
            <w:noProof/>
            <w:webHidden/>
          </w:rPr>
          <w:fldChar w:fldCharType="begin"/>
        </w:r>
        <w:r w:rsidR="00072AE8">
          <w:rPr>
            <w:noProof/>
            <w:webHidden/>
          </w:rPr>
          <w:instrText xml:space="preserve"> PAGEREF _Toc139140942 \h </w:instrText>
        </w:r>
        <w:r w:rsidR="00072AE8">
          <w:rPr>
            <w:noProof/>
            <w:webHidden/>
          </w:rPr>
        </w:r>
        <w:r w:rsidR="00072AE8">
          <w:rPr>
            <w:noProof/>
            <w:webHidden/>
          </w:rPr>
          <w:fldChar w:fldCharType="separate"/>
        </w:r>
        <w:r w:rsidR="00072AE8">
          <w:rPr>
            <w:noProof/>
            <w:webHidden/>
          </w:rPr>
          <w:t>2</w:t>
        </w:r>
        <w:r w:rsidR="00072AE8">
          <w:rPr>
            <w:noProof/>
            <w:webHidden/>
          </w:rPr>
          <w:fldChar w:fldCharType="end"/>
        </w:r>
      </w:hyperlink>
    </w:p>
    <w:p w14:paraId="4C289656" w14:textId="42564CD0" w:rsidR="00072AE8" w:rsidRDefault="004A6A7F">
      <w:pPr>
        <w:pStyle w:val="TOC1"/>
        <w:tabs>
          <w:tab w:val="right" w:leader="dot" w:pos="9060"/>
        </w:tabs>
        <w:rPr>
          <w:rFonts w:eastAsiaTheme="minorEastAsia" w:cstheme="minorBidi"/>
          <w:noProof/>
          <w:sz w:val="22"/>
          <w:szCs w:val="22"/>
          <w:lang w:eastAsia="en-AU"/>
        </w:rPr>
      </w:pPr>
      <w:hyperlink w:anchor="_Toc139140943" w:history="1">
        <w:r w:rsidR="00072AE8" w:rsidRPr="00002A88">
          <w:rPr>
            <w:rStyle w:val="Hyperlink"/>
            <w:noProof/>
          </w:rPr>
          <w:t>Section 1 – Definition and Management of Hyperglycaemia</w:t>
        </w:r>
        <w:r w:rsidR="00072AE8">
          <w:rPr>
            <w:noProof/>
            <w:webHidden/>
          </w:rPr>
          <w:tab/>
        </w:r>
        <w:r w:rsidR="00072AE8">
          <w:rPr>
            <w:noProof/>
            <w:webHidden/>
          </w:rPr>
          <w:fldChar w:fldCharType="begin"/>
        </w:r>
        <w:r w:rsidR="00072AE8">
          <w:rPr>
            <w:noProof/>
            <w:webHidden/>
          </w:rPr>
          <w:instrText xml:space="preserve"> PAGEREF _Toc139140943 \h </w:instrText>
        </w:r>
        <w:r w:rsidR="00072AE8">
          <w:rPr>
            <w:noProof/>
            <w:webHidden/>
          </w:rPr>
        </w:r>
        <w:r w:rsidR="00072AE8">
          <w:rPr>
            <w:noProof/>
            <w:webHidden/>
          </w:rPr>
          <w:fldChar w:fldCharType="separate"/>
        </w:r>
        <w:r w:rsidR="00072AE8">
          <w:rPr>
            <w:noProof/>
            <w:webHidden/>
          </w:rPr>
          <w:t>3</w:t>
        </w:r>
        <w:r w:rsidR="00072AE8">
          <w:rPr>
            <w:noProof/>
            <w:webHidden/>
          </w:rPr>
          <w:fldChar w:fldCharType="end"/>
        </w:r>
      </w:hyperlink>
    </w:p>
    <w:p w14:paraId="4C1C414D" w14:textId="7F90BBA2" w:rsidR="00072AE8" w:rsidRDefault="004A6A7F">
      <w:pPr>
        <w:pStyle w:val="TOC1"/>
        <w:tabs>
          <w:tab w:val="right" w:leader="dot" w:pos="9060"/>
        </w:tabs>
        <w:rPr>
          <w:rFonts w:eastAsiaTheme="minorEastAsia" w:cstheme="minorBidi"/>
          <w:noProof/>
          <w:sz w:val="22"/>
          <w:szCs w:val="22"/>
          <w:lang w:eastAsia="en-AU"/>
        </w:rPr>
      </w:pPr>
      <w:hyperlink w:anchor="_Toc139140944" w:history="1">
        <w:r w:rsidR="00072AE8" w:rsidRPr="00002A88">
          <w:rPr>
            <w:rStyle w:val="Hyperlink"/>
            <w:noProof/>
          </w:rPr>
          <w:t>Section 2 – Preparation of Insulin Solution</w:t>
        </w:r>
        <w:r w:rsidR="00072AE8">
          <w:rPr>
            <w:noProof/>
            <w:webHidden/>
          </w:rPr>
          <w:tab/>
        </w:r>
        <w:r w:rsidR="00072AE8">
          <w:rPr>
            <w:noProof/>
            <w:webHidden/>
          </w:rPr>
          <w:fldChar w:fldCharType="begin"/>
        </w:r>
        <w:r w:rsidR="00072AE8">
          <w:rPr>
            <w:noProof/>
            <w:webHidden/>
          </w:rPr>
          <w:instrText xml:space="preserve"> PAGEREF _Toc139140944 \h </w:instrText>
        </w:r>
        <w:r w:rsidR="00072AE8">
          <w:rPr>
            <w:noProof/>
            <w:webHidden/>
          </w:rPr>
        </w:r>
        <w:r w:rsidR="00072AE8">
          <w:rPr>
            <w:noProof/>
            <w:webHidden/>
          </w:rPr>
          <w:fldChar w:fldCharType="separate"/>
        </w:r>
        <w:r w:rsidR="00072AE8">
          <w:rPr>
            <w:noProof/>
            <w:webHidden/>
          </w:rPr>
          <w:t>4</w:t>
        </w:r>
        <w:r w:rsidR="00072AE8">
          <w:rPr>
            <w:noProof/>
            <w:webHidden/>
          </w:rPr>
          <w:fldChar w:fldCharType="end"/>
        </w:r>
      </w:hyperlink>
    </w:p>
    <w:p w14:paraId="7301FB90" w14:textId="0C1CC0A4" w:rsidR="00072AE8" w:rsidRDefault="004A6A7F">
      <w:pPr>
        <w:pStyle w:val="TOC1"/>
        <w:tabs>
          <w:tab w:val="right" w:leader="dot" w:pos="9060"/>
        </w:tabs>
        <w:rPr>
          <w:rFonts w:eastAsiaTheme="minorEastAsia" w:cstheme="minorBidi"/>
          <w:noProof/>
          <w:sz w:val="22"/>
          <w:szCs w:val="22"/>
          <w:lang w:eastAsia="en-AU"/>
        </w:rPr>
      </w:pPr>
      <w:hyperlink w:anchor="_Toc139140945" w:history="1">
        <w:r w:rsidR="00072AE8" w:rsidRPr="00002A88">
          <w:rPr>
            <w:rStyle w:val="Hyperlink"/>
            <w:noProof/>
          </w:rPr>
          <w:t>Section 3 – Administration and Doses of Insulin Solution</w:t>
        </w:r>
        <w:r w:rsidR="00072AE8">
          <w:rPr>
            <w:noProof/>
            <w:webHidden/>
          </w:rPr>
          <w:tab/>
        </w:r>
        <w:r w:rsidR="00072AE8">
          <w:rPr>
            <w:noProof/>
            <w:webHidden/>
          </w:rPr>
          <w:fldChar w:fldCharType="begin"/>
        </w:r>
        <w:r w:rsidR="00072AE8">
          <w:rPr>
            <w:noProof/>
            <w:webHidden/>
          </w:rPr>
          <w:instrText xml:space="preserve"> PAGEREF _Toc139140945 \h </w:instrText>
        </w:r>
        <w:r w:rsidR="00072AE8">
          <w:rPr>
            <w:noProof/>
            <w:webHidden/>
          </w:rPr>
        </w:r>
        <w:r w:rsidR="00072AE8">
          <w:rPr>
            <w:noProof/>
            <w:webHidden/>
          </w:rPr>
          <w:fldChar w:fldCharType="separate"/>
        </w:r>
        <w:r w:rsidR="00072AE8">
          <w:rPr>
            <w:noProof/>
            <w:webHidden/>
          </w:rPr>
          <w:t>5</w:t>
        </w:r>
        <w:r w:rsidR="00072AE8">
          <w:rPr>
            <w:noProof/>
            <w:webHidden/>
          </w:rPr>
          <w:fldChar w:fldCharType="end"/>
        </w:r>
      </w:hyperlink>
    </w:p>
    <w:p w14:paraId="2E1CC64A" w14:textId="76E6AA7B" w:rsidR="00072AE8" w:rsidRDefault="004A6A7F">
      <w:pPr>
        <w:pStyle w:val="TOC1"/>
        <w:tabs>
          <w:tab w:val="right" w:leader="dot" w:pos="9060"/>
        </w:tabs>
        <w:rPr>
          <w:rFonts w:eastAsiaTheme="minorEastAsia" w:cstheme="minorBidi"/>
          <w:noProof/>
          <w:sz w:val="22"/>
          <w:szCs w:val="22"/>
          <w:lang w:eastAsia="en-AU"/>
        </w:rPr>
      </w:pPr>
      <w:hyperlink w:anchor="_Toc139140946" w:history="1">
        <w:r w:rsidR="00072AE8" w:rsidRPr="00002A88">
          <w:rPr>
            <w:rStyle w:val="Hyperlink"/>
            <w:noProof/>
          </w:rPr>
          <w:t>Section 4 – Contraindications, Precautions and Drug Interactions</w:t>
        </w:r>
        <w:r w:rsidR="00072AE8">
          <w:rPr>
            <w:noProof/>
            <w:webHidden/>
          </w:rPr>
          <w:tab/>
        </w:r>
        <w:r w:rsidR="00072AE8">
          <w:rPr>
            <w:noProof/>
            <w:webHidden/>
          </w:rPr>
          <w:fldChar w:fldCharType="begin"/>
        </w:r>
        <w:r w:rsidR="00072AE8">
          <w:rPr>
            <w:noProof/>
            <w:webHidden/>
          </w:rPr>
          <w:instrText xml:space="preserve"> PAGEREF _Toc139140946 \h </w:instrText>
        </w:r>
        <w:r w:rsidR="00072AE8">
          <w:rPr>
            <w:noProof/>
            <w:webHidden/>
          </w:rPr>
        </w:r>
        <w:r w:rsidR="00072AE8">
          <w:rPr>
            <w:noProof/>
            <w:webHidden/>
          </w:rPr>
          <w:fldChar w:fldCharType="separate"/>
        </w:r>
        <w:r w:rsidR="00072AE8">
          <w:rPr>
            <w:noProof/>
            <w:webHidden/>
          </w:rPr>
          <w:t>6</w:t>
        </w:r>
        <w:r w:rsidR="00072AE8">
          <w:rPr>
            <w:noProof/>
            <w:webHidden/>
          </w:rPr>
          <w:fldChar w:fldCharType="end"/>
        </w:r>
      </w:hyperlink>
    </w:p>
    <w:p w14:paraId="20EFCBD8" w14:textId="1476ECFA" w:rsidR="00072AE8" w:rsidRDefault="004A6A7F">
      <w:pPr>
        <w:pStyle w:val="TOC1"/>
        <w:tabs>
          <w:tab w:val="right" w:leader="dot" w:pos="9060"/>
        </w:tabs>
        <w:rPr>
          <w:rFonts w:eastAsiaTheme="minorEastAsia" w:cstheme="minorBidi"/>
          <w:noProof/>
          <w:sz w:val="22"/>
          <w:szCs w:val="22"/>
          <w:lang w:eastAsia="en-AU"/>
        </w:rPr>
      </w:pPr>
      <w:hyperlink w:anchor="_Toc139140947" w:history="1">
        <w:r w:rsidR="00072AE8" w:rsidRPr="00002A88">
          <w:rPr>
            <w:rStyle w:val="Hyperlink"/>
            <w:noProof/>
          </w:rPr>
          <w:t>Evaluation</w:t>
        </w:r>
        <w:r w:rsidR="00072AE8">
          <w:rPr>
            <w:noProof/>
            <w:webHidden/>
          </w:rPr>
          <w:tab/>
        </w:r>
        <w:r w:rsidR="00072AE8">
          <w:rPr>
            <w:noProof/>
            <w:webHidden/>
          </w:rPr>
          <w:fldChar w:fldCharType="begin"/>
        </w:r>
        <w:r w:rsidR="00072AE8">
          <w:rPr>
            <w:noProof/>
            <w:webHidden/>
          </w:rPr>
          <w:instrText xml:space="preserve"> PAGEREF _Toc139140947 \h </w:instrText>
        </w:r>
        <w:r w:rsidR="00072AE8">
          <w:rPr>
            <w:noProof/>
            <w:webHidden/>
          </w:rPr>
        </w:r>
        <w:r w:rsidR="00072AE8">
          <w:rPr>
            <w:noProof/>
            <w:webHidden/>
          </w:rPr>
          <w:fldChar w:fldCharType="separate"/>
        </w:r>
        <w:r w:rsidR="00072AE8">
          <w:rPr>
            <w:noProof/>
            <w:webHidden/>
          </w:rPr>
          <w:t>7</w:t>
        </w:r>
        <w:r w:rsidR="00072AE8">
          <w:rPr>
            <w:noProof/>
            <w:webHidden/>
          </w:rPr>
          <w:fldChar w:fldCharType="end"/>
        </w:r>
      </w:hyperlink>
    </w:p>
    <w:p w14:paraId="2A6BD178" w14:textId="55E50883" w:rsidR="00072AE8" w:rsidRDefault="004A6A7F">
      <w:pPr>
        <w:pStyle w:val="TOC1"/>
        <w:tabs>
          <w:tab w:val="right" w:leader="dot" w:pos="9060"/>
        </w:tabs>
        <w:rPr>
          <w:rFonts w:eastAsiaTheme="minorEastAsia" w:cstheme="minorBidi"/>
          <w:noProof/>
          <w:sz w:val="22"/>
          <w:szCs w:val="22"/>
          <w:lang w:eastAsia="en-AU"/>
        </w:rPr>
      </w:pPr>
      <w:hyperlink w:anchor="_Toc139140948" w:history="1">
        <w:r w:rsidR="00072AE8" w:rsidRPr="00002A88">
          <w:rPr>
            <w:rStyle w:val="Hyperlink"/>
            <w:noProof/>
          </w:rPr>
          <w:t>Related Policies, Procedures, Guidelines and Legislation</w:t>
        </w:r>
        <w:r w:rsidR="00072AE8">
          <w:rPr>
            <w:noProof/>
            <w:webHidden/>
          </w:rPr>
          <w:tab/>
        </w:r>
        <w:r w:rsidR="00072AE8">
          <w:rPr>
            <w:noProof/>
            <w:webHidden/>
          </w:rPr>
          <w:fldChar w:fldCharType="begin"/>
        </w:r>
        <w:r w:rsidR="00072AE8">
          <w:rPr>
            <w:noProof/>
            <w:webHidden/>
          </w:rPr>
          <w:instrText xml:space="preserve"> PAGEREF _Toc139140948 \h </w:instrText>
        </w:r>
        <w:r w:rsidR="00072AE8">
          <w:rPr>
            <w:noProof/>
            <w:webHidden/>
          </w:rPr>
        </w:r>
        <w:r w:rsidR="00072AE8">
          <w:rPr>
            <w:noProof/>
            <w:webHidden/>
          </w:rPr>
          <w:fldChar w:fldCharType="separate"/>
        </w:r>
        <w:r w:rsidR="00072AE8">
          <w:rPr>
            <w:noProof/>
            <w:webHidden/>
          </w:rPr>
          <w:t>8</w:t>
        </w:r>
        <w:r w:rsidR="00072AE8">
          <w:rPr>
            <w:noProof/>
            <w:webHidden/>
          </w:rPr>
          <w:fldChar w:fldCharType="end"/>
        </w:r>
      </w:hyperlink>
    </w:p>
    <w:p w14:paraId="054FC4AF" w14:textId="11B1450D" w:rsidR="00072AE8" w:rsidRDefault="004A6A7F">
      <w:pPr>
        <w:pStyle w:val="TOC1"/>
        <w:tabs>
          <w:tab w:val="right" w:leader="dot" w:pos="9060"/>
        </w:tabs>
        <w:rPr>
          <w:rFonts w:eastAsiaTheme="minorEastAsia" w:cstheme="minorBidi"/>
          <w:noProof/>
          <w:sz w:val="22"/>
          <w:szCs w:val="22"/>
          <w:lang w:eastAsia="en-AU"/>
        </w:rPr>
      </w:pPr>
      <w:hyperlink w:anchor="_Toc139140949" w:history="1">
        <w:r w:rsidR="00072AE8" w:rsidRPr="00002A88">
          <w:rPr>
            <w:rStyle w:val="Hyperlink"/>
            <w:noProof/>
          </w:rPr>
          <w:t>References</w:t>
        </w:r>
        <w:r w:rsidR="00072AE8">
          <w:rPr>
            <w:noProof/>
            <w:webHidden/>
          </w:rPr>
          <w:tab/>
        </w:r>
        <w:r w:rsidR="00072AE8">
          <w:rPr>
            <w:noProof/>
            <w:webHidden/>
          </w:rPr>
          <w:fldChar w:fldCharType="begin"/>
        </w:r>
        <w:r w:rsidR="00072AE8">
          <w:rPr>
            <w:noProof/>
            <w:webHidden/>
          </w:rPr>
          <w:instrText xml:space="preserve"> PAGEREF _Toc139140949 \h </w:instrText>
        </w:r>
        <w:r w:rsidR="00072AE8">
          <w:rPr>
            <w:noProof/>
            <w:webHidden/>
          </w:rPr>
        </w:r>
        <w:r w:rsidR="00072AE8">
          <w:rPr>
            <w:noProof/>
            <w:webHidden/>
          </w:rPr>
          <w:fldChar w:fldCharType="separate"/>
        </w:r>
        <w:r w:rsidR="00072AE8">
          <w:rPr>
            <w:noProof/>
            <w:webHidden/>
          </w:rPr>
          <w:t>8</w:t>
        </w:r>
        <w:r w:rsidR="00072AE8">
          <w:rPr>
            <w:noProof/>
            <w:webHidden/>
          </w:rPr>
          <w:fldChar w:fldCharType="end"/>
        </w:r>
      </w:hyperlink>
    </w:p>
    <w:p w14:paraId="60392A1D" w14:textId="4C5C91DC" w:rsidR="00072AE8" w:rsidRDefault="004A6A7F">
      <w:pPr>
        <w:pStyle w:val="TOC1"/>
        <w:tabs>
          <w:tab w:val="right" w:leader="dot" w:pos="9060"/>
        </w:tabs>
        <w:rPr>
          <w:rFonts w:eastAsiaTheme="minorEastAsia" w:cstheme="minorBidi"/>
          <w:noProof/>
          <w:sz w:val="22"/>
          <w:szCs w:val="22"/>
          <w:lang w:eastAsia="en-AU"/>
        </w:rPr>
      </w:pPr>
      <w:hyperlink w:anchor="_Toc139140950" w:history="1">
        <w:r w:rsidR="00072AE8" w:rsidRPr="00002A88">
          <w:rPr>
            <w:rStyle w:val="Hyperlink"/>
            <w:noProof/>
          </w:rPr>
          <w:t>Definition of Terms</w:t>
        </w:r>
        <w:r w:rsidR="00072AE8">
          <w:rPr>
            <w:noProof/>
            <w:webHidden/>
          </w:rPr>
          <w:tab/>
        </w:r>
        <w:r w:rsidR="00072AE8">
          <w:rPr>
            <w:noProof/>
            <w:webHidden/>
          </w:rPr>
          <w:fldChar w:fldCharType="begin"/>
        </w:r>
        <w:r w:rsidR="00072AE8">
          <w:rPr>
            <w:noProof/>
            <w:webHidden/>
          </w:rPr>
          <w:instrText xml:space="preserve"> PAGEREF _Toc139140950 \h </w:instrText>
        </w:r>
        <w:r w:rsidR="00072AE8">
          <w:rPr>
            <w:noProof/>
            <w:webHidden/>
          </w:rPr>
        </w:r>
        <w:r w:rsidR="00072AE8">
          <w:rPr>
            <w:noProof/>
            <w:webHidden/>
          </w:rPr>
          <w:fldChar w:fldCharType="separate"/>
        </w:r>
        <w:r w:rsidR="00072AE8">
          <w:rPr>
            <w:noProof/>
            <w:webHidden/>
          </w:rPr>
          <w:t>9</w:t>
        </w:r>
        <w:r w:rsidR="00072AE8">
          <w:rPr>
            <w:noProof/>
            <w:webHidden/>
          </w:rPr>
          <w:fldChar w:fldCharType="end"/>
        </w:r>
      </w:hyperlink>
    </w:p>
    <w:p w14:paraId="0C1191C0" w14:textId="4F53C8A0" w:rsidR="00072AE8" w:rsidRDefault="004A6A7F">
      <w:pPr>
        <w:pStyle w:val="TOC1"/>
        <w:tabs>
          <w:tab w:val="right" w:leader="dot" w:pos="9060"/>
        </w:tabs>
        <w:rPr>
          <w:rFonts w:eastAsiaTheme="minorEastAsia" w:cstheme="minorBidi"/>
          <w:noProof/>
          <w:sz w:val="22"/>
          <w:szCs w:val="22"/>
          <w:lang w:eastAsia="en-AU"/>
        </w:rPr>
      </w:pPr>
      <w:hyperlink w:anchor="_Toc139140951" w:history="1">
        <w:r w:rsidR="00072AE8" w:rsidRPr="00002A88">
          <w:rPr>
            <w:rStyle w:val="Hyperlink"/>
            <w:noProof/>
          </w:rPr>
          <w:t>Search Terms</w:t>
        </w:r>
        <w:r w:rsidR="00072AE8">
          <w:rPr>
            <w:noProof/>
            <w:webHidden/>
          </w:rPr>
          <w:tab/>
        </w:r>
        <w:r w:rsidR="00072AE8">
          <w:rPr>
            <w:noProof/>
            <w:webHidden/>
          </w:rPr>
          <w:fldChar w:fldCharType="begin"/>
        </w:r>
        <w:r w:rsidR="00072AE8">
          <w:rPr>
            <w:noProof/>
            <w:webHidden/>
          </w:rPr>
          <w:instrText xml:space="preserve"> PAGEREF _Toc139140951 \h </w:instrText>
        </w:r>
        <w:r w:rsidR="00072AE8">
          <w:rPr>
            <w:noProof/>
            <w:webHidden/>
          </w:rPr>
        </w:r>
        <w:r w:rsidR="00072AE8">
          <w:rPr>
            <w:noProof/>
            <w:webHidden/>
          </w:rPr>
          <w:fldChar w:fldCharType="separate"/>
        </w:r>
        <w:r w:rsidR="00072AE8">
          <w:rPr>
            <w:noProof/>
            <w:webHidden/>
          </w:rPr>
          <w:t>9</w:t>
        </w:r>
        <w:r w:rsidR="00072AE8">
          <w:rPr>
            <w:noProof/>
            <w:webHidden/>
          </w:rPr>
          <w:fldChar w:fldCharType="end"/>
        </w:r>
      </w:hyperlink>
    </w:p>
    <w:p w14:paraId="191125DB" w14:textId="375A0BF6" w:rsidR="00072AE8" w:rsidRDefault="004A6A7F">
      <w:pPr>
        <w:pStyle w:val="TOC1"/>
        <w:tabs>
          <w:tab w:val="right" w:leader="dot" w:pos="9060"/>
        </w:tabs>
        <w:rPr>
          <w:rFonts w:eastAsiaTheme="minorEastAsia" w:cstheme="minorBidi"/>
          <w:noProof/>
          <w:sz w:val="22"/>
          <w:szCs w:val="22"/>
          <w:lang w:eastAsia="en-AU"/>
        </w:rPr>
      </w:pPr>
      <w:hyperlink w:anchor="_Toc139140952" w:history="1">
        <w:r w:rsidR="00072AE8" w:rsidRPr="00002A88">
          <w:rPr>
            <w:rStyle w:val="Hyperlink"/>
            <w:noProof/>
          </w:rPr>
          <w:t>Attachments</w:t>
        </w:r>
        <w:r w:rsidR="00072AE8">
          <w:rPr>
            <w:noProof/>
            <w:webHidden/>
          </w:rPr>
          <w:tab/>
        </w:r>
        <w:r w:rsidR="00072AE8">
          <w:rPr>
            <w:noProof/>
            <w:webHidden/>
          </w:rPr>
          <w:fldChar w:fldCharType="begin"/>
        </w:r>
        <w:r w:rsidR="00072AE8">
          <w:rPr>
            <w:noProof/>
            <w:webHidden/>
          </w:rPr>
          <w:instrText xml:space="preserve"> PAGEREF _Toc139140952 \h </w:instrText>
        </w:r>
        <w:r w:rsidR="00072AE8">
          <w:rPr>
            <w:noProof/>
            <w:webHidden/>
          </w:rPr>
        </w:r>
        <w:r w:rsidR="00072AE8">
          <w:rPr>
            <w:noProof/>
            <w:webHidden/>
          </w:rPr>
          <w:fldChar w:fldCharType="separate"/>
        </w:r>
        <w:r w:rsidR="00072AE8">
          <w:rPr>
            <w:noProof/>
            <w:webHidden/>
          </w:rPr>
          <w:t>9</w:t>
        </w:r>
        <w:r w:rsidR="00072AE8">
          <w:rPr>
            <w:noProof/>
            <w:webHidden/>
          </w:rPr>
          <w:fldChar w:fldCharType="end"/>
        </w:r>
      </w:hyperlink>
    </w:p>
    <w:p w14:paraId="2F51A861" w14:textId="41E5F164"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39140940"/>
            <w:r w:rsidRPr="00CD1C0E">
              <w:t>Purpose</w:t>
            </w:r>
            <w:bookmarkEnd w:id="8"/>
            <w:bookmarkEnd w:id="9"/>
          </w:p>
        </w:tc>
      </w:tr>
    </w:tbl>
    <w:p w14:paraId="2F51A866" w14:textId="77777777" w:rsidR="00931B93" w:rsidRDefault="00931B93" w:rsidP="00931B93">
      <w:pPr>
        <w:rPr>
          <w:rFonts w:cs="Arial"/>
          <w:i/>
          <w:szCs w:val="24"/>
        </w:rPr>
      </w:pPr>
    </w:p>
    <w:p w14:paraId="060E3268" w14:textId="3968D87C" w:rsidR="00E439C9" w:rsidRPr="00931A8B" w:rsidRDefault="00E439C9" w:rsidP="00DA07A0">
      <w:pPr>
        <w:rPr>
          <w:rFonts w:cs="Calibri"/>
          <w:color w:val="000000"/>
          <w:szCs w:val="24"/>
          <w:lang w:eastAsia="en-AU"/>
        </w:rPr>
      </w:pPr>
      <w:r w:rsidRPr="008459EA">
        <w:rPr>
          <w:rFonts w:cs="Arial"/>
          <w:szCs w:val="24"/>
        </w:rPr>
        <w:t>T</w:t>
      </w:r>
      <w:r w:rsidRPr="00931A8B">
        <w:rPr>
          <w:rFonts w:cs="Calibri"/>
          <w:color w:val="000000"/>
          <w:szCs w:val="24"/>
        </w:rPr>
        <w:t xml:space="preserve">his </w:t>
      </w:r>
      <w:r w:rsidR="001566B3">
        <w:rPr>
          <w:rFonts w:cs="Calibri"/>
          <w:color w:val="000000"/>
          <w:szCs w:val="24"/>
        </w:rPr>
        <w:t>procedure</w:t>
      </w:r>
      <w:r w:rsidR="001566B3" w:rsidRPr="00931A8B">
        <w:rPr>
          <w:rFonts w:cs="Calibri"/>
          <w:color w:val="000000"/>
          <w:szCs w:val="24"/>
        </w:rPr>
        <w:t xml:space="preserve"> </w:t>
      </w:r>
      <w:r w:rsidRPr="00931A8B">
        <w:rPr>
          <w:rFonts w:cs="Calibri"/>
          <w:color w:val="000000"/>
          <w:szCs w:val="24"/>
        </w:rPr>
        <w:t>provides a framework for the management of hyperglycaemia in</w:t>
      </w:r>
      <w:r w:rsidR="00D25934">
        <w:rPr>
          <w:rFonts w:cs="Calibri"/>
          <w:color w:val="000000"/>
          <w:szCs w:val="24"/>
        </w:rPr>
        <w:t xml:space="preserve"> neonates (from birth to 44 weeks of corrected gestational age),</w:t>
      </w:r>
      <w:r w:rsidRPr="00931A8B">
        <w:rPr>
          <w:rFonts w:cs="Calibri"/>
          <w:color w:val="000000"/>
          <w:szCs w:val="24"/>
        </w:rPr>
        <w:t xml:space="preserve"> including initiating and maintenance of insulin infusion and monitoring of blood glucose level</w:t>
      </w:r>
      <w:r w:rsidR="0010367D">
        <w:rPr>
          <w:rFonts w:cs="Calibri"/>
          <w:color w:val="000000"/>
          <w:szCs w:val="24"/>
        </w:rPr>
        <w:t>s</w:t>
      </w:r>
      <w:r w:rsidRPr="00931A8B">
        <w:rPr>
          <w:rFonts w:cs="Calibri"/>
          <w:color w:val="000000"/>
          <w:szCs w:val="24"/>
          <w:lang w:eastAsia="en-AU"/>
        </w:rPr>
        <w:t>.</w:t>
      </w:r>
    </w:p>
    <w:p w14:paraId="69B07727" w14:textId="77777777" w:rsidR="00E439C9" w:rsidRPr="00931A8B" w:rsidRDefault="00E439C9" w:rsidP="00DA07A0">
      <w:pPr>
        <w:rPr>
          <w:rFonts w:cs="Calibri"/>
          <w:color w:val="000000"/>
          <w:szCs w:val="24"/>
        </w:rPr>
      </w:pPr>
    </w:p>
    <w:p w14:paraId="31D7F5ED" w14:textId="77777777" w:rsidR="00E439C9" w:rsidRPr="00931A8B" w:rsidRDefault="00E439C9" w:rsidP="00DA07A0">
      <w:pPr>
        <w:pStyle w:val="Heading2"/>
        <w:rPr>
          <w:szCs w:val="24"/>
        </w:rPr>
      </w:pPr>
      <w:r w:rsidRPr="00931A8B">
        <w:rPr>
          <w:szCs w:val="24"/>
        </w:rPr>
        <w:t>Background</w:t>
      </w:r>
    </w:p>
    <w:p w14:paraId="1AB8C800" w14:textId="77777777" w:rsidR="00E86020" w:rsidRDefault="00E439C9" w:rsidP="00DA07A0">
      <w:pPr>
        <w:pStyle w:val="ListBullet"/>
      </w:pPr>
      <w:r w:rsidRPr="00E8552B">
        <w:t xml:space="preserve">There is </w:t>
      </w:r>
      <w:r w:rsidRPr="00DA07A0">
        <w:t>continued uncertainty a</w:t>
      </w:r>
      <w:r w:rsidR="00561C5D" w:rsidRPr="00DA07A0">
        <w:t>bout</w:t>
      </w:r>
      <w:r w:rsidRPr="00DA07A0">
        <w:t xml:space="preserve"> what constitutes a level of hyperglycaemia that is likely to result in an adverse outcome and thus justifies specific intervention. </w:t>
      </w:r>
    </w:p>
    <w:p w14:paraId="45024802" w14:textId="6B5FC33B" w:rsidR="00E439C9" w:rsidRPr="00DA07A0" w:rsidRDefault="00241F9B" w:rsidP="00DA07A0">
      <w:pPr>
        <w:pStyle w:val="ListBullet"/>
      </w:pPr>
      <w:r>
        <w:t>For this procedure</w:t>
      </w:r>
      <w:r w:rsidR="0010367D">
        <w:t xml:space="preserve">, Blood Glucose Level (BGL) definitions include: </w:t>
      </w:r>
    </w:p>
    <w:p w14:paraId="535073B6" w14:textId="59BEA74A" w:rsidR="00847328" w:rsidRPr="00DA07A0" w:rsidRDefault="00847328" w:rsidP="00E86020">
      <w:pPr>
        <w:pStyle w:val="ListBullet"/>
        <w:ind w:left="852"/>
      </w:pPr>
      <w:r w:rsidRPr="00DA07A0">
        <w:t>Normal</w:t>
      </w:r>
      <w:r w:rsidR="0010367D">
        <w:t xml:space="preserve">: </w:t>
      </w:r>
      <w:r w:rsidR="0076686C">
        <w:t xml:space="preserve">BGL </w:t>
      </w:r>
      <w:r w:rsidRPr="00DA07A0">
        <w:t>2.6</w:t>
      </w:r>
      <w:r w:rsidR="0010367D">
        <w:t xml:space="preserve"> - </w:t>
      </w:r>
      <w:r w:rsidRPr="00DA07A0">
        <w:t xml:space="preserve">4.4mmol/L </w:t>
      </w:r>
    </w:p>
    <w:p w14:paraId="5073EE00" w14:textId="56E4FFC3" w:rsidR="00847328" w:rsidRPr="00DA07A0" w:rsidRDefault="00847328" w:rsidP="00E86020">
      <w:pPr>
        <w:pStyle w:val="ListBullet"/>
        <w:ind w:left="852"/>
      </w:pPr>
      <w:r w:rsidRPr="00DA07A0">
        <w:t>Hyperglycaemia</w:t>
      </w:r>
      <w:r w:rsidR="0010367D">
        <w:t xml:space="preserve">: </w:t>
      </w:r>
      <w:r w:rsidR="0076686C">
        <w:t xml:space="preserve">BGL </w:t>
      </w:r>
      <w:r w:rsidRPr="00DA07A0">
        <w:t>&gt;8.3mmol/L</w:t>
      </w:r>
    </w:p>
    <w:p w14:paraId="20C8D2EC" w14:textId="733F3EC1" w:rsidR="00847328" w:rsidRPr="00DA07A0" w:rsidRDefault="00847328" w:rsidP="00E86020">
      <w:pPr>
        <w:pStyle w:val="ListBullet"/>
        <w:ind w:left="852"/>
      </w:pPr>
      <w:r w:rsidRPr="00DA07A0">
        <w:t>Significant hyperglycaemia</w:t>
      </w:r>
      <w:r w:rsidR="0010367D">
        <w:t xml:space="preserve">: </w:t>
      </w:r>
      <w:r w:rsidR="0076686C">
        <w:t xml:space="preserve">BGL </w:t>
      </w:r>
      <w:r w:rsidRPr="00DA07A0">
        <w:t xml:space="preserve">&gt;12mmol/L </w:t>
      </w:r>
    </w:p>
    <w:p w14:paraId="03915670" w14:textId="10605DC8" w:rsidR="00E439C9" w:rsidRPr="00E8552B" w:rsidRDefault="00E439C9" w:rsidP="00DA07A0">
      <w:pPr>
        <w:pStyle w:val="ListBullet"/>
      </w:pPr>
      <w:r w:rsidRPr="00DA07A0">
        <w:t xml:space="preserve">Treatment </w:t>
      </w:r>
      <w:r w:rsidR="008E32BE" w:rsidRPr="00DA07A0">
        <w:t>with insulin</w:t>
      </w:r>
      <w:r w:rsidR="008E32BE">
        <w:t xml:space="preserve"> infusion </w:t>
      </w:r>
      <w:r w:rsidRPr="00E8552B">
        <w:t xml:space="preserve">is suggested when </w:t>
      </w:r>
      <w:r w:rsidR="0076686C">
        <w:rPr>
          <w:rFonts w:cs="Calibri"/>
          <w:color w:val="000000"/>
          <w:szCs w:val="24"/>
        </w:rPr>
        <w:t xml:space="preserve">BGL </w:t>
      </w:r>
      <w:r w:rsidR="0010367D">
        <w:rPr>
          <w:rFonts w:cs="Calibri"/>
          <w:color w:val="000000"/>
          <w:szCs w:val="24"/>
          <w:lang w:eastAsia="en-AU"/>
        </w:rPr>
        <w:t xml:space="preserve">is </w:t>
      </w:r>
      <w:r w:rsidRPr="00AD79A9">
        <w:t>&gt; 12mmol/L,</w:t>
      </w:r>
      <w:r w:rsidRPr="00E8552B">
        <w:t xml:space="preserve"> and there is significant spilling of glucose in the urine</w:t>
      </w:r>
      <w:r w:rsidR="008E32BE">
        <w:t xml:space="preserve"> (glucosuria </w:t>
      </w:r>
      <w:r w:rsidR="008E32BE">
        <w:rPr>
          <w:rFonts w:cs="Calibri"/>
        </w:rPr>
        <w:t xml:space="preserve">≥ </w:t>
      </w:r>
      <w:r w:rsidR="008E32BE">
        <w:t>2+)</w:t>
      </w:r>
      <w:r w:rsidRPr="00E8552B">
        <w:t>.</w:t>
      </w:r>
    </w:p>
    <w:p w14:paraId="2F51A86F" w14:textId="77777777" w:rsidR="007B6904" w:rsidRDefault="007B6904" w:rsidP="00F2519E">
      <w:pPr>
        <w:jc w:val="both"/>
        <w:rPr>
          <w:rFonts w:cs="Arial"/>
          <w:szCs w:val="24"/>
        </w:rPr>
      </w:pPr>
    </w:p>
    <w:p w14:paraId="2F51A870" w14:textId="77777777" w:rsidR="009E70F4" w:rsidRPr="00CD1C0E" w:rsidRDefault="004A6A7F" w:rsidP="009E70F4">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F1354A">
        <w:trPr>
          <w:cantSplit/>
          <w:trHeight w:val="285"/>
        </w:trPr>
        <w:tc>
          <w:tcPr>
            <w:tcW w:w="9158" w:type="dxa"/>
            <w:shd w:val="clear" w:color="auto" w:fill="A6A6A6" w:themeFill="background1" w:themeFillShade="A6"/>
          </w:tcPr>
          <w:p w14:paraId="2F51A871" w14:textId="37B3B6D5" w:rsidR="0074223E" w:rsidRPr="00CD1C0E" w:rsidRDefault="0074223E" w:rsidP="00F1354A">
            <w:pPr>
              <w:pStyle w:val="Heading1"/>
            </w:pPr>
            <w:bookmarkStart w:id="10" w:name="_Toc389473276"/>
            <w:bookmarkStart w:id="11" w:name="_Toc139140941"/>
            <w:r>
              <w:t>Alerts</w:t>
            </w:r>
            <w:bookmarkEnd w:id="10"/>
            <w:bookmarkEnd w:id="11"/>
            <w:r w:rsidR="00AB50DD">
              <w:t xml:space="preserve"> </w:t>
            </w:r>
          </w:p>
        </w:tc>
      </w:tr>
    </w:tbl>
    <w:p w14:paraId="2F51A873" w14:textId="77777777" w:rsidR="007B6904" w:rsidRDefault="007B6904" w:rsidP="007B6904">
      <w:pPr>
        <w:rPr>
          <w:rFonts w:cs="Arial"/>
          <w:b/>
          <w:szCs w:val="24"/>
        </w:rPr>
      </w:pPr>
    </w:p>
    <w:p w14:paraId="102FBFC0" w14:textId="21DF70A7" w:rsidR="00847328" w:rsidRPr="00847328" w:rsidRDefault="00847328" w:rsidP="00DA07A0">
      <w:pPr>
        <w:pStyle w:val="ListBullet"/>
      </w:pPr>
      <w:r w:rsidRPr="00847328">
        <w:t>Different brands of insulin are not bioequivalent. Do not substitute between brands</w:t>
      </w:r>
      <w:r>
        <w:t>.</w:t>
      </w:r>
    </w:p>
    <w:p w14:paraId="12DBE91E" w14:textId="1517AE68" w:rsidR="00847328" w:rsidRPr="00847328" w:rsidRDefault="00847328" w:rsidP="00DA07A0">
      <w:pPr>
        <w:pStyle w:val="ListBullet"/>
      </w:pPr>
      <w:proofErr w:type="spellStart"/>
      <w:r w:rsidRPr="00847328">
        <w:t>Actrapid</w:t>
      </w:r>
      <w:proofErr w:type="spellEnd"/>
      <w:r w:rsidRPr="00847328">
        <w:t xml:space="preserve"> is the </w:t>
      </w:r>
      <w:r w:rsidR="00DA07A0">
        <w:t>Australasian Neonatal Medicines Formulary (</w:t>
      </w:r>
      <w:r w:rsidRPr="00847328">
        <w:t>ANMF</w:t>
      </w:r>
      <w:r w:rsidR="00DA07A0">
        <w:t>)</w:t>
      </w:r>
      <w:r w:rsidRPr="00847328">
        <w:t xml:space="preserve"> group’s recommended short-acting insulin for </w:t>
      </w:r>
      <w:r w:rsidR="00DA07A0">
        <w:t>intravenous (</w:t>
      </w:r>
      <w:r w:rsidRPr="00847328">
        <w:t>IV</w:t>
      </w:r>
      <w:r w:rsidR="00DA07A0">
        <w:t>)</w:t>
      </w:r>
      <w:r w:rsidRPr="00847328">
        <w:t xml:space="preserve"> infusion in </w:t>
      </w:r>
      <w:r w:rsidR="00165E3B">
        <w:t>neonates.</w:t>
      </w:r>
    </w:p>
    <w:p w14:paraId="7EA06D9A" w14:textId="4A338F3E" w:rsidR="00847328" w:rsidRPr="00847328" w:rsidRDefault="00847328" w:rsidP="00DA07A0">
      <w:pPr>
        <w:pStyle w:val="ListBullet"/>
      </w:pPr>
      <w:r>
        <w:t xml:space="preserve">Treatment </w:t>
      </w:r>
      <w:r w:rsidR="00994B4D">
        <w:t xml:space="preserve">of hyperglycaemia </w:t>
      </w:r>
      <w:r>
        <w:t xml:space="preserve">with </w:t>
      </w:r>
      <w:r w:rsidR="00DA07A0">
        <w:t>i</w:t>
      </w:r>
      <w:r>
        <w:t xml:space="preserve">nsulin </w:t>
      </w:r>
      <w:r w:rsidR="00DA07A0">
        <w:t xml:space="preserve">has </w:t>
      </w:r>
      <w:r>
        <w:t>a h</w:t>
      </w:r>
      <w:r w:rsidRPr="00847328">
        <w:t>igh risk of hypoglycaemia.</w:t>
      </w:r>
    </w:p>
    <w:p w14:paraId="6B99BB9B" w14:textId="47296703" w:rsidR="00847328" w:rsidRPr="00847328" w:rsidRDefault="00847328" w:rsidP="00DA07A0">
      <w:pPr>
        <w:pStyle w:val="ListBullet"/>
      </w:pPr>
      <w:r w:rsidRPr="00847328">
        <w:t xml:space="preserve">Insulin binds to the plastic of giving sets. </w:t>
      </w:r>
      <w:r>
        <w:t xml:space="preserve">It is recommended to flush </w:t>
      </w:r>
      <w:r w:rsidRPr="00847328">
        <w:t>the</w:t>
      </w:r>
      <w:r w:rsidR="00D466CC">
        <w:t xml:space="preserve"> giving set</w:t>
      </w:r>
      <w:r w:rsidRPr="00847328">
        <w:t xml:space="preserve"> with 20 mL of prepared insulin solution into a receptacle prior to connecting</w:t>
      </w:r>
      <w:r w:rsidR="008A2B86">
        <w:t xml:space="preserve"> the infusion</w:t>
      </w:r>
      <w:r w:rsidRPr="00847328">
        <w:t xml:space="preserve"> to the</w:t>
      </w:r>
      <w:r w:rsidR="00165E3B">
        <w:t xml:space="preserve"> neonate. </w:t>
      </w:r>
      <w:r w:rsidRPr="00847328">
        <w:t xml:space="preserve">This </w:t>
      </w:r>
      <w:r>
        <w:t>helps saturat</w:t>
      </w:r>
      <w:r w:rsidR="00BE2451">
        <w:t>e</w:t>
      </w:r>
      <w:r>
        <w:t xml:space="preserve"> the </w:t>
      </w:r>
      <w:r w:rsidRPr="00847328">
        <w:t>binding</w:t>
      </w:r>
      <w:r w:rsidR="00A65658">
        <w:t xml:space="preserve"> and ensure the </w:t>
      </w:r>
      <w:r w:rsidR="00165E3B">
        <w:t xml:space="preserve">neonate </w:t>
      </w:r>
      <w:r w:rsidR="00BF6973">
        <w:t>receives the correct dose</w:t>
      </w:r>
      <w:r w:rsidRPr="00847328">
        <w:t xml:space="preserve">. </w:t>
      </w:r>
    </w:p>
    <w:p w14:paraId="2F51A878" w14:textId="45C5008F" w:rsidR="00DE4E25" w:rsidRPr="00DA07A0" w:rsidRDefault="00847328" w:rsidP="00DA07A0">
      <w:pPr>
        <w:pStyle w:val="ListBullet"/>
        <w:rPr>
          <w:rFonts w:cs="Arial"/>
          <w:b/>
          <w:szCs w:val="24"/>
        </w:rPr>
      </w:pPr>
      <w:r w:rsidRPr="00847328">
        <w:rPr>
          <w:szCs w:val="24"/>
        </w:rPr>
        <w:t>Insulin concentrations ≤ 0.05 Unit</w:t>
      </w:r>
      <w:r w:rsidR="00165E3B">
        <w:rPr>
          <w:szCs w:val="24"/>
        </w:rPr>
        <w:t>s</w:t>
      </w:r>
      <w:r w:rsidRPr="00847328">
        <w:rPr>
          <w:szCs w:val="24"/>
        </w:rPr>
        <w:t>/mL are not reliably delivered even after preconditioning and flushing</w:t>
      </w:r>
      <w:r w:rsidR="00165E3B">
        <w:rPr>
          <w:szCs w:val="24"/>
        </w:rPr>
        <w:t>.</w:t>
      </w:r>
    </w:p>
    <w:p w14:paraId="2B989FDB" w14:textId="77777777" w:rsidR="00DA07A0" w:rsidRPr="00847328" w:rsidRDefault="00DA07A0" w:rsidP="00DA07A0">
      <w:pPr>
        <w:pStyle w:val="ListBullet"/>
        <w:numPr>
          <w:ilvl w:val="0"/>
          <w:numId w:val="0"/>
        </w:numPr>
        <w:ind w:left="426"/>
        <w:rPr>
          <w:rFonts w:cs="Arial"/>
          <w:b/>
          <w:szCs w:val="24"/>
        </w:rPr>
      </w:pPr>
    </w:p>
    <w:p w14:paraId="2F51A879" w14:textId="77777777" w:rsidR="009E70F4" w:rsidRPr="009121F9" w:rsidRDefault="004A6A7F"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2" w:name="_Toc389473277"/>
            <w:bookmarkStart w:id="13" w:name="_Toc139140942"/>
            <w:r w:rsidRPr="003D2D06">
              <w:t>Scope</w:t>
            </w:r>
            <w:bookmarkEnd w:id="12"/>
            <w:bookmarkEnd w:id="13"/>
          </w:p>
        </w:tc>
      </w:tr>
    </w:tbl>
    <w:p w14:paraId="6613B14C" w14:textId="77777777" w:rsidR="00E439C9" w:rsidRDefault="00E439C9" w:rsidP="00E439C9">
      <w:pPr>
        <w:rPr>
          <w:rFonts w:cs="Arial"/>
          <w:szCs w:val="24"/>
        </w:rPr>
      </w:pPr>
    </w:p>
    <w:p w14:paraId="14B08223" w14:textId="6062027A" w:rsidR="00E439C9" w:rsidRPr="00931A8B" w:rsidRDefault="00E439C9" w:rsidP="00DA07A0">
      <w:pPr>
        <w:rPr>
          <w:rFonts w:cs="Arial"/>
          <w:szCs w:val="24"/>
        </w:rPr>
      </w:pPr>
      <w:r w:rsidRPr="00931A8B">
        <w:rPr>
          <w:rFonts w:cs="Arial"/>
          <w:szCs w:val="24"/>
        </w:rPr>
        <w:t>This documen</w:t>
      </w:r>
      <w:r>
        <w:rPr>
          <w:rFonts w:cs="Arial"/>
          <w:szCs w:val="24"/>
        </w:rPr>
        <w:t xml:space="preserve">t </w:t>
      </w:r>
      <w:r w:rsidR="00BF6973">
        <w:rPr>
          <w:rFonts w:cs="Arial"/>
          <w:szCs w:val="24"/>
        </w:rPr>
        <w:t>applie</w:t>
      </w:r>
      <w:r>
        <w:rPr>
          <w:rFonts w:cs="Arial"/>
          <w:szCs w:val="24"/>
        </w:rPr>
        <w:t>s to</w:t>
      </w:r>
      <w:r w:rsidR="00165E3B">
        <w:rPr>
          <w:rFonts w:cs="Arial"/>
          <w:szCs w:val="24"/>
        </w:rPr>
        <w:t xml:space="preserve"> neonates</w:t>
      </w:r>
      <w:r>
        <w:rPr>
          <w:rFonts w:cs="Arial"/>
          <w:szCs w:val="24"/>
        </w:rPr>
        <w:t xml:space="preserve"> </w:t>
      </w:r>
      <w:r w:rsidR="00794C99">
        <w:rPr>
          <w:rFonts w:cs="Calibri"/>
          <w:color w:val="000000"/>
          <w:szCs w:val="24"/>
        </w:rPr>
        <w:t xml:space="preserve">(from birth to 44 weeks of corrected gestational age) </w:t>
      </w:r>
      <w:r w:rsidR="00DA07A0">
        <w:rPr>
          <w:rFonts w:cs="Arial"/>
          <w:szCs w:val="24"/>
        </w:rPr>
        <w:t xml:space="preserve">under the care of </w:t>
      </w:r>
      <w:r w:rsidRPr="00931A8B">
        <w:rPr>
          <w:rFonts w:cs="Arial"/>
          <w:szCs w:val="24"/>
        </w:rPr>
        <w:t>the Department of Neonatology at the Centenary Hospital for Women &amp; Children.</w:t>
      </w:r>
    </w:p>
    <w:p w14:paraId="527D47D7" w14:textId="77777777" w:rsidR="00E439C9" w:rsidRDefault="00E439C9" w:rsidP="00DA07A0">
      <w:pPr>
        <w:rPr>
          <w:rFonts w:asciiTheme="minorHAnsi" w:hAnsiTheme="minorHAnsi" w:cs="Arial"/>
          <w:szCs w:val="24"/>
        </w:rPr>
      </w:pPr>
    </w:p>
    <w:p w14:paraId="2B39D5C1" w14:textId="77777777" w:rsidR="00E439C9" w:rsidRPr="00931A8B" w:rsidRDefault="00E439C9" w:rsidP="00DA07A0">
      <w:pPr>
        <w:rPr>
          <w:rFonts w:asciiTheme="minorHAnsi" w:hAnsiTheme="minorHAnsi" w:cs="Arial"/>
        </w:rPr>
      </w:pPr>
      <w:r w:rsidRPr="19637B12">
        <w:rPr>
          <w:rFonts w:asciiTheme="minorHAnsi" w:hAnsiTheme="minorHAnsi" w:cs="Arial"/>
        </w:rPr>
        <w:t>This document applies to the following Canberra Health Services (CHS) staff working within their scope of practice:</w:t>
      </w:r>
    </w:p>
    <w:p w14:paraId="64CA0E00" w14:textId="77777777" w:rsidR="00E439C9" w:rsidRPr="00931A8B" w:rsidRDefault="00E439C9" w:rsidP="00DA07A0">
      <w:pPr>
        <w:pStyle w:val="ListBullet"/>
        <w:tabs>
          <w:tab w:val="num" w:pos="1080"/>
        </w:tabs>
      </w:pPr>
      <w:r w:rsidRPr="00931A8B">
        <w:t>Medical Officers</w:t>
      </w:r>
    </w:p>
    <w:p w14:paraId="3687FB61" w14:textId="77777777" w:rsidR="00E439C9" w:rsidRPr="00931A8B" w:rsidRDefault="00E439C9" w:rsidP="00DA07A0">
      <w:pPr>
        <w:pStyle w:val="ListBullet"/>
        <w:tabs>
          <w:tab w:val="num" w:pos="1080"/>
        </w:tabs>
      </w:pPr>
      <w:r w:rsidRPr="00931A8B">
        <w:lastRenderedPageBreak/>
        <w:t>Registered Nurses and Midwives</w:t>
      </w:r>
    </w:p>
    <w:p w14:paraId="19C388DD" w14:textId="23E35BB9" w:rsidR="00E439C9" w:rsidRPr="00931A8B" w:rsidRDefault="00E439C9" w:rsidP="00DA07A0">
      <w:pPr>
        <w:pStyle w:val="ListBullet"/>
        <w:tabs>
          <w:tab w:val="num" w:pos="1080"/>
        </w:tabs>
      </w:pPr>
      <w:r w:rsidRPr="00931A8B">
        <w:t>Student Nurses and Midwives working under supervision</w:t>
      </w:r>
      <w:r w:rsidR="00DA07A0">
        <w:t>.</w:t>
      </w:r>
    </w:p>
    <w:p w14:paraId="2F51A886" w14:textId="77777777" w:rsidR="001F2A9B" w:rsidRDefault="001F2A9B" w:rsidP="00F14EC1"/>
    <w:p w14:paraId="2F51A887" w14:textId="77777777" w:rsidR="007B6904" w:rsidRPr="00CD1C0E" w:rsidRDefault="004A6A7F"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12DB9884" w:rsidR="007B6904" w:rsidRPr="00C76688" w:rsidRDefault="007B6904" w:rsidP="00931B93">
            <w:pPr>
              <w:pStyle w:val="Heading1"/>
            </w:pPr>
            <w:bookmarkStart w:id="14" w:name="_Toc389473278"/>
            <w:bookmarkStart w:id="15" w:name="_Toc139140943"/>
            <w:r w:rsidRPr="00C76688">
              <w:t>Section 1 –</w:t>
            </w:r>
            <w:r>
              <w:t xml:space="preserve"> </w:t>
            </w:r>
            <w:r w:rsidR="00F2519E">
              <w:t xml:space="preserve">Definition and </w:t>
            </w:r>
            <w:r w:rsidR="00E439C9">
              <w:t>Management of Hyperglycaemia</w:t>
            </w:r>
            <w:bookmarkEnd w:id="14"/>
            <w:bookmarkEnd w:id="15"/>
          </w:p>
        </w:tc>
      </w:tr>
    </w:tbl>
    <w:p w14:paraId="3056E216" w14:textId="77777777" w:rsidR="007D67BD" w:rsidRDefault="007D67BD" w:rsidP="00F2519E">
      <w:pPr>
        <w:pStyle w:val="ListBullet"/>
        <w:numPr>
          <w:ilvl w:val="0"/>
          <w:numId w:val="0"/>
        </w:numPr>
        <w:ind w:left="426" w:hanging="426"/>
        <w:rPr>
          <w:b/>
          <w:bCs/>
          <w:u w:val="single"/>
        </w:rPr>
      </w:pPr>
    </w:p>
    <w:p w14:paraId="0D5A3764" w14:textId="5C047839" w:rsidR="007D67BD" w:rsidRPr="00DA07A0" w:rsidRDefault="007D67BD" w:rsidP="00DA07A0">
      <w:pPr>
        <w:pStyle w:val="ListBullet"/>
        <w:numPr>
          <w:ilvl w:val="0"/>
          <w:numId w:val="0"/>
        </w:numPr>
        <w:ind w:left="426" w:hanging="426"/>
        <w:rPr>
          <w:b/>
          <w:bCs/>
        </w:rPr>
      </w:pPr>
      <w:r w:rsidRPr="00DA07A0">
        <w:rPr>
          <w:b/>
          <w:bCs/>
        </w:rPr>
        <w:t>Background</w:t>
      </w:r>
    </w:p>
    <w:p w14:paraId="04B7203F" w14:textId="7A2C2223" w:rsidR="00F2519E" w:rsidRPr="00DA07A0" w:rsidRDefault="00F2519E" w:rsidP="00DA07A0">
      <w:pPr>
        <w:pStyle w:val="ListBullet"/>
      </w:pPr>
      <w:r w:rsidRPr="00DA07A0">
        <w:t xml:space="preserve">Hyperglycaemia is </w:t>
      </w:r>
      <w:r w:rsidR="00847328" w:rsidRPr="00DA07A0">
        <w:t xml:space="preserve">a </w:t>
      </w:r>
      <w:r w:rsidRPr="00DA07A0">
        <w:t>common</w:t>
      </w:r>
      <w:r w:rsidR="00847328" w:rsidRPr="00DA07A0">
        <w:t xml:space="preserve"> issue</w:t>
      </w:r>
      <w:r w:rsidRPr="00DA07A0">
        <w:t xml:space="preserve"> in unwell </w:t>
      </w:r>
      <w:r w:rsidR="00165E3B">
        <w:t>neonates</w:t>
      </w:r>
      <w:r w:rsidR="00165E3B" w:rsidRPr="00DA07A0">
        <w:t xml:space="preserve"> </w:t>
      </w:r>
      <w:r w:rsidR="00AD79A9" w:rsidRPr="00DA07A0">
        <w:t>and</w:t>
      </w:r>
      <w:r w:rsidRPr="00DA07A0">
        <w:t xml:space="preserve"> in extreme</w:t>
      </w:r>
      <w:r w:rsidR="00AD79A9" w:rsidRPr="00DA07A0">
        <w:t>ly</w:t>
      </w:r>
      <w:r w:rsidRPr="00DA07A0">
        <w:t xml:space="preserve"> premature neonates. Hyperglycaemia is associated with adverse </w:t>
      </w:r>
      <w:r w:rsidR="00277F6A" w:rsidRPr="00DA07A0">
        <w:t>short and long-term</w:t>
      </w:r>
      <w:r w:rsidRPr="00DA07A0">
        <w:t xml:space="preserve"> outcome</w:t>
      </w:r>
      <w:r w:rsidR="00AD79A9" w:rsidRPr="00DA07A0">
        <w:t>s</w:t>
      </w:r>
      <w:r w:rsidRPr="00DA07A0">
        <w:t xml:space="preserve"> in these </w:t>
      </w:r>
      <w:r w:rsidR="00165E3B">
        <w:t>patients</w:t>
      </w:r>
      <w:r w:rsidRPr="00DA07A0">
        <w:t xml:space="preserve">. The mechanisms underlying these associations are not well understood. Non-uniform definitions, wide variations in the criteria used for management decisions, and in the choice of treatment have led to poor understanding of the significance of hyperglycaemia in </w:t>
      </w:r>
      <w:r w:rsidR="00165E3B">
        <w:t>neonates</w:t>
      </w:r>
      <w:r w:rsidRPr="00DA07A0">
        <w:t>.</w:t>
      </w:r>
    </w:p>
    <w:p w14:paraId="32A07768" w14:textId="46C1FD24" w:rsidR="00F2519E" w:rsidRPr="00DA07A0" w:rsidRDefault="00F2519E" w:rsidP="00DA07A0">
      <w:pPr>
        <w:pStyle w:val="ListBullet"/>
      </w:pPr>
      <w:r w:rsidRPr="00DA07A0">
        <w:t xml:space="preserve">Hyperglycaemia is typically defined as </w:t>
      </w:r>
      <w:r w:rsidR="00B16739" w:rsidRPr="00DA07A0">
        <w:t>plasma glucose concentration greater than 8.3mmol/L</w:t>
      </w:r>
      <w:r w:rsidR="00DA07A0">
        <w:t>.</w:t>
      </w:r>
      <w:r w:rsidR="00FA0F1F">
        <w:t xml:space="preserve"> </w:t>
      </w:r>
    </w:p>
    <w:p w14:paraId="3737A22C" w14:textId="2E345E85" w:rsidR="00B16739" w:rsidRPr="00DA07A0" w:rsidRDefault="00B16739" w:rsidP="00DA07A0">
      <w:pPr>
        <w:pStyle w:val="ListBullet"/>
      </w:pPr>
      <w:r w:rsidRPr="00DA07A0">
        <w:t xml:space="preserve">Risk factors for hyperglycaemia </w:t>
      </w:r>
      <w:r w:rsidR="00165E3B">
        <w:t xml:space="preserve">in neonates </w:t>
      </w:r>
      <w:r w:rsidRPr="00DA07A0">
        <w:t>are:</w:t>
      </w:r>
    </w:p>
    <w:p w14:paraId="5299F4A9" w14:textId="5F114C22" w:rsidR="00B16739" w:rsidRPr="00DA07A0" w:rsidRDefault="00DA07A0" w:rsidP="00DA07A0">
      <w:pPr>
        <w:pStyle w:val="ListBullet"/>
        <w:ind w:left="852"/>
      </w:pPr>
      <w:r>
        <w:t>l</w:t>
      </w:r>
      <w:r w:rsidR="00B16739" w:rsidRPr="00DA07A0">
        <w:t xml:space="preserve">ow </w:t>
      </w:r>
      <w:r w:rsidR="00277F6A" w:rsidRPr="00DA07A0">
        <w:t>gestational</w:t>
      </w:r>
      <w:r w:rsidR="00B16739" w:rsidRPr="00DA07A0">
        <w:t xml:space="preserve"> age and low birth weight</w:t>
      </w:r>
    </w:p>
    <w:p w14:paraId="7A8C8760" w14:textId="39974F91" w:rsidR="00B16739" w:rsidRPr="00DA07A0" w:rsidRDefault="00DA07A0" w:rsidP="00DA07A0">
      <w:pPr>
        <w:pStyle w:val="ListBullet"/>
        <w:ind w:left="852"/>
      </w:pPr>
      <w:r>
        <w:t>l</w:t>
      </w:r>
      <w:r w:rsidR="00B16739" w:rsidRPr="00DA07A0">
        <w:t>onger duration of parenteral nutrition</w:t>
      </w:r>
    </w:p>
    <w:p w14:paraId="299E4830" w14:textId="757DD37F" w:rsidR="00B16739" w:rsidRPr="00DA07A0" w:rsidRDefault="00DA07A0" w:rsidP="00DA07A0">
      <w:pPr>
        <w:pStyle w:val="ListBullet"/>
        <w:ind w:left="852"/>
      </w:pPr>
      <w:r>
        <w:t>p</w:t>
      </w:r>
      <w:r w:rsidR="00B16739" w:rsidRPr="00DA07A0">
        <w:t>ain</w:t>
      </w:r>
    </w:p>
    <w:p w14:paraId="18533533" w14:textId="44B899CE" w:rsidR="00B16739" w:rsidRPr="00DA07A0" w:rsidRDefault="00DA07A0" w:rsidP="00DA07A0">
      <w:pPr>
        <w:pStyle w:val="ListBullet"/>
        <w:ind w:left="852"/>
      </w:pPr>
      <w:r>
        <w:t>s</w:t>
      </w:r>
      <w:r w:rsidR="00B16739" w:rsidRPr="00DA07A0">
        <w:t>epsis</w:t>
      </w:r>
    </w:p>
    <w:p w14:paraId="0C99CD3B" w14:textId="5DC4A5EE" w:rsidR="00B16739" w:rsidRPr="00DA07A0" w:rsidRDefault="00DA07A0" w:rsidP="00DA07A0">
      <w:pPr>
        <w:pStyle w:val="ListBullet"/>
        <w:ind w:left="852"/>
      </w:pPr>
      <w:r>
        <w:t>h</w:t>
      </w:r>
      <w:r w:rsidR="00B16739" w:rsidRPr="00DA07A0">
        <w:t>ypoxic ischaemic encephalopathy (HIE)</w:t>
      </w:r>
    </w:p>
    <w:p w14:paraId="0CCDA781" w14:textId="19BA434D" w:rsidR="00B16739" w:rsidRPr="00DA07A0" w:rsidRDefault="00DA07A0" w:rsidP="00DA07A0">
      <w:pPr>
        <w:pStyle w:val="ListBullet"/>
        <w:ind w:left="852"/>
      </w:pPr>
      <w:r>
        <w:t>s</w:t>
      </w:r>
      <w:r w:rsidR="00B16739" w:rsidRPr="00DA07A0">
        <w:t>urgical interventions</w:t>
      </w:r>
    </w:p>
    <w:p w14:paraId="548801C9" w14:textId="3F4E15D9" w:rsidR="00B16739" w:rsidRPr="00DA07A0" w:rsidRDefault="00DA07A0" w:rsidP="00DA07A0">
      <w:pPr>
        <w:pStyle w:val="ListBullet"/>
        <w:ind w:left="852"/>
      </w:pPr>
      <w:r>
        <w:t>u</w:t>
      </w:r>
      <w:r w:rsidR="00B16739" w:rsidRPr="00DA07A0">
        <w:t>se of steroids</w:t>
      </w:r>
    </w:p>
    <w:p w14:paraId="6AE04A20" w14:textId="52107239" w:rsidR="00B16739" w:rsidRPr="00DA07A0" w:rsidRDefault="00DA07A0" w:rsidP="00DA07A0">
      <w:pPr>
        <w:pStyle w:val="ListBullet"/>
        <w:ind w:left="852"/>
      </w:pPr>
      <w:r>
        <w:t>u</w:t>
      </w:r>
      <w:r w:rsidR="00B16739" w:rsidRPr="00DA07A0">
        <w:t>se of some vasoactive agents</w:t>
      </w:r>
      <w:r>
        <w:t>.</w:t>
      </w:r>
    </w:p>
    <w:p w14:paraId="3C386CB0" w14:textId="0B2BA089" w:rsidR="007D67BD" w:rsidRPr="00DA07A0" w:rsidRDefault="00277F6A" w:rsidP="00DA07A0">
      <w:pPr>
        <w:pStyle w:val="ListBullet"/>
      </w:pPr>
      <w:r w:rsidRPr="00DA07A0">
        <w:t>Hyperglycaemia has been associated with increased risk of death, intraventricular haemorrhage, sepsis, necrotizing enterocolitis, retinopathy of prematurity, growth issues, metabolic issues, and neurodevelopmental impairment.</w:t>
      </w:r>
    </w:p>
    <w:p w14:paraId="5AC312A4" w14:textId="19861B5D" w:rsidR="0050315D" w:rsidRPr="00DA07A0" w:rsidRDefault="0050315D" w:rsidP="00DA07A0">
      <w:pPr>
        <w:pStyle w:val="ListBullet"/>
      </w:pPr>
      <w:r w:rsidRPr="00DA07A0">
        <w:t>Insulin is a polypeptide hormone that acts on cells throughout the body to stimulate uptake, utilisation and storage of glucose resulting in a lowering of blood glucose. Insulin stimulates the liver to store glucose in the form of glycogen and facilitates the entry of glucose into muscle and adipose tissue. It inhibits lipolysis, proteolysis, and gluconeogenesis, enhances protein synthesis and conversion of excess glucose into fat.</w:t>
      </w:r>
    </w:p>
    <w:p w14:paraId="1AFC8AD0" w14:textId="77777777" w:rsidR="00277F6A" w:rsidRPr="00DA07A0" w:rsidRDefault="00277F6A" w:rsidP="00EF7A8A">
      <w:pPr>
        <w:pStyle w:val="ListBullet"/>
        <w:numPr>
          <w:ilvl w:val="0"/>
          <w:numId w:val="0"/>
        </w:numPr>
        <w:ind w:left="426"/>
      </w:pPr>
    </w:p>
    <w:p w14:paraId="3FBCFBEE" w14:textId="4C17C5D6" w:rsidR="007D67BD" w:rsidRPr="00EF7A8A" w:rsidRDefault="007D67BD" w:rsidP="00277F6A">
      <w:pPr>
        <w:pStyle w:val="ListBullet"/>
        <w:numPr>
          <w:ilvl w:val="0"/>
          <w:numId w:val="0"/>
        </w:numPr>
        <w:ind w:left="426" w:hanging="426"/>
        <w:jc w:val="both"/>
        <w:rPr>
          <w:b/>
          <w:bCs/>
        </w:rPr>
      </w:pPr>
      <w:r w:rsidRPr="00EF7A8A">
        <w:rPr>
          <w:b/>
          <w:bCs/>
        </w:rPr>
        <w:t>Recommendations</w:t>
      </w:r>
    </w:p>
    <w:p w14:paraId="739C979D" w14:textId="21278A32" w:rsidR="00B16739" w:rsidRPr="00D1003C" w:rsidRDefault="00245452" w:rsidP="00EF7A8A">
      <w:pPr>
        <w:pStyle w:val="ListBullet"/>
        <w:numPr>
          <w:ilvl w:val="0"/>
          <w:numId w:val="0"/>
        </w:numPr>
        <w:ind w:left="426" w:hanging="426"/>
        <w:jc w:val="both"/>
      </w:pPr>
      <w:r w:rsidRPr="00D1003C">
        <w:t>Monitor</w:t>
      </w:r>
      <w:r w:rsidR="00B16739" w:rsidRPr="00D1003C">
        <w:t xml:space="preserve"> blood</w:t>
      </w:r>
      <w:r w:rsidR="00E439C9" w:rsidRPr="00D1003C">
        <w:t xml:space="preserve"> glucose levels</w:t>
      </w:r>
      <w:r w:rsidR="0050315D" w:rsidRPr="00D1003C">
        <w:t xml:space="preserve"> </w:t>
      </w:r>
      <w:r w:rsidR="00CB2CBC" w:rsidRPr="00D1003C">
        <w:t xml:space="preserve">for hyperglycaemia </w:t>
      </w:r>
      <w:r w:rsidR="0050315D" w:rsidRPr="00D1003C">
        <w:t>in</w:t>
      </w:r>
      <w:r w:rsidR="00E439C9" w:rsidRPr="00D1003C">
        <w:t>:</w:t>
      </w:r>
    </w:p>
    <w:p w14:paraId="5C958936" w14:textId="530D4952" w:rsidR="00B16739" w:rsidRPr="00EF7A8A" w:rsidRDefault="00B16739" w:rsidP="00EF7A8A">
      <w:pPr>
        <w:pStyle w:val="ListBullet"/>
      </w:pPr>
      <w:r w:rsidRPr="00EF7A8A">
        <w:t>P</w:t>
      </w:r>
      <w:r w:rsidR="00E439C9" w:rsidRPr="00EF7A8A">
        <w:t xml:space="preserve">remature </w:t>
      </w:r>
      <w:r w:rsidR="00212A28">
        <w:t>neonates</w:t>
      </w:r>
    </w:p>
    <w:p w14:paraId="03CFD0E7" w14:textId="324C2D2D" w:rsidR="00B16739" w:rsidRPr="00B16739" w:rsidRDefault="00B16739" w:rsidP="00EF7A8A">
      <w:pPr>
        <w:pStyle w:val="ListBullet"/>
        <w:rPr>
          <w:b/>
          <w:bCs/>
          <w:u w:val="single"/>
        </w:rPr>
      </w:pPr>
      <w:r w:rsidRPr="00EF7A8A">
        <w:t>O</w:t>
      </w:r>
      <w:r w:rsidR="00E439C9" w:rsidRPr="00EF7A8A">
        <w:t>ther</w:t>
      </w:r>
      <w:r w:rsidR="00D575B2" w:rsidRPr="00EF7A8A">
        <w:t xml:space="preserve"> </w:t>
      </w:r>
      <w:r w:rsidR="008F15A8">
        <w:t xml:space="preserve">neonates </w:t>
      </w:r>
      <w:r w:rsidR="00E439C9" w:rsidRPr="00614AAB">
        <w:t>at risk including</w:t>
      </w:r>
      <w:r>
        <w:t>:</w:t>
      </w:r>
    </w:p>
    <w:p w14:paraId="1D3B77E9" w14:textId="5226F8EE" w:rsidR="00B16739" w:rsidRPr="00EF7A8A" w:rsidRDefault="00EF7A8A" w:rsidP="00EF7A8A">
      <w:pPr>
        <w:pStyle w:val="ListBullet"/>
        <w:ind w:left="852"/>
      </w:pPr>
      <w:r>
        <w:t>s</w:t>
      </w:r>
      <w:r w:rsidR="00E439C9" w:rsidRPr="00EF7A8A">
        <w:t xml:space="preserve">everely growth restricted </w:t>
      </w:r>
      <w:r w:rsidR="00C44ED5">
        <w:t>neonates</w:t>
      </w:r>
    </w:p>
    <w:p w14:paraId="5A24A264" w14:textId="7D34384E" w:rsidR="00B16739" w:rsidRPr="00EF7A8A" w:rsidRDefault="00212A28" w:rsidP="00EF7A8A">
      <w:pPr>
        <w:pStyle w:val="ListBullet"/>
        <w:ind w:left="852"/>
      </w:pPr>
      <w:r>
        <w:t>neonates</w:t>
      </w:r>
      <w:r w:rsidRPr="00EF7A8A">
        <w:t xml:space="preserve"> </w:t>
      </w:r>
      <w:r w:rsidR="00B16739" w:rsidRPr="00EF7A8A">
        <w:t>with hypoxic ischaemic encephalopathy</w:t>
      </w:r>
    </w:p>
    <w:p w14:paraId="2D340151" w14:textId="251E77D7" w:rsidR="00B16739" w:rsidRPr="00EF7A8A" w:rsidRDefault="00212A28" w:rsidP="00EF7A8A">
      <w:pPr>
        <w:pStyle w:val="ListBullet"/>
        <w:ind w:left="852"/>
      </w:pPr>
      <w:r>
        <w:t>neonates</w:t>
      </w:r>
      <w:r w:rsidRPr="00EF7A8A">
        <w:t xml:space="preserve"> </w:t>
      </w:r>
      <w:r w:rsidR="00B16739" w:rsidRPr="00EF7A8A">
        <w:t>with sepsis</w:t>
      </w:r>
    </w:p>
    <w:p w14:paraId="3501D172" w14:textId="676AADB6" w:rsidR="00B16739" w:rsidRPr="00EF7A8A" w:rsidRDefault="00212A28" w:rsidP="00EF7A8A">
      <w:pPr>
        <w:pStyle w:val="ListBullet"/>
        <w:ind w:left="852"/>
      </w:pPr>
      <w:r>
        <w:t>neonates</w:t>
      </w:r>
      <w:r w:rsidRPr="00EF7A8A">
        <w:t xml:space="preserve"> </w:t>
      </w:r>
      <w:r w:rsidR="00B16739" w:rsidRPr="00EF7A8A">
        <w:t xml:space="preserve">receiving </w:t>
      </w:r>
      <w:proofErr w:type="gramStart"/>
      <w:r w:rsidR="00B16739" w:rsidRPr="00EF7A8A">
        <w:t>steroids</w:t>
      </w:r>
      <w:proofErr w:type="gramEnd"/>
    </w:p>
    <w:p w14:paraId="7BD67D69" w14:textId="11722A76" w:rsidR="00E439C9" w:rsidRPr="00EF7A8A" w:rsidRDefault="00212A28" w:rsidP="00EF7A8A">
      <w:pPr>
        <w:pStyle w:val="ListBullet"/>
        <w:ind w:left="852"/>
      </w:pPr>
      <w:r>
        <w:t>neonates</w:t>
      </w:r>
      <w:r w:rsidRPr="00EF7A8A">
        <w:t xml:space="preserve"> </w:t>
      </w:r>
      <w:r w:rsidR="00B16739" w:rsidRPr="00EF7A8A">
        <w:t>receiving high infusions of dextrose (</w:t>
      </w:r>
      <w:r w:rsidR="00EF7A8A">
        <w:t>g</w:t>
      </w:r>
      <w:r w:rsidR="001A17FB" w:rsidRPr="00EF7A8A">
        <w:t xml:space="preserve">lucose delivery rate </w:t>
      </w:r>
      <w:r w:rsidR="00EF7A8A">
        <w:t>(</w:t>
      </w:r>
      <w:r w:rsidR="001A17FB" w:rsidRPr="00EF7A8A">
        <w:t>GDR</w:t>
      </w:r>
      <w:r w:rsidR="00EF7A8A">
        <w:t>)</w:t>
      </w:r>
      <w:r w:rsidR="001A17FB" w:rsidRPr="00EF7A8A">
        <w:t xml:space="preserve"> </w:t>
      </w:r>
      <w:r w:rsidR="00B16739" w:rsidRPr="00EF7A8A">
        <w:t xml:space="preserve">higher than 6mg/kg/min) </w:t>
      </w:r>
    </w:p>
    <w:p w14:paraId="5EFC07A6" w14:textId="013B84B9" w:rsidR="00B16739" w:rsidRPr="00B16739" w:rsidRDefault="00212A28" w:rsidP="00EF7A8A">
      <w:pPr>
        <w:pStyle w:val="ListBullet"/>
        <w:ind w:left="852"/>
        <w:rPr>
          <w:b/>
          <w:bCs/>
          <w:u w:val="single"/>
        </w:rPr>
      </w:pPr>
      <w:proofErr w:type="gramStart"/>
      <w:r>
        <w:lastRenderedPageBreak/>
        <w:t>neonates</w:t>
      </w:r>
      <w:proofErr w:type="gramEnd"/>
      <w:r w:rsidRPr="00EF7A8A">
        <w:t xml:space="preserve"> </w:t>
      </w:r>
      <w:r w:rsidR="001A17FB" w:rsidRPr="00EF7A8A">
        <w:t>post</w:t>
      </w:r>
      <w:r w:rsidR="001A17FB">
        <w:t>-surgical</w:t>
      </w:r>
      <w:r w:rsidR="00B16739">
        <w:t xml:space="preserve"> intervention</w:t>
      </w:r>
      <w:r w:rsidR="00EF7A8A">
        <w:t>.</w:t>
      </w:r>
    </w:p>
    <w:p w14:paraId="6E962079" w14:textId="77777777" w:rsidR="00E439C9" w:rsidRPr="00931A8B" w:rsidRDefault="00E439C9" w:rsidP="00277F6A">
      <w:pPr>
        <w:tabs>
          <w:tab w:val="left" w:pos="900"/>
        </w:tabs>
        <w:ind w:left="720"/>
        <w:jc w:val="both"/>
        <w:rPr>
          <w:rFonts w:cs="Calibri"/>
          <w:szCs w:val="24"/>
        </w:rPr>
      </w:pPr>
    </w:p>
    <w:p w14:paraId="42AD333A" w14:textId="77777777" w:rsidR="008F15A8" w:rsidRDefault="008F15A8" w:rsidP="00EF7A8A">
      <w:r>
        <w:t>Inform a medical officer if hyperglycaemia is detected in a neonate.</w:t>
      </w:r>
    </w:p>
    <w:p w14:paraId="6BB861C5" w14:textId="77777777" w:rsidR="008F15A8" w:rsidRDefault="008F15A8" w:rsidP="00EF7A8A"/>
    <w:p w14:paraId="00B78E2E" w14:textId="4E369910" w:rsidR="00465B7C" w:rsidRDefault="00B16739" w:rsidP="00EF7A8A">
      <w:r w:rsidRPr="00671F40">
        <w:t xml:space="preserve">It is recommended to perform </w:t>
      </w:r>
      <w:r w:rsidR="00E439C9" w:rsidRPr="00671F40">
        <w:t>urine analysis</w:t>
      </w:r>
      <w:r w:rsidRPr="00671F40">
        <w:t xml:space="preserve"> every </w:t>
      </w:r>
      <w:r w:rsidR="00EF7A8A" w:rsidRPr="00671F40">
        <w:t>six</w:t>
      </w:r>
      <w:r w:rsidR="00D575B2" w:rsidRPr="00671F40">
        <w:t xml:space="preserve"> </w:t>
      </w:r>
      <w:r w:rsidRPr="00671F40">
        <w:t xml:space="preserve">hours </w:t>
      </w:r>
      <w:r w:rsidR="00E439C9" w:rsidRPr="00671F40">
        <w:t xml:space="preserve">on </w:t>
      </w:r>
      <w:r w:rsidR="00212A28" w:rsidRPr="00671F40">
        <w:t>neonates</w:t>
      </w:r>
      <w:r w:rsidR="00212A28" w:rsidRPr="00EF7A8A">
        <w:t xml:space="preserve"> </w:t>
      </w:r>
      <w:r w:rsidR="00E439C9" w:rsidRPr="00EF7A8A">
        <w:t>with persistently</w:t>
      </w:r>
      <w:r w:rsidR="00E439C9" w:rsidRPr="00931A8B">
        <w:t xml:space="preserve"> high </w:t>
      </w:r>
      <w:r w:rsidR="007D67BD">
        <w:t xml:space="preserve">blood glucose level </w:t>
      </w:r>
      <w:r w:rsidR="00E439C9" w:rsidRPr="00931A8B">
        <w:t>&gt; 10mmol</w:t>
      </w:r>
      <w:r>
        <w:t>/L</w:t>
      </w:r>
      <w:r w:rsidR="00E439C9" w:rsidRPr="00931A8B">
        <w:t xml:space="preserve"> to assess ketonuria and glycosuria</w:t>
      </w:r>
      <w:r w:rsidR="00212A28">
        <w:t xml:space="preserve">. </w:t>
      </w:r>
    </w:p>
    <w:p w14:paraId="47D86828" w14:textId="05ADCB0C" w:rsidR="007D67BD" w:rsidRDefault="007D67BD" w:rsidP="001A17FB">
      <w:pPr>
        <w:pStyle w:val="ListBullet"/>
        <w:numPr>
          <w:ilvl w:val="0"/>
          <w:numId w:val="0"/>
        </w:numPr>
        <w:jc w:val="both"/>
      </w:pPr>
    </w:p>
    <w:p w14:paraId="77534C18" w14:textId="2689D6E1" w:rsidR="001A17FB" w:rsidRPr="00EF7A8A" w:rsidRDefault="008E32BE" w:rsidP="001A17FB">
      <w:pPr>
        <w:pStyle w:val="ListBullet"/>
        <w:numPr>
          <w:ilvl w:val="0"/>
          <w:numId w:val="0"/>
        </w:numPr>
        <w:jc w:val="both"/>
        <w:rPr>
          <w:b/>
          <w:bCs/>
        </w:rPr>
      </w:pPr>
      <w:r w:rsidRPr="00EF7A8A">
        <w:rPr>
          <w:b/>
          <w:bCs/>
        </w:rPr>
        <w:t xml:space="preserve">Prevention and </w:t>
      </w:r>
      <w:r w:rsidR="00AC2799" w:rsidRPr="00EF7A8A">
        <w:rPr>
          <w:b/>
          <w:bCs/>
        </w:rPr>
        <w:t xml:space="preserve">Initial </w:t>
      </w:r>
      <w:r w:rsidR="001A17FB" w:rsidRPr="00EF7A8A">
        <w:rPr>
          <w:b/>
          <w:bCs/>
        </w:rPr>
        <w:t>Management</w:t>
      </w:r>
      <w:r w:rsidR="0060714B">
        <w:rPr>
          <w:b/>
          <w:bCs/>
        </w:rPr>
        <w:t xml:space="preserve"> Considerations</w:t>
      </w:r>
      <w:r w:rsidRPr="00EF7A8A">
        <w:rPr>
          <w:b/>
          <w:bCs/>
        </w:rPr>
        <w:t xml:space="preserve"> </w:t>
      </w:r>
    </w:p>
    <w:p w14:paraId="67A37B17" w14:textId="0C674A40" w:rsidR="001A17FB" w:rsidRDefault="00E439C9" w:rsidP="00185643">
      <w:pPr>
        <w:pStyle w:val="ListBullet"/>
      </w:pPr>
      <w:r>
        <w:t>Commence Total Parenteral N</w:t>
      </w:r>
      <w:r w:rsidRPr="00931A8B">
        <w:t xml:space="preserve">utrition </w:t>
      </w:r>
      <w:r>
        <w:t xml:space="preserve">(TPN) as soon as </w:t>
      </w:r>
      <w:r w:rsidR="00781FCA">
        <w:t>possible</w:t>
      </w:r>
      <w:r w:rsidR="00E76623">
        <w:t xml:space="preserve"> </w:t>
      </w:r>
      <w:r>
        <w:t xml:space="preserve">as </w:t>
      </w:r>
      <w:r w:rsidRPr="00931A8B">
        <w:t>amino acids promote insulin secretion</w:t>
      </w:r>
      <w:r w:rsidR="001A17FB">
        <w:t>.</w:t>
      </w:r>
      <w:r w:rsidR="00AC2799">
        <w:t xml:space="preserve"> </w:t>
      </w:r>
    </w:p>
    <w:p w14:paraId="40222AA8" w14:textId="7E5128C3" w:rsidR="009D6C4A" w:rsidRDefault="009D6C4A" w:rsidP="00185643">
      <w:pPr>
        <w:pStyle w:val="ListBullet"/>
      </w:pPr>
      <w:r>
        <w:t xml:space="preserve">Commence lipids </w:t>
      </w:r>
      <w:r w:rsidR="00781FCA">
        <w:t>as they also reduce the risk of hyperglycaemia.</w:t>
      </w:r>
    </w:p>
    <w:p w14:paraId="21BA41C9" w14:textId="556CCEA7" w:rsidR="00465B7C" w:rsidRDefault="00E439C9" w:rsidP="00465B7C">
      <w:pPr>
        <w:pStyle w:val="ListBullet"/>
      </w:pPr>
      <w:r>
        <w:t>Commence</w:t>
      </w:r>
      <w:r w:rsidRPr="00931A8B">
        <w:t xml:space="preserve"> </w:t>
      </w:r>
      <w:r w:rsidR="001A17FB">
        <w:t>enteral</w:t>
      </w:r>
      <w:r>
        <w:t xml:space="preserve"> feeds </w:t>
      </w:r>
      <w:r w:rsidR="001A17FB">
        <w:t xml:space="preserve">as soon the clinical </w:t>
      </w:r>
      <w:r>
        <w:t>condition allows</w:t>
      </w:r>
      <w:r w:rsidR="001A17FB">
        <w:t xml:space="preserve">, </w:t>
      </w:r>
      <w:r>
        <w:t>as</w:t>
      </w:r>
      <w:r w:rsidRPr="00931A8B">
        <w:t xml:space="preserve"> </w:t>
      </w:r>
      <w:r w:rsidR="001A17FB">
        <w:t xml:space="preserve">enteral feeds </w:t>
      </w:r>
      <w:r w:rsidR="001A17FB" w:rsidRPr="00931A8B">
        <w:t>promote</w:t>
      </w:r>
      <w:r w:rsidRPr="00931A8B">
        <w:t xml:space="preserve"> the secretion of hormones that promote insulin secretion</w:t>
      </w:r>
      <w:r w:rsidR="001A17FB">
        <w:t>.</w:t>
      </w:r>
      <w:r w:rsidRPr="00931A8B">
        <w:t xml:space="preserve"> </w:t>
      </w:r>
    </w:p>
    <w:p w14:paraId="4797F6AB" w14:textId="52A23B3C" w:rsidR="00E439C9" w:rsidRPr="00931A8B" w:rsidRDefault="00E439C9" w:rsidP="00185643">
      <w:pPr>
        <w:pStyle w:val="ListBullet"/>
      </w:pPr>
      <w:r w:rsidRPr="00931A8B">
        <w:t xml:space="preserve">Measure glucose delivery rate (GDR) in mg/kg/min in all </w:t>
      </w:r>
      <w:r w:rsidR="003846EF">
        <w:t>neonates</w:t>
      </w:r>
      <w:r w:rsidR="003846EF" w:rsidRPr="00931A8B">
        <w:t xml:space="preserve"> </w:t>
      </w:r>
      <w:r w:rsidRPr="00931A8B">
        <w:t>with hyperglycaemia</w:t>
      </w:r>
      <w:r w:rsidR="001A17FB">
        <w:t>:</w:t>
      </w:r>
    </w:p>
    <w:p w14:paraId="2BDEE66C" w14:textId="49C800D0" w:rsidR="00E439C9" w:rsidRPr="00931A8B" w:rsidRDefault="00E439C9" w:rsidP="00185643">
      <w:pPr>
        <w:pStyle w:val="ListBullet"/>
        <w:ind w:left="852"/>
      </w:pPr>
      <w:r w:rsidRPr="00931A8B">
        <w:t>GDR (mg/kg/min)</w:t>
      </w:r>
      <w:r>
        <w:t xml:space="preserve"> </w:t>
      </w:r>
      <w:r w:rsidRPr="00931A8B">
        <w:t xml:space="preserve">= TFI (ml/kg/day) x </w:t>
      </w:r>
      <w:r w:rsidR="001A17FB">
        <w:t>%</w:t>
      </w:r>
      <w:r w:rsidR="008E32BE">
        <w:t xml:space="preserve"> </w:t>
      </w:r>
      <w:r w:rsidR="001A17FB">
        <w:t>D</w:t>
      </w:r>
      <w:r w:rsidRPr="00931A8B">
        <w:t>extrose in infusion</w:t>
      </w:r>
      <w:r w:rsidR="00D575B2">
        <w:t xml:space="preserve"> </w:t>
      </w:r>
      <w:r w:rsidRPr="00931A8B">
        <w:t>/ 144</w:t>
      </w:r>
    </w:p>
    <w:p w14:paraId="213A9115" w14:textId="439478B8" w:rsidR="00E439C9" w:rsidRPr="00931A8B" w:rsidRDefault="00E439C9" w:rsidP="00185643">
      <w:pPr>
        <w:pStyle w:val="ListBullet"/>
      </w:pPr>
      <w:r w:rsidRPr="00931A8B">
        <w:t xml:space="preserve">Assess </w:t>
      </w:r>
      <w:r>
        <w:t xml:space="preserve">the </w:t>
      </w:r>
      <w:r w:rsidR="003846EF">
        <w:t>neonate</w:t>
      </w:r>
      <w:r w:rsidR="003846EF" w:rsidRPr="00931A8B">
        <w:t xml:space="preserve"> </w:t>
      </w:r>
      <w:r w:rsidRPr="00931A8B">
        <w:t>for possible underlying cause</w:t>
      </w:r>
      <w:r w:rsidR="001A17FB">
        <w:t>s (</w:t>
      </w:r>
      <w:r w:rsidRPr="00931A8B">
        <w:t>as listed above</w:t>
      </w:r>
      <w:r w:rsidR="001A17FB">
        <w:t xml:space="preserve"> in risk factors for hyperglycaemia)</w:t>
      </w:r>
      <w:r w:rsidR="00AC2799">
        <w:t xml:space="preserve"> and treat them if identified.</w:t>
      </w:r>
    </w:p>
    <w:p w14:paraId="5EDC8FEB" w14:textId="64F5C905" w:rsidR="00E439C9" w:rsidRPr="007E11E8" w:rsidRDefault="008E32BE" w:rsidP="00185643">
      <w:pPr>
        <w:pStyle w:val="ListBullet"/>
      </w:pPr>
      <w:r>
        <w:t xml:space="preserve">If </w:t>
      </w:r>
      <w:r w:rsidR="00465B7C">
        <w:t xml:space="preserve">a </w:t>
      </w:r>
      <w:r w:rsidR="003846EF">
        <w:t xml:space="preserve">neonate </w:t>
      </w:r>
      <w:r w:rsidR="00AD79A9">
        <w:t xml:space="preserve">is </w:t>
      </w:r>
      <w:r w:rsidR="00D575B2">
        <w:t>hyperglycaemi</w:t>
      </w:r>
      <w:r w:rsidR="00AD79A9">
        <w:t>c</w:t>
      </w:r>
      <w:r w:rsidR="00D575B2">
        <w:t xml:space="preserve">, </w:t>
      </w:r>
      <w:r w:rsidRPr="00D575B2">
        <w:t>c</w:t>
      </w:r>
      <w:r w:rsidR="00E439C9" w:rsidRPr="00D575B2">
        <w:t>onsider</w:t>
      </w:r>
      <w:r w:rsidR="00E439C9" w:rsidRPr="00931A8B">
        <w:t xml:space="preserve"> reducing </w:t>
      </w:r>
      <w:r w:rsidR="001A17FB">
        <w:t xml:space="preserve">the </w:t>
      </w:r>
      <w:r w:rsidR="00E439C9" w:rsidRPr="00AD79A9">
        <w:t>GDR</w:t>
      </w:r>
      <w:r w:rsidR="00D575B2" w:rsidRPr="00AD79A9">
        <w:t xml:space="preserve"> </w:t>
      </w:r>
      <w:r w:rsidR="00AD79A9" w:rsidRPr="00AD79A9">
        <w:t xml:space="preserve">to </w:t>
      </w:r>
      <w:r w:rsidRPr="00AD79A9">
        <w:t xml:space="preserve">6 </w:t>
      </w:r>
      <w:r w:rsidR="00AD79A9" w:rsidRPr="00AD79A9">
        <w:t xml:space="preserve">to 9 </w:t>
      </w:r>
      <w:r w:rsidR="00E439C9" w:rsidRPr="00AD79A9">
        <w:t>mg/kg/min</w:t>
      </w:r>
      <w:r w:rsidR="001A17FB" w:rsidRPr="00AD79A9">
        <w:t>.</w:t>
      </w:r>
      <w:r w:rsidR="001A17FB">
        <w:t xml:space="preserve"> This is important in </w:t>
      </w:r>
      <w:r w:rsidR="003846EF">
        <w:t xml:space="preserve">neonates </w:t>
      </w:r>
      <w:r w:rsidR="00E439C9" w:rsidRPr="00931A8B">
        <w:t xml:space="preserve">receiving large </w:t>
      </w:r>
      <w:r w:rsidR="001A17FB">
        <w:t xml:space="preserve">amount of </w:t>
      </w:r>
      <w:r w:rsidR="00E439C9" w:rsidRPr="00931A8B">
        <w:t xml:space="preserve">volume of fluids or </w:t>
      </w:r>
      <w:r w:rsidR="001A17FB">
        <w:t xml:space="preserve">with an </w:t>
      </w:r>
      <w:r w:rsidR="00E439C9" w:rsidRPr="00931A8B">
        <w:t>underlying cause for hyperglycaemia</w:t>
      </w:r>
      <w:r w:rsidR="001A17FB">
        <w:t>.</w:t>
      </w:r>
    </w:p>
    <w:p w14:paraId="4E8A1A8A" w14:textId="46A9E5F5" w:rsidR="00E439C9" w:rsidRPr="00931A8B" w:rsidRDefault="00E439C9" w:rsidP="003B16D9">
      <w:pPr>
        <w:pStyle w:val="ListBullet"/>
      </w:pPr>
      <w:r w:rsidRPr="00931A8B">
        <w:t xml:space="preserve">If hyperglycaemia persists for &gt; </w:t>
      </w:r>
      <w:r w:rsidR="00185643">
        <w:t>6</w:t>
      </w:r>
      <w:r w:rsidRPr="00931A8B">
        <w:t xml:space="preserve"> hours </w:t>
      </w:r>
      <w:r w:rsidR="00547B20" w:rsidRPr="00AD79A9">
        <w:t xml:space="preserve">above 12 mmol/L </w:t>
      </w:r>
      <w:r w:rsidRPr="00AD79A9">
        <w:t>despite</w:t>
      </w:r>
      <w:r w:rsidRPr="00931A8B">
        <w:t xml:space="preserve"> reduction in </w:t>
      </w:r>
      <w:r w:rsidR="00F459E1" w:rsidRPr="00931A8B">
        <w:t>GDR</w:t>
      </w:r>
      <w:r w:rsidR="00F459E1">
        <w:t xml:space="preserve"> and</w:t>
      </w:r>
      <w:r w:rsidR="008E32BE">
        <w:t xml:space="preserve"> </w:t>
      </w:r>
      <w:r w:rsidRPr="00931A8B">
        <w:t xml:space="preserve">is associated with glycosuria </w:t>
      </w:r>
      <w:r w:rsidR="00547B20" w:rsidRPr="00D07F74">
        <w:rPr>
          <w:rFonts w:cs="Calibri"/>
        </w:rPr>
        <w:t>≥</w:t>
      </w:r>
      <w:r w:rsidR="00547B20">
        <w:t xml:space="preserve"> </w:t>
      </w:r>
      <w:r w:rsidRPr="00931A8B">
        <w:t>2</w:t>
      </w:r>
      <w:r w:rsidR="00547B20">
        <w:t xml:space="preserve"> </w:t>
      </w:r>
      <w:r w:rsidR="00FC7265">
        <w:t>(</w:t>
      </w:r>
      <w:r w:rsidRPr="00931A8B">
        <w:t>+</w:t>
      </w:r>
      <w:r w:rsidR="00FC7265">
        <w:t>)</w:t>
      </w:r>
      <w:r w:rsidR="00AD79A9">
        <w:t xml:space="preserve"> in 2 separate urine samples, consider starting </w:t>
      </w:r>
      <w:r w:rsidRPr="00931A8B">
        <w:t>treatment with insulin infusion</w:t>
      </w:r>
      <w:r w:rsidR="00547B20">
        <w:t>.</w:t>
      </w:r>
      <w:r w:rsidR="00AD79A9" w:rsidRPr="00D07F74">
        <w:rPr>
          <w:rStyle w:val="Heading1Char"/>
          <w:rFonts w:cs="Calibri"/>
          <w:color w:val="000000"/>
        </w:rPr>
        <w:t xml:space="preserve"> </w:t>
      </w:r>
      <w:r w:rsidR="00AD79A9" w:rsidRPr="00D07F74">
        <w:rPr>
          <w:rStyle w:val="normaltextrun"/>
          <w:rFonts w:cs="Calibri"/>
          <w:color w:val="000000"/>
        </w:rPr>
        <w:t xml:space="preserve">It may be appropriate to continue monitoring </w:t>
      </w:r>
      <w:r w:rsidR="003846EF">
        <w:rPr>
          <w:rStyle w:val="normaltextrun"/>
          <w:rFonts w:cs="Calibri"/>
          <w:color w:val="000000"/>
        </w:rPr>
        <w:t>neonates</w:t>
      </w:r>
      <w:r w:rsidR="00AD79A9" w:rsidRPr="00D07F74">
        <w:rPr>
          <w:rStyle w:val="normaltextrun"/>
          <w:rFonts w:cs="Calibri"/>
          <w:color w:val="000000"/>
        </w:rPr>
        <w:t>, without insulin treatment, beyond 6 hours where there is a clear underlying cause (</w:t>
      </w:r>
      <w:proofErr w:type="gramStart"/>
      <w:r w:rsidR="00AD79A9" w:rsidRPr="00D07F74">
        <w:rPr>
          <w:rStyle w:val="normaltextrun"/>
          <w:rFonts w:cs="Calibri"/>
          <w:color w:val="000000"/>
        </w:rPr>
        <w:t>e</w:t>
      </w:r>
      <w:r w:rsidR="00F13B03" w:rsidRPr="00D07F74">
        <w:rPr>
          <w:rStyle w:val="normaltextrun"/>
          <w:rFonts w:cs="Calibri"/>
          <w:color w:val="000000"/>
        </w:rPr>
        <w:t>.</w:t>
      </w:r>
      <w:r w:rsidR="00AD79A9" w:rsidRPr="00D07F74">
        <w:rPr>
          <w:rStyle w:val="normaltextrun"/>
          <w:rFonts w:cs="Calibri"/>
          <w:color w:val="000000"/>
        </w:rPr>
        <w:t>g.</w:t>
      </w:r>
      <w:proofErr w:type="gramEnd"/>
      <w:r w:rsidR="00AD79A9" w:rsidRPr="00D07F74">
        <w:rPr>
          <w:rStyle w:val="normaltextrun"/>
          <w:rFonts w:cs="Calibri"/>
          <w:color w:val="000000"/>
        </w:rPr>
        <w:t xml:space="preserve"> stress response to surgery). This decision should be made by senior medical staff considering the potential risks and benefits.</w:t>
      </w:r>
    </w:p>
    <w:p w14:paraId="2F51A88A" w14:textId="0D37264A" w:rsidR="007B6904" w:rsidRPr="00185643" w:rsidRDefault="00E439C9" w:rsidP="003B16D9">
      <w:pPr>
        <w:pStyle w:val="ListBullet"/>
      </w:pPr>
      <w:r w:rsidRPr="00931A8B">
        <w:t>Insulin</w:t>
      </w:r>
      <w:r w:rsidR="00547B20">
        <w:t xml:space="preserve"> infusion</w:t>
      </w:r>
      <w:r w:rsidRPr="00931A8B">
        <w:t xml:space="preserve"> improves blood glucose levels, caloric </w:t>
      </w:r>
      <w:r w:rsidR="000B68D0" w:rsidRPr="00931A8B">
        <w:t>intake,</w:t>
      </w:r>
      <w:r w:rsidRPr="00931A8B">
        <w:t xml:space="preserve"> and weight gain</w:t>
      </w:r>
      <w:r w:rsidR="000B68D0">
        <w:t>.</w:t>
      </w:r>
      <w:r w:rsidRPr="00931A8B">
        <w:t xml:space="preserve"> </w:t>
      </w:r>
    </w:p>
    <w:p w14:paraId="2F51A892" w14:textId="6FDAFD1D" w:rsidR="007B6904" w:rsidRDefault="007B6904" w:rsidP="007B6904">
      <w:pPr>
        <w:rPr>
          <w:rFonts w:cs="Arial"/>
          <w:i/>
          <w:szCs w:val="24"/>
        </w:rPr>
      </w:pPr>
    </w:p>
    <w:p w14:paraId="2F51A893" w14:textId="77777777" w:rsidR="007B6904" w:rsidRDefault="004A6A7F"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0D76C351" w:rsidR="007B6904" w:rsidRPr="00C76688" w:rsidRDefault="007B6904" w:rsidP="004213C3">
            <w:pPr>
              <w:pStyle w:val="Heading1"/>
            </w:pPr>
            <w:bookmarkStart w:id="16" w:name="_Toc389473281"/>
            <w:bookmarkStart w:id="17" w:name="_Toc139140944"/>
            <w:r w:rsidRPr="00C76688">
              <w:t xml:space="preserve">Section 2 – </w:t>
            </w:r>
            <w:r w:rsidR="00E439C9">
              <w:t>Preparation of Insulin Solution</w:t>
            </w:r>
            <w:bookmarkEnd w:id="16"/>
            <w:bookmarkEnd w:id="17"/>
          </w:p>
        </w:tc>
      </w:tr>
    </w:tbl>
    <w:p w14:paraId="4A8EC53F" w14:textId="77777777" w:rsidR="00E439C9" w:rsidRDefault="00E439C9" w:rsidP="00E439C9">
      <w:pPr>
        <w:rPr>
          <w:rFonts w:cs="Arial"/>
          <w:b/>
          <w:szCs w:val="24"/>
        </w:rPr>
      </w:pPr>
    </w:p>
    <w:p w14:paraId="5D7C969B" w14:textId="4A8D0D0C" w:rsidR="00BC1270" w:rsidRPr="00BC0A6A" w:rsidRDefault="0050315D" w:rsidP="00185643">
      <w:pPr>
        <w:pStyle w:val="ListBullet"/>
      </w:pPr>
      <w:r>
        <w:t>I</w:t>
      </w:r>
      <w:r w:rsidR="00E439C9" w:rsidRPr="00931A8B">
        <w:t xml:space="preserve">nsulin infusion </w:t>
      </w:r>
      <w:r w:rsidR="008B4551">
        <w:t xml:space="preserve">prescription </w:t>
      </w:r>
      <w:r w:rsidR="00C40D16">
        <w:t>m</w:t>
      </w:r>
      <w:r w:rsidR="008B4551">
        <w:t>u</w:t>
      </w:r>
      <w:r w:rsidR="00C40D16">
        <w:t>s</w:t>
      </w:r>
      <w:r w:rsidR="008B4551">
        <w:t>t be placed</w:t>
      </w:r>
      <w:r w:rsidR="00E439C9" w:rsidRPr="00931A8B">
        <w:t xml:space="preserve"> </w:t>
      </w:r>
      <w:r w:rsidR="008D4E78">
        <w:t xml:space="preserve">in </w:t>
      </w:r>
      <w:r w:rsidR="00B40B48">
        <w:t>the patient</w:t>
      </w:r>
      <w:r w:rsidR="001A76C0">
        <w:t>’</w:t>
      </w:r>
      <w:r w:rsidR="00B40B48">
        <w:t>s clinical record</w:t>
      </w:r>
      <w:r w:rsidR="008D4E78">
        <w:t xml:space="preserve"> </w:t>
      </w:r>
      <w:r w:rsidR="00E439C9" w:rsidRPr="00931A8B">
        <w:t>(</w:t>
      </w:r>
      <w:r w:rsidR="00E439C9" w:rsidRPr="00BC0A6A">
        <w:t xml:space="preserve">use </w:t>
      </w:r>
      <w:proofErr w:type="spellStart"/>
      <w:r w:rsidRPr="00BC0A6A">
        <w:t>A</w:t>
      </w:r>
      <w:r w:rsidR="00E439C9" w:rsidRPr="00BC0A6A">
        <w:t>ctrapid</w:t>
      </w:r>
      <w:proofErr w:type="spellEnd"/>
      <w:r w:rsidR="00E439C9" w:rsidRPr="00BC0A6A">
        <w:t xml:space="preserve"> as </w:t>
      </w:r>
      <w:r w:rsidR="000360C3" w:rsidRPr="00BC0A6A">
        <w:t>per</w:t>
      </w:r>
      <w:r w:rsidR="00847549" w:rsidRPr="00BC0A6A">
        <w:t xml:space="preserve"> </w:t>
      </w:r>
      <w:r w:rsidR="00847549" w:rsidRPr="00185643">
        <w:rPr>
          <w:i/>
          <w:iCs/>
        </w:rPr>
        <w:t>Neonatal Intensive Care Drug Manual</w:t>
      </w:r>
      <w:r w:rsidR="00847549" w:rsidRPr="00BC0A6A">
        <w:t>/</w:t>
      </w:r>
      <w:r w:rsidR="00185643">
        <w:t>ANMF</w:t>
      </w:r>
      <w:r w:rsidR="00E439C9" w:rsidRPr="00BC0A6A">
        <w:t>)</w:t>
      </w:r>
      <w:r w:rsidR="008B4551">
        <w:t xml:space="preserve"> </w:t>
      </w:r>
      <w:r w:rsidR="00C40D16">
        <w:t>prior to administration</w:t>
      </w:r>
      <w:r w:rsidRPr="00BC0A6A">
        <w:t>.</w:t>
      </w:r>
      <w:r w:rsidR="00BC1270" w:rsidRPr="00BC0A6A">
        <w:t xml:space="preserve"> </w:t>
      </w:r>
    </w:p>
    <w:p w14:paraId="42252EB7" w14:textId="12B879AF" w:rsidR="00BC1270" w:rsidRDefault="00BC1270" w:rsidP="00185643">
      <w:pPr>
        <w:pStyle w:val="ListBullet"/>
      </w:pPr>
      <w:r>
        <w:t>There are two strengths of the solution for infusion:</w:t>
      </w:r>
    </w:p>
    <w:p w14:paraId="3A098903" w14:textId="0E3059FA" w:rsidR="00BC1270" w:rsidRDefault="00BC1270" w:rsidP="00185643">
      <w:pPr>
        <w:pStyle w:val="ListBullet"/>
        <w:ind w:left="852"/>
      </w:pPr>
      <w:r>
        <w:t>1 m</w:t>
      </w:r>
      <w:r w:rsidR="00412BAC">
        <w:t>L</w:t>
      </w:r>
      <w:r>
        <w:t>/h</w:t>
      </w:r>
      <w:r w:rsidR="00363511">
        <w:t>our</w:t>
      </w:r>
      <w:r>
        <w:t xml:space="preserve"> of single strength Insulin infusion provides 0.1 </w:t>
      </w:r>
      <w:r w:rsidR="000346C3">
        <w:t>units</w:t>
      </w:r>
      <w:r>
        <w:t>/</w:t>
      </w:r>
      <w:r w:rsidR="000346C3">
        <w:t>k</w:t>
      </w:r>
      <w:r>
        <w:t>g/h</w:t>
      </w:r>
      <w:r w:rsidR="004D557E">
        <w:t>our</w:t>
      </w:r>
      <w:r>
        <w:t xml:space="preserve"> of </w:t>
      </w:r>
      <w:r w:rsidR="00185643">
        <w:t>i</w:t>
      </w:r>
      <w:r>
        <w:t>nsulin</w:t>
      </w:r>
      <w:r w:rsidR="004D557E">
        <w:t xml:space="preserve"> (suitable if weight &gt; 1kg)</w:t>
      </w:r>
    </w:p>
    <w:p w14:paraId="1AD9FEC0" w14:textId="6FF8873D" w:rsidR="00BC1270" w:rsidRPr="00931A8B" w:rsidRDefault="00BC1270" w:rsidP="00185643">
      <w:pPr>
        <w:pStyle w:val="ListBullet"/>
        <w:ind w:left="852"/>
      </w:pPr>
      <w:r>
        <w:t>1 m</w:t>
      </w:r>
      <w:r w:rsidR="00412BAC">
        <w:t>L</w:t>
      </w:r>
      <w:r>
        <w:t>/h</w:t>
      </w:r>
      <w:r w:rsidR="004D557E">
        <w:t>our</w:t>
      </w:r>
      <w:r>
        <w:t xml:space="preserve"> of double strength Insulin infusion provides 0.2 </w:t>
      </w:r>
      <w:r w:rsidR="000346C3">
        <w:t>units</w:t>
      </w:r>
      <w:r>
        <w:t>/</w:t>
      </w:r>
      <w:r w:rsidR="000346C3">
        <w:t>k</w:t>
      </w:r>
      <w:r>
        <w:t>g/h</w:t>
      </w:r>
      <w:r w:rsidR="004D557E">
        <w:t>our</w:t>
      </w:r>
      <w:r>
        <w:t xml:space="preserve"> of </w:t>
      </w:r>
      <w:r w:rsidR="00185643">
        <w:t>i</w:t>
      </w:r>
      <w:r>
        <w:t>nsulin</w:t>
      </w:r>
      <w:r w:rsidR="00185643">
        <w:t>.</w:t>
      </w:r>
    </w:p>
    <w:p w14:paraId="27457A83" w14:textId="11BD6E62" w:rsidR="00E439C9" w:rsidRDefault="0050315D" w:rsidP="00185643">
      <w:pPr>
        <w:pStyle w:val="ListBullet"/>
      </w:pPr>
      <w:r>
        <w:t xml:space="preserve">Insulin </w:t>
      </w:r>
      <w:r w:rsidR="00E439C9" w:rsidRPr="00931A8B">
        <w:t>infusion</w:t>
      </w:r>
      <w:r w:rsidR="00E439C9">
        <w:t xml:space="preserve"> </w:t>
      </w:r>
      <w:r>
        <w:t xml:space="preserve">is prepared </w:t>
      </w:r>
      <w:r w:rsidR="00F11603">
        <w:t xml:space="preserve">and labelled </w:t>
      </w:r>
      <w:r w:rsidR="00E439C9">
        <w:t>by nursing staff</w:t>
      </w:r>
      <w:r>
        <w:t>.</w:t>
      </w:r>
    </w:p>
    <w:p w14:paraId="48E496E7" w14:textId="77777777" w:rsidR="004F49D1" w:rsidRDefault="004F49D1" w:rsidP="004F49D1">
      <w:pPr>
        <w:pStyle w:val="ListBullet"/>
        <w:numPr>
          <w:ilvl w:val="0"/>
          <w:numId w:val="0"/>
        </w:numPr>
        <w:ind w:left="426"/>
      </w:pPr>
    </w:p>
    <w:p w14:paraId="319E2F40" w14:textId="2A02CFA4" w:rsidR="004F49D1" w:rsidRPr="001A76C0" w:rsidRDefault="004F49D1" w:rsidP="001A76C0">
      <w:pPr>
        <w:pStyle w:val="ListBullet"/>
        <w:numPr>
          <w:ilvl w:val="0"/>
          <w:numId w:val="0"/>
        </w:numPr>
        <w:rPr>
          <w:b/>
          <w:bCs/>
        </w:rPr>
      </w:pPr>
      <w:r w:rsidRPr="001A76C0">
        <w:rPr>
          <w:b/>
          <w:bCs/>
        </w:rPr>
        <w:t>Equipment</w:t>
      </w:r>
    </w:p>
    <w:p w14:paraId="2F79ABA3" w14:textId="00894ED2" w:rsidR="00E439C9" w:rsidRDefault="00185643" w:rsidP="001A76C0">
      <w:pPr>
        <w:pStyle w:val="ListBullet"/>
      </w:pPr>
      <w:r>
        <w:t>a</w:t>
      </w:r>
      <w:r w:rsidR="0050315D">
        <w:t>lcohol based hand rub (ABHR)</w:t>
      </w:r>
    </w:p>
    <w:p w14:paraId="521B59E9" w14:textId="0489130E" w:rsidR="0050315D" w:rsidRPr="00931A8B" w:rsidRDefault="00185643" w:rsidP="001A76C0">
      <w:pPr>
        <w:pStyle w:val="ListBullet"/>
      </w:pPr>
      <w:r>
        <w:t>d</w:t>
      </w:r>
      <w:r w:rsidR="0050315D">
        <w:t>ressing tray</w:t>
      </w:r>
    </w:p>
    <w:p w14:paraId="69BA60F5" w14:textId="148BC667" w:rsidR="00E439C9" w:rsidRPr="00931A8B" w:rsidRDefault="00E439C9" w:rsidP="001A76C0">
      <w:pPr>
        <w:pStyle w:val="ListBullet"/>
      </w:pPr>
      <w:proofErr w:type="spellStart"/>
      <w:r w:rsidRPr="00931A8B">
        <w:t>Actrapid</w:t>
      </w:r>
      <w:proofErr w:type="spellEnd"/>
      <w:r w:rsidRPr="00931A8B">
        <w:t xml:space="preserve"> – Soluble Insulin </w:t>
      </w:r>
    </w:p>
    <w:p w14:paraId="2E26818E" w14:textId="0F0E9878" w:rsidR="00E439C9" w:rsidRPr="00931A8B" w:rsidRDefault="00185643" w:rsidP="001A76C0">
      <w:pPr>
        <w:pStyle w:val="ListBullet"/>
      </w:pPr>
      <w:r>
        <w:lastRenderedPageBreak/>
        <w:t>d</w:t>
      </w:r>
      <w:r w:rsidR="00E439C9" w:rsidRPr="00931A8B">
        <w:t>rawing up needles x 4 (do not use filter needle)</w:t>
      </w:r>
    </w:p>
    <w:p w14:paraId="1644E34E" w14:textId="77777777" w:rsidR="00E439C9" w:rsidRPr="00931A8B" w:rsidRDefault="00E439C9" w:rsidP="001A76C0">
      <w:pPr>
        <w:pStyle w:val="ListBullet"/>
      </w:pPr>
      <w:r w:rsidRPr="00931A8B">
        <w:t xml:space="preserve">1 mL syringe </w:t>
      </w:r>
    </w:p>
    <w:p w14:paraId="6BD0DC15" w14:textId="77777777" w:rsidR="00E439C9" w:rsidRPr="00931A8B" w:rsidRDefault="00E439C9" w:rsidP="001A76C0">
      <w:pPr>
        <w:pStyle w:val="ListBullet"/>
      </w:pPr>
      <w:r w:rsidRPr="00931A8B">
        <w:t xml:space="preserve">50 mL syringe  </w:t>
      </w:r>
    </w:p>
    <w:p w14:paraId="46980D09" w14:textId="483B3EF2" w:rsidR="00E439C9" w:rsidRPr="00931A8B" w:rsidRDefault="008D4E78" w:rsidP="001A76C0">
      <w:pPr>
        <w:pStyle w:val="ListBullet"/>
      </w:pPr>
      <w:r>
        <w:t>3</w:t>
      </w:r>
      <w:r w:rsidR="00E439C9" w:rsidRPr="00931A8B">
        <w:t>0 mL syringe</w:t>
      </w:r>
    </w:p>
    <w:p w14:paraId="5238F267" w14:textId="6A077111" w:rsidR="00E439C9" w:rsidRDefault="00185643" w:rsidP="001A76C0">
      <w:pPr>
        <w:pStyle w:val="ListBullet"/>
      </w:pPr>
      <w:r>
        <w:t>n</w:t>
      </w:r>
      <w:r w:rsidR="00E439C9">
        <w:t xml:space="preserve">ormal </w:t>
      </w:r>
      <w:r>
        <w:t>s</w:t>
      </w:r>
      <w:r w:rsidR="00E439C9">
        <w:t>aline</w:t>
      </w:r>
      <w:r w:rsidR="00BC1270">
        <w:t xml:space="preserve"> 0.9%</w:t>
      </w:r>
      <w:r w:rsidR="00E439C9">
        <w:t xml:space="preserve"> 20</w:t>
      </w:r>
      <w:r w:rsidR="00E439C9" w:rsidRPr="00931A8B">
        <w:t>mL</w:t>
      </w:r>
    </w:p>
    <w:p w14:paraId="4ED559AC" w14:textId="485B25F5" w:rsidR="00E439C9" w:rsidRPr="00614AAB" w:rsidRDefault="00185643" w:rsidP="001A76C0">
      <w:pPr>
        <w:pStyle w:val="ListBullet"/>
        <w:rPr>
          <w:rFonts w:cs="Calibri"/>
        </w:rPr>
      </w:pPr>
      <w:r>
        <w:t>m</w:t>
      </w:r>
      <w:r w:rsidR="00E439C9">
        <w:t xml:space="preserve">edication additive </w:t>
      </w:r>
      <w:r w:rsidR="00E439C9" w:rsidRPr="00614AAB">
        <w:rPr>
          <w:rFonts w:cs="Calibri"/>
        </w:rPr>
        <w:t>label</w:t>
      </w:r>
    </w:p>
    <w:p w14:paraId="69DE0941" w14:textId="3A3B60A7" w:rsidR="00E439C9" w:rsidRPr="00931A8B" w:rsidRDefault="00185643" w:rsidP="001A76C0">
      <w:pPr>
        <w:pStyle w:val="ListBullet"/>
      </w:pPr>
      <w:r>
        <w:t>ex</w:t>
      </w:r>
      <w:r w:rsidR="00E439C9" w:rsidRPr="00931A8B">
        <w:t xml:space="preserve">tension </w:t>
      </w:r>
      <w:proofErr w:type="gramStart"/>
      <w:r w:rsidR="00E439C9" w:rsidRPr="00931A8B">
        <w:t>set</w:t>
      </w:r>
      <w:proofErr w:type="gramEnd"/>
      <w:r w:rsidR="00E439C9" w:rsidRPr="00931A8B">
        <w:t xml:space="preserve"> </w:t>
      </w:r>
    </w:p>
    <w:p w14:paraId="0615E06D" w14:textId="3F41197F" w:rsidR="00E439C9" w:rsidRPr="00931A8B" w:rsidRDefault="00185643" w:rsidP="001A76C0">
      <w:pPr>
        <w:pStyle w:val="ListBullet"/>
      </w:pPr>
      <w:r>
        <w:t>a</w:t>
      </w:r>
      <w:r w:rsidR="00E439C9" w:rsidRPr="00931A8B">
        <w:t>lcohol</w:t>
      </w:r>
      <w:r w:rsidR="00E439C9">
        <w:t xml:space="preserve"> swab</w:t>
      </w:r>
    </w:p>
    <w:p w14:paraId="104F78F6" w14:textId="7ECBEDD6" w:rsidR="00E439C9" w:rsidRPr="00931A8B" w:rsidRDefault="00185643" w:rsidP="001A76C0">
      <w:pPr>
        <w:pStyle w:val="ListBullet"/>
      </w:pPr>
      <w:r>
        <w:t>i</w:t>
      </w:r>
      <w:r w:rsidR="008D4E78">
        <w:t xml:space="preserve">nfusion pump </w:t>
      </w:r>
      <w:r w:rsidR="00E439C9" w:rsidRPr="00931A8B">
        <w:t xml:space="preserve">with </w:t>
      </w:r>
      <w:r w:rsidR="00A5024D">
        <w:t xml:space="preserve">access to </w:t>
      </w:r>
      <w:r w:rsidR="003846EF">
        <w:t>n</w:t>
      </w:r>
      <w:r w:rsidR="00A5024D">
        <w:t xml:space="preserve">eonate </w:t>
      </w:r>
      <w:r w:rsidR="00E439C9" w:rsidRPr="00931A8B">
        <w:t>drug library</w:t>
      </w:r>
      <w:r>
        <w:t xml:space="preserve">. </w:t>
      </w:r>
    </w:p>
    <w:p w14:paraId="53E03428" w14:textId="77777777" w:rsidR="00E439C9" w:rsidRDefault="00E439C9" w:rsidP="00277F6A">
      <w:pPr>
        <w:jc w:val="both"/>
        <w:rPr>
          <w:rFonts w:cs="Arial"/>
          <w:b/>
          <w:szCs w:val="24"/>
        </w:rPr>
      </w:pPr>
    </w:p>
    <w:p w14:paraId="09EE301B" w14:textId="65CCCADC" w:rsidR="00BC1270" w:rsidRPr="00185643" w:rsidRDefault="00E439C9" w:rsidP="00277F6A">
      <w:pPr>
        <w:jc w:val="both"/>
        <w:rPr>
          <w:rFonts w:cs="Arial"/>
          <w:b/>
          <w:szCs w:val="24"/>
        </w:rPr>
      </w:pPr>
      <w:r w:rsidRPr="00185643">
        <w:rPr>
          <w:rFonts w:cs="Arial"/>
          <w:b/>
          <w:szCs w:val="24"/>
        </w:rPr>
        <w:t>Procedure</w:t>
      </w:r>
    </w:p>
    <w:p w14:paraId="6BAC8BF5" w14:textId="5B3D560E" w:rsidR="00E439C9" w:rsidRPr="00931A8B" w:rsidRDefault="00E439C9" w:rsidP="00185643">
      <w:pPr>
        <w:pStyle w:val="ListBullet"/>
      </w:pPr>
      <w:r w:rsidRPr="00931A8B">
        <w:t xml:space="preserve">The infusion is prepared as per </w:t>
      </w:r>
      <w:r w:rsidRPr="00BC0A6A">
        <w:t xml:space="preserve">the </w:t>
      </w:r>
      <w:r w:rsidR="00450C1E" w:rsidRPr="00185643">
        <w:rPr>
          <w:i/>
          <w:iCs/>
        </w:rPr>
        <w:t>Neonatal Intensive Care Drug Manual</w:t>
      </w:r>
      <w:r w:rsidR="00450C1E" w:rsidRPr="00BC0A6A">
        <w:t>/</w:t>
      </w:r>
      <w:r w:rsidR="00185643">
        <w:t>ANMF</w:t>
      </w:r>
      <w:r w:rsidR="00450C1E" w:rsidRPr="00BC0A6A">
        <w:t xml:space="preserve"> </w:t>
      </w:r>
      <w:r w:rsidRPr="00BC0A6A">
        <w:t>and</w:t>
      </w:r>
      <w:r>
        <w:t xml:space="preserve"> checked by </w:t>
      </w:r>
      <w:r w:rsidR="00185643">
        <w:t>two</w:t>
      </w:r>
      <w:r>
        <w:t xml:space="preserve"> nurses</w:t>
      </w:r>
      <w:r w:rsidR="00BC1270">
        <w:t>.</w:t>
      </w:r>
    </w:p>
    <w:p w14:paraId="7AA397D5" w14:textId="5C0BEABF" w:rsidR="00E439C9" w:rsidRDefault="008D4E78" w:rsidP="00185643">
      <w:pPr>
        <w:pStyle w:val="ListBullet"/>
      </w:pPr>
      <w:r>
        <w:t xml:space="preserve">Insulin binds to the plastic of giving sets. </w:t>
      </w:r>
      <w:r w:rsidR="000346C3">
        <w:t xml:space="preserve">Flush the </w:t>
      </w:r>
      <w:r>
        <w:t xml:space="preserve">extension </w:t>
      </w:r>
      <w:r w:rsidR="000346C3">
        <w:t xml:space="preserve">line with </w:t>
      </w:r>
      <w:r w:rsidR="00E439C9" w:rsidRPr="00931A8B">
        <w:t>2</w:t>
      </w:r>
      <w:r w:rsidR="00BC1270">
        <w:t>0</w:t>
      </w:r>
      <w:r w:rsidR="00E439C9" w:rsidRPr="00931A8B">
        <w:t>m</w:t>
      </w:r>
      <w:r w:rsidR="00693EBF">
        <w:t>L</w:t>
      </w:r>
      <w:r w:rsidR="00E439C9" w:rsidRPr="00931A8B">
        <w:t xml:space="preserve"> of prepared insulin solution</w:t>
      </w:r>
      <w:r w:rsidR="000346C3">
        <w:t xml:space="preserve"> into a receptacle prior to connection to the </w:t>
      </w:r>
      <w:r w:rsidR="008B3337">
        <w:t>neonate</w:t>
      </w:r>
      <w:r w:rsidR="000346C3">
        <w:t>.</w:t>
      </w:r>
      <w:r w:rsidR="00E439C9" w:rsidRPr="00931A8B">
        <w:t xml:space="preserve"> </w:t>
      </w:r>
      <w:r w:rsidR="006F491E">
        <w:t>This is to saturate the binding</w:t>
      </w:r>
      <w:r w:rsidR="00693EBF">
        <w:t xml:space="preserve"> and ensure the correct dose is delivered to the </w:t>
      </w:r>
      <w:r w:rsidR="008B3337">
        <w:t>neonate</w:t>
      </w:r>
      <w:r w:rsidR="006F491E">
        <w:t>.</w:t>
      </w:r>
    </w:p>
    <w:p w14:paraId="3A0CA2A0" w14:textId="0DEFBDDD" w:rsidR="006F491E" w:rsidRPr="006F491E" w:rsidRDefault="00693EBF" w:rsidP="00185643">
      <w:pPr>
        <w:pStyle w:val="ListBullet"/>
      </w:pPr>
      <w:r>
        <w:t>Insulin infusion c</w:t>
      </w:r>
      <w:r w:rsidR="006F491E">
        <w:t xml:space="preserve">an be infused with maintenance fluids. </w:t>
      </w:r>
    </w:p>
    <w:p w14:paraId="2F51A89F" w14:textId="3D8019A0" w:rsidR="007B6904" w:rsidRPr="00931B93" w:rsidRDefault="007B6904" w:rsidP="00277F6A">
      <w:pPr>
        <w:jc w:val="both"/>
        <w:rPr>
          <w:rFonts w:cs="Arial"/>
          <w:i/>
          <w:szCs w:val="24"/>
        </w:rPr>
      </w:pPr>
    </w:p>
    <w:p w14:paraId="2F51A8A0" w14:textId="77777777" w:rsidR="007B6904" w:rsidRDefault="004A6A7F" w:rsidP="006F491E">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277F6A">
      <w:pPr>
        <w:pStyle w:val="ProcedureTemplate"/>
        <w:framePr w:wrap="around"/>
        <w:jc w:val="both"/>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28712FD2" w:rsidR="007B6904" w:rsidRPr="003D2D06" w:rsidRDefault="00962C46" w:rsidP="00277F6A">
            <w:pPr>
              <w:pStyle w:val="Heading1"/>
              <w:jc w:val="both"/>
            </w:pPr>
            <w:bookmarkStart w:id="18" w:name="_Toc389473284"/>
            <w:bookmarkStart w:id="19" w:name="_Toc139140945"/>
            <w:r>
              <w:t xml:space="preserve">Section </w:t>
            </w:r>
            <w:r w:rsidR="00E439C9">
              <w:t>3</w:t>
            </w:r>
            <w:r w:rsidR="007B6904" w:rsidRPr="003D2D06">
              <w:t xml:space="preserve"> – </w:t>
            </w:r>
            <w:r w:rsidR="00E439C9" w:rsidRPr="00614AAB">
              <w:t>Administration</w:t>
            </w:r>
            <w:r w:rsidR="007E6C93">
              <w:t xml:space="preserve"> and Doses</w:t>
            </w:r>
            <w:r w:rsidR="00E439C9" w:rsidRPr="00614AAB">
              <w:t xml:space="preserve"> of Insulin Solution</w:t>
            </w:r>
            <w:bookmarkEnd w:id="18"/>
            <w:bookmarkEnd w:id="19"/>
          </w:p>
        </w:tc>
      </w:tr>
    </w:tbl>
    <w:p w14:paraId="2F51A8A4" w14:textId="5108D743" w:rsidR="007B6904" w:rsidRDefault="007B6904" w:rsidP="00277F6A">
      <w:pPr>
        <w:pStyle w:val="Heading2"/>
        <w:jc w:val="both"/>
      </w:pPr>
    </w:p>
    <w:p w14:paraId="5BFB8DC8" w14:textId="189093C7" w:rsidR="004251BC" w:rsidRPr="00185643" w:rsidRDefault="004251BC" w:rsidP="00185643">
      <w:pPr>
        <w:rPr>
          <w:b/>
          <w:bCs/>
        </w:rPr>
      </w:pPr>
      <w:r w:rsidRPr="00185643">
        <w:rPr>
          <w:b/>
          <w:bCs/>
        </w:rPr>
        <w:t>Administration</w:t>
      </w:r>
      <w:r w:rsidR="003846EF">
        <w:rPr>
          <w:b/>
          <w:bCs/>
        </w:rPr>
        <w:t>:</w:t>
      </w:r>
    </w:p>
    <w:p w14:paraId="435BAB7F" w14:textId="5AD1D914" w:rsidR="00E439C9" w:rsidRDefault="00E439C9" w:rsidP="00185643">
      <w:pPr>
        <w:numPr>
          <w:ilvl w:val="0"/>
          <w:numId w:val="18"/>
        </w:numPr>
        <w:rPr>
          <w:rFonts w:cs="Calibri"/>
          <w:szCs w:val="24"/>
        </w:rPr>
      </w:pPr>
      <w:r>
        <w:rPr>
          <w:rFonts w:cs="Calibri"/>
          <w:szCs w:val="24"/>
        </w:rPr>
        <w:t xml:space="preserve">Attend </w:t>
      </w:r>
      <w:r w:rsidR="00C86F29">
        <w:rPr>
          <w:rFonts w:cs="Calibri"/>
          <w:szCs w:val="24"/>
        </w:rPr>
        <w:t>to</w:t>
      </w:r>
      <w:r>
        <w:rPr>
          <w:rFonts w:cs="Calibri"/>
          <w:szCs w:val="24"/>
        </w:rPr>
        <w:t xml:space="preserve"> </w:t>
      </w:r>
      <w:r w:rsidR="00185643">
        <w:rPr>
          <w:rFonts w:cs="Calibri"/>
          <w:szCs w:val="24"/>
        </w:rPr>
        <w:t>h</w:t>
      </w:r>
      <w:r>
        <w:rPr>
          <w:rFonts w:cs="Calibri"/>
          <w:szCs w:val="24"/>
        </w:rPr>
        <w:t>and hygiene</w:t>
      </w:r>
      <w:r w:rsidR="00185643">
        <w:rPr>
          <w:rFonts w:cs="Calibri"/>
          <w:szCs w:val="24"/>
        </w:rPr>
        <w:t>.</w:t>
      </w:r>
      <w:r>
        <w:rPr>
          <w:rFonts w:cs="Calibri"/>
          <w:szCs w:val="24"/>
        </w:rPr>
        <w:t xml:space="preserve"> </w:t>
      </w:r>
    </w:p>
    <w:p w14:paraId="2ECF0FD0" w14:textId="57FEDE12" w:rsidR="00E439C9" w:rsidRDefault="00E439C9" w:rsidP="00185643">
      <w:pPr>
        <w:numPr>
          <w:ilvl w:val="0"/>
          <w:numId w:val="18"/>
        </w:numPr>
        <w:rPr>
          <w:rFonts w:cs="Calibri"/>
          <w:szCs w:val="24"/>
        </w:rPr>
      </w:pPr>
      <w:r>
        <w:rPr>
          <w:rFonts w:cs="Calibri"/>
          <w:szCs w:val="24"/>
        </w:rPr>
        <w:t xml:space="preserve">Identify the correct </w:t>
      </w:r>
      <w:r w:rsidR="009621B5">
        <w:rPr>
          <w:rFonts w:cs="Calibri"/>
          <w:szCs w:val="24"/>
        </w:rPr>
        <w:t>patient</w:t>
      </w:r>
      <w:r>
        <w:rPr>
          <w:rFonts w:cs="Calibri"/>
          <w:szCs w:val="24"/>
        </w:rPr>
        <w:t xml:space="preserve"> as per </w:t>
      </w:r>
      <w:r w:rsidR="00185643">
        <w:rPr>
          <w:rFonts w:cs="Calibri"/>
          <w:i/>
          <w:iCs/>
          <w:szCs w:val="24"/>
        </w:rPr>
        <w:t xml:space="preserve">CHS Patient Identification and Procedure Matching Procedure. </w:t>
      </w:r>
    </w:p>
    <w:p w14:paraId="589E6EE2" w14:textId="0301B180" w:rsidR="00E439C9" w:rsidRPr="00931A8B" w:rsidRDefault="008D4E78" w:rsidP="00185643">
      <w:pPr>
        <w:numPr>
          <w:ilvl w:val="0"/>
          <w:numId w:val="18"/>
        </w:numPr>
        <w:rPr>
          <w:rFonts w:cs="Calibri"/>
          <w:szCs w:val="24"/>
        </w:rPr>
      </w:pPr>
      <w:r>
        <w:rPr>
          <w:rFonts w:cs="Calibri"/>
          <w:szCs w:val="24"/>
        </w:rPr>
        <w:t xml:space="preserve">Infusion pump </w:t>
      </w:r>
      <w:r w:rsidR="00E439C9" w:rsidRPr="00931A8B">
        <w:rPr>
          <w:rFonts w:cs="Calibri"/>
          <w:szCs w:val="24"/>
        </w:rPr>
        <w:t xml:space="preserve">with </w:t>
      </w:r>
      <w:r w:rsidR="00CE2207">
        <w:rPr>
          <w:rFonts w:cs="Calibri"/>
          <w:szCs w:val="24"/>
        </w:rPr>
        <w:t>neo</w:t>
      </w:r>
      <w:r w:rsidR="003846EF">
        <w:rPr>
          <w:rFonts w:cs="Calibri"/>
          <w:szCs w:val="24"/>
        </w:rPr>
        <w:t>nate</w:t>
      </w:r>
      <w:r w:rsidR="00CE2207">
        <w:rPr>
          <w:rFonts w:cs="Calibri"/>
          <w:szCs w:val="24"/>
        </w:rPr>
        <w:t xml:space="preserve"> </w:t>
      </w:r>
      <w:r w:rsidR="00E439C9" w:rsidRPr="00931A8B">
        <w:rPr>
          <w:rFonts w:cs="Calibri"/>
          <w:szCs w:val="24"/>
        </w:rPr>
        <w:t>drug library must be used</w:t>
      </w:r>
      <w:r w:rsidR="00E439C9">
        <w:rPr>
          <w:rFonts w:cs="Calibri"/>
          <w:szCs w:val="24"/>
        </w:rPr>
        <w:t>.</w:t>
      </w:r>
    </w:p>
    <w:p w14:paraId="5110C983" w14:textId="49AD5E7F" w:rsidR="00E439C9" w:rsidRPr="00185643" w:rsidRDefault="00E439C9" w:rsidP="00185643">
      <w:pPr>
        <w:numPr>
          <w:ilvl w:val="0"/>
          <w:numId w:val="18"/>
        </w:numPr>
        <w:rPr>
          <w:rFonts w:cs="Calibri"/>
          <w:b/>
          <w:bCs/>
          <w:szCs w:val="24"/>
        </w:rPr>
      </w:pPr>
      <w:r w:rsidRPr="00185643">
        <w:rPr>
          <w:rFonts w:cs="Calibri"/>
          <w:b/>
          <w:bCs/>
          <w:szCs w:val="24"/>
        </w:rPr>
        <w:t>No filter is to be used in the extension line</w:t>
      </w:r>
      <w:r w:rsidR="004D7B38" w:rsidRPr="00185643">
        <w:rPr>
          <w:rFonts w:cs="Calibri"/>
          <w:b/>
          <w:bCs/>
          <w:szCs w:val="24"/>
        </w:rPr>
        <w:t xml:space="preserve">. </w:t>
      </w:r>
      <w:r w:rsidR="000346C3" w:rsidRPr="00185643">
        <w:rPr>
          <w:rFonts w:cs="Calibri"/>
          <w:b/>
          <w:bCs/>
          <w:szCs w:val="24"/>
        </w:rPr>
        <w:t>Insulin also binds to the filter</w:t>
      </w:r>
      <w:r w:rsidRPr="00185643">
        <w:rPr>
          <w:rFonts w:cs="Calibri"/>
          <w:b/>
          <w:bCs/>
          <w:szCs w:val="24"/>
        </w:rPr>
        <w:t xml:space="preserve">. </w:t>
      </w:r>
    </w:p>
    <w:p w14:paraId="0C0F98A2" w14:textId="77777777" w:rsidR="00E439C9" w:rsidRPr="00931A8B" w:rsidRDefault="00E439C9" w:rsidP="00185643">
      <w:pPr>
        <w:numPr>
          <w:ilvl w:val="0"/>
          <w:numId w:val="18"/>
        </w:numPr>
        <w:rPr>
          <w:rFonts w:cs="Calibri"/>
          <w:szCs w:val="24"/>
        </w:rPr>
      </w:pPr>
      <w:r w:rsidRPr="00931A8B">
        <w:rPr>
          <w:rFonts w:cs="Calibri"/>
          <w:szCs w:val="24"/>
        </w:rPr>
        <w:t>Use sterile procedure to connect infusion</w:t>
      </w:r>
      <w:r>
        <w:rPr>
          <w:rFonts w:cs="Calibri"/>
          <w:szCs w:val="24"/>
        </w:rPr>
        <w:t>.</w:t>
      </w:r>
      <w:r w:rsidRPr="00931A8B">
        <w:rPr>
          <w:rFonts w:cs="Calibri"/>
          <w:szCs w:val="24"/>
        </w:rPr>
        <w:t xml:space="preserve"> </w:t>
      </w:r>
    </w:p>
    <w:p w14:paraId="1F1D0823" w14:textId="44E0AE4D" w:rsidR="007E6C93" w:rsidRDefault="00E439C9" w:rsidP="00185643">
      <w:pPr>
        <w:numPr>
          <w:ilvl w:val="0"/>
          <w:numId w:val="18"/>
        </w:numPr>
        <w:rPr>
          <w:rFonts w:cs="Calibri"/>
          <w:szCs w:val="24"/>
        </w:rPr>
      </w:pPr>
      <w:r w:rsidRPr="00931A8B">
        <w:rPr>
          <w:rFonts w:cs="Calibri"/>
          <w:szCs w:val="24"/>
        </w:rPr>
        <w:t>Connect the insulin infusion into the maintenance line</w:t>
      </w:r>
      <w:r w:rsidRPr="00931A8B">
        <w:rPr>
          <w:rFonts w:cs="Calibri"/>
          <w:b/>
          <w:szCs w:val="24"/>
        </w:rPr>
        <w:t xml:space="preserve"> </w:t>
      </w:r>
      <w:r w:rsidRPr="00931A8B">
        <w:rPr>
          <w:rFonts w:cs="Calibri"/>
          <w:szCs w:val="24"/>
        </w:rPr>
        <w:t>at port closest to the</w:t>
      </w:r>
      <w:r>
        <w:rPr>
          <w:rFonts w:cs="Calibri"/>
          <w:szCs w:val="24"/>
        </w:rPr>
        <w:t xml:space="preserve"> </w:t>
      </w:r>
      <w:r w:rsidR="009621B5">
        <w:rPr>
          <w:rFonts w:cs="Calibri"/>
          <w:szCs w:val="24"/>
        </w:rPr>
        <w:t>patient</w:t>
      </w:r>
      <w:r>
        <w:rPr>
          <w:rFonts w:cs="Calibri"/>
          <w:szCs w:val="24"/>
        </w:rPr>
        <w:t>.</w:t>
      </w:r>
      <w:r w:rsidRPr="00931A8B">
        <w:rPr>
          <w:rFonts w:cs="Calibri"/>
          <w:szCs w:val="24"/>
        </w:rPr>
        <w:t xml:space="preserve"> </w:t>
      </w:r>
    </w:p>
    <w:p w14:paraId="5ABB33ED" w14:textId="555D34BF" w:rsidR="00E439C9" w:rsidRPr="00185643" w:rsidRDefault="00E439C9" w:rsidP="00185643">
      <w:pPr>
        <w:numPr>
          <w:ilvl w:val="0"/>
          <w:numId w:val="18"/>
        </w:numPr>
        <w:rPr>
          <w:rFonts w:cs="Calibri"/>
          <w:szCs w:val="24"/>
        </w:rPr>
      </w:pPr>
      <w:r w:rsidRPr="00185643">
        <w:rPr>
          <w:rFonts w:cs="Calibri"/>
          <w:b/>
          <w:bCs/>
          <w:szCs w:val="24"/>
        </w:rPr>
        <w:t xml:space="preserve">Do not use </w:t>
      </w:r>
      <w:r w:rsidR="00465B7C">
        <w:rPr>
          <w:rFonts w:cs="Calibri"/>
          <w:b/>
          <w:bCs/>
          <w:szCs w:val="24"/>
        </w:rPr>
        <w:t xml:space="preserve">the </w:t>
      </w:r>
      <w:r w:rsidR="003846EF">
        <w:rPr>
          <w:rFonts w:cs="Calibri"/>
          <w:b/>
          <w:bCs/>
          <w:szCs w:val="24"/>
        </w:rPr>
        <w:t xml:space="preserve">insulin infusion </w:t>
      </w:r>
      <w:r w:rsidRPr="00185643">
        <w:rPr>
          <w:rFonts w:cs="Calibri"/>
          <w:b/>
          <w:bCs/>
          <w:szCs w:val="24"/>
        </w:rPr>
        <w:t xml:space="preserve">line for administration of medications or flush line. </w:t>
      </w:r>
      <w:r w:rsidR="007E6C93" w:rsidRPr="00185643">
        <w:rPr>
          <w:b/>
          <w:bCs/>
        </w:rPr>
        <w:t>Do not bolus other drugs through this line</w:t>
      </w:r>
      <w:r w:rsidR="007E6C93" w:rsidRPr="00185643">
        <w:t>.</w:t>
      </w:r>
    </w:p>
    <w:p w14:paraId="3668B575" w14:textId="0AE3727C" w:rsidR="00450416" w:rsidRPr="00931A8B" w:rsidRDefault="00450416" w:rsidP="00185643">
      <w:pPr>
        <w:numPr>
          <w:ilvl w:val="0"/>
          <w:numId w:val="18"/>
        </w:numPr>
        <w:rPr>
          <w:rFonts w:cs="Calibri"/>
          <w:szCs w:val="24"/>
        </w:rPr>
      </w:pPr>
      <w:r>
        <w:rPr>
          <w:rFonts w:cs="Calibri"/>
          <w:szCs w:val="24"/>
        </w:rPr>
        <w:t xml:space="preserve">The </w:t>
      </w:r>
      <w:r w:rsidR="00422F91">
        <w:rPr>
          <w:rFonts w:cs="Calibri"/>
          <w:szCs w:val="24"/>
        </w:rPr>
        <w:t xml:space="preserve">insulin infusion </w:t>
      </w:r>
      <w:r>
        <w:rPr>
          <w:rFonts w:cs="Calibri"/>
          <w:szCs w:val="24"/>
        </w:rPr>
        <w:t xml:space="preserve">solution </w:t>
      </w:r>
      <w:r w:rsidR="004E6298">
        <w:rPr>
          <w:rFonts w:cs="Calibri"/>
          <w:szCs w:val="24"/>
        </w:rPr>
        <w:t xml:space="preserve">and lines </w:t>
      </w:r>
      <w:r>
        <w:rPr>
          <w:rFonts w:cs="Calibri"/>
          <w:szCs w:val="24"/>
        </w:rPr>
        <w:t>should be changed every 24 hours</w:t>
      </w:r>
      <w:r w:rsidR="00450C1E">
        <w:rPr>
          <w:rFonts w:cs="Calibri"/>
          <w:szCs w:val="24"/>
        </w:rPr>
        <w:t>.</w:t>
      </w:r>
    </w:p>
    <w:p w14:paraId="275826B1" w14:textId="77777777" w:rsidR="00E439C9" w:rsidRPr="00931A8B" w:rsidRDefault="00E439C9" w:rsidP="00185643">
      <w:pPr>
        <w:pStyle w:val="ListParagraph"/>
        <w:rPr>
          <w:rFonts w:cs="Calibri"/>
          <w:szCs w:val="24"/>
        </w:rPr>
      </w:pPr>
    </w:p>
    <w:p w14:paraId="77D135C9" w14:textId="01770B27" w:rsidR="004251BC" w:rsidRPr="00185643" w:rsidRDefault="004251BC" w:rsidP="00185643">
      <w:pPr>
        <w:tabs>
          <w:tab w:val="left" w:pos="900"/>
        </w:tabs>
        <w:rPr>
          <w:rFonts w:cs="Calibri"/>
          <w:b/>
          <w:szCs w:val="24"/>
        </w:rPr>
      </w:pPr>
      <w:r w:rsidRPr="00185643">
        <w:rPr>
          <w:rFonts w:cs="Calibri"/>
          <w:b/>
          <w:szCs w:val="24"/>
        </w:rPr>
        <w:t>Dose for treatment of hyperglycaemia</w:t>
      </w:r>
    </w:p>
    <w:p w14:paraId="4506F4CE" w14:textId="410D0422" w:rsidR="004251BC" w:rsidRPr="004251BC" w:rsidRDefault="00185643" w:rsidP="00185643">
      <w:pPr>
        <w:pStyle w:val="ListBullet"/>
      </w:pPr>
      <w:r>
        <w:t>r</w:t>
      </w:r>
      <w:r w:rsidR="004251BC" w:rsidRPr="004251BC">
        <w:t>ecommended s</w:t>
      </w:r>
      <w:r w:rsidR="00E439C9" w:rsidRPr="004251BC">
        <w:t xml:space="preserve">tarting dose </w:t>
      </w:r>
      <w:r w:rsidR="004251BC" w:rsidRPr="004251BC">
        <w:t xml:space="preserve">is </w:t>
      </w:r>
      <w:r w:rsidR="00E439C9" w:rsidRPr="004251BC">
        <w:t>0.05</w:t>
      </w:r>
      <w:r w:rsidR="004251BC" w:rsidRPr="004251BC">
        <w:t xml:space="preserve"> </w:t>
      </w:r>
      <w:r w:rsidR="003846EF">
        <w:t>u</w:t>
      </w:r>
      <w:r w:rsidR="004251BC" w:rsidRPr="004251BC">
        <w:t>nits</w:t>
      </w:r>
      <w:r w:rsidR="00E439C9" w:rsidRPr="004251BC">
        <w:t>/kg/</w:t>
      </w:r>
      <w:proofErr w:type="gramStart"/>
      <w:r w:rsidR="00E439C9" w:rsidRPr="004251BC">
        <w:t>hr</w:t>
      </w:r>
      <w:proofErr w:type="gramEnd"/>
    </w:p>
    <w:p w14:paraId="530B8388" w14:textId="2300BEFF" w:rsidR="00784F50" w:rsidRDefault="00185643" w:rsidP="00185643">
      <w:pPr>
        <w:pStyle w:val="ListBullet"/>
      </w:pPr>
      <w:r>
        <w:t>d</w:t>
      </w:r>
      <w:r w:rsidR="004251BC" w:rsidRPr="004251BC">
        <w:t xml:space="preserve">ose </w:t>
      </w:r>
      <w:r w:rsidR="000346C3" w:rsidRPr="004251BC">
        <w:t>range:</w:t>
      </w:r>
      <w:r w:rsidR="000346C3">
        <w:t xml:space="preserve"> </w:t>
      </w:r>
      <w:r w:rsidR="004251BC" w:rsidRPr="004251BC">
        <w:t xml:space="preserve">0.01 to 0.1 units/kg/hour </w:t>
      </w:r>
    </w:p>
    <w:p w14:paraId="6A7A1815" w14:textId="64CEEC40" w:rsidR="006538C9" w:rsidRPr="00784F50" w:rsidRDefault="00185643" w:rsidP="00185643">
      <w:pPr>
        <w:pStyle w:val="ListBullet"/>
      </w:pPr>
      <w:r>
        <w:t>t</w:t>
      </w:r>
      <w:r w:rsidR="006538C9">
        <w:t>arget glucose</w:t>
      </w:r>
      <w:r w:rsidR="008B3337">
        <w:t xml:space="preserve">: </w:t>
      </w:r>
      <w:r w:rsidR="003846EF">
        <w:t xml:space="preserve">BGL </w:t>
      </w:r>
      <w:r w:rsidR="006538C9">
        <w:t>8 to 10mmol/L</w:t>
      </w:r>
      <w:r>
        <w:t>.</w:t>
      </w:r>
    </w:p>
    <w:p w14:paraId="7BF2A513" w14:textId="77777777" w:rsidR="004251BC" w:rsidRPr="004251BC" w:rsidRDefault="004251BC" w:rsidP="00185643">
      <w:pPr>
        <w:pStyle w:val="ListParagraph"/>
        <w:tabs>
          <w:tab w:val="left" w:pos="900"/>
        </w:tabs>
        <w:rPr>
          <w:rFonts w:cs="Calibri"/>
          <w:b/>
          <w:szCs w:val="24"/>
        </w:rPr>
      </w:pPr>
    </w:p>
    <w:p w14:paraId="27A701EF" w14:textId="6A7BB97A" w:rsidR="00AA24A5" w:rsidRDefault="004251BC" w:rsidP="00185643">
      <w:pPr>
        <w:tabs>
          <w:tab w:val="left" w:pos="900"/>
        </w:tabs>
        <w:rPr>
          <w:rFonts w:cs="Calibri"/>
          <w:b/>
          <w:szCs w:val="24"/>
        </w:rPr>
      </w:pPr>
      <w:r w:rsidRPr="00185643">
        <w:rPr>
          <w:rFonts w:cs="Calibri"/>
          <w:b/>
          <w:szCs w:val="24"/>
        </w:rPr>
        <w:t>Insulin Sliding Scale (</w:t>
      </w:r>
      <w:r w:rsidR="00AA24A5">
        <w:rPr>
          <w:rFonts w:cs="Calibri"/>
          <w:b/>
          <w:szCs w:val="24"/>
        </w:rPr>
        <w:t>see Attachment 1)</w:t>
      </w:r>
    </w:p>
    <w:p w14:paraId="278764CC" w14:textId="77777777" w:rsidR="00671F40" w:rsidRDefault="00671F40" w:rsidP="00185643">
      <w:pPr>
        <w:tabs>
          <w:tab w:val="left" w:pos="900"/>
        </w:tabs>
        <w:rPr>
          <w:rFonts w:cs="Calibri"/>
          <w:b/>
          <w:szCs w:val="24"/>
        </w:rPr>
      </w:pPr>
    </w:p>
    <w:p w14:paraId="6AC6F0D0" w14:textId="333F92FC" w:rsidR="00671F40" w:rsidRPr="00671F40" w:rsidRDefault="00671F40" w:rsidP="00587D70">
      <w:pPr>
        <w:pBdr>
          <w:top w:val="single" w:sz="4" w:space="1" w:color="auto"/>
          <w:left w:val="single" w:sz="4" w:space="4" w:color="auto"/>
          <w:bottom w:val="single" w:sz="4" w:space="1" w:color="auto"/>
          <w:right w:val="single" w:sz="4" w:space="4" w:color="auto"/>
        </w:pBdr>
        <w:rPr>
          <w:rStyle w:val="normaltextrun"/>
          <w:rFonts w:cs="Calibri"/>
          <w:b/>
          <w:bCs/>
          <w:color w:val="000000"/>
          <w:shd w:val="clear" w:color="auto" w:fill="FFFFFF"/>
        </w:rPr>
      </w:pPr>
      <w:r w:rsidRPr="00671F40">
        <w:rPr>
          <w:rStyle w:val="normaltextrun"/>
          <w:rFonts w:cs="Calibri"/>
          <w:b/>
          <w:bCs/>
          <w:color w:val="000000"/>
          <w:shd w:val="clear" w:color="auto" w:fill="FFFFFF"/>
        </w:rPr>
        <w:t xml:space="preserve">Note: </w:t>
      </w:r>
    </w:p>
    <w:p w14:paraId="4D11E09B" w14:textId="13BD9341" w:rsidR="008B3337" w:rsidRPr="00671F40" w:rsidRDefault="00145AEF" w:rsidP="00587D70">
      <w:pPr>
        <w:pBdr>
          <w:top w:val="single" w:sz="4" w:space="1" w:color="auto"/>
          <w:left w:val="single" w:sz="4" w:space="4" w:color="auto"/>
          <w:bottom w:val="single" w:sz="4" w:space="1" w:color="auto"/>
          <w:right w:val="single" w:sz="4" w:space="4" w:color="auto"/>
        </w:pBdr>
        <w:rPr>
          <w:rFonts w:cs="Calibri"/>
          <w:color w:val="000000"/>
          <w:shd w:val="clear" w:color="auto" w:fill="FFFFFF"/>
        </w:rPr>
      </w:pPr>
      <w:r w:rsidRPr="00671F40">
        <w:rPr>
          <w:rStyle w:val="normaltextrun"/>
          <w:rFonts w:cs="Calibri"/>
          <w:color w:val="000000"/>
          <w:shd w:val="clear" w:color="auto" w:fill="FFFFFF"/>
        </w:rPr>
        <w:t xml:space="preserve">The Insulin Sliding Scale is a suggested scale that </w:t>
      </w:r>
      <w:r w:rsidR="00347671" w:rsidRPr="00671F40">
        <w:rPr>
          <w:rStyle w:val="normaltextrun"/>
          <w:rFonts w:cs="Calibri"/>
          <w:b/>
          <w:bCs/>
          <w:color w:val="000000"/>
          <w:shd w:val="clear" w:color="auto" w:fill="FFFFFF"/>
        </w:rPr>
        <w:t>can</w:t>
      </w:r>
      <w:r w:rsidRPr="00671F40">
        <w:rPr>
          <w:rStyle w:val="normaltextrun"/>
          <w:rFonts w:cs="Calibri"/>
          <w:b/>
          <w:bCs/>
          <w:color w:val="000000"/>
          <w:shd w:val="clear" w:color="auto" w:fill="FFFFFF"/>
        </w:rPr>
        <w:t xml:space="preserve"> be adjusted</w:t>
      </w:r>
      <w:r w:rsidRPr="00671F40">
        <w:rPr>
          <w:rStyle w:val="normaltextrun"/>
          <w:rFonts w:cs="Calibri"/>
          <w:color w:val="000000"/>
          <w:shd w:val="clear" w:color="auto" w:fill="FFFFFF"/>
        </w:rPr>
        <w:t xml:space="preserve"> based on </w:t>
      </w:r>
      <w:r w:rsidR="009621B5" w:rsidRPr="00671F40">
        <w:rPr>
          <w:rStyle w:val="normaltextrun"/>
          <w:rFonts w:cs="Calibri"/>
          <w:color w:val="000000"/>
          <w:shd w:val="clear" w:color="auto" w:fill="FFFFFF"/>
        </w:rPr>
        <w:t>patient</w:t>
      </w:r>
      <w:r w:rsidRPr="00671F40">
        <w:rPr>
          <w:rStyle w:val="normaltextrun"/>
          <w:rFonts w:cs="Calibri"/>
          <w:color w:val="000000"/>
          <w:shd w:val="clear" w:color="auto" w:fill="FFFFFF"/>
        </w:rPr>
        <w:t>’s risk profile and clinical response to the treatment with insulin.</w:t>
      </w:r>
    </w:p>
    <w:p w14:paraId="36E7717D" w14:textId="300292D3" w:rsidR="004251BC" w:rsidRPr="008B3337" w:rsidRDefault="004251BC" w:rsidP="00185643">
      <w:pPr>
        <w:tabs>
          <w:tab w:val="left" w:pos="900"/>
        </w:tabs>
        <w:rPr>
          <w:rFonts w:cs="Calibri"/>
          <w:bCs/>
          <w:szCs w:val="24"/>
        </w:rPr>
      </w:pPr>
    </w:p>
    <w:p w14:paraId="1E0464E1" w14:textId="3A87343B" w:rsidR="00E439C9" w:rsidRPr="00185643" w:rsidRDefault="004251BC" w:rsidP="00185643">
      <w:pPr>
        <w:tabs>
          <w:tab w:val="left" w:pos="900"/>
        </w:tabs>
        <w:rPr>
          <w:rFonts w:cs="Calibri"/>
          <w:bCs/>
          <w:szCs w:val="24"/>
        </w:rPr>
      </w:pPr>
      <w:r w:rsidRPr="00185643">
        <w:rPr>
          <w:rFonts w:cs="Calibri"/>
          <w:bCs/>
          <w:szCs w:val="24"/>
        </w:rPr>
        <w:t xml:space="preserve">Starting dose is usually </w:t>
      </w:r>
      <w:r w:rsidRPr="00185643">
        <w:rPr>
          <w:rFonts w:cs="Calibri"/>
          <w:b/>
          <w:szCs w:val="24"/>
        </w:rPr>
        <w:t>0.05 units/kg/hour</w:t>
      </w:r>
      <w:r w:rsidRPr="00185643">
        <w:rPr>
          <w:rFonts w:cs="Calibri"/>
          <w:bCs/>
          <w:szCs w:val="24"/>
        </w:rPr>
        <w:t xml:space="preserve">, </w:t>
      </w:r>
      <w:r w:rsidR="00784F50" w:rsidRPr="00185643">
        <w:rPr>
          <w:rFonts w:cs="Calibri"/>
          <w:bCs/>
          <w:szCs w:val="24"/>
        </w:rPr>
        <w:t xml:space="preserve">this </w:t>
      </w:r>
      <w:r w:rsidRPr="00185643">
        <w:rPr>
          <w:rFonts w:cs="Calibri"/>
          <w:bCs/>
          <w:szCs w:val="24"/>
        </w:rPr>
        <w:t xml:space="preserve">dose is </w:t>
      </w:r>
      <w:r w:rsidR="005D2C15" w:rsidRPr="00185643">
        <w:rPr>
          <w:rFonts w:cs="Calibri"/>
          <w:bCs/>
          <w:szCs w:val="24"/>
        </w:rPr>
        <w:t xml:space="preserve">then </w:t>
      </w:r>
      <w:r w:rsidR="00E439C9" w:rsidRPr="00185643">
        <w:rPr>
          <w:rFonts w:cs="Calibri"/>
          <w:bCs/>
          <w:szCs w:val="24"/>
        </w:rPr>
        <w:t>adjusted according to requirement</w:t>
      </w:r>
      <w:r w:rsidR="000346C3" w:rsidRPr="00185643">
        <w:rPr>
          <w:rFonts w:cs="Calibri"/>
          <w:bCs/>
          <w:szCs w:val="24"/>
        </w:rPr>
        <w:t>:</w:t>
      </w:r>
    </w:p>
    <w:p w14:paraId="299ED698" w14:textId="20DC9C7F" w:rsidR="00E439C9" w:rsidRPr="00185643" w:rsidRDefault="00185643" w:rsidP="00185643">
      <w:pPr>
        <w:pStyle w:val="ListBullet"/>
      </w:pPr>
      <w:r w:rsidRPr="00185643">
        <w:t>B</w:t>
      </w:r>
      <w:r w:rsidR="008B3337">
        <w:t xml:space="preserve">lood Glucose Level </w:t>
      </w:r>
      <w:r w:rsidR="00E439C9" w:rsidRPr="00185643">
        <w:t xml:space="preserve">&gt; 15mmol/L </w:t>
      </w:r>
      <w:r w:rsidR="00023565" w:rsidRPr="00023565">
        <w:rPr>
          <w:b/>
          <w:bCs/>
        </w:rPr>
        <w:t>increase</w:t>
      </w:r>
      <w:r w:rsidR="00E439C9" w:rsidRPr="00185643">
        <w:t xml:space="preserve"> infusion by 0.02 </w:t>
      </w:r>
      <w:r w:rsidR="00A42ED0">
        <w:t>units</w:t>
      </w:r>
      <w:r w:rsidR="00E439C9" w:rsidRPr="00185643">
        <w:t>/kg/hr</w:t>
      </w:r>
      <w:r w:rsidR="008B3337">
        <w:t>.</w:t>
      </w:r>
    </w:p>
    <w:p w14:paraId="4D9B4A4D" w14:textId="279D1553" w:rsidR="00E439C9" w:rsidRPr="00185643" w:rsidRDefault="00185643" w:rsidP="00185643">
      <w:pPr>
        <w:pStyle w:val="ListBullet"/>
      </w:pPr>
      <w:r w:rsidRPr="00185643">
        <w:t>B</w:t>
      </w:r>
      <w:r w:rsidR="008B3337">
        <w:t xml:space="preserve">lood Glucose Level </w:t>
      </w:r>
      <w:r w:rsidR="00E439C9" w:rsidRPr="00185643">
        <w:t xml:space="preserve">&gt; 10mmol/L </w:t>
      </w:r>
      <w:r w:rsidR="00023565" w:rsidRPr="00023565">
        <w:rPr>
          <w:b/>
          <w:bCs/>
        </w:rPr>
        <w:t>increase</w:t>
      </w:r>
      <w:r w:rsidR="00023565">
        <w:t xml:space="preserve"> </w:t>
      </w:r>
      <w:r w:rsidR="00E439C9" w:rsidRPr="00185643">
        <w:t xml:space="preserve">infusion by 0.01 </w:t>
      </w:r>
      <w:r w:rsidR="00A42ED0">
        <w:t>units</w:t>
      </w:r>
      <w:r w:rsidR="00E439C9" w:rsidRPr="00185643">
        <w:t>/kg/hr</w:t>
      </w:r>
      <w:r w:rsidR="008B3337">
        <w:t>.</w:t>
      </w:r>
    </w:p>
    <w:p w14:paraId="597E57F1" w14:textId="736FF4D0" w:rsidR="00E439C9" w:rsidRPr="00185643" w:rsidRDefault="00185643" w:rsidP="00185643">
      <w:pPr>
        <w:pStyle w:val="ListBullet"/>
      </w:pPr>
      <w:r w:rsidRPr="00185643">
        <w:t>B</w:t>
      </w:r>
      <w:r w:rsidR="008B3337">
        <w:t xml:space="preserve">lood Glucose Level </w:t>
      </w:r>
      <w:r w:rsidR="00450C1E" w:rsidRPr="00185643">
        <w:t>8</w:t>
      </w:r>
      <w:r w:rsidR="00E439C9" w:rsidRPr="00185643">
        <w:t xml:space="preserve">-10mmol/L </w:t>
      </w:r>
      <w:r w:rsidR="00023565" w:rsidRPr="00023565">
        <w:rPr>
          <w:b/>
          <w:bCs/>
        </w:rPr>
        <w:t>keep</w:t>
      </w:r>
      <w:r w:rsidR="00023565">
        <w:t xml:space="preserve"> </w:t>
      </w:r>
      <w:r w:rsidR="00E439C9" w:rsidRPr="00185643">
        <w:t xml:space="preserve">infusion </w:t>
      </w:r>
      <w:r w:rsidR="00023565" w:rsidRPr="00023565">
        <w:rPr>
          <w:b/>
          <w:bCs/>
        </w:rPr>
        <w:t>the same</w:t>
      </w:r>
      <w:r w:rsidR="00450C1E" w:rsidRPr="00185643">
        <w:t xml:space="preserve">, </w:t>
      </w:r>
      <w:r w:rsidR="00E439C9" w:rsidRPr="00185643">
        <w:t>then wean at least once daily by 0.01</w:t>
      </w:r>
      <w:r w:rsidR="00A42ED0">
        <w:t xml:space="preserve"> units</w:t>
      </w:r>
      <w:r w:rsidR="00E439C9" w:rsidRPr="00185643">
        <w:t>/kg/hr if stable in this range</w:t>
      </w:r>
      <w:r w:rsidR="00E950CE" w:rsidRPr="00185643">
        <w:t>.</w:t>
      </w:r>
    </w:p>
    <w:p w14:paraId="7C6D93A8" w14:textId="40D5BB47" w:rsidR="00E950CE" w:rsidRPr="00185643" w:rsidRDefault="00185643" w:rsidP="00185643">
      <w:pPr>
        <w:pStyle w:val="ListBullet"/>
      </w:pPr>
      <w:r w:rsidRPr="00185643">
        <w:t>B</w:t>
      </w:r>
      <w:r w:rsidR="008B3337">
        <w:t xml:space="preserve">lood Glucose Level </w:t>
      </w:r>
      <w:r w:rsidR="00450C1E" w:rsidRPr="00185643">
        <w:t xml:space="preserve">6-8mmol/L </w:t>
      </w:r>
      <w:r w:rsidR="00023565" w:rsidRPr="00023565">
        <w:rPr>
          <w:b/>
          <w:bCs/>
        </w:rPr>
        <w:t>decrease</w:t>
      </w:r>
      <w:r w:rsidR="00023565">
        <w:t xml:space="preserve"> </w:t>
      </w:r>
      <w:r w:rsidR="00450C1E" w:rsidRPr="00185643">
        <w:t>by 0.01</w:t>
      </w:r>
      <w:r w:rsidR="00A42ED0">
        <w:t xml:space="preserve"> units</w:t>
      </w:r>
      <w:r w:rsidR="00450C1E" w:rsidRPr="00185643">
        <w:t>/kg/h</w:t>
      </w:r>
      <w:r w:rsidR="00BC0A6A" w:rsidRPr="00185643">
        <w:t>r</w:t>
      </w:r>
      <w:r w:rsidR="00450C1E" w:rsidRPr="00185643">
        <w:t xml:space="preserve">. Consider </w:t>
      </w:r>
      <w:r w:rsidR="00023565" w:rsidRPr="00023565">
        <w:rPr>
          <w:b/>
          <w:bCs/>
        </w:rPr>
        <w:t>stopping</w:t>
      </w:r>
      <w:r w:rsidR="00023565">
        <w:t xml:space="preserve"> </w:t>
      </w:r>
      <w:r w:rsidR="00450C1E" w:rsidRPr="00185643">
        <w:t xml:space="preserve">infusion if </w:t>
      </w:r>
      <w:r w:rsidR="00E950CE" w:rsidRPr="00185643">
        <w:t>low dose of insulin is</w:t>
      </w:r>
      <w:r w:rsidR="005D2C15" w:rsidRPr="00185643">
        <w:t xml:space="preserve"> being</w:t>
      </w:r>
      <w:r w:rsidR="00E950CE" w:rsidRPr="00185643">
        <w:t xml:space="preserve"> given</w:t>
      </w:r>
      <w:r w:rsidR="004B3EB1" w:rsidRPr="00185643">
        <w:t xml:space="preserve"> (</w:t>
      </w:r>
      <w:r w:rsidR="00BC0A6A" w:rsidRPr="00185643">
        <w:t>≤</w:t>
      </w:r>
      <w:r w:rsidR="004B3EB1" w:rsidRPr="00185643">
        <w:t xml:space="preserve">0.02 </w:t>
      </w:r>
      <w:r w:rsidR="00A42ED0">
        <w:t>units</w:t>
      </w:r>
      <w:r w:rsidR="004B3EB1" w:rsidRPr="00185643">
        <w:t>/kg/h</w:t>
      </w:r>
      <w:r w:rsidR="00BC0A6A" w:rsidRPr="00185643">
        <w:t>r</w:t>
      </w:r>
      <w:r w:rsidR="004B3EB1" w:rsidRPr="00185643">
        <w:t>)</w:t>
      </w:r>
      <w:r w:rsidR="00BC0A6A" w:rsidRPr="00185643">
        <w:t>.</w:t>
      </w:r>
    </w:p>
    <w:p w14:paraId="5F00AEF0" w14:textId="42040082" w:rsidR="00E439C9" w:rsidRPr="00185643" w:rsidRDefault="00185643" w:rsidP="00185643">
      <w:pPr>
        <w:pStyle w:val="ListBullet"/>
      </w:pPr>
      <w:r w:rsidRPr="00185643">
        <w:t>B</w:t>
      </w:r>
      <w:r w:rsidR="008B3337">
        <w:t>lood Glucose Level</w:t>
      </w:r>
      <w:r w:rsidRPr="00185643">
        <w:t xml:space="preserve"> </w:t>
      </w:r>
      <w:r w:rsidR="00BC0A6A" w:rsidRPr="00185643">
        <w:rPr>
          <w:rStyle w:val="normaltextrun"/>
        </w:rPr>
        <w:t xml:space="preserve">&lt; 6mmol/L </w:t>
      </w:r>
      <w:r w:rsidR="00023565" w:rsidRPr="00023565">
        <w:rPr>
          <w:rStyle w:val="normaltextrun"/>
          <w:b/>
          <w:bCs/>
        </w:rPr>
        <w:t>stop</w:t>
      </w:r>
      <w:r w:rsidR="00023565">
        <w:rPr>
          <w:rStyle w:val="normaltextrun"/>
        </w:rPr>
        <w:t xml:space="preserve"> </w:t>
      </w:r>
      <w:r w:rsidR="00BC0A6A" w:rsidRPr="00185643">
        <w:rPr>
          <w:rStyle w:val="normaltextrun"/>
        </w:rPr>
        <w:t xml:space="preserve">infusion if low dose of insulin is being given (≤0.02 </w:t>
      </w:r>
      <w:r w:rsidR="00A42ED0">
        <w:rPr>
          <w:rStyle w:val="normaltextrun"/>
        </w:rPr>
        <w:t>units</w:t>
      </w:r>
      <w:r w:rsidR="00BC0A6A" w:rsidRPr="00185643">
        <w:rPr>
          <w:rStyle w:val="normaltextrun"/>
        </w:rPr>
        <w:t xml:space="preserve">/kg/hr); if higher dose of insulin being given </w:t>
      </w:r>
      <w:r w:rsidR="00023565" w:rsidRPr="00023565">
        <w:rPr>
          <w:rStyle w:val="normaltextrun"/>
          <w:b/>
          <w:bCs/>
        </w:rPr>
        <w:t>decrease</w:t>
      </w:r>
      <w:r w:rsidR="00023565">
        <w:rPr>
          <w:rStyle w:val="normaltextrun"/>
        </w:rPr>
        <w:t xml:space="preserve"> </w:t>
      </w:r>
      <w:r w:rsidR="00BC0A6A" w:rsidRPr="00185643">
        <w:rPr>
          <w:rStyle w:val="normaltextrun"/>
        </w:rPr>
        <w:t xml:space="preserve">the infusion (by 0.01-0.02 </w:t>
      </w:r>
      <w:r w:rsidR="00A42ED0">
        <w:rPr>
          <w:rStyle w:val="normaltextrun"/>
        </w:rPr>
        <w:t>units</w:t>
      </w:r>
      <w:r w:rsidR="00BC0A6A" w:rsidRPr="00185643">
        <w:rPr>
          <w:rStyle w:val="normaltextrun"/>
        </w:rPr>
        <w:t>/kg/hr, or by larger amounts if directed by a consultant/fellow).</w:t>
      </w:r>
    </w:p>
    <w:p w14:paraId="384406BA" w14:textId="77777777" w:rsidR="00E439C9" w:rsidRPr="00931A8B" w:rsidRDefault="00E439C9" w:rsidP="00277F6A">
      <w:pPr>
        <w:pStyle w:val="ListParagraph"/>
        <w:tabs>
          <w:tab w:val="left" w:pos="900"/>
        </w:tabs>
        <w:jc w:val="both"/>
        <w:rPr>
          <w:rFonts w:cs="Arial"/>
          <w:b/>
          <w:szCs w:val="24"/>
        </w:rPr>
      </w:pPr>
    </w:p>
    <w:p w14:paraId="43336615" w14:textId="77777777" w:rsidR="00023565" w:rsidRDefault="00023565" w:rsidP="002621D0">
      <w:pPr>
        <w:pBdr>
          <w:top w:val="single" w:sz="4" w:space="1" w:color="auto"/>
          <w:left w:val="single" w:sz="4" w:space="4" w:color="auto"/>
          <w:bottom w:val="single" w:sz="4" w:space="1" w:color="auto"/>
          <w:right w:val="single" w:sz="4" w:space="4" w:color="auto"/>
        </w:pBdr>
        <w:rPr>
          <w:rFonts w:cs="Calibri"/>
          <w:b/>
          <w:bCs/>
          <w:szCs w:val="24"/>
        </w:rPr>
      </w:pPr>
      <w:r>
        <w:rPr>
          <w:rFonts w:cs="Calibri"/>
          <w:b/>
          <w:bCs/>
          <w:szCs w:val="24"/>
        </w:rPr>
        <w:t xml:space="preserve">Alert: </w:t>
      </w:r>
    </w:p>
    <w:p w14:paraId="6CD407A6" w14:textId="586C858D" w:rsidR="00BC0A6A" w:rsidRPr="00671F40" w:rsidRDefault="00E439C9" w:rsidP="002621D0">
      <w:pPr>
        <w:pBdr>
          <w:top w:val="single" w:sz="4" w:space="1" w:color="auto"/>
          <w:left w:val="single" w:sz="4" w:space="4" w:color="auto"/>
          <w:bottom w:val="single" w:sz="4" w:space="1" w:color="auto"/>
          <w:right w:val="single" w:sz="4" w:space="4" w:color="auto"/>
        </w:pBdr>
        <w:rPr>
          <w:rFonts w:cs="Calibri"/>
          <w:szCs w:val="24"/>
        </w:rPr>
      </w:pPr>
      <w:r w:rsidRPr="002621D0">
        <w:rPr>
          <w:rFonts w:cs="Calibri"/>
          <w:szCs w:val="24"/>
        </w:rPr>
        <w:t xml:space="preserve">If there is a </w:t>
      </w:r>
      <w:r w:rsidR="00784F50" w:rsidRPr="00671F40">
        <w:rPr>
          <w:rFonts w:cs="Calibri"/>
          <w:b/>
          <w:bCs/>
          <w:szCs w:val="24"/>
        </w:rPr>
        <w:t>rapid</w:t>
      </w:r>
      <w:r w:rsidRPr="00671F40">
        <w:rPr>
          <w:rFonts w:cs="Calibri"/>
          <w:b/>
          <w:bCs/>
          <w:szCs w:val="24"/>
        </w:rPr>
        <w:t xml:space="preserve"> fall</w:t>
      </w:r>
      <w:r w:rsidRPr="002621D0">
        <w:rPr>
          <w:rFonts w:cs="Calibri"/>
          <w:szCs w:val="24"/>
        </w:rPr>
        <w:t xml:space="preserve"> in the blood glucose level</w:t>
      </w:r>
      <w:r w:rsidR="00784F50" w:rsidRPr="002621D0">
        <w:rPr>
          <w:rFonts w:cs="Calibri"/>
          <w:szCs w:val="24"/>
        </w:rPr>
        <w:t xml:space="preserve"> (&gt;3-4mmol/L per hour)</w:t>
      </w:r>
      <w:r w:rsidRPr="002621D0">
        <w:rPr>
          <w:rFonts w:cs="Calibri"/>
          <w:szCs w:val="24"/>
        </w:rPr>
        <w:t xml:space="preserve">, the insulin rate </w:t>
      </w:r>
      <w:r w:rsidR="00023565" w:rsidRPr="00671F40">
        <w:rPr>
          <w:rFonts w:cs="Calibri"/>
          <w:b/>
          <w:bCs/>
          <w:szCs w:val="24"/>
        </w:rPr>
        <w:t>must</w:t>
      </w:r>
      <w:r w:rsidR="00023565" w:rsidRPr="002621D0">
        <w:rPr>
          <w:rFonts w:cs="Calibri"/>
          <w:szCs w:val="24"/>
        </w:rPr>
        <w:t xml:space="preserve"> </w:t>
      </w:r>
      <w:r w:rsidRPr="002621D0">
        <w:rPr>
          <w:rFonts w:cs="Calibri"/>
          <w:szCs w:val="24"/>
        </w:rPr>
        <w:t xml:space="preserve">be reduced by 0.02-0.04 </w:t>
      </w:r>
      <w:r w:rsidR="00A42ED0">
        <w:rPr>
          <w:rFonts w:cs="Calibri"/>
          <w:szCs w:val="24"/>
        </w:rPr>
        <w:t>units</w:t>
      </w:r>
      <w:r w:rsidRPr="002621D0">
        <w:rPr>
          <w:rFonts w:cs="Calibri"/>
          <w:szCs w:val="24"/>
        </w:rPr>
        <w:t>/kg/hr or stopped if the drop is significant</w:t>
      </w:r>
      <w:r w:rsidR="00D4519F" w:rsidRPr="002621D0">
        <w:rPr>
          <w:rFonts w:cs="Calibri"/>
          <w:szCs w:val="24"/>
        </w:rPr>
        <w:t xml:space="preserve">. Any rapid decrease must be informed to </w:t>
      </w:r>
      <w:r w:rsidRPr="002621D0">
        <w:rPr>
          <w:rFonts w:cs="Calibri"/>
          <w:szCs w:val="24"/>
        </w:rPr>
        <w:t>medical officer</w:t>
      </w:r>
      <w:r w:rsidR="00D4519F" w:rsidRPr="002621D0">
        <w:rPr>
          <w:rFonts w:cs="Calibri"/>
          <w:szCs w:val="24"/>
        </w:rPr>
        <w:t xml:space="preserve"> and insulin infusion needs to be adjusted promptly</w:t>
      </w:r>
      <w:r w:rsidRPr="002621D0">
        <w:rPr>
          <w:rFonts w:cs="Calibri"/>
          <w:szCs w:val="24"/>
        </w:rPr>
        <w:t>.</w:t>
      </w:r>
    </w:p>
    <w:p w14:paraId="648D94CE" w14:textId="77777777" w:rsidR="00E439C9" w:rsidRPr="00931A8B" w:rsidRDefault="00E439C9" w:rsidP="00023565">
      <w:pPr>
        <w:rPr>
          <w:rFonts w:cs="Calibri"/>
          <w:szCs w:val="24"/>
        </w:rPr>
      </w:pPr>
    </w:p>
    <w:p w14:paraId="269295ED" w14:textId="063DEAC2" w:rsidR="00E439C9" w:rsidRPr="00023565" w:rsidRDefault="00E439C9" w:rsidP="00023565">
      <w:pPr>
        <w:tabs>
          <w:tab w:val="left" w:pos="900"/>
        </w:tabs>
        <w:rPr>
          <w:rFonts w:cs="Calibri"/>
          <w:b/>
          <w:szCs w:val="24"/>
        </w:rPr>
      </w:pPr>
      <w:r w:rsidRPr="00023565">
        <w:rPr>
          <w:rFonts w:cs="Calibri"/>
          <w:b/>
          <w:szCs w:val="24"/>
        </w:rPr>
        <w:t>Management</w:t>
      </w:r>
      <w:r w:rsidR="00787022">
        <w:rPr>
          <w:rFonts w:cs="Calibri"/>
          <w:b/>
          <w:szCs w:val="24"/>
        </w:rPr>
        <w:t xml:space="preserve"> </w:t>
      </w:r>
      <w:r w:rsidR="00145AEF">
        <w:rPr>
          <w:rFonts w:cs="Calibri"/>
          <w:b/>
          <w:szCs w:val="24"/>
        </w:rPr>
        <w:t>of neonates receiving treatment with insulin infusion</w:t>
      </w:r>
      <w:r w:rsidR="00347671">
        <w:rPr>
          <w:rFonts w:cs="Calibri"/>
          <w:b/>
          <w:szCs w:val="24"/>
        </w:rPr>
        <w:t xml:space="preserve">: </w:t>
      </w:r>
    </w:p>
    <w:p w14:paraId="608E7EEF" w14:textId="18754F29" w:rsidR="00E439C9" w:rsidRDefault="00E439C9" w:rsidP="00023565">
      <w:pPr>
        <w:numPr>
          <w:ilvl w:val="0"/>
          <w:numId w:val="19"/>
        </w:numPr>
        <w:rPr>
          <w:rFonts w:cs="Calibri"/>
          <w:szCs w:val="24"/>
        </w:rPr>
      </w:pPr>
      <w:r w:rsidRPr="00931A8B">
        <w:rPr>
          <w:rFonts w:cs="Calibri"/>
          <w:szCs w:val="24"/>
        </w:rPr>
        <w:t xml:space="preserve">The </w:t>
      </w:r>
      <w:r w:rsidR="00205AC8">
        <w:rPr>
          <w:rFonts w:cs="Calibri"/>
          <w:szCs w:val="24"/>
        </w:rPr>
        <w:t xml:space="preserve">volume of the infusion of </w:t>
      </w:r>
      <w:r w:rsidR="00023565">
        <w:rPr>
          <w:rFonts w:cs="Calibri"/>
          <w:szCs w:val="24"/>
        </w:rPr>
        <w:t>i</w:t>
      </w:r>
      <w:r w:rsidR="00205AC8">
        <w:rPr>
          <w:rFonts w:cs="Calibri"/>
          <w:szCs w:val="24"/>
        </w:rPr>
        <w:t>nsulin is not included in the total fluid intake (TFI)</w:t>
      </w:r>
      <w:r w:rsidR="00450C1E">
        <w:rPr>
          <w:rFonts w:cs="Calibri"/>
          <w:szCs w:val="24"/>
        </w:rPr>
        <w:t>.</w:t>
      </w:r>
    </w:p>
    <w:p w14:paraId="75C27996" w14:textId="1E54F733" w:rsidR="00134068" w:rsidRPr="00931A8B" w:rsidRDefault="00023565" w:rsidP="00023565">
      <w:pPr>
        <w:numPr>
          <w:ilvl w:val="0"/>
          <w:numId w:val="19"/>
        </w:numPr>
        <w:rPr>
          <w:rFonts w:cs="Calibri"/>
          <w:szCs w:val="24"/>
        </w:rPr>
      </w:pPr>
      <w:r>
        <w:t xml:space="preserve">BGL </w:t>
      </w:r>
      <w:r w:rsidR="00134068">
        <w:t>must be monitored closely to detect hypoglycaemia.</w:t>
      </w:r>
    </w:p>
    <w:p w14:paraId="55A88EDC" w14:textId="63952DA8" w:rsidR="00E439C9" w:rsidRPr="00931A8B" w:rsidRDefault="007E6C93" w:rsidP="00023565">
      <w:pPr>
        <w:numPr>
          <w:ilvl w:val="0"/>
          <w:numId w:val="19"/>
        </w:numPr>
        <w:rPr>
          <w:rFonts w:cs="Calibri"/>
          <w:szCs w:val="24"/>
        </w:rPr>
      </w:pPr>
      <w:r>
        <w:rPr>
          <w:rFonts w:cs="Calibri"/>
          <w:szCs w:val="24"/>
        </w:rPr>
        <w:t xml:space="preserve">Monitor </w:t>
      </w:r>
      <w:r w:rsidR="00023565">
        <w:rPr>
          <w:rFonts w:cs="Calibri"/>
          <w:szCs w:val="24"/>
        </w:rPr>
        <w:t xml:space="preserve">BGLs </w:t>
      </w:r>
      <w:r>
        <w:rPr>
          <w:rFonts w:cs="Calibri"/>
          <w:szCs w:val="24"/>
        </w:rPr>
        <w:t>and document results</w:t>
      </w:r>
      <w:r w:rsidR="009C6D8D">
        <w:rPr>
          <w:rFonts w:cs="Calibri"/>
          <w:szCs w:val="24"/>
        </w:rPr>
        <w:t xml:space="preserve"> as following</w:t>
      </w:r>
      <w:r>
        <w:rPr>
          <w:rFonts w:cs="Calibri"/>
          <w:szCs w:val="24"/>
        </w:rPr>
        <w:t>:</w:t>
      </w:r>
    </w:p>
    <w:p w14:paraId="3E7D6750" w14:textId="16D34638" w:rsidR="00E439C9" w:rsidRPr="00BC0A6A" w:rsidRDefault="00134068" w:rsidP="00023565">
      <w:pPr>
        <w:pStyle w:val="ListBullet"/>
        <w:ind w:left="786"/>
      </w:pPr>
      <w:r w:rsidRPr="00BC0A6A">
        <w:t>60</w:t>
      </w:r>
      <w:r w:rsidR="007E6C93" w:rsidRPr="00BC0A6A">
        <w:t xml:space="preserve"> minutes </w:t>
      </w:r>
      <w:r w:rsidR="00DF4EF1">
        <w:t>after</w:t>
      </w:r>
      <w:r w:rsidR="00DF4EF1" w:rsidRPr="00BC0A6A">
        <w:t xml:space="preserve"> </w:t>
      </w:r>
      <w:r w:rsidR="00E439C9" w:rsidRPr="00BC0A6A">
        <w:t>commencement of insulin infusion</w:t>
      </w:r>
      <w:r w:rsidRPr="00BC0A6A">
        <w:t xml:space="preserve"> </w:t>
      </w:r>
      <w:r w:rsidR="00DE3B0F" w:rsidRPr="00BC0A6A">
        <w:t>(this can be done earlier based</w:t>
      </w:r>
      <w:r w:rsidRPr="00BC0A6A">
        <w:t xml:space="preserve"> on the </w:t>
      </w:r>
      <w:r w:rsidR="009621B5">
        <w:t>patient</w:t>
      </w:r>
      <w:r w:rsidRPr="00BC0A6A">
        <w:t>’s risk profile</w:t>
      </w:r>
      <w:r w:rsidR="00DE3B0F" w:rsidRPr="00BC0A6A">
        <w:t>)</w:t>
      </w:r>
    </w:p>
    <w:p w14:paraId="6BF13649" w14:textId="4239A0DE" w:rsidR="00E439C9" w:rsidRPr="00BC0A6A" w:rsidRDefault="00E439C9" w:rsidP="00023565">
      <w:pPr>
        <w:pStyle w:val="ListBullet"/>
        <w:ind w:left="786"/>
      </w:pPr>
      <w:r w:rsidRPr="00BC0A6A">
        <w:t xml:space="preserve">then </w:t>
      </w:r>
      <w:r w:rsidR="00134068" w:rsidRPr="00BC0A6A">
        <w:t>every 60</w:t>
      </w:r>
      <w:r w:rsidR="00DE3B0F" w:rsidRPr="00BC0A6A">
        <w:t xml:space="preserve"> </w:t>
      </w:r>
      <w:r w:rsidR="00134068" w:rsidRPr="00BC0A6A">
        <w:t>minutes</w:t>
      </w:r>
      <w:r w:rsidR="006F45E8">
        <w:t xml:space="preserve"> to</w:t>
      </w:r>
      <w:r w:rsidR="00DE3B0F" w:rsidRPr="00BC0A6A">
        <w:t>2 hours</w:t>
      </w:r>
      <w:r w:rsidR="00134068" w:rsidRPr="00BC0A6A">
        <w:t xml:space="preserve"> </w:t>
      </w:r>
      <w:r w:rsidR="00DE3B0F" w:rsidRPr="00BC0A6A">
        <w:t xml:space="preserve">(based on </w:t>
      </w:r>
      <w:r w:rsidR="009621B5">
        <w:t>patient</w:t>
      </w:r>
      <w:r w:rsidR="00DE3B0F" w:rsidRPr="00BC0A6A">
        <w:t xml:space="preserve">’s risk profile and initial response) </w:t>
      </w:r>
      <w:r w:rsidRPr="00BC0A6A">
        <w:t xml:space="preserve">until </w:t>
      </w:r>
      <w:r w:rsidR="00DF4EF1">
        <w:t xml:space="preserve">BGL </w:t>
      </w:r>
      <w:r w:rsidRPr="00BC0A6A">
        <w:t>reading &lt; 10mmol</w:t>
      </w:r>
      <w:r w:rsidR="009C6D8D" w:rsidRPr="00BC0A6A">
        <w:t>/L</w:t>
      </w:r>
      <w:r w:rsidR="00023565">
        <w:t>.</w:t>
      </w:r>
    </w:p>
    <w:p w14:paraId="3B400B2E" w14:textId="2162F546" w:rsidR="0015045E" w:rsidRPr="00BC0A6A" w:rsidRDefault="00023565" w:rsidP="00023565">
      <w:pPr>
        <w:pStyle w:val="ListBullet"/>
        <w:ind w:left="786"/>
      </w:pPr>
      <w:r>
        <w:t>O</w:t>
      </w:r>
      <w:r w:rsidR="0015045E" w:rsidRPr="00BC0A6A">
        <w:t>n maintenance</w:t>
      </w:r>
      <w:r w:rsidR="004A2723">
        <w:t xml:space="preserve"> </w:t>
      </w:r>
      <w:r w:rsidR="00825496">
        <w:t>infusion</w:t>
      </w:r>
      <w:r w:rsidR="0015045E" w:rsidRPr="00BC0A6A">
        <w:t>: check blood sugar level every 4</w:t>
      </w:r>
      <w:r w:rsidR="00205AC8" w:rsidRPr="00BC0A6A">
        <w:t xml:space="preserve">-6 </w:t>
      </w:r>
      <w:r w:rsidR="0015045E" w:rsidRPr="00BC0A6A">
        <w:t>hours</w:t>
      </w:r>
    </w:p>
    <w:p w14:paraId="1FBC80A3" w14:textId="498CB9C5" w:rsidR="00E439C9" w:rsidRPr="00BC0A6A" w:rsidRDefault="00E439C9" w:rsidP="00023565">
      <w:pPr>
        <w:pStyle w:val="ListBullet"/>
        <w:ind w:left="786"/>
      </w:pPr>
      <w:r w:rsidRPr="00BC0A6A">
        <w:t xml:space="preserve">then 4-6 </w:t>
      </w:r>
      <w:r w:rsidR="007E6C93" w:rsidRPr="00BC0A6A">
        <w:t>hourly for</w:t>
      </w:r>
      <w:r w:rsidRPr="00BC0A6A">
        <w:t xml:space="preserve"> the duration of the infusion if stable unless directed by consultant</w:t>
      </w:r>
      <w:r w:rsidR="007E6C93" w:rsidRPr="00BC0A6A">
        <w:t>/fellow</w:t>
      </w:r>
      <w:r w:rsidR="00DE3B0F" w:rsidRPr="00BC0A6A">
        <w:t>.</w:t>
      </w:r>
    </w:p>
    <w:p w14:paraId="1D9FB945" w14:textId="47CE4D53" w:rsidR="00E439C9" w:rsidRPr="00BC0A6A" w:rsidRDefault="00023565" w:rsidP="00023565">
      <w:pPr>
        <w:pStyle w:val="ListBullet"/>
        <w:ind w:left="786"/>
      </w:pPr>
      <w:r>
        <w:t>I</w:t>
      </w:r>
      <w:r w:rsidR="00E439C9" w:rsidRPr="00BC0A6A">
        <w:t xml:space="preserve">f BGL &lt;8mmol/L it may be necessary to do more frequent BGL measurements </w:t>
      </w:r>
      <w:r w:rsidR="007940F7" w:rsidRPr="00BC0A6A">
        <w:t>to</w:t>
      </w:r>
      <w:r w:rsidR="00E439C9" w:rsidRPr="00BC0A6A">
        <w:t xml:space="preserve"> avoid hypoglycaemia</w:t>
      </w:r>
      <w:r w:rsidR="009C6D8D" w:rsidRPr="00BC0A6A">
        <w:t>.</w:t>
      </w:r>
    </w:p>
    <w:p w14:paraId="31E0DC7C" w14:textId="7E7125B9" w:rsidR="009C6D8D" w:rsidRPr="007940F7" w:rsidRDefault="00134068" w:rsidP="00023565">
      <w:pPr>
        <w:pStyle w:val="ListBullet"/>
        <w:ind w:left="786"/>
      </w:pPr>
      <w:r w:rsidRPr="007940F7">
        <w:t>60 minutes</w:t>
      </w:r>
      <w:r w:rsidR="009C6D8D" w:rsidRPr="007940F7">
        <w:t xml:space="preserve"> after cessation or </w:t>
      </w:r>
      <w:r w:rsidR="00DE3B0F" w:rsidRPr="007940F7">
        <w:t xml:space="preserve">any </w:t>
      </w:r>
      <w:r w:rsidR="009C6D8D" w:rsidRPr="007940F7">
        <w:t xml:space="preserve">alteration of infusion. </w:t>
      </w:r>
    </w:p>
    <w:p w14:paraId="13934D8F" w14:textId="55C1168D" w:rsidR="00E439C9" w:rsidRPr="00931A8B" w:rsidRDefault="00E439C9" w:rsidP="00023565">
      <w:pPr>
        <w:numPr>
          <w:ilvl w:val="0"/>
          <w:numId w:val="19"/>
        </w:numPr>
        <w:rPr>
          <w:rFonts w:cs="Calibri"/>
          <w:szCs w:val="24"/>
        </w:rPr>
      </w:pPr>
      <w:r w:rsidRPr="00931A8B">
        <w:rPr>
          <w:rFonts w:cs="Calibri"/>
          <w:szCs w:val="24"/>
        </w:rPr>
        <w:t xml:space="preserve">Check urine </w:t>
      </w:r>
      <w:r w:rsidR="007E6C93">
        <w:rPr>
          <w:rFonts w:cs="Calibri"/>
          <w:szCs w:val="24"/>
        </w:rPr>
        <w:t xml:space="preserve">sample </w:t>
      </w:r>
      <w:r w:rsidRPr="00931A8B">
        <w:rPr>
          <w:rFonts w:cs="Calibri"/>
          <w:szCs w:val="24"/>
        </w:rPr>
        <w:t>for glycosuria 6 hourly</w:t>
      </w:r>
      <w:r w:rsidR="00DE3B0F">
        <w:rPr>
          <w:rFonts w:cs="Calibri"/>
          <w:szCs w:val="24"/>
        </w:rPr>
        <w:t>.</w:t>
      </w:r>
    </w:p>
    <w:p w14:paraId="151310FD" w14:textId="4BFE1C47" w:rsidR="00E439C9" w:rsidRPr="00931A8B" w:rsidRDefault="00E439C9" w:rsidP="00023565">
      <w:pPr>
        <w:numPr>
          <w:ilvl w:val="0"/>
          <w:numId w:val="19"/>
        </w:numPr>
        <w:rPr>
          <w:rFonts w:cs="Calibri"/>
          <w:szCs w:val="24"/>
        </w:rPr>
      </w:pPr>
      <w:r w:rsidRPr="00931A8B">
        <w:rPr>
          <w:rFonts w:cs="Calibri"/>
          <w:szCs w:val="24"/>
        </w:rPr>
        <w:t>Notify consultant/</w:t>
      </w:r>
      <w:r w:rsidR="007E6C93">
        <w:rPr>
          <w:rFonts w:cs="Calibri"/>
          <w:szCs w:val="24"/>
        </w:rPr>
        <w:t>fellow/registrar</w:t>
      </w:r>
      <w:r w:rsidRPr="00931A8B">
        <w:rPr>
          <w:rFonts w:cs="Calibri"/>
          <w:szCs w:val="24"/>
        </w:rPr>
        <w:t xml:space="preserve"> of any BGL &gt; 10mmol or &lt; 6mmol</w:t>
      </w:r>
      <w:r w:rsidR="00023565">
        <w:rPr>
          <w:rFonts w:cs="Calibri"/>
          <w:szCs w:val="24"/>
        </w:rPr>
        <w:t>.</w:t>
      </w:r>
    </w:p>
    <w:p w14:paraId="177F6991" w14:textId="665B184F" w:rsidR="00E439C9" w:rsidRDefault="00E439C9" w:rsidP="00023565">
      <w:pPr>
        <w:numPr>
          <w:ilvl w:val="0"/>
          <w:numId w:val="19"/>
        </w:numPr>
        <w:rPr>
          <w:rFonts w:cs="Calibri"/>
          <w:szCs w:val="24"/>
        </w:rPr>
      </w:pPr>
      <w:r w:rsidRPr="00931A8B">
        <w:rPr>
          <w:rFonts w:cs="Calibri"/>
          <w:szCs w:val="24"/>
        </w:rPr>
        <w:t xml:space="preserve">Wean </w:t>
      </w:r>
      <w:r w:rsidR="004B1775">
        <w:rPr>
          <w:rFonts w:cs="Calibri"/>
          <w:szCs w:val="24"/>
        </w:rPr>
        <w:t xml:space="preserve">insulin </w:t>
      </w:r>
      <w:r w:rsidR="00713C71">
        <w:rPr>
          <w:rFonts w:cs="Calibri"/>
          <w:szCs w:val="24"/>
        </w:rPr>
        <w:t xml:space="preserve">infusion </w:t>
      </w:r>
      <w:r w:rsidRPr="00931A8B">
        <w:rPr>
          <w:rFonts w:cs="Calibri"/>
          <w:szCs w:val="24"/>
        </w:rPr>
        <w:t xml:space="preserve">according to </w:t>
      </w:r>
      <w:r w:rsidR="000E1DEE">
        <w:rPr>
          <w:rFonts w:cs="Calibri"/>
          <w:szCs w:val="24"/>
        </w:rPr>
        <w:t>I</w:t>
      </w:r>
      <w:r w:rsidRPr="00931A8B">
        <w:rPr>
          <w:rFonts w:cs="Calibri"/>
          <w:szCs w:val="24"/>
        </w:rPr>
        <w:t xml:space="preserve">nsulin </w:t>
      </w:r>
      <w:r w:rsidR="000E1DEE">
        <w:rPr>
          <w:rFonts w:cs="Calibri"/>
          <w:szCs w:val="24"/>
        </w:rPr>
        <w:t>S</w:t>
      </w:r>
      <w:r w:rsidRPr="00931A8B">
        <w:rPr>
          <w:rFonts w:cs="Calibri"/>
          <w:szCs w:val="24"/>
        </w:rPr>
        <w:t xml:space="preserve">liding </w:t>
      </w:r>
      <w:r w:rsidR="000E1DEE">
        <w:rPr>
          <w:rFonts w:cs="Calibri"/>
          <w:szCs w:val="24"/>
        </w:rPr>
        <w:t>S</w:t>
      </w:r>
      <w:r w:rsidRPr="00931A8B">
        <w:rPr>
          <w:rFonts w:cs="Calibri"/>
          <w:szCs w:val="24"/>
        </w:rPr>
        <w:t>cale protocol as above</w:t>
      </w:r>
      <w:r w:rsidR="00AC2799">
        <w:rPr>
          <w:rFonts w:cs="Calibri"/>
          <w:szCs w:val="24"/>
        </w:rPr>
        <w:t xml:space="preserve"> (consider </w:t>
      </w:r>
      <w:r w:rsidR="00DE3B0F">
        <w:rPr>
          <w:rFonts w:cs="Calibri"/>
          <w:szCs w:val="24"/>
        </w:rPr>
        <w:t>weaning</w:t>
      </w:r>
      <w:r w:rsidR="00AC2799">
        <w:rPr>
          <w:rFonts w:cs="Calibri"/>
          <w:szCs w:val="24"/>
        </w:rPr>
        <w:t xml:space="preserve"> differently to sliding scale protocol if there is a rapid/sharp decrease of BGL). </w:t>
      </w:r>
    </w:p>
    <w:p w14:paraId="0E01A73C" w14:textId="3F026AAB" w:rsidR="00E439C9" w:rsidRPr="00931A8B" w:rsidRDefault="00E439C9" w:rsidP="00023565">
      <w:pPr>
        <w:numPr>
          <w:ilvl w:val="0"/>
          <w:numId w:val="19"/>
        </w:numPr>
        <w:rPr>
          <w:rFonts w:cs="Calibri"/>
          <w:szCs w:val="24"/>
        </w:rPr>
      </w:pPr>
      <w:r>
        <w:rPr>
          <w:rFonts w:cs="Calibri"/>
          <w:szCs w:val="24"/>
        </w:rPr>
        <w:t>Document</w:t>
      </w:r>
      <w:r w:rsidR="00713C71">
        <w:rPr>
          <w:rFonts w:cs="Calibri"/>
          <w:szCs w:val="24"/>
        </w:rPr>
        <w:t xml:space="preserve"> infusion </w:t>
      </w:r>
      <w:r w:rsidR="001A76C0">
        <w:rPr>
          <w:rFonts w:cs="Calibri"/>
          <w:szCs w:val="24"/>
        </w:rPr>
        <w:t>administration</w:t>
      </w:r>
      <w:r w:rsidR="00EC13D7">
        <w:rPr>
          <w:rFonts w:cs="Calibri"/>
          <w:szCs w:val="24"/>
        </w:rPr>
        <w:t xml:space="preserve"> and BGL</w:t>
      </w:r>
      <w:r>
        <w:rPr>
          <w:rFonts w:cs="Calibri"/>
          <w:szCs w:val="24"/>
        </w:rPr>
        <w:t xml:space="preserve"> in </w:t>
      </w:r>
      <w:r w:rsidR="00EC13D7">
        <w:rPr>
          <w:rFonts w:cs="Calibri"/>
          <w:szCs w:val="24"/>
        </w:rPr>
        <w:t xml:space="preserve">the </w:t>
      </w:r>
      <w:r w:rsidR="009621B5">
        <w:rPr>
          <w:rFonts w:cs="Calibri"/>
          <w:szCs w:val="24"/>
        </w:rPr>
        <w:t>patient</w:t>
      </w:r>
      <w:r w:rsidR="00D43A9A">
        <w:rPr>
          <w:rFonts w:cs="Calibri"/>
          <w:szCs w:val="24"/>
        </w:rPr>
        <w:t>’</w:t>
      </w:r>
      <w:r w:rsidR="00EC13D7">
        <w:rPr>
          <w:rFonts w:cs="Calibri"/>
          <w:szCs w:val="24"/>
        </w:rPr>
        <w:t>s clinical record</w:t>
      </w:r>
      <w:r w:rsidR="000E1DEE">
        <w:rPr>
          <w:rFonts w:cs="Calibri"/>
          <w:szCs w:val="24"/>
        </w:rPr>
        <w:t xml:space="preserve"> (</w:t>
      </w:r>
      <w:r w:rsidR="00671F40">
        <w:rPr>
          <w:rFonts w:cs="Calibri"/>
          <w:szCs w:val="24"/>
        </w:rPr>
        <w:t>Digital Health Record)</w:t>
      </w:r>
      <w:r w:rsidR="007E6C93">
        <w:rPr>
          <w:rFonts w:cs="Calibri"/>
          <w:szCs w:val="24"/>
        </w:rPr>
        <w:t>.</w:t>
      </w:r>
    </w:p>
    <w:p w14:paraId="2F51A8AC" w14:textId="77777777" w:rsidR="007B6904" w:rsidRDefault="007B6904" w:rsidP="00277F6A">
      <w:pPr>
        <w:jc w:val="both"/>
        <w:rPr>
          <w:rFonts w:cs="Arial"/>
          <w:b/>
          <w:szCs w:val="24"/>
        </w:rPr>
      </w:pPr>
    </w:p>
    <w:p w14:paraId="582FD293" w14:textId="7B314335" w:rsidR="00E439C9" w:rsidRDefault="004A6A7F" w:rsidP="00023565">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E439C9" w:rsidRPr="00CD1C0E" w14:paraId="3B74F475" w14:textId="77777777" w:rsidTr="00E00AE5">
        <w:trPr>
          <w:cantSplit/>
          <w:trHeight w:val="285"/>
        </w:trPr>
        <w:tc>
          <w:tcPr>
            <w:tcW w:w="9158" w:type="dxa"/>
            <w:shd w:val="clear" w:color="auto" w:fill="A6A6A6" w:themeFill="background1" w:themeFillShade="A6"/>
          </w:tcPr>
          <w:p w14:paraId="2D0BDEF4" w14:textId="1142431D" w:rsidR="00E439C9" w:rsidRPr="003D2D06" w:rsidRDefault="00E439C9" w:rsidP="00277F6A">
            <w:pPr>
              <w:pStyle w:val="Heading1"/>
              <w:jc w:val="both"/>
            </w:pPr>
            <w:bookmarkStart w:id="20" w:name="_Toc139140946"/>
            <w:r>
              <w:t xml:space="preserve">Section </w:t>
            </w:r>
            <w:r w:rsidR="006F491E">
              <w:t>4</w:t>
            </w:r>
            <w:r w:rsidRPr="003D2D06">
              <w:t xml:space="preserve"> – </w:t>
            </w:r>
            <w:r w:rsidR="006F491E">
              <w:t>Contraindications, Precautions and Drug Interactions</w:t>
            </w:r>
            <w:bookmarkEnd w:id="20"/>
          </w:p>
        </w:tc>
      </w:tr>
    </w:tbl>
    <w:p w14:paraId="10D300BA" w14:textId="77777777" w:rsidR="00E439C9" w:rsidRDefault="00E439C9" w:rsidP="00277F6A">
      <w:pPr>
        <w:pStyle w:val="Heading2"/>
        <w:jc w:val="both"/>
      </w:pPr>
    </w:p>
    <w:p w14:paraId="407D3570" w14:textId="5262B5A7" w:rsidR="007013AD" w:rsidRPr="00023565" w:rsidRDefault="006F491E" w:rsidP="00023565">
      <w:pPr>
        <w:rPr>
          <w:b/>
        </w:rPr>
      </w:pPr>
      <w:r w:rsidRPr="00023565">
        <w:rPr>
          <w:b/>
        </w:rPr>
        <w:t>Contraindications</w:t>
      </w:r>
    </w:p>
    <w:p w14:paraId="22B26B0E" w14:textId="1B5B9A00" w:rsidR="006F491E" w:rsidRDefault="00023565" w:rsidP="00023565">
      <w:pPr>
        <w:pStyle w:val="ListBullet"/>
      </w:pPr>
      <w:r>
        <w:lastRenderedPageBreak/>
        <w:t>h</w:t>
      </w:r>
      <w:r w:rsidR="006F491E">
        <w:t>ypersensitivity to regular insulin or any of its components</w:t>
      </w:r>
    </w:p>
    <w:p w14:paraId="6A6D9C1C" w14:textId="54877C8E" w:rsidR="00E439C9" w:rsidRDefault="00023565" w:rsidP="00023565">
      <w:pPr>
        <w:pStyle w:val="ListBullet"/>
      </w:pPr>
      <w:r>
        <w:t>h</w:t>
      </w:r>
      <w:r w:rsidR="006F491E">
        <w:t>ypoglycaemia</w:t>
      </w:r>
    </w:p>
    <w:p w14:paraId="3C43E226" w14:textId="0F618F7B" w:rsidR="00BC0A6A" w:rsidRDefault="00023565" w:rsidP="00023565">
      <w:pPr>
        <w:pStyle w:val="ListBullet"/>
      </w:pPr>
      <w:r>
        <w:t>n</w:t>
      </w:r>
      <w:r w:rsidR="00BC0A6A">
        <w:t>ormoglycaemia</w:t>
      </w:r>
      <w:r>
        <w:t>.</w:t>
      </w:r>
    </w:p>
    <w:p w14:paraId="428839DC" w14:textId="77777777" w:rsidR="006F491E" w:rsidRDefault="006F491E" w:rsidP="00023565"/>
    <w:p w14:paraId="0A0ACBF2" w14:textId="5768521D" w:rsidR="00E439C9" w:rsidRPr="00023565" w:rsidRDefault="00E439C9" w:rsidP="00023565">
      <w:pPr>
        <w:rPr>
          <w:b/>
        </w:rPr>
      </w:pPr>
      <w:r w:rsidRPr="00023565">
        <w:rPr>
          <w:b/>
        </w:rPr>
        <w:t>Pr</w:t>
      </w:r>
      <w:r w:rsidR="006F491E" w:rsidRPr="00023565">
        <w:rPr>
          <w:b/>
        </w:rPr>
        <w:t>ecautions</w:t>
      </w:r>
    </w:p>
    <w:p w14:paraId="7178463F" w14:textId="77777777" w:rsidR="006F491E" w:rsidRDefault="006F491E" w:rsidP="00023565">
      <w:pPr>
        <w:pStyle w:val="ListBullet"/>
      </w:pPr>
      <w:r>
        <w:t xml:space="preserve">Hypoglycaemia is a common adverse effect. </w:t>
      </w:r>
    </w:p>
    <w:p w14:paraId="10001A5B" w14:textId="685BBD9F" w:rsidR="006F491E" w:rsidRPr="006F491E" w:rsidRDefault="006F491E" w:rsidP="00023565">
      <w:pPr>
        <w:pStyle w:val="ListBullet"/>
        <w:rPr>
          <w:rFonts w:cs="Arial"/>
          <w:b/>
          <w:szCs w:val="24"/>
        </w:rPr>
      </w:pPr>
      <w:r>
        <w:t xml:space="preserve">Do not adjust the rate of the maintenance solution or other infusions when insulin is commenced, or the insulin infusion rate </w:t>
      </w:r>
      <w:r w:rsidR="007D4D43">
        <w:t>will also be</w:t>
      </w:r>
      <w:r>
        <w:t xml:space="preserve"> altered. </w:t>
      </w:r>
    </w:p>
    <w:p w14:paraId="64AC23E1" w14:textId="576F7E99" w:rsidR="006F491E" w:rsidRPr="006F491E" w:rsidRDefault="006F491E" w:rsidP="00023565">
      <w:pPr>
        <w:pStyle w:val="ListBullet"/>
        <w:rPr>
          <w:rFonts w:cs="Arial"/>
          <w:b/>
          <w:szCs w:val="24"/>
        </w:rPr>
      </w:pPr>
      <w:r>
        <w:t>If ceasing insulin or changing the strength</w:t>
      </w:r>
      <w:r w:rsidR="0027761A">
        <w:t xml:space="preserve"> of the infusion</w:t>
      </w:r>
      <w:r>
        <w:t xml:space="preserve">, be careful to remove and replace the previous line and T-piece to avoid flushing through insulin remaining in the tubing. </w:t>
      </w:r>
    </w:p>
    <w:p w14:paraId="501D864D" w14:textId="73ADFDDD" w:rsidR="00E439C9" w:rsidRPr="006F491E" w:rsidRDefault="006F491E" w:rsidP="00023565">
      <w:pPr>
        <w:pStyle w:val="ListBullet"/>
        <w:rPr>
          <w:rFonts w:cs="Arial"/>
          <w:b/>
          <w:szCs w:val="24"/>
        </w:rPr>
      </w:pPr>
      <w:r>
        <w:t>Administer IV bolus medication via separate IV access to avoid insulin bolus administration</w:t>
      </w:r>
      <w:r w:rsidR="00023565">
        <w:t>.</w:t>
      </w:r>
    </w:p>
    <w:p w14:paraId="2494B04A" w14:textId="6394A276" w:rsidR="006F491E" w:rsidRDefault="006F491E" w:rsidP="006F491E">
      <w:pPr>
        <w:jc w:val="both"/>
        <w:rPr>
          <w:rFonts w:cs="Arial"/>
          <w:b/>
          <w:szCs w:val="24"/>
        </w:rPr>
      </w:pPr>
    </w:p>
    <w:p w14:paraId="577C8B65" w14:textId="54FEAE19" w:rsidR="007013AD" w:rsidRPr="00023565" w:rsidRDefault="006F491E" w:rsidP="006F491E">
      <w:pPr>
        <w:jc w:val="both"/>
        <w:rPr>
          <w:rFonts w:cs="Arial"/>
          <w:b/>
          <w:szCs w:val="24"/>
        </w:rPr>
      </w:pPr>
      <w:r w:rsidRPr="00023565">
        <w:rPr>
          <w:rFonts w:cs="Arial"/>
          <w:b/>
          <w:szCs w:val="24"/>
        </w:rPr>
        <w:t>Drug interactions</w:t>
      </w:r>
    </w:p>
    <w:p w14:paraId="13F5EE41" w14:textId="77777777" w:rsidR="00BC24E6" w:rsidRPr="001A76C0" w:rsidRDefault="006F491E" w:rsidP="00023565">
      <w:pPr>
        <w:pStyle w:val="ListBullet"/>
        <w:rPr>
          <w:rFonts w:cs="Arial"/>
          <w:b/>
          <w:szCs w:val="24"/>
        </w:rPr>
      </w:pPr>
      <w:r>
        <w:t xml:space="preserve">The following may reduce insulin requirements: </w:t>
      </w:r>
    </w:p>
    <w:p w14:paraId="66910FC9" w14:textId="3CF9E2D8" w:rsidR="00BC24E6" w:rsidRPr="001A76C0" w:rsidRDefault="00023565" w:rsidP="00BC24E6">
      <w:pPr>
        <w:pStyle w:val="ListBullet"/>
        <w:ind w:left="852"/>
        <w:rPr>
          <w:rFonts w:cs="Arial"/>
          <w:b/>
          <w:szCs w:val="24"/>
        </w:rPr>
      </w:pPr>
      <w:r>
        <w:t>o</w:t>
      </w:r>
      <w:r w:rsidR="006F491E">
        <w:t>ctreotide</w:t>
      </w:r>
    </w:p>
    <w:p w14:paraId="41E3CF19" w14:textId="59805168" w:rsidR="00BC24E6" w:rsidRPr="001A76C0" w:rsidRDefault="006F491E" w:rsidP="00BC24E6">
      <w:pPr>
        <w:pStyle w:val="ListBullet"/>
        <w:ind w:left="852"/>
        <w:rPr>
          <w:rFonts w:cs="Arial"/>
          <w:b/>
          <w:szCs w:val="24"/>
        </w:rPr>
      </w:pPr>
      <w:r>
        <w:t>beta-adrenergic blocking agents</w:t>
      </w:r>
    </w:p>
    <w:p w14:paraId="3C3C655C" w14:textId="2ABFF3ED" w:rsidR="00BC24E6" w:rsidRPr="001A76C0" w:rsidRDefault="006F491E" w:rsidP="00BC24E6">
      <w:pPr>
        <w:pStyle w:val="ListBullet"/>
        <w:ind w:left="852"/>
        <w:rPr>
          <w:rFonts w:cs="Arial"/>
          <w:b/>
          <w:szCs w:val="24"/>
        </w:rPr>
      </w:pPr>
      <w:r>
        <w:t xml:space="preserve">angiotensin converting enzyme </w:t>
      </w:r>
      <w:proofErr w:type="gramStart"/>
      <w:r>
        <w:t>inhibitors</w:t>
      </w:r>
      <w:proofErr w:type="gramEnd"/>
    </w:p>
    <w:p w14:paraId="21107843" w14:textId="20FD8937" w:rsidR="00BC24E6" w:rsidRPr="001A76C0" w:rsidRDefault="006F491E" w:rsidP="00BC24E6">
      <w:pPr>
        <w:pStyle w:val="ListBullet"/>
        <w:ind w:left="852"/>
        <w:rPr>
          <w:rFonts w:cs="Arial"/>
          <w:b/>
          <w:szCs w:val="24"/>
        </w:rPr>
      </w:pPr>
      <w:r>
        <w:t>salicylates</w:t>
      </w:r>
    </w:p>
    <w:p w14:paraId="48CC54D3" w14:textId="3985CCB6" w:rsidR="00BC24E6" w:rsidRPr="001A76C0" w:rsidRDefault="006F491E" w:rsidP="00BC24E6">
      <w:pPr>
        <w:pStyle w:val="ListBullet"/>
        <w:ind w:left="852"/>
        <w:rPr>
          <w:rFonts w:cs="Arial"/>
          <w:b/>
          <w:szCs w:val="24"/>
        </w:rPr>
      </w:pPr>
      <w:r>
        <w:t>anabolic steroids</w:t>
      </w:r>
    </w:p>
    <w:p w14:paraId="3FFA775E" w14:textId="5D0B31C4" w:rsidR="00BC24E6" w:rsidRPr="001A76C0" w:rsidRDefault="006F491E" w:rsidP="00BC24E6">
      <w:pPr>
        <w:pStyle w:val="ListBullet"/>
        <w:ind w:left="852"/>
        <w:rPr>
          <w:rFonts w:cs="Arial"/>
          <w:b/>
          <w:szCs w:val="24"/>
        </w:rPr>
      </w:pPr>
      <w:r>
        <w:t>alpha-adrenergic blocking agents</w:t>
      </w:r>
    </w:p>
    <w:p w14:paraId="5C91132D" w14:textId="11810944" w:rsidR="00BC24E6" w:rsidRPr="001A76C0" w:rsidRDefault="006F491E" w:rsidP="00BC24E6">
      <w:pPr>
        <w:pStyle w:val="ListBullet"/>
        <w:ind w:left="852"/>
        <w:rPr>
          <w:rFonts w:cs="Arial"/>
          <w:b/>
          <w:szCs w:val="24"/>
        </w:rPr>
      </w:pPr>
      <w:r>
        <w:t>quinine</w:t>
      </w:r>
    </w:p>
    <w:p w14:paraId="220FCD6A" w14:textId="1E4D401C" w:rsidR="00BC24E6" w:rsidRPr="001A76C0" w:rsidRDefault="006F491E" w:rsidP="00BC24E6">
      <w:pPr>
        <w:pStyle w:val="ListBullet"/>
        <w:ind w:left="852"/>
        <w:rPr>
          <w:rFonts w:cs="Arial"/>
          <w:b/>
          <w:szCs w:val="24"/>
        </w:rPr>
      </w:pPr>
      <w:r>
        <w:t>quinidine</w:t>
      </w:r>
    </w:p>
    <w:p w14:paraId="5500D403" w14:textId="1C25736F" w:rsidR="006F491E" w:rsidRPr="00671F40" w:rsidRDefault="006F491E" w:rsidP="00671F40">
      <w:pPr>
        <w:pStyle w:val="ListBullet"/>
        <w:ind w:left="852"/>
        <w:rPr>
          <w:rFonts w:cs="Arial"/>
          <w:b/>
          <w:szCs w:val="24"/>
        </w:rPr>
      </w:pPr>
      <w:proofErr w:type="spellStart"/>
      <w:r>
        <w:t>sulfonamides</w:t>
      </w:r>
      <w:proofErr w:type="spellEnd"/>
    </w:p>
    <w:p w14:paraId="248C1FCE" w14:textId="77777777" w:rsidR="00BC24E6" w:rsidRPr="001A76C0" w:rsidRDefault="006F491E" w:rsidP="00023565">
      <w:pPr>
        <w:pStyle w:val="ListBullet"/>
        <w:rPr>
          <w:rFonts w:cs="Arial"/>
          <w:b/>
          <w:szCs w:val="24"/>
        </w:rPr>
      </w:pPr>
      <w:r>
        <w:t xml:space="preserve">The following may increase insulin requirements: </w:t>
      </w:r>
    </w:p>
    <w:p w14:paraId="576EAA27" w14:textId="14A133D0" w:rsidR="00BC24E6" w:rsidRPr="001A76C0" w:rsidRDefault="00023565" w:rsidP="00BC24E6">
      <w:pPr>
        <w:pStyle w:val="ListBullet"/>
        <w:ind w:left="852"/>
        <w:rPr>
          <w:rFonts w:cs="Arial"/>
          <w:b/>
          <w:szCs w:val="24"/>
        </w:rPr>
      </w:pPr>
      <w:r>
        <w:t>t</w:t>
      </w:r>
      <w:r w:rsidR="006F491E">
        <w:t>hiazides</w:t>
      </w:r>
    </w:p>
    <w:p w14:paraId="0A866119" w14:textId="074D6A8A" w:rsidR="00BC24E6" w:rsidRPr="001A76C0" w:rsidRDefault="006F491E" w:rsidP="00BC24E6">
      <w:pPr>
        <w:pStyle w:val="ListBullet"/>
        <w:ind w:left="852"/>
        <w:rPr>
          <w:rFonts w:cs="Arial"/>
          <w:b/>
          <w:szCs w:val="24"/>
        </w:rPr>
      </w:pPr>
      <w:r>
        <w:t>furosemide</w:t>
      </w:r>
    </w:p>
    <w:p w14:paraId="7EDC0C81" w14:textId="3FFCD78C" w:rsidR="00BC24E6" w:rsidRPr="001A76C0" w:rsidRDefault="006F491E" w:rsidP="00BC24E6">
      <w:pPr>
        <w:pStyle w:val="ListBullet"/>
        <w:ind w:left="852"/>
        <w:rPr>
          <w:rFonts w:cs="Arial"/>
          <w:b/>
          <w:szCs w:val="24"/>
        </w:rPr>
      </w:pPr>
      <w:r>
        <w:t>ethacrynic acid</w:t>
      </w:r>
    </w:p>
    <w:p w14:paraId="3B50EDA1" w14:textId="61E5DE2A" w:rsidR="00BC24E6" w:rsidRPr="001A76C0" w:rsidRDefault="006F491E" w:rsidP="00BC24E6">
      <w:pPr>
        <w:pStyle w:val="ListBullet"/>
        <w:ind w:left="852"/>
        <w:rPr>
          <w:rFonts w:cs="Arial"/>
          <w:b/>
          <w:szCs w:val="24"/>
        </w:rPr>
      </w:pPr>
      <w:r>
        <w:t xml:space="preserve">glucocorticoids </w:t>
      </w:r>
    </w:p>
    <w:p w14:paraId="627CDDB6" w14:textId="4A88D5F6" w:rsidR="00BC24E6" w:rsidRPr="001A76C0" w:rsidRDefault="006F491E" w:rsidP="00BC24E6">
      <w:pPr>
        <w:pStyle w:val="ListBullet"/>
        <w:ind w:left="852"/>
        <w:rPr>
          <w:rFonts w:cs="Arial"/>
          <w:b/>
          <w:szCs w:val="24"/>
        </w:rPr>
      </w:pPr>
      <w:r>
        <w:t xml:space="preserve">thyroid hormones </w:t>
      </w:r>
    </w:p>
    <w:p w14:paraId="2D713F49" w14:textId="7E851D00" w:rsidR="00BC24E6" w:rsidRPr="001A76C0" w:rsidRDefault="006F491E" w:rsidP="00BC24E6">
      <w:pPr>
        <w:pStyle w:val="ListBullet"/>
        <w:ind w:left="852"/>
        <w:rPr>
          <w:rFonts w:cs="Arial"/>
          <w:b/>
          <w:szCs w:val="24"/>
        </w:rPr>
      </w:pPr>
      <w:r>
        <w:t xml:space="preserve">sympathomimetics </w:t>
      </w:r>
    </w:p>
    <w:p w14:paraId="52912EFA" w14:textId="53B672A6" w:rsidR="00BC24E6" w:rsidRPr="001A76C0" w:rsidRDefault="006F491E" w:rsidP="00BC24E6">
      <w:pPr>
        <w:pStyle w:val="ListBullet"/>
        <w:ind w:left="852"/>
        <w:rPr>
          <w:rFonts w:cs="Arial"/>
          <w:b/>
          <w:szCs w:val="24"/>
        </w:rPr>
      </w:pPr>
      <w:r>
        <w:t xml:space="preserve">growth hormone </w:t>
      </w:r>
    </w:p>
    <w:p w14:paraId="1BED11FC" w14:textId="1B31AFEE" w:rsidR="000E1DEE" w:rsidRPr="001A76C0" w:rsidRDefault="006F491E" w:rsidP="00671F40">
      <w:pPr>
        <w:pStyle w:val="ListBullet"/>
        <w:ind w:left="852"/>
      </w:pPr>
      <w:r>
        <w:t>diazoxide.</w:t>
      </w:r>
    </w:p>
    <w:p w14:paraId="4508456A" w14:textId="4BC7A727" w:rsidR="00134068" w:rsidRPr="006157C8" w:rsidRDefault="00134068" w:rsidP="001A76C0">
      <w:pPr>
        <w:pStyle w:val="ListBullet"/>
        <w:rPr>
          <w:rFonts w:cs="Arial"/>
          <w:b/>
          <w:szCs w:val="24"/>
        </w:rPr>
      </w:pPr>
      <w:r>
        <w:t>Beta blocking agents may mask the symptoms of hypoglycaemia and delay recovery from hypoglycaemia. Hypoglycaemia in the presence of concomitant use of a beta-adrenergic blocking agent may precipitate a hypertensive crisis</w:t>
      </w:r>
      <w:r w:rsidR="00023565">
        <w:t>.</w:t>
      </w:r>
    </w:p>
    <w:p w14:paraId="2AEADF5B" w14:textId="77777777" w:rsidR="00DE3B0F" w:rsidRPr="006F491E" w:rsidRDefault="00DE3B0F" w:rsidP="007940F7">
      <w:pPr>
        <w:pStyle w:val="ListParagraph"/>
        <w:jc w:val="both"/>
        <w:rPr>
          <w:rFonts w:cs="Arial"/>
          <w:b/>
          <w:szCs w:val="24"/>
        </w:rPr>
      </w:pPr>
    </w:p>
    <w:p w14:paraId="706394F0" w14:textId="18A5E7A0" w:rsidR="00E439C9" w:rsidRPr="00023565" w:rsidRDefault="004A6A7F" w:rsidP="00023565">
      <w:pPr>
        <w:jc w:val="right"/>
        <w:rPr>
          <w:rFonts w:cs="Arial"/>
          <w:b/>
          <w:szCs w:val="24"/>
        </w:rPr>
      </w:pPr>
      <w:hyperlink w:anchor="Contents" w:history="1">
        <w:r w:rsidR="00E439C9" w:rsidRPr="00590902">
          <w:rPr>
            <w:rStyle w:val="Hyperlink"/>
            <w:rFonts w:cs="Arial"/>
            <w:i/>
            <w:szCs w:val="24"/>
          </w:rPr>
          <w:t>Back to Table of Contents</w:t>
        </w:r>
      </w:hyperlink>
      <w:r w:rsidR="00E439C9">
        <w:rPr>
          <w:rFonts w:cs="Arial"/>
          <w:i/>
          <w:szCs w:val="24"/>
        </w:rPr>
        <w:t xml:space="preserve"> </w:t>
      </w: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21" w:name="_Toc139140947"/>
            <w:r>
              <w:t>Evaluation</w:t>
            </w:r>
            <w:bookmarkEnd w:id="21"/>
            <w:r>
              <w:t xml:space="preserve"> </w:t>
            </w:r>
            <w:r w:rsidR="00E73459">
              <w:tab/>
            </w:r>
          </w:p>
        </w:tc>
      </w:tr>
    </w:tbl>
    <w:p w14:paraId="5D4094DC" w14:textId="27D1DD9B" w:rsidR="00F9158A" w:rsidRDefault="00F9158A" w:rsidP="00F9158A">
      <w:pPr>
        <w:pStyle w:val="Default"/>
        <w:rPr>
          <w:rFonts w:ascii="Calibri" w:hAnsi="Calibri" w:cs="Arial"/>
          <w:i/>
          <w:color w:val="auto"/>
          <w:lang w:eastAsia="en-US"/>
        </w:rPr>
      </w:pPr>
    </w:p>
    <w:p w14:paraId="392F428C" w14:textId="265FF25C" w:rsidR="00845445" w:rsidRPr="00781FCA" w:rsidRDefault="00845445" w:rsidP="00023565">
      <w:pPr>
        <w:pStyle w:val="Default"/>
        <w:rPr>
          <w:rFonts w:ascii="Calibri" w:hAnsi="Calibri" w:cs="Arial"/>
          <w:b/>
          <w:bCs/>
          <w:iCs/>
          <w:color w:val="auto"/>
          <w:lang w:eastAsia="en-US"/>
        </w:rPr>
      </w:pPr>
      <w:r w:rsidRPr="00781FCA">
        <w:rPr>
          <w:rFonts w:ascii="Calibri" w:hAnsi="Calibri" w:cs="Arial"/>
          <w:b/>
          <w:bCs/>
          <w:iCs/>
          <w:color w:val="auto"/>
          <w:lang w:eastAsia="en-US"/>
        </w:rPr>
        <w:t>Outcome</w:t>
      </w:r>
    </w:p>
    <w:p w14:paraId="342F37BC" w14:textId="49659DB1" w:rsidR="00015D88" w:rsidRPr="00781FCA" w:rsidRDefault="00781FCA" w:rsidP="00023565">
      <w:pPr>
        <w:pStyle w:val="ListBullet"/>
      </w:pPr>
      <w:r w:rsidRPr="00781FCA">
        <w:lastRenderedPageBreak/>
        <w:t xml:space="preserve">Nursing and medical staff are guided in </w:t>
      </w:r>
      <w:r w:rsidR="006157C8">
        <w:t xml:space="preserve">the </w:t>
      </w:r>
      <w:r w:rsidRPr="00781FCA">
        <w:t>screening, diagnosis, and management of hyperglycaemia.</w:t>
      </w:r>
    </w:p>
    <w:p w14:paraId="09D1C595" w14:textId="5C7EF869" w:rsidR="00781FCA" w:rsidRPr="00781FCA" w:rsidRDefault="00781FCA" w:rsidP="00023565">
      <w:pPr>
        <w:pStyle w:val="ListBullet"/>
        <w:rPr>
          <w:rFonts w:cs="Calibri"/>
        </w:rPr>
      </w:pPr>
      <w:r w:rsidRPr="00781FCA">
        <w:rPr>
          <w:rStyle w:val="normaltextrun"/>
          <w:rFonts w:cs="Calibri"/>
          <w:iCs/>
        </w:rPr>
        <w:t xml:space="preserve">Patients have quality and timely treatment for hyperglycaemia. </w:t>
      </w:r>
    </w:p>
    <w:p w14:paraId="1858C443" w14:textId="77777777" w:rsidR="00781FCA" w:rsidRPr="00781FCA" w:rsidRDefault="00781FCA" w:rsidP="00023565">
      <w:pPr>
        <w:pStyle w:val="Default"/>
        <w:rPr>
          <w:rFonts w:ascii="Calibri" w:hAnsi="Calibri" w:cs="Arial"/>
          <w:b/>
          <w:bCs/>
          <w:iCs/>
          <w:color w:val="auto"/>
          <w:lang w:eastAsia="en-US"/>
        </w:rPr>
      </w:pPr>
    </w:p>
    <w:p w14:paraId="59BD726D" w14:textId="36E1A565" w:rsidR="00781FCA" w:rsidRDefault="00781FCA" w:rsidP="00023565">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Measures</w:t>
      </w:r>
      <w:r>
        <w:rPr>
          <w:rStyle w:val="eop"/>
          <w:rFonts w:ascii="Calibri" w:hAnsi="Calibri" w:cs="Calibri"/>
        </w:rPr>
        <w:t> </w:t>
      </w:r>
    </w:p>
    <w:p w14:paraId="2B2972E7" w14:textId="1FA7E008" w:rsidR="00484B1F" w:rsidRDefault="00484B1F" w:rsidP="00023565">
      <w:pPr>
        <w:pStyle w:val="ListBullet"/>
        <w:rPr>
          <w:rStyle w:val="normaltextrun"/>
          <w:rFonts w:cs="Calibri"/>
          <w:iCs/>
        </w:rPr>
      </w:pPr>
      <w:r>
        <w:rPr>
          <w:rStyle w:val="normaltextrun"/>
          <w:rFonts w:cs="Calibri"/>
          <w:iCs/>
        </w:rPr>
        <w:t xml:space="preserve">Review of adverse drug events secondary to </w:t>
      </w:r>
      <w:r w:rsidR="00023565">
        <w:rPr>
          <w:rStyle w:val="normaltextrun"/>
          <w:rFonts w:cs="Calibri"/>
          <w:iCs/>
        </w:rPr>
        <w:t>i</w:t>
      </w:r>
      <w:r>
        <w:rPr>
          <w:rStyle w:val="normaltextrun"/>
          <w:rFonts w:cs="Calibri"/>
          <w:iCs/>
        </w:rPr>
        <w:t xml:space="preserve">nsulin infusion </w:t>
      </w:r>
      <w:r w:rsidR="00D51FBB">
        <w:rPr>
          <w:rStyle w:val="normaltextrun"/>
          <w:rFonts w:cs="Calibri"/>
          <w:iCs/>
        </w:rPr>
        <w:t xml:space="preserve">reported </w:t>
      </w:r>
      <w:r>
        <w:rPr>
          <w:rStyle w:val="normaltextrun"/>
          <w:rFonts w:cs="Calibri"/>
          <w:iCs/>
        </w:rPr>
        <w:t xml:space="preserve">through </w:t>
      </w:r>
      <w:r w:rsidR="00B90429">
        <w:rPr>
          <w:rStyle w:val="normaltextrun"/>
          <w:rFonts w:cs="Calibri"/>
          <w:iCs/>
        </w:rPr>
        <w:t>clinical incident management system</w:t>
      </w:r>
      <w:r>
        <w:rPr>
          <w:rStyle w:val="normaltextrun"/>
          <w:rFonts w:cs="Calibri"/>
          <w:iCs/>
        </w:rPr>
        <w:t>.</w:t>
      </w:r>
    </w:p>
    <w:p w14:paraId="2A5DD214" w14:textId="22596331" w:rsidR="00781FCA" w:rsidRPr="00023565" w:rsidRDefault="00484B1F" w:rsidP="00023565">
      <w:pPr>
        <w:pStyle w:val="ListBullet"/>
        <w:rPr>
          <w:rStyle w:val="normaltextrun"/>
        </w:rPr>
      </w:pPr>
      <w:r w:rsidRPr="00484B1F">
        <w:rPr>
          <w:rStyle w:val="normaltextrun"/>
          <w:rFonts w:cs="Calibri"/>
        </w:rPr>
        <w:t>Incident data relating to</w:t>
      </w:r>
      <w:r>
        <w:rPr>
          <w:rStyle w:val="normaltextrun"/>
          <w:rFonts w:cs="Calibri"/>
        </w:rPr>
        <w:t xml:space="preserve"> the treatment of hyperglycaemia with </w:t>
      </w:r>
      <w:r w:rsidR="00023565">
        <w:rPr>
          <w:rStyle w:val="normaltextrun"/>
          <w:rFonts w:cs="Calibri"/>
        </w:rPr>
        <w:t>i</w:t>
      </w:r>
      <w:r>
        <w:rPr>
          <w:rStyle w:val="normaltextrun"/>
          <w:rFonts w:cs="Calibri"/>
        </w:rPr>
        <w:t xml:space="preserve">nsulin infusion </w:t>
      </w:r>
      <w:r w:rsidRPr="00484B1F">
        <w:rPr>
          <w:rStyle w:val="normaltextrun"/>
          <w:rFonts w:cs="Calibri"/>
        </w:rPr>
        <w:t>will be tracked</w:t>
      </w:r>
      <w:r w:rsidR="005B2679">
        <w:rPr>
          <w:rStyle w:val="normaltextrun"/>
          <w:rFonts w:cs="Calibri"/>
        </w:rPr>
        <w:t xml:space="preserve"> </w:t>
      </w:r>
      <w:r w:rsidR="000E1DEE">
        <w:rPr>
          <w:rStyle w:val="normaltextrun"/>
          <w:rFonts w:cs="Calibri"/>
        </w:rPr>
        <w:t xml:space="preserve">and reviewed </w:t>
      </w:r>
      <w:r w:rsidRPr="00484B1F">
        <w:rPr>
          <w:rStyle w:val="normaltextrun"/>
          <w:rFonts w:cs="Calibri"/>
        </w:rPr>
        <w:t>by the Clinical Nurse Manager Neonatal Intensive Care Unit (NICU) monthly via the clinical incident reporting system</w:t>
      </w:r>
      <w:r w:rsidR="00DE3B0F">
        <w:rPr>
          <w:rStyle w:val="normaltextrun"/>
          <w:rFonts w:cs="Calibri"/>
        </w:rPr>
        <w:t>.</w:t>
      </w:r>
    </w:p>
    <w:p w14:paraId="6122A383" w14:textId="77777777" w:rsidR="00023565" w:rsidRPr="00DE3B0F" w:rsidRDefault="00023565" w:rsidP="00023565">
      <w:pPr>
        <w:pStyle w:val="ListBullet"/>
        <w:numPr>
          <w:ilvl w:val="0"/>
          <w:numId w:val="0"/>
        </w:numPr>
        <w:ind w:left="426"/>
      </w:pPr>
    </w:p>
    <w:p w14:paraId="3C7816A8" w14:textId="48443DE3" w:rsidR="00DE3B0F" w:rsidRPr="00AA24A5" w:rsidRDefault="004A6A7F" w:rsidP="00AA24A5">
      <w:pPr>
        <w:jc w:val="right"/>
        <w:rPr>
          <w:rFonts w:eastAsiaTheme="majorEastAsia" w:cs="Arial"/>
          <w:i/>
          <w:color w:val="0000FF"/>
          <w:szCs w:val="24"/>
          <w:u w:val="single"/>
        </w:rPr>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22" w:name="_Toc389473287"/>
            <w:bookmarkStart w:id="23" w:name="_Toc139140948"/>
            <w:r>
              <w:t xml:space="preserve">Related Policies, </w:t>
            </w:r>
            <w:r w:rsidR="007B6904">
              <w:t>Procedures</w:t>
            </w:r>
            <w:bookmarkEnd w:id="22"/>
            <w:r>
              <w:t>, Guidelines and Legislation</w:t>
            </w:r>
            <w:bookmarkEnd w:id="23"/>
          </w:p>
        </w:tc>
      </w:tr>
    </w:tbl>
    <w:p w14:paraId="38B8750E" w14:textId="77777777" w:rsidR="00E439C9" w:rsidRDefault="00E439C9" w:rsidP="00E439C9">
      <w:pPr>
        <w:rPr>
          <w:b/>
          <w:szCs w:val="24"/>
        </w:rPr>
      </w:pPr>
    </w:p>
    <w:p w14:paraId="6BE7E567" w14:textId="77777777" w:rsidR="00C93A2C" w:rsidRPr="00023565" w:rsidRDefault="00C93A2C" w:rsidP="00023565">
      <w:pPr>
        <w:pStyle w:val="paragraph"/>
        <w:spacing w:before="0" w:beforeAutospacing="0" w:after="0" w:afterAutospacing="0"/>
        <w:textAlignment w:val="baseline"/>
        <w:rPr>
          <w:rFonts w:ascii="Segoe UI" w:hAnsi="Segoe UI" w:cs="Segoe UI"/>
        </w:rPr>
      </w:pPr>
      <w:r w:rsidRPr="00023565">
        <w:rPr>
          <w:rStyle w:val="normaltextrun"/>
          <w:rFonts w:ascii="Calibri" w:hAnsi="Calibri" w:cs="Calibri"/>
          <w:b/>
          <w:bCs/>
        </w:rPr>
        <w:t>Policies</w:t>
      </w:r>
      <w:r w:rsidRPr="00023565">
        <w:rPr>
          <w:rStyle w:val="eop"/>
          <w:rFonts w:ascii="Calibri" w:hAnsi="Calibri" w:cs="Calibri"/>
        </w:rPr>
        <w:t> </w:t>
      </w:r>
    </w:p>
    <w:p w14:paraId="3A5882F3" w14:textId="77777777" w:rsidR="00C93A2C" w:rsidRPr="00023565" w:rsidRDefault="00C93A2C" w:rsidP="00023565">
      <w:pPr>
        <w:pStyle w:val="ListBullet"/>
        <w:rPr>
          <w:szCs w:val="24"/>
        </w:rPr>
      </w:pPr>
      <w:r w:rsidRPr="00023565">
        <w:rPr>
          <w:rStyle w:val="normaltextrun"/>
          <w:rFonts w:cs="Calibri"/>
          <w:szCs w:val="24"/>
        </w:rPr>
        <w:t>Informed Consent – Clinical </w:t>
      </w:r>
      <w:r w:rsidRPr="00023565">
        <w:rPr>
          <w:rStyle w:val="eop"/>
          <w:rFonts w:cs="Calibri"/>
          <w:szCs w:val="24"/>
        </w:rPr>
        <w:t> </w:t>
      </w:r>
    </w:p>
    <w:p w14:paraId="70A478B8" w14:textId="77777777" w:rsidR="00C93A2C" w:rsidRPr="00023565" w:rsidRDefault="00C93A2C" w:rsidP="00023565">
      <w:pPr>
        <w:pStyle w:val="ListBullet"/>
        <w:rPr>
          <w:szCs w:val="24"/>
        </w:rPr>
      </w:pPr>
      <w:r w:rsidRPr="00023565">
        <w:rPr>
          <w:rStyle w:val="normaltextrun"/>
          <w:rFonts w:cs="Calibri"/>
          <w:szCs w:val="24"/>
        </w:rPr>
        <w:t>Medication Safety</w:t>
      </w:r>
      <w:r w:rsidRPr="00023565">
        <w:rPr>
          <w:rStyle w:val="eop"/>
          <w:rFonts w:cs="Calibri"/>
          <w:szCs w:val="24"/>
        </w:rPr>
        <w:t> </w:t>
      </w:r>
    </w:p>
    <w:p w14:paraId="70B81FE1" w14:textId="5C40B3E9" w:rsidR="00C93A2C" w:rsidRPr="00023565" w:rsidRDefault="00C93A2C" w:rsidP="00023565">
      <w:pPr>
        <w:pStyle w:val="ListBullet"/>
        <w:rPr>
          <w:szCs w:val="24"/>
        </w:rPr>
      </w:pPr>
      <w:r w:rsidRPr="00023565">
        <w:rPr>
          <w:rStyle w:val="normaltextrun"/>
          <w:rFonts w:cs="Calibri"/>
          <w:szCs w:val="24"/>
        </w:rPr>
        <w:t>Medication Handling </w:t>
      </w:r>
    </w:p>
    <w:p w14:paraId="62ABF073" w14:textId="77777777" w:rsidR="00C93A2C" w:rsidRPr="00023565" w:rsidRDefault="00C93A2C" w:rsidP="00023565">
      <w:pPr>
        <w:pStyle w:val="ListBullet"/>
        <w:rPr>
          <w:szCs w:val="24"/>
        </w:rPr>
      </w:pPr>
      <w:r w:rsidRPr="00023565">
        <w:rPr>
          <w:rStyle w:val="normaltextrun"/>
          <w:rFonts w:cs="Calibri"/>
          <w:szCs w:val="24"/>
        </w:rPr>
        <w:t>Nursing and Midwifery Board of Australia (NMBA) Requirements for Practice </w:t>
      </w:r>
      <w:r w:rsidRPr="00023565">
        <w:rPr>
          <w:rStyle w:val="eop"/>
          <w:rFonts w:cs="Calibri"/>
          <w:szCs w:val="24"/>
        </w:rPr>
        <w:t> </w:t>
      </w:r>
    </w:p>
    <w:p w14:paraId="67707846" w14:textId="77777777" w:rsidR="00C93A2C" w:rsidRPr="00023565" w:rsidRDefault="00C93A2C" w:rsidP="00023565">
      <w:pPr>
        <w:pStyle w:val="paragraph"/>
        <w:spacing w:before="0" w:beforeAutospacing="0" w:after="0" w:afterAutospacing="0"/>
        <w:ind w:left="720"/>
        <w:textAlignment w:val="baseline"/>
        <w:rPr>
          <w:rFonts w:ascii="Calibri" w:hAnsi="Calibri" w:cs="Calibri"/>
        </w:rPr>
      </w:pPr>
      <w:r w:rsidRPr="00023565">
        <w:rPr>
          <w:rStyle w:val="eop"/>
          <w:rFonts w:ascii="Calibri" w:hAnsi="Calibri" w:cs="Calibri"/>
        </w:rPr>
        <w:t> </w:t>
      </w:r>
    </w:p>
    <w:p w14:paraId="60C2F7F5" w14:textId="77777777" w:rsidR="00C93A2C" w:rsidRPr="00023565" w:rsidRDefault="00C93A2C" w:rsidP="00023565">
      <w:pPr>
        <w:pStyle w:val="paragraph"/>
        <w:spacing w:before="0" w:beforeAutospacing="0" w:after="0" w:afterAutospacing="0"/>
        <w:textAlignment w:val="baseline"/>
        <w:rPr>
          <w:rFonts w:ascii="Segoe UI" w:hAnsi="Segoe UI" w:cs="Segoe UI"/>
        </w:rPr>
      </w:pPr>
      <w:r w:rsidRPr="00023565">
        <w:rPr>
          <w:rStyle w:val="normaltextrun"/>
          <w:rFonts w:ascii="Calibri" w:hAnsi="Calibri" w:cs="Calibri"/>
          <w:b/>
          <w:bCs/>
        </w:rPr>
        <w:t>Procedures</w:t>
      </w:r>
      <w:r w:rsidRPr="00023565">
        <w:rPr>
          <w:rStyle w:val="eop"/>
          <w:rFonts w:ascii="Calibri" w:hAnsi="Calibri" w:cs="Calibri"/>
        </w:rPr>
        <w:t> </w:t>
      </w:r>
    </w:p>
    <w:p w14:paraId="32AF6CBD" w14:textId="77777777" w:rsidR="00C93A2C" w:rsidRPr="00023565" w:rsidRDefault="00C93A2C" w:rsidP="00023565">
      <w:pPr>
        <w:pStyle w:val="ListBullet"/>
        <w:rPr>
          <w:szCs w:val="24"/>
        </w:rPr>
      </w:pPr>
      <w:r w:rsidRPr="00023565">
        <w:rPr>
          <w:rStyle w:val="normaltextrun"/>
          <w:rFonts w:cs="Calibri"/>
          <w:szCs w:val="24"/>
        </w:rPr>
        <w:t>Patient Identification and Procedure Matching </w:t>
      </w:r>
      <w:r w:rsidRPr="00023565">
        <w:rPr>
          <w:rStyle w:val="eop"/>
          <w:rFonts w:cs="Calibri"/>
          <w:szCs w:val="24"/>
        </w:rPr>
        <w:t> </w:t>
      </w:r>
    </w:p>
    <w:p w14:paraId="0EEB565F" w14:textId="7A48C6CF" w:rsidR="00C93A2C" w:rsidRPr="00023565" w:rsidRDefault="00C93A2C" w:rsidP="00023565">
      <w:pPr>
        <w:pStyle w:val="ListBullet"/>
        <w:rPr>
          <w:rStyle w:val="eop"/>
          <w:rFonts w:cs="Calibri"/>
          <w:szCs w:val="24"/>
        </w:rPr>
      </w:pPr>
      <w:r w:rsidRPr="00023565">
        <w:rPr>
          <w:rStyle w:val="normaltextrun"/>
          <w:rFonts w:cs="Calibri"/>
          <w:szCs w:val="24"/>
        </w:rPr>
        <w:t>Venous &amp; Arterial Access: Management in the Department of Neonatology</w:t>
      </w:r>
      <w:r w:rsidRPr="00023565">
        <w:rPr>
          <w:rStyle w:val="eop"/>
          <w:rFonts w:cs="Calibri"/>
          <w:szCs w:val="24"/>
        </w:rPr>
        <w:t> </w:t>
      </w:r>
    </w:p>
    <w:p w14:paraId="00120FF1" w14:textId="451C23F4" w:rsidR="00B90429" w:rsidRPr="00B90429" w:rsidRDefault="00B90429" w:rsidP="00B90429">
      <w:pPr>
        <w:pStyle w:val="ListBullet"/>
        <w:rPr>
          <w:rStyle w:val="normaltextrun"/>
          <w:szCs w:val="24"/>
        </w:rPr>
      </w:pPr>
      <w:r>
        <w:rPr>
          <w:rStyle w:val="normaltextrun"/>
          <w:rFonts w:cs="Calibri"/>
          <w:szCs w:val="24"/>
        </w:rPr>
        <w:t>Infection Prevention and Control</w:t>
      </w:r>
    </w:p>
    <w:p w14:paraId="18C48FAF" w14:textId="55702328" w:rsidR="00B90429" w:rsidRPr="00B90429" w:rsidRDefault="00B90429" w:rsidP="00B90429">
      <w:pPr>
        <w:pStyle w:val="ListBullet"/>
        <w:rPr>
          <w:rStyle w:val="normaltextrun"/>
          <w:szCs w:val="24"/>
        </w:rPr>
      </w:pPr>
      <w:r>
        <w:rPr>
          <w:rStyle w:val="normaltextrun"/>
          <w:rFonts w:cs="Calibri"/>
          <w:szCs w:val="24"/>
        </w:rPr>
        <w:t>Aseptic Technique</w:t>
      </w:r>
    </w:p>
    <w:p w14:paraId="4F306998" w14:textId="097861FC" w:rsidR="00B90429" w:rsidRPr="009C5A14" w:rsidRDefault="00B90429" w:rsidP="00B90429">
      <w:pPr>
        <w:pStyle w:val="ListBullet"/>
        <w:rPr>
          <w:rStyle w:val="normaltextrun"/>
          <w:szCs w:val="24"/>
        </w:rPr>
      </w:pPr>
      <w:r>
        <w:rPr>
          <w:rStyle w:val="normaltextrun"/>
          <w:rFonts w:cs="Calibri"/>
          <w:szCs w:val="24"/>
        </w:rPr>
        <w:t>Vital Sign</w:t>
      </w:r>
      <w:r w:rsidR="00DF7487">
        <w:rPr>
          <w:rStyle w:val="normaltextrun"/>
          <w:rFonts w:cs="Calibri"/>
          <w:szCs w:val="24"/>
        </w:rPr>
        <w:t>s</w:t>
      </w:r>
      <w:r>
        <w:rPr>
          <w:rStyle w:val="normaltextrun"/>
          <w:rFonts w:cs="Calibri"/>
          <w:szCs w:val="24"/>
        </w:rPr>
        <w:t xml:space="preserve"> and Early Warning Scores</w:t>
      </w:r>
      <w:r w:rsidR="00DF7487">
        <w:rPr>
          <w:rStyle w:val="normaltextrun"/>
          <w:rFonts w:cs="Calibri"/>
          <w:szCs w:val="24"/>
        </w:rPr>
        <w:t xml:space="preserve"> – The Canberra Hospital Inpati</w:t>
      </w:r>
      <w:r w:rsidR="009C5A14">
        <w:rPr>
          <w:rStyle w:val="normaltextrun"/>
          <w:rFonts w:cs="Calibri"/>
          <w:szCs w:val="24"/>
        </w:rPr>
        <w:t>e</w:t>
      </w:r>
      <w:r w:rsidR="00DF7487">
        <w:rPr>
          <w:rStyle w:val="normaltextrun"/>
          <w:rFonts w:cs="Calibri"/>
          <w:szCs w:val="24"/>
        </w:rPr>
        <w:t>nts</w:t>
      </w:r>
    </w:p>
    <w:p w14:paraId="29F846B4" w14:textId="51C216E5" w:rsidR="009C5A14" w:rsidRPr="00023565" w:rsidRDefault="009C5A14" w:rsidP="00B90429">
      <w:pPr>
        <w:pStyle w:val="ListBullet"/>
        <w:rPr>
          <w:szCs w:val="24"/>
        </w:rPr>
      </w:pPr>
      <w:r>
        <w:rPr>
          <w:rStyle w:val="normaltextrun"/>
          <w:rFonts w:cs="Calibri"/>
          <w:szCs w:val="24"/>
        </w:rPr>
        <w:t xml:space="preserve">Blood Glucose and Ketone Point of Care </w:t>
      </w:r>
      <w:r w:rsidR="001A76C0">
        <w:rPr>
          <w:rStyle w:val="normaltextrun"/>
          <w:rFonts w:cs="Calibri"/>
          <w:szCs w:val="24"/>
        </w:rPr>
        <w:t>T</w:t>
      </w:r>
      <w:r>
        <w:rPr>
          <w:rStyle w:val="normaltextrun"/>
          <w:rFonts w:cs="Calibri"/>
          <w:szCs w:val="24"/>
        </w:rPr>
        <w:t>esting</w:t>
      </w:r>
    </w:p>
    <w:p w14:paraId="54FFF739" w14:textId="77777777" w:rsidR="00C93A2C" w:rsidRPr="00023565" w:rsidRDefault="00C93A2C" w:rsidP="00023565">
      <w:pPr>
        <w:pStyle w:val="paragraph"/>
        <w:spacing w:before="0" w:beforeAutospacing="0" w:after="0" w:afterAutospacing="0"/>
        <w:ind w:left="720"/>
        <w:textAlignment w:val="baseline"/>
        <w:rPr>
          <w:rFonts w:ascii="Calibri" w:hAnsi="Calibri" w:cs="Calibri"/>
        </w:rPr>
      </w:pPr>
    </w:p>
    <w:p w14:paraId="118767C6" w14:textId="77777777" w:rsidR="00C93A2C" w:rsidRPr="00023565" w:rsidRDefault="00C93A2C" w:rsidP="00023565">
      <w:pPr>
        <w:pStyle w:val="paragraph"/>
        <w:spacing w:before="0" w:beforeAutospacing="0" w:after="0" w:afterAutospacing="0"/>
        <w:textAlignment w:val="baseline"/>
        <w:rPr>
          <w:rFonts w:ascii="Segoe UI" w:hAnsi="Segoe UI" w:cs="Segoe UI"/>
        </w:rPr>
      </w:pPr>
      <w:r w:rsidRPr="00023565">
        <w:rPr>
          <w:rStyle w:val="normaltextrun"/>
          <w:rFonts w:ascii="Calibri" w:hAnsi="Calibri" w:cs="Calibri"/>
          <w:b/>
          <w:bCs/>
        </w:rPr>
        <w:t>Manuals </w:t>
      </w:r>
      <w:r w:rsidRPr="00023565">
        <w:rPr>
          <w:rStyle w:val="eop"/>
          <w:rFonts w:ascii="Calibri" w:hAnsi="Calibri" w:cs="Calibri"/>
        </w:rPr>
        <w:t> </w:t>
      </w:r>
    </w:p>
    <w:p w14:paraId="12A4DE0A" w14:textId="77777777" w:rsidR="00C93A2C" w:rsidRPr="00023565" w:rsidRDefault="00C93A2C" w:rsidP="00023565">
      <w:pPr>
        <w:pStyle w:val="ListBullet"/>
        <w:rPr>
          <w:szCs w:val="24"/>
        </w:rPr>
      </w:pPr>
      <w:r w:rsidRPr="00023565">
        <w:rPr>
          <w:rStyle w:val="normaltextrun"/>
          <w:rFonts w:cs="Calibri"/>
          <w:szCs w:val="24"/>
        </w:rPr>
        <w:t>Neonatal Intensive Care Drug Manual</w:t>
      </w:r>
      <w:r w:rsidRPr="00023565">
        <w:rPr>
          <w:rStyle w:val="eop"/>
          <w:rFonts w:cs="Calibri"/>
          <w:szCs w:val="24"/>
        </w:rPr>
        <w:t> </w:t>
      </w:r>
    </w:p>
    <w:p w14:paraId="59E6E792" w14:textId="5738E8A6" w:rsidR="00C93A2C" w:rsidRPr="00023565" w:rsidRDefault="00C93A2C" w:rsidP="00023565">
      <w:pPr>
        <w:pStyle w:val="paragraph"/>
        <w:spacing w:before="0" w:beforeAutospacing="0" w:after="0" w:afterAutospacing="0"/>
        <w:ind w:firstLine="50"/>
        <w:textAlignment w:val="baseline"/>
        <w:rPr>
          <w:rFonts w:ascii="Segoe UI" w:hAnsi="Segoe UI" w:cs="Segoe UI"/>
        </w:rPr>
      </w:pPr>
    </w:p>
    <w:p w14:paraId="0A4E9FE3" w14:textId="77777777" w:rsidR="00C93A2C" w:rsidRPr="00023565" w:rsidRDefault="00C93A2C" w:rsidP="00023565">
      <w:pPr>
        <w:pStyle w:val="paragraph"/>
        <w:spacing w:before="0" w:beforeAutospacing="0" w:after="0" w:afterAutospacing="0"/>
        <w:textAlignment w:val="baseline"/>
        <w:rPr>
          <w:rFonts w:ascii="Segoe UI" w:hAnsi="Segoe UI" w:cs="Segoe UI"/>
        </w:rPr>
      </w:pPr>
      <w:r w:rsidRPr="00023565">
        <w:rPr>
          <w:rStyle w:val="normaltextrun"/>
          <w:rFonts w:ascii="Calibri" w:hAnsi="Calibri" w:cs="Calibri"/>
          <w:b/>
          <w:bCs/>
        </w:rPr>
        <w:t>Legislation</w:t>
      </w:r>
      <w:r w:rsidRPr="00023565">
        <w:rPr>
          <w:rStyle w:val="eop"/>
          <w:rFonts w:ascii="Calibri" w:hAnsi="Calibri" w:cs="Calibri"/>
        </w:rPr>
        <w:t> </w:t>
      </w:r>
    </w:p>
    <w:p w14:paraId="055884C3" w14:textId="77777777" w:rsidR="00C93A2C" w:rsidRPr="00023565" w:rsidRDefault="00C93A2C" w:rsidP="00023565">
      <w:pPr>
        <w:pStyle w:val="ListBullet"/>
        <w:rPr>
          <w:szCs w:val="24"/>
        </w:rPr>
      </w:pPr>
      <w:r w:rsidRPr="00023565">
        <w:rPr>
          <w:rStyle w:val="normaltextrun"/>
          <w:rFonts w:cs="Calibri"/>
          <w:i/>
          <w:iCs/>
          <w:szCs w:val="24"/>
        </w:rPr>
        <w:t xml:space="preserve">Health Records (Privacy and Access) Act </w:t>
      </w:r>
      <w:r w:rsidRPr="00023565">
        <w:rPr>
          <w:rStyle w:val="normaltextrun"/>
          <w:rFonts w:cs="Calibri"/>
          <w:szCs w:val="24"/>
        </w:rPr>
        <w:t>1997</w:t>
      </w:r>
      <w:r w:rsidRPr="00023565">
        <w:rPr>
          <w:rStyle w:val="eop"/>
          <w:rFonts w:cs="Calibri"/>
          <w:szCs w:val="24"/>
        </w:rPr>
        <w:t> </w:t>
      </w:r>
    </w:p>
    <w:p w14:paraId="2FE9D048" w14:textId="77777777" w:rsidR="00C93A2C" w:rsidRPr="00023565" w:rsidRDefault="00C93A2C" w:rsidP="00023565">
      <w:pPr>
        <w:pStyle w:val="ListBullet"/>
        <w:rPr>
          <w:szCs w:val="24"/>
        </w:rPr>
      </w:pPr>
      <w:r w:rsidRPr="00023565">
        <w:rPr>
          <w:rStyle w:val="normaltextrun"/>
          <w:rFonts w:cs="Calibri"/>
          <w:i/>
          <w:iCs/>
          <w:szCs w:val="24"/>
        </w:rPr>
        <w:t xml:space="preserve">Human Rights Act </w:t>
      </w:r>
      <w:r w:rsidRPr="00023565">
        <w:rPr>
          <w:rStyle w:val="normaltextrun"/>
          <w:rFonts w:cs="Calibri"/>
          <w:szCs w:val="24"/>
        </w:rPr>
        <w:t>2004</w:t>
      </w:r>
      <w:r w:rsidRPr="00023565">
        <w:rPr>
          <w:rStyle w:val="eop"/>
          <w:rFonts w:cs="Calibri"/>
          <w:szCs w:val="24"/>
        </w:rPr>
        <w:t> </w:t>
      </w:r>
    </w:p>
    <w:p w14:paraId="37E830C6" w14:textId="77777777" w:rsidR="00C93A2C" w:rsidRPr="00023565" w:rsidRDefault="00C93A2C" w:rsidP="00023565">
      <w:pPr>
        <w:pStyle w:val="ListBullet"/>
        <w:rPr>
          <w:szCs w:val="24"/>
        </w:rPr>
      </w:pPr>
      <w:r w:rsidRPr="00023565">
        <w:rPr>
          <w:rStyle w:val="normaltextrun"/>
          <w:rFonts w:cs="Calibri"/>
          <w:i/>
          <w:iCs/>
          <w:szCs w:val="24"/>
        </w:rPr>
        <w:t xml:space="preserve">Work Health and Safety Act </w:t>
      </w:r>
      <w:r w:rsidRPr="00023565">
        <w:rPr>
          <w:rStyle w:val="normaltextrun"/>
          <w:rFonts w:cs="Calibri"/>
          <w:szCs w:val="24"/>
        </w:rPr>
        <w:t>2011</w:t>
      </w:r>
      <w:r w:rsidRPr="00023565">
        <w:rPr>
          <w:rStyle w:val="eop"/>
          <w:rFonts w:cs="Calibri"/>
          <w:szCs w:val="24"/>
        </w:rPr>
        <w:t> </w:t>
      </w:r>
    </w:p>
    <w:p w14:paraId="61A3F4DE" w14:textId="77777777" w:rsidR="00C93A2C" w:rsidRPr="00023565" w:rsidRDefault="00C93A2C" w:rsidP="00023565">
      <w:pPr>
        <w:pStyle w:val="ListBullet"/>
        <w:rPr>
          <w:szCs w:val="24"/>
        </w:rPr>
      </w:pPr>
      <w:r w:rsidRPr="00023565">
        <w:rPr>
          <w:rStyle w:val="normaltextrun"/>
          <w:rFonts w:cs="Calibri"/>
          <w:i/>
          <w:iCs/>
          <w:szCs w:val="24"/>
        </w:rPr>
        <w:t>Carers Recognition Act 2021</w:t>
      </w:r>
      <w:r w:rsidRPr="00023565">
        <w:rPr>
          <w:rStyle w:val="eop"/>
          <w:rFonts w:cs="Calibri"/>
          <w:szCs w:val="24"/>
        </w:rPr>
        <w:t> </w:t>
      </w:r>
    </w:p>
    <w:p w14:paraId="69F5D9CA" w14:textId="3D421254" w:rsidR="00C93A2C" w:rsidRPr="00023565" w:rsidRDefault="00C93A2C" w:rsidP="00023565">
      <w:pPr>
        <w:pStyle w:val="paragraph"/>
        <w:spacing w:before="0" w:beforeAutospacing="0" w:after="0" w:afterAutospacing="0"/>
        <w:ind w:firstLine="50"/>
        <w:textAlignment w:val="baseline"/>
        <w:rPr>
          <w:rFonts w:ascii="Segoe UI" w:hAnsi="Segoe UI" w:cs="Segoe UI"/>
        </w:rPr>
      </w:pPr>
    </w:p>
    <w:p w14:paraId="17B0FEDD" w14:textId="77777777" w:rsidR="00C93A2C" w:rsidRPr="00023565" w:rsidRDefault="00C93A2C" w:rsidP="00023565">
      <w:pPr>
        <w:pStyle w:val="paragraph"/>
        <w:spacing w:before="0" w:beforeAutospacing="0" w:after="0" w:afterAutospacing="0"/>
        <w:textAlignment w:val="baseline"/>
        <w:rPr>
          <w:rFonts w:ascii="Segoe UI" w:hAnsi="Segoe UI" w:cs="Segoe UI"/>
        </w:rPr>
      </w:pPr>
      <w:r w:rsidRPr="00023565">
        <w:rPr>
          <w:rStyle w:val="normaltextrun"/>
          <w:rFonts w:ascii="Calibri" w:hAnsi="Calibri" w:cs="Calibri"/>
          <w:b/>
          <w:bCs/>
        </w:rPr>
        <w:t>Other</w:t>
      </w:r>
      <w:r w:rsidRPr="00023565">
        <w:rPr>
          <w:rStyle w:val="eop"/>
          <w:rFonts w:ascii="Calibri" w:hAnsi="Calibri" w:cs="Calibri"/>
        </w:rPr>
        <w:t> </w:t>
      </w:r>
    </w:p>
    <w:p w14:paraId="54E0DCD2" w14:textId="10CBBCB0" w:rsidR="009668F5" w:rsidRPr="00023565" w:rsidRDefault="00C93A2C" w:rsidP="00023565">
      <w:pPr>
        <w:pStyle w:val="ListBullet"/>
        <w:rPr>
          <w:rFonts w:ascii="Segoe UI" w:hAnsi="Segoe UI" w:cs="Segoe UI"/>
          <w:szCs w:val="24"/>
        </w:rPr>
      </w:pPr>
      <w:r w:rsidRPr="00023565">
        <w:rPr>
          <w:rStyle w:val="normaltextrun"/>
          <w:rFonts w:cs="Calibri"/>
          <w:szCs w:val="24"/>
        </w:rPr>
        <w:t>Australian Charter of Healthcare Rights</w:t>
      </w:r>
      <w:r w:rsidR="00023565">
        <w:rPr>
          <w:rStyle w:val="normaltextrun"/>
          <w:rFonts w:cs="Calibri"/>
          <w:szCs w:val="24"/>
        </w:rPr>
        <w:t>.</w:t>
      </w:r>
      <w:r w:rsidRPr="00023565">
        <w:rPr>
          <w:rStyle w:val="eop"/>
          <w:rFonts w:cs="Calibri"/>
          <w:szCs w:val="24"/>
        </w:rPr>
        <w:t> </w:t>
      </w:r>
    </w:p>
    <w:p w14:paraId="598CA6F1" w14:textId="03ED617E" w:rsidR="009668F5" w:rsidRDefault="009668F5" w:rsidP="00C93A2C">
      <w:pPr>
        <w:jc w:val="right"/>
      </w:pPr>
    </w:p>
    <w:p w14:paraId="2F51A8CA" w14:textId="77777777" w:rsidR="007B6904" w:rsidRDefault="004A6A7F" w:rsidP="00C93A2C">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277F6A">
            <w:pPr>
              <w:pStyle w:val="Heading1"/>
              <w:jc w:val="both"/>
            </w:pPr>
            <w:bookmarkStart w:id="24" w:name="_Toc389473288"/>
            <w:bookmarkStart w:id="25" w:name="_Toc139140949"/>
            <w:r>
              <w:t>References</w:t>
            </w:r>
            <w:bookmarkEnd w:id="24"/>
            <w:bookmarkEnd w:id="25"/>
          </w:p>
        </w:tc>
      </w:tr>
    </w:tbl>
    <w:p w14:paraId="2F51A8CD" w14:textId="77777777" w:rsidR="007B6904" w:rsidRPr="00DE4E25" w:rsidRDefault="007B6904" w:rsidP="00277F6A">
      <w:pPr>
        <w:jc w:val="both"/>
        <w:rPr>
          <w:rFonts w:asciiTheme="majorHAnsi" w:hAnsiTheme="majorHAnsi" w:cstheme="majorHAnsi"/>
          <w:szCs w:val="24"/>
        </w:rPr>
      </w:pPr>
      <w:bookmarkStart w:id="26" w:name="_Toc389131245"/>
    </w:p>
    <w:bookmarkEnd w:id="26"/>
    <w:p w14:paraId="2656EF28" w14:textId="77777777" w:rsidR="00C8197D" w:rsidRPr="00C8197D" w:rsidRDefault="00C8197D" w:rsidP="00C8197D">
      <w:pPr>
        <w:pStyle w:val="ListParagraph"/>
        <w:numPr>
          <w:ilvl w:val="0"/>
          <w:numId w:val="21"/>
        </w:numPr>
        <w:jc w:val="both"/>
        <w:rPr>
          <w:rFonts w:eastAsia="Calibri"/>
          <w:iCs/>
          <w:szCs w:val="24"/>
        </w:rPr>
      </w:pPr>
      <w:r w:rsidRPr="00C8197D">
        <w:rPr>
          <w:rFonts w:eastAsia="Calibri"/>
          <w:iCs/>
          <w:szCs w:val="24"/>
        </w:rPr>
        <w:t xml:space="preserve">Blanco C, Kim J. Neonatal glucose homeostasis. Clin </w:t>
      </w:r>
      <w:proofErr w:type="spellStart"/>
      <w:r w:rsidRPr="00C8197D">
        <w:rPr>
          <w:rFonts w:eastAsia="Calibri"/>
          <w:iCs/>
          <w:szCs w:val="24"/>
        </w:rPr>
        <w:t>Perinatol</w:t>
      </w:r>
      <w:proofErr w:type="spellEnd"/>
      <w:r w:rsidRPr="00C8197D">
        <w:rPr>
          <w:rFonts w:eastAsia="Calibri"/>
          <w:iCs/>
          <w:szCs w:val="24"/>
        </w:rPr>
        <w:t xml:space="preserve"> 2022; 49: 393-404.</w:t>
      </w:r>
    </w:p>
    <w:p w14:paraId="702190EB" w14:textId="77777777" w:rsidR="00C8197D" w:rsidRPr="00C8197D" w:rsidRDefault="00C8197D" w:rsidP="00C8197D">
      <w:pPr>
        <w:pStyle w:val="ListParagraph"/>
        <w:numPr>
          <w:ilvl w:val="0"/>
          <w:numId w:val="21"/>
        </w:numPr>
        <w:jc w:val="both"/>
        <w:rPr>
          <w:rFonts w:eastAsia="Calibri"/>
          <w:iCs/>
          <w:szCs w:val="24"/>
        </w:rPr>
      </w:pPr>
      <w:r w:rsidRPr="00C8197D">
        <w:rPr>
          <w:rFonts w:eastAsia="Calibri"/>
          <w:iCs/>
          <w:szCs w:val="24"/>
        </w:rPr>
        <w:t xml:space="preserve">Insulin – Hyperglycaemia. Newborn use only. </w:t>
      </w:r>
      <w:proofErr w:type="spellStart"/>
      <w:r w:rsidRPr="00C8197D">
        <w:rPr>
          <w:rFonts w:eastAsia="Calibri"/>
          <w:iCs/>
          <w:szCs w:val="24"/>
        </w:rPr>
        <w:t>Neomed</w:t>
      </w:r>
      <w:proofErr w:type="spellEnd"/>
      <w:r w:rsidRPr="00C8197D">
        <w:rPr>
          <w:rFonts w:eastAsia="Calibri"/>
          <w:iCs/>
          <w:szCs w:val="24"/>
        </w:rPr>
        <w:t xml:space="preserve"> 2022. </w:t>
      </w:r>
      <w:hyperlink r:id="rId11" w:history="1">
        <w:proofErr w:type="spellStart"/>
        <w:r w:rsidRPr="00C8197D">
          <w:rPr>
            <w:iCs/>
            <w:color w:val="0000FF"/>
            <w:u w:val="single"/>
          </w:rPr>
          <w:t>NeoMED</w:t>
        </w:r>
        <w:proofErr w:type="spellEnd"/>
        <w:r w:rsidRPr="00C8197D">
          <w:rPr>
            <w:iCs/>
            <w:color w:val="0000FF"/>
            <w:u w:val="single"/>
          </w:rPr>
          <w:t xml:space="preserve"> consensus group (nsw.gov.au)</w:t>
        </w:r>
      </w:hyperlink>
    </w:p>
    <w:p w14:paraId="52C17AD6" w14:textId="77777777" w:rsidR="00C8197D" w:rsidRPr="00C8197D" w:rsidRDefault="00C8197D" w:rsidP="00C8197D">
      <w:pPr>
        <w:pStyle w:val="ListParagraph"/>
        <w:numPr>
          <w:ilvl w:val="0"/>
          <w:numId w:val="21"/>
        </w:numPr>
        <w:jc w:val="both"/>
        <w:rPr>
          <w:rFonts w:eastAsia="Calibri"/>
          <w:iCs/>
          <w:szCs w:val="24"/>
        </w:rPr>
      </w:pPr>
      <w:r w:rsidRPr="00C8197D">
        <w:rPr>
          <w:rFonts w:eastAsia="Calibri"/>
          <w:iCs/>
          <w:szCs w:val="24"/>
        </w:rPr>
        <w:t xml:space="preserve">Ramel S, Rao R. </w:t>
      </w:r>
      <w:proofErr w:type="spellStart"/>
      <w:r w:rsidRPr="00C8197D">
        <w:rPr>
          <w:rFonts w:eastAsia="Calibri"/>
          <w:iCs/>
          <w:szCs w:val="24"/>
        </w:rPr>
        <w:t>Neoreviews</w:t>
      </w:r>
      <w:proofErr w:type="spellEnd"/>
      <w:r w:rsidRPr="00C8197D">
        <w:rPr>
          <w:rFonts w:eastAsia="Calibri"/>
          <w:iCs/>
          <w:szCs w:val="24"/>
        </w:rPr>
        <w:t xml:space="preserve"> 2020; 21 (2): e89-e96.</w:t>
      </w:r>
    </w:p>
    <w:p w14:paraId="17004D6C" w14:textId="4CBB0C95" w:rsidR="00246B04" w:rsidRPr="00246B04" w:rsidRDefault="00C8197D" w:rsidP="00246B04">
      <w:pPr>
        <w:pStyle w:val="ListParagraph"/>
        <w:numPr>
          <w:ilvl w:val="0"/>
          <w:numId w:val="21"/>
        </w:numPr>
        <w:jc w:val="both"/>
        <w:rPr>
          <w:rFonts w:eastAsia="Calibri"/>
          <w:iCs/>
          <w:szCs w:val="24"/>
        </w:rPr>
      </w:pPr>
      <w:r w:rsidRPr="00C8197D">
        <w:rPr>
          <w:rFonts w:eastAsia="Calibri"/>
          <w:iCs/>
          <w:szCs w:val="24"/>
        </w:rPr>
        <w:t xml:space="preserve">Stark A, Simmons R. Neonatal hyperglycaemia. UpToDate. Sept 2021. </w:t>
      </w:r>
      <w:hyperlink r:id="rId12" w:history="1">
        <w:r w:rsidRPr="00C8197D">
          <w:rPr>
            <w:iCs/>
            <w:color w:val="0000FF"/>
            <w:u w:val="single"/>
          </w:rPr>
          <w:t xml:space="preserve">Neonatal </w:t>
        </w:r>
        <w:proofErr w:type="spellStart"/>
        <w:r w:rsidRPr="00C8197D">
          <w:rPr>
            <w:iCs/>
            <w:color w:val="0000FF"/>
            <w:u w:val="single"/>
          </w:rPr>
          <w:t>hyperglycemia</w:t>
        </w:r>
        <w:proofErr w:type="spellEnd"/>
        <w:r w:rsidRPr="00C8197D">
          <w:rPr>
            <w:iCs/>
            <w:color w:val="0000FF"/>
            <w:u w:val="single"/>
          </w:rPr>
          <w:t xml:space="preserve"> - UpToDate</w:t>
        </w:r>
      </w:hyperlink>
    </w:p>
    <w:p w14:paraId="32F50457" w14:textId="0EFF6C57" w:rsidR="00246B04" w:rsidRDefault="00246B04" w:rsidP="00277F6A">
      <w:pPr>
        <w:numPr>
          <w:ilvl w:val="0"/>
          <w:numId w:val="21"/>
        </w:numPr>
        <w:jc w:val="both"/>
        <w:rPr>
          <w:rFonts w:cs="Calibri"/>
          <w:iCs/>
          <w:szCs w:val="24"/>
        </w:rPr>
      </w:pPr>
      <w:r>
        <w:rPr>
          <w:rFonts w:cs="Calibri"/>
          <w:iCs/>
          <w:szCs w:val="24"/>
        </w:rPr>
        <w:t xml:space="preserve">Sinclair J, </w:t>
      </w:r>
      <w:proofErr w:type="spellStart"/>
      <w:r>
        <w:rPr>
          <w:rFonts w:cs="Calibri"/>
          <w:iCs/>
          <w:szCs w:val="24"/>
        </w:rPr>
        <w:t>Bottino</w:t>
      </w:r>
      <w:proofErr w:type="spellEnd"/>
      <w:r>
        <w:rPr>
          <w:rFonts w:cs="Calibri"/>
          <w:iCs/>
          <w:szCs w:val="24"/>
        </w:rPr>
        <w:t xml:space="preserve"> M, </w:t>
      </w:r>
      <w:proofErr w:type="spellStart"/>
      <w:r>
        <w:rPr>
          <w:rFonts w:cs="Calibri"/>
          <w:iCs/>
          <w:szCs w:val="24"/>
        </w:rPr>
        <w:t>Cowett</w:t>
      </w:r>
      <w:proofErr w:type="spellEnd"/>
      <w:r>
        <w:rPr>
          <w:rFonts w:cs="Calibri"/>
          <w:iCs/>
          <w:szCs w:val="24"/>
        </w:rPr>
        <w:t xml:space="preserve"> R. Interventions for prevention of neonatal hyperglycaemia in very low birth weight infants. Cochrane Database Syst Rev. 2011; (10): CD007615.</w:t>
      </w:r>
    </w:p>
    <w:p w14:paraId="32788FF3" w14:textId="1A2FB30F" w:rsidR="00E439C9" w:rsidRPr="00C8197D" w:rsidRDefault="00E439C9" w:rsidP="00277F6A">
      <w:pPr>
        <w:numPr>
          <w:ilvl w:val="0"/>
          <w:numId w:val="21"/>
        </w:numPr>
        <w:jc w:val="both"/>
        <w:rPr>
          <w:rFonts w:cs="Calibri"/>
          <w:iCs/>
          <w:szCs w:val="24"/>
        </w:rPr>
      </w:pPr>
      <w:r w:rsidRPr="00C8197D">
        <w:rPr>
          <w:rFonts w:cs="Calibri"/>
          <w:iCs/>
          <w:szCs w:val="24"/>
        </w:rPr>
        <w:t>Hume R, Burchell</w:t>
      </w:r>
      <w:r w:rsidR="00C8197D">
        <w:rPr>
          <w:rFonts w:cs="Calibri"/>
          <w:iCs/>
          <w:szCs w:val="24"/>
        </w:rPr>
        <w:t xml:space="preserve"> </w:t>
      </w:r>
      <w:r w:rsidRPr="00C8197D">
        <w:rPr>
          <w:rFonts w:cs="Calibri"/>
          <w:iCs/>
          <w:szCs w:val="24"/>
        </w:rPr>
        <w:t>A, Williams</w:t>
      </w:r>
      <w:r w:rsidR="00C8197D">
        <w:rPr>
          <w:rFonts w:cs="Calibri"/>
          <w:iCs/>
          <w:szCs w:val="24"/>
        </w:rPr>
        <w:t xml:space="preserve"> </w:t>
      </w:r>
      <w:r w:rsidRPr="00C8197D">
        <w:rPr>
          <w:rFonts w:cs="Calibri"/>
          <w:iCs/>
          <w:szCs w:val="24"/>
        </w:rPr>
        <w:t>F, Koh</w:t>
      </w:r>
      <w:r w:rsidR="00C8197D">
        <w:rPr>
          <w:rFonts w:cs="Calibri"/>
          <w:iCs/>
          <w:szCs w:val="24"/>
        </w:rPr>
        <w:t xml:space="preserve"> </w:t>
      </w:r>
      <w:r w:rsidRPr="00C8197D">
        <w:rPr>
          <w:rFonts w:cs="Calibri"/>
          <w:iCs/>
          <w:szCs w:val="24"/>
        </w:rPr>
        <w:t>D. Glucose Homeostasis in the Newborn. Early Human Development 2005 p.81, 95-101.</w:t>
      </w:r>
    </w:p>
    <w:p w14:paraId="51EA273B" w14:textId="54175928" w:rsidR="00E439C9" w:rsidRPr="00C8197D" w:rsidRDefault="00E439C9" w:rsidP="00277F6A">
      <w:pPr>
        <w:numPr>
          <w:ilvl w:val="0"/>
          <w:numId w:val="21"/>
        </w:numPr>
        <w:jc w:val="both"/>
        <w:rPr>
          <w:rFonts w:cs="Calibri"/>
          <w:iCs/>
          <w:szCs w:val="24"/>
        </w:rPr>
      </w:pPr>
      <w:proofErr w:type="spellStart"/>
      <w:r w:rsidRPr="00C8197D">
        <w:rPr>
          <w:rFonts w:cs="Calibri"/>
          <w:iCs/>
          <w:szCs w:val="24"/>
        </w:rPr>
        <w:t>Alsweler</w:t>
      </w:r>
      <w:proofErr w:type="spellEnd"/>
      <w:r w:rsidR="00C8197D">
        <w:rPr>
          <w:rFonts w:cs="Calibri"/>
          <w:iCs/>
          <w:szCs w:val="24"/>
        </w:rPr>
        <w:t xml:space="preserve"> </w:t>
      </w:r>
      <w:r w:rsidRPr="00C8197D">
        <w:rPr>
          <w:rFonts w:cs="Calibri"/>
          <w:iCs/>
          <w:szCs w:val="24"/>
        </w:rPr>
        <w:t xml:space="preserve">J, </w:t>
      </w:r>
      <w:proofErr w:type="spellStart"/>
      <w:r w:rsidRPr="00C8197D">
        <w:rPr>
          <w:rFonts w:cs="Calibri"/>
          <w:iCs/>
          <w:szCs w:val="24"/>
        </w:rPr>
        <w:t>Kuschel</w:t>
      </w:r>
      <w:proofErr w:type="spellEnd"/>
      <w:r w:rsidR="00C8197D">
        <w:rPr>
          <w:rFonts w:cs="Calibri"/>
          <w:iCs/>
          <w:szCs w:val="24"/>
        </w:rPr>
        <w:t xml:space="preserve"> </w:t>
      </w:r>
      <w:r w:rsidRPr="00C8197D">
        <w:rPr>
          <w:rFonts w:cs="Calibri"/>
          <w:iCs/>
          <w:szCs w:val="24"/>
        </w:rPr>
        <w:t>C</w:t>
      </w:r>
      <w:r w:rsidR="00C8197D">
        <w:rPr>
          <w:rFonts w:cs="Calibri"/>
          <w:iCs/>
          <w:szCs w:val="24"/>
        </w:rPr>
        <w:t xml:space="preserve">, </w:t>
      </w:r>
      <w:r w:rsidRPr="00C8197D">
        <w:rPr>
          <w:rFonts w:cs="Calibri"/>
          <w:iCs/>
          <w:szCs w:val="24"/>
        </w:rPr>
        <w:t>Bloomfield</w:t>
      </w:r>
      <w:r w:rsidR="00C8197D">
        <w:rPr>
          <w:rFonts w:cs="Calibri"/>
          <w:iCs/>
          <w:szCs w:val="24"/>
        </w:rPr>
        <w:t xml:space="preserve"> </w:t>
      </w:r>
      <w:r w:rsidRPr="00C8197D">
        <w:rPr>
          <w:rFonts w:cs="Calibri"/>
          <w:iCs/>
          <w:szCs w:val="24"/>
        </w:rPr>
        <w:t>F.  Survey of the management of neonatal hyperglycaemia in Australia Journal of Paediatrics and Child Health 2007</w:t>
      </w:r>
      <w:r w:rsidR="00C8197D">
        <w:rPr>
          <w:rFonts w:cs="Calibri"/>
          <w:iCs/>
          <w:szCs w:val="24"/>
        </w:rPr>
        <w:t xml:space="preserve">; </w:t>
      </w:r>
      <w:r w:rsidRPr="00C8197D">
        <w:rPr>
          <w:rFonts w:cs="Calibri"/>
          <w:iCs/>
          <w:szCs w:val="24"/>
        </w:rPr>
        <w:t>43</w:t>
      </w:r>
      <w:r w:rsidR="00C8197D">
        <w:rPr>
          <w:rFonts w:cs="Calibri"/>
          <w:iCs/>
          <w:szCs w:val="24"/>
        </w:rPr>
        <w:t xml:space="preserve">: </w:t>
      </w:r>
      <w:r w:rsidRPr="00C8197D">
        <w:rPr>
          <w:rFonts w:cs="Calibri"/>
          <w:iCs/>
          <w:szCs w:val="24"/>
        </w:rPr>
        <w:t>632-635</w:t>
      </w:r>
    </w:p>
    <w:p w14:paraId="28C4913F" w14:textId="458045D4" w:rsidR="00E439C9" w:rsidRPr="007C2330" w:rsidRDefault="00E439C9" w:rsidP="007C2330">
      <w:pPr>
        <w:numPr>
          <w:ilvl w:val="0"/>
          <w:numId w:val="21"/>
        </w:numPr>
        <w:jc w:val="both"/>
        <w:rPr>
          <w:rFonts w:cs="Calibri"/>
          <w:iCs/>
          <w:szCs w:val="24"/>
        </w:rPr>
      </w:pPr>
      <w:r w:rsidRPr="00C8197D">
        <w:rPr>
          <w:rFonts w:cs="Calibri"/>
          <w:iCs/>
          <w:szCs w:val="24"/>
        </w:rPr>
        <w:t xml:space="preserve">Raney M, </w:t>
      </w:r>
      <w:proofErr w:type="spellStart"/>
      <w:r w:rsidRPr="00C8197D">
        <w:rPr>
          <w:rFonts w:cs="Calibri"/>
          <w:iCs/>
          <w:szCs w:val="24"/>
        </w:rPr>
        <w:t>Donze</w:t>
      </w:r>
      <w:proofErr w:type="spellEnd"/>
      <w:r w:rsidRPr="00C8197D">
        <w:rPr>
          <w:rFonts w:cs="Calibri"/>
          <w:iCs/>
          <w:szCs w:val="24"/>
        </w:rPr>
        <w:t xml:space="preserve"> A, Renaud Smith J.  Insulin Infusion for the Treatment of Hyperglycaemia in </w:t>
      </w:r>
      <w:r w:rsidR="00C8197D" w:rsidRPr="00C8197D">
        <w:rPr>
          <w:rFonts w:cs="Calibri"/>
          <w:iCs/>
          <w:szCs w:val="24"/>
        </w:rPr>
        <w:t>Low-Birth-Weight</w:t>
      </w:r>
      <w:r w:rsidRPr="00C8197D">
        <w:rPr>
          <w:rFonts w:cs="Calibri"/>
          <w:iCs/>
          <w:szCs w:val="24"/>
        </w:rPr>
        <w:t xml:space="preserve"> Infants: examining the evidence. Neonatal Network 2008. 27(2)</w:t>
      </w:r>
      <w:r w:rsidR="00C8197D">
        <w:rPr>
          <w:rFonts w:cs="Calibri"/>
          <w:iCs/>
          <w:szCs w:val="24"/>
        </w:rPr>
        <w:t xml:space="preserve">: </w:t>
      </w:r>
      <w:r w:rsidRPr="00C8197D">
        <w:rPr>
          <w:rFonts w:cs="Calibri"/>
          <w:iCs/>
          <w:szCs w:val="24"/>
        </w:rPr>
        <w:t>127-140.</w:t>
      </w:r>
    </w:p>
    <w:p w14:paraId="76F24ADF" w14:textId="7681701A" w:rsidR="000360C3" w:rsidRDefault="000360C3" w:rsidP="00277F6A">
      <w:pPr>
        <w:numPr>
          <w:ilvl w:val="0"/>
          <w:numId w:val="21"/>
        </w:numPr>
        <w:jc w:val="both"/>
        <w:rPr>
          <w:rFonts w:cs="Calibri"/>
          <w:iCs/>
          <w:szCs w:val="24"/>
        </w:rPr>
      </w:pPr>
      <w:proofErr w:type="spellStart"/>
      <w:r>
        <w:rPr>
          <w:rFonts w:cs="Calibri"/>
          <w:iCs/>
          <w:szCs w:val="24"/>
        </w:rPr>
        <w:t>Alsweiler</w:t>
      </w:r>
      <w:proofErr w:type="spellEnd"/>
      <w:r>
        <w:rPr>
          <w:rFonts w:cs="Calibri"/>
          <w:iCs/>
          <w:szCs w:val="24"/>
        </w:rPr>
        <w:t xml:space="preserve"> J, </w:t>
      </w:r>
      <w:proofErr w:type="spellStart"/>
      <w:r>
        <w:rPr>
          <w:rFonts w:cs="Calibri"/>
          <w:iCs/>
          <w:szCs w:val="24"/>
        </w:rPr>
        <w:t>HardingJ</w:t>
      </w:r>
      <w:proofErr w:type="spellEnd"/>
      <w:r>
        <w:rPr>
          <w:rFonts w:cs="Calibri"/>
          <w:iCs/>
          <w:szCs w:val="24"/>
        </w:rPr>
        <w:t xml:space="preserve">, Bloomfield F. Tight </w:t>
      </w:r>
      <w:proofErr w:type="spellStart"/>
      <w:r>
        <w:rPr>
          <w:rFonts w:cs="Calibri"/>
          <w:iCs/>
          <w:szCs w:val="24"/>
        </w:rPr>
        <w:t>glycemic</w:t>
      </w:r>
      <w:proofErr w:type="spellEnd"/>
      <w:r>
        <w:rPr>
          <w:rFonts w:cs="Calibri"/>
          <w:iCs/>
          <w:szCs w:val="24"/>
        </w:rPr>
        <w:t xml:space="preserve"> control with Insulin in </w:t>
      </w:r>
      <w:proofErr w:type="spellStart"/>
      <w:r>
        <w:rPr>
          <w:rFonts w:cs="Calibri"/>
          <w:iCs/>
          <w:szCs w:val="24"/>
        </w:rPr>
        <w:t>hyperglycemic</w:t>
      </w:r>
      <w:proofErr w:type="spellEnd"/>
      <w:r>
        <w:rPr>
          <w:rFonts w:cs="Calibri"/>
          <w:iCs/>
          <w:szCs w:val="24"/>
        </w:rPr>
        <w:t xml:space="preserve"> preterm babies: a randomized controlled trial. Paediatrics 2012; 129 (4): 639-647.</w:t>
      </w:r>
    </w:p>
    <w:p w14:paraId="5EB6993E" w14:textId="4BFBBDDD" w:rsidR="00205AC8" w:rsidRDefault="00205AC8" w:rsidP="00277F6A">
      <w:pPr>
        <w:numPr>
          <w:ilvl w:val="0"/>
          <w:numId w:val="21"/>
        </w:numPr>
        <w:jc w:val="both"/>
        <w:rPr>
          <w:rFonts w:cs="Calibri"/>
          <w:iCs/>
          <w:szCs w:val="24"/>
        </w:rPr>
      </w:pPr>
      <w:proofErr w:type="spellStart"/>
      <w:r>
        <w:rPr>
          <w:rFonts w:cs="Calibri"/>
          <w:iCs/>
          <w:szCs w:val="24"/>
        </w:rPr>
        <w:t>Parappil</w:t>
      </w:r>
      <w:proofErr w:type="spellEnd"/>
      <w:r>
        <w:rPr>
          <w:rFonts w:cs="Calibri"/>
          <w:iCs/>
          <w:szCs w:val="24"/>
        </w:rPr>
        <w:t xml:space="preserve"> H, </w:t>
      </w:r>
      <w:proofErr w:type="spellStart"/>
      <w:r>
        <w:rPr>
          <w:rFonts w:cs="Calibri"/>
          <w:iCs/>
          <w:szCs w:val="24"/>
        </w:rPr>
        <w:t>Gaffari</w:t>
      </w:r>
      <w:proofErr w:type="spellEnd"/>
      <w:r>
        <w:rPr>
          <w:rFonts w:cs="Calibri"/>
          <w:iCs/>
          <w:szCs w:val="24"/>
        </w:rPr>
        <w:t xml:space="preserve"> M, </w:t>
      </w:r>
      <w:proofErr w:type="spellStart"/>
      <w:r>
        <w:rPr>
          <w:rFonts w:cs="Calibri"/>
          <w:iCs/>
          <w:szCs w:val="24"/>
        </w:rPr>
        <w:t>Paramban</w:t>
      </w:r>
      <w:proofErr w:type="spellEnd"/>
      <w:r>
        <w:rPr>
          <w:rFonts w:cs="Calibri"/>
          <w:iCs/>
          <w:szCs w:val="24"/>
        </w:rPr>
        <w:t xml:space="preserve"> R at al. Management of hyperglycaemia in the neonatal unit: A practical approach to diagnosis and management. Journal of Clinical Neonatology 2022; 11 (1): 38-44.</w:t>
      </w:r>
    </w:p>
    <w:p w14:paraId="13AFA493" w14:textId="17B9DD75" w:rsidR="008A3523" w:rsidRDefault="008A3523" w:rsidP="00277F6A">
      <w:pPr>
        <w:numPr>
          <w:ilvl w:val="0"/>
          <w:numId w:val="21"/>
        </w:numPr>
        <w:jc w:val="both"/>
        <w:rPr>
          <w:rFonts w:cs="Calibri"/>
          <w:iCs/>
          <w:szCs w:val="24"/>
        </w:rPr>
      </w:pPr>
      <w:r>
        <w:rPr>
          <w:rFonts w:cs="Calibri"/>
          <w:iCs/>
          <w:szCs w:val="24"/>
        </w:rPr>
        <w:t xml:space="preserve">Ogilvy A, Beardsall K. Management of hyperglycaemia in the preterm infant. Arch Dis Child Fetal Neonatal Ed 2010; </w:t>
      </w:r>
      <w:r w:rsidR="00C93A2C">
        <w:rPr>
          <w:rFonts w:cs="Calibri"/>
          <w:iCs/>
          <w:szCs w:val="24"/>
        </w:rPr>
        <w:t>95: F</w:t>
      </w:r>
      <w:r>
        <w:rPr>
          <w:rFonts w:cs="Calibri"/>
          <w:iCs/>
          <w:szCs w:val="24"/>
        </w:rPr>
        <w:t>126-F131.</w:t>
      </w:r>
    </w:p>
    <w:p w14:paraId="7E0553D9" w14:textId="6892CA9B" w:rsidR="00960A35" w:rsidRPr="00023565" w:rsidRDefault="00D81508" w:rsidP="00023565">
      <w:pPr>
        <w:numPr>
          <w:ilvl w:val="0"/>
          <w:numId w:val="21"/>
        </w:numPr>
        <w:jc w:val="both"/>
        <w:rPr>
          <w:rFonts w:cs="Calibri"/>
          <w:iCs/>
          <w:szCs w:val="24"/>
        </w:rPr>
      </w:pPr>
      <w:r>
        <w:rPr>
          <w:rFonts w:cs="Calibri"/>
          <w:iCs/>
          <w:szCs w:val="24"/>
        </w:rPr>
        <w:t xml:space="preserve">Mena P, Llanos A, </w:t>
      </w:r>
      <w:proofErr w:type="spellStart"/>
      <w:r>
        <w:rPr>
          <w:rFonts w:cs="Calibri"/>
          <w:iCs/>
          <w:szCs w:val="24"/>
        </w:rPr>
        <w:t>Uauy</w:t>
      </w:r>
      <w:proofErr w:type="spellEnd"/>
      <w:r>
        <w:rPr>
          <w:rFonts w:cs="Calibri"/>
          <w:iCs/>
          <w:szCs w:val="24"/>
        </w:rPr>
        <w:t xml:space="preserve"> R. Insulin homeostasis in the extremely low birth weight infant. Seminars in Perinatology 2001; 26 (6): 436-446.</w:t>
      </w:r>
    </w:p>
    <w:p w14:paraId="2F51A8D4" w14:textId="77777777" w:rsidR="007B6904" w:rsidRPr="00DE4E25" w:rsidRDefault="007B6904" w:rsidP="007B6904">
      <w:pPr>
        <w:jc w:val="right"/>
        <w:rPr>
          <w:szCs w:val="24"/>
        </w:rPr>
      </w:pPr>
    </w:p>
    <w:p w14:paraId="2F51A8D5" w14:textId="77777777" w:rsidR="00FF56DD" w:rsidRDefault="004A6A7F"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404E53E2" w:rsidR="00FF56DD" w:rsidRPr="000F1F60" w:rsidRDefault="00FF56DD" w:rsidP="004213C3">
            <w:pPr>
              <w:pStyle w:val="Heading1"/>
            </w:pPr>
            <w:bookmarkStart w:id="27" w:name="_Toc139140950"/>
            <w:r>
              <w:t>Definition of Terms</w:t>
            </w:r>
            <w:bookmarkEnd w:id="27"/>
            <w:r>
              <w:t xml:space="preserve"> </w:t>
            </w:r>
          </w:p>
        </w:tc>
      </w:tr>
    </w:tbl>
    <w:p w14:paraId="7066136E" w14:textId="508BBDED" w:rsidR="00C93A2C" w:rsidRDefault="00C93A2C" w:rsidP="00E439C9">
      <w:pPr>
        <w:rPr>
          <w:rFonts w:cs="Calibri"/>
          <w:color w:val="000000"/>
          <w:szCs w:val="24"/>
        </w:rPr>
      </w:pPr>
    </w:p>
    <w:p w14:paraId="12FDF06D" w14:textId="1C020EE2" w:rsidR="00E439C9" w:rsidRDefault="00E439C9" w:rsidP="00023565">
      <w:pPr>
        <w:pStyle w:val="ListBullet"/>
      </w:pPr>
      <w:r w:rsidRPr="00931A8B">
        <w:t>Hyperglycaemia: True blood glucose (TBG)&gt;</w:t>
      </w:r>
      <w:r w:rsidR="00A75126">
        <w:t>8.6mmol/L</w:t>
      </w:r>
      <w:r w:rsidRPr="00931A8B">
        <w:t xml:space="preserve"> </w:t>
      </w:r>
    </w:p>
    <w:p w14:paraId="1601A927" w14:textId="36160975" w:rsidR="00C93A2C" w:rsidRDefault="00C93A2C" w:rsidP="00023565">
      <w:pPr>
        <w:pStyle w:val="ListBullet"/>
      </w:pPr>
      <w:r>
        <w:t xml:space="preserve">BGL: </w:t>
      </w:r>
      <w:r w:rsidR="0057107F">
        <w:t>Blood Glucose Level</w:t>
      </w:r>
    </w:p>
    <w:p w14:paraId="067599B6" w14:textId="38DDFBB2" w:rsidR="0057107F" w:rsidRPr="00931A8B" w:rsidRDefault="0057107F" w:rsidP="00023565">
      <w:pPr>
        <w:pStyle w:val="ListBullet"/>
      </w:pPr>
      <w:r>
        <w:t>GDR: Glucose Delivery Rate</w:t>
      </w:r>
    </w:p>
    <w:p w14:paraId="2F51A8DA" w14:textId="77777777" w:rsidR="00FF56DD" w:rsidRDefault="00FF56DD" w:rsidP="00FF56DD">
      <w:pPr>
        <w:rPr>
          <w:rFonts w:cs="Arial"/>
          <w:szCs w:val="24"/>
        </w:rPr>
      </w:pPr>
    </w:p>
    <w:p w14:paraId="2F51A8DB" w14:textId="77777777" w:rsidR="00FF56DD" w:rsidRDefault="004A6A7F"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28" w:name="_Toc389473290"/>
            <w:bookmarkStart w:id="29" w:name="_Toc139140951"/>
            <w:r>
              <w:t>Search Terms</w:t>
            </w:r>
            <w:bookmarkEnd w:id="28"/>
            <w:bookmarkEnd w:id="29"/>
            <w:r>
              <w:t xml:space="preserve"> </w:t>
            </w:r>
          </w:p>
        </w:tc>
      </w:tr>
    </w:tbl>
    <w:p w14:paraId="2F51A8DE" w14:textId="77777777" w:rsidR="007B6904" w:rsidRDefault="007B6904" w:rsidP="007B6904">
      <w:pPr>
        <w:rPr>
          <w:rFonts w:cs="Calibri,Bold"/>
          <w:bCs/>
          <w:i/>
          <w:szCs w:val="24"/>
          <w:lang w:eastAsia="en-AU"/>
        </w:rPr>
      </w:pPr>
    </w:p>
    <w:p w14:paraId="0FFAA7E7" w14:textId="306CA791" w:rsidR="00E439C9" w:rsidRPr="00931A8B" w:rsidRDefault="00E439C9" w:rsidP="00E439C9">
      <w:pPr>
        <w:rPr>
          <w:rFonts w:cs="Calibri,Bold"/>
          <w:bCs/>
          <w:szCs w:val="24"/>
          <w:lang w:eastAsia="en-AU"/>
        </w:rPr>
      </w:pPr>
      <w:r w:rsidRPr="00931A8B">
        <w:rPr>
          <w:rFonts w:cs="Calibri,Bold"/>
          <w:bCs/>
          <w:szCs w:val="24"/>
          <w:lang w:eastAsia="en-AU"/>
        </w:rPr>
        <w:t>Hyperglycaemia</w:t>
      </w:r>
      <w:r>
        <w:rPr>
          <w:rFonts w:cs="Calibri,Bold"/>
          <w:bCs/>
          <w:szCs w:val="24"/>
          <w:lang w:eastAsia="en-AU"/>
        </w:rPr>
        <w:t xml:space="preserve">, </w:t>
      </w:r>
      <w:r w:rsidRPr="00931A8B">
        <w:rPr>
          <w:rFonts w:cs="Calibri,Bold"/>
          <w:bCs/>
          <w:szCs w:val="24"/>
          <w:lang w:eastAsia="en-AU"/>
        </w:rPr>
        <w:t>Neonate</w:t>
      </w:r>
      <w:r>
        <w:rPr>
          <w:rFonts w:cs="Calibri,Bold"/>
          <w:bCs/>
          <w:szCs w:val="24"/>
          <w:lang w:eastAsia="en-AU"/>
        </w:rPr>
        <w:t xml:space="preserve">, </w:t>
      </w:r>
      <w:r w:rsidRPr="00931A8B">
        <w:rPr>
          <w:rFonts w:cs="Calibri,Bold"/>
          <w:bCs/>
          <w:szCs w:val="24"/>
          <w:lang w:eastAsia="en-AU"/>
        </w:rPr>
        <w:t>Neonatal</w:t>
      </w:r>
      <w:r>
        <w:rPr>
          <w:rFonts w:cs="Calibri,Bold"/>
          <w:bCs/>
          <w:szCs w:val="24"/>
          <w:lang w:eastAsia="en-AU"/>
        </w:rPr>
        <w:t xml:space="preserve">, </w:t>
      </w:r>
      <w:r w:rsidRPr="00931A8B">
        <w:rPr>
          <w:rFonts w:cs="Calibri,Bold"/>
          <w:bCs/>
          <w:szCs w:val="24"/>
          <w:lang w:eastAsia="en-AU"/>
        </w:rPr>
        <w:t>Insulin</w:t>
      </w:r>
      <w:r>
        <w:rPr>
          <w:rFonts w:cs="Calibri,Bold"/>
          <w:bCs/>
          <w:szCs w:val="24"/>
          <w:lang w:eastAsia="en-AU"/>
        </w:rPr>
        <w:t>, Infant, NICU</w:t>
      </w:r>
      <w:r w:rsidR="00A75126">
        <w:rPr>
          <w:rFonts w:cs="Calibri,Bold"/>
          <w:bCs/>
          <w:szCs w:val="24"/>
          <w:lang w:eastAsia="en-AU"/>
        </w:rPr>
        <w:t>, Infusion</w:t>
      </w:r>
      <w:r w:rsidR="00C93A2C">
        <w:rPr>
          <w:rFonts w:cs="Calibri,Bold"/>
          <w:bCs/>
          <w:szCs w:val="24"/>
          <w:lang w:eastAsia="en-AU"/>
        </w:rPr>
        <w:t>, Gl</w:t>
      </w:r>
      <w:r w:rsidR="00E950CE">
        <w:rPr>
          <w:rFonts w:cs="Calibri,Bold"/>
          <w:bCs/>
          <w:szCs w:val="24"/>
          <w:lang w:eastAsia="en-AU"/>
        </w:rPr>
        <w:t>y</w:t>
      </w:r>
      <w:r w:rsidR="00C93A2C">
        <w:rPr>
          <w:rFonts w:cs="Calibri,Bold"/>
          <w:bCs/>
          <w:szCs w:val="24"/>
          <w:lang w:eastAsia="en-AU"/>
        </w:rPr>
        <w:t>cosuria</w:t>
      </w:r>
      <w:r w:rsidR="00826D3B">
        <w:rPr>
          <w:rFonts w:cs="Calibri,Bold"/>
          <w:bCs/>
          <w:szCs w:val="24"/>
          <w:lang w:eastAsia="en-AU"/>
        </w:rPr>
        <w:t>, sliding scale</w:t>
      </w:r>
      <w:r w:rsidR="00C93A2C">
        <w:rPr>
          <w:rFonts w:cs="Calibri,Bold"/>
          <w:bCs/>
          <w:szCs w:val="24"/>
          <w:lang w:eastAsia="en-AU"/>
        </w:rPr>
        <w:t>.</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4A6A7F"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30"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2F51A8E3" w14:textId="77777777" w:rsidTr="0074223E">
        <w:trPr>
          <w:cantSplit/>
          <w:trHeight w:val="285"/>
        </w:trPr>
        <w:tc>
          <w:tcPr>
            <w:tcW w:w="9158" w:type="dxa"/>
            <w:shd w:val="clear" w:color="auto" w:fill="A6A6A6" w:themeFill="background1" w:themeFillShade="A6"/>
          </w:tcPr>
          <w:p w14:paraId="2F51A8E2" w14:textId="4A425E36" w:rsidR="002405CF" w:rsidRPr="000F1F60" w:rsidRDefault="002405CF" w:rsidP="00CC5D11">
            <w:pPr>
              <w:pStyle w:val="Heading1"/>
            </w:pPr>
            <w:bookmarkStart w:id="31" w:name="_Toc139140952"/>
            <w:r>
              <w:t>Attachment</w:t>
            </w:r>
            <w:r w:rsidR="00023565">
              <w:t>s</w:t>
            </w:r>
            <w:bookmarkEnd w:id="31"/>
          </w:p>
        </w:tc>
      </w:tr>
      <w:bookmarkEnd w:id="30"/>
    </w:tbl>
    <w:p w14:paraId="2F51A8E4" w14:textId="77777777" w:rsidR="00DE4E25" w:rsidRDefault="00DE4E25" w:rsidP="007B6904">
      <w:pPr>
        <w:rPr>
          <w:rFonts w:cs="Arial"/>
          <w:i/>
          <w:szCs w:val="24"/>
        </w:rPr>
      </w:pPr>
    </w:p>
    <w:p w14:paraId="2F51A8E5" w14:textId="5C9F7F22" w:rsidR="00FF56DD" w:rsidRDefault="00023565" w:rsidP="007B6904">
      <w:pPr>
        <w:rPr>
          <w:rFonts w:cs="Arial"/>
          <w:szCs w:val="24"/>
        </w:rPr>
      </w:pPr>
      <w:r>
        <w:rPr>
          <w:rFonts w:cs="Arial"/>
          <w:iCs/>
          <w:szCs w:val="24"/>
        </w:rPr>
        <w:t xml:space="preserve">Attachment 1 </w:t>
      </w:r>
      <w:r w:rsidR="00AA24A5">
        <w:rPr>
          <w:rFonts w:cs="Arial"/>
          <w:iCs/>
          <w:szCs w:val="24"/>
        </w:rPr>
        <w:t>–</w:t>
      </w:r>
      <w:r>
        <w:rPr>
          <w:rFonts w:cs="Arial"/>
          <w:iCs/>
          <w:szCs w:val="24"/>
        </w:rPr>
        <w:t xml:space="preserve"> </w:t>
      </w:r>
      <w:r w:rsidR="00AA24A5">
        <w:rPr>
          <w:rFonts w:cs="Arial"/>
          <w:iCs/>
          <w:szCs w:val="24"/>
        </w:rPr>
        <w:t xml:space="preserve">Insulin Sliding Scale </w:t>
      </w:r>
    </w:p>
    <w:p w14:paraId="2F51A8E6" w14:textId="40C3363F" w:rsidR="00FF56DD" w:rsidRDefault="00FF56DD" w:rsidP="007B6904">
      <w:pPr>
        <w:rPr>
          <w:rFonts w:cs="Arial"/>
          <w:szCs w:val="24"/>
        </w:rPr>
      </w:pPr>
    </w:p>
    <w:p w14:paraId="3911397B" w14:textId="77777777" w:rsidR="00AA24A5" w:rsidRPr="00AC7025" w:rsidRDefault="004A6A7F" w:rsidP="00AA24A5">
      <w:pPr>
        <w:jc w:val="right"/>
        <w:rPr>
          <w:rFonts w:cs="Calibri,Bold"/>
          <w:bCs/>
          <w:i/>
          <w:szCs w:val="24"/>
          <w:lang w:eastAsia="en-AU"/>
        </w:rPr>
      </w:pPr>
      <w:hyperlink w:anchor="Contents" w:history="1">
        <w:r w:rsidR="00AA24A5" w:rsidRPr="00590902">
          <w:rPr>
            <w:rStyle w:val="Hyperlink"/>
            <w:rFonts w:cs="Arial"/>
            <w:i/>
            <w:szCs w:val="24"/>
          </w:rPr>
          <w:t>Back to Table of Contents</w:t>
        </w:r>
      </w:hyperlink>
    </w:p>
    <w:p w14:paraId="1C04EF9F" w14:textId="77777777" w:rsidR="00AA24A5" w:rsidRDefault="00AA24A5"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5780F566" w:rsidR="00ED46C3" w:rsidRPr="008202D3" w:rsidRDefault="004A6A7F" w:rsidP="004A1316">
            <w:pPr>
              <w:rPr>
                <w:i/>
                <w:sz w:val="20"/>
              </w:rPr>
            </w:pPr>
            <w:r>
              <w:rPr>
                <w:i/>
                <w:sz w:val="20"/>
              </w:rPr>
              <w:t>03/07/2023</w:t>
            </w:r>
          </w:p>
        </w:tc>
        <w:tc>
          <w:tcPr>
            <w:tcW w:w="2265" w:type="dxa"/>
          </w:tcPr>
          <w:p w14:paraId="757FDC5B" w14:textId="4DC31BA6" w:rsidR="00ED46C3" w:rsidRPr="008202D3" w:rsidRDefault="004A6A7F" w:rsidP="004A1316">
            <w:pPr>
              <w:rPr>
                <w:i/>
                <w:sz w:val="20"/>
              </w:rPr>
            </w:pPr>
            <w:r>
              <w:rPr>
                <w:i/>
                <w:sz w:val="20"/>
              </w:rPr>
              <w:t>Complete Review</w:t>
            </w:r>
          </w:p>
        </w:tc>
        <w:tc>
          <w:tcPr>
            <w:tcW w:w="2265" w:type="dxa"/>
          </w:tcPr>
          <w:p w14:paraId="45358585" w14:textId="51AF29FD" w:rsidR="00ED46C3" w:rsidRPr="008202D3" w:rsidRDefault="004A6A7F" w:rsidP="004A1316">
            <w:pPr>
              <w:rPr>
                <w:i/>
                <w:sz w:val="20"/>
              </w:rPr>
            </w:pPr>
            <w:r>
              <w:rPr>
                <w:i/>
                <w:sz w:val="20"/>
              </w:rPr>
              <w:t>Suzanne Pilkington, A/g ED of WY&amp;C</w:t>
            </w:r>
          </w:p>
        </w:tc>
        <w:tc>
          <w:tcPr>
            <w:tcW w:w="2265" w:type="dxa"/>
          </w:tcPr>
          <w:p w14:paraId="31501FE6" w14:textId="529FF31C" w:rsidR="00ED46C3" w:rsidRPr="008202D3" w:rsidRDefault="004A6A7F" w:rsidP="004A1316">
            <w:pPr>
              <w:rPr>
                <w:i/>
                <w:sz w:val="20"/>
              </w:rPr>
            </w:pPr>
            <w:r>
              <w:rPr>
                <w:i/>
                <w:sz w:val="20"/>
              </w:rPr>
              <w:t>CHS Policy Committee</w:t>
            </w:r>
          </w:p>
        </w:tc>
      </w:tr>
      <w:tr w:rsidR="00ED46C3" w:rsidRPr="008202D3" w14:paraId="4B9C0359" w14:textId="77777777" w:rsidTr="004A1316">
        <w:tc>
          <w:tcPr>
            <w:tcW w:w="2265" w:type="dxa"/>
          </w:tcPr>
          <w:p w14:paraId="01E40F72" w14:textId="77777777" w:rsidR="00ED46C3" w:rsidRPr="008202D3" w:rsidRDefault="00ED46C3" w:rsidP="004A1316">
            <w:pPr>
              <w:rPr>
                <w:i/>
                <w:sz w:val="20"/>
              </w:rPr>
            </w:pPr>
          </w:p>
        </w:tc>
        <w:tc>
          <w:tcPr>
            <w:tcW w:w="2265" w:type="dxa"/>
          </w:tcPr>
          <w:p w14:paraId="25312BA2" w14:textId="77777777" w:rsidR="00ED46C3" w:rsidRPr="008202D3" w:rsidRDefault="00ED46C3" w:rsidP="004A1316">
            <w:pPr>
              <w:rPr>
                <w:i/>
                <w:sz w:val="20"/>
              </w:rPr>
            </w:pPr>
          </w:p>
        </w:tc>
        <w:tc>
          <w:tcPr>
            <w:tcW w:w="2265" w:type="dxa"/>
          </w:tcPr>
          <w:p w14:paraId="6A63A790" w14:textId="77777777" w:rsidR="00ED46C3" w:rsidRPr="008202D3" w:rsidRDefault="00ED46C3" w:rsidP="004A1316">
            <w:pPr>
              <w:rPr>
                <w:i/>
                <w:sz w:val="20"/>
              </w:rPr>
            </w:pPr>
          </w:p>
        </w:tc>
        <w:tc>
          <w:tcPr>
            <w:tcW w:w="2265"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63223F55" w:rsidR="00ED46C3" w:rsidRPr="008202D3" w:rsidRDefault="004A6A7F" w:rsidP="004A1316">
            <w:pPr>
              <w:rPr>
                <w:i/>
                <w:sz w:val="20"/>
              </w:rPr>
            </w:pPr>
            <w:r>
              <w:rPr>
                <w:i/>
                <w:sz w:val="20"/>
              </w:rPr>
              <w:t>CHHS17/242</w:t>
            </w:r>
          </w:p>
        </w:tc>
        <w:tc>
          <w:tcPr>
            <w:tcW w:w="6938" w:type="dxa"/>
          </w:tcPr>
          <w:p w14:paraId="61EF68F3" w14:textId="44A1C3EC" w:rsidR="00ED46C3" w:rsidRPr="008202D3" w:rsidRDefault="004A6A7F" w:rsidP="004A1316">
            <w:pPr>
              <w:rPr>
                <w:i/>
                <w:sz w:val="20"/>
              </w:rPr>
            </w:pPr>
            <w:r>
              <w:rPr>
                <w:i/>
                <w:sz w:val="20"/>
              </w:rPr>
              <w:t>Hyperglycaemia in Infants</w:t>
            </w: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2F51A904" w14:textId="6DECB57C" w:rsidR="00B12123" w:rsidRDefault="00B12123" w:rsidP="00B12123">
      <w:pPr>
        <w:rPr>
          <w:i/>
          <w:sz w:val="20"/>
          <w:szCs w:val="24"/>
        </w:rPr>
      </w:pPr>
    </w:p>
    <w:p w14:paraId="2CFB4C5C" w14:textId="3FAD3811" w:rsidR="00BF46FC" w:rsidRDefault="00BF46FC" w:rsidP="00B12123">
      <w:pPr>
        <w:rPr>
          <w:i/>
          <w:sz w:val="20"/>
          <w:szCs w:val="24"/>
        </w:rPr>
      </w:pPr>
    </w:p>
    <w:p w14:paraId="734CCB6D" w14:textId="0332392B" w:rsidR="006652A0" w:rsidRDefault="006652A0">
      <w:pPr>
        <w:spacing w:after="200" w:line="276" w:lineRule="auto"/>
        <w:rPr>
          <w:i/>
          <w:sz w:val="20"/>
          <w:szCs w:val="24"/>
        </w:rPr>
      </w:pPr>
      <w:r>
        <w:rPr>
          <w:i/>
          <w:sz w:val="20"/>
          <w:szCs w:val="24"/>
        </w:rPr>
        <w:br w:type="page"/>
      </w:r>
    </w:p>
    <w:p w14:paraId="55FC3D46" w14:textId="7E55F06D" w:rsidR="00BF46FC" w:rsidRPr="007C2330" w:rsidRDefault="006652A0">
      <w:pPr>
        <w:pStyle w:val="Heading2"/>
        <w:rPr>
          <w:sz w:val="32"/>
          <w:szCs w:val="32"/>
          <w:u w:val="single"/>
        </w:rPr>
      </w:pPr>
      <w:r w:rsidRPr="007C2330">
        <w:rPr>
          <w:sz w:val="32"/>
          <w:szCs w:val="32"/>
          <w:u w:val="single"/>
        </w:rPr>
        <w:lastRenderedPageBreak/>
        <w:t>Attachment 1 – Insulin Sliding Scale</w:t>
      </w:r>
    </w:p>
    <w:p w14:paraId="6D424B85" w14:textId="0A10FE93" w:rsidR="00E86020" w:rsidRDefault="00E86020" w:rsidP="00C7781F">
      <w:pPr>
        <w:rPr>
          <w:rStyle w:val="normaltextrun"/>
          <w:rFonts w:cs="Calibri"/>
          <w:color w:val="000000"/>
          <w:sz w:val="28"/>
          <w:szCs w:val="28"/>
          <w:shd w:val="clear" w:color="auto" w:fill="FFFFFF"/>
        </w:rPr>
      </w:pPr>
    </w:p>
    <w:p w14:paraId="2F51A905" w14:textId="26FD0BBD" w:rsidR="00395E36" w:rsidRDefault="00C7781F" w:rsidP="007C2330">
      <w:pPr>
        <w:pBdr>
          <w:top w:val="single" w:sz="4" w:space="1" w:color="auto"/>
          <w:left w:val="single" w:sz="4" w:space="4" w:color="auto"/>
          <w:bottom w:val="single" w:sz="4" w:space="1" w:color="auto"/>
          <w:right w:val="single" w:sz="4" w:space="4" w:color="auto"/>
        </w:pBdr>
        <w:rPr>
          <w:rFonts w:cs="Arial"/>
          <w:szCs w:val="24"/>
        </w:rPr>
      </w:pPr>
      <w:r w:rsidRPr="00BF46FC">
        <w:rPr>
          <w:rStyle w:val="normaltextrun"/>
          <w:rFonts w:cs="Calibri"/>
          <w:color w:val="000000"/>
          <w:sz w:val="28"/>
          <w:szCs w:val="28"/>
          <w:shd w:val="clear" w:color="auto" w:fill="FFFFFF"/>
        </w:rPr>
        <w:t>The sliding scale is a suggested scale that can be adjusted based on infant’s risk profile and clinical response to the treatment with insulin. </w:t>
      </w:r>
    </w:p>
    <w:p w14:paraId="339596C8" w14:textId="77777777" w:rsidR="007C2330" w:rsidRDefault="007C2330" w:rsidP="00386099">
      <w:pPr>
        <w:tabs>
          <w:tab w:val="left" w:pos="900"/>
        </w:tabs>
        <w:jc w:val="both"/>
        <w:rPr>
          <w:rFonts w:cs="Calibri"/>
          <w:b/>
          <w:sz w:val="32"/>
          <w:szCs w:val="32"/>
          <w:u w:val="single"/>
        </w:rPr>
      </w:pPr>
    </w:p>
    <w:p w14:paraId="17806791" w14:textId="72069187" w:rsidR="00386099" w:rsidRPr="007C2330" w:rsidRDefault="00386099" w:rsidP="007C2330">
      <w:pPr>
        <w:pBdr>
          <w:top w:val="single" w:sz="4" w:space="1" w:color="auto"/>
          <w:left w:val="single" w:sz="4" w:space="4" w:color="auto"/>
          <w:bottom w:val="single" w:sz="4" w:space="1" w:color="auto"/>
          <w:right w:val="single" w:sz="4" w:space="4" w:color="auto"/>
        </w:pBdr>
        <w:tabs>
          <w:tab w:val="left" w:pos="900"/>
        </w:tabs>
        <w:jc w:val="both"/>
        <w:rPr>
          <w:rFonts w:cs="Calibri"/>
          <w:b/>
          <w:sz w:val="32"/>
          <w:szCs w:val="32"/>
          <w:u w:val="single"/>
        </w:rPr>
      </w:pPr>
      <w:r w:rsidRPr="00BF46FC">
        <w:rPr>
          <w:rFonts w:cs="Calibri"/>
          <w:b/>
          <w:sz w:val="32"/>
          <w:szCs w:val="32"/>
          <w:u w:val="single"/>
        </w:rPr>
        <w:t>Dose for treatment of hyperglycaemia:</w:t>
      </w:r>
    </w:p>
    <w:p w14:paraId="3411E225" w14:textId="5656F196" w:rsidR="00386099" w:rsidRPr="00BF46FC" w:rsidRDefault="00386099" w:rsidP="007C2330">
      <w:pPr>
        <w:pStyle w:val="ListParagraph"/>
        <w:numPr>
          <w:ilvl w:val="0"/>
          <w:numId w:val="31"/>
        </w:numPr>
        <w:pBdr>
          <w:top w:val="single" w:sz="4" w:space="1" w:color="auto"/>
          <w:left w:val="single" w:sz="4" w:space="4" w:color="auto"/>
          <w:bottom w:val="single" w:sz="4" w:space="1" w:color="auto"/>
          <w:right w:val="single" w:sz="4" w:space="4" w:color="auto"/>
        </w:pBdr>
        <w:tabs>
          <w:tab w:val="left" w:pos="900"/>
        </w:tabs>
        <w:rPr>
          <w:rFonts w:cs="Calibri"/>
          <w:bCs/>
          <w:sz w:val="28"/>
          <w:szCs w:val="28"/>
        </w:rPr>
      </w:pPr>
      <w:r w:rsidRPr="00BF46FC">
        <w:rPr>
          <w:rFonts w:cs="Calibri"/>
          <w:bCs/>
          <w:sz w:val="28"/>
          <w:szCs w:val="28"/>
        </w:rPr>
        <w:t xml:space="preserve">Recommended starting dose is 0.05 </w:t>
      </w:r>
      <w:r w:rsidR="000E1DEE">
        <w:rPr>
          <w:rFonts w:cs="Calibri"/>
          <w:bCs/>
          <w:sz w:val="28"/>
          <w:szCs w:val="28"/>
        </w:rPr>
        <w:t>u</w:t>
      </w:r>
      <w:r w:rsidRPr="00BF46FC">
        <w:rPr>
          <w:rFonts w:cs="Calibri"/>
          <w:bCs/>
          <w:sz w:val="28"/>
          <w:szCs w:val="28"/>
        </w:rPr>
        <w:t>nits/kg/</w:t>
      </w:r>
      <w:proofErr w:type="gramStart"/>
      <w:r w:rsidRPr="00BF46FC">
        <w:rPr>
          <w:rFonts w:cs="Calibri"/>
          <w:bCs/>
          <w:sz w:val="28"/>
          <w:szCs w:val="28"/>
        </w:rPr>
        <w:t>hr</w:t>
      </w:r>
      <w:proofErr w:type="gramEnd"/>
    </w:p>
    <w:p w14:paraId="2D1D6F52" w14:textId="77777777" w:rsidR="00386099" w:rsidRPr="00BF46FC" w:rsidRDefault="00386099" w:rsidP="007C2330">
      <w:pPr>
        <w:pStyle w:val="ListParagraph"/>
        <w:numPr>
          <w:ilvl w:val="0"/>
          <w:numId w:val="31"/>
        </w:numPr>
        <w:pBdr>
          <w:top w:val="single" w:sz="4" w:space="1" w:color="auto"/>
          <w:left w:val="single" w:sz="4" w:space="4" w:color="auto"/>
          <w:bottom w:val="single" w:sz="4" w:space="1" w:color="auto"/>
          <w:right w:val="single" w:sz="4" w:space="4" w:color="auto"/>
        </w:pBdr>
        <w:tabs>
          <w:tab w:val="left" w:pos="900"/>
        </w:tabs>
        <w:rPr>
          <w:rFonts w:cs="Calibri"/>
          <w:bCs/>
          <w:sz w:val="28"/>
          <w:szCs w:val="28"/>
        </w:rPr>
      </w:pPr>
      <w:r w:rsidRPr="00BF46FC">
        <w:rPr>
          <w:rFonts w:cs="Calibri"/>
          <w:bCs/>
          <w:sz w:val="28"/>
          <w:szCs w:val="28"/>
        </w:rPr>
        <w:t xml:space="preserve">Dose range: 0.01 to 0.1 units/kg/hour </w:t>
      </w:r>
    </w:p>
    <w:p w14:paraId="5D447A5F" w14:textId="77777777" w:rsidR="00386099" w:rsidRPr="00BF46FC" w:rsidRDefault="00386099" w:rsidP="007C2330">
      <w:pPr>
        <w:pStyle w:val="ListParagraph"/>
        <w:numPr>
          <w:ilvl w:val="0"/>
          <w:numId w:val="31"/>
        </w:numPr>
        <w:pBdr>
          <w:top w:val="single" w:sz="4" w:space="1" w:color="auto"/>
          <w:left w:val="single" w:sz="4" w:space="4" w:color="auto"/>
          <w:bottom w:val="single" w:sz="4" w:space="1" w:color="auto"/>
          <w:right w:val="single" w:sz="4" w:space="4" w:color="auto"/>
        </w:pBdr>
        <w:tabs>
          <w:tab w:val="left" w:pos="900"/>
        </w:tabs>
        <w:rPr>
          <w:rFonts w:cs="Calibri"/>
          <w:bCs/>
          <w:sz w:val="28"/>
          <w:szCs w:val="28"/>
        </w:rPr>
      </w:pPr>
      <w:r w:rsidRPr="00BF46FC">
        <w:rPr>
          <w:rFonts w:cs="Calibri"/>
          <w:bCs/>
          <w:sz w:val="28"/>
          <w:szCs w:val="28"/>
        </w:rPr>
        <w:t>Target glucose: 8 to 10mmol/L</w:t>
      </w:r>
    </w:p>
    <w:p w14:paraId="271789B2" w14:textId="77777777" w:rsidR="00386099" w:rsidRPr="004251BC" w:rsidRDefault="00386099" w:rsidP="00386099">
      <w:pPr>
        <w:pStyle w:val="ListParagraph"/>
        <w:tabs>
          <w:tab w:val="left" w:pos="900"/>
        </w:tabs>
        <w:jc w:val="both"/>
        <w:rPr>
          <w:rFonts w:cs="Calibri"/>
          <w:b/>
          <w:szCs w:val="24"/>
        </w:rPr>
      </w:pPr>
    </w:p>
    <w:p w14:paraId="2687025A" w14:textId="59F2355D" w:rsidR="00386099" w:rsidRDefault="00386099" w:rsidP="00386099">
      <w:pPr>
        <w:tabs>
          <w:tab w:val="left" w:pos="900"/>
        </w:tabs>
        <w:jc w:val="both"/>
        <w:rPr>
          <w:rFonts w:cs="Calibri"/>
          <w:b/>
          <w:sz w:val="28"/>
          <w:szCs w:val="28"/>
          <w:u w:val="single"/>
        </w:rPr>
      </w:pPr>
    </w:p>
    <w:p w14:paraId="168C214C" w14:textId="66222FCA" w:rsidR="00386099" w:rsidRPr="00BF46FC" w:rsidRDefault="00386099" w:rsidP="007C2330">
      <w:pPr>
        <w:pBdr>
          <w:top w:val="single" w:sz="4" w:space="1" w:color="auto"/>
          <w:left w:val="single" w:sz="4" w:space="4" w:color="auto"/>
          <w:bottom w:val="single" w:sz="4" w:space="1" w:color="auto"/>
          <w:right w:val="single" w:sz="4" w:space="4" w:color="auto"/>
        </w:pBdr>
        <w:tabs>
          <w:tab w:val="left" w:pos="900"/>
        </w:tabs>
        <w:jc w:val="both"/>
        <w:rPr>
          <w:rFonts w:cs="Calibri"/>
          <w:b/>
          <w:sz w:val="32"/>
          <w:szCs w:val="32"/>
          <w:u w:val="single"/>
        </w:rPr>
      </w:pPr>
      <w:r w:rsidRPr="00BF46FC">
        <w:rPr>
          <w:rFonts w:cs="Calibri"/>
          <w:b/>
          <w:sz w:val="32"/>
          <w:szCs w:val="32"/>
          <w:u w:val="single"/>
        </w:rPr>
        <w:t xml:space="preserve">Insulin Sliding Scale </w:t>
      </w:r>
    </w:p>
    <w:p w14:paraId="1CCBFEE3" w14:textId="77777777" w:rsidR="00386099" w:rsidRPr="00BF46FC" w:rsidRDefault="00386099" w:rsidP="007C2330">
      <w:pPr>
        <w:pBdr>
          <w:top w:val="single" w:sz="4" w:space="1" w:color="auto"/>
          <w:left w:val="single" w:sz="4" w:space="4" w:color="auto"/>
          <w:bottom w:val="single" w:sz="4" w:space="1" w:color="auto"/>
          <w:right w:val="single" w:sz="4" w:space="4" w:color="auto"/>
        </w:pBdr>
        <w:tabs>
          <w:tab w:val="left" w:pos="900"/>
        </w:tabs>
        <w:jc w:val="both"/>
        <w:rPr>
          <w:rFonts w:cs="Calibri"/>
          <w:b/>
          <w:sz w:val="28"/>
          <w:szCs w:val="28"/>
        </w:rPr>
      </w:pPr>
    </w:p>
    <w:p w14:paraId="58FDFF96" w14:textId="35511A55" w:rsidR="00386099" w:rsidRPr="00BF46FC" w:rsidRDefault="00386099" w:rsidP="007C2330">
      <w:pPr>
        <w:pBdr>
          <w:top w:val="single" w:sz="4" w:space="1" w:color="auto"/>
          <w:left w:val="single" w:sz="4" w:space="4" w:color="auto"/>
          <w:bottom w:val="single" w:sz="4" w:space="1" w:color="auto"/>
          <w:right w:val="single" w:sz="4" w:space="4" w:color="auto"/>
        </w:pBdr>
        <w:tabs>
          <w:tab w:val="left" w:pos="900"/>
        </w:tabs>
        <w:jc w:val="both"/>
        <w:rPr>
          <w:rFonts w:cs="Calibri"/>
          <w:b/>
          <w:sz w:val="28"/>
          <w:szCs w:val="28"/>
        </w:rPr>
      </w:pPr>
      <w:r w:rsidRPr="00BF46FC">
        <w:rPr>
          <w:rFonts w:cs="Calibri"/>
          <w:b/>
          <w:sz w:val="28"/>
          <w:szCs w:val="28"/>
        </w:rPr>
        <w:t xml:space="preserve">Starting dose is usually </w:t>
      </w:r>
      <w:r w:rsidRPr="00BF46FC">
        <w:rPr>
          <w:rFonts w:cs="Calibri"/>
          <w:b/>
          <w:sz w:val="28"/>
          <w:szCs w:val="28"/>
          <w:u w:val="single"/>
        </w:rPr>
        <w:t>0.05 units/kg/hour</w:t>
      </w:r>
      <w:r w:rsidRPr="00BF46FC">
        <w:rPr>
          <w:rFonts w:cs="Calibri"/>
          <w:b/>
          <w:sz w:val="28"/>
          <w:szCs w:val="28"/>
        </w:rPr>
        <w:t>, this dose is then adjusted according to requirement:</w:t>
      </w:r>
    </w:p>
    <w:p w14:paraId="036BEBE0" w14:textId="77777777" w:rsidR="00386099" w:rsidRPr="00BF46FC" w:rsidRDefault="00386099" w:rsidP="007C2330">
      <w:pPr>
        <w:pBdr>
          <w:top w:val="single" w:sz="4" w:space="1" w:color="auto"/>
          <w:left w:val="single" w:sz="4" w:space="4" w:color="auto"/>
          <w:bottom w:val="single" w:sz="4" w:space="1" w:color="auto"/>
          <w:right w:val="single" w:sz="4" w:space="4" w:color="auto"/>
        </w:pBdr>
        <w:tabs>
          <w:tab w:val="left" w:pos="900"/>
        </w:tabs>
        <w:jc w:val="both"/>
        <w:rPr>
          <w:rFonts w:cs="Calibri"/>
          <w:b/>
          <w:sz w:val="28"/>
          <w:szCs w:val="28"/>
        </w:rPr>
      </w:pPr>
    </w:p>
    <w:p w14:paraId="23431561" w14:textId="699D247C" w:rsidR="00386099" w:rsidRPr="00BF46FC" w:rsidRDefault="00386099" w:rsidP="007C2330">
      <w:pPr>
        <w:pStyle w:val="ListBullet"/>
        <w:pBdr>
          <w:top w:val="single" w:sz="4" w:space="1" w:color="auto"/>
          <w:left w:val="single" w:sz="4" w:space="4" w:color="auto"/>
          <w:bottom w:val="single" w:sz="4" w:space="1" w:color="auto"/>
          <w:right w:val="single" w:sz="4" w:space="4" w:color="auto"/>
        </w:pBdr>
        <w:tabs>
          <w:tab w:val="num" w:pos="1080"/>
        </w:tabs>
        <w:rPr>
          <w:sz w:val="28"/>
          <w:szCs w:val="28"/>
        </w:rPr>
      </w:pPr>
      <w:r w:rsidRPr="00BF46FC">
        <w:rPr>
          <w:sz w:val="28"/>
          <w:szCs w:val="28"/>
        </w:rPr>
        <w:t xml:space="preserve">Blood glucose level </w:t>
      </w:r>
      <w:r w:rsidRPr="00BF46FC">
        <w:rPr>
          <w:b/>
          <w:bCs/>
          <w:sz w:val="28"/>
          <w:szCs w:val="28"/>
        </w:rPr>
        <w:t>&gt;15mmol/L INCREASE</w:t>
      </w:r>
      <w:r w:rsidRPr="00BF46FC">
        <w:rPr>
          <w:sz w:val="28"/>
          <w:szCs w:val="28"/>
        </w:rPr>
        <w:t xml:space="preserve"> infusion by </w:t>
      </w:r>
      <w:r w:rsidRPr="00BF46FC">
        <w:rPr>
          <w:b/>
          <w:bCs/>
          <w:sz w:val="28"/>
          <w:szCs w:val="28"/>
        </w:rPr>
        <w:t xml:space="preserve">0.02 </w:t>
      </w:r>
      <w:r w:rsidR="00A42ED0">
        <w:rPr>
          <w:b/>
          <w:bCs/>
          <w:sz w:val="28"/>
          <w:szCs w:val="28"/>
        </w:rPr>
        <w:t>units</w:t>
      </w:r>
      <w:r w:rsidRPr="00BF46FC">
        <w:rPr>
          <w:b/>
          <w:bCs/>
          <w:sz w:val="28"/>
          <w:szCs w:val="28"/>
        </w:rPr>
        <w:t>/kg/hr.</w:t>
      </w:r>
    </w:p>
    <w:p w14:paraId="5F97F5B1" w14:textId="2E3CBE00" w:rsidR="00386099" w:rsidRPr="00BF46FC" w:rsidRDefault="00386099" w:rsidP="007C2330">
      <w:pPr>
        <w:pStyle w:val="ListBullet"/>
        <w:pBdr>
          <w:top w:val="single" w:sz="4" w:space="1" w:color="auto"/>
          <w:left w:val="single" w:sz="4" w:space="4" w:color="auto"/>
          <w:bottom w:val="single" w:sz="4" w:space="1" w:color="auto"/>
          <w:right w:val="single" w:sz="4" w:space="4" w:color="auto"/>
        </w:pBdr>
        <w:tabs>
          <w:tab w:val="num" w:pos="1080"/>
        </w:tabs>
        <w:rPr>
          <w:sz w:val="28"/>
          <w:szCs w:val="28"/>
        </w:rPr>
      </w:pPr>
      <w:r w:rsidRPr="00BF46FC">
        <w:rPr>
          <w:sz w:val="28"/>
          <w:szCs w:val="28"/>
        </w:rPr>
        <w:t xml:space="preserve">Blood glucose level </w:t>
      </w:r>
      <w:r w:rsidRPr="00BF46FC">
        <w:rPr>
          <w:b/>
          <w:bCs/>
          <w:sz w:val="28"/>
          <w:szCs w:val="28"/>
        </w:rPr>
        <w:t>&gt;10mmol/L INCREASE</w:t>
      </w:r>
      <w:r w:rsidRPr="00BF46FC">
        <w:rPr>
          <w:sz w:val="28"/>
          <w:szCs w:val="28"/>
        </w:rPr>
        <w:t xml:space="preserve"> infusion by </w:t>
      </w:r>
      <w:r w:rsidRPr="00BF46FC">
        <w:rPr>
          <w:b/>
          <w:bCs/>
          <w:sz w:val="28"/>
          <w:szCs w:val="28"/>
        </w:rPr>
        <w:t xml:space="preserve">0.01 </w:t>
      </w:r>
      <w:r w:rsidR="00A42ED0">
        <w:rPr>
          <w:b/>
          <w:bCs/>
          <w:sz w:val="28"/>
          <w:szCs w:val="28"/>
        </w:rPr>
        <w:t>units</w:t>
      </w:r>
      <w:r w:rsidRPr="00BF46FC">
        <w:rPr>
          <w:b/>
          <w:bCs/>
          <w:sz w:val="28"/>
          <w:szCs w:val="28"/>
        </w:rPr>
        <w:t>/kg/hr</w:t>
      </w:r>
      <w:r w:rsidRPr="00BF46FC">
        <w:rPr>
          <w:sz w:val="28"/>
          <w:szCs w:val="28"/>
        </w:rPr>
        <w:t>.</w:t>
      </w:r>
    </w:p>
    <w:p w14:paraId="63B95DC4" w14:textId="2DEB64B2" w:rsidR="00386099" w:rsidRPr="00BF46FC" w:rsidRDefault="00386099" w:rsidP="007C2330">
      <w:pPr>
        <w:pStyle w:val="ListBullet"/>
        <w:pBdr>
          <w:top w:val="single" w:sz="4" w:space="1" w:color="auto"/>
          <w:left w:val="single" w:sz="4" w:space="4" w:color="auto"/>
          <w:bottom w:val="single" w:sz="4" w:space="1" w:color="auto"/>
          <w:right w:val="single" w:sz="4" w:space="4" w:color="auto"/>
        </w:pBdr>
        <w:tabs>
          <w:tab w:val="num" w:pos="1080"/>
        </w:tabs>
        <w:rPr>
          <w:sz w:val="28"/>
          <w:szCs w:val="28"/>
        </w:rPr>
      </w:pPr>
      <w:r w:rsidRPr="00BF46FC">
        <w:rPr>
          <w:sz w:val="28"/>
          <w:szCs w:val="28"/>
        </w:rPr>
        <w:t xml:space="preserve">Blood glucose level </w:t>
      </w:r>
      <w:r w:rsidRPr="00BF46FC">
        <w:rPr>
          <w:b/>
          <w:bCs/>
          <w:sz w:val="28"/>
          <w:szCs w:val="28"/>
        </w:rPr>
        <w:t>8-10mmol/L KEEP infusion THE SAME</w:t>
      </w:r>
      <w:r w:rsidRPr="00BF46FC">
        <w:rPr>
          <w:sz w:val="28"/>
          <w:szCs w:val="28"/>
        </w:rPr>
        <w:t>, then wean at least once daily by 0.01</w:t>
      </w:r>
      <w:r w:rsidR="00DB58A0">
        <w:rPr>
          <w:sz w:val="28"/>
          <w:szCs w:val="28"/>
        </w:rPr>
        <w:t xml:space="preserve"> units</w:t>
      </w:r>
      <w:r w:rsidRPr="00BF46FC">
        <w:rPr>
          <w:sz w:val="28"/>
          <w:szCs w:val="28"/>
        </w:rPr>
        <w:t>/kg/hr if stable in this range.</w:t>
      </w:r>
    </w:p>
    <w:p w14:paraId="594F1992" w14:textId="0ABDC17A" w:rsidR="00386099" w:rsidRPr="00BF46FC" w:rsidRDefault="00386099" w:rsidP="007C2330">
      <w:pPr>
        <w:pStyle w:val="ListBullet"/>
        <w:pBdr>
          <w:top w:val="single" w:sz="4" w:space="1" w:color="auto"/>
          <w:left w:val="single" w:sz="4" w:space="4" w:color="auto"/>
          <w:bottom w:val="single" w:sz="4" w:space="1" w:color="auto"/>
          <w:right w:val="single" w:sz="4" w:space="4" w:color="auto"/>
        </w:pBdr>
        <w:tabs>
          <w:tab w:val="num" w:pos="1080"/>
        </w:tabs>
        <w:rPr>
          <w:sz w:val="28"/>
          <w:szCs w:val="28"/>
        </w:rPr>
      </w:pPr>
      <w:r w:rsidRPr="00BF46FC">
        <w:rPr>
          <w:sz w:val="28"/>
          <w:szCs w:val="28"/>
        </w:rPr>
        <w:t xml:space="preserve">Blood glucose level </w:t>
      </w:r>
      <w:r w:rsidRPr="00BF46FC">
        <w:rPr>
          <w:b/>
          <w:bCs/>
          <w:sz w:val="28"/>
          <w:szCs w:val="28"/>
        </w:rPr>
        <w:t xml:space="preserve">6-8mmol/L DECREASE </w:t>
      </w:r>
      <w:r w:rsidRPr="00DB58A0">
        <w:rPr>
          <w:sz w:val="28"/>
          <w:szCs w:val="28"/>
        </w:rPr>
        <w:t>by</w:t>
      </w:r>
      <w:r w:rsidRPr="00BF46FC">
        <w:rPr>
          <w:b/>
          <w:bCs/>
          <w:sz w:val="28"/>
          <w:szCs w:val="28"/>
        </w:rPr>
        <w:t xml:space="preserve"> 0.01</w:t>
      </w:r>
      <w:r w:rsidR="00A42ED0">
        <w:rPr>
          <w:b/>
          <w:bCs/>
          <w:sz w:val="28"/>
          <w:szCs w:val="28"/>
        </w:rPr>
        <w:t xml:space="preserve"> units</w:t>
      </w:r>
      <w:r w:rsidRPr="00BF46FC">
        <w:rPr>
          <w:b/>
          <w:bCs/>
          <w:sz w:val="28"/>
          <w:szCs w:val="28"/>
        </w:rPr>
        <w:t>/kg/hr</w:t>
      </w:r>
      <w:r w:rsidRPr="00BF46FC">
        <w:rPr>
          <w:sz w:val="28"/>
          <w:szCs w:val="28"/>
        </w:rPr>
        <w:t xml:space="preserve">. Consider </w:t>
      </w:r>
      <w:r w:rsidRPr="00BF46FC">
        <w:rPr>
          <w:b/>
          <w:bCs/>
          <w:sz w:val="28"/>
          <w:szCs w:val="28"/>
        </w:rPr>
        <w:t>STOPPING</w:t>
      </w:r>
      <w:r w:rsidRPr="00BF46FC">
        <w:rPr>
          <w:sz w:val="28"/>
          <w:szCs w:val="28"/>
        </w:rPr>
        <w:t xml:space="preserve"> infusion if low dose of insulin is being given (</w:t>
      </w:r>
      <w:r w:rsidRPr="00BF46FC">
        <w:rPr>
          <w:rFonts w:cs="Calibri"/>
          <w:sz w:val="28"/>
          <w:szCs w:val="28"/>
        </w:rPr>
        <w:t>≤</w:t>
      </w:r>
      <w:r w:rsidRPr="00BF46FC">
        <w:rPr>
          <w:sz w:val="28"/>
          <w:szCs w:val="28"/>
        </w:rPr>
        <w:t xml:space="preserve">0.02 </w:t>
      </w:r>
      <w:r w:rsidR="00A42ED0">
        <w:rPr>
          <w:sz w:val="28"/>
          <w:szCs w:val="28"/>
        </w:rPr>
        <w:t>units</w:t>
      </w:r>
      <w:r w:rsidRPr="00BF46FC">
        <w:rPr>
          <w:sz w:val="28"/>
          <w:szCs w:val="28"/>
        </w:rPr>
        <w:t>/kg/hr).</w:t>
      </w:r>
    </w:p>
    <w:p w14:paraId="4A94C90F" w14:textId="03BD4B3A" w:rsidR="00386099" w:rsidRPr="000E1DEE" w:rsidRDefault="00386099" w:rsidP="007C2330">
      <w:pPr>
        <w:pStyle w:val="ListBullet"/>
        <w:pBdr>
          <w:top w:val="single" w:sz="4" w:space="1" w:color="auto"/>
          <w:left w:val="single" w:sz="4" w:space="4" w:color="auto"/>
          <w:bottom w:val="single" w:sz="4" w:space="1" w:color="auto"/>
          <w:right w:val="single" w:sz="4" w:space="4" w:color="auto"/>
        </w:pBdr>
        <w:tabs>
          <w:tab w:val="num" w:pos="1080"/>
        </w:tabs>
        <w:rPr>
          <w:rStyle w:val="normaltextrun"/>
          <w:b/>
          <w:sz w:val="28"/>
          <w:szCs w:val="28"/>
        </w:rPr>
      </w:pPr>
      <w:r w:rsidRPr="00BF46FC">
        <w:rPr>
          <w:sz w:val="28"/>
          <w:szCs w:val="28"/>
        </w:rPr>
        <w:t>B</w:t>
      </w:r>
      <w:r w:rsidRPr="00BF46FC">
        <w:rPr>
          <w:rStyle w:val="normaltextrun"/>
          <w:rFonts w:cs="Calibri"/>
          <w:color w:val="333333"/>
          <w:sz w:val="28"/>
          <w:szCs w:val="28"/>
          <w:shd w:val="clear" w:color="auto" w:fill="FFFFFF"/>
        </w:rPr>
        <w:t xml:space="preserve">lood glucose </w:t>
      </w:r>
      <w:r w:rsidRPr="00BF46FC">
        <w:rPr>
          <w:rStyle w:val="normaltextrun"/>
          <w:rFonts w:cs="Calibri"/>
          <w:b/>
          <w:bCs/>
          <w:color w:val="333333"/>
          <w:sz w:val="28"/>
          <w:szCs w:val="28"/>
          <w:shd w:val="clear" w:color="auto" w:fill="FFFFFF"/>
        </w:rPr>
        <w:t>&lt;6mmol/L STOP</w:t>
      </w:r>
      <w:r w:rsidRPr="00BF46FC">
        <w:rPr>
          <w:rStyle w:val="normaltextrun"/>
          <w:rFonts w:cs="Calibri"/>
          <w:color w:val="333333"/>
          <w:sz w:val="28"/>
          <w:szCs w:val="28"/>
          <w:shd w:val="clear" w:color="auto" w:fill="FFFFFF"/>
        </w:rPr>
        <w:t xml:space="preserve"> infusion if low dose of insulin is being given (≤0.02 </w:t>
      </w:r>
      <w:r w:rsidR="00A42ED0">
        <w:rPr>
          <w:rStyle w:val="normaltextrun"/>
          <w:rFonts w:cs="Calibri"/>
          <w:color w:val="333333"/>
          <w:sz w:val="28"/>
          <w:szCs w:val="28"/>
          <w:shd w:val="clear" w:color="auto" w:fill="FFFFFF"/>
        </w:rPr>
        <w:t>units</w:t>
      </w:r>
      <w:r w:rsidRPr="00BF46FC">
        <w:rPr>
          <w:rStyle w:val="normaltextrun"/>
          <w:rFonts w:cs="Calibri"/>
          <w:color w:val="333333"/>
          <w:sz w:val="28"/>
          <w:szCs w:val="28"/>
          <w:shd w:val="clear" w:color="auto" w:fill="FFFFFF"/>
        </w:rPr>
        <w:t xml:space="preserve">/kg/hr); if higher dose of insulin being given </w:t>
      </w:r>
      <w:r w:rsidRPr="004916D9">
        <w:rPr>
          <w:rStyle w:val="normaltextrun"/>
          <w:rFonts w:cs="Calibri"/>
          <w:b/>
          <w:bCs/>
          <w:color w:val="333333"/>
          <w:sz w:val="28"/>
          <w:szCs w:val="28"/>
          <w:shd w:val="clear" w:color="auto" w:fill="FFFFFF"/>
        </w:rPr>
        <w:t>DECREASE</w:t>
      </w:r>
      <w:r w:rsidRPr="00BF46FC">
        <w:rPr>
          <w:rStyle w:val="normaltextrun"/>
          <w:rFonts w:cs="Calibri"/>
          <w:color w:val="333333"/>
          <w:sz w:val="28"/>
          <w:szCs w:val="28"/>
          <w:shd w:val="clear" w:color="auto" w:fill="FFFFFF"/>
        </w:rPr>
        <w:t xml:space="preserve"> the infusion (by 0.01-0.02 </w:t>
      </w:r>
      <w:r w:rsidR="00A42ED0">
        <w:rPr>
          <w:rStyle w:val="normaltextrun"/>
          <w:rFonts w:cs="Calibri"/>
          <w:color w:val="333333"/>
          <w:sz w:val="28"/>
          <w:szCs w:val="28"/>
          <w:shd w:val="clear" w:color="auto" w:fill="FFFFFF"/>
        </w:rPr>
        <w:t>units</w:t>
      </w:r>
      <w:r w:rsidRPr="00BF46FC">
        <w:rPr>
          <w:rStyle w:val="normaltextrun"/>
          <w:rFonts w:cs="Calibri"/>
          <w:color w:val="333333"/>
          <w:sz w:val="28"/>
          <w:szCs w:val="28"/>
          <w:shd w:val="clear" w:color="auto" w:fill="FFFFFF"/>
        </w:rPr>
        <w:t>/kg/hr, or by larger amounts if directed by a consultant/fellow).</w:t>
      </w:r>
    </w:p>
    <w:p w14:paraId="30135DE9" w14:textId="77777777" w:rsidR="007C2330" w:rsidRDefault="007C2330" w:rsidP="007C2330">
      <w:pPr>
        <w:tabs>
          <w:tab w:val="left" w:pos="900"/>
        </w:tabs>
        <w:jc w:val="both"/>
        <w:rPr>
          <w:rFonts w:cs="Calibri"/>
          <w:b/>
          <w:bCs/>
          <w:sz w:val="32"/>
          <w:szCs w:val="32"/>
          <w:u w:val="single"/>
        </w:rPr>
      </w:pPr>
    </w:p>
    <w:p w14:paraId="557B5D5D" w14:textId="0CC65764" w:rsidR="00386099" w:rsidRPr="00BF46FC" w:rsidRDefault="00386099" w:rsidP="007C2330">
      <w:pPr>
        <w:pBdr>
          <w:top w:val="single" w:sz="4" w:space="1" w:color="auto"/>
          <w:left w:val="single" w:sz="4" w:space="4" w:color="auto"/>
          <w:bottom w:val="single" w:sz="4" w:space="1" w:color="auto"/>
          <w:right w:val="single" w:sz="4" w:space="4" w:color="auto"/>
        </w:pBdr>
        <w:tabs>
          <w:tab w:val="left" w:pos="900"/>
        </w:tabs>
        <w:jc w:val="both"/>
        <w:rPr>
          <w:rFonts w:cs="Calibri"/>
          <w:b/>
          <w:bCs/>
          <w:sz w:val="32"/>
          <w:szCs w:val="32"/>
          <w:u w:val="single"/>
        </w:rPr>
      </w:pPr>
      <w:r w:rsidRPr="00BF46FC">
        <w:rPr>
          <w:rFonts w:cs="Calibri"/>
          <w:b/>
          <w:bCs/>
          <w:sz w:val="32"/>
          <w:szCs w:val="32"/>
          <w:u w:val="single"/>
        </w:rPr>
        <w:t>Note:</w:t>
      </w:r>
    </w:p>
    <w:p w14:paraId="07E05D76" w14:textId="77777777" w:rsidR="00BF46FC" w:rsidRPr="00386099" w:rsidRDefault="00BF46FC" w:rsidP="007C2330">
      <w:pPr>
        <w:pBdr>
          <w:top w:val="single" w:sz="4" w:space="1" w:color="auto"/>
          <w:left w:val="single" w:sz="4" w:space="4" w:color="auto"/>
          <w:bottom w:val="single" w:sz="4" w:space="1" w:color="auto"/>
          <w:right w:val="single" w:sz="4" w:space="4" w:color="auto"/>
        </w:pBdr>
        <w:rPr>
          <w:rFonts w:cs="Calibri"/>
          <w:b/>
          <w:bCs/>
          <w:sz w:val="28"/>
          <w:szCs w:val="28"/>
          <w:u w:val="single"/>
        </w:rPr>
      </w:pPr>
    </w:p>
    <w:p w14:paraId="30A59333" w14:textId="2B094DE1" w:rsidR="00386099" w:rsidRPr="00570FCB" w:rsidRDefault="00386099" w:rsidP="007C2330">
      <w:pPr>
        <w:pBdr>
          <w:top w:val="single" w:sz="4" w:space="1" w:color="auto"/>
          <w:left w:val="single" w:sz="4" w:space="4" w:color="auto"/>
          <w:bottom w:val="single" w:sz="4" w:space="1" w:color="auto"/>
          <w:right w:val="single" w:sz="4" w:space="4" w:color="auto"/>
        </w:pBdr>
        <w:rPr>
          <w:rFonts w:cs="Calibri"/>
          <w:sz w:val="28"/>
          <w:szCs w:val="28"/>
        </w:rPr>
      </w:pPr>
      <w:r w:rsidRPr="00BF46FC">
        <w:rPr>
          <w:rFonts w:cs="Calibri"/>
          <w:sz w:val="28"/>
          <w:szCs w:val="28"/>
        </w:rPr>
        <w:t xml:space="preserve">If there is a </w:t>
      </w:r>
      <w:r w:rsidR="0072501B" w:rsidRPr="00BF46FC">
        <w:rPr>
          <w:rFonts w:cs="Calibri"/>
          <w:b/>
          <w:bCs/>
          <w:sz w:val="28"/>
          <w:szCs w:val="28"/>
          <w:u w:val="single"/>
        </w:rPr>
        <w:t>RAPID FALL</w:t>
      </w:r>
      <w:r w:rsidRPr="00BF46FC">
        <w:rPr>
          <w:rFonts w:cs="Calibri"/>
          <w:b/>
          <w:bCs/>
          <w:sz w:val="28"/>
          <w:szCs w:val="28"/>
          <w:u w:val="single"/>
        </w:rPr>
        <w:t xml:space="preserve"> in the blood glucose level (&gt;3-4mmol/L per hour</w:t>
      </w:r>
      <w:r w:rsidRPr="00BF46FC">
        <w:rPr>
          <w:rFonts w:cs="Calibri"/>
          <w:b/>
          <w:bCs/>
          <w:sz w:val="28"/>
          <w:szCs w:val="28"/>
        </w:rPr>
        <w:t>)</w:t>
      </w:r>
      <w:r w:rsidRPr="00BF46FC">
        <w:rPr>
          <w:rFonts w:cs="Calibri"/>
          <w:sz w:val="28"/>
          <w:szCs w:val="28"/>
        </w:rPr>
        <w:t xml:space="preserve">, the insulin rate </w:t>
      </w:r>
      <w:r w:rsidRPr="00BF46FC">
        <w:rPr>
          <w:rFonts w:cs="Calibri"/>
          <w:b/>
          <w:bCs/>
          <w:sz w:val="28"/>
          <w:szCs w:val="28"/>
          <w:u w:val="single"/>
        </w:rPr>
        <w:t xml:space="preserve">MUST be reduced by 0.02-0.04 </w:t>
      </w:r>
      <w:r w:rsidR="00A42ED0">
        <w:rPr>
          <w:rFonts w:cs="Calibri"/>
          <w:b/>
          <w:bCs/>
          <w:sz w:val="28"/>
          <w:szCs w:val="28"/>
          <w:u w:val="single"/>
        </w:rPr>
        <w:t>units</w:t>
      </w:r>
      <w:r w:rsidRPr="00BF46FC">
        <w:rPr>
          <w:rFonts w:cs="Calibri"/>
          <w:b/>
          <w:bCs/>
          <w:sz w:val="28"/>
          <w:szCs w:val="28"/>
          <w:u w:val="single"/>
        </w:rPr>
        <w:t xml:space="preserve">/kg/hr or </w:t>
      </w:r>
      <w:r w:rsidR="0072501B" w:rsidRPr="00BF46FC">
        <w:rPr>
          <w:rFonts w:cs="Calibri"/>
          <w:b/>
          <w:bCs/>
          <w:sz w:val="28"/>
          <w:szCs w:val="28"/>
          <w:u w:val="single"/>
        </w:rPr>
        <w:t>STOPPED</w:t>
      </w:r>
      <w:r w:rsidRPr="00BF46FC">
        <w:rPr>
          <w:rFonts w:cs="Calibri"/>
          <w:sz w:val="28"/>
          <w:szCs w:val="28"/>
        </w:rPr>
        <w:t xml:space="preserve"> if the drop is significant. Any rapid decrease must be informed to medical officer and insulin infusion needs to be adjusted promptly.</w:t>
      </w:r>
    </w:p>
    <w:sectPr w:rsidR="00386099" w:rsidRPr="00570FCB" w:rsidSect="004213C3">
      <w:headerReference w:type="default" r:id="rId13"/>
      <w:footerReference w:type="default" r:id="rId14"/>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0B606" w14:textId="77777777" w:rsidR="00545A30" w:rsidRDefault="00545A30" w:rsidP="00F66CB0">
      <w:r>
        <w:separator/>
      </w:r>
    </w:p>
  </w:endnote>
  <w:endnote w:type="continuationSeparator" w:id="0">
    <w:p w14:paraId="0858BF71" w14:textId="77777777" w:rsidR="00545A30" w:rsidRDefault="00545A30"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025"/>
      <w:gridCol w:w="1557"/>
    </w:tblGrid>
    <w:tr w:rsidR="00E90708" w:rsidRPr="00AE7C5C" w14:paraId="2F51A914" w14:textId="77777777" w:rsidTr="004A6A7F">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2025"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557"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4A6A7F">
      <w:tc>
        <w:tcPr>
          <w:tcW w:w="1515" w:type="dxa"/>
        </w:tcPr>
        <w:p w14:paraId="2F51A915" w14:textId="35016704" w:rsidR="00E90708" w:rsidRPr="00542EE6" w:rsidRDefault="004A6A7F" w:rsidP="004213C3">
          <w:pPr>
            <w:pStyle w:val="Footer"/>
            <w:rPr>
              <w:rFonts w:cs="Arial"/>
              <w:b/>
              <w:bCs/>
              <w:sz w:val="20"/>
            </w:rPr>
          </w:pPr>
          <w:r>
            <w:rPr>
              <w:b/>
              <w:bCs/>
              <w:sz w:val="20"/>
            </w:rPr>
            <w:t>CHS23/200</w:t>
          </w:r>
        </w:p>
      </w:tc>
      <w:tc>
        <w:tcPr>
          <w:tcW w:w="965" w:type="dxa"/>
        </w:tcPr>
        <w:p w14:paraId="2F51A916" w14:textId="6A6BE05F" w:rsidR="00E90708" w:rsidRPr="00B3752F" w:rsidRDefault="004A6A7F" w:rsidP="004213C3">
          <w:pPr>
            <w:pStyle w:val="Footer"/>
            <w:rPr>
              <w:rFonts w:cs="Arial"/>
              <w:b/>
              <w:bCs/>
              <w:sz w:val="20"/>
            </w:rPr>
          </w:pPr>
          <w:r>
            <w:rPr>
              <w:rFonts w:cs="Arial"/>
              <w:b/>
              <w:bCs/>
              <w:sz w:val="20"/>
            </w:rPr>
            <w:t>1</w:t>
          </w:r>
        </w:p>
      </w:tc>
      <w:tc>
        <w:tcPr>
          <w:tcW w:w="1552" w:type="dxa"/>
        </w:tcPr>
        <w:p w14:paraId="2F51A917" w14:textId="60FE5EA7" w:rsidR="00E90708" w:rsidRPr="00B3752F" w:rsidRDefault="004A6A7F" w:rsidP="004213C3">
          <w:pPr>
            <w:pStyle w:val="Footer"/>
            <w:rPr>
              <w:rFonts w:cs="Arial"/>
              <w:b/>
              <w:bCs/>
              <w:sz w:val="20"/>
            </w:rPr>
          </w:pPr>
          <w:r>
            <w:rPr>
              <w:rFonts w:cs="Arial"/>
              <w:b/>
              <w:bCs/>
              <w:sz w:val="20"/>
            </w:rPr>
            <w:t>03/07/2023</w:t>
          </w:r>
        </w:p>
      </w:tc>
      <w:tc>
        <w:tcPr>
          <w:tcW w:w="1456" w:type="dxa"/>
        </w:tcPr>
        <w:p w14:paraId="2F51A918" w14:textId="4B15DAA7" w:rsidR="00E90708" w:rsidRPr="00B3752F" w:rsidRDefault="004A6A7F" w:rsidP="004213C3">
          <w:pPr>
            <w:pStyle w:val="Footer"/>
            <w:rPr>
              <w:rFonts w:cs="Arial"/>
              <w:b/>
              <w:bCs/>
              <w:sz w:val="20"/>
            </w:rPr>
          </w:pPr>
          <w:r>
            <w:rPr>
              <w:rFonts w:cs="Arial"/>
              <w:b/>
              <w:bCs/>
              <w:sz w:val="20"/>
            </w:rPr>
            <w:t>01/07/2027</w:t>
          </w:r>
        </w:p>
      </w:tc>
      <w:tc>
        <w:tcPr>
          <w:tcW w:w="2025" w:type="dxa"/>
        </w:tcPr>
        <w:p w14:paraId="2F51A919" w14:textId="101E0123" w:rsidR="00E90708" w:rsidRPr="00B3752F" w:rsidRDefault="004A6A7F" w:rsidP="004213C3">
          <w:pPr>
            <w:pStyle w:val="Footer"/>
            <w:rPr>
              <w:rFonts w:cs="Arial"/>
              <w:b/>
              <w:bCs/>
              <w:sz w:val="20"/>
            </w:rPr>
          </w:pPr>
          <w:r>
            <w:rPr>
              <w:rFonts w:cs="Arial"/>
              <w:b/>
              <w:bCs/>
              <w:sz w:val="20"/>
            </w:rPr>
            <w:t xml:space="preserve">WY&amp;C – Neonatology </w:t>
          </w:r>
        </w:p>
      </w:tc>
      <w:tc>
        <w:tcPr>
          <w:tcW w:w="1557"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21CF" w14:textId="77777777" w:rsidR="00545A30" w:rsidRDefault="00545A30" w:rsidP="00F66CB0">
      <w:r>
        <w:separator/>
      </w:r>
    </w:p>
  </w:footnote>
  <w:footnote w:type="continuationSeparator" w:id="0">
    <w:p w14:paraId="7FEE85D6" w14:textId="77777777" w:rsidR="00545A30" w:rsidRDefault="00545A30"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0C904113" w:rsidR="00E90708" w:rsidRDefault="00E90708">
          <w:pPr>
            <w:pStyle w:val="Header"/>
            <w:tabs>
              <w:tab w:val="left" w:pos="720"/>
            </w:tabs>
            <w:jc w:val="right"/>
            <w:rPr>
              <w:sz w:val="20"/>
            </w:rPr>
          </w:pPr>
          <w:bookmarkStart w:id="32" w:name="_top"/>
          <w:bookmarkEnd w:id="32"/>
          <w:r>
            <w:rPr>
              <w:sz w:val="20"/>
            </w:rPr>
            <w:t>CHS</w:t>
          </w:r>
          <w:r w:rsidR="004A6A7F">
            <w:rPr>
              <w:sz w:val="20"/>
            </w:rPr>
            <w:t>23/200</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64E538"/>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530303D"/>
    <w:multiLevelType w:val="hybridMultilevel"/>
    <w:tmpl w:val="C29EA6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809034B"/>
    <w:multiLevelType w:val="multilevel"/>
    <w:tmpl w:val="2AFC826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30" w:hanging="450"/>
      </w:pPr>
      <w:rPr>
        <w:rFonts w:ascii="Calibri" w:eastAsia="Times New Roman" w:hAnsi="Calibri" w:cs="Calibri" w:hint="default"/>
        <w:b/>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4058B2"/>
    <w:multiLevelType w:val="multilevel"/>
    <w:tmpl w:val="BC6A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E7131F"/>
    <w:multiLevelType w:val="hybridMultilevel"/>
    <w:tmpl w:val="82B0F9C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95E6F5A"/>
    <w:multiLevelType w:val="multilevel"/>
    <w:tmpl w:val="55FC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F5691D"/>
    <w:multiLevelType w:val="multilevel"/>
    <w:tmpl w:val="A100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9B5265"/>
    <w:multiLevelType w:val="hybridMultilevel"/>
    <w:tmpl w:val="424E38AC"/>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1F246179"/>
    <w:multiLevelType w:val="hybridMultilevel"/>
    <w:tmpl w:val="43E407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A04D6E"/>
    <w:multiLevelType w:val="hybridMultilevel"/>
    <w:tmpl w:val="9376AFF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5310874"/>
    <w:multiLevelType w:val="multilevel"/>
    <w:tmpl w:val="F24A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232CC4"/>
    <w:multiLevelType w:val="hybridMultilevel"/>
    <w:tmpl w:val="63B81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F3284E"/>
    <w:multiLevelType w:val="hybridMultilevel"/>
    <w:tmpl w:val="C93ED39C"/>
    <w:lvl w:ilvl="0" w:tplc="1B587776">
      <w:start w:val="1"/>
      <w:numFmt w:val="lowerRoman"/>
      <w:lvlText w:val="%1."/>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2D7A97"/>
    <w:multiLevelType w:val="hybridMultilevel"/>
    <w:tmpl w:val="76D65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1F0789"/>
    <w:multiLevelType w:val="multilevel"/>
    <w:tmpl w:val="6F70A344"/>
    <w:lvl w:ilvl="0">
      <w:start w:val="1"/>
      <w:numFmt w:val="bullet"/>
      <w:lvlText w:val=""/>
      <w:lvlJc w:val="left"/>
      <w:pPr>
        <w:ind w:left="360" w:hanging="360"/>
      </w:pPr>
      <w:rPr>
        <w:rFonts w:ascii="Symbol" w:hAnsi="Symbol"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0" w15:restartNumberingAfterBreak="0">
    <w:nsid w:val="399711EC"/>
    <w:multiLevelType w:val="multilevel"/>
    <w:tmpl w:val="9C6C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C04721"/>
    <w:multiLevelType w:val="multilevel"/>
    <w:tmpl w:val="DBE440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E2833AC"/>
    <w:multiLevelType w:val="multilevel"/>
    <w:tmpl w:val="F90E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8769B4"/>
    <w:multiLevelType w:val="hybridMultilevel"/>
    <w:tmpl w:val="C92C470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8B0233"/>
    <w:multiLevelType w:val="hybridMultilevel"/>
    <w:tmpl w:val="F774C70E"/>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5" w15:restartNumberingAfterBreak="0">
    <w:nsid w:val="44CD41F7"/>
    <w:multiLevelType w:val="hybridMultilevel"/>
    <w:tmpl w:val="AC42E780"/>
    <w:lvl w:ilvl="0" w:tplc="0C090003">
      <w:start w:val="1"/>
      <w:numFmt w:val="bullet"/>
      <w:lvlText w:val="o"/>
      <w:lvlJc w:val="left"/>
      <w:pPr>
        <w:ind w:left="1211" w:hanging="360"/>
      </w:pPr>
      <w:rPr>
        <w:rFonts w:ascii="Courier New" w:hAnsi="Courier New" w:cs="Courier New"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6"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845537F"/>
    <w:multiLevelType w:val="hybridMultilevel"/>
    <w:tmpl w:val="D8585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080833"/>
    <w:multiLevelType w:val="hybridMultilevel"/>
    <w:tmpl w:val="722ED2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A2A0275"/>
    <w:multiLevelType w:val="multilevel"/>
    <w:tmpl w:val="D7E2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541AF9"/>
    <w:multiLevelType w:val="multilevel"/>
    <w:tmpl w:val="119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2" w15:restartNumberingAfterBreak="0">
    <w:nsid w:val="50644CA7"/>
    <w:multiLevelType w:val="multilevel"/>
    <w:tmpl w:val="B382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5F12EE"/>
    <w:multiLevelType w:val="hybridMultilevel"/>
    <w:tmpl w:val="BCB4F6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80745D1"/>
    <w:multiLevelType w:val="multilevel"/>
    <w:tmpl w:val="407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15048B"/>
    <w:multiLevelType w:val="hybridMultilevel"/>
    <w:tmpl w:val="06F43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6F40AF"/>
    <w:multiLevelType w:val="multilevel"/>
    <w:tmpl w:val="54FE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C22556"/>
    <w:multiLevelType w:val="hybridMultilevel"/>
    <w:tmpl w:val="B0E85084"/>
    <w:lvl w:ilvl="0" w:tplc="0C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1B615C"/>
    <w:multiLevelType w:val="multilevel"/>
    <w:tmpl w:val="B6D21F9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15:restartNumberingAfterBreak="0">
    <w:nsid w:val="6E7E1658"/>
    <w:multiLevelType w:val="multilevel"/>
    <w:tmpl w:val="D5825E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70484480"/>
    <w:multiLevelType w:val="hybridMultilevel"/>
    <w:tmpl w:val="68C831DE"/>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1" w15:restartNumberingAfterBreak="0">
    <w:nsid w:val="72295AC9"/>
    <w:multiLevelType w:val="hybridMultilevel"/>
    <w:tmpl w:val="5A0A93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26F551F"/>
    <w:multiLevelType w:val="multilevel"/>
    <w:tmpl w:val="8686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0D36CD"/>
    <w:multiLevelType w:val="hybridMultilevel"/>
    <w:tmpl w:val="29F4D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1B25C6"/>
    <w:multiLevelType w:val="multilevel"/>
    <w:tmpl w:val="D112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C477A0C"/>
    <w:multiLevelType w:val="multilevel"/>
    <w:tmpl w:val="DBD2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0101253">
    <w:abstractNumId w:val="0"/>
  </w:num>
  <w:num w:numId="2" w16cid:durableId="2085949972">
    <w:abstractNumId w:val="2"/>
  </w:num>
  <w:num w:numId="3" w16cid:durableId="706221806">
    <w:abstractNumId w:val="44"/>
  </w:num>
  <w:num w:numId="4" w16cid:durableId="1120998224">
    <w:abstractNumId w:val="7"/>
  </w:num>
  <w:num w:numId="5" w16cid:durableId="861162155">
    <w:abstractNumId w:val="11"/>
  </w:num>
  <w:num w:numId="6" w16cid:durableId="750615839">
    <w:abstractNumId w:val="46"/>
  </w:num>
  <w:num w:numId="7" w16cid:durableId="2060932895">
    <w:abstractNumId w:val="31"/>
  </w:num>
  <w:num w:numId="8" w16cid:durableId="1803764202">
    <w:abstractNumId w:val="0"/>
  </w:num>
  <w:num w:numId="9" w16cid:durableId="1878159928">
    <w:abstractNumId w:val="0"/>
  </w:num>
  <w:num w:numId="10" w16cid:durableId="67845685">
    <w:abstractNumId w:val="26"/>
  </w:num>
  <w:num w:numId="11" w16cid:durableId="112601842">
    <w:abstractNumId w:val="1"/>
  </w:num>
  <w:num w:numId="12" w16cid:durableId="257062755">
    <w:abstractNumId w:val="8"/>
  </w:num>
  <w:num w:numId="13" w16cid:durableId="947196964">
    <w:abstractNumId w:val="24"/>
  </w:num>
  <w:num w:numId="14" w16cid:durableId="1812861628">
    <w:abstractNumId w:val="17"/>
  </w:num>
  <w:num w:numId="15" w16cid:durableId="1868714560">
    <w:abstractNumId w:val="40"/>
  </w:num>
  <w:num w:numId="16" w16cid:durableId="15733493">
    <w:abstractNumId w:val="12"/>
  </w:num>
  <w:num w:numId="17" w16cid:durableId="1693989592">
    <w:abstractNumId w:val="38"/>
  </w:num>
  <w:num w:numId="18" w16cid:durableId="1264799447">
    <w:abstractNumId w:val="3"/>
  </w:num>
  <w:num w:numId="19" w16cid:durableId="1179542394">
    <w:abstractNumId w:val="23"/>
  </w:num>
  <w:num w:numId="20" w16cid:durableId="71511221">
    <w:abstractNumId w:val="13"/>
  </w:num>
  <w:num w:numId="21" w16cid:durableId="569653010">
    <w:abstractNumId w:val="6"/>
  </w:num>
  <w:num w:numId="22" w16cid:durableId="118189472">
    <w:abstractNumId w:val="41"/>
  </w:num>
  <w:num w:numId="23" w16cid:durableId="984316734">
    <w:abstractNumId w:val="33"/>
  </w:num>
  <w:num w:numId="24" w16cid:durableId="1524173828">
    <w:abstractNumId w:val="14"/>
  </w:num>
  <w:num w:numId="25" w16cid:durableId="1691955844">
    <w:abstractNumId w:val="16"/>
  </w:num>
  <w:num w:numId="26" w16cid:durableId="513569327">
    <w:abstractNumId w:val="25"/>
  </w:num>
  <w:num w:numId="27" w16cid:durableId="1109541212">
    <w:abstractNumId w:val="19"/>
  </w:num>
  <w:num w:numId="28" w16cid:durableId="1034035087">
    <w:abstractNumId w:val="35"/>
  </w:num>
  <w:num w:numId="29" w16cid:durableId="1302880640">
    <w:abstractNumId w:val="27"/>
  </w:num>
  <w:num w:numId="30" w16cid:durableId="2116704271">
    <w:abstractNumId w:val="43"/>
  </w:num>
  <w:num w:numId="31" w16cid:durableId="391273966">
    <w:abstractNumId w:val="28"/>
  </w:num>
  <w:num w:numId="32" w16cid:durableId="513501072">
    <w:abstractNumId w:val="37"/>
  </w:num>
  <w:num w:numId="33" w16cid:durableId="679041557">
    <w:abstractNumId w:val="34"/>
  </w:num>
  <w:num w:numId="34" w16cid:durableId="774323963">
    <w:abstractNumId w:val="39"/>
  </w:num>
  <w:num w:numId="35" w16cid:durableId="2144420342">
    <w:abstractNumId w:val="5"/>
  </w:num>
  <w:num w:numId="36" w16cid:durableId="831456862">
    <w:abstractNumId w:val="30"/>
  </w:num>
  <w:num w:numId="37" w16cid:durableId="1993868194">
    <w:abstractNumId w:val="9"/>
  </w:num>
  <w:num w:numId="38" w16cid:durableId="2143227385">
    <w:abstractNumId w:val="15"/>
  </w:num>
  <w:num w:numId="39" w16cid:durableId="1246577237">
    <w:abstractNumId w:val="36"/>
  </w:num>
  <w:num w:numId="40" w16cid:durableId="1979265709">
    <w:abstractNumId w:val="20"/>
  </w:num>
  <w:num w:numId="41" w16cid:durableId="1124887295">
    <w:abstractNumId w:val="47"/>
  </w:num>
  <w:num w:numId="42" w16cid:durableId="97262574">
    <w:abstractNumId w:val="29"/>
  </w:num>
  <w:num w:numId="43" w16cid:durableId="563610686">
    <w:abstractNumId w:val="22"/>
  </w:num>
  <w:num w:numId="44" w16cid:durableId="2124424208">
    <w:abstractNumId w:val="42"/>
  </w:num>
  <w:num w:numId="45" w16cid:durableId="602958180">
    <w:abstractNumId w:val="21"/>
  </w:num>
  <w:num w:numId="46" w16cid:durableId="1849784307">
    <w:abstractNumId w:val="10"/>
  </w:num>
  <w:num w:numId="47" w16cid:durableId="56130574">
    <w:abstractNumId w:val="32"/>
  </w:num>
  <w:num w:numId="48" w16cid:durableId="1890798316">
    <w:abstractNumId w:val="45"/>
  </w:num>
  <w:num w:numId="49" w16cid:durableId="961306666">
    <w:abstractNumId w:val="4"/>
  </w:num>
  <w:num w:numId="50" w16cid:durableId="16039991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23565"/>
    <w:rsid w:val="000346C3"/>
    <w:rsid w:val="000360C3"/>
    <w:rsid w:val="00072AE8"/>
    <w:rsid w:val="00091AC9"/>
    <w:rsid w:val="00091C33"/>
    <w:rsid w:val="00095ECD"/>
    <w:rsid w:val="000A7335"/>
    <w:rsid w:val="000B1620"/>
    <w:rsid w:val="000B375C"/>
    <w:rsid w:val="000B5C8C"/>
    <w:rsid w:val="000B68D0"/>
    <w:rsid w:val="000B71ED"/>
    <w:rsid w:val="000C59E2"/>
    <w:rsid w:val="000C7B2D"/>
    <w:rsid w:val="000E1DEE"/>
    <w:rsid w:val="000E7AD9"/>
    <w:rsid w:val="000F7B7E"/>
    <w:rsid w:val="0010367D"/>
    <w:rsid w:val="00103EEA"/>
    <w:rsid w:val="001115D7"/>
    <w:rsid w:val="00121D88"/>
    <w:rsid w:val="00134068"/>
    <w:rsid w:val="00140E51"/>
    <w:rsid w:val="00142344"/>
    <w:rsid w:val="00145AEF"/>
    <w:rsid w:val="0015045E"/>
    <w:rsid w:val="001566B3"/>
    <w:rsid w:val="00165E3B"/>
    <w:rsid w:val="00185643"/>
    <w:rsid w:val="00191109"/>
    <w:rsid w:val="00191235"/>
    <w:rsid w:val="001926F4"/>
    <w:rsid w:val="001A0053"/>
    <w:rsid w:val="001A17FB"/>
    <w:rsid w:val="001A76C0"/>
    <w:rsid w:val="001B2465"/>
    <w:rsid w:val="001B3435"/>
    <w:rsid w:val="001B64FC"/>
    <w:rsid w:val="001B7B05"/>
    <w:rsid w:val="001F2A9B"/>
    <w:rsid w:val="001F6D2D"/>
    <w:rsid w:val="00200D04"/>
    <w:rsid w:val="00201FB6"/>
    <w:rsid w:val="00205187"/>
    <w:rsid w:val="00205AC8"/>
    <w:rsid w:val="00212A28"/>
    <w:rsid w:val="002405CF"/>
    <w:rsid w:val="00240B23"/>
    <w:rsid w:val="00240B97"/>
    <w:rsid w:val="00241F9B"/>
    <w:rsid w:val="00245452"/>
    <w:rsid w:val="00246B04"/>
    <w:rsid w:val="0025382D"/>
    <w:rsid w:val="002621D0"/>
    <w:rsid w:val="00263BA6"/>
    <w:rsid w:val="0027264D"/>
    <w:rsid w:val="0027761A"/>
    <w:rsid w:val="00277F6A"/>
    <w:rsid w:val="00285D38"/>
    <w:rsid w:val="00293E43"/>
    <w:rsid w:val="002B5F43"/>
    <w:rsid w:val="003071EA"/>
    <w:rsid w:val="00313707"/>
    <w:rsid w:val="0032270B"/>
    <w:rsid w:val="00324391"/>
    <w:rsid w:val="00337E7C"/>
    <w:rsid w:val="00346E7C"/>
    <w:rsid w:val="00347671"/>
    <w:rsid w:val="00351CD9"/>
    <w:rsid w:val="00353CBB"/>
    <w:rsid w:val="00363511"/>
    <w:rsid w:val="00364AA9"/>
    <w:rsid w:val="00364C9B"/>
    <w:rsid w:val="00366066"/>
    <w:rsid w:val="00366924"/>
    <w:rsid w:val="00376A6D"/>
    <w:rsid w:val="00380B98"/>
    <w:rsid w:val="003846EF"/>
    <w:rsid w:val="00386099"/>
    <w:rsid w:val="00395E36"/>
    <w:rsid w:val="00396023"/>
    <w:rsid w:val="003C204E"/>
    <w:rsid w:val="003C4BB5"/>
    <w:rsid w:val="003D1CA3"/>
    <w:rsid w:val="003E4CC0"/>
    <w:rsid w:val="003F3D8F"/>
    <w:rsid w:val="00410409"/>
    <w:rsid w:val="00412BAC"/>
    <w:rsid w:val="00412CED"/>
    <w:rsid w:val="004133DC"/>
    <w:rsid w:val="00416751"/>
    <w:rsid w:val="00420F9E"/>
    <w:rsid w:val="004213C3"/>
    <w:rsid w:val="00422F91"/>
    <w:rsid w:val="0042413C"/>
    <w:rsid w:val="004251BC"/>
    <w:rsid w:val="0042688E"/>
    <w:rsid w:val="00427139"/>
    <w:rsid w:val="00431A1C"/>
    <w:rsid w:val="004358E9"/>
    <w:rsid w:val="00450416"/>
    <w:rsid w:val="00450C1E"/>
    <w:rsid w:val="004537B3"/>
    <w:rsid w:val="00465B7C"/>
    <w:rsid w:val="00477219"/>
    <w:rsid w:val="0048050C"/>
    <w:rsid w:val="00484B1F"/>
    <w:rsid w:val="00487DD5"/>
    <w:rsid w:val="004916D9"/>
    <w:rsid w:val="004947A7"/>
    <w:rsid w:val="004A2723"/>
    <w:rsid w:val="004A2E02"/>
    <w:rsid w:val="004A6A7F"/>
    <w:rsid w:val="004B1775"/>
    <w:rsid w:val="004B3EB1"/>
    <w:rsid w:val="004B7C43"/>
    <w:rsid w:val="004C2B20"/>
    <w:rsid w:val="004D557E"/>
    <w:rsid w:val="004D6932"/>
    <w:rsid w:val="004D7B38"/>
    <w:rsid w:val="004E28AD"/>
    <w:rsid w:val="004E5EB9"/>
    <w:rsid w:val="004E6298"/>
    <w:rsid w:val="004F0F49"/>
    <w:rsid w:val="004F1D05"/>
    <w:rsid w:val="004F2008"/>
    <w:rsid w:val="004F49D1"/>
    <w:rsid w:val="0050315D"/>
    <w:rsid w:val="00505B5D"/>
    <w:rsid w:val="005067CA"/>
    <w:rsid w:val="0052443C"/>
    <w:rsid w:val="0052775E"/>
    <w:rsid w:val="005416F0"/>
    <w:rsid w:val="00542514"/>
    <w:rsid w:val="0054381B"/>
    <w:rsid w:val="00543A45"/>
    <w:rsid w:val="00545A30"/>
    <w:rsid w:val="00546AED"/>
    <w:rsid w:val="00547B20"/>
    <w:rsid w:val="005512EF"/>
    <w:rsid w:val="00561C5D"/>
    <w:rsid w:val="005621E4"/>
    <w:rsid w:val="00570FCB"/>
    <w:rsid w:val="0057107F"/>
    <w:rsid w:val="0058691B"/>
    <w:rsid w:val="00587D70"/>
    <w:rsid w:val="00590902"/>
    <w:rsid w:val="00592A14"/>
    <w:rsid w:val="00596FD7"/>
    <w:rsid w:val="005A3625"/>
    <w:rsid w:val="005B2679"/>
    <w:rsid w:val="005B4738"/>
    <w:rsid w:val="005C212D"/>
    <w:rsid w:val="005C3CB0"/>
    <w:rsid w:val="005D1745"/>
    <w:rsid w:val="005D2C15"/>
    <w:rsid w:val="005E1140"/>
    <w:rsid w:val="005E2EF1"/>
    <w:rsid w:val="005F3214"/>
    <w:rsid w:val="005F69E0"/>
    <w:rsid w:val="0060714B"/>
    <w:rsid w:val="00612231"/>
    <w:rsid w:val="006157C8"/>
    <w:rsid w:val="00616FCD"/>
    <w:rsid w:val="00617B87"/>
    <w:rsid w:val="00635EB1"/>
    <w:rsid w:val="006473BB"/>
    <w:rsid w:val="006538C9"/>
    <w:rsid w:val="0066495D"/>
    <w:rsid w:val="006652A0"/>
    <w:rsid w:val="00671F40"/>
    <w:rsid w:val="00693EBF"/>
    <w:rsid w:val="00695EB6"/>
    <w:rsid w:val="006A3770"/>
    <w:rsid w:val="006A4D46"/>
    <w:rsid w:val="006A5285"/>
    <w:rsid w:val="006A6024"/>
    <w:rsid w:val="006B35FE"/>
    <w:rsid w:val="006C31FF"/>
    <w:rsid w:val="006C58FF"/>
    <w:rsid w:val="006C6256"/>
    <w:rsid w:val="006C6B6C"/>
    <w:rsid w:val="006C704D"/>
    <w:rsid w:val="006D31A2"/>
    <w:rsid w:val="006E4590"/>
    <w:rsid w:val="006F45E8"/>
    <w:rsid w:val="006F491E"/>
    <w:rsid w:val="007013AD"/>
    <w:rsid w:val="0070331D"/>
    <w:rsid w:val="007052B1"/>
    <w:rsid w:val="00711BF4"/>
    <w:rsid w:val="00713C71"/>
    <w:rsid w:val="0072501B"/>
    <w:rsid w:val="00741B43"/>
    <w:rsid w:val="0074223E"/>
    <w:rsid w:val="00750E1D"/>
    <w:rsid w:val="007543AC"/>
    <w:rsid w:val="00756537"/>
    <w:rsid w:val="00756A2B"/>
    <w:rsid w:val="007572BC"/>
    <w:rsid w:val="0076686C"/>
    <w:rsid w:val="00781FCA"/>
    <w:rsid w:val="00784F50"/>
    <w:rsid w:val="00787022"/>
    <w:rsid w:val="007940F7"/>
    <w:rsid w:val="00794C99"/>
    <w:rsid w:val="007A0EBC"/>
    <w:rsid w:val="007A7ECB"/>
    <w:rsid w:val="007B27F1"/>
    <w:rsid w:val="007B4ABB"/>
    <w:rsid w:val="007B6904"/>
    <w:rsid w:val="007B7628"/>
    <w:rsid w:val="007C2330"/>
    <w:rsid w:val="007C36E4"/>
    <w:rsid w:val="007D4D43"/>
    <w:rsid w:val="007D67BD"/>
    <w:rsid w:val="007E1BDA"/>
    <w:rsid w:val="007E6C93"/>
    <w:rsid w:val="00810E29"/>
    <w:rsid w:val="00816782"/>
    <w:rsid w:val="0082141D"/>
    <w:rsid w:val="00825496"/>
    <w:rsid w:val="00826D3B"/>
    <w:rsid w:val="00827F24"/>
    <w:rsid w:val="00845445"/>
    <w:rsid w:val="00847328"/>
    <w:rsid w:val="00847549"/>
    <w:rsid w:val="00855DA8"/>
    <w:rsid w:val="008732F1"/>
    <w:rsid w:val="0088116A"/>
    <w:rsid w:val="00886399"/>
    <w:rsid w:val="008974CA"/>
    <w:rsid w:val="008A2B86"/>
    <w:rsid w:val="008A3523"/>
    <w:rsid w:val="008B3337"/>
    <w:rsid w:val="008B4551"/>
    <w:rsid w:val="008D4E78"/>
    <w:rsid w:val="008D6E07"/>
    <w:rsid w:val="008E1F7F"/>
    <w:rsid w:val="008E32BE"/>
    <w:rsid w:val="008E3FF5"/>
    <w:rsid w:val="008F00E8"/>
    <w:rsid w:val="008F15A8"/>
    <w:rsid w:val="00906142"/>
    <w:rsid w:val="00931B93"/>
    <w:rsid w:val="00933EED"/>
    <w:rsid w:val="009375D0"/>
    <w:rsid w:val="009379FA"/>
    <w:rsid w:val="00940CDE"/>
    <w:rsid w:val="00960A35"/>
    <w:rsid w:val="009621B5"/>
    <w:rsid w:val="00962C46"/>
    <w:rsid w:val="009668F5"/>
    <w:rsid w:val="00974CF3"/>
    <w:rsid w:val="0097742A"/>
    <w:rsid w:val="0097744F"/>
    <w:rsid w:val="00980EED"/>
    <w:rsid w:val="0098721A"/>
    <w:rsid w:val="00991670"/>
    <w:rsid w:val="00994B4D"/>
    <w:rsid w:val="009A7BCA"/>
    <w:rsid w:val="009B6C8C"/>
    <w:rsid w:val="009C0FCA"/>
    <w:rsid w:val="009C3963"/>
    <w:rsid w:val="009C5A14"/>
    <w:rsid w:val="009C6D8D"/>
    <w:rsid w:val="009D323C"/>
    <w:rsid w:val="009D6C4A"/>
    <w:rsid w:val="009E39B9"/>
    <w:rsid w:val="009E70F4"/>
    <w:rsid w:val="00A13B7D"/>
    <w:rsid w:val="00A35E2D"/>
    <w:rsid w:val="00A42ED0"/>
    <w:rsid w:val="00A5024D"/>
    <w:rsid w:val="00A54CB3"/>
    <w:rsid w:val="00A65658"/>
    <w:rsid w:val="00A73D41"/>
    <w:rsid w:val="00A74B8A"/>
    <w:rsid w:val="00A75126"/>
    <w:rsid w:val="00A85F61"/>
    <w:rsid w:val="00A86DB3"/>
    <w:rsid w:val="00A92E4F"/>
    <w:rsid w:val="00AA24A5"/>
    <w:rsid w:val="00AA25DC"/>
    <w:rsid w:val="00AA7357"/>
    <w:rsid w:val="00AB0009"/>
    <w:rsid w:val="00AB13EF"/>
    <w:rsid w:val="00AB50DD"/>
    <w:rsid w:val="00AB6244"/>
    <w:rsid w:val="00AC2799"/>
    <w:rsid w:val="00AC5C7F"/>
    <w:rsid w:val="00AC7025"/>
    <w:rsid w:val="00AD196F"/>
    <w:rsid w:val="00AD3CCE"/>
    <w:rsid w:val="00AD79A9"/>
    <w:rsid w:val="00B05DEB"/>
    <w:rsid w:val="00B07A46"/>
    <w:rsid w:val="00B07DCE"/>
    <w:rsid w:val="00B12123"/>
    <w:rsid w:val="00B16739"/>
    <w:rsid w:val="00B21043"/>
    <w:rsid w:val="00B21FB1"/>
    <w:rsid w:val="00B343AA"/>
    <w:rsid w:val="00B40B48"/>
    <w:rsid w:val="00B42EA0"/>
    <w:rsid w:val="00B44CAC"/>
    <w:rsid w:val="00B5424E"/>
    <w:rsid w:val="00B573D6"/>
    <w:rsid w:val="00B65A8F"/>
    <w:rsid w:val="00B73E65"/>
    <w:rsid w:val="00B81455"/>
    <w:rsid w:val="00B90429"/>
    <w:rsid w:val="00B9627F"/>
    <w:rsid w:val="00BA2415"/>
    <w:rsid w:val="00BA4DB2"/>
    <w:rsid w:val="00BA4F95"/>
    <w:rsid w:val="00BB2DA2"/>
    <w:rsid w:val="00BB33F9"/>
    <w:rsid w:val="00BC0A6A"/>
    <w:rsid w:val="00BC1270"/>
    <w:rsid w:val="00BC24E6"/>
    <w:rsid w:val="00BC3CE6"/>
    <w:rsid w:val="00BE2451"/>
    <w:rsid w:val="00BE5E41"/>
    <w:rsid w:val="00BF078E"/>
    <w:rsid w:val="00BF46FC"/>
    <w:rsid w:val="00BF6973"/>
    <w:rsid w:val="00C04FC1"/>
    <w:rsid w:val="00C125AE"/>
    <w:rsid w:val="00C17346"/>
    <w:rsid w:val="00C17BB8"/>
    <w:rsid w:val="00C24EDC"/>
    <w:rsid w:val="00C25A76"/>
    <w:rsid w:val="00C31EB3"/>
    <w:rsid w:val="00C32206"/>
    <w:rsid w:val="00C3559A"/>
    <w:rsid w:val="00C365AC"/>
    <w:rsid w:val="00C40D16"/>
    <w:rsid w:val="00C422C8"/>
    <w:rsid w:val="00C44ED5"/>
    <w:rsid w:val="00C45C67"/>
    <w:rsid w:val="00C467F1"/>
    <w:rsid w:val="00C47091"/>
    <w:rsid w:val="00C523FF"/>
    <w:rsid w:val="00C67185"/>
    <w:rsid w:val="00C71C3C"/>
    <w:rsid w:val="00C76998"/>
    <w:rsid w:val="00C7781F"/>
    <w:rsid w:val="00C8197D"/>
    <w:rsid w:val="00C86F29"/>
    <w:rsid w:val="00C93A2C"/>
    <w:rsid w:val="00C93E83"/>
    <w:rsid w:val="00CA593D"/>
    <w:rsid w:val="00CB2CBC"/>
    <w:rsid w:val="00CB3669"/>
    <w:rsid w:val="00CC5D11"/>
    <w:rsid w:val="00CD1505"/>
    <w:rsid w:val="00CE2207"/>
    <w:rsid w:val="00CF2642"/>
    <w:rsid w:val="00D04507"/>
    <w:rsid w:val="00D07F74"/>
    <w:rsid w:val="00D1003C"/>
    <w:rsid w:val="00D21780"/>
    <w:rsid w:val="00D23346"/>
    <w:rsid w:val="00D243B8"/>
    <w:rsid w:val="00D25934"/>
    <w:rsid w:val="00D2609D"/>
    <w:rsid w:val="00D34794"/>
    <w:rsid w:val="00D37E2C"/>
    <w:rsid w:val="00D43A9A"/>
    <w:rsid w:val="00D4502D"/>
    <w:rsid w:val="00D4519F"/>
    <w:rsid w:val="00D466CC"/>
    <w:rsid w:val="00D51FBB"/>
    <w:rsid w:val="00D530CE"/>
    <w:rsid w:val="00D53E3C"/>
    <w:rsid w:val="00D575B2"/>
    <w:rsid w:val="00D77950"/>
    <w:rsid w:val="00D81508"/>
    <w:rsid w:val="00D831FE"/>
    <w:rsid w:val="00D92302"/>
    <w:rsid w:val="00DA07A0"/>
    <w:rsid w:val="00DB4EE2"/>
    <w:rsid w:val="00DB58A0"/>
    <w:rsid w:val="00DC11EB"/>
    <w:rsid w:val="00DC3762"/>
    <w:rsid w:val="00DC5C47"/>
    <w:rsid w:val="00DD616A"/>
    <w:rsid w:val="00DE0465"/>
    <w:rsid w:val="00DE2EC8"/>
    <w:rsid w:val="00DE3B0F"/>
    <w:rsid w:val="00DE4E25"/>
    <w:rsid w:val="00DE50CB"/>
    <w:rsid w:val="00DF4EF1"/>
    <w:rsid w:val="00DF7487"/>
    <w:rsid w:val="00E049ED"/>
    <w:rsid w:val="00E07B77"/>
    <w:rsid w:val="00E20967"/>
    <w:rsid w:val="00E34B96"/>
    <w:rsid w:val="00E34E6D"/>
    <w:rsid w:val="00E37CD4"/>
    <w:rsid w:val="00E439C9"/>
    <w:rsid w:val="00E57848"/>
    <w:rsid w:val="00E66A07"/>
    <w:rsid w:val="00E73459"/>
    <w:rsid w:val="00E7347C"/>
    <w:rsid w:val="00E750BF"/>
    <w:rsid w:val="00E76623"/>
    <w:rsid w:val="00E83D3D"/>
    <w:rsid w:val="00E86020"/>
    <w:rsid w:val="00E86534"/>
    <w:rsid w:val="00E90708"/>
    <w:rsid w:val="00E9478D"/>
    <w:rsid w:val="00E950CE"/>
    <w:rsid w:val="00EA0DC0"/>
    <w:rsid w:val="00EC13D7"/>
    <w:rsid w:val="00ED21C3"/>
    <w:rsid w:val="00ED388C"/>
    <w:rsid w:val="00ED39E0"/>
    <w:rsid w:val="00ED46C3"/>
    <w:rsid w:val="00ED47D0"/>
    <w:rsid w:val="00EF02B0"/>
    <w:rsid w:val="00EF13A4"/>
    <w:rsid w:val="00EF7A8A"/>
    <w:rsid w:val="00F01B61"/>
    <w:rsid w:val="00F11338"/>
    <w:rsid w:val="00F11603"/>
    <w:rsid w:val="00F13AE5"/>
    <w:rsid w:val="00F13B03"/>
    <w:rsid w:val="00F149FD"/>
    <w:rsid w:val="00F14EC1"/>
    <w:rsid w:val="00F2519E"/>
    <w:rsid w:val="00F4262F"/>
    <w:rsid w:val="00F459E1"/>
    <w:rsid w:val="00F53719"/>
    <w:rsid w:val="00F57291"/>
    <w:rsid w:val="00F66CB0"/>
    <w:rsid w:val="00F76C89"/>
    <w:rsid w:val="00F779E6"/>
    <w:rsid w:val="00F9158A"/>
    <w:rsid w:val="00F92674"/>
    <w:rsid w:val="00F95C1A"/>
    <w:rsid w:val="00FA0F1F"/>
    <w:rsid w:val="00FA29B8"/>
    <w:rsid w:val="00FA5F67"/>
    <w:rsid w:val="00FC7265"/>
    <w:rsid w:val="00FC7CBC"/>
    <w:rsid w:val="00FD3D92"/>
    <w:rsid w:val="00FF56DD"/>
    <w:rsid w:val="1CCCED57"/>
    <w:rsid w:val="37648DFD"/>
    <w:rsid w:val="5447F9F8"/>
    <w:rsid w:val="55918A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1"/>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customStyle="1" w:styleId="paragraph">
    <w:name w:val="paragraph"/>
    <w:basedOn w:val="Normal"/>
    <w:rsid w:val="00781FCA"/>
    <w:pPr>
      <w:spacing w:before="100" w:beforeAutospacing="1" w:after="100" w:afterAutospacing="1"/>
    </w:pPr>
    <w:rPr>
      <w:rFonts w:ascii="Times New Roman" w:hAnsi="Times New Roman"/>
      <w:szCs w:val="24"/>
      <w:lang w:eastAsia="en-AU"/>
    </w:rPr>
  </w:style>
  <w:style w:type="character" w:customStyle="1" w:styleId="normaltextrun">
    <w:name w:val="normaltextrun"/>
    <w:basedOn w:val="DefaultParagraphFont"/>
    <w:rsid w:val="00781FCA"/>
  </w:style>
  <w:style w:type="character" w:customStyle="1" w:styleId="eop">
    <w:name w:val="eop"/>
    <w:basedOn w:val="DefaultParagraphFont"/>
    <w:rsid w:val="00781FCA"/>
  </w:style>
  <w:style w:type="paragraph" w:styleId="Revision">
    <w:name w:val="Revision"/>
    <w:hidden/>
    <w:uiPriority w:val="99"/>
    <w:semiHidden/>
    <w:rsid w:val="00DA07A0"/>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550002877">
      <w:bodyDiv w:val="1"/>
      <w:marLeft w:val="0"/>
      <w:marRight w:val="0"/>
      <w:marTop w:val="0"/>
      <w:marBottom w:val="0"/>
      <w:divBdr>
        <w:top w:val="none" w:sz="0" w:space="0" w:color="auto"/>
        <w:left w:val="none" w:sz="0" w:space="0" w:color="auto"/>
        <w:bottom w:val="none" w:sz="0" w:space="0" w:color="auto"/>
        <w:right w:val="none" w:sz="0" w:space="0" w:color="auto"/>
      </w:divBdr>
      <w:divsChild>
        <w:div w:id="2073692056">
          <w:marLeft w:val="0"/>
          <w:marRight w:val="0"/>
          <w:marTop w:val="0"/>
          <w:marBottom w:val="0"/>
          <w:divBdr>
            <w:top w:val="none" w:sz="0" w:space="0" w:color="auto"/>
            <w:left w:val="none" w:sz="0" w:space="0" w:color="auto"/>
            <w:bottom w:val="none" w:sz="0" w:space="0" w:color="auto"/>
            <w:right w:val="none" w:sz="0" w:space="0" w:color="auto"/>
          </w:divBdr>
          <w:divsChild>
            <w:div w:id="1589537620">
              <w:marLeft w:val="0"/>
              <w:marRight w:val="0"/>
              <w:marTop w:val="0"/>
              <w:marBottom w:val="0"/>
              <w:divBdr>
                <w:top w:val="none" w:sz="0" w:space="0" w:color="auto"/>
                <w:left w:val="none" w:sz="0" w:space="0" w:color="auto"/>
                <w:bottom w:val="none" w:sz="0" w:space="0" w:color="auto"/>
                <w:right w:val="none" w:sz="0" w:space="0" w:color="auto"/>
              </w:divBdr>
            </w:div>
            <w:div w:id="564724376">
              <w:marLeft w:val="0"/>
              <w:marRight w:val="0"/>
              <w:marTop w:val="0"/>
              <w:marBottom w:val="0"/>
              <w:divBdr>
                <w:top w:val="none" w:sz="0" w:space="0" w:color="auto"/>
                <w:left w:val="none" w:sz="0" w:space="0" w:color="auto"/>
                <w:bottom w:val="none" w:sz="0" w:space="0" w:color="auto"/>
                <w:right w:val="none" w:sz="0" w:space="0" w:color="auto"/>
              </w:divBdr>
            </w:div>
          </w:divsChild>
        </w:div>
        <w:div w:id="138114187">
          <w:marLeft w:val="0"/>
          <w:marRight w:val="0"/>
          <w:marTop w:val="0"/>
          <w:marBottom w:val="0"/>
          <w:divBdr>
            <w:top w:val="none" w:sz="0" w:space="0" w:color="auto"/>
            <w:left w:val="none" w:sz="0" w:space="0" w:color="auto"/>
            <w:bottom w:val="none" w:sz="0" w:space="0" w:color="auto"/>
            <w:right w:val="none" w:sz="0" w:space="0" w:color="auto"/>
          </w:divBdr>
          <w:divsChild>
            <w:div w:id="1327787996">
              <w:marLeft w:val="0"/>
              <w:marRight w:val="0"/>
              <w:marTop w:val="0"/>
              <w:marBottom w:val="0"/>
              <w:divBdr>
                <w:top w:val="none" w:sz="0" w:space="0" w:color="auto"/>
                <w:left w:val="none" w:sz="0" w:space="0" w:color="auto"/>
                <w:bottom w:val="none" w:sz="0" w:space="0" w:color="auto"/>
                <w:right w:val="none" w:sz="0" w:space="0" w:color="auto"/>
              </w:divBdr>
            </w:div>
            <w:div w:id="1661805628">
              <w:marLeft w:val="0"/>
              <w:marRight w:val="0"/>
              <w:marTop w:val="0"/>
              <w:marBottom w:val="0"/>
              <w:divBdr>
                <w:top w:val="none" w:sz="0" w:space="0" w:color="auto"/>
                <w:left w:val="none" w:sz="0" w:space="0" w:color="auto"/>
                <w:bottom w:val="none" w:sz="0" w:space="0" w:color="auto"/>
                <w:right w:val="none" w:sz="0" w:space="0" w:color="auto"/>
              </w:divBdr>
            </w:div>
            <w:div w:id="88625341">
              <w:marLeft w:val="0"/>
              <w:marRight w:val="0"/>
              <w:marTop w:val="0"/>
              <w:marBottom w:val="0"/>
              <w:divBdr>
                <w:top w:val="none" w:sz="0" w:space="0" w:color="auto"/>
                <w:left w:val="none" w:sz="0" w:space="0" w:color="auto"/>
                <w:bottom w:val="none" w:sz="0" w:space="0" w:color="auto"/>
                <w:right w:val="none" w:sz="0" w:space="0" w:color="auto"/>
              </w:divBdr>
            </w:div>
          </w:divsChild>
        </w:div>
        <w:div w:id="799498092">
          <w:marLeft w:val="0"/>
          <w:marRight w:val="0"/>
          <w:marTop w:val="0"/>
          <w:marBottom w:val="0"/>
          <w:divBdr>
            <w:top w:val="none" w:sz="0" w:space="0" w:color="auto"/>
            <w:left w:val="none" w:sz="0" w:space="0" w:color="auto"/>
            <w:bottom w:val="none" w:sz="0" w:space="0" w:color="auto"/>
            <w:right w:val="none" w:sz="0" w:space="0" w:color="auto"/>
          </w:divBdr>
          <w:divsChild>
            <w:div w:id="550460878">
              <w:marLeft w:val="0"/>
              <w:marRight w:val="0"/>
              <w:marTop w:val="0"/>
              <w:marBottom w:val="0"/>
              <w:divBdr>
                <w:top w:val="none" w:sz="0" w:space="0" w:color="auto"/>
                <w:left w:val="none" w:sz="0" w:space="0" w:color="auto"/>
                <w:bottom w:val="none" w:sz="0" w:space="0" w:color="auto"/>
                <w:right w:val="none" w:sz="0" w:space="0" w:color="auto"/>
              </w:divBdr>
            </w:div>
            <w:div w:id="1118991899">
              <w:marLeft w:val="0"/>
              <w:marRight w:val="0"/>
              <w:marTop w:val="0"/>
              <w:marBottom w:val="0"/>
              <w:divBdr>
                <w:top w:val="none" w:sz="0" w:space="0" w:color="auto"/>
                <w:left w:val="none" w:sz="0" w:space="0" w:color="auto"/>
                <w:bottom w:val="none" w:sz="0" w:space="0" w:color="auto"/>
                <w:right w:val="none" w:sz="0" w:space="0" w:color="auto"/>
              </w:divBdr>
            </w:div>
            <w:div w:id="454449676">
              <w:marLeft w:val="0"/>
              <w:marRight w:val="0"/>
              <w:marTop w:val="0"/>
              <w:marBottom w:val="0"/>
              <w:divBdr>
                <w:top w:val="none" w:sz="0" w:space="0" w:color="auto"/>
                <w:left w:val="none" w:sz="0" w:space="0" w:color="auto"/>
                <w:bottom w:val="none" w:sz="0" w:space="0" w:color="auto"/>
                <w:right w:val="none" w:sz="0" w:space="0" w:color="auto"/>
              </w:divBdr>
            </w:div>
          </w:divsChild>
        </w:div>
        <w:div w:id="1415084571">
          <w:marLeft w:val="0"/>
          <w:marRight w:val="0"/>
          <w:marTop w:val="0"/>
          <w:marBottom w:val="0"/>
          <w:divBdr>
            <w:top w:val="none" w:sz="0" w:space="0" w:color="auto"/>
            <w:left w:val="none" w:sz="0" w:space="0" w:color="auto"/>
            <w:bottom w:val="none" w:sz="0" w:space="0" w:color="auto"/>
            <w:right w:val="none" w:sz="0" w:space="0" w:color="auto"/>
          </w:divBdr>
          <w:divsChild>
            <w:div w:id="1583368050">
              <w:marLeft w:val="0"/>
              <w:marRight w:val="0"/>
              <w:marTop w:val="0"/>
              <w:marBottom w:val="0"/>
              <w:divBdr>
                <w:top w:val="none" w:sz="0" w:space="0" w:color="auto"/>
                <w:left w:val="none" w:sz="0" w:space="0" w:color="auto"/>
                <w:bottom w:val="none" w:sz="0" w:space="0" w:color="auto"/>
                <w:right w:val="none" w:sz="0" w:space="0" w:color="auto"/>
              </w:divBdr>
            </w:div>
            <w:div w:id="221068347">
              <w:marLeft w:val="0"/>
              <w:marRight w:val="0"/>
              <w:marTop w:val="0"/>
              <w:marBottom w:val="0"/>
              <w:divBdr>
                <w:top w:val="none" w:sz="0" w:space="0" w:color="auto"/>
                <w:left w:val="none" w:sz="0" w:space="0" w:color="auto"/>
                <w:bottom w:val="none" w:sz="0" w:space="0" w:color="auto"/>
                <w:right w:val="none" w:sz="0" w:space="0" w:color="auto"/>
              </w:divBdr>
            </w:div>
            <w:div w:id="1333407709">
              <w:marLeft w:val="0"/>
              <w:marRight w:val="0"/>
              <w:marTop w:val="0"/>
              <w:marBottom w:val="0"/>
              <w:divBdr>
                <w:top w:val="none" w:sz="0" w:space="0" w:color="auto"/>
                <w:left w:val="none" w:sz="0" w:space="0" w:color="auto"/>
                <w:bottom w:val="none" w:sz="0" w:space="0" w:color="auto"/>
                <w:right w:val="none" w:sz="0" w:space="0" w:color="auto"/>
              </w:divBdr>
            </w:div>
            <w:div w:id="465860138">
              <w:marLeft w:val="0"/>
              <w:marRight w:val="0"/>
              <w:marTop w:val="0"/>
              <w:marBottom w:val="0"/>
              <w:divBdr>
                <w:top w:val="none" w:sz="0" w:space="0" w:color="auto"/>
                <w:left w:val="none" w:sz="0" w:space="0" w:color="auto"/>
                <w:bottom w:val="none" w:sz="0" w:space="0" w:color="auto"/>
                <w:right w:val="none" w:sz="0" w:space="0" w:color="auto"/>
              </w:divBdr>
            </w:div>
          </w:divsChild>
        </w:div>
        <w:div w:id="1082335498">
          <w:marLeft w:val="0"/>
          <w:marRight w:val="0"/>
          <w:marTop w:val="0"/>
          <w:marBottom w:val="0"/>
          <w:divBdr>
            <w:top w:val="none" w:sz="0" w:space="0" w:color="auto"/>
            <w:left w:val="none" w:sz="0" w:space="0" w:color="auto"/>
            <w:bottom w:val="none" w:sz="0" w:space="0" w:color="auto"/>
            <w:right w:val="none" w:sz="0" w:space="0" w:color="auto"/>
          </w:divBdr>
          <w:divsChild>
            <w:div w:id="2032493687">
              <w:marLeft w:val="0"/>
              <w:marRight w:val="0"/>
              <w:marTop w:val="0"/>
              <w:marBottom w:val="0"/>
              <w:divBdr>
                <w:top w:val="none" w:sz="0" w:space="0" w:color="auto"/>
                <w:left w:val="none" w:sz="0" w:space="0" w:color="auto"/>
                <w:bottom w:val="none" w:sz="0" w:space="0" w:color="auto"/>
                <w:right w:val="none" w:sz="0" w:space="0" w:color="auto"/>
              </w:divBdr>
            </w:div>
            <w:div w:id="1456830368">
              <w:marLeft w:val="0"/>
              <w:marRight w:val="0"/>
              <w:marTop w:val="0"/>
              <w:marBottom w:val="0"/>
              <w:divBdr>
                <w:top w:val="none" w:sz="0" w:space="0" w:color="auto"/>
                <w:left w:val="none" w:sz="0" w:space="0" w:color="auto"/>
                <w:bottom w:val="none" w:sz="0" w:space="0" w:color="auto"/>
                <w:right w:val="none" w:sz="0" w:space="0" w:color="auto"/>
              </w:divBdr>
            </w:div>
            <w:div w:id="1704016817">
              <w:marLeft w:val="0"/>
              <w:marRight w:val="0"/>
              <w:marTop w:val="0"/>
              <w:marBottom w:val="0"/>
              <w:divBdr>
                <w:top w:val="none" w:sz="0" w:space="0" w:color="auto"/>
                <w:left w:val="none" w:sz="0" w:space="0" w:color="auto"/>
                <w:bottom w:val="none" w:sz="0" w:space="0" w:color="auto"/>
                <w:right w:val="none" w:sz="0" w:space="0" w:color="auto"/>
              </w:divBdr>
            </w:div>
            <w:div w:id="5509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41580">
      <w:bodyDiv w:val="1"/>
      <w:marLeft w:val="0"/>
      <w:marRight w:val="0"/>
      <w:marTop w:val="0"/>
      <w:marBottom w:val="0"/>
      <w:divBdr>
        <w:top w:val="none" w:sz="0" w:space="0" w:color="auto"/>
        <w:left w:val="none" w:sz="0" w:space="0" w:color="auto"/>
        <w:bottom w:val="none" w:sz="0" w:space="0" w:color="auto"/>
        <w:right w:val="none" w:sz="0" w:space="0" w:color="auto"/>
      </w:divBdr>
      <w:divsChild>
        <w:div w:id="1517116749">
          <w:marLeft w:val="0"/>
          <w:marRight w:val="0"/>
          <w:marTop w:val="0"/>
          <w:marBottom w:val="0"/>
          <w:divBdr>
            <w:top w:val="none" w:sz="0" w:space="0" w:color="auto"/>
            <w:left w:val="none" w:sz="0" w:space="0" w:color="auto"/>
            <w:bottom w:val="none" w:sz="0" w:space="0" w:color="auto"/>
            <w:right w:val="none" w:sz="0" w:space="0" w:color="auto"/>
          </w:divBdr>
        </w:div>
        <w:div w:id="1801804920">
          <w:marLeft w:val="0"/>
          <w:marRight w:val="0"/>
          <w:marTop w:val="0"/>
          <w:marBottom w:val="0"/>
          <w:divBdr>
            <w:top w:val="none" w:sz="0" w:space="0" w:color="auto"/>
            <w:left w:val="none" w:sz="0" w:space="0" w:color="auto"/>
            <w:bottom w:val="none" w:sz="0" w:space="0" w:color="auto"/>
            <w:right w:val="none" w:sz="0" w:space="0" w:color="auto"/>
          </w:divBdr>
        </w:div>
        <w:div w:id="504830313">
          <w:marLeft w:val="0"/>
          <w:marRight w:val="0"/>
          <w:marTop w:val="0"/>
          <w:marBottom w:val="0"/>
          <w:divBdr>
            <w:top w:val="none" w:sz="0" w:space="0" w:color="auto"/>
            <w:left w:val="none" w:sz="0" w:space="0" w:color="auto"/>
            <w:bottom w:val="none" w:sz="0" w:space="0" w:color="auto"/>
            <w:right w:val="none" w:sz="0" w:space="0" w:color="auto"/>
          </w:divBdr>
        </w:div>
        <w:div w:id="1049377550">
          <w:marLeft w:val="0"/>
          <w:marRight w:val="0"/>
          <w:marTop w:val="0"/>
          <w:marBottom w:val="0"/>
          <w:divBdr>
            <w:top w:val="none" w:sz="0" w:space="0" w:color="auto"/>
            <w:left w:val="none" w:sz="0" w:space="0" w:color="auto"/>
            <w:bottom w:val="none" w:sz="0" w:space="0" w:color="auto"/>
            <w:right w:val="none" w:sz="0" w:space="0" w:color="auto"/>
          </w:divBdr>
        </w:div>
      </w:divsChild>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289817623">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611426946">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1998880697">
      <w:bodyDiv w:val="1"/>
      <w:marLeft w:val="0"/>
      <w:marRight w:val="0"/>
      <w:marTop w:val="0"/>
      <w:marBottom w:val="0"/>
      <w:divBdr>
        <w:top w:val="none" w:sz="0" w:space="0" w:color="auto"/>
        <w:left w:val="none" w:sz="0" w:space="0" w:color="auto"/>
        <w:bottom w:val="none" w:sz="0" w:space="0" w:color="auto"/>
        <w:right w:val="none" w:sz="0" w:space="0" w:color="auto"/>
      </w:divBdr>
      <w:divsChild>
        <w:div w:id="134837728">
          <w:marLeft w:val="0"/>
          <w:marRight w:val="0"/>
          <w:marTop w:val="0"/>
          <w:marBottom w:val="0"/>
          <w:divBdr>
            <w:top w:val="none" w:sz="0" w:space="0" w:color="auto"/>
            <w:left w:val="none" w:sz="0" w:space="0" w:color="auto"/>
            <w:bottom w:val="none" w:sz="0" w:space="0" w:color="auto"/>
            <w:right w:val="none" w:sz="0" w:space="0" w:color="auto"/>
          </w:divBdr>
          <w:divsChild>
            <w:div w:id="1307589271">
              <w:marLeft w:val="0"/>
              <w:marRight w:val="0"/>
              <w:marTop w:val="0"/>
              <w:marBottom w:val="0"/>
              <w:divBdr>
                <w:top w:val="none" w:sz="0" w:space="0" w:color="auto"/>
                <w:left w:val="none" w:sz="0" w:space="0" w:color="auto"/>
                <w:bottom w:val="none" w:sz="0" w:space="0" w:color="auto"/>
                <w:right w:val="none" w:sz="0" w:space="0" w:color="auto"/>
              </w:divBdr>
            </w:div>
            <w:div w:id="194581686">
              <w:marLeft w:val="0"/>
              <w:marRight w:val="0"/>
              <w:marTop w:val="0"/>
              <w:marBottom w:val="0"/>
              <w:divBdr>
                <w:top w:val="none" w:sz="0" w:space="0" w:color="auto"/>
                <w:left w:val="none" w:sz="0" w:space="0" w:color="auto"/>
                <w:bottom w:val="none" w:sz="0" w:space="0" w:color="auto"/>
                <w:right w:val="none" w:sz="0" w:space="0" w:color="auto"/>
              </w:divBdr>
            </w:div>
          </w:divsChild>
        </w:div>
        <w:div w:id="1540045056">
          <w:marLeft w:val="0"/>
          <w:marRight w:val="0"/>
          <w:marTop w:val="0"/>
          <w:marBottom w:val="0"/>
          <w:divBdr>
            <w:top w:val="none" w:sz="0" w:space="0" w:color="auto"/>
            <w:left w:val="none" w:sz="0" w:space="0" w:color="auto"/>
            <w:bottom w:val="none" w:sz="0" w:space="0" w:color="auto"/>
            <w:right w:val="none" w:sz="0" w:space="0" w:color="auto"/>
          </w:divBdr>
          <w:divsChild>
            <w:div w:id="1277299203">
              <w:marLeft w:val="0"/>
              <w:marRight w:val="0"/>
              <w:marTop w:val="0"/>
              <w:marBottom w:val="0"/>
              <w:divBdr>
                <w:top w:val="none" w:sz="0" w:space="0" w:color="auto"/>
                <w:left w:val="none" w:sz="0" w:space="0" w:color="auto"/>
                <w:bottom w:val="none" w:sz="0" w:space="0" w:color="auto"/>
                <w:right w:val="none" w:sz="0" w:space="0" w:color="auto"/>
              </w:divBdr>
            </w:div>
            <w:div w:id="622687216">
              <w:marLeft w:val="0"/>
              <w:marRight w:val="0"/>
              <w:marTop w:val="0"/>
              <w:marBottom w:val="0"/>
              <w:divBdr>
                <w:top w:val="none" w:sz="0" w:space="0" w:color="auto"/>
                <w:left w:val="none" w:sz="0" w:space="0" w:color="auto"/>
                <w:bottom w:val="none" w:sz="0" w:space="0" w:color="auto"/>
                <w:right w:val="none" w:sz="0" w:space="0" w:color="auto"/>
              </w:divBdr>
            </w:div>
            <w:div w:id="318314360">
              <w:marLeft w:val="0"/>
              <w:marRight w:val="0"/>
              <w:marTop w:val="0"/>
              <w:marBottom w:val="0"/>
              <w:divBdr>
                <w:top w:val="none" w:sz="0" w:space="0" w:color="auto"/>
                <w:left w:val="none" w:sz="0" w:space="0" w:color="auto"/>
                <w:bottom w:val="none" w:sz="0" w:space="0" w:color="auto"/>
                <w:right w:val="none" w:sz="0" w:space="0" w:color="auto"/>
              </w:divBdr>
            </w:div>
          </w:divsChild>
        </w:div>
        <w:div w:id="848519078">
          <w:marLeft w:val="0"/>
          <w:marRight w:val="0"/>
          <w:marTop w:val="0"/>
          <w:marBottom w:val="0"/>
          <w:divBdr>
            <w:top w:val="none" w:sz="0" w:space="0" w:color="auto"/>
            <w:left w:val="none" w:sz="0" w:space="0" w:color="auto"/>
            <w:bottom w:val="none" w:sz="0" w:space="0" w:color="auto"/>
            <w:right w:val="none" w:sz="0" w:space="0" w:color="auto"/>
          </w:divBdr>
          <w:divsChild>
            <w:div w:id="938416738">
              <w:marLeft w:val="0"/>
              <w:marRight w:val="0"/>
              <w:marTop w:val="0"/>
              <w:marBottom w:val="0"/>
              <w:divBdr>
                <w:top w:val="none" w:sz="0" w:space="0" w:color="auto"/>
                <w:left w:val="none" w:sz="0" w:space="0" w:color="auto"/>
                <w:bottom w:val="none" w:sz="0" w:space="0" w:color="auto"/>
                <w:right w:val="none" w:sz="0" w:space="0" w:color="auto"/>
              </w:divBdr>
            </w:div>
            <w:div w:id="732587219">
              <w:marLeft w:val="0"/>
              <w:marRight w:val="0"/>
              <w:marTop w:val="0"/>
              <w:marBottom w:val="0"/>
              <w:divBdr>
                <w:top w:val="none" w:sz="0" w:space="0" w:color="auto"/>
                <w:left w:val="none" w:sz="0" w:space="0" w:color="auto"/>
                <w:bottom w:val="none" w:sz="0" w:space="0" w:color="auto"/>
                <w:right w:val="none" w:sz="0" w:space="0" w:color="auto"/>
              </w:divBdr>
            </w:div>
            <w:div w:id="719716390">
              <w:marLeft w:val="0"/>
              <w:marRight w:val="0"/>
              <w:marTop w:val="0"/>
              <w:marBottom w:val="0"/>
              <w:divBdr>
                <w:top w:val="none" w:sz="0" w:space="0" w:color="auto"/>
                <w:left w:val="none" w:sz="0" w:space="0" w:color="auto"/>
                <w:bottom w:val="none" w:sz="0" w:space="0" w:color="auto"/>
                <w:right w:val="none" w:sz="0" w:space="0" w:color="auto"/>
              </w:divBdr>
            </w:div>
          </w:divsChild>
        </w:div>
        <w:div w:id="666516474">
          <w:marLeft w:val="0"/>
          <w:marRight w:val="0"/>
          <w:marTop w:val="0"/>
          <w:marBottom w:val="0"/>
          <w:divBdr>
            <w:top w:val="none" w:sz="0" w:space="0" w:color="auto"/>
            <w:left w:val="none" w:sz="0" w:space="0" w:color="auto"/>
            <w:bottom w:val="none" w:sz="0" w:space="0" w:color="auto"/>
            <w:right w:val="none" w:sz="0" w:space="0" w:color="auto"/>
          </w:divBdr>
          <w:divsChild>
            <w:div w:id="2054230046">
              <w:marLeft w:val="0"/>
              <w:marRight w:val="0"/>
              <w:marTop w:val="0"/>
              <w:marBottom w:val="0"/>
              <w:divBdr>
                <w:top w:val="none" w:sz="0" w:space="0" w:color="auto"/>
                <w:left w:val="none" w:sz="0" w:space="0" w:color="auto"/>
                <w:bottom w:val="none" w:sz="0" w:space="0" w:color="auto"/>
                <w:right w:val="none" w:sz="0" w:space="0" w:color="auto"/>
              </w:divBdr>
            </w:div>
            <w:div w:id="1486508978">
              <w:marLeft w:val="0"/>
              <w:marRight w:val="0"/>
              <w:marTop w:val="0"/>
              <w:marBottom w:val="0"/>
              <w:divBdr>
                <w:top w:val="none" w:sz="0" w:space="0" w:color="auto"/>
                <w:left w:val="none" w:sz="0" w:space="0" w:color="auto"/>
                <w:bottom w:val="none" w:sz="0" w:space="0" w:color="auto"/>
                <w:right w:val="none" w:sz="0" w:space="0" w:color="auto"/>
              </w:divBdr>
            </w:div>
            <w:div w:id="1694647133">
              <w:marLeft w:val="0"/>
              <w:marRight w:val="0"/>
              <w:marTop w:val="0"/>
              <w:marBottom w:val="0"/>
              <w:divBdr>
                <w:top w:val="none" w:sz="0" w:space="0" w:color="auto"/>
                <w:left w:val="none" w:sz="0" w:space="0" w:color="auto"/>
                <w:bottom w:val="none" w:sz="0" w:space="0" w:color="auto"/>
                <w:right w:val="none" w:sz="0" w:space="0" w:color="auto"/>
              </w:divBdr>
            </w:div>
            <w:div w:id="1775975329">
              <w:marLeft w:val="0"/>
              <w:marRight w:val="0"/>
              <w:marTop w:val="0"/>
              <w:marBottom w:val="0"/>
              <w:divBdr>
                <w:top w:val="none" w:sz="0" w:space="0" w:color="auto"/>
                <w:left w:val="none" w:sz="0" w:space="0" w:color="auto"/>
                <w:bottom w:val="none" w:sz="0" w:space="0" w:color="auto"/>
                <w:right w:val="none" w:sz="0" w:space="0" w:color="auto"/>
              </w:divBdr>
            </w:div>
          </w:divsChild>
        </w:div>
        <w:div w:id="1955019935">
          <w:marLeft w:val="0"/>
          <w:marRight w:val="0"/>
          <w:marTop w:val="0"/>
          <w:marBottom w:val="0"/>
          <w:divBdr>
            <w:top w:val="none" w:sz="0" w:space="0" w:color="auto"/>
            <w:left w:val="none" w:sz="0" w:space="0" w:color="auto"/>
            <w:bottom w:val="none" w:sz="0" w:space="0" w:color="auto"/>
            <w:right w:val="none" w:sz="0" w:space="0" w:color="auto"/>
          </w:divBdr>
          <w:divsChild>
            <w:div w:id="798109825">
              <w:marLeft w:val="0"/>
              <w:marRight w:val="0"/>
              <w:marTop w:val="0"/>
              <w:marBottom w:val="0"/>
              <w:divBdr>
                <w:top w:val="none" w:sz="0" w:space="0" w:color="auto"/>
                <w:left w:val="none" w:sz="0" w:space="0" w:color="auto"/>
                <w:bottom w:val="none" w:sz="0" w:space="0" w:color="auto"/>
                <w:right w:val="none" w:sz="0" w:space="0" w:color="auto"/>
              </w:divBdr>
            </w:div>
            <w:div w:id="1368410917">
              <w:marLeft w:val="0"/>
              <w:marRight w:val="0"/>
              <w:marTop w:val="0"/>
              <w:marBottom w:val="0"/>
              <w:divBdr>
                <w:top w:val="none" w:sz="0" w:space="0" w:color="auto"/>
                <w:left w:val="none" w:sz="0" w:space="0" w:color="auto"/>
                <w:bottom w:val="none" w:sz="0" w:space="0" w:color="auto"/>
                <w:right w:val="none" w:sz="0" w:space="0" w:color="auto"/>
              </w:divBdr>
            </w:div>
            <w:div w:id="1744520210">
              <w:marLeft w:val="0"/>
              <w:marRight w:val="0"/>
              <w:marTop w:val="0"/>
              <w:marBottom w:val="0"/>
              <w:divBdr>
                <w:top w:val="none" w:sz="0" w:space="0" w:color="auto"/>
                <w:left w:val="none" w:sz="0" w:space="0" w:color="auto"/>
                <w:bottom w:val="none" w:sz="0" w:space="0" w:color="auto"/>
                <w:right w:val="none" w:sz="0" w:space="0" w:color="auto"/>
              </w:divBdr>
            </w:div>
            <w:div w:id="1965959724">
              <w:marLeft w:val="0"/>
              <w:marRight w:val="0"/>
              <w:marTop w:val="0"/>
              <w:marBottom w:val="0"/>
              <w:divBdr>
                <w:top w:val="none" w:sz="0" w:space="0" w:color="auto"/>
                <w:left w:val="none" w:sz="0" w:space="0" w:color="auto"/>
                <w:bottom w:val="none" w:sz="0" w:space="0" w:color="auto"/>
                <w:right w:val="none" w:sz="0" w:space="0" w:color="auto"/>
              </w:divBdr>
            </w:div>
          </w:divsChild>
        </w:div>
        <w:div w:id="664363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ptodate.com/contents/neonatal-hyperglycemi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slhd.health.nsw.gov.au/sites/default/files/groups/Insulin%20for%20hyperglycemia_ANMFv3.0_20220623.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52FB6E4F6A904298AC8C7DBBDDD5A1" ma:contentTypeVersion="10" ma:contentTypeDescription="Create a new document." ma:contentTypeScope="" ma:versionID="88b468f552be70f97a05f5a1671b612c">
  <xsd:schema xmlns:xsd="http://www.w3.org/2001/XMLSchema" xmlns:xs="http://www.w3.org/2001/XMLSchema" xmlns:p="http://schemas.microsoft.com/office/2006/metadata/properties" xmlns:ns2="0c8e588b-9c83-49d3-a6c8-a54de8f95e6a" xmlns:ns3="9c2f0412-f90c-42c4-93a0-04fcb973abf1" targetNamespace="http://schemas.microsoft.com/office/2006/metadata/properties" ma:root="true" ma:fieldsID="d05644bfbd43f3a7fa2685e43cf64ee6" ns2:_="" ns3:_="">
    <xsd:import namespace="0c8e588b-9c83-49d3-a6c8-a54de8f95e6a"/>
    <xsd:import namespace="9c2f0412-f90c-42c4-93a0-04fcb973abf1"/>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f0412-f90c-42c4-93a0-04fcb973abf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2.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0c8e588b-9c83-49d3-a6c8-a54de8f95e6a"/>
  </ds:schemaRefs>
</ds:datastoreItem>
</file>

<file path=customXml/itemProps3.xml><?xml version="1.0" encoding="utf-8"?>
<ds:datastoreItem xmlns:ds="http://schemas.openxmlformats.org/officeDocument/2006/customXml" ds:itemID="{CC2949BA-9258-4D27-8314-C2A37DC26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9c2f0412-f90c-42c4-93a0-04fcb973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A4D85D-37FD-4A82-B786-2D707BCAE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2796</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Kerryn Hunter</dc:creator>
  <cp:lastModifiedBy>Rusanov, Zoia (Health)</cp:lastModifiedBy>
  <cp:revision>13</cp:revision>
  <cp:lastPrinted>2015-01-20T22:40:00Z</cp:lastPrinted>
  <dcterms:created xsi:type="dcterms:W3CDTF">2023-06-30T04:15:00Z</dcterms:created>
  <dcterms:modified xsi:type="dcterms:W3CDTF">2023-07-02T23:05:00Z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0x0101003052FB6E4F6A904298AC8C7DBBDDD5A1</vt:lpwstr>
  </property>
  <property fmtid="{D5CDD505-2E9C-101B-9397-08002B2CF9AE}" pid="3" name="Order">
    <vt:r8>4100</vt:r8>
  </property>
  <property fmtid="{D5CDD505-2E9C-101B-9397-08002B2CF9AE}" pid="4" name="_ExtendedDescription">
    <vt:lpwstr/>
  </property>
</Properties>
</file>