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76DA2F2A" w:rsidR="00A86A9D" w:rsidRDefault="00433E5D" w:rsidP="00A86A9D">
      <w:pPr>
        <w:rPr>
          <w:rFonts w:cs="Arial"/>
          <w:b/>
          <w:sz w:val="36"/>
          <w:szCs w:val="36"/>
        </w:rPr>
      </w:pPr>
      <w:r>
        <w:rPr>
          <w:rFonts w:cs="Arial"/>
          <w:b/>
          <w:sz w:val="44"/>
          <w:szCs w:val="44"/>
        </w:rPr>
        <w:t>Policy</w:t>
      </w:r>
    </w:p>
    <w:p w14:paraId="15AAC061" w14:textId="432DFEAB" w:rsidR="009A6440" w:rsidRDefault="00BD0A37" w:rsidP="00A86A9D">
      <w:pPr>
        <w:rPr>
          <w:rFonts w:cs="Arial"/>
          <w:b/>
          <w:sz w:val="36"/>
          <w:szCs w:val="36"/>
        </w:rPr>
      </w:pPr>
      <w:r>
        <w:rPr>
          <w:rFonts w:cs="Arial"/>
          <w:b/>
          <w:sz w:val="36"/>
          <w:szCs w:val="36"/>
        </w:rPr>
        <w:t>High-Risk Medicines</w:t>
      </w:r>
    </w:p>
    <w:tbl>
      <w:tblPr>
        <w:tblpPr w:leftFromText="180" w:rightFromText="180" w:vertAnchor="text" w:horzAnchor="margin" w:tblpY="181"/>
        <w:tblW w:w="9158" w:type="dxa"/>
        <w:tblLook w:val="0000" w:firstRow="0" w:lastRow="0" w:firstColumn="0" w:lastColumn="0" w:noHBand="0" w:noVBand="0"/>
      </w:tblPr>
      <w:tblGrid>
        <w:gridCol w:w="9158"/>
      </w:tblGrid>
      <w:tr w:rsidR="009A6440" w:rsidRPr="00D112E6" w14:paraId="40D87A81" w14:textId="77777777" w:rsidTr="00D240DA">
        <w:trPr>
          <w:cantSplit/>
          <w:trHeight w:val="285"/>
        </w:trPr>
        <w:tc>
          <w:tcPr>
            <w:tcW w:w="9158" w:type="dxa"/>
            <w:shd w:val="clear" w:color="auto" w:fill="000000" w:themeFill="text1"/>
          </w:tcPr>
          <w:p w14:paraId="1FF2CE13" w14:textId="77777777" w:rsidR="009A6440" w:rsidRPr="00D112E6" w:rsidRDefault="009A6440" w:rsidP="00D240DA">
            <w:pPr>
              <w:pStyle w:val="Heading1"/>
            </w:pPr>
            <w:bookmarkStart w:id="0" w:name="_Toc389473273"/>
            <w:bookmarkStart w:id="1" w:name="Contents"/>
            <w:bookmarkStart w:id="2" w:name="_Toc405549125"/>
            <w:bookmarkStart w:id="3" w:name="_Toc405551335"/>
            <w:bookmarkStart w:id="4" w:name="_Toc405561701"/>
            <w:bookmarkStart w:id="5" w:name="_Toc415141162"/>
            <w:bookmarkStart w:id="6" w:name="_Toc477517368"/>
            <w:bookmarkStart w:id="7" w:name="_Toc11149377"/>
            <w:bookmarkStart w:id="8" w:name="_Toc34827530"/>
            <w:bookmarkStart w:id="9" w:name="_Toc42679938"/>
            <w:bookmarkStart w:id="10" w:name="_Toc79149325"/>
            <w:r w:rsidRPr="00D112E6">
              <w:t>Contents</w:t>
            </w:r>
            <w:bookmarkEnd w:id="0"/>
            <w:bookmarkEnd w:id="1"/>
            <w:bookmarkEnd w:id="2"/>
            <w:bookmarkEnd w:id="3"/>
            <w:bookmarkEnd w:id="4"/>
            <w:bookmarkEnd w:id="5"/>
            <w:bookmarkEnd w:id="6"/>
            <w:bookmarkEnd w:id="7"/>
            <w:bookmarkEnd w:id="8"/>
            <w:bookmarkEnd w:id="9"/>
            <w:bookmarkEnd w:id="10"/>
          </w:p>
        </w:tc>
      </w:tr>
    </w:tbl>
    <w:p w14:paraId="3BF25EA7" w14:textId="77777777" w:rsidR="00433E5D" w:rsidRDefault="00433E5D">
      <w:pPr>
        <w:pStyle w:val="TOC1"/>
        <w:tabs>
          <w:tab w:val="right" w:leader="dot" w:pos="9060"/>
        </w:tabs>
        <w:rPr>
          <w:rFonts w:cs="Arial"/>
          <w:b/>
          <w:sz w:val="36"/>
          <w:szCs w:val="36"/>
        </w:rPr>
      </w:pPr>
    </w:p>
    <w:p w14:paraId="6C3AD535" w14:textId="66ECB4BB" w:rsidR="00433E5D" w:rsidRDefault="00433E5D">
      <w:pPr>
        <w:pStyle w:val="TOC1"/>
        <w:tabs>
          <w:tab w:val="right" w:leader="dot" w:pos="9060"/>
        </w:tabs>
        <w:rPr>
          <w:rFonts w:eastAsiaTheme="minorEastAsia" w:cstheme="minorBidi"/>
          <w:noProof/>
          <w:sz w:val="22"/>
          <w:szCs w:val="22"/>
          <w:lang w:eastAsia="en-AU"/>
        </w:rPr>
      </w:pPr>
      <w:r>
        <w:rPr>
          <w:rFonts w:cs="Arial"/>
          <w:b/>
          <w:sz w:val="36"/>
          <w:szCs w:val="36"/>
        </w:rPr>
        <w:fldChar w:fldCharType="begin"/>
      </w:r>
      <w:r>
        <w:rPr>
          <w:rFonts w:cs="Arial"/>
          <w:b/>
          <w:sz w:val="36"/>
          <w:szCs w:val="36"/>
        </w:rPr>
        <w:instrText xml:space="preserve"> TOC \h \z \t "Heading 1,1" </w:instrText>
      </w:r>
      <w:r>
        <w:rPr>
          <w:rFonts w:cs="Arial"/>
          <w:b/>
          <w:sz w:val="36"/>
          <w:szCs w:val="36"/>
        </w:rPr>
        <w:fldChar w:fldCharType="separate"/>
      </w:r>
      <w:hyperlink w:anchor="_Toc79149325" w:history="1">
        <w:r w:rsidRPr="00723FD3">
          <w:rPr>
            <w:rStyle w:val="Hyperlink"/>
            <w:noProof/>
          </w:rPr>
          <w:t>Contents</w:t>
        </w:r>
        <w:r>
          <w:rPr>
            <w:noProof/>
            <w:webHidden/>
          </w:rPr>
          <w:tab/>
        </w:r>
        <w:r>
          <w:rPr>
            <w:noProof/>
            <w:webHidden/>
          </w:rPr>
          <w:fldChar w:fldCharType="begin"/>
        </w:r>
        <w:r>
          <w:rPr>
            <w:noProof/>
            <w:webHidden/>
          </w:rPr>
          <w:instrText xml:space="preserve"> PAGEREF _Toc79149325 \h </w:instrText>
        </w:r>
        <w:r>
          <w:rPr>
            <w:noProof/>
            <w:webHidden/>
          </w:rPr>
        </w:r>
        <w:r>
          <w:rPr>
            <w:noProof/>
            <w:webHidden/>
          </w:rPr>
          <w:fldChar w:fldCharType="separate"/>
        </w:r>
        <w:r>
          <w:rPr>
            <w:noProof/>
            <w:webHidden/>
          </w:rPr>
          <w:t>1</w:t>
        </w:r>
        <w:r>
          <w:rPr>
            <w:noProof/>
            <w:webHidden/>
          </w:rPr>
          <w:fldChar w:fldCharType="end"/>
        </w:r>
      </w:hyperlink>
    </w:p>
    <w:p w14:paraId="2812341D" w14:textId="0C836789" w:rsidR="00433E5D" w:rsidRDefault="00DA5765">
      <w:pPr>
        <w:pStyle w:val="TOC1"/>
        <w:tabs>
          <w:tab w:val="right" w:leader="dot" w:pos="9060"/>
        </w:tabs>
        <w:rPr>
          <w:rFonts w:eastAsiaTheme="minorEastAsia" w:cstheme="minorBidi"/>
          <w:noProof/>
          <w:sz w:val="22"/>
          <w:szCs w:val="22"/>
          <w:lang w:eastAsia="en-AU"/>
        </w:rPr>
      </w:pPr>
      <w:hyperlink w:anchor="_Toc79149326" w:history="1">
        <w:r w:rsidR="00433E5D" w:rsidRPr="00723FD3">
          <w:rPr>
            <w:rStyle w:val="Hyperlink"/>
            <w:noProof/>
          </w:rPr>
          <w:t>Policy Statement</w:t>
        </w:r>
        <w:r w:rsidR="00433E5D">
          <w:rPr>
            <w:noProof/>
            <w:webHidden/>
          </w:rPr>
          <w:tab/>
        </w:r>
        <w:r w:rsidR="00433E5D">
          <w:rPr>
            <w:noProof/>
            <w:webHidden/>
          </w:rPr>
          <w:fldChar w:fldCharType="begin"/>
        </w:r>
        <w:r w:rsidR="00433E5D">
          <w:rPr>
            <w:noProof/>
            <w:webHidden/>
          </w:rPr>
          <w:instrText xml:space="preserve"> PAGEREF _Toc79149326 \h </w:instrText>
        </w:r>
        <w:r w:rsidR="00433E5D">
          <w:rPr>
            <w:noProof/>
            <w:webHidden/>
          </w:rPr>
        </w:r>
        <w:r w:rsidR="00433E5D">
          <w:rPr>
            <w:noProof/>
            <w:webHidden/>
          </w:rPr>
          <w:fldChar w:fldCharType="separate"/>
        </w:r>
        <w:r w:rsidR="00433E5D">
          <w:rPr>
            <w:noProof/>
            <w:webHidden/>
          </w:rPr>
          <w:t>2</w:t>
        </w:r>
        <w:r w:rsidR="00433E5D">
          <w:rPr>
            <w:noProof/>
            <w:webHidden/>
          </w:rPr>
          <w:fldChar w:fldCharType="end"/>
        </w:r>
      </w:hyperlink>
    </w:p>
    <w:p w14:paraId="5D65F8B3" w14:textId="7B80798E" w:rsidR="00433E5D" w:rsidRDefault="00DA5765">
      <w:pPr>
        <w:pStyle w:val="TOC1"/>
        <w:tabs>
          <w:tab w:val="right" w:leader="dot" w:pos="9060"/>
        </w:tabs>
        <w:rPr>
          <w:rFonts w:eastAsiaTheme="minorEastAsia" w:cstheme="minorBidi"/>
          <w:noProof/>
          <w:sz w:val="22"/>
          <w:szCs w:val="22"/>
          <w:lang w:eastAsia="en-AU"/>
        </w:rPr>
      </w:pPr>
      <w:hyperlink w:anchor="_Toc79149327" w:history="1">
        <w:r w:rsidR="00433E5D" w:rsidRPr="00723FD3">
          <w:rPr>
            <w:rStyle w:val="Hyperlink"/>
            <w:noProof/>
          </w:rPr>
          <w:t>Alerts</w:t>
        </w:r>
        <w:r w:rsidR="00433E5D">
          <w:rPr>
            <w:noProof/>
            <w:webHidden/>
          </w:rPr>
          <w:tab/>
        </w:r>
        <w:r w:rsidR="00433E5D">
          <w:rPr>
            <w:noProof/>
            <w:webHidden/>
          </w:rPr>
          <w:fldChar w:fldCharType="begin"/>
        </w:r>
        <w:r w:rsidR="00433E5D">
          <w:rPr>
            <w:noProof/>
            <w:webHidden/>
          </w:rPr>
          <w:instrText xml:space="preserve"> PAGEREF _Toc79149327 \h </w:instrText>
        </w:r>
        <w:r w:rsidR="00433E5D">
          <w:rPr>
            <w:noProof/>
            <w:webHidden/>
          </w:rPr>
        </w:r>
        <w:r w:rsidR="00433E5D">
          <w:rPr>
            <w:noProof/>
            <w:webHidden/>
          </w:rPr>
          <w:fldChar w:fldCharType="separate"/>
        </w:r>
        <w:r w:rsidR="00433E5D">
          <w:rPr>
            <w:noProof/>
            <w:webHidden/>
          </w:rPr>
          <w:t>2</w:t>
        </w:r>
        <w:r w:rsidR="00433E5D">
          <w:rPr>
            <w:noProof/>
            <w:webHidden/>
          </w:rPr>
          <w:fldChar w:fldCharType="end"/>
        </w:r>
      </w:hyperlink>
    </w:p>
    <w:p w14:paraId="2C02E5C3" w14:textId="640B1F8C" w:rsidR="00433E5D" w:rsidRDefault="00DA5765">
      <w:pPr>
        <w:pStyle w:val="TOC1"/>
        <w:tabs>
          <w:tab w:val="right" w:leader="dot" w:pos="9060"/>
        </w:tabs>
        <w:rPr>
          <w:rFonts w:eastAsiaTheme="minorEastAsia" w:cstheme="minorBidi"/>
          <w:noProof/>
          <w:sz w:val="22"/>
          <w:szCs w:val="22"/>
          <w:lang w:eastAsia="en-AU"/>
        </w:rPr>
      </w:pPr>
      <w:hyperlink w:anchor="_Toc79149328" w:history="1">
        <w:r w:rsidR="00433E5D" w:rsidRPr="00723FD3">
          <w:rPr>
            <w:rStyle w:val="Hyperlink"/>
            <w:noProof/>
          </w:rPr>
          <w:t>Purpose</w:t>
        </w:r>
        <w:r w:rsidR="00433E5D">
          <w:rPr>
            <w:noProof/>
            <w:webHidden/>
          </w:rPr>
          <w:tab/>
        </w:r>
        <w:r w:rsidR="00433E5D">
          <w:rPr>
            <w:noProof/>
            <w:webHidden/>
          </w:rPr>
          <w:fldChar w:fldCharType="begin"/>
        </w:r>
        <w:r w:rsidR="00433E5D">
          <w:rPr>
            <w:noProof/>
            <w:webHidden/>
          </w:rPr>
          <w:instrText xml:space="preserve"> PAGEREF _Toc79149328 \h </w:instrText>
        </w:r>
        <w:r w:rsidR="00433E5D">
          <w:rPr>
            <w:noProof/>
            <w:webHidden/>
          </w:rPr>
        </w:r>
        <w:r w:rsidR="00433E5D">
          <w:rPr>
            <w:noProof/>
            <w:webHidden/>
          </w:rPr>
          <w:fldChar w:fldCharType="separate"/>
        </w:r>
        <w:r w:rsidR="00433E5D">
          <w:rPr>
            <w:noProof/>
            <w:webHidden/>
          </w:rPr>
          <w:t>2</w:t>
        </w:r>
        <w:r w:rsidR="00433E5D">
          <w:rPr>
            <w:noProof/>
            <w:webHidden/>
          </w:rPr>
          <w:fldChar w:fldCharType="end"/>
        </w:r>
      </w:hyperlink>
    </w:p>
    <w:p w14:paraId="0635318D" w14:textId="30EFD1F9" w:rsidR="00433E5D" w:rsidRDefault="00DA5765">
      <w:pPr>
        <w:pStyle w:val="TOC1"/>
        <w:tabs>
          <w:tab w:val="right" w:leader="dot" w:pos="9060"/>
        </w:tabs>
        <w:rPr>
          <w:rFonts w:eastAsiaTheme="minorEastAsia" w:cstheme="minorBidi"/>
          <w:noProof/>
          <w:sz w:val="22"/>
          <w:szCs w:val="22"/>
          <w:lang w:eastAsia="en-AU"/>
        </w:rPr>
      </w:pPr>
      <w:hyperlink w:anchor="_Toc79149329" w:history="1">
        <w:r w:rsidR="00433E5D" w:rsidRPr="00723FD3">
          <w:rPr>
            <w:rStyle w:val="Hyperlink"/>
            <w:noProof/>
          </w:rPr>
          <w:t>Scope</w:t>
        </w:r>
        <w:r w:rsidR="00433E5D">
          <w:rPr>
            <w:noProof/>
            <w:webHidden/>
          </w:rPr>
          <w:tab/>
        </w:r>
        <w:r w:rsidR="00433E5D">
          <w:rPr>
            <w:noProof/>
            <w:webHidden/>
          </w:rPr>
          <w:fldChar w:fldCharType="begin"/>
        </w:r>
        <w:r w:rsidR="00433E5D">
          <w:rPr>
            <w:noProof/>
            <w:webHidden/>
          </w:rPr>
          <w:instrText xml:space="preserve"> PAGEREF _Toc79149329 \h </w:instrText>
        </w:r>
        <w:r w:rsidR="00433E5D">
          <w:rPr>
            <w:noProof/>
            <w:webHidden/>
          </w:rPr>
        </w:r>
        <w:r w:rsidR="00433E5D">
          <w:rPr>
            <w:noProof/>
            <w:webHidden/>
          </w:rPr>
          <w:fldChar w:fldCharType="separate"/>
        </w:r>
        <w:r w:rsidR="00433E5D">
          <w:rPr>
            <w:noProof/>
            <w:webHidden/>
          </w:rPr>
          <w:t>3</w:t>
        </w:r>
        <w:r w:rsidR="00433E5D">
          <w:rPr>
            <w:noProof/>
            <w:webHidden/>
          </w:rPr>
          <w:fldChar w:fldCharType="end"/>
        </w:r>
      </w:hyperlink>
    </w:p>
    <w:p w14:paraId="41BA9B2E" w14:textId="21C49D6E" w:rsidR="00433E5D" w:rsidRDefault="00DA5765">
      <w:pPr>
        <w:pStyle w:val="TOC1"/>
        <w:tabs>
          <w:tab w:val="right" w:leader="dot" w:pos="9060"/>
        </w:tabs>
        <w:rPr>
          <w:rFonts w:eastAsiaTheme="minorEastAsia" w:cstheme="minorBidi"/>
          <w:noProof/>
          <w:sz w:val="22"/>
          <w:szCs w:val="22"/>
          <w:lang w:eastAsia="en-AU"/>
        </w:rPr>
      </w:pPr>
      <w:hyperlink w:anchor="_Toc79149330" w:history="1">
        <w:r w:rsidR="00433E5D" w:rsidRPr="00723FD3">
          <w:rPr>
            <w:rStyle w:val="Hyperlink"/>
            <w:noProof/>
          </w:rPr>
          <w:t>Roles &amp; Responsibilities</w:t>
        </w:r>
        <w:r w:rsidR="00433E5D">
          <w:rPr>
            <w:noProof/>
            <w:webHidden/>
          </w:rPr>
          <w:tab/>
        </w:r>
        <w:r w:rsidR="00433E5D">
          <w:rPr>
            <w:noProof/>
            <w:webHidden/>
          </w:rPr>
          <w:fldChar w:fldCharType="begin"/>
        </w:r>
        <w:r w:rsidR="00433E5D">
          <w:rPr>
            <w:noProof/>
            <w:webHidden/>
          </w:rPr>
          <w:instrText xml:space="preserve"> PAGEREF _Toc79149330 \h </w:instrText>
        </w:r>
        <w:r w:rsidR="00433E5D">
          <w:rPr>
            <w:noProof/>
            <w:webHidden/>
          </w:rPr>
        </w:r>
        <w:r w:rsidR="00433E5D">
          <w:rPr>
            <w:noProof/>
            <w:webHidden/>
          </w:rPr>
          <w:fldChar w:fldCharType="separate"/>
        </w:r>
        <w:r w:rsidR="00433E5D">
          <w:rPr>
            <w:noProof/>
            <w:webHidden/>
          </w:rPr>
          <w:t>3</w:t>
        </w:r>
        <w:r w:rsidR="00433E5D">
          <w:rPr>
            <w:noProof/>
            <w:webHidden/>
          </w:rPr>
          <w:fldChar w:fldCharType="end"/>
        </w:r>
      </w:hyperlink>
    </w:p>
    <w:p w14:paraId="2EE00CF4" w14:textId="3CDA2A16" w:rsidR="00433E5D" w:rsidRDefault="00DA5765">
      <w:pPr>
        <w:pStyle w:val="TOC1"/>
        <w:tabs>
          <w:tab w:val="right" w:leader="dot" w:pos="9060"/>
        </w:tabs>
        <w:rPr>
          <w:rFonts w:eastAsiaTheme="minorEastAsia" w:cstheme="minorBidi"/>
          <w:noProof/>
          <w:sz w:val="22"/>
          <w:szCs w:val="22"/>
          <w:lang w:eastAsia="en-AU"/>
        </w:rPr>
      </w:pPr>
      <w:hyperlink w:anchor="_Toc79149331" w:history="1">
        <w:r w:rsidR="00433E5D" w:rsidRPr="00723FD3">
          <w:rPr>
            <w:rStyle w:val="Hyperlink"/>
            <w:noProof/>
          </w:rPr>
          <w:t>Section 1 – High-Risk Medicines Register</w:t>
        </w:r>
        <w:r w:rsidR="00433E5D">
          <w:rPr>
            <w:noProof/>
            <w:webHidden/>
          </w:rPr>
          <w:tab/>
        </w:r>
        <w:r w:rsidR="00433E5D">
          <w:rPr>
            <w:noProof/>
            <w:webHidden/>
          </w:rPr>
          <w:fldChar w:fldCharType="begin"/>
        </w:r>
        <w:r w:rsidR="00433E5D">
          <w:rPr>
            <w:noProof/>
            <w:webHidden/>
          </w:rPr>
          <w:instrText xml:space="preserve"> PAGEREF _Toc79149331 \h </w:instrText>
        </w:r>
        <w:r w:rsidR="00433E5D">
          <w:rPr>
            <w:noProof/>
            <w:webHidden/>
          </w:rPr>
        </w:r>
        <w:r w:rsidR="00433E5D">
          <w:rPr>
            <w:noProof/>
            <w:webHidden/>
          </w:rPr>
          <w:fldChar w:fldCharType="separate"/>
        </w:r>
        <w:r w:rsidR="00433E5D">
          <w:rPr>
            <w:noProof/>
            <w:webHidden/>
          </w:rPr>
          <w:t>4</w:t>
        </w:r>
        <w:r w:rsidR="00433E5D">
          <w:rPr>
            <w:noProof/>
            <w:webHidden/>
          </w:rPr>
          <w:fldChar w:fldCharType="end"/>
        </w:r>
      </w:hyperlink>
    </w:p>
    <w:p w14:paraId="645DACED" w14:textId="14905302" w:rsidR="00433E5D" w:rsidRDefault="00DA5765">
      <w:pPr>
        <w:pStyle w:val="TOC1"/>
        <w:tabs>
          <w:tab w:val="right" w:leader="dot" w:pos="9060"/>
        </w:tabs>
        <w:rPr>
          <w:rFonts w:eastAsiaTheme="minorEastAsia" w:cstheme="minorBidi"/>
          <w:noProof/>
          <w:sz w:val="22"/>
          <w:szCs w:val="22"/>
          <w:lang w:eastAsia="en-AU"/>
        </w:rPr>
      </w:pPr>
      <w:hyperlink w:anchor="_Toc79149332" w:history="1">
        <w:r w:rsidR="00433E5D" w:rsidRPr="00723FD3">
          <w:rPr>
            <w:rStyle w:val="Hyperlink"/>
            <w:noProof/>
          </w:rPr>
          <w:t>Section 2 – Identification and Assessment of Risks Associated with High-Risk Medicines</w:t>
        </w:r>
        <w:r w:rsidR="00433E5D">
          <w:rPr>
            <w:noProof/>
            <w:webHidden/>
          </w:rPr>
          <w:tab/>
        </w:r>
        <w:r w:rsidR="00433E5D">
          <w:rPr>
            <w:noProof/>
            <w:webHidden/>
          </w:rPr>
          <w:fldChar w:fldCharType="begin"/>
        </w:r>
        <w:r w:rsidR="00433E5D">
          <w:rPr>
            <w:noProof/>
            <w:webHidden/>
          </w:rPr>
          <w:instrText xml:space="preserve"> PAGEREF _Toc79149332 \h </w:instrText>
        </w:r>
        <w:r w:rsidR="00433E5D">
          <w:rPr>
            <w:noProof/>
            <w:webHidden/>
          </w:rPr>
        </w:r>
        <w:r w:rsidR="00433E5D">
          <w:rPr>
            <w:noProof/>
            <w:webHidden/>
          </w:rPr>
          <w:fldChar w:fldCharType="separate"/>
        </w:r>
        <w:r w:rsidR="00433E5D">
          <w:rPr>
            <w:noProof/>
            <w:webHidden/>
          </w:rPr>
          <w:t>5</w:t>
        </w:r>
        <w:r w:rsidR="00433E5D">
          <w:rPr>
            <w:noProof/>
            <w:webHidden/>
          </w:rPr>
          <w:fldChar w:fldCharType="end"/>
        </w:r>
      </w:hyperlink>
    </w:p>
    <w:p w14:paraId="78BFFA74" w14:textId="2A779351" w:rsidR="00433E5D" w:rsidRDefault="00DA5765">
      <w:pPr>
        <w:pStyle w:val="TOC1"/>
        <w:tabs>
          <w:tab w:val="right" w:leader="dot" w:pos="9060"/>
        </w:tabs>
        <w:rPr>
          <w:rFonts w:eastAsiaTheme="minorEastAsia" w:cstheme="minorBidi"/>
          <w:noProof/>
          <w:sz w:val="22"/>
          <w:szCs w:val="22"/>
          <w:lang w:eastAsia="en-AU"/>
        </w:rPr>
      </w:pPr>
      <w:hyperlink w:anchor="_Toc79149333" w:history="1">
        <w:r w:rsidR="00433E5D" w:rsidRPr="00723FD3">
          <w:rPr>
            <w:rStyle w:val="Hyperlink"/>
            <w:noProof/>
          </w:rPr>
          <w:t>Section 3 – Risk Reduction Strategies to Minimise Risk Associated with High-Risk Medicines</w:t>
        </w:r>
        <w:r w:rsidR="00433E5D">
          <w:rPr>
            <w:noProof/>
            <w:webHidden/>
          </w:rPr>
          <w:tab/>
        </w:r>
        <w:r w:rsidR="00433E5D">
          <w:rPr>
            <w:noProof/>
            <w:webHidden/>
          </w:rPr>
          <w:fldChar w:fldCharType="begin"/>
        </w:r>
        <w:r w:rsidR="00433E5D">
          <w:rPr>
            <w:noProof/>
            <w:webHidden/>
          </w:rPr>
          <w:instrText xml:space="preserve"> PAGEREF _Toc79149333 \h </w:instrText>
        </w:r>
        <w:r w:rsidR="00433E5D">
          <w:rPr>
            <w:noProof/>
            <w:webHidden/>
          </w:rPr>
        </w:r>
        <w:r w:rsidR="00433E5D">
          <w:rPr>
            <w:noProof/>
            <w:webHidden/>
          </w:rPr>
          <w:fldChar w:fldCharType="separate"/>
        </w:r>
        <w:r w:rsidR="00433E5D">
          <w:rPr>
            <w:noProof/>
            <w:webHidden/>
          </w:rPr>
          <w:t>5</w:t>
        </w:r>
        <w:r w:rsidR="00433E5D">
          <w:rPr>
            <w:noProof/>
            <w:webHidden/>
          </w:rPr>
          <w:fldChar w:fldCharType="end"/>
        </w:r>
      </w:hyperlink>
    </w:p>
    <w:p w14:paraId="77F825BB" w14:textId="5CF268D7" w:rsidR="00433E5D" w:rsidRDefault="00DA5765">
      <w:pPr>
        <w:pStyle w:val="TOC1"/>
        <w:tabs>
          <w:tab w:val="right" w:leader="dot" w:pos="9060"/>
        </w:tabs>
        <w:rPr>
          <w:rFonts w:eastAsiaTheme="minorEastAsia" w:cstheme="minorBidi"/>
          <w:noProof/>
          <w:sz w:val="22"/>
          <w:szCs w:val="22"/>
          <w:lang w:eastAsia="en-AU"/>
        </w:rPr>
      </w:pPr>
      <w:hyperlink w:anchor="_Toc79149334" w:history="1">
        <w:r w:rsidR="00433E5D" w:rsidRPr="00723FD3">
          <w:rPr>
            <w:rStyle w:val="Hyperlink"/>
            <w:noProof/>
          </w:rPr>
          <w:t>Evaluation</w:t>
        </w:r>
        <w:r w:rsidR="00433E5D">
          <w:rPr>
            <w:noProof/>
            <w:webHidden/>
          </w:rPr>
          <w:tab/>
        </w:r>
        <w:r w:rsidR="00433E5D">
          <w:rPr>
            <w:noProof/>
            <w:webHidden/>
          </w:rPr>
          <w:fldChar w:fldCharType="begin"/>
        </w:r>
        <w:r w:rsidR="00433E5D">
          <w:rPr>
            <w:noProof/>
            <w:webHidden/>
          </w:rPr>
          <w:instrText xml:space="preserve"> PAGEREF _Toc79149334 \h </w:instrText>
        </w:r>
        <w:r w:rsidR="00433E5D">
          <w:rPr>
            <w:noProof/>
            <w:webHidden/>
          </w:rPr>
        </w:r>
        <w:r w:rsidR="00433E5D">
          <w:rPr>
            <w:noProof/>
            <w:webHidden/>
          </w:rPr>
          <w:fldChar w:fldCharType="separate"/>
        </w:r>
        <w:r w:rsidR="00433E5D">
          <w:rPr>
            <w:noProof/>
            <w:webHidden/>
          </w:rPr>
          <w:t>8</w:t>
        </w:r>
        <w:r w:rsidR="00433E5D">
          <w:rPr>
            <w:noProof/>
            <w:webHidden/>
          </w:rPr>
          <w:fldChar w:fldCharType="end"/>
        </w:r>
      </w:hyperlink>
    </w:p>
    <w:p w14:paraId="05CC5EDD" w14:textId="1E82A340" w:rsidR="00433E5D" w:rsidRDefault="00DA5765">
      <w:pPr>
        <w:pStyle w:val="TOC1"/>
        <w:tabs>
          <w:tab w:val="right" w:leader="dot" w:pos="9060"/>
        </w:tabs>
        <w:rPr>
          <w:rFonts w:eastAsiaTheme="minorEastAsia" w:cstheme="minorBidi"/>
          <w:noProof/>
          <w:sz w:val="22"/>
          <w:szCs w:val="22"/>
          <w:lang w:eastAsia="en-AU"/>
        </w:rPr>
      </w:pPr>
      <w:hyperlink w:anchor="_Toc79149335" w:history="1">
        <w:r w:rsidR="00433E5D" w:rsidRPr="00723FD3">
          <w:rPr>
            <w:rStyle w:val="Hyperlink"/>
            <w:noProof/>
          </w:rPr>
          <w:t>Related Policies, Procedures, Guidelines and Legislation</w:t>
        </w:r>
        <w:r w:rsidR="00433E5D">
          <w:rPr>
            <w:noProof/>
            <w:webHidden/>
          </w:rPr>
          <w:tab/>
        </w:r>
        <w:r w:rsidR="00433E5D">
          <w:rPr>
            <w:noProof/>
            <w:webHidden/>
          </w:rPr>
          <w:fldChar w:fldCharType="begin"/>
        </w:r>
        <w:r w:rsidR="00433E5D">
          <w:rPr>
            <w:noProof/>
            <w:webHidden/>
          </w:rPr>
          <w:instrText xml:space="preserve"> PAGEREF _Toc79149335 \h </w:instrText>
        </w:r>
        <w:r w:rsidR="00433E5D">
          <w:rPr>
            <w:noProof/>
            <w:webHidden/>
          </w:rPr>
        </w:r>
        <w:r w:rsidR="00433E5D">
          <w:rPr>
            <w:noProof/>
            <w:webHidden/>
          </w:rPr>
          <w:fldChar w:fldCharType="separate"/>
        </w:r>
        <w:r w:rsidR="00433E5D">
          <w:rPr>
            <w:noProof/>
            <w:webHidden/>
          </w:rPr>
          <w:t>8</w:t>
        </w:r>
        <w:r w:rsidR="00433E5D">
          <w:rPr>
            <w:noProof/>
            <w:webHidden/>
          </w:rPr>
          <w:fldChar w:fldCharType="end"/>
        </w:r>
      </w:hyperlink>
    </w:p>
    <w:p w14:paraId="0C5FF55E" w14:textId="783215C5" w:rsidR="00433E5D" w:rsidRDefault="00DA5765">
      <w:pPr>
        <w:pStyle w:val="TOC1"/>
        <w:tabs>
          <w:tab w:val="right" w:leader="dot" w:pos="9060"/>
        </w:tabs>
        <w:rPr>
          <w:rFonts w:eastAsiaTheme="minorEastAsia" w:cstheme="minorBidi"/>
          <w:noProof/>
          <w:sz w:val="22"/>
          <w:szCs w:val="22"/>
          <w:lang w:eastAsia="en-AU"/>
        </w:rPr>
      </w:pPr>
      <w:hyperlink w:anchor="_Toc79149336" w:history="1">
        <w:r w:rsidR="00433E5D" w:rsidRPr="00723FD3">
          <w:rPr>
            <w:rStyle w:val="Hyperlink"/>
            <w:noProof/>
          </w:rPr>
          <w:t>Definition of Terms</w:t>
        </w:r>
        <w:r w:rsidR="00433E5D">
          <w:rPr>
            <w:noProof/>
            <w:webHidden/>
          </w:rPr>
          <w:tab/>
        </w:r>
        <w:r w:rsidR="00433E5D">
          <w:rPr>
            <w:noProof/>
            <w:webHidden/>
          </w:rPr>
          <w:fldChar w:fldCharType="begin"/>
        </w:r>
        <w:r w:rsidR="00433E5D">
          <w:rPr>
            <w:noProof/>
            <w:webHidden/>
          </w:rPr>
          <w:instrText xml:space="preserve"> PAGEREF _Toc79149336 \h </w:instrText>
        </w:r>
        <w:r w:rsidR="00433E5D">
          <w:rPr>
            <w:noProof/>
            <w:webHidden/>
          </w:rPr>
        </w:r>
        <w:r w:rsidR="00433E5D">
          <w:rPr>
            <w:noProof/>
            <w:webHidden/>
          </w:rPr>
          <w:fldChar w:fldCharType="separate"/>
        </w:r>
        <w:r w:rsidR="00433E5D">
          <w:rPr>
            <w:noProof/>
            <w:webHidden/>
          </w:rPr>
          <w:t>9</w:t>
        </w:r>
        <w:r w:rsidR="00433E5D">
          <w:rPr>
            <w:noProof/>
            <w:webHidden/>
          </w:rPr>
          <w:fldChar w:fldCharType="end"/>
        </w:r>
      </w:hyperlink>
    </w:p>
    <w:p w14:paraId="5854C9A6" w14:textId="1FEE6496" w:rsidR="00433E5D" w:rsidRDefault="00DA5765">
      <w:pPr>
        <w:pStyle w:val="TOC1"/>
        <w:tabs>
          <w:tab w:val="right" w:leader="dot" w:pos="9060"/>
        </w:tabs>
        <w:rPr>
          <w:rFonts w:eastAsiaTheme="minorEastAsia" w:cstheme="minorBidi"/>
          <w:noProof/>
          <w:sz w:val="22"/>
          <w:szCs w:val="22"/>
          <w:lang w:eastAsia="en-AU"/>
        </w:rPr>
      </w:pPr>
      <w:hyperlink w:anchor="_Toc79149337" w:history="1">
        <w:r w:rsidR="00433E5D" w:rsidRPr="00723FD3">
          <w:rPr>
            <w:rStyle w:val="Hyperlink"/>
            <w:noProof/>
          </w:rPr>
          <w:t>References</w:t>
        </w:r>
        <w:r w:rsidR="00433E5D">
          <w:rPr>
            <w:noProof/>
            <w:webHidden/>
          </w:rPr>
          <w:tab/>
        </w:r>
        <w:r w:rsidR="00433E5D">
          <w:rPr>
            <w:noProof/>
            <w:webHidden/>
          </w:rPr>
          <w:fldChar w:fldCharType="begin"/>
        </w:r>
        <w:r w:rsidR="00433E5D">
          <w:rPr>
            <w:noProof/>
            <w:webHidden/>
          </w:rPr>
          <w:instrText xml:space="preserve"> PAGEREF _Toc79149337 \h </w:instrText>
        </w:r>
        <w:r w:rsidR="00433E5D">
          <w:rPr>
            <w:noProof/>
            <w:webHidden/>
          </w:rPr>
        </w:r>
        <w:r w:rsidR="00433E5D">
          <w:rPr>
            <w:noProof/>
            <w:webHidden/>
          </w:rPr>
          <w:fldChar w:fldCharType="separate"/>
        </w:r>
        <w:r w:rsidR="00433E5D">
          <w:rPr>
            <w:noProof/>
            <w:webHidden/>
          </w:rPr>
          <w:t>10</w:t>
        </w:r>
        <w:r w:rsidR="00433E5D">
          <w:rPr>
            <w:noProof/>
            <w:webHidden/>
          </w:rPr>
          <w:fldChar w:fldCharType="end"/>
        </w:r>
      </w:hyperlink>
    </w:p>
    <w:p w14:paraId="47C8CF7A" w14:textId="29166403" w:rsidR="00433E5D" w:rsidRDefault="00DA5765">
      <w:pPr>
        <w:pStyle w:val="TOC1"/>
        <w:tabs>
          <w:tab w:val="right" w:leader="dot" w:pos="9060"/>
        </w:tabs>
        <w:rPr>
          <w:rFonts w:eastAsiaTheme="minorEastAsia" w:cstheme="minorBidi"/>
          <w:noProof/>
          <w:sz w:val="22"/>
          <w:szCs w:val="22"/>
          <w:lang w:eastAsia="en-AU"/>
        </w:rPr>
      </w:pPr>
      <w:hyperlink w:anchor="_Toc79149338" w:history="1">
        <w:r w:rsidR="00433E5D" w:rsidRPr="00723FD3">
          <w:rPr>
            <w:rStyle w:val="Hyperlink"/>
            <w:noProof/>
          </w:rPr>
          <w:t>Search Terms</w:t>
        </w:r>
        <w:r w:rsidR="00433E5D">
          <w:rPr>
            <w:noProof/>
            <w:webHidden/>
          </w:rPr>
          <w:tab/>
        </w:r>
        <w:r w:rsidR="00433E5D">
          <w:rPr>
            <w:noProof/>
            <w:webHidden/>
          </w:rPr>
          <w:fldChar w:fldCharType="begin"/>
        </w:r>
        <w:r w:rsidR="00433E5D">
          <w:rPr>
            <w:noProof/>
            <w:webHidden/>
          </w:rPr>
          <w:instrText xml:space="preserve"> PAGEREF _Toc79149338 \h </w:instrText>
        </w:r>
        <w:r w:rsidR="00433E5D">
          <w:rPr>
            <w:noProof/>
            <w:webHidden/>
          </w:rPr>
        </w:r>
        <w:r w:rsidR="00433E5D">
          <w:rPr>
            <w:noProof/>
            <w:webHidden/>
          </w:rPr>
          <w:fldChar w:fldCharType="separate"/>
        </w:r>
        <w:r w:rsidR="00433E5D">
          <w:rPr>
            <w:noProof/>
            <w:webHidden/>
          </w:rPr>
          <w:t>10</w:t>
        </w:r>
        <w:r w:rsidR="00433E5D">
          <w:rPr>
            <w:noProof/>
            <w:webHidden/>
          </w:rPr>
          <w:fldChar w:fldCharType="end"/>
        </w:r>
      </w:hyperlink>
    </w:p>
    <w:p w14:paraId="32059556" w14:textId="7DCC63EB" w:rsidR="00F77222" w:rsidRPr="009902FB" w:rsidRDefault="00433E5D" w:rsidP="00A86A9D">
      <w:pPr>
        <w:rPr>
          <w:rFonts w:cs="Arial"/>
          <w:b/>
          <w:sz w:val="36"/>
          <w:szCs w:val="36"/>
        </w:rPr>
      </w:pPr>
      <w:r>
        <w:rPr>
          <w:rFonts w:cs="Arial"/>
          <w:b/>
          <w:sz w:val="36"/>
          <w:szCs w:val="36"/>
        </w:rPr>
        <w:fldChar w:fldCharType="end"/>
      </w:r>
    </w:p>
    <w:p w14:paraId="63C1A3F4" w14:textId="77777777" w:rsidR="00433E5D" w:rsidRDefault="00433E5D">
      <w:r>
        <w:rPr>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1F46373B" w:rsidR="00A86A9D" w:rsidRPr="007A238D" w:rsidRDefault="00A86A9D" w:rsidP="007A238D">
            <w:pPr>
              <w:pStyle w:val="Heading1"/>
              <w:rPr>
                <w:szCs w:val="24"/>
              </w:rPr>
            </w:pPr>
            <w:bookmarkStart w:id="11" w:name="_Toc79149326"/>
            <w:r>
              <w:rPr>
                <w:szCs w:val="24"/>
              </w:rPr>
              <w:lastRenderedPageBreak/>
              <w:t xml:space="preserve">Policy </w:t>
            </w:r>
            <w:r w:rsidRPr="007A238D">
              <w:rPr>
                <w:szCs w:val="24"/>
              </w:rPr>
              <w:t>Statement</w:t>
            </w:r>
            <w:bookmarkEnd w:id="11"/>
          </w:p>
        </w:tc>
      </w:tr>
    </w:tbl>
    <w:p w14:paraId="3742B8E5" w14:textId="77777777" w:rsidR="00A86A9D" w:rsidRDefault="00A86A9D" w:rsidP="00A86A9D">
      <w:pPr>
        <w:jc w:val="both"/>
        <w:rPr>
          <w:rFonts w:cs="Arial"/>
          <w:b/>
          <w:szCs w:val="24"/>
        </w:rPr>
      </w:pPr>
    </w:p>
    <w:p w14:paraId="7564CF23" w14:textId="77777777" w:rsidR="00BD0A37" w:rsidRPr="00EF0D96" w:rsidRDefault="00BD0A37" w:rsidP="00BD0A37">
      <w:r w:rsidRPr="00EF0D96">
        <w:t xml:space="preserve">Canberra Health Services (CHS) has identified high-risk medicines used within the organisation and maintains them in a High-Risk Medicines Register. The High-Risk Medicines Register and the associated standards outline the systems CHS uses to store, prescribe, </w:t>
      </w:r>
      <w:proofErr w:type="gramStart"/>
      <w:r w:rsidRPr="00EF0D96">
        <w:t>dispense</w:t>
      </w:r>
      <w:proofErr w:type="gramEnd"/>
      <w:r w:rsidRPr="00EF0D96">
        <w:t xml:space="preserve"> and administer high risk medicines safely.</w:t>
      </w:r>
    </w:p>
    <w:p w14:paraId="376B5838" w14:textId="77777777" w:rsidR="00BD0A37" w:rsidRPr="00EF0D96" w:rsidRDefault="00BD0A37" w:rsidP="00BD0A37">
      <w:pPr>
        <w:rPr>
          <w:rFonts w:eastAsiaTheme="minorHAnsi" w:cs="Arial"/>
        </w:rPr>
      </w:pPr>
      <w:r w:rsidRPr="00EF0D96">
        <w:rPr>
          <w:rFonts w:eastAsiaTheme="minorHAnsi" w:cs="Arial"/>
        </w:rPr>
        <w:t xml:space="preserve"> </w:t>
      </w:r>
    </w:p>
    <w:p w14:paraId="2C242267" w14:textId="77777777" w:rsidR="00BD0A37" w:rsidRPr="00EF0D96" w:rsidRDefault="00BD0A37" w:rsidP="00BD0A37">
      <w:pPr>
        <w:autoSpaceDE w:val="0"/>
        <w:autoSpaceDN w:val="0"/>
        <w:adjustRightInd w:val="0"/>
        <w:rPr>
          <w:rFonts w:eastAsiaTheme="minorHAnsi" w:cs="Arial"/>
          <w:szCs w:val="24"/>
        </w:rPr>
      </w:pPr>
      <w:r w:rsidRPr="00EF0D96">
        <w:rPr>
          <w:rFonts w:eastAsiaTheme="minorHAnsi" w:cs="Arial"/>
          <w:szCs w:val="24"/>
        </w:rPr>
        <w:t>The High-Risk Medicines Policy encompasses:</w:t>
      </w:r>
    </w:p>
    <w:p w14:paraId="01489CE4" w14:textId="77777777" w:rsidR="00BD0A37" w:rsidRPr="00EF0D96" w:rsidRDefault="00BD0A37" w:rsidP="00BD0A37">
      <w:pPr>
        <w:pStyle w:val="ListParagraph"/>
        <w:numPr>
          <w:ilvl w:val="0"/>
          <w:numId w:val="8"/>
        </w:numPr>
        <w:autoSpaceDE w:val="0"/>
        <w:autoSpaceDN w:val="0"/>
        <w:adjustRightInd w:val="0"/>
        <w:rPr>
          <w:rFonts w:eastAsiaTheme="minorHAnsi" w:cs="Arial"/>
          <w:szCs w:val="24"/>
        </w:rPr>
      </w:pPr>
      <w:r w:rsidRPr="00EF0D96">
        <w:rPr>
          <w:rFonts w:eastAsiaTheme="minorHAnsi" w:cs="Arial"/>
          <w:szCs w:val="24"/>
        </w:rPr>
        <w:t xml:space="preserve">The High-Risk Medicines Register with standards for the management of individual high-risk medicines or high-risk medicine groups </w:t>
      </w:r>
    </w:p>
    <w:p w14:paraId="59B797A4" w14:textId="77777777" w:rsidR="00BD0A37" w:rsidRDefault="00BD0A37" w:rsidP="00BD0A37">
      <w:pPr>
        <w:pStyle w:val="ListParagraph"/>
        <w:numPr>
          <w:ilvl w:val="0"/>
          <w:numId w:val="8"/>
        </w:numPr>
        <w:autoSpaceDE w:val="0"/>
        <w:autoSpaceDN w:val="0"/>
        <w:adjustRightInd w:val="0"/>
        <w:rPr>
          <w:rFonts w:eastAsiaTheme="minorHAnsi" w:cs="Arial"/>
          <w:szCs w:val="24"/>
        </w:rPr>
      </w:pPr>
      <w:r w:rsidRPr="00EF0D96">
        <w:rPr>
          <w:rFonts w:eastAsiaTheme="minorHAnsi" w:cs="Arial"/>
          <w:szCs w:val="24"/>
        </w:rPr>
        <w:t xml:space="preserve">The process for </w:t>
      </w:r>
      <w:r>
        <w:rPr>
          <w:rFonts w:eastAsiaTheme="minorHAnsi" w:cs="Arial"/>
          <w:szCs w:val="24"/>
        </w:rPr>
        <w:t>i</w:t>
      </w:r>
      <w:r w:rsidRPr="00EF0D96">
        <w:rPr>
          <w:rFonts w:eastAsiaTheme="minorHAnsi" w:cs="Arial"/>
          <w:szCs w:val="24"/>
        </w:rPr>
        <w:t>dentification and assessment of risks associated with high</w:t>
      </w:r>
      <w:r>
        <w:rPr>
          <w:rFonts w:eastAsiaTheme="minorHAnsi" w:cs="Arial"/>
          <w:szCs w:val="24"/>
        </w:rPr>
        <w:t>-</w:t>
      </w:r>
      <w:r w:rsidRPr="00EF0D96">
        <w:rPr>
          <w:rFonts w:eastAsiaTheme="minorHAnsi" w:cs="Arial"/>
          <w:szCs w:val="24"/>
        </w:rPr>
        <w:t>risk</w:t>
      </w:r>
      <w:r>
        <w:rPr>
          <w:rFonts w:eastAsiaTheme="minorHAnsi" w:cs="Arial"/>
          <w:szCs w:val="24"/>
        </w:rPr>
        <w:t xml:space="preserve"> medicines</w:t>
      </w:r>
    </w:p>
    <w:p w14:paraId="73414CFC" w14:textId="77777777" w:rsidR="00BD0A37" w:rsidRPr="00385C6B" w:rsidRDefault="00BD0A37" w:rsidP="00BD0A37">
      <w:pPr>
        <w:pStyle w:val="ListParagraph"/>
        <w:numPr>
          <w:ilvl w:val="0"/>
          <w:numId w:val="8"/>
        </w:numPr>
        <w:autoSpaceDE w:val="0"/>
        <w:autoSpaceDN w:val="0"/>
        <w:adjustRightInd w:val="0"/>
        <w:rPr>
          <w:rFonts w:eastAsiaTheme="minorHAnsi" w:cs="Arial"/>
          <w:szCs w:val="24"/>
        </w:rPr>
      </w:pPr>
      <w:r>
        <w:rPr>
          <w:rFonts w:eastAsiaTheme="minorHAnsi" w:cs="Arial"/>
          <w:szCs w:val="24"/>
        </w:rPr>
        <w:t>S</w:t>
      </w:r>
      <w:r w:rsidRPr="00973FEE">
        <w:rPr>
          <w:rFonts w:eastAsiaTheme="minorHAnsi" w:cs="Arial"/>
          <w:szCs w:val="24"/>
        </w:rPr>
        <w:t xml:space="preserve">trategies to mitigate the risks associated with high-risk medicines </w:t>
      </w:r>
      <w:r>
        <w:rPr>
          <w:rFonts w:eastAsiaTheme="minorHAnsi" w:cs="Arial"/>
          <w:szCs w:val="24"/>
        </w:rPr>
        <w:t xml:space="preserve">and the </w:t>
      </w:r>
      <w:r>
        <w:rPr>
          <w:rFonts w:eastAsiaTheme="minorHAnsi" w:cs="Arial"/>
          <w:color w:val="000000"/>
          <w:szCs w:val="24"/>
        </w:rPr>
        <w:t>r</w:t>
      </w:r>
      <w:r w:rsidRPr="00385C6B">
        <w:rPr>
          <w:rFonts w:eastAsiaTheme="minorHAnsi" w:cs="Arial"/>
          <w:color w:val="000000"/>
          <w:szCs w:val="24"/>
        </w:rPr>
        <w:t>equirements for prescribing and administering high risk medicines</w:t>
      </w:r>
    </w:p>
    <w:p w14:paraId="2B33661F" w14:textId="77777777" w:rsidR="00BD0A37" w:rsidRPr="00ED4FB2" w:rsidRDefault="00BD0A37" w:rsidP="00BD0A37">
      <w:pPr>
        <w:pStyle w:val="ListParagraph"/>
        <w:numPr>
          <w:ilvl w:val="0"/>
          <w:numId w:val="8"/>
        </w:numPr>
        <w:autoSpaceDE w:val="0"/>
        <w:autoSpaceDN w:val="0"/>
        <w:adjustRightInd w:val="0"/>
        <w:rPr>
          <w:rFonts w:eastAsiaTheme="minorHAnsi" w:cs="Arial"/>
          <w:color w:val="000000"/>
          <w:sz w:val="23"/>
          <w:szCs w:val="23"/>
        </w:rPr>
      </w:pPr>
      <w:r w:rsidRPr="00ED4FB2">
        <w:rPr>
          <w:rFonts w:eastAsiaTheme="minorHAnsi" w:cs="Arial"/>
          <w:color w:val="000000"/>
          <w:szCs w:val="24"/>
        </w:rPr>
        <w:t xml:space="preserve">Evaluation of safety controls and identification of quality improvement opportunities </w:t>
      </w:r>
    </w:p>
    <w:p w14:paraId="6DE16F6D" w14:textId="77777777" w:rsidR="00BD0A37" w:rsidRPr="00ED4FB2" w:rsidRDefault="00BD0A37" w:rsidP="00BD0A37">
      <w:pPr>
        <w:pStyle w:val="ListParagraph"/>
        <w:autoSpaceDE w:val="0"/>
        <w:autoSpaceDN w:val="0"/>
        <w:adjustRightInd w:val="0"/>
        <w:ind w:left="360"/>
        <w:rPr>
          <w:rFonts w:eastAsiaTheme="minorHAnsi" w:cs="Arial"/>
          <w:color w:val="000000"/>
          <w:sz w:val="23"/>
          <w:szCs w:val="23"/>
        </w:rPr>
      </w:pPr>
    </w:p>
    <w:p w14:paraId="7C7CA354" w14:textId="77777777" w:rsidR="00BD0A37" w:rsidRDefault="00BD0A37" w:rsidP="00BD0A37">
      <w:pPr>
        <w:rPr>
          <w:lang w:val="en"/>
        </w:rPr>
      </w:pPr>
      <w:r w:rsidRPr="00973FEE">
        <w:rPr>
          <w:lang w:val="en"/>
        </w:rPr>
        <w:t>Compliance with this policy is mandatory and will ensure a standard approach to high</w:t>
      </w:r>
      <w:r>
        <w:rPr>
          <w:lang w:val="en"/>
        </w:rPr>
        <w:t>-</w:t>
      </w:r>
      <w:r w:rsidRPr="00973FEE">
        <w:rPr>
          <w:lang w:val="en"/>
        </w:rPr>
        <w:t>risk medicines.</w:t>
      </w:r>
    </w:p>
    <w:p w14:paraId="3AC693F9" w14:textId="77777777" w:rsidR="00433E5D" w:rsidRDefault="00433E5D" w:rsidP="00BD0A37">
      <w:pPr>
        <w:jc w:val="right"/>
      </w:pPr>
    </w:p>
    <w:p w14:paraId="3742B8E9" w14:textId="6F278275" w:rsidR="00327552" w:rsidRDefault="00DA5765" w:rsidP="00433E5D">
      <w:pPr>
        <w:jc w:val="right"/>
        <w:rPr>
          <w:rFonts w:cs="Arial"/>
          <w:szCs w:val="24"/>
        </w:rPr>
      </w:pPr>
      <w:hyperlink w:anchor="_Contents" w:history="1">
        <w:r w:rsidR="00BD0A37"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27552" w:rsidRPr="001B2BAC" w14:paraId="3742B8EB" w14:textId="77777777" w:rsidTr="005B3A1A">
        <w:trPr>
          <w:cantSplit/>
          <w:trHeight w:val="285"/>
        </w:trPr>
        <w:tc>
          <w:tcPr>
            <w:tcW w:w="9158" w:type="dxa"/>
            <w:shd w:val="clear" w:color="auto" w:fill="000000"/>
          </w:tcPr>
          <w:p w14:paraId="3742B8EA" w14:textId="2F28246C" w:rsidR="00327552" w:rsidRPr="007A238D" w:rsidRDefault="00327552" w:rsidP="004E2A5F">
            <w:pPr>
              <w:pStyle w:val="Heading1"/>
              <w:rPr>
                <w:szCs w:val="24"/>
              </w:rPr>
            </w:pPr>
            <w:bookmarkStart w:id="12" w:name="_Toc79149327"/>
            <w:r>
              <w:rPr>
                <w:szCs w:val="24"/>
              </w:rPr>
              <w:t>Alerts</w:t>
            </w:r>
            <w:bookmarkEnd w:id="12"/>
            <w:r w:rsidR="004E2A5F">
              <w:rPr>
                <w:szCs w:val="24"/>
              </w:rPr>
              <w:t xml:space="preserve"> </w:t>
            </w:r>
          </w:p>
        </w:tc>
      </w:tr>
    </w:tbl>
    <w:p w14:paraId="3742B8EE" w14:textId="77777777" w:rsidR="00327552" w:rsidRDefault="00327552" w:rsidP="00327552">
      <w:pPr>
        <w:rPr>
          <w:i/>
        </w:rPr>
      </w:pPr>
    </w:p>
    <w:p w14:paraId="3742B8F0" w14:textId="0FDD5B28" w:rsidR="00327552" w:rsidRDefault="00BD0A37" w:rsidP="00433E5D">
      <w:pPr>
        <w:rPr>
          <w:rFonts w:cs="Calibri"/>
          <w:i/>
          <w:szCs w:val="24"/>
        </w:rPr>
      </w:pPr>
      <w:bookmarkStart w:id="13" w:name="_Hlk42242902"/>
      <w:r>
        <w:rPr>
          <w:rFonts w:eastAsiaTheme="minorHAnsi" w:cs="Arial"/>
          <w:szCs w:val="24"/>
        </w:rPr>
        <w:t xml:space="preserve">Details of specific standards for Individual high-risk medicines (or groups of medicines) are available </w:t>
      </w:r>
      <w:r>
        <w:rPr>
          <w:rFonts w:cs="Arial"/>
          <w:szCs w:val="24"/>
        </w:rPr>
        <w:t>on the High-Risk Medicines Register located on the CHS Policy and Guidance Documents Register</w:t>
      </w:r>
      <w:bookmarkEnd w:id="13"/>
      <w:r w:rsidR="00327552" w:rsidRPr="00285D38">
        <w:rPr>
          <w:rFonts w:cs="Calibri"/>
          <w:i/>
          <w:szCs w:val="24"/>
        </w:rPr>
        <w:t>.</w:t>
      </w:r>
    </w:p>
    <w:p w14:paraId="3F7742DD" w14:textId="77777777" w:rsidR="00433E5D" w:rsidRDefault="00433E5D" w:rsidP="00BD0A37">
      <w:pPr>
        <w:jc w:val="right"/>
      </w:pPr>
    </w:p>
    <w:p w14:paraId="3742B8F1" w14:textId="5D4CE6BC" w:rsidR="00327552" w:rsidRPr="00327552" w:rsidRDefault="00DA5765" w:rsidP="00433E5D">
      <w:pPr>
        <w:jc w:val="right"/>
        <w:rPr>
          <w:rFonts w:cs="Arial"/>
          <w:i/>
          <w:szCs w:val="24"/>
        </w:rPr>
      </w:pPr>
      <w:hyperlink w:anchor="_Contents" w:history="1">
        <w:r w:rsidR="00BD0A37"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77777777" w:rsidR="00A86A9D" w:rsidRPr="007A238D" w:rsidRDefault="00A86A9D" w:rsidP="007A238D">
            <w:pPr>
              <w:pStyle w:val="Heading1"/>
              <w:rPr>
                <w:szCs w:val="24"/>
              </w:rPr>
            </w:pPr>
            <w:bookmarkStart w:id="14" w:name="_Toc79149328"/>
            <w:r w:rsidRPr="007A238D">
              <w:rPr>
                <w:szCs w:val="24"/>
              </w:rPr>
              <w:t>Purpose</w:t>
            </w:r>
            <w:bookmarkEnd w:id="14"/>
          </w:p>
        </w:tc>
      </w:tr>
    </w:tbl>
    <w:p w14:paraId="3742B8F4" w14:textId="77777777" w:rsidR="00A86A9D" w:rsidRDefault="00A86A9D" w:rsidP="00A86A9D">
      <w:pPr>
        <w:jc w:val="both"/>
        <w:rPr>
          <w:rFonts w:cs="Arial"/>
          <w:b/>
          <w:szCs w:val="24"/>
        </w:rPr>
      </w:pPr>
    </w:p>
    <w:p w14:paraId="0478E000" w14:textId="77777777" w:rsidR="00BD0A37" w:rsidRDefault="00BD0A37" w:rsidP="00BD0A37">
      <w:pPr>
        <w:autoSpaceDE w:val="0"/>
        <w:autoSpaceDN w:val="0"/>
        <w:adjustRightInd w:val="0"/>
        <w:rPr>
          <w:rFonts w:eastAsiaTheme="minorHAnsi" w:cs="Arial"/>
          <w:szCs w:val="24"/>
        </w:rPr>
      </w:pPr>
      <w:r w:rsidRPr="001E0B74">
        <w:rPr>
          <w:rFonts w:eastAsiaTheme="minorHAnsi" w:cs="Arial"/>
          <w:szCs w:val="24"/>
        </w:rPr>
        <w:t>This</w:t>
      </w:r>
      <w:r>
        <w:rPr>
          <w:rFonts w:eastAsiaTheme="minorHAnsi" w:cs="Arial"/>
          <w:szCs w:val="24"/>
        </w:rPr>
        <w:t xml:space="preserve"> policy sets out how CHS</w:t>
      </w:r>
      <w:r w:rsidRPr="001E0B74">
        <w:rPr>
          <w:rFonts w:eastAsiaTheme="minorHAnsi" w:cs="Arial"/>
          <w:szCs w:val="24"/>
        </w:rPr>
        <w:t xml:space="preserve"> </w:t>
      </w:r>
      <w:r>
        <w:rPr>
          <w:rFonts w:eastAsiaTheme="minorHAnsi" w:cs="Arial"/>
          <w:szCs w:val="24"/>
        </w:rPr>
        <w:t xml:space="preserve">ensures the safe use of </w:t>
      </w:r>
      <w:r w:rsidRPr="001E0B74">
        <w:rPr>
          <w:rFonts w:eastAsiaTheme="minorHAnsi" w:cs="Arial"/>
          <w:szCs w:val="24"/>
        </w:rPr>
        <w:t xml:space="preserve">high-risk medicines. It defines </w:t>
      </w:r>
      <w:r>
        <w:rPr>
          <w:rFonts w:eastAsiaTheme="minorHAnsi" w:cs="Arial"/>
          <w:szCs w:val="24"/>
        </w:rPr>
        <w:t xml:space="preserve">how </w:t>
      </w:r>
      <w:r w:rsidRPr="001E0B74">
        <w:rPr>
          <w:rFonts w:eastAsiaTheme="minorHAnsi" w:cs="Arial"/>
          <w:szCs w:val="24"/>
        </w:rPr>
        <w:t>t</w:t>
      </w:r>
      <w:r>
        <w:rPr>
          <w:rFonts w:eastAsiaTheme="minorHAnsi" w:cs="Arial"/>
          <w:szCs w:val="24"/>
        </w:rPr>
        <w:t xml:space="preserve">he High-Risk Medicines Register is maintained and reviewed and how compliance with the High-Risk Medicine Policy is monitored.   </w:t>
      </w:r>
      <w:r w:rsidRPr="001E0B74">
        <w:rPr>
          <w:rFonts w:eastAsiaTheme="minorHAnsi" w:cs="Arial"/>
          <w:szCs w:val="24"/>
        </w:rPr>
        <w:t xml:space="preserve">This policy also </w:t>
      </w:r>
      <w:r>
        <w:rPr>
          <w:rFonts w:eastAsiaTheme="minorHAnsi" w:cs="Arial"/>
          <w:szCs w:val="24"/>
        </w:rPr>
        <w:t>outlines</w:t>
      </w:r>
      <w:r w:rsidRPr="001E0B74">
        <w:rPr>
          <w:rFonts w:eastAsiaTheme="minorHAnsi" w:cs="Arial"/>
          <w:szCs w:val="24"/>
        </w:rPr>
        <w:t xml:space="preserve"> </w:t>
      </w:r>
      <w:r>
        <w:rPr>
          <w:rFonts w:eastAsiaTheme="minorHAnsi" w:cs="Arial"/>
          <w:szCs w:val="24"/>
        </w:rPr>
        <w:t xml:space="preserve">strategies clinicians must use to </w:t>
      </w:r>
      <w:r w:rsidRPr="001E0B74">
        <w:rPr>
          <w:rFonts w:eastAsiaTheme="minorHAnsi" w:cs="Arial"/>
          <w:szCs w:val="24"/>
        </w:rPr>
        <w:t xml:space="preserve">mitigate </w:t>
      </w:r>
      <w:r>
        <w:rPr>
          <w:rFonts w:eastAsiaTheme="minorHAnsi" w:cs="Arial"/>
          <w:szCs w:val="24"/>
        </w:rPr>
        <w:t>the risks associated with medicines on the High-Risk Medicines Register and the general requirements for prescribing and administering these medicines.</w:t>
      </w:r>
      <w:r w:rsidRPr="001E0B74" w:rsidDel="00F509D9">
        <w:rPr>
          <w:rFonts w:eastAsiaTheme="minorHAnsi" w:cs="Arial"/>
          <w:szCs w:val="24"/>
        </w:rPr>
        <w:t xml:space="preserve"> </w:t>
      </w:r>
    </w:p>
    <w:p w14:paraId="2C360BFC" w14:textId="77777777" w:rsidR="00BD0A37" w:rsidRDefault="00BD0A37" w:rsidP="00BD0A37">
      <w:pPr>
        <w:autoSpaceDE w:val="0"/>
        <w:autoSpaceDN w:val="0"/>
        <w:adjustRightInd w:val="0"/>
        <w:rPr>
          <w:rFonts w:eastAsiaTheme="minorHAnsi" w:cs="Arial"/>
          <w:szCs w:val="24"/>
        </w:rPr>
      </w:pPr>
    </w:p>
    <w:p w14:paraId="30768DED" w14:textId="77777777" w:rsidR="00BD0A37" w:rsidRPr="000D78F4" w:rsidRDefault="00BD0A37" w:rsidP="00BD0A37">
      <w:pPr>
        <w:rPr>
          <w:rFonts w:eastAsiaTheme="minorHAnsi" w:cs="Arial"/>
          <w:szCs w:val="24"/>
        </w:rPr>
      </w:pPr>
      <w:r>
        <w:rPr>
          <w:rFonts w:eastAsiaTheme="minorHAnsi" w:cs="Arial"/>
          <w:szCs w:val="24"/>
        </w:rPr>
        <w:t xml:space="preserve">Details of specific standards for Individual high-risk medicines (or groups of medicines) are available </w:t>
      </w:r>
      <w:r>
        <w:rPr>
          <w:rFonts w:cs="Arial"/>
          <w:szCs w:val="24"/>
        </w:rPr>
        <w:t>on the High-Risk Medicines Register located on the CHS Policy and Guidance Documents Register. These High-Risk Medicine Standards</w:t>
      </w:r>
      <w:r>
        <w:rPr>
          <w:rFonts w:eastAsiaTheme="minorHAnsi" w:cs="Arial"/>
          <w:szCs w:val="24"/>
        </w:rPr>
        <w:t xml:space="preserve"> outline the expected standards for storage, prescribing, dispensing, administration, </w:t>
      </w:r>
      <w:proofErr w:type="gramStart"/>
      <w:r>
        <w:rPr>
          <w:rFonts w:eastAsiaTheme="minorHAnsi" w:cs="Arial"/>
          <w:szCs w:val="24"/>
        </w:rPr>
        <w:t>monitoring</w:t>
      </w:r>
      <w:proofErr w:type="gramEnd"/>
      <w:r w:rsidDel="00535F5E">
        <w:rPr>
          <w:rFonts w:eastAsiaTheme="minorHAnsi" w:cs="Arial"/>
          <w:szCs w:val="24"/>
        </w:rPr>
        <w:t xml:space="preserve"> </w:t>
      </w:r>
      <w:r>
        <w:rPr>
          <w:rFonts w:eastAsiaTheme="minorHAnsi" w:cs="Arial"/>
          <w:szCs w:val="24"/>
        </w:rPr>
        <w:t>and clinical procedure requirements. There is a CHS High-Risk Medicine Standard for each high-risk medicine (or groups of medicine) included in the High-Risk Medicine Register</w:t>
      </w:r>
    </w:p>
    <w:p w14:paraId="4F2F8C99" w14:textId="77777777" w:rsidR="00BD0A37" w:rsidRPr="00725249" w:rsidRDefault="00BD0A37" w:rsidP="00BD0A37">
      <w:pPr>
        <w:pStyle w:val="ListParagraph"/>
        <w:autoSpaceDE w:val="0"/>
        <w:autoSpaceDN w:val="0"/>
        <w:adjustRightInd w:val="0"/>
        <w:jc w:val="both"/>
        <w:rPr>
          <w:rFonts w:eastAsiaTheme="minorHAnsi" w:cs="Arial"/>
          <w:szCs w:val="24"/>
        </w:rPr>
      </w:pPr>
    </w:p>
    <w:p w14:paraId="6E3198B4" w14:textId="77777777" w:rsidR="00BD0A37" w:rsidRDefault="00BD0A37" w:rsidP="00BD0A37">
      <w:pPr>
        <w:autoSpaceDE w:val="0"/>
        <w:autoSpaceDN w:val="0"/>
        <w:adjustRightInd w:val="0"/>
        <w:jc w:val="both"/>
        <w:rPr>
          <w:rFonts w:eastAsiaTheme="minorHAnsi" w:cs="Arial"/>
          <w:szCs w:val="24"/>
        </w:rPr>
      </w:pPr>
      <w:r>
        <w:rPr>
          <w:rFonts w:eastAsiaTheme="minorHAnsi" w:cs="Arial"/>
          <w:szCs w:val="24"/>
        </w:rPr>
        <w:lastRenderedPageBreak/>
        <w:t>C</w:t>
      </w:r>
      <w:r w:rsidRPr="001E0B74">
        <w:rPr>
          <w:rFonts w:eastAsiaTheme="minorHAnsi" w:cs="Arial"/>
          <w:szCs w:val="24"/>
        </w:rPr>
        <w:t xml:space="preserve">ompliance </w:t>
      </w:r>
      <w:r w:rsidRPr="008F617E">
        <w:rPr>
          <w:rFonts w:eastAsiaTheme="minorHAnsi" w:cs="Arial"/>
          <w:szCs w:val="24"/>
        </w:rPr>
        <w:t xml:space="preserve">with the </w:t>
      </w:r>
      <w:r>
        <w:rPr>
          <w:rFonts w:eastAsiaTheme="minorHAnsi" w:cs="Arial"/>
          <w:szCs w:val="24"/>
        </w:rPr>
        <w:t>H</w:t>
      </w:r>
      <w:r w:rsidRPr="008F617E">
        <w:rPr>
          <w:rFonts w:eastAsiaTheme="minorHAnsi" w:cs="Arial"/>
          <w:szCs w:val="24"/>
        </w:rPr>
        <w:t>igh-</w:t>
      </w:r>
      <w:r>
        <w:rPr>
          <w:rFonts w:eastAsiaTheme="minorHAnsi" w:cs="Arial"/>
          <w:szCs w:val="24"/>
        </w:rPr>
        <w:t xml:space="preserve">Risk Medicines Policy and associated standards </w:t>
      </w:r>
      <w:r w:rsidRPr="001E0B74">
        <w:rPr>
          <w:rFonts w:eastAsiaTheme="minorHAnsi" w:cs="Arial"/>
          <w:szCs w:val="24"/>
        </w:rPr>
        <w:t>will support the clinical workforce in the safe management and use of high</w:t>
      </w:r>
      <w:r>
        <w:rPr>
          <w:rFonts w:eastAsiaTheme="minorHAnsi" w:cs="Arial"/>
          <w:szCs w:val="24"/>
        </w:rPr>
        <w:t>-</w:t>
      </w:r>
      <w:r w:rsidRPr="001E0B74">
        <w:rPr>
          <w:rFonts w:eastAsiaTheme="minorHAnsi" w:cs="Arial"/>
          <w:szCs w:val="24"/>
        </w:rPr>
        <w:t>risk medicines.</w:t>
      </w:r>
    </w:p>
    <w:p w14:paraId="7FBC2A65" w14:textId="77777777" w:rsidR="00BD0A37" w:rsidRDefault="00BD0A37" w:rsidP="00BD0A37">
      <w:pPr>
        <w:autoSpaceDE w:val="0"/>
        <w:autoSpaceDN w:val="0"/>
        <w:adjustRightInd w:val="0"/>
        <w:jc w:val="both"/>
        <w:rPr>
          <w:rFonts w:eastAsiaTheme="minorHAnsi" w:cs="Arial"/>
          <w:szCs w:val="24"/>
        </w:rPr>
      </w:pPr>
    </w:p>
    <w:p w14:paraId="3742B8F6" w14:textId="6A3C9AF4" w:rsidR="00A86A9D" w:rsidRDefault="00DA5765" w:rsidP="00433E5D">
      <w:pPr>
        <w:jc w:val="right"/>
        <w:rPr>
          <w:rFonts w:cs="Arial"/>
          <w:szCs w:val="24"/>
        </w:rPr>
      </w:pPr>
      <w:hyperlink w:anchor="_Contents" w:history="1">
        <w:r w:rsidR="00BD0A37"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8" w14:textId="77777777" w:rsidTr="009F2977">
        <w:trPr>
          <w:cantSplit/>
          <w:trHeight w:val="285"/>
        </w:trPr>
        <w:tc>
          <w:tcPr>
            <w:tcW w:w="9158" w:type="dxa"/>
            <w:shd w:val="clear" w:color="auto" w:fill="000000"/>
          </w:tcPr>
          <w:p w14:paraId="3742B8F7" w14:textId="77777777" w:rsidR="00A86A9D" w:rsidRPr="001502DF" w:rsidRDefault="00A86A9D" w:rsidP="007A238D">
            <w:pPr>
              <w:pStyle w:val="Heading1"/>
              <w:rPr>
                <w:b w:val="0"/>
                <w:szCs w:val="24"/>
              </w:rPr>
            </w:pPr>
            <w:bookmarkStart w:id="15" w:name="_Toc79149329"/>
            <w:r w:rsidRPr="001502DF">
              <w:rPr>
                <w:szCs w:val="24"/>
              </w:rPr>
              <w:t>Scope</w:t>
            </w:r>
            <w:bookmarkEnd w:id="15"/>
          </w:p>
        </w:tc>
      </w:tr>
    </w:tbl>
    <w:p w14:paraId="3742B8F9" w14:textId="77777777" w:rsidR="00A86A9D" w:rsidRDefault="00A86A9D" w:rsidP="00A86A9D">
      <w:pPr>
        <w:jc w:val="both"/>
        <w:rPr>
          <w:rFonts w:cs="Arial"/>
          <w:b/>
          <w:szCs w:val="24"/>
        </w:rPr>
      </w:pPr>
    </w:p>
    <w:p w14:paraId="0F6E76D5" w14:textId="77777777" w:rsidR="00BD0A37" w:rsidRDefault="00BD0A37" w:rsidP="00BD0A37">
      <w:pPr>
        <w:rPr>
          <w:szCs w:val="24"/>
        </w:rPr>
      </w:pPr>
      <w:r>
        <w:rPr>
          <w:szCs w:val="24"/>
        </w:rPr>
        <w:t xml:space="preserve">This policy applies to all CHS employees, </w:t>
      </w:r>
      <w:r>
        <w:t>working within their scope of practice,</w:t>
      </w:r>
      <w:r>
        <w:rPr>
          <w:szCs w:val="24"/>
        </w:rPr>
        <w:t xml:space="preserve"> providing</w:t>
      </w:r>
      <w:r>
        <w:rPr>
          <w:sz w:val="23"/>
          <w:szCs w:val="23"/>
        </w:rPr>
        <w:t xml:space="preserve"> health services</w:t>
      </w:r>
      <w:r>
        <w:rPr>
          <w:szCs w:val="24"/>
        </w:rPr>
        <w:t xml:space="preserve"> to CHS inpatients, outpatients and those cared for in the community including:</w:t>
      </w:r>
    </w:p>
    <w:p w14:paraId="1BD193DC" w14:textId="77777777" w:rsidR="00BD0A37" w:rsidRPr="006E35A3" w:rsidRDefault="00BD0A37" w:rsidP="00BD0A37">
      <w:pPr>
        <w:pStyle w:val="ListBullet"/>
        <w:rPr>
          <w:rFonts w:cs="Arial"/>
        </w:rPr>
      </w:pPr>
      <w:r>
        <w:t>Medical Officers</w:t>
      </w:r>
    </w:p>
    <w:p w14:paraId="52222787" w14:textId="77777777" w:rsidR="00BD0A37" w:rsidRPr="006E35A3" w:rsidRDefault="00BD0A37" w:rsidP="00BD0A37">
      <w:pPr>
        <w:pStyle w:val="ListBullet"/>
        <w:rPr>
          <w:rFonts w:cs="Arial"/>
        </w:rPr>
      </w:pPr>
      <w:r>
        <w:t>Nurses and Midwives</w:t>
      </w:r>
    </w:p>
    <w:p w14:paraId="03534043" w14:textId="77777777" w:rsidR="00BD0A37" w:rsidRPr="006E35A3" w:rsidRDefault="00BD0A37" w:rsidP="00BD0A37">
      <w:pPr>
        <w:pStyle w:val="ListBullet"/>
        <w:rPr>
          <w:rFonts w:cs="Arial"/>
        </w:rPr>
      </w:pPr>
      <w:r>
        <w:t>Pharmacists</w:t>
      </w:r>
    </w:p>
    <w:p w14:paraId="2BD4F221" w14:textId="77777777" w:rsidR="00BD0A37" w:rsidRPr="00F04464" w:rsidRDefault="00BD0A37" w:rsidP="00BD0A37">
      <w:pPr>
        <w:pStyle w:val="ListBullet"/>
        <w:rPr>
          <w:rFonts w:cs="Arial"/>
        </w:rPr>
      </w:pPr>
      <w:r>
        <w:t>Allied Health Professionals</w:t>
      </w:r>
      <w:r w:rsidRPr="006E35A3">
        <w:t>.</w:t>
      </w:r>
      <w:r w:rsidRPr="006E35A3">
        <w:rPr>
          <w:sz w:val="23"/>
          <w:szCs w:val="23"/>
        </w:rPr>
        <w:t xml:space="preserve"> </w:t>
      </w:r>
    </w:p>
    <w:p w14:paraId="2359A0C7" w14:textId="77777777" w:rsidR="00BD0A37" w:rsidRDefault="00BD0A37" w:rsidP="00BD0A37">
      <w:pPr>
        <w:pStyle w:val="ListBullet"/>
        <w:numPr>
          <w:ilvl w:val="0"/>
          <w:numId w:val="0"/>
        </w:numPr>
      </w:pPr>
    </w:p>
    <w:p w14:paraId="4079B308" w14:textId="77777777" w:rsidR="00BD0A37" w:rsidRDefault="00BD0A37" w:rsidP="00BD0A37">
      <w:pPr>
        <w:pStyle w:val="ListBullet"/>
        <w:numPr>
          <w:ilvl w:val="0"/>
          <w:numId w:val="0"/>
        </w:numPr>
        <w:rPr>
          <w:sz w:val="23"/>
          <w:szCs w:val="23"/>
        </w:rPr>
      </w:pPr>
      <w:r w:rsidRPr="006E35A3">
        <w:t xml:space="preserve">The high-risk </w:t>
      </w:r>
      <w:r>
        <w:t>medicines</w:t>
      </w:r>
      <w:r w:rsidRPr="006E35A3">
        <w:t xml:space="preserve"> policy </w:t>
      </w:r>
      <w:r>
        <w:t>must</w:t>
      </w:r>
      <w:r w:rsidRPr="006E35A3">
        <w:t xml:space="preserve"> be adhered to at all stages of the </w:t>
      </w:r>
      <w:r>
        <w:t xml:space="preserve">medicine </w:t>
      </w:r>
      <w:r w:rsidRPr="006E35A3">
        <w:t>management pathway.</w:t>
      </w:r>
      <w:r w:rsidRPr="006E35A3">
        <w:rPr>
          <w:sz w:val="23"/>
          <w:szCs w:val="23"/>
        </w:rPr>
        <w:t xml:space="preserve"> </w:t>
      </w:r>
    </w:p>
    <w:p w14:paraId="60E75767" w14:textId="77777777" w:rsidR="00433E5D" w:rsidRDefault="00433E5D" w:rsidP="00BD0A37">
      <w:pPr>
        <w:jc w:val="right"/>
      </w:pPr>
    </w:p>
    <w:p w14:paraId="3742B8FD" w14:textId="2610FABD" w:rsidR="00A86A9D" w:rsidRDefault="00DA5765" w:rsidP="00433E5D">
      <w:pPr>
        <w:jc w:val="right"/>
        <w:rPr>
          <w:rFonts w:cs="Arial"/>
          <w:szCs w:val="24"/>
        </w:rPr>
      </w:pPr>
      <w:hyperlink w:anchor="_Contents" w:history="1">
        <w:r w:rsidR="00BD0A37"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F" w14:textId="77777777" w:rsidTr="009F2977">
        <w:trPr>
          <w:cantSplit/>
          <w:trHeight w:val="285"/>
        </w:trPr>
        <w:tc>
          <w:tcPr>
            <w:tcW w:w="9158" w:type="dxa"/>
            <w:shd w:val="clear" w:color="auto" w:fill="000000"/>
          </w:tcPr>
          <w:p w14:paraId="3742B8FE" w14:textId="77777777" w:rsidR="00A86A9D" w:rsidRPr="001502DF" w:rsidRDefault="00A86A9D" w:rsidP="007A238D">
            <w:pPr>
              <w:pStyle w:val="Heading1"/>
              <w:rPr>
                <w:b w:val="0"/>
                <w:szCs w:val="24"/>
              </w:rPr>
            </w:pPr>
            <w:bookmarkStart w:id="16" w:name="_Toc79149330"/>
            <w:r>
              <w:rPr>
                <w:szCs w:val="24"/>
              </w:rPr>
              <w:t>Roles &amp; Responsibilities</w:t>
            </w:r>
            <w:bookmarkEnd w:id="16"/>
          </w:p>
        </w:tc>
      </w:tr>
    </w:tbl>
    <w:p w14:paraId="16395507" w14:textId="77777777" w:rsidR="00BD0A37" w:rsidRPr="001C2451" w:rsidRDefault="00A86A9D" w:rsidP="00BD0A37">
      <w:pPr>
        <w:autoSpaceDE w:val="0"/>
        <w:autoSpaceDN w:val="0"/>
        <w:adjustRightInd w:val="0"/>
        <w:rPr>
          <w:rFonts w:eastAsiaTheme="minorHAnsi" w:cs="Arial"/>
          <w:color w:val="000000"/>
          <w:szCs w:val="24"/>
        </w:rPr>
      </w:pPr>
      <w:r w:rsidRPr="0080485B">
        <w:rPr>
          <w:rFonts w:cs="Arial"/>
          <w:b/>
          <w:szCs w:val="24"/>
        </w:rPr>
        <w:br/>
      </w:r>
      <w:r w:rsidR="00BD0A37" w:rsidRPr="001C2451">
        <w:rPr>
          <w:rFonts w:eastAsiaTheme="minorHAnsi" w:cs="Arial"/>
          <w:b/>
          <w:bCs/>
          <w:color w:val="000000"/>
          <w:szCs w:val="24"/>
        </w:rPr>
        <w:t xml:space="preserve">Clinical staff involved in medication management </w:t>
      </w:r>
    </w:p>
    <w:p w14:paraId="307FB075" w14:textId="77777777" w:rsidR="00BD0A37" w:rsidRDefault="00BD0A37" w:rsidP="00BD0A37">
      <w:pPr>
        <w:rPr>
          <w:rFonts w:eastAsiaTheme="minorHAnsi"/>
        </w:rPr>
      </w:pPr>
      <w:r>
        <w:rPr>
          <w:rFonts w:eastAsiaTheme="minorHAnsi" w:cs="Courier New"/>
          <w:color w:val="000000"/>
          <w:szCs w:val="24"/>
        </w:rPr>
        <w:t>All clinicians m</w:t>
      </w:r>
      <w:r w:rsidRPr="00EF0D96">
        <w:rPr>
          <w:rFonts w:eastAsiaTheme="minorHAnsi" w:cs="Courier New"/>
          <w:color w:val="000000"/>
          <w:szCs w:val="24"/>
        </w:rPr>
        <w:t xml:space="preserve">ust </w:t>
      </w:r>
      <w:r w:rsidRPr="00EF0D96">
        <w:rPr>
          <w:rFonts w:eastAsiaTheme="minorHAnsi" w:cs="Arial"/>
          <w:color w:val="000000"/>
          <w:szCs w:val="24"/>
        </w:rPr>
        <w:t xml:space="preserve">comply with local policies, protocols, </w:t>
      </w:r>
      <w:proofErr w:type="gramStart"/>
      <w:r w:rsidRPr="00EF0D96">
        <w:rPr>
          <w:rFonts w:eastAsiaTheme="minorHAnsi" w:cs="Arial"/>
          <w:color w:val="000000"/>
          <w:szCs w:val="24"/>
        </w:rPr>
        <w:t>guidelines</w:t>
      </w:r>
      <w:proofErr w:type="gramEnd"/>
      <w:r w:rsidRPr="00EF0D96">
        <w:rPr>
          <w:rFonts w:eastAsiaTheme="minorHAnsi" w:cs="Arial"/>
          <w:color w:val="000000"/>
          <w:szCs w:val="24"/>
        </w:rPr>
        <w:t xml:space="preserve"> and standards for high-risk medicines. </w:t>
      </w:r>
    </w:p>
    <w:p w14:paraId="2DA133D9" w14:textId="77777777" w:rsidR="00BD0A37" w:rsidRDefault="00BD0A37" w:rsidP="00BD0A37">
      <w:pPr>
        <w:pStyle w:val="ListParagraph"/>
        <w:autoSpaceDE w:val="0"/>
        <w:autoSpaceDN w:val="0"/>
        <w:adjustRightInd w:val="0"/>
        <w:rPr>
          <w:rFonts w:eastAsiaTheme="minorHAnsi" w:cs="Arial"/>
          <w:color w:val="000000"/>
          <w:szCs w:val="24"/>
        </w:rPr>
      </w:pPr>
    </w:p>
    <w:p w14:paraId="1C4EE047" w14:textId="77777777" w:rsidR="00BD0A37" w:rsidRPr="003629E8" w:rsidRDefault="00BD0A37" w:rsidP="00BD0A37">
      <w:pPr>
        <w:autoSpaceDE w:val="0"/>
        <w:autoSpaceDN w:val="0"/>
        <w:adjustRightInd w:val="0"/>
        <w:rPr>
          <w:rFonts w:eastAsiaTheme="minorHAnsi" w:cs="Arial"/>
          <w:b/>
          <w:szCs w:val="24"/>
        </w:rPr>
      </w:pPr>
      <w:r>
        <w:rPr>
          <w:rFonts w:eastAsiaTheme="minorHAnsi" w:cs="Arial"/>
          <w:b/>
          <w:szCs w:val="24"/>
        </w:rPr>
        <w:t>Drug and Therapeutics C</w:t>
      </w:r>
      <w:r w:rsidRPr="003629E8">
        <w:rPr>
          <w:rFonts w:eastAsiaTheme="minorHAnsi" w:cs="Arial"/>
          <w:b/>
          <w:szCs w:val="24"/>
        </w:rPr>
        <w:t>ommittee</w:t>
      </w:r>
    </w:p>
    <w:p w14:paraId="18FED278" w14:textId="77777777" w:rsidR="00BD0A37" w:rsidRPr="003629E8" w:rsidRDefault="00BD0A37" w:rsidP="00BD0A37">
      <w:pPr>
        <w:autoSpaceDE w:val="0"/>
        <w:autoSpaceDN w:val="0"/>
        <w:adjustRightInd w:val="0"/>
        <w:rPr>
          <w:rFonts w:eastAsiaTheme="minorHAnsi" w:cs="Arial"/>
          <w:szCs w:val="24"/>
        </w:rPr>
      </w:pPr>
      <w:r w:rsidRPr="003629E8">
        <w:rPr>
          <w:rFonts w:eastAsiaTheme="minorHAnsi" w:cs="Arial"/>
          <w:szCs w:val="24"/>
        </w:rPr>
        <w:t xml:space="preserve">Before a new medicine is </w:t>
      </w:r>
      <w:r>
        <w:rPr>
          <w:rFonts w:eastAsiaTheme="minorHAnsi" w:cs="Arial"/>
          <w:szCs w:val="24"/>
        </w:rPr>
        <w:t>listed</w:t>
      </w:r>
      <w:r w:rsidRPr="003629E8">
        <w:rPr>
          <w:rFonts w:eastAsiaTheme="minorHAnsi" w:cs="Arial"/>
          <w:szCs w:val="24"/>
        </w:rPr>
        <w:t xml:space="preserve"> on the hospital formulary </w:t>
      </w:r>
      <w:r>
        <w:rPr>
          <w:rFonts w:eastAsiaTheme="minorHAnsi" w:cs="Arial"/>
          <w:szCs w:val="24"/>
        </w:rPr>
        <w:t xml:space="preserve">the Drug and Therapeutics Committee will consider whether </w:t>
      </w:r>
      <w:r w:rsidRPr="003629E8">
        <w:rPr>
          <w:rFonts w:eastAsiaTheme="minorHAnsi" w:cs="Arial"/>
          <w:szCs w:val="24"/>
        </w:rPr>
        <w:t>the medicine</w:t>
      </w:r>
      <w:r>
        <w:rPr>
          <w:rFonts w:eastAsiaTheme="minorHAnsi" w:cs="Arial"/>
          <w:szCs w:val="24"/>
        </w:rPr>
        <w:t xml:space="preserve"> should</w:t>
      </w:r>
      <w:r w:rsidRPr="003629E8">
        <w:rPr>
          <w:rFonts w:eastAsiaTheme="minorHAnsi" w:cs="Arial"/>
          <w:szCs w:val="24"/>
        </w:rPr>
        <w:t xml:space="preserve"> be included </w:t>
      </w:r>
      <w:r>
        <w:rPr>
          <w:rFonts w:eastAsiaTheme="minorHAnsi" w:cs="Arial"/>
          <w:szCs w:val="24"/>
        </w:rPr>
        <w:t>o</w:t>
      </w:r>
      <w:r w:rsidRPr="003629E8">
        <w:rPr>
          <w:rFonts w:eastAsiaTheme="minorHAnsi" w:cs="Arial"/>
          <w:szCs w:val="24"/>
        </w:rPr>
        <w:t xml:space="preserve">n the </w:t>
      </w:r>
      <w:r>
        <w:rPr>
          <w:rFonts w:eastAsiaTheme="minorHAnsi" w:cs="Arial"/>
          <w:szCs w:val="24"/>
        </w:rPr>
        <w:t>H</w:t>
      </w:r>
      <w:r w:rsidRPr="003629E8">
        <w:rPr>
          <w:rFonts w:eastAsiaTheme="minorHAnsi" w:cs="Arial"/>
          <w:szCs w:val="24"/>
        </w:rPr>
        <w:t>igh-</w:t>
      </w:r>
      <w:r>
        <w:rPr>
          <w:rFonts w:eastAsiaTheme="minorHAnsi" w:cs="Arial"/>
          <w:szCs w:val="24"/>
        </w:rPr>
        <w:t>R</w:t>
      </w:r>
      <w:r w:rsidRPr="003629E8">
        <w:rPr>
          <w:rFonts w:eastAsiaTheme="minorHAnsi" w:cs="Arial"/>
          <w:szCs w:val="24"/>
        </w:rPr>
        <w:t xml:space="preserve">isk </w:t>
      </w:r>
      <w:r>
        <w:rPr>
          <w:rFonts w:eastAsiaTheme="minorHAnsi" w:cs="Arial"/>
          <w:szCs w:val="24"/>
        </w:rPr>
        <w:t>M</w:t>
      </w:r>
      <w:r w:rsidRPr="003629E8">
        <w:rPr>
          <w:rFonts w:eastAsiaTheme="minorHAnsi" w:cs="Arial"/>
          <w:szCs w:val="24"/>
        </w:rPr>
        <w:t xml:space="preserve">edicine </w:t>
      </w:r>
      <w:r>
        <w:rPr>
          <w:rFonts w:eastAsiaTheme="minorHAnsi" w:cs="Arial"/>
          <w:szCs w:val="24"/>
        </w:rPr>
        <w:t>R</w:t>
      </w:r>
      <w:r w:rsidRPr="003629E8">
        <w:rPr>
          <w:rFonts w:eastAsiaTheme="minorHAnsi" w:cs="Arial"/>
          <w:szCs w:val="24"/>
        </w:rPr>
        <w:t>egister</w:t>
      </w:r>
      <w:r>
        <w:rPr>
          <w:rFonts w:eastAsiaTheme="minorHAnsi" w:cs="Arial"/>
          <w:szCs w:val="24"/>
        </w:rPr>
        <w:t>.</w:t>
      </w:r>
      <w:r w:rsidRPr="003629E8">
        <w:rPr>
          <w:rFonts w:eastAsiaTheme="minorHAnsi" w:cs="Arial"/>
          <w:szCs w:val="24"/>
        </w:rPr>
        <w:t xml:space="preserve"> </w:t>
      </w:r>
    </w:p>
    <w:p w14:paraId="02DD14CC" w14:textId="77777777" w:rsidR="00BD0A37" w:rsidRDefault="00BD0A37" w:rsidP="00BD0A37">
      <w:pPr>
        <w:autoSpaceDE w:val="0"/>
        <w:autoSpaceDN w:val="0"/>
        <w:adjustRightInd w:val="0"/>
        <w:rPr>
          <w:rFonts w:eastAsiaTheme="minorHAnsi" w:cs="Arial"/>
          <w:color w:val="000000"/>
          <w:szCs w:val="24"/>
        </w:rPr>
      </w:pPr>
    </w:p>
    <w:p w14:paraId="7673895B" w14:textId="77777777" w:rsidR="00BD0A37" w:rsidRPr="003629E8" w:rsidRDefault="00BD0A37" w:rsidP="00BD0A37">
      <w:pPr>
        <w:autoSpaceDE w:val="0"/>
        <w:autoSpaceDN w:val="0"/>
        <w:adjustRightInd w:val="0"/>
        <w:rPr>
          <w:rFonts w:eastAsiaTheme="minorHAnsi"/>
        </w:rPr>
      </w:pPr>
      <w:r w:rsidRPr="00766EEA">
        <w:rPr>
          <w:rFonts w:eastAsiaTheme="minorHAnsi" w:cs="Arial"/>
          <w:b/>
          <w:bCs/>
          <w:color w:val="000000"/>
          <w:szCs w:val="24"/>
        </w:rPr>
        <w:t xml:space="preserve">Executive Directors, Directors, heads of service/departments and other senior managers </w:t>
      </w:r>
      <w:r>
        <w:rPr>
          <w:rFonts w:eastAsiaTheme="minorHAnsi" w:cs="Arial"/>
          <w:bCs/>
          <w:color w:val="000000"/>
          <w:szCs w:val="24"/>
        </w:rPr>
        <w:t xml:space="preserve">Senior Management will be responsible for </w:t>
      </w:r>
      <w:r>
        <w:rPr>
          <w:rFonts w:eastAsiaTheme="minorHAnsi"/>
        </w:rPr>
        <w:t>p</w:t>
      </w:r>
      <w:r w:rsidRPr="003629E8">
        <w:rPr>
          <w:rFonts w:eastAsiaTheme="minorHAnsi"/>
        </w:rPr>
        <w:t>romot</w:t>
      </w:r>
      <w:r>
        <w:rPr>
          <w:rFonts w:eastAsiaTheme="minorHAnsi"/>
        </w:rPr>
        <w:t xml:space="preserve">ing </w:t>
      </w:r>
      <w:r w:rsidRPr="003629E8">
        <w:rPr>
          <w:rFonts w:eastAsiaTheme="minorHAnsi"/>
        </w:rPr>
        <w:t xml:space="preserve">staff awareness of the </w:t>
      </w:r>
      <w:r>
        <w:rPr>
          <w:rFonts w:eastAsiaTheme="minorHAnsi"/>
        </w:rPr>
        <w:t xml:space="preserve">High-Risk Medicines Policy and the </w:t>
      </w:r>
      <w:r w:rsidRPr="003629E8">
        <w:rPr>
          <w:rFonts w:eastAsiaTheme="minorHAnsi"/>
        </w:rPr>
        <w:t xml:space="preserve">medicines or medicine groups contained </w:t>
      </w:r>
      <w:r>
        <w:rPr>
          <w:rFonts w:eastAsiaTheme="minorHAnsi"/>
        </w:rPr>
        <w:t>on</w:t>
      </w:r>
      <w:r w:rsidRPr="003629E8">
        <w:rPr>
          <w:rFonts w:eastAsiaTheme="minorHAnsi"/>
        </w:rPr>
        <w:t xml:space="preserve"> the </w:t>
      </w:r>
      <w:r>
        <w:rPr>
          <w:rFonts w:eastAsiaTheme="minorHAnsi"/>
        </w:rPr>
        <w:t>H</w:t>
      </w:r>
      <w:r w:rsidRPr="003629E8">
        <w:rPr>
          <w:rFonts w:eastAsiaTheme="minorHAnsi"/>
        </w:rPr>
        <w:t>igh</w:t>
      </w:r>
      <w:r>
        <w:rPr>
          <w:rFonts w:eastAsiaTheme="minorHAnsi"/>
        </w:rPr>
        <w:t>-R</w:t>
      </w:r>
      <w:r w:rsidRPr="003629E8">
        <w:rPr>
          <w:rFonts w:eastAsiaTheme="minorHAnsi"/>
        </w:rPr>
        <w:t xml:space="preserve">isk </w:t>
      </w:r>
      <w:r>
        <w:rPr>
          <w:rFonts w:eastAsiaTheme="minorHAnsi"/>
        </w:rPr>
        <w:t>M</w:t>
      </w:r>
      <w:r w:rsidRPr="003629E8">
        <w:rPr>
          <w:rFonts w:eastAsiaTheme="minorHAnsi"/>
        </w:rPr>
        <w:t xml:space="preserve">edicines </w:t>
      </w:r>
      <w:r>
        <w:rPr>
          <w:rFonts w:eastAsiaTheme="minorHAnsi"/>
        </w:rPr>
        <w:t>Register.</w:t>
      </w:r>
    </w:p>
    <w:p w14:paraId="4969718E" w14:textId="77777777" w:rsidR="00BD0A37" w:rsidRPr="00286D08" w:rsidRDefault="00BD0A37" w:rsidP="00BD0A37">
      <w:pPr>
        <w:autoSpaceDE w:val="0"/>
        <w:autoSpaceDN w:val="0"/>
        <w:adjustRightInd w:val="0"/>
        <w:rPr>
          <w:rFonts w:eastAsiaTheme="minorHAnsi" w:cs="Arial"/>
          <w:color w:val="000000"/>
          <w:szCs w:val="24"/>
        </w:rPr>
      </w:pPr>
    </w:p>
    <w:p w14:paraId="6D362AFA" w14:textId="77777777" w:rsidR="00BD0A37" w:rsidRPr="003629E8" w:rsidRDefault="00BD0A37" w:rsidP="00BD0A37">
      <w:pPr>
        <w:pStyle w:val="Default"/>
        <w:rPr>
          <w:rFonts w:ascii="Calibri" w:eastAsiaTheme="minorHAnsi" w:hAnsi="Calibri" w:cs="Arial"/>
          <w:b/>
          <w:lang w:eastAsia="en-US"/>
        </w:rPr>
      </w:pPr>
      <w:r w:rsidRPr="003629E8">
        <w:rPr>
          <w:rFonts w:ascii="Calibri" w:eastAsiaTheme="minorHAnsi" w:hAnsi="Calibri" w:cs="Arial"/>
          <w:b/>
          <w:lang w:eastAsia="en-US"/>
        </w:rPr>
        <w:t xml:space="preserve">Medication Safety </w:t>
      </w:r>
      <w:r>
        <w:rPr>
          <w:rFonts w:ascii="Calibri" w:eastAsiaTheme="minorHAnsi" w:hAnsi="Calibri" w:cs="Arial"/>
          <w:b/>
          <w:lang w:eastAsia="en-US"/>
        </w:rPr>
        <w:t>Committee</w:t>
      </w:r>
    </w:p>
    <w:p w14:paraId="521BA338" w14:textId="77777777" w:rsidR="00BD0A37" w:rsidRPr="00391ADD" w:rsidRDefault="00BD0A37" w:rsidP="00BD0A37">
      <w:pPr>
        <w:autoSpaceDE w:val="0"/>
        <w:autoSpaceDN w:val="0"/>
        <w:adjustRightInd w:val="0"/>
        <w:rPr>
          <w:rFonts w:eastAsiaTheme="minorHAnsi" w:cs="Arial"/>
          <w:szCs w:val="24"/>
        </w:rPr>
      </w:pPr>
      <w:r>
        <w:rPr>
          <w:rFonts w:eastAsiaTheme="minorHAnsi" w:cs="Arial"/>
          <w:color w:val="000000"/>
          <w:szCs w:val="24"/>
        </w:rPr>
        <w:t>The Medication Safety Committee will be responsible for maintaining</w:t>
      </w:r>
      <w:r w:rsidRPr="00EF0D96">
        <w:rPr>
          <w:rFonts w:eastAsiaTheme="minorHAnsi" w:cs="Arial"/>
          <w:color w:val="000000"/>
          <w:szCs w:val="24"/>
        </w:rPr>
        <w:t xml:space="preserve"> </w:t>
      </w:r>
      <w:r>
        <w:rPr>
          <w:rFonts w:eastAsiaTheme="minorHAnsi" w:cs="Arial"/>
          <w:color w:val="000000"/>
          <w:szCs w:val="24"/>
        </w:rPr>
        <w:t xml:space="preserve">the </w:t>
      </w:r>
      <w:r>
        <w:rPr>
          <w:rFonts w:eastAsiaTheme="minorHAnsi" w:cs="Arial"/>
          <w:szCs w:val="24"/>
        </w:rPr>
        <w:t>H</w:t>
      </w:r>
      <w:r w:rsidRPr="003629E8">
        <w:rPr>
          <w:rFonts w:eastAsiaTheme="minorHAnsi" w:cs="Arial"/>
          <w:szCs w:val="24"/>
        </w:rPr>
        <w:t>igh-</w:t>
      </w:r>
      <w:r>
        <w:rPr>
          <w:rFonts w:eastAsiaTheme="minorHAnsi" w:cs="Arial"/>
          <w:szCs w:val="24"/>
        </w:rPr>
        <w:t>R</w:t>
      </w:r>
      <w:r w:rsidRPr="003629E8">
        <w:rPr>
          <w:rFonts w:eastAsiaTheme="minorHAnsi" w:cs="Arial"/>
          <w:szCs w:val="24"/>
        </w:rPr>
        <w:t xml:space="preserve">isk </w:t>
      </w:r>
      <w:r>
        <w:rPr>
          <w:rFonts w:eastAsiaTheme="minorHAnsi" w:cs="Arial"/>
          <w:szCs w:val="24"/>
        </w:rPr>
        <w:t>M</w:t>
      </w:r>
      <w:r w:rsidRPr="003629E8">
        <w:rPr>
          <w:rFonts w:eastAsiaTheme="minorHAnsi" w:cs="Arial"/>
          <w:szCs w:val="24"/>
        </w:rPr>
        <w:t xml:space="preserve">edicine </w:t>
      </w:r>
      <w:r>
        <w:rPr>
          <w:rFonts w:eastAsiaTheme="minorHAnsi" w:cs="Arial"/>
          <w:szCs w:val="24"/>
        </w:rPr>
        <w:t>R</w:t>
      </w:r>
      <w:r w:rsidRPr="003629E8">
        <w:rPr>
          <w:rFonts w:eastAsiaTheme="minorHAnsi" w:cs="Arial"/>
          <w:szCs w:val="24"/>
        </w:rPr>
        <w:t xml:space="preserve">egister </w:t>
      </w:r>
      <w:r>
        <w:rPr>
          <w:rFonts w:eastAsiaTheme="minorHAnsi" w:cs="Arial"/>
          <w:color w:val="000000"/>
          <w:szCs w:val="24"/>
        </w:rPr>
        <w:t>and ensuring risk reduction strategies are effective.</w:t>
      </w:r>
    </w:p>
    <w:p w14:paraId="0951727D" w14:textId="77777777" w:rsidR="00BD0A37" w:rsidRPr="00B14BBE" w:rsidRDefault="00BD0A37" w:rsidP="00BD0A37">
      <w:pPr>
        <w:pStyle w:val="ListParagraph"/>
        <w:autoSpaceDE w:val="0"/>
        <w:autoSpaceDN w:val="0"/>
        <w:adjustRightInd w:val="0"/>
        <w:rPr>
          <w:rFonts w:eastAsiaTheme="minorHAnsi" w:cs="Arial"/>
          <w:color w:val="000000"/>
          <w:szCs w:val="24"/>
        </w:rPr>
      </w:pPr>
    </w:p>
    <w:p w14:paraId="14A1E268" w14:textId="77777777" w:rsidR="00BD0A37" w:rsidRPr="003629E8" w:rsidRDefault="00BD0A37" w:rsidP="00BD0A37">
      <w:pPr>
        <w:pStyle w:val="Default"/>
        <w:rPr>
          <w:rFonts w:ascii="Calibri" w:eastAsiaTheme="minorHAnsi" w:hAnsi="Calibri" w:cs="Arial"/>
          <w:lang w:eastAsia="en-US"/>
        </w:rPr>
      </w:pPr>
      <w:r>
        <w:rPr>
          <w:rFonts w:ascii="Calibri" w:hAnsi="Calibri"/>
          <w:b/>
          <w:bCs/>
        </w:rPr>
        <w:t xml:space="preserve">The </w:t>
      </w:r>
      <w:r w:rsidRPr="003629E8">
        <w:rPr>
          <w:rFonts w:ascii="Calibri" w:hAnsi="Calibri"/>
          <w:b/>
          <w:bCs/>
        </w:rPr>
        <w:t>Quality</w:t>
      </w:r>
      <w:r>
        <w:rPr>
          <w:rFonts w:ascii="Calibri" w:hAnsi="Calibri"/>
          <w:b/>
          <w:bCs/>
        </w:rPr>
        <w:t>, Safety and Innovations and Improvement Division</w:t>
      </w:r>
    </w:p>
    <w:p w14:paraId="7B52F637" w14:textId="7F837158" w:rsidR="00BD0A37" w:rsidRDefault="00BD0A37" w:rsidP="00BD0A37">
      <w:pPr>
        <w:autoSpaceDE w:val="0"/>
        <w:autoSpaceDN w:val="0"/>
        <w:adjustRightInd w:val="0"/>
        <w:rPr>
          <w:rFonts w:eastAsiaTheme="minorHAnsi" w:cs="Arial"/>
          <w:szCs w:val="24"/>
        </w:rPr>
      </w:pPr>
      <w:r>
        <w:rPr>
          <w:rFonts w:eastAsiaTheme="minorHAnsi" w:cs="Arial"/>
          <w:szCs w:val="24"/>
        </w:rPr>
        <w:t>T</w:t>
      </w:r>
      <w:r w:rsidRPr="006A73AD">
        <w:rPr>
          <w:rFonts w:eastAsiaTheme="minorHAnsi" w:cs="Arial"/>
          <w:szCs w:val="24"/>
        </w:rPr>
        <w:t xml:space="preserve">he </w:t>
      </w:r>
      <w:r>
        <w:rPr>
          <w:rFonts w:eastAsiaTheme="minorHAnsi" w:cs="Arial"/>
          <w:szCs w:val="24"/>
        </w:rPr>
        <w:t>Quality Assurance Team w</w:t>
      </w:r>
      <w:r>
        <w:rPr>
          <w:rFonts w:eastAsiaTheme="minorHAnsi" w:cs="Arial"/>
          <w:color w:val="000000"/>
          <w:szCs w:val="24"/>
        </w:rPr>
        <w:t xml:space="preserve">ill include high risk medication audit in the clinical audit program and report the data collected to Pharmacy, Medication Safety </w:t>
      </w:r>
      <w:proofErr w:type="gramStart"/>
      <w:r>
        <w:rPr>
          <w:rFonts w:eastAsiaTheme="minorHAnsi" w:cs="Arial"/>
          <w:color w:val="000000"/>
          <w:szCs w:val="24"/>
        </w:rPr>
        <w:t>Committee</w:t>
      </w:r>
      <w:proofErr w:type="gramEnd"/>
      <w:r>
        <w:rPr>
          <w:rFonts w:eastAsiaTheme="minorHAnsi" w:cs="Arial"/>
          <w:color w:val="000000"/>
          <w:szCs w:val="24"/>
        </w:rPr>
        <w:t xml:space="preserve"> and clinical units as per “Clinical Audit Program Guideline”.  </w:t>
      </w:r>
      <w:r w:rsidRPr="00EF0D96">
        <w:rPr>
          <w:rFonts w:eastAsiaTheme="minorHAnsi" w:cs="Arial"/>
          <w:color w:val="000000"/>
          <w:szCs w:val="24"/>
        </w:rPr>
        <w:t xml:space="preserve"> </w:t>
      </w:r>
      <w:r>
        <w:rPr>
          <w:rFonts w:eastAsiaTheme="minorHAnsi" w:cs="Arial"/>
          <w:color w:val="000000"/>
          <w:szCs w:val="24"/>
        </w:rPr>
        <w:t xml:space="preserve">The Incident Management Team will </w:t>
      </w:r>
      <w:r w:rsidRPr="003629E8">
        <w:rPr>
          <w:rFonts w:eastAsiaTheme="minorHAnsi" w:cs="Arial"/>
          <w:szCs w:val="24"/>
        </w:rPr>
        <w:t>respond to high</w:t>
      </w:r>
      <w:r>
        <w:rPr>
          <w:rFonts w:eastAsiaTheme="minorHAnsi" w:cs="Arial"/>
          <w:szCs w:val="24"/>
        </w:rPr>
        <w:t>-</w:t>
      </w:r>
      <w:r w:rsidRPr="003629E8">
        <w:rPr>
          <w:rFonts w:eastAsiaTheme="minorHAnsi" w:cs="Arial"/>
          <w:szCs w:val="24"/>
        </w:rPr>
        <w:t xml:space="preserve">risk medicine incidents </w:t>
      </w:r>
      <w:r>
        <w:rPr>
          <w:rFonts w:eastAsiaTheme="minorHAnsi" w:cs="Arial"/>
          <w:szCs w:val="24"/>
        </w:rPr>
        <w:t xml:space="preserve">reported in the incident management system </w:t>
      </w:r>
      <w:r w:rsidRPr="003629E8">
        <w:rPr>
          <w:rFonts w:eastAsiaTheme="minorHAnsi" w:cs="Arial"/>
          <w:szCs w:val="24"/>
        </w:rPr>
        <w:t xml:space="preserve">with a </w:t>
      </w:r>
      <w:r w:rsidRPr="003629E8">
        <w:rPr>
          <w:rFonts w:eastAsiaTheme="minorHAnsi" w:cs="Arial"/>
          <w:szCs w:val="24"/>
        </w:rPr>
        <w:lastRenderedPageBreak/>
        <w:t>focus on systems improvement</w:t>
      </w:r>
      <w:r>
        <w:rPr>
          <w:rFonts w:eastAsiaTheme="minorHAnsi" w:cs="Arial"/>
          <w:szCs w:val="24"/>
        </w:rPr>
        <w:t xml:space="preserve"> as per “Incident Management Policy” and “Incident Management Procedure”.</w:t>
      </w:r>
    </w:p>
    <w:p w14:paraId="035E95E6" w14:textId="77777777" w:rsidR="00433E5D" w:rsidRDefault="00433E5D" w:rsidP="00BD0A37">
      <w:pPr>
        <w:jc w:val="right"/>
      </w:pPr>
    </w:p>
    <w:p w14:paraId="45F63C62" w14:textId="5EA93DCB" w:rsidR="009524AC" w:rsidRPr="00407F9E" w:rsidRDefault="00DA5765" w:rsidP="00BD0A37">
      <w:pPr>
        <w:jc w:val="right"/>
        <w:rPr>
          <w:rFonts w:cs="Arial"/>
          <w:i/>
          <w:iCs/>
          <w:szCs w:val="24"/>
        </w:rPr>
      </w:pPr>
      <w:hyperlink w:anchor="_Contents" w:history="1">
        <w:r w:rsidR="00BD0A37"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2C4347" w:rsidRPr="001B2BAC" w14:paraId="4D74A5BF" w14:textId="77777777" w:rsidTr="00D240DA">
        <w:trPr>
          <w:cantSplit/>
          <w:trHeight w:val="285"/>
        </w:trPr>
        <w:tc>
          <w:tcPr>
            <w:tcW w:w="9158" w:type="dxa"/>
            <w:shd w:val="clear" w:color="auto" w:fill="000000"/>
          </w:tcPr>
          <w:p w14:paraId="5AE2E4E9" w14:textId="77777777" w:rsidR="002C4347" w:rsidRPr="001502DF" w:rsidRDefault="002C4347" w:rsidP="00D240DA">
            <w:pPr>
              <w:pStyle w:val="Heading1"/>
              <w:rPr>
                <w:b w:val="0"/>
                <w:szCs w:val="24"/>
              </w:rPr>
            </w:pPr>
            <w:bookmarkStart w:id="17" w:name="_Toc42679943"/>
            <w:bookmarkStart w:id="18" w:name="_Toc79149331"/>
            <w:r>
              <w:rPr>
                <w:szCs w:val="24"/>
              </w:rPr>
              <w:t>Section 1 – High-Risk Medicines Register</w:t>
            </w:r>
            <w:bookmarkEnd w:id="17"/>
            <w:bookmarkEnd w:id="18"/>
          </w:p>
        </w:tc>
      </w:tr>
    </w:tbl>
    <w:p w14:paraId="0F0767D5" w14:textId="77777777" w:rsidR="002C4347" w:rsidRDefault="002C4347" w:rsidP="002C4347">
      <w:pPr>
        <w:rPr>
          <w:rFonts w:cs="Arial"/>
          <w:b/>
          <w:sz w:val="28"/>
          <w:szCs w:val="28"/>
        </w:rPr>
      </w:pPr>
    </w:p>
    <w:p w14:paraId="2A2708E2" w14:textId="77777777" w:rsidR="002C4347" w:rsidRPr="00E205F0" w:rsidRDefault="002C4347" w:rsidP="002C4347">
      <w:pPr>
        <w:autoSpaceDE w:val="0"/>
        <w:autoSpaceDN w:val="0"/>
        <w:adjustRightInd w:val="0"/>
        <w:rPr>
          <w:rFonts w:eastAsiaTheme="minorEastAsia" w:cs="Arial"/>
        </w:rPr>
      </w:pPr>
      <w:bookmarkStart w:id="19" w:name="_Hlk42680171"/>
      <w:r w:rsidRPr="3B77FD41">
        <w:rPr>
          <w:rFonts w:cs="Arial"/>
        </w:rPr>
        <w:t xml:space="preserve">The CHS High-Risk Medicines Register is found on the CHS Policy and Guidance Document Register. Medicines </w:t>
      </w:r>
      <w:r w:rsidRPr="3B77FD41">
        <w:rPr>
          <w:rFonts w:eastAsiaTheme="minorEastAsia" w:cs="Arial"/>
        </w:rPr>
        <w:t>used within the organisation that are considered to be high-risk or</w:t>
      </w:r>
      <w:r w:rsidRPr="3B77FD41">
        <w:rPr>
          <w:rFonts w:cs="Arial"/>
        </w:rPr>
        <w:t xml:space="preserve"> deemed high-risk when used for treatment of specific patient populations or within specific clinical settings, are included in the high-risk medicines register, </w:t>
      </w:r>
      <w:proofErr w:type="gramStart"/>
      <w:r w:rsidRPr="3B77FD41">
        <w:rPr>
          <w:rFonts w:cs="Arial"/>
        </w:rPr>
        <w:t>e.g.</w:t>
      </w:r>
      <w:proofErr w:type="gramEnd"/>
      <w:r w:rsidRPr="3B77FD41">
        <w:rPr>
          <w:rFonts w:cs="Arial"/>
        </w:rPr>
        <w:t xml:space="preserve"> </w:t>
      </w:r>
      <w:r>
        <w:rPr>
          <w:rFonts w:eastAsiaTheme="minorEastAsia" w:cs="Arial"/>
        </w:rPr>
        <w:t>n</w:t>
      </w:r>
      <w:r w:rsidRPr="3B77FD41">
        <w:rPr>
          <w:rFonts w:eastAsiaTheme="minorEastAsia" w:cs="Arial"/>
        </w:rPr>
        <w:t xml:space="preserve">euromuscular blocking agents (NMBA) and clozapine. Medication groups </w:t>
      </w:r>
      <w:r w:rsidRPr="3B77FD41">
        <w:rPr>
          <w:rFonts w:cs="Arial"/>
        </w:rPr>
        <w:t xml:space="preserve">as </w:t>
      </w:r>
      <w:r>
        <w:t xml:space="preserve">recommended by the Clinical Excellence Commission </w:t>
      </w:r>
      <w:r w:rsidRPr="3B77FD41">
        <w:rPr>
          <w:rFonts w:cs="Arial"/>
        </w:rPr>
        <w:t>and represented by the acronym “A PINCH” are also included in the CHS High-Risk Medicines Register</w:t>
      </w:r>
    </w:p>
    <w:p w14:paraId="368C89EA" w14:textId="77777777" w:rsidR="002C4347" w:rsidRDefault="002C4347" w:rsidP="002C4347">
      <w:pPr>
        <w:autoSpaceDE w:val="0"/>
        <w:autoSpaceDN w:val="0"/>
        <w:adjustRightInd w:val="0"/>
        <w:rPr>
          <w:szCs w:val="24"/>
        </w:rPr>
      </w:pPr>
    </w:p>
    <w:tbl>
      <w:tblPr>
        <w:tblStyle w:val="TableGrid"/>
        <w:tblW w:w="0" w:type="auto"/>
        <w:tblLook w:val="04A0" w:firstRow="1" w:lastRow="0" w:firstColumn="1" w:lastColumn="0" w:noHBand="0" w:noVBand="1"/>
      </w:tblPr>
      <w:tblGrid>
        <w:gridCol w:w="764"/>
        <w:gridCol w:w="3387"/>
      </w:tblGrid>
      <w:tr w:rsidR="002C4347" w:rsidRPr="00407F9E" w14:paraId="19DF87B2" w14:textId="77777777" w:rsidTr="00D240DA">
        <w:tc>
          <w:tcPr>
            <w:tcW w:w="764" w:type="dxa"/>
          </w:tcPr>
          <w:p w14:paraId="4893983F" w14:textId="77777777" w:rsidR="002C4347" w:rsidRPr="00407F9E" w:rsidRDefault="002C4347" w:rsidP="00D240DA">
            <w:pPr>
              <w:autoSpaceDE w:val="0"/>
              <w:autoSpaceDN w:val="0"/>
              <w:adjustRightInd w:val="0"/>
              <w:rPr>
                <w:rFonts w:asciiTheme="minorHAnsi" w:hAnsiTheme="minorHAnsi" w:cstheme="minorHAnsi"/>
                <w:b/>
                <w:szCs w:val="24"/>
              </w:rPr>
            </w:pPr>
          </w:p>
        </w:tc>
        <w:tc>
          <w:tcPr>
            <w:tcW w:w="3387" w:type="dxa"/>
          </w:tcPr>
          <w:p w14:paraId="6144723D" w14:textId="77777777" w:rsidR="002C4347" w:rsidRPr="00407F9E" w:rsidRDefault="002C4347" w:rsidP="00D240DA">
            <w:pPr>
              <w:autoSpaceDE w:val="0"/>
              <w:autoSpaceDN w:val="0"/>
              <w:adjustRightInd w:val="0"/>
              <w:rPr>
                <w:rFonts w:asciiTheme="minorHAnsi" w:hAnsiTheme="minorHAnsi" w:cstheme="minorHAnsi"/>
                <w:b/>
                <w:bCs/>
                <w:szCs w:val="24"/>
              </w:rPr>
            </w:pPr>
            <w:r w:rsidRPr="00407F9E">
              <w:rPr>
                <w:rFonts w:asciiTheme="minorHAnsi" w:eastAsiaTheme="minorHAnsi" w:hAnsiTheme="minorHAnsi" w:cstheme="minorHAnsi"/>
                <w:b/>
                <w:bCs/>
                <w:color w:val="000000"/>
                <w:sz w:val="22"/>
                <w:szCs w:val="22"/>
              </w:rPr>
              <w:t>High-Risk Medicine Groups</w:t>
            </w:r>
          </w:p>
        </w:tc>
      </w:tr>
      <w:tr w:rsidR="002C4347" w:rsidRPr="00407F9E" w14:paraId="0BE2C960" w14:textId="77777777" w:rsidTr="00D240DA">
        <w:tc>
          <w:tcPr>
            <w:tcW w:w="764" w:type="dxa"/>
          </w:tcPr>
          <w:p w14:paraId="2F6582F8" w14:textId="77777777" w:rsidR="002C4347" w:rsidRPr="00407F9E" w:rsidRDefault="002C4347" w:rsidP="00D240DA">
            <w:pPr>
              <w:autoSpaceDE w:val="0"/>
              <w:autoSpaceDN w:val="0"/>
              <w:adjustRightInd w:val="0"/>
              <w:jc w:val="center"/>
              <w:rPr>
                <w:rFonts w:asciiTheme="minorHAnsi" w:hAnsiTheme="minorHAnsi" w:cstheme="minorHAnsi"/>
                <w:b/>
                <w:szCs w:val="24"/>
              </w:rPr>
            </w:pPr>
            <w:r w:rsidRPr="00407F9E">
              <w:rPr>
                <w:rFonts w:asciiTheme="minorHAnsi" w:hAnsiTheme="minorHAnsi" w:cstheme="minorHAnsi"/>
                <w:b/>
                <w:szCs w:val="24"/>
              </w:rPr>
              <w:t>A</w:t>
            </w:r>
          </w:p>
        </w:tc>
        <w:tc>
          <w:tcPr>
            <w:tcW w:w="3387" w:type="dxa"/>
          </w:tcPr>
          <w:p w14:paraId="645E2C9F" w14:textId="77777777" w:rsidR="002C4347" w:rsidRPr="00407F9E" w:rsidRDefault="002C4347" w:rsidP="00D240DA">
            <w:pPr>
              <w:autoSpaceDE w:val="0"/>
              <w:autoSpaceDN w:val="0"/>
              <w:adjustRightInd w:val="0"/>
              <w:rPr>
                <w:rFonts w:asciiTheme="minorHAnsi" w:eastAsiaTheme="minorHAnsi" w:hAnsiTheme="minorHAnsi" w:cstheme="minorHAnsi"/>
                <w:color w:val="000000"/>
                <w:sz w:val="22"/>
                <w:szCs w:val="22"/>
              </w:rPr>
            </w:pPr>
            <w:r w:rsidRPr="00407F9E">
              <w:rPr>
                <w:rFonts w:asciiTheme="minorHAnsi" w:eastAsiaTheme="minorHAnsi" w:hAnsiTheme="minorHAnsi" w:cstheme="minorHAnsi"/>
                <w:color w:val="000000"/>
                <w:sz w:val="22"/>
                <w:szCs w:val="22"/>
              </w:rPr>
              <w:t>Anti-infectives</w:t>
            </w:r>
          </w:p>
        </w:tc>
      </w:tr>
      <w:tr w:rsidR="002C4347" w:rsidRPr="00407F9E" w14:paraId="1E6DB195" w14:textId="77777777" w:rsidTr="00D240DA">
        <w:tc>
          <w:tcPr>
            <w:tcW w:w="764" w:type="dxa"/>
          </w:tcPr>
          <w:p w14:paraId="165413C9" w14:textId="77777777" w:rsidR="002C4347" w:rsidRPr="00407F9E" w:rsidRDefault="002C4347" w:rsidP="00D240DA">
            <w:pPr>
              <w:autoSpaceDE w:val="0"/>
              <w:autoSpaceDN w:val="0"/>
              <w:adjustRightInd w:val="0"/>
              <w:jc w:val="center"/>
              <w:rPr>
                <w:rFonts w:asciiTheme="minorHAnsi" w:hAnsiTheme="minorHAnsi" w:cstheme="minorHAnsi"/>
                <w:b/>
                <w:szCs w:val="24"/>
              </w:rPr>
            </w:pPr>
            <w:r w:rsidRPr="00407F9E">
              <w:rPr>
                <w:rFonts w:asciiTheme="minorHAnsi" w:hAnsiTheme="minorHAnsi" w:cstheme="minorHAnsi"/>
                <w:b/>
                <w:szCs w:val="24"/>
              </w:rPr>
              <w:t>P</w:t>
            </w:r>
          </w:p>
        </w:tc>
        <w:tc>
          <w:tcPr>
            <w:tcW w:w="3387" w:type="dxa"/>
          </w:tcPr>
          <w:p w14:paraId="3287CA6E" w14:textId="77777777" w:rsidR="002C4347" w:rsidRPr="00407F9E" w:rsidRDefault="002C4347" w:rsidP="00D240DA">
            <w:pPr>
              <w:autoSpaceDE w:val="0"/>
              <w:autoSpaceDN w:val="0"/>
              <w:adjustRightInd w:val="0"/>
              <w:rPr>
                <w:rFonts w:asciiTheme="minorHAnsi" w:hAnsiTheme="minorHAnsi" w:cstheme="minorHAnsi"/>
                <w:szCs w:val="24"/>
              </w:rPr>
            </w:pPr>
            <w:r w:rsidRPr="00407F9E">
              <w:rPr>
                <w:rFonts w:asciiTheme="minorHAnsi" w:eastAsiaTheme="minorHAnsi" w:hAnsiTheme="minorHAnsi" w:cstheme="minorHAnsi"/>
                <w:color w:val="000000"/>
                <w:sz w:val="22"/>
                <w:szCs w:val="22"/>
              </w:rPr>
              <w:t>Potassium and other electrolytes</w:t>
            </w:r>
          </w:p>
        </w:tc>
      </w:tr>
      <w:tr w:rsidR="002C4347" w:rsidRPr="00407F9E" w14:paraId="2E22F9ED" w14:textId="77777777" w:rsidTr="00D240DA">
        <w:tc>
          <w:tcPr>
            <w:tcW w:w="764" w:type="dxa"/>
          </w:tcPr>
          <w:p w14:paraId="71426FE0" w14:textId="77777777" w:rsidR="002C4347" w:rsidRPr="00407F9E" w:rsidRDefault="002C4347" w:rsidP="00D240DA">
            <w:pPr>
              <w:autoSpaceDE w:val="0"/>
              <w:autoSpaceDN w:val="0"/>
              <w:adjustRightInd w:val="0"/>
              <w:jc w:val="center"/>
              <w:rPr>
                <w:rFonts w:asciiTheme="minorHAnsi" w:hAnsiTheme="minorHAnsi" w:cstheme="minorHAnsi"/>
                <w:b/>
                <w:szCs w:val="24"/>
              </w:rPr>
            </w:pPr>
            <w:r w:rsidRPr="00407F9E">
              <w:rPr>
                <w:rFonts w:asciiTheme="minorHAnsi" w:hAnsiTheme="minorHAnsi" w:cstheme="minorHAnsi"/>
                <w:b/>
                <w:szCs w:val="24"/>
              </w:rPr>
              <w:t>I</w:t>
            </w:r>
          </w:p>
        </w:tc>
        <w:tc>
          <w:tcPr>
            <w:tcW w:w="3387" w:type="dxa"/>
          </w:tcPr>
          <w:p w14:paraId="1CCAE0E9" w14:textId="77777777" w:rsidR="002C4347" w:rsidRPr="00407F9E" w:rsidRDefault="002C4347" w:rsidP="00D240DA">
            <w:pPr>
              <w:autoSpaceDE w:val="0"/>
              <w:autoSpaceDN w:val="0"/>
              <w:adjustRightInd w:val="0"/>
              <w:rPr>
                <w:rFonts w:asciiTheme="minorHAnsi" w:hAnsiTheme="minorHAnsi" w:cstheme="minorHAnsi"/>
                <w:szCs w:val="24"/>
              </w:rPr>
            </w:pPr>
            <w:r w:rsidRPr="00407F9E">
              <w:rPr>
                <w:rFonts w:asciiTheme="minorHAnsi" w:eastAsiaTheme="minorHAnsi" w:hAnsiTheme="minorHAnsi" w:cstheme="minorHAnsi"/>
                <w:color w:val="000000"/>
                <w:sz w:val="22"/>
                <w:szCs w:val="22"/>
              </w:rPr>
              <w:t>Insulin</w:t>
            </w:r>
          </w:p>
        </w:tc>
      </w:tr>
      <w:tr w:rsidR="002C4347" w:rsidRPr="00407F9E" w14:paraId="423FDEDA" w14:textId="77777777" w:rsidTr="00D240DA">
        <w:tc>
          <w:tcPr>
            <w:tcW w:w="764" w:type="dxa"/>
          </w:tcPr>
          <w:p w14:paraId="0EDAC42E" w14:textId="77777777" w:rsidR="002C4347" w:rsidRPr="00407F9E" w:rsidRDefault="002C4347" w:rsidP="00D240DA">
            <w:pPr>
              <w:autoSpaceDE w:val="0"/>
              <w:autoSpaceDN w:val="0"/>
              <w:adjustRightInd w:val="0"/>
              <w:jc w:val="center"/>
              <w:rPr>
                <w:rFonts w:asciiTheme="minorHAnsi" w:hAnsiTheme="minorHAnsi" w:cstheme="minorHAnsi"/>
                <w:b/>
                <w:szCs w:val="24"/>
              </w:rPr>
            </w:pPr>
            <w:r w:rsidRPr="00407F9E">
              <w:rPr>
                <w:rFonts w:asciiTheme="minorHAnsi" w:hAnsiTheme="minorHAnsi" w:cstheme="minorHAnsi"/>
                <w:b/>
                <w:szCs w:val="24"/>
              </w:rPr>
              <w:t>N</w:t>
            </w:r>
          </w:p>
        </w:tc>
        <w:tc>
          <w:tcPr>
            <w:tcW w:w="3387" w:type="dxa"/>
          </w:tcPr>
          <w:p w14:paraId="79A4CC55" w14:textId="77777777" w:rsidR="002C4347" w:rsidRPr="00407F9E" w:rsidRDefault="002C4347" w:rsidP="00D240DA">
            <w:pPr>
              <w:autoSpaceDE w:val="0"/>
              <w:autoSpaceDN w:val="0"/>
              <w:adjustRightInd w:val="0"/>
              <w:rPr>
                <w:rFonts w:asciiTheme="minorHAnsi" w:hAnsiTheme="minorHAnsi" w:cstheme="minorHAnsi"/>
                <w:szCs w:val="24"/>
              </w:rPr>
            </w:pPr>
            <w:r w:rsidRPr="00407F9E">
              <w:rPr>
                <w:rFonts w:asciiTheme="minorHAnsi" w:eastAsiaTheme="minorHAnsi" w:hAnsiTheme="minorHAnsi" w:cstheme="minorHAnsi"/>
                <w:color w:val="000000"/>
                <w:sz w:val="22"/>
                <w:szCs w:val="22"/>
              </w:rPr>
              <w:t>Narcotics and other sedatives</w:t>
            </w:r>
          </w:p>
        </w:tc>
      </w:tr>
      <w:tr w:rsidR="002C4347" w:rsidRPr="00407F9E" w14:paraId="6948009F" w14:textId="77777777" w:rsidTr="00D240DA">
        <w:tc>
          <w:tcPr>
            <w:tcW w:w="764" w:type="dxa"/>
          </w:tcPr>
          <w:p w14:paraId="27552258" w14:textId="77777777" w:rsidR="002C4347" w:rsidRPr="00407F9E" w:rsidRDefault="002C4347" w:rsidP="00D240DA">
            <w:pPr>
              <w:autoSpaceDE w:val="0"/>
              <w:autoSpaceDN w:val="0"/>
              <w:adjustRightInd w:val="0"/>
              <w:jc w:val="center"/>
              <w:rPr>
                <w:rFonts w:asciiTheme="minorHAnsi" w:hAnsiTheme="minorHAnsi" w:cstheme="minorHAnsi"/>
                <w:b/>
                <w:szCs w:val="24"/>
              </w:rPr>
            </w:pPr>
            <w:r w:rsidRPr="00407F9E">
              <w:rPr>
                <w:rFonts w:asciiTheme="minorHAnsi" w:hAnsiTheme="minorHAnsi" w:cstheme="minorHAnsi"/>
                <w:b/>
                <w:szCs w:val="24"/>
              </w:rPr>
              <w:t>C</w:t>
            </w:r>
          </w:p>
        </w:tc>
        <w:tc>
          <w:tcPr>
            <w:tcW w:w="3387" w:type="dxa"/>
          </w:tcPr>
          <w:p w14:paraId="081358F2" w14:textId="77777777" w:rsidR="002C4347" w:rsidRPr="00407F9E" w:rsidRDefault="002C4347" w:rsidP="00D240DA">
            <w:pPr>
              <w:autoSpaceDE w:val="0"/>
              <w:autoSpaceDN w:val="0"/>
              <w:adjustRightInd w:val="0"/>
              <w:rPr>
                <w:rFonts w:asciiTheme="minorHAnsi" w:hAnsiTheme="minorHAnsi" w:cstheme="minorHAnsi"/>
                <w:szCs w:val="24"/>
              </w:rPr>
            </w:pPr>
            <w:r w:rsidRPr="00407F9E">
              <w:rPr>
                <w:rFonts w:asciiTheme="minorHAnsi" w:eastAsiaTheme="minorHAnsi" w:hAnsiTheme="minorHAnsi" w:cstheme="minorHAnsi"/>
                <w:color w:val="000000"/>
                <w:sz w:val="22"/>
                <w:szCs w:val="22"/>
              </w:rPr>
              <w:t>Chemotherapeutic agents</w:t>
            </w:r>
          </w:p>
        </w:tc>
      </w:tr>
      <w:tr w:rsidR="002C4347" w:rsidRPr="00407F9E" w14:paraId="0D971731" w14:textId="77777777" w:rsidTr="00D240DA">
        <w:tc>
          <w:tcPr>
            <w:tcW w:w="764" w:type="dxa"/>
          </w:tcPr>
          <w:p w14:paraId="0A4CC342" w14:textId="77777777" w:rsidR="002C4347" w:rsidRPr="00407F9E" w:rsidRDefault="002C4347" w:rsidP="00D240DA">
            <w:pPr>
              <w:autoSpaceDE w:val="0"/>
              <w:autoSpaceDN w:val="0"/>
              <w:adjustRightInd w:val="0"/>
              <w:jc w:val="center"/>
              <w:rPr>
                <w:rFonts w:asciiTheme="minorHAnsi" w:hAnsiTheme="minorHAnsi" w:cstheme="minorHAnsi"/>
                <w:b/>
                <w:szCs w:val="24"/>
              </w:rPr>
            </w:pPr>
            <w:r w:rsidRPr="00407F9E">
              <w:rPr>
                <w:rFonts w:asciiTheme="minorHAnsi" w:hAnsiTheme="minorHAnsi" w:cstheme="minorHAnsi"/>
                <w:b/>
                <w:szCs w:val="24"/>
              </w:rPr>
              <w:t>H</w:t>
            </w:r>
          </w:p>
        </w:tc>
        <w:tc>
          <w:tcPr>
            <w:tcW w:w="3387" w:type="dxa"/>
          </w:tcPr>
          <w:p w14:paraId="3DEB793E" w14:textId="77777777" w:rsidR="002C4347" w:rsidRPr="00407F9E" w:rsidRDefault="002C4347" w:rsidP="00D240DA">
            <w:pPr>
              <w:autoSpaceDE w:val="0"/>
              <w:autoSpaceDN w:val="0"/>
              <w:adjustRightInd w:val="0"/>
              <w:rPr>
                <w:rFonts w:asciiTheme="minorHAnsi" w:hAnsiTheme="minorHAnsi" w:cstheme="minorHAnsi"/>
                <w:szCs w:val="24"/>
              </w:rPr>
            </w:pPr>
            <w:r w:rsidRPr="00407F9E">
              <w:rPr>
                <w:rFonts w:asciiTheme="minorHAnsi" w:eastAsiaTheme="minorHAnsi" w:hAnsiTheme="minorHAnsi" w:cstheme="minorHAnsi"/>
                <w:color w:val="000000"/>
                <w:sz w:val="22"/>
                <w:szCs w:val="22"/>
              </w:rPr>
              <w:t>Heparin and anticoagulants</w:t>
            </w:r>
          </w:p>
        </w:tc>
      </w:tr>
      <w:tr w:rsidR="002C4347" w:rsidRPr="00407F9E" w14:paraId="09F34C8A" w14:textId="77777777" w:rsidTr="00D240DA">
        <w:tc>
          <w:tcPr>
            <w:tcW w:w="764" w:type="dxa"/>
          </w:tcPr>
          <w:p w14:paraId="78617A34" w14:textId="77777777" w:rsidR="002C4347" w:rsidRPr="00407F9E" w:rsidRDefault="002C4347" w:rsidP="00D240DA">
            <w:pPr>
              <w:autoSpaceDE w:val="0"/>
              <w:autoSpaceDN w:val="0"/>
              <w:adjustRightInd w:val="0"/>
              <w:jc w:val="center"/>
              <w:rPr>
                <w:rFonts w:asciiTheme="minorHAnsi" w:hAnsiTheme="minorHAnsi" w:cstheme="minorHAnsi"/>
                <w:b/>
                <w:szCs w:val="24"/>
              </w:rPr>
            </w:pPr>
            <w:r w:rsidRPr="00407F9E">
              <w:rPr>
                <w:rFonts w:asciiTheme="minorHAnsi" w:hAnsiTheme="minorHAnsi" w:cstheme="minorHAnsi"/>
                <w:b/>
                <w:szCs w:val="24"/>
              </w:rPr>
              <w:t>other</w:t>
            </w:r>
          </w:p>
        </w:tc>
        <w:tc>
          <w:tcPr>
            <w:tcW w:w="3387" w:type="dxa"/>
          </w:tcPr>
          <w:p w14:paraId="4E9A2110" w14:textId="77777777" w:rsidR="002C4347" w:rsidRPr="00407F9E" w:rsidRDefault="002C4347" w:rsidP="00D240DA">
            <w:pPr>
              <w:autoSpaceDE w:val="0"/>
              <w:autoSpaceDN w:val="0"/>
              <w:adjustRightInd w:val="0"/>
              <w:rPr>
                <w:rFonts w:asciiTheme="minorHAnsi" w:eastAsiaTheme="minorHAnsi" w:hAnsiTheme="minorHAnsi" w:cstheme="minorHAnsi"/>
                <w:color w:val="000000"/>
                <w:sz w:val="22"/>
                <w:szCs w:val="22"/>
              </w:rPr>
            </w:pPr>
            <w:r w:rsidRPr="00407F9E">
              <w:rPr>
                <w:rFonts w:asciiTheme="minorHAnsi" w:eastAsiaTheme="minorHAnsi" w:hAnsiTheme="minorHAnsi" w:cstheme="minorHAnsi"/>
                <w:color w:val="000000"/>
                <w:sz w:val="22"/>
                <w:szCs w:val="22"/>
              </w:rPr>
              <w:t xml:space="preserve">High-risk medicines identified at </w:t>
            </w:r>
            <w:r>
              <w:rPr>
                <w:rFonts w:asciiTheme="minorHAnsi" w:eastAsiaTheme="minorHAnsi" w:hAnsiTheme="minorHAnsi" w:cstheme="minorHAnsi"/>
                <w:color w:val="000000"/>
                <w:sz w:val="22"/>
                <w:szCs w:val="22"/>
              </w:rPr>
              <w:t>a unit level</w:t>
            </w:r>
            <w:r w:rsidRPr="00407F9E">
              <w:rPr>
                <w:rFonts w:asciiTheme="minorHAnsi" w:eastAsiaTheme="minorHAnsi" w:hAnsiTheme="minorHAnsi" w:cstheme="minorHAnsi"/>
                <w:color w:val="000000"/>
                <w:sz w:val="22"/>
                <w:szCs w:val="22"/>
              </w:rPr>
              <w:t xml:space="preserve"> which do not fit the above categories</w:t>
            </w:r>
          </w:p>
        </w:tc>
      </w:tr>
    </w:tbl>
    <w:p w14:paraId="55CC08EC" w14:textId="77777777" w:rsidR="002C4347" w:rsidRDefault="002C4347" w:rsidP="002C4347">
      <w:pPr>
        <w:autoSpaceDE w:val="0"/>
        <w:autoSpaceDN w:val="0"/>
        <w:adjustRightInd w:val="0"/>
        <w:rPr>
          <w:i/>
          <w:szCs w:val="24"/>
        </w:rPr>
      </w:pPr>
      <w:r>
        <w:rPr>
          <w:i/>
          <w:szCs w:val="24"/>
        </w:rPr>
        <w:t>Table 1 : High-risk medicines acronym –“A PINCH”</w:t>
      </w:r>
    </w:p>
    <w:bookmarkEnd w:id="19"/>
    <w:p w14:paraId="0F7F27D2" w14:textId="77777777" w:rsidR="002C4347" w:rsidRDefault="002C4347" w:rsidP="002C4347">
      <w:pPr>
        <w:autoSpaceDE w:val="0"/>
        <w:autoSpaceDN w:val="0"/>
        <w:adjustRightInd w:val="0"/>
        <w:rPr>
          <w:rFonts w:eastAsiaTheme="minorHAnsi" w:cs="Arial"/>
          <w:szCs w:val="24"/>
        </w:rPr>
      </w:pPr>
    </w:p>
    <w:p w14:paraId="1C274DDA" w14:textId="77777777" w:rsidR="002C4347" w:rsidRPr="007769E3" w:rsidRDefault="002C4347" w:rsidP="002C4347">
      <w:pPr>
        <w:autoSpaceDE w:val="0"/>
        <w:autoSpaceDN w:val="0"/>
        <w:adjustRightInd w:val="0"/>
        <w:rPr>
          <w:i/>
          <w:szCs w:val="24"/>
        </w:rPr>
      </w:pPr>
      <w:r w:rsidRPr="001031C3">
        <w:rPr>
          <w:rFonts w:eastAsiaTheme="minorHAnsi"/>
        </w:rPr>
        <w:t>A</w:t>
      </w:r>
      <w:r>
        <w:rPr>
          <w:rFonts w:eastAsiaTheme="minorHAnsi"/>
        </w:rPr>
        <w:t>ny alterations or a</w:t>
      </w:r>
      <w:r w:rsidRPr="001031C3">
        <w:rPr>
          <w:rFonts w:eastAsiaTheme="minorHAnsi"/>
        </w:rPr>
        <w:t xml:space="preserve">dditions to the </w:t>
      </w:r>
      <w:r>
        <w:rPr>
          <w:rFonts w:eastAsiaTheme="minorHAnsi"/>
        </w:rPr>
        <w:t>H</w:t>
      </w:r>
      <w:r w:rsidRPr="001031C3">
        <w:rPr>
          <w:rFonts w:eastAsiaTheme="minorHAnsi"/>
        </w:rPr>
        <w:t>igh</w:t>
      </w:r>
      <w:r>
        <w:rPr>
          <w:rFonts w:eastAsiaTheme="minorHAnsi"/>
        </w:rPr>
        <w:t>-R</w:t>
      </w:r>
      <w:r w:rsidRPr="001031C3">
        <w:rPr>
          <w:rFonts w:eastAsiaTheme="minorHAnsi"/>
        </w:rPr>
        <w:t xml:space="preserve">isk </w:t>
      </w:r>
      <w:r>
        <w:rPr>
          <w:rFonts w:eastAsiaTheme="minorHAnsi"/>
        </w:rPr>
        <w:t>M</w:t>
      </w:r>
      <w:r w:rsidRPr="001031C3">
        <w:rPr>
          <w:rFonts w:eastAsiaTheme="minorHAnsi"/>
        </w:rPr>
        <w:t xml:space="preserve">edicine </w:t>
      </w:r>
      <w:r>
        <w:rPr>
          <w:rFonts w:eastAsiaTheme="minorHAnsi"/>
        </w:rPr>
        <w:t>R</w:t>
      </w:r>
      <w:r w:rsidRPr="001031C3">
        <w:rPr>
          <w:rFonts w:eastAsiaTheme="minorHAnsi"/>
        </w:rPr>
        <w:t xml:space="preserve">egister require </w:t>
      </w:r>
      <w:r>
        <w:rPr>
          <w:rFonts w:eastAsiaTheme="minorHAnsi"/>
        </w:rPr>
        <w:t>endorsement</w:t>
      </w:r>
      <w:r w:rsidRPr="001031C3">
        <w:rPr>
          <w:rFonts w:eastAsiaTheme="minorHAnsi"/>
        </w:rPr>
        <w:t xml:space="preserve"> from the </w:t>
      </w:r>
      <w:r w:rsidRPr="001031C3">
        <w:rPr>
          <w:rFonts w:eastAsiaTheme="minorHAnsi"/>
          <w:color w:val="000000"/>
        </w:rPr>
        <w:t>Medication Safety</w:t>
      </w:r>
      <w:r>
        <w:rPr>
          <w:rFonts w:eastAsiaTheme="minorHAnsi"/>
          <w:color w:val="000000"/>
        </w:rPr>
        <w:t xml:space="preserve"> Committee. The Committee can be contacted by e-mail at </w:t>
      </w:r>
      <w:hyperlink r:id="rId11" w:history="1">
        <w:r w:rsidRPr="00DE6EFB">
          <w:rPr>
            <w:rStyle w:val="Hyperlink"/>
          </w:rPr>
          <w:t>CHS.MedicationSafety@act.gov.au</w:t>
        </w:r>
      </w:hyperlink>
      <w:r>
        <w:t xml:space="preserve"> </w:t>
      </w:r>
    </w:p>
    <w:p w14:paraId="2AE25E44" w14:textId="77777777" w:rsidR="002C4347" w:rsidRPr="001031C3" w:rsidRDefault="002C4347" w:rsidP="002C4347">
      <w:pPr>
        <w:autoSpaceDE w:val="0"/>
        <w:autoSpaceDN w:val="0"/>
        <w:adjustRightInd w:val="0"/>
        <w:rPr>
          <w:i/>
          <w:szCs w:val="24"/>
        </w:rPr>
      </w:pPr>
      <w:r>
        <w:rPr>
          <w:rFonts w:cs="Arial"/>
          <w:szCs w:val="24"/>
        </w:rPr>
        <w:t xml:space="preserve"> </w:t>
      </w:r>
    </w:p>
    <w:p w14:paraId="494727C6" w14:textId="77777777" w:rsidR="002C4347" w:rsidRPr="00EF0D96" w:rsidRDefault="002C4347" w:rsidP="002C4347">
      <w:pPr>
        <w:autoSpaceDE w:val="0"/>
        <w:autoSpaceDN w:val="0"/>
        <w:adjustRightInd w:val="0"/>
        <w:rPr>
          <w:rFonts w:eastAsiaTheme="minorHAnsi" w:cs="Arial"/>
          <w:szCs w:val="24"/>
        </w:rPr>
      </w:pPr>
      <w:r>
        <w:rPr>
          <w:rFonts w:eastAsiaTheme="minorHAnsi" w:cs="Arial"/>
          <w:color w:val="000000"/>
          <w:szCs w:val="24"/>
        </w:rPr>
        <w:t xml:space="preserve">Each high-risk medicine included on the High-Risk Medicine Register along with its associated individual standard will be assigned a maximum 2-year review date.  The Medication Safety Committee will routinely review the High-Risk Medicines Register to ensure its relevance and completeness and will be responsible for </w:t>
      </w:r>
      <w:r w:rsidRPr="00BF7B10">
        <w:rPr>
          <w:rFonts w:eastAsiaTheme="minorHAnsi" w:cs="Arial"/>
          <w:szCs w:val="24"/>
        </w:rPr>
        <w:t>notif</w:t>
      </w:r>
      <w:r>
        <w:rPr>
          <w:rFonts w:eastAsiaTheme="minorHAnsi" w:cs="Arial"/>
          <w:szCs w:val="24"/>
        </w:rPr>
        <w:t>ying</w:t>
      </w:r>
      <w:r w:rsidRPr="00BF7B10">
        <w:rPr>
          <w:rFonts w:eastAsiaTheme="minorHAnsi" w:cs="Arial"/>
          <w:szCs w:val="24"/>
        </w:rPr>
        <w:t xml:space="preserve"> relevant clinical staff</w:t>
      </w:r>
      <w:r>
        <w:rPr>
          <w:rFonts w:eastAsiaTheme="minorHAnsi" w:cs="Arial"/>
          <w:szCs w:val="24"/>
        </w:rPr>
        <w:t>/areas</w:t>
      </w:r>
      <w:r w:rsidRPr="00BF7B10">
        <w:rPr>
          <w:rFonts w:eastAsiaTheme="minorHAnsi" w:cs="Arial"/>
          <w:szCs w:val="24"/>
        </w:rPr>
        <w:t xml:space="preserve"> of changes to the </w:t>
      </w:r>
      <w:r>
        <w:rPr>
          <w:rFonts w:eastAsiaTheme="minorHAnsi" w:cs="Arial"/>
          <w:szCs w:val="24"/>
        </w:rPr>
        <w:t>High-Risk Medicine R</w:t>
      </w:r>
      <w:r w:rsidRPr="00BF7B10">
        <w:rPr>
          <w:rFonts w:eastAsiaTheme="minorHAnsi" w:cs="Arial"/>
          <w:szCs w:val="24"/>
        </w:rPr>
        <w:t xml:space="preserve">egister and </w:t>
      </w:r>
      <w:r>
        <w:rPr>
          <w:rFonts w:eastAsiaTheme="minorHAnsi" w:cs="Arial"/>
          <w:szCs w:val="24"/>
        </w:rPr>
        <w:t>any</w:t>
      </w:r>
      <w:r w:rsidRPr="00BF7B10">
        <w:rPr>
          <w:rFonts w:eastAsiaTheme="minorHAnsi" w:cs="Arial"/>
          <w:szCs w:val="24"/>
        </w:rPr>
        <w:t xml:space="preserve"> associated protocols</w:t>
      </w:r>
      <w:r>
        <w:rPr>
          <w:rFonts w:eastAsiaTheme="minorHAnsi" w:cs="Arial"/>
          <w:szCs w:val="24"/>
        </w:rPr>
        <w:t xml:space="preserve"> or standards.</w:t>
      </w:r>
    </w:p>
    <w:p w14:paraId="49CDC54C" w14:textId="77777777" w:rsidR="002C4347" w:rsidRDefault="002C4347" w:rsidP="002C4347">
      <w:pPr>
        <w:pStyle w:val="ListParagraph"/>
        <w:autoSpaceDE w:val="0"/>
        <w:autoSpaceDN w:val="0"/>
        <w:adjustRightInd w:val="0"/>
        <w:ind w:left="0"/>
        <w:rPr>
          <w:rFonts w:eastAsiaTheme="minorHAnsi" w:cs="Arial"/>
          <w:color w:val="000000"/>
          <w:szCs w:val="24"/>
        </w:rPr>
      </w:pPr>
    </w:p>
    <w:p w14:paraId="7616E3CD" w14:textId="05E8B238" w:rsidR="002C4347" w:rsidRDefault="002C4347" w:rsidP="002C4347">
      <w:pPr>
        <w:rPr>
          <w:rFonts w:eastAsiaTheme="minorHAnsi"/>
        </w:rPr>
      </w:pPr>
      <w:r>
        <w:t xml:space="preserve">The High-Risk Medicines Register and individual high-risk medicine </w:t>
      </w:r>
      <w:r w:rsidR="00A2576B">
        <w:t>standards</w:t>
      </w:r>
      <w:r>
        <w:t xml:space="preserve"> will be made easily accessible to all staff </w:t>
      </w:r>
      <w:r w:rsidRPr="00DA4663">
        <w:rPr>
          <w:rFonts w:eastAsiaTheme="minorHAnsi"/>
        </w:rPr>
        <w:t>involved in the management of medicines</w:t>
      </w:r>
      <w:r>
        <w:t xml:space="preserve"> via the CHS </w:t>
      </w:r>
      <w:r>
        <w:rPr>
          <w:rFonts w:eastAsiaTheme="minorHAnsi"/>
        </w:rPr>
        <w:t>Policy and Guidance Documents Register on the intranet</w:t>
      </w:r>
      <w:r w:rsidR="00A2576B">
        <w:rPr>
          <w:rFonts w:eastAsiaTheme="minorHAnsi"/>
        </w:rPr>
        <w:t>.</w:t>
      </w:r>
    </w:p>
    <w:p w14:paraId="672E1E97" w14:textId="77777777" w:rsidR="002C4347" w:rsidRDefault="002C4347" w:rsidP="002C4347">
      <w:pPr>
        <w:rPr>
          <w:rFonts w:eastAsiaTheme="minorHAnsi" w:cs="Arial"/>
          <w:bCs/>
          <w:color w:val="000000"/>
          <w:szCs w:val="24"/>
        </w:rPr>
      </w:pPr>
    </w:p>
    <w:p w14:paraId="12C1963E" w14:textId="77777777" w:rsidR="002C4347" w:rsidRDefault="00DA5765" w:rsidP="002C4347">
      <w:pPr>
        <w:jc w:val="right"/>
        <w:rPr>
          <w:rStyle w:val="Hyperlink"/>
          <w:rFonts w:cs="Arial"/>
          <w:i/>
          <w:iCs/>
          <w:szCs w:val="24"/>
        </w:rPr>
      </w:pPr>
      <w:hyperlink w:anchor="_Contents" w:history="1">
        <w:r w:rsidR="002C4347" w:rsidRPr="00407F9E">
          <w:rPr>
            <w:rStyle w:val="Hyperlink"/>
            <w:rFonts w:cs="Arial"/>
            <w:i/>
            <w:iCs/>
            <w:szCs w:val="24"/>
          </w:rPr>
          <w:t>Back to Table of Contents</w:t>
        </w:r>
      </w:hyperlink>
      <w:bookmarkStart w:id="20" w:name="_Toc42679944"/>
    </w:p>
    <w:p w14:paraId="4635B544" w14:textId="77777777" w:rsidR="002C4347" w:rsidRDefault="002C4347" w:rsidP="002C4347">
      <w:pPr>
        <w:jc w:val="right"/>
        <w:rPr>
          <w:rStyle w:val="Hyperlink"/>
          <w:rFonts w:cs="Arial"/>
          <w:i/>
          <w:iCs/>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2C4347" w:rsidRPr="001B2BAC" w14:paraId="29FEBDED" w14:textId="77777777" w:rsidTr="00D240DA">
        <w:trPr>
          <w:cantSplit/>
          <w:trHeight w:val="285"/>
        </w:trPr>
        <w:tc>
          <w:tcPr>
            <w:tcW w:w="9158" w:type="dxa"/>
            <w:shd w:val="clear" w:color="auto" w:fill="000000"/>
          </w:tcPr>
          <w:p w14:paraId="00B139B0" w14:textId="77777777" w:rsidR="002C4347" w:rsidRPr="001502DF" w:rsidRDefault="002C4347" w:rsidP="00D240DA">
            <w:pPr>
              <w:pStyle w:val="Heading1"/>
              <w:rPr>
                <w:b w:val="0"/>
                <w:szCs w:val="24"/>
              </w:rPr>
            </w:pPr>
            <w:bookmarkStart w:id="21" w:name="_Toc79149332"/>
            <w:r>
              <w:rPr>
                <w:szCs w:val="24"/>
              </w:rPr>
              <w:lastRenderedPageBreak/>
              <w:t>Section 2 – Identification and Assessment of Risks Associated with High-Risk Medicines</w:t>
            </w:r>
            <w:bookmarkEnd w:id="21"/>
          </w:p>
        </w:tc>
      </w:tr>
    </w:tbl>
    <w:p w14:paraId="61A257E3" w14:textId="77777777" w:rsidR="002C4347" w:rsidRDefault="002C4347" w:rsidP="002C4347">
      <w:pPr>
        <w:rPr>
          <w:rFonts w:eastAsiaTheme="minorEastAsia"/>
        </w:rPr>
      </w:pPr>
    </w:p>
    <w:p w14:paraId="1E0D5B4E" w14:textId="23B7EA40" w:rsidR="002C4347" w:rsidRPr="00D22063" w:rsidRDefault="002C4347" w:rsidP="002C4347">
      <w:pPr>
        <w:rPr>
          <w:rFonts w:eastAsiaTheme="minorEastAsia"/>
        </w:rPr>
      </w:pPr>
      <w:r w:rsidRPr="3B77FD41">
        <w:rPr>
          <w:rFonts w:eastAsiaTheme="minorEastAsia"/>
        </w:rPr>
        <w:t xml:space="preserve">The management of high-risk medicines will be regularly evaluated in patient care areas during divisional medication safety walk round audits </w:t>
      </w:r>
      <w:r>
        <w:rPr>
          <w:rFonts w:eastAsiaTheme="minorEastAsia"/>
        </w:rPr>
        <w:t xml:space="preserve">that are conducted twice each year </w:t>
      </w:r>
      <w:r w:rsidRPr="3B77FD41">
        <w:rPr>
          <w:rFonts w:eastAsiaTheme="minorEastAsia"/>
        </w:rPr>
        <w:t xml:space="preserve">and through analysis of data obtained using </w:t>
      </w:r>
      <w:r>
        <w:t xml:space="preserve">the </w:t>
      </w:r>
      <w:r w:rsidRPr="3B77FD41">
        <w:rPr>
          <w:rFonts w:eastAsiaTheme="minorEastAsia"/>
        </w:rPr>
        <w:t xml:space="preserve">Medication Safety Self-Assessment® for Australian Hospitals (MSSA) </w:t>
      </w:r>
      <w:r w:rsidRPr="3B77FD41">
        <w:rPr>
          <w:rFonts w:eastAsiaTheme="minorEastAsia"/>
          <w:vertAlign w:val="superscript"/>
        </w:rPr>
        <w:t>1</w:t>
      </w:r>
      <w:r w:rsidRPr="3B77FD41">
        <w:rPr>
          <w:rFonts w:eastAsiaTheme="minorEastAsia"/>
        </w:rPr>
        <w:t xml:space="preserve"> tool.</w:t>
      </w:r>
      <w:r w:rsidRPr="3B77FD41">
        <w:rPr>
          <w:b/>
          <w:bCs/>
          <w:sz w:val="28"/>
          <w:szCs w:val="28"/>
        </w:rPr>
        <w:t xml:space="preserve"> </w:t>
      </w:r>
      <w:r>
        <w:t>This will be led by the Medication Safety Pharmacy team.</w:t>
      </w:r>
    </w:p>
    <w:p w14:paraId="01747D3B" w14:textId="77777777" w:rsidR="002C4347" w:rsidRPr="008D07FF" w:rsidRDefault="002C4347" w:rsidP="002C4347">
      <w:pPr>
        <w:rPr>
          <w:b/>
          <w:sz w:val="28"/>
          <w:szCs w:val="28"/>
        </w:rPr>
      </w:pPr>
    </w:p>
    <w:p w14:paraId="6CF4F541" w14:textId="26AC18AA" w:rsidR="002C4347" w:rsidRDefault="00A2576B" w:rsidP="002C4347">
      <w:pPr>
        <w:rPr>
          <w:rFonts w:eastAsiaTheme="minorHAnsi" w:cs="Arial"/>
          <w:szCs w:val="24"/>
        </w:rPr>
      </w:pPr>
      <w:r>
        <w:rPr>
          <w:rFonts w:eastAsiaTheme="minorHAnsi" w:cs="Arial"/>
          <w:szCs w:val="24"/>
        </w:rPr>
        <w:t xml:space="preserve">Adverse </w:t>
      </w:r>
      <w:r w:rsidR="002C4347" w:rsidRPr="006A73AD">
        <w:rPr>
          <w:rFonts w:eastAsiaTheme="minorHAnsi" w:cs="Arial"/>
          <w:szCs w:val="24"/>
        </w:rPr>
        <w:t xml:space="preserve">incidents </w:t>
      </w:r>
      <w:r>
        <w:rPr>
          <w:rFonts w:eastAsiaTheme="minorHAnsi" w:cs="Arial"/>
          <w:szCs w:val="24"/>
        </w:rPr>
        <w:t>and hospital acquired complications associated with</w:t>
      </w:r>
      <w:r w:rsidR="002C4347" w:rsidRPr="006A73AD">
        <w:rPr>
          <w:rFonts w:eastAsiaTheme="minorHAnsi" w:cs="Arial"/>
          <w:szCs w:val="24"/>
        </w:rPr>
        <w:t xml:space="preserve"> </w:t>
      </w:r>
      <w:r>
        <w:rPr>
          <w:rFonts w:eastAsiaTheme="minorHAnsi" w:cs="Arial"/>
          <w:szCs w:val="24"/>
        </w:rPr>
        <w:t xml:space="preserve">the use of </w:t>
      </w:r>
      <w:r w:rsidR="002C4347" w:rsidRPr="006A73AD">
        <w:rPr>
          <w:rFonts w:eastAsiaTheme="minorHAnsi" w:cs="Arial"/>
          <w:szCs w:val="24"/>
        </w:rPr>
        <w:t>high-risk medicines</w:t>
      </w:r>
      <w:r w:rsidR="002C4347">
        <w:rPr>
          <w:rFonts w:eastAsiaTheme="minorHAnsi" w:cs="Arial"/>
          <w:szCs w:val="24"/>
        </w:rPr>
        <w:t xml:space="preserve"> will be reviewed to identify opportunities for re-design of systems to minimise the risks associated with these medicines</w:t>
      </w:r>
      <w:r w:rsidR="002C4347" w:rsidRPr="00F04464">
        <w:rPr>
          <w:color w:val="313131"/>
          <w:vertAlign w:val="superscript"/>
          <w:lang w:val="en"/>
        </w:rPr>
        <w:t>2</w:t>
      </w:r>
      <w:r w:rsidR="002C4347">
        <w:rPr>
          <w:rFonts w:eastAsiaTheme="minorHAnsi" w:cs="Arial"/>
          <w:szCs w:val="24"/>
        </w:rPr>
        <w:t xml:space="preserve">. The level and type of review will be determined in line with the Incident Management Policy and Procedure. </w:t>
      </w:r>
    </w:p>
    <w:p w14:paraId="0C71C0FE" w14:textId="77777777" w:rsidR="002C4347" w:rsidRDefault="002C4347" w:rsidP="002C4347">
      <w:pPr>
        <w:rPr>
          <w:rFonts w:eastAsiaTheme="minorHAnsi" w:cs="Arial"/>
          <w:szCs w:val="24"/>
        </w:rPr>
      </w:pPr>
    </w:p>
    <w:p w14:paraId="03059164" w14:textId="77777777" w:rsidR="002C4347" w:rsidRDefault="002C4347" w:rsidP="002C4347">
      <w:pPr>
        <w:rPr>
          <w:color w:val="313131"/>
          <w:lang w:val="en"/>
        </w:rPr>
      </w:pPr>
      <w:r>
        <w:rPr>
          <w:color w:val="313131"/>
          <w:lang w:val="en"/>
        </w:rPr>
        <w:t>The Medication Safety Committee will evaluate recommendations</w:t>
      </w:r>
      <w:r w:rsidRPr="00097119">
        <w:rPr>
          <w:rFonts w:eastAsiaTheme="minorHAnsi" w:cs="Arial"/>
          <w:color w:val="000000"/>
          <w:szCs w:val="24"/>
        </w:rPr>
        <w:t xml:space="preserve"> </w:t>
      </w:r>
      <w:r>
        <w:rPr>
          <w:rFonts w:eastAsiaTheme="minorHAnsi" w:cs="Arial"/>
          <w:color w:val="000000"/>
          <w:szCs w:val="24"/>
        </w:rPr>
        <w:t>from national and local</w:t>
      </w:r>
      <w:r w:rsidRPr="00D80409">
        <w:rPr>
          <w:rFonts w:eastAsiaTheme="minorHAnsi" w:cs="Arial"/>
          <w:color w:val="000000"/>
          <w:szCs w:val="24"/>
        </w:rPr>
        <w:t xml:space="preserve"> </w:t>
      </w:r>
      <w:r>
        <w:rPr>
          <w:color w:val="313131"/>
          <w:lang w:val="en"/>
        </w:rPr>
        <w:t>m</w:t>
      </w:r>
      <w:r w:rsidRPr="003A53DB">
        <w:rPr>
          <w:color w:val="313131"/>
          <w:lang w:val="en"/>
        </w:rPr>
        <w:t xml:space="preserve">edication safety </w:t>
      </w:r>
      <w:r>
        <w:rPr>
          <w:color w:val="313131"/>
          <w:lang w:val="en"/>
        </w:rPr>
        <w:t xml:space="preserve">alerts and </w:t>
      </w:r>
      <w:r w:rsidRPr="003A53DB">
        <w:rPr>
          <w:color w:val="313131"/>
          <w:lang w:val="en"/>
        </w:rPr>
        <w:t xml:space="preserve">notices </w:t>
      </w:r>
      <w:r>
        <w:rPr>
          <w:rFonts w:eastAsiaTheme="minorHAnsi" w:cs="Arial"/>
          <w:color w:val="000000"/>
          <w:szCs w:val="24"/>
        </w:rPr>
        <w:t xml:space="preserve">relating to high-risk medicines and co-ordinate corrective actions if applicable.  This activity is unrelated and independent from safety alerts received and managed according to the CHS policy “Management of recalls, alerts and product corrections”.  An escalation process </w:t>
      </w:r>
      <w:r>
        <w:rPr>
          <w:color w:val="313131"/>
          <w:lang w:val="en"/>
        </w:rPr>
        <w:t>will be followed for alerts and safety notices that require high level organisational assessment by Our Care Quality and Safety Committee or the Corporate Plan Review Committee.</w:t>
      </w:r>
    </w:p>
    <w:p w14:paraId="07A756E3" w14:textId="77777777" w:rsidR="002C4347" w:rsidRPr="00326F91" w:rsidRDefault="002C4347" w:rsidP="002C4347">
      <w:pPr>
        <w:rPr>
          <w:rFonts w:eastAsiaTheme="minorHAnsi" w:cs="Arial"/>
          <w:szCs w:val="24"/>
        </w:rPr>
      </w:pPr>
    </w:p>
    <w:p w14:paraId="39BD06BA" w14:textId="70A02B8F" w:rsidR="002C4347" w:rsidRDefault="002C4347" w:rsidP="002C4347">
      <w:r w:rsidRPr="000E2E5E">
        <w:t>Encouraging staff t</w:t>
      </w:r>
      <w:r>
        <w:t>o report medication incidents through</w:t>
      </w:r>
      <w:r w:rsidRPr="000E2E5E">
        <w:t xml:space="preserve"> the incident monitoring system </w:t>
      </w:r>
      <w:r>
        <w:t xml:space="preserve">(RiskMan) </w:t>
      </w:r>
      <w:r w:rsidRPr="000E2E5E">
        <w:t xml:space="preserve">will aid early identification of system </w:t>
      </w:r>
      <w:r>
        <w:t>issues</w:t>
      </w:r>
      <w:r w:rsidRPr="000E2E5E">
        <w:t xml:space="preserve"> that may contribute to errors and detect any new issues with </w:t>
      </w:r>
      <w:proofErr w:type="gramStart"/>
      <w:r w:rsidRPr="000E2E5E">
        <w:t>high risk</w:t>
      </w:r>
      <w:proofErr w:type="gramEnd"/>
      <w:r w:rsidRPr="000E2E5E">
        <w:t xml:space="preserve"> medicines that </w:t>
      </w:r>
      <w:r>
        <w:t>m</w:t>
      </w:r>
      <w:r w:rsidRPr="000E2E5E">
        <w:t>ay arise</w:t>
      </w:r>
      <w:r>
        <w:rPr>
          <w:vertAlign w:val="superscript"/>
        </w:rPr>
        <w:t>3</w:t>
      </w:r>
      <w:r w:rsidRPr="000E2E5E">
        <w:t xml:space="preserve">. </w:t>
      </w:r>
    </w:p>
    <w:p w14:paraId="4BB4110C" w14:textId="77777777" w:rsidR="009524AC" w:rsidRDefault="009524AC" w:rsidP="002C4347"/>
    <w:p w14:paraId="0AA2770B" w14:textId="1DB47927" w:rsidR="009524AC" w:rsidRDefault="00DA5765" w:rsidP="002C4347">
      <w:pPr>
        <w:jc w:val="right"/>
        <w:rPr>
          <w:rStyle w:val="Hyperlink"/>
          <w:rFonts w:cs="Arial"/>
          <w:i/>
          <w:iCs/>
          <w:szCs w:val="24"/>
        </w:rPr>
      </w:pPr>
      <w:hyperlink w:anchor="_Contents" w:history="1">
        <w:r w:rsidR="002C4347"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9524AC" w:rsidRPr="001B2BAC" w14:paraId="3820D0A6" w14:textId="77777777" w:rsidTr="00D240DA">
        <w:trPr>
          <w:cantSplit/>
          <w:trHeight w:val="285"/>
        </w:trPr>
        <w:tc>
          <w:tcPr>
            <w:tcW w:w="9158" w:type="dxa"/>
            <w:shd w:val="clear" w:color="auto" w:fill="000000"/>
          </w:tcPr>
          <w:p w14:paraId="28A76029" w14:textId="77777777" w:rsidR="009524AC" w:rsidRPr="001502DF" w:rsidRDefault="009524AC" w:rsidP="00D240DA">
            <w:pPr>
              <w:pStyle w:val="Heading1"/>
              <w:jc w:val="both"/>
              <w:rPr>
                <w:b w:val="0"/>
                <w:szCs w:val="24"/>
              </w:rPr>
            </w:pPr>
            <w:bookmarkStart w:id="22" w:name="_Toc42679945"/>
            <w:bookmarkStart w:id="23" w:name="_Toc79149333"/>
            <w:r>
              <w:rPr>
                <w:szCs w:val="24"/>
              </w:rPr>
              <w:t>Section 3 – Risk Reduction Strategies to Minimise Risk Associated with High-Risk Medicines</w:t>
            </w:r>
            <w:bookmarkEnd w:id="22"/>
            <w:bookmarkEnd w:id="23"/>
          </w:p>
        </w:tc>
      </w:tr>
    </w:tbl>
    <w:p w14:paraId="2CF99BA5" w14:textId="77777777" w:rsidR="009524AC" w:rsidRDefault="009524AC" w:rsidP="009524AC">
      <w:pPr>
        <w:autoSpaceDE w:val="0"/>
        <w:autoSpaceDN w:val="0"/>
        <w:adjustRightInd w:val="0"/>
        <w:rPr>
          <w:rFonts w:asciiTheme="minorHAnsi" w:hAnsiTheme="minorHAnsi" w:cstheme="minorHAnsi"/>
          <w:szCs w:val="24"/>
        </w:rPr>
      </w:pPr>
    </w:p>
    <w:p w14:paraId="67509E0D" w14:textId="1754D845" w:rsidR="009524AC" w:rsidRPr="00946D08" w:rsidRDefault="009524AC" w:rsidP="009524AC">
      <w:pPr>
        <w:autoSpaceDE w:val="0"/>
        <w:autoSpaceDN w:val="0"/>
        <w:adjustRightInd w:val="0"/>
        <w:rPr>
          <w:rFonts w:asciiTheme="minorHAnsi" w:hAnsiTheme="minorHAnsi" w:cstheme="minorHAnsi"/>
          <w:szCs w:val="24"/>
        </w:rPr>
      </w:pPr>
      <w:r w:rsidRPr="00946D08">
        <w:rPr>
          <w:rFonts w:asciiTheme="minorHAnsi" w:hAnsiTheme="minorHAnsi" w:cstheme="minorHAnsi"/>
          <w:szCs w:val="24"/>
        </w:rPr>
        <w:t xml:space="preserve">Each medicine on the high-risk medicines register will be subjected to a comprehensive risk assessment to reduce risk of errors that can occur across all phases of the medicine </w:t>
      </w:r>
    </w:p>
    <w:p w14:paraId="1ACC509D" w14:textId="77777777" w:rsidR="009524AC" w:rsidRPr="00946D08" w:rsidRDefault="009524AC" w:rsidP="009524AC">
      <w:pPr>
        <w:autoSpaceDE w:val="0"/>
        <w:autoSpaceDN w:val="0"/>
        <w:adjustRightInd w:val="0"/>
        <w:rPr>
          <w:rFonts w:asciiTheme="minorHAnsi" w:hAnsiTheme="minorHAnsi" w:cstheme="minorBidi"/>
        </w:rPr>
      </w:pPr>
      <w:r w:rsidRPr="3B77FD41">
        <w:rPr>
          <w:rFonts w:asciiTheme="minorHAnsi" w:hAnsiTheme="minorHAnsi" w:cstheme="minorBidi"/>
        </w:rPr>
        <w:t>management pathway. This risk assessment must be repeated at appropriate intervals and no later than the associated</w:t>
      </w:r>
      <w:r w:rsidRPr="3B77FD41">
        <w:rPr>
          <w:rFonts w:asciiTheme="minorHAnsi" w:eastAsiaTheme="minorEastAsia" w:hAnsiTheme="minorHAnsi" w:cstheme="minorBidi"/>
          <w:color w:val="000000" w:themeColor="text1"/>
        </w:rPr>
        <w:t xml:space="preserve"> individual standard review date</w:t>
      </w:r>
      <w:r>
        <w:rPr>
          <w:rFonts w:asciiTheme="minorHAnsi" w:eastAsiaTheme="minorEastAsia" w:hAnsiTheme="minorHAnsi" w:cstheme="minorBidi"/>
          <w:color w:val="000000" w:themeColor="text1"/>
        </w:rPr>
        <w:t xml:space="preserve"> (documented on the standard).</w:t>
      </w:r>
      <w:r w:rsidRPr="3B77FD41">
        <w:rPr>
          <w:rFonts w:asciiTheme="minorHAnsi" w:eastAsiaTheme="minorEastAsia" w:hAnsiTheme="minorHAnsi" w:cstheme="minorBidi"/>
          <w:color w:val="000000" w:themeColor="text1"/>
        </w:rPr>
        <w:t xml:space="preserve">  </w:t>
      </w:r>
      <w:r>
        <w:br/>
      </w:r>
    </w:p>
    <w:p w14:paraId="2B3D4A83" w14:textId="77777777" w:rsidR="009524AC" w:rsidRPr="00946D08" w:rsidRDefault="009524AC" w:rsidP="009524AC">
      <w:pPr>
        <w:autoSpaceDE w:val="0"/>
        <w:autoSpaceDN w:val="0"/>
        <w:adjustRightInd w:val="0"/>
        <w:rPr>
          <w:rFonts w:asciiTheme="minorHAnsi" w:eastAsiaTheme="minorHAnsi" w:hAnsiTheme="minorHAnsi" w:cstheme="minorHAnsi"/>
          <w:color w:val="000000"/>
          <w:szCs w:val="24"/>
        </w:rPr>
      </w:pPr>
      <w:r w:rsidRPr="00946D08">
        <w:rPr>
          <w:rFonts w:asciiTheme="minorHAnsi" w:hAnsiTheme="minorHAnsi" w:cstheme="minorHAnsi"/>
          <w:szCs w:val="24"/>
        </w:rPr>
        <w:t xml:space="preserve">Following risk assessment, robust evidence-based risk reduction strategies will be implemented for all medicines on the high-risk medicines register. Details of these strategies can be found under the </w:t>
      </w:r>
      <w:r w:rsidRPr="00946D08">
        <w:rPr>
          <w:rFonts w:asciiTheme="minorHAnsi" w:eastAsiaTheme="minorHAnsi" w:hAnsiTheme="minorHAnsi" w:cstheme="minorHAnsi"/>
          <w:szCs w:val="24"/>
        </w:rPr>
        <w:t xml:space="preserve">specific standards for Individual high-risk medicines (or groups of medicines) available </w:t>
      </w:r>
      <w:r w:rsidRPr="00946D08">
        <w:rPr>
          <w:rFonts w:asciiTheme="minorHAnsi" w:hAnsiTheme="minorHAnsi" w:cstheme="minorHAnsi"/>
          <w:szCs w:val="24"/>
        </w:rPr>
        <w:t xml:space="preserve">on the High-Risk Medicines Register located on the CHS Policy and Guidance Documents Register. </w:t>
      </w:r>
      <w:r w:rsidRPr="00946D08">
        <w:rPr>
          <w:rFonts w:asciiTheme="minorHAnsi" w:eastAsiaTheme="minorHAnsi" w:hAnsiTheme="minorHAnsi" w:cstheme="minorHAnsi"/>
          <w:color w:val="000000"/>
          <w:szCs w:val="24"/>
        </w:rPr>
        <w:t xml:space="preserve"> At a minimum, strategies to reduce the risks associated with high-risk medicines management must include the following:</w:t>
      </w:r>
    </w:p>
    <w:p w14:paraId="69605542" w14:textId="77777777" w:rsidR="009524AC" w:rsidRPr="00946D08" w:rsidRDefault="009524AC" w:rsidP="009524AC">
      <w:pPr>
        <w:autoSpaceDE w:val="0"/>
        <w:autoSpaceDN w:val="0"/>
        <w:adjustRightInd w:val="0"/>
        <w:rPr>
          <w:rFonts w:asciiTheme="minorHAnsi" w:eastAsiaTheme="minorHAnsi" w:hAnsiTheme="minorHAnsi" w:cstheme="minorHAnsi"/>
          <w:color w:val="000000"/>
          <w:szCs w:val="24"/>
        </w:rPr>
      </w:pPr>
    </w:p>
    <w:p w14:paraId="2FB3C4BB" w14:textId="77777777" w:rsidR="009524AC" w:rsidRPr="00946D08" w:rsidRDefault="009524AC" w:rsidP="009524AC">
      <w:pPr>
        <w:autoSpaceDE w:val="0"/>
        <w:autoSpaceDN w:val="0"/>
        <w:adjustRightInd w:val="0"/>
        <w:rPr>
          <w:rFonts w:asciiTheme="minorHAnsi" w:eastAsiaTheme="minorHAnsi" w:hAnsiTheme="minorHAnsi" w:cstheme="minorHAnsi"/>
          <w:color w:val="000000"/>
          <w:szCs w:val="24"/>
        </w:rPr>
      </w:pPr>
    </w:p>
    <w:p w14:paraId="1E8F0829"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r w:rsidRPr="00946D08">
        <w:rPr>
          <w:rFonts w:asciiTheme="minorHAnsi" w:eastAsiaTheme="minorHAnsi" w:hAnsiTheme="minorHAnsi" w:cstheme="minorHAnsi"/>
          <w:b/>
          <w:bCs/>
          <w:color w:val="000000"/>
          <w:szCs w:val="24"/>
        </w:rPr>
        <w:lastRenderedPageBreak/>
        <w:t>Administration</w:t>
      </w:r>
    </w:p>
    <w:p w14:paraId="7038D8A5"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hAnsiTheme="minorHAnsi" w:cstheme="minorHAnsi"/>
          <w:szCs w:val="24"/>
        </w:rPr>
        <w:t xml:space="preserve">Ensure the safest means of completing a task is efficient, easily followed and </w:t>
      </w:r>
      <w:r w:rsidRPr="00946D08">
        <w:rPr>
          <w:rFonts w:asciiTheme="minorHAnsi" w:eastAsiaTheme="minorHAnsi" w:hAnsiTheme="minorHAnsi" w:cstheme="minorHAnsi"/>
          <w:color w:val="000000"/>
          <w:szCs w:val="24"/>
        </w:rPr>
        <w:t>requires minimal manipulation of the medicine prior to administration</w:t>
      </w:r>
    </w:p>
    <w:p w14:paraId="4FDC2448" w14:textId="77777777" w:rsidR="009524AC" w:rsidRPr="00946D08" w:rsidRDefault="009524AC" w:rsidP="009524AC">
      <w:pPr>
        <w:pStyle w:val="ListBullet"/>
        <w:rPr>
          <w:rFonts w:asciiTheme="minorHAnsi" w:eastAsiaTheme="minorEastAsia" w:hAnsiTheme="minorHAnsi" w:cstheme="minorBidi"/>
          <w:color w:val="000000"/>
        </w:rPr>
      </w:pPr>
      <w:r w:rsidRPr="3B77FD41">
        <w:rPr>
          <w:rFonts w:asciiTheme="minorHAnsi" w:hAnsiTheme="minorHAnsi" w:cstheme="minorBidi"/>
        </w:rPr>
        <w:t>Remove the need for rapid mathematical calculation to prescribe or administer the medicine</w:t>
      </w:r>
      <w:r>
        <w:rPr>
          <w:rFonts w:asciiTheme="minorHAnsi" w:hAnsiTheme="minorHAnsi" w:cstheme="minorBidi"/>
        </w:rPr>
        <w:t xml:space="preserve"> and reduce options and choices by standardising concentrations of medicines in solution</w:t>
      </w:r>
    </w:p>
    <w:p w14:paraId="4B68BF30"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hAnsiTheme="minorHAnsi" w:cstheme="minorHAnsi"/>
          <w:szCs w:val="24"/>
        </w:rPr>
        <w:t xml:space="preserve">In accordance with the High-Risk Medicine Standards for individual medicines or groups of medicines employ a fully independent double-check, carried out by a second clinician. </w:t>
      </w:r>
      <w:r w:rsidRPr="00946D08">
        <w:rPr>
          <w:rFonts w:asciiTheme="minorHAnsi" w:eastAsiaTheme="minorHAnsi" w:hAnsiTheme="minorHAnsi" w:cstheme="minorHAnsi"/>
          <w:color w:val="000000"/>
          <w:szCs w:val="24"/>
        </w:rPr>
        <w:t>The check should be conducted using independent double check principles. That is, clinicians separately check (alone and apart from each other, then compare results) each component of prescribing, dispensing, and verifying the medicine before administering it to the patient.  Not all medicines included in the High-Risk Medicines Register will require a double check</w:t>
      </w:r>
    </w:p>
    <w:p w14:paraId="0C7B76E6"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hAnsiTheme="minorHAnsi" w:cstheme="minorHAnsi"/>
          <w:szCs w:val="24"/>
        </w:rPr>
        <w:t>Use oral/enteral dispensers to prepare and administer all liquid medicines by routes other than injection</w:t>
      </w:r>
    </w:p>
    <w:p w14:paraId="778CFC97"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eastAsiaTheme="minorHAnsi" w:hAnsiTheme="minorHAnsi" w:cstheme="minorHAnsi"/>
          <w:color w:val="000000"/>
          <w:szCs w:val="24"/>
        </w:rPr>
        <w:t>Use smart pumps with drug error reduction software and defaults to the safest setting</w:t>
      </w:r>
    </w:p>
    <w:p w14:paraId="76C31F0B"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Labelling of high-risk injectable medicine containers, medicine conduits lines and catheters must be in accordance with “The National Standard for User Applied Labelling”</w:t>
      </w:r>
    </w:p>
    <w:p w14:paraId="368AE24E" w14:textId="77777777" w:rsidR="009524AC" w:rsidRPr="00946D08" w:rsidRDefault="009524AC" w:rsidP="009524AC">
      <w:pPr>
        <w:tabs>
          <w:tab w:val="left" w:pos="426"/>
        </w:tabs>
        <w:autoSpaceDE w:val="0"/>
        <w:autoSpaceDN w:val="0"/>
        <w:adjustRightInd w:val="0"/>
        <w:rPr>
          <w:rFonts w:asciiTheme="minorHAnsi" w:eastAsiaTheme="minorHAnsi" w:hAnsiTheme="minorHAnsi" w:cstheme="minorHAnsi"/>
          <w:szCs w:val="24"/>
        </w:rPr>
      </w:pPr>
    </w:p>
    <w:p w14:paraId="0918A72D"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r w:rsidRPr="00946D08">
        <w:rPr>
          <w:rFonts w:asciiTheme="minorHAnsi" w:eastAsiaTheme="minorHAnsi" w:hAnsiTheme="minorHAnsi" w:cstheme="minorHAnsi"/>
          <w:b/>
          <w:bCs/>
          <w:color w:val="000000"/>
          <w:szCs w:val="24"/>
        </w:rPr>
        <w:t>Patient Information</w:t>
      </w:r>
    </w:p>
    <w:p w14:paraId="11D21ED9"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eastAsiaTheme="minorHAnsi" w:hAnsiTheme="minorHAnsi" w:cstheme="minorHAnsi"/>
          <w:szCs w:val="24"/>
        </w:rPr>
        <w:t>The information needs of patients prescribed high-risk medicines should be met to ensure that patients and carers have enough information about treatment options and risks to make informed choices and shared decision making</w:t>
      </w:r>
    </w:p>
    <w:p w14:paraId="44F638D5" w14:textId="77777777" w:rsidR="009524AC" w:rsidRPr="00946D08" w:rsidRDefault="009524AC" w:rsidP="009524AC">
      <w:pPr>
        <w:tabs>
          <w:tab w:val="left" w:pos="426"/>
        </w:tabs>
        <w:autoSpaceDE w:val="0"/>
        <w:autoSpaceDN w:val="0"/>
        <w:adjustRightInd w:val="0"/>
        <w:rPr>
          <w:rFonts w:asciiTheme="minorHAnsi" w:eastAsiaTheme="minorHAnsi" w:hAnsiTheme="minorHAnsi" w:cstheme="minorHAnsi"/>
          <w:szCs w:val="24"/>
        </w:rPr>
      </w:pPr>
    </w:p>
    <w:p w14:paraId="34EF2097" w14:textId="77777777" w:rsidR="009524AC" w:rsidRPr="00946D08" w:rsidRDefault="009524AC" w:rsidP="009524AC">
      <w:pPr>
        <w:autoSpaceDE w:val="0"/>
        <w:autoSpaceDN w:val="0"/>
        <w:adjustRightInd w:val="0"/>
        <w:jc w:val="both"/>
        <w:rPr>
          <w:rFonts w:asciiTheme="minorHAnsi" w:eastAsiaTheme="minorHAnsi" w:hAnsiTheme="minorHAnsi" w:cstheme="minorHAnsi"/>
          <w:b/>
          <w:bCs/>
          <w:szCs w:val="24"/>
        </w:rPr>
      </w:pPr>
      <w:r w:rsidRPr="00946D08">
        <w:rPr>
          <w:rFonts w:asciiTheme="minorHAnsi" w:eastAsiaTheme="minorHAnsi" w:hAnsiTheme="minorHAnsi" w:cstheme="minorHAnsi"/>
          <w:b/>
          <w:bCs/>
          <w:szCs w:val="24"/>
        </w:rPr>
        <w:t>Patient Monitoring</w:t>
      </w:r>
    </w:p>
    <w:p w14:paraId="54C21932"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Patients should be monitored in accordance with local protocols and guidelines</w:t>
      </w:r>
    </w:p>
    <w:p w14:paraId="354D72EC"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eastAsiaTheme="minorHAnsi" w:hAnsiTheme="minorHAnsi" w:cstheme="minorHAnsi"/>
          <w:color w:val="000000"/>
          <w:szCs w:val="24"/>
        </w:rPr>
        <w:t>Clinicians should be alerted in clinical handover to the use of any high-risk medicines</w:t>
      </w:r>
    </w:p>
    <w:p w14:paraId="773EA6D1"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p>
    <w:p w14:paraId="39928D06"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r w:rsidRPr="00946D08">
        <w:rPr>
          <w:rFonts w:asciiTheme="minorHAnsi" w:eastAsiaTheme="minorHAnsi" w:hAnsiTheme="minorHAnsi" w:cstheme="minorHAnsi"/>
          <w:b/>
          <w:bCs/>
          <w:color w:val="000000"/>
          <w:szCs w:val="24"/>
        </w:rPr>
        <w:t>Qualifications</w:t>
      </w:r>
    </w:p>
    <w:p w14:paraId="4638E4A3"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 xml:space="preserve">Clinical staff must work within their scope of practice and have the necessary skills and qualifications appropriate to the prescribing, supply, </w:t>
      </w:r>
      <w:proofErr w:type="gramStart"/>
      <w:r w:rsidRPr="00946D08">
        <w:rPr>
          <w:rFonts w:asciiTheme="minorHAnsi" w:eastAsiaTheme="minorHAnsi" w:hAnsiTheme="minorHAnsi" w:cstheme="minorHAnsi"/>
          <w:szCs w:val="24"/>
        </w:rPr>
        <w:t>preparation</w:t>
      </w:r>
      <w:proofErr w:type="gramEnd"/>
      <w:r w:rsidRPr="00946D08">
        <w:rPr>
          <w:rFonts w:asciiTheme="minorHAnsi" w:eastAsiaTheme="minorHAnsi" w:hAnsiTheme="minorHAnsi" w:cstheme="minorHAnsi"/>
          <w:szCs w:val="24"/>
        </w:rPr>
        <w:t xml:space="preserve"> or administration tasks they undertake</w:t>
      </w:r>
    </w:p>
    <w:p w14:paraId="0FA829AB"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The minimum requirement for nursing staff is the successful completion of the Medication Safety eLearning program found on the CHS learning management system</w:t>
      </w:r>
    </w:p>
    <w:p w14:paraId="4153408A"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p>
    <w:p w14:paraId="31DFC98C"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r w:rsidRPr="00946D08">
        <w:rPr>
          <w:rFonts w:asciiTheme="minorHAnsi" w:eastAsiaTheme="minorHAnsi" w:hAnsiTheme="minorHAnsi" w:cstheme="minorHAnsi"/>
          <w:b/>
          <w:bCs/>
          <w:color w:val="000000"/>
          <w:szCs w:val="24"/>
        </w:rPr>
        <w:t>Prescribing</w:t>
      </w:r>
    </w:p>
    <w:p w14:paraId="7143CA69"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Accurate patient weight should be documented on the medication chart for all patients</w:t>
      </w:r>
    </w:p>
    <w:p w14:paraId="50B91415" w14:textId="77777777" w:rsidR="009524AC" w:rsidRPr="00946D08" w:rsidRDefault="009524AC" w:rsidP="009524AC">
      <w:pPr>
        <w:pStyle w:val="ListBullet"/>
        <w:rPr>
          <w:rFonts w:asciiTheme="minorHAnsi" w:eastAsiaTheme="minorEastAsia" w:hAnsiTheme="minorHAnsi" w:cstheme="minorBidi"/>
        </w:rPr>
      </w:pPr>
      <w:r w:rsidRPr="3B77FD41">
        <w:rPr>
          <w:rFonts w:asciiTheme="minorHAnsi" w:eastAsiaTheme="minorEastAsia" w:hAnsiTheme="minorHAnsi" w:cstheme="minorBidi"/>
        </w:rPr>
        <w:t>The route of administration for the medicine must be clearly identified. The use of multiple routes of administration in the one prescription should be avoided for the same medicine (for example, intravenous / oral)</w:t>
      </w:r>
    </w:p>
    <w:p w14:paraId="67443FDF"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Where required, the strengths of medicines must be clearly visible in terms of the dosage unit or dose per volume of liquid, for example, mg per mL</w:t>
      </w:r>
    </w:p>
    <w:p w14:paraId="40532A79"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The prescriber should complete the ‘Indication’ for use box on the National Inpatient</w:t>
      </w:r>
    </w:p>
    <w:p w14:paraId="51914357" w14:textId="77777777" w:rsidR="009524AC" w:rsidRPr="00946D08" w:rsidRDefault="009524AC" w:rsidP="00E82CDA">
      <w:pPr>
        <w:pStyle w:val="ListBullet"/>
        <w:numPr>
          <w:ilvl w:val="0"/>
          <w:numId w:val="0"/>
        </w:numPr>
        <w:ind w:left="426"/>
        <w:rPr>
          <w:rFonts w:asciiTheme="minorHAnsi" w:eastAsiaTheme="minorHAnsi" w:hAnsiTheme="minorHAnsi" w:cstheme="minorHAnsi"/>
          <w:szCs w:val="24"/>
        </w:rPr>
      </w:pPr>
      <w:r w:rsidRPr="00946D08">
        <w:rPr>
          <w:rFonts w:asciiTheme="minorHAnsi" w:eastAsiaTheme="minorHAnsi" w:hAnsiTheme="minorHAnsi" w:cstheme="minorHAnsi"/>
          <w:szCs w:val="24"/>
        </w:rPr>
        <w:t>Medication Chart (NIMC) or MedChart (EMM) for high-risk medicines</w:t>
      </w:r>
    </w:p>
    <w:p w14:paraId="4CD14336"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lastRenderedPageBreak/>
        <w:t>Dose adjustments must be considered when prescribing a high-risk medicine for patient groups such as overweight or underweight patients, and patients with existing clinical conditions (such as renal or hepatic impairment) that may affect drug metabolism and excretion</w:t>
      </w:r>
    </w:p>
    <w:p w14:paraId="130C49F5"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eastAsiaTheme="minorHAnsi" w:hAnsiTheme="minorHAnsi" w:cstheme="minorHAnsi"/>
          <w:color w:val="000000"/>
          <w:szCs w:val="24"/>
        </w:rPr>
        <w:t>Therapeutic guidelines should be followed for medicines where dosing is complex and duration of therapy substantially increases the risk of toxicity, for example aminoglycosides</w:t>
      </w:r>
    </w:p>
    <w:p w14:paraId="597DFF97"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p>
    <w:p w14:paraId="51C3178D"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r w:rsidRPr="00946D08">
        <w:rPr>
          <w:rFonts w:asciiTheme="minorHAnsi" w:eastAsiaTheme="minorHAnsi" w:hAnsiTheme="minorHAnsi" w:cstheme="minorHAnsi"/>
          <w:b/>
          <w:bCs/>
          <w:color w:val="000000"/>
          <w:szCs w:val="24"/>
        </w:rPr>
        <w:t>Procurement</w:t>
      </w:r>
    </w:p>
    <w:p w14:paraId="446B51F1" w14:textId="14AB42D2"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hAnsiTheme="minorHAnsi" w:cstheme="minorHAnsi"/>
          <w:szCs w:val="24"/>
        </w:rPr>
        <w:t xml:space="preserve">Consider safety elements when purchasing medicines </w:t>
      </w:r>
      <w:proofErr w:type="gramStart"/>
      <w:r w:rsidRPr="00946D08">
        <w:rPr>
          <w:rFonts w:asciiTheme="minorHAnsi" w:hAnsiTheme="minorHAnsi" w:cstheme="minorHAnsi"/>
          <w:szCs w:val="24"/>
        </w:rPr>
        <w:t>e.g.</w:t>
      </w:r>
      <w:proofErr w:type="gramEnd"/>
      <w:r w:rsidRPr="00946D08">
        <w:rPr>
          <w:rFonts w:asciiTheme="minorHAnsi" w:hAnsiTheme="minorHAnsi" w:cstheme="minorHAnsi"/>
          <w:szCs w:val="24"/>
        </w:rPr>
        <w:t xml:space="preserve"> review label clarity, visual product discrimination, amount of manipulation required, and associated equipment needed in administration of the medicine</w:t>
      </w:r>
      <w:r w:rsidR="00031BB1">
        <w:rPr>
          <w:rFonts w:asciiTheme="minorHAnsi" w:hAnsiTheme="minorHAnsi" w:cstheme="minorHAnsi"/>
          <w:szCs w:val="24"/>
        </w:rPr>
        <w:t>. When new medicines are purchased</w:t>
      </w:r>
      <w:r w:rsidR="00E14E71">
        <w:rPr>
          <w:rFonts w:asciiTheme="minorHAnsi" w:hAnsiTheme="minorHAnsi" w:cstheme="minorHAnsi"/>
          <w:szCs w:val="24"/>
        </w:rPr>
        <w:t>,</w:t>
      </w:r>
      <w:r w:rsidR="00031BB1">
        <w:rPr>
          <w:rFonts w:asciiTheme="minorHAnsi" w:hAnsiTheme="minorHAnsi" w:cstheme="minorHAnsi"/>
          <w:szCs w:val="24"/>
        </w:rPr>
        <w:t xml:space="preserve"> or </w:t>
      </w:r>
      <w:r w:rsidR="00E14E71">
        <w:rPr>
          <w:rFonts w:asciiTheme="minorHAnsi" w:hAnsiTheme="minorHAnsi" w:cstheme="minorHAnsi"/>
          <w:szCs w:val="24"/>
        </w:rPr>
        <w:t xml:space="preserve">when </w:t>
      </w:r>
      <w:r w:rsidR="00031BB1">
        <w:rPr>
          <w:rFonts w:asciiTheme="minorHAnsi" w:hAnsiTheme="minorHAnsi" w:cstheme="minorHAnsi"/>
          <w:szCs w:val="24"/>
        </w:rPr>
        <w:t xml:space="preserve">there are changes to </w:t>
      </w:r>
      <w:r w:rsidR="00E14E71">
        <w:rPr>
          <w:rFonts w:asciiTheme="minorHAnsi" w:hAnsiTheme="minorHAnsi" w:cstheme="minorHAnsi"/>
          <w:szCs w:val="24"/>
        </w:rPr>
        <w:t xml:space="preserve">the </w:t>
      </w:r>
      <w:r w:rsidR="00031BB1">
        <w:rPr>
          <w:rFonts w:asciiTheme="minorHAnsi" w:hAnsiTheme="minorHAnsi" w:cstheme="minorHAnsi"/>
          <w:szCs w:val="24"/>
        </w:rPr>
        <w:t>packaging/manufactur</w:t>
      </w:r>
      <w:r w:rsidR="00E14E71">
        <w:rPr>
          <w:rFonts w:asciiTheme="minorHAnsi" w:hAnsiTheme="minorHAnsi" w:cstheme="minorHAnsi"/>
          <w:szCs w:val="24"/>
        </w:rPr>
        <w:t>er</w:t>
      </w:r>
      <w:r w:rsidR="00031BB1">
        <w:rPr>
          <w:rFonts w:asciiTheme="minorHAnsi" w:hAnsiTheme="minorHAnsi" w:cstheme="minorHAnsi"/>
          <w:szCs w:val="24"/>
        </w:rPr>
        <w:t xml:space="preserve"> o</w:t>
      </w:r>
      <w:r w:rsidR="00E14E71">
        <w:rPr>
          <w:rFonts w:asciiTheme="minorHAnsi" w:hAnsiTheme="minorHAnsi" w:cstheme="minorHAnsi"/>
          <w:szCs w:val="24"/>
        </w:rPr>
        <w:t xml:space="preserve">f </w:t>
      </w:r>
      <w:r w:rsidR="00031BB1">
        <w:rPr>
          <w:rFonts w:asciiTheme="minorHAnsi" w:hAnsiTheme="minorHAnsi" w:cstheme="minorHAnsi"/>
          <w:szCs w:val="24"/>
        </w:rPr>
        <w:t>existing medicine</w:t>
      </w:r>
      <w:r w:rsidR="00E14E71">
        <w:rPr>
          <w:rFonts w:asciiTheme="minorHAnsi" w:hAnsiTheme="minorHAnsi" w:cstheme="minorHAnsi"/>
          <w:szCs w:val="24"/>
        </w:rPr>
        <w:t xml:space="preserve">s, </w:t>
      </w:r>
      <w:r w:rsidR="00031BB1">
        <w:rPr>
          <w:rFonts w:asciiTheme="minorHAnsi" w:hAnsiTheme="minorHAnsi" w:cstheme="minorHAnsi"/>
          <w:szCs w:val="24"/>
        </w:rPr>
        <w:t xml:space="preserve"> </w:t>
      </w:r>
      <w:r w:rsidR="00E14E71">
        <w:rPr>
          <w:rFonts w:asciiTheme="minorHAnsi" w:hAnsiTheme="minorHAnsi" w:cstheme="minorHAnsi"/>
          <w:szCs w:val="24"/>
        </w:rPr>
        <w:t>a</w:t>
      </w:r>
      <w:r w:rsidR="00031BB1">
        <w:rPr>
          <w:rFonts w:asciiTheme="minorHAnsi" w:hAnsiTheme="minorHAnsi" w:cstheme="minorHAnsi"/>
          <w:szCs w:val="24"/>
        </w:rPr>
        <w:t xml:space="preserve"> Medication Safety Pharmacist should be contacted to conduct a product safety assessment</w:t>
      </w:r>
      <w:r w:rsidR="00E14E71">
        <w:rPr>
          <w:rFonts w:asciiTheme="minorHAnsi" w:hAnsiTheme="minorHAnsi" w:cstheme="minorHAnsi"/>
          <w:szCs w:val="24"/>
        </w:rPr>
        <w:t>.</w:t>
      </w:r>
    </w:p>
    <w:p w14:paraId="64335C98"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eastAsiaTheme="minorHAnsi" w:hAnsiTheme="minorHAnsi" w:cstheme="minorHAnsi"/>
          <w:color w:val="000000"/>
          <w:szCs w:val="24"/>
        </w:rPr>
        <w:t>Purchase standardised concentrations of medicines in solution</w:t>
      </w:r>
    </w:p>
    <w:p w14:paraId="21742F74"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p>
    <w:p w14:paraId="014D2EC4" w14:textId="77777777" w:rsidR="009524AC" w:rsidRPr="00946D08" w:rsidRDefault="009524AC" w:rsidP="009524AC">
      <w:pPr>
        <w:autoSpaceDE w:val="0"/>
        <w:autoSpaceDN w:val="0"/>
        <w:adjustRightInd w:val="0"/>
        <w:jc w:val="both"/>
        <w:rPr>
          <w:rFonts w:asciiTheme="minorHAnsi" w:eastAsiaTheme="minorHAnsi" w:hAnsiTheme="minorHAnsi" w:cstheme="minorHAnsi"/>
          <w:color w:val="000000"/>
          <w:szCs w:val="24"/>
        </w:rPr>
      </w:pPr>
      <w:r w:rsidRPr="00946D08">
        <w:rPr>
          <w:rFonts w:asciiTheme="minorHAnsi" w:eastAsiaTheme="minorHAnsi" w:hAnsiTheme="minorHAnsi" w:cstheme="minorHAnsi"/>
          <w:b/>
          <w:bCs/>
          <w:color w:val="000000"/>
          <w:szCs w:val="24"/>
        </w:rPr>
        <w:t>Protocols</w:t>
      </w:r>
    </w:p>
    <w:p w14:paraId="0907BC78"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hAnsiTheme="minorHAnsi" w:cstheme="minorHAnsi"/>
          <w:szCs w:val="24"/>
        </w:rPr>
        <w:t>Therapeutic guidance in the form of local protocols and guidelines must be available for prescribing and administration of all high-risk medicines that do not have established therapeutic guidance available in standard references</w:t>
      </w:r>
    </w:p>
    <w:p w14:paraId="08D601F8" w14:textId="77777777" w:rsidR="009524AC" w:rsidRPr="00946D08" w:rsidRDefault="009524AC" w:rsidP="009524AC">
      <w:pPr>
        <w:pStyle w:val="ListBullet"/>
        <w:rPr>
          <w:rFonts w:asciiTheme="minorHAnsi" w:hAnsiTheme="minorHAnsi" w:cstheme="minorHAnsi"/>
          <w:szCs w:val="24"/>
        </w:rPr>
      </w:pPr>
      <w:r w:rsidRPr="00946D08">
        <w:rPr>
          <w:rFonts w:asciiTheme="minorHAnsi" w:hAnsiTheme="minorHAnsi" w:cstheme="minorHAnsi"/>
          <w:szCs w:val="24"/>
        </w:rPr>
        <w:t>Protocols should be prepared in consultation with relevant specialists and aligned to the Canberra Health Services Medication Handling Policy</w:t>
      </w:r>
    </w:p>
    <w:p w14:paraId="151632D1"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eastAsiaTheme="minorHAnsi" w:hAnsiTheme="minorHAnsi" w:cstheme="minorHAnsi"/>
          <w:szCs w:val="24"/>
        </w:rPr>
        <w:t>Medication reconciliation processes should be prioritised for patients prescribed high risk medicines</w:t>
      </w:r>
    </w:p>
    <w:p w14:paraId="0FA84219" w14:textId="77777777" w:rsidR="009524AC" w:rsidRPr="00946D08" w:rsidRDefault="009524AC" w:rsidP="009524AC">
      <w:pPr>
        <w:autoSpaceDE w:val="0"/>
        <w:autoSpaceDN w:val="0"/>
        <w:adjustRightInd w:val="0"/>
        <w:jc w:val="both"/>
        <w:rPr>
          <w:rFonts w:asciiTheme="minorHAnsi" w:eastAsiaTheme="minorHAnsi" w:hAnsiTheme="minorHAnsi" w:cstheme="minorHAnsi"/>
          <w:color w:val="000000"/>
          <w:szCs w:val="24"/>
        </w:rPr>
      </w:pPr>
    </w:p>
    <w:p w14:paraId="44FC83D3"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r w:rsidRPr="00946D08">
        <w:rPr>
          <w:rFonts w:asciiTheme="minorHAnsi" w:eastAsiaTheme="minorHAnsi" w:hAnsiTheme="minorHAnsi" w:cstheme="minorHAnsi"/>
          <w:b/>
          <w:bCs/>
          <w:color w:val="000000"/>
          <w:szCs w:val="24"/>
        </w:rPr>
        <w:t>Storage/supply</w:t>
      </w:r>
    </w:p>
    <w:p w14:paraId="265A0378"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hAnsiTheme="minorHAnsi" w:cstheme="minorHAnsi"/>
          <w:szCs w:val="24"/>
        </w:rPr>
        <w:t>Restrict supply of high-risk medications to areas of specified use where possible</w:t>
      </w:r>
    </w:p>
    <w:p w14:paraId="6643CB3D" w14:textId="77777777" w:rsidR="009524AC" w:rsidRPr="00946D08" w:rsidRDefault="009524AC" w:rsidP="009524AC">
      <w:pPr>
        <w:pStyle w:val="ListBullet"/>
        <w:rPr>
          <w:rFonts w:asciiTheme="minorHAnsi" w:eastAsiaTheme="minorHAnsi" w:hAnsiTheme="minorHAnsi" w:cstheme="minorHAnsi"/>
          <w:color w:val="000000"/>
          <w:szCs w:val="24"/>
        </w:rPr>
      </w:pPr>
      <w:r w:rsidRPr="00946D08">
        <w:rPr>
          <w:rFonts w:asciiTheme="minorHAnsi" w:hAnsiTheme="minorHAnsi" w:cstheme="minorHAnsi"/>
          <w:szCs w:val="24"/>
        </w:rPr>
        <w:t>Storage of high-risk medicines should be in accordance with the individual (or group of medicines) storage requirements as detailed in the High-Risk Medicine Standards</w:t>
      </w:r>
    </w:p>
    <w:p w14:paraId="51D8C949" w14:textId="77777777" w:rsidR="009524AC" w:rsidRPr="00946D08" w:rsidRDefault="009524AC" w:rsidP="009524AC">
      <w:pPr>
        <w:autoSpaceDE w:val="0"/>
        <w:autoSpaceDN w:val="0"/>
        <w:adjustRightInd w:val="0"/>
        <w:jc w:val="both"/>
        <w:rPr>
          <w:rFonts w:asciiTheme="minorHAnsi" w:eastAsiaTheme="minorHAnsi" w:hAnsiTheme="minorHAnsi" w:cstheme="minorHAnsi"/>
          <w:szCs w:val="24"/>
        </w:rPr>
      </w:pPr>
    </w:p>
    <w:p w14:paraId="04AEE577" w14:textId="77777777" w:rsidR="009524AC" w:rsidRPr="00946D08" w:rsidRDefault="009524AC" w:rsidP="009524AC">
      <w:pPr>
        <w:autoSpaceDE w:val="0"/>
        <w:autoSpaceDN w:val="0"/>
        <w:adjustRightInd w:val="0"/>
        <w:jc w:val="both"/>
        <w:rPr>
          <w:rFonts w:asciiTheme="minorHAnsi" w:eastAsiaTheme="minorHAnsi" w:hAnsiTheme="minorHAnsi" w:cstheme="minorHAnsi"/>
          <w:b/>
          <w:bCs/>
          <w:color w:val="000000"/>
          <w:szCs w:val="24"/>
        </w:rPr>
      </w:pPr>
      <w:r w:rsidRPr="00946D08">
        <w:rPr>
          <w:rFonts w:asciiTheme="minorHAnsi" w:eastAsiaTheme="minorHAnsi" w:hAnsiTheme="minorHAnsi" w:cstheme="minorHAnsi"/>
          <w:b/>
          <w:bCs/>
          <w:color w:val="000000"/>
          <w:szCs w:val="24"/>
        </w:rPr>
        <w:t>Systems</w:t>
      </w:r>
    </w:p>
    <w:p w14:paraId="44A5C7F1" w14:textId="77777777" w:rsidR="009524AC" w:rsidRPr="00946D08" w:rsidRDefault="009524AC" w:rsidP="009524AC">
      <w:pPr>
        <w:pStyle w:val="ListBullet"/>
        <w:rPr>
          <w:rFonts w:asciiTheme="minorHAnsi" w:eastAsiaTheme="minorEastAsia" w:hAnsiTheme="minorHAnsi" w:cstheme="minorBidi"/>
        </w:rPr>
      </w:pPr>
      <w:r w:rsidRPr="3B77FD41">
        <w:rPr>
          <w:rFonts w:asciiTheme="minorHAnsi" w:eastAsiaTheme="minorEastAsia" w:hAnsiTheme="minorHAnsi" w:cstheme="minorBidi"/>
        </w:rPr>
        <w:t xml:space="preserve">Use of shelf reminders, </w:t>
      </w:r>
      <w:proofErr w:type="gramStart"/>
      <w:r w:rsidRPr="3B77FD41">
        <w:rPr>
          <w:rFonts w:asciiTheme="minorHAnsi" w:eastAsiaTheme="minorEastAsia" w:hAnsiTheme="minorHAnsi" w:cstheme="minorBidi"/>
        </w:rPr>
        <w:t>checklists</w:t>
      </w:r>
      <w:proofErr w:type="gramEnd"/>
      <w:r w:rsidRPr="3B77FD41">
        <w:rPr>
          <w:rFonts w:asciiTheme="minorHAnsi" w:eastAsiaTheme="minorEastAsia" w:hAnsiTheme="minorHAnsi" w:cstheme="minorBidi"/>
        </w:rPr>
        <w:t xml:space="preserve"> and alerts</w:t>
      </w:r>
      <w:r>
        <w:rPr>
          <w:rFonts w:asciiTheme="minorHAnsi" w:eastAsiaTheme="minorEastAsia" w:hAnsiTheme="minorHAnsi" w:cstheme="minorBidi"/>
        </w:rPr>
        <w:t>. These</w:t>
      </w:r>
      <w:r w:rsidRPr="3B77FD41">
        <w:rPr>
          <w:rFonts w:asciiTheme="minorHAnsi" w:eastAsiaTheme="minorEastAsia" w:hAnsiTheme="minorHAnsi" w:cstheme="minorBidi"/>
        </w:rPr>
        <w:t xml:space="preserve"> should be built into information technology systems</w:t>
      </w:r>
      <w:r>
        <w:rPr>
          <w:rFonts w:asciiTheme="minorHAnsi" w:eastAsiaTheme="minorEastAsia" w:hAnsiTheme="minorHAnsi" w:cstheme="minorBidi"/>
        </w:rPr>
        <w:t xml:space="preserve"> where possible</w:t>
      </w:r>
    </w:p>
    <w:p w14:paraId="26F44DDB" w14:textId="77777777" w:rsidR="009524AC" w:rsidRPr="00946D08" w:rsidRDefault="009524AC" w:rsidP="009524AC">
      <w:pPr>
        <w:pStyle w:val="ListBullet"/>
        <w:rPr>
          <w:rFonts w:asciiTheme="minorHAnsi" w:eastAsiaTheme="minorEastAsia" w:hAnsiTheme="minorHAnsi" w:cstheme="minorBidi"/>
        </w:rPr>
      </w:pPr>
      <w:r w:rsidRPr="3B77FD41">
        <w:rPr>
          <w:rFonts w:asciiTheme="minorHAnsi" w:hAnsiTheme="minorHAnsi" w:cstheme="minorBidi"/>
        </w:rPr>
        <w:t>Low level risk-reduction strategies (</w:t>
      </w:r>
      <w:proofErr w:type="gramStart"/>
      <w:r w:rsidRPr="3B77FD41">
        <w:rPr>
          <w:rFonts w:asciiTheme="minorHAnsi" w:hAnsiTheme="minorHAnsi" w:cstheme="minorBidi"/>
        </w:rPr>
        <w:t>i.e.</w:t>
      </w:r>
      <w:proofErr w:type="gramEnd"/>
      <w:r w:rsidRPr="3B77FD41">
        <w:rPr>
          <w:rFonts w:asciiTheme="minorHAnsi" w:hAnsiTheme="minorHAnsi" w:cstheme="minorBidi"/>
        </w:rPr>
        <w:t xml:space="preserve"> staff education and information) should be used together with high-leverage risk-reduction strategies, such as forcing functions and fail safes (such as limiting access or use, constraints, barriers or standardisation)</w:t>
      </w:r>
    </w:p>
    <w:p w14:paraId="055B9438"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eastAsiaTheme="minorHAnsi" w:hAnsiTheme="minorHAnsi" w:cstheme="minorHAnsi"/>
          <w:szCs w:val="24"/>
        </w:rPr>
        <w:t>A regular review of local and wider system incidents and near-misses and the use of prospective analysis and re-design of systems to prevent recurrence of the same errors</w:t>
      </w:r>
    </w:p>
    <w:p w14:paraId="2551CAAA" w14:textId="77777777" w:rsidR="009524AC" w:rsidRPr="00946D08" w:rsidRDefault="009524AC" w:rsidP="009524AC">
      <w:pPr>
        <w:pStyle w:val="ListBullet"/>
        <w:rPr>
          <w:rFonts w:asciiTheme="minorHAnsi" w:eastAsiaTheme="minorHAnsi" w:hAnsiTheme="minorHAnsi" w:cstheme="minorHAnsi"/>
          <w:szCs w:val="24"/>
        </w:rPr>
      </w:pPr>
      <w:r w:rsidRPr="00946D08">
        <w:rPr>
          <w:rFonts w:asciiTheme="minorHAnsi" w:hAnsiTheme="minorHAnsi" w:cstheme="minorHAnsi"/>
          <w:szCs w:val="24"/>
        </w:rPr>
        <w:t>Monitor the use of high-risk medicines by collecting data to determine the effectiveness of risk-reduction strategies for high-risk medications. Communicate results with appropriate committees and individuals</w:t>
      </w:r>
    </w:p>
    <w:p w14:paraId="4DD89693" w14:textId="77777777" w:rsidR="009524AC" w:rsidRDefault="009524AC" w:rsidP="009524AC">
      <w:pPr>
        <w:pStyle w:val="ListParagraph"/>
        <w:autoSpaceDE w:val="0"/>
        <w:autoSpaceDN w:val="0"/>
        <w:adjustRightInd w:val="0"/>
        <w:jc w:val="both"/>
        <w:rPr>
          <w:rFonts w:ascii="Arial" w:eastAsiaTheme="minorHAnsi" w:hAnsi="Arial" w:cs="Arial"/>
          <w:color w:val="000000"/>
          <w:sz w:val="22"/>
          <w:szCs w:val="22"/>
        </w:rPr>
      </w:pPr>
    </w:p>
    <w:p w14:paraId="091575CC" w14:textId="77777777" w:rsidR="009524AC" w:rsidRPr="00407F9E" w:rsidRDefault="00DA5765" w:rsidP="009524AC">
      <w:pPr>
        <w:jc w:val="right"/>
        <w:rPr>
          <w:rFonts w:cs="Arial"/>
          <w:i/>
          <w:iCs/>
          <w:szCs w:val="24"/>
        </w:rPr>
      </w:pPr>
      <w:hyperlink w:anchor="_Contents" w:history="1">
        <w:r w:rsidR="009524AC" w:rsidRPr="00407F9E">
          <w:rPr>
            <w:rStyle w:val="Hyperlink"/>
            <w:rFonts w:cs="Arial"/>
            <w:i/>
            <w:iCs/>
            <w:szCs w:val="24"/>
          </w:rPr>
          <w:t>Back to Table of Contents</w:t>
        </w:r>
      </w:hyperlink>
    </w:p>
    <w:p w14:paraId="63FAF273" w14:textId="3209FCEE" w:rsidR="009524AC" w:rsidRDefault="009524AC" w:rsidP="00E82CDA">
      <w:pPr>
        <w:rPr>
          <w:rStyle w:val="Hyperlink"/>
          <w:rFonts w:cs="Arial"/>
          <w:i/>
          <w:iCs/>
          <w:szCs w:val="24"/>
        </w:rPr>
      </w:pPr>
    </w:p>
    <w:p w14:paraId="484355D8" w14:textId="77777777" w:rsidR="009524AC" w:rsidRDefault="009524AC" w:rsidP="009524AC">
      <w:pPr>
        <w:jc w:val="right"/>
        <w:rPr>
          <w:rStyle w:val="Hyperlink"/>
          <w:rFonts w:cs="Arial"/>
          <w:i/>
          <w:iCs/>
          <w:szCs w:val="24"/>
        </w:rPr>
      </w:pPr>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9524AC" w14:paraId="6B51EE05" w14:textId="77777777" w:rsidTr="00D240DA">
        <w:trPr>
          <w:cantSplit/>
          <w:trHeight w:val="285"/>
        </w:trPr>
        <w:tc>
          <w:tcPr>
            <w:tcW w:w="9158" w:type="dxa"/>
            <w:shd w:val="clear" w:color="auto" w:fill="000000" w:themeFill="text1"/>
            <w:hideMark/>
          </w:tcPr>
          <w:p w14:paraId="3F34E56A" w14:textId="77777777" w:rsidR="009524AC" w:rsidRPr="00667C96" w:rsidRDefault="009524AC" w:rsidP="00D240DA">
            <w:pPr>
              <w:pStyle w:val="Heading1"/>
            </w:pPr>
            <w:bookmarkStart w:id="24" w:name="_Toc43903671"/>
            <w:bookmarkStart w:id="25" w:name="_Toc79149334"/>
            <w:r w:rsidRPr="00667C96">
              <w:lastRenderedPageBreak/>
              <w:t>Evaluation</w:t>
            </w:r>
            <w:bookmarkEnd w:id="24"/>
            <w:bookmarkEnd w:id="25"/>
            <w:r w:rsidRPr="00667C96">
              <w:t xml:space="preserve"> </w:t>
            </w:r>
            <w:r w:rsidRPr="00667C96">
              <w:tab/>
            </w:r>
          </w:p>
        </w:tc>
      </w:tr>
    </w:tbl>
    <w:bookmarkEnd w:id="20"/>
    <w:p w14:paraId="724742CD" w14:textId="3F85986A" w:rsidR="00667C96" w:rsidRPr="009A6440" w:rsidRDefault="00667C96" w:rsidP="009A6440">
      <w:pPr>
        <w:rPr>
          <w:rFonts w:cs="Arial"/>
          <w:i/>
          <w:iCs/>
          <w:szCs w:val="24"/>
        </w:rPr>
      </w:pPr>
      <w:r>
        <w:rPr>
          <w:rFonts w:cs="Arial"/>
          <w:b/>
          <w:bCs/>
          <w:iCs/>
        </w:rPr>
        <w:t>Outcome</w:t>
      </w:r>
    </w:p>
    <w:p w14:paraId="033500CA" w14:textId="7C86A0AF" w:rsidR="009A6440" w:rsidRDefault="009A6440" w:rsidP="009A6440">
      <w:pPr>
        <w:rPr>
          <w:rFonts w:eastAsiaTheme="minorHAnsi" w:cs="Arial"/>
          <w:szCs w:val="24"/>
        </w:rPr>
      </w:pPr>
      <w:r>
        <w:rPr>
          <w:rFonts w:eastAsiaTheme="minorHAnsi" w:cs="Arial"/>
          <w:szCs w:val="24"/>
        </w:rPr>
        <w:t>Compliance with evidence based risk reduction strategies to reduce the potential for patient harm from the use or misuse of high-risk medicines.</w:t>
      </w:r>
    </w:p>
    <w:p w14:paraId="32DAA7E3" w14:textId="77777777" w:rsidR="00667C96" w:rsidRDefault="00667C96" w:rsidP="00667C96">
      <w:pPr>
        <w:pStyle w:val="Default"/>
        <w:rPr>
          <w:rFonts w:ascii="Calibri" w:hAnsi="Calibri" w:cs="Arial"/>
          <w:b/>
          <w:bCs/>
          <w:iCs/>
          <w:color w:val="auto"/>
          <w:lang w:eastAsia="en-US"/>
        </w:rPr>
      </w:pPr>
    </w:p>
    <w:p w14:paraId="09677B39" w14:textId="34738105"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Measures</w:t>
      </w:r>
    </w:p>
    <w:p w14:paraId="4E2969C4" w14:textId="4CF11585" w:rsidR="009A6440" w:rsidRDefault="009A6440" w:rsidP="00667C96">
      <w:pPr>
        <w:pStyle w:val="Default"/>
        <w:rPr>
          <w:rFonts w:ascii="Calibri" w:eastAsiaTheme="minorEastAsia" w:hAnsi="Calibri" w:cs="Calibri"/>
        </w:rPr>
      </w:pPr>
      <w:r w:rsidRPr="009A6440">
        <w:rPr>
          <w:rFonts w:ascii="Calibri" w:eastAsiaTheme="minorEastAsia" w:hAnsi="Calibri" w:cs="Calibri"/>
        </w:rPr>
        <w:t>Compliance with the high-risk medication policy</w:t>
      </w:r>
      <w:r>
        <w:rPr>
          <w:rFonts w:ascii="Calibri" w:eastAsiaTheme="minorEastAsia" w:hAnsi="Calibri" w:cs="Calibri"/>
        </w:rPr>
        <w:t xml:space="preserve"> and its </w:t>
      </w:r>
      <w:r w:rsidRPr="009A6440">
        <w:rPr>
          <w:rFonts w:ascii="Calibri" w:eastAsiaTheme="minorEastAsia" w:hAnsi="Calibri" w:cs="Calibri"/>
        </w:rPr>
        <w:t>associated High-Risk Medicine Standards</w:t>
      </w:r>
      <w:r>
        <w:rPr>
          <w:rFonts w:ascii="Calibri" w:eastAsiaTheme="minorEastAsia" w:hAnsi="Calibri" w:cs="Calibri"/>
        </w:rPr>
        <w:t xml:space="preserve"> will be</w:t>
      </w:r>
      <w:r w:rsidRPr="009A6440">
        <w:rPr>
          <w:rFonts w:ascii="Calibri" w:eastAsiaTheme="minorEastAsia" w:hAnsi="Calibri" w:cs="Calibri"/>
        </w:rPr>
        <w:t xml:space="preserve"> evaluated through regular audits and analysis of incident reports.</w:t>
      </w:r>
    </w:p>
    <w:p w14:paraId="57D36B41" w14:textId="77777777" w:rsidR="009A6440" w:rsidRPr="009A6440" w:rsidRDefault="009A6440" w:rsidP="00667C96">
      <w:pPr>
        <w:pStyle w:val="Default"/>
        <w:rPr>
          <w:rFonts w:ascii="Calibri" w:hAnsi="Calibri" w:cs="Calibri"/>
          <w:b/>
          <w:bCs/>
          <w:iCs/>
          <w:color w:val="auto"/>
          <w:lang w:eastAsia="en-US"/>
        </w:rPr>
      </w:pPr>
    </w:p>
    <w:p w14:paraId="2C003A38" w14:textId="2F988FEE" w:rsidR="009A6440" w:rsidRDefault="00DA5765" w:rsidP="00667C96">
      <w:pPr>
        <w:jc w:val="right"/>
        <w:rPr>
          <w:rFonts w:cs="Arial"/>
          <w:szCs w:val="24"/>
        </w:rPr>
      </w:pPr>
      <w:hyperlink r:id="rId12" w:anchor="Contents" w:history="1">
        <w:r w:rsidR="00667C96">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bookmarkStart w:id="26" w:name="_Toc79149335"/>
            <w:r>
              <w:rPr>
                <w:szCs w:val="24"/>
              </w:rPr>
              <w:t xml:space="preserve">Related </w:t>
            </w:r>
            <w:r w:rsidRPr="008652F8">
              <w:rPr>
                <w:szCs w:val="24"/>
              </w:rPr>
              <w:t>Policies</w:t>
            </w:r>
            <w:r w:rsidR="00A86A9D" w:rsidRPr="008652F8">
              <w:rPr>
                <w:szCs w:val="24"/>
              </w:rPr>
              <w:t>, Procedures, Guidelines and Legislation</w:t>
            </w:r>
            <w:bookmarkEnd w:id="26"/>
          </w:p>
        </w:tc>
      </w:tr>
    </w:tbl>
    <w:p w14:paraId="3742B904" w14:textId="77777777" w:rsidR="00A86A9D" w:rsidRPr="006019FE" w:rsidRDefault="00A86A9D" w:rsidP="00A86A9D">
      <w:pPr>
        <w:rPr>
          <w:rFonts w:cs="Arial"/>
          <w:szCs w:val="24"/>
        </w:rPr>
      </w:pPr>
    </w:p>
    <w:p w14:paraId="1FACE477" w14:textId="77777777" w:rsidR="009524AC" w:rsidRPr="004961E2" w:rsidRDefault="009524AC" w:rsidP="009524AC">
      <w:pPr>
        <w:rPr>
          <w:b/>
        </w:rPr>
      </w:pPr>
      <w:r w:rsidRPr="004961E2">
        <w:rPr>
          <w:b/>
        </w:rPr>
        <w:t>Policies</w:t>
      </w:r>
    </w:p>
    <w:p w14:paraId="46C57702" w14:textId="77777777" w:rsidR="009524AC" w:rsidRPr="00B26AF4" w:rsidRDefault="009524AC" w:rsidP="009524AC">
      <w:pPr>
        <w:pStyle w:val="ListBullet"/>
        <w:rPr>
          <w:rFonts w:ascii="Times New Roman" w:hAnsi="Times New Roman"/>
        </w:rPr>
      </w:pPr>
      <w:r>
        <w:t xml:space="preserve">Medication Handling  </w:t>
      </w:r>
    </w:p>
    <w:p w14:paraId="20735009" w14:textId="77777777" w:rsidR="009524AC" w:rsidRPr="004C3F0D" w:rsidRDefault="009524AC" w:rsidP="009524AC">
      <w:pPr>
        <w:pStyle w:val="ListBullet"/>
        <w:rPr>
          <w:rFonts w:ascii="Times New Roman" w:hAnsi="Times New Roman"/>
        </w:rPr>
      </w:pPr>
      <w:r>
        <w:t>Incident Management</w:t>
      </w:r>
    </w:p>
    <w:p w14:paraId="02D2279D" w14:textId="77777777" w:rsidR="009524AC" w:rsidRPr="00953C03" w:rsidRDefault="009524AC" w:rsidP="009524AC">
      <w:pPr>
        <w:pStyle w:val="ListBullet"/>
        <w:rPr>
          <w:rFonts w:ascii="Times New Roman" w:hAnsi="Times New Roman"/>
        </w:rPr>
      </w:pPr>
      <w:r>
        <w:t>Risk Management</w:t>
      </w:r>
    </w:p>
    <w:p w14:paraId="53466A4E" w14:textId="77777777" w:rsidR="009524AC" w:rsidRPr="00953C03" w:rsidRDefault="009524AC" w:rsidP="009524AC">
      <w:pPr>
        <w:pStyle w:val="ListBullet"/>
        <w:rPr>
          <w:rFonts w:ascii="Times New Roman" w:hAnsi="Times New Roman"/>
        </w:rPr>
      </w:pPr>
      <w:r>
        <w:rPr>
          <w:rFonts w:eastAsiaTheme="minorHAnsi" w:cs="Arial"/>
          <w:color w:val="000000"/>
          <w:szCs w:val="24"/>
        </w:rPr>
        <w:t xml:space="preserve">Management of recalls, </w:t>
      </w:r>
      <w:proofErr w:type="gramStart"/>
      <w:r>
        <w:rPr>
          <w:rFonts w:eastAsiaTheme="minorHAnsi" w:cs="Arial"/>
          <w:color w:val="000000"/>
          <w:szCs w:val="24"/>
        </w:rPr>
        <w:t>alerts</w:t>
      </w:r>
      <w:proofErr w:type="gramEnd"/>
      <w:r>
        <w:rPr>
          <w:rFonts w:eastAsiaTheme="minorHAnsi" w:cs="Arial"/>
          <w:color w:val="000000"/>
          <w:szCs w:val="24"/>
        </w:rPr>
        <w:t xml:space="preserve"> and product corrections</w:t>
      </w:r>
    </w:p>
    <w:p w14:paraId="4F691BFD" w14:textId="77777777" w:rsidR="009524AC" w:rsidRPr="004C3F0D" w:rsidRDefault="009524AC" w:rsidP="009524AC">
      <w:pPr>
        <w:pStyle w:val="ListBullet"/>
        <w:rPr>
          <w:rFonts w:ascii="Times New Roman" w:hAnsi="Times New Roman"/>
        </w:rPr>
      </w:pPr>
      <w:r>
        <w:rPr>
          <w:rFonts w:eastAsiaTheme="minorHAnsi" w:cs="Arial"/>
          <w:color w:val="000000"/>
          <w:szCs w:val="24"/>
        </w:rPr>
        <w:t>Consent to Treatment</w:t>
      </w:r>
    </w:p>
    <w:p w14:paraId="0E6387BD" w14:textId="77777777" w:rsidR="009524AC" w:rsidRDefault="009524AC" w:rsidP="009524AC">
      <w:pPr>
        <w:pStyle w:val="ListBullet"/>
        <w:numPr>
          <w:ilvl w:val="0"/>
          <w:numId w:val="0"/>
        </w:numPr>
        <w:rPr>
          <w:i/>
        </w:rPr>
      </w:pPr>
    </w:p>
    <w:p w14:paraId="1B5B146F" w14:textId="77777777" w:rsidR="009524AC" w:rsidRPr="004961E2" w:rsidRDefault="009524AC" w:rsidP="009524AC">
      <w:pPr>
        <w:rPr>
          <w:b/>
        </w:rPr>
      </w:pPr>
      <w:r>
        <w:rPr>
          <w:b/>
        </w:rPr>
        <w:t>Procedures</w:t>
      </w:r>
    </w:p>
    <w:p w14:paraId="102BB7B3" w14:textId="77777777" w:rsidR="009524AC" w:rsidRPr="0041441C" w:rsidRDefault="009524AC" w:rsidP="009524AC">
      <w:pPr>
        <w:pStyle w:val="ListBullet"/>
        <w:rPr>
          <w:b/>
        </w:rPr>
      </w:pPr>
      <w:r w:rsidRPr="004C3F0D">
        <w:rPr>
          <w:lang w:eastAsia="en-AU"/>
        </w:rPr>
        <w:t>Incident Management</w:t>
      </w:r>
      <w:r>
        <w:rPr>
          <w:lang w:eastAsia="en-AU"/>
        </w:rPr>
        <w:t>.</w:t>
      </w:r>
    </w:p>
    <w:p w14:paraId="78330B8A" w14:textId="77777777" w:rsidR="009524AC" w:rsidRPr="00ED2A15" w:rsidRDefault="009524AC" w:rsidP="009524AC">
      <w:pPr>
        <w:pStyle w:val="ListBullet"/>
        <w:rPr>
          <w:b/>
        </w:rPr>
      </w:pPr>
      <w:r w:rsidRPr="00E87CDC">
        <w:t xml:space="preserve">Anticoagulation Management </w:t>
      </w:r>
      <w:r>
        <w:t>clinical Procedure – Adult.</w:t>
      </w:r>
    </w:p>
    <w:p w14:paraId="594EB234" w14:textId="77777777" w:rsidR="009524AC" w:rsidRPr="00B26AF4" w:rsidRDefault="009524AC" w:rsidP="009524AC">
      <w:pPr>
        <w:pStyle w:val="ListBullet"/>
        <w:rPr>
          <w:rFonts w:eastAsiaTheme="minorHAnsi" w:cs="Arial"/>
        </w:rPr>
      </w:pPr>
      <w:r w:rsidRPr="00B26AF4">
        <w:rPr>
          <w:lang w:eastAsia="en-AU"/>
        </w:rPr>
        <w:t>Falls Prevention and Management (including safe use of bed rails)</w:t>
      </w:r>
      <w:r>
        <w:rPr>
          <w:lang w:eastAsia="en-AU"/>
        </w:rPr>
        <w:t>.</w:t>
      </w:r>
    </w:p>
    <w:p w14:paraId="3B176582" w14:textId="77777777" w:rsidR="009524AC" w:rsidRPr="00DE691E" w:rsidRDefault="009524AC" w:rsidP="009524AC">
      <w:pPr>
        <w:pStyle w:val="ListBullet"/>
        <w:rPr>
          <w:rFonts w:ascii="Times New Roman" w:hAnsi="Times New Roman"/>
        </w:rPr>
      </w:pPr>
      <w:r>
        <w:t>Haemodialysis for Adults.</w:t>
      </w:r>
    </w:p>
    <w:p w14:paraId="0B9E064B" w14:textId="77777777" w:rsidR="009524AC" w:rsidRPr="00386BB4" w:rsidRDefault="009524AC" w:rsidP="009524AC">
      <w:pPr>
        <w:pStyle w:val="ListBullet"/>
        <w:rPr>
          <w:b/>
        </w:rPr>
      </w:pPr>
      <w:r w:rsidRPr="00A67DD5">
        <w:rPr>
          <w:rFonts w:eastAsiaTheme="minorHAnsi" w:cs="Arial"/>
          <w:bCs/>
          <w:szCs w:val="24"/>
        </w:rPr>
        <w:t>Insulin infusion for labour and birth</w:t>
      </w:r>
      <w:r>
        <w:rPr>
          <w:rFonts w:eastAsiaTheme="minorHAnsi" w:cs="Arial"/>
          <w:bCs/>
          <w:szCs w:val="24"/>
        </w:rPr>
        <w:t>.</w:t>
      </w:r>
    </w:p>
    <w:p w14:paraId="48642B76" w14:textId="77777777" w:rsidR="009524AC" w:rsidRPr="000E749F" w:rsidRDefault="009524AC" w:rsidP="009524AC">
      <w:pPr>
        <w:pStyle w:val="ListBullet"/>
        <w:rPr>
          <w:b/>
        </w:rPr>
      </w:pPr>
      <w:r w:rsidRPr="00A67DD5">
        <w:rPr>
          <w:rFonts w:eastAsiaTheme="minorHAnsi" w:cs="Arial"/>
          <w:bCs/>
          <w:szCs w:val="24"/>
        </w:rPr>
        <w:t>Hyperkalaemia-management of acute hyperkalaemia in adults.</w:t>
      </w:r>
    </w:p>
    <w:p w14:paraId="45E41AE5" w14:textId="77777777" w:rsidR="009524AC" w:rsidRPr="00F31F55" w:rsidRDefault="009524AC" w:rsidP="009524AC">
      <w:pPr>
        <w:pStyle w:val="ListBullet"/>
        <w:rPr>
          <w:b/>
        </w:rPr>
      </w:pPr>
      <w:r>
        <w:t>Acute pain management techniques – Adult and Paediatric.</w:t>
      </w:r>
    </w:p>
    <w:p w14:paraId="5AE8928A" w14:textId="77777777" w:rsidR="009524AC" w:rsidRPr="00536503" w:rsidRDefault="009524AC" w:rsidP="009524AC">
      <w:pPr>
        <w:rPr>
          <w:rFonts w:cs="Arial"/>
          <w:szCs w:val="24"/>
        </w:rPr>
      </w:pPr>
    </w:p>
    <w:p w14:paraId="274A9FAF" w14:textId="77777777" w:rsidR="009524AC" w:rsidRPr="004961E2" w:rsidRDefault="009524AC" w:rsidP="009524AC">
      <w:pPr>
        <w:rPr>
          <w:b/>
        </w:rPr>
      </w:pPr>
      <w:r w:rsidRPr="004961E2">
        <w:rPr>
          <w:b/>
        </w:rPr>
        <w:t xml:space="preserve">Guidelines </w:t>
      </w:r>
    </w:p>
    <w:p w14:paraId="74DCD776" w14:textId="77777777" w:rsidR="009524AC" w:rsidRPr="00723D4A" w:rsidRDefault="009524AC" w:rsidP="009A6440">
      <w:pPr>
        <w:pStyle w:val="ListBullet"/>
        <w:numPr>
          <w:ilvl w:val="0"/>
          <w:numId w:val="11"/>
        </w:numPr>
      </w:pPr>
      <w:r>
        <w:t>Clinical Audit Program</w:t>
      </w:r>
    </w:p>
    <w:p w14:paraId="5742B05E" w14:textId="77777777" w:rsidR="009524AC" w:rsidRPr="00A67DD5" w:rsidRDefault="009524AC" w:rsidP="009524AC">
      <w:pPr>
        <w:pStyle w:val="ListBullet"/>
        <w:numPr>
          <w:ilvl w:val="0"/>
          <w:numId w:val="9"/>
        </w:numPr>
        <w:rPr>
          <w:rFonts w:ascii="Times New Roman" w:hAnsi="Times New Roman"/>
        </w:rPr>
      </w:pPr>
      <w:r>
        <w:t>Diabetes Management: Including Hypoglycaemia, IV Insulin Infusions and Insulin Pumps (Adults only).</w:t>
      </w:r>
    </w:p>
    <w:p w14:paraId="3474F292" w14:textId="77777777" w:rsidR="009524AC" w:rsidRDefault="009524AC" w:rsidP="009524AC">
      <w:pPr>
        <w:pStyle w:val="ListParagraph"/>
        <w:numPr>
          <w:ilvl w:val="0"/>
          <w:numId w:val="9"/>
        </w:numPr>
        <w:jc w:val="both"/>
        <w:rPr>
          <w:rFonts w:eastAsiaTheme="minorHAnsi" w:cs="Arial"/>
          <w:bCs/>
          <w:szCs w:val="24"/>
        </w:rPr>
      </w:pPr>
      <w:r w:rsidRPr="00A67DD5">
        <w:rPr>
          <w:rFonts w:eastAsiaTheme="minorHAnsi" w:cs="Arial"/>
          <w:bCs/>
          <w:szCs w:val="24"/>
        </w:rPr>
        <w:t>Paediatric and adolescent diabetes- management (not neonates</w:t>
      </w:r>
      <w:r>
        <w:rPr>
          <w:rFonts w:eastAsiaTheme="minorHAnsi" w:cs="Arial"/>
          <w:bCs/>
          <w:szCs w:val="24"/>
        </w:rPr>
        <w:t>.</w:t>
      </w:r>
      <w:r w:rsidRPr="00A67DD5">
        <w:rPr>
          <w:rFonts w:eastAsiaTheme="minorHAnsi" w:cs="Arial"/>
          <w:bCs/>
          <w:szCs w:val="24"/>
        </w:rPr>
        <w:t>)</w:t>
      </w:r>
    </w:p>
    <w:p w14:paraId="058A9E83" w14:textId="77777777" w:rsidR="009524AC" w:rsidRPr="00092E4F" w:rsidRDefault="009524AC" w:rsidP="009524AC">
      <w:pPr>
        <w:pStyle w:val="ListParagraph"/>
        <w:numPr>
          <w:ilvl w:val="0"/>
          <w:numId w:val="9"/>
        </w:numPr>
        <w:rPr>
          <w:szCs w:val="24"/>
        </w:rPr>
      </w:pPr>
      <w:r w:rsidRPr="004C3F0D">
        <w:t>Risk Management Guidelines</w:t>
      </w:r>
      <w:r>
        <w:t>.</w:t>
      </w:r>
    </w:p>
    <w:p w14:paraId="31EFC867" w14:textId="77777777" w:rsidR="009524AC" w:rsidRDefault="009524AC" w:rsidP="009524AC">
      <w:pPr>
        <w:pStyle w:val="ListParagraph"/>
        <w:numPr>
          <w:ilvl w:val="0"/>
          <w:numId w:val="9"/>
        </w:numPr>
        <w:jc w:val="both"/>
        <w:rPr>
          <w:rFonts w:eastAsiaTheme="minorHAnsi" w:cs="Arial"/>
          <w:bCs/>
          <w:szCs w:val="24"/>
        </w:rPr>
      </w:pPr>
      <w:r>
        <w:rPr>
          <w:rFonts w:eastAsiaTheme="minorHAnsi" w:cs="Arial"/>
          <w:bCs/>
          <w:szCs w:val="24"/>
        </w:rPr>
        <w:t>National Inpatient Medication Chart (NIMC) user guide.</w:t>
      </w:r>
    </w:p>
    <w:p w14:paraId="56E7F5D4" w14:textId="77777777" w:rsidR="009524AC" w:rsidRDefault="009524AC" w:rsidP="009524AC">
      <w:pPr>
        <w:pStyle w:val="ListParagraph"/>
        <w:numPr>
          <w:ilvl w:val="0"/>
          <w:numId w:val="9"/>
        </w:numPr>
        <w:jc w:val="both"/>
        <w:rPr>
          <w:rFonts w:eastAsiaTheme="minorHAnsi" w:cs="Arial"/>
          <w:bCs/>
          <w:szCs w:val="24"/>
        </w:rPr>
      </w:pPr>
      <w:r>
        <w:rPr>
          <w:rFonts w:eastAsiaTheme="minorHAnsi" w:cs="Arial"/>
          <w:bCs/>
          <w:szCs w:val="24"/>
        </w:rPr>
        <w:t>Termination of Pregnancy (TOP), Miscarriage or Fetal Death Management</w:t>
      </w:r>
    </w:p>
    <w:p w14:paraId="1BCE9AC3" w14:textId="77777777" w:rsidR="009524AC" w:rsidRDefault="009524AC" w:rsidP="009524AC">
      <w:pPr>
        <w:pStyle w:val="ListParagraph"/>
        <w:numPr>
          <w:ilvl w:val="0"/>
          <w:numId w:val="9"/>
        </w:numPr>
        <w:jc w:val="both"/>
      </w:pPr>
      <w:r w:rsidRPr="002B2399">
        <w:t>Electrolyte Replacement Guidelines (Adults)</w:t>
      </w:r>
    </w:p>
    <w:p w14:paraId="6013EF06" w14:textId="77777777" w:rsidR="009524AC" w:rsidRPr="00953C03" w:rsidRDefault="009524AC" w:rsidP="009524AC">
      <w:pPr>
        <w:pStyle w:val="ListParagraph"/>
        <w:numPr>
          <w:ilvl w:val="0"/>
          <w:numId w:val="9"/>
        </w:numPr>
        <w:jc w:val="both"/>
      </w:pPr>
      <w:r w:rsidRPr="00856BBF">
        <w:rPr>
          <w:szCs w:val="24"/>
          <w:lang w:eastAsia="en-AU"/>
        </w:rPr>
        <w:t xml:space="preserve">Clinical Oncology Society of Australia. Guidelines for the Safe Prescribing, Dispensing and Administration of Cancer Chemotherapy. </w:t>
      </w:r>
    </w:p>
    <w:p w14:paraId="77C59E41" w14:textId="77777777" w:rsidR="009524AC" w:rsidRPr="00856BBF" w:rsidRDefault="009524AC" w:rsidP="009524AC">
      <w:pPr>
        <w:pStyle w:val="ListParagraph"/>
        <w:numPr>
          <w:ilvl w:val="0"/>
          <w:numId w:val="9"/>
        </w:numPr>
        <w:jc w:val="both"/>
      </w:pPr>
      <w:r>
        <w:t>The Australian Injectable Drugs Handbook (7</w:t>
      </w:r>
      <w:r w:rsidRPr="00445E4B">
        <w:rPr>
          <w:vertAlign w:val="superscript"/>
        </w:rPr>
        <w:t>th</w:t>
      </w:r>
      <w:r>
        <w:t xml:space="preserve"> Ed)</w:t>
      </w:r>
    </w:p>
    <w:p w14:paraId="73552516" w14:textId="77777777" w:rsidR="009524AC" w:rsidRDefault="009524AC" w:rsidP="009524AC">
      <w:pPr>
        <w:rPr>
          <w:b/>
        </w:rPr>
      </w:pPr>
    </w:p>
    <w:p w14:paraId="247CB867" w14:textId="77777777" w:rsidR="009524AC" w:rsidRDefault="009524AC" w:rsidP="009524AC">
      <w:pPr>
        <w:rPr>
          <w:b/>
        </w:rPr>
      </w:pPr>
      <w:r>
        <w:rPr>
          <w:b/>
        </w:rPr>
        <w:lastRenderedPageBreak/>
        <w:t>Standards</w:t>
      </w:r>
      <w:r w:rsidRPr="00953C03">
        <w:rPr>
          <w:b/>
        </w:rPr>
        <w:t xml:space="preserve"> </w:t>
      </w:r>
    </w:p>
    <w:p w14:paraId="5FBB0130" w14:textId="77777777" w:rsidR="009524AC" w:rsidRPr="002F1352" w:rsidRDefault="009524AC" w:rsidP="009524AC">
      <w:pPr>
        <w:pStyle w:val="ListBullet"/>
        <w:rPr>
          <w:rFonts w:ascii="Times New Roman" w:hAnsi="Times New Roman"/>
        </w:rPr>
      </w:pPr>
      <w:r w:rsidRPr="002F1352">
        <w:rPr>
          <w:rFonts w:eastAsiaTheme="minorHAnsi"/>
        </w:rPr>
        <w:t>National Standard for User-applied Labelling of Injectable Medicines, Fluids and Lines</w:t>
      </w:r>
    </w:p>
    <w:p w14:paraId="24296A00" w14:textId="77777777" w:rsidR="009524AC" w:rsidRPr="00953C03" w:rsidRDefault="009524AC" w:rsidP="009524AC">
      <w:pPr>
        <w:pStyle w:val="ListBullet"/>
        <w:rPr>
          <w:b/>
          <w:bCs/>
        </w:rPr>
      </w:pPr>
      <w:r>
        <w:t>National Safety and Quality Health Service Standards second edition (National Standards)</w:t>
      </w:r>
    </w:p>
    <w:p w14:paraId="63D45A7D" w14:textId="77777777" w:rsidR="009524AC" w:rsidRDefault="009524AC" w:rsidP="009524AC">
      <w:pPr>
        <w:pStyle w:val="ListBullet"/>
        <w:rPr>
          <w:b/>
          <w:bCs/>
        </w:rPr>
      </w:pPr>
      <w:r>
        <w:t>National Safety and Quality Health Service Standards, User Guide for Medication Management in Cancer Care 2020</w:t>
      </w:r>
    </w:p>
    <w:p w14:paraId="64A05B1A" w14:textId="77777777" w:rsidR="009524AC" w:rsidRPr="00536503" w:rsidRDefault="009524AC" w:rsidP="009524AC"/>
    <w:p w14:paraId="76D3F1A6" w14:textId="77777777" w:rsidR="009524AC" w:rsidRPr="00C21AD9" w:rsidRDefault="009524AC" w:rsidP="009524AC">
      <w:pPr>
        <w:rPr>
          <w:b/>
        </w:rPr>
      </w:pPr>
      <w:r>
        <w:rPr>
          <w:b/>
        </w:rPr>
        <w:t>Legislation</w:t>
      </w:r>
    </w:p>
    <w:p w14:paraId="3BEA5B26" w14:textId="77777777" w:rsidR="009524AC" w:rsidRPr="00407F9E" w:rsidRDefault="009524AC" w:rsidP="009524AC">
      <w:pPr>
        <w:pStyle w:val="ListBullet"/>
        <w:rPr>
          <w:rFonts w:ascii="Times New Roman" w:hAnsi="Times New Roman"/>
          <w:i/>
          <w:iCs/>
        </w:rPr>
      </w:pPr>
      <w:r w:rsidRPr="00407F9E">
        <w:rPr>
          <w:i/>
          <w:iCs/>
        </w:rPr>
        <w:t xml:space="preserve">Medicines, Poisons and Therapeutic Goods Act </w:t>
      </w:r>
      <w:r w:rsidRPr="00407F9E">
        <w:t>2008</w:t>
      </w:r>
      <w:r w:rsidRPr="00407F9E">
        <w:rPr>
          <w:i/>
          <w:iCs/>
        </w:rPr>
        <w:t xml:space="preserve"> </w:t>
      </w:r>
    </w:p>
    <w:p w14:paraId="28B7A5BC" w14:textId="77777777" w:rsidR="009524AC" w:rsidRPr="00407F9E" w:rsidRDefault="009524AC" w:rsidP="009524AC">
      <w:pPr>
        <w:pStyle w:val="ListBullet"/>
        <w:rPr>
          <w:i/>
          <w:iCs/>
        </w:rPr>
      </w:pPr>
      <w:r w:rsidRPr="00407F9E">
        <w:rPr>
          <w:i/>
          <w:iCs/>
        </w:rPr>
        <w:t xml:space="preserve">Medicines, Poisons and Therapeutic Goods Regulation </w:t>
      </w:r>
      <w:r w:rsidRPr="00407F9E">
        <w:t>2008</w:t>
      </w:r>
      <w:r w:rsidRPr="00407F9E">
        <w:rPr>
          <w:i/>
          <w:iCs/>
        </w:rPr>
        <w:t xml:space="preserve"> </w:t>
      </w:r>
    </w:p>
    <w:p w14:paraId="285DEA7A" w14:textId="77777777" w:rsidR="009524AC" w:rsidRPr="00407F9E" w:rsidRDefault="009524AC" w:rsidP="009524AC">
      <w:pPr>
        <w:pStyle w:val="ListBullet"/>
        <w:rPr>
          <w:i/>
          <w:iCs/>
        </w:rPr>
      </w:pPr>
      <w:r w:rsidRPr="00407F9E">
        <w:rPr>
          <w:i/>
          <w:iCs/>
        </w:rPr>
        <w:t xml:space="preserve">Health Practitioner Regulation National Law Act </w:t>
      </w:r>
      <w:r w:rsidRPr="00407F9E">
        <w:t>2010</w:t>
      </w:r>
    </w:p>
    <w:p w14:paraId="35F9013E" w14:textId="77777777" w:rsidR="009524AC" w:rsidRPr="00407F9E" w:rsidRDefault="009524AC" w:rsidP="009524AC">
      <w:pPr>
        <w:pStyle w:val="ListBullet"/>
        <w:rPr>
          <w:rFonts w:ascii="Times New Roman" w:hAnsi="Times New Roman"/>
          <w:i/>
          <w:iCs/>
        </w:rPr>
      </w:pPr>
      <w:r w:rsidRPr="00407F9E">
        <w:rPr>
          <w:i/>
          <w:iCs/>
        </w:rPr>
        <w:t xml:space="preserve">Therapeutic Goods Act </w:t>
      </w:r>
      <w:r w:rsidRPr="00407F9E">
        <w:t>1989</w:t>
      </w:r>
      <w:r w:rsidRPr="00407F9E">
        <w:rPr>
          <w:i/>
          <w:iCs/>
        </w:rPr>
        <w:t xml:space="preserve"> </w:t>
      </w:r>
    </w:p>
    <w:p w14:paraId="2CB186D5" w14:textId="77777777" w:rsidR="009524AC" w:rsidRPr="00407F9E" w:rsidRDefault="009524AC" w:rsidP="009524AC">
      <w:pPr>
        <w:pStyle w:val="ListBullet"/>
        <w:rPr>
          <w:i/>
          <w:iCs/>
        </w:rPr>
      </w:pPr>
      <w:r w:rsidRPr="00407F9E">
        <w:rPr>
          <w:i/>
          <w:iCs/>
        </w:rPr>
        <w:t xml:space="preserve">Therapeutic Goods Regulations </w:t>
      </w:r>
      <w:r w:rsidRPr="00407F9E">
        <w:t>1990</w:t>
      </w:r>
    </w:p>
    <w:p w14:paraId="318E7504" w14:textId="77777777" w:rsidR="009524AC" w:rsidRPr="00407F9E" w:rsidRDefault="009524AC" w:rsidP="009524AC">
      <w:pPr>
        <w:pStyle w:val="ListBullet"/>
        <w:rPr>
          <w:rFonts w:ascii="Times New Roman" w:hAnsi="Times New Roman"/>
          <w:i/>
          <w:iCs/>
        </w:rPr>
      </w:pPr>
      <w:r w:rsidRPr="00407F9E">
        <w:rPr>
          <w:i/>
          <w:iCs/>
        </w:rPr>
        <w:t xml:space="preserve">Work Health and Safety Act </w:t>
      </w:r>
      <w:r w:rsidRPr="00407F9E">
        <w:t>2011</w:t>
      </w:r>
    </w:p>
    <w:p w14:paraId="412BF9E9" w14:textId="5EF13CAB" w:rsidR="009524AC" w:rsidRPr="000F4CD2" w:rsidRDefault="009524AC" w:rsidP="009524AC">
      <w:pPr>
        <w:pStyle w:val="ListBullet"/>
        <w:rPr>
          <w:i/>
          <w:iCs/>
        </w:rPr>
      </w:pPr>
      <w:r w:rsidRPr="00407F9E">
        <w:rPr>
          <w:i/>
          <w:iCs/>
        </w:rPr>
        <w:t xml:space="preserve">Dangerous Substances Act </w:t>
      </w:r>
      <w:r w:rsidRPr="00407F9E">
        <w:t>2004</w:t>
      </w:r>
    </w:p>
    <w:p w14:paraId="67B15551" w14:textId="01AE0C51" w:rsidR="000F4CD2" w:rsidRDefault="000F4CD2" w:rsidP="009524AC">
      <w:pPr>
        <w:pStyle w:val="ListBullet"/>
        <w:rPr>
          <w:i/>
          <w:iCs/>
        </w:rPr>
      </w:pPr>
      <w:r>
        <w:rPr>
          <w:i/>
          <w:iCs/>
        </w:rPr>
        <w:t>Human Rights Act 2004</w:t>
      </w:r>
    </w:p>
    <w:p w14:paraId="0D1B30CF" w14:textId="04FAEC7A" w:rsidR="000F4CD2" w:rsidRPr="00407F9E" w:rsidRDefault="000F4CD2" w:rsidP="009524AC">
      <w:pPr>
        <w:pStyle w:val="ListBullet"/>
        <w:rPr>
          <w:i/>
          <w:iCs/>
        </w:rPr>
      </w:pPr>
      <w:r>
        <w:rPr>
          <w:i/>
          <w:iCs/>
        </w:rPr>
        <w:t>Australian Charter of Health Care Rights</w:t>
      </w:r>
    </w:p>
    <w:p w14:paraId="4F1F4938" w14:textId="77777777" w:rsidR="009524AC" w:rsidRDefault="009524AC" w:rsidP="009524AC">
      <w:pPr>
        <w:jc w:val="both"/>
        <w:rPr>
          <w:rFonts w:cs="Arial"/>
          <w:szCs w:val="24"/>
        </w:rPr>
      </w:pPr>
    </w:p>
    <w:p w14:paraId="3742B916" w14:textId="0AD6713C" w:rsidR="00A86A9D" w:rsidRDefault="00DA5765" w:rsidP="00433E5D">
      <w:pPr>
        <w:jc w:val="right"/>
        <w:rPr>
          <w:rFonts w:cs="Arial"/>
          <w:szCs w:val="24"/>
        </w:rPr>
      </w:pPr>
      <w:hyperlink w:anchor="_Contents" w:history="1">
        <w:r w:rsidR="009524AC"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009F2977">
        <w:trPr>
          <w:cantSplit/>
          <w:trHeight w:val="285"/>
        </w:trPr>
        <w:tc>
          <w:tcPr>
            <w:tcW w:w="9158" w:type="dxa"/>
            <w:shd w:val="clear" w:color="auto" w:fill="000000"/>
          </w:tcPr>
          <w:p w14:paraId="3742B917" w14:textId="2FECE805" w:rsidR="00A86A9D" w:rsidRPr="007A238D" w:rsidRDefault="00A86A9D" w:rsidP="007A238D">
            <w:pPr>
              <w:pStyle w:val="Heading1"/>
              <w:rPr>
                <w:color w:val="FFFFFF" w:themeColor="background1"/>
              </w:rPr>
            </w:pPr>
            <w:bookmarkStart w:id="27" w:name="_Toc79149336"/>
            <w:r w:rsidRPr="007A238D">
              <w:rPr>
                <w:color w:val="FFFFFF" w:themeColor="background1"/>
              </w:rPr>
              <w:t>Definition of Terms</w:t>
            </w:r>
            <w:bookmarkEnd w:id="27"/>
            <w:r w:rsidRPr="007A238D">
              <w:rPr>
                <w:color w:val="FFFFFF" w:themeColor="background1"/>
              </w:rPr>
              <w:t xml:space="preserve"> </w:t>
            </w:r>
          </w:p>
        </w:tc>
      </w:tr>
    </w:tbl>
    <w:p w14:paraId="6CDEA2D1" w14:textId="77777777" w:rsidR="009524AC" w:rsidRDefault="009524AC" w:rsidP="009524AC">
      <w:pPr>
        <w:rPr>
          <w:rStyle w:val="e24kjd"/>
          <w:rFonts w:cs="Arial"/>
          <w:b/>
          <w:bCs/>
          <w:color w:val="222222"/>
          <w:szCs w:val="24"/>
        </w:rPr>
      </w:pPr>
    </w:p>
    <w:p w14:paraId="015532C8" w14:textId="44390B0E" w:rsidR="009524AC" w:rsidRDefault="009524AC" w:rsidP="009524AC">
      <w:pPr>
        <w:rPr>
          <w:rStyle w:val="e24kjd"/>
          <w:rFonts w:cs="Arial"/>
          <w:b/>
          <w:bCs/>
          <w:color w:val="222222"/>
          <w:szCs w:val="24"/>
        </w:rPr>
      </w:pPr>
      <w:r>
        <w:rPr>
          <w:rStyle w:val="e24kjd"/>
          <w:rFonts w:cs="Arial"/>
          <w:b/>
          <w:bCs/>
          <w:color w:val="222222"/>
          <w:szCs w:val="24"/>
        </w:rPr>
        <w:t xml:space="preserve">APINCH </w:t>
      </w:r>
    </w:p>
    <w:p w14:paraId="3C89C6C6" w14:textId="77777777" w:rsidR="009524AC" w:rsidRDefault="009524AC" w:rsidP="009524AC">
      <w:pPr>
        <w:rPr>
          <w:rStyle w:val="e24kjd"/>
          <w:rFonts w:cs="Arial"/>
          <w:color w:val="222222"/>
          <w:szCs w:val="24"/>
        </w:rPr>
      </w:pPr>
      <w:r w:rsidRPr="00953C03">
        <w:rPr>
          <w:rStyle w:val="e24kjd"/>
          <w:rFonts w:cs="Arial"/>
          <w:color w:val="222222"/>
          <w:szCs w:val="24"/>
        </w:rPr>
        <w:t>A PINCH</w:t>
      </w:r>
      <w:r>
        <w:rPr>
          <w:rStyle w:val="e24kjd"/>
          <w:rFonts w:cs="Arial"/>
          <w:color w:val="222222"/>
          <w:szCs w:val="24"/>
        </w:rPr>
        <w:t xml:space="preserve"> is an acronym used to identify high-risk medicines and includes anti-infective agents, potassium, insulin, narcotics and sedative agents, chemotherapy and heparin and other anticoagulants.  In recent years “S” for systems has been added to include other evidence-based practices known to improve safety such as independent double-checks and safe administration of liquid medicines by using oral dispensing syringes.</w:t>
      </w:r>
    </w:p>
    <w:p w14:paraId="0C9B628A" w14:textId="77777777" w:rsidR="009524AC" w:rsidRPr="00953C03" w:rsidRDefault="009524AC" w:rsidP="009524AC">
      <w:pPr>
        <w:rPr>
          <w:rStyle w:val="e24kjd"/>
          <w:rFonts w:cs="Arial"/>
          <w:color w:val="222222"/>
          <w:szCs w:val="24"/>
        </w:rPr>
      </w:pPr>
    </w:p>
    <w:p w14:paraId="40200773" w14:textId="77777777" w:rsidR="009524AC" w:rsidRPr="0075582D" w:rsidRDefault="009524AC" w:rsidP="009524AC">
      <w:pPr>
        <w:rPr>
          <w:rStyle w:val="e24kjd"/>
          <w:rFonts w:cs="Arial"/>
          <w:b/>
          <w:bCs/>
          <w:color w:val="222222"/>
          <w:szCs w:val="24"/>
        </w:rPr>
      </w:pPr>
      <w:r w:rsidRPr="0075582D">
        <w:rPr>
          <w:rStyle w:val="e24kjd"/>
          <w:rFonts w:cs="Arial"/>
          <w:b/>
          <w:bCs/>
          <w:color w:val="222222"/>
          <w:szCs w:val="24"/>
        </w:rPr>
        <w:t>High</w:t>
      </w:r>
      <w:r>
        <w:rPr>
          <w:rStyle w:val="e24kjd"/>
          <w:rFonts w:cs="Arial"/>
          <w:b/>
          <w:bCs/>
          <w:color w:val="222222"/>
          <w:szCs w:val="24"/>
        </w:rPr>
        <w:t>-</w:t>
      </w:r>
      <w:r w:rsidRPr="0075582D">
        <w:rPr>
          <w:rStyle w:val="e24kjd"/>
          <w:rFonts w:cs="Arial"/>
          <w:b/>
          <w:bCs/>
          <w:color w:val="222222"/>
          <w:szCs w:val="24"/>
        </w:rPr>
        <w:t>risk medicines</w:t>
      </w:r>
    </w:p>
    <w:p w14:paraId="27CA8CE9" w14:textId="77777777" w:rsidR="009524AC" w:rsidRDefault="009524AC" w:rsidP="009524AC">
      <w:pPr>
        <w:rPr>
          <w:rStyle w:val="e24kjd"/>
          <w:rFonts w:cs="Arial"/>
          <w:color w:val="222222"/>
          <w:szCs w:val="24"/>
        </w:rPr>
      </w:pPr>
      <w:r w:rsidRPr="0075582D">
        <w:rPr>
          <w:rStyle w:val="e24kjd"/>
          <w:rFonts w:cs="Arial"/>
          <w:color w:val="222222"/>
          <w:szCs w:val="24"/>
        </w:rPr>
        <w:t xml:space="preserve">Are those </w:t>
      </w:r>
      <w:r w:rsidRPr="0075582D">
        <w:rPr>
          <w:rStyle w:val="e24kjd"/>
          <w:rFonts w:cs="Arial"/>
          <w:bCs/>
          <w:color w:val="222222"/>
          <w:szCs w:val="24"/>
        </w:rPr>
        <w:t>medicines</w:t>
      </w:r>
      <w:r w:rsidRPr="0075582D">
        <w:rPr>
          <w:rStyle w:val="e24kjd"/>
          <w:rFonts w:cs="Arial"/>
          <w:color w:val="222222"/>
          <w:szCs w:val="24"/>
        </w:rPr>
        <w:t xml:space="preserve"> that have a </w:t>
      </w:r>
      <w:r w:rsidRPr="0075582D">
        <w:rPr>
          <w:rStyle w:val="e24kjd"/>
          <w:rFonts w:cs="Arial"/>
          <w:bCs/>
          <w:color w:val="222222"/>
          <w:szCs w:val="24"/>
        </w:rPr>
        <w:t>high risk</w:t>
      </w:r>
      <w:r w:rsidRPr="0075582D">
        <w:rPr>
          <w:rStyle w:val="e24kjd"/>
          <w:rFonts w:cs="Arial"/>
          <w:color w:val="222222"/>
          <w:szCs w:val="24"/>
        </w:rPr>
        <w:t xml:space="preserve"> of causing significant patient harm or death when used in error. Although errors may or may not be more common than with other </w:t>
      </w:r>
      <w:r w:rsidRPr="0075582D">
        <w:rPr>
          <w:rStyle w:val="e24kjd"/>
          <w:rFonts w:cs="Arial"/>
          <w:bCs/>
          <w:color w:val="222222"/>
          <w:szCs w:val="24"/>
        </w:rPr>
        <w:t>medicines</w:t>
      </w:r>
      <w:r w:rsidRPr="0075582D">
        <w:rPr>
          <w:rStyle w:val="e24kjd"/>
          <w:rFonts w:cs="Arial"/>
          <w:color w:val="222222"/>
          <w:szCs w:val="24"/>
        </w:rPr>
        <w:t xml:space="preserve">, the consequences of errors with these </w:t>
      </w:r>
      <w:r w:rsidRPr="0075582D">
        <w:rPr>
          <w:rStyle w:val="e24kjd"/>
          <w:rFonts w:cs="Arial"/>
          <w:bCs/>
          <w:color w:val="222222"/>
          <w:szCs w:val="24"/>
        </w:rPr>
        <w:t>medicines</w:t>
      </w:r>
      <w:r w:rsidRPr="0075582D">
        <w:rPr>
          <w:rStyle w:val="e24kjd"/>
          <w:rFonts w:cs="Arial"/>
          <w:color w:val="222222"/>
          <w:szCs w:val="24"/>
        </w:rPr>
        <w:t xml:space="preserve"> can be more devastating</w:t>
      </w:r>
      <w:r>
        <w:rPr>
          <w:rStyle w:val="e24kjd"/>
          <w:rFonts w:cs="Arial"/>
          <w:color w:val="222222"/>
          <w:szCs w:val="24"/>
        </w:rPr>
        <w:t>.</w:t>
      </w:r>
    </w:p>
    <w:p w14:paraId="208CA116" w14:textId="77777777" w:rsidR="009524AC" w:rsidRDefault="009524AC" w:rsidP="009524AC">
      <w:pPr>
        <w:rPr>
          <w:rStyle w:val="e24kjd"/>
          <w:rFonts w:cs="Arial"/>
          <w:color w:val="222222"/>
          <w:szCs w:val="24"/>
        </w:rPr>
      </w:pPr>
    </w:p>
    <w:p w14:paraId="4E0C85AF" w14:textId="77777777" w:rsidR="009524AC" w:rsidRPr="00E205F0" w:rsidRDefault="009524AC" w:rsidP="009524AC">
      <w:pPr>
        <w:rPr>
          <w:rStyle w:val="e24kjd"/>
          <w:rFonts w:cs="Arial"/>
          <w:b/>
          <w:bCs/>
          <w:color w:val="222222"/>
          <w:szCs w:val="24"/>
        </w:rPr>
      </w:pPr>
      <w:r w:rsidRPr="00E205F0">
        <w:rPr>
          <w:rStyle w:val="e24kjd"/>
          <w:rFonts w:cs="Arial"/>
          <w:b/>
          <w:bCs/>
          <w:color w:val="222222"/>
          <w:szCs w:val="24"/>
        </w:rPr>
        <w:t>High-Risk Medicine Standards</w:t>
      </w:r>
    </w:p>
    <w:p w14:paraId="5171695C" w14:textId="77777777" w:rsidR="009524AC" w:rsidRDefault="009524AC" w:rsidP="009524AC">
      <w:pPr>
        <w:rPr>
          <w:rFonts w:eastAsiaTheme="minorHAnsi" w:cs="Swis721 Lt BT"/>
          <w:b/>
          <w:color w:val="000000"/>
          <w:szCs w:val="24"/>
        </w:rPr>
      </w:pPr>
      <w:r>
        <w:rPr>
          <w:rFonts w:cs="Arial"/>
          <w:szCs w:val="24"/>
        </w:rPr>
        <w:t>These High-Risk Medicine Standards</w:t>
      </w:r>
      <w:r>
        <w:rPr>
          <w:rFonts w:eastAsiaTheme="minorHAnsi" w:cs="Arial"/>
          <w:szCs w:val="24"/>
        </w:rPr>
        <w:t xml:space="preserve"> outline the expected standards for storage, prescribing, dispensing, administration, </w:t>
      </w:r>
      <w:proofErr w:type="gramStart"/>
      <w:r>
        <w:rPr>
          <w:rFonts w:eastAsiaTheme="minorHAnsi" w:cs="Arial"/>
          <w:szCs w:val="24"/>
        </w:rPr>
        <w:t>monitoring</w:t>
      </w:r>
      <w:proofErr w:type="gramEnd"/>
      <w:r w:rsidDel="00535F5E">
        <w:rPr>
          <w:rFonts w:eastAsiaTheme="minorHAnsi" w:cs="Arial"/>
          <w:szCs w:val="24"/>
        </w:rPr>
        <w:t xml:space="preserve"> </w:t>
      </w:r>
      <w:r>
        <w:rPr>
          <w:rFonts w:eastAsiaTheme="minorHAnsi" w:cs="Arial"/>
          <w:szCs w:val="24"/>
        </w:rPr>
        <w:t>and clinical procedure requirements. There is a CHS High-Risk Medicine Standard for each high-risk medicine (or groups of medicine) included in the High-Risk Medicine Register.</w:t>
      </w:r>
    </w:p>
    <w:p w14:paraId="06E3BFA6" w14:textId="77777777" w:rsidR="009524AC" w:rsidRDefault="009524AC" w:rsidP="009524AC">
      <w:pPr>
        <w:autoSpaceDE w:val="0"/>
        <w:autoSpaceDN w:val="0"/>
        <w:adjustRightInd w:val="0"/>
        <w:rPr>
          <w:rFonts w:eastAsiaTheme="minorHAnsi" w:cs="Swis721 Lt BT"/>
          <w:b/>
          <w:color w:val="000000"/>
          <w:szCs w:val="24"/>
        </w:rPr>
      </w:pPr>
    </w:p>
    <w:p w14:paraId="6A3BF2E2" w14:textId="77777777" w:rsidR="009524AC" w:rsidRPr="0075582D" w:rsidRDefault="009524AC" w:rsidP="009524AC">
      <w:pPr>
        <w:autoSpaceDE w:val="0"/>
        <w:autoSpaceDN w:val="0"/>
        <w:adjustRightInd w:val="0"/>
        <w:rPr>
          <w:rFonts w:eastAsiaTheme="minorHAnsi" w:cs="Swis721 Lt BT"/>
          <w:b/>
          <w:color w:val="000000"/>
          <w:szCs w:val="24"/>
        </w:rPr>
      </w:pPr>
      <w:r w:rsidRPr="0075582D">
        <w:rPr>
          <w:rFonts w:eastAsiaTheme="minorHAnsi" w:cs="Swis721 Lt BT"/>
          <w:b/>
          <w:color w:val="000000"/>
          <w:szCs w:val="24"/>
        </w:rPr>
        <w:t xml:space="preserve">Medication Reconciliation </w:t>
      </w:r>
    </w:p>
    <w:p w14:paraId="18E1AF0E" w14:textId="77777777" w:rsidR="009524AC" w:rsidRDefault="009524AC" w:rsidP="009524AC">
      <w:pPr>
        <w:rPr>
          <w:rFonts w:eastAsiaTheme="minorHAnsi" w:cs="Swis721 Lt BT"/>
          <w:color w:val="000000"/>
          <w:szCs w:val="24"/>
        </w:rPr>
      </w:pPr>
      <w:r w:rsidRPr="0075582D">
        <w:rPr>
          <w:rFonts w:eastAsiaTheme="minorHAnsi" w:cs="Swis721 Lt BT"/>
          <w:color w:val="000000"/>
          <w:szCs w:val="24"/>
        </w:rPr>
        <w:t xml:space="preserve">A systematic process that ensures patients receive all intended medicines by making sure accurate, </w:t>
      </w:r>
      <w:proofErr w:type="gramStart"/>
      <w:r w:rsidRPr="0075582D">
        <w:rPr>
          <w:rFonts w:eastAsiaTheme="minorHAnsi" w:cs="Swis721 Lt BT"/>
          <w:color w:val="000000"/>
          <w:szCs w:val="24"/>
        </w:rPr>
        <w:t>current</w:t>
      </w:r>
      <w:proofErr w:type="gramEnd"/>
      <w:r w:rsidRPr="0075582D">
        <w:rPr>
          <w:rFonts w:eastAsiaTheme="minorHAnsi" w:cs="Swis721 Lt BT"/>
          <w:color w:val="000000"/>
          <w:szCs w:val="24"/>
        </w:rPr>
        <w:t xml:space="preserve"> and comprehensive medication information follows them at all transfers of care. It is described as the formal process of obtaining, </w:t>
      </w:r>
      <w:proofErr w:type="gramStart"/>
      <w:r w:rsidRPr="0075582D">
        <w:rPr>
          <w:rFonts w:eastAsiaTheme="minorHAnsi" w:cs="Swis721 Lt BT"/>
          <w:color w:val="000000"/>
          <w:szCs w:val="24"/>
        </w:rPr>
        <w:t>verifying</w:t>
      </w:r>
      <w:proofErr w:type="gramEnd"/>
      <w:r w:rsidRPr="0075582D">
        <w:rPr>
          <w:rFonts w:eastAsiaTheme="minorHAnsi" w:cs="Swis721 Lt BT"/>
          <w:color w:val="000000"/>
          <w:szCs w:val="24"/>
        </w:rPr>
        <w:t xml:space="preserve"> and documenting an </w:t>
      </w:r>
      <w:r w:rsidRPr="0075582D">
        <w:rPr>
          <w:rFonts w:eastAsiaTheme="minorHAnsi" w:cs="Swis721 Lt BT"/>
          <w:color w:val="000000"/>
          <w:szCs w:val="24"/>
        </w:rPr>
        <w:lastRenderedPageBreak/>
        <w:t>accurate list of a patient’s current medicines on admission and comparing this list to the admission, transfer and discharge orders, to identify and resolve discrepancies. At the end of each episode of care the verified information is transferred to the patient and next care provider.</w:t>
      </w:r>
    </w:p>
    <w:p w14:paraId="25057598" w14:textId="77777777" w:rsidR="009524AC" w:rsidRDefault="009524AC" w:rsidP="009524AC">
      <w:pPr>
        <w:rPr>
          <w:rFonts w:eastAsiaTheme="minorHAnsi" w:cs="Swis721 Lt BT"/>
          <w:color w:val="000000"/>
          <w:szCs w:val="24"/>
        </w:rPr>
      </w:pPr>
    </w:p>
    <w:p w14:paraId="5D7D02F6" w14:textId="77777777" w:rsidR="009524AC" w:rsidRPr="00E205F0" w:rsidRDefault="009524AC" w:rsidP="009524AC">
      <w:pPr>
        <w:rPr>
          <w:rFonts w:eastAsiaTheme="minorHAnsi" w:cs="Swis721 Lt BT"/>
          <w:b/>
          <w:bCs/>
          <w:color w:val="000000"/>
          <w:szCs w:val="24"/>
        </w:rPr>
      </w:pPr>
      <w:r w:rsidRPr="00E205F0">
        <w:rPr>
          <w:rFonts w:eastAsiaTheme="minorHAnsi" w:cs="Swis721 Lt BT"/>
          <w:b/>
          <w:bCs/>
          <w:color w:val="000000"/>
          <w:szCs w:val="24"/>
        </w:rPr>
        <w:t>Medicines Management Pathway</w:t>
      </w:r>
    </w:p>
    <w:p w14:paraId="1FE780CB" w14:textId="77777777" w:rsidR="009524AC" w:rsidRDefault="009524AC" w:rsidP="009524AC">
      <w:pPr>
        <w:rPr>
          <w:rFonts w:eastAsiaTheme="minorHAnsi" w:cs="Swis721 Lt BT"/>
          <w:color w:val="000000"/>
          <w:szCs w:val="24"/>
        </w:rPr>
      </w:pPr>
      <w:r>
        <w:rPr>
          <w:rFonts w:eastAsiaTheme="minorHAnsi" w:cs="Swis721 Lt BT"/>
          <w:color w:val="000000"/>
          <w:szCs w:val="24"/>
        </w:rPr>
        <w:t>The medicine management pathway describes the cognitive and physical steps involved in the use of medicines, with a focus on the consumer.</w:t>
      </w:r>
    </w:p>
    <w:p w14:paraId="0F44B507" w14:textId="77777777" w:rsidR="009524AC" w:rsidRDefault="009524AC" w:rsidP="009524AC">
      <w:pPr>
        <w:rPr>
          <w:rFonts w:cs="Arial"/>
          <w:b/>
          <w:szCs w:val="24"/>
        </w:rPr>
      </w:pPr>
    </w:p>
    <w:p w14:paraId="3742B91B" w14:textId="4D779030" w:rsidR="00A86A9D" w:rsidRDefault="00DA5765" w:rsidP="00433E5D">
      <w:pPr>
        <w:jc w:val="right"/>
        <w:rPr>
          <w:rFonts w:cs="Arial"/>
          <w:szCs w:val="24"/>
        </w:rPr>
      </w:pPr>
      <w:hyperlink w:anchor="_Contents" w:history="1">
        <w:r w:rsidR="009524AC"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D" w14:textId="77777777" w:rsidTr="009F2977">
        <w:trPr>
          <w:cantSplit/>
          <w:trHeight w:val="285"/>
        </w:trPr>
        <w:tc>
          <w:tcPr>
            <w:tcW w:w="9158" w:type="dxa"/>
            <w:shd w:val="clear" w:color="auto" w:fill="000000"/>
          </w:tcPr>
          <w:p w14:paraId="3742B91C" w14:textId="77777777" w:rsidR="00A86A9D" w:rsidRPr="007A238D" w:rsidRDefault="00A86A9D" w:rsidP="007A238D">
            <w:pPr>
              <w:pStyle w:val="Heading1"/>
              <w:rPr>
                <w:color w:val="FFFFFF" w:themeColor="background1"/>
              </w:rPr>
            </w:pPr>
            <w:bookmarkStart w:id="28" w:name="_Toc79149337"/>
            <w:r w:rsidRPr="007A238D">
              <w:rPr>
                <w:color w:val="FFFFFF" w:themeColor="background1"/>
              </w:rPr>
              <w:t>References</w:t>
            </w:r>
            <w:bookmarkEnd w:id="28"/>
          </w:p>
        </w:tc>
      </w:tr>
    </w:tbl>
    <w:p w14:paraId="3742B91E" w14:textId="77777777" w:rsidR="00A86A9D" w:rsidRPr="006E1B0C" w:rsidRDefault="00A86A9D" w:rsidP="00A86A9D">
      <w:pPr>
        <w:jc w:val="both"/>
        <w:rPr>
          <w:rFonts w:cs="Arial"/>
          <w:b/>
          <w:szCs w:val="24"/>
        </w:rPr>
      </w:pPr>
    </w:p>
    <w:p w14:paraId="7C511649" w14:textId="0537D1BF" w:rsidR="009524AC" w:rsidRPr="009B13B5" w:rsidRDefault="009524AC" w:rsidP="009524AC">
      <w:pPr>
        <w:pStyle w:val="ListParagraph"/>
        <w:numPr>
          <w:ilvl w:val="0"/>
          <w:numId w:val="10"/>
        </w:numPr>
        <w:rPr>
          <w:rFonts w:eastAsiaTheme="minorHAnsi"/>
        </w:rPr>
      </w:pPr>
      <w:r w:rsidRPr="009B13B5">
        <w:rPr>
          <w:rFonts w:eastAsiaTheme="minorHAnsi"/>
        </w:rPr>
        <w:t xml:space="preserve">Clinical Excellence Commission, Medication Safety Self-Assessment for Australian Hospitals (MSSA). </w:t>
      </w:r>
    </w:p>
    <w:p w14:paraId="4DD0F9D0" w14:textId="77777777" w:rsidR="009524AC" w:rsidRDefault="009524AC" w:rsidP="009524AC">
      <w:pPr>
        <w:pStyle w:val="ListParagraph"/>
        <w:numPr>
          <w:ilvl w:val="0"/>
          <w:numId w:val="10"/>
        </w:numPr>
        <w:rPr>
          <w:rFonts w:eastAsiaTheme="minorHAnsi"/>
        </w:rPr>
      </w:pPr>
      <w:r>
        <w:rPr>
          <w:lang w:val="en"/>
        </w:rPr>
        <w:t xml:space="preserve">Reason J. The contribution of latent human failures to the breakdown of complex systems. </w:t>
      </w:r>
      <w:r>
        <w:rPr>
          <w:rStyle w:val="ref-journal"/>
          <w:lang w:val="en"/>
        </w:rPr>
        <w:t xml:space="preserve">Philosophical Transactions of the Royal Society of London, Series B. </w:t>
      </w:r>
      <w:r>
        <w:rPr>
          <w:lang w:val="en"/>
        </w:rPr>
        <w:t>1990;</w:t>
      </w:r>
      <w:r>
        <w:rPr>
          <w:rStyle w:val="ref-vol"/>
          <w:lang w:val="en"/>
        </w:rPr>
        <w:t xml:space="preserve"> 32</w:t>
      </w:r>
      <w:r w:rsidRPr="00270CEB">
        <w:rPr>
          <w:rStyle w:val="ref-vol"/>
          <w:lang w:val="en"/>
        </w:rPr>
        <w:t>7</w:t>
      </w:r>
      <w:r>
        <w:rPr>
          <w:rStyle w:val="ref-vol"/>
          <w:lang w:val="en"/>
        </w:rPr>
        <w:t>:475</w:t>
      </w:r>
      <w:r>
        <w:rPr>
          <w:lang w:val="en"/>
        </w:rPr>
        <w:t>–84</w:t>
      </w:r>
    </w:p>
    <w:p w14:paraId="650C6DD0" w14:textId="77777777" w:rsidR="009524AC" w:rsidRPr="00A7476E" w:rsidRDefault="009524AC" w:rsidP="009524AC">
      <w:pPr>
        <w:pStyle w:val="ListParagraph"/>
        <w:numPr>
          <w:ilvl w:val="0"/>
          <w:numId w:val="10"/>
        </w:numPr>
        <w:rPr>
          <w:rFonts w:eastAsiaTheme="minorHAnsi"/>
        </w:rPr>
      </w:pPr>
      <w:proofErr w:type="spellStart"/>
      <w:r w:rsidRPr="00953C03">
        <w:rPr>
          <w:color w:val="2A2A2A"/>
          <w:lang w:val="en" w:eastAsia="en-AU"/>
        </w:rPr>
        <w:t>Sicheng</w:t>
      </w:r>
      <w:proofErr w:type="spellEnd"/>
      <w:r w:rsidRPr="00953C03">
        <w:rPr>
          <w:color w:val="2A2A2A"/>
          <w:lang w:val="en" w:eastAsia="en-AU"/>
        </w:rPr>
        <w:t xml:space="preserve">, Z et al. Analyzing Medication Error Reports in clinical settings: An Automated Pipeline Approach.  AMIA </w:t>
      </w:r>
      <w:proofErr w:type="spellStart"/>
      <w:r w:rsidRPr="00953C03">
        <w:rPr>
          <w:color w:val="2A2A2A"/>
          <w:lang w:val="en" w:eastAsia="en-AU"/>
        </w:rPr>
        <w:t>Annu</w:t>
      </w:r>
      <w:proofErr w:type="spellEnd"/>
      <w:r w:rsidRPr="00953C03">
        <w:rPr>
          <w:color w:val="2A2A2A"/>
          <w:lang w:val="en" w:eastAsia="en-AU"/>
        </w:rPr>
        <w:t xml:space="preserve"> </w:t>
      </w:r>
      <w:proofErr w:type="spellStart"/>
      <w:r w:rsidRPr="00953C03">
        <w:rPr>
          <w:color w:val="2A2A2A"/>
          <w:lang w:val="en" w:eastAsia="en-AU"/>
        </w:rPr>
        <w:t>Symp</w:t>
      </w:r>
      <w:proofErr w:type="spellEnd"/>
      <w:r w:rsidRPr="00953C03">
        <w:rPr>
          <w:color w:val="2A2A2A"/>
          <w:lang w:val="en" w:eastAsia="en-AU"/>
        </w:rPr>
        <w:t xml:space="preserve"> Proc 2018: 1611-1620</w:t>
      </w:r>
    </w:p>
    <w:p w14:paraId="28DDA8D1" w14:textId="77777777" w:rsidR="009524AC" w:rsidRDefault="009524AC" w:rsidP="009524AC">
      <w:pPr>
        <w:jc w:val="right"/>
      </w:pPr>
    </w:p>
    <w:p w14:paraId="3742B923" w14:textId="7EE357AD" w:rsidR="003D1D90" w:rsidRDefault="00DA5765" w:rsidP="00433E5D">
      <w:pPr>
        <w:jc w:val="right"/>
      </w:pPr>
      <w:hyperlink w:anchor="_Contents" w:history="1">
        <w:r w:rsidR="009524AC" w:rsidRPr="00407F9E">
          <w:rPr>
            <w:rStyle w:val="Hyperlink"/>
            <w:rFonts w:cs="Arial"/>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7777777" w:rsidR="00636DD9" w:rsidRPr="007A238D" w:rsidRDefault="00636DD9" w:rsidP="004C183B">
            <w:pPr>
              <w:pStyle w:val="Heading1"/>
              <w:rPr>
                <w:color w:val="FFFFFF" w:themeColor="background1"/>
              </w:rPr>
            </w:pPr>
            <w:bookmarkStart w:id="29" w:name="_Toc79149338"/>
            <w:r>
              <w:rPr>
                <w:color w:val="FFFFFF" w:themeColor="background1"/>
              </w:rPr>
              <w:t>Search Terms</w:t>
            </w:r>
            <w:bookmarkEnd w:id="29"/>
          </w:p>
        </w:tc>
      </w:tr>
    </w:tbl>
    <w:p w14:paraId="3742B926" w14:textId="77777777" w:rsidR="00636DD9" w:rsidRDefault="00636DD9" w:rsidP="00636DD9">
      <w:pPr>
        <w:rPr>
          <w:rFonts w:cs="Calibri,Bold"/>
          <w:bCs/>
          <w:i/>
          <w:szCs w:val="24"/>
          <w:lang w:eastAsia="en-AU"/>
        </w:rPr>
      </w:pPr>
    </w:p>
    <w:p w14:paraId="246744AE" w14:textId="405E4C8A" w:rsidR="009524AC" w:rsidRDefault="009524AC" w:rsidP="009524AC">
      <w:pPr>
        <w:rPr>
          <w:lang w:eastAsia="en-AU"/>
        </w:rPr>
      </w:pPr>
      <w:r>
        <w:rPr>
          <w:lang w:eastAsia="en-AU"/>
        </w:rPr>
        <w:t>High-Risk, high risk, high risk medicines, high-risk medicines, high-risk medications, High-Risk Medicines Register, high risk medicine register, High-Risk Medicine Standards, Potassium, heparin, anticoagulant, opioid, opioids, narcotics, hydromorphone, HYDROmorphone, insulin, insulins,  NMBA, neuromuscular blocking agents, APINCH, A PINCH, clozapine, chemotherapy, chemotherapeutic agents, Anti-infectives, aminoglycosides.</w:t>
      </w:r>
    </w:p>
    <w:p w14:paraId="7CAB2445" w14:textId="77777777" w:rsidR="009524AC" w:rsidRDefault="009524AC" w:rsidP="009524AC">
      <w:pPr>
        <w:rPr>
          <w:lang w:eastAsia="en-AU"/>
        </w:rPr>
      </w:pPr>
    </w:p>
    <w:p w14:paraId="3742B92E" w14:textId="72A78AAB" w:rsidR="00A86A9D" w:rsidRPr="009524AC" w:rsidRDefault="00A86A9D" w:rsidP="00A86A9D">
      <w:pPr>
        <w:rPr>
          <w:rFonts w:cs="Calibri,Bold"/>
          <w:bCs/>
          <w:i/>
          <w:szCs w:val="24"/>
          <w:lang w:eastAsia="en-AU"/>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3742B931"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69341E" w:rsidRPr="00817254" w14:paraId="3742B936" w14:textId="77777777" w:rsidTr="005B3A1A">
        <w:tc>
          <w:tcPr>
            <w:tcW w:w="2265" w:type="dxa"/>
          </w:tcPr>
          <w:p w14:paraId="3742B932" w14:textId="77777777" w:rsidR="0069341E" w:rsidRPr="00817254" w:rsidRDefault="0069341E" w:rsidP="005B3A1A">
            <w:pPr>
              <w:rPr>
                <w:i/>
                <w:sz w:val="20"/>
                <w:szCs w:val="24"/>
              </w:rPr>
            </w:pPr>
            <w:r w:rsidRPr="00817254">
              <w:rPr>
                <w:i/>
                <w:sz w:val="20"/>
                <w:szCs w:val="24"/>
              </w:rPr>
              <w:t>Date Amended</w:t>
            </w:r>
          </w:p>
        </w:tc>
        <w:tc>
          <w:tcPr>
            <w:tcW w:w="2265" w:type="dxa"/>
          </w:tcPr>
          <w:p w14:paraId="3742B933" w14:textId="77777777" w:rsidR="0069341E" w:rsidRPr="00817254" w:rsidRDefault="0069341E" w:rsidP="005B3A1A">
            <w:pPr>
              <w:rPr>
                <w:i/>
                <w:sz w:val="20"/>
                <w:szCs w:val="24"/>
              </w:rPr>
            </w:pPr>
            <w:r w:rsidRPr="00817254">
              <w:rPr>
                <w:i/>
                <w:sz w:val="20"/>
                <w:szCs w:val="24"/>
              </w:rPr>
              <w:t>Section Amended</w:t>
            </w:r>
          </w:p>
        </w:tc>
        <w:tc>
          <w:tcPr>
            <w:tcW w:w="2265" w:type="dxa"/>
          </w:tcPr>
          <w:p w14:paraId="3742B934" w14:textId="77777777" w:rsidR="0069341E" w:rsidRPr="00817254" w:rsidRDefault="0069341E" w:rsidP="005B3A1A">
            <w:pPr>
              <w:rPr>
                <w:i/>
                <w:sz w:val="20"/>
                <w:szCs w:val="24"/>
              </w:rPr>
            </w:pPr>
            <w:r w:rsidRPr="00817254">
              <w:rPr>
                <w:i/>
                <w:sz w:val="20"/>
                <w:szCs w:val="24"/>
              </w:rPr>
              <w:t>Divisional Approval</w:t>
            </w:r>
          </w:p>
        </w:tc>
        <w:tc>
          <w:tcPr>
            <w:tcW w:w="2265" w:type="dxa"/>
          </w:tcPr>
          <w:p w14:paraId="3742B935" w14:textId="77777777" w:rsidR="0069341E" w:rsidRPr="00817254" w:rsidRDefault="0069341E" w:rsidP="005B3A1A">
            <w:pPr>
              <w:rPr>
                <w:i/>
                <w:sz w:val="20"/>
                <w:szCs w:val="24"/>
              </w:rPr>
            </w:pPr>
            <w:r w:rsidRPr="00817254">
              <w:rPr>
                <w:i/>
                <w:sz w:val="20"/>
                <w:szCs w:val="24"/>
              </w:rPr>
              <w:t xml:space="preserve">Final Approval </w:t>
            </w:r>
          </w:p>
        </w:tc>
      </w:tr>
      <w:tr w:rsidR="0069341E" w:rsidRPr="00817254" w14:paraId="3742B93B" w14:textId="77777777" w:rsidTr="005B3A1A">
        <w:tc>
          <w:tcPr>
            <w:tcW w:w="2265" w:type="dxa"/>
          </w:tcPr>
          <w:p w14:paraId="3742B937" w14:textId="2BFE5FD5" w:rsidR="0069341E" w:rsidRPr="00817254" w:rsidRDefault="00FD7494" w:rsidP="005B3A1A">
            <w:pPr>
              <w:rPr>
                <w:i/>
                <w:sz w:val="20"/>
                <w:szCs w:val="24"/>
              </w:rPr>
            </w:pPr>
            <w:r>
              <w:rPr>
                <w:i/>
                <w:sz w:val="20"/>
                <w:szCs w:val="24"/>
              </w:rPr>
              <w:t>05/08/2021</w:t>
            </w:r>
          </w:p>
        </w:tc>
        <w:tc>
          <w:tcPr>
            <w:tcW w:w="2265" w:type="dxa"/>
          </w:tcPr>
          <w:p w14:paraId="3742B938" w14:textId="263A1E53" w:rsidR="0069341E" w:rsidRPr="00817254" w:rsidRDefault="00FD7494" w:rsidP="005B3A1A">
            <w:pPr>
              <w:rPr>
                <w:i/>
                <w:sz w:val="20"/>
                <w:szCs w:val="24"/>
              </w:rPr>
            </w:pPr>
            <w:r>
              <w:rPr>
                <w:i/>
                <w:sz w:val="20"/>
                <w:szCs w:val="24"/>
              </w:rPr>
              <w:t>Complete Review</w:t>
            </w:r>
          </w:p>
        </w:tc>
        <w:tc>
          <w:tcPr>
            <w:tcW w:w="2265" w:type="dxa"/>
          </w:tcPr>
          <w:p w14:paraId="3742B939" w14:textId="3E9B84FD" w:rsidR="0069341E" w:rsidRPr="00817254" w:rsidRDefault="00FD7494" w:rsidP="005B3A1A">
            <w:pPr>
              <w:rPr>
                <w:i/>
                <w:sz w:val="20"/>
                <w:szCs w:val="24"/>
              </w:rPr>
            </w:pPr>
            <w:r>
              <w:rPr>
                <w:i/>
                <w:sz w:val="20"/>
                <w:szCs w:val="24"/>
              </w:rPr>
              <w:t>Nick Coatsworth, ED Medical Services Group</w:t>
            </w:r>
          </w:p>
        </w:tc>
        <w:tc>
          <w:tcPr>
            <w:tcW w:w="2265" w:type="dxa"/>
          </w:tcPr>
          <w:p w14:paraId="3742B93A" w14:textId="6D7A20C3" w:rsidR="0069341E" w:rsidRPr="00817254" w:rsidRDefault="00FD7494" w:rsidP="005B3A1A">
            <w:pPr>
              <w:rPr>
                <w:i/>
                <w:sz w:val="20"/>
                <w:szCs w:val="24"/>
              </w:rPr>
            </w:pPr>
            <w:r>
              <w:rPr>
                <w:i/>
                <w:sz w:val="20"/>
                <w:szCs w:val="24"/>
              </w:rPr>
              <w:t>CHS Policy Committee</w:t>
            </w:r>
          </w:p>
        </w:tc>
      </w:tr>
    </w:tbl>
    <w:p w14:paraId="3742B941" w14:textId="1FC5D7D1" w:rsidR="0069341E" w:rsidRDefault="0069341E" w:rsidP="0069341E">
      <w:pPr>
        <w:rPr>
          <w:rFonts w:cs="Arial"/>
          <w:sz w:val="20"/>
          <w:szCs w:val="24"/>
        </w:rPr>
      </w:pPr>
    </w:p>
    <w:p w14:paraId="03F5420C" w14:textId="77777777" w:rsidR="00DA5765" w:rsidRPr="00817254" w:rsidRDefault="00DA5765"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3742B945" w14:textId="77777777" w:rsidTr="005B3A1A">
        <w:tc>
          <w:tcPr>
            <w:tcW w:w="2122" w:type="dxa"/>
          </w:tcPr>
          <w:p w14:paraId="3742B943" w14:textId="77777777" w:rsidR="0069341E" w:rsidRPr="00817254" w:rsidRDefault="0069341E" w:rsidP="005B3A1A">
            <w:pPr>
              <w:rPr>
                <w:i/>
                <w:sz w:val="20"/>
                <w:szCs w:val="24"/>
              </w:rPr>
            </w:pPr>
            <w:r w:rsidRPr="00817254">
              <w:rPr>
                <w:i/>
                <w:sz w:val="20"/>
                <w:szCs w:val="24"/>
              </w:rPr>
              <w:t>Document Number</w:t>
            </w:r>
          </w:p>
        </w:tc>
        <w:tc>
          <w:tcPr>
            <w:tcW w:w="6938" w:type="dxa"/>
          </w:tcPr>
          <w:p w14:paraId="3742B944" w14:textId="77777777" w:rsidR="0069341E" w:rsidRPr="00817254" w:rsidRDefault="0069341E" w:rsidP="005B3A1A">
            <w:pPr>
              <w:rPr>
                <w:i/>
                <w:sz w:val="20"/>
                <w:szCs w:val="24"/>
              </w:rPr>
            </w:pPr>
            <w:r w:rsidRPr="00817254">
              <w:rPr>
                <w:i/>
                <w:sz w:val="20"/>
                <w:szCs w:val="24"/>
              </w:rPr>
              <w:t>Document Name</w:t>
            </w:r>
          </w:p>
        </w:tc>
      </w:tr>
      <w:tr w:rsidR="0069341E" w:rsidRPr="00817254" w14:paraId="3742B948" w14:textId="77777777" w:rsidTr="005B3A1A">
        <w:tc>
          <w:tcPr>
            <w:tcW w:w="2122" w:type="dxa"/>
          </w:tcPr>
          <w:p w14:paraId="3742B946" w14:textId="498B5C46" w:rsidR="0069341E" w:rsidRPr="00817254" w:rsidRDefault="00FD7494" w:rsidP="005B3A1A">
            <w:pPr>
              <w:rPr>
                <w:i/>
                <w:sz w:val="20"/>
                <w:szCs w:val="24"/>
              </w:rPr>
            </w:pPr>
            <w:r>
              <w:rPr>
                <w:i/>
                <w:sz w:val="20"/>
                <w:szCs w:val="24"/>
              </w:rPr>
              <w:t>CHS20/240</w:t>
            </w:r>
          </w:p>
        </w:tc>
        <w:tc>
          <w:tcPr>
            <w:tcW w:w="6938" w:type="dxa"/>
          </w:tcPr>
          <w:p w14:paraId="3742B947" w14:textId="3E80EC56" w:rsidR="0069341E" w:rsidRPr="00817254" w:rsidRDefault="00FD7494" w:rsidP="005B3A1A">
            <w:pPr>
              <w:rPr>
                <w:i/>
                <w:sz w:val="20"/>
                <w:szCs w:val="24"/>
              </w:rPr>
            </w:pPr>
            <w:r w:rsidRPr="00FD7494">
              <w:rPr>
                <w:i/>
                <w:sz w:val="20"/>
                <w:szCs w:val="24"/>
              </w:rPr>
              <w:t>High-Risk Medicines Policy</w:t>
            </w:r>
          </w:p>
        </w:tc>
      </w:tr>
    </w:tbl>
    <w:p w14:paraId="3742B94C" w14:textId="77777777" w:rsidR="0069341E" w:rsidRPr="00010E74" w:rsidRDefault="0069341E" w:rsidP="0069341E">
      <w:pPr>
        <w:rPr>
          <w:i/>
          <w:sz w:val="20"/>
          <w:szCs w:val="24"/>
        </w:rPr>
      </w:pPr>
    </w:p>
    <w:p w14:paraId="3742B94D" w14:textId="77777777" w:rsidR="002F61F7" w:rsidRPr="00A86A9D" w:rsidRDefault="002F61F7" w:rsidP="00A86A9D">
      <w:pPr>
        <w:rPr>
          <w:szCs w:val="24"/>
        </w:rPr>
      </w:pPr>
    </w:p>
    <w:sectPr w:rsidR="002F61F7" w:rsidRPr="00A86A9D" w:rsidSect="002F61F7">
      <w:headerReference w:type="default" r:id="rId13"/>
      <w:footerReference w:type="default" r:id="rId14"/>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1F69" w14:textId="77777777" w:rsidR="00AA55E4" w:rsidRDefault="00AA55E4" w:rsidP="00F66CB0">
      <w:r>
        <w:separator/>
      </w:r>
    </w:p>
  </w:endnote>
  <w:endnote w:type="continuationSeparator" w:id="0">
    <w:p w14:paraId="0DFDC3A7" w14:textId="77777777" w:rsidR="00AA55E4" w:rsidRDefault="00AA55E4"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721 Lt BT">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3742B95C" w14:textId="77777777" w:rsidTr="00B44F9C">
      <w:tc>
        <w:tcPr>
          <w:tcW w:w="1515" w:type="dxa"/>
        </w:tcPr>
        <w:p w14:paraId="3742B95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3742B957"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3742B958"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742B959"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3742B95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3742B95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3742B963" w14:textId="77777777" w:rsidTr="00B44F9C">
      <w:tc>
        <w:tcPr>
          <w:tcW w:w="1515" w:type="dxa"/>
        </w:tcPr>
        <w:p w14:paraId="3742B95D" w14:textId="229B70B9" w:rsidR="00E9072F" w:rsidRPr="00542EE6" w:rsidRDefault="00FD7494" w:rsidP="002F61F7">
          <w:pPr>
            <w:pStyle w:val="Footer"/>
            <w:rPr>
              <w:rFonts w:cs="Arial"/>
              <w:b/>
              <w:bCs/>
              <w:sz w:val="20"/>
            </w:rPr>
          </w:pPr>
          <w:r>
            <w:rPr>
              <w:b/>
              <w:sz w:val="20"/>
            </w:rPr>
            <w:t>CHS21/457</w:t>
          </w:r>
        </w:p>
      </w:tc>
      <w:tc>
        <w:tcPr>
          <w:tcW w:w="965" w:type="dxa"/>
        </w:tcPr>
        <w:p w14:paraId="3742B95E" w14:textId="7BC37BC1" w:rsidR="00E9072F" w:rsidRPr="00B3752F" w:rsidRDefault="00FD7494" w:rsidP="002F61F7">
          <w:pPr>
            <w:pStyle w:val="Footer"/>
            <w:rPr>
              <w:rFonts w:cs="Arial"/>
              <w:b/>
              <w:bCs/>
              <w:sz w:val="20"/>
            </w:rPr>
          </w:pPr>
          <w:r>
            <w:rPr>
              <w:rFonts w:cs="Arial"/>
              <w:b/>
              <w:bCs/>
              <w:sz w:val="20"/>
            </w:rPr>
            <w:t>1</w:t>
          </w:r>
        </w:p>
      </w:tc>
      <w:tc>
        <w:tcPr>
          <w:tcW w:w="1552" w:type="dxa"/>
        </w:tcPr>
        <w:p w14:paraId="3742B95F" w14:textId="7911E344" w:rsidR="00E9072F" w:rsidRPr="00B3752F" w:rsidRDefault="00FD7494" w:rsidP="002F61F7">
          <w:pPr>
            <w:pStyle w:val="Footer"/>
            <w:rPr>
              <w:rFonts w:cs="Arial"/>
              <w:b/>
              <w:bCs/>
              <w:sz w:val="20"/>
            </w:rPr>
          </w:pPr>
          <w:r>
            <w:rPr>
              <w:rFonts w:cs="Arial"/>
              <w:b/>
              <w:bCs/>
              <w:sz w:val="20"/>
            </w:rPr>
            <w:t>06/08/2021</w:t>
          </w:r>
        </w:p>
      </w:tc>
      <w:tc>
        <w:tcPr>
          <w:tcW w:w="1456" w:type="dxa"/>
        </w:tcPr>
        <w:p w14:paraId="3742B960" w14:textId="243F76CB" w:rsidR="00E9072F" w:rsidRPr="00B3752F" w:rsidRDefault="00FD7494" w:rsidP="0098354D">
          <w:pPr>
            <w:pStyle w:val="Footer"/>
            <w:rPr>
              <w:rFonts w:cs="Arial"/>
              <w:b/>
              <w:bCs/>
              <w:sz w:val="20"/>
            </w:rPr>
          </w:pPr>
          <w:r>
            <w:rPr>
              <w:rFonts w:cs="Arial"/>
              <w:b/>
              <w:bCs/>
              <w:sz w:val="20"/>
            </w:rPr>
            <w:t>01/09/2024</w:t>
          </w:r>
        </w:p>
      </w:tc>
      <w:tc>
        <w:tcPr>
          <w:tcW w:w="1746" w:type="dxa"/>
        </w:tcPr>
        <w:p w14:paraId="3742B961" w14:textId="3DF9B4B2" w:rsidR="00E9072F" w:rsidRPr="00B3752F" w:rsidRDefault="00FD7494" w:rsidP="002F61F7">
          <w:pPr>
            <w:pStyle w:val="Footer"/>
            <w:rPr>
              <w:rFonts w:cs="Arial"/>
              <w:b/>
              <w:bCs/>
              <w:sz w:val="20"/>
            </w:rPr>
          </w:pPr>
          <w:r>
            <w:rPr>
              <w:rFonts w:cs="Arial"/>
              <w:b/>
              <w:bCs/>
              <w:sz w:val="20"/>
            </w:rPr>
            <w:t>Pharmacy</w:t>
          </w:r>
        </w:p>
      </w:tc>
      <w:tc>
        <w:tcPr>
          <w:tcW w:w="1836" w:type="dxa"/>
        </w:tcPr>
        <w:p w14:paraId="3742B962"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817254">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817254">
            <w:rPr>
              <w:rStyle w:val="PageNumber"/>
              <w:noProof/>
              <w:sz w:val="20"/>
            </w:rPr>
            <w:t>3</w:t>
          </w:r>
          <w:r w:rsidRPr="00B3752F">
            <w:rPr>
              <w:rStyle w:val="PageNumber"/>
              <w:sz w:val="20"/>
            </w:rPr>
            <w:fldChar w:fldCharType="end"/>
          </w:r>
        </w:p>
      </w:tc>
    </w:tr>
    <w:tr w:rsidR="00B44F9C" w14:paraId="16F20E0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4E9958C9" w:rsidR="00B44F9C" w:rsidRPr="002C1428" w:rsidRDefault="00B44F9C" w:rsidP="00B44F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BD0779">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B668" w14:textId="77777777" w:rsidR="00AA55E4" w:rsidRDefault="00AA55E4" w:rsidP="00F66CB0">
      <w:r>
        <w:separator/>
      </w:r>
    </w:p>
  </w:footnote>
  <w:footnote w:type="continuationSeparator" w:id="0">
    <w:p w14:paraId="50311985" w14:textId="77777777" w:rsidR="00AA55E4" w:rsidRDefault="00AA55E4"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2F" w14:paraId="3742B954" w14:textId="77777777" w:rsidTr="009F2977">
      <w:trPr>
        <w:trHeight w:val="1418"/>
      </w:trPr>
      <w:tc>
        <w:tcPr>
          <w:tcW w:w="5556" w:type="dxa"/>
          <w:vAlign w:val="center"/>
          <w:hideMark/>
        </w:tcPr>
        <w:p w14:paraId="3742B952" w14:textId="2FD9127C" w:rsidR="00E9072F" w:rsidRDefault="00DA0702" w:rsidP="009F2977">
          <w:pPr>
            <w:pStyle w:val="Header"/>
            <w:rPr>
              <w:sz w:val="20"/>
            </w:rPr>
          </w:pPr>
          <w:r>
            <w:rPr>
              <w:noProof/>
              <w:sz w:val="20"/>
            </w:rPr>
            <w:drawing>
              <wp:inline distT="0" distB="0" distL="0" distR="0" wp14:anchorId="35A6FE35" wp14:editId="627304F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742B953" w14:textId="2B4282CE" w:rsidR="00E9072F" w:rsidRDefault="00FD7494">
          <w:pPr>
            <w:pStyle w:val="Header"/>
            <w:tabs>
              <w:tab w:val="left" w:pos="720"/>
            </w:tabs>
            <w:jc w:val="right"/>
            <w:rPr>
              <w:sz w:val="20"/>
            </w:rPr>
          </w:pPr>
          <w:bookmarkStart w:id="30" w:name="_top"/>
          <w:bookmarkEnd w:id="30"/>
          <w:r>
            <w:rPr>
              <w:sz w:val="20"/>
            </w:rPr>
            <w:t>CHS21/457</w:t>
          </w:r>
        </w:p>
      </w:tc>
    </w:tr>
  </w:tbl>
  <w:p w14:paraId="3742B955" w14:textId="77777777"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64F91"/>
    <w:multiLevelType w:val="hybridMultilevel"/>
    <w:tmpl w:val="02DC0274"/>
    <w:lvl w:ilvl="0" w:tplc="35EE3E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976D75"/>
    <w:multiLevelType w:val="hybridMultilevel"/>
    <w:tmpl w:val="A612B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A45A72"/>
    <w:multiLevelType w:val="hybridMultilevel"/>
    <w:tmpl w:val="24682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AC7CF4"/>
    <w:multiLevelType w:val="hybridMultilevel"/>
    <w:tmpl w:val="FAE23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2"/>
  </w:num>
  <w:num w:numId="5">
    <w:abstractNumId w:val="3"/>
  </w:num>
  <w:num w:numId="6">
    <w:abstractNumId w:val="10"/>
  </w:num>
  <w:num w:numId="7">
    <w:abstractNumId w:val="7"/>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31BB1"/>
    <w:rsid w:val="00050A68"/>
    <w:rsid w:val="000630BA"/>
    <w:rsid w:val="000B5C8C"/>
    <w:rsid w:val="000C59E2"/>
    <w:rsid w:val="000C7B2D"/>
    <w:rsid w:val="000D210D"/>
    <w:rsid w:val="000F4CD2"/>
    <w:rsid w:val="000F7B7E"/>
    <w:rsid w:val="00103EEA"/>
    <w:rsid w:val="00191109"/>
    <w:rsid w:val="001A0053"/>
    <w:rsid w:val="001B2465"/>
    <w:rsid w:val="001F6D2D"/>
    <w:rsid w:val="00240B97"/>
    <w:rsid w:val="0025382D"/>
    <w:rsid w:val="0026241A"/>
    <w:rsid w:val="00263BA6"/>
    <w:rsid w:val="0027264D"/>
    <w:rsid w:val="00293E43"/>
    <w:rsid w:val="002B5F43"/>
    <w:rsid w:val="002C4347"/>
    <w:rsid w:val="002D7104"/>
    <w:rsid w:val="002F61F7"/>
    <w:rsid w:val="00313707"/>
    <w:rsid w:val="00327552"/>
    <w:rsid w:val="00344838"/>
    <w:rsid w:val="003625A2"/>
    <w:rsid w:val="00376A6D"/>
    <w:rsid w:val="00380B98"/>
    <w:rsid w:val="00396023"/>
    <w:rsid w:val="003C4BB5"/>
    <w:rsid w:val="003D1D90"/>
    <w:rsid w:val="003E1E3C"/>
    <w:rsid w:val="003E4CC0"/>
    <w:rsid w:val="003F3D8F"/>
    <w:rsid w:val="00412CED"/>
    <w:rsid w:val="004242C7"/>
    <w:rsid w:val="00427139"/>
    <w:rsid w:val="00433E5D"/>
    <w:rsid w:val="004358E9"/>
    <w:rsid w:val="004619C2"/>
    <w:rsid w:val="00487DD5"/>
    <w:rsid w:val="004961E2"/>
    <w:rsid w:val="004A2E02"/>
    <w:rsid w:val="004B7C43"/>
    <w:rsid w:val="004C2B20"/>
    <w:rsid w:val="004E28AD"/>
    <w:rsid w:val="004E2A5F"/>
    <w:rsid w:val="004E2D2A"/>
    <w:rsid w:val="004E5B45"/>
    <w:rsid w:val="004F1D05"/>
    <w:rsid w:val="004F2497"/>
    <w:rsid w:val="004F3E78"/>
    <w:rsid w:val="005149D6"/>
    <w:rsid w:val="0052443C"/>
    <w:rsid w:val="0052775E"/>
    <w:rsid w:val="00536503"/>
    <w:rsid w:val="00542514"/>
    <w:rsid w:val="00546AED"/>
    <w:rsid w:val="005621E4"/>
    <w:rsid w:val="00596FD7"/>
    <w:rsid w:val="005A2C1F"/>
    <w:rsid w:val="005A3625"/>
    <w:rsid w:val="005A40A2"/>
    <w:rsid w:val="005B4738"/>
    <w:rsid w:val="005B6AEF"/>
    <w:rsid w:val="005C212D"/>
    <w:rsid w:val="005C3CB0"/>
    <w:rsid w:val="005F7499"/>
    <w:rsid w:val="00612231"/>
    <w:rsid w:val="00635EB1"/>
    <w:rsid w:val="00636DD9"/>
    <w:rsid w:val="00642A28"/>
    <w:rsid w:val="006473BB"/>
    <w:rsid w:val="0066495D"/>
    <w:rsid w:val="00667C96"/>
    <w:rsid w:val="0069341E"/>
    <w:rsid w:val="00695EB6"/>
    <w:rsid w:val="006A4D46"/>
    <w:rsid w:val="006A6024"/>
    <w:rsid w:val="006C31FF"/>
    <w:rsid w:val="006C6B6C"/>
    <w:rsid w:val="006C704D"/>
    <w:rsid w:val="006E1B0C"/>
    <w:rsid w:val="006E31CB"/>
    <w:rsid w:val="0070331D"/>
    <w:rsid w:val="00712B30"/>
    <w:rsid w:val="00741B43"/>
    <w:rsid w:val="00756537"/>
    <w:rsid w:val="007A0EBC"/>
    <w:rsid w:val="007A238D"/>
    <w:rsid w:val="007B4ABB"/>
    <w:rsid w:val="007B6904"/>
    <w:rsid w:val="007C0E06"/>
    <w:rsid w:val="00816782"/>
    <w:rsid w:val="00817254"/>
    <w:rsid w:val="0082141D"/>
    <w:rsid w:val="00827F24"/>
    <w:rsid w:val="00855DA8"/>
    <w:rsid w:val="00862E31"/>
    <w:rsid w:val="00886399"/>
    <w:rsid w:val="008974CA"/>
    <w:rsid w:val="008C4B12"/>
    <w:rsid w:val="008E1F7F"/>
    <w:rsid w:val="008E4352"/>
    <w:rsid w:val="008F00E8"/>
    <w:rsid w:val="008F6921"/>
    <w:rsid w:val="00933EED"/>
    <w:rsid w:val="00940CDE"/>
    <w:rsid w:val="00942B11"/>
    <w:rsid w:val="009524AC"/>
    <w:rsid w:val="00954112"/>
    <w:rsid w:val="009648CB"/>
    <w:rsid w:val="0097742A"/>
    <w:rsid w:val="00980EED"/>
    <w:rsid w:val="0098354D"/>
    <w:rsid w:val="00991670"/>
    <w:rsid w:val="009A6440"/>
    <w:rsid w:val="009B3F8C"/>
    <w:rsid w:val="009B6C8C"/>
    <w:rsid w:val="009C0FCA"/>
    <w:rsid w:val="009C3963"/>
    <w:rsid w:val="009D323C"/>
    <w:rsid w:val="009F2977"/>
    <w:rsid w:val="00A24CDA"/>
    <w:rsid w:val="00A2576B"/>
    <w:rsid w:val="00A35E2D"/>
    <w:rsid w:val="00A52951"/>
    <w:rsid w:val="00A6718B"/>
    <w:rsid w:val="00A74B8A"/>
    <w:rsid w:val="00A83C2D"/>
    <w:rsid w:val="00A85F61"/>
    <w:rsid w:val="00A86A9D"/>
    <w:rsid w:val="00A86DB3"/>
    <w:rsid w:val="00AA25DC"/>
    <w:rsid w:val="00AA55E4"/>
    <w:rsid w:val="00AB4914"/>
    <w:rsid w:val="00AD5D7C"/>
    <w:rsid w:val="00B21043"/>
    <w:rsid w:val="00B44CAC"/>
    <w:rsid w:val="00B44F9C"/>
    <w:rsid w:val="00B573D6"/>
    <w:rsid w:val="00B7783C"/>
    <w:rsid w:val="00B81455"/>
    <w:rsid w:val="00B9627F"/>
    <w:rsid w:val="00BA2415"/>
    <w:rsid w:val="00BA4F95"/>
    <w:rsid w:val="00BB33F9"/>
    <w:rsid w:val="00BC3CE6"/>
    <w:rsid w:val="00BD0779"/>
    <w:rsid w:val="00BD0A37"/>
    <w:rsid w:val="00BE5E41"/>
    <w:rsid w:val="00C24EDC"/>
    <w:rsid w:val="00C25A76"/>
    <w:rsid w:val="00C32206"/>
    <w:rsid w:val="00C45C67"/>
    <w:rsid w:val="00C46419"/>
    <w:rsid w:val="00C46710"/>
    <w:rsid w:val="00C523FF"/>
    <w:rsid w:val="00C71C3C"/>
    <w:rsid w:val="00CA593D"/>
    <w:rsid w:val="00CC71D4"/>
    <w:rsid w:val="00D21780"/>
    <w:rsid w:val="00D23346"/>
    <w:rsid w:val="00D243B8"/>
    <w:rsid w:val="00D34794"/>
    <w:rsid w:val="00D4502D"/>
    <w:rsid w:val="00D530CE"/>
    <w:rsid w:val="00D53E3C"/>
    <w:rsid w:val="00D77950"/>
    <w:rsid w:val="00D80114"/>
    <w:rsid w:val="00D8106C"/>
    <w:rsid w:val="00DA0702"/>
    <w:rsid w:val="00DA5765"/>
    <w:rsid w:val="00DC3762"/>
    <w:rsid w:val="00DD616A"/>
    <w:rsid w:val="00DE0465"/>
    <w:rsid w:val="00E049ED"/>
    <w:rsid w:val="00E14E71"/>
    <w:rsid w:val="00E34E6D"/>
    <w:rsid w:val="00E37CD4"/>
    <w:rsid w:val="00E57848"/>
    <w:rsid w:val="00E82CDA"/>
    <w:rsid w:val="00E9072F"/>
    <w:rsid w:val="00E96207"/>
    <w:rsid w:val="00ED21C3"/>
    <w:rsid w:val="00ED388C"/>
    <w:rsid w:val="00EF02B0"/>
    <w:rsid w:val="00F01B61"/>
    <w:rsid w:val="00F0517F"/>
    <w:rsid w:val="00F149FD"/>
    <w:rsid w:val="00F4262F"/>
    <w:rsid w:val="00F53719"/>
    <w:rsid w:val="00F56495"/>
    <w:rsid w:val="00F57291"/>
    <w:rsid w:val="00F57C14"/>
    <w:rsid w:val="00F66CB0"/>
    <w:rsid w:val="00F76C89"/>
    <w:rsid w:val="00F77222"/>
    <w:rsid w:val="00FA29B8"/>
    <w:rsid w:val="00FD3D92"/>
    <w:rsid w:val="00FD7494"/>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2B8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BD0A37"/>
    <w:rPr>
      <w:rFonts w:ascii="Calibri" w:eastAsia="Times New Roman" w:hAnsi="Calibri" w:cs="Times New Roman"/>
      <w:sz w:val="24"/>
      <w:szCs w:val="20"/>
    </w:rPr>
  </w:style>
  <w:style w:type="character" w:customStyle="1" w:styleId="e24kjd">
    <w:name w:val="e24kjd"/>
    <w:basedOn w:val="DefaultParagraphFont"/>
    <w:rsid w:val="009524AC"/>
  </w:style>
  <w:style w:type="character" w:customStyle="1" w:styleId="ref-journal">
    <w:name w:val="ref-journal"/>
    <w:basedOn w:val="DefaultParagraphFont"/>
    <w:rsid w:val="009524AC"/>
  </w:style>
  <w:style w:type="character" w:customStyle="1" w:styleId="ref-vol">
    <w:name w:val="ref-vol"/>
    <w:basedOn w:val="DefaultParagraphFont"/>
    <w:rsid w:val="009524AC"/>
  </w:style>
  <w:style w:type="paragraph" w:styleId="TOCHeading">
    <w:name w:val="TOC Heading"/>
    <w:basedOn w:val="Heading1"/>
    <w:next w:val="Normal"/>
    <w:uiPriority w:val="39"/>
    <w:unhideWhenUsed/>
    <w:qFormat/>
    <w:rsid w:val="00F77222"/>
    <w:pPr>
      <w:keepLine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Q:/Quality%20and%20Safety/CET/Policy%20Team/CHS%20PC/Resources/Templates/CHS%20Procedure%20Templat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MedicationSafety@act.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CHS21/457</Decision_x0020_Number>
    <Description0 xmlns="690b2128-8961-48af-a473-22c34a9accba">This policy sets out how CHS ensures the safe use of high-risk medicines. It defines how the High-Risk Medicines Register is maintained and reviewed and how compliance with the High-Risk Medicine Policy is monitored.   </Description0>
    <Display_x0020_on_x0020_Internet xmlns="690b2128-8961-48af-a473-22c34a9accba">true</Display_x0020_on_x0020_Internet>
    <Review_x0020_Date xmlns="690b2128-8961-48af-a473-22c34a9accba">2024-08-31T14:00:00+00:00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 xsi:nil="true"/>
    <Progress xmlns="690b2128-8961-48af-a473-22c34a9accba" xsi:nil="true"/>
    <TaxCatchAll xmlns="c0239a80-7f07-4ed7-82c3-24ad7d76ada5" xsi:nil="true"/>
    <Key_x0020_Words xmlns="690b2128-8961-48af-a473-22c34a9accba">High-Risk, High-Risk Medicines Register, High-Risk Medicine Standards, Potassium, heparin, anticoagulant, opioid, opioids, narcotics, hydromorphone, HYDROmorphone, insulin</Key_x0020_Words>
    <Type_x0020_of_x0020_Document xmlns="690b2128-8961-48af-a473-22c34a9accba">Policy</Type_x0020_of_x0020_Document>
    <Version_x0020_Number xmlns="690b2128-8961-48af-a473-22c34a9accba">1</Version_x0020_Number>
    <Approval_x0020_Date xmlns="690b2128-8961-48af-a473-22c34a9accba">2021-08-04T14:00:00+00:00</Approval_x0020_Date>
    <Notes0 xmlns="690b2128-8961-48af-a473-22c34a9accba">24 Aug 21 - approval from EDMS for doc can be released under FOI.
</Notes0>
    <New_x0020_Applies_x0020_To xmlns="690b2128-8961-48af-a473-22c34a9accba">Canberra Health Services</New_x0020_Applies_x0020_To>
    <New_x0020_Owner xmlns="690b2128-8961-48af-a473-22c34a9accba">Medical Services Group - Pharmacy</New_x0020_Owner>
    <Status xmlns="690b2128-8961-48af-a473-22c34a9accba">Approved</Status>
  </documentManagement>
</p:properties>
</file>

<file path=customXml/itemProps1.xml><?xml version="1.0" encoding="utf-8"?>
<ds:datastoreItem xmlns:ds="http://schemas.openxmlformats.org/officeDocument/2006/customXml" ds:itemID="{1A626DD0-37B8-4477-A60E-F306DE4B3588}"/>
</file>

<file path=customXml/itemProps2.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3.xml><?xml version="1.0" encoding="utf-8"?>
<ds:datastoreItem xmlns:ds="http://schemas.openxmlformats.org/officeDocument/2006/customXml" ds:itemID="{C0B35572-14BA-4F7C-9A8A-7DB45195403C}">
  <ds:schemaRefs>
    <ds:schemaRef ds:uri="http://schemas.openxmlformats.org/officeDocument/2006/bibliography"/>
  </ds:schemaRefs>
</ds:datastoreItem>
</file>

<file path=customXml/itemProps4.xml><?xml version="1.0" encoding="utf-8"?>
<ds:datastoreItem xmlns:ds="http://schemas.openxmlformats.org/officeDocument/2006/customXml" ds:itemID="{F0BF058C-E928-43C8-9BF0-43F1BC651431}">
  <ds:schemaRefs>
    <ds:schemaRef ds:uri="http://purl.org/dc/elements/1.1/"/>
    <ds:schemaRef ds:uri="http://schemas.microsoft.com/office/2006/metadata/properties"/>
    <ds:schemaRef ds:uri="0c8e588b-9c83-49d3-a6c8-a54de8f95e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20ae6d-faeb-4fb7-a10f-722643f1ac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High-Risk Medicines Policy</dc:title>
  <dc:subject>2;#;#14;#;#19;#</dc:subject>
  <dc:creator>Kerryn Hunter</dc:creator>
  <cp:lastModifiedBy>Stahre, Maria (Health)</cp:lastModifiedBy>
  <cp:revision>6</cp:revision>
  <cp:lastPrinted>2014-07-16T01:36:00Z</cp:lastPrinted>
  <dcterms:created xsi:type="dcterms:W3CDTF">2021-07-29T06:41:00Z</dcterms:created>
  <dcterms:modified xsi:type="dcterms:W3CDTF">2021-08-06T06:03:00Z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