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6EACE49A" w:rsidR="007B6904" w:rsidRPr="006A3770" w:rsidRDefault="007D269B" w:rsidP="006A3770">
      <w:pPr>
        <w:rPr>
          <w:rFonts w:cs="Arial"/>
          <w:b/>
          <w:i/>
          <w:sz w:val="36"/>
          <w:szCs w:val="36"/>
        </w:rPr>
      </w:pPr>
      <w:r w:rsidRPr="007D269B">
        <w:rPr>
          <w:rFonts w:cs="Arial"/>
          <w:b/>
          <w:sz w:val="36"/>
          <w:szCs w:val="36"/>
        </w:rPr>
        <w:t>Drug and Alcohol Sentencing List (DASL)</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71533457"/>
            <w:r w:rsidRPr="00CD1C0E">
              <w:t>Contents</w:t>
            </w:r>
            <w:bookmarkEnd w:id="5"/>
            <w:bookmarkEnd w:id="6"/>
            <w:bookmarkEnd w:id="7"/>
          </w:p>
        </w:tc>
      </w:tr>
    </w:tbl>
    <w:p w14:paraId="2F51A853" w14:textId="77777777" w:rsidR="007B6904" w:rsidRDefault="007B6904" w:rsidP="007B6904"/>
    <w:p w14:paraId="1553C906" w14:textId="4891D1A2" w:rsidR="008B11B7" w:rsidRDefault="007D269B">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71533457" w:history="1">
        <w:r w:rsidR="008B11B7" w:rsidRPr="0034797E">
          <w:rPr>
            <w:rStyle w:val="Hyperlink"/>
            <w:noProof/>
          </w:rPr>
          <w:t>Contents</w:t>
        </w:r>
        <w:r w:rsidR="008B11B7">
          <w:rPr>
            <w:noProof/>
            <w:webHidden/>
          </w:rPr>
          <w:tab/>
        </w:r>
        <w:r w:rsidR="008B11B7">
          <w:rPr>
            <w:noProof/>
            <w:webHidden/>
          </w:rPr>
          <w:fldChar w:fldCharType="begin"/>
        </w:r>
        <w:r w:rsidR="008B11B7">
          <w:rPr>
            <w:noProof/>
            <w:webHidden/>
          </w:rPr>
          <w:instrText xml:space="preserve"> PAGEREF _Toc71533457 \h </w:instrText>
        </w:r>
        <w:r w:rsidR="008B11B7">
          <w:rPr>
            <w:noProof/>
            <w:webHidden/>
          </w:rPr>
        </w:r>
        <w:r w:rsidR="008B11B7">
          <w:rPr>
            <w:noProof/>
            <w:webHidden/>
          </w:rPr>
          <w:fldChar w:fldCharType="separate"/>
        </w:r>
        <w:r w:rsidR="008B11B7">
          <w:rPr>
            <w:noProof/>
            <w:webHidden/>
          </w:rPr>
          <w:t>1</w:t>
        </w:r>
        <w:r w:rsidR="008B11B7">
          <w:rPr>
            <w:noProof/>
            <w:webHidden/>
          </w:rPr>
          <w:fldChar w:fldCharType="end"/>
        </w:r>
      </w:hyperlink>
    </w:p>
    <w:p w14:paraId="4A53B476" w14:textId="00558F4E" w:rsidR="008B11B7" w:rsidRDefault="00CF5D71">
      <w:pPr>
        <w:pStyle w:val="TOC1"/>
        <w:tabs>
          <w:tab w:val="right" w:leader="dot" w:pos="9060"/>
        </w:tabs>
        <w:rPr>
          <w:rFonts w:eastAsiaTheme="minorEastAsia" w:cstheme="minorBidi"/>
          <w:noProof/>
          <w:sz w:val="22"/>
          <w:szCs w:val="22"/>
          <w:lang w:eastAsia="en-AU"/>
        </w:rPr>
      </w:pPr>
      <w:hyperlink w:anchor="_Toc71533458" w:history="1">
        <w:r w:rsidR="008B11B7" w:rsidRPr="0034797E">
          <w:rPr>
            <w:rStyle w:val="Hyperlink"/>
            <w:noProof/>
          </w:rPr>
          <w:t>Purpose</w:t>
        </w:r>
        <w:r w:rsidR="008B11B7">
          <w:rPr>
            <w:noProof/>
            <w:webHidden/>
          </w:rPr>
          <w:tab/>
        </w:r>
        <w:r w:rsidR="008B11B7">
          <w:rPr>
            <w:noProof/>
            <w:webHidden/>
          </w:rPr>
          <w:fldChar w:fldCharType="begin"/>
        </w:r>
        <w:r w:rsidR="008B11B7">
          <w:rPr>
            <w:noProof/>
            <w:webHidden/>
          </w:rPr>
          <w:instrText xml:space="preserve"> PAGEREF _Toc71533458 \h </w:instrText>
        </w:r>
        <w:r w:rsidR="008B11B7">
          <w:rPr>
            <w:noProof/>
            <w:webHidden/>
          </w:rPr>
        </w:r>
        <w:r w:rsidR="008B11B7">
          <w:rPr>
            <w:noProof/>
            <w:webHidden/>
          </w:rPr>
          <w:fldChar w:fldCharType="separate"/>
        </w:r>
        <w:r w:rsidR="008B11B7">
          <w:rPr>
            <w:noProof/>
            <w:webHidden/>
          </w:rPr>
          <w:t>3</w:t>
        </w:r>
        <w:r w:rsidR="008B11B7">
          <w:rPr>
            <w:noProof/>
            <w:webHidden/>
          </w:rPr>
          <w:fldChar w:fldCharType="end"/>
        </w:r>
      </w:hyperlink>
    </w:p>
    <w:p w14:paraId="083EDF13" w14:textId="3DD61C68" w:rsidR="008B11B7" w:rsidRDefault="00CF5D71">
      <w:pPr>
        <w:pStyle w:val="TOC1"/>
        <w:tabs>
          <w:tab w:val="right" w:leader="dot" w:pos="9060"/>
        </w:tabs>
        <w:rPr>
          <w:rFonts w:eastAsiaTheme="minorEastAsia" w:cstheme="minorBidi"/>
          <w:noProof/>
          <w:sz w:val="22"/>
          <w:szCs w:val="22"/>
          <w:lang w:eastAsia="en-AU"/>
        </w:rPr>
      </w:pPr>
      <w:hyperlink w:anchor="_Toc71533459" w:history="1">
        <w:r w:rsidR="008B11B7" w:rsidRPr="0034797E">
          <w:rPr>
            <w:rStyle w:val="Hyperlink"/>
            <w:noProof/>
          </w:rPr>
          <w:t>Scope</w:t>
        </w:r>
        <w:r w:rsidR="008B11B7">
          <w:rPr>
            <w:noProof/>
            <w:webHidden/>
          </w:rPr>
          <w:tab/>
        </w:r>
        <w:r w:rsidR="008B11B7">
          <w:rPr>
            <w:noProof/>
            <w:webHidden/>
          </w:rPr>
          <w:fldChar w:fldCharType="begin"/>
        </w:r>
        <w:r w:rsidR="008B11B7">
          <w:rPr>
            <w:noProof/>
            <w:webHidden/>
          </w:rPr>
          <w:instrText xml:space="preserve"> PAGEREF _Toc71533459 \h </w:instrText>
        </w:r>
        <w:r w:rsidR="008B11B7">
          <w:rPr>
            <w:noProof/>
            <w:webHidden/>
          </w:rPr>
        </w:r>
        <w:r w:rsidR="008B11B7">
          <w:rPr>
            <w:noProof/>
            <w:webHidden/>
          </w:rPr>
          <w:fldChar w:fldCharType="separate"/>
        </w:r>
        <w:r w:rsidR="008B11B7">
          <w:rPr>
            <w:noProof/>
            <w:webHidden/>
          </w:rPr>
          <w:t>3</w:t>
        </w:r>
        <w:r w:rsidR="008B11B7">
          <w:rPr>
            <w:noProof/>
            <w:webHidden/>
          </w:rPr>
          <w:fldChar w:fldCharType="end"/>
        </w:r>
      </w:hyperlink>
    </w:p>
    <w:p w14:paraId="6F0084F6" w14:textId="0ECE3F15" w:rsidR="008B11B7" w:rsidRDefault="00CF5D71">
      <w:pPr>
        <w:pStyle w:val="TOC1"/>
        <w:tabs>
          <w:tab w:val="right" w:leader="dot" w:pos="9060"/>
        </w:tabs>
        <w:rPr>
          <w:rFonts w:eastAsiaTheme="minorEastAsia" w:cstheme="minorBidi"/>
          <w:noProof/>
          <w:sz w:val="22"/>
          <w:szCs w:val="22"/>
          <w:lang w:eastAsia="en-AU"/>
        </w:rPr>
      </w:pPr>
      <w:hyperlink w:anchor="_Toc71533460" w:history="1">
        <w:r w:rsidR="008B11B7" w:rsidRPr="0034797E">
          <w:rPr>
            <w:rStyle w:val="Hyperlink"/>
            <w:noProof/>
          </w:rPr>
          <w:t>Section 1 – Eligibility and Suitability Assessment</w:t>
        </w:r>
        <w:r w:rsidR="008B11B7">
          <w:rPr>
            <w:noProof/>
            <w:webHidden/>
          </w:rPr>
          <w:tab/>
        </w:r>
        <w:r w:rsidR="008B11B7">
          <w:rPr>
            <w:noProof/>
            <w:webHidden/>
          </w:rPr>
          <w:fldChar w:fldCharType="begin"/>
        </w:r>
        <w:r w:rsidR="008B11B7">
          <w:rPr>
            <w:noProof/>
            <w:webHidden/>
          </w:rPr>
          <w:instrText xml:space="preserve"> PAGEREF _Toc71533460 \h </w:instrText>
        </w:r>
        <w:r w:rsidR="008B11B7">
          <w:rPr>
            <w:noProof/>
            <w:webHidden/>
          </w:rPr>
        </w:r>
        <w:r w:rsidR="008B11B7">
          <w:rPr>
            <w:noProof/>
            <w:webHidden/>
          </w:rPr>
          <w:fldChar w:fldCharType="separate"/>
        </w:r>
        <w:r w:rsidR="008B11B7">
          <w:rPr>
            <w:noProof/>
            <w:webHidden/>
          </w:rPr>
          <w:t>3</w:t>
        </w:r>
        <w:r w:rsidR="008B11B7">
          <w:rPr>
            <w:noProof/>
            <w:webHidden/>
          </w:rPr>
          <w:fldChar w:fldCharType="end"/>
        </w:r>
      </w:hyperlink>
    </w:p>
    <w:p w14:paraId="01F9BFE4" w14:textId="4CC6AEC5" w:rsidR="008B11B7" w:rsidRDefault="00CF5D71">
      <w:pPr>
        <w:pStyle w:val="TOC2"/>
        <w:tabs>
          <w:tab w:val="right" w:leader="dot" w:pos="9060"/>
        </w:tabs>
        <w:rPr>
          <w:rFonts w:eastAsiaTheme="minorEastAsia" w:cstheme="minorBidi"/>
          <w:noProof/>
          <w:sz w:val="22"/>
          <w:szCs w:val="22"/>
          <w:lang w:eastAsia="en-AU"/>
        </w:rPr>
      </w:pPr>
      <w:hyperlink w:anchor="_Toc71533461" w:history="1">
        <w:r w:rsidR="008B11B7" w:rsidRPr="0034797E">
          <w:rPr>
            <w:rStyle w:val="Hyperlink"/>
            <w:noProof/>
          </w:rPr>
          <w:t>1.1 Eligibility</w:t>
        </w:r>
        <w:r w:rsidR="008B11B7">
          <w:rPr>
            <w:noProof/>
            <w:webHidden/>
          </w:rPr>
          <w:tab/>
        </w:r>
        <w:r w:rsidR="008B11B7">
          <w:rPr>
            <w:noProof/>
            <w:webHidden/>
          </w:rPr>
          <w:fldChar w:fldCharType="begin"/>
        </w:r>
        <w:r w:rsidR="008B11B7">
          <w:rPr>
            <w:noProof/>
            <w:webHidden/>
          </w:rPr>
          <w:instrText xml:space="preserve"> PAGEREF _Toc71533461 \h </w:instrText>
        </w:r>
        <w:r w:rsidR="008B11B7">
          <w:rPr>
            <w:noProof/>
            <w:webHidden/>
          </w:rPr>
        </w:r>
        <w:r w:rsidR="008B11B7">
          <w:rPr>
            <w:noProof/>
            <w:webHidden/>
          </w:rPr>
          <w:fldChar w:fldCharType="separate"/>
        </w:r>
        <w:r w:rsidR="008B11B7">
          <w:rPr>
            <w:noProof/>
            <w:webHidden/>
          </w:rPr>
          <w:t>3</w:t>
        </w:r>
        <w:r w:rsidR="008B11B7">
          <w:rPr>
            <w:noProof/>
            <w:webHidden/>
          </w:rPr>
          <w:fldChar w:fldCharType="end"/>
        </w:r>
      </w:hyperlink>
    </w:p>
    <w:p w14:paraId="65433E4E" w14:textId="19759BB0" w:rsidR="008B11B7" w:rsidRDefault="00CF5D71">
      <w:pPr>
        <w:pStyle w:val="TOC2"/>
        <w:tabs>
          <w:tab w:val="right" w:leader="dot" w:pos="9060"/>
        </w:tabs>
        <w:rPr>
          <w:rFonts w:eastAsiaTheme="minorEastAsia" w:cstheme="minorBidi"/>
          <w:noProof/>
          <w:sz w:val="22"/>
          <w:szCs w:val="22"/>
          <w:lang w:eastAsia="en-AU"/>
        </w:rPr>
      </w:pPr>
      <w:hyperlink w:anchor="_Toc71533462" w:history="1">
        <w:r w:rsidR="008B11B7" w:rsidRPr="0034797E">
          <w:rPr>
            <w:rStyle w:val="Hyperlink"/>
            <w:noProof/>
          </w:rPr>
          <w:t>1.2 Suitability</w:t>
        </w:r>
        <w:r w:rsidR="008B11B7">
          <w:rPr>
            <w:noProof/>
            <w:webHidden/>
          </w:rPr>
          <w:tab/>
        </w:r>
        <w:r w:rsidR="008B11B7">
          <w:rPr>
            <w:noProof/>
            <w:webHidden/>
          </w:rPr>
          <w:fldChar w:fldCharType="begin"/>
        </w:r>
        <w:r w:rsidR="008B11B7">
          <w:rPr>
            <w:noProof/>
            <w:webHidden/>
          </w:rPr>
          <w:instrText xml:space="preserve"> PAGEREF _Toc71533462 \h </w:instrText>
        </w:r>
        <w:r w:rsidR="008B11B7">
          <w:rPr>
            <w:noProof/>
            <w:webHidden/>
          </w:rPr>
        </w:r>
        <w:r w:rsidR="008B11B7">
          <w:rPr>
            <w:noProof/>
            <w:webHidden/>
          </w:rPr>
          <w:fldChar w:fldCharType="separate"/>
        </w:r>
        <w:r w:rsidR="008B11B7">
          <w:rPr>
            <w:noProof/>
            <w:webHidden/>
          </w:rPr>
          <w:t>5</w:t>
        </w:r>
        <w:r w:rsidR="008B11B7">
          <w:rPr>
            <w:noProof/>
            <w:webHidden/>
          </w:rPr>
          <w:fldChar w:fldCharType="end"/>
        </w:r>
      </w:hyperlink>
    </w:p>
    <w:p w14:paraId="5FBA242E" w14:textId="1A787260" w:rsidR="008B11B7" w:rsidRDefault="00CF5D71">
      <w:pPr>
        <w:pStyle w:val="TOC1"/>
        <w:tabs>
          <w:tab w:val="right" w:leader="dot" w:pos="9060"/>
        </w:tabs>
        <w:rPr>
          <w:rFonts w:eastAsiaTheme="minorEastAsia" w:cstheme="minorBidi"/>
          <w:noProof/>
          <w:sz w:val="22"/>
          <w:szCs w:val="22"/>
          <w:lang w:eastAsia="en-AU"/>
        </w:rPr>
      </w:pPr>
      <w:hyperlink w:anchor="_Toc71533463" w:history="1">
        <w:r w:rsidR="008B11B7" w:rsidRPr="0034797E">
          <w:rPr>
            <w:rStyle w:val="Hyperlink"/>
            <w:noProof/>
          </w:rPr>
          <w:t>Section 2 – Case Management</w:t>
        </w:r>
        <w:r w:rsidR="008B11B7">
          <w:rPr>
            <w:noProof/>
            <w:webHidden/>
          </w:rPr>
          <w:tab/>
        </w:r>
        <w:r w:rsidR="008B11B7">
          <w:rPr>
            <w:noProof/>
            <w:webHidden/>
          </w:rPr>
          <w:fldChar w:fldCharType="begin"/>
        </w:r>
        <w:r w:rsidR="008B11B7">
          <w:rPr>
            <w:noProof/>
            <w:webHidden/>
          </w:rPr>
          <w:instrText xml:space="preserve"> PAGEREF _Toc71533463 \h </w:instrText>
        </w:r>
        <w:r w:rsidR="008B11B7">
          <w:rPr>
            <w:noProof/>
            <w:webHidden/>
          </w:rPr>
        </w:r>
        <w:r w:rsidR="008B11B7">
          <w:rPr>
            <w:noProof/>
            <w:webHidden/>
          </w:rPr>
          <w:fldChar w:fldCharType="separate"/>
        </w:r>
        <w:r w:rsidR="008B11B7">
          <w:rPr>
            <w:noProof/>
            <w:webHidden/>
          </w:rPr>
          <w:t>8</w:t>
        </w:r>
        <w:r w:rsidR="008B11B7">
          <w:rPr>
            <w:noProof/>
            <w:webHidden/>
          </w:rPr>
          <w:fldChar w:fldCharType="end"/>
        </w:r>
      </w:hyperlink>
    </w:p>
    <w:p w14:paraId="030AF47F" w14:textId="69C856E4" w:rsidR="008B11B7" w:rsidRDefault="00CF5D71">
      <w:pPr>
        <w:pStyle w:val="TOC2"/>
        <w:tabs>
          <w:tab w:val="right" w:leader="dot" w:pos="9060"/>
        </w:tabs>
        <w:rPr>
          <w:rFonts w:eastAsiaTheme="minorEastAsia" w:cstheme="minorBidi"/>
          <w:noProof/>
          <w:sz w:val="22"/>
          <w:szCs w:val="22"/>
          <w:lang w:eastAsia="en-AU"/>
        </w:rPr>
      </w:pPr>
      <w:hyperlink w:anchor="_Toc71533464" w:history="1">
        <w:r w:rsidR="008B11B7" w:rsidRPr="0034797E">
          <w:rPr>
            <w:rStyle w:val="Hyperlink"/>
            <w:noProof/>
          </w:rPr>
          <w:t>2.1 Case Management Responsibilities</w:t>
        </w:r>
        <w:r w:rsidR="008B11B7">
          <w:rPr>
            <w:noProof/>
            <w:webHidden/>
          </w:rPr>
          <w:tab/>
        </w:r>
        <w:r w:rsidR="008B11B7">
          <w:rPr>
            <w:noProof/>
            <w:webHidden/>
          </w:rPr>
          <w:fldChar w:fldCharType="begin"/>
        </w:r>
        <w:r w:rsidR="008B11B7">
          <w:rPr>
            <w:noProof/>
            <w:webHidden/>
          </w:rPr>
          <w:instrText xml:space="preserve"> PAGEREF _Toc71533464 \h </w:instrText>
        </w:r>
        <w:r w:rsidR="008B11B7">
          <w:rPr>
            <w:noProof/>
            <w:webHidden/>
          </w:rPr>
        </w:r>
        <w:r w:rsidR="008B11B7">
          <w:rPr>
            <w:noProof/>
            <w:webHidden/>
          </w:rPr>
          <w:fldChar w:fldCharType="separate"/>
        </w:r>
        <w:r w:rsidR="008B11B7">
          <w:rPr>
            <w:noProof/>
            <w:webHidden/>
          </w:rPr>
          <w:t>8</w:t>
        </w:r>
        <w:r w:rsidR="008B11B7">
          <w:rPr>
            <w:noProof/>
            <w:webHidden/>
          </w:rPr>
          <w:fldChar w:fldCharType="end"/>
        </w:r>
      </w:hyperlink>
    </w:p>
    <w:p w14:paraId="5652624F" w14:textId="567FBB25" w:rsidR="008B11B7" w:rsidRDefault="00CF5D71">
      <w:pPr>
        <w:pStyle w:val="TOC2"/>
        <w:tabs>
          <w:tab w:val="right" w:leader="dot" w:pos="9060"/>
        </w:tabs>
        <w:rPr>
          <w:rFonts w:eastAsiaTheme="minorEastAsia" w:cstheme="minorBidi"/>
          <w:noProof/>
          <w:sz w:val="22"/>
          <w:szCs w:val="22"/>
          <w:lang w:eastAsia="en-AU"/>
        </w:rPr>
      </w:pPr>
      <w:hyperlink w:anchor="_Toc71533465" w:history="1">
        <w:r w:rsidR="008B11B7" w:rsidRPr="0034797E">
          <w:rPr>
            <w:rStyle w:val="Hyperlink"/>
            <w:noProof/>
          </w:rPr>
          <w:t>2.2 Participant Induction</w:t>
        </w:r>
        <w:r w:rsidR="008B11B7">
          <w:rPr>
            <w:noProof/>
            <w:webHidden/>
          </w:rPr>
          <w:tab/>
        </w:r>
        <w:r w:rsidR="008B11B7">
          <w:rPr>
            <w:noProof/>
            <w:webHidden/>
          </w:rPr>
          <w:fldChar w:fldCharType="begin"/>
        </w:r>
        <w:r w:rsidR="008B11B7">
          <w:rPr>
            <w:noProof/>
            <w:webHidden/>
          </w:rPr>
          <w:instrText xml:space="preserve"> PAGEREF _Toc71533465 \h </w:instrText>
        </w:r>
        <w:r w:rsidR="008B11B7">
          <w:rPr>
            <w:noProof/>
            <w:webHidden/>
          </w:rPr>
        </w:r>
        <w:r w:rsidR="008B11B7">
          <w:rPr>
            <w:noProof/>
            <w:webHidden/>
          </w:rPr>
          <w:fldChar w:fldCharType="separate"/>
        </w:r>
        <w:r w:rsidR="008B11B7">
          <w:rPr>
            <w:noProof/>
            <w:webHidden/>
          </w:rPr>
          <w:t>8</w:t>
        </w:r>
        <w:r w:rsidR="008B11B7">
          <w:rPr>
            <w:noProof/>
            <w:webHidden/>
          </w:rPr>
          <w:fldChar w:fldCharType="end"/>
        </w:r>
      </w:hyperlink>
    </w:p>
    <w:p w14:paraId="3192570E" w14:textId="597E4746" w:rsidR="008B11B7" w:rsidRDefault="00CF5D71">
      <w:pPr>
        <w:pStyle w:val="TOC2"/>
        <w:tabs>
          <w:tab w:val="right" w:leader="dot" w:pos="9060"/>
        </w:tabs>
        <w:rPr>
          <w:rFonts w:eastAsiaTheme="minorEastAsia" w:cstheme="minorBidi"/>
          <w:noProof/>
          <w:sz w:val="22"/>
          <w:szCs w:val="22"/>
          <w:lang w:eastAsia="en-AU"/>
        </w:rPr>
      </w:pPr>
      <w:hyperlink w:anchor="_Toc71533466" w:history="1">
        <w:r w:rsidR="008B11B7" w:rsidRPr="0034797E">
          <w:rPr>
            <w:rStyle w:val="Hyperlink"/>
            <w:noProof/>
          </w:rPr>
          <w:t>2.3 Stepped Care and Treatment Options</w:t>
        </w:r>
        <w:r w:rsidR="008B11B7">
          <w:rPr>
            <w:noProof/>
            <w:webHidden/>
          </w:rPr>
          <w:tab/>
        </w:r>
        <w:r w:rsidR="008B11B7">
          <w:rPr>
            <w:noProof/>
            <w:webHidden/>
          </w:rPr>
          <w:fldChar w:fldCharType="begin"/>
        </w:r>
        <w:r w:rsidR="008B11B7">
          <w:rPr>
            <w:noProof/>
            <w:webHidden/>
          </w:rPr>
          <w:instrText xml:space="preserve"> PAGEREF _Toc71533466 \h </w:instrText>
        </w:r>
        <w:r w:rsidR="008B11B7">
          <w:rPr>
            <w:noProof/>
            <w:webHidden/>
          </w:rPr>
        </w:r>
        <w:r w:rsidR="008B11B7">
          <w:rPr>
            <w:noProof/>
            <w:webHidden/>
          </w:rPr>
          <w:fldChar w:fldCharType="separate"/>
        </w:r>
        <w:r w:rsidR="008B11B7">
          <w:rPr>
            <w:noProof/>
            <w:webHidden/>
          </w:rPr>
          <w:t>9</w:t>
        </w:r>
        <w:r w:rsidR="008B11B7">
          <w:rPr>
            <w:noProof/>
            <w:webHidden/>
          </w:rPr>
          <w:fldChar w:fldCharType="end"/>
        </w:r>
      </w:hyperlink>
    </w:p>
    <w:p w14:paraId="56228336" w14:textId="25940D44" w:rsidR="008B11B7" w:rsidRDefault="00CF5D71">
      <w:pPr>
        <w:pStyle w:val="TOC2"/>
        <w:tabs>
          <w:tab w:val="right" w:leader="dot" w:pos="9060"/>
        </w:tabs>
        <w:rPr>
          <w:rFonts w:eastAsiaTheme="minorEastAsia" w:cstheme="minorBidi"/>
          <w:noProof/>
          <w:sz w:val="22"/>
          <w:szCs w:val="22"/>
          <w:lang w:eastAsia="en-AU"/>
        </w:rPr>
      </w:pPr>
      <w:hyperlink w:anchor="_Toc71533467" w:history="1">
        <w:r w:rsidR="008B11B7" w:rsidRPr="0034797E">
          <w:rPr>
            <w:rStyle w:val="Hyperlink"/>
            <w:noProof/>
          </w:rPr>
          <w:t>2.4 Case Plans and Review</w:t>
        </w:r>
        <w:r w:rsidR="008B11B7">
          <w:rPr>
            <w:noProof/>
            <w:webHidden/>
          </w:rPr>
          <w:tab/>
        </w:r>
        <w:r w:rsidR="008B11B7">
          <w:rPr>
            <w:noProof/>
            <w:webHidden/>
          </w:rPr>
          <w:fldChar w:fldCharType="begin"/>
        </w:r>
        <w:r w:rsidR="008B11B7">
          <w:rPr>
            <w:noProof/>
            <w:webHidden/>
          </w:rPr>
          <w:instrText xml:space="preserve"> PAGEREF _Toc71533467 \h </w:instrText>
        </w:r>
        <w:r w:rsidR="008B11B7">
          <w:rPr>
            <w:noProof/>
            <w:webHidden/>
          </w:rPr>
        </w:r>
        <w:r w:rsidR="008B11B7">
          <w:rPr>
            <w:noProof/>
            <w:webHidden/>
          </w:rPr>
          <w:fldChar w:fldCharType="separate"/>
        </w:r>
        <w:r w:rsidR="008B11B7">
          <w:rPr>
            <w:noProof/>
            <w:webHidden/>
          </w:rPr>
          <w:t>9</w:t>
        </w:r>
        <w:r w:rsidR="008B11B7">
          <w:rPr>
            <w:noProof/>
            <w:webHidden/>
          </w:rPr>
          <w:fldChar w:fldCharType="end"/>
        </w:r>
      </w:hyperlink>
    </w:p>
    <w:p w14:paraId="05108144" w14:textId="2EB0A21F" w:rsidR="008B11B7" w:rsidRDefault="00CF5D71">
      <w:pPr>
        <w:pStyle w:val="TOC2"/>
        <w:tabs>
          <w:tab w:val="right" w:leader="dot" w:pos="9060"/>
        </w:tabs>
        <w:rPr>
          <w:rFonts w:eastAsiaTheme="minorEastAsia" w:cstheme="minorBidi"/>
          <w:noProof/>
          <w:sz w:val="22"/>
          <w:szCs w:val="22"/>
          <w:lang w:eastAsia="en-AU"/>
        </w:rPr>
      </w:pPr>
      <w:hyperlink w:anchor="_Toc71533468" w:history="1">
        <w:r w:rsidR="008B11B7" w:rsidRPr="0034797E">
          <w:rPr>
            <w:rStyle w:val="Hyperlink"/>
            <w:noProof/>
          </w:rPr>
          <w:t>2.5 Case Management Meetings</w:t>
        </w:r>
        <w:r w:rsidR="008B11B7">
          <w:rPr>
            <w:noProof/>
            <w:webHidden/>
          </w:rPr>
          <w:tab/>
        </w:r>
        <w:r w:rsidR="008B11B7">
          <w:rPr>
            <w:noProof/>
            <w:webHidden/>
          </w:rPr>
          <w:fldChar w:fldCharType="begin"/>
        </w:r>
        <w:r w:rsidR="008B11B7">
          <w:rPr>
            <w:noProof/>
            <w:webHidden/>
          </w:rPr>
          <w:instrText xml:space="preserve"> PAGEREF _Toc71533468 \h </w:instrText>
        </w:r>
        <w:r w:rsidR="008B11B7">
          <w:rPr>
            <w:noProof/>
            <w:webHidden/>
          </w:rPr>
        </w:r>
        <w:r w:rsidR="008B11B7">
          <w:rPr>
            <w:noProof/>
            <w:webHidden/>
          </w:rPr>
          <w:fldChar w:fldCharType="separate"/>
        </w:r>
        <w:r w:rsidR="008B11B7">
          <w:rPr>
            <w:noProof/>
            <w:webHidden/>
          </w:rPr>
          <w:t>11</w:t>
        </w:r>
        <w:r w:rsidR="008B11B7">
          <w:rPr>
            <w:noProof/>
            <w:webHidden/>
          </w:rPr>
          <w:fldChar w:fldCharType="end"/>
        </w:r>
      </w:hyperlink>
    </w:p>
    <w:p w14:paraId="653BCE97" w14:textId="0FD0D93A" w:rsidR="008B11B7" w:rsidRDefault="00CF5D71">
      <w:pPr>
        <w:pStyle w:val="TOC2"/>
        <w:tabs>
          <w:tab w:val="right" w:leader="dot" w:pos="9060"/>
        </w:tabs>
        <w:rPr>
          <w:rFonts w:eastAsiaTheme="minorEastAsia" w:cstheme="minorBidi"/>
          <w:noProof/>
          <w:sz w:val="22"/>
          <w:szCs w:val="22"/>
          <w:lang w:eastAsia="en-AU"/>
        </w:rPr>
      </w:pPr>
      <w:hyperlink w:anchor="_Toc71533469" w:history="1">
        <w:r w:rsidR="008B11B7" w:rsidRPr="0034797E">
          <w:rPr>
            <w:rStyle w:val="Hyperlink"/>
            <w:noProof/>
          </w:rPr>
          <w:t>2.6 Treatment Services</w:t>
        </w:r>
        <w:r w:rsidR="008B11B7">
          <w:rPr>
            <w:noProof/>
            <w:webHidden/>
          </w:rPr>
          <w:tab/>
        </w:r>
        <w:r w:rsidR="008B11B7">
          <w:rPr>
            <w:noProof/>
            <w:webHidden/>
          </w:rPr>
          <w:fldChar w:fldCharType="begin"/>
        </w:r>
        <w:r w:rsidR="008B11B7">
          <w:rPr>
            <w:noProof/>
            <w:webHidden/>
          </w:rPr>
          <w:instrText xml:space="preserve"> PAGEREF _Toc71533469 \h </w:instrText>
        </w:r>
        <w:r w:rsidR="008B11B7">
          <w:rPr>
            <w:noProof/>
            <w:webHidden/>
          </w:rPr>
        </w:r>
        <w:r w:rsidR="008B11B7">
          <w:rPr>
            <w:noProof/>
            <w:webHidden/>
          </w:rPr>
          <w:fldChar w:fldCharType="separate"/>
        </w:r>
        <w:r w:rsidR="008B11B7">
          <w:rPr>
            <w:noProof/>
            <w:webHidden/>
          </w:rPr>
          <w:t>11</w:t>
        </w:r>
        <w:r w:rsidR="008B11B7">
          <w:rPr>
            <w:noProof/>
            <w:webHidden/>
          </w:rPr>
          <w:fldChar w:fldCharType="end"/>
        </w:r>
      </w:hyperlink>
    </w:p>
    <w:p w14:paraId="42715C3C" w14:textId="3FA21C07" w:rsidR="008B11B7" w:rsidRDefault="00CF5D71">
      <w:pPr>
        <w:pStyle w:val="TOC2"/>
        <w:tabs>
          <w:tab w:val="right" w:leader="dot" w:pos="9060"/>
        </w:tabs>
        <w:rPr>
          <w:rFonts w:eastAsiaTheme="minorEastAsia" w:cstheme="minorBidi"/>
          <w:noProof/>
          <w:sz w:val="22"/>
          <w:szCs w:val="22"/>
          <w:lang w:eastAsia="en-AU"/>
        </w:rPr>
      </w:pPr>
      <w:hyperlink w:anchor="_Toc71533470" w:history="1">
        <w:r w:rsidR="008B11B7" w:rsidRPr="0034797E">
          <w:rPr>
            <w:rStyle w:val="Hyperlink"/>
            <w:noProof/>
          </w:rPr>
          <w:t>2.7 Status Reports</w:t>
        </w:r>
        <w:r w:rsidR="008B11B7">
          <w:rPr>
            <w:noProof/>
            <w:webHidden/>
          </w:rPr>
          <w:tab/>
        </w:r>
        <w:r w:rsidR="008B11B7">
          <w:rPr>
            <w:noProof/>
            <w:webHidden/>
          </w:rPr>
          <w:fldChar w:fldCharType="begin"/>
        </w:r>
        <w:r w:rsidR="008B11B7">
          <w:rPr>
            <w:noProof/>
            <w:webHidden/>
          </w:rPr>
          <w:instrText xml:space="preserve"> PAGEREF _Toc71533470 \h </w:instrText>
        </w:r>
        <w:r w:rsidR="008B11B7">
          <w:rPr>
            <w:noProof/>
            <w:webHidden/>
          </w:rPr>
        </w:r>
        <w:r w:rsidR="008B11B7">
          <w:rPr>
            <w:noProof/>
            <w:webHidden/>
          </w:rPr>
          <w:fldChar w:fldCharType="separate"/>
        </w:r>
        <w:r w:rsidR="008B11B7">
          <w:rPr>
            <w:noProof/>
            <w:webHidden/>
          </w:rPr>
          <w:t>12</w:t>
        </w:r>
        <w:r w:rsidR="008B11B7">
          <w:rPr>
            <w:noProof/>
            <w:webHidden/>
          </w:rPr>
          <w:fldChar w:fldCharType="end"/>
        </w:r>
      </w:hyperlink>
    </w:p>
    <w:p w14:paraId="11EC3A6C" w14:textId="10D48164" w:rsidR="008B11B7" w:rsidRDefault="00CF5D71">
      <w:pPr>
        <w:pStyle w:val="TOC2"/>
        <w:tabs>
          <w:tab w:val="right" w:leader="dot" w:pos="9060"/>
        </w:tabs>
        <w:rPr>
          <w:rFonts w:eastAsiaTheme="minorEastAsia" w:cstheme="minorBidi"/>
          <w:noProof/>
          <w:sz w:val="22"/>
          <w:szCs w:val="22"/>
          <w:lang w:eastAsia="en-AU"/>
        </w:rPr>
      </w:pPr>
      <w:hyperlink w:anchor="_Toc71533471" w:history="1">
        <w:r w:rsidR="008B11B7" w:rsidRPr="0034797E">
          <w:rPr>
            <w:rStyle w:val="Hyperlink"/>
            <w:noProof/>
          </w:rPr>
          <w:t>2.8 Aftercare</w:t>
        </w:r>
        <w:r w:rsidR="008B11B7">
          <w:rPr>
            <w:noProof/>
            <w:webHidden/>
          </w:rPr>
          <w:tab/>
        </w:r>
        <w:r w:rsidR="008B11B7">
          <w:rPr>
            <w:noProof/>
            <w:webHidden/>
          </w:rPr>
          <w:fldChar w:fldCharType="begin"/>
        </w:r>
        <w:r w:rsidR="008B11B7">
          <w:rPr>
            <w:noProof/>
            <w:webHidden/>
          </w:rPr>
          <w:instrText xml:space="preserve"> PAGEREF _Toc71533471 \h </w:instrText>
        </w:r>
        <w:r w:rsidR="008B11B7">
          <w:rPr>
            <w:noProof/>
            <w:webHidden/>
          </w:rPr>
        </w:r>
        <w:r w:rsidR="008B11B7">
          <w:rPr>
            <w:noProof/>
            <w:webHidden/>
          </w:rPr>
          <w:fldChar w:fldCharType="separate"/>
        </w:r>
        <w:r w:rsidR="008B11B7">
          <w:rPr>
            <w:noProof/>
            <w:webHidden/>
          </w:rPr>
          <w:t>13</w:t>
        </w:r>
        <w:r w:rsidR="008B11B7">
          <w:rPr>
            <w:noProof/>
            <w:webHidden/>
          </w:rPr>
          <w:fldChar w:fldCharType="end"/>
        </w:r>
      </w:hyperlink>
    </w:p>
    <w:p w14:paraId="2E8A05CC" w14:textId="39A31630" w:rsidR="008B11B7" w:rsidRDefault="00CF5D71">
      <w:pPr>
        <w:pStyle w:val="TOC1"/>
        <w:tabs>
          <w:tab w:val="right" w:leader="dot" w:pos="9060"/>
        </w:tabs>
        <w:rPr>
          <w:rFonts w:eastAsiaTheme="minorEastAsia" w:cstheme="minorBidi"/>
          <w:noProof/>
          <w:sz w:val="22"/>
          <w:szCs w:val="22"/>
          <w:lang w:eastAsia="en-AU"/>
        </w:rPr>
      </w:pPr>
      <w:hyperlink w:anchor="_Toc71533472" w:history="1">
        <w:r w:rsidR="008B11B7" w:rsidRPr="0034797E">
          <w:rPr>
            <w:rStyle w:val="Hyperlink"/>
            <w:noProof/>
          </w:rPr>
          <w:t>Section 3 – Court Urinalysis Suite</w:t>
        </w:r>
        <w:r w:rsidR="008B11B7">
          <w:rPr>
            <w:noProof/>
            <w:webHidden/>
          </w:rPr>
          <w:tab/>
        </w:r>
        <w:r w:rsidR="008B11B7">
          <w:rPr>
            <w:noProof/>
            <w:webHidden/>
          </w:rPr>
          <w:fldChar w:fldCharType="begin"/>
        </w:r>
        <w:r w:rsidR="008B11B7">
          <w:rPr>
            <w:noProof/>
            <w:webHidden/>
          </w:rPr>
          <w:instrText xml:space="preserve"> PAGEREF _Toc71533472 \h </w:instrText>
        </w:r>
        <w:r w:rsidR="008B11B7">
          <w:rPr>
            <w:noProof/>
            <w:webHidden/>
          </w:rPr>
        </w:r>
        <w:r w:rsidR="008B11B7">
          <w:rPr>
            <w:noProof/>
            <w:webHidden/>
          </w:rPr>
          <w:fldChar w:fldCharType="separate"/>
        </w:r>
        <w:r w:rsidR="008B11B7">
          <w:rPr>
            <w:noProof/>
            <w:webHidden/>
          </w:rPr>
          <w:t>13</w:t>
        </w:r>
        <w:r w:rsidR="008B11B7">
          <w:rPr>
            <w:noProof/>
            <w:webHidden/>
          </w:rPr>
          <w:fldChar w:fldCharType="end"/>
        </w:r>
      </w:hyperlink>
    </w:p>
    <w:p w14:paraId="000D1E4F" w14:textId="12436304" w:rsidR="008B11B7" w:rsidRDefault="00CF5D71">
      <w:pPr>
        <w:pStyle w:val="TOC2"/>
        <w:tabs>
          <w:tab w:val="right" w:leader="dot" w:pos="9060"/>
        </w:tabs>
        <w:rPr>
          <w:rFonts w:eastAsiaTheme="minorEastAsia" w:cstheme="minorBidi"/>
          <w:noProof/>
          <w:sz w:val="22"/>
          <w:szCs w:val="22"/>
          <w:lang w:eastAsia="en-AU"/>
        </w:rPr>
      </w:pPr>
      <w:hyperlink w:anchor="_Toc71533473" w:history="1">
        <w:r w:rsidR="008B11B7" w:rsidRPr="0034797E">
          <w:rPr>
            <w:rStyle w:val="Hyperlink"/>
            <w:noProof/>
          </w:rPr>
          <w:t>3.1 Notification for Urinalysis and Breath Alcohol Testing</w:t>
        </w:r>
        <w:r w:rsidR="008B11B7">
          <w:rPr>
            <w:noProof/>
            <w:webHidden/>
          </w:rPr>
          <w:tab/>
        </w:r>
        <w:r w:rsidR="008B11B7">
          <w:rPr>
            <w:noProof/>
            <w:webHidden/>
          </w:rPr>
          <w:fldChar w:fldCharType="begin"/>
        </w:r>
        <w:r w:rsidR="008B11B7">
          <w:rPr>
            <w:noProof/>
            <w:webHidden/>
          </w:rPr>
          <w:instrText xml:space="preserve"> PAGEREF _Toc71533473 \h </w:instrText>
        </w:r>
        <w:r w:rsidR="008B11B7">
          <w:rPr>
            <w:noProof/>
            <w:webHidden/>
          </w:rPr>
        </w:r>
        <w:r w:rsidR="008B11B7">
          <w:rPr>
            <w:noProof/>
            <w:webHidden/>
          </w:rPr>
          <w:fldChar w:fldCharType="separate"/>
        </w:r>
        <w:r w:rsidR="008B11B7">
          <w:rPr>
            <w:noProof/>
            <w:webHidden/>
          </w:rPr>
          <w:t>13</w:t>
        </w:r>
        <w:r w:rsidR="008B11B7">
          <w:rPr>
            <w:noProof/>
            <w:webHidden/>
          </w:rPr>
          <w:fldChar w:fldCharType="end"/>
        </w:r>
      </w:hyperlink>
    </w:p>
    <w:p w14:paraId="12505CD9" w14:textId="0F5A5E1D" w:rsidR="008B11B7" w:rsidRDefault="00CF5D71">
      <w:pPr>
        <w:pStyle w:val="TOC2"/>
        <w:tabs>
          <w:tab w:val="right" w:leader="dot" w:pos="9060"/>
        </w:tabs>
        <w:rPr>
          <w:rFonts w:eastAsiaTheme="minorEastAsia" w:cstheme="minorBidi"/>
          <w:noProof/>
          <w:sz w:val="22"/>
          <w:szCs w:val="22"/>
          <w:lang w:eastAsia="en-AU"/>
        </w:rPr>
      </w:pPr>
      <w:hyperlink w:anchor="_Toc71533474" w:history="1">
        <w:r w:rsidR="008B11B7" w:rsidRPr="0034797E">
          <w:rPr>
            <w:rStyle w:val="Hyperlink"/>
            <w:noProof/>
          </w:rPr>
          <w:t>3.2 Participant Identification</w:t>
        </w:r>
        <w:r w:rsidR="008B11B7">
          <w:rPr>
            <w:noProof/>
            <w:webHidden/>
          </w:rPr>
          <w:tab/>
        </w:r>
        <w:r w:rsidR="008B11B7">
          <w:rPr>
            <w:noProof/>
            <w:webHidden/>
          </w:rPr>
          <w:fldChar w:fldCharType="begin"/>
        </w:r>
        <w:r w:rsidR="008B11B7">
          <w:rPr>
            <w:noProof/>
            <w:webHidden/>
          </w:rPr>
          <w:instrText xml:space="preserve"> PAGEREF _Toc71533474 \h </w:instrText>
        </w:r>
        <w:r w:rsidR="008B11B7">
          <w:rPr>
            <w:noProof/>
            <w:webHidden/>
          </w:rPr>
        </w:r>
        <w:r w:rsidR="008B11B7">
          <w:rPr>
            <w:noProof/>
            <w:webHidden/>
          </w:rPr>
          <w:fldChar w:fldCharType="separate"/>
        </w:r>
        <w:r w:rsidR="008B11B7">
          <w:rPr>
            <w:noProof/>
            <w:webHidden/>
          </w:rPr>
          <w:t>14</w:t>
        </w:r>
        <w:r w:rsidR="008B11B7">
          <w:rPr>
            <w:noProof/>
            <w:webHidden/>
          </w:rPr>
          <w:fldChar w:fldCharType="end"/>
        </w:r>
      </w:hyperlink>
    </w:p>
    <w:p w14:paraId="3006A163" w14:textId="21C29238" w:rsidR="008B11B7" w:rsidRDefault="00CF5D71">
      <w:pPr>
        <w:pStyle w:val="TOC2"/>
        <w:tabs>
          <w:tab w:val="right" w:leader="dot" w:pos="9060"/>
        </w:tabs>
        <w:rPr>
          <w:rFonts w:eastAsiaTheme="minorEastAsia" w:cstheme="minorBidi"/>
          <w:noProof/>
          <w:sz w:val="22"/>
          <w:szCs w:val="22"/>
          <w:lang w:eastAsia="en-AU"/>
        </w:rPr>
      </w:pPr>
      <w:hyperlink w:anchor="_Toc71533475" w:history="1">
        <w:r w:rsidR="008B11B7" w:rsidRPr="0034797E">
          <w:rPr>
            <w:rStyle w:val="Hyperlink"/>
            <w:noProof/>
          </w:rPr>
          <w:t>3.3 Breath Alcohol Testing</w:t>
        </w:r>
        <w:r w:rsidR="008B11B7">
          <w:rPr>
            <w:noProof/>
            <w:webHidden/>
          </w:rPr>
          <w:tab/>
        </w:r>
        <w:r w:rsidR="008B11B7">
          <w:rPr>
            <w:noProof/>
            <w:webHidden/>
          </w:rPr>
          <w:fldChar w:fldCharType="begin"/>
        </w:r>
        <w:r w:rsidR="008B11B7">
          <w:rPr>
            <w:noProof/>
            <w:webHidden/>
          </w:rPr>
          <w:instrText xml:space="preserve"> PAGEREF _Toc71533475 \h </w:instrText>
        </w:r>
        <w:r w:rsidR="008B11B7">
          <w:rPr>
            <w:noProof/>
            <w:webHidden/>
          </w:rPr>
        </w:r>
        <w:r w:rsidR="008B11B7">
          <w:rPr>
            <w:noProof/>
            <w:webHidden/>
          </w:rPr>
          <w:fldChar w:fldCharType="separate"/>
        </w:r>
        <w:r w:rsidR="008B11B7">
          <w:rPr>
            <w:noProof/>
            <w:webHidden/>
          </w:rPr>
          <w:t>14</w:t>
        </w:r>
        <w:r w:rsidR="008B11B7">
          <w:rPr>
            <w:noProof/>
            <w:webHidden/>
          </w:rPr>
          <w:fldChar w:fldCharType="end"/>
        </w:r>
      </w:hyperlink>
    </w:p>
    <w:p w14:paraId="096A2F13" w14:textId="42ADF33D" w:rsidR="008B11B7" w:rsidRDefault="00CF5D71">
      <w:pPr>
        <w:pStyle w:val="TOC2"/>
        <w:tabs>
          <w:tab w:val="right" w:leader="dot" w:pos="9060"/>
        </w:tabs>
        <w:rPr>
          <w:rFonts w:eastAsiaTheme="minorEastAsia" w:cstheme="minorBidi"/>
          <w:noProof/>
          <w:sz w:val="22"/>
          <w:szCs w:val="22"/>
          <w:lang w:eastAsia="en-AU"/>
        </w:rPr>
      </w:pPr>
      <w:hyperlink w:anchor="_Toc71533476" w:history="1">
        <w:r w:rsidR="008B11B7" w:rsidRPr="0034797E">
          <w:rPr>
            <w:rStyle w:val="Hyperlink"/>
            <w:noProof/>
          </w:rPr>
          <w:t>3.4 Urine Sample Collection Process</w:t>
        </w:r>
        <w:r w:rsidR="008B11B7">
          <w:rPr>
            <w:noProof/>
            <w:webHidden/>
          </w:rPr>
          <w:tab/>
        </w:r>
        <w:r w:rsidR="008B11B7">
          <w:rPr>
            <w:noProof/>
            <w:webHidden/>
          </w:rPr>
          <w:fldChar w:fldCharType="begin"/>
        </w:r>
        <w:r w:rsidR="008B11B7">
          <w:rPr>
            <w:noProof/>
            <w:webHidden/>
          </w:rPr>
          <w:instrText xml:space="preserve"> PAGEREF _Toc71533476 \h </w:instrText>
        </w:r>
        <w:r w:rsidR="008B11B7">
          <w:rPr>
            <w:noProof/>
            <w:webHidden/>
          </w:rPr>
        </w:r>
        <w:r w:rsidR="008B11B7">
          <w:rPr>
            <w:noProof/>
            <w:webHidden/>
          </w:rPr>
          <w:fldChar w:fldCharType="separate"/>
        </w:r>
        <w:r w:rsidR="008B11B7">
          <w:rPr>
            <w:noProof/>
            <w:webHidden/>
          </w:rPr>
          <w:t>15</w:t>
        </w:r>
        <w:r w:rsidR="008B11B7">
          <w:rPr>
            <w:noProof/>
            <w:webHidden/>
          </w:rPr>
          <w:fldChar w:fldCharType="end"/>
        </w:r>
      </w:hyperlink>
    </w:p>
    <w:p w14:paraId="499CA094" w14:textId="0EBCC09D" w:rsidR="008B11B7" w:rsidRDefault="00CF5D71">
      <w:pPr>
        <w:pStyle w:val="TOC2"/>
        <w:tabs>
          <w:tab w:val="right" w:leader="dot" w:pos="9060"/>
        </w:tabs>
        <w:rPr>
          <w:rFonts w:eastAsiaTheme="minorEastAsia" w:cstheme="minorBidi"/>
          <w:noProof/>
          <w:sz w:val="22"/>
          <w:szCs w:val="22"/>
          <w:lang w:eastAsia="en-AU"/>
        </w:rPr>
      </w:pPr>
      <w:hyperlink w:anchor="_Toc71533477" w:history="1">
        <w:r w:rsidR="008B11B7" w:rsidRPr="0034797E">
          <w:rPr>
            <w:rStyle w:val="Hyperlink"/>
            <w:noProof/>
          </w:rPr>
          <w:t>3.5 Adulteration or Failure to Cooperate</w:t>
        </w:r>
        <w:r w:rsidR="008B11B7">
          <w:rPr>
            <w:noProof/>
            <w:webHidden/>
          </w:rPr>
          <w:tab/>
        </w:r>
        <w:r w:rsidR="008B11B7">
          <w:rPr>
            <w:noProof/>
            <w:webHidden/>
          </w:rPr>
          <w:fldChar w:fldCharType="begin"/>
        </w:r>
        <w:r w:rsidR="008B11B7">
          <w:rPr>
            <w:noProof/>
            <w:webHidden/>
          </w:rPr>
          <w:instrText xml:space="preserve"> PAGEREF _Toc71533477 \h </w:instrText>
        </w:r>
        <w:r w:rsidR="008B11B7">
          <w:rPr>
            <w:noProof/>
            <w:webHidden/>
          </w:rPr>
        </w:r>
        <w:r w:rsidR="008B11B7">
          <w:rPr>
            <w:noProof/>
            <w:webHidden/>
          </w:rPr>
          <w:fldChar w:fldCharType="separate"/>
        </w:r>
        <w:r w:rsidR="008B11B7">
          <w:rPr>
            <w:noProof/>
            <w:webHidden/>
          </w:rPr>
          <w:t>16</w:t>
        </w:r>
        <w:r w:rsidR="008B11B7">
          <w:rPr>
            <w:noProof/>
            <w:webHidden/>
          </w:rPr>
          <w:fldChar w:fldCharType="end"/>
        </w:r>
      </w:hyperlink>
    </w:p>
    <w:p w14:paraId="18C91BD8" w14:textId="4AD92954" w:rsidR="008B11B7" w:rsidRDefault="00CF5D71">
      <w:pPr>
        <w:pStyle w:val="TOC2"/>
        <w:tabs>
          <w:tab w:val="right" w:leader="dot" w:pos="9060"/>
        </w:tabs>
        <w:rPr>
          <w:rFonts w:eastAsiaTheme="minorEastAsia" w:cstheme="minorBidi"/>
          <w:noProof/>
          <w:sz w:val="22"/>
          <w:szCs w:val="22"/>
          <w:lang w:eastAsia="en-AU"/>
        </w:rPr>
      </w:pPr>
      <w:hyperlink w:anchor="_Toc71533478" w:history="1">
        <w:r w:rsidR="008B11B7" w:rsidRPr="0034797E">
          <w:rPr>
            <w:rStyle w:val="Hyperlink"/>
            <w:noProof/>
          </w:rPr>
          <w:t>3.6 Chain of Custody</w:t>
        </w:r>
        <w:r w:rsidR="008B11B7">
          <w:rPr>
            <w:noProof/>
            <w:webHidden/>
          </w:rPr>
          <w:tab/>
        </w:r>
        <w:r w:rsidR="008B11B7">
          <w:rPr>
            <w:noProof/>
            <w:webHidden/>
          </w:rPr>
          <w:fldChar w:fldCharType="begin"/>
        </w:r>
        <w:r w:rsidR="008B11B7">
          <w:rPr>
            <w:noProof/>
            <w:webHidden/>
          </w:rPr>
          <w:instrText xml:space="preserve"> PAGEREF _Toc71533478 \h </w:instrText>
        </w:r>
        <w:r w:rsidR="008B11B7">
          <w:rPr>
            <w:noProof/>
            <w:webHidden/>
          </w:rPr>
        </w:r>
        <w:r w:rsidR="008B11B7">
          <w:rPr>
            <w:noProof/>
            <w:webHidden/>
          </w:rPr>
          <w:fldChar w:fldCharType="separate"/>
        </w:r>
        <w:r w:rsidR="008B11B7">
          <w:rPr>
            <w:noProof/>
            <w:webHidden/>
          </w:rPr>
          <w:t>16</w:t>
        </w:r>
        <w:r w:rsidR="008B11B7">
          <w:rPr>
            <w:noProof/>
            <w:webHidden/>
          </w:rPr>
          <w:fldChar w:fldCharType="end"/>
        </w:r>
      </w:hyperlink>
    </w:p>
    <w:p w14:paraId="763DEB48" w14:textId="6F358250" w:rsidR="008B11B7" w:rsidRDefault="00CF5D71">
      <w:pPr>
        <w:pStyle w:val="TOC2"/>
        <w:tabs>
          <w:tab w:val="right" w:leader="dot" w:pos="9060"/>
        </w:tabs>
        <w:rPr>
          <w:rFonts w:eastAsiaTheme="minorEastAsia" w:cstheme="minorBidi"/>
          <w:noProof/>
          <w:sz w:val="22"/>
          <w:szCs w:val="22"/>
          <w:lang w:eastAsia="en-AU"/>
        </w:rPr>
      </w:pPr>
      <w:hyperlink w:anchor="_Toc71533479" w:history="1">
        <w:r w:rsidR="008B11B7" w:rsidRPr="0034797E">
          <w:rPr>
            <w:rStyle w:val="Hyperlink"/>
            <w:noProof/>
          </w:rPr>
          <w:t>3.7 Specimen Storage or Discard</w:t>
        </w:r>
        <w:r w:rsidR="008B11B7">
          <w:rPr>
            <w:noProof/>
            <w:webHidden/>
          </w:rPr>
          <w:tab/>
        </w:r>
        <w:r w:rsidR="008B11B7">
          <w:rPr>
            <w:noProof/>
            <w:webHidden/>
          </w:rPr>
          <w:fldChar w:fldCharType="begin"/>
        </w:r>
        <w:r w:rsidR="008B11B7">
          <w:rPr>
            <w:noProof/>
            <w:webHidden/>
          </w:rPr>
          <w:instrText xml:space="preserve"> PAGEREF _Toc71533479 \h </w:instrText>
        </w:r>
        <w:r w:rsidR="008B11B7">
          <w:rPr>
            <w:noProof/>
            <w:webHidden/>
          </w:rPr>
        </w:r>
        <w:r w:rsidR="008B11B7">
          <w:rPr>
            <w:noProof/>
            <w:webHidden/>
          </w:rPr>
          <w:fldChar w:fldCharType="separate"/>
        </w:r>
        <w:r w:rsidR="008B11B7">
          <w:rPr>
            <w:noProof/>
            <w:webHidden/>
          </w:rPr>
          <w:t>16</w:t>
        </w:r>
        <w:r w:rsidR="008B11B7">
          <w:rPr>
            <w:noProof/>
            <w:webHidden/>
          </w:rPr>
          <w:fldChar w:fldCharType="end"/>
        </w:r>
      </w:hyperlink>
    </w:p>
    <w:p w14:paraId="407823BD" w14:textId="7C96BC6A" w:rsidR="008B11B7" w:rsidRDefault="00CF5D71">
      <w:pPr>
        <w:pStyle w:val="TOC2"/>
        <w:tabs>
          <w:tab w:val="right" w:leader="dot" w:pos="9060"/>
        </w:tabs>
        <w:rPr>
          <w:rFonts w:eastAsiaTheme="minorEastAsia" w:cstheme="minorBidi"/>
          <w:noProof/>
          <w:sz w:val="22"/>
          <w:szCs w:val="22"/>
          <w:lang w:eastAsia="en-AU"/>
        </w:rPr>
      </w:pPr>
      <w:hyperlink w:anchor="_Toc71533480" w:history="1">
        <w:r w:rsidR="008B11B7" w:rsidRPr="0034797E">
          <w:rPr>
            <w:rStyle w:val="Hyperlink"/>
            <w:noProof/>
          </w:rPr>
          <w:t>3.8 Preparation for Dispatch</w:t>
        </w:r>
        <w:r w:rsidR="008B11B7">
          <w:rPr>
            <w:noProof/>
            <w:webHidden/>
          </w:rPr>
          <w:tab/>
        </w:r>
        <w:r w:rsidR="008B11B7">
          <w:rPr>
            <w:noProof/>
            <w:webHidden/>
          </w:rPr>
          <w:fldChar w:fldCharType="begin"/>
        </w:r>
        <w:r w:rsidR="008B11B7">
          <w:rPr>
            <w:noProof/>
            <w:webHidden/>
          </w:rPr>
          <w:instrText xml:space="preserve"> PAGEREF _Toc71533480 \h </w:instrText>
        </w:r>
        <w:r w:rsidR="008B11B7">
          <w:rPr>
            <w:noProof/>
            <w:webHidden/>
          </w:rPr>
        </w:r>
        <w:r w:rsidR="008B11B7">
          <w:rPr>
            <w:noProof/>
            <w:webHidden/>
          </w:rPr>
          <w:fldChar w:fldCharType="separate"/>
        </w:r>
        <w:r w:rsidR="008B11B7">
          <w:rPr>
            <w:noProof/>
            <w:webHidden/>
          </w:rPr>
          <w:t>17</w:t>
        </w:r>
        <w:r w:rsidR="008B11B7">
          <w:rPr>
            <w:noProof/>
            <w:webHidden/>
          </w:rPr>
          <w:fldChar w:fldCharType="end"/>
        </w:r>
      </w:hyperlink>
    </w:p>
    <w:p w14:paraId="5BFFE9CB" w14:textId="176C60F2" w:rsidR="008B11B7" w:rsidRDefault="00CF5D71">
      <w:pPr>
        <w:pStyle w:val="TOC2"/>
        <w:tabs>
          <w:tab w:val="right" w:leader="dot" w:pos="9060"/>
        </w:tabs>
        <w:rPr>
          <w:rFonts w:eastAsiaTheme="minorEastAsia" w:cstheme="minorBidi"/>
          <w:noProof/>
          <w:sz w:val="22"/>
          <w:szCs w:val="22"/>
          <w:lang w:eastAsia="en-AU"/>
        </w:rPr>
      </w:pPr>
      <w:hyperlink w:anchor="_Toc71533481" w:history="1">
        <w:r w:rsidR="008B11B7" w:rsidRPr="0034797E">
          <w:rPr>
            <w:rStyle w:val="Hyperlink"/>
            <w:noProof/>
          </w:rPr>
          <w:t>3.9 Transportation to the Laboratory</w:t>
        </w:r>
        <w:r w:rsidR="008B11B7">
          <w:rPr>
            <w:noProof/>
            <w:webHidden/>
          </w:rPr>
          <w:tab/>
        </w:r>
        <w:r w:rsidR="008B11B7">
          <w:rPr>
            <w:noProof/>
            <w:webHidden/>
          </w:rPr>
          <w:fldChar w:fldCharType="begin"/>
        </w:r>
        <w:r w:rsidR="008B11B7">
          <w:rPr>
            <w:noProof/>
            <w:webHidden/>
          </w:rPr>
          <w:instrText xml:space="preserve"> PAGEREF _Toc71533481 \h </w:instrText>
        </w:r>
        <w:r w:rsidR="008B11B7">
          <w:rPr>
            <w:noProof/>
            <w:webHidden/>
          </w:rPr>
        </w:r>
        <w:r w:rsidR="008B11B7">
          <w:rPr>
            <w:noProof/>
            <w:webHidden/>
          </w:rPr>
          <w:fldChar w:fldCharType="separate"/>
        </w:r>
        <w:r w:rsidR="008B11B7">
          <w:rPr>
            <w:noProof/>
            <w:webHidden/>
          </w:rPr>
          <w:t>17</w:t>
        </w:r>
        <w:r w:rsidR="008B11B7">
          <w:rPr>
            <w:noProof/>
            <w:webHidden/>
          </w:rPr>
          <w:fldChar w:fldCharType="end"/>
        </w:r>
      </w:hyperlink>
    </w:p>
    <w:p w14:paraId="03B8EC50" w14:textId="0199F12E" w:rsidR="008B11B7" w:rsidRDefault="00CF5D71">
      <w:pPr>
        <w:pStyle w:val="TOC2"/>
        <w:tabs>
          <w:tab w:val="right" w:leader="dot" w:pos="9060"/>
        </w:tabs>
        <w:rPr>
          <w:rFonts w:eastAsiaTheme="minorEastAsia" w:cstheme="minorBidi"/>
          <w:noProof/>
          <w:sz w:val="22"/>
          <w:szCs w:val="22"/>
          <w:lang w:eastAsia="en-AU"/>
        </w:rPr>
      </w:pPr>
      <w:hyperlink w:anchor="_Toc71533482" w:history="1">
        <w:r w:rsidR="008B11B7" w:rsidRPr="0034797E">
          <w:rPr>
            <w:rStyle w:val="Hyperlink"/>
            <w:noProof/>
          </w:rPr>
          <w:t>3.10 Reporting of Results</w:t>
        </w:r>
        <w:r w:rsidR="008B11B7">
          <w:rPr>
            <w:noProof/>
            <w:webHidden/>
          </w:rPr>
          <w:tab/>
        </w:r>
        <w:r w:rsidR="008B11B7">
          <w:rPr>
            <w:noProof/>
            <w:webHidden/>
          </w:rPr>
          <w:fldChar w:fldCharType="begin"/>
        </w:r>
        <w:r w:rsidR="008B11B7">
          <w:rPr>
            <w:noProof/>
            <w:webHidden/>
          </w:rPr>
          <w:instrText xml:space="preserve"> PAGEREF _Toc71533482 \h </w:instrText>
        </w:r>
        <w:r w:rsidR="008B11B7">
          <w:rPr>
            <w:noProof/>
            <w:webHidden/>
          </w:rPr>
        </w:r>
        <w:r w:rsidR="008B11B7">
          <w:rPr>
            <w:noProof/>
            <w:webHidden/>
          </w:rPr>
          <w:fldChar w:fldCharType="separate"/>
        </w:r>
        <w:r w:rsidR="008B11B7">
          <w:rPr>
            <w:noProof/>
            <w:webHidden/>
          </w:rPr>
          <w:t>18</w:t>
        </w:r>
        <w:r w:rsidR="008B11B7">
          <w:rPr>
            <w:noProof/>
            <w:webHidden/>
          </w:rPr>
          <w:fldChar w:fldCharType="end"/>
        </w:r>
      </w:hyperlink>
    </w:p>
    <w:p w14:paraId="684E6B30" w14:textId="57DE182B" w:rsidR="008B11B7" w:rsidRDefault="00CF5D71">
      <w:pPr>
        <w:pStyle w:val="TOC2"/>
        <w:tabs>
          <w:tab w:val="right" w:leader="dot" w:pos="9060"/>
        </w:tabs>
        <w:rPr>
          <w:rFonts w:eastAsiaTheme="minorEastAsia" w:cstheme="minorBidi"/>
          <w:noProof/>
          <w:sz w:val="22"/>
          <w:szCs w:val="22"/>
          <w:lang w:eastAsia="en-AU"/>
        </w:rPr>
      </w:pPr>
      <w:hyperlink w:anchor="_Toc71533483" w:history="1">
        <w:r w:rsidR="008B11B7" w:rsidRPr="0034797E">
          <w:rPr>
            <w:rStyle w:val="Hyperlink"/>
            <w:noProof/>
          </w:rPr>
          <w:t>3.11 Cleaning Procedure</w:t>
        </w:r>
        <w:r w:rsidR="008B11B7">
          <w:rPr>
            <w:noProof/>
            <w:webHidden/>
          </w:rPr>
          <w:tab/>
        </w:r>
        <w:r w:rsidR="008B11B7">
          <w:rPr>
            <w:noProof/>
            <w:webHidden/>
          </w:rPr>
          <w:fldChar w:fldCharType="begin"/>
        </w:r>
        <w:r w:rsidR="008B11B7">
          <w:rPr>
            <w:noProof/>
            <w:webHidden/>
          </w:rPr>
          <w:instrText xml:space="preserve"> PAGEREF _Toc71533483 \h </w:instrText>
        </w:r>
        <w:r w:rsidR="008B11B7">
          <w:rPr>
            <w:noProof/>
            <w:webHidden/>
          </w:rPr>
        </w:r>
        <w:r w:rsidR="008B11B7">
          <w:rPr>
            <w:noProof/>
            <w:webHidden/>
          </w:rPr>
          <w:fldChar w:fldCharType="separate"/>
        </w:r>
        <w:r w:rsidR="008B11B7">
          <w:rPr>
            <w:noProof/>
            <w:webHidden/>
          </w:rPr>
          <w:t>18</w:t>
        </w:r>
        <w:r w:rsidR="008B11B7">
          <w:rPr>
            <w:noProof/>
            <w:webHidden/>
          </w:rPr>
          <w:fldChar w:fldCharType="end"/>
        </w:r>
      </w:hyperlink>
    </w:p>
    <w:p w14:paraId="2372FE22" w14:textId="6D2BED4B" w:rsidR="008B11B7" w:rsidRDefault="00CF5D71">
      <w:pPr>
        <w:pStyle w:val="TOC2"/>
        <w:tabs>
          <w:tab w:val="right" w:leader="dot" w:pos="9060"/>
        </w:tabs>
        <w:rPr>
          <w:rFonts w:eastAsiaTheme="minorEastAsia" w:cstheme="minorBidi"/>
          <w:noProof/>
          <w:sz w:val="22"/>
          <w:szCs w:val="22"/>
          <w:lang w:eastAsia="en-AU"/>
        </w:rPr>
      </w:pPr>
      <w:hyperlink w:anchor="_Toc71533484" w:history="1">
        <w:r w:rsidR="008B11B7" w:rsidRPr="0034797E">
          <w:rPr>
            <w:rStyle w:val="Hyperlink"/>
            <w:noProof/>
          </w:rPr>
          <w:t>3.12 Ordering of Consumables</w:t>
        </w:r>
        <w:r w:rsidR="008B11B7">
          <w:rPr>
            <w:noProof/>
            <w:webHidden/>
          </w:rPr>
          <w:tab/>
        </w:r>
        <w:r w:rsidR="008B11B7">
          <w:rPr>
            <w:noProof/>
            <w:webHidden/>
          </w:rPr>
          <w:fldChar w:fldCharType="begin"/>
        </w:r>
        <w:r w:rsidR="008B11B7">
          <w:rPr>
            <w:noProof/>
            <w:webHidden/>
          </w:rPr>
          <w:instrText xml:space="preserve"> PAGEREF _Toc71533484 \h </w:instrText>
        </w:r>
        <w:r w:rsidR="008B11B7">
          <w:rPr>
            <w:noProof/>
            <w:webHidden/>
          </w:rPr>
        </w:r>
        <w:r w:rsidR="008B11B7">
          <w:rPr>
            <w:noProof/>
            <w:webHidden/>
          </w:rPr>
          <w:fldChar w:fldCharType="separate"/>
        </w:r>
        <w:r w:rsidR="008B11B7">
          <w:rPr>
            <w:noProof/>
            <w:webHidden/>
          </w:rPr>
          <w:t>18</w:t>
        </w:r>
        <w:r w:rsidR="008B11B7">
          <w:rPr>
            <w:noProof/>
            <w:webHidden/>
          </w:rPr>
          <w:fldChar w:fldCharType="end"/>
        </w:r>
      </w:hyperlink>
    </w:p>
    <w:p w14:paraId="0D8C3532" w14:textId="4B129358" w:rsidR="008B11B7" w:rsidRDefault="00CF5D71">
      <w:pPr>
        <w:pStyle w:val="TOC1"/>
        <w:tabs>
          <w:tab w:val="right" w:leader="dot" w:pos="9060"/>
        </w:tabs>
        <w:rPr>
          <w:rFonts w:eastAsiaTheme="minorEastAsia" w:cstheme="minorBidi"/>
          <w:noProof/>
          <w:sz w:val="22"/>
          <w:szCs w:val="22"/>
          <w:lang w:eastAsia="en-AU"/>
        </w:rPr>
      </w:pPr>
      <w:hyperlink w:anchor="_Toc71533485" w:history="1">
        <w:r w:rsidR="008B11B7" w:rsidRPr="0034797E">
          <w:rPr>
            <w:rStyle w:val="Hyperlink"/>
            <w:noProof/>
          </w:rPr>
          <w:t>Evaluation</w:t>
        </w:r>
        <w:r w:rsidR="008B11B7">
          <w:rPr>
            <w:noProof/>
            <w:webHidden/>
          </w:rPr>
          <w:tab/>
        </w:r>
        <w:r w:rsidR="008B11B7">
          <w:rPr>
            <w:noProof/>
            <w:webHidden/>
          </w:rPr>
          <w:fldChar w:fldCharType="begin"/>
        </w:r>
        <w:r w:rsidR="008B11B7">
          <w:rPr>
            <w:noProof/>
            <w:webHidden/>
          </w:rPr>
          <w:instrText xml:space="preserve"> PAGEREF _Toc71533485 \h </w:instrText>
        </w:r>
        <w:r w:rsidR="008B11B7">
          <w:rPr>
            <w:noProof/>
            <w:webHidden/>
          </w:rPr>
        </w:r>
        <w:r w:rsidR="008B11B7">
          <w:rPr>
            <w:noProof/>
            <w:webHidden/>
          </w:rPr>
          <w:fldChar w:fldCharType="separate"/>
        </w:r>
        <w:r w:rsidR="008B11B7">
          <w:rPr>
            <w:noProof/>
            <w:webHidden/>
          </w:rPr>
          <w:t>19</w:t>
        </w:r>
        <w:r w:rsidR="008B11B7">
          <w:rPr>
            <w:noProof/>
            <w:webHidden/>
          </w:rPr>
          <w:fldChar w:fldCharType="end"/>
        </w:r>
      </w:hyperlink>
    </w:p>
    <w:p w14:paraId="56E186A5" w14:textId="0F08A539" w:rsidR="008B11B7" w:rsidRDefault="00CF5D71">
      <w:pPr>
        <w:pStyle w:val="TOC1"/>
        <w:tabs>
          <w:tab w:val="right" w:leader="dot" w:pos="9060"/>
        </w:tabs>
        <w:rPr>
          <w:rFonts w:eastAsiaTheme="minorEastAsia" w:cstheme="minorBidi"/>
          <w:noProof/>
          <w:sz w:val="22"/>
          <w:szCs w:val="22"/>
          <w:lang w:eastAsia="en-AU"/>
        </w:rPr>
      </w:pPr>
      <w:hyperlink w:anchor="_Toc71533486" w:history="1">
        <w:r w:rsidR="008B11B7" w:rsidRPr="0034797E">
          <w:rPr>
            <w:rStyle w:val="Hyperlink"/>
            <w:noProof/>
          </w:rPr>
          <w:t>Related Policies, Procedures, Guidelines and Legislation</w:t>
        </w:r>
        <w:r w:rsidR="008B11B7">
          <w:rPr>
            <w:noProof/>
            <w:webHidden/>
          </w:rPr>
          <w:tab/>
        </w:r>
        <w:r w:rsidR="008B11B7">
          <w:rPr>
            <w:noProof/>
            <w:webHidden/>
          </w:rPr>
          <w:fldChar w:fldCharType="begin"/>
        </w:r>
        <w:r w:rsidR="008B11B7">
          <w:rPr>
            <w:noProof/>
            <w:webHidden/>
          </w:rPr>
          <w:instrText xml:space="preserve"> PAGEREF _Toc71533486 \h </w:instrText>
        </w:r>
        <w:r w:rsidR="008B11B7">
          <w:rPr>
            <w:noProof/>
            <w:webHidden/>
          </w:rPr>
        </w:r>
        <w:r w:rsidR="008B11B7">
          <w:rPr>
            <w:noProof/>
            <w:webHidden/>
          </w:rPr>
          <w:fldChar w:fldCharType="separate"/>
        </w:r>
        <w:r w:rsidR="008B11B7">
          <w:rPr>
            <w:noProof/>
            <w:webHidden/>
          </w:rPr>
          <w:t>19</w:t>
        </w:r>
        <w:r w:rsidR="008B11B7">
          <w:rPr>
            <w:noProof/>
            <w:webHidden/>
          </w:rPr>
          <w:fldChar w:fldCharType="end"/>
        </w:r>
      </w:hyperlink>
    </w:p>
    <w:p w14:paraId="24F74CB9" w14:textId="21552B7E" w:rsidR="008B11B7" w:rsidRDefault="00CF5D71">
      <w:pPr>
        <w:pStyle w:val="TOC1"/>
        <w:tabs>
          <w:tab w:val="right" w:leader="dot" w:pos="9060"/>
        </w:tabs>
        <w:rPr>
          <w:rFonts w:eastAsiaTheme="minorEastAsia" w:cstheme="minorBidi"/>
          <w:noProof/>
          <w:sz w:val="22"/>
          <w:szCs w:val="22"/>
          <w:lang w:eastAsia="en-AU"/>
        </w:rPr>
      </w:pPr>
      <w:hyperlink w:anchor="_Toc71533487" w:history="1">
        <w:r w:rsidR="008B11B7" w:rsidRPr="0034797E">
          <w:rPr>
            <w:rStyle w:val="Hyperlink"/>
            <w:noProof/>
          </w:rPr>
          <w:t>References</w:t>
        </w:r>
        <w:r w:rsidR="008B11B7">
          <w:rPr>
            <w:noProof/>
            <w:webHidden/>
          </w:rPr>
          <w:tab/>
        </w:r>
        <w:r w:rsidR="008B11B7">
          <w:rPr>
            <w:noProof/>
            <w:webHidden/>
          </w:rPr>
          <w:fldChar w:fldCharType="begin"/>
        </w:r>
        <w:r w:rsidR="008B11B7">
          <w:rPr>
            <w:noProof/>
            <w:webHidden/>
          </w:rPr>
          <w:instrText xml:space="preserve"> PAGEREF _Toc71533487 \h </w:instrText>
        </w:r>
        <w:r w:rsidR="008B11B7">
          <w:rPr>
            <w:noProof/>
            <w:webHidden/>
          </w:rPr>
        </w:r>
        <w:r w:rsidR="008B11B7">
          <w:rPr>
            <w:noProof/>
            <w:webHidden/>
          </w:rPr>
          <w:fldChar w:fldCharType="separate"/>
        </w:r>
        <w:r w:rsidR="008B11B7">
          <w:rPr>
            <w:noProof/>
            <w:webHidden/>
          </w:rPr>
          <w:t>20</w:t>
        </w:r>
        <w:r w:rsidR="008B11B7">
          <w:rPr>
            <w:noProof/>
            <w:webHidden/>
          </w:rPr>
          <w:fldChar w:fldCharType="end"/>
        </w:r>
      </w:hyperlink>
    </w:p>
    <w:p w14:paraId="3E471472" w14:textId="58650C33" w:rsidR="008B11B7" w:rsidRDefault="00CF5D71">
      <w:pPr>
        <w:pStyle w:val="TOC1"/>
        <w:tabs>
          <w:tab w:val="right" w:leader="dot" w:pos="9060"/>
        </w:tabs>
        <w:rPr>
          <w:rFonts w:eastAsiaTheme="minorEastAsia" w:cstheme="minorBidi"/>
          <w:noProof/>
          <w:sz w:val="22"/>
          <w:szCs w:val="22"/>
          <w:lang w:eastAsia="en-AU"/>
        </w:rPr>
      </w:pPr>
      <w:hyperlink w:anchor="_Toc71533488" w:history="1">
        <w:r w:rsidR="008B11B7" w:rsidRPr="0034797E">
          <w:rPr>
            <w:rStyle w:val="Hyperlink"/>
            <w:noProof/>
          </w:rPr>
          <w:t>Definition of Terms</w:t>
        </w:r>
        <w:r w:rsidR="008B11B7">
          <w:rPr>
            <w:noProof/>
            <w:webHidden/>
          </w:rPr>
          <w:tab/>
        </w:r>
        <w:r w:rsidR="008B11B7">
          <w:rPr>
            <w:noProof/>
            <w:webHidden/>
          </w:rPr>
          <w:fldChar w:fldCharType="begin"/>
        </w:r>
        <w:r w:rsidR="008B11B7">
          <w:rPr>
            <w:noProof/>
            <w:webHidden/>
          </w:rPr>
          <w:instrText xml:space="preserve"> PAGEREF _Toc71533488 \h </w:instrText>
        </w:r>
        <w:r w:rsidR="008B11B7">
          <w:rPr>
            <w:noProof/>
            <w:webHidden/>
          </w:rPr>
        </w:r>
        <w:r w:rsidR="008B11B7">
          <w:rPr>
            <w:noProof/>
            <w:webHidden/>
          </w:rPr>
          <w:fldChar w:fldCharType="separate"/>
        </w:r>
        <w:r w:rsidR="008B11B7">
          <w:rPr>
            <w:noProof/>
            <w:webHidden/>
          </w:rPr>
          <w:t>20</w:t>
        </w:r>
        <w:r w:rsidR="008B11B7">
          <w:rPr>
            <w:noProof/>
            <w:webHidden/>
          </w:rPr>
          <w:fldChar w:fldCharType="end"/>
        </w:r>
      </w:hyperlink>
    </w:p>
    <w:p w14:paraId="47E83EF1" w14:textId="61A2F1D0" w:rsidR="008B11B7" w:rsidRDefault="00CF5D71">
      <w:pPr>
        <w:pStyle w:val="TOC1"/>
        <w:tabs>
          <w:tab w:val="right" w:leader="dot" w:pos="9060"/>
        </w:tabs>
        <w:rPr>
          <w:rFonts w:eastAsiaTheme="minorEastAsia" w:cstheme="minorBidi"/>
          <w:noProof/>
          <w:sz w:val="22"/>
          <w:szCs w:val="22"/>
          <w:lang w:eastAsia="en-AU"/>
        </w:rPr>
      </w:pPr>
      <w:hyperlink w:anchor="_Toc71533489" w:history="1">
        <w:r w:rsidR="008B11B7" w:rsidRPr="0034797E">
          <w:rPr>
            <w:rStyle w:val="Hyperlink"/>
            <w:noProof/>
          </w:rPr>
          <w:t>Search Terms</w:t>
        </w:r>
        <w:r w:rsidR="008B11B7">
          <w:rPr>
            <w:noProof/>
            <w:webHidden/>
          </w:rPr>
          <w:tab/>
        </w:r>
        <w:r w:rsidR="008B11B7">
          <w:rPr>
            <w:noProof/>
            <w:webHidden/>
          </w:rPr>
          <w:fldChar w:fldCharType="begin"/>
        </w:r>
        <w:r w:rsidR="008B11B7">
          <w:rPr>
            <w:noProof/>
            <w:webHidden/>
          </w:rPr>
          <w:instrText xml:space="preserve"> PAGEREF _Toc71533489 \h </w:instrText>
        </w:r>
        <w:r w:rsidR="008B11B7">
          <w:rPr>
            <w:noProof/>
            <w:webHidden/>
          </w:rPr>
        </w:r>
        <w:r w:rsidR="008B11B7">
          <w:rPr>
            <w:noProof/>
            <w:webHidden/>
          </w:rPr>
          <w:fldChar w:fldCharType="separate"/>
        </w:r>
        <w:r w:rsidR="008B11B7">
          <w:rPr>
            <w:noProof/>
            <w:webHidden/>
          </w:rPr>
          <w:t>21</w:t>
        </w:r>
        <w:r w:rsidR="008B11B7">
          <w:rPr>
            <w:noProof/>
            <w:webHidden/>
          </w:rPr>
          <w:fldChar w:fldCharType="end"/>
        </w:r>
      </w:hyperlink>
    </w:p>
    <w:p w14:paraId="2F51A861" w14:textId="33C3821D" w:rsidR="007052B1" w:rsidRDefault="007D269B" w:rsidP="007B6904">
      <w:pPr>
        <w:rPr>
          <w:rFonts w:asciiTheme="minorHAnsi" w:hAnsiTheme="minorHAnsi"/>
        </w:rPr>
      </w:pPr>
      <w:r>
        <w:rPr>
          <w:rFonts w:asciiTheme="minorHAnsi" w:hAnsiTheme="minorHAnsi"/>
        </w:rPr>
        <w:fldChar w:fldCharType="end"/>
      </w:r>
    </w:p>
    <w:p w14:paraId="2F51A863" w14:textId="179CF2DB" w:rsidR="007B6904" w:rsidRPr="003258EC" w:rsidRDefault="007052B1" w:rsidP="003258EC">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71533458"/>
            <w:r w:rsidRPr="00CD1C0E">
              <w:lastRenderedPageBreak/>
              <w:t>Purpose</w:t>
            </w:r>
            <w:bookmarkEnd w:id="8"/>
            <w:bookmarkEnd w:id="9"/>
          </w:p>
        </w:tc>
      </w:tr>
    </w:tbl>
    <w:p w14:paraId="2F51A866" w14:textId="77777777" w:rsidR="00931B93" w:rsidRDefault="00931B93" w:rsidP="00931B93">
      <w:pPr>
        <w:rPr>
          <w:rFonts w:cs="Arial"/>
          <w:i/>
          <w:szCs w:val="24"/>
        </w:rPr>
      </w:pPr>
    </w:p>
    <w:p w14:paraId="0C311373" w14:textId="70ACB2FD" w:rsidR="008B11B7" w:rsidRDefault="008B11B7" w:rsidP="75036DDA">
      <w:pPr>
        <w:rPr>
          <w:rFonts w:cs="Arial"/>
        </w:rPr>
      </w:pPr>
      <w:r w:rsidRPr="75036DDA">
        <w:rPr>
          <w:rFonts w:cs="Arial"/>
        </w:rPr>
        <w:t>The purpose of this procedure provides Canberra Health Services</w:t>
      </w:r>
      <w:r w:rsidR="008B5FCA" w:rsidRPr="75036DDA">
        <w:rPr>
          <w:rFonts w:cs="Arial"/>
        </w:rPr>
        <w:t xml:space="preserve"> (CHS)</w:t>
      </w:r>
      <w:r w:rsidRPr="75036DDA">
        <w:rPr>
          <w:rFonts w:cs="Arial"/>
        </w:rPr>
        <w:t xml:space="preserve"> staff with information pertaining to the Drug and Alcohol </w:t>
      </w:r>
      <w:r w:rsidR="000ED895" w:rsidRPr="75036DDA">
        <w:rPr>
          <w:rFonts w:cs="Arial"/>
        </w:rPr>
        <w:t>Sentencing</w:t>
      </w:r>
      <w:r w:rsidRPr="75036DDA">
        <w:rPr>
          <w:rFonts w:cs="Arial"/>
        </w:rPr>
        <w:t xml:space="preserve"> List (DASL) program including eligibility, case management and urinalysis. </w:t>
      </w:r>
    </w:p>
    <w:p w14:paraId="3A1D2C16" w14:textId="77777777" w:rsidR="008B11B7" w:rsidRDefault="008B11B7" w:rsidP="00931B93">
      <w:pPr>
        <w:rPr>
          <w:rFonts w:cs="Arial"/>
          <w:iCs/>
          <w:szCs w:val="24"/>
        </w:rPr>
      </w:pPr>
    </w:p>
    <w:p w14:paraId="2F51A86F" w14:textId="2C5B7D30" w:rsidR="007B6904" w:rsidRDefault="003258EC" w:rsidP="00931B93">
      <w:pPr>
        <w:rPr>
          <w:rFonts w:cs="Arial"/>
          <w:iCs/>
          <w:szCs w:val="24"/>
        </w:rPr>
      </w:pPr>
      <w:r>
        <w:rPr>
          <w:rFonts w:cs="Arial"/>
          <w:iCs/>
          <w:szCs w:val="24"/>
        </w:rPr>
        <w:t xml:space="preserve">The Drug and Alcohol Sentencing List (DASL) operates within the ACT Supreme Court. After a referral is received by the DASL, the Court can refer a client to be assessed for health eligibility and suitability to participate in a Drug and Alcohol Treatment Order (DATO). This sentencing option provides suitable clients the opportunity to serve their sentence in the community, rather than in custody. It requires the participant to undertake appropriate Alcohol, </w:t>
      </w:r>
      <w:proofErr w:type="gramStart"/>
      <w:r>
        <w:rPr>
          <w:rFonts w:cs="Arial"/>
          <w:iCs/>
          <w:szCs w:val="24"/>
        </w:rPr>
        <w:t>Tobacco</w:t>
      </w:r>
      <w:proofErr w:type="gramEnd"/>
      <w:r>
        <w:rPr>
          <w:rFonts w:cs="Arial"/>
          <w:iCs/>
          <w:szCs w:val="24"/>
        </w:rPr>
        <w:t xml:space="preserve"> and other Drug (ATOD) treatment. The program goals include improved social and health outcomes, supporting reduction and cessation of substance use, and reduction in recidivism.</w:t>
      </w:r>
    </w:p>
    <w:p w14:paraId="2F12F26A" w14:textId="77777777" w:rsidR="008B5FCA" w:rsidRDefault="008B5FCA" w:rsidP="003258EC">
      <w:pPr>
        <w:jc w:val="right"/>
      </w:pPr>
    </w:p>
    <w:p w14:paraId="2F51A879" w14:textId="3BCFD45E" w:rsidR="009E70F4" w:rsidRPr="003258EC" w:rsidRDefault="00CF5D71" w:rsidP="003258EC">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71533459"/>
            <w:r w:rsidRPr="003D2D06">
              <w:t>Scope</w:t>
            </w:r>
            <w:bookmarkEnd w:id="10"/>
            <w:bookmarkEnd w:id="11"/>
          </w:p>
        </w:tc>
      </w:tr>
    </w:tbl>
    <w:p w14:paraId="2F51A87C" w14:textId="77777777" w:rsidR="007B6904" w:rsidRPr="00CD1C0E" w:rsidRDefault="007B6904" w:rsidP="007B6904">
      <w:pPr>
        <w:rPr>
          <w:szCs w:val="24"/>
        </w:rPr>
      </w:pPr>
    </w:p>
    <w:p w14:paraId="3428BA53" w14:textId="77777777" w:rsidR="003258EC" w:rsidRDefault="003258EC" w:rsidP="003258EC">
      <w:pPr>
        <w:pStyle w:val="ListBullet"/>
        <w:numPr>
          <w:ilvl w:val="0"/>
          <w:numId w:val="0"/>
        </w:numPr>
      </w:pPr>
      <w:r>
        <w:t>This document applies to the following CHS staff and students under supervision:</w:t>
      </w:r>
    </w:p>
    <w:p w14:paraId="1980C298" w14:textId="5FF64025" w:rsidR="003258EC" w:rsidRDefault="003258EC" w:rsidP="003258EC">
      <w:pPr>
        <w:pStyle w:val="ListBullet"/>
      </w:pPr>
      <w:r>
        <w:t>Allied Health</w:t>
      </w:r>
      <w:r w:rsidR="008B5FCA">
        <w:t xml:space="preserve"> Professionals</w:t>
      </w:r>
    </w:p>
    <w:p w14:paraId="72D1A8D1" w14:textId="0B67E0C7" w:rsidR="009E120D" w:rsidRDefault="009E120D" w:rsidP="003258EC">
      <w:pPr>
        <w:pStyle w:val="ListBullet"/>
      </w:pPr>
      <w:r>
        <w:t>Administrative Services Officers</w:t>
      </w:r>
    </w:p>
    <w:p w14:paraId="2F51A885" w14:textId="7BB613C9" w:rsidR="00931B93" w:rsidRPr="00F14EC1" w:rsidRDefault="003258EC" w:rsidP="003258EC">
      <w:pPr>
        <w:pStyle w:val="ListBullet"/>
      </w:pPr>
      <w:r>
        <w:t>Registered Nurses.</w:t>
      </w:r>
    </w:p>
    <w:p w14:paraId="2F51A886" w14:textId="77777777" w:rsidR="001F2A9B" w:rsidRDefault="001F2A9B" w:rsidP="00F14EC1"/>
    <w:p w14:paraId="2F51A887" w14:textId="77777777" w:rsidR="007B6904" w:rsidRPr="00CD1C0E" w:rsidRDefault="00CF5D71"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2B531B75" w:rsidR="007B6904" w:rsidRPr="00C76688" w:rsidRDefault="007B6904" w:rsidP="00931B93">
            <w:pPr>
              <w:pStyle w:val="Heading1"/>
            </w:pPr>
            <w:bookmarkStart w:id="12" w:name="_Toc389473278"/>
            <w:bookmarkStart w:id="13" w:name="_Toc71533460"/>
            <w:r w:rsidRPr="00C76688">
              <w:t>Section 1 –</w:t>
            </w:r>
            <w:r>
              <w:t xml:space="preserve"> </w:t>
            </w:r>
            <w:bookmarkEnd w:id="12"/>
            <w:r w:rsidR="003258EC">
              <w:t>Eligibility and Suitability Assessment</w:t>
            </w:r>
            <w:bookmarkEnd w:id="13"/>
          </w:p>
        </w:tc>
      </w:tr>
    </w:tbl>
    <w:p w14:paraId="2F51A88A" w14:textId="77777777" w:rsidR="007B6904" w:rsidRDefault="007B6904" w:rsidP="007B6904">
      <w:pPr>
        <w:outlineLvl w:val="0"/>
        <w:rPr>
          <w:szCs w:val="24"/>
        </w:rPr>
      </w:pPr>
    </w:p>
    <w:p w14:paraId="59D2080D" w14:textId="52160242" w:rsidR="003258EC" w:rsidRPr="003258EC" w:rsidRDefault="008B11B7" w:rsidP="008B5FCA">
      <w:pPr>
        <w:pStyle w:val="Heading2"/>
      </w:pPr>
      <w:bookmarkStart w:id="14" w:name="_Toc71533461"/>
      <w:r>
        <w:t xml:space="preserve">1.1 </w:t>
      </w:r>
      <w:r w:rsidR="003258EC">
        <w:t>E</w:t>
      </w:r>
      <w:r w:rsidR="001407D1">
        <w:t>ligibility</w:t>
      </w:r>
      <w:bookmarkStart w:id="15" w:name="_Toc389473280"/>
      <w:bookmarkEnd w:id="14"/>
    </w:p>
    <w:p w14:paraId="5946033E" w14:textId="3F05A31B" w:rsidR="001407D1" w:rsidRPr="00CF66A2" w:rsidRDefault="001407D1" w:rsidP="001407D1">
      <w:pPr>
        <w:pStyle w:val="ListBullet"/>
        <w:numPr>
          <w:ilvl w:val="0"/>
          <w:numId w:val="0"/>
        </w:numPr>
        <w:rPr>
          <w:rFonts w:cs="Arial"/>
          <w:iCs/>
          <w:szCs w:val="24"/>
        </w:rPr>
      </w:pPr>
      <w:r>
        <w:rPr>
          <w:rFonts w:cs="Arial"/>
          <w:iCs/>
          <w:szCs w:val="24"/>
        </w:rPr>
        <w:t xml:space="preserve">The DASL Alcohol and Drug Service (ADS) and Mental Health Court Assessment and Liaison Service (MHCALS) will complete the health </w:t>
      </w:r>
      <w:r w:rsidR="000915A6">
        <w:rPr>
          <w:rFonts w:cs="Arial"/>
          <w:iCs/>
          <w:szCs w:val="24"/>
        </w:rPr>
        <w:t>E</w:t>
      </w:r>
      <w:r>
        <w:rPr>
          <w:rFonts w:cs="Arial"/>
          <w:iCs/>
          <w:szCs w:val="24"/>
        </w:rPr>
        <w:t xml:space="preserve">ligibility and </w:t>
      </w:r>
      <w:r w:rsidR="000915A6">
        <w:rPr>
          <w:rFonts w:cs="Arial"/>
          <w:iCs/>
          <w:szCs w:val="24"/>
        </w:rPr>
        <w:t>S</w:t>
      </w:r>
      <w:r>
        <w:rPr>
          <w:rFonts w:cs="Arial"/>
          <w:iCs/>
          <w:szCs w:val="24"/>
        </w:rPr>
        <w:t xml:space="preserve">uitability </w:t>
      </w:r>
      <w:r w:rsidR="000915A6">
        <w:rPr>
          <w:rFonts w:cs="Arial"/>
          <w:iCs/>
          <w:szCs w:val="24"/>
        </w:rPr>
        <w:t>A</w:t>
      </w:r>
      <w:r>
        <w:rPr>
          <w:rFonts w:cs="Arial"/>
          <w:iCs/>
          <w:szCs w:val="24"/>
        </w:rPr>
        <w:t xml:space="preserve">ssessments for clients referred by the Court to participate in a DATO. </w:t>
      </w:r>
    </w:p>
    <w:p w14:paraId="6DF758A8" w14:textId="77777777" w:rsidR="001407D1" w:rsidRDefault="001407D1" w:rsidP="001407D1">
      <w:pPr>
        <w:pStyle w:val="ListBullet"/>
        <w:numPr>
          <w:ilvl w:val="0"/>
          <w:numId w:val="0"/>
        </w:numPr>
      </w:pPr>
    </w:p>
    <w:p w14:paraId="45111DE4" w14:textId="7CB97851" w:rsidR="001407D1" w:rsidRDefault="001407D1" w:rsidP="001407D1">
      <w:pPr>
        <w:pStyle w:val="ListBullet"/>
        <w:numPr>
          <w:ilvl w:val="0"/>
          <w:numId w:val="0"/>
        </w:numPr>
      </w:pPr>
      <w:r>
        <w:t>One of the key eligibility criteria for participation in the DASL is that the participant be dependent on alcohol or another substance, and that the dependency substantially contributed to the offence. As such, the primary purpose of the Eligibility Assessment</w:t>
      </w:r>
      <w:r w:rsidR="00420FA8">
        <w:t xml:space="preserve"> </w:t>
      </w:r>
      <w:r>
        <w:t>is</w:t>
      </w:r>
      <w:r w:rsidR="00420FA8">
        <w:t xml:space="preserve"> a document</w:t>
      </w:r>
      <w:r>
        <w:t xml:space="preserve"> to screen for the likelihood of severe substance use disorder in accordance with the Diagnostic and Statistical Manual of Mental Disorders, fifth edition (DSM-5). </w:t>
      </w:r>
    </w:p>
    <w:p w14:paraId="3CB48D38" w14:textId="77777777" w:rsidR="001407D1" w:rsidRDefault="001407D1" w:rsidP="001407D1">
      <w:pPr>
        <w:pStyle w:val="ListBullet"/>
        <w:numPr>
          <w:ilvl w:val="0"/>
          <w:numId w:val="0"/>
        </w:numPr>
      </w:pPr>
    </w:p>
    <w:p w14:paraId="759A6B91" w14:textId="0ED5C216" w:rsidR="001407D1" w:rsidRPr="00937390" w:rsidRDefault="001407D1" w:rsidP="001407D1">
      <w:pPr>
        <w:pStyle w:val="ListBullet"/>
        <w:numPr>
          <w:ilvl w:val="0"/>
          <w:numId w:val="0"/>
        </w:numPr>
      </w:pPr>
      <w:r>
        <w:t xml:space="preserve">Furthermore, the Court must not make a DATO unless satisfied that it is appropriate. In determining whether a DATO is appropriate, the Court must </w:t>
      </w:r>
      <w:proofErr w:type="gramStart"/>
      <w:r>
        <w:t>take into account</w:t>
      </w:r>
      <w:proofErr w:type="gramEnd"/>
      <w:r>
        <w:t xml:space="preserve"> relevant considerations including the mental health of the client. As such, a health clinician from MHCALS will conduct a screening assessment to consider the client’s mental health. </w:t>
      </w:r>
    </w:p>
    <w:p w14:paraId="1DFCBA96" w14:textId="77777777" w:rsidR="003258EC" w:rsidRDefault="003258EC" w:rsidP="003258EC">
      <w:pPr>
        <w:rPr>
          <w:rFonts w:cs="Arial"/>
          <w:b/>
          <w:szCs w:val="24"/>
        </w:rPr>
      </w:pPr>
    </w:p>
    <w:p w14:paraId="038EBEB3" w14:textId="77777777" w:rsidR="003258EC" w:rsidRPr="003258EC" w:rsidRDefault="003258EC" w:rsidP="003258EC">
      <w:pPr>
        <w:pStyle w:val="Heading3"/>
      </w:pPr>
      <w:r w:rsidRPr="003258EC">
        <w:t>Referral</w:t>
      </w:r>
    </w:p>
    <w:p w14:paraId="13EBFE7A" w14:textId="06786402" w:rsidR="001407D1" w:rsidRDefault="001407D1" w:rsidP="001407D1">
      <w:pPr>
        <w:rPr>
          <w:rFonts w:cs="Arial"/>
          <w:szCs w:val="24"/>
        </w:rPr>
      </w:pPr>
      <w:r>
        <w:rPr>
          <w:rFonts w:cs="Arial"/>
          <w:szCs w:val="24"/>
        </w:rPr>
        <w:t xml:space="preserve">The DASL ADS and MHCALS team will accept referrals for an Eligibility Assessment from </w:t>
      </w:r>
      <w:r w:rsidRPr="00C67CDA">
        <w:rPr>
          <w:rFonts w:cs="Arial"/>
          <w:szCs w:val="24"/>
        </w:rPr>
        <w:t xml:space="preserve">the </w:t>
      </w:r>
      <w:r>
        <w:rPr>
          <w:rFonts w:cs="Arial"/>
          <w:szCs w:val="24"/>
        </w:rPr>
        <w:t>Court</w:t>
      </w:r>
      <w:r w:rsidRPr="00C67CDA">
        <w:rPr>
          <w:rFonts w:cs="Arial"/>
          <w:szCs w:val="24"/>
        </w:rPr>
        <w:t xml:space="preserve"> </w:t>
      </w:r>
      <w:r>
        <w:rPr>
          <w:rFonts w:cs="Arial"/>
          <w:szCs w:val="24"/>
        </w:rPr>
        <w:t xml:space="preserve">where </w:t>
      </w:r>
      <w:r w:rsidRPr="00C67CDA">
        <w:rPr>
          <w:rFonts w:cs="Arial"/>
          <w:szCs w:val="24"/>
        </w:rPr>
        <w:t xml:space="preserve">the </w:t>
      </w:r>
      <w:r>
        <w:rPr>
          <w:rFonts w:cs="Arial"/>
          <w:szCs w:val="24"/>
        </w:rPr>
        <w:t>Judge has determined that it is likely the client will meet the DASL’s eligibility and exclusion criteria.</w:t>
      </w:r>
    </w:p>
    <w:p w14:paraId="5F8E4DDC" w14:textId="77777777" w:rsidR="001407D1" w:rsidRDefault="001407D1" w:rsidP="001407D1">
      <w:pPr>
        <w:rPr>
          <w:rFonts w:cs="Arial"/>
          <w:color w:val="FF0000"/>
          <w:szCs w:val="24"/>
        </w:rPr>
      </w:pPr>
    </w:p>
    <w:p w14:paraId="714DCBF5" w14:textId="77777777" w:rsidR="001407D1" w:rsidRDefault="001407D1" w:rsidP="001407D1">
      <w:pPr>
        <w:rPr>
          <w:rFonts w:cs="Arial"/>
          <w:szCs w:val="24"/>
        </w:rPr>
      </w:pPr>
      <w:r w:rsidRPr="00C67CDA">
        <w:rPr>
          <w:rFonts w:cs="Arial"/>
          <w:szCs w:val="24"/>
        </w:rPr>
        <w:t xml:space="preserve">Court staff </w:t>
      </w:r>
      <w:r>
        <w:rPr>
          <w:rFonts w:cs="Arial"/>
          <w:szCs w:val="24"/>
        </w:rPr>
        <w:t>will email the DASL ADS and MHCALS team to notify of the referral and will provide the following paperwork:</w:t>
      </w:r>
    </w:p>
    <w:p w14:paraId="50966A71" w14:textId="77777777" w:rsidR="001407D1" w:rsidRPr="00096313" w:rsidRDefault="001407D1" w:rsidP="001407D1">
      <w:pPr>
        <w:pStyle w:val="ListBullet"/>
      </w:pPr>
      <w:r>
        <w:t xml:space="preserve">bench </w:t>
      </w:r>
      <w:r w:rsidRPr="00096313">
        <w:t>sheet</w:t>
      </w:r>
    </w:p>
    <w:p w14:paraId="357E5561" w14:textId="77777777" w:rsidR="001407D1" w:rsidRPr="00096313" w:rsidRDefault="001407D1" w:rsidP="001407D1">
      <w:pPr>
        <w:pStyle w:val="ListBullet"/>
      </w:pPr>
      <w:r>
        <w:t>c</w:t>
      </w:r>
      <w:r w:rsidRPr="00096313">
        <w:t>riminal history</w:t>
      </w:r>
    </w:p>
    <w:p w14:paraId="4A9E4C65" w14:textId="77777777" w:rsidR="001407D1" w:rsidRPr="00096313" w:rsidRDefault="001407D1" w:rsidP="001407D1">
      <w:pPr>
        <w:pStyle w:val="ListBullet"/>
      </w:pPr>
      <w:r>
        <w:t>s</w:t>
      </w:r>
      <w:r w:rsidRPr="00096313">
        <w:t xml:space="preserve">tatement of </w:t>
      </w:r>
      <w:r>
        <w:t>f</w:t>
      </w:r>
      <w:r w:rsidRPr="00096313">
        <w:t>acts</w:t>
      </w:r>
    </w:p>
    <w:p w14:paraId="35E59695" w14:textId="77777777" w:rsidR="001407D1" w:rsidRDefault="001407D1" w:rsidP="001407D1">
      <w:pPr>
        <w:pStyle w:val="ListBullet"/>
      </w:pPr>
      <w:r>
        <w:t>a</w:t>
      </w:r>
      <w:r w:rsidRPr="00096313">
        <w:t>ny previous reports</w:t>
      </w:r>
      <w:r>
        <w:t xml:space="preserve"> that the court holds.</w:t>
      </w:r>
    </w:p>
    <w:p w14:paraId="43D77CD4" w14:textId="77777777" w:rsidR="003258EC" w:rsidRDefault="003258EC" w:rsidP="003258EC">
      <w:pPr>
        <w:pStyle w:val="ListBullet"/>
        <w:numPr>
          <w:ilvl w:val="0"/>
          <w:numId w:val="0"/>
        </w:numPr>
        <w:ind w:left="426" w:hanging="426"/>
      </w:pPr>
    </w:p>
    <w:p w14:paraId="3CDCBCB0" w14:textId="77777777" w:rsidR="003258EC" w:rsidRPr="003258EC" w:rsidRDefault="003258EC" w:rsidP="003258EC">
      <w:pPr>
        <w:pStyle w:val="Heading3"/>
      </w:pPr>
      <w:r w:rsidRPr="003258EC">
        <w:t>Consent</w:t>
      </w:r>
    </w:p>
    <w:p w14:paraId="7A1C5088" w14:textId="23C712EF" w:rsidR="001407D1" w:rsidRDefault="001407D1" w:rsidP="001407D1">
      <w:pPr>
        <w:pStyle w:val="ListBullet"/>
        <w:numPr>
          <w:ilvl w:val="0"/>
          <w:numId w:val="0"/>
        </w:numPr>
      </w:pPr>
      <w:r>
        <w:t xml:space="preserve">Prior to conducting the Eligibility Assessments, the Mental Health Justice Health and Alcohol and Drug Service (MHJHADS) clinicians will obtain the </w:t>
      </w:r>
      <w:r w:rsidR="00A06171">
        <w:t>client</w:t>
      </w:r>
      <w:r>
        <w:t>’</w:t>
      </w:r>
      <w:r w:rsidRPr="001E1675">
        <w:t xml:space="preserve">s </w:t>
      </w:r>
      <w:r>
        <w:t>informed consent to share information and to participate in the Eligibility Assessment. The clinicians will:</w:t>
      </w:r>
    </w:p>
    <w:p w14:paraId="2B4A68C5" w14:textId="77777777" w:rsidR="001407D1" w:rsidRDefault="001407D1" w:rsidP="001407D1">
      <w:pPr>
        <w:pStyle w:val="ListBullet"/>
      </w:pPr>
      <w:r>
        <w:t>explain the assessment process</w:t>
      </w:r>
    </w:p>
    <w:p w14:paraId="60A20EAD" w14:textId="77777777" w:rsidR="001407D1" w:rsidRDefault="001407D1" w:rsidP="001407D1">
      <w:pPr>
        <w:pStyle w:val="ListBullet"/>
      </w:pPr>
      <w:r>
        <w:t>explain what information is collected</w:t>
      </w:r>
    </w:p>
    <w:p w14:paraId="4419FD21" w14:textId="77777777" w:rsidR="001407D1" w:rsidRDefault="001407D1" w:rsidP="001407D1">
      <w:pPr>
        <w:pStyle w:val="ListBullet"/>
      </w:pPr>
      <w:r>
        <w:t>explain and document with whom and for what purpose information will be shared</w:t>
      </w:r>
    </w:p>
    <w:p w14:paraId="3410C59D" w14:textId="6E4DAA64" w:rsidR="001407D1" w:rsidRDefault="001407D1" w:rsidP="001407D1">
      <w:pPr>
        <w:pStyle w:val="ListBullet"/>
      </w:pPr>
      <w:r>
        <w:t xml:space="preserve">ask the client if they have any questions regarding the </w:t>
      </w:r>
      <w:r w:rsidR="000915A6">
        <w:t>E</w:t>
      </w:r>
      <w:r>
        <w:t xml:space="preserve">ligibility </w:t>
      </w:r>
      <w:r w:rsidR="000915A6">
        <w:t>A</w:t>
      </w:r>
      <w:r>
        <w:t>ssessment</w:t>
      </w:r>
    </w:p>
    <w:p w14:paraId="0279DDB9" w14:textId="77777777" w:rsidR="001407D1" w:rsidRDefault="001407D1" w:rsidP="001407D1">
      <w:pPr>
        <w:pStyle w:val="ListBullet"/>
      </w:pPr>
      <w:r>
        <w:t>ask the client if they feel fully informed</w:t>
      </w:r>
    </w:p>
    <w:p w14:paraId="183BB2D7" w14:textId="77777777" w:rsidR="001407D1" w:rsidRDefault="001407D1" w:rsidP="001407D1">
      <w:pPr>
        <w:pStyle w:val="ListBullet"/>
      </w:pPr>
      <w:r>
        <w:t>ask the client if they consent to participate in the screening assessment</w:t>
      </w:r>
    </w:p>
    <w:p w14:paraId="7B65A2E9" w14:textId="77777777" w:rsidR="003258EC" w:rsidRDefault="003258EC" w:rsidP="003258EC">
      <w:pPr>
        <w:pStyle w:val="ListBullet"/>
        <w:numPr>
          <w:ilvl w:val="0"/>
          <w:numId w:val="0"/>
        </w:numPr>
      </w:pPr>
    </w:p>
    <w:p w14:paraId="0527AC0D" w14:textId="77777777" w:rsidR="003258EC" w:rsidRPr="003258EC" w:rsidRDefault="003258EC" w:rsidP="003258EC">
      <w:pPr>
        <w:pStyle w:val="Heading3"/>
      </w:pPr>
      <w:r w:rsidRPr="003258EC">
        <w:t>Procedure</w:t>
      </w:r>
    </w:p>
    <w:p w14:paraId="0624B0D8" w14:textId="564F25B7" w:rsidR="001407D1" w:rsidRPr="001407D1" w:rsidRDefault="001407D1" w:rsidP="001407D1">
      <w:r w:rsidRPr="001407D1">
        <w:t xml:space="preserve">Upon receipt of the </w:t>
      </w:r>
      <w:r w:rsidR="00267F83">
        <w:t xml:space="preserve">Court </w:t>
      </w:r>
      <w:r w:rsidRPr="001407D1">
        <w:t>referral, the ADS and MHCALS clinicians will interview the client on the same day, or another day as negotiated with the DASL Coordinator, within the court precinct. Where possible, both clinicians will review appropriate clinical records prior to the interview, and jointly conduct the screening assessments. A joint assessment with both ADS and MHCALS clinicians present is the preferred assessment pathway</w:t>
      </w:r>
      <w:r w:rsidR="00113742">
        <w:t>,</w:t>
      </w:r>
      <w:r w:rsidRPr="001407D1">
        <w:t xml:space="preserve"> however this will be dependent on many factors and cannot be guaranteed.</w:t>
      </w:r>
    </w:p>
    <w:p w14:paraId="48A0F728" w14:textId="77777777" w:rsidR="001407D1" w:rsidRPr="001407D1" w:rsidRDefault="001407D1" w:rsidP="001407D1"/>
    <w:p w14:paraId="62368535" w14:textId="272E19C4" w:rsidR="001407D1" w:rsidRPr="001407D1" w:rsidRDefault="001407D1" w:rsidP="001407D1">
      <w:r>
        <w:t xml:space="preserve">MHJHADS clinicians from ADS will use the </w:t>
      </w:r>
      <w:r w:rsidRPr="75036DDA">
        <w:rPr>
          <w:i/>
          <w:iCs/>
        </w:rPr>
        <w:t>‘Drug and Alcohol Sentencing List – Eligibility Assessment’</w:t>
      </w:r>
      <w:r>
        <w:t xml:space="preserve"> form to gather the required clinical information. </w:t>
      </w:r>
      <w:bookmarkStart w:id="16" w:name="_Hlk44419714"/>
      <w:r>
        <w:t xml:space="preserve">This template </w:t>
      </w:r>
      <w:proofErr w:type="gramStart"/>
      <w:r>
        <w:t>is located in</w:t>
      </w:r>
      <w:proofErr w:type="gramEnd"/>
      <w:r>
        <w:t xml:space="preserve"> the ADS folder on the </w:t>
      </w:r>
      <w:r w:rsidR="16710BB8">
        <w:t>Canberra Health Services</w:t>
      </w:r>
      <w:r>
        <w:t xml:space="preserve"> Q drive. </w:t>
      </w:r>
      <w:bookmarkEnd w:id="16"/>
      <w:r>
        <w:t>This form includes the use of the Texas Christian University (TCU) Drug Screen 5, which is a tool based on the Diagnostic and Statistical Manual of Mental Disorders (DSM-5), that has been selected to determine the likelihood of severe substance use disorder. The results of this tool will be considered in conjunction with any additional information that is provided by the client during the assessment, and any additional information that is obtained from relevant clinical databases.</w:t>
      </w:r>
    </w:p>
    <w:p w14:paraId="60A12DA0" w14:textId="77777777" w:rsidR="001407D1" w:rsidRPr="001407D1" w:rsidRDefault="001407D1" w:rsidP="001407D1"/>
    <w:p w14:paraId="22603821" w14:textId="2E9F3DDC" w:rsidR="001407D1" w:rsidRPr="001407D1" w:rsidRDefault="001407D1" w:rsidP="001407D1">
      <w:r>
        <w:t xml:space="preserve">MHJHADS clinicians from MHCALS will use the </w:t>
      </w:r>
      <w:r w:rsidRPr="75036DDA">
        <w:rPr>
          <w:i/>
          <w:iCs/>
        </w:rPr>
        <w:t xml:space="preserve">‘Forensic Mental Health DASL Consumer Screening Form’ </w:t>
      </w:r>
      <w:r>
        <w:t xml:space="preserve">to gather the required clinical information. This template </w:t>
      </w:r>
      <w:proofErr w:type="gramStart"/>
      <w:r>
        <w:t>is located in</w:t>
      </w:r>
      <w:proofErr w:type="gramEnd"/>
      <w:r>
        <w:t xml:space="preserve"> the Forensic Mental Health Services folder on the </w:t>
      </w:r>
      <w:r w:rsidR="16FF3A9A">
        <w:t>Canberra Health Services</w:t>
      </w:r>
      <w:r>
        <w:t xml:space="preserve"> Q drive. The </w:t>
      </w:r>
      <w:r>
        <w:lastRenderedPageBreak/>
        <w:t xml:space="preserve">information given by the </w:t>
      </w:r>
      <w:r w:rsidR="00A06171">
        <w:t>client</w:t>
      </w:r>
      <w:r>
        <w:t xml:space="preserve"> will be considered in conjunction with any additional information that is obtained from relevant clinical databases.</w:t>
      </w:r>
    </w:p>
    <w:p w14:paraId="60561E22" w14:textId="77777777" w:rsidR="001407D1" w:rsidRPr="001407D1" w:rsidRDefault="001407D1" w:rsidP="001407D1"/>
    <w:p w14:paraId="62CED784" w14:textId="77777777" w:rsidR="001407D1" w:rsidRPr="001407D1" w:rsidRDefault="001407D1" w:rsidP="001407D1">
      <w:r w:rsidRPr="001407D1">
        <w:t xml:space="preserve">MHJHADS clinicians will update relevant clinical databases as required, in a timely manner. </w:t>
      </w:r>
    </w:p>
    <w:p w14:paraId="707889D0" w14:textId="77777777" w:rsidR="003258EC" w:rsidRDefault="003258EC" w:rsidP="003258EC">
      <w:pPr>
        <w:pStyle w:val="ListBullet"/>
        <w:numPr>
          <w:ilvl w:val="0"/>
          <w:numId w:val="0"/>
        </w:numPr>
      </w:pPr>
    </w:p>
    <w:p w14:paraId="5B4BE945" w14:textId="77777777" w:rsidR="003258EC" w:rsidRPr="003258EC" w:rsidRDefault="003258EC" w:rsidP="003258EC">
      <w:pPr>
        <w:pStyle w:val="Heading3"/>
      </w:pPr>
      <w:r w:rsidRPr="003258EC">
        <w:t>Outcome of the Eligibility Assessment</w:t>
      </w:r>
    </w:p>
    <w:p w14:paraId="7F26F361" w14:textId="77777777" w:rsidR="001407D1" w:rsidRPr="001407D1" w:rsidRDefault="001407D1" w:rsidP="001407D1">
      <w:r w:rsidRPr="001407D1">
        <w:t xml:space="preserve">The ADS clinician will provide a report to the Supreme Court that details the outcome of the Eligibility Assessment. The report will indicate whether screening indicated the likelihood of severe substance use disorder and will make a recommendation as to whether the client is considered suitable to complete a Suitability Assessment. </w:t>
      </w:r>
    </w:p>
    <w:p w14:paraId="1453C7AD" w14:textId="77777777" w:rsidR="001407D1" w:rsidRPr="001407D1" w:rsidRDefault="001407D1" w:rsidP="001407D1"/>
    <w:p w14:paraId="6D200000" w14:textId="77777777" w:rsidR="001407D1" w:rsidRPr="001407D1" w:rsidRDefault="001407D1" w:rsidP="001407D1">
      <w:pPr>
        <w:tabs>
          <w:tab w:val="left" w:pos="720"/>
        </w:tabs>
      </w:pPr>
      <w:r w:rsidRPr="001407D1">
        <w:t xml:space="preserve">The MHCALS clinician will provide a separate screening report to the Supreme Court on the same day as requested and will make a recommendation as to whether the client requires a Brief Mental Health Report. This would be indicated by the presence of significant mental health history or concerns that may impact on their suitability to engage in the DASL.  </w:t>
      </w:r>
    </w:p>
    <w:p w14:paraId="6F80BD25" w14:textId="38E52E0D" w:rsidR="009E120D" w:rsidRDefault="009E120D" w:rsidP="003258EC"/>
    <w:p w14:paraId="4B247B12" w14:textId="1667F76E" w:rsidR="009E120D" w:rsidRDefault="008B11B7" w:rsidP="009E120D">
      <w:pPr>
        <w:pStyle w:val="Heading2"/>
      </w:pPr>
      <w:bookmarkStart w:id="17" w:name="_Toc71533462"/>
      <w:r>
        <w:t xml:space="preserve">1.2 </w:t>
      </w:r>
      <w:r w:rsidR="009E120D">
        <w:t>Suitability</w:t>
      </w:r>
      <w:bookmarkEnd w:id="17"/>
    </w:p>
    <w:p w14:paraId="6CE9B7F4" w14:textId="77777777" w:rsidR="001407D1" w:rsidRPr="001407D1" w:rsidRDefault="001407D1" w:rsidP="001407D1">
      <w:pPr>
        <w:rPr>
          <w:rFonts w:cs="Arial"/>
          <w:szCs w:val="24"/>
        </w:rPr>
      </w:pPr>
      <w:r w:rsidRPr="001407D1">
        <w:rPr>
          <w:rFonts w:cs="Arial"/>
          <w:szCs w:val="24"/>
        </w:rPr>
        <w:t xml:space="preserve">The purpose of the Suitability Assessment is to conduct a thorough exploration of the biological, </w:t>
      </w:r>
      <w:proofErr w:type="gramStart"/>
      <w:r w:rsidRPr="001407D1">
        <w:rPr>
          <w:rFonts w:cs="Arial"/>
          <w:szCs w:val="24"/>
        </w:rPr>
        <w:t>psychological</w:t>
      </w:r>
      <w:proofErr w:type="gramEnd"/>
      <w:r w:rsidRPr="001407D1">
        <w:rPr>
          <w:rFonts w:cs="Arial"/>
          <w:szCs w:val="24"/>
        </w:rPr>
        <w:t xml:space="preserve"> and social (biopsychosocial) needs of eligible clients. Where screening indicated the likelihood of severe substance use disorder at the time of the offence, and their current mental state does not preclude them from progressing with further assessment, an ADS clinician will complete a Suitability Assessment. Initial treatment matching recommendations will be developed based on this assessment.</w:t>
      </w:r>
    </w:p>
    <w:p w14:paraId="5D42F151" w14:textId="77777777" w:rsidR="001407D1" w:rsidRPr="001407D1" w:rsidRDefault="001407D1" w:rsidP="001407D1">
      <w:pPr>
        <w:rPr>
          <w:rFonts w:cs="Arial"/>
          <w:szCs w:val="24"/>
        </w:rPr>
      </w:pPr>
    </w:p>
    <w:p w14:paraId="6C309CFF" w14:textId="09114353" w:rsidR="001407D1" w:rsidRPr="001407D1" w:rsidRDefault="001407D1" w:rsidP="001407D1">
      <w:pPr>
        <w:rPr>
          <w:rFonts w:cs="Arial"/>
          <w:szCs w:val="24"/>
        </w:rPr>
      </w:pPr>
      <w:r w:rsidRPr="001407D1">
        <w:rPr>
          <w:rFonts w:cs="Arial"/>
          <w:szCs w:val="24"/>
        </w:rPr>
        <w:t xml:space="preserve">Where required, the purpose of a Brief Mental Health Report is to provide the court further detail of the client’s psychological and psychiatric history and any recommendations for specific interventions or engagement strategies for the individual. A Brief Mental Health Report is not necessary for all DASL </w:t>
      </w:r>
      <w:proofErr w:type="gramStart"/>
      <w:r w:rsidRPr="001407D1">
        <w:rPr>
          <w:rFonts w:cs="Arial"/>
          <w:szCs w:val="24"/>
        </w:rPr>
        <w:t>referrals</w:t>
      </w:r>
      <w:r w:rsidR="00214B68">
        <w:rPr>
          <w:rFonts w:cs="Arial"/>
          <w:szCs w:val="24"/>
        </w:rPr>
        <w:t>,</w:t>
      </w:r>
      <w:r w:rsidRPr="001407D1">
        <w:rPr>
          <w:rFonts w:cs="Arial"/>
          <w:szCs w:val="24"/>
        </w:rPr>
        <w:t xml:space="preserve"> but</w:t>
      </w:r>
      <w:proofErr w:type="gramEnd"/>
      <w:r w:rsidRPr="001407D1">
        <w:rPr>
          <w:rFonts w:cs="Arial"/>
          <w:szCs w:val="24"/>
        </w:rPr>
        <w:t xml:space="preserve"> may be considered where there is a significant history or current issues relating to significant mental health concerns.</w:t>
      </w:r>
    </w:p>
    <w:p w14:paraId="02F70963" w14:textId="77777777" w:rsidR="009E120D" w:rsidRDefault="009E120D" w:rsidP="009E120D">
      <w:pPr>
        <w:rPr>
          <w:rFonts w:cs="Arial"/>
          <w:szCs w:val="24"/>
        </w:rPr>
      </w:pPr>
    </w:p>
    <w:p w14:paraId="5A2FBE41" w14:textId="1EFF761C" w:rsidR="009E120D" w:rsidRDefault="009E120D" w:rsidP="009E120D">
      <w:pPr>
        <w:pStyle w:val="Heading3"/>
      </w:pPr>
      <w:r>
        <w:t>Referrals</w:t>
      </w:r>
      <w:r w:rsidR="004B793F">
        <w:t xml:space="preserve"> for Suitability Assessment</w:t>
      </w:r>
    </w:p>
    <w:p w14:paraId="059782A7" w14:textId="231B11C4" w:rsidR="001407D1" w:rsidRPr="001407D1" w:rsidRDefault="001407D1" w:rsidP="001407D1">
      <w:pPr>
        <w:rPr>
          <w:rFonts w:cs="Arial"/>
          <w:szCs w:val="24"/>
        </w:rPr>
      </w:pPr>
      <w:r w:rsidRPr="001407D1">
        <w:rPr>
          <w:rFonts w:cs="Arial"/>
          <w:szCs w:val="24"/>
        </w:rPr>
        <w:t xml:space="preserve">Court staff will send a copy of the court order to the DASL ADS and MHCALS team by email to the dedicated DASL inbox. The following documents are to be provided, if outstanding from the </w:t>
      </w:r>
      <w:proofErr w:type="spellStart"/>
      <w:r w:rsidR="00FE38D7">
        <w:rPr>
          <w:rFonts w:cs="Arial"/>
          <w:szCs w:val="24"/>
        </w:rPr>
        <w:t>Eligbility</w:t>
      </w:r>
      <w:proofErr w:type="spellEnd"/>
      <w:r w:rsidR="00FE38D7">
        <w:rPr>
          <w:rFonts w:cs="Arial"/>
          <w:szCs w:val="24"/>
        </w:rPr>
        <w:t xml:space="preserve"> </w:t>
      </w:r>
      <w:r w:rsidRPr="001407D1">
        <w:rPr>
          <w:rFonts w:cs="Arial"/>
          <w:szCs w:val="24"/>
        </w:rPr>
        <w:t>Screening Assessment:</w:t>
      </w:r>
    </w:p>
    <w:p w14:paraId="207BE6BC" w14:textId="77777777" w:rsidR="001407D1" w:rsidRPr="001407D1" w:rsidRDefault="001407D1" w:rsidP="001407D1">
      <w:pPr>
        <w:numPr>
          <w:ilvl w:val="0"/>
          <w:numId w:val="1"/>
        </w:numPr>
        <w:tabs>
          <w:tab w:val="clear" w:pos="1080"/>
        </w:tabs>
        <w:ind w:left="426" w:hanging="426"/>
      </w:pPr>
      <w:r w:rsidRPr="001407D1">
        <w:t>bench sheet</w:t>
      </w:r>
    </w:p>
    <w:p w14:paraId="4C4F7843" w14:textId="77777777" w:rsidR="001407D1" w:rsidRPr="001407D1" w:rsidRDefault="001407D1" w:rsidP="001407D1">
      <w:pPr>
        <w:numPr>
          <w:ilvl w:val="0"/>
          <w:numId w:val="1"/>
        </w:numPr>
        <w:tabs>
          <w:tab w:val="clear" w:pos="1080"/>
        </w:tabs>
        <w:ind w:left="426" w:hanging="426"/>
      </w:pPr>
      <w:r w:rsidRPr="001407D1">
        <w:t>criminal history</w:t>
      </w:r>
    </w:p>
    <w:p w14:paraId="1FC58480" w14:textId="77777777" w:rsidR="001407D1" w:rsidRPr="001407D1" w:rsidRDefault="001407D1" w:rsidP="001407D1">
      <w:pPr>
        <w:numPr>
          <w:ilvl w:val="0"/>
          <w:numId w:val="1"/>
        </w:numPr>
        <w:tabs>
          <w:tab w:val="clear" w:pos="1080"/>
        </w:tabs>
        <w:ind w:left="426" w:hanging="426"/>
      </w:pPr>
      <w:r w:rsidRPr="001407D1">
        <w:t>statement of facts</w:t>
      </w:r>
    </w:p>
    <w:p w14:paraId="7778D406" w14:textId="77777777" w:rsidR="001407D1" w:rsidRPr="001407D1" w:rsidRDefault="001407D1" w:rsidP="001407D1">
      <w:pPr>
        <w:numPr>
          <w:ilvl w:val="0"/>
          <w:numId w:val="1"/>
        </w:numPr>
        <w:tabs>
          <w:tab w:val="clear" w:pos="1080"/>
        </w:tabs>
        <w:ind w:left="426" w:hanging="426"/>
      </w:pPr>
      <w:r w:rsidRPr="001407D1">
        <w:t>any previous reports that the court holds.</w:t>
      </w:r>
    </w:p>
    <w:p w14:paraId="716AECDA" w14:textId="77777777" w:rsidR="001407D1" w:rsidRPr="001407D1" w:rsidRDefault="001407D1" w:rsidP="001407D1">
      <w:pPr>
        <w:rPr>
          <w:rFonts w:cs="Arial"/>
          <w:szCs w:val="24"/>
        </w:rPr>
      </w:pPr>
    </w:p>
    <w:p w14:paraId="63EBB4ED" w14:textId="52029449" w:rsidR="009E120D" w:rsidRDefault="001407D1" w:rsidP="009E120D">
      <w:pPr>
        <w:rPr>
          <w:rFonts w:cs="Arial"/>
          <w:szCs w:val="24"/>
        </w:rPr>
      </w:pPr>
      <w:r w:rsidRPr="001407D1">
        <w:rPr>
          <w:rFonts w:cs="Arial"/>
          <w:szCs w:val="24"/>
        </w:rPr>
        <w:t xml:space="preserve">The adjournment will be for no less than a four week period for clients who are remanded and no less than six weeks for clients being assessed in the community.  </w:t>
      </w:r>
    </w:p>
    <w:p w14:paraId="48927BBF" w14:textId="77777777" w:rsidR="008B5FCA" w:rsidRDefault="008B5FCA" w:rsidP="009E120D">
      <w:pPr>
        <w:pStyle w:val="Heading3"/>
      </w:pPr>
    </w:p>
    <w:p w14:paraId="38FC128E" w14:textId="7DF98572" w:rsidR="009E120D" w:rsidRDefault="009E120D" w:rsidP="009E120D">
      <w:pPr>
        <w:pStyle w:val="Heading3"/>
      </w:pPr>
      <w:r>
        <w:t>Consent</w:t>
      </w:r>
      <w:r w:rsidR="00681290">
        <w:t xml:space="preserve"> for </w:t>
      </w:r>
      <w:r w:rsidR="00681290" w:rsidRPr="001407D1">
        <w:t>Suitability Assessment</w:t>
      </w:r>
    </w:p>
    <w:p w14:paraId="3C26B1FA" w14:textId="77777777" w:rsidR="001407D1" w:rsidRPr="001407D1" w:rsidRDefault="001407D1" w:rsidP="001407D1">
      <w:r w:rsidRPr="001407D1">
        <w:lastRenderedPageBreak/>
        <w:t>Prior to conducting the Suitability Assessment, the MHJHADS clinicians will obtain the client’s informed consent to share information and to participate in the Comprehensive Assessment. The clinician will:</w:t>
      </w:r>
    </w:p>
    <w:p w14:paraId="3386AB39" w14:textId="77777777" w:rsidR="001407D1" w:rsidRPr="001407D1" w:rsidRDefault="001407D1" w:rsidP="001407D1">
      <w:pPr>
        <w:numPr>
          <w:ilvl w:val="0"/>
          <w:numId w:val="1"/>
        </w:numPr>
        <w:tabs>
          <w:tab w:val="clear" w:pos="1080"/>
        </w:tabs>
        <w:ind w:left="426" w:hanging="426"/>
      </w:pPr>
      <w:r w:rsidRPr="001407D1">
        <w:t>explain the assessment process</w:t>
      </w:r>
    </w:p>
    <w:p w14:paraId="506376A8" w14:textId="77777777" w:rsidR="001407D1" w:rsidRPr="001407D1" w:rsidRDefault="001407D1" w:rsidP="001407D1">
      <w:pPr>
        <w:numPr>
          <w:ilvl w:val="0"/>
          <w:numId w:val="1"/>
        </w:numPr>
        <w:tabs>
          <w:tab w:val="clear" w:pos="1080"/>
        </w:tabs>
        <w:ind w:left="426" w:hanging="426"/>
      </w:pPr>
      <w:r w:rsidRPr="001407D1">
        <w:t>explain what information is collected</w:t>
      </w:r>
    </w:p>
    <w:p w14:paraId="12CBF9C7" w14:textId="77777777" w:rsidR="001407D1" w:rsidRPr="001407D1" w:rsidRDefault="001407D1" w:rsidP="001407D1">
      <w:pPr>
        <w:numPr>
          <w:ilvl w:val="0"/>
          <w:numId w:val="1"/>
        </w:numPr>
        <w:tabs>
          <w:tab w:val="clear" w:pos="1080"/>
        </w:tabs>
        <w:ind w:left="426" w:hanging="426"/>
      </w:pPr>
      <w:r w:rsidRPr="001407D1">
        <w:t>explain and document with whom and for what purpose information will be shared</w:t>
      </w:r>
    </w:p>
    <w:p w14:paraId="363A0C9A" w14:textId="77777777" w:rsidR="001407D1" w:rsidRPr="001407D1" w:rsidRDefault="001407D1" w:rsidP="001407D1">
      <w:pPr>
        <w:numPr>
          <w:ilvl w:val="0"/>
          <w:numId w:val="1"/>
        </w:numPr>
        <w:tabs>
          <w:tab w:val="clear" w:pos="1080"/>
        </w:tabs>
        <w:ind w:left="426" w:hanging="426"/>
      </w:pPr>
      <w:r w:rsidRPr="001407D1">
        <w:t>ask the defendant if they feel fully informed</w:t>
      </w:r>
    </w:p>
    <w:p w14:paraId="6C024A75" w14:textId="77777777" w:rsidR="001407D1" w:rsidRPr="001407D1" w:rsidRDefault="001407D1" w:rsidP="001407D1">
      <w:pPr>
        <w:numPr>
          <w:ilvl w:val="0"/>
          <w:numId w:val="1"/>
        </w:numPr>
        <w:tabs>
          <w:tab w:val="clear" w:pos="1080"/>
        </w:tabs>
        <w:ind w:left="426" w:hanging="426"/>
      </w:pPr>
      <w:r w:rsidRPr="001407D1">
        <w:t>ask the defendant if they consent to participate in the comprehensive assessment</w:t>
      </w:r>
    </w:p>
    <w:p w14:paraId="2EEF5487" w14:textId="77777777" w:rsidR="001407D1" w:rsidRPr="001407D1" w:rsidRDefault="001407D1" w:rsidP="001407D1">
      <w:pPr>
        <w:numPr>
          <w:ilvl w:val="0"/>
          <w:numId w:val="1"/>
        </w:numPr>
        <w:tabs>
          <w:tab w:val="clear" w:pos="1080"/>
        </w:tabs>
        <w:ind w:left="426" w:hanging="426"/>
      </w:pPr>
      <w:r w:rsidRPr="001407D1">
        <w:t>provide the consent form to the client, for their signature.</w:t>
      </w:r>
    </w:p>
    <w:p w14:paraId="02B6A8BF" w14:textId="77777777" w:rsidR="009E120D" w:rsidRDefault="009E120D" w:rsidP="009E120D">
      <w:pPr>
        <w:rPr>
          <w:rFonts w:cs="Arial"/>
          <w:szCs w:val="24"/>
        </w:rPr>
      </w:pPr>
    </w:p>
    <w:p w14:paraId="347459AA" w14:textId="77777777" w:rsidR="009E120D" w:rsidRDefault="009E120D" w:rsidP="009E120D">
      <w:pPr>
        <w:pStyle w:val="Heading3"/>
      </w:pPr>
      <w:r>
        <w:t>Procedure</w:t>
      </w:r>
    </w:p>
    <w:p w14:paraId="74D24776" w14:textId="77777777" w:rsidR="001407D1" w:rsidRPr="001407D1" w:rsidRDefault="001407D1" w:rsidP="001407D1">
      <w:r w:rsidRPr="001407D1">
        <w:t xml:space="preserve">Upon receipt of the referral, the MHJHADS clinicians will arrange a time to complete the Suitability Assessment with the client. The ADS and MHCALS clinicians will review relevant clinical databases prior to the client interview, so they are informed of any new and relevant health information. </w:t>
      </w:r>
    </w:p>
    <w:p w14:paraId="420C6C35" w14:textId="77777777" w:rsidR="001407D1" w:rsidRPr="001407D1" w:rsidRDefault="001407D1" w:rsidP="001407D1"/>
    <w:p w14:paraId="71A00E49" w14:textId="608553C2" w:rsidR="001407D1" w:rsidRPr="001407D1" w:rsidRDefault="001407D1" w:rsidP="001407D1">
      <w:r>
        <w:t xml:space="preserve">The ADS clinician will use the </w:t>
      </w:r>
      <w:r w:rsidRPr="75036DDA">
        <w:rPr>
          <w:i/>
          <w:iCs/>
        </w:rPr>
        <w:t>‘Drug and Alcohol Sentencing List – Suitability Assessment’</w:t>
      </w:r>
      <w:r>
        <w:t xml:space="preserve"> form to complete a strengths-based assessment and gather the required treatment information. This template </w:t>
      </w:r>
      <w:proofErr w:type="gramStart"/>
      <w:r>
        <w:t>is located in</w:t>
      </w:r>
      <w:proofErr w:type="gramEnd"/>
      <w:r>
        <w:t xml:space="preserve"> the ADS folder on the </w:t>
      </w:r>
      <w:r w:rsidR="5E25933D">
        <w:t>CHS</w:t>
      </w:r>
      <w:r>
        <w:t xml:space="preserve"> Q drive. This provides assessment on the following:</w:t>
      </w:r>
    </w:p>
    <w:p w14:paraId="2450E8FA" w14:textId="77777777" w:rsidR="001407D1" w:rsidRPr="001407D1" w:rsidRDefault="001407D1" w:rsidP="001407D1">
      <w:pPr>
        <w:numPr>
          <w:ilvl w:val="0"/>
          <w:numId w:val="1"/>
        </w:numPr>
        <w:tabs>
          <w:tab w:val="clear" w:pos="1080"/>
        </w:tabs>
        <w:ind w:left="426" w:hanging="426"/>
      </w:pPr>
      <w:r w:rsidRPr="001407D1">
        <w:t>accommodation/risk of homelessness</w:t>
      </w:r>
    </w:p>
    <w:p w14:paraId="4F068C5F" w14:textId="77777777" w:rsidR="001407D1" w:rsidRPr="001407D1" w:rsidRDefault="001407D1" w:rsidP="001407D1">
      <w:pPr>
        <w:numPr>
          <w:ilvl w:val="0"/>
          <w:numId w:val="1"/>
        </w:numPr>
        <w:tabs>
          <w:tab w:val="clear" w:pos="1080"/>
        </w:tabs>
        <w:ind w:left="426" w:hanging="426"/>
      </w:pPr>
      <w:r w:rsidRPr="001407D1">
        <w:t>employment and finances</w:t>
      </w:r>
    </w:p>
    <w:p w14:paraId="4943F247" w14:textId="77777777" w:rsidR="001407D1" w:rsidRPr="001407D1" w:rsidRDefault="001407D1" w:rsidP="001407D1">
      <w:pPr>
        <w:numPr>
          <w:ilvl w:val="0"/>
          <w:numId w:val="1"/>
        </w:numPr>
        <w:tabs>
          <w:tab w:val="clear" w:pos="1080"/>
        </w:tabs>
        <w:ind w:left="426" w:hanging="426"/>
      </w:pPr>
      <w:r w:rsidRPr="001407D1">
        <w:t>family history and current relationships</w:t>
      </w:r>
    </w:p>
    <w:p w14:paraId="4EB2587F" w14:textId="77777777" w:rsidR="001407D1" w:rsidRPr="001407D1" w:rsidRDefault="001407D1" w:rsidP="001407D1">
      <w:pPr>
        <w:numPr>
          <w:ilvl w:val="0"/>
          <w:numId w:val="1"/>
        </w:numPr>
        <w:tabs>
          <w:tab w:val="clear" w:pos="1080"/>
        </w:tabs>
        <w:ind w:left="426" w:hanging="426"/>
      </w:pPr>
      <w:r w:rsidRPr="001407D1">
        <w:t>physical health and medical history</w:t>
      </w:r>
    </w:p>
    <w:p w14:paraId="2AF9DDA6" w14:textId="77777777" w:rsidR="001407D1" w:rsidRPr="001407D1" w:rsidRDefault="001407D1" w:rsidP="001407D1">
      <w:pPr>
        <w:numPr>
          <w:ilvl w:val="0"/>
          <w:numId w:val="1"/>
        </w:numPr>
        <w:tabs>
          <w:tab w:val="clear" w:pos="1080"/>
        </w:tabs>
        <w:ind w:left="426" w:hanging="426"/>
      </w:pPr>
      <w:r w:rsidRPr="001407D1">
        <w:t>mental health</w:t>
      </w:r>
    </w:p>
    <w:p w14:paraId="4EB8F728" w14:textId="77777777" w:rsidR="001407D1" w:rsidRPr="001407D1" w:rsidRDefault="001407D1" w:rsidP="001407D1">
      <w:pPr>
        <w:numPr>
          <w:ilvl w:val="0"/>
          <w:numId w:val="1"/>
        </w:numPr>
        <w:tabs>
          <w:tab w:val="clear" w:pos="1080"/>
        </w:tabs>
        <w:ind w:left="426" w:hanging="426"/>
      </w:pPr>
      <w:r w:rsidRPr="001407D1">
        <w:t>suicide risk</w:t>
      </w:r>
    </w:p>
    <w:p w14:paraId="28EE88CF" w14:textId="77777777" w:rsidR="001407D1" w:rsidRPr="001407D1" w:rsidRDefault="001407D1" w:rsidP="001407D1">
      <w:pPr>
        <w:numPr>
          <w:ilvl w:val="0"/>
          <w:numId w:val="1"/>
        </w:numPr>
        <w:tabs>
          <w:tab w:val="clear" w:pos="1080"/>
        </w:tabs>
        <w:ind w:left="426" w:hanging="426"/>
      </w:pPr>
      <w:r w:rsidRPr="001407D1">
        <w:t xml:space="preserve">alcohol, </w:t>
      </w:r>
      <w:proofErr w:type="gramStart"/>
      <w:r w:rsidRPr="001407D1">
        <w:t>tobacco</w:t>
      </w:r>
      <w:proofErr w:type="gramEnd"/>
      <w:r w:rsidRPr="001407D1">
        <w:t xml:space="preserve"> and other drug (ATOD) use</w:t>
      </w:r>
    </w:p>
    <w:p w14:paraId="6203276B" w14:textId="77777777" w:rsidR="001407D1" w:rsidRPr="001407D1" w:rsidRDefault="001407D1" w:rsidP="001407D1">
      <w:pPr>
        <w:numPr>
          <w:ilvl w:val="0"/>
          <w:numId w:val="1"/>
        </w:numPr>
        <w:tabs>
          <w:tab w:val="clear" w:pos="1080"/>
        </w:tabs>
        <w:ind w:left="426" w:hanging="426"/>
      </w:pPr>
      <w:r w:rsidRPr="001407D1">
        <w:t>overdose risk</w:t>
      </w:r>
    </w:p>
    <w:p w14:paraId="2E0C12E2" w14:textId="77777777" w:rsidR="001407D1" w:rsidRPr="001407D1" w:rsidRDefault="001407D1" w:rsidP="001407D1">
      <w:pPr>
        <w:numPr>
          <w:ilvl w:val="0"/>
          <w:numId w:val="1"/>
        </w:numPr>
        <w:tabs>
          <w:tab w:val="clear" w:pos="1080"/>
        </w:tabs>
        <w:ind w:left="426" w:hanging="426"/>
      </w:pPr>
      <w:r w:rsidRPr="001407D1">
        <w:t>gambling</w:t>
      </w:r>
    </w:p>
    <w:p w14:paraId="203D27DE" w14:textId="77777777" w:rsidR="001407D1" w:rsidRPr="001407D1" w:rsidRDefault="001407D1" w:rsidP="001407D1">
      <w:pPr>
        <w:numPr>
          <w:ilvl w:val="0"/>
          <w:numId w:val="1"/>
        </w:numPr>
        <w:tabs>
          <w:tab w:val="clear" w:pos="1080"/>
        </w:tabs>
        <w:ind w:left="426" w:hanging="426"/>
      </w:pPr>
      <w:r w:rsidRPr="001407D1">
        <w:t>current offence circumstances</w:t>
      </w:r>
    </w:p>
    <w:p w14:paraId="652F393A" w14:textId="77777777" w:rsidR="001407D1" w:rsidRPr="001407D1" w:rsidRDefault="001407D1" w:rsidP="001407D1">
      <w:pPr>
        <w:numPr>
          <w:ilvl w:val="0"/>
          <w:numId w:val="1"/>
        </w:numPr>
        <w:tabs>
          <w:tab w:val="clear" w:pos="1080"/>
        </w:tabs>
        <w:ind w:left="426" w:hanging="426"/>
      </w:pPr>
      <w:r w:rsidRPr="001407D1">
        <w:t>safety, domestic and family violence</w:t>
      </w:r>
    </w:p>
    <w:p w14:paraId="5FB34E25" w14:textId="77777777" w:rsidR="001407D1" w:rsidRPr="001407D1" w:rsidRDefault="001407D1" w:rsidP="001407D1">
      <w:pPr>
        <w:numPr>
          <w:ilvl w:val="0"/>
          <w:numId w:val="1"/>
        </w:numPr>
        <w:tabs>
          <w:tab w:val="clear" w:pos="1080"/>
        </w:tabs>
        <w:ind w:left="426" w:hanging="426"/>
      </w:pPr>
      <w:r w:rsidRPr="001407D1">
        <w:t>ATOD treatment history</w:t>
      </w:r>
    </w:p>
    <w:p w14:paraId="7CC9C6BE" w14:textId="77777777" w:rsidR="001407D1" w:rsidRPr="001407D1" w:rsidRDefault="001407D1" w:rsidP="001407D1">
      <w:pPr>
        <w:numPr>
          <w:ilvl w:val="0"/>
          <w:numId w:val="1"/>
        </w:numPr>
        <w:tabs>
          <w:tab w:val="clear" w:pos="1080"/>
        </w:tabs>
        <w:ind w:left="426" w:hanging="426"/>
      </w:pPr>
      <w:r w:rsidRPr="001407D1">
        <w:t>client’s goals</w:t>
      </w:r>
    </w:p>
    <w:p w14:paraId="63DA570A" w14:textId="77777777" w:rsidR="001407D1" w:rsidRPr="001407D1" w:rsidRDefault="001407D1" w:rsidP="001407D1">
      <w:pPr>
        <w:numPr>
          <w:ilvl w:val="0"/>
          <w:numId w:val="1"/>
        </w:numPr>
        <w:tabs>
          <w:tab w:val="clear" w:pos="1080"/>
        </w:tabs>
        <w:ind w:left="426" w:hanging="426"/>
      </w:pPr>
      <w:r w:rsidRPr="001407D1">
        <w:t>compliance with the assessment</w:t>
      </w:r>
    </w:p>
    <w:p w14:paraId="4A4A09C0" w14:textId="77777777" w:rsidR="001407D1" w:rsidRPr="001407D1" w:rsidRDefault="001407D1" w:rsidP="001407D1">
      <w:pPr>
        <w:numPr>
          <w:ilvl w:val="0"/>
          <w:numId w:val="1"/>
        </w:numPr>
        <w:tabs>
          <w:tab w:val="clear" w:pos="1080"/>
        </w:tabs>
        <w:ind w:left="426" w:hanging="426"/>
      </w:pPr>
      <w:r w:rsidRPr="001407D1">
        <w:t>initial treatment matching recommendations</w:t>
      </w:r>
    </w:p>
    <w:p w14:paraId="1564F2E7" w14:textId="77777777" w:rsidR="001407D1" w:rsidRPr="001407D1" w:rsidRDefault="001407D1" w:rsidP="001407D1">
      <w:pPr>
        <w:numPr>
          <w:ilvl w:val="0"/>
          <w:numId w:val="1"/>
        </w:numPr>
        <w:tabs>
          <w:tab w:val="clear" w:pos="1080"/>
        </w:tabs>
        <w:ind w:left="426" w:hanging="426"/>
      </w:pPr>
      <w:r w:rsidRPr="001407D1">
        <w:t>obtain Medicare and Centrelink numbers if known</w:t>
      </w:r>
    </w:p>
    <w:p w14:paraId="5CC74DD3" w14:textId="77777777" w:rsidR="001407D1" w:rsidRPr="001407D1" w:rsidRDefault="001407D1" w:rsidP="001407D1">
      <w:pPr>
        <w:ind w:left="426" w:hanging="426"/>
      </w:pPr>
    </w:p>
    <w:p w14:paraId="6501838C" w14:textId="77777777" w:rsidR="001407D1" w:rsidRPr="001407D1" w:rsidRDefault="001407D1" w:rsidP="008B5FCA">
      <w:pPr>
        <w:spacing w:line="259" w:lineRule="auto"/>
      </w:pPr>
      <w:r w:rsidRPr="001407D1">
        <w:t>During the Suitability Assessment, the ADS clinician will also explain the following to the client, to ensure they understand what would be required of them, if sentenced to a Drug and Alcohol Treatment Order (DATO):</w:t>
      </w:r>
    </w:p>
    <w:p w14:paraId="06208148" w14:textId="77777777" w:rsidR="001407D1" w:rsidRPr="001407D1" w:rsidRDefault="001407D1" w:rsidP="001407D1">
      <w:pPr>
        <w:numPr>
          <w:ilvl w:val="0"/>
          <w:numId w:val="1"/>
        </w:numPr>
        <w:tabs>
          <w:tab w:val="clear" w:pos="1080"/>
        </w:tabs>
        <w:ind w:left="426" w:hanging="426"/>
      </w:pPr>
      <w:r w:rsidRPr="001407D1">
        <w:t>which agencies form part of the treatment team</w:t>
      </w:r>
    </w:p>
    <w:p w14:paraId="280C5E75" w14:textId="77777777" w:rsidR="001407D1" w:rsidRPr="001407D1" w:rsidRDefault="001407D1" w:rsidP="001407D1">
      <w:pPr>
        <w:numPr>
          <w:ilvl w:val="0"/>
          <w:numId w:val="1"/>
        </w:numPr>
        <w:tabs>
          <w:tab w:val="clear" w:pos="1080"/>
        </w:tabs>
        <w:ind w:left="426" w:hanging="426"/>
      </w:pPr>
      <w:r w:rsidRPr="001407D1">
        <w:t>how information sharing occurs between agencies</w:t>
      </w:r>
    </w:p>
    <w:p w14:paraId="7D9063ED" w14:textId="77777777" w:rsidR="001407D1" w:rsidRPr="001407D1" w:rsidRDefault="001407D1" w:rsidP="001407D1">
      <w:pPr>
        <w:numPr>
          <w:ilvl w:val="0"/>
          <w:numId w:val="1"/>
        </w:numPr>
        <w:tabs>
          <w:tab w:val="clear" w:pos="1080"/>
        </w:tabs>
        <w:ind w:left="426" w:hanging="426"/>
      </w:pPr>
      <w:r w:rsidRPr="001407D1">
        <w:t>expectations of the participant</w:t>
      </w:r>
    </w:p>
    <w:p w14:paraId="2756687F" w14:textId="77777777" w:rsidR="001407D1" w:rsidRPr="001407D1" w:rsidRDefault="001407D1" w:rsidP="001407D1">
      <w:pPr>
        <w:numPr>
          <w:ilvl w:val="0"/>
          <w:numId w:val="1"/>
        </w:numPr>
        <w:tabs>
          <w:tab w:val="clear" w:pos="1080"/>
        </w:tabs>
        <w:ind w:left="426" w:hanging="426"/>
      </w:pPr>
      <w:r w:rsidRPr="001407D1">
        <w:t>overview of the DATO phases</w:t>
      </w:r>
    </w:p>
    <w:p w14:paraId="38F38B1B" w14:textId="77777777" w:rsidR="001407D1" w:rsidRPr="001407D1" w:rsidRDefault="001407D1" w:rsidP="001407D1">
      <w:pPr>
        <w:numPr>
          <w:ilvl w:val="0"/>
          <w:numId w:val="1"/>
        </w:numPr>
        <w:tabs>
          <w:tab w:val="clear" w:pos="1080"/>
        </w:tabs>
        <w:ind w:left="426" w:hanging="426"/>
      </w:pPr>
      <w:r w:rsidRPr="001407D1">
        <w:lastRenderedPageBreak/>
        <w:t>explanation of the Behavioural Contract Protocol</w:t>
      </w:r>
    </w:p>
    <w:p w14:paraId="722C62C6" w14:textId="77777777" w:rsidR="001407D1" w:rsidRPr="001407D1" w:rsidRDefault="001407D1" w:rsidP="001407D1">
      <w:pPr>
        <w:numPr>
          <w:ilvl w:val="0"/>
          <w:numId w:val="1"/>
        </w:numPr>
        <w:tabs>
          <w:tab w:val="clear" w:pos="1080"/>
        </w:tabs>
        <w:ind w:left="426" w:hanging="426"/>
      </w:pPr>
      <w:r w:rsidRPr="001407D1">
        <w:t>advise there is no alcohol use in phase one, with a management plan to be developed prior to phase two if appropriate.</w:t>
      </w:r>
    </w:p>
    <w:p w14:paraId="2BD62936" w14:textId="77777777" w:rsidR="001407D1" w:rsidRPr="001407D1" w:rsidRDefault="001407D1" w:rsidP="001407D1">
      <w:pPr>
        <w:ind w:left="426" w:hanging="426"/>
      </w:pPr>
    </w:p>
    <w:p w14:paraId="51F7CA04" w14:textId="77777777" w:rsidR="001407D1" w:rsidRPr="001407D1" w:rsidRDefault="001407D1" w:rsidP="001407D1">
      <w:pPr>
        <w:spacing w:after="160" w:line="259" w:lineRule="auto"/>
      </w:pPr>
      <w:r w:rsidRPr="001407D1">
        <w:t xml:space="preserve">The client will also need to review the </w:t>
      </w:r>
      <w:r w:rsidRPr="001407D1">
        <w:rPr>
          <w:i/>
        </w:rPr>
        <w:t xml:space="preserve">‘DASL – Prescription (Licit) and Illicit Drugs Agreement’ </w:t>
      </w:r>
      <w:r w:rsidRPr="001407D1">
        <w:t xml:space="preserve">form. This </w:t>
      </w:r>
      <w:proofErr w:type="gramStart"/>
      <w:r w:rsidRPr="001407D1">
        <w:t>is located in</w:t>
      </w:r>
      <w:proofErr w:type="gramEnd"/>
      <w:r w:rsidRPr="001407D1">
        <w:t xml:space="preserve"> the ADS folder on the ACT Health Q drive.</w:t>
      </w:r>
    </w:p>
    <w:p w14:paraId="2A0DEDA5" w14:textId="77777777" w:rsidR="001407D1" w:rsidRPr="001407D1" w:rsidRDefault="001407D1" w:rsidP="008B5FCA">
      <w:pPr>
        <w:spacing w:line="259" w:lineRule="auto"/>
      </w:pPr>
      <w:r w:rsidRPr="001407D1">
        <w:t>The Aboriginal Liaison Officer (ALO) will undertake a Cultural Assessment with Aboriginal and/or Torres Strait Islander clients who consent to ALO support. It will focus on gathering the following information:</w:t>
      </w:r>
    </w:p>
    <w:p w14:paraId="7362A5E2" w14:textId="77777777" w:rsidR="001407D1" w:rsidRPr="001407D1" w:rsidRDefault="001407D1" w:rsidP="001407D1">
      <w:pPr>
        <w:numPr>
          <w:ilvl w:val="0"/>
          <w:numId w:val="1"/>
        </w:numPr>
        <w:tabs>
          <w:tab w:val="clear" w:pos="1080"/>
        </w:tabs>
        <w:ind w:left="426" w:hanging="426"/>
      </w:pPr>
      <w:r w:rsidRPr="001407D1">
        <w:t>family history and connections</w:t>
      </w:r>
    </w:p>
    <w:p w14:paraId="2A82D23A" w14:textId="77777777" w:rsidR="001407D1" w:rsidRPr="001407D1" w:rsidRDefault="001407D1" w:rsidP="001407D1">
      <w:pPr>
        <w:numPr>
          <w:ilvl w:val="0"/>
          <w:numId w:val="1"/>
        </w:numPr>
        <w:tabs>
          <w:tab w:val="clear" w:pos="1080"/>
        </w:tabs>
        <w:ind w:left="426" w:hanging="426"/>
      </w:pPr>
      <w:r w:rsidRPr="001407D1">
        <w:t>cultural identity and connection to culture</w:t>
      </w:r>
    </w:p>
    <w:p w14:paraId="77C7D01C" w14:textId="77777777" w:rsidR="001407D1" w:rsidRPr="001407D1" w:rsidRDefault="001407D1" w:rsidP="001407D1">
      <w:pPr>
        <w:numPr>
          <w:ilvl w:val="0"/>
          <w:numId w:val="1"/>
        </w:numPr>
        <w:tabs>
          <w:tab w:val="clear" w:pos="1080"/>
        </w:tabs>
        <w:ind w:left="426" w:hanging="426"/>
      </w:pPr>
      <w:r w:rsidRPr="001407D1">
        <w:t xml:space="preserve">what cultural support is </w:t>
      </w:r>
      <w:proofErr w:type="gramStart"/>
      <w:r w:rsidRPr="001407D1">
        <w:t>desired</w:t>
      </w:r>
      <w:proofErr w:type="gramEnd"/>
    </w:p>
    <w:p w14:paraId="4787C898" w14:textId="77777777" w:rsidR="001407D1" w:rsidRPr="001407D1" w:rsidRDefault="001407D1" w:rsidP="001407D1">
      <w:pPr>
        <w:numPr>
          <w:ilvl w:val="0"/>
          <w:numId w:val="1"/>
        </w:numPr>
        <w:tabs>
          <w:tab w:val="clear" w:pos="1080"/>
        </w:tabs>
        <w:ind w:left="426" w:hanging="426"/>
      </w:pPr>
      <w:r w:rsidRPr="001407D1">
        <w:t>connection to community and supports</w:t>
      </w:r>
    </w:p>
    <w:p w14:paraId="3F2743F7" w14:textId="77777777" w:rsidR="001407D1" w:rsidRPr="001407D1" w:rsidRDefault="001407D1" w:rsidP="001407D1"/>
    <w:p w14:paraId="60671EEA" w14:textId="77777777" w:rsidR="001407D1" w:rsidRPr="001407D1" w:rsidRDefault="001407D1" w:rsidP="001407D1">
      <w:r w:rsidRPr="001407D1">
        <w:t>The MHCALS Brief Mental Health Report will focus on the following items:</w:t>
      </w:r>
    </w:p>
    <w:p w14:paraId="6F19DC15" w14:textId="77777777" w:rsidR="001407D1" w:rsidRPr="001407D1" w:rsidRDefault="001407D1" w:rsidP="001407D1">
      <w:pPr>
        <w:numPr>
          <w:ilvl w:val="0"/>
          <w:numId w:val="1"/>
        </w:numPr>
        <w:tabs>
          <w:tab w:val="clear" w:pos="1080"/>
        </w:tabs>
        <w:ind w:left="426" w:hanging="426"/>
      </w:pPr>
      <w:r w:rsidRPr="001407D1">
        <w:t>current demographics</w:t>
      </w:r>
    </w:p>
    <w:p w14:paraId="4E1D131B" w14:textId="77777777" w:rsidR="001407D1" w:rsidRPr="001407D1" w:rsidRDefault="001407D1" w:rsidP="001407D1">
      <w:pPr>
        <w:numPr>
          <w:ilvl w:val="0"/>
          <w:numId w:val="1"/>
        </w:numPr>
        <w:tabs>
          <w:tab w:val="clear" w:pos="1080"/>
        </w:tabs>
        <w:ind w:left="426" w:hanging="426"/>
      </w:pPr>
      <w:r w:rsidRPr="001407D1">
        <w:t>history of mental health concerns (where available)</w:t>
      </w:r>
    </w:p>
    <w:p w14:paraId="4C72C7DA" w14:textId="77777777" w:rsidR="001407D1" w:rsidRPr="001407D1" w:rsidRDefault="001407D1" w:rsidP="001407D1">
      <w:pPr>
        <w:numPr>
          <w:ilvl w:val="0"/>
          <w:numId w:val="1"/>
        </w:numPr>
        <w:tabs>
          <w:tab w:val="clear" w:pos="1080"/>
        </w:tabs>
        <w:ind w:left="426" w:hanging="426"/>
      </w:pPr>
      <w:r w:rsidRPr="001407D1">
        <w:t>if the client is currently clinically managed by MHJHADS</w:t>
      </w:r>
    </w:p>
    <w:p w14:paraId="6A69D640" w14:textId="77777777" w:rsidR="001407D1" w:rsidRPr="001407D1" w:rsidRDefault="001407D1" w:rsidP="001407D1">
      <w:pPr>
        <w:numPr>
          <w:ilvl w:val="0"/>
          <w:numId w:val="1"/>
        </w:numPr>
        <w:tabs>
          <w:tab w:val="clear" w:pos="1080"/>
        </w:tabs>
        <w:ind w:left="426" w:hanging="426"/>
      </w:pPr>
      <w:r w:rsidRPr="001407D1">
        <w:t>if a current Psychiatric Treatment Order (PTO) is in place</w:t>
      </w:r>
    </w:p>
    <w:p w14:paraId="794D5034" w14:textId="77777777" w:rsidR="001407D1" w:rsidRPr="001407D1" w:rsidRDefault="001407D1" w:rsidP="001407D1">
      <w:pPr>
        <w:numPr>
          <w:ilvl w:val="0"/>
          <w:numId w:val="1"/>
        </w:numPr>
        <w:tabs>
          <w:tab w:val="clear" w:pos="1080"/>
        </w:tabs>
        <w:ind w:left="426" w:hanging="426"/>
      </w:pPr>
      <w:r w:rsidRPr="001407D1">
        <w:t>other mental health care arrangements that may be in place</w:t>
      </w:r>
    </w:p>
    <w:p w14:paraId="260ADDDE" w14:textId="77777777" w:rsidR="001407D1" w:rsidRPr="001407D1" w:rsidRDefault="001407D1" w:rsidP="001407D1">
      <w:pPr>
        <w:numPr>
          <w:ilvl w:val="0"/>
          <w:numId w:val="1"/>
        </w:numPr>
        <w:tabs>
          <w:tab w:val="clear" w:pos="1080"/>
        </w:tabs>
        <w:ind w:left="426" w:hanging="426"/>
      </w:pPr>
      <w:r w:rsidRPr="001407D1">
        <w:t>brief psychiatric assessment</w:t>
      </w:r>
    </w:p>
    <w:p w14:paraId="09EE549C" w14:textId="77777777" w:rsidR="001407D1" w:rsidRPr="001407D1" w:rsidRDefault="001407D1" w:rsidP="001407D1">
      <w:pPr>
        <w:numPr>
          <w:ilvl w:val="0"/>
          <w:numId w:val="1"/>
        </w:numPr>
        <w:tabs>
          <w:tab w:val="clear" w:pos="1080"/>
        </w:tabs>
        <w:ind w:left="426" w:hanging="426"/>
      </w:pPr>
      <w:r w:rsidRPr="001407D1">
        <w:t>recommendations to the DASL including recommendations for intervention pathways and whether the individual’s mental health is likely to significantly impact on their ability to comply with a DATO.</w:t>
      </w:r>
    </w:p>
    <w:p w14:paraId="173098AD" w14:textId="77777777" w:rsidR="001407D1" w:rsidRPr="001407D1" w:rsidRDefault="001407D1" w:rsidP="001407D1"/>
    <w:p w14:paraId="3E5DDA92" w14:textId="77777777" w:rsidR="001407D1" w:rsidRPr="001407D1" w:rsidRDefault="001407D1" w:rsidP="001407D1">
      <w:r w:rsidRPr="001407D1">
        <w:t>If it is identified that other specialised health-related assessments are required, the Health Team will discuss this with the client and make the required referrals.</w:t>
      </w:r>
    </w:p>
    <w:p w14:paraId="3196F5F2" w14:textId="77777777" w:rsidR="001407D1" w:rsidRPr="001407D1" w:rsidRDefault="001407D1" w:rsidP="001407D1">
      <w:pPr>
        <w:ind w:left="426" w:hanging="426"/>
      </w:pPr>
    </w:p>
    <w:p w14:paraId="076615C4" w14:textId="77777777" w:rsidR="001407D1" w:rsidRPr="001407D1" w:rsidRDefault="001407D1" w:rsidP="001407D1">
      <w:pPr>
        <w:ind w:left="426" w:hanging="426"/>
      </w:pPr>
      <w:r w:rsidRPr="001407D1">
        <w:t xml:space="preserve">MHJHADS clinicians will update the clinical record as required, in a timely manner. </w:t>
      </w:r>
    </w:p>
    <w:p w14:paraId="1D3C9864" w14:textId="77777777" w:rsidR="009E120D" w:rsidRDefault="009E120D" w:rsidP="009E120D">
      <w:pPr>
        <w:rPr>
          <w:rFonts w:cs="Arial"/>
          <w:szCs w:val="24"/>
        </w:rPr>
      </w:pPr>
    </w:p>
    <w:p w14:paraId="38AF0208" w14:textId="77777777" w:rsidR="009E120D" w:rsidRDefault="009E120D" w:rsidP="009E120D">
      <w:pPr>
        <w:pStyle w:val="Heading3"/>
      </w:pPr>
      <w:r>
        <w:t>Outcome of the Suitability Assessment</w:t>
      </w:r>
    </w:p>
    <w:p w14:paraId="75A016D5" w14:textId="77777777" w:rsidR="001407D1" w:rsidRPr="001407D1" w:rsidRDefault="001407D1" w:rsidP="001407D1">
      <w:r w:rsidRPr="001407D1">
        <w:t xml:space="preserve">The ADS clinician will provide a report to the Supreme Court that details the outcome of the Suitability Assessment. The report will provide a summary of relevant information gathered and will make initial treatment matching recommendations. The report is to be provided to the Supreme Court by the date provided on the Order for assessment. </w:t>
      </w:r>
    </w:p>
    <w:p w14:paraId="1998EAB5" w14:textId="77777777" w:rsidR="001407D1" w:rsidRPr="001407D1" w:rsidRDefault="001407D1" w:rsidP="001407D1"/>
    <w:p w14:paraId="1A70E903" w14:textId="77777777" w:rsidR="001407D1" w:rsidRPr="001407D1" w:rsidRDefault="001407D1" w:rsidP="001407D1">
      <w:r w:rsidRPr="001407D1">
        <w:t xml:space="preserve">Where a Brief Mental Health Report has been required, the MHCALS clinician will provide the Report directly to the Supreme Court by the date provided on the Order for assessment. </w:t>
      </w:r>
    </w:p>
    <w:p w14:paraId="048F35F9" w14:textId="77777777" w:rsidR="003258EC" w:rsidRDefault="003258EC" w:rsidP="003258EC"/>
    <w:bookmarkEnd w:id="15"/>
    <w:p w14:paraId="2F51A893" w14:textId="77777777" w:rsidR="007B6904" w:rsidRDefault="009E120D" w:rsidP="007B6904">
      <w:pPr>
        <w:jc w:val="right"/>
        <w:rPr>
          <w:rFonts w:cs="Arial"/>
          <w:i/>
          <w:szCs w:val="24"/>
        </w:rPr>
      </w:pPr>
      <w:r>
        <w:fldChar w:fldCharType="begin"/>
      </w:r>
      <w:r>
        <w:instrText xml:space="preserve"> HYPERLINK \l "Contents" </w:instrText>
      </w:r>
      <w:r>
        <w:fldChar w:fldCharType="separate"/>
      </w:r>
      <w:r w:rsidR="007B6904" w:rsidRPr="00590902">
        <w:rPr>
          <w:rStyle w:val="Hyperlink"/>
          <w:rFonts w:cs="Arial"/>
          <w:i/>
          <w:szCs w:val="24"/>
        </w:rPr>
        <w:t>Back to Table of Contents</w:t>
      </w:r>
      <w:r>
        <w:rPr>
          <w:rStyle w:val="Hyperlink"/>
          <w:rFonts w:cs="Arial"/>
          <w:i/>
          <w:szCs w:val="24"/>
        </w:rPr>
        <w:fldChar w:fldCharType="end"/>
      </w:r>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3D61353E" w:rsidR="007B6904" w:rsidRPr="00C76688" w:rsidRDefault="007B6904" w:rsidP="004213C3">
            <w:pPr>
              <w:pStyle w:val="Heading1"/>
            </w:pPr>
            <w:bookmarkStart w:id="18" w:name="_Toc389473281"/>
            <w:bookmarkStart w:id="19" w:name="_Toc71533463"/>
            <w:r w:rsidRPr="00C76688">
              <w:t xml:space="preserve">Section 2 – </w:t>
            </w:r>
            <w:bookmarkEnd w:id="18"/>
            <w:r w:rsidR="003258EC">
              <w:t>Case Management</w:t>
            </w:r>
            <w:bookmarkEnd w:id="19"/>
          </w:p>
        </w:tc>
      </w:tr>
    </w:tbl>
    <w:p w14:paraId="2F51A897" w14:textId="77777777" w:rsidR="007B6904" w:rsidRDefault="007B6904" w:rsidP="007B6904">
      <w:pPr>
        <w:rPr>
          <w:rFonts w:cs="Arial"/>
          <w:b/>
          <w:szCs w:val="24"/>
        </w:rPr>
      </w:pPr>
    </w:p>
    <w:p w14:paraId="2F51A898" w14:textId="33B002B6" w:rsidR="00201FB6" w:rsidRPr="00201FB6" w:rsidRDefault="008B11B7" w:rsidP="003258EC">
      <w:pPr>
        <w:pStyle w:val="Heading2"/>
      </w:pPr>
      <w:bookmarkStart w:id="20" w:name="_Toc71533464"/>
      <w:r>
        <w:lastRenderedPageBreak/>
        <w:t xml:space="preserve">2.1 </w:t>
      </w:r>
      <w:r w:rsidR="003258EC">
        <w:t>Case Management Responsibilities</w:t>
      </w:r>
      <w:bookmarkEnd w:id="20"/>
    </w:p>
    <w:p w14:paraId="41E15FBC" w14:textId="75EB2538" w:rsidR="001407D1" w:rsidRPr="001407D1" w:rsidRDefault="001407D1" w:rsidP="001407D1">
      <w:r w:rsidRPr="001407D1">
        <w:t xml:space="preserve">The Judge holds the primary case management responsibility for participants, and delegates responsibility to members of the DASL Team. The Alcohol and Drug Service (ADS) team and Community Corrections carry separate case management responsibilities. </w:t>
      </w:r>
    </w:p>
    <w:p w14:paraId="7E228DA1" w14:textId="77777777" w:rsidR="001407D1" w:rsidRPr="001407D1" w:rsidRDefault="001407D1" w:rsidP="001407D1">
      <w:pPr>
        <w:rPr>
          <w:rFonts w:cs="Arial"/>
          <w:i/>
          <w:szCs w:val="24"/>
        </w:rPr>
      </w:pPr>
    </w:p>
    <w:p w14:paraId="0EA04DA1" w14:textId="68707339" w:rsidR="001407D1" w:rsidRPr="001407D1" w:rsidRDefault="001407D1" w:rsidP="001407D1">
      <w:pPr>
        <w:rPr>
          <w:rFonts w:cs="Arial"/>
          <w:szCs w:val="24"/>
        </w:rPr>
      </w:pPr>
      <w:r w:rsidRPr="001407D1">
        <w:rPr>
          <w:rFonts w:cs="Arial"/>
          <w:szCs w:val="24"/>
        </w:rPr>
        <w:t xml:space="preserve">The </w:t>
      </w:r>
      <w:r w:rsidR="009C537C">
        <w:rPr>
          <w:rFonts w:cs="Arial"/>
          <w:szCs w:val="24"/>
        </w:rPr>
        <w:t xml:space="preserve">ADS </w:t>
      </w:r>
      <w:r w:rsidRPr="001407D1">
        <w:rPr>
          <w:rFonts w:cs="Arial"/>
          <w:szCs w:val="24"/>
        </w:rPr>
        <w:t>case managers are responsible for:</w:t>
      </w:r>
    </w:p>
    <w:p w14:paraId="36CEE1F2" w14:textId="77777777" w:rsidR="001407D1" w:rsidRPr="001407D1" w:rsidRDefault="001407D1" w:rsidP="001407D1">
      <w:pPr>
        <w:numPr>
          <w:ilvl w:val="0"/>
          <w:numId w:val="1"/>
        </w:numPr>
        <w:tabs>
          <w:tab w:val="clear" w:pos="1080"/>
        </w:tabs>
        <w:ind w:left="426" w:hanging="426"/>
      </w:pPr>
      <w:r w:rsidRPr="001407D1">
        <w:t>engaging with participants during case management appointments to develop and review case plans</w:t>
      </w:r>
    </w:p>
    <w:p w14:paraId="39BECD31" w14:textId="77777777" w:rsidR="001407D1" w:rsidRPr="001407D1" w:rsidRDefault="001407D1" w:rsidP="001407D1">
      <w:pPr>
        <w:numPr>
          <w:ilvl w:val="0"/>
          <w:numId w:val="1"/>
        </w:numPr>
        <w:tabs>
          <w:tab w:val="clear" w:pos="1080"/>
        </w:tabs>
        <w:ind w:left="426" w:hanging="426"/>
      </w:pPr>
      <w:r w:rsidRPr="001407D1">
        <w:t>coordinating referrals to treatment and support services as available</w:t>
      </w:r>
    </w:p>
    <w:p w14:paraId="67D2A731" w14:textId="77777777" w:rsidR="001407D1" w:rsidRPr="001407D1" w:rsidRDefault="001407D1" w:rsidP="001407D1">
      <w:pPr>
        <w:numPr>
          <w:ilvl w:val="0"/>
          <w:numId w:val="1"/>
        </w:numPr>
        <w:tabs>
          <w:tab w:val="clear" w:pos="1080"/>
        </w:tabs>
        <w:ind w:left="426" w:hanging="426"/>
      </w:pPr>
      <w:r w:rsidRPr="001407D1">
        <w:t>liaising with treatment and support services regarding updates on participation</w:t>
      </w:r>
    </w:p>
    <w:p w14:paraId="1764ED34" w14:textId="5EBD2AE0" w:rsidR="001407D1" w:rsidRPr="001407D1" w:rsidRDefault="001407D1" w:rsidP="001407D1">
      <w:pPr>
        <w:numPr>
          <w:ilvl w:val="0"/>
          <w:numId w:val="1"/>
        </w:numPr>
        <w:tabs>
          <w:tab w:val="clear" w:pos="1080"/>
        </w:tabs>
        <w:ind w:left="426" w:hanging="426"/>
      </w:pPr>
      <w:r w:rsidRPr="001407D1">
        <w:t xml:space="preserve">assisting vulnerable </w:t>
      </w:r>
      <w:r w:rsidR="008E06FA">
        <w:t>participants</w:t>
      </w:r>
      <w:r w:rsidRPr="001407D1">
        <w:t xml:space="preserve"> to explore and access available options for transport</w:t>
      </w:r>
    </w:p>
    <w:p w14:paraId="15EC94AC" w14:textId="77777777" w:rsidR="001407D1" w:rsidRPr="001407D1" w:rsidRDefault="001407D1" w:rsidP="001407D1">
      <w:pPr>
        <w:numPr>
          <w:ilvl w:val="0"/>
          <w:numId w:val="1"/>
        </w:numPr>
        <w:tabs>
          <w:tab w:val="clear" w:pos="1080"/>
        </w:tabs>
        <w:ind w:left="426" w:hanging="426"/>
      </w:pPr>
      <w:r w:rsidRPr="001407D1">
        <w:t>providing written copies of proposed case plans and summary reports to the DASL Team and Judge</w:t>
      </w:r>
    </w:p>
    <w:p w14:paraId="3010477A" w14:textId="77777777" w:rsidR="001407D1" w:rsidRPr="001407D1" w:rsidRDefault="001407D1" w:rsidP="001407D1">
      <w:pPr>
        <w:numPr>
          <w:ilvl w:val="0"/>
          <w:numId w:val="1"/>
        </w:numPr>
        <w:tabs>
          <w:tab w:val="clear" w:pos="1080"/>
        </w:tabs>
        <w:ind w:left="426" w:hanging="426"/>
      </w:pPr>
      <w:r w:rsidRPr="001407D1">
        <w:t>ensuring that update reports from external service providers are provided to the DASL Team and Judge</w:t>
      </w:r>
    </w:p>
    <w:p w14:paraId="7B92E79D" w14:textId="77777777" w:rsidR="001407D1" w:rsidRPr="001407D1" w:rsidRDefault="001407D1" w:rsidP="001407D1">
      <w:pPr>
        <w:numPr>
          <w:ilvl w:val="0"/>
          <w:numId w:val="1"/>
        </w:numPr>
        <w:tabs>
          <w:tab w:val="clear" w:pos="1080"/>
        </w:tabs>
        <w:ind w:left="426" w:hanging="426"/>
      </w:pPr>
      <w:r w:rsidRPr="001407D1">
        <w:t>advising the DASL Team in a timely manner if notified that a participant has discharged from, or has withdrawn against advice from, a treatment facility or program</w:t>
      </w:r>
    </w:p>
    <w:p w14:paraId="4DCC5923" w14:textId="77777777" w:rsidR="001407D1" w:rsidRPr="001407D1" w:rsidRDefault="001407D1" w:rsidP="001407D1">
      <w:pPr>
        <w:numPr>
          <w:ilvl w:val="0"/>
          <w:numId w:val="1"/>
        </w:numPr>
        <w:tabs>
          <w:tab w:val="clear" w:pos="1080"/>
        </w:tabs>
        <w:ind w:left="426" w:hanging="426"/>
        <w:rPr>
          <w:color w:val="000000" w:themeColor="text1"/>
        </w:rPr>
      </w:pPr>
      <w:r w:rsidRPr="001407D1">
        <w:rPr>
          <w:color w:val="000000" w:themeColor="text1"/>
        </w:rPr>
        <w:t>the completion of the following tools at the following time points:</w:t>
      </w:r>
    </w:p>
    <w:p w14:paraId="33846B28" w14:textId="77777777" w:rsidR="001407D1" w:rsidRPr="001407D1" w:rsidRDefault="001407D1" w:rsidP="001407D1">
      <w:pPr>
        <w:numPr>
          <w:ilvl w:val="0"/>
          <w:numId w:val="12"/>
        </w:numPr>
        <w:contextualSpacing/>
        <w:rPr>
          <w:rFonts w:cs="Arial"/>
          <w:color w:val="000000" w:themeColor="text1"/>
          <w:szCs w:val="24"/>
        </w:rPr>
      </w:pPr>
      <w:r w:rsidRPr="001407D1">
        <w:rPr>
          <w:rFonts w:cs="Arial"/>
          <w:color w:val="000000" w:themeColor="text1"/>
          <w:szCs w:val="24"/>
        </w:rPr>
        <w:t>Australian Treatment Outcomes Profile (ATOP): start of order, three-month review, commencement of phase three, end of treatment, 12-month follow-up</w:t>
      </w:r>
    </w:p>
    <w:p w14:paraId="7A0FB665" w14:textId="77777777" w:rsidR="001407D1" w:rsidRPr="001407D1" w:rsidRDefault="001407D1" w:rsidP="001407D1">
      <w:pPr>
        <w:numPr>
          <w:ilvl w:val="0"/>
          <w:numId w:val="12"/>
        </w:numPr>
        <w:contextualSpacing/>
        <w:rPr>
          <w:rFonts w:cs="Arial"/>
          <w:color w:val="000000" w:themeColor="text1"/>
          <w:szCs w:val="24"/>
        </w:rPr>
      </w:pPr>
      <w:r w:rsidRPr="001407D1">
        <w:rPr>
          <w:rFonts w:cs="Arial"/>
          <w:color w:val="000000" w:themeColor="text1"/>
          <w:szCs w:val="24"/>
        </w:rPr>
        <w:t>Texas Christian University Drug Screen 5 (TCU5): Screening assessment, start of order, three-month review, commencement of phase three, end of treatment, 12-month follow-up.</w:t>
      </w:r>
    </w:p>
    <w:p w14:paraId="73BDA71B" w14:textId="77777777" w:rsidR="009E120D" w:rsidRDefault="009E120D" w:rsidP="009E120D"/>
    <w:p w14:paraId="2F51A89B" w14:textId="478ECCA1" w:rsidR="00201FB6" w:rsidRPr="00201FB6" w:rsidRDefault="008B11B7" w:rsidP="003258EC">
      <w:pPr>
        <w:pStyle w:val="Heading2"/>
      </w:pPr>
      <w:bookmarkStart w:id="21" w:name="_Toc71533465"/>
      <w:r>
        <w:t xml:space="preserve">2.2 </w:t>
      </w:r>
      <w:r w:rsidR="003258EC">
        <w:t>Participant Induction</w:t>
      </w:r>
      <w:bookmarkEnd w:id="21"/>
    </w:p>
    <w:p w14:paraId="0DE3A364" w14:textId="77777777" w:rsidR="001407D1" w:rsidRPr="001407D1" w:rsidRDefault="001407D1" w:rsidP="001407D1">
      <w:r w:rsidRPr="001407D1">
        <w:t xml:space="preserve">After being sentenced to a DATO, participants will be required to </w:t>
      </w:r>
      <w:proofErr w:type="gramStart"/>
      <w:r w:rsidRPr="001407D1">
        <w:t>make contact with</w:t>
      </w:r>
      <w:proofErr w:type="gramEnd"/>
      <w:r w:rsidRPr="001407D1">
        <w:t xml:space="preserve"> the Alcohol and Drug Services (ADS) case manager or vice versa. The case manager will meet with the participant within the first week of being sentenced, to provide program induction information. The induction will cover:</w:t>
      </w:r>
    </w:p>
    <w:p w14:paraId="70FFF6D6" w14:textId="77777777" w:rsidR="001407D1" w:rsidRPr="001407D1" w:rsidRDefault="001407D1" w:rsidP="001407D1">
      <w:pPr>
        <w:numPr>
          <w:ilvl w:val="0"/>
          <w:numId w:val="1"/>
        </w:numPr>
        <w:tabs>
          <w:tab w:val="clear" w:pos="1080"/>
        </w:tabs>
        <w:ind w:left="426" w:hanging="426"/>
      </w:pPr>
      <w:r w:rsidRPr="001407D1">
        <w:t>the participants’ rights and obligations</w:t>
      </w:r>
    </w:p>
    <w:p w14:paraId="26AD62D5" w14:textId="77777777" w:rsidR="001407D1" w:rsidRPr="001407D1" w:rsidRDefault="001407D1" w:rsidP="001407D1">
      <w:pPr>
        <w:numPr>
          <w:ilvl w:val="0"/>
          <w:numId w:val="1"/>
        </w:numPr>
        <w:tabs>
          <w:tab w:val="clear" w:pos="1080"/>
        </w:tabs>
        <w:ind w:left="426" w:hanging="426"/>
      </w:pPr>
      <w:r w:rsidRPr="001407D1">
        <w:t>expectations of the participant</w:t>
      </w:r>
    </w:p>
    <w:p w14:paraId="64B55F37" w14:textId="77777777" w:rsidR="001407D1" w:rsidRPr="001407D1" w:rsidRDefault="001407D1" w:rsidP="001407D1">
      <w:pPr>
        <w:numPr>
          <w:ilvl w:val="0"/>
          <w:numId w:val="1"/>
        </w:numPr>
        <w:tabs>
          <w:tab w:val="clear" w:pos="1080"/>
        </w:tabs>
        <w:ind w:left="426" w:hanging="426"/>
      </w:pPr>
      <w:r w:rsidRPr="001407D1">
        <w:t>the participants’ treatment order conditions</w:t>
      </w:r>
    </w:p>
    <w:p w14:paraId="1D12B905" w14:textId="77777777" w:rsidR="001407D1" w:rsidRPr="001407D1" w:rsidRDefault="001407D1" w:rsidP="001407D1">
      <w:pPr>
        <w:numPr>
          <w:ilvl w:val="0"/>
          <w:numId w:val="1"/>
        </w:numPr>
        <w:tabs>
          <w:tab w:val="clear" w:pos="1080"/>
        </w:tabs>
        <w:ind w:left="426" w:hanging="426"/>
      </w:pPr>
      <w:r w:rsidRPr="001407D1">
        <w:t>what constitutes non-compliance and the consequences</w:t>
      </w:r>
    </w:p>
    <w:p w14:paraId="7250A7D7" w14:textId="77777777" w:rsidR="001407D1" w:rsidRPr="001407D1" w:rsidRDefault="001407D1" w:rsidP="001407D1">
      <w:pPr>
        <w:numPr>
          <w:ilvl w:val="0"/>
          <w:numId w:val="1"/>
        </w:numPr>
        <w:tabs>
          <w:tab w:val="clear" w:pos="1080"/>
        </w:tabs>
        <w:ind w:left="426" w:hanging="426"/>
      </w:pPr>
      <w:r w:rsidRPr="001407D1">
        <w:t>drug and alcohol testing</w:t>
      </w:r>
    </w:p>
    <w:p w14:paraId="1B43D7B2" w14:textId="77777777" w:rsidR="001407D1" w:rsidRPr="001407D1" w:rsidRDefault="001407D1" w:rsidP="001407D1">
      <w:pPr>
        <w:numPr>
          <w:ilvl w:val="0"/>
          <w:numId w:val="1"/>
        </w:numPr>
        <w:tabs>
          <w:tab w:val="clear" w:pos="1080"/>
        </w:tabs>
        <w:ind w:left="426" w:hanging="426"/>
      </w:pPr>
      <w:r w:rsidRPr="001407D1">
        <w:t>behavioural consequences</w:t>
      </w:r>
    </w:p>
    <w:p w14:paraId="14B6936B" w14:textId="77777777" w:rsidR="001407D1" w:rsidRPr="001407D1" w:rsidRDefault="001407D1" w:rsidP="001407D1">
      <w:pPr>
        <w:numPr>
          <w:ilvl w:val="0"/>
          <w:numId w:val="1"/>
        </w:numPr>
        <w:tabs>
          <w:tab w:val="clear" w:pos="1080"/>
        </w:tabs>
        <w:ind w:left="426" w:hanging="426"/>
      </w:pPr>
      <w:r w:rsidRPr="001407D1">
        <w:t>consent for sharing information</w:t>
      </w:r>
    </w:p>
    <w:p w14:paraId="3B423BD9" w14:textId="77777777" w:rsidR="001407D1" w:rsidRPr="001407D1" w:rsidRDefault="001407D1" w:rsidP="001407D1">
      <w:pPr>
        <w:numPr>
          <w:ilvl w:val="0"/>
          <w:numId w:val="1"/>
        </w:numPr>
        <w:tabs>
          <w:tab w:val="clear" w:pos="1080"/>
        </w:tabs>
        <w:ind w:left="426" w:hanging="426"/>
      </w:pPr>
      <w:r w:rsidRPr="001407D1">
        <w:t>completion of the ATOP</w:t>
      </w:r>
    </w:p>
    <w:p w14:paraId="76FED4B6" w14:textId="77777777" w:rsidR="001407D1" w:rsidRPr="001407D1" w:rsidRDefault="001407D1" w:rsidP="001407D1">
      <w:pPr>
        <w:numPr>
          <w:ilvl w:val="0"/>
          <w:numId w:val="1"/>
        </w:numPr>
        <w:tabs>
          <w:tab w:val="clear" w:pos="1080"/>
        </w:tabs>
        <w:ind w:left="426" w:hanging="426"/>
      </w:pPr>
      <w:r w:rsidRPr="001407D1">
        <w:t>arrangement of a time for the next case management meeting.</w:t>
      </w:r>
    </w:p>
    <w:p w14:paraId="22699BB9" w14:textId="77777777" w:rsidR="009E120D" w:rsidRPr="009E120D" w:rsidRDefault="009E120D" w:rsidP="009E120D"/>
    <w:p w14:paraId="29A5D032" w14:textId="572B0A6E" w:rsidR="003258EC" w:rsidRDefault="008B11B7" w:rsidP="003258EC">
      <w:pPr>
        <w:pStyle w:val="Heading2"/>
      </w:pPr>
      <w:bookmarkStart w:id="22" w:name="_Toc71533466"/>
      <w:r>
        <w:t xml:space="preserve">2.3 </w:t>
      </w:r>
      <w:r w:rsidR="003258EC">
        <w:t>Stepped Care and Treatment Options</w:t>
      </w:r>
      <w:bookmarkEnd w:id="22"/>
    </w:p>
    <w:p w14:paraId="31E742FF" w14:textId="77777777" w:rsidR="001407D1" w:rsidRPr="001407D1" w:rsidRDefault="001407D1" w:rsidP="001407D1">
      <w:r w:rsidRPr="001407D1">
        <w:t xml:space="preserve">A ‘stepped care’ model will form the basis for alcohol and other drug (AOD) treatment </w:t>
      </w:r>
      <w:r w:rsidRPr="001407D1">
        <w:tab/>
        <w:t xml:space="preserve">      for the DASL. This model first uses the least intensive intervention that is likely to be effective, only stepping-up in intensity if the participant requires more intensive support. </w:t>
      </w:r>
      <w:r w:rsidRPr="001407D1">
        <w:lastRenderedPageBreak/>
        <w:t>Participants will ‘step-up’ to more intensive treatment or ‘step-down’ to a less intensive AOD treatment modality based on treatment need only.</w:t>
      </w:r>
    </w:p>
    <w:p w14:paraId="10020742" w14:textId="77777777" w:rsidR="001407D1" w:rsidRPr="001407D1" w:rsidRDefault="001407D1" w:rsidP="001407D1"/>
    <w:p w14:paraId="38DD218E" w14:textId="77777777" w:rsidR="001407D1" w:rsidRPr="001407D1" w:rsidRDefault="001407D1" w:rsidP="001407D1">
      <w:r w:rsidRPr="001407D1">
        <w:t>A range of treatment options and other health-related services will be available for participants who are undertaking a DATO. A participant’s AOD treatment will be based on treatment need. This program may include specialist services such as:</w:t>
      </w:r>
    </w:p>
    <w:p w14:paraId="165D0F5E" w14:textId="77777777" w:rsidR="001407D1" w:rsidRPr="001407D1" w:rsidRDefault="001407D1" w:rsidP="001407D1">
      <w:pPr>
        <w:numPr>
          <w:ilvl w:val="0"/>
          <w:numId w:val="1"/>
        </w:numPr>
        <w:tabs>
          <w:tab w:val="clear" w:pos="1080"/>
        </w:tabs>
        <w:ind w:left="426" w:hanging="426"/>
      </w:pPr>
      <w:r w:rsidRPr="001407D1">
        <w:t>withdrawal treatment services</w:t>
      </w:r>
    </w:p>
    <w:p w14:paraId="0B234744" w14:textId="77777777" w:rsidR="001407D1" w:rsidRPr="001407D1" w:rsidRDefault="001407D1" w:rsidP="001407D1">
      <w:pPr>
        <w:numPr>
          <w:ilvl w:val="0"/>
          <w:numId w:val="1"/>
        </w:numPr>
        <w:tabs>
          <w:tab w:val="clear" w:pos="1080"/>
        </w:tabs>
        <w:ind w:left="426" w:hanging="426"/>
      </w:pPr>
      <w:r w:rsidRPr="001407D1">
        <w:t>Addiction Medicine Specialists</w:t>
      </w:r>
    </w:p>
    <w:p w14:paraId="6371C56E" w14:textId="77777777" w:rsidR="001407D1" w:rsidRPr="001407D1" w:rsidRDefault="001407D1" w:rsidP="001407D1">
      <w:pPr>
        <w:numPr>
          <w:ilvl w:val="0"/>
          <w:numId w:val="1"/>
        </w:numPr>
        <w:tabs>
          <w:tab w:val="clear" w:pos="1080"/>
        </w:tabs>
        <w:ind w:left="426" w:hanging="426"/>
      </w:pPr>
      <w:r w:rsidRPr="001407D1">
        <w:t>residential AOD treatment services</w:t>
      </w:r>
    </w:p>
    <w:p w14:paraId="1EB002FA" w14:textId="77777777" w:rsidR="001407D1" w:rsidRPr="001407D1" w:rsidRDefault="001407D1" w:rsidP="001407D1">
      <w:pPr>
        <w:numPr>
          <w:ilvl w:val="0"/>
          <w:numId w:val="1"/>
        </w:numPr>
        <w:tabs>
          <w:tab w:val="clear" w:pos="1080"/>
        </w:tabs>
        <w:ind w:left="426" w:hanging="426"/>
      </w:pPr>
      <w:r w:rsidRPr="001407D1">
        <w:t>day programs</w:t>
      </w:r>
    </w:p>
    <w:p w14:paraId="616EE784" w14:textId="77777777" w:rsidR="001407D1" w:rsidRPr="001407D1" w:rsidRDefault="001407D1" w:rsidP="001407D1">
      <w:pPr>
        <w:numPr>
          <w:ilvl w:val="0"/>
          <w:numId w:val="1"/>
        </w:numPr>
        <w:tabs>
          <w:tab w:val="clear" w:pos="1080"/>
        </w:tabs>
        <w:ind w:left="426" w:hanging="426"/>
      </w:pPr>
      <w:r w:rsidRPr="001407D1">
        <w:t>pharmacotherapy</w:t>
      </w:r>
    </w:p>
    <w:p w14:paraId="76B4A3B8" w14:textId="77777777" w:rsidR="001407D1" w:rsidRPr="001407D1" w:rsidRDefault="001407D1" w:rsidP="001407D1">
      <w:pPr>
        <w:numPr>
          <w:ilvl w:val="0"/>
          <w:numId w:val="1"/>
        </w:numPr>
        <w:tabs>
          <w:tab w:val="clear" w:pos="1080"/>
        </w:tabs>
        <w:ind w:left="426" w:hanging="426"/>
      </w:pPr>
      <w:r w:rsidRPr="001407D1">
        <w:t>individual counselling</w:t>
      </w:r>
    </w:p>
    <w:p w14:paraId="0AF9B1D9" w14:textId="77777777" w:rsidR="001407D1" w:rsidRPr="001407D1" w:rsidRDefault="001407D1" w:rsidP="001407D1">
      <w:pPr>
        <w:numPr>
          <w:ilvl w:val="0"/>
          <w:numId w:val="1"/>
        </w:numPr>
        <w:tabs>
          <w:tab w:val="clear" w:pos="1080"/>
        </w:tabs>
        <w:ind w:left="426" w:hanging="426"/>
      </w:pPr>
      <w:r w:rsidRPr="001407D1">
        <w:t>group programs</w:t>
      </w:r>
    </w:p>
    <w:p w14:paraId="282889CE" w14:textId="77777777" w:rsidR="001407D1" w:rsidRPr="001407D1" w:rsidRDefault="001407D1" w:rsidP="001407D1">
      <w:pPr>
        <w:numPr>
          <w:ilvl w:val="0"/>
          <w:numId w:val="1"/>
        </w:numPr>
        <w:tabs>
          <w:tab w:val="clear" w:pos="1080"/>
        </w:tabs>
        <w:ind w:left="426" w:hanging="426"/>
      </w:pPr>
      <w:r w:rsidRPr="001407D1">
        <w:t>other health or social services, as required such as referral to Mental Health Services, Blood Borne Virus (BBV) screening and Hepatitis C treatments.</w:t>
      </w:r>
    </w:p>
    <w:p w14:paraId="363B719D" w14:textId="77777777" w:rsidR="001407D1" w:rsidRPr="001407D1" w:rsidRDefault="001407D1" w:rsidP="001407D1">
      <w:pPr>
        <w:ind w:left="284"/>
      </w:pPr>
    </w:p>
    <w:p w14:paraId="21825C58" w14:textId="77777777" w:rsidR="001407D1" w:rsidRPr="001407D1" w:rsidRDefault="001407D1" w:rsidP="001407D1">
      <w:r w:rsidRPr="001407D1">
        <w:t>The inclusion of a treatment option in a participant’s case plan is determined:</w:t>
      </w:r>
    </w:p>
    <w:p w14:paraId="211D5A50" w14:textId="77777777" w:rsidR="001407D1" w:rsidRPr="001407D1" w:rsidRDefault="001407D1" w:rsidP="001407D1">
      <w:pPr>
        <w:numPr>
          <w:ilvl w:val="0"/>
          <w:numId w:val="1"/>
        </w:numPr>
        <w:tabs>
          <w:tab w:val="clear" w:pos="1080"/>
        </w:tabs>
        <w:ind w:left="426" w:hanging="426"/>
      </w:pPr>
      <w:r w:rsidRPr="001407D1">
        <w:t>by treatment need, as assessed by the ADS team</w:t>
      </w:r>
    </w:p>
    <w:p w14:paraId="7E1E6755" w14:textId="77777777" w:rsidR="001407D1" w:rsidRPr="001407D1" w:rsidRDefault="001407D1" w:rsidP="001407D1">
      <w:pPr>
        <w:numPr>
          <w:ilvl w:val="0"/>
          <w:numId w:val="1"/>
        </w:numPr>
        <w:tabs>
          <w:tab w:val="clear" w:pos="1080"/>
        </w:tabs>
        <w:ind w:left="426" w:hanging="426"/>
      </w:pPr>
      <w:r w:rsidRPr="001407D1">
        <w:t>with the participant’s consent</w:t>
      </w:r>
    </w:p>
    <w:p w14:paraId="6F6F1186" w14:textId="77777777" w:rsidR="001407D1" w:rsidRPr="001407D1" w:rsidRDefault="001407D1" w:rsidP="001407D1">
      <w:pPr>
        <w:numPr>
          <w:ilvl w:val="0"/>
          <w:numId w:val="1"/>
        </w:numPr>
        <w:tabs>
          <w:tab w:val="clear" w:pos="1080"/>
        </w:tabs>
        <w:ind w:left="426" w:hanging="426"/>
      </w:pPr>
      <w:r w:rsidRPr="001407D1">
        <w:t>by availability of treatment services</w:t>
      </w:r>
    </w:p>
    <w:p w14:paraId="13004661" w14:textId="77777777" w:rsidR="001407D1" w:rsidRPr="001407D1" w:rsidRDefault="001407D1" w:rsidP="001407D1">
      <w:pPr>
        <w:numPr>
          <w:ilvl w:val="0"/>
          <w:numId w:val="1"/>
        </w:numPr>
        <w:tabs>
          <w:tab w:val="clear" w:pos="1080"/>
        </w:tabs>
        <w:ind w:left="426" w:hanging="426"/>
      </w:pPr>
      <w:r w:rsidRPr="001407D1">
        <w:t>in consultation with the Court.</w:t>
      </w:r>
    </w:p>
    <w:p w14:paraId="49E431D8" w14:textId="77777777" w:rsidR="009E120D" w:rsidRDefault="009E120D" w:rsidP="009E120D"/>
    <w:p w14:paraId="574B0180" w14:textId="57E83AAE" w:rsidR="003258EC" w:rsidRDefault="008B11B7" w:rsidP="003258EC">
      <w:pPr>
        <w:pStyle w:val="Heading2"/>
      </w:pPr>
      <w:bookmarkStart w:id="23" w:name="_Toc71533467"/>
      <w:r>
        <w:t xml:space="preserve">2.4 </w:t>
      </w:r>
      <w:r w:rsidR="003258EC">
        <w:t>Case Plans and Review</w:t>
      </w:r>
      <w:bookmarkEnd w:id="23"/>
    </w:p>
    <w:p w14:paraId="4C4B230B" w14:textId="3F5D635B" w:rsidR="001407D1" w:rsidRPr="001407D1" w:rsidRDefault="001407D1" w:rsidP="001407D1">
      <w:r w:rsidRPr="001407D1">
        <w:t>The case manager will develop an individualised case plan with each</w:t>
      </w:r>
      <w:r w:rsidR="00A06171">
        <w:t xml:space="preserve"> </w:t>
      </w:r>
      <w:proofErr w:type="gramStart"/>
      <w:r w:rsidR="00A06171">
        <w:t>client</w:t>
      </w:r>
      <w:r w:rsidR="00A26357">
        <w:t xml:space="preserve"> </w:t>
      </w:r>
      <w:r w:rsidRPr="001407D1">
        <w:t>.</w:t>
      </w:r>
      <w:proofErr w:type="gramEnd"/>
      <w:r w:rsidRPr="001407D1">
        <w:t xml:space="preserve"> This will consider the following elements:</w:t>
      </w:r>
    </w:p>
    <w:p w14:paraId="798C387B" w14:textId="77777777" w:rsidR="001407D1" w:rsidRPr="001407D1" w:rsidRDefault="001407D1" w:rsidP="001407D1">
      <w:pPr>
        <w:numPr>
          <w:ilvl w:val="0"/>
          <w:numId w:val="1"/>
        </w:numPr>
        <w:tabs>
          <w:tab w:val="clear" w:pos="1080"/>
        </w:tabs>
        <w:ind w:left="426" w:hanging="426"/>
      </w:pPr>
      <w:r w:rsidRPr="001407D1">
        <w:t xml:space="preserve">alcohol, </w:t>
      </w:r>
      <w:proofErr w:type="gramStart"/>
      <w:r w:rsidRPr="001407D1">
        <w:t>tobacco</w:t>
      </w:r>
      <w:proofErr w:type="gramEnd"/>
      <w:r w:rsidRPr="001407D1">
        <w:t xml:space="preserve"> and other drug (ATOD) treatment</w:t>
      </w:r>
    </w:p>
    <w:p w14:paraId="135FBE92" w14:textId="77777777" w:rsidR="001407D1" w:rsidRPr="001407D1" w:rsidRDefault="001407D1" w:rsidP="001407D1">
      <w:pPr>
        <w:numPr>
          <w:ilvl w:val="0"/>
          <w:numId w:val="1"/>
        </w:numPr>
        <w:tabs>
          <w:tab w:val="clear" w:pos="1080"/>
        </w:tabs>
        <w:ind w:left="426" w:hanging="426"/>
      </w:pPr>
      <w:r w:rsidRPr="001407D1">
        <w:t>other physical or mental health treatment needs</w:t>
      </w:r>
    </w:p>
    <w:p w14:paraId="5B1EB27E" w14:textId="77777777" w:rsidR="001407D1" w:rsidRPr="001407D1" w:rsidRDefault="001407D1" w:rsidP="001407D1">
      <w:pPr>
        <w:numPr>
          <w:ilvl w:val="0"/>
          <w:numId w:val="1"/>
        </w:numPr>
        <w:tabs>
          <w:tab w:val="clear" w:pos="1080"/>
        </w:tabs>
        <w:ind w:left="426" w:hanging="426"/>
      </w:pPr>
      <w:r w:rsidRPr="001407D1">
        <w:t>social or relationship support needs</w:t>
      </w:r>
    </w:p>
    <w:p w14:paraId="43B2623E" w14:textId="77777777" w:rsidR="001407D1" w:rsidRPr="001407D1" w:rsidRDefault="001407D1" w:rsidP="001407D1">
      <w:pPr>
        <w:numPr>
          <w:ilvl w:val="0"/>
          <w:numId w:val="1"/>
        </w:numPr>
        <w:tabs>
          <w:tab w:val="clear" w:pos="1080"/>
        </w:tabs>
        <w:ind w:left="426" w:hanging="426"/>
      </w:pPr>
      <w:r w:rsidRPr="001407D1">
        <w:t>housing support needs</w:t>
      </w:r>
    </w:p>
    <w:p w14:paraId="2D6FAF87" w14:textId="77777777" w:rsidR="001407D1" w:rsidRPr="001407D1" w:rsidRDefault="001407D1" w:rsidP="001407D1">
      <w:pPr>
        <w:numPr>
          <w:ilvl w:val="0"/>
          <w:numId w:val="1"/>
        </w:numPr>
        <w:tabs>
          <w:tab w:val="clear" w:pos="1080"/>
        </w:tabs>
        <w:ind w:left="426" w:hanging="426"/>
      </w:pPr>
      <w:r w:rsidRPr="001407D1">
        <w:t>financial, education and employment needs</w:t>
      </w:r>
    </w:p>
    <w:p w14:paraId="30ADA111" w14:textId="77777777" w:rsidR="001407D1" w:rsidRPr="001407D1" w:rsidRDefault="001407D1" w:rsidP="001407D1">
      <w:pPr>
        <w:numPr>
          <w:ilvl w:val="0"/>
          <w:numId w:val="1"/>
        </w:numPr>
        <w:tabs>
          <w:tab w:val="clear" w:pos="1080"/>
        </w:tabs>
        <w:ind w:left="426" w:hanging="426"/>
      </w:pPr>
      <w:r w:rsidRPr="001407D1">
        <w:t>culturally specific needs, with advice from the Aboriginal Liaison Officer (ALO).</w:t>
      </w:r>
    </w:p>
    <w:p w14:paraId="1008C68C" w14:textId="77777777" w:rsidR="001407D1" w:rsidRPr="001407D1" w:rsidRDefault="001407D1" w:rsidP="001407D1"/>
    <w:p w14:paraId="3BB59345" w14:textId="77777777" w:rsidR="001407D1" w:rsidRPr="001407D1" w:rsidRDefault="001407D1" w:rsidP="001407D1">
      <w:r w:rsidRPr="001407D1">
        <w:t>The purpose of the case plan that is developed with the case manager is to ensure:</w:t>
      </w:r>
    </w:p>
    <w:p w14:paraId="3FDF9090" w14:textId="77777777" w:rsidR="001407D1" w:rsidRPr="001407D1" w:rsidRDefault="001407D1" w:rsidP="001407D1">
      <w:pPr>
        <w:numPr>
          <w:ilvl w:val="0"/>
          <w:numId w:val="1"/>
        </w:numPr>
        <w:tabs>
          <w:tab w:val="clear" w:pos="1080"/>
        </w:tabs>
        <w:ind w:left="426" w:hanging="426"/>
      </w:pPr>
      <w:r w:rsidRPr="001407D1">
        <w:t>agreed understanding of which services the participant will engage with</w:t>
      </w:r>
    </w:p>
    <w:p w14:paraId="7EB9BDA0" w14:textId="77777777" w:rsidR="001407D1" w:rsidRPr="001407D1" w:rsidRDefault="001407D1" w:rsidP="001407D1">
      <w:pPr>
        <w:numPr>
          <w:ilvl w:val="0"/>
          <w:numId w:val="1"/>
        </w:numPr>
        <w:tabs>
          <w:tab w:val="clear" w:pos="1080"/>
        </w:tabs>
        <w:ind w:left="426" w:hanging="426"/>
      </w:pPr>
      <w:r w:rsidRPr="001407D1">
        <w:t>the service type that will be provided</w:t>
      </w:r>
    </w:p>
    <w:p w14:paraId="36AC90BF" w14:textId="77777777" w:rsidR="001407D1" w:rsidRPr="001407D1" w:rsidRDefault="001407D1" w:rsidP="001407D1">
      <w:pPr>
        <w:numPr>
          <w:ilvl w:val="0"/>
          <w:numId w:val="1"/>
        </w:numPr>
        <w:tabs>
          <w:tab w:val="clear" w:pos="1080"/>
        </w:tabs>
        <w:ind w:left="426" w:hanging="426"/>
      </w:pPr>
      <w:r w:rsidRPr="001407D1">
        <w:t>the frequency of engagement</w:t>
      </w:r>
    </w:p>
    <w:p w14:paraId="1539BF57" w14:textId="77777777" w:rsidR="001407D1" w:rsidRPr="001407D1" w:rsidRDefault="001407D1" w:rsidP="001407D1">
      <w:pPr>
        <w:numPr>
          <w:ilvl w:val="0"/>
          <w:numId w:val="1"/>
        </w:numPr>
        <w:tabs>
          <w:tab w:val="clear" w:pos="1080"/>
        </w:tabs>
        <w:ind w:left="426" w:hanging="426"/>
      </w:pPr>
      <w:r w:rsidRPr="001407D1">
        <w:t>provide support to engage with services.</w:t>
      </w:r>
    </w:p>
    <w:p w14:paraId="636E18D0" w14:textId="77777777" w:rsidR="001407D1" w:rsidRPr="001407D1" w:rsidRDefault="001407D1" w:rsidP="001407D1"/>
    <w:p w14:paraId="11BAC3D9" w14:textId="77777777" w:rsidR="001407D1" w:rsidRPr="001407D1" w:rsidRDefault="001407D1" w:rsidP="001407D1">
      <w:r w:rsidRPr="001407D1">
        <w:t>External service providers are then able to develop individualised treatment plans with participants, which are tailored to their specific therapeutic needs.</w:t>
      </w:r>
    </w:p>
    <w:p w14:paraId="44F81EF8" w14:textId="77777777" w:rsidR="001407D1" w:rsidRPr="001407D1" w:rsidRDefault="001407D1" w:rsidP="001407D1"/>
    <w:p w14:paraId="7DC8E057" w14:textId="77777777" w:rsidR="001407D1" w:rsidRPr="001407D1" w:rsidRDefault="001407D1" w:rsidP="001407D1">
      <w:r w:rsidRPr="001407D1">
        <w:t xml:space="preserve">The initial case plan will be developed using the information that was collected during the Suitability Assessment, prior to sentencing. Throughout ongoing case management appointments, the case manager will continue to engage with the participant to gather the </w:t>
      </w:r>
      <w:r w:rsidRPr="001407D1">
        <w:lastRenderedPageBreak/>
        <w:t>information required to inform case plan review. Through a collaborative process, participants can be ‘stepped up’ or ‘stepped down’ in treatment, in accordance with treatment need.</w:t>
      </w:r>
    </w:p>
    <w:p w14:paraId="1E53580D" w14:textId="77777777" w:rsidR="001407D1" w:rsidRPr="001407D1" w:rsidRDefault="001407D1" w:rsidP="001407D1"/>
    <w:p w14:paraId="7E65BAAB" w14:textId="13EAEA19" w:rsidR="001407D1" w:rsidRPr="001407D1" w:rsidRDefault="001407D1" w:rsidP="001407D1">
      <w:r>
        <w:t>An initial case plan will be developed during the Suitability Assessment. This will enable referrals to be made to, and considered by</w:t>
      </w:r>
      <w:r w:rsidR="696A7491">
        <w:t>,</w:t>
      </w:r>
      <w:r>
        <w:t xml:space="preserve"> external treatment service providers for capacity and suitability. In this way, the Judge will be advised about the availability of the proposed treatment, to inform sentencing. </w:t>
      </w:r>
    </w:p>
    <w:p w14:paraId="1FB72B0F" w14:textId="77777777" w:rsidR="001407D1" w:rsidRPr="001407D1" w:rsidRDefault="001407D1" w:rsidP="001407D1"/>
    <w:p w14:paraId="50FB9885" w14:textId="77777777" w:rsidR="001407D1" w:rsidRPr="001407D1" w:rsidRDefault="001407D1" w:rsidP="001407D1">
      <w:r w:rsidRPr="001407D1">
        <w:t xml:space="preserve">Where a participant is engaged in community based treatment with an external service provider, the ADS case manager is responsible for the completion of any case management responsibilities. </w:t>
      </w:r>
    </w:p>
    <w:p w14:paraId="5F16F763" w14:textId="77777777" w:rsidR="001407D1" w:rsidRPr="001407D1" w:rsidRDefault="001407D1" w:rsidP="001407D1"/>
    <w:p w14:paraId="0F1D7F56" w14:textId="77777777" w:rsidR="001407D1" w:rsidRPr="001407D1" w:rsidRDefault="001407D1" w:rsidP="001407D1">
      <w:r w:rsidRPr="001407D1">
        <w:t xml:space="preserve">Where a participant is undertaking residential rehabilitation, the primary focus of the case plan will be for the participant to engage in that program. Where there are additional treatment needs identified that are within the usual scope of that program, they </w:t>
      </w:r>
      <w:proofErr w:type="gramStart"/>
      <w:r w:rsidRPr="001407D1">
        <w:t>are able to</w:t>
      </w:r>
      <w:proofErr w:type="gramEnd"/>
      <w:r w:rsidRPr="001407D1">
        <w:t xml:space="preserve"> be carried out by that program in accordance with current practices. If there are treatment needs that extend beyond the scope of that program, the external service provider will liaise with the ADS case manager for assistance in coordinating the support that is required. </w:t>
      </w:r>
    </w:p>
    <w:p w14:paraId="79AACF12" w14:textId="77777777" w:rsidR="001407D1" w:rsidRPr="001407D1" w:rsidRDefault="001407D1" w:rsidP="001407D1"/>
    <w:p w14:paraId="28D6D4A9" w14:textId="77777777" w:rsidR="001407D1" w:rsidRPr="001407D1" w:rsidRDefault="001407D1" w:rsidP="001407D1">
      <w:r w:rsidRPr="001407D1">
        <w:t xml:space="preserve">One month prior to the completion of a residential rehabilitation program, the case manager, DASL participant and the external service provider will meet, to ensure continuity of care and the provision of appropriate supports on transition back to the community. </w:t>
      </w:r>
    </w:p>
    <w:p w14:paraId="54A91941" w14:textId="77777777" w:rsidR="001407D1" w:rsidRPr="001407D1" w:rsidRDefault="001407D1" w:rsidP="001407D1"/>
    <w:p w14:paraId="763AC5DA" w14:textId="58FFDD30" w:rsidR="001407D1" w:rsidRPr="001407D1" w:rsidRDefault="001407D1" w:rsidP="001407D1">
      <w:r w:rsidRPr="001407D1">
        <w:t xml:space="preserve">A Community Corrections Officer (CCO) will develop a sentence management plan for each participant. To ensure there is no conflicting information between these plans and the role of each agency is clear, these will be discussed during the DASL team conferences. </w:t>
      </w:r>
    </w:p>
    <w:p w14:paraId="47C523F9" w14:textId="77777777" w:rsidR="001407D1" w:rsidRPr="001407D1" w:rsidRDefault="001407D1" w:rsidP="001407D1"/>
    <w:p w14:paraId="7101D0F6" w14:textId="77777777" w:rsidR="001407D1" w:rsidRPr="001407D1" w:rsidRDefault="001407D1" w:rsidP="001407D1">
      <w:r w:rsidRPr="001407D1">
        <w:t xml:space="preserve">Where appropriate, external service providers or other agencies can be invited to be involved in the development and review of the case plan. </w:t>
      </w:r>
    </w:p>
    <w:p w14:paraId="6DBA4E79" w14:textId="77777777" w:rsidR="001407D1" w:rsidRPr="001407D1" w:rsidRDefault="001407D1" w:rsidP="001407D1"/>
    <w:p w14:paraId="1F616162" w14:textId="77777777" w:rsidR="001407D1" w:rsidRPr="001407D1" w:rsidRDefault="001407D1" w:rsidP="001407D1">
      <w:r w:rsidRPr="001407D1">
        <w:t>A case plan may be reviewed:</w:t>
      </w:r>
    </w:p>
    <w:p w14:paraId="75E1B5F4" w14:textId="77777777" w:rsidR="001407D1" w:rsidRPr="001407D1" w:rsidRDefault="001407D1" w:rsidP="001407D1">
      <w:pPr>
        <w:numPr>
          <w:ilvl w:val="0"/>
          <w:numId w:val="1"/>
        </w:numPr>
        <w:tabs>
          <w:tab w:val="clear" w:pos="1080"/>
        </w:tabs>
        <w:ind w:left="426" w:hanging="426"/>
      </w:pPr>
      <w:r w:rsidRPr="001407D1">
        <w:t>prior to progression to a new phase</w:t>
      </w:r>
    </w:p>
    <w:p w14:paraId="6F0E4B2C" w14:textId="77777777" w:rsidR="001407D1" w:rsidRPr="001407D1" w:rsidRDefault="001407D1" w:rsidP="001407D1">
      <w:pPr>
        <w:numPr>
          <w:ilvl w:val="0"/>
          <w:numId w:val="1"/>
        </w:numPr>
        <w:tabs>
          <w:tab w:val="clear" w:pos="1080"/>
        </w:tabs>
        <w:ind w:left="426" w:hanging="426"/>
      </w:pPr>
      <w:r w:rsidRPr="001407D1">
        <w:t>upon returning to a previous phase</w:t>
      </w:r>
    </w:p>
    <w:p w14:paraId="1266C8CE" w14:textId="77777777" w:rsidR="001407D1" w:rsidRPr="001407D1" w:rsidRDefault="001407D1" w:rsidP="001407D1">
      <w:pPr>
        <w:numPr>
          <w:ilvl w:val="0"/>
          <w:numId w:val="1"/>
        </w:numPr>
        <w:tabs>
          <w:tab w:val="clear" w:pos="1080"/>
        </w:tabs>
        <w:ind w:left="426" w:hanging="426"/>
      </w:pPr>
      <w:r w:rsidRPr="001407D1">
        <w:t>when it appears the participant may benefit from an alternative form of treatment</w:t>
      </w:r>
    </w:p>
    <w:p w14:paraId="0C323705" w14:textId="77777777" w:rsidR="001407D1" w:rsidRPr="001407D1" w:rsidRDefault="001407D1" w:rsidP="001407D1">
      <w:pPr>
        <w:numPr>
          <w:ilvl w:val="0"/>
          <w:numId w:val="1"/>
        </w:numPr>
        <w:tabs>
          <w:tab w:val="clear" w:pos="1080"/>
        </w:tabs>
        <w:ind w:left="426" w:hanging="426"/>
      </w:pPr>
      <w:r w:rsidRPr="001407D1">
        <w:t>when a review is requested by the DASL Team</w:t>
      </w:r>
    </w:p>
    <w:p w14:paraId="7D75666C" w14:textId="77777777" w:rsidR="001407D1" w:rsidRPr="001407D1" w:rsidRDefault="001407D1" w:rsidP="001407D1">
      <w:pPr>
        <w:numPr>
          <w:ilvl w:val="0"/>
          <w:numId w:val="1"/>
        </w:numPr>
        <w:tabs>
          <w:tab w:val="clear" w:pos="1080"/>
        </w:tabs>
        <w:ind w:left="426" w:hanging="426"/>
      </w:pPr>
      <w:r w:rsidRPr="001407D1">
        <w:t>where the participant’s circumstances have significantly changed and a review of their treatment, supervision or substance testing routine may be warranted.</w:t>
      </w:r>
    </w:p>
    <w:p w14:paraId="1BE73280" w14:textId="77777777" w:rsidR="001407D1" w:rsidRPr="001407D1" w:rsidRDefault="001407D1" w:rsidP="001407D1"/>
    <w:p w14:paraId="0F891652" w14:textId="6AD5606A" w:rsidR="001407D1" w:rsidRPr="001407D1" w:rsidRDefault="001407D1" w:rsidP="001407D1">
      <w:r>
        <w:t xml:space="preserve">A copy of the case plan will be provided to the participant and the DASL Team. The </w:t>
      </w:r>
      <w:r w:rsidRPr="15F16DD6">
        <w:rPr>
          <w:i/>
          <w:iCs/>
        </w:rPr>
        <w:t>‘Drug and Alcohol Sentencing List – Case Plan’</w:t>
      </w:r>
      <w:r>
        <w:t xml:space="preserve"> template is to be used to record this information. </w:t>
      </w:r>
      <w:bookmarkStart w:id="24" w:name="_Hlk44419502"/>
      <w:r>
        <w:t xml:space="preserve">This template </w:t>
      </w:r>
      <w:proofErr w:type="gramStart"/>
      <w:r>
        <w:t>is located in</w:t>
      </w:r>
      <w:proofErr w:type="gramEnd"/>
      <w:r>
        <w:t xml:space="preserve"> the ADS folder on the </w:t>
      </w:r>
      <w:r w:rsidR="5E5BF6E2">
        <w:t>CHS</w:t>
      </w:r>
      <w:r>
        <w:t xml:space="preserve"> Q drive.</w:t>
      </w:r>
      <w:bookmarkEnd w:id="24"/>
    </w:p>
    <w:p w14:paraId="1929F5A6" w14:textId="77777777" w:rsidR="001407D1" w:rsidRPr="001407D1" w:rsidRDefault="001407D1" w:rsidP="001407D1"/>
    <w:p w14:paraId="79C19B12" w14:textId="16E0A484" w:rsidR="001407D1" w:rsidRPr="001407D1" w:rsidRDefault="001407D1" w:rsidP="001407D1">
      <w:r>
        <w:t xml:space="preserve">The Stabilisation phase requires participants to abstain from alcohol use. Prior to progression to the Consolidation phase, the case manager will have a discussion with the </w:t>
      </w:r>
      <w:r>
        <w:lastRenderedPageBreak/>
        <w:t xml:space="preserve">participant about their goals relating to alcohol consumption in the future. If the participant wishes to return to alcohol consumption, a plan will be developed to assist the person to moderate their alcohol use within the levels outlined within the Australian Alcohol Guidelines, if appropriate. The ‘Drug and Alcohol Sentencing List – Phase Two Alcohol Consumption Guideline’ template is to be used to record this information. This template </w:t>
      </w:r>
      <w:proofErr w:type="gramStart"/>
      <w:r>
        <w:t>is located in</w:t>
      </w:r>
      <w:proofErr w:type="gramEnd"/>
      <w:r>
        <w:t xml:space="preserve"> the ADS folder on the </w:t>
      </w:r>
      <w:r w:rsidR="58F52B0D">
        <w:t>CHS</w:t>
      </w:r>
      <w:r>
        <w:t xml:space="preserve"> Q drive. </w:t>
      </w:r>
    </w:p>
    <w:p w14:paraId="13670378" w14:textId="77777777" w:rsidR="001407D1" w:rsidRPr="001407D1" w:rsidRDefault="001407D1" w:rsidP="001407D1"/>
    <w:p w14:paraId="71FCC4DE" w14:textId="338EF771" w:rsidR="001407D1" w:rsidRPr="001407D1" w:rsidRDefault="001407D1" w:rsidP="001407D1">
      <w:r w:rsidRPr="001407D1">
        <w:t>Clinical meetings will be used to ensure appropriate oversight of treatment plans and case management. Individual participants will be discussed at the clinical meeting at the following times:</w:t>
      </w:r>
    </w:p>
    <w:p w14:paraId="09197449" w14:textId="77777777" w:rsidR="001407D1" w:rsidRPr="001407D1" w:rsidRDefault="001407D1" w:rsidP="001407D1">
      <w:pPr>
        <w:numPr>
          <w:ilvl w:val="0"/>
          <w:numId w:val="1"/>
        </w:numPr>
        <w:tabs>
          <w:tab w:val="clear" w:pos="1080"/>
        </w:tabs>
        <w:ind w:left="426" w:hanging="426"/>
      </w:pPr>
      <w:r w:rsidRPr="001407D1">
        <w:t>after referral and at exit from the program</w:t>
      </w:r>
    </w:p>
    <w:p w14:paraId="308EBCE8" w14:textId="77777777" w:rsidR="001407D1" w:rsidRPr="001407D1" w:rsidRDefault="001407D1" w:rsidP="001407D1">
      <w:pPr>
        <w:numPr>
          <w:ilvl w:val="0"/>
          <w:numId w:val="1"/>
        </w:numPr>
        <w:tabs>
          <w:tab w:val="clear" w:pos="1080"/>
        </w:tabs>
        <w:ind w:left="426" w:hanging="426"/>
      </w:pPr>
      <w:r w:rsidRPr="001407D1">
        <w:t>at any significant change in presentation or circumstance</w:t>
      </w:r>
    </w:p>
    <w:p w14:paraId="6EF1E672" w14:textId="77777777" w:rsidR="001407D1" w:rsidRPr="001407D1" w:rsidRDefault="001407D1" w:rsidP="001407D1">
      <w:pPr>
        <w:numPr>
          <w:ilvl w:val="0"/>
          <w:numId w:val="1"/>
        </w:numPr>
        <w:tabs>
          <w:tab w:val="clear" w:pos="1080"/>
        </w:tabs>
        <w:ind w:left="426" w:hanging="426"/>
      </w:pPr>
      <w:r w:rsidRPr="001407D1">
        <w:t>every three months.</w:t>
      </w:r>
    </w:p>
    <w:p w14:paraId="51229F45" w14:textId="77777777" w:rsidR="001407D1" w:rsidRPr="001407D1" w:rsidRDefault="001407D1" w:rsidP="001407D1"/>
    <w:p w14:paraId="3844FDA6" w14:textId="77777777" w:rsidR="001407D1" w:rsidRPr="001407D1" w:rsidRDefault="001407D1" w:rsidP="001407D1">
      <w:r w:rsidRPr="001407D1">
        <w:t>The information is to be recorded on clinical databases as relevant.</w:t>
      </w:r>
    </w:p>
    <w:p w14:paraId="04521B3C" w14:textId="77777777" w:rsidR="009E120D" w:rsidRDefault="009E120D" w:rsidP="009E120D"/>
    <w:p w14:paraId="42D24FAD" w14:textId="7F74B2AA" w:rsidR="003258EC" w:rsidRDefault="008B11B7" w:rsidP="003258EC">
      <w:pPr>
        <w:pStyle w:val="Heading2"/>
      </w:pPr>
      <w:bookmarkStart w:id="25" w:name="_Toc71533468"/>
      <w:r>
        <w:t xml:space="preserve">2.5 </w:t>
      </w:r>
      <w:r w:rsidR="003258EC">
        <w:t>Case Management Meetings</w:t>
      </w:r>
      <w:bookmarkEnd w:id="25"/>
    </w:p>
    <w:p w14:paraId="1A60BA37" w14:textId="77777777" w:rsidR="001407D1" w:rsidRPr="001407D1" w:rsidRDefault="001407D1" w:rsidP="001407D1">
      <w:pPr>
        <w:rPr>
          <w:rFonts w:cs="Arial"/>
          <w:szCs w:val="24"/>
        </w:rPr>
      </w:pPr>
      <w:r w:rsidRPr="001407D1">
        <w:rPr>
          <w:rFonts w:cs="Arial"/>
          <w:szCs w:val="24"/>
        </w:rPr>
        <w:t xml:space="preserve">Participants in the DASL will move through a series of phases, being stabilisation, </w:t>
      </w:r>
      <w:proofErr w:type="gramStart"/>
      <w:r w:rsidRPr="001407D1">
        <w:rPr>
          <w:rFonts w:cs="Arial"/>
          <w:szCs w:val="24"/>
        </w:rPr>
        <w:t>consolidation</w:t>
      </w:r>
      <w:proofErr w:type="gramEnd"/>
      <w:r w:rsidRPr="001407D1">
        <w:rPr>
          <w:rFonts w:cs="Arial"/>
          <w:szCs w:val="24"/>
        </w:rPr>
        <w:t xml:space="preserve"> and reintegration. </w:t>
      </w:r>
    </w:p>
    <w:p w14:paraId="0BD49C30" w14:textId="77777777" w:rsidR="001407D1" w:rsidRPr="001407D1" w:rsidRDefault="001407D1" w:rsidP="001407D1">
      <w:pPr>
        <w:rPr>
          <w:rFonts w:cs="Arial"/>
          <w:szCs w:val="24"/>
        </w:rPr>
      </w:pPr>
    </w:p>
    <w:p w14:paraId="7678867F" w14:textId="77777777" w:rsidR="001407D1" w:rsidRPr="001407D1" w:rsidRDefault="001407D1" w:rsidP="001407D1">
      <w:pPr>
        <w:rPr>
          <w:rFonts w:cs="Arial"/>
          <w:szCs w:val="24"/>
        </w:rPr>
      </w:pPr>
      <w:r w:rsidRPr="001407D1">
        <w:rPr>
          <w:rFonts w:cs="Arial"/>
          <w:szCs w:val="24"/>
        </w:rPr>
        <w:t>Participants will attend meetings with a case manager, at a minimum:</w:t>
      </w:r>
    </w:p>
    <w:p w14:paraId="08CCA4A9" w14:textId="77777777" w:rsidR="001407D1" w:rsidRPr="001407D1" w:rsidRDefault="001407D1" w:rsidP="001407D1">
      <w:pPr>
        <w:numPr>
          <w:ilvl w:val="0"/>
          <w:numId w:val="1"/>
        </w:numPr>
        <w:tabs>
          <w:tab w:val="clear" w:pos="1080"/>
        </w:tabs>
        <w:ind w:left="426" w:hanging="426"/>
      </w:pPr>
      <w:r w:rsidRPr="001407D1">
        <w:t>weekly in the stabilisation phase</w:t>
      </w:r>
    </w:p>
    <w:p w14:paraId="2DD597E0" w14:textId="77777777" w:rsidR="001407D1" w:rsidRPr="001407D1" w:rsidRDefault="001407D1" w:rsidP="001407D1">
      <w:pPr>
        <w:numPr>
          <w:ilvl w:val="0"/>
          <w:numId w:val="1"/>
        </w:numPr>
        <w:tabs>
          <w:tab w:val="clear" w:pos="1080"/>
        </w:tabs>
        <w:ind w:left="426" w:hanging="426"/>
      </w:pPr>
      <w:r w:rsidRPr="001407D1">
        <w:t>fortnightly in the consolidation phase</w:t>
      </w:r>
    </w:p>
    <w:p w14:paraId="763033DB" w14:textId="77777777" w:rsidR="001407D1" w:rsidRPr="001407D1" w:rsidRDefault="001407D1" w:rsidP="001407D1">
      <w:pPr>
        <w:numPr>
          <w:ilvl w:val="0"/>
          <w:numId w:val="1"/>
        </w:numPr>
        <w:tabs>
          <w:tab w:val="clear" w:pos="1080"/>
        </w:tabs>
        <w:ind w:left="426" w:hanging="426"/>
      </w:pPr>
      <w:r w:rsidRPr="001407D1">
        <w:t>monthly in the reintegration phase.</w:t>
      </w:r>
    </w:p>
    <w:p w14:paraId="32423D57" w14:textId="77777777" w:rsidR="001407D1" w:rsidRPr="001407D1" w:rsidRDefault="001407D1" w:rsidP="001407D1">
      <w:pPr>
        <w:rPr>
          <w:rFonts w:cs="Arial"/>
          <w:szCs w:val="24"/>
        </w:rPr>
      </w:pPr>
    </w:p>
    <w:p w14:paraId="3237F1EC" w14:textId="77777777" w:rsidR="001407D1" w:rsidRPr="001407D1" w:rsidRDefault="001407D1" w:rsidP="001407D1">
      <w:pPr>
        <w:rPr>
          <w:rFonts w:cs="Arial"/>
          <w:szCs w:val="24"/>
        </w:rPr>
      </w:pPr>
      <w:r w:rsidRPr="001407D1">
        <w:rPr>
          <w:rFonts w:cs="Arial"/>
          <w:szCs w:val="24"/>
        </w:rPr>
        <w:t>Participants in residential rehabilitation facilities will generally be visited by the case manager up to once per month. These visits can be increased or brought forward where there are concerns requiring more immediate attention.</w:t>
      </w:r>
    </w:p>
    <w:p w14:paraId="2748B0DE" w14:textId="77777777" w:rsidR="001407D1" w:rsidRPr="001407D1" w:rsidRDefault="001407D1" w:rsidP="001407D1">
      <w:pPr>
        <w:rPr>
          <w:rFonts w:cs="Arial"/>
          <w:szCs w:val="24"/>
        </w:rPr>
      </w:pPr>
    </w:p>
    <w:p w14:paraId="2AB60F17" w14:textId="77777777" w:rsidR="001407D1" w:rsidRPr="001407D1" w:rsidRDefault="001407D1" w:rsidP="001407D1">
      <w:pPr>
        <w:rPr>
          <w:rFonts w:cs="Arial"/>
          <w:szCs w:val="24"/>
        </w:rPr>
      </w:pPr>
      <w:r w:rsidRPr="001407D1">
        <w:rPr>
          <w:rFonts w:cs="Arial"/>
          <w:szCs w:val="24"/>
        </w:rPr>
        <w:t>Case management meetings include:</w:t>
      </w:r>
    </w:p>
    <w:p w14:paraId="256DA20D" w14:textId="77777777" w:rsidR="001407D1" w:rsidRPr="001407D1" w:rsidRDefault="001407D1" w:rsidP="001407D1">
      <w:pPr>
        <w:numPr>
          <w:ilvl w:val="0"/>
          <w:numId w:val="1"/>
        </w:numPr>
        <w:tabs>
          <w:tab w:val="clear" w:pos="1080"/>
        </w:tabs>
        <w:ind w:left="426" w:hanging="426"/>
      </w:pPr>
      <w:r w:rsidRPr="001407D1">
        <w:t>assessment of the participant’s presentation</w:t>
      </w:r>
    </w:p>
    <w:p w14:paraId="79EE8524" w14:textId="77777777" w:rsidR="001407D1" w:rsidRPr="001407D1" w:rsidRDefault="001407D1" w:rsidP="001407D1">
      <w:pPr>
        <w:numPr>
          <w:ilvl w:val="0"/>
          <w:numId w:val="1"/>
        </w:numPr>
        <w:tabs>
          <w:tab w:val="clear" w:pos="1080"/>
        </w:tabs>
        <w:ind w:left="426" w:hanging="426"/>
      </w:pPr>
      <w:r w:rsidRPr="001407D1">
        <w:t>identification of changes in circumstances</w:t>
      </w:r>
    </w:p>
    <w:p w14:paraId="4E76ADAA" w14:textId="77777777" w:rsidR="001407D1" w:rsidRPr="001407D1" w:rsidRDefault="001407D1" w:rsidP="001407D1">
      <w:pPr>
        <w:numPr>
          <w:ilvl w:val="0"/>
          <w:numId w:val="1"/>
        </w:numPr>
        <w:tabs>
          <w:tab w:val="clear" w:pos="1080"/>
        </w:tabs>
        <w:ind w:left="426" w:hanging="426"/>
      </w:pPr>
      <w:r w:rsidRPr="001407D1">
        <w:t>reaffirmation or revision of treatment and support</w:t>
      </w:r>
    </w:p>
    <w:p w14:paraId="39F128B4" w14:textId="77777777" w:rsidR="001407D1" w:rsidRPr="001407D1" w:rsidRDefault="001407D1" w:rsidP="001407D1">
      <w:pPr>
        <w:numPr>
          <w:ilvl w:val="0"/>
          <w:numId w:val="1"/>
        </w:numPr>
        <w:tabs>
          <w:tab w:val="clear" w:pos="1080"/>
        </w:tabs>
        <w:ind w:left="426" w:hanging="426"/>
      </w:pPr>
      <w:r w:rsidRPr="001407D1">
        <w:t>positive affirmation of progress</w:t>
      </w:r>
    </w:p>
    <w:p w14:paraId="73B341FA" w14:textId="77777777" w:rsidR="001407D1" w:rsidRPr="001407D1" w:rsidRDefault="001407D1" w:rsidP="001407D1">
      <w:pPr>
        <w:numPr>
          <w:ilvl w:val="0"/>
          <w:numId w:val="1"/>
        </w:numPr>
        <w:tabs>
          <w:tab w:val="clear" w:pos="1080"/>
        </w:tabs>
        <w:ind w:left="426" w:hanging="426"/>
      </w:pPr>
      <w:r w:rsidRPr="001407D1">
        <w:t>monitoring of engagement.</w:t>
      </w:r>
    </w:p>
    <w:p w14:paraId="3E975470" w14:textId="77777777" w:rsidR="009E120D" w:rsidRDefault="009E120D" w:rsidP="009E120D"/>
    <w:p w14:paraId="5C8BB949" w14:textId="35770E6E" w:rsidR="003258EC" w:rsidRDefault="008B11B7" w:rsidP="003258EC">
      <w:pPr>
        <w:pStyle w:val="Heading2"/>
      </w:pPr>
      <w:bookmarkStart w:id="26" w:name="_Toc71533469"/>
      <w:r>
        <w:t xml:space="preserve">2.6 </w:t>
      </w:r>
      <w:r w:rsidR="003258EC">
        <w:t>Treatment Services</w:t>
      </w:r>
      <w:bookmarkEnd w:id="26"/>
    </w:p>
    <w:p w14:paraId="1AA870E5" w14:textId="12F86C0A" w:rsidR="001407D1" w:rsidRPr="001407D1" w:rsidRDefault="001407D1" w:rsidP="001407D1">
      <w:r>
        <w:t xml:space="preserve">The case manager will manage the referrals to and liaison with treatment services. Treatment service providers hold the final responsibility for determining the outcome of any referral. Referrals to service providers may occur at any time after referral for health assessment, including prior to sentence. In making a referral, the case manager will complete the </w:t>
      </w:r>
      <w:r w:rsidRPr="15F16DD6">
        <w:rPr>
          <w:i/>
          <w:iCs/>
        </w:rPr>
        <w:t>‘Drug and Alcohol Sentencing List – Referral to Treatment’</w:t>
      </w:r>
      <w:r>
        <w:t xml:space="preserve"> form. If the participant is being referred to community based treatment, the </w:t>
      </w:r>
      <w:r w:rsidRPr="15F16DD6">
        <w:rPr>
          <w:i/>
          <w:iCs/>
        </w:rPr>
        <w:t>‘Drug and Alcohol Sentencing List – Information for ATOD Community Treatment Services’</w:t>
      </w:r>
      <w:r>
        <w:t xml:space="preserve"> letter is to be provided. If the participant is being referred to residential rehabilitation, the </w:t>
      </w:r>
      <w:r w:rsidRPr="15F16DD6">
        <w:rPr>
          <w:i/>
          <w:iCs/>
        </w:rPr>
        <w:t xml:space="preserve">‘Drug and </w:t>
      </w:r>
      <w:r w:rsidRPr="15F16DD6">
        <w:rPr>
          <w:i/>
          <w:iCs/>
        </w:rPr>
        <w:lastRenderedPageBreak/>
        <w:t xml:space="preserve">Alcohol Sentencing List – Information for ATOD Residential Treatment Services’ </w:t>
      </w:r>
      <w:r>
        <w:t xml:space="preserve">letter is to be provided. This template </w:t>
      </w:r>
      <w:proofErr w:type="gramStart"/>
      <w:r>
        <w:t>is located in</w:t>
      </w:r>
      <w:proofErr w:type="gramEnd"/>
      <w:r>
        <w:t xml:space="preserve"> the ADS folder on the </w:t>
      </w:r>
      <w:r w:rsidR="5A8454B1">
        <w:t>CHS</w:t>
      </w:r>
      <w:r>
        <w:t xml:space="preserve"> Q drive.</w:t>
      </w:r>
    </w:p>
    <w:p w14:paraId="4AFFCE24" w14:textId="77777777" w:rsidR="001407D1" w:rsidRPr="001407D1" w:rsidRDefault="001407D1" w:rsidP="001407D1"/>
    <w:p w14:paraId="529429D2" w14:textId="77777777" w:rsidR="001407D1" w:rsidRPr="001407D1" w:rsidRDefault="001407D1" w:rsidP="001407D1">
      <w:r w:rsidRPr="001407D1">
        <w:t>The case manager may share relevant information held by the DASL about the participant with the treatment service, in line with the consent provided by the participant. This information is used to inform appropriate treatment and determine suitability for the service. Where possible, this also aims to achieve less occasions where the participant must repeat their story.</w:t>
      </w:r>
    </w:p>
    <w:p w14:paraId="191548F7" w14:textId="77777777" w:rsidR="001407D1" w:rsidRPr="001407D1" w:rsidRDefault="001407D1" w:rsidP="001407D1"/>
    <w:p w14:paraId="609CDFE1" w14:textId="77777777" w:rsidR="001407D1" w:rsidRPr="001407D1" w:rsidRDefault="001407D1" w:rsidP="001407D1">
      <w:r w:rsidRPr="001407D1">
        <w:t xml:space="preserve">Participants who are attending residential rehabilitation will be required to engage in up to weekly </w:t>
      </w:r>
      <w:proofErr w:type="spellStart"/>
      <w:r w:rsidRPr="001407D1">
        <w:t>videolink</w:t>
      </w:r>
      <w:proofErr w:type="spellEnd"/>
      <w:r w:rsidRPr="001407D1">
        <w:t xml:space="preserve"> conferences with the court. Where there have been concerns regarding the participant’s engagement, they may be requested to attend court in person.</w:t>
      </w:r>
    </w:p>
    <w:p w14:paraId="7D45A4C2" w14:textId="77777777" w:rsidR="001407D1" w:rsidRPr="001407D1" w:rsidRDefault="001407D1" w:rsidP="001407D1"/>
    <w:p w14:paraId="73CEA780" w14:textId="77777777" w:rsidR="001407D1" w:rsidRPr="001407D1" w:rsidRDefault="001407D1" w:rsidP="001407D1">
      <w:r w:rsidRPr="001407D1">
        <w:t xml:space="preserve">Treatment service providers will provide a </w:t>
      </w:r>
      <w:proofErr w:type="gramStart"/>
      <w:r w:rsidRPr="001407D1">
        <w:t>short written</w:t>
      </w:r>
      <w:proofErr w:type="gramEnd"/>
      <w:r w:rsidRPr="001407D1">
        <w:t xml:space="preserve"> summary of the participant’s attendance, engagement and progress to the case manager, who will forward onto the DASL Team. Where a participant is attending a rehabilitation service, that service will provide feedback via a standard form once per week.</w:t>
      </w:r>
    </w:p>
    <w:p w14:paraId="59FCD19C" w14:textId="77777777" w:rsidR="001407D1" w:rsidRPr="001407D1" w:rsidRDefault="001407D1" w:rsidP="001407D1"/>
    <w:p w14:paraId="53022E1B" w14:textId="77777777" w:rsidR="001407D1" w:rsidRPr="001407D1" w:rsidRDefault="001407D1" w:rsidP="001407D1">
      <w:r w:rsidRPr="001407D1">
        <w:t xml:space="preserve">Any other AOD service that is providing treatment to the participant will provide feedback about attendance, </w:t>
      </w:r>
      <w:proofErr w:type="gramStart"/>
      <w:r w:rsidRPr="001407D1">
        <w:t>engagement</w:t>
      </w:r>
      <w:proofErr w:type="gramEnd"/>
      <w:r w:rsidRPr="001407D1">
        <w:t xml:space="preserve"> and progress via a standard form in accordance with the program phase that the participant is undertaking:</w:t>
      </w:r>
    </w:p>
    <w:p w14:paraId="15AF92E2" w14:textId="77777777" w:rsidR="001407D1" w:rsidRPr="001407D1" w:rsidRDefault="001407D1" w:rsidP="001407D1">
      <w:pPr>
        <w:numPr>
          <w:ilvl w:val="0"/>
          <w:numId w:val="1"/>
        </w:numPr>
        <w:tabs>
          <w:tab w:val="clear" w:pos="1080"/>
        </w:tabs>
        <w:ind w:left="426" w:hanging="426"/>
      </w:pPr>
      <w:r w:rsidRPr="001407D1">
        <w:t>Stabilisation phase – weekly feedback</w:t>
      </w:r>
    </w:p>
    <w:p w14:paraId="0BA2B01C" w14:textId="77777777" w:rsidR="001407D1" w:rsidRPr="001407D1" w:rsidRDefault="001407D1" w:rsidP="001407D1">
      <w:pPr>
        <w:numPr>
          <w:ilvl w:val="0"/>
          <w:numId w:val="1"/>
        </w:numPr>
        <w:tabs>
          <w:tab w:val="clear" w:pos="1080"/>
        </w:tabs>
        <w:ind w:left="426" w:hanging="426"/>
      </w:pPr>
      <w:r w:rsidRPr="001407D1">
        <w:t>Consolidation phase – fortnightly feedback</w:t>
      </w:r>
    </w:p>
    <w:p w14:paraId="7B4AEB00" w14:textId="77777777" w:rsidR="001407D1" w:rsidRPr="001407D1" w:rsidRDefault="001407D1" w:rsidP="001407D1">
      <w:pPr>
        <w:numPr>
          <w:ilvl w:val="0"/>
          <w:numId w:val="1"/>
        </w:numPr>
        <w:tabs>
          <w:tab w:val="clear" w:pos="1080"/>
        </w:tabs>
        <w:ind w:left="426" w:hanging="426"/>
      </w:pPr>
      <w:r w:rsidRPr="001407D1">
        <w:t>Reintegration phase – monthly feedback.</w:t>
      </w:r>
    </w:p>
    <w:p w14:paraId="04264E1F" w14:textId="77777777" w:rsidR="001407D1" w:rsidRPr="001407D1" w:rsidRDefault="001407D1" w:rsidP="001407D1">
      <w:pPr>
        <w:ind w:left="1134"/>
        <w:contextualSpacing/>
      </w:pPr>
    </w:p>
    <w:p w14:paraId="4C8FBD20" w14:textId="77777777" w:rsidR="001407D1" w:rsidRPr="001407D1" w:rsidRDefault="001407D1" w:rsidP="001407D1">
      <w:r w:rsidRPr="001407D1">
        <w:t xml:space="preserve">All external service providers are to be provided with the details of the dedicated DASL email address, </w:t>
      </w:r>
      <w:proofErr w:type="gramStart"/>
      <w:r w:rsidRPr="001407D1">
        <w:t>in order to</w:t>
      </w:r>
      <w:proofErr w:type="gramEnd"/>
      <w:r w:rsidRPr="001407D1">
        <w:t xml:space="preserve"> provide the written reports.</w:t>
      </w:r>
    </w:p>
    <w:p w14:paraId="69780A46" w14:textId="77777777" w:rsidR="009E120D" w:rsidRDefault="009E120D" w:rsidP="003258EC"/>
    <w:p w14:paraId="5B4E5A98" w14:textId="31AD63D2" w:rsidR="003258EC" w:rsidRDefault="008B11B7" w:rsidP="003258EC">
      <w:pPr>
        <w:pStyle w:val="Heading2"/>
      </w:pPr>
      <w:bookmarkStart w:id="27" w:name="_Toc71533470"/>
      <w:r>
        <w:t xml:space="preserve">2.7 </w:t>
      </w:r>
      <w:r w:rsidR="003258EC">
        <w:t>S</w:t>
      </w:r>
      <w:r w:rsidR="001407D1">
        <w:t xml:space="preserve">tatus </w:t>
      </w:r>
      <w:r w:rsidR="003258EC">
        <w:t>Reports</w:t>
      </w:r>
      <w:bookmarkEnd w:id="27"/>
    </w:p>
    <w:p w14:paraId="0291C361" w14:textId="77777777" w:rsidR="001407D1" w:rsidRPr="001407D1" w:rsidRDefault="001407D1" w:rsidP="001407D1">
      <w:pPr>
        <w:rPr>
          <w:rFonts w:cs="Arial"/>
          <w:szCs w:val="24"/>
        </w:rPr>
      </w:pPr>
      <w:r w:rsidRPr="001407D1">
        <w:rPr>
          <w:rFonts w:cs="Arial"/>
          <w:szCs w:val="24"/>
        </w:rPr>
        <w:t>Prior to each review mention, the case manager will prepare a brief status report. This is to be provided to the Court Coordinator, to enable the relevant update information to be collated from all relevant services. The purpose of the report is to:</w:t>
      </w:r>
    </w:p>
    <w:p w14:paraId="2D011BF5"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describe progress – including attendance at appointments with external service providers, the Health Team and Community Corrections</w:t>
      </w:r>
    </w:p>
    <w:p w14:paraId="1E9A56EE"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outline which case plan tasks are yet to be completed</w:t>
      </w:r>
    </w:p>
    <w:p w14:paraId="2205B989"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make recommendations regarding phase progression or demotion.</w:t>
      </w:r>
    </w:p>
    <w:p w14:paraId="50AB84C6" w14:textId="77777777" w:rsidR="001407D1" w:rsidRPr="001407D1" w:rsidRDefault="001407D1" w:rsidP="001407D1">
      <w:pPr>
        <w:rPr>
          <w:rFonts w:cs="Arial"/>
          <w:szCs w:val="24"/>
        </w:rPr>
      </w:pPr>
    </w:p>
    <w:p w14:paraId="5F118F1F" w14:textId="77777777" w:rsidR="001407D1" w:rsidRPr="001407D1" w:rsidRDefault="001407D1" w:rsidP="001407D1">
      <w:pPr>
        <w:rPr>
          <w:rFonts w:cs="Arial"/>
          <w:szCs w:val="24"/>
        </w:rPr>
      </w:pPr>
      <w:r w:rsidRPr="001407D1">
        <w:rPr>
          <w:rFonts w:cs="Arial"/>
          <w:szCs w:val="24"/>
        </w:rPr>
        <w:t>The case manager is responsible for reporting on:</w:t>
      </w:r>
    </w:p>
    <w:p w14:paraId="3FAC8761"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 xml:space="preserve">alcohol and </w:t>
      </w:r>
      <w:proofErr w:type="gramStart"/>
      <w:r w:rsidRPr="001407D1">
        <w:rPr>
          <w:rFonts w:cs="Arial"/>
          <w:szCs w:val="24"/>
        </w:rPr>
        <w:t>other</w:t>
      </w:r>
      <w:proofErr w:type="gramEnd"/>
      <w:r w:rsidRPr="001407D1">
        <w:rPr>
          <w:rFonts w:cs="Arial"/>
          <w:szCs w:val="24"/>
        </w:rPr>
        <w:t xml:space="preserve"> drug treatment</w:t>
      </w:r>
    </w:p>
    <w:p w14:paraId="58D27C63"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physical and mental health</w:t>
      </w:r>
    </w:p>
    <w:p w14:paraId="1DFACE3D"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accommodation or risk of homelessness concerns</w:t>
      </w:r>
    </w:p>
    <w:p w14:paraId="39C6BFB2"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education and/or work</w:t>
      </w:r>
    </w:p>
    <w:p w14:paraId="18B4D8B9"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family relationships</w:t>
      </w:r>
    </w:p>
    <w:p w14:paraId="6CEAE880"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treatment compliance and motivation</w:t>
      </w:r>
    </w:p>
    <w:p w14:paraId="0AE678A7"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t xml:space="preserve">skills, </w:t>
      </w:r>
      <w:proofErr w:type="gramStart"/>
      <w:r w:rsidRPr="001407D1">
        <w:rPr>
          <w:rFonts w:cs="Arial"/>
          <w:szCs w:val="24"/>
        </w:rPr>
        <w:t>education</w:t>
      </w:r>
      <w:proofErr w:type="gramEnd"/>
      <w:r w:rsidRPr="001407D1">
        <w:rPr>
          <w:rFonts w:cs="Arial"/>
          <w:szCs w:val="24"/>
        </w:rPr>
        <w:t xml:space="preserve"> and employment as relevant</w:t>
      </w:r>
    </w:p>
    <w:p w14:paraId="46AF65C6" w14:textId="77777777" w:rsidR="001407D1" w:rsidRPr="001407D1" w:rsidRDefault="001407D1" w:rsidP="001407D1">
      <w:pPr>
        <w:numPr>
          <w:ilvl w:val="0"/>
          <w:numId w:val="1"/>
        </w:numPr>
        <w:tabs>
          <w:tab w:val="clear" w:pos="1080"/>
        </w:tabs>
        <w:ind w:left="426" w:hanging="426"/>
        <w:rPr>
          <w:rFonts w:cs="Arial"/>
          <w:szCs w:val="24"/>
        </w:rPr>
      </w:pPr>
      <w:r w:rsidRPr="001407D1">
        <w:rPr>
          <w:rFonts w:cs="Arial"/>
          <w:szCs w:val="24"/>
        </w:rPr>
        <w:lastRenderedPageBreak/>
        <w:t>any significant dates for the following week.</w:t>
      </w:r>
    </w:p>
    <w:p w14:paraId="51E0453B" w14:textId="77777777" w:rsidR="001407D1" w:rsidRPr="001407D1" w:rsidRDefault="001407D1" w:rsidP="001407D1">
      <w:pPr>
        <w:rPr>
          <w:rFonts w:cs="Arial"/>
          <w:szCs w:val="24"/>
        </w:rPr>
      </w:pPr>
    </w:p>
    <w:p w14:paraId="23CCBC48" w14:textId="77777777" w:rsidR="001407D1" w:rsidRPr="001407D1" w:rsidRDefault="001407D1" w:rsidP="001407D1">
      <w:pPr>
        <w:rPr>
          <w:rFonts w:cs="Arial"/>
          <w:szCs w:val="24"/>
        </w:rPr>
      </w:pPr>
      <w:r w:rsidRPr="001407D1">
        <w:rPr>
          <w:rFonts w:cs="Arial"/>
          <w:szCs w:val="24"/>
        </w:rPr>
        <w:t xml:space="preserve">The information provided to the Court Coordinator is to be consistent with Annexure D of the Supreme Court’s, </w:t>
      </w:r>
      <w:r w:rsidRPr="001407D1">
        <w:rPr>
          <w:rFonts w:cs="Arial"/>
          <w:i/>
          <w:szCs w:val="24"/>
        </w:rPr>
        <w:t>Drug and Alcohol Sentencing List Guideline Document.</w:t>
      </w:r>
    </w:p>
    <w:p w14:paraId="46A8F7E2" w14:textId="77777777" w:rsidR="009E120D" w:rsidRDefault="009E120D" w:rsidP="009E120D"/>
    <w:p w14:paraId="7159B970" w14:textId="0F50AFC1" w:rsidR="003258EC" w:rsidRDefault="008B11B7" w:rsidP="003258EC">
      <w:pPr>
        <w:pStyle w:val="Heading2"/>
      </w:pPr>
      <w:bookmarkStart w:id="28" w:name="_Toc71533471"/>
      <w:r>
        <w:t xml:space="preserve">2.8 </w:t>
      </w:r>
      <w:r w:rsidR="003258EC">
        <w:t>Aftercare</w:t>
      </w:r>
      <w:bookmarkEnd w:id="28"/>
    </w:p>
    <w:p w14:paraId="145E3677" w14:textId="77777777" w:rsidR="001407D1" w:rsidRPr="001407D1" w:rsidRDefault="001407D1" w:rsidP="001407D1">
      <w:r w:rsidRPr="001407D1">
        <w:t xml:space="preserve">One month prior to a participant’s completion of the treatment component of the DATO, the case manager will engage with the participant to ensure they are appropriately linked with support services prior to the finalisation of DASL program involvement. </w:t>
      </w:r>
    </w:p>
    <w:p w14:paraId="7D5C3FBB" w14:textId="77777777" w:rsidR="001407D1" w:rsidRPr="001407D1" w:rsidRDefault="001407D1" w:rsidP="001407D1"/>
    <w:p w14:paraId="5705D43B" w14:textId="77777777" w:rsidR="001407D1" w:rsidRPr="001407D1" w:rsidRDefault="001407D1" w:rsidP="001407D1">
      <w:r w:rsidRPr="001407D1">
        <w:t>After the treatment component of the DATO has ended, the case manager will continue to conduct monthly telephone support for a period of two months on a voluntary basis with participants. If concerns are identified during this period that can be addressed by the case manager, participants will be offered voluntary short-term support and referral services as required.</w:t>
      </w:r>
    </w:p>
    <w:p w14:paraId="2F51A89F" w14:textId="005FD374" w:rsidR="007B6904" w:rsidRPr="00931B93" w:rsidRDefault="007B6904" w:rsidP="007B6904">
      <w:pPr>
        <w:rPr>
          <w:rFonts w:cs="Arial"/>
          <w:i/>
          <w:szCs w:val="24"/>
        </w:rPr>
      </w:pPr>
    </w:p>
    <w:p w14:paraId="2F51A8A0" w14:textId="77777777" w:rsidR="007B6904" w:rsidRDefault="00CF5D71"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4EE806FF" w:rsidR="007B6904" w:rsidRPr="003D2D06" w:rsidRDefault="00962C46" w:rsidP="004213C3">
            <w:pPr>
              <w:pStyle w:val="Heading1"/>
            </w:pPr>
            <w:bookmarkStart w:id="29" w:name="_Toc389473284"/>
            <w:bookmarkStart w:id="30" w:name="_Toc71533472"/>
            <w:r>
              <w:t xml:space="preserve">Section </w:t>
            </w:r>
            <w:r w:rsidR="003258EC">
              <w:t>3</w:t>
            </w:r>
            <w:r w:rsidR="007B6904" w:rsidRPr="003D2D06">
              <w:t xml:space="preserve"> – </w:t>
            </w:r>
            <w:bookmarkEnd w:id="29"/>
            <w:r w:rsidR="003258EC">
              <w:t>Court Urinalysis Suite</w:t>
            </w:r>
            <w:bookmarkEnd w:id="30"/>
          </w:p>
        </w:tc>
      </w:tr>
    </w:tbl>
    <w:p w14:paraId="2F51A8A4" w14:textId="45AF8872" w:rsidR="007B6904" w:rsidRDefault="007B6904" w:rsidP="007B6904">
      <w:pPr>
        <w:pStyle w:val="Heading2"/>
      </w:pPr>
    </w:p>
    <w:p w14:paraId="1FC6F6A4" w14:textId="7FF5D931" w:rsidR="009E120D" w:rsidRDefault="009E120D" w:rsidP="009E120D">
      <w:pPr>
        <w:pBdr>
          <w:top w:val="single" w:sz="4" w:space="1" w:color="auto"/>
          <w:left w:val="single" w:sz="4" w:space="4" w:color="auto"/>
          <w:bottom w:val="single" w:sz="4" w:space="1" w:color="auto"/>
          <w:right w:val="single" w:sz="4" w:space="4" w:color="auto"/>
        </w:pBdr>
        <w:rPr>
          <w:color w:val="000000" w:themeColor="text1"/>
        </w:rPr>
      </w:pPr>
      <w:r>
        <w:rPr>
          <w:b/>
          <w:bCs/>
          <w:color w:val="000000" w:themeColor="text1"/>
        </w:rPr>
        <w:t>Alert</w:t>
      </w:r>
      <w:r>
        <w:rPr>
          <w:color w:val="000000" w:themeColor="text1"/>
        </w:rPr>
        <w:t xml:space="preserve">: </w:t>
      </w:r>
    </w:p>
    <w:p w14:paraId="2EF0A62E" w14:textId="77777777" w:rsidR="009E120D" w:rsidRDefault="009E120D" w:rsidP="009E120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All clinical staff working at the DASL Urinalysis Suite must have a valid statement of attainment in chain-of-custody urinalysis testing in alignment with the AS/NZS 4308:2008 standards.</w:t>
      </w:r>
    </w:p>
    <w:p w14:paraId="7A125766" w14:textId="77777777" w:rsidR="009E120D" w:rsidRPr="009E120D" w:rsidRDefault="009E120D" w:rsidP="009E120D"/>
    <w:p w14:paraId="3D117BDE" w14:textId="6AF29741" w:rsidR="003258EC" w:rsidRDefault="008B11B7" w:rsidP="003258EC">
      <w:pPr>
        <w:pStyle w:val="Heading2"/>
      </w:pPr>
      <w:bookmarkStart w:id="31" w:name="_Toc71533473"/>
      <w:r>
        <w:t xml:space="preserve">3.1 </w:t>
      </w:r>
      <w:r w:rsidR="003258EC" w:rsidRPr="003258EC">
        <w:t>Notification for Urinalysis and Breath Alcohol Testing</w:t>
      </w:r>
      <w:bookmarkEnd w:id="31"/>
    </w:p>
    <w:p w14:paraId="6D10A951" w14:textId="77777777" w:rsidR="009E120D" w:rsidRPr="009E120D" w:rsidRDefault="009E120D" w:rsidP="009E120D">
      <w:pPr>
        <w:rPr>
          <w:rFonts w:eastAsiaTheme="majorEastAsia"/>
        </w:rPr>
      </w:pPr>
      <w:r w:rsidRPr="009E120D">
        <w:rPr>
          <w:rFonts w:eastAsiaTheme="majorEastAsia"/>
        </w:rPr>
        <w:t>It is the responsibility of the Court Coordinator to email the ADS clinicians responsible for urinalysis drug and breath alcohol testing a daily list of the participants who will be presenting for urinalysis drug testing. At a minimum the following information should be provided:</w:t>
      </w:r>
    </w:p>
    <w:p w14:paraId="333C730D" w14:textId="2AF3C692" w:rsidR="009E120D" w:rsidRPr="009E120D" w:rsidRDefault="009E120D" w:rsidP="009E120D">
      <w:pPr>
        <w:pStyle w:val="ListBullet"/>
        <w:rPr>
          <w:rFonts w:eastAsiaTheme="majorEastAsia"/>
        </w:rPr>
      </w:pPr>
      <w:r w:rsidRPr="009E120D">
        <w:rPr>
          <w:rFonts w:eastAsiaTheme="majorEastAsia"/>
        </w:rPr>
        <w:t>name and date of birth of new participants entering the program. The Unit Record Number (URN) identifier is to be provided by the ADS DASL Case Manager.</w:t>
      </w:r>
    </w:p>
    <w:p w14:paraId="31167F7B" w14:textId="25F00B9A" w:rsidR="009E120D" w:rsidRPr="009E120D" w:rsidRDefault="009E120D" w:rsidP="009E120D">
      <w:pPr>
        <w:pStyle w:val="ListBullet"/>
        <w:rPr>
          <w:rFonts w:eastAsiaTheme="majorEastAsia"/>
        </w:rPr>
      </w:pPr>
      <w:r w:rsidRPr="009E120D">
        <w:rPr>
          <w:rFonts w:eastAsiaTheme="majorEastAsia"/>
        </w:rPr>
        <w:t>the frequency and duration of participants’ drug and alcohol testing regimes</w:t>
      </w:r>
    </w:p>
    <w:p w14:paraId="47256FA5" w14:textId="6EE69970" w:rsidR="009E120D" w:rsidRPr="009E120D" w:rsidRDefault="009E120D" w:rsidP="009E120D">
      <w:pPr>
        <w:pStyle w:val="ListBullet"/>
        <w:rPr>
          <w:rFonts w:eastAsiaTheme="majorEastAsia"/>
        </w:rPr>
      </w:pPr>
      <w:r w:rsidRPr="009E120D">
        <w:rPr>
          <w:rFonts w:eastAsiaTheme="majorEastAsia"/>
        </w:rPr>
        <w:t>any changes to a participant’s drug and alcohol testing regime</w:t>
      </w:r>
    </w:p>
    <w:p w14:paraId="0238DE3E" w14:textId="7AE42873" w:rsidR="009E120D" w:rsidRPr="009E120D" w:rsidRDefault="009E120D" w:rsidP="009E120D">
      <w:pPr>
        <w:pStyle w:val="ListBullet"/>
        <w:rPr>
          <w:rFonts w:eastAsiaTheme="majorEastAsia"/>
        </w:rPr>
      </w:pPr>
      <w:r w:rsidRPr="009E120D">
        <w:rPr>
          <w:rFonts w:eastAsiaTheme="majorEastAsia"/>
        </w:rPr>
        <w:t>any participants that have withdrawn or graduated from the program.</w:t>
      </w:r>
    </w:p>
    <w:p w14:paraId="5AB2A712" w14:textId="77777777" w:rsidR="009E120D" w:rsidRPr="009E120D" w:rsidRDefault="009E120D" w:rsidP="009E120D">
      <w:pPr>
        <w:rPr>
          <w:rFonts w:eastAsiaTheme="majorEastAsia"/>
        </w:rPr>
      </w:pPr>
    </w:p>
    <w:p w14:paraId="12C04060" w14:textId="77777777" w:rsidR="009E120D" w:rsidRPr="009E120D" w:rsidRDefault="009E120D" w:rsidP="009E120D">
      <w:pPr>
        <w:rPr>
          <w:rFonts w:eastAsiaTheme="majorEastAsia"/>
        </w:rPr>
      </w:pPr>
      <w:r w:rsidRPr="009E120D">
        <w:rPr>
          <w:rFonts w:eastAsiaTheme="majorEastAsia"/>
        </w:rPr>
        <w:t>The Court Coordinator or Alcohol and Drug Services (ADS) DASL case manager will ensure the participant is provided with:</w:t>
      </w:r>
    </w:p>
    <w:p w14:paraId="74725D64" w14:textId="53BD4089" w:rsidR="009E120D" w:rsidRPr="009E120D" w:rsidRDefault="009E120D" w:rsidP="009E120D">
      <w:pPr>
        <w:pStyle w:val="ListBullet"/>
        <w:rPr>
          <w:rFonts w:eastAsiaTheme="majorEastAsia"/>
        </w:rPr>
      </w:pPr>
      <w:r w:rsidRPr="009E120D">
        <w:rPr>
          <w:rFonts w:eastAsiaTheme="majorEastAsia"/>
        </w:rPr>
        <w:t>the dates they are required to undertake urinalysis drug testing</w:t>
      </w:r>
    </w:p>
    <w:p w14:paraId="6275C035" w14:textId="66B81E16" w:rsidR="009E120D" w:rsidRPr="009E120D" w:rsidRDefault="009E120D" w:rsidP="009E120D">
      <w:pPr>
        <w:pStyle w:val="ListBullet"/>
        <w:rPr>
          <w:rFonts w:eastAsiaTheme="majorEastAsia"/>
        </w:rPr>
      </w:pPr>
      <w:r w:rsidRPr="009E120D">
        <w:rPr>
          <w:rFonts w:eastAsiaTheme="majorEastAsia"/>
        </w:rPr>
        <w:t xml:space="preserve">the location and times the DASL Urinalysis Suite </w:t>
      </w:r>
      <w:proofErr w:type="gramStart"/>
      <w:r w:rsidRPr="009E120D">
        <w:rPr>
          <w:rFonts w:eastAsiaTheme="majorEastAsia"/>
        </w:rPr>
        <w:t>is</w:t>
      </w:r>
      <w:proofErr w:type="gramEnd"/>
      <w:r w:rsidRPr="009E120D">
        <w:rPr>
          <w:rFonts w:eastAsiaTheme="majorEastAsia"/>
        </w:rPr>
        <w:t xml:space="preserve"> operational</w:t>
      </w:r>
    </w:p>
    <w:p w14:paraId="5A5BAD42" w14:textId="0FD0F700" w:rsidR="009E120D" w:rsidRPr="009E120D" w:rsidRDefault="009E120D" w:rsidP="009E120D">
      <w:pPr>
        <w:pStyle w:val="ListBullet"/>
        <w:rPr>
          <w:rFonts w:eastAsiaTheme="majorEastAsia"/>
        </w:rPr>
      </w:pPr>
      <w:r w:rsidRPr="009E120D">
        <w:rPr>
          <w:rFonts w:eastAsiaTheme="majorEastAsia"/>
        </w:rPr>
        <w:t>and will confirm the participant has appropriate photo identification (See Section 2). It is the responsibility of the participant to provide appropriate identification on each presentation to the Urinalysis Suite.</w:t>
      </w:r>
    </w:p>
    <w:p w14:paraId="0A12AE6C" w14:textId="77777777" w:rsidR="009E120D" w:rsidRPr="009E120D" w:rsidRDefault="009E120D" w:rsidP="009E120D">
      <w:pPr>
        <w:rPr>
          <w:rFonts w:eastAsiaTheme="majorEastAsia"/>
        </w:rPr>
      </w:pPr>
    </w:p>
    <w:p w14:paraId="194AAA2F" w14:textId="77777777" w:rsidR="009E120D" w:rsidRDefault="009E120D" w:rsidP="009E120D">
      <w:pPr>
        <w:pBdr>
          <w:top w:val="single" w:sz="4" w:space="1" w:color="auto"/>
          <w:left w:val="single" w:sz="4" w:space="4" w:color="auto"/>
          <w:bottom w:val="single" w:sz="4" w:space="1" w:color="auto"/>
          <w:right w:val="single" w:sz="4" w:space="4" w:color="auto"/>
        </w:pBdr>
        <w:rPr>
          <w:rFonts w:eastAsiaTheme="majorEastAsia"/>
        </w:rPr>
      </w:pPr>
      <w:r w:rsidRPr="009E120D">
        <w:rPr>
          <w:rFonts w:eastAsiaTheme="majorEastAsia"/>
          <w:b/>
          <w:bCs/>
        </w:rPr>
        <w:lastRenderedPageBreak/>
        <w:t>Note</w:t>
      </w:r>
      <w:r>
        <w:rPr>
          <w:rFonts w:eastAsiaTheme="majorEastAsia"/>
        </w:rPr>
        <w:t>:</w:t>
      </w:r>
      <w:r w:rsidRPr="009E120D">
        <w:rPr>
          <w:rFonts w:eastAsiaTheme="majorEastAsia"/>
        </w:rPr>
        <w:t xml:space="preserve"> </w:t>
      </w:r>
    </w:p>
    <w:p w14:paraId="09BA18DD" w14:textId="5E77ADBD" w:rsidR="009E120D" w:rsidRPr="009E120D" w:rsidRDefault="009E120D" w:rsidP="009E120D">
      <w:pPr>
        <w:pBdr>
          <w:top w:val="single" w:sz="4" w:space="1" w:color="auto"/>
          <w:left w:val="single" w:sz="4" w:space="4" w:color="auto"/>
          <w:bottom w:val="single" w:sz="4" w:space="1" w:color="auto"/>
          <w:right w:val="single" w:sz="4" w:space="4" w:color="auto"/>
        </w:pBdr>
        <w:rPr>
          <w:rFonts w:eastAsiaTheme="majorEastAsia"/>
        </w:rPr>
      </w:pPr>
      <w:r>
        <w:rPr>
          <w:rFonts w:eastAsiaTheme="majorEastAsia"/>
        </w:rPr>
        <w:t>T</w:t>
      </w:r>
      <w:r w:rsidRPr="009E120D">
        <w:rPr>
          <w:rFonts w:eastAsiaTheme="majorEastAsia"/>
        </w:rPr>
        <w:t>he DASL Court will determine the frequency at which participants must comply with urinalysis drug and breath alcohol testing (BAT).</w:t>
      </w:r>
    </w:p>
    <w:p w14:paraId="43588F88" w14:textId="77777777" w:rsidR="009E120D" w:rsidRPr="009E120D" w:rsidRDefault="009E120D" w:rsidP="009E120D">
      <w:pPr>
        <w:rPr>
          <w:rFonts w:eastAsiaTheme="majorEastAsia"/>
        </w:rPr>
      </w:pPr>
    </w:p>
    <w:p w14:paraId="66D6A021" w14:textId="3D153EEA" w:rsidR="003258EC" w:rsidRDefault="009E120D" w:rsidP="009E120D">
      <w:pPr>
        <w:rPr>
          <w:rFonts w:eastAsiaTheme="majorEastAsia"/>
        </w:rPr>
      </w:pPr>
      <w:r w:rsidRPr="009E120D">
        <w:rPr>
          <w:rFonts w:eastAsiaTheme="majorEastAsia"/>
        </w:rPr>
        <w:t>If a participant questions the frequency or dates of the urinalysis drug testing, they should be advised to seek clarification with their DASL case manager.</w:t>
      </w:r>
    </w:p>
    <w:p w14:paraId="731B62FB" w14:textId="77777777" w:rsidR="009E120D" w:rsidRPr="003258EC" w:rsidRDefault="009E120D" w:rsidP="009E120D">
      <w:pPr>
        <w:rPr>
          <w:rFonts w:eastAsiaTheme="majorEastAsia"/>
        </w:rPr>
      </w:pPr>
    </w:p>
    <w:p w14:paraId="62C9DB63" w14:textId="5AFE4C6C" w:rsidR="003258EC" w:rsidRDefault="008B11B7" w:rsidP="003258EC">
      <w:pPr>
        <w:pStyle w:val="Heading2"/>
      </w:pPr>
      <w:bookmarkStart w:id="32" w:name="_Toc71533474"/>
      <w:r>
        <w:t xml:space="preserve">3.2 </w:t>
      </w:r>
      <w:r w:rsidR="003258EC" w:rsidRPr="003258EC">
        <w:t>Participant Identificatio</w:t>
      </w:r>
      <w:r w:rsidR="003258EC">
        <w:t>n</w:t>
      </w:r>
      <w:bookmarkEnd w:id="32"/>
    </w:p>
    <w:p w14:paraId="0BA5C27E" w14:textId="5F556D9C" w:rsidR="009E120D" w:rsidRPr="009E120D" w:rsidRDefault="009E120D" w:rsidP="15F16DD6">
      <w:pPr>
        <w:rPr>
          <w:rFonts w:eastAsiaTheme="majorEastAsia"/>
        </w:rPr>
      </w:pPr>
      <w:r w:rsidRPr="15F16DD6">
        <w:rPr>
          <w:rFonts w:eastAsiaTheme="majorEastAsia"/>
        </w:rPr>
        <w:t xml:space="preserve">When a participant presents to the DASL Urinalysis Suite for urinalysis and breath alcohol testing, the clinician must confirm their identity using three (3) client identifiers. One of these identifiers must be a government issued photo identification with full name, date of birth and unique identifier </w:t>
      </w:r>
      <w:proofErr w:type="gramStart"/>
      <w:r w:rsidRPr="15F16DD6">
        <w:rPr>
          <w:rFonts w:eastAsiaTheme="majorEastAsia"/>
        </w:rPr>
        <w:t>e.g.</w:t>
      </w:r>
      <w:proofErr w:type="gramEnd"/>
      <w:r w:rsidRPr="15F16DD6">
        <w:rPr>
          <w:rFonts w:eastAsiaTheme="majorEastAsia"/>
        </w:rPr>
        <w:t xml:space="preserve"> driver’s licence</w:t>
      </w:r>
      <w:r w:rsidR="2B8441A2" w:rsidRPr="15F16DD6">
        <w:rPr>
          <w:rFonts w:eastAsiaTheme="majorEastAsia"/>
        </w:rPr>
        <w:t xml:space="preserve">, </w:t>
      </w:r>
      <w:r w:rsidRPr="15F16DD6">
        <w:rPr>
          <w:rFonts w:eastAsiaTheme="majorEastAsia"/>
        </w:rPr>
        <w:t>passport or proof of age card.</w:t>
      </w:r>
    </w:p>
    <w:p w14:paraId="71231D7C" w14:textId="77777777" w:rsidR="009E120D" w:rsidRPr="009E120D" w:rsidRDefault="009E120D" w:rsidP="009E120D">
      <w:pPr>
        <w:rPr>
          <w:rFonts w:eastAsiaTheme="majorEastAsia"/>
        </w:rPr>
      </w:pPr>
    </w:p>
    <w:p w14:paraId="64D2C3C6" w14:textId="13C4032B" w:rsidR="003258EC" w:rsidRDefault="009E120D" w:rsidP="009E120D">
      <w:pPr>
        <w:rPr>
          <w:rFonts w:eastAsiaTheme="majorEastAsia"/>
        </w:rPr>
      </w:pPr>
      <w:r w:rsidRPr="009E120D">
        <w:rPr>
          <w:rFonts w:eastAsiaTheme="majorEastAsia"/>
        </w:rPr>
        <w:t xml:space="preserve">It is the participant's responsibility to provide adequate identification. If a participant’s identity cannot be established, or the participant does not present to the DASL Urinalysis Suite when required, the clinician will enter the lack of client identifiers provided and/or the participants non-attendance into the permanent record system spreadsheet located under Q drive\CH\ADP\ADP All staff\DASL-Urinalysis Suite\Permanent Record System and email the ADS DASL team at </w:t>
      </w:r>
      <w:hyperlink r:id="rId11" w:history="1">
        <w:r w:rsidRPr="00255A84">
          <w:rPr>
            <w:rStyle w:val="Hyperlink"/>
            <w:rFonts w:eastAsiaTheme="majorEastAsia"/>
          </w:rPr>
          <w:t>CHS.DASL@act.gov.au</w:t>
        </w:r>
      </w:hyperlink>
      <w:r w:rsidRPr="009E120D">
        <w:rPr>
          <w:rFonts w:eastAsiaTheme="majorEastAsia"/>
        </w:rPr>
        <w:t>. Information in the spreadsheet is legally required.</w:t>
      </w:r>
    </w:p>
    <w:p w14:paraId="742A0E73" w14:textId="77777777" w:rsidR="009E120D" w:rsidRPr="003258EC" w:rsidRDefault="009E120D" w:rsidP="009E120D">
      <w:pPr>
        <w:rPr>
          <w:rFonts w:eastAsiaTheme="majorEastAsia"/>
        </w:rPr>
      </w:pPr>
    </w:p>
    <w:p w14:paraId="74F23E20" w14:textId="4CFCC19E" w:rsidR="003258EC" w:rsidRDefault="008B11B7" w:rsidP="003258EC">
      <w:pPr>
        <w:pStyle w:val="Heading2"/>
      </w:pPr>
      <w:bookmarkStart w:id="33" w:name="_Toc71533475"/>
      <w:r>
        <w:t xml:space="preserve">3.3 </w:t>
      </w:r>
      <w:r w:rsidR="003258EC" w:rsidRPr="003258EC">
        <w:t>Breath Alcohol Testing</w:t>
      </w:r>
      <w:bookmarkEnd w:id="33"/>
    </w:p>
    <w:p w14:paraId="5CE5BF0C" w14:textId="77777777" w:rsidR="009E120D" w:rsidRPr="009E120D" w:rsidRDefault="009E120D" w:rsidP="009E120D">
      <w:pPr>
        <w:rPr>
          <w:rFonts w:eastAsiaTheme="majorEastAsia"/>
        </w:rPr>
      </w:pPr>
      <w:r w:rsidRPr="009E120D">
        <w:rPr>
          <w:rFonts w:eastAsiaTheme="majorEastAsia"/>
        </w:rPr>
        <w:t>All participants who attend for drug and alcohol testing will undergo a breath alcohol test (BAT). It is the responsibility of the Urinalysis Suite clinicians to ensure that the breathalyser’s calibration certificate is current before use i.e., check the tag attached to the device showing the date the breathalyser is due for calibration.</w:t>
      </w:r>
    </w:p>
    <w:p w14:paraId="74DF1E8D" w14:textId="77777777" w:rsidR="009E120D" w:rsidRPr="009E120D" w:rsidRDefault="009E120D" w:rsidP="009E120D">
      <w:pPr>
        <w:rPr>
          <w:rFonts w:eastAsiaTheme="majorEastAsia"/>
        </w:rPr>
      </w:pPr>
    </w:p>
    <w:p w14:paraId="2EA3F658" w14:textId="77777777" w:rsidR="009E120D" w:rsidRPr="009E120D" w:rsidRDefault="009E120D" w:rsidP="009E120D">
      <w:pPr>
        <w:rPr>
          <w:rFonts w:eastAsiaTheme="majorEastAsia"/>
        </w:rPr>
      </w:pPr>
      <w:r w:rsidRPr="009E120D">
        <w:rPr>
          <w:rFonts w:eastAsiaTheme="majorEastAsia"/>
        </w:rPr>
        <w:t xml:space="preserve">The process for BAT testing is as follows: </w:t>
      </w:r>
    </w:p>
    <w:p w14:paraId="632E4FD4" w14:textId="53B8CEEA" w:rsidR="009E120D" w:rsidRPr="009E120D" w:rsidRDefault="009E120D" w:rsidP="009E120D">
      <w:pPr>
        <w:pStyle w:val="ListBullet"/>
        <w:rPr>
          <w:rFonts w:eastAsiaTheme="majorEastAsia"/>
        </w:rPr>
      </w:pPr>
      <w:r w:rsidRPr="009E120D">
        <w:rPr>
          <w:rFonts w:eastAsiaTheme="majorEastAsia"/>
        </w:rPr>
        <w:t>The clinician instructs the participant to blow into the mouthpiece of a hand-held device.</w:t>
      </w:r>
    </w:p>
    <w:p w14:paraId="02B96B42" w14:textId="61BA550C" w:rsidR="009E120D" w:rsidRPr="009E120D" w:rsidRDefault="009E120D" w:rsidP="15F16DD6">
      <w:pPr>
        <w:pStyle w:val="ListBullet"/>
        <w:rPr>
          <w:rFonts w:eastAsiaTheme="majorEastAsia"/>
        </w:rPr>
      </w:pPr>
      <w:r w:rsidRPr="15F16DD6">
        <w:rPr>
          <w:rFonts w:eastAsiaTheme="majorEastAsia"/>
        </w:rPr>
        <w:t xml:space="preserve">The results displayed on the </w:t>
      </w:r>
      <w:r w:rsidR="3B581740" w:rsidRPr="15F16DD6">
        <w:rPr>
          <w:rFonts w:eastAsiaTheme="majorEastAsia"/>
        </w:rPr>
        <w:t>b</w:t>
      </w:r>
      <w:r w:rsidRPr="15F16DD6">
        <w:rPr>
          <w:rFonts w:eastAsiaTheme="majorEastAsia"/>
        </w:rPr>
        <w:t xml:space="preserve">reathalyser will be documented on the chain-of-custody form (noting blank forms are located on a clipboard in the DASL office) and </w:t>
      </w:r>
      <w:proofErr w:type="gramStart"/>
      <w:r w:rsidRPr="15F16DD6">
        <w:rPr>
          <w:rFonts w:eastAsiaTheme="majorEastAsia"/>
        </w:rPr>
        <w:t>entered into</w:t>
      </w:r>
      <w:proofErr w:type="gramEnd"/>
      <w:r w:rsidRPr="15F16DD6">
        <w:rPr>
          <w:rFonts w:eastAsiaTheme="majorEastAsia"/>
        </w:rPr>
        <w:t xml:space="preserve"> the spreadsheet</w:t>
      </w:r>
      <w:r w:rsidR="00447F8C">
        <w:rPr>
          <w:rFonts w:eastAsiaTheme="majorEastAsia"/>
        </w:rPr>
        <w:t xml:space="preserve"> in section 3.2</w:t>
      </w:r>
      <w:r w:rsidRPr="15F16DD6">
        <w:rPr>
          <w:rFonts w:eastAsiaTheme="majorEastAsia"/>
        </w:rPr>
        <w:t>.</w:t>
      </w:r>
    </w:p>
    <w:p w14:paraId="1E548464" w14:textId="77777777" w:rsidR="009E120D" w:rsidRPr="009E120D" w:rsidRDefault="009E120D" w:rsidP="009E120D">
      <w:pPr>
        <w:rPr>
          <w:rFonts w:eastAsiaTheme="majorEastAsia"/>
        </w:rPr>
      </w:pPr>
    </w:p>
    <w:p w14:paraId="2B67B9C3" w14:textId="77777777" w:rsidR="009E120D" w:rsidRPr="009E120D" w:rsidRDefault="009E120D" w:rsidP="009E120D">
      <w:pPr>
        <w:rPr>
          <w:rFonts w:eastAsiaTheme="majorEastAsia"/>
        </w:rPr>
      </w:pPr>
      <w:r w:rsidRPr="009E120D">
        <w:rPr>
          <w:rFonts w:eastAsiaTheme="majorEastAsia"/>
        </w:rPr>
        <w:t>Certain substances, such as mouthwash, may return a positive BAT reading. If a participant believes that the BAT reading is incorrect, they are given the opportunity of a second BAT reading that should be conducted 15 minutes after the initial test.</w:t>
      </w:r>
    </w:p>
    <w:p w14:paraId="454E389E" w14:textId="77777777" w:rsidR="009E120D" w:rsidRPr="009E120D" w:rsidRDefault="009E120D" w:rsidP="009E120D">
      <w:pPr>
        <w:rPr>
          <w:rFonts w:eastAsiaTheme="majorEastAsia"/>
        </w:rPr>
      </w:pPr>
    </w:p>
    <w:p w14:paraId="64DEE9E0" w14:textId="77777777" w:rsidR="009E120D" w:rsidRPr="009E120D" w:rsidRDefault="009E120D" w:rsidP="009E120D">
      <w:pPr>
        <w:pBdr>
          <w:top w:val="single" w:sz="4" w:space="1" w:color="auto"/>
          <w:left w:val="single" w:sz="4" w:space="4" w:color="auto"/>
          <w:bottom w:val="single" w:sz="4" w:space="1" w:color="auto"/>
          <w:right w:val="single" w:sz="4" w:space="4" w:color="auto"/>
        </w:pBdr>
        <w:rPr>
          <w:rFonts w:eastAsiaTheme="majorEastAsia"/>
        </w:rPr>
      </w:pPr>
      <w:r w:rsidRPr="009E120D">
        <w:rPr>
          <w:rFonts w:eastAsiaTheme="majorEastAsia"/>
          <w:b/>
          <w:bCs/>
        </w:rPr>
        <w:t>Note</w:t>
      </w:r>
      <w:r w:rsidRPr="009E120D">
        <w:rPr>
          <w:rFonts w:eastAsiaTheme="majorEastAsia"/>
        </w:rPr>
        <w:t xml:space="preserve">:  </w:t>
      </w:r>
    </w:p>
    <w:p w14:paraId="09CFA31D" w14:textId="1AAE614E" w:rsidR="003258EC" w:rsidRDefault="009E120D" w:rsidP="009E120D">
      <w:pPr>
        <w:pBdr>
          <w:top w:val="single" w:sz="4" w:space="1" w:color="auto"/>
          <w:left w:val="single" w:sz="4" w:space="4" w:color="auto"/>
          <w:bottom w:val="single" w:sz="4" w:space="1" w:color="auto"/>
          <w:right w:val="single" w:sz="4" w:space="4" w:color="auto"/>
        </w:pBdr>
        <w:rPr>
          <w:rFonts w:eastAsiaTheme="majorEastAsia"/>
        </w:rPr>
      </w:pPr>
      <w:r w:rsidRPr="009E120D">
        <w:rPr>
          <w:rFonts w:eastAsiaTheme="majorEastAsia"/>
        </w:rPr>
        <w:t>In accordance with both the Australian Standard AS3547:1997 and the manufacturer (Lion Laboratories Limited) the hand-held breath alcohol analysis instruments must be recertified/recalibrated every six months to ensure accuracy. The manufacturer will contact ADS directly to advise when the breathalyser needs to be sent for calibration.</w:t>
      </w:r>
    </w:p>
    <w:p w14:paraId="2ED7BBA3" w14:textId="77777777" w:rsidR="009E120D" w:rsidRPr="003258EC" w:rsidRDefault="009E120D" w:rsidP="009E120D">
      <w:pPr>
        <w:rPr>
          <w:rFonts w:eastAsiaTheme="majorEastAsia"/>
        </w:rPr>
      </w:pPr>
    </w:p>
    <w:p w14:paraId="0C4657AD" w14:textId="683EC158" w:rsidR="003258EC" w:rsidRDefault="008B11B7" w:rsidP="003258EC">
      <w:pPr>
        <w:pStyle w:val="Heading2"/>
      </w:pPr>
      <w:bookmarkStart w:id="34" w:name="_Toc71533476"/>
      <w:r>
        <w:lastRenderedPageBreak/>
        <w:t xml:space="preserve">3.4 </w:t>
      </w:r>
      <w:r w:rsidR="003258EC" w:rsidRPr="003258EC">
        <w:t>Urine Sample Collection Process</w:t>
      </w:r>
      <w:bookmarkEnd w:id="34"/>
    </w:p>
    <w:p w14:paraId="2E9C017F" w14:textId="77777777" w:rsidR="009E120D" w:rsidRPr="009E120D" w:rsidRDefault="009E120D" w:rsidP="009E120D">
      <w:pPr>
        <w:rPr>
          <w:rFonts w:eastAsiaTheme="majorEastAsia"/>
        </w:rPr>
      </w:pPr>
      <w:r w:rsidRPr="009E120D">
        <w:rPr>
          <w:rFonts w:eastAsiaTheme="majorEastAsia"/>
        </w:rPr>
        <w:t xml:space="preserve">All urine samples will be collected, </w:t>
      </w:r>
      <w:proofErr w:type="gramStart"/>
      <w:r w:rsidRPr="009E120D">
        <w:rPr>
          <w:rFonts w:eastAsiaTheme="majorEastAsia"/>
        </w:rPr>
        <w:t>transported</w:t>
      </w:r>
      <w:proofErr w:type="gramEnd"/>
      <w:r w:rsidRPr="009E120D">
        <w:rPr>
          <w:rFonts w:eastAsiaTheme="majorEastAsia"/>
        </w:rPr>
        <w:t xml:space="preserve"> and analysed in accordance with the following documents: </w:t>
      </w:r>
    </w:p>
    <w:p w14:paraId="31F22F51" w14:textId="4FDB576D" w:rsidR="009E120D" w:rsidRPr="009E120D" w:rsidRDefault="009E120D" w:rsidP="009E120D">
      <w:pPr>
        <w:pStyle w:val="ListBullet"/>
        <w:rPr>
          <w:rFonts w:eastAsiaTheme="majorEastAsia"/>
        </w:rPr>
      </w:pPr>
      <w:r w:rsidRPr="009E120D">
        <w:rPr>
          <w:rFonts w:eastAsiaTheme="majorEastAsia"/>
        </w:rPr>
        <w:t>AS/NZS 4308:2008 Procedures for specimen collection and the detection and quantitation of drugs of abuse in urine.</w:t>
      </w:r>
    </w:p>
    <w:p w14:paraId="330E0986" w14:textId="77777777" w:rsidR="009E120D" w:rsidRPr="009E120D" w:rsidRDefault="009E120D" w:rsidP="009E120D">
      <w:pPr>
        <w:rPr>
          <w:rFonts w:eastAsiaTheme="majorEastAsia"/>
        </w:rPr>
      </w:pPr>
    </w:p>
    <w:p w14:paraId="3C901E04" w14:textId="77777777" w:rsidR="009E120D" w:rsidRPr="009E120D" w:rsidRDefault="009E120D" w:rsidP="009E120D">
      <w:pPr>
        <w:rPr>
          <w:rFonts w:eastAsiaTheme="majorEastAsia"/>
        </w:rPr>
      </w:pPr>
      <w:r w:rsidRPr="009E120D">
        <w:rPr>
          <w:rFonts w:eastAsiaTheme="majorEastAsia"/>
        </w:rPr>
        <w:t>The urine sample collection procedure is as follows:</w:t>
      </w:r>
    </w:p>
    <w:p w14:paraId="7FDC4C1A" w14:textId="249CAD45" w:rsidR="009E120D" w:rsidRPr="009E120D" w:rsidRDefault="009E120D" w:rsidP="009E120D">
      <w:pPr>
        <w:pStyle w:val="ListParagraph"/>
        <w:numPr>
          <w:ilvl w:val="0"/>
          <w:numId w:val="21"/>
        </w:numPr>
        <w:rPr>
          <w:rFonts w:eastAsiaTheme="majorEastAsia"/>
        </w:rPr>
      </w:pPr>
      <w:r w:rsidRPr="009E120D">
        <w:rPr>
          <w:rFonts w:eastAsiaTheme="majorEastAsia"/>
        </w:rPr>
        <w:t>Upon arrival a participant will be asked by the clinician to provide photo identification. If the participant’s identity cannot be established, then the clinician will not proceed with the collection. The participant will be given the option to re-present within the designated testing time with the correct form of identification.</w:t>
      </w:r>
    </w:p>
    <w:p w14:paraId="41607AAE" w14:textId="68A74503" w:rsidR="009E120D" w:rsidRPr="009E120D" w:rsidRDefault="009E120D" w:rsidP="009E120D">
      <w:pPr>
        <w:pStyle w:val="ListParagraph"/>
        <w:numPr>
          <w:ilvl w:val="0"/>
          <w:numId w:val="21"/>
        </w:numPr>
        <w:rPr>
          <w:rFonts w:eastAsiaTheme="majorEastAsia"/>
        </w:rPr>
      </w:pPr>
      <w:r w:rsidRPr="009E120D">
        <w:rPr>
          <w:rFonts w:eastAsiaTheme="majorEastAsia"/>
        </w:rPr>
        <w:t>The participant provides the urine specimen in a location where their individual privacy is maintained as much as possible.</w:t>
      </w:r>
    </w:p>
    <w:p w14:paraId="2D4F3B28" w14:textId="445D91B0" w:rsidR="009E120D" w:rsidRPr="009E120D" w:rsidRDefault="009E120D" w:rsidP="15F16DD6">
      <w:pPr>
        <w:pStyle w:val="ListParagraph"/>
        <w:numPr>
          <w:ilvl w:val="0"/>
          <w:numId w:val="21"/>
        </w:numPr>
        <w:rPr>
          <w:rFonts w:eastAsiaTheme="majorEastAsia"/>
        </w:rPr>
      </w:pPr>
      <w:r w:rsidRPr="15F16DD6">
        <w:rPr>
          <w:rFonts w:eastAsiaTheme="majorEastAsia"/>
        </w:rPr>
        <w:t xml:space="preserve">Gloves are to be worn by the clinician when handling urine specimens and changed between each client. Splash resistant protective eye </w:t>
      </w:r>
      <w:r w:rsidR="7BDAB23E" w:rsidRPr="15F16DD6">
        <w:rPr>
          <w:rFonts w:eastAsiaTheme="majorEastAsia"/>
        </w:rPr>
        <w:t>goggles,</w:t>
      </w:r>
      <w:r w:rsidRPr="15F16DD6">
        <w:rPr>
          <w:rFonts w:eastAsiaTheme="majorEastAsia"/>
        </w:rPr>
        <w:t xml:space="preserve"> and water-resistant gowns are recommended to be worn during the collection.</w:t>
      </w:r>
    </w:p>
    <w:p w14:paraId="539D2E1E" w14:textId="64D9CE5C" w:rsidR="009E120D" w:rsidRPr="009E120D" w:rsidRDefault="009E120D" w:rsidP="009E120D">
      <w:pPr>
        <w:pStyle w:val="ListParagraph"/>
        <w:numPr>
          <w:ilvl w:val="0"/>
          <w:numId w:val="21"/>
        </w:numPr>
        <w:rPr>
          <w:rFonts w:eastAsiaTheme="majorEastAsia"/>
        </w:rPr>
      </w:pPr>
      <w:r w:rsidRPr="009E120D">
        <w:rPr>
          <w:rFonts w:eastAsiaTheme="majorEastAsia"/>
        </w:rPr>
        <w:t>The participant does not flush the toilet until the urine specimen has been handed to the clinician.</w:t>
      </w:r>
    </w:p>
    <w:p w14:paraId="4FFF24C4" w14:textId="27178533" w:rsidR="009E120D" w:rsidRPr="009E120D" w:rsidRDefault="009E120D" w:rsidP="009E120D">
      <w:pPr>
        <w:pStyle w:val="ListParagraph"/>
        <w:numPr>
          <w:ilvl w:val="0"/>
          <w:numId w:val="21"/>
        </w:numPr>
        <w:rPr>
          <w:rFonts w:eastAsiaTheme="majorEastAsia"/>
        </w:rPr>
      </w:pPr>
      <w:r w:rsidRPr="009E120D">
        <w:rPr>
          <w:rFonts w:eastAsiaTheme="majorEastAsia"/>
        </w:rPr>
        <w:t>The clinician will check the integrity of the urine specimen by considering the following:</w:t>
      </w:r>
    </w:p>
    <w:p w14:paraId="0A325450" w14:textId="0FCC8325" w:rsidR="009E120D" w:rsidRPr="009E120D" w:rsidRDefault="009E120D" w:rsidP="009E120D">
      <w:pPr>
        <w:pStyle w:val="ListParagraph"/>
        <w:numPr>
          <w:ilvl w:val="0"/>
          <w:numId w:val="23"/>
        </w:numPr>
        <w:rPr>
          <w:rFonts w:eastAsiaTheme="majorEastAsia"/>
        </w:rPr>
      </w:pPr>
      <w:r w:rsidRPr="009E120D">
        <w:rPr>
          <w:rFonts w:eastAsiaTheme="majorEastAsia"/>
        </w:rPr>
        <w:t>visual inspection of the colour, noting a colourless urine may indicate excessive hydration</w:t>
      </w:r>
    </w:p>
    <w:p w14:paraId="47D94420" w14:textId="2688E34D" w:rsidR="009E120D" w:rsidRPr="009E120D" w:rsidRDefault="009E120D" w:rsidP="009E120D">
      <w:pPr>
        <w:pStyle w:val="ListParagraph"/>
        <w:numPr>
          <w:ilvl w:val="0"/>
          <w:numId w:val="23"/>
        </w:numPr>
        <w:rPr>
          <w:rFonts w:eastAsiaTheme="majorEastAsia"/>
        </w:rPr>
      </w:pPr>
      <w:r w:rsidRPr="009E120D">
        <w:rPr>
          <w:rFonts w:eastAsiaTheme="majorEastAsia"/>
        </w:rPr>
        <w:t>the temperature as measured within four minutes of voiding, with acceptance criterion being between 33°C and 38°C</w:t>
      </w:r>
    </w:p>
    <w:p w14:paraId="751748E7" w14:textId="11DCE836" w:rsidR="009E120D" w:rsidRPr="009E120D" w:rsidRDefault="009E120D" w:rsidP="009E120D">
      <w:pPr>
        <w:pStyle w:val="ListParagraph"/>
        <w:numPr>
          <w:ilvl w:val="0"/>
          <w:numId w:val="23"/>
        </w:numPr>
        <w:rPr>
          <w:rFonts w:eastAsiaTheme="majorEastAsia"/>
        </w:rPr>
      </w:pPr>
      <w:r w:rsidRPr="009E120D">
        <w:rPr>
          <w:rFonts w:eastAsiaTheme="majorEastAsia"/>
        </w:rPr>
        <w:t xml:space="preserve">an on-site creatinine </w:t>
      </w:r>
      <w:proofErr w:type="gramStart"/>
      <w:r w:rsidRPr="009E120D">
        <w:rPr>
          <w:rFonts w:eastAsiaTheme="majorEastAsia"/>
        </w:rPr>
        <w:t>test</w:t>
      </w:r>
      <w:proofErr w:type="gramEnd"/>
    </w:p>
    <w:p w14:paraId="1954B87C" w14:textId="1D6C8872" w:rsidR="009E120D" w:rsidRPr="009E120D" w:rsidRDefault="009E120D" w:rsidP="009E120D">
      <w:pPr>
        <w:pStyle w:val="ListParagraph"/>
        <w:numPr>
          <w:ilvl w:val="0"/>
          <w:numId w:val="23"/>
        </w:numPr>
        <w:rPr>
          <w:rFonts w:eastAsiaTheme="majorEastAsia"/>
        </w:rPr>
      </w:pPr>
      <w:r w:rsidRPr="009E120D">
        <w:rPr>
          <w:rFonts w:eastAsiaTheme="majorEastAsia"/>
        </w:rPr>
        <w:t xml:space="preserve">an on-site pH </w:t>
      </w:r>
      <w:proofErr w:type="gramStart"/>
      <w:r w:rsidRPr="009E120D">
        <w:rPr>
          <w:rFonts w:eastAsiaTheme="majorEastAsia"/>
        </w:rPr>
        <w:t>test</w:t>
      </w:r>
      <w:proofErr w:type="gramEnd"/>
    </w:p>
    <w:p w14:paraId="62363C8B" w14:textId="0B914F87" w:rsidR="009E120D" w:rsidRPr="009E120D" w:rsidRDefault="009E120D" w:rsidP="009E120D">
      <w:pPr>
        <w:pStyle w:val="ListParagraph"/>
        <w:numPr>
          <w:ilvl w:val="0"/>
          <w:numId w:val="21"/>
        </w:numPr>
        <w:rPr>
          <w:rFonts w:eastAsiaTheme="majorEastAsia"/>
        </w:rPr>
      </w:pPr>
      <w:r w:rsidRPr="009E120D">
        <w:rPr>
          <w:rFonts w:eastAsiaTheme="majorEastAsia"/>
        </w:rPr>
        <w:t>Any unusual or abnormal findings shall be noted on the chain-of-custody form and in the permanent record system.</w:t>
      </w:r>
    </w:p>
    <w:p w14:paraId="55BD95FC" w14:textId="3469B6E4" w:rsidR="009E120D" w:rsidRPr="009E120D" w:rsidRDefault="009E120D" w:rsidP="009E120D">
      <w:pPr>
        <w:pStyle w:val="ListParagraph"/>
        <w:numPr>
          <w:ilvl w:val="0"/>
          <w:numId w:val="21"/>
        </w:numPr>
        <w:rPr>
          <w:rFonts w:eastAsiaTheme="majorEastAsia"/>
        </w:rPr>
      </w:pPr>
      <w:r w:rsidRPr="009E120D">
        <w:rPr>
          <w:rFonts w:eastAsiaTheme="majorEastAsia"/>
        </w:rPr>
        <w:t>If the integrity of the specimen cannot be established, then another urine specimen will be collected. Both specimens are to be forwarded to the laboratory for drug and specimen integrity testing. Both the original and further specimens will be uniquely labelled by the clinician and accompanied by their individual chain-of-custody forms which will be cross referenced in the spreadsheet.</w:t>
      </w:r>
    </w:p>
    <w:p w14:paraId="652FB731" w14:textId="4F71750D" w:rsidR="009E120D" w:rsidRPr="009E120D" w:rsidRDefault="009E120D" w:rsidP="009E120D">
      <w:pPr>
        <w:pStyle w:val="ListParagraph"/>
        <w:numPr>
          <w:ilvl w:val="0"/>
          <w:numId w:val="21"/>
        </w:numPr>
        <w:rPr>
          <w:rFonts w:eastAsiaTheme="majorEastAsia"/>
        </w:rPr>
      </w:pPr>
      <w:r w:rsidRPr="009E120D">
        <w:rPr>
          <w:rFonts w:eastAsiaTheme="majorEastAsia"/>
        </w:rPr>
        <w:t>The clinician will conduct an on-site immunoassay screening as per AS/NZS 4308:2008 standards</w:t>
      </w:r>
      <w:r>
        <w:rPr>
          <w:rFonts w:eastAsiaTheme="majorEastAsia"/>
        </w:rPr>
        <w:t>:</w:t>
      </w:r>
    </w:p>
    <w:p w14:paraId="7293BA0D" w14:textId="68857AD8" w:rsidR="009E120D" w:rsidRPr="009E120D" w:rsidRDefault="009E120D" w:rsidP="009E120D">
      <w:pPr>
        <w:pStyle w:val="ListParagraph"/>
        <w:numPr>
          <w:ilvl w:val="0"/>
          <w:numId w:val="25"/>
        </w:numPr>
        <w:rPr>
          <w:rFonts w:eastAsiaTheme="majorEastAsia"/>
        </w:rPr>
      </w:pPr>
      <w:r w:rsidRPr="009E120D">
        <w:rPr>
          <w:rFonts w:eastAsiaTheme="majorEastAsia"/>
        </w:rPr>
        <w:t>If the immunoassay screening results are ‘Negative’ for all drug classes, there will be no further action required by the clinician, except to complete the chain-of-custody form and enter the results in the permanent record system.</w:t>
      </w:r>
    </w:p>
    <w:p w14:paraId="13B543A7" w14:textId="3DE959A3" w:rsidR="003258EC" w:rsidRPr="009E120D" w:rsidRDefault="009E120D" w:rsidP="009E120D">
      <w:pPr>
        <w:pStyle w:val="ListParagraph"/>
        <w:numPr>
          <w:ilvl w:val="0"/>
          <w:numId w:val="25"/>
        </w:numPr>
        <w:rPr>
          <w:rFonts w:eastAsiaTheme="majorEastAsia"/>
        </w:rPr>
      </w:pPr>
      <w:r w:rsidRPr="009E120D">
        <w:rPr>
          <w:rFonts w:eastAsiaTheme="majorEastAsia"/>
        </w:rPr>
        <w:t xml:space="preserve">If the immunoassay screening results are ‘Non-Negative’ for any one of the </w:t>
      </w:r>
      <w:proofErr w:type="gramStart"/>
      <w:r w:rsidRPr="009E120D">
        <w:rPr>
          <w:rFonts w:eastAsiaTheme="majorEastAsia"/>
        </w:rPr>
        <w:t>drug</w:t>
      </w:r>
      <w:proofErr w:type="gramEnd"/>
      <w:r w:rsidRPr="009E120D">
        <w:rPr>
          <w:rFonts w:eastAsiaTheme="majorEastAsia"/>
        </w:rPr>
        <w:t xml:space="preserve"> classes the clinician will complete the chain-of-custody form, enter the results in the spreadsheet and prepare the urine specimen for transportation to the laboratory for confirmation testing.</w:t>
      </w:r>
    </w:p>
    <w:p w14:paraId="14DAD2E2" w14:textId="77777777" w:rsidR="009E120D" w:rsidRPr="003258EC" w:rsidRDefault="009E120D" w:rsidP="009E120D">
      <w:pPr>
        <w:rPr>
          <w:rFonts w:eastAsiaTheme="majorEastAsia"/>
        </w:rPr>
      </w:pPr>
    </w:p>
    <w:p w14:paraId="019E39AE" w14:textId="077EF5B4" w:rsidR="003258EC" w:rsidRDefault="008B11B7" w:rsidP="003258EC">
      <w:pPr>
        <w:pStyle w:val="Heading2"/>
      </w:pPr>
      <w:bookmarkStart w:id="35" w:name="_Toc71533477"/>
      <w:r>
        <w:t xml:space="preserve">3.5 </w:t>
      </w:r>
      <w:r w:rsidR="003258EC" w:rsidRPr="003258EC">
        <w:t>Adulteration or Failure to Cooperate</w:t>
      </w:r>
      <w:bookmarkEnd w:id="35"/>
    </w:p>
    <w:p w14:paraId="66858511" w14:textId="5D38550B" w:rsidR="009E120D" w:rsidRPr="009E120D" w:rsidRDefault="009E120D" w:rsidP="009E120D">
      <w:pPr>
        <w:rPr>
          <w:rFonts w:eastAsiaTheme="majorEastAsia"/>
        </w:rPr>
      </w:pPr>
      <w:r w:rsidRPr="009E120D">
        <w:rPr>
          <w:rFonts w:eastAsiaTheme="majorEastAsia"/>
        </w:rPr>
        <w:t xml:space="preserve">Any attempt to sabotage, falsify or substitute a urine specimen is a breach of the participant’s Drug and Alcohol Treatment Order (DATO). The Urinalysis Suite clinician will </w:t>
      </w:r>
      <w:r w:rsidRPr="009E120D">
        <w:rPr>
          <w:rFonts w:eastAsiaTheme="majorEastAsia"/>
        </w:rPr>
        <w:lastRenderedPageBreak/>
        <w:t>document this on the chain-of-custody form and on the spreadsheet</w:t>
      </w:r>
      <w:r w:rsidR="009941BD">
        <w:rPr>
          <w:rFonts w:eastAsiaTheme="majorEastAsia"/>
        </w:rPr>
        <w:t xml:space="preserve"> (</w:t>
      </w:r>
      <w:r w:rsidR="00A06171">
        <w:rPr>
          <w:rFonts w:eastAsiaTheme="majorEastAsia"/>
        </w:rPr>
        <w:t>see section</w:t>
      </w:r>
      <w:r w:rsidR="009941BD">
        <w:rPr>
          <w:rFonts w:eastAsiaTheme="majorEastAsia"/>
        </w:rPr>
        <w:t xml:space="preserve"> 3.2)</w:t>
      </w:r>
      <w:r w:rsidRPr="009E120D">
        <w:rPr>
          <w:rFonts w:eastAsiaTheme="majorEastAsia"/>
        </w:rPr>
        <w:t xml:space="preserve"> and email the ADS DASL team.</w:t>
      </w:r>
    </w:p>
    <w:p w14:paraId="2B4ED12B" w14:textId="77777777" w:rsidR="009E120D" w:rsidRPr="009E120D" w:rsidRDefault="009E120D" w:rsidP="009E120D">
      <w:pPr>
        <w:rPr>
          <w:rFonts w:eastAsiaTheme="majorEastAsia"/>
        </w:rPr>
      </w:pPr>
    </w:p>
    <w:p w14:paraId="5D4AA629" w14:textId="69BA8EDB" w:rsidR="003258EC" w:rsidRDefault="009E120D" w:rsidP="009E120D">
      <w:pPr>
        <w:rPr>
          <w:rFonts w:eastAsiaTheme="majorEastAsia"/>
        </w:rPr>
      </w:pPr>
      <w:r w:rsidRPr="009E120D">
        <w:rPr>
          <w:rFonts w:eastAsiaTheme="majorEastAsia"/>
        </w:rPr>
        <w:t>If a participant fails to cooperate with the drug and alcohol testing process, the process must cease immediately and be recorded as a refusal to comply. The Urinalysis Suite clinician will document this on the chain-of-custody form and on the spreadsheet and email the ADS DASL team.</w:t>
      </w:r>
    </w:p>
    <w:p w14:paraId="35074572" w14:textId="77777777" w:rsidR="009E120D" w:rsidRPr="003258EC" w:rsidRDefault="009E120D" w:rsidP="009E120D">
      <w:pPr>
        <w:rPr>
          <w:rFonts w:eastAsiaTheme="majorEastAsia"/>
        </w:rPr>
      </w:pPr>
    </w:p>
    <w:p w14:paraId="2E1773AC" w14:textId="700FC2B1" w:rsidR="003258EC" w:rsidRDefault="008B11B7" w:rsidP="003258EC">
      <w:pPr>
        <w:pStyle w:val="Heading2"/>
      </w:pPr>
      <w:bookmarkStart w:id="36" w:name="_Toc71533478"/>
      <w:r>
        <w:t xml:space="preserve">3.6 </w:t>
      </w:r>
      <w:r w:rsidR="003258EC" w:rsidRPr="003258EC">
        <w:t>Chain of Custody</w:t>
      </w:r>
      <w:bookmarkEnd w:id="36"/>
    </w:p>
    <w:p w14:paraId="32153E20" w14:textId="77777777" w:rsidR="009E120D" w:rsidRPr="009E120D" w:rsidRDefault="009E120D" w:rsidP="009E120D">
      <w:pPr>
        <w:rPr>
          <w:rFonts w:eastAsiaTheme="majorEastAsia"/>
        </w:rPr>
      </w:pPr>
      <w:r w:rsidRPr="009E120D">
        <w:rPr>
          <w:rFonts w:eastAsiaTheme="majorEastAsia"/>
        </w:rPr>
        <w:t xml:space="preserve">Chain-of-custody forms are to be completed by the clinician and participant. This form is a legal document. When handling and transporting urine specimens from one individual or place to another, chain of custody must be </w:t>
      </w:r>
      <w:proofErr w:type="gramStart"/>
      <w:r w:rsidRPr="009E120D">
        <w:rPr>
          <w:rFonts w:eastAsiaTheme="majorEastAsia"/>
        </w:rPr>
        <w:t>maintained at all times</w:t>
      </w:r>
      <w:proofErr w:type="gramEnd"/>
      <w:r w:rsidRPr="009E120D">
        <w:rPr>
          <w:rFonts w:eastAsiaTheme="majorEastAsia"/>
        </w:rPr>
        <w:t xml:space="preserve">. Every effort is to be made to minimize the number of people handling specimens. </w:t>
      </w:r>
    </w:p>
    <w:p w14:paraId="73FD295D" w14:textId="77777777" w:rsidR="009E120D" w:rsidRPr="009E120D" w:rsidRDefault="009E120D" w:rsidP="009E120D">
      <w:pPr>
        <w:rPr>
          <w:rFonts w:eastAsiaTheme="majorEastAsia"/>
        </w:rPr>
      </w:pPr>
    </w:p>
    <w:p w14:paraId="5228C986" w14:textId="77777777" w:rsidR="009E120D" w:rsidRPr="009E120D" w:rsidRDefault="009E120D" w:rsidP="009E120D">
      <w:pPr>
        <w:rPr>
          <w:rFonts w:eastAsiaTheme="majorEastAsia"/>
        </w:rPr>
      </w:pPr>
      <w:r w:rsidRPr="009E120D">
        <w:rPr>
          <w:rFonts w:eastAsiaTheme="majorEastAsia"/>
        </w:rPr>
        <w:t>The chain-of-custody form should include the following information as a minimum:</w:t>
      </w:r>
    </w:p>
    <w:p w14:paraId="01C7F386" w14:textId="1F435916" w:rsidR="009E120D" w:rsidRPr="009E120D" w:rsidRDefault="009E120D" w:rsidP="009E120D">
      <w:pPr>
        <w:pStyle w:val="ListBullet"/>
        <w:rPr>
          <w:rFonts w:eastAsiaTheme="majorEastAsia"/>
        </w:rPr>
      </w:pPr>
      <w:r w:rsidRPr="009E120D">
        <w:rPr>
          <w:rFonts w:eastAsiaTheme="majorEastAsia"/>
        </w:rPr>
        <w:t>verification of participant’s identity</w:t>
      </w:r>
    </w:p>
    <w:p w14:paraId="6ED606FC" w14:textId="20C4E67C" w:rsidR="009E120D" w:rsidRPr="009E120D" w:rsidRDefault="009E120D" w:rsidP="009E120D">
      <w:pPr>
        <w:pStyle w:val="ListBullet"/>
        <w:rPr>
          <w:rFonts w:eastAsiaTheme="majorEastAsia"/>
        </w:rPr>
      </w:pPr>
      <w:r w:rsidRPr="009E120D">
        <w:rPr>
          <w:rFonts w:eastAsiaTheme="majorEastAsia"/>
        </w:rPr>
        <w:t>date and time of collection</w:t>
      </w:r>
    </w:p>
    <w:p w14:paraId="23D6F14E" w14:textId="5B3A0AC3" w:rsidR="009E120D" w:rsidRPr="009E120D" w:rsidRDefault="009E120D" w:rsidP="009E120D">
      <w:pPr>
        <w:pStyle w:val="ListBullet"/>
        <w:rPr>
          <w:rFonts w:eastAsiaTheme="majorEastAsia"/>
        </w:rPr>
      </w:pPr>
      <w:r w:rsidRPr="009E120D">
        <w:rPr>
          <w:rFonts w:eastAsiaTheme="majorEastAsia"/>
        </w:rPr>
        <w:t>confirmation by the participant that the specimen was their own and was correctly taken</w:t>
      </w:r>
    </w:p>
    <w:p w14:paraId="07F3FC34" w14:textId="526401A0" w:rsidR="009E120D" w:rsidRPr="009E120D" w:rsidRDefault="009E120D" w:rsidP="009E120D">
      <w:pPr>
        <w:pStyle w:val="ListBullet"/>
        <w:rPr>
          <w:rFonts w:eastAsiaTheme="majorEastAsia"/>
        </w:rPr>
      </w:pPr>
      <w:r w:rsidRPr="009E120D">
        <w:rPr>
          <w:rFonts w:eastAsiaTheme="majorEastAsia"/>
        </w:rPr>
        <w:t>names and signatures of clinician collecting the specimen and witness</w:t>
      </w:r>
    </w:p>
    <w:p w14:paraId="361F1994" w14:textId="6709E256" w:rsidR="009E120D" w:rsidRPr="009E120D" w:rsidRDefault="009E120D" w:rsidP="009E120D">
      <w:pPr>
        <w:pStyle w:val="ListBullet"/>
        <w:rPr>
          <w:rFonts w:eastAsiaTheme="majorEastAsia"/>
        </w:rPr>
      </w:pPr>
      <w:r w:rsidRPr="009E120D">
        <w:rPr>
          <w:rFonts w:eastAsiaTheme="majorEastAsia"/>
        </w:rPr>
        <w:t>declaration by the clinician that the specimen has been collected and if applicable tested on-site in compliance with the AS/NZS 4308:2008 standards</w:t>
      </w:r>
    </w:p>
    <w:p w14:paraId="62250F91" w14:textId="335A242A" w:rsidR="009E120D" w:rsidRPr="009E120D" w:rsidRDefault="009E120D" w:rsidP="009E120D">
      <w:pPr>
        <w:pStyle w:val="ListBullet"/>
        <w:rPr>
          <w:rFonts w:eastAsiaTheme="majorEastAsia"/>
        </w:rPr>
      </w:pPr>
      <w:r w:rsidRPr="009E120D">
        <w:rPr>
          <w:rFonts w:eastAsiaTheme="majorEastAsia"/>
        </w:rPr>
        <w:t>requesting authority details</w:t>
      </w:r>
    </w:p>
    <w:p w14:paraId="79A591B0" w14:textId="27C8485D" w:rsidR="003258EC" w:rsidRPr="009E120D" w:rsidRDefault="009E120D" w:rsidP="009E120D">
      <w:pPr>
        <w:pStyle w:val="ListBullet"/>
        <w:rPr>
          <w:rFonts w:eastAsiaTheme="majorEastAsia"/>
        </w:rPr>
      </w:pPr>
      <w:r w:rsidRPr="009E120D">
        <w:rPr>
          <w:rFonts w:eastAsiaTheme="majorEastAsia"/>
        </w:rPr>
        <w:t>results of specimen integrity checks carried out at the point of collection.</w:t>
      </w:r>
    </w:p>
    <w:p w14:paraId="17C2EE9D" w14:textId="77777777" w:rsidR="009E120D" w:rsidRPr="003258EC" w:rsidRDefault="009E120D" w:rsidP="009E120D">
      <w:pPr>
        <w:rPr>
          <w:rFonts w:eastAsiaTheme="majorEastAsia"/>
        </w:rPr>
      </w:pPr>
    </w:p>
    <w:p w14:paraId="54BD4E73" w14:textId="455F04D5" w:rsidR="003258EC" w:rsidRDefault="008B11B7" w:rsidP="003258EC">
      <w:pPr>
        <w:pStyle w:val="Heading2"/>
      </w:pPr>
      <w:bookmarkStart w:id="37" w:name="_Toc71533479"/>
      <w:r>
        <w:t xml:space="preserve">3.7 </w:t>
      </w:r>
      <w:r w:rsidR="003258EC" w:rsidRPr="003258EC">
        <w:t>Specimen Storage or Discard</w:t>
      </w:r>
      <w:bookmarkEnd w:id="37"/>
    </w:p>
    <w:p w14:paraId="6349119D" w14:textId="77777777" w:rsidR="009E120D" w:rsidRPr="009E120D" w:rsidRDefault="009E120D" w:rsidP="007D269B">
      <w:r w:rsidRPr="009E120D">
        <w:t>All specimens that come back with a ‘Negative’ reading for all drug classes will have the chain-of-custody form completed and the results entered into the permanent record system. The specimen will then be discarded into the biohazard waste bin.</w:t>
      </w:r>
    </w:p>
    <w:p w14:paraId="0535B18B" w14:textId="77777777" w:rsidR="009E120D" w:rsidRPr="009E120D" w:rsidRDefault="009E120D" w:rsidP="007D269B"/>
    <w:p w14:paraId="77E8DE7C" w14:textId="002B4CE9" w:rsidR="009E120D" w:rsidRPr="009E120D" w:rsidRDefault="009E120D" w:rsidP="007D269B">
      <w:r>
        <w:t xml:space="preserve">All specimens that come back with a ‘Non-Negative’ reading for any drug classes will be refrigerated as soon as possible after the on-site immunoassay testing and await collection </w:t>
      </w:r>
      <w:r w:rsidR="0EC034B3">
        <w:t xml:space="preserve">and transportation </w:t>
      </w:r>
      <w:r>
        <w:t>to the laboratory for confirmation testing.</w:t>
      </w:r>
    </w:p>
    <w:p w14:paraId="3BAC35B5" w14:textId="77777777" w:rsidR="009E120D" w:rsidRPr="009E120D" w:rsidRDefault="009E120D" w:rsidP="007D269B"/>
    <w:p w14:paraId="58952191" w14:textId="77777777" w:rsidR="009E120D" w:rsidRPr="009E120D" w:rsidRDefault="009E120D" w:rsidP="007D269B">
      <w:r w:rsidRPr="009E120D">
        <w:t>The process for specimen storage awaiting transportation to the laboratory for confirmation testing is as follows:</w:t>
      </w:r>
    </w:p>
    <w:p w14:paraId="6C359615" w14:textId="5A4A9F70" w:rsidR="009E120D" w:rsidRPr="009E120D" w:rsidRDefault="009E120D" w:rsidP="009E120D">
      <w:pPr>
        <w:pStyle w:val="ListBullet"/>
      </w:pPr>
      <w:r w:rsidRPr="009E120D">
        <w:t>All specimens are to be placed in a locked fridge awaiting collection by the courier.</w:t>
      </w:r>
    </w:p>
    <w:p w14:paraId="5ECB9EBC" w14:textId="7049A852" w:rsidR="009E120D" w:rsidRPr="009E120D" w:rsidRDefault="009E120D" w:rsidP="009E120D">
      <w:pPr>
        <w:pStyle w:val="ListBullet"/>
      </w:pPr>
      <w:r w:rsidRPr="009E120D">
        <w:t xml:space="preserve">All specimens awaiting transportation should be transported by the courier on the next available day the Urinalysis Suite is operating. </w:t>
      </w:r>
    </w:p>
    <w:p w14:paraId="44957CEB" w14:textId="54CB57FC" w:rsidR="009E120D" w:rsidRPr="009E120D" w:rsidRDefault="009E120D" w:rsidP="009E120D">
      <w:pPr>
        <w:pStyle w:val="ListBullet"/>
      </w:pPr>
      <w:r w:rsidRPr="009E120D">
        <w:t>Refrigeration unit temperatures will be manually checked at the beginning of the shift and should operate in a range of 2-8°C.</w:t>
      </w:r>
    </w:p>
    <w:p w14:paraId="1132DDB5" w14:textId="17FB44AD" w:rsidR="009E120D" w:rsidRDefault="009E120D" w:rsidP="009E120D">
      <w:pPr>
        <w:pStyle w:val="ListBullet"/>
        <w:rPr>
          <w:b/>
          <w:bCs/>
        </w:rPr>
      </w:pPr>
      <w:r w:rsidRPr="009E120D">
        <w:t>If the refrigeration unit temperature falls outside of the 2-8°C range the clinician will follow the manufacturer’s instructions.</w:t>
      </w:r>
    </w:p>
    <w:p w14:paraId="535F5073" w14:textId="77777777" w:rsidR="009E120D" w:rsidRDefault="009E120D" w:rsidP="009E120D">
      <w:pPr>
        <w:pStyle w:val="Heading2"/>
        <w:rPr>
          <w:rFonts w:cs="Times New Roman"/>
          <w:b w:val="0"/>
          <w:bCs w:val="0"/>
          <w:szCs w:val="20"/>
        </w:rPr>
      </w:pPr>
    </w:p>
    <w:p w14:paraId="49CD32F4" w14:textId="096AA439" w:rsidR="003258EC" w:rsidRDefault="008B11B7" w:rsidP="009E120D">
      <w:pPr>
        <w:pStyle w:val="Heading2"/>
      </w:pPr>
      <w:bookmarkStart w:id="38" w:name="_Toc71533480"/>
      <w:r>
        <w:t xml:space="preserve">3.8 </w:t>
      </w:r>
      <w:r w:rsidR="003258EC" w:rsidRPr="003258EC">
        <w:t>Preparation for Dispatch</w:t>
      </w:r>
      <w:bookmarkEnd w:id="38"/>
    </w:p>
    <w:p w14:paraId="18774914" w14:textId="77777777" w:rsidR="009E120D" w:rsidRDefault="009E120D" w:rsidP="009E120D">
      <w:r>
        <w:t>If the urine specimen is required to be sent for confirmation testing the procedure is as follows:</w:t>
      </w:r>
    </w:p>
    <w:p w14:paraId="333B46E1" w14:textId="0C7E5F5E" w:rsidR="009E120D" w:rsidRDefault="009E120D" w:rsidP="009E120D">
      <w:pPr>
        <w:pStyle w:val="ListBullet"/>
      </w:pPr>
      <w:r>
        <w:t>The specimen is split between two containers, one of which shall be the referee specimen.</w:t>
      </w:r>
    </w:p>
    <w:p w14:paraId="041AEB93" w14:textId="74374293" w:rsidR="009E120D" w:rsidRDefault="009E120D" w:rsidP="009E120D">
      <w:pPr>
        <w:pStyle w:val="ListBullet"/>
      </w:pPr>
      <w:r>
        <w:t>The clinician will ensure that each container is labelled correctly and matches the sticker on the chain-of-custody form.</w:t>
      </w:r>
    </w:p>
    <w:p w14:paraId="17CC24F8" w14:textId="0F24BF3F" w:rsidR="009E120D" w:rsidRDefault="009E120D" w:rsidP="009E120D">
      <w:pPr>
        <w:pStyle w:val="ListBullet"/>
      </w:pPr>
      <w:r>
        <w:t>The tamper-evident seals will be initialled by the participant and placed on the container.</w:t>
      </w:r>
    </w:p>
    <w:p w14:paraId="0DB30B46" w14:textId="4C222663" w:rsidR="009E120D" w:rsidRDefault="009E120D" w:rsidP="009E120D">
      <w:pPr>
        <w:pStyle w:val="ListBullet"/>
      </w:pPr>
      <w:r>
        <w:t>The clinician will enter into the permanent record system all information identifying the specimen.</w:t>
      </w:r>
    </w:p>
    <w:p w14:paraId="28C4335B" w14:textId="55F7D0DD" w:rsidR="009E120D" w:rsidRDefault="009E120D" w:rsidP="009E120D">
      <w:pPr>
        <w:pStyle w:val="ListBullet"/>
      </w:pPr>
      <w:r>
        <w:t>The chain-of-custody form will be completed by the clinician and signed by the participant. A copy of the completed chain-of-custody form will be taken and placed in an official file in the locked cabinet in the DASL office.</w:t>
      </w:r>
    </w:p>
    <w:p w14:paraId="09F2E302" w14:textId="79BD4D26" w:rsidR="009E120D" w:rsidRDefault="009E120D" w:rsidP="009E120D">
      <w:pPr>
        <w:pStyle w:val="ListBullet"/>
      </w:pPr>
      <w:r>
        <w:t xml:space="preserve">The urine containers and the chain-of-custody form are now ready for transportation.  </w:t>
      </w:r>
    </w:p>
    <w:p w14:paraId="45FB7900" w14:textId="5B16007F" w:rsidR="009E120D" w:rsidRDefault="009E120D" w:rsidP="009E120D">
      <w:pPr>
        <w:pStyle w:val="ListBullet"/>
      </w:pPr>
      <w:r>
        <w:t>Transportation will occur on the next available day the Urinalysis Suite is operating, e.g. Monday urinalysis collection will be booked for transportation on Wednesday.</w:t>
      </w:r>
    </w:p>
    <w:p w14:paraId="5B5DD475" w14:textId="18AE51B5" w:rsidR="009E120D" w:rsidRDefault="009E120D" w:rsidP="009E120D">
      <w:pPr>
        <w:pStyle w:val="ListBullet"/>
      </w:pPr>
      <w:r>
        <w:t>Transportation of specimens needs to be requested by 1pm Monday to Friday.</w:t>
      </w:r>
    </w:p>
    <w:p w14:paraId="39AC7614" w14:textId="77777777" w:rsidR="009E120D" w:rsidRDefault="009E120D" w:rsidP="009E120D"/>
    <w:p w14:paraId="283AB47C" w14:textId="77777777" w:rsidR="009E120D" w:rsidRDefault="009E120D" w:rsidP="009E120D">
      <w:pPr>
        <w:pBdr>
          <w:top w:val="single" w:sz="4" w:space="1" w:color="auto"/>
          <w:left w:val="single" w:sz="4" w:space="4" w:color="auto"/>
          <w:bottom w:val="single" w:sz="4" w:space="1" w:color="auto"/>
          <w:right w:val="single" w:sz="4" w:space="4" w:color="auto"/>
        </w:pBdr>
      </w:pPr>
      <w:r w:rsidRPr="009E120D">
        <w:rPr>
          <w:b/>
          <w:bCs/>
        </w:rPr>
        <w:t>Note</w:t>
      </w:r>
      <w:r>
        <w:t xml:space="preserve">: </w:t>
      </w:r>
    </w:p>
    <w:p w14:paraId="7D776342" w14:textId="28D7F692" w:rsidR="003258EC" w:rsidRDefault="009E120D" w:rsidP="009E120D">
      <w:pPr>
        <w:pBdr>
          <w:top w:val="single" w:sz="4" w:space="1" w:color="auto"/>
          <w:left w:val="single" w:sz="4" w:space="4" w:color="auto"/>
          <w:bottom w:val="single" w:sz="4" w:space="1" w:color="auto"/>
          <w:right w:val="single" w:sz="4" w:space="4" w:color="auto"/>
        </w:pBdr>
      </w:pPr>
      <w:r>
        <w:t>If the specimens are not dispatched immediately, they will be refrigerated during temporary storage.</w:t>
      </w:r>
    </w:p>
    <w:p w14:paraId="44A6E30B" w14:textId="77777777" w:rsidR="009E120D" w:rsidRPr="003258EC" w:rsidRDefault="009E120D" w:rsidP="009E120D">
      <w:pPr>
        <w:rPr>
          <w:rFonts w:eastAsiaTheme="majorEastAsia"/>
          <w:b/>
          <w:bCs/>
        </w:rPr>
      </w:pPr>
    </w:p>
    <w:p w14:paraId="6827DC73" w14:textId="3EF2EA14" w:rsidR="003258EC" w:rsidRDefault="008B11B7" w:rsidP="003258EC">
      <w:pPr>
        <w:pStyle w:val="Heading2"/>
      </w:pPr>
      <w:bookmarkStart w:id="39" w:name="_Toc71533481"/>
      <w:r>
        <w:t xml:space="preserve">3.9 </w:t>
      </w:r>
      <w:r w:rsidR="003258EC" w:rsidRPr="003258EC">
        <w:t>Transportation to the Laboratory</w:t>
      </w:r>
      <w:bookmarkEnd w:id="39"/>
    </w:p>
    <w:p w14:paraId="7439078A" w14:textId="77777777" w:rsidR="009E120D" w:rsidRPr="009E120D" w:rsidRDefault="009E120D" w:rsidP="009E120D">
      <w:pPr>
        <w:rPr>
          <w:rFonts w:eastAsiaTheme="majorEastAsia"/>
        </w:rPr>
      </w:pPr>
      <w:r w:rsidRPr="009E120D">
        <w:rPr>
          <w:rFonts w:eastAsiaTheme="majorEastAsia"/>
        </w:rPr>
        <w:t>The procedure for transportation of specimens to the laboratory will incorporate the following:</w:t>
      </w:r>
    </w:p>
    <w:p w14:paraId="4AE3367D" w14:textId="15A3C782" w:rsidR="009E120D" w:rsidRPr="009E120D" w:rsidRDefault="009E120D" w:rsidP="009E120D">
      <w:pPr>
        <w:pStyle w:val="ListBullet"/>
        <w:rPr>
          <w:rFonts w:eastAsiaTheme="majorEastAsia"/>
        </w:rPr>
      </w:pPr>
      <w:r w:rsidRPr="009E120D">
        <w:rPr>
          <w:rFonts w:eastAsiaTheme="majorEastAsia"/>
        </w:rPr>
        <w:t>The clinician will place the test and urine specimens in the containers supplied by the pathology provider. These are designed to minimize the possibility of damage and contamination during transport.</w:t>
      </w:r>
    </w:p>
    <w:p w14:paraId="09AE2EE8" w14:textId="4D7ED87D" w:rsidR="009E120D" w:rsidRPr="009E120D" w:rsidRDefault="009E120D" w:rsidP="009E120D">
      <w:pPr>
        <w:pStyle w:val="ListBullet"/>
        <w:rPr>
          <w:rFonts w:eastAsiaTheme="majorEastAsia"/>
        </w:rPr>
      </w:pPr>
      <w:r w:rsidRPr="009E120D">
        <w:rPr>
          <w:rFonts w:eastAsiaTheme="majorEastAsia"/>
        </w:rPr>
        <w:t>The container will be securely sealed to ensure any tampering would be detected.</w:t>
      </w:r>
    </w:p>
    <w:p w14:paraId="7A4A376B" w14:textId="30AACFED" w:rsidR="009E120D" w:rsidRPr="009E120D" w:rsidRDefault="009E120D" w:rsidP="009E120D">
      <w:pPr>
        <w:pStyle w:val="ListBullet"/>
        <w:rPr>
          <w:rFonts w:eastAsiaTheme="majorEastAsia"/>
        </w:rPr>
      </w:pPr>
      <w:r w:rsidRPr="009E120D">
        <w:rPr>
          <w:rFonts w:eastAsiaTheme="majorEastAsia"/>
        </w:rPr>
        <w:t>The clinician will ensure the original chain-of-custody form with testing instructions is inside the sealed container in which the specimens are transported to the laboratory.</w:t>
      </w:r>
    </w:p>
    <w:p w14:paraId="11A98F47" w14:textId="6F4DE9EF" w:rsidR="003258EC" w:rsidRPr="009E120D" w:rsidRDefault="009E120D" w:rsidP="009E120D">
      <w:pPr>
        <w:pStyle w:val="ListBullet"/>
        <w:rPr>
          <w:rFonts w:eastAsiaTheme="majorEastAsia"/>
        </w:rPr>
      </w:pPr>
      <w:r w:rsidRPr="009E120D">
        <w:rPr>
          <w:rFonts w:eastAsiaTheme="majorEastAsia"/>
        </w:rPr>
        <w:t>Transportation will occur in accordance with the Australian/New Zealand Standard (AS/NZS) 4308:2008 Procedures for specimen collection and the detection and quantitation of drugs of abuse in urine.</w:t>
      </w:r>
    </w:p>
    <w:p w14:paraId="25BCFA6B" w14:textId="77777777" w:rsidR="009E120D" w:rsidRPr="003258EC" w:rsidRDefault="009E120D" w:rsidP="009E120D">
      <w:pPr>
        <w:rPr>
          <w:rFonts w:eastAsiaTheme="majorEastAsia"/>
        </w:rPr>
      </w:pPr>
    </w:p>
    <w:p w14:paraId="5C41232F" w14:textId="1556C689" w:rsidR="003258EC" w:rsidRDefault="008B11B7" w:rsidP="003258EC">
      <w:pPr>
        <w:pStyle w:val="Heading2"/>
      </w:pPr>
      <w:bookmarkStart w:id="40" w:name="_Toc71533482"/>
      <w:r>
        <w:t xml:space="preserve">3.10 </w:t>
      </w:r>
      <w:r w:rsidR="003258EC" w:rsidRPr="003258EC">
        <w:t>Reporting of Results</w:t>
      </w:r>
      <w:bookmarkEnd w:id="40"/>
    </w:p>
    <w:p w14:paraId="2B063183" w14:textId="77777777" w:rsidR="009E120D" w:rsidRPr="009E120D" w:rsidRDefault="009E120D" w:rsidP="009E120D">
      <w:pPr>
        <w:rPr>
          <w:rFonts w:eastAsiaTheme="majorEastAsia"/>
        </w:rPr>
      </w:pPr>
      <w:r w:rsidRPr="009E120D">
        <w:rPr>
          <w:rFonts w:eastAsiaTheme="majorEastAsia"/>
        </w:rPr>
        <w:t>The test report shall include as a minimum the following:</w:t>
      </w:r>
    </w:p>
    <w:p w14:paraId="27A630E7" w14:textId="18E628AB" w:rsidR="009E120D" w:rsidRPr="009E120D" w:rsidRDefault="009E120D" w:rsidP="009E120D">
      <w:pPr>
        <w:pStyle w:val="ListBullet"/>
        <w:rPr>
          <w:rFonts w:eastAsiaTheme="majorEastAsia"/>
        </w:rPr>
      </w:pPr>
      <w:r w:rsidRPr="009E120D">
        <w:rPr>
          <w:rFonts w:eastAsiaTheme="majorEastAsia"/>
        </w:rPr>
        <w:t>participant identification</w:t>
      </w:r>
    </w:p>
    <w:p w14:paraId="2DAEDE3E" w14:textId="217B6A7A" w:rsidR="009E120D" w:rsidRPr="009E120D" w:rsidRDefault="009E120D" w:rsidP="009E120D">
      <w:pPr>
        <w:pStyle w:val="ListBullet"/>
        <w:rPr>
          <w:rFonts w:eastAsiaTheme="majorEastAsia"/>
        </w:rPr>
      </w:pPr>
      <w:r w:rsidRPr="009E120D">
        <w:rPr>
          <w:rFonts w:eastAsiaTheme="majorEastAsia"/>
        </w:rPr>
        <w:t>date of testing</w:t>
      </w:r>
    </w:p>
    <w:p w14:paraId="2890BF93" w14:textId="5FFE9416" w:rsidR="009E120D" w:rsidRPr="009E120D" w:rsidRDefault="009E120D" w:rsidP="009E120D">
      <w:pPr>
        <w:pStyle w:val="ListBullet"/>
        <w:rPr>
          <w:rFonts w:eastAsiaTheme="majorEastAsia"/>
        </w:rPr>
      </w:pPr>
      <w:r w:rsidRPr="009E120D">
        <w:rPr>
          <w:rFonts w:eastAsiaTheme="majorEastAsia"/>
        </w:rPr>
        <w:t>date of reporting if different to date of testing.</w:t>
      </w:r>
    </w:p>
    <w:p w14:paraId="54123614" w14:textId="042FEEBE" w:rsidR="009E120D" w:rsidRDefault="009E120D" w:rsidP="009E120D">
      <w:pPr>
        <w:rPr>
          <w:rFonts w:eastAsiaTheme="majorEastAsia"/>
        </w:rPr>
      </w:pPr>
    </w:p>
    <w:p w14:paraId="3DE68F05" w14:textId="77777777" w:rsidR="00A176DB" w:rsidRPr="009E120D" w:rsidRDefault="00A176DB" w:rsidP="009E120D">
      <w:pPr>
        <w:rPr>
          <w:rFonts w:eastAsiaTheme="majorEastAsia"/>
        </w:rPr>
      </w:pPr>
    </w:p>
    <w:p w14:paraId="59B188A3" w14:textId="77777777" w:rsidR="009E120D" w:rsidRPr="009E120D" w:rsidRDefault="009E120D" w:rsidP="009E120D">
      <w:pPr>
        <w:rPr>
          <w:rFonts w:eastAsiaTheme="majorEastAsia"/>
        </w:rPr>
      </w:pPr>
      <w:r w:rsidRPr="009E120D">
        <w:rPr>
          <w:rFonts w:eastAsiaTheme="majorEastAsia"/>
        </w:rPr>
        <w:lastRenderedPageBreak/>
        <w:t>Results of on-site testing:</w:t>
      </w:r>
    </w:p>
    <w:p w14:paraId="0AD3BA39" w14:textId="3CDFEC0D" w:rsidR="009E120D" w:rsidRPr="009E120D" w:rsidRDefault="009E120D" w:rsidP="009E120D">
      <w:pPr>
        <w:pStyle w:val="ListBullet"/>
        <w:rPr>
          <w:rFonts w:eastAsiaTheme="majorEastAsia"/>
        </w:rPr>
      </w:pPr>
      <w:r w:rsidRPr="009E120D">
        <w:rPr>
          <w:rFonts w:eastAsiaTheme="majorEastAsia"/>
        </w:rPr>
        <w:t xml:space="preserve">If all requested drug classes are ‘Negative’ and the integrity of the specimen is not in question, these results are noted on the chain-of-custody form and </w:t>
      </w:r>
      <w:proofErr w:type="gramStart"/>
      <w:r w:rsidRPr="009E120D">
        <w:rPr>
          <w:rFonts w:eastAsiaTheme="majorEastAsia"/>
        </w:rPr>
        <w:t>entered into</w:t>
      </w:r>
      <w:proofErr w:type="gramEnd"/>
      <w:r w:rsidRPr="009E120D">
        <w:rPr>
          <w:rFonts w:eastAsiaTheme="majorEastAsia"/>
        </w:rPr>
        <w:t xml:space="preserve"> the spreadsheet.</w:t>
      </w:r>
    </w:p>
    <w:p w14:paraId="779BCA7C" w14:textId="66E73367" w:rsidR="009E120D" w:rsidRPr="009E120D" w:rsidRDefault="009E120D" w:rsidP="009E120D">
      <w:pPr>
        <w:pStyle w:val="ListBullet"/>
        <w:rPr>
          <w:rFonts w:eastAsiaTheme="majorEastAsia"/>
        </w:rPr>
      </w:pPr>
      <w:r w:rsidRPr="009E120D">
        <w:rPr>
          <w:rFonts w:eastAsiaTheme="majorEastAsia"/>
        </w:rPr>
        <w:t>If any requested drug class returns a result that is a ‘Non-Negative’, or the integrity of the specimen is in question, the specimen will be sent for confirmation testing to the pathology provider.</w:t>
      </w:r>
    </w:p>
    <w:p w14:paraId="2EB3F694" w14:textId="2AC39606" w:rsidR="009E120D" w:rsidRPr="009E120D" w:rsidRDefault="009E120D" w:rsidP="009E120D">
      <w:pPr>
        <w:pStyle w:val="ListBullet"/>
        <w:rPr>
          <w:rFonts w:eastAsiaTheme="majorEastAsia"/>
        </w:rPr>
      </w:pPr>
      <w:r w:rsidRPr="009E120D">
        <w:rPr>
          <w:rFonts w:eastAsiaTheme="majorEastAsia"/>
        </w:rPr>
        <w:t>The final report will be issued by the pathology provider and be available via the laboratory web portal.</w:t>
      </w:r>
    </w:p>
    <w:p w14:paraId="4907453C" w14:textId="2F3D60CC" w:rsidR="009E120D" w:rsidRPr="009E120D" w:rsidRDefault="009E120D" w:rsidP="009E120D">
      <w:pPr>
        <w:pStyle w:val="ListBullet"/>
        <w:rPr>
          <w:rFonts w:eastAsiaTheme="majorEastAsia"/>
        </w:rPr>
      </w:pPr>
      <w:r w:rsidRPr="009E120D">
        <w:rPr>
          <w:rFonts w:eastAsiaTheme="majorEastAsia"/>
        </w:rPr>
        <w:t>It is the responsibility of the Court Coordinator to provide these results to the Court when in session.</w:t>
      </w:r>
    </w:p>
    <w:p w14:paraId="36F7F4DA" w14:textId="77777777" w:rsidR="009E120D" w:rsidRPr="009E120D" w:rsidRDefault="009E120D" w:rsidP="009E120D">
      <w:pPr>
        <w:rPr>
          <w:rFonts w:eastAsiaTheme="majorEastAsia"/>
        </w:rPr>
      </w:pPr>
    </w:p>
    <w:p w14:paraId="617911CE" w14:textId="77777777" w:rsidR="009E120D" w:rsidRPr="009E120D" w:rsidRDefault="009E120D" w:rsidP="009E120D">
      <w:pPr>
        <w:pBdr>
          <w:top w:val="single" w:sz="4" w:space="1" w:color="auto"/>
          <w:left w:val="single" w:sz="4" w:space="4" w:color="auto"/>
          <w:bottom w:val="single" w:sz="4" w:space="1" w:color="auto"/>
          <w:right w:val="single" w:sz="4" w:space="4" w:color="auto"/>
        </w:pBdr>
        <w:rPr>
          <w:rFonts w:eastAsiaTheme="majorEastAsia"/>
        </w:rPr>
      </w:pPr>
      <w:r w:rsidRPr="009E120D">
        <w:rPr>
          <w:rFonts w:eastAsiaTheme="majorEastAsia"/>
          <w:b/>
          <w:bCs/>
        </w:rPr>
        <w:t>Note</w:t>
      </w:r>
      <w:r w:rsidRPr="009E120D">
        <w:rPr>
          <w:rFonts w:eastAsiaTheme="majorEastAsia"/>
        </w:rPr>
        <w:t xml:space="preserve">: </w:t>
      </w:r>
    </w:p>
    <w:p w14:paraId="29F04B0E" w14:textId="12B42FD6" w:rsidR="003258EC" w:rsidRDefault="009E120D" w:rsidP="009E120D">
      <w:pPr>
        <w:pBdr>
          <w:top w:val="single" w:sz="4" w:space="1" w:color="auto"/>
          <w:left w:val="single" w:sz="4" w:space="4" w:color="auto"/>
          <w:bottom w:val="single" w:sz="4" w:space="1" w:color="auto"/>
          <w:right w:val="single" w:sz="4" w:space="4" w:color="auto"/>
        </w:pBdr>
        <w:rPr>
          <w:rFonts w:eastAsiaTheme="majorEastAsia"/>
        </w:rPr>
      </w:pPr>
      <w:r w:rsidRPr="009E120D">
        <w:rPr>
          <w:rFonts w:eastAsiaTheme="majorEastAsia"/>
        </w:rPr>
        <w:t>Records will be kept in a secure location for a period consistent with the National Pathology Accreditation Advisory Council (NPAAC) Guidelines.</w:t>
      </w:r>
    </w:p>
    <w:p w14:paraId="259BF1FF" w14:textId="77777777" w:rsidR="009E120D" w:rsidRPr="003258EC" w:rsidRDefault="009E120D" w:rsidP="009E120D">
      <w:pPr>
        <w:rPr>
          <w:rFonts w:eastAsiaTheme="majorEastAsia"/>
        </w:rPr>
      </w:pPr>
    </w:p>
    <w:p w14:paraId="49EFA222" w14:textId="16C2258F" w:rsidR="003258EC" w:rsidRDefault="008B11B7" w:rsidP="003258EC">
      <w:pPr>
        <w:pStyle w:val="Heading2"/>
      </w:pPr>
      <w:bookmarkStart w:id="41" w:name="_Toc71533483"/>
      <w:r>
        <w:t xml:space="preserve">3.11 </w:t>
      </w:r>
      <w:r w:rsidR="003258EC" w:rsidRPr="003258EC">
        <w:t>Cleaning Procedure</w:t>
      </w:r>
      <w:bookmarkEnd w:id="41"/>
    </w:p>
    <w:p w14:paraId="5F1CD616" w14:textId="77777777" w:rsidR="009E120D" w:rsidRPr="009E120D" w:rsidRDefault="009E120D" w:rsidP="009E120D">
      <w:pPr>
        <w:rPr>
          <w:rFonts w:eastAsiaTheme="majorEastAsia"/>
        </w:rPr>
      </w:pPr>
      <w:r w:rsidRPr="009E120D">
        <w:rPr>
          <w:rFonts w:eastAsiaTheme="majorEastAsia"/>
        </w:rPr>
        <w:t>If the outside of the specimen container appears contaminated with urine, the container should be cleaned with a hospital grade disinfectant.</w:t>
      </w:r>
    </w:p>
    <w:p w14:paraId="704DEDF2" w14:textId="77777777" w:rsidR="009E120D" w:rsidRPr="009E120D" w:rsidRDefault="009E120D" w:rsidP="009E120D">
      <w:pPr>
        <w:rPr>
          <w:rFonts w:eastAsiaTheme="majorEastAsia"/>
        </w:rPr>
      </w:pPr>
    </w:p>
    <w:p w14:paraId="78AE4297" w14:textId="77777777" w:rsidR="009E120D" w:rsidRPr="009E120D" w:rsidRDefault="009E120D" w:rsidP="009E120D">
      <w:pPr>
        <w:rPr>
          <w:rFonts w:eastAsiaTheme="majorEastAsia"/>
        </w:rPr>
      </w:pPr>
      <w:r w:rsidRPr="009E120D">
        <w:rPr>
          <w:rFonts w:eastAsiaTheme="majorEastAsia"/>
        </w:rPr>
        <w:t>Hands are to be washed after removing protective clothing and gloves.</w:t>
      </w:r>
    </w:p>
    <w:p w14:paraId="503D876D" w14:textId="77777777" w:rsidR="009E120D" w:rsidRPr="009E120D" w:rsidRDefault="009E120D" w:rsidP="009E120D">
      <w:pPr>
        <w:rPr>
          <w:rFonts w:eastAsiaTheme="majorEastAsia"/>
        </w:rPr>
      </w:pPr>
    </w:p>
    <w:p w14:paraId="63814214" w14:textId="77777777" w:rsidR="009E120D" w:rsidRPr="009E120D" w:rsidRDefault="009E120D" w:rsidP="009E120D">
      <w:pPr>
        <w:rPr>
          <w:rFonts w:eastAsiaTheme="majorEastAsia"/>
        </w:rPr>
      </w:pPr>
      <w:r w:rsidRPr="009E120D">
        <w:rPr>
          <w:rFonts w:eastAsiaTheme="majorEastAsia"/>
        </w:rPr>
        <w:t xml:space="preserve">If any persons involved in the urine collection process have cuts and </w:t>
      </w:r>
      <w:proofErr w:type="gramStart"/>
      <w:r w:rsidRPr="009E120D">
        <w:rPr>
          <w:rFonts w:eastAsiaTheme="majorEastAsia"/>
        </w:rPr>
        <w:t>abrasions</w:t>
      </w:r>
      <w:proofErr w:type="gramEnd"/>
      <w:r w:rsidRPr="009E120D">
        <w:rPr>
          <w:rFonts w:eastAsiaTheme="majorEastAsia"/>
        </w:rPr>
        <w:t xml:space="preserve"> they must not handle urine specimens. </w:t>
      </w:r>
    </w:p>
    <w:p w14:paraId="70D0DF2A" w14:textId="77777777" w:rsidR="009E120D" w:rsidRPr="009E120D" w:rsidRDefault="009E120D" w:rsidP="009E120D">
      <w:pPr>
        <w:rPr>
          <w:rFonts w:eastAsiaTheme="majorEastAsia"/>
        </w:rPr>
      </w:pPr>
    </w:p>
    <w:p w14:paraId="180E4FA9" w14:textId="77777777" w:rsidR="009E120D" w:rsidRPr="009E120D" w:rsidRDefault="009E120D" w:rsidP="009E120D">
      <w:pPr>
        <w:rPr>
          <w:rFonts w:eastAsiaTheme="majorEastAsia"/>
        </w:rPr>
      </w:pPr>
      <w:r w:rsidRPr="009E120D">
        <w:rPr>
          <w:rFonts w:eastAsiaTheme="majorEastAsia"/>
        </w:rPr>
        <w:t>Equipment surfaces should be wiped down daily by nursing staff with hospital grade disinfectant wipes.</w:t>
      </w:r>
    </w:p>
    <w:p w14:paraId="7812D48B" w14:textId="77777777" w:rsidR="009E120D" w:rsidRPr="009E120D" w:rsidRDefault="009E120D" w:rsidP="009E120D">
      <w:pPr>
        <w:rPr>
          <w:rFonts w:eastAsiaTheme="majorEastAsia"/>
        </w:rPr>
      </w:pPr>
    </w:p>
    <w:p w14:paraId="0570C3A6" w14:textId="77777777" w:rsidR="009E120D" w:rsidRPr="009E120D" w:rsidRDefault="009E120D" w:rsidP="009E120D">
      <w:pPr>
        <w:rPr>
          <w:rFonts w:eastAsiaTheme="majorEastAsia"/>
        </w:rPr>
      </w:pPr>
      <w:r w:rsidRPr="009E120D">
        <w:rPr>
          <w:rFonts w:eastAsiaTheme="majorEastAsia"/>
        </w:rPr>
        <w:t>All waste should be disposed of in biohazard bags.</w:t>
      </w:r>
    </w:p>
    <w:p w14:paraId="520E6130" w14:textId="77777777" w:rsidR="009E120D" w:rsidRPr="009E120D" w:rsidRDefault="009E120D" w:rsidP="009E120D">
      <w:pPr>
        <w:rPr>
          <w:rFonts w:eastAsiaTheme="majorEastAsia"/>
        </w:rPr>
      </w:pPr>
    </w:p>
    <w:p w14:paraId="0CB35CE3" w14:textId="77777777" w:rsidR="009E120D" w:rsidRPr="009E120D" w:rsidRDefault="009E120D" w:rsidP="009E120D">
      <w:pPr>
        <w:pBdr>
          <w:top w:val="single" w:sz="4" w:space="1" w:color="auto"/>
          <w:left w:val="single" w:sz="4" w:space="4" w:color="auto"/>
          <w:bottom w:val="single" w:sz="4" w:space="1" w:color="auto"/>
          <w:right w:val="single" w:sz="4" w:space="4" w:color="auto"/>
        </w:pBdr>
        <w:rPr>
          <w:rFonts w:eastAsiaTheme="majorEastAsia"/>
        </w:rPr>
      </w:pPr>
      <w:r w:rsidRPr="009E120D">
        <w:rPr>
          <w:rFonts w:eastAsiaTheme="majorEastAsia"/>
          <w:b/>
          <w:bCs/>
        </w:rPr>
        <w:t>Note</w:t>
      </w:r>
      <w:r w:rsidRPr="009E120D">
        <w:rPr>
          <w:rFonts w:eastAsiaTheme="majorEastAsia"/>
        </w:rPr>
        <w:t xml:space="preserve">: </w:t>
      </w:r>
    </w:p>
    <w:p w14:paraId="6FAE589F" w14:textId="7091778D" w:rsidR="003258EC" w:rsidRDefault="009E120D" w:rsidP="009E120D">
      <w:pPr>
        <w:pBdr>
          <w:top w:val="single" w:sz="4" w:space="1" w:color="auto"/>
          <w:left w:val="single" w:sz="4" w:space="4" w:color="auto"/>
          <w:bottom w:val="single" w:sz="4" w:space="1" w:color="auto"/>
          <w:right w:val="single" w:sz="4" w:space="4" w:color="auto"/>
        </w:pBdr>
        <w:rPr>
          <w:rFonts w:eastAsiaTheme="majorEastAsia"/>
        </w:rPr>
      </w:pPr>
      <w:r w:rsidRPr="009E120D">
        <w:rPr>
          <w:rFonts w:eastAsiaTheme="majorEastAsia"/>
        </w:rPr>
        <w:t>In the event of a spill, staff are to use the spill kit located in their area.</w:t>
      </w:r>
    </w:p>
    <w:p w14:paraId="17A444C0" w14:textId="77777777" w:rsidR="009E120D" w:rsidRPr="003258EC" w:rsidRDefault="009E120D" w:rsidP="009E120D">
      <w:pPr>
        <w:rPr>
          <w:rFonts w:eastAsiaTheme="majorEastAsia"/>
        </w:rPr>
      </w:pPr>
    </w:p>
    <w:p w14:paraId="76CE42C2" w14:textId="6F8FEA45" w:rsidR="003258EC" w:rsidRDefault="008B11B7" w:rsidP="003258EC">
      <w:pPr>
        <w:pStyle w:val="Heading2"/>
      </w:pPr>
      <w:bookmarkStart w:id="42" w:name="_Toc71533484"/>
      <w:r>
        <w:t xml:space="preserve">3.12 </w:t>
      </w:r>
      <w:r w:rsidR="003258EC" w:rsidRPr="003258EC">
        <w:t>Ordering of Consumables</w:t>
      </w:r>
      <w:bookmarkEnd w:id="42"/>
    </w:p>
    <w:p w14:paraId="068F93AB" w14:textId="77777777" w:rsidR="009E120D" w:rsidRPr="009E120D" w:rsidRDefault="009E120D" w:rsidP="009E120D">
      <w:pPr>
        <w:rPr>
          <w:rFonts w:eastAsiaTheme="majorEastAsia"/>
        </w:rPr>
      </w:pPr>
      <w:r w:rsidRPr="009E120D">
        <w:rPr>
          <w:rFonts w:eastAsiaTheme="majorEastAsia"/>
        </w:rPr>
        <w:t>Ordering of consumables for the Urinalysis Suite will be processed through Supply Services with the exception being the specific urinalysis equipment outlined below.</w:t>
      </w:r>
    </w:p>
    <w:p w14:paraId="4D20B487" w14:textId="77777777" w:rsidR="009E120D" w:rsidRPr="009E120D" w:rsidRDefault="009E120D" w:rsidP="009E120D">
      <w:pPr>
        <w:rPr>
          <w:rFonts w:eastAsiaTheme="majorEastAsia"/>
        </w:rPr>
      </w:pPr>
    </w:p>
    <w:p w14:paraId="7ABA7BBA" w14:textId="77777777" w:rsidR="009E120D" w:rsidRPr="009E120D" w:rsidRDefault="009E120D" w:rsidP="009E120D">
      <w:pPr>
        <w:rPr>
          <w:rFonts w:eastAsiaTheme="majorEastAsia"/>
        </w:rPr>
      </w:pPr>
      <w:r w:rsidRPr="009E120D">
        <w:rPr>
          <w:rFonts w:eastAsiaTheme="majorEastAsia"/>
        </w:rPr>
        <w:t>The following items need to be ordered directly through APAC Security by the ADON:</w:t>
      </w:r>
    </w:p>
    <w:p w14:paraId="5F2982DC" w14:textId="014F4EDA" w:rsidR="009E120D" w:rsidRPr="009E120D" w:rsidRDefault="009E120D" w:rsidP="009E120D">
      <w:pPr>
        <w:pStyle w:val="ListBullet"/>
        <w:rPr>
          <w:rFonts w:eastAsiaTheme="majorEastAsia"/>
        </w:rPr>
      </w:pPr>
      <w:r w:rsidRPr="009E120D">
        <w:rPr>
          <w:rFonts w:eastAsiaTheme="majorEastAsia"/>
        </w:rPr>
        <w:t>APAC – 9 (APAC 9 panel cup for urine screening)</w:t>
      </w:r>
    </w:p>
    <w:p w14:paraId="568E082A" w14:textId="34337CA5" w:rsidR="009E120D" w:rsidRPr="009E120D" w:rsidRDefault="009E120D" w:rsidP="009E120D">
      <w:pPr>
        <w:pStyle w:val="ListBullet"/>
        <w:rPr>
          <w:rFonts w:eastAsiaTheme="majorEastAsia"/>
        </w:rPr>
      </w:pPr>
      <w:r w:rsidRPr="009E120D">
        <w:rPr>
          <w:rFonts w:eastAsiaTheme="majorEastAsia"/>
        </w:rPr>
        <w:t>APAC Box Urine (APAC Box kit for confirmation of non-negative urine screens)</w:t>
      </w:r>
    </w:p>
    <w:p w14:paraId="21DC0FB9" w14:textId="252BF099" w:rsidR="009E120D" w:rsidRPr="009E120D" w:rsidRDefault="009E120D" w:rsidP="009E120D">
      <w:pPr>
        <w:pStyle w:val="ListBullet"/>
        <w:rPr>
          <w:rFonts w:eastAsiaTheme="majorEastAsia"/>
        </w:rPr>
      </w:pPr>
      <w:r w:rsidRPr="009E120D">
        <w:rPr>
          <w:rFonts w:eastAsiaTheme="majorEastAsia"/>
        </w:rPr>
        <w:t xml:space="preserve">APAC </w:t>
      </w:r>
      <w:proofErr w:type="spellStart"/>
      <w:r w:rsidRPr="009E120D">
        <w:rPr>
          <w:rFonts w:eastAsiaTheme="majorEastAsia"/>
        </w:rPr>
        <w:t>EtG</w:t>
      </w:r>
      <w:proofErr w:type="spellEnd"/>
    </w:p>
    <w:p w14:paraId="1253E53B" w14:textId="705DF28B" w:rsidR="009E120D" w:rsidRPr="009E120D" w:rsidRDefault="009E120D" w:rsidP="009E120D">
      <w:pPr>
        <w:pStyle w:val="ListBullet"/>
        <w:rPr>
          <w:rFonts w:eastAsiaTheme="majorEastAsia"/>
        </w:rPr>
      </w:pPr>
      <w:r w:rsidRPr="009E120D">
        <w:rPr>
          <w:rFonts w:eastAsiaTheme="majorEastAsia"/>
        </w:rPr>
        <w:t>TNT Consignment Notes</w:t>
      </w:r>
    </w:p>
    <w:p w14:paraId="7E918209" w14:textId="4A02003C" w:rsidR="003258EC" w:rsidRPr="009E120D" w:rsidRDefault="009E120D" w:rsidP="009E120D">
      <w:pPr>
        <w:pStyle w:val="ListBullet"/>
        <w:rPr>
          <w:rFonts w:eastAsiaTheme="majorEastAsia"/>
        </w:rPr>
      </w:pPr>
      <w:r w:rsidRPr="009E120D">
        <w:rPr>
          <w:rFonts w:eastAsiaTheme="majorEastAsia"/>
        </w:rPr>
        <w:t xml:space="preserve">TNT </w:t>
      </w:r>
      <w:proofErr w:type="spellStart"/>
      <w:r w:rsidRPr="009E120D">
        <w:rPr>
          <w:rFonts w:eastAsiaTheme="majorEastAsia"/>
        </w:rPr>
        <w:t>BioHazard</w:t>
      </w:r>
      <w:proofErr w:type="spellEnd"/>
      <w:r w:rsidRPr="009E120D">
        <w:rPr>
          <w:rFonts w:eastAsiaTheme="majorEastAsia"/>
        </w:rPr>
        <w:t xml:space="preserve"> Pouches</w:t>
      </w:r>
      <w:r>
        <w:rPr>
          <w:rFonts w:eastAsiaTheme="majorEastAsia"/>
        </w:rPr>
        <w:t>.</w:t>
      </w:r>
    </w:p>
    <w:p w14:paraId="00DC0E2C" w14:textId="77777777" w:rsidR="003258EC" w:rsidRDefault="003258EC" w:rsidP="003258EC">
      <w:pPr>
        <w:rPr>
          <w:rFonts w:eastAsiaTheme="majorEastAsia" w:cstheme="majorBidi"/>
          <w:b/>
          <w:bCs/>
          <w:szCs w:val="26"/>
        </w:rPr>
      </w:pPr>
    </w:p>
    <w:p w14:paraId="2F51A8AD" w14:textId="61E3F287" w:rsidR="007B6904" w:rsidRDefault="00CF5D71" w:rsidP="003258EC">
      <w:pPr>
        <w:jc w:val="right"/>
        <w:rPr>
          <w:rFonts w:cs="Arial"/>
          <w:b/>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43" w:name="_Toc71533485"/>
            <w:r>
              <w:t>Evaluation</w:t>
            </w:r>
            <w:bookmarkEnd w:id="43"/>
            <w:r>
              <w:t xml:space="preserve"> </w:t>
            </w:r>
            <w:r w:rsidR="00E73459">
              <w:tab/>
            </w:r>
          </w:p>
        </w:tc>
      </w:tr>
    </w:tbl>
    <w:p w14:paraId="5D4094DC" w14:textId="27D1DD9B" w:rsidR="00F9158A" w:rsidRDefault="00F9158A" w:rsidP="00F9158A">
      <w:pPr>
        <w:pStyle w:val="Default"/>
        <w:rPr>
          <w:rFonts w:ascii="Calibri" w:hAnsi="Calibri" w:cs="Arial"/>
          <w:i/>
          <w:color w:val="auto"/>
          <w:lang w:eastAsia="en-US"/>
        </w:rPr>
      </w:pPr>
    </w:p>
    <w:p w14:paraId="392F428C" w14:textId="265FF25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1A6F9597" w14:textId="77777777" w:rsidR="00FC7BEB" w:rsidRDefault="00FC7BEB" w:rsidP="00FC7BEB">
      <w:pPr>
        <w:pStyle w:val="ListBullet"/>
      </w:pPr>
      <w:r>
        <w:t>Court referrals are processed in a timely manner</w:t>
      </w:r>
    </w:p>
    <w:p w14:paraId="45CA928E" w14:textId="77777777" w:rsidR="00FC7BEB" w:rsidRDefault="00FC7BEB" w:rsidP="00FC7BEB">
      <w:pPr>
        <w:pStyle w:val="ListBullet"/>
      </w:pPr>
      <w:r>
        <w:t>Appropriate recommendations are made to the Court regarding a client’s eligibility and suitability for DASL</w:t>
      </w:r>
    </w:p>
    <w:p w14:paraId="2031329E" w14:textId="2F227864" w:rsidR="00FC7BEB" w:rsidRDefault="00FC7BEB" w:rsidP="00FC7BEB">
      <w:pPr>
        <w:pStyle w:val="ListBullet"/>
      </w:pPr>
      <w:r>
        <w:t>An appropriate initial treatment plan is developed.</w:t>
      </w:r>
    </w:p>
    <w:p w14:paraId="3214F4EF" w14:textId="77777777" w:rsidR="001407D1" w:rsidRPr="001407D1" w:rsidRDefault="001407D1" w:rsidP="001407D1">
      <w:pPr>
        <w:numPr>
          <w:ilvl w:val="0"/>
          <w:numId w:val="1"/>
        </w:numPr>
        <w:tabs>
          <w:tab w:val="clear" w:pos="1080"/>
        </w:tabs>
        <w:ind w:left="426" w:hanging="426"/>
      </w:pPr>
      <w:r w:rsidRPr="001407D1">
        <w:t>DASL participants are supported to access appropriate treatment and support services</w:t>
      </w:r>
    </w:p>
    <w:p w14:paraId="69055135" w14:textId="77777777" w:rsidR="001407D1" w:rsidRDefault="001407D1" w:rsidP="001407D1">
      <w:pPr>
        <w:numPr>
          <w:ilvl w:val="0"/>
          <w:numId w:val="1"/>
        </w:numPr>
        <w:tabs>
          <w:tab w:val="clear" w:pos="1080"/>
        </w:tabs>
        <w:ind w:left="426" w:hanging="426"/>
      </w:pPr>
      <w:r w:rsidRPr="001407D1">
        <w:t>The Court is regularly informed about the participants’ current circumstances and progression.</w:t>
      </w:r>
    </w:p>
    <w:p w14:paraId="16BDA6F6" w14:textId="77777777" w:rsidR="00164AB1" w:rsidRPr="004C1D03" w:rsidRDefault="00164AB1" w:rsidP="00164AB1">
      <w:pPr>
        <w:pStyle w:val="ListBullet"/>
      </w:pPr>
      <w:r w:rsidRPr="00897CB4">
        <w:t xml:space="preserve">Urine Sample Collection </w:t>
      </w:r>
      <w:r w:rsidRPr="00CA53FA">
        <w:t xml:space="preserve">is collected according the </w:t>
      </w:r>
      <w:r w:rsidRPr="00897CB4">
        <w:t>AS/NZS 4308:2008– Procedures for specimen collection and the detection and quantitation of drug of abuse in urine.</w:t>
      </w:r>
    </w:p>
    <w:p w14:paraId="49E18C96" w14:textId="6CDB362C" w:rsidR="00845445" w:rsidRPr="00845445" w:rsidRDefault="00845445" w:rsidP="00F9158A">
      <w:pPr>
        <w:pStyle w:val="Default"/>
        <w:rPr>
          <w:rFonts w:ascii="Calibri" w:hAnsi="Calibri" w:cs="Arial"/>
          <w:b/>
          <w:bCs/>
          <w:iCs/>
          <w:color w:val="auto"/>
          <w:lang w:eastAsia="en-US"/>
        </w:rPr>
      </w:pPr>
    </w:p>
    <w:p w14:paraId="30BA3477" w14:textId="6EB16B7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0FE49898" w14:textId="403C5C9F" w:rsidR="00FC7BEB" w:rsidRDefault="00FC7BEB" w:rsidP="00FC7BEB">
      <w:pPr>
        <w:pStyle w:val="ListBullet"/>
      </w:pPr>
      <w:r>
        <w:t xml:space="preserve">Timelines are met </w:t>
      </w:r>
      <w:proofErr w:type="gramStart"/>
      <w:r>
        <w:t>for the production of</w:t>
      </w:r>
      <w:proofErr w:type="gramEnd"/>
      <w:r>
        <w:t xml:space="preserve"> Court ordered reports</w:t>
      </w:r>
    </w:p>
    <w:p w14:paraId="5E42E2A2" w14:textId="24C30381" w:rsidR="001407D1" w:rsidRDefault="001407D1" w:rsidP="001407D1">
      <w:pPr>
        <w:numPr>
          <w:ilvl w:val="0"/>
          <w:numId w:val="1"/>
        </w:numPr>
        <w:tabs>
          <w:tab w:val="clear" w:pos="1080"/>
        </w:tabs>
        <w:ind w:left="426" w:hanging="426"/>
      </w:pPr>
      <w:r w:rsidRPr="001407D1">
        <w:t>Monitoring of T</w:t>
      </w:r>
      <w:r w:rsidR="00747609">
        <w:t xml:space="preserve">exas </w:t>
      </w:r>
      <w:r w:rsidRPr="001407D1">
        <w:t>C</w:t>
      </w:r>
      <w:r w:rsidR="00747609">
        <w:t xml:space="preserve">hristian </w:t>
      </w:r>
      <w:r w:rsidRPr="001407D1">
        <w:t>U</w:t>
      </w:r>
      <w:r w:rsidR="00747609">
        <w:t xml:space="preserve">niversity </w:t>
      </w:r>
      <w:r w:rsidRPr="001407D1">
        <w:t>5</w:t>
      </w:r>
      <w:r w:rsidR="00747609">
        <w:t xml:space="preserve"> (Drug dependence Screening tool)</w:t>
      </w:r>
      <w:r w:rsidRPr="001407D1">
        <w:t xml:space="preserve"> and Australian Treatment Outcome Profiles client data.</w:t>
      </w:r>
    </w:p>
    <w:p w14:paraId="319EB7D0" w14:textId="6749928E" w:rsidR="00164AB1" w:rsidRDefault="00164AB1" w:rsidP="00164AB1">
      <w:pPr>
        <w:pStyle w:val="ListBullet"/>
      </w:pPr>
      <w:r>
        <w:t xml:space="preserve">All participants are observed by a qualified </w:t>
      </w:r>
      <w:r w:rsidR="00A176DB">
        <w:t>r</w:t>
      </w:r>
      <w:r>
        <w:t>egistered</w:t>
      </w:r>
      <w:r w:rsidR="00A176DB">
        <w:t xml:space="preserve"> practitioner</w:t>
      </w:r>
      <w:r>
        <w:t xml:space="preserve"> when providing urine samples and the Chain of Custody is maintained.</w:t>
      </w:r>
    </w:p>
    <w:p w14:paraId="0C884102" w14:textId="20DEC958" w:rsidR="00A06171" w:rsidRPr="00CA53FA" w:rsidRDefault="00747609" w:rsidP="00164AB1">
      <w:pPr>
        <w:pStyle w:val="ListBullet"/>
      </w:pPr>
      <w:r>
        <w:t>Review of consumer feedback related to Drug and Alcohol Sentencing List (DASL) service.</w:t>
      </w:r>
    </w:p>
    <w:p w14:paraId="27756F3B" w14:textId="77777777" w:rsidR="00845445" w:rsidRDefault="00845445" w:rsidP="00F9158A">
      <w:pPr>
        <w:pStyle w:val="Default"/>
        <w:rPr>
          <w:rFonts w:ascii="Calibri" w:hAnsi="Calibri" w:cs="Arial"/>
          <w:i/>
          <w:color w:val="auto"/>
          <w:lang w:eastAsia="en-US"/>
        </w:rPr>
      </w:pPr>
    </w:p>
    <w:p w14:paraId="119BA4AD" w14:textId="77777777" w:rsidR="00F9158A" w:rsidRPr="00253F5A" w:rsidRDefault="00CF5D71"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44" w:name="_Toc389473287"/>
            <w:bookmarkStart w:id="45" w:name="_Toc71533486"/>
            <w:r>
              <w:t xml:space="preserve">Related Policies, </w:t>
            </w:r>
            <w:r w:rsidR="007B6904">
              <w:t>Procedures</w:t>
            </w:r>
            <w:bookmarkEnd w:id="44"/>
            <w:r>
              <w:t>, Guidelines and Legislation</w:t>
            </w:r>
            <w:bookmarkEnd w:id="45"/>
          </w:p>
        </w:tc>
      </w:tr>
    </w:tbl>
    <w:p w14:paraId="2F51A8B9" w14:textId="77777777" w:rsidR="001926F4" w:rsidRDefault="001926F4" w:rsidP="001926F4">
      <w:pPr>
        <w:pStyle w:val="Heading2"/>
      </w:pPr>
    </w:p>
    <w:p w14:paraId="2F51A8BA" w14:textId="77777777" w:rsidR="001926F4" w:rsidRPr="00201FB6" w:rsidRDefault="001926F4" w:rsidP="00201FB6">
      <w:pPr>
        <w:rPr>
          <w:b/>
        </w:rPr>
      </w:pPr>
      <w:r w:rsidRPr="00201FB6">
        <w:rPr>
          <w:b/>
        </w:rPr>
        <w:t>Policies</w:t>
      </w:r>
    </w:p>
    <w:p w14:paraId="7EF2F634" w14:textId="4455E962" w:rsidR="007D269B" w:rsidRDefault="00A176DB" w:rsidP="007D269B">
      <w:pPr>
        <w:pStyle w:val="ListBullet"/>
      </w:pPr>
      <w:r>
        <w:t xml:space="preserve">Informed </w:t>
      </w:r>
      <w:r w:rsidR="007D269B">
        <w:t xml:space="preserve">Consent </w:t>
      </w:r>
      <w:r>
        <w:t>(Clinical)</w:t>
      </w:r>
    </w:p>
    <w:p w14:paraId="49DC2DF7" w14:textId="11EBD377" w:rsidR="007D269B" w:rsidRDefault="007D269B" w:rsidP="007D269B">
      <w:pPr>
        <w:pStyle w:val="ListBullet"/>
      </w:pPr>
      <w:r>
        <w:t xml:space="preserve">Clinical Records Management </w:t>
      </w:r>
    </w:p>
    <w:p w14:paraId="1EDC26FD" w14:textId="17CD93C5" w:rsidR="007D269B" w:rsidRDefault="007D269B" w:rsidP="007D269B">
      <w:pPr>
        <w:pStyle w:val="ListBullet"/>
      </w:pPr>
      <w:r>
        <w:t xml:space="preserve">Consumer and Carer Participation </w:t>
      </w:r>
    </w:p>
    <w:p w14:paraId="7ED06B9B" w14:textId="11B1B887" w:rsidR="007D269B" w:rsidRDefault="007D269B" w:rsidP="007D269B">
      <w:pPr>
        <w:pStyle w:val="ListBullet"/>
      </w:pPr>
      <w:r>
        <w:t xml:space="preserve">Waste Management </w:t>
      </w:r>
    </w:p>
    <w:p w14:paraId="6A00C2B2" w14:textId="562CF9B7" w:rsidR="00A176DB" w:rsidRDefault="00A176DB" w:rsidP="007D269B">
      <w:pPr>
        <w:pStyle w:val="ListBullet"/>
      </w:pPr>
      <w:r>
        <w:t>Work, Health and Safety</w:t>
      </w:r>
    </w:p>
    <w:p w14:paraId="1CBD2640" w14:textId="77777777" w:rsidR="007D269B" w:rsidRDefault="007D269B" w:rsidP="007D269B">
      <w:pPr>
        <w:rPr>
          <w:rFonts w:cs="Arial"/>
          <w:szCs w:val="24"/>
        </w:rPr>
      </w:pPr>
    </w:p>
    <w:p w14:paraId="1F71325B" w14:textId="77777777" w:rsidR="007D269B" w:rsidRDefault="007D269B" w:rsidP="007D269B">
      <w:pPr>
        <w:rPr>
          <w:b/>
          <w:szCs w:val="24"/>
        </w:rPr>
      </w:pPr>
      <w:r>
        <w:rPr>
          <w:b/>
          <w:szCs w:val="24"/>
        </w:rPr>
        <w:t>Procedures</w:t>
      </w:r>
    </w:p>
    <w:p w14:paraId="54A57D03" w14:textId="6AFD0352" w:rsidR="007D269B" w:rsidRDefault="00A176DB" w:rsidP="007D269B">
      <w:pPr>
        <w:pStyle w:val="ListBullet"/>
      </w:pPr>
      <w:r>
        <w:t xml:space="preserve">Infection Prevention and Control - </w:t>
      </w:r>
      <w:r w:rsidR="007D269B">
        <w:t xml:space="preserve">Health Care Associated Infections </w:t>
      </w:r>
    </w:p>
    <w:p w14:paraId="6BB9BF84" w14:textId="2A674638" w:rsidR="007D269B" w:rsidRDefault="007D269B" w:rsidP="007D269B">
      <w:pPr>
        <w:pStyle w:val="ListBullet"/>
      </w:pPr>
      <w:r>
        <w:t xml:space="preserve">Patient Identification and Procedure Matching </w:t>
      </w:r>
    </w:p>
    <w:p w14:paraId="4FF52C94" w14:textId="16339C51" w:rsidR="007D269B" w:rsidRDefault="007D269B" w:rsidP="007D269B">
      <w:pPr>
        <w:pStyle w:val="ListBullet"/>
      </w:pPr>
      <w:r>
        <w:t xml:space="preserve">Clinical Records Management </w:t>
      </w:r>
    </w:p>
    <w:p w14:paraId="55008AB1" w14:textId="4C55C6A0" w:rsidR="00A176DB" w:rsidRDefault="00A176DB" w:rsidP="007D269B">
      <w:pPr>
        <w:pStyle w:val="ListBullet"/>
      </w:pPr>
      <w:r>
        <w:t xml:space="preserve">Pathology Specimen Handling </w:t>
      </w:r>
    </w:p>
    <w:p w14:paraId="0BBC0CE6" w14:textId="77777777" w:rsidR="007D269B" w:rsidRDefault="007D269B" w:rsidP="007D269B"/>
    <w:p w14:paraId="484792F2" w14:textId="77777777" w:rsidR="007D269B" w:rsidRDefault="007D269B" w:rsidP="007D269B">
      <w:pPr>
        <w:rPr>
          <w:b/>
        </w:rPr>
      </w:pPr>
      <w:r>
        <w:rPr>
          <w:b/>
        </w:rPr>
        <w:t>Legislation</w:t>
      </w:r>
    </w:p>
    <w:p w14:paraId="7CDD1B03" w14:textId="77777777" w:rsidR="007D269B" w:rsidRPr="007D269B" w:rsidRDefault="007D269B" w:rsidP="007D269B">
      <w:pPr>
        <w:pStyle w:val="ListBullet"/>
        <w:rPr>
          <w:i/>
          <w:iCs/>
        </w:rPr>
      </w:pPr>
      <w:r w:rsidRPr="007D269B">
        <w:rPr>
          <w:i/>
          <w:iCs/>
        </w:rPr>
        <w:t xml:space="preserve">Health Records (Privacy and Access) Act </w:t>
      </w:r>
      <w:r w:rsidRPr="007D269B">
        <w:t>1997</w:t>
      </w:r>
    </w:p>
    <w:p w14:paraId="49623EC5" w14:textId="77777777" w:rsidR="007D269B" w:rsidRPr="007D269B" w:rsidRDefault="007D269B" w:rsidP="007D269B">
      <w:pPr>
        <w:pStyle w:val="ListBullet"/>
        <w:rPr>
          <w:i/>
          <w:iCs/>
        </w:rPr>
      </w:pPr>
      <w:r w:rsidRPr="007D269B">
        <w:rPr>
          <w:i/>
          <w:iCs/>
        </w:rPr>
        <w:t xml:space="preserve">Human Rights Act </w:t>
      </w:r>
      <w:r w:rsidRPr="007D269B">
        <w:t>2004</w:t>
      </w:r>
    </w:p>
    <w:p w14:paraId="590EEEFF" w14:textId="77777777" w:rsidR="007D269B" w:rsidRPr="007D269B" w:rsidRDefault="007D269B" w:rsidP="007D269B">
      <w:pPr>
        <w:pStyle w:val="ListBullet"/>
        <w:rPr>
          <w:i/>
          <w:iCs/>
        </w:rPr>
      </w:pPr>
      <w:r w:rsidRPr="007D269B">
        <w:rPr>
          <w:i/>
          <w:iCs/>
        </w:rPr>
        <w:lastRenderedPageBreak/>
        <w:t xml:space="preserve">Mental Health Act </w:t>
      </w:r>
      <w:r w:rsidRPr="007D269B">
        <w:t>2015</w:t>
      </w:r>
    </w:p>
    <w:p w14:paraId="2CF387E7" w14:textId="77777777" w:rsidR="007D269B" w:rsidRPr="007D269B" w:rsidRDefault="007D269B" w:rsidP="007D269B">
      <w:pPr>
        <w:pStyle w:val="ListBullet"/>
        <w:rPr>
          <w:i/>
          <w:iCs/>
        </w:rPr>
      </w:pPr>
      <w:r w:rsidRPr="007D269B">
        <w:rPr>
          <w:i/>
          <w:iCs/>
        </w:rPr>
        <w:t xml:space="preserve">Crimes (Sentencing) Act </w:t>
      </w:r>
      <w:r w:rsidRPr="007D269B">
        <w:t>2005</w:t>
      </w:r>
    </w:p>
    <w:p w14:paraId="15B1658A" w14:textId="1674CBBC" w:rsidR="007D269B" w:rsidRPr="00A176DB" w:rsidRDefault="007D269B" w:rsidP="007D269B">
      <w:pPr>
        <w:pStyle w:val="ListBullet"/>
        <w:rPr>
          <w:i/>
          <w:iCs/>
        </w:rPr>
      </w:pPr>
      <w:r w:rsidRPr="007D269B">
        <w:rPr>
          <w:i/>
          <w:iCs/>
        </w:rPr>
        <w:t xml:space="preserve">Work Health and Safety Act </w:t>
      </w:r>
      <w:r w:rsidRPr="007D269B">
        <w:t>2011</w:t>
      </w:r>
    </w:p>
    <w:p w14:paraId="19B8A525" w14:textId="0BE3C61F" w:rsidR="00A176DB" w:rsidRPr="007D269B" w:rsidRDefault="00A176DB" w:rsidP="007D269B">
      <w:pPr>
        <w:pStyle w:val="ListBullet"/>
        <w:rPr>
          <w:i/>
          <w:iCs/>
        </w:rPr>
      </w:pPr>
      <w:r>
        <w:rPr>
          <w:i/>
          <w:iCs/>
        </w:rPr>
        <w:t>Australian Charter of Healthcare Rights</w:t>
      </w:r>
    </w:p>
    <w:p w14:paraId="2F51A8C9" w14:textId="77777777" w:rsidR="007B6904" w:rsidRPr="00FF56DD" w:rsidRDefault="007B6904" w:rsidP="007B6904">
      <w:pPr>
        <w:ind w:left="720"/>
        <w:rPr>
          <w:rFonts w:cs="Arial"/>
          <w:i/>
          <w:szCs w:val="24"/>
        </w:rPr>
      </w:pPr>
    </w:p>
    <w:p w14:paraId="2F51A8CA" w14:textId="77777777" w:rsidR="007B6904" w:rsidRDefault="00CF5D71"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46" w:name="_Toc389473288"/>
            <w:bookmarkStart w:id="47" w:name="_Toc71533487"/>
            <w:r>
              <w:t>References</w:t>
            </w:r>
            <w:bookmarkEnd w:id="46"/>
            <w:bookmarkEnd w:id="47"/>
          </w:p>
        </w:tc>
      </w:tr>
    </w:tbl>
    <w:p w14:paraId="2F51A8CD" w14:textId="77777777" w:rsidR="007B6904" w:rsidRPr="00DE4E25" w:rsidRDefault="007B6904" w:rsidP="007B6904">
      <w:pPr>
        <w:rPr>
          <w:rFonts w:asciiTheme="majorHAnsi" w:hAnsiTheme="majorHAnsi" w:cstheme="majorHAnsi"/>
          <w:szCs w:val="24"/>
        </w:rPr>
      </w:pPr>
      <w:bookmarkStart w:id="48" w:name="_Toc389131245"/>
    </w:p>
    <w:bookmarkEnd w:id="48"/>
    <w:p w14:paraId="2F51A8D4" w14:textId="5413DF70" w:rsidR="007B6904" w:rsidRDefault="007D269B" w:rsidP="007D269B">
      <w:pPr>
        <w:pStyle w:val="ListParagraph"/>
        <w:numPr>
          <w:ilvl w:val="0"/>
          <w:numId w:val="36"/>
        </w:numPr>
      </w:pPr>
      <w:r w:rsidRPr="007D269B">
        <w:t>AS/NZS 4308:2008– Procedures for specimen collection and the detection and quantitation of drug of abuse in urine.</w:t>
      </w:r>
    </w:p>
    <w:p w14:paraId="6135C9F0" w14:textId="77777777" w:rsidR="007D269B" w:rsidRDefault="007D269B" w:rsidP="007D269B">
      <w:pPr>
        <w:pStyle w:val="ListParagraph"/>
        <w:numPr>
          <w:ilvl w:val="0"/>
          <w:numId w:val="36"/>
        </w:numPr>
        <w:rPr>
          <w:iCs/>
          <w:szCs w:val="24"/>
        </w:rPr>
      </w:pPr>
      <w:r>
        <w:rPr>
          <w:iCs/>
          <w:szCs w:val="24"/>
        </w:rPr>
        <w:t xml:space="preserve">Freiberg E, Payne J, Gelb K, Morgan A, </w:t>
      </w:r>
      <w:proofErr w:type="spellStart"/>
      <w:r>
        <w:rPr>
          <w:iCs/>
          <w:szCs w:val="24"/>
        </w:rPr>
        <w:t>Makkai</w:t>
      </w:r>
      <w:proofErr w:type="spellEnd"/>
      <w:r>
        <w:rPr>
          <w:iCs/>
          <w:szCs w:val="24"/>
        </w:rPr>
        <w:t xml:space="preserve"> T. Queensland drug and specialist courts review: Final report. 2016.</w:t>
      </w:r>
    </w:p>
    <w:p w14:paraId="6790DC2B" w14:textId="77777777" w:rsidR="007D269B" w:rsidRDefault="007D269B" w:rsidP="007D269B">
      <w:pPr>
        <w:pStyle w:val="ListParagraph"/>
        <w:numPr>
          <w:ilvl w:val="0"/>
          <w:numId w:val="36"/>
        </w:numPr>
        <w:rPr>
          <w:iCs/>
          <w:szCs w:val="24"/>
        </w:rPr>
      </w:pPr>
      <w:r>
        <w:rPr>
          <w:iCs/>
          <w:szCs w:val="24"/>
        </w:rPr>
        <w:t xml:space="preserve">Hughes C, Shanahan M, </w:t>
      </w:r>
      <w:proofErr w:type="spellStart"/>
      <w:r>
        <w:rPr>
          <w:iCs/>
          <w:szCs w:val="24"/>
        </w:rPr>
        <w:t>Sotade</w:t>
      </w:r>
      <w:proofErr w:type="spellEnd"/>
      <w:r>
        <w:rPr>
          <w:iCs/>
          <w:szCs w:val="24"/>
        </w:rPr>
        <w:t xml:space="preserve"> O, Ritter A. Towards a new ACT drug and alcohol court: A program and systems perspective. 2017.</w:t>
      </w:r>
    </w:p>
    <w:p w14:paraId="3B5B519C" w14:textId="77777777" w:rsidR="007D269B" w:rsidRDefault="007D269B" w:rsidP="007D269B">
      <w:pPr>
        <w:pStyle w:val="ListParagraph"/>
        <w:numPr>
          <w:ilvl w:val="0"/>
          <w:numId w:val="36"/>
        </w:numPr>
        <w:rPr>
          <w:iCs/>
          <w:szCs w:val="24"/>
        </w:rPr>
      </w:pPr>
      <w:r>
        <w:rPr>
          <w:iCs/>
          <w:szCs w:val="24"/>
        </w:rPr>
        <w:t>National Association of Drug Court Professionals. Defining drug courts: The key components. Washington, DC. U.S Department of Justice, Office of Justice Programs. 1997.</w:t>
      </w:r>
    </w:p>
    <w:p w14:paraId="196FA621" w14:textId="3956AE68" w:rsidR="007D269B" w:rsidRPr="007D269B" w:rsidRDefault="007D269B" w:rsidP="007D269B">
      <w:pPr>
        <w:pStyle w:val="ListParagraph"/>
        <w:numPr>
          <w:ilvl w:val="0"/>
          <w:numId w:val="36"/>
        </w:numPr>
      </w:pPr>
      <w:r>
        <w:rPr>
          <w:iCs/>
          <w:szCs w:val="24"/>
        </w:rPr>
        <w:t>Australian Charter of Health Care Rights (second edition), 2019.</w:t>
      </w:r>
    </w:p>
    <w:p w14:paraId="4316EB71" w14:textId="77777777" w:rsidR="007D269B" w:rsidRPr="00DE4E25" w:rsidRDefault="007D269B" w:rsidP="007D269B">
      <w:pPr>
        <w:rPr>
          <w:szCs w:val="24"/>
        </w:rPr>
      </w:pPr>
    </w:p>
    <w:p w14:paraId="2F51A8D5" w14:textId="77777777" w:rsidR="00FF56DD" w:rsidRDefault="00CF5D71"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592DA975" w:rsidR="00FF56DD" w:rsidRPr="000F1F60" w:rsidRDefault="00FF56DD" w:rsidP="004213C3">
            <w:pPr>
              <w:pStyle w:val="Heading1"/>
            </w:pPr>
            <w:bookmarkStart w:id="49" w:name="_Toc71533488"/>
            <w:r>
              <w:t>Definition of Terms</w:t>
            </w:r>
            <w:bookmarkEnd w:id="49"/>
            <w:r>
              <w:t xml:space="preserve"> </w:t>
            </w:r>
          </w:p>
        </w:tc>
      </w:tr>
    </w:tbl>
    <w:p w14:paraId="2F51A8D8" w14:textId="77777777" w:rsidR="00FF56DD" w:rsidRDefault="00FF56DD" w:rsidP="00FF56DD">
      <w:pPr>
        <w:rPr>
          <w:rFonts w:cs="Arial"/>
          <w:szCs w:val="24"/>
        </w:rPr>
      </w:pPr>
    </w:p>
    <w:p w14:paraId="302539CB" w14:textId="2941CD78" w:rsidR="007D269B" w:rsidRDefault="007D269B" w:rsidP="007D269B">
      <w:pPr>
        <w:pStyle w:val="ListBullet"/>
      </w:pPr>
      <w:bookmarkStart w:id="50" w:name="_Hlk27398199"/>
      <w:r w:rsidRPr="007D269B">
        <w:rPr>
          <w:rFonts w:cs="Arial"/>
          <w:bCs/>
          <w:iCs/>
          <w:szCs w:val="24"/>
        </w:rPr>
        <w:t>ACTPAS</w:t>
      </w:r>
      <w:r>
        <w:rPr>
          <w:rFonts w:cs="Arial"/>
          <w:szCs w:val="24"/>
        </w:rPr>
        <w:t xml:space="preserve"> – ACT Patient Admission System</w:t>
      </w:r>
    </w:p>
    <w:p w14:paraId="4F771B90" w14:textId="1D6E6BAB" w:rsidR="007D269B" w:rsidRDefault="007D269B" w:rsidP="007D269B">
      <w:pPr>
        <w:pStyle w:val="ListBullet"/>
      </w:pPr>
      <w:r>
        <w:t>ADS – Alcohol and Drug Services.</w:t>
      </w:r>
    </w:p>
    <w:p w14:paraId="276939B5" w14:textId="77777777" w:rsidR="007D269B" w:rsidRDefault="007D269B" w:rsidP="007D269B">
      <w:pPr>
        <w:pStyle w:val="ListBullet"/>
      </w:pPr>
      <w:r>
        <w:t>AS/NZS 4308:2008 – Australian/New Zealand Standard 4308:2008 – Procedures for specimen collection and the detection and quantitation of drug of abuse in urine.</w:t>
      </w:r>
    </w:p>
    <w:p w14:paraId="0AD798CB" w14:textId="77777777" w:rsidR="007D269B" w:rsidRDefault="007D269B" w:rsidP="007D269B">
      <w:pPr>
        <w:pStyle w:val="ListBullet"/>
      </w:pPr>
      <w:r>
        <w:t>Confirmatory Test – an analytical procedure that uses mass spectrometry to unequivocally identify the presence of a specific drug and/or metabolite.</w:t>
      </w:r>
    </w:p>
    <w:p w14:paraId="0C0D5487" w14:textId="77777777" w:rsidR="007D269B" w:rsidRDefault="007D269B" w:rsidP="007D269B">
      <w:pPr>
        <w:pStyle w:val="ListBullet"/>
      </w:pPr>
      <w:proofErr w:type="spellStart"/>
      <w:r>
        <w:t>CoC</w:t>
      </w:r>
      <w:proofErr w:type="spellEnd"/>
      <w:r>
        <w:t xml:space="preserve"> – Chain of Custody – The chain of custody is the chronological documentation or paper trail, showing the collection, transfer, receipt, analysis, storage, and disposal of the sample. This ensures that any results reported relate beyond all reasonable doubt to a particular individual.</w:t>
      </w:r>
    </w:p>
    <w:p w14:paraId="76707C08" w14:textId="77777777" w:rsidR="007D269B" w:rsidRDefault="007D269B" w:rsidP="007D269B">
      <w:pPr>
        <w:pStyle w:val="ListBullet"/>
      </w:pPr>
      <w:r>
        <w:t xml:space="preserve">Cut-off Concentration – a value at or above which the drug/metabolites </w:t>
      </w:r>
      <w:proofErr w:type="gramStart"/>
      <w:r>
        <w:t>is</w:t>
      </w:r>
      <w:proofErr w:type="gramEnd"/>
      <w:r>
        <w:t xml:space="preserve"> deemed to be ‘detected’ and below which the drug/metabolite is deemed to be ‘not detected’.</w:t>
      </w:r>
    </w:p>
    <w:bookmarkEnd w:id="50"/>
    <w:p w14:paraId="54533990" w14:textId="77777777" w:rsidR="007D269B" w:rsidRDefault="007D269B" w:rsidP="007D269B">
      <w:pPr>
        <w:pStyle w:val="ListBullet"/>
      </w:pPr>
      <w:r>
        <w:t>DASL – Drug and Alcohol Sentencing List.</w:t>
      </w:r>
    </w:p>
    <w:p w14:paraId="5F317947" w14:textId="77777777" w:rsidR="007D269B" w:rsidRPr="007D269B" w:rsidRDefault="007D269B" w:rsidP="007D269B">
      <w:pPr>
        <w:pStyle w:val="ListBullet"/>
        <w:rPr>
          <w:rFonts w:cs="Arial"/>
          <w:bCs/>
          <w:szCs w:val="24"/>
        </w:rPr>
      </w:pPr>
      <w:r w:rsidRPr="007D269B">
        <w:rPr>
          <w:rFonts w:cs="Arial"/>
          <w:bCs/>
          <w:iCs/>
          <w:szCs w:val="24"/>
        </w:rPr>
        <w:t>DASL Team</w:t>
      </w:r>
      <w:r w:rsidRPr="007D269B">
        <w:rPr>
          <w:rFonts w:cs="Arial"/>
          <w:bCs/>
          <w:szCs w:val="24"/>
        </w:rPr>
        <w:t xml:space="preserve"> – </w:t>
      </w:r>
      <w:r w:rsidRPr="007D269B">
        <w:rPr>
          <w:bCs/>
        </w:rPr>
        <w:t>The DASL Team is the Treatment Order Team under section 80M of the Act which consists of the court (which in practice will usually be the DASL Judge) and representatives from ACT Courts and Tribunal (ACTCT), Canberra Health Services, Community Corrections in ACT Corrective Services (ACTCS), the Director of Public Prosecutions (DPP), Legal Aid ACT, and ACT Policing (ACTP). If requested by the DASL, the DASL Team can also include an Aboriginal Guidance Partner, a representative from Housing ACT, and/or another person identified by the DASL Judge.</w:t>
      </w:r>
    </w:p>
    <w:p w14:paraId="08067482" w14:textId="77777777" w:rsidR="007D269B" w:rsidRPr="007D269B" w:rsidRDefault="007D269B" w:rsidP="007D269B">
      <w:pPr>
        <w:pStyle w:val="ListBullet"/>
        <w:rPr>
          <w:rFonts w:cs="Arial"/>
          <w:bCs/>
          <w:szCs w:val="24"/>
        </w:rPr>
      </w:pPr>
      <w:r w:rsidRPr="007D269B">
        <w:rPr>
          <w:bCs/>
        </w:rPr>
        <w:lastRenderedPageBreak/>
        <w:t xml:space="preserve">Drug and Alcohol Treatment Order (DATO) – see the </w:t>
      </w:r>
      <w:r w:rsidRPr="007D269B">
        <w:rPr>
          <w:bCs/>
          <w:i/>
          <w:iCs/>
        </w:rPr>
        <w:t xml:space="preserve">Crimes (Sentencing) Act 2005, </w:t>
      </w:r>
      <w:r w:rsidRPr="007D269B">
        <w:rPr>
          <w:bCs/>
        </w:rPr>
        <w:t>section 12A for full legal definition and requirements.</w:t>
      </w:r>
    </w:p>
    <w:p w14:paraId="7AB05F49" w14:textId="77777777" w:rsidR="007D269B" w:rsidRPr="007D269B" w:rsidRDefault="007D269B" w:rsidP="007D269B">
      <w:pPr>
        <w:pStyle w:val="ListBullet"/>
        <w:rPr>
          <w:bCs/>
        </w:rPr>
      </w:pPr>
      <w:proofErr w:type="spellStart"/>
      <w:r w:rsidRPr="007D269B">
        <w:rPr>
          <w:bCs/>
          <w:iCs/>
        </w:rPr>
        <w:t>MAJICeR</w:t>
      </w:r>
      <w:proofErr w:type="spellEnd"/>
      <w:r w:rsidRPr="007D269B">
        <w:rPr>
          <w:bCs/>
          <w:i/>
        </w:rPr>
        <w:t xml:space="preserve"> </w:t>
      </w:r>
      <w:r w:rsidRPr="007D269B">
        <w:rPr>
          <w:bCs/>
        </w:rPr>
        <w:t xml:space="preserve">– Mental Health, Alcohol, Justice Health Integrated Care Electronic Record. </w:t>
      </w:r>
    </w:p>
    <w:p w14:paraId="425509D2" w14:textId="77777777" w:rsidR="007D269B" w:rsidRPr="007D269B" w:rsidRDefault="007D269B" w:rsidP="007D269B">
      <w:pPr>
        <w:pStyle w:val="ListBullet"/>
        <w:rPr>
          <w:bCs/>
        </w:rPr>
      </w:pPr>
      <w:r w:rsidRPr="007D269B">
        <w:rPr>
          <w:bCs/>
        </w:rPr>
        <w:t>Laboratory – a testing facility accredited against AS/NZS 4308:2008 standard at which the analytical procedures are carried out to screen for and/or confirm the presence of a specific drug or metabolite.</w:t>
      </w:r>
    </w:p>
    <w:p w14:paraId="2F51A8DA" w14:textId="0BF4D4D9" w:rsidR="00FF56DD" w:rsidRPr="007D269B" w:rsidRDefault="007D269B" w:rsidP="007D269B">
      <w:pPr>
        <w:pStyle w:val="ListBullet"/>
        <w:rPr>
          <w:rFonts w:cs="Arial"/>
          <w:bCs/>
          <w:szCs w:val="24"/>
        </w:rPr>
      </w:pPr>
      <w:r w:rsidRPr="007D269B">
        <w:rPr>
          <w:bCs/>
        </w:rPr>
        <w:t>On-Site Drug Screening Device – an immunoassay device used to exclude the presence of drugs and/or metabolites in urine at the site of specimen collection and which has been tested in accordance with the AS/NZS 4308:2008 standard.</w:t>
      </w:r>
    </w:p>
    <w:p w14:paraId="2F18022E" w14:textId="77777777" w:rsidR="007D269B" w:rsidRDefault="007D269B" w:rsidP="007D269B">
      <w:pPr>
        <w:pStyle w:val="ListBullet"/>
      </w:pPr>
      <w:r w:rsidRPr="007D269B">
        <w:rPr>
          <w:bCs/>
          <w:iCs/>
        </w:rPr>
        <w:t>Participant</w:t>
      </w:r>
      <w:r>
        <w:rPr>
          <w:b/>
        </w:rPr>
        <w:t xml:space="preserve"> </w:t>
      </w:r>
      <w:r>
        <w:t>– A person that has been sentenced to a Drug and Alcohol Treatment Order (DATO).</w:t>
      </w:r>
    </w:p>
    <w:p w14:paraId="3F51C123" w14:textId="77777777" w:rsidR="007D269B" w:rsidRDefault="007D269B" w:rsidP="007D269B">
      <w:pPr>
        <w:pStyle w:val="ListBullet"/>
      </w:pPr>
      <w:r w:rsidRPr="007D269B">
        <w:rPr>
          <w:bCs/>
          <w:iCs/>
        </w:rPr>
        <w:t>Sentence management plan</w:t>
      </w:r>
      <w:r>
        <w:rPr>
          <w:b/>
        </w:rPr>
        <w:t xml:space="preserve"> </w:t>
      </w:r>
      <w:r>
        <w:t>– The individualised plan that is developed by Community Corrections to monitor sentence conditions.</w:t>
      </w:r>
    </w:p>
    <w:p w14:paraId="2CA7EA13" w14:textId="77777777" w:rsidR="007D269B" w:rsidRPr="007D269B" w:rsidRDefault="007D269B" w:rsidP="007D269B"/>
    <w:p w14:paraId="2F51A8DB" w14:textId="77777777" w:rsidR="00FF56DD" w:rsidRDefault="00CF5D71"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51" w:name="_Toc389473290"/>
            <w:bookmarkStart w:id="52" w:name="_Toc71533489"/>
            <w:r>
              <w:t>Search Terms</w:t>
            </w:r>
            <w:bookmarkEnd w:id="51"/>
            <w:bookmarkEnd w:id="52"/>
            <w:r>
              <w:t xml:space="preserve"> </w:t>
            </w:r>
          </w:p>
        </w:tc>
      </w:tr>
    </w:tbl>
    <w:p w14:paraId="2F51A8DE" w14:textId="77777777" w:rsidR="007B6904" w:rsidRDefault="007B6904" w:rsidP="007B6904">
      <w:pPr>
        <w:rPr>
          <w:rFonts w:cs="Calibri,Bold"/>
          <w:bCs/>
          <w:i/>
          <w:szCs w:val="24"/>
          <w:lang w:eastAsia="en-AU"/>
        </w:rPr>
      </w:pPr>
    </w:p>
    <w:p w14:paraId="2F51A8E0" w14:textId="75DDABC7" w:rsidR="007B6904" w:rsidRPr="00901883" w:rsidRDefault="007D269B" w:rsidP="007D269B">
      <w:pPr>
        <w:rPr>
          <w:rFonts w:asciiTheme="minorHAnsi" w:hAnsiTheme="minorHAnsi" w:cs="Arial"/>
          <w:b/>
          <w:i/>
          <w:sz w:val="22"/>
          <w:szCs w:val="22"/>
        </w:rPr>
      </w:pPr>
      <w:r>
        <w:rPr>
          <w:rFonts w:cs="Calibri,Bold"/>
          <w:bCs/>
          <w:iCs/>
          <w:szCs w:val="24"/>
          <w:lang w:eastAsia="en-AU"/>
        </w:rPr>
        <w:t>Drug and Alcohol Sentencing List Urinalysis Suite, DASL, Urinalysis Testing, Urinalysis, Alcohol, Drug, Sentencing, Drugs, Court, BAT, Eligibility Assessment, Suitability Assessment, Screening Assessment, Case Management</w:t>
      </w:r>
    </w:p>
    <w:p w14:paraId="1300B6B8" w14:textId="77777777" w:rsidR="007D269B" w:rsidRDefault="007D269B" w:rsidP="00AC7025">
      <w:pPr>
        <w:jc w:val="right"/>
      </w:pPr>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983"/>
        <w:gridCol w:w="2547"/>
        <w:gridCol w:w="2265"/>
      </w:tblGrid>
      <w:tr w:rsidR="00ED46C3" w:rsidRPr="008202D3" w14:paraId="3D8FB228" w14:textId="77777777" w:rsidTr="00B94E38">
        <w:tc>
          <w:tcPr>
            <w:tcW w:w="2265" w:type="dxa"/>
          </w:tcPr>
          <w:p w14:paraId="4CC3BE7E" w14:textId="77777777" w:rsidR="00ED46C3" w:rsidRPr="008202D3" w:rsidRDefault="00ED46C3" w:rsidP="009E120D">
            <w:pPr>
              <w:rPr>
                <w:i/>
                <w:sz w:val="20"/>
              </w:rPr>
            </w:pPr>
            <w:r w:rsidRPr="008202D3">
              <w:rPr>
                <w:i/>
                <w:sz w:val="20"/>
              </w:rPr>
              <w:t>Date Amended</w:t>
            </w:r>
          </w:p>
        </w:tc>
        <w:tc>
          <w:tcPr>
            <w:tcW w:w="1983" w:type="dxa"/>
          </w:tcPr>
          <w:p w14:paraId="0C6FC403" w14:textId="77777777" w:rsidR="00ED46C3" w:rsidRPr="008202D3" w:rsidRDefault="00ED46C3" w:rsidP="009E120D">
            <w:pPr>
              <w:rPr>
                <w:i/>
                <w:sz w:val="20"/>
              </w:rPr>
            </w:pPr>
            <w:r w:rsidRPr="008202D3">
              <w:rPr>
                <w:i/>
                <w:sz w:val="20"/>
              </w:rPr>
              <w:t>Section Amended</w:t>
            </w:r>
          </w:p>
        </w:tc>
        <w:tc>
          <w:tcPr>
            <w:tcW w:w="2547" w:type="dxa"/>
          </w:tcPr>
          <w:p w14:paraId="36BF7192" w14:textId="77777777" w:rsidR="00ED46C3" w:rsidRPr="008202D3" w:rsidRDefault="00ED46C3" w:rsidP="009E120D">
            <w:pPr>
              <w:rPr>
                <w:i/>
                <w:sz w:val="20"/>
              </w:rPr>
            </w:pPr>
            <w:r w:rsidRPr="008202D3">
              <w:rPr>
                <w:i/>
                <w:sz w:val="20"/>
              </w:rPr>
              <w:t>Divisional Approval</w:t>
            </w:r>
          </w:p>
        </w:tc>
        <w:tc>
          <w:tcPr>
            <w:tcW w:w="2265" w:type="dxa"/>
          </w:tcPr>
          <w:p w14:paraId="6974B6A4" w14:textId="77777777" w:rsidR="00ED46C3" w:rsidRPr="008202D3" w:rsidRDefault="00ED46C3" w:rsidP="009E120D">
            <w:pPr>
              <w:rPr>
                <w:i/>
                <w:sz w:val="20"/>
              </w:rPr>
            </w:pPr>
            <w:r w:rsidRPr="008202D3">
              <w:rPr>
                <w:i/>
                <w:sz w:val="20"/>
              </w:rPr>
              <w:t xml:space="preserve">Final Approval </w:t>
            </w:r>
          </w:p>
        </w:tc>
      </w:tr>
      <w:tr w:rsidR="00ED46C3" w:rsidRPr="008202D3" w14:paraId="69E49990" w14:textId="77777777" w:rsidTr="00B94E38">
        <w:tc>
          <w:tcPr>
            <w:tcW w:w="2265" w:type="dxa"/>
          </w:tcPr>
          <w:p w14:paraId="4CB276AE" w14:textId="29AFD9DF" w:rsidR="00ED46C3" w:rsidRPr="008202D3" w:rsidRDefault="00B94E38" w:rsidP="009E120D">
            <w:pPr>
              <w:rPr>
                <w:i/>
                <w:sz w:val="20"/>
              </w:rPr>
            </w:pPr>
            <w:r>
              <w:rPr>
                <w:i/>
                <w:sz w:val="20"/>
              </w:rPr>
              <w:t>02/06/2021</w:t>
            </w:r>
          </w:p>
        </w:tc>
        <w:tc>
          <w:tcPr>
            <w:tcW w:w="1983" w:type="dxa"/>
          </w:tcPr>
          <w:p w14:paraId="757FDC5B" w14:textId="79255E15" w:rsidR="00ED46C3" w:rsidRPr="008202D3" w:rsidRDefault="00B94E38" w:rsidP="009E120D">
            <w:pPr>
              <w:rPr>
                <w:i/>
                <w:sz w:val="20"/>
              </w:rPr>
            </w:pPr>
            <w:proofErr w:type="spellStart"/>
            <w:r>
              <w:rPr>
                <w:i/>
                <w:sz w:val="20"/>
              </w:rPr>
              <w:t>Compltere</w:t>
            </w:r>
            <w:proofErr w:type="spellEnd"/>
            <w:r>
              <w:rPr>
                <w:i/>
                <w:sz w:val="20"/>
              </w:rPr>
              <w:t xml:space="preserve"> Review</w:t>
            </w:r>
          </w:p>
        </w:tc>
        <w:tc>
          <w:tcPr>
            <w:tcW w:w="2547" w:type="dxa"/>
          </w:tcPr>
          <w:p w14:paraId="45358585" w14:textId="54F3328E" w:rsidR="00ED46C3" w:rsidRPr="008202D3" w:rsidRDefault="00B94E38" w:rsidP="009E120D">
            <w:pPr>
              <w:rPr>
                <w:i/>
                <w:sz w:val="20"/>
              </w:rPr>
            </w:pPr>
            <w:r>
              <w:rPr>
                <w:i/>
                <w:sz w:val="20"/>
              </w:rPr>
              <w:t>Karen Grace, ED, MHJHADS</w:t>
            </w:r>
          </w:p>
        </w:tc>
        <w:tc>
          <w:tcPr>
            <w:tcW w:w="2265" w:type="dxa"/>
          </w:tcPr>
          <w:p w14:paraId="31501FE6" w14:textId="2FF42CCF" w:rsidR="00ED46C3" w:rsidRPr="008202D3" w:rsidRDefault="00B94E38" w:rsidP="009E120D">
            <w:pPr>
              <w:rPr>
                <w:i/>
                <w:sz w:val="20"/>
              </w:rPr>
            </w:pPr>
            <w:r>
              <w:rPr>
                <w:i/>
                <w:sz w:val="20"/>
              </w:rPr>
              <w:t xml:space="preserve">CHS Policy Committee </w:t>
            </w:r>
          </w:p>
        </w:tc>
      </w:tr>
      <w:tr w:rsidR="00ED46C3" w:rsidRPr="008202D3" w14:paraId="4B9C0359" w14:textId="77777777" w:rsidTr="00B94E38">
        <w:tc>
          <w:tcPr>
            <w:tcW w:w="2265" w:type="dxa"/>
          </w:tcPr>
          <w:p w14:paraId="01E40F72" w14:textId="77777777" w:rsidR="00ED46C3" w:rsidRPr="008202D3" w:rsidRDefault="00ED46C3" w:rsidP="009E120D">
            <w:pPr>
              <w:rPr>
                <w:i/>
                <w:sz w:val="20"/>
              </w:rPr>
            </w:pPr>
          </w:p>
        </w:tc>
        <w:tc>
          <w:tcPr>
            <w:tcW w:w="1983" w:type="dxa"/>
          </w:tcPr>
          <w:p w14:paraId="25312BA2" w14:textId="77777777" w:rsidR="00ED46C3" w:rsidRPr="008202D3" w:rsidRDefault="00ED46C3" w:rsidP="009E120D">
            <w:pPr>
              <w:rPr>
                <w:i/>
                <w:sz w:val="20"/>
              </w:rPr>
            </w:pPr>
          </w:p>
        </w:tc>
        <w:tc>
          <w:tcPr>
            <w:tcW w:w="2547" w:type="dxa"/>
          </w:tcPr>
          <w:p w14:paraId="6A63A790" w14:textId="77777777" w:rsidR="00ED46C3" w:rsidRPr="008202D3" w:rsidRDefault="00ED46C3" w:rsidP="009E120D">
            <w:pPr>
              <w:rPr>
                <w:i/>
                <w:sz w:val="20"/>
              </w:rPr>
            </w:pPr>
          </w:p>
        </w:tc>
        <w:tc>
          <w:tcPr>
            <w:tcW w:w="2265" w:type="dxa"/>
          </w:tcPr>
          <w:p w14:paraId="0C203B9F" w14:textId="77777777" w:rsidR="00ED46C3" w:rsidRPr="008202D3" w:rsidRDefault="00ED46C3" w:rsidP="009E120D">
            <w:pPr>
              <w:rPr>
                <w:i/>
                <w:sz w:val="20"/>
              </w:rPr>
            </w:pPr>
          </w:p>
        </w:tc>
      </w:tr>
    </w:tbl>
    <w:p w14:paraId="61B82B80" w14:textId="77777777" w:rsidR="007D269B" w:rsidRDefault="007D269B" w:rsidP="00ED46C3">
      <w:pPr>
        <w:rPr>
          <w:rFonts w:cs="Arial"/>
          <w:i/>
          <w:sz w:val="20"/>
        </w:rPr>
      </w:pPr>
    </w:p>
    <w:p w14:paraId="22B94EA3" w14:textId="0F08DAA2"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9E120D">
        <w:tc>
          <w:tcPr>
            <w:tcW w:w="2122" w:type="dxa"/>
          </w:tcPr>
          <w:p w14:paraId="3A0A8647" w14:textId="77777777" w:rsidR="00ED46C3" w:rsidRPr="008202D3" w:rsidRDefault="00ED46C3" w:rsidP="009E120D">
            <w:pPr>
              <w:rPr>
                <w:i/>
                <w:sz w:val="20"/>
              </w:rPr>
            </w:pPr>
            <w:r w:rsidRPr="008202D3">
              <w:rPr>
                <w:i/>
                <w:sz w:val="20"/>
              </w:rPr>
              <w:t>Document Number</w:t>
            </w:r>
          </w:p>
        </w:tc>
        <w:tc>
          <w:tcPr>
            <w:tcW w:w="6938" w:type="dxa"/>
          </w:tcPr>
          <w:p w14:paraId="40CE1B13" w14:textId="77777777" w:rsidR="00ED46C3" w:rsidRPr="008202D3" w:rsidRDefault="00ED46C3" w:rsidP="009E120D">
            <w:pPr>
              <w:rPr>
                <w:i/>
                <w:sz w:val="20"/>
              </w:rPr>
            </w:pPr>
            <w:r w:rsidRPr="008202D3">
              <w:rPr>
                <w:i/>
                <w:sz w:val="20"/>
              </w:rPr>
              <w:t>Document Name</w:t>
            </w:r>
          </w:p>
        </w:tc>
      </w:tr>
      <w:tr w:rsidR="00B94E38" w:rsidRPr="008202D3" w14:paraId="389A2F7C" w14:textId="77777777" w:rsidTr="009E120D">
        <w:tc>
          <w:tcPr>
            <w:tcW w:w="2122" w:type="dxa"/>
          </w:tcPr>
          <w:p w14:paraId="72FFFF3B" w14:textId="2FD9E5F4" w:rsidR="00B94E38" w:rsidRPr="008202D3" w:rsidRDefault="00B94E38" w:rsidP="00B94E38">
            <w:pPr>
              <w:rPr>
                <w:i/>
                <w:sz w:val="20"/>
              </w:rPr>
            </w:pPr>
            <w:r w:rsidRPr="00B94E38">
              <w:rPr>
                <w:i/>
                <w:sz w:val="20"/>
              </w:rPr>
              <w:t>CHS20/192</w:t>
            </w:r>
          </w:p>
        </w:tc>
        <w:tc>
          <w:tcPr>
            <w:tcW w:w="6938" w:type="dxa"/>
          </w:tcPr>
          <w:p w14:paraId="61EF68F3" w14:textId="34092E20" w:rsidR="00B94E38" w:rsidRPr="008202D3" w:rsidRDefault="00CF5D71" w:rsidP="00B94E38">
            <w:pPr>
              <w:rPr>
                <w:i/>
                <w:sz w:val="20"/>
              </w:rPr>
            </w:pPr>
            <w:r w:rsidRPr="00CF5D71">
              <w:rPr>
                <w:i/>
                <w:sz w:val="20"/>
              </w:rPr>
              <w:t>Drug and Alcohol Sentencing List - Case Management</w:t>
            </w:r>
          </w:p>
        </w:tc>
      </w:tr>
      <w:tr w:rsidR="00B94E38" w:rsidRPr="008202D3" w14:paraId="4414C7E4" w14:textId="77777777" w:rsidTr="009E120D">
        <w:tc>
          <w:tcPr>
            <w:tcW w:w="2122" w:type="dxa"/>
          </w:tcPr>
          <w:p w14:paraId="0E1C6F88" w14:textId="562F3F0C" w:rsidR="00B94E38" w:rsidRPr="008202D3" w:rsidRDefault="00B94E38" w:rsidP="00B94E38">
            <w:pPr>
              <w:rPr>
                <w:i/>
                <w:sz w:val="20"/>
              </w:rPr>
            </w:pPr>
            <w:r w:rsidRPr="00B94E38">
              <w:rPr>
                <w:i/>
                <w:sz w:val="20"/>
              </w:rPr>
              <w:t>CHS20/104</w:t>
            </w:r>
          </w:p>
        </w:tc>
        <w:tc>
          <w:tcPr>
            <w:tcW w:w="6938" w:type="dxa"/>
          </w:tcPr>
          <w:p w14:paraId="73EF72D2" w14:textId="31F448CF" w:rsidR="00B94E38" w:rsidRPr="008202D3" w:rsidRDefault="00CF5D71" w:rsidP="00B94E38">
            <w:pPr>
              <w:rPr>
                <w:i/>
                <w:sz w:val="20"/>
              </w:rPr>
            </w:pPr>
            <w:r w:rsidRPr="00CF5D71">
              <w:rPr>
                <w:i/>
                <w:sz w:val="20"/>
              </w:rPr>
              <w:t>Drug and Alcohol Sentencing List Court Urinalysis Suite</w:t>
            </w:r>
          </w:p>
        </w:tc>
      </w:tr>
      <w:tr w:rsidR="00B94E38" w:rsidRPr="008202D3" w14:paraId="4ECA800A" w14:textId="77777777" w:rsidTr="009E120D">
        <w:tc>
          <w:tcPr>
            <w:tcW w:w="2122" w:type="dxa"/>
          </w:tcPr>
          <w:p w14:paraId="3810DE27" w14:textId="53B79935" w:rsidR="00B94E38" w:rsidRPr="008202D3" w:rsidRDefault="00B94E38" w:rsidP="00B94E38">
            <w:pPr>
              <w:rPr>
                <w:i/>
                <w:sz w:val="20"/>
              </w:rPr>
            </w:pPr>
            <w:r w:rsidRPr="00B94E38">
              <w:rPr>
                <w:i/>
                <w:sz w:val="20"/>
              </w:rPr>
              <w:t>CHS 20/193</w:t>
            </w:r>
          </w:p>
        </w:tc>
        <w:tc>
          <w:tcPr>
            <w:tcW w:w="6938" w:type="dxa"/>
          </w:tcPr>
          <w:p w14:paraId="7A273FE0" w14:textId="70328661" w:rsidR="00B94E38" w:rsidRPr="008202D3" w:rsidRDefault="00CF5D71" w:rsidP="00B94E38">
            <w:pPr>
              <w:rPr>
                <w:i/>
                <w:sz w:val="20"/>
              </w:rPr>
            </w:pPr>
            <w:r w:rsidRPr="00CF5D71">
              <w:rPr>
                <w:i/>
                <w:sz w:val="20"/>
              </w:rPr>
              <w:t>Drug and Alcohol Sentencing List – Eligibility and Suitability Assessment</w:t>
            </w: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35FCE" w14:textId="77777777" w:rsidR="00A06171" w:rsidRDefault="00A06171" w:rsidP="00F66CB0">
      <w:r>
        <w:separator/>
      </w:r>
    </w:p>
  </w:endnote>
  <w:endnote w:type="continuationSeparator" w:id="0">
    <w:p w14:paraId="31338AF0" w14:textId="77777777" w:rsidR="00A06171" w:rsidRDefault="00A0617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A06171" w:rsidRPr="00AE7C5C" w14:paraId="2F51A914" w14:textId="77777777" w:rsidTr="005E1140">
      <w:tc>
        <w:tcPr>
          <w:tcW w:w="1515" w:type="dxa"/>
        </w:tcPr>
        <w:p w14:paraId="2F51A90E" w14:textId="77777777" w:rsidR="00A06171" w:rsidRPr="00B3752F" w:rsidRDefault="00A06171" w:rsidP="004213C3">
          <w:pPr>
            <w:pStyle w:val="Footer"/>
            <w:rPr>
              <w:rFonts w:cs="Arial"/>
              <w:b/>
              <w:bCs/>
              <w:i/>
              <w:sz w:val="20"/>
            </w:rPr>
          </w:pPr>
          <w:r w:rsidRPr="00B3752F">
            <w:rPr>
              <w:rFonts w:cs="Arial"/>
              <w:b/>
              <w:bCs/>
              <w:i/>
              <w:sz w:val="20"/>
            </w:rPr>
            <w:t>Doc Number</w:t>
          </w:r>
        </w:p>
      </w:tc>
      <w:tc>
        <w:tcPr>
          <w:tcW w:w="965" w:type="dxa"/>
        </w:tcPr>
        <w:p w14:paraId="2F51A90F" w14:textId="77777777" w:rsidR="00A06171" w:rsidRPr="00B3752F" w:rsidRDefault="00A06171" w:rsidP="004213C3">
          <w:pPr>
            <w:pStyle w:val="Footer"/>
            <w:rPr>
              <w:rFonts w:cs="Arial"/>
              <w:b/>
              <w:bCs/>
              <w:i/>
              <w:sz w:val="20"/>
            </w:rPr>
          </w:pPr>
          <w:r w:rsidRPr="00B3752F">
            <w:rPr>
              <w:rFonts w:cs="Arial"/>
              <w:b/>
              <w:bCs/>
              <w:i/>
              <w:sz w:val="20"/>
            </w:rPr>
            <w:t>Version</w:t>
          </w:r>
        </w:p>
      </w:tc>
      <w:tc>
        <w:tcPr>
          <w:tcW w:w="1552" w:type="dxa"/>
        </w:tcPr>
        <w:p w14:paraId="2F51A910" w14:textId="77777777" w:rsidR="00A06171" w:rsidRPr="00B3752F" w:rsidRDefault="00A06171" w:rsidP="004213C3">
          <w:pPr>
            <w:pStyle w:val="Footer"/>
            <w:rPr>
              <w:rFonts w:cs="Arial"/>
              <w:b/>
              <w:bCs/>
              <w:i/>
              <w:sz w:val="20"/>
            </w:rPr>
          </w:pPr>
          <w:r w:rsidRPr="00B3752F">
            <w:rPr>
              <w:rFonts w:cs="Arial"/>
              <w:b/>
              <w:bCs/>
              <w:i/>
              <w:sz w:val="20"/>
            </w:rPr>
            <w:t>Issued</w:t>
          </w:r>
        </w:p>
      </w:tc>
      <w:tc>
        <w:tcPr>
          <w:tcW w:w="1456" w:type="dxa"/>
        </w:tcPr>
        <w:p w14:paraId="2F51A911" w14:textId="77777777" w:rsidR="00A06171" w:rsidRPr="00B3752F" w:rsidRDefault="00A06171" w:rsidP="004213C3">
          <w:pPr>
            <w:pStyle w:val="Footer"/>
            <w:rPr>
              <w:rFonts w:cs="Arial"/>
              <w:b/>
              <w:bCs/>
              <w:i/>
              <w:sz w:val="20"/>
            </w:rPr>
          </w:pPr>
          <w:r w:rsidRPr="00B3752F">
            <w:rPr>
              <w:rFonts w:cs="Arial"/>
              <w:b/>
              <w:bCs/>
              <w:i/>
              <w:sz w:val="20"/>
            </w:rPr>
            <w:t>Review Date</w:t>
          </w:r>
        </w:p>
      </w:tc>
      <w:tc>
        <w:tcPr>
          <w:tcW w:w="1746" w:type="dxa"/>
        </w:tcPr>
        <w:p w14:paraId="2F51A912" w14:textId="77777777" w:rsidR="00A06171" w:rsidRPr="00B3752F" w:rsidRDefault="00A06171" w:rsidP="004213C3">
          <w:pPr>
            <w:pStyle w:val="Footer"/>
            <w:rPr>
              <w:rFonts w:cs="Arial"/>
              <w:b/>
              <w:bCs/>
              <w:i/>
              <w:sz w:val="20"/>
            </w:rPr>
          </w:pPr>
          <w:r w:rsidRPr="00B3752F">
            <w:rPr>
              <w:rFonts w:cs="Arial"/>
              <w:b/>
              <w:bCs/>
              <w:i/>
              <w:sz w:val="20"/>
            </w:rPr>
            <w:t>Area Responsible</w:t>
          </w:r>
        </w:p>
      </w:tc>
      <w:tc>
        <w:tcPr>
          <w:tcW w:w="1836" w:type="dxa"/>
        </w:tcPr>
        <w:p w14:paraId="2F51A913" w14:textId="77777777" w:rsidR="00A06171" w:rsidRPr="00B3752F" w:rsidRDefault="00A06171" w:rsidP="004213C3">
          <w:pPr>
            <w:pStyle w:val="Footer"/>
            <w:rPr>
              <w:rFonts w:cs="Arial"/>
              <w:b/>
              <w:bCs/>
              <w:i/>
              <w:sz w:val="20"/>
            </w:rPr>
          </w:pPr>
          <w:r w:rsidRPr="00B3752F">
            <w:rPr>
              <w:rFonts w:cs="Arial"/>
              <w:b/>
              <w:bCs/>
              <w:i/>
              <w:sz w:val="20"/>
            </w:rPr>
            <w:t>Page</w:t>
          </w:r>
        </w:p>
      </w:tc>
    </w:tr>
    <w:tr w:rsidR="00A06171" w14:paraId="2F51A91B" w14:textId="77777777" w:rsidTr="005E1140">
      <w:tc>
        <w:tcPr>
          <w:tcW w:w="1515" w:type="dxa"/>
        </w:tcPr>
        <w:p w14:paraId="2F51A915" w14:textId="0B89BEEA" w:rsidR="00A06171" w:rsidRPr="00542EE6" w:rsidRDefault="00FF1511" w:rsidP="004213C3">
          <w:pPr>
            <w:pStyle w:val="Footer"/>
            <w:rPr>
              <w:rFonts w:cs="Arial"/>
              <w:b/>
              <w:bCs/>
              <w:sz w:val="20"/>
            </w:rPr>
          </w:pPr>
          <w:r>
            <w:rPr>
              <w:b/>
              <w:sz w:val="20"/>
            </w:rPr>
            <w:t>CHS21/342</w:t>
          </w:r>
        </w:p>
      </w:tc>
      <w:tc>
        <w:tcPr>
          <w:tcW w:w="965" w:type="dxa"/>
        </w:tcPr>
        <w:p w14:paraId="2F51A916" w14:textId="1556E4B6" w:rsidR="00A06171" w:rsidRPr="00B3752F" w:rsidRDefault="00FF1511" w:rsidP="004213C3">
          <w:pPr>
            <w:pStyle w:val="Footer"/>
            <w:rPr>
              <w:rFonts w:cs="Arial"/>
              <w:b/>
              <w:bCs/>
              <w:sz w:val="20"/>
            </w:rPr>
          </w:pPr>
          <w:r>
            <w:rPr>
              <w:rFonts w:cs="Arial"/>
              <w:b/>
              <w:bCs/>
              <w:sz w:val="20"/>
            </w:rPr>
            <w:t>1</w:t>
          </w:r>
        </w:p>
      </w:tc>
      <w:tc>
        <w:tcPr>
          <w:tcW w:w="1552" w:type="dxa"/>
        </w:tcPr>
        <w:p w14:paraId="2F51A917" w14:textId="126CA321" w:rsidR="00A06171" w:rsidRPr="00B3752F" w:rsidRDefault="00FF1511" w:rsidP="004213C3">
          <w:pPr>
            <w:pStyle w:val="Footer"/>
            <w:rPr>
              <w:rFonts w:cs="Arial"/>
              <w:b/>
              <w:bCs/>
              <w:sz w:val="20"/>
            </w:rPr>
          </w:pPr>
          <w:r>
            <w:rPr>
              <w:rFonts w:cs="Arial"/>
              <w:b/>
              <w:bCs/>
              <w:sz w:val="20"/>
            </w:rPr>
            <w:t>04/06/2021</w:t>
          </w:r>
        </w:p>
      </w:tc>
      <w:tc>
        <w:tcPr>
          <w:tcW w:w="1456" w:type="dxa"/>
        </w:tcPr>
        <w:p w14:paraId="2F51A918" w14:textId="7317F88C" w:rsidR="00A06171" w:rsidRPr="00B3752F" w:rsidRDefault="00FF1511" w:rsidP="004213C3">
          <w:pPr>
            <w:pStyle w:val="Footer"/>
            <w:rPr>
              <w:rFonts w:cs="Arial"/>
              <w:b/>
              <w:bCs/>
              <w:sz w:val="20"/>
            </w:rPr>
          </w:pPr>
          <w:r>
            <w:rPr>
              <w:rFonts w:cs="Arial"/>
              <w:b/>
              <w:bCs/>
              <w:sz w:val="20"/>
            </w:rPr>
            <w:t>01/07/2025</w:t>
          </w:r>
        </w:p>
      </w:tc>
      <w:tc>
        <w:tcPr>
          <w:tcW w:w="1746" w:type="dxa"/>
        </w:tcPr>
        <w:p w14:paraId="2F51A919" w14:textId="36788A74" w:rsidR="00A06171" w:rsidRPr="00B3752F" w:rsidRDefault="00FF1511" w:rsidP="004213C3">
          <w:pPr>
            <w:pStyle w:val="Footer"/>
            <w:rPr>
              <w:rFonts w:cs="Arial"/>
              <w:b/>
              <w:bCs/>
              <w:sz w:val="20"/>
            </w:rPr>
          </w:pPr>
          <w:r>
            <w:rPr>
              <w:rFonts w:cs="Arial"/>
              <w:b/>
              <w:bCs/>
              <w:sz w:val="20"/>
            </w:rPr>
            <w:t>MHJHADS, ADS</w:t>
          </w:r>
        </w:p>
      </w:tc>
      <w:tc>
        <w:tcPr>
          <w:tcW w:w="1836" w:type="dxa"/>
        </w:tcPr>
        <w:p w14:paraId="2F51A91A" w14:textId="77777777" w:rsidR="00A06171" w:rsidRPr="00B3752F" w:rsidRDefault="00A06171"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21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21</w:t>
          </w:r>
          <w:r w:rsidRPr="00B3752F">
            <w:rPr>
              <w:rStyle w:val="PageNumber"/>
              <w:sz w:val="20"/>
            </w:rPr>
            <w:fldChar w:fldCharType="end"/>
          </w:r>
        </w:p>
      </w:tc>
    </w:tr>
    <w:tr w:rsidR="00A06171" w14:paraId="668DA41F" w14:textId="77777777" w:rsidTr="009E120D">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A06171" w:rsidRPr="002C1428" w:rsidRDefault="00A06171"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A06171" w:rsidRPr="00AE7C5C" w:rsidRDefault="00A06171"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24082" w14:textId="77777777" w:rsidR="00A06171" w:rsidRDefault="00A06171" w:rsidP="00F66CB0">
      <w:r>
        <w:separator/>
      </w:r>
    </w:p>
  </w:footnote>
  <w:footnote w:type="continuationSeparator" w:id="0">
    <w:p w14:paraId="5E4FD8DB" w14:textId="77777777" w:rsidR="00A06171" w:rsidRDefault="00A0617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06171" w14:paraId="2F51A90C" w14:textId="77777777" w:rsidTr="15F16DD6">
      <w:trPr>
        <w:trHeight w:val="1418"/>
      </w:trPr>
      <w:tc>
        <w:tcPr>
          <w:tcW w:w="5556" w:type="dxa"/>
          <w:vAlign w:val="center"/>
          <w:hideMark/>
        </w:tcPr>
        <w:p w14:paraId="2F51A90A" w14:textId="5F72D3B6" w:rsidR="00A06171" w:rsidRDefault="00A06171" w:rsidP="0074223E">
          <w:pPr>
            <w:pStyle w:val="Header"/>
            <w:rPr>
              <w:sz w:val="20"/>
            </w:rPr>
          </w:pPr>
          <w:r>
            <w:rPr>
              <w:noProof/>
            </w:rPr>
            <w:drawing>
              <wp:inline distT="0" distB="0" distL="0" distR="0" wp14:anchorId="5330CC0D" wp14:editId="6C29EF06">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583F19A9" w:rsidR="00A06171" w:rsidRDefault="00A06171">
          <w:pPr>
            <w:pStyle w:val="Header"/>
            <w:tabs>
              <w:tab w:val="left" w:pos="720"/>
            </w:tabs>
            <w:jc w:val="right"/>
            <w:rPr>
              <w:sz w:val="20"/>
            </w:rPr>
          </w:pPr>
          <w:bookmarkStart w:id="53" w:name="_top"/>
          <w:bookmarkEnd w:id="53"/>
          <w:r>
            <w:rPr>
              <w:sz w:val="20"/>
            </w:rPr>
            <w:t>CHS</w:t>
          </w:r>
          <w:r w:rsidR="00FF1511">
            <w:rPr>
              <w:sz w:val="20"/>
            </w:rPr>
            <w:t>21</w:t>
          </w:r>
          <w:r>
            <w:rPr>
              <w:sz w:val="20"/>
            </w:rPr>
            <w:t>/</w:t>
          </w:r>
          <w:r w:rsidR="00FF1511">
            <w:rPr>
              <w:sz w:val="20"/>
            </w:rPr>
            <w:t>342</w:t>
          </w:r>
          <w:r>
            <w:rPr>
              <w:sz w:val="20"/>
            </w:rPr>
            <w:t xml:space="preserve"> </w:t>
          </w:r>
        </w:p>
      </w:tc>
    </w:tr>
  </w:tbl>
  <w:p w14:paraId="2F51A90D" w14:textId="77777777" w:rsidR="00A06171" w:rsidRPr="00FC3538" w:rsidRDefault="00A06171">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890B0C"/>
    <w:multiLevelType w:val="hybridMultilevel"/>
    <w:tmpl w:val="ECC0187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897E51"/>
    <w:multiLevelType w:val="hybridMultilevel"/>
    <w:tmpl w:val="80524460"/>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A89599B"/>
    <w:multiLevelType w:val="hybridMultilevel"/>
    <w:tmpl w:val="C722F1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A9E70C7"/>
    <w:multiLevelType w:val="hybridMultilevel"/>
    <w:tmpl w:val="93689CB8"/>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B01191"/>
    <w:multiLevelType w:val="hybridMultilevel"/>
    <w:tmpl w:val="4238ED4C"/>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704D07"/>
    <w:multiLevelType w:val="hybridMultilevel"/>
    <w:tmpl w:val="B60EA9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E612230"/>
    <w:multiLevelType w:val="hybridMultilevel"/>
    <w:tmpl w:val="3BEE728A"/>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D65764"/>
    <w:multiLevelType w:val="hybridMultilevel"/>
    <w:tmpl w:val="C9766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42255"/>
    <w:multiLevelType w:val="hybridMultilevel"/>
    <w:tmpl w:val="869469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1D6FDE"/>
    <w:multiLevelType w:val="hybridMultilevel"/>
    <w:tmpl w:val="DDE2E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AF5CC0"/>
    <w:multiLevelType w:val="hybridMultilevel"/>
    <w:tmpl w:val="BB181D6E"/>
    <w:lvl w:ilvl="0" w:tplc="1C4E310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B5582E"/>
    <w:multiLevelType w:val="hybridMultilevel"/>
    <w:tmpl w:val="9022C9A6"/>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CF4AFC"/>
    <w:multiLevelType w:val="hybridMultilevel"/>
    <w:tmpl w:val="6534032A"/>
    <w:lvl w:ilvl="0" w:tplc="8A0C933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21EF9"/>
    <w:multiLevelType w:val="hybridMultilevel"/>
    <w:tmpl w:val="CE506F1A"/>
    <w:lvl w:ilvl="0" w:tplc="0C090003">
      <w:start w:val="1"/>
      <w:numFmt w:val="bullet"/>
      <w:lvlText w:val="o"/>
      <w:lvlJc w:val="left"/>
      <w:pPr>
        <w:ind w:left="786" w:hanging="360"/>
      </w:pPr>
      <w:rPr>
        <w:rFonts w:ascii="Courier New" w:hAnsi="Courier New" w:cs="Courier New"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18" w15:restartNumberingAfterBreak="0">
    <w:nsid w:val="3BB30AA0"/>
    <w:multiLevelType w:val="hybridMultilevel"/>
    <w:tmpl w:val="7F3E0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8452E1"/>
    <w:multiLevelType w:val="hybridMultilevel"/>
    <w:tmpl w:val="F7A4F278"/>
    <w:lvl w:ilvl="0" w:tplc="0C09000F">
      <w:start w:val="1"/>
      <w:numFmt w:val="decimal"/>
      <w:lvlText w:val="%1."/>
      <w:lvlJc w:val="left"/>
      <w:pPr>
        <w:ind w:left="360" w:hanging="360"/>
      </w:pPr>
    </w:lvl>
    <w:lvl w:ilvl="1" w:tplc="AFE2E020">
      <w:start w:val="2"/>
      <w:numFmt w:val="bullet"/>
      <w:lvlText w:val="•"/>
      <w:lvlJc w:val="left"/>
      <w:pPr>
        <w:ind w:left="1440" w:hanging="720"/>
      </w:pPr>
      <w:rPr>
        <w:rFonts w:ascii="Calibri" w:eastAsiaTheme="majorEastAsia"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2" w15:restartNumberingAfterBreak="0">
    <w:nsid w:val="56B70035"/>
    <w:multiLevelType w:val="hybridMultilevel"/>
    <w:tmpl w:val="36944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5D6C00"/>
    <w:multiLevelType w:val="hybridMultilevel"/>
    <w:tmpl w:val="A6941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6F2D55"/>
    <w:multiLevelType w:val="hybridMultilevel"/>
    <w:tmpl w:val="BFEAF5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DE6852"/>
    <w:multiLevelType w:val="hybridMultilevel"/>
    <w:tmpl w:val="983CA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524F6F"/>
    <w:multiLevelType w:val="hybridMultilevel"/>
    <w:tmpl w:val="1DDA76EA"/>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C55876"/>
    <w:multiLevelType w:val="hybridMultilevel"/>
    <w:tmpl w:val="38F8143A"/>
    <w:lvl w:ilvl="0" w:tplc="31805EB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140781"/>
    <w:multiLevelType w:val="hybridMultilevel"/>
    <w:tmpl w:val="43DCAD42"/>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9E0438"/>
    <w:multiLevelType w:val="hybridMultilevel"/>
    <w:tmpl w:val="2FAEA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33B7A"/>
    <w:multiLevelType w:val="hybridMultilevel"/>
    <w:tmpl w:val="D92C0240"/>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F41BB2"/>
    <w:multiLevelType w:val="hybridMultilevel"/>
    <w:tmpl w:val="6A547992"/>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73E57A8D"/>
    <w:multiLevelType w:val="hybridMultilevel"/>
    <w:tmpl w:val="7C0EABC0"/>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BC7C26"/>
    <w:multiLevelType w:val="hybridMultilevel"/>
    <w:tmpl w:val="8FBE06EE"/>
    <w:lvl w:ilvl="0" w:tplc="F79E310E">
      <w:start w:val="2"/>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E321C8A"/>
    <w:multiLevelType w:val="hybridMultilevel"/>
    <w:tmpl w:val="22E299AA"/>
    <w:lvl w:ilvl="0" w:tplc="F79E310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4"/>
  </w:num>
  <w:num w:numId="4">
    <w:abstractNumId w:val="6"/>
  </w:num>
  <w:num w:numId="5">
    <w:abstractNumId w:val="10"/>
  </w:num>
  <w:num w:numId="6">
    <w:abstractNumId w:val="35"/>
  </w:num>
  <w:num w:numId="7">
    <w:abstractNumId w:val="21"/>
  </w:num>
  <w:num w:numId="8">
    <w:abstractNumId w:val="0"/>
  </w:num>
  <w:num w:numId="9">
    <w:abstractNumId w:val="0"/>
  </w:num>
  <w:num w:numId="10">
    <w:abstractNumId w:val="19"/>
  </w:num>
  <w:num w:numId="11">
    <w:abstractNumId w:val="0"/>
  </w:num>
  <w:num w:numId="12">
    <w:abstractNumId w:val="17"/>
  </w:num>
  <w:num w:numId="13">
    <w:abstractNumId w:val="22"/>
  </w:num>
  <w:num w:numId="14">
    <w:abstractNumId w:val="28"/>
  </w:num>
  <w:num w:numId="15">
    <w:abstractNumId w:val="2"/>
  </w:num>
  <w:num w:numId="16">
    <w:abstractNumId w:val="9"/>
  </w:num>
  <w:num w:numId="17">
    <w:abstractNumId w:val="36"/>
  </w:num>
  <w:num w:numId="18">
    <w:abstractNumId w:val="32"/>
  </w:num>
  <w:num w:numId="19">
    <w:abstractNumId w:val="30"/>
  </w:num>
  <w:num w:numId="20">
    <w:abstractNumId w:val="15"/>
  </w:num>
  <w:num w:numId="21">
    <w:abstractNumId w:val="20"/>
  </w:num>
  <w:num w:numId="22">
    <w:abstractNumId w:val="14"/>
  </w:num>
  <w:num w:numId="23">
    <w:abstractNumId w:val="24"/>
  </w:num>
  <w:num w:numId="24">
    <w:abstractNumId w:val="16"/>
  </w:num>
  <w:num w:numId="25">
    <w:abstractNumId w:val="1"/>
  </w:num>
  <w:num w:numId="26">
    <w:abstractNumId w:val="27"/>
  </w:num>
  <w:num w:numId="27">
    <w:abstractNumId w:val="7"/>
  </w:num>
  <w:num w:numId="28">
    <w:abstractNumId w:val="33"/>
  </w:num>
  <w:num w:numId="29">
    <w:abstractNumId w:val="5"/>
  </w:num>
  <w:num w:numId="30">
    <w:abstractNumId w:val="13"/>
  </w:num>
  <w:num w:numId="31">
    <w:abstractNumId w:val="25"/>
  </w:num>
  <w:num w:numId="32">
    <w:abstractNumId w:val="29"/>
  </w:num>
  <w:num w:numId="33">
    <w:abstractNumId w:val="18"/>
  </w:num>
  <w:num w:numId="34">
    <w:abstractNumId w:val="11"/>
  </w:num>
  <w:num w:numId="35">
    <w:abstractNumId w:val="26"/>
  </w:num>
  <w:num w:numId="36">
    <w:abstractNumId w:val="12"/>
  </w:num>
  <w:num w:numId="37">
    <w:abstractNumId w:val="8"/>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353D"/>
    <w:rsid w:val="00015B90"/>
    <w:rsid w:val="0001607A"/>
    <w:rsid w:val="000915A6"/>
    <w:rsid w:val="00091AC9"/>
    <w:rsid w:val="00095ECD"/>
    <w:rsid w:val="000A7335"/>
    <w:rsid w:val="000B1620"/>
    <w:rsid w:val="000B5C8C"/>
    <w:rsid w:val="000B71ED"/>
    <w:rsid w:val="000C3D17"/>
    <w:rsid w:val="000C59E2"/>
    <w:rsid w:val="000C7B2D"/>
    <w:rsid w:val="000ED895"/>
    <w:rsid w:val="000F7B7E"/>
    <w:rsid w:val="00103EEA"/>
    <w:rsid w:val="001115D7"/>
    <w:rsid w:val="00113742"/>
    <w:rsid w:val="001407D1"/>
    <w:rsid w:val="00164AB1"/>
    <w:rsid w:val="00177E33"/>
    <w:rsid w:val="00191109"/>
    <w:rsid w:val="00191235"/>
    <w:rsid w:val="001926F4"/>
    <w:rsid w:val="001A0053"/>
    <w:rsid w:val="001B2465"/>
    <w:rsid w:val="001B3435"/>
    <w:rsid w:val="001C406B"/>
    <w:rsid w:val="001F2A9B"/>
    <w:rsid w:val="001F6D2D"/>
    <w:rsid w:val="00200D04"/>
    <w:rsid w:val="00201FB6"/>
    <w:rsid w:val="00214B68"/>
    <w:rsid w:val="002405CF"/>
    <w:rsid w:val="00240B97"/>
    <w:rsid w:val="0025382D"/>
    <w:rsid w:val="00263BA6"/>
    <w:rsid w:val="00267F83"/>
    <w:rsid w:val="0027264D"/>
    <w:rsid w:val="00285D38"/>
    <w:rsid w:val="00293E43"/>
    <w:rsid w:val="002B5F43"/>
    <w:rsid w:val="002D2F4D"/>
    <w:rsid w:val="003070FF"/>
    <w:rsid w:val="00313707"/>
    <w:rsid w:val="0032270B"/>
    <w:rsid w:val="003258EC"/>
    <w:rsid w:val="00325976"/>
    <w:rsid w:val="00337E7C"/>
    <w:rsid w:val="00351CD9"/>
    <w:rsid w:val="00352799"/>
    <w:rsid w:val="00353CBB"/>
    <w:rsid w:val="00366924"/>
    <w:rsid w:val="00376A6D"/>
    <w:rsid w:val="00380B98"/>
    <w:rsid w:val="00395E36"/>
    <w:rsid w:val="00396023"/>
    <w:rsid w:val="003C204E"/>
    <w:rsid w:val="003C4BB5"/>
    <w:rsid w:val="003E4CC0"/>
    <w:rsid w:val="003F3D8F"/>
    <w:rsid w:val="00407EC6"/>
    <w:rsid w:val="00410409"/>
    <w:rsid w:val="00412CED"/>
    <w:rsid w:val="00414C0B"/>
    <w:rsid w:val="00416751"/>
    <w:rsid w:val="00420F9E"/>
    <w:rsid w:val="00420FA8"/>
    <w:rsid w:val="004213C3"/>
    <w:rsid w:val="0042413C"/>
    <w:rsid w:val="00427139"/>
    <w:rsid w:val="00431A1C"/>
    <w:rsid w:val="004358E9"/>
    <w:rsid w:val="00447F8C"/>
    <w:rsid w:val="004537B3"/>
    <w:rsid w:val="0048050C"/>
    <w:rsid w:val="00487DD5"/>
    <w:rsid w:val="004947A7"/>
    <w:rsid w:val="004A2E02"/>
    <w:rsid w:val="004A46F1"/>
    <w:rsid w:val="004B793F"/>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63482"/>
    <w:rsid w:val="00590902"/>
    <w:rsid w:val="00592A14"/>
    <w:rsid w:val="00596FD7"/>
    <w:rsid w:val="005A3625"/>
    <w:rsid w:val="005B4738"/>
    <w:rsid w:val="005C212D"/>
    <w:rsid w:val="005C3CB0"/>
    <w:rsid w:val="005E1140"/>
    <w:rsid w:val="005F3214"/>
    <w:rsid w:val="00612231"/>
    <w:rsid w:val="00635EB1"/>
    <w:rsid w:val="006473BB"/>
    <w:rsid w:val="00647B9C"/>
    <w:rsid w:val="0066495D"/>
    <w:rsid w:val="00681290"/>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47609"/>
    <w:rsid w:val="007543AC"/>
    <w:rsid w:val="00756537"/>
    <w:rsid w:val="00756A2B"/>
    <w:rsid w:val="007A0EBC"/>
    <w:rsid w:val="007B27F1"/>
    <w:rsid w:val="007B4ABB"/>
    <w:rsid w:val="007B6904"/>
    <w:rsid w:val="007B7628"/>
    <w:rsid w:val="007C36E4"/>
    <w:rsid w:val="007D1EF3"/>
    <w:rsid w:val="007D269B"/>
    <w:rsid w:val="00816782"/>
    <w:rsid w:val="0082141D"/>
    <w:rsid w:val="00827F24"/>
    <w:rsid w:val="00845445"/>
    <w:rsid w:val="00855DA8"/>
    <w:rsid w:val="00886399"/>
    <w:rsid w:val="008974CA"/>
    <w:rsid w:val="008B11B7"/>
    <w:rsid w:val="008B5FCA"/>
    <w:rsid w:val="008E06FA"/>
    <w:rsid w:val="008E1F7F"/>
    <w:rsid w:val="008F00E8"/>
    <w:rsid w:val="008F6C16"/>
    <w:rsid w:val="00906142"/>
    <w:rsid w:val="00931B93"/>
    <w:rsid w:val="00933EED"/>
    <w:rsid w:val="00940CDE"/>
    <w:rsid w:val="00962C46"/>
    <w:rsid w:val="0097742A"/>
    <w:rsid w:val="0097744F"/>
    <w:rsid w:val="00980EED"/>
    <w:rsid w:val="00991670"/>
    <w:rsid w:val="009941BD"/>
    <w:rsid w:val="009B160C"/>
    <w:rsid w:val="009B2DC5"/>
    <w:rsid w:val="009B6C8C"/>
    <w:rsid w:val="009C04CD"/>
    <w:rsid w:val="009C0FCA"/>
    <w:rsid w:val="009C3963"/>
    <w:rsid w:val="009C537C"/>
    <w:rsid w:val="009D323C"/>
    <w:rsid w:val="009D68BE"/>
    <w:rsid w:val="009E120D"/>
    <w:rsid w:val="009E70F4"/>
    <w:rsid w:val="00A06171"/>
    <w:rsid w:val="00A176DB"/>
    <w:rsid w:val="00A26357"/>
    <w:rsid w:val="00A35E2D"/>
    <w:rsid w:val="00A54CB3"/>
    <w:rsid w:val="00A74B8A"/>
    <w:rsid w:val="00A85F61"/>
    <w:rsid w:val="00A86DB3"/>
    <w:rsid w:val="00A87AA8"/>
    <w:rsid w:val="00A92E4F"/>
    <w:rsid w:val="00AA25DC"/>
    <w:rsid w:val="00AA6AC1"/>
    <w:rsid w:val="00AB50DD"/>
    <w:rsid w:val="00AC7025"/>
    <w:rsid w:val="00AD196F"/>
    <w:rsid w:val="00AD3CCE"/>
    <w:rsid w:val="00B07A46"/>
    <w:rsid w:val="00B07DCE"/>
    <w:rsid w:val="00B12123"/>
    <w:rsid w:val="00B21043"/>
    <w:rsid w:val="00B42EA0"/>
    <w:rsid w:val="00B44CAC"/>
    <w:rsid w:val="00B573D6"/>
    <w:rsid w:val="00B73E65"/>
    <w:rsid w:val="00B81455"/>
    <w:rsid w:val="00B94E38"/>
    <w:rsid w:val="00B9627F"/>
    <w:rsid w:val="00BA22E0"/>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71C3C"/>
    <w:rsid w:val="00C76998"/>
    <w:rsid w:val="00C93564"/>
    <w:rsid w:val="00C93E83"/>
    <w:rsid w:val="00CA041B"/>
    <w:rsid w:val="00CA593D"/>
    <w:rsid w:val="00CC5D11"/>
    <w:rsid w:val="00CD1505"/>
    <w:rsid w:val="00CF5D71"/>
    <w:rsid w:val="00D21780"/>
    <w:rsid w:val="00D23346"/>
    <w:rsid w:val="00D243B8"/>
    <w:rsid w:val="00D34794"/>
    <w:rsid w:val="00D35C56"/>
    <w:rsid w:val="00D4502D"/>
    <w:rsid w:val="00D530CE"/>
    <w:rsid w:val="00D53E3C"/>
    <w:rsid w:val="00D77950"/>
    <w:rsid w:val="00DC3762"/>
    <w:rsid w:val="00DC5C47"/>
    <w:rsid w:val="00DD616A"/>
    <w:rsid w:val="00DE0247"/>
    <w:rsid w:val="00DE0465"/>
    <w:rsid w:val="00DE4E25"/>
    <w:rsid w:val="00E049ED"/>
    <w:rsid w:val="00E34E6D"/>
    <w:rsid w:val="00E37CD4"/>
    <w:rsid w:val="00E57848"/>
    <w:rsid w:val="00E608F7"/>
    <w:rsid w:val="00E73459"/>
    <w:rsid w:val="00E750BF"/>
    <w:rsid w:val="00E90708"/>
    <w:rsid w:val="00EA7382"/>
    <w:rsid w:val="00ED21C3"/>
    <w:rsid w:val="00ED388C"/>
    <w:rsid w:val="00ED46C3"/>
    <w:rsid w:val="00ED6D78"/>
    <w:rsid w:val="00EF02B0"/>
    <w:rsid w:val="00EF13A4"/>
    <w:rsid w:val="00F01B61"/>
    <w:rsid w:val="00F11338"/>
    <w:rsid w:val="00F13AE5"/>
    <w:rsid w:val="00F149FD"/>
    <w:rsid w:val="00F14EC1"/>
    <w:rsid w:val="00F4262F"/>
    <w:rsid w:val="00F4298C"/>
    <w:rsid w:val="00F53719"/>
    <w:rsid w:val="00F57291"/>
    <w:rsid w:val="00F66CB0"/>
    <w:rsid w:val="00F76C89"/>
    <w:rsid w:val="00F9158A"/>
    <w:rsid w:val="00FA29B8"/>
    <w:rsid w:val="00FC7BEB"/>
    <w:rsid w:val="00FC7CBC"/>
    <w:rsid w:val="00FD3D92"/>
    <w:rsid w:val="00FE38D7"/>
    <w:rsid w:val="00FF1511"/>
    <w:rsid w:val="00FF56DD"/>
    <w:rsid w:val="01E66F8E"/>
    <w:rsid w:val="0EC034B3"/>
    <w:rsid w:val="1596C7FD"/>
    <w:rsid w:val="15F16DD6"/>
    <w:rsid w:val="16710BB8"/>
    <w:rsid w:val="16FF3A9A"/>
    <w:rsid w:val="2504DE59"/>
    <w:rsid w:val="2B8441A2"/>
    <w:rsid w:val="2C9B573B"/>
    <w:rsid w:val="3B581740"/>
    <w:rsid w:val="4A20DC57"/>
    <w:rsid w:val="548E0172"/>
    <w:rsid w:val="57F311D9"/>
    <w:rsid w:val="58F52B0D"/>
    <w:rsid w:val="5A8454B1"/>
    <w:rsid w:val="5CA021B8"/>
    <w:rsid w:val="5E25933D"/>
    <w:rsid w:val="5E5BF6E2"/>
    <w:rsid w:val="6424997E"/>
    <w:rsid w:val="696A7491"/>
    <w:rsid w:val="75036DDA"/>
    <w:rsid w:val="7BDAB23E"/>
    <w:rsid w:val="7EE67B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ListBullet"/>
    <w:next w:val="Normal"/>
    <w:link w:val="Heading3Char"/>
    <w:uiPriority w:val="9"/>
    <w:unhideWhenUsed/>
    <w:qFormat/>
    <w:rsid w:val="003258EC"/>
    <w:pPr>
      <w:numPr>
        <w:numId w:val="0"/>
      </w:numPr>
      <w:ind w:left="426" w:hanging="426"/>
      <w:outlineLvl w:val="2"/>
    </w:pPr>
    <w:rPr>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3258EC"/>
    <w:rPr>
      <w:rFonts w:ascii="Calibri" w:eastAsia="Times New Roman" w:hAnsi="Calibri" w:cs="Times New Roman"/>
      <w:bCs/>
      <w:i/>
      <w:iCs/>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9E1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88793">
      <w:bodyDiv w:val="1"/>
      <w:marLeft w:val="0"/>
      <w:marRight w:val="0"/>
      <w:marTop w:val="0"/>
      <w:marBottom w:val="0"/>
      <w:divBdr>
        <w:top w:val="none" w:sz="0" w:space="0" w:color="auto"/>
        <w:left w:val="none" w:sz="0" w:space="0" w:color="auto"/>
        <w:bottom w:val="none" w:sz="0" w:space="0" w:color="auto"/>
        <w:right w:val="none" w:sz="0" w:space="0" w:color="auto"/>
      </w:divBdr>
    </w:div>
    <w:div w:id="124278919">
      <w:bodyDiv w:val="1"/>
      <w:marLeft w:val="0"/>
      <w:marRight w:val="0"/>
      <w:marTop w:val="0"/>
      <w:marBottom w:val="0"/>
      <w:divBdr>
        <w:top w:val="none" w:sz="0" w:space="0" w:color="auto"/>
        <w:left w:val="none" w:sz="0" w:space="0" w:color="auto"/>
        <w:bottom w:val="none" w:sz="0" w:space="0" w:color="auto"/>
        <w:right w:val="none" w:sz="0" w:space="0" w:color="auto"/>
      </w:divBdr>
    </w:div>
    <w:div w:id="154957699">
      <w:bodyDiv w:val="1"/>
      <w:marLeft w:val="0"/>
      <w:marRight w:val="0"/>
      <w:marTop w:val="0"/>
      <w:marBottom w:val="0"/>
      <w:divBdr>
        <w:top w:val="none" w:sz="0" w:space="0" w:color="auto"/>
        <w:left w:val="none" w:sz="0" w:space="0" w:color="auto"/>
        <w:bottom w:val="none" w:sz="0" w:space="0" w:color="auto"/>
        <w:right w:val="none" w:sz="0" w:space="0" w:color="auto"/>
      </w:divBdr>
    </w:div>
    <w:div w:id="165632074">
      <w:bodyDiv w:val="1"/>
      <w:marLeft w:val="0"/>
      <w:marRight w:val="0"/>
      <w:marTop w:val="0"/>
      <w:marBottom w:val="0"/>
      <w:divBdr>
        <w:top w:val="none" w:sz="0" w:space="0" w:color="auto"/>
        <w:left w:val="none" w:sz="0" w:space="0" w:color="auto"/>
        <w:bottom w:val="none" w:sz="0" w:space="0" w:color="auto"/>
        <w:right w:val="none" w:sz="0" w:space="0" w:color="auto"/>
      </w:divBdr>
    </w:div>
    <w:div w:id="193617605">
      <w:bodyDiv w:val="1"/>
      <w:marLeft w:val="0"/>
      <w:marRight w:val="0"/>
      <w:marTop w:val="0"/>
      <w:marBottom w:val="0"/>
      <w:divBdr>
        <w:top w:val="none" w:sz="0" w:space="0" w:color="auto"/>
        <w:left w:val="none" w:sz="0" w:space="0" w:color="auto"/>
        <w:bottom w:val="none" w:sz="0" w:space="0" w:color="auto"/>
        <w:right w:val="none" w:sz="0" w:space="0" w:color="auto"/>
      </w:divBdr>
    </w:div>
    <w:div w:id="254438808">
      <w:bodyDiv w:val="1"/>
      <w:marLeft w:val="0"/>
      <w:marRight w:val="0"/>
      <w:marTop w:val="0"/>
      <w:marBottom w:val="0"/>
      <w:divBdr>
        <w:top w:val="none" w:sz="0" w:space="0" w:color="auto"/>
        <w:left w:val="none" w:sz="0" w:space="0" w:color="auto"/>
        <w:bottom w:val="none" w:sz="0" w:space="0" w:color="auto"/>
        <w:right w:val="none" w:sz="0" w:space="0" w:color="auto"/>
      </w:divBdr>
    </w:div>
    <w:div w:id="285890908">
      <w:bodyDiv w:val="1"/>
      <w:marLeft w:val="0"/>
      <w:marRight w:val="0"/>
      <w:marTop w:val="0"/>
      <w:marBottom w:val="0"/>
      <w:divBdr>
        <w:top w:val="none" w:sz="0" w:space="0" w:color="auto"/>
        <w:left w:val="none" w:sz="0" w:space="0" w:color="auto"/>
        <w:bottom w:val="none" w:sz="0" w:space="0" w:color="auto"/>
        <w:right w:val="none" w:sz="0" w:space="0" w:color="auto"/>
      </w:divBdr>
    </w:div>
    <w:div w:id="488056944">
      <w:bodyDiv w:val="1"/>
      <w:marLeft w:val="0"/>
      <w:marRight w:val="0"/>
      <w:marTop w:val="0"/>
      <w:marBottom w:val="0"/>
      <w:divBdr>
        <w:top w:val="none" w:sz="0" w:space="0" w:color="auto"/>
        <w:left w:val="none" w:sz="0" w:space="0" w:color="auto"/>
        <w:bottom w:val="none" w:sz="0" w:space="0" w:color="auto"/>
        <w:right w:val="none" w:sz="0" w:space="0" w:color="auto"/>
      </w:divBdr>
    </w:div>
    <w:div w:id="99013878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178160812">
      <w:bodyDiv w:val="1"/>
      <w:marLeft w:val="0"/>
      <w:marRight w:val="0"/>
      <w:marTop w:val="0"/>
      <w:marBottom w:val="0"/>
      <w:divBdr>
        <w:top w:val="none" w:sz="0" w:space="0" w:color="auto"/>
        <w:left w:val="none" w:sz="0" w:space="0" w:color="auto"/>
        <w:bottom w:val="none" w:sz="0" w:space="0" w:color="auto"/>
        <w:right w:val="none" w:sz="0" w:space="0" w:color="auto"/>
      </w:divBdr>
    </w:div>
    <w:div w:id="1216548433">
      <w:bodyDiv w:val="1"/>
      <w:marLeft w:val="0"/>
      <w:marRight w:val="0"/>
      <w:marTop w:val="0"/>
      <w:marBottom w:val="0"/>
      <w:divBdr>
        <w:top w:val="none" w:sz="0" w:space="0" w:color="auto"/>
        <w:left w:val="none" w:sz="0" w:space="0" w:color="auto"/>
        <w:bottom w:val="none" w:sz="0" w:space="0" w:color="auto"/>
        <w:right w:val="none" w:sz="0" w:space="0" w:color="auto"/>
      </w:divBdr>
    </w:div>
    <w:div w:id="1225990238">
      <w:bodyDiv w:val="1"/>
      <w:marLeft w:val="0"/>
      <w:marRight w:val="0"/>
      <w:marTop w:val="0"/>
      <w:marBottom w:val="0"/>
      <w:divBdr>
        <w:top w:val="none" w:sz="0" w:space="0" w:color="auto"/>
        <w:left w:val="none" w:sz="0" w:space="0" w:color="auto"/>
        <w:bottom w:val="none" w:sz="0" w:space="0" w:color="auto"/>
        <w:right w:val="none" w:sz="0" w:space="0" w:color="auto"/>
      </w:divBdr>
    </w:div>
    <w:div w:id="1385637841">
      <w:bodyDiv w:val="1"/>
      <w:marLeft w:val="0"/>
      <w:marRight w:val="0"/>
      <w:marTop w:val="0"/>
      <w:marBottom w:val="0"/>
      <w:divBdr>
        <w:top w:val="none" w:sz="0" w:space="0" w:color="auto"/>
        <w:left w:val="none" w:sz="0" w:space="0" w:color="auto"/>
        <w:bottom w:val="none" w:sz="0" w:space="0" w:color="auto"/>
        <w:right w:val="none" w:sz="0" w:space="0" w:color="auto"/>
      </w:divBdr>
    </w:div>
    <w:div w:id="1407653670">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544514891">
      <w:bodyDiv w:val="1"/>
      <w:marLeft w:val="0"/>
      <w:marRight w:val="0"/>
      <w:marTop w:val="0"/>
      <w:marBottom w:val="0"/>
      <w:divBdr>
        <w:top w:val="none" w:sz="0" w:space="0" w:color="auto"/>
        <w:left w:val="none" w:sz="0" w:space="0" w:color="auto"/>
        <w:bottom w:val="none" w:sz="0" w:space="0" w:color="auto"/>
        <w:right w:val="none" w:sz="0" w:space="0" w:color="auto"/>
      </w:divBdr>
    </w:div>
    <w:div w:id="1609196056">
      <w:bodyDiv w:val="1"/>
      <w:marLeft w:val="0"/>
      <w:marRight w:val="0"/>
      <w:marTop w:val="0"/>
      <w:marBottom w:val="0"/>
      <w:divBdr>
        <w:top w:val="none" w:sz="0" w:space="0" w:color="auto"/>
        <w:left w:val="none" w:sz="0" w:space="0" w:color="auto"/>
        <w:bottom w:val="none" w:sz="0" w:space="0" w:color="auto"/>
        <w:right w:val="none" w:sz="0" w:space="0" w:color="auto"/>
      </w:divBdr>
    </w:div>
    <w:div w:id="1615134803">
      <w:bodyDiv w:val="1"/>
      <w:marLeft w:val="0"/>
      <w:marRight w:val="0"/>
      <w:marTop w:val="0"/>
      <w:marBottom w:val="0"/>
      <w:divBdr>
        <w:top w:val="none" w:sz="0" w:space="0" w:color="auto"/>
        <w:left w:val="none" w:sz="0" w:space="0" w:color="auto"/>
        <w:bottom w:val="none" w:sz="0" w:space="0" w:color="auto"/>
        <w:right w:val="none" w:sz="0" w:space="0" w:color="auto"/>
      </w:divBdr>
    </w:div>
    <w:div w:id="1925646751">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13142820">
      <w:bodyDiv w:val="1"/>
      <w:marLeft w:val="0"/>
      <w:marRight w:val="0"/>
      <w:marTop w:val="0"/>
      <w:marBottom w:val="0"/>
      <w:divBdr>
        <w:top w:val="none" w:sz="0" w:space="0" w:color="auto"/>
        <w:left w:val="none" w:sz="0" w:space="0" w:color="auto"/>
        <w:bottom w:val="none" w:sz="0" w:space="0" w:color="auto"/>
        <w:right w:val="none" w:sz="0" w:space="0" w:color="auto"/>
      </w:divBdr>
    </w:div>
    <w:div w:id="2128037017">
      <w:bodyDiv w:val="1"/>
      <w:marLeft w:val="0"/>
      <w:marRight w:val="0"/>
      <w:marTop w:val="0"/>
      <w:marBottom w:val="0"/>
      <w:divBdr>
        <w:top w:val="none" w:sz="0" w:space="0" w:color="auto"/>
        <w:left w:val="none" w:sz="0" w:space="0" w:color="auto"/>
        <w:bottom w:val="none" w:sz="0" w:space="0" w:color="auto"/>
        <w:right w:val="none" w:sz="0" w:space="0" w:color="auto"/>
      </w:divBdr>
    </w:div>
    <w:div w:id="213903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DASL@ac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CHS21/342</Decision_x0020_Number>
    <Description0 xmlns="690b2128-8961-48af-a473-22c34a9accba">The purpose of this procedure provides Canberra Health Services (CHS) staff with information pertaining to the Drug and Alcohol Sentencing List (DASL) program including eligibility, case management and urinalysis. </Description0>
    <Display_x0020_on_x0020_Internet xmlns="690b2128-8961-48af-a473-22c34a9accba">true</Display_x0020_on_x0020_Internet>
    <Review_x0020_Date xmlns="690b2128-8961-48af-a473-22c34a9accba">2025-06-30T14:00:00+00:00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CHS20/192 Drug and Alcohol Sentencing List - Case Management
CHS20/104 Drug and Alcohol Sentencing List Court Urinalysis Suite
CHS 20/193 Drug and Alcohol Sentencing List – Eligibility and Suitability Assessment
</Replaces_x003a_>
    <Progress xmlns="690b2128-8961-48af-a473-22c34a9accba" xsi:nil="true"/>
    <TaxCatchAll xmlns="c0239a80-7f07-4ed7-82c3-24ad7d76ada5" xsi:nil="true"/>
    <Key_x0020_Words xmlns="690b2128-8961-48af-a473-22c34a9accba">Drug and Alcohol Sentencing List Urinalysis Suite, DASL, Urinalysis Testing, Urinalysis, Alcohol, Drug, Sentencing, Drugs, Court, BAT, Eligibility Assessment, Suitability Assessment, Screening Assessment, Case Management</Key_x0020_Words>
    <Type_x0020_of_x0020_Document xmlns="690b2128-8961-48af-a473-22c34a9accba">Procedure</Type_x0020_of_x0020_Document>
    <Version_x0020_Number xmlns="690b2128-8961-48af-a473-22c34a9accba" xsi:nil="true"/>
    <Approval_x0020_Date xmlns="690b2128-8961-48af-a473-22c34a9accba">2021-06-01T14:00:00+00:00</Approval_x0020_Date>
    <Notes0 xmlns="690b2128-8961-48af-a473-22c34a9accba" xsi:nil="true"/>
    <New_x0020_Applies_x0020_To xmlns="690b2128-8961-48af-a473-22c34a9accba">Canberra Health Services</New_x0020_Applies_x0020_To>
    <New_x0020_Owner xmlns="690b2128-8961-48af-a473-22c34a9accba">Mental Health, Justice Health and Alcohol and Drug Services (MHJHADS) - Alcohol and Drug Services</New_x0020_Owner>
    <Status xmlns="690b2128-8961-48af-a473-22c34a9accba">Approved</Statu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5F4FA9C6-6543-4C71-9176-236F806AE102}"/>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4F982893-16C6-489D-9F34-BC3698EC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6923</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and Alcohol Sentencing List (DASL)</dc:title>
  <dc:subject>23;#;#24;#;#25;#</dc:subject>
  <dc:creator>Kerryn Hunter</dc:creator>
  <cp:lastModifiedBy>Wijekoon, Tharu (Health)</cp:lastModifiedBy>
  <cp:revision>8</cp:revision>
  <cp:lastPrinted>2015-01-20T22:40:00Z</cp:lastPrinted>
  <dcterms:created xsi:type="dcterms:W3CDTF">2021-06-04T03:47:00Z</dcterms:created>
  <dcterms:modified xsi:type="dcterms:W3CDTF">2021-06-04T05:19:00Z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