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7385"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507183C4" w14:textId="22F02439" w:rsidR="00197F2E" w:rsidRDefault="0057473B" w:rsidP="00197F2E">
      <w:pPr>
        <w:pStyle w:val="Heading2"/>
      </w:pPr>
      <w:r>
        <w:t>Eating Disorders Residential Treatment Centre</w:t>
      </w:r>
      <w:r w:rsidR="00197F2E">
        <w:rPr>
          <w:rStyle w:val="Heading2Char"/>
        </w:rPr>
        <w:t xml:space="preserve"> </w:t>
      </w:r>
    </w:p>
    <w:p w14:paraId="2DD8D6DD" w14:textId="62BD55D3" w:rsidR="00CA4FDE" w:rsidRPr="00C34A10" w:rsidRDefault="00E31596" w:rsidP="00C34A10">
      <w:pPr>
        <w:pStyle w:val="BodyCopy"/>
        <w:spacing w:before="0" w:line="240" w:lineRule="auto"/>
        <w:rPr>
          <w:color w:val="575757" w:themeColor="text2"/>
        </w:rPr>
      </w:pPr>
      <w:r w:rsidRPr="00197F2E">
        <w:t>CHS</w:t>
      </w:r>
      <w:r w:rsidR="0033513A">
        <w:t>2</w:t>
      </w:r>
      <w:bookmarkStart w:id="0" w:name="_Hlk157074578"/>
      <w:r w:rsidR="00B909C1">
        <w:t>5/215</w:t>
      </w:r>
    </w:p>
    <w:sdt>
      <w:sdtPr>
        <w:rPr>
          <w:sz w:val="32"/>
          <w:szCs w:val="32"/>
        </w:rPr>
        <w:id w:val="-1206019646"/>
        <w:docPartObj>
          <w:docPartGallery w:val="Table of Contents"/>
          <w:docPartUnique/>
        </w:docPartObj>
      </w:sdtPr>
      <w:sdtEndPr>
        <w:rPr>
          <w:noProof/>
        </w:rPr>
      </w:sdtEndPr>
      <w:sdtContent>
        <w:p w14:paraId="72B79BE6" w14:textId="77777777" w:rsidR="00A731B8" w:rsidRPr="000E7683" w:rsidRDefault="00A731B8">
          <w:pPr>
            <w:pStyle w:val="TOCHeading"/>
            <w:rPr>
              <w:rStyle w:val="Heading3Char"/>
              <w:b/>
              <w:bCs w:val="0"/>
            </w:rPr>
          </w:pPr>
          <w:r w:rsidRPr="007B1A7B">
            <w:rPr>
              <w:rStyle w:val="Heading3Char"/>
              <w:b/>
              <w:bCs w:val="0"/>
            </w:rPr>
            <w:t>Contents</w:t>
          </w:r>
        </w:p>
        <w:p w14:paraId="1BB46131" w14:textId="61E7CEAE" w:rsidR="00E120F2"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01246928" w:history="1">
            <w:r w:rsidR="00E120F2" w:rsidRPr="0096162D">
              <w:rPr>
                <w:rStyle w:val="Hyperlink"/>
              </w:rPr>
              <w:t>Purpose</w:t>
            </w:r>
            <w:r w:rsidR="00E120F2">
              <w:rPr>
                <w:webHidden/>
              </w:rPr>
              <w:tab/>
            </w:r>
            <w:r w:rsidR="00E120F2">
              <w:rPr>
                <w:webHidden/>
              </w:rPr>
              <w:fldChar w:fldCharType="begin"/>
            </w:r>
            <w:r w:rsidR="00E120F2">
              <w:rPr>
                <w:webHidden/>
              </w:rPr>
              <w:instrText xml:space="preserve"> PAGEREF _Toc201246928 \h </w:instrText>
            </w:r>
            <w:r w:rsidR="00E120F2">
              <w:rPr>
                <w:webHidden/>
              </w:rPr>
            </w:r>
            <w:r w:rsidR="00E120F2">
              <w:rPr>
                <w:webHidden/>
              </w:rPr>
              <w:fldChar w:fldCharType="separate"/>
            </w:r>
            <w:r w:rsidR="00E120F2">
              <w:rPr>
                <w:webHidden/>
              </w:rPr>
              <w:t>2</w:t>
            </w:r>
            <w:r w:rsidR="00E120F2">
              <w:rPr>
                <w:webHidden/>
              </w:rPr>
              <w:fldChar w:fldCharType="end"/>
            </w:r>
          </w:hyperlink>
        </w:p>
        <w:p w14:paraId="72015ED4" w14:textId="4E722DF9" w:rsidR="00E120F2" w:rsidRDefault="00E120F2">
          <w:pPr>
            <w:pStyle w:val="TOC1"/>
            <w:rPr>
              <w:rFonts w:asciiTheme="minorHAnsi" w:eastAsiaTheme="minorEastAsia" w:hAnsiTheme="minorHAnsi" w:cstheme="minorBidi"/>
              <w:color w:val="auto"/>
              <w:kern w:val="2"/>
              <w14:ligatures w14:val="standardContextual"/>
            </w:rPr>
          </w:pPr>
          <w:hyperlink w:anchor="_Toc201246929" w:history="1">
            <w:r w:rsidRPr="0096162D">
              <w:rPr>
                <w:rStyle w:val="Hyperlink"/>
              </w:rPr>
              <w:t>Scope</w:t>
            </w:r>
            <w:r>
              <w:rPr>
                <w:webHidden/>
              </w:rPr>
              <w:tab/>
            </w:r>
            <w:r>
              <w:rPr>
                <w:webHidden/>
              </w:rPr>
              <w:fldChar w:fldCharType="begin"/>
            </w:r>
            <w:r>
              <w:rPr>
                <w:webHidden/>
              </w:rPr>
              <w:instrText xml:space="preserve"> PAGEREF _Toc201246929 \h </w:instrText>
            </w:r>
            <w:r>
              <w:rPr>
                <w:webHidden/>
              </w:rPr>
            </w:r>
            <w:r>
              <w:rPr>
                <w:webHidden/>
              </w:rPr>
              <w:fldChar w:fldCharType="separate"/>
            </w:r>
            <w:r>
              <w:rPr>
                <w:webHidden/>
              </w:rPr>
              <w:t>2</w:t>
            </w:r>
            <w:r>
              <w:rPr>
                <w:webHidden/>
              </w:rPr>
              <w:fldChar w:fldCharType="end"/>
            </w:r>
          </w:hyperlink>
        </w:p>
        <w:p w14:paraId="399FD68A" w14:textId="2DD7E4BE" w:rsidR="00E120F2" w:rsidRDefault="00E120F2">
          <w:pPr>
            <w:pStyle w:val="TOC1"/>
            <w:rPr>
              <w:rFonts w:asciiTheme="minorHAnsi" w:eastAsiaTheme="minorEastAsia" w:hAnsiTheme="minorHAnsi" w:cstheme="minorBidi"/>
              <w:color w:val="auto"/>
              <w:kern w:val="2"/>
              <w14:ligatures w14:val="standardContextual"/>
            </w:rPr>
          </w:pPr>
          <w:hyperlink w:anchor="_Toc201246930" w:history="1">
            <w:r w:rsidRPr="0096162D">
              <w:rPr>
                <w:rStyle w:val="Hyperlink"/>
              </w:rPr>
              <w:t>Section 1 - Introduction</w:t>
            </w:r>
            <w:r>
              <w:rPr>
                <w:webHidden/>
              </w:rPr>
              <w:tab/>
            </w:r>
            <w:r>
              <w:rPr>
                <w:webHidden/>
              </w:rPr>
              <w:fldChar w:fldCharType="begin"/>
            </w:r>
            <w:r>
              <w:rPr>
                <w:webHidden/>
              </w:rPr>
              <w:instrText xml:space="preserve"> PAGEREF _Toc201246930 \h </w:instrText>
            </w:r>
            <w:r>
              <w:rPr>
                <w:webHidden/>
              </w:rPr>
            </w:r>
            <w:r>
              <w:rPr>
                <w:webHidden/>
              </w:rPr>
              <w:fldChar w:fldCharType="separate"/>
            </w:r>
            <w:r>
              <w:rPr>
                <w:webHidden/>
              </w:rPr>
              <w:t>2</w:t>
            </w:r>
            <w:r>
              <w:rPr>
                <w:webHidden/>
              </w:rPr>
              <w:fldChar w:fldCharType="end"/>
            </w:r>
          </w:hyperlink>
        </w:p>
        <w:p w14:paraId="43F638C9" w14:textId="60F04645" w:rsidR="00E120F2" w:rsidRDefault="00E120F2">
          <w:pPr>
            <w:pStyle w:val="TOC1"/>
            <w:rPr>
              <w:rFonts w:asciiTheme="minorHAnsi" w:eastAsiaTheme="minorEastAsia" w:hAnsiTheme="minorHAnsi" w:cstheme="minorBidi"/>
              <w:color w:val="auto"/>
              <w:kern w:val="2"/>
              <w14:ligatures w14:val="standardContextual"/>
            </w:rPr>
          </w:pPr>
          <w:hyperlink w:anchor="_Toc201246931" w:history="1">
            <w:r w:rsidRPr="0096162D">
              <w:rPr>
                <w:rStyle w:val="Hyperlink"/>
              </w:rPr>
              <w:t>Section 2 – Mental Health Act 2015 provisions</w:t>
            </w:r>
            <w:r>
              <w:rPr>
                <w:webHidden/>
              </w:rPr>
              <w:tab/>
            </w:r>
            <w:r>
              <w:rPr>
                <w:webHidden/>
              </w:rPr>
              <w:fldChar w:fldCharType="begin"/>
            </w:r>
            <w:r>
              <w:rPr>
                <w:webHidden/>
              </w:rPr>
              <w:instrText xml:space="preserve"> PAGEREF _Toc201246931 \h </w:instrText>
            </w:r>
            <w:r>
              <w:rPr>
                <w:webHidden/>
              </w:rPr>
            </w:r>
            <w:r>
              <w:rPr>
                <w:webHidden/>
              </w:rPr>
              <w:fldChar w:fldCharType="separate"/>
            </w:r>
            <w:r>
              <w:rPr>
                <w:webHidden/>
              </w:rPr>
              <w:t>4</w:t>
            </w:r>
            <w:r>
              <w:rPr>
                <w:webHidden/>
              </w:rPr>
              <w:fldChar w:fldCharType="end"/>
            </w:r>
          </w:hyperlink>
        </w:p>
        <w:p w14:paraId="57ED49E4" w14:textId="6A95DC72" w:rsidR="00E120F2" w:rsidRDefault="00E120F2">
          <w:pPr>
            <w:pStyle w:val="TOC1"/>
            <w:rPr>
              <w:rFonts w:asciiTheme="minorHAnsi" w:eastAsiaTheme="minorEastAsia" w:hAnsiTheme="minorHAnsi" w:cstheme="minorBidi"/>
              <w:color w:val="auto"/>
              <w:kern w:val="2"/>
              <w14:ligatures w14:val="standardContextual"/>
            </w:rPr>
          </w:pPr>
          <w:hyperlink w:anchor="_Toc201246932" w:history="1">
            <w:r w:rsidRPr="0096162D">
              <w:rPr>
                <w:rStyle w:val="Hyperlink"/>
              </w:rPr>
              <w:t>Section 3- Referral and Preadmission assessment</w:t>
            </w:r>
            <w:r>
              <w:rPr>
                <w:webHidden/>
              </w:rPr>
              <w:tab/>
            </w:r>
            <w:r>
              <w:rPr>
                <w:webHidden/>
              </w:rPr>
              <w:fldChar w:fldCharType="begin"/>
            </w:r>
            <w:r>
              <w:rPr>
                <w:webHidden/>
              </w:rPr>
              <w:instrText xml:space="preserve"> PAGEREF _Toc201246932 \h </w:instrText>
            </w:r>
            <w:r>
              <w:rPr>
                <w:webHidden/>
              </w:rPr>
            </w:r>
            <w:r>
              <w:rPr>
                <w:webHidden/>
              </w:rPr>
              <w:fldChar w:fldCharType="separate"/>
            </w:r>
            <w:r>
              <w:rPr>
                <w:webHidden/>
              </w:rPr>
              <w:t>5</w:t>
            </w:r>
            <w:r>
              <w:rPr>
                <w:webHidden/>
              </w:rPr>
              <w:fldChar w:fldCharType="end"/>
            </w:r>
          </w:hyperlink>
        </w:p>
        <w:p w14:paraId="4538859F" w14:textId="74CF53E7" w:rsidR="00E120F2" w:rsidRDefault="00E120F2">
          <w:pPr>
            <w:pStyle w:val="TOC1"/>
            <w:rPr>
              <w:rFonts w:asciiTheme="minorHAnsi" w:eastAsiaTheme="minorEastAsia" w:hAnsiTheme="minorHAnsi" w:cstheme="minorBidi"/>
              <w:color w:val="auto"/>
              <w:kern w:val="2"/>
              <w14:ligatures w14:val="standardContextual"/>
            </w:rPr>
          </w:pPr>
          <w:hyperlink w:anchor="_Toc201246933" w:history="1">
            <w:r w:rsidRPr="0096162D">
              <w:rPr>
                <w:rStyle w:val="Hyperlink"/>
              </w:rPr>
              <w:t>Section 4- Admission</w:t>
            </w:r>
            <w:r>
              <w:rPr>
                <w:webHidden/>
              </w:rPr>
              <w:tab/>
            </w:r>
            <w:r>
              <w:rPr>
                <w:webHidden/>
              </w:rPr>
              <w:fldChar w:fldCharType="begin"/>
            </w:r>
            <w:r>
              <w:rPr>
                <w:webHidden/>
              </w:rPr>
              <w:instrText xml:space="preserve"> PAGEREF _Toc201246933 \h </w:instrText>
            </w:r>
            <w:r>
              <w:rPr>
                <w:webHidden/>
              </w:rPr>
            </w:r>
            <w:r>
              <w:rPr>
                <w:webHidden/>
              </w:rPr>
              <w:fldChar w:fldCharType="separate"/>
            </w:r>
            <w:r>
              <w:rPr>
                <w:webHidden/>
              </w:rPr>
              <w:t>13</w:t>
            </w:r>
            <w:r>
              <w:rPr>
                <w:webHidden/>
              </w:rPr>
              <w:fldChar w:fldCharType="end"/>
            </w:r>
          </w:hyperlink>
        </w:p>
        <w:p w14:paraId="246AFDC7" w14:textId="7E94D3F3" w:rsidR="00E120F2" w:rsidRDefault="00E120F2">
          <w:pPr>
            <w:pStyle w:val="TOC1"/>
            <w:rPr>
              <w:rFonts w:asciiTheme="minorHAnsi" w:eastAsiaTheme="minorEastAsia" w:hAnsiTheme="minorHAnsi" w:cstheme="minorBidi"/>
              <w:color w:val="auto"/>
              <w:kern w:val="2"/>
              <w14:ligatures w14:val="standardContextual"/>
            </w:rPr>
          </w:pPr>
          <w:hyperlink w:anchor="_Toc201246934" w:history="1">
            <w:r w:rsidRPr="0096162D">
              <w:rPr>
                <w:rStyle w:val="Hyperlink"/>
              </w:rPr>
              <w:t>Section 5- Treatment Program</w:t>
            </w:r>
            <w:r>
              <w:rPr>
                <w:webHidden/>
              </w:rPr>
              <w:tab/>
            </w:r>
            <w:r>
              <w:rPr>
                <w:webHidden/>
              </w:rPr>
              <w:fldChar w:fldCharType="begin"/>
            </w:r>
            <w:r>
              <w:rPr>
                <w:webHidden/>
              </w:rPr>
              <w:instrText xml:space="preserve"> PAGEREF _Toc201246934 \h </w:instrText>
            </w:r>
            <w:r>
              <w:rPr>
                <w:webHidden/>
              </w:rPr>
            </w:r>
            <w:r>
              <w:rPr>
                <w:webHidden/>
              </w:rPr>
              <w:fldChar w:fldCharType="separate"/>
            </w:r>
            <w:r>
              <w:rPr>
                <w:webHidden/>
              </w:rPr>
              <w:t>14</w:t>
            </w:r>
            <w:r>
              <w:rPr>
                <w:webHidden/>
              </w:rPr>
              <w:fldChar w:fldCharType="end"/>
            </w:r>
          </w:hyperlink>
        </w:p>
        <w:p w14:paraId="37968D0A" w14:textId="63A162AA" w:rsidR="00E120F2" w:rsidRDefault="00E120F2">
          <w:pPr>
            <w:pStyle w:val="TOC1"/>
            <w:rPr>
              <w:rFonts w:asciiTheme="minorHAnsi" w:eastAsiaTheme="minorEastAsia" w:hAnsiTheme="minorHAnsi" w:cstheme="minorBidi"/>
              <w:color w:val="auto"/>
              <w:kern w:val="2"/>
              <w14:ligatures w14:val="standardContextual"/>
            </w:rPr>
          </w:pPr>
          <w:hyperlink w:anchor="_Toc201246935" w:history="1">
            <w:r w:rsidRPr="0096162D">
              <w:rPr>
                <w:rStyle w:val="Hyperlink"/>
              </w:rPr>
              <w:t>Section 6- Risk Assessment</w:t>
            </w:r>
            <w:r>
              <w:rPr>
                <w:webHidden/>
              </w:rPr>
              <w:tab/>
            </w:r>
            <w:r>
              <w:rPr>
                <w:webHidden/>
              </w:rPr>
              <w:fldChar w:fldCharType="begin"/>
            </w:r>
            <w:r>
              <w:rPr>
                <w:webHidden/>
              </w:rPr>
              <w:instrText xml:space="preserve"> PAGEREF _Toc201246935 \h </w:instrText>
            </w:r>
            <w:r>
              <w:rPr>
                <w:webHidden/>
              </w:rPr>
            </w:r>
            <w:r>
              <w:rPr>
                <w:webHidden/>
              </w:rPr>
              <w:fldChar w:fldCharType="separate"/>
            </w:r>
            <w:r>
              <w:rPr>
                <w:webHidden/>
              </w:rPr>
              <w:t>23</w:t>
            </w:r>
            <w:r>
              <w:rPr>
                <w:webHidden/>
              </w:rPr>
              <w:fldChar w:fldCharType="end"/>
            </w:r>
          </w:hyperlink>
        </w:p>
        <w:p w14:paraId="25AD98FE" w14:textId="457ACD01" w:rsidR="00E120F2" w:rsidRDefault="00E120F2">
          <w:pPr>
            <w:pStyle w:val="TOC1"/>
            <w:rPr>
              <w:rFonts w:asciiTheme="minorHAnsi" w:eastAsiaTheme="minorEastAsia" w:hAnsiTheme="minorHAnsi" w:cstheme="minorBidi"/>
              <w:color w:val="auto"/>
              <w:kern w:val="2"/>
              <w14:ligatures w14:val="standardContextual"/>
            </w:rPr>
          </w:pPr>
          <w:hyperlink w:anchor="_Toc201246936" w:history="1">
            <w:r w:rsidRPr="0096162D">
              <w:rPr>
                <w:rStyle w:val="Hyperlink"/>
              </w:rPr>
              <w:t>Section 7- Deterioration of mental health or physical health</w:t>
            </w:r>
            <w:r>
              <w:rPr>
                <w:webHidden/>
              </w:rPr>
              <w:tab/>
            </w:r>
            <w:r>
              <w:rPr>
                <w:webHidden/>
              </w:rPr>
              <w:fldChar w:fldCharType="begin"/>
            </w:r>
            <w:r>
              <w:rPr>
                <w:webHidden/>
              </w:rPr>
              <w:instrText xml:space="preserve"> PAGEREF _Toc201246936 \h </w:instrText>
            </w:r>
            <w:r>
              <w:rPr>
                <w:webHidden/>
              </w:rPr>
            </w:r>
            <w:r>
              <w:rPr>
                <w:webHidden/>
              </w:rPr>
              <w:fldChar w:fldCharType="separate"/>
            </w:r>
            <w:r>
              <w:rPr>
                <w:webHidden/>
              </w:rPr>
              <w:t>26</w:t>
            </w:r>
            <w:r>
              <w:rPr>
                <w:webHidden/>
              </w:rPr>
              <w:fldChar w:fldCharType="end"/>
            </w:r>
          </w:hyperlink>
        </w:p>
        <w:p w14:paraId="0FD31261" w14:textId="1F3EC6E5" w:rsidR="00E120F2" w:rsidRDefault="00E120F2">
          <w:pPr>
            <w:pStyle w:val="TOC1"/>
            <w:rPr>
              <w:rFonts w:asciiTheme="minorHAnsi" w:eastAsiaTheme="minorEastAsia" w:hAnsiTheme="minorHAnsi" w:cstheme="minorBidi"/>
              <w:color w:val="auto"/>
              <w:kern w:val="2"/>
              <w14:ligatures w14:val="standardContextual"/>
            </w:rPr>
          </w:pPr>
          <w:hyperlink w:anchor="_Toc201246937" w:history="1">
            <w:r w:rsidRPr="0096162D">
              <w:rPr>
                <w:rStyle w:val="Hyperlink"/>
              </w:rPr>
              <w:t>Section 8- Safety and Security</w:t>
            </w:r>
            <w:r>
              <w:rPr>
                <w:webHidden/>
              </w:rPr>
              <w:tab/>
            </w:r>
            <w:r>
              <w:rPr>
                <w:webHidden/>
              </w:rPr>
              <w:fldChar w:fldCharType="begin"/>
            </w:r>
            <w:r>
              <w:rPr>
                <w:webHidden/>
              </w:rPr>
              <w:instrText xml:space="preserve"> PAGEREF _Toc201246937 \h </w:instrText>
            </w:r>
            <w:r>
              <w:rPr>
                <w:webHidden/>
              </w:rPr>
            </w:r>
            <w:r>
              <w:rPr>
                <w:webHidden/>
              </w:rPr>
              <w:fldChar w:fldCharType="separate"/>
            </w:r>
            <w:r>
              <w:rPr>
                <w:webHidden/>
              </w:rPr>
              <w:t>32</w:t>
            </w:r>
            <w:r>
              <w:rPr>
                <w:webHidden/>
              </w:rPr>
              <w:fldChar w:fldCharType="end"/>
            </w:r>
          </w:hyperlink>
        </w:p>
        <w:p w14:paraId="2F74DF5E" w14:textId="6795940A" w:rsidR="00E120F2" w:rsidRDefault="00E120F2">
          <w:pPr>
            <w:pStyle w:val="TOC1"/>
            <w:rPr>
              <w:rFonts w:asciiTheme="minorHAnsi" w:eastAsiaTheme="minorEastAsia" w:hAnsiTheme="minorHAnsi" w:cstheme="minorBidi"/>
              <w:color w:val="auto"/>
              <w:kern w:val="2"/>
              <w14:ligatures w14:val="standardContextual"/>
            </w:rPr>
          </w:pPr>
          <w:hyperlink w:anchor="_Toc201246938" w:history="1">
            <w:r w:rsidRPr="0096162D">
              <w:rPr>
                <w:rStyle w:val="Hyperlink"/>
              </w:rPr>
              <w:t>Section 9- Electronic devices for consumers</w:t>
            </w:r>
            <w:r>
              <w:rPr>
                <w:webHidden/>
              </w:rPr>
              <w:tab/>
            </w:r>
            <w:r>
              <w:rPr>
                <w:webHidden/>
              </w:rPr>
              <w:fldChar w:fldCharType="begin"/>
            </w:r>
            <w:r>
              <w:rPr>
                <w:webHidden/>
              </w:rPr>
              <w:instrText xml:space="preserve"> PAGEREF _Toc201246938 \h </w:instrText>
            </w:r>
            <w:r>
              <w:rPr>
                <w:webHidden/>
              </w:rPr>
            </w:r>
            <w:r>
              <w:rPr>
                <w:webHidden/>
              </w:rPr>
              <w:fldChar w:fldCharType="separate"/>
            </w:r>
            <w:r>
              <w:rPr>
                <w:webHidden/>
              </w:rPr>
              <w:t>35</w:t>
            </w:r>
            <w:r>
              <w:rPr>
                <w:webHidden/>
              </w:rPr>
              <w:fldChar w:fldCharType="end"/>
            </w:r>
          </w:hyperlink>
        </w:p>
        <w:p w14:paraId="31A9E19B" w14:textId="7456D04A" w:rsidR="00E120F2" w:rsidRDefault="00E120F2">
          <w:pPr>
            <w:pStyle w:val="TOC1"/>
            <w:rPr>
              <w:rFonts w:asciiTheme="minorHAnsi" w:eastAsiaTheme="minorEastAsia" w:hAnsiTheme="minorHAnsi" w:cstheme="minorBidi"/>
              <w:color w:val="auto"/>
              <w:kern w:val="2"/>
              <w14:ligatures w14:val="standardContextual"/>
            </w:rPr>
          </w:pPr>
          <w:hyperlink w:anchor="_Toc201246939" w:history="1">
            <w:r w:rsidRPr="0096162D">
              <w:rPr>
                <w:rStyle w:val="Hyperlink"/>
              </w:rPr>
              <w:t>Section 10- Discharge</w:t>
            </w:r>
            <w:r>
              <w:rPr>
                <w:webHidden/>
              </w:rPr>
              <w:tab/>
            </w:r>
            <w:r>
              <w:rPr>
                <w:webHidden/>
              </w:rPr>
              <w:fldChar w:fldCharType="begin"/>
            </w:r>
            <w:r>
              <w:rPr>
                <w:webHidden/>
              </w:rPr>
              <w:instrText xml:space="preserve"> PAGEREF _Toc201246939 \h </w:instrText>
            </w:r>
            <w:r>
              <w:rPr>
                <w:webHidden/>
              </w:rPr>
            </w:r>
            <w:r>
              <w:rPr>
                <w:webHidden/>
              </w:rPr>
              <w:fldChar w:fldCharType="separate"/>
            </w:r>
            <w:r>
              <w:rPr>
                <w:webHidden/>
              </w:rPr>
              <w:t>36</w:t>
            </w:r>
            <w:r>
              <w:rPr>
                <w:webHidden/>
              </w:rPr>
              <w:fldChar w:fldCharType="end"/>
            </w:r>
          </w:hyperlink>
        </w:p>
        <w:p w14:paraId="5D40C396" w14:textId="33F201E0" w:rsidR="00E120F2" w:rsidRDefault="00E120F2">
          <w:pPr>
            <w:pStyle w:val="TOC1"/>
            <w:rPr>
              <w:rFonts w:asciiTheme="minorHAnsi" w:eastAsiaTheme="minorEastAsia" w:hAnsiTheme="minorHAnsi" w:cstheme="minorBidi"/>
              <w:color w:val="auto"/>
              <w:kern w:val="2"/>
              <w14:ligatures w14:val="standardContextual"/>
            </w:rPr>
          </w:pPr>
          <w:hyperlink w:anchor="_Toc201246940" w:history="1">
            <w:r w:rsidRPr="0096162D">
              <w:rPr>
                <w:rStyle w:val="Hyperlink"/>
              </w:rPr>
              <w:t>Section 11- Partnering with consumers, carers, family, kin and other supports</w:t>
            </w:r>
            <w:r>
              <w:rPr>
                <w:webHidden/>
              </w:rPr>
              <w:tab/>
            </w:r>
            <w:r>
              <w:rPr>
                <w:webHidden/>
              </w:rPr>
              <w:fldChar w:fldCharType="begin"/>
            </w:r>
            <w:r>
              <w:rPr>
                <w:webHidden/>
              </w:rPr>
              <w:instrText xml:space="preserve"> PAGEREF _Toc201246940 \h </w:instrText>
            </w:r>
            <w:r>
              <w:rPr>
                <w:webHidden/>
              </w:rPr>
            </w:r>
            <w:r>
              <w:rPr>
                <w:webHidden/>
              </w:rPr>
              <w:fldChar w:fldCharType="separate"/>
            </w:r>
            <w:r>
              <w:rPr>
                <w:webHidden/>
              </w:rPr>
              <w:t>38</w:t>
            </w:r>
            <w:r>
              <w:rPr>
                <w:webHidden/>
              </w:rPr>
              <w:fldChar w:fldCharType="end"/>
            </w:r>
          </w:hyperlink>
        </w:p>
        <w:p w14:paraId="189C27E3" w14:textId="61B520F3" w:rsidR="00E120F2" w:rsidRDefault="00E120F2">
          <w:pPr>
            <w:pStyle w:val="TOC1"/>
            <w:rPr>
              <w:rFonts w:asciiTheme="minorHAnsi" w:eastAsiaTheme="minorEastAsia" w:hAnsiTheme="minorHAnsi" w:cstheme="minorBidi"/>
              <w:color w:val="auto"/>
              <w:kern w:val="2"/>
              <w14:ligatures w14:val="standardContextual"/>
            </w:rPr>
          </w:pPr>
          <w:hyperlink w:anchor="_Toc201246941" w:history="1">
            <w:r w:rsidRPr="0096162D">
              <w:rPr>
                <w:rStyle w:val="Hyperlink"/>
              </w:rPr>
              <w:t>Section 12- Documentation</w:t>
            </w:r>
            <w:r>
              <w:rPr>
                <w:webHidden/>
              </w:rPr>
              <w:tab/>
            </w:r>
            <w:r>
              <w:rPr>
                <w:webHidden/>
              </w:rPr>
              <w:fldChar w:fldCharType="begin"/>
            </w:r>
            <w:r>
              <w:rPr>
                <w:webHidden/>
              </w:rPr>
              <w:instrText xml:space="preserve"> PAGEREF _Toc201246941 \h </w:instrText>
            </w:r>
            <w:r>
              <w:rPr>
                <w:webHidden/>
              </w:rPr>
            </w:r>
            <w:r>
              <w:rPr>
                <w:webHidden/>
              </w:rPr>
              <w:fldChar w:fldCharType="separate"/>
            </w:r>
            <w:r>
              <w:rPr>
                <w:webHidden/>
              </w:rPr>
              <w:t>38</w:t>
            </w:r>
            <w:r>
              <w:rPr>
                <w:webHidden/>
              </w:rPr>
              <w:fldChar w:fldCharType="end"/>
            </w:r>
          </w:hyperlink>
        </w:p>
        <w:p w14:paraId="39B2F380" w14:textId="0110AF01" w:rsidR="00E120F2" w:rsidRDefault="00E120F2">
          <w:pPr>
            <w:pStyle w:val="TOC1"/>
            <w:rPr>
              <w:rFonts w:asciiTheme="minorHAnsi" w:eastAsiaTheme="minorEastAsia" w:hAnsiTheme="minorHAnsi" w:cstheme="minorBidi"/>
              <w:color w:val="auto"/>
              <w:kern w:val="2"/>
              <w14:ligatures w14:val="standardContextual"/>
            </w:rPr>
          </w:pPr>
          <w:hyperlink w:anchor="_Toc201246942" w:history="1">
            <w:r w:rsidRPr="0096162D">
              <w:rPr>
                <w:rStyle w:val="Hyperlink"/>
              </w:rPr>
              <w:t>Section 13- Centre governance and meeting structure</w:t>
            </w:r>
            <w:r>
              <w:rPr>
                <w:webHidden/>
              </w:rPr>
              <w:tab/>
            </w:r>
            <w:r>
              <w:rPr>
                <w:webHidden/>
              </w:rPr>
              <w:fldChar w:fldCharType="begin"/>
            </w:r>
            <w:r>
              <w:rPr>
                <w:webHidden/>
              </w:rPr>
              <w:instrText xml:space="preserve"> PAGEREF _Toc201246942 \h </w:instrText>
            </w:r>
            <w:r>
              <w:rPr>
                <w:webHidden/>
              </w:rPr>
            </w:r>
            <w:r>
              <w:rPr>
                <w:webHidden/>
              </w:rPr>
              <w:fldChar w:fldCharType="separate"/>
            </w:r>
            <w:r>
              <w:rPr>
                <w:webHidden/>
              </w:rPr>
              <w:t>39</w:t>
            </w:r>
            <w:r>
              <w:rPr>
                <w:webHidden/>
              </w:rPr>
              <w:fldChar w:fldCharType="end"/>
            </w:r>
          </w:hyperlink>
        </w:p>
        <w:p w14:paraId="21344CA5" w14:textId="7B622D80" w:rsidR="00E120F2" w:rsidRDefault="00E120F2">
          <w:pPr>
            <w:pStyle w:val="TOC1"/>
            <w:rPr>
              <w:rFonts w:asciiTheme="minorHAnsi" w:eastAsiaTheme="minorEastAsia" w:hAnsiTheme="minorHAnsi" w:cstheme="minorBidi"/>
              <w:color w:val="auto"/>
              <w:kern w:val="2"/>
              <w14:ligatures w14:val="standardContextual"/>
            </w:rPr>
          </w:pPr>
          <w:hyperlink w:anchor="_Toc201246943" w:history="1">
            <w:r w:rsidRPr="0096162D">
              <w:rPr>
                <w:rStyle w:val="Hyperlink"/>
              </w:rPr>
              <w:t>Section 14- Evaluation</w:t>
            </w:r>
            <w:r>
              <w:rPr>
                <w:webHidden/>
              </w:rPr>
              <w:tab/>
            </w:r>
            <w:r>
              <w:rPr>
                <w:webHidden/>
              </w:rPr>
              <w:fldChar w:fldCharType="begin"/>
            </w:r>
            <w:r>
              <w:rPr>
                <w:webHidden/>
              </w:rPr>
              <w:instrText xml:space="preserve"> PAGEREF _Toc201246943 \h </w:instrText>
            </w:r>
            <w:r>
              <w:rPr>
                <w:webHidden/>
              </w:rPr>
            </w:r>
            <w:r>
              <w:rPr>
                <w:webHidden/>
              </w:rPr>
              <w:fldChar w:fldCharType="separate"/>
            </w:r>
            <w:r>
              <w:rPr>
                <w:webHidden/>
              </w:rPr>
              <w:t>39</w:t>
            </w:r>
            <w:r>
              <w:rPr>
                <w:webHidden/>
              </w:rPr>
              <w:fldChar w:fldCharType="end"/>
            </w:r>
          </w:hyperlink>
        </w:p>
        <w:p w14:paraId="6E6D12EE" w14:textId="291FBF88" w:rsidR="00E120F2" w:rsidRDefault="00E120F2">
          <w:pPr>
            <w:pStyle w:val="TOC1"/>
            <w:rPr>
              <w:rFonts w:asciiTheme="minorHAnsi" w:eastAsiaTheme="minorEastAsia" w:hAnsiTheme="minorHAnsi" w:cstheme="minorBidi"/>
              <w:color w:val="auto"/>
              <w:kern w:val="2"/>
              <w14:ligatures w14:val="standardContextual"/>
            </w:rPr>
          </w:pPr>
          <w:hyperlink w:anchor="_Toc201246944" w:history="1">
            <w:r w:rsidRPr="0096162D">
              <w:rPr>
                <w:rStyle w:val="Hyperlink"/>
              </w:rPr>
              <w:t>Related policies, procedures, guidelines and legislation</w:t>
            </w:r>
            <w:r>
              <w:rPr>
                <w:webHidden/>
              </w:rPr>
              <w:tab/>
            </w:r>
            <w:r>
              <w:rPr>
                <w:webHidden/>
              </w:rPr>
              <w:fldChar w:fldCharType="begin"/>
            </w:r>
            <w:r>
              <w:rPr>
                <w:webHidden/>
              </w:rPr>
              <w:instrText xml:space="preserve"> PAGEREF _Toc201246944 \h </w:instrText>
            </w:r>
            <w:r>
              <w:rPr>
                <w:webHidden/>
              </w:rPr>
            </w:r>
            <w:r>
              <w:rPr>
                <w:webHidden/>
              </w:rPr>
              <w:fldChar w:fldCharType="separate"/>
            </w:r>
            <w:r>
              <w:rPr>
                <w:webHidden/>
              </w:rPr>
              <w:t>42</w:t>
            </w:r>
            <w:r>
              <w:rPr>
                <w:webHidden/>
              </w:rPr>
              <w:fldChar w:fldCharType="end"/>
            </w:r>
          </w:hyperlink>
        </w:p>
        <w:p w14:paraId="697C2F1E" w14:textId="06F77C1C" w:rsidR="00E120F2" w:rsidRDefault="00E120F2">
          <w:pPr>
            <w:pStyle w:val="TOC1"/>
            <w:rPr>
              <w:rFonts w:asciiTheme="minorHAnsi" w:eastAsiaTheme="minorEastAsia" w:hAnsiTheme="minorHAnsi" w:cstheme="minorBidi"/>
              <w:color w:val="auto"/>
              <w:kern w:val="2"/>
              <w14:ligatures w14:val="standardContextual"/>
            </w:rPr>
          </w:pPr>
          <w:hyperlink w:anchor="_Toc201246945" w:history="1">
            <w:r w:rsidRPr="0096162D">
              <w:rPr>
                <w:rStyle w:val="Hyperlink"/>
              </w:rPr>
              <w:t>References</w:t>
            </w:r>
            <w:r>
              <w:rPr>
                <w:webHidden/>
              </w:rPr>
              <w:tab/>
            </w:r>
            <w:r>
              <w:rPr>
                <w:webHidden/>
              </w:rPr>
              <w:fldChar w:fldCharType="begin"/>
            </w:r>
            <w:r>
              <w:rPr>
                <w:webHidden/>
              </w:rPr>
              <w:instrText xml:space="preserve"> PAGEREF _Toc201246945 \h </w:instrText>
            </w:r>
            <w:r>
              <w:rPr>
                <w:webHidden/>
              </w:rPr>
            </w:r>
            <w:r>
              <w:rPr>
                <w:webHidden/>
              </w:rPr>
              <w:fldChar w:fldCharType="separate"/>
            </w:r>
            <w:r>
              <w:rPr>
                <w:webHidden/>
              </w:rPr>
              <w:t>43</w:t>
            </w:r>
            <w:r>
              <w:rPr>
                <w:webHidden/>
              </w:rPr>
              <w:fldChar w:fldCharType="end"/>
            </w:r>
          </w:hyperlink>
        </w:p>
        <w:p w14:paraId="5C287913" w14:textId="44804145" w:rsidR="00E120F2" w:rsidRDefault="00E120F2">
          <w:pPr>
            <w:pStyle w:val="TOC1"/>
            <w:rPr>
              <w:rFonts w:asciiTheme="minorHAnsi" w:eastAsiaTheme="minorEastAsia" w:hAnsiTheme="minorHAnsi" w:cstheme="minorBidi"/>
              <w:color w:val="auto"/>
              <w:kern w:val="2"/>
              <w14:ligatures w14:val="standardContextual"/>
            </w:rPr>
          </w:pPr>
          <w:hyperlink w:anchor="_Toc201246946" w:history="1">
            <w:r w:rsidRPr="0096162D">
              <w:rPr>
                <w:rStyle w:val="Hyperlink"/>
              </w:rPr>
              <w:t>Search terms</w:t>
            </w:r>
            <w:r>
              <w:rPr>
                <w:webHidden/>
              </w:rPr>
              <w:tab/>
            </w:r>
            <w:r>
              <w:rPr>
                <w:webHidden/>
              </w:rPr>
              <w:fldChar w:fldCharType="begin"/>
            </w:r>
            <w:r>
              <w:rPr>
                <w:webHidden/>
              </w:rPr>
              <w:instrText xml:space="preserve"> PAGEREF _Toc201246946 \h </w:instrText>
            </w:r>
            <w:r>
              <w:rPr>
                <w:webHidden/>
              </w:rPr>
            </w:r>
            <w:r>
              <w:rPr>
                <w:webHidden/>
              </w:rPr>
              <w:fldChar w:fldCharType="separate"/>
            </w:r>
            <w:r>
              <w:rPr>
                <w:webHidden/>
              </w:rPr>
              <w:t>44</w:t>
            </w:r>
            <w:r>
              <w:rPr>
                <w:webHidden/>
              </w:rPr>
              <w:fldChar w:fldCharType="end"/>
            </w:r>
          </w:hyperlink>
        </w:p>
        <w:p w14:paraId="17B9AC51" w14:textId="5536424E" w:rsidR="00E120F2" w:rsidRDefault="00E120F2">
          <w:pPr>
            <w:pStyle w:val="TOC1"/>
            <w:rPr>
              <w:rFonts w:asciiTheme="minorHAnsi" w:eastAsiaTheme="minorEastAsia" w:hAnsiTheme="minorHAnsi" w:cstheme="minorBidi"/>
              <w:color w:val="auto"/>
              <w:kern w:val="2"/>
              <w14:ligatures w14:val="standardContextual"/>
            </w:rPr>
          </w:pPr>
          <w:hyperlink w:anchor="_Toc201246947" w:history="1">
            <w:r w:rsidRPr="0096162D">
              <w:rPr>
                <w:rStyle w:val="Hyperlink"/>
              </w:rPr>
              <w:t>Attachments</w:t>
            </w:r>
            <w:r>
              <w:rPr>
                <w:webHidden/>
              </w:rPr>
              <w:tab/>
            </w:r>
            <w:r>
              <w:rPr>
                <w:webHidden/>
              </w:rPr>
              <w:fldChar w:fldCharType="begin"/>
            </w:r>
            <w:r>
              <w:rPr>
                <w:webHidden/>
              </w:rPr>
              <w:instrText xml:space="preserve"> PAGEREF _Toc201246947 \h </w:instrText>
            </w:r>
            <w:r>
              <w:rPr>
                <w:webHidden/>
              </w:rPr>
            </w:r>
            <w:r>
              <w:rPr>
                <w:webHidden/>
              </w:rPr>
              <w:fldChar w:fldCharType="separate"/>
            </w:r>
            <w:r>
              <w:rPr>
                <w:webHidden/>
              </w:rPr>
              <w:t>44</w:t>
            </w:r>
            <w:r>
              <w:rPr>
                <w:webHidden/>
              </w:rPr>
              <w:fldChar w:fldCharType="end"/>
            </w:r>
          </w:hyperlink>
        </w:p>
        <w:p w14:paraId="49144DCE" w14:textId="2873AB7C" w:rsidR="00E120F2" w:rsidRDefault="00E120F2">
          <w:pPr>
            <w:pStyle w:val="TOC1"/>
            <w:rPr>
              <w:rFonts w:asciiTheme="minorHAnsi" w:eastAsiaTheme="minorEastAsia" w:hAnsiTheme="minorHAnsi" w:cstheme="minorBidi"/>
              <w:color w:val="auto"/>
              <w:kern w:val="2"/>
              <w14:ligatures w14:val="standardContextual"/>
            </w:rPr>
          </w:pPr>
          <w:hyperlink w:anchor="_Toc201246948" w:history="1">
            <w:r w:rsidRPr="0096162D">
              <w:rPr>
                <w:rStyle w:val="Hyperlink"/>
              </w:rPr>
              <w:t>Attachment A- Stages of Care</w:t>
            </w:r>
            <w:r>
              <w:rPr>
                <w:webHidden/>
              </w:rPr>
              <w:tab/>
            </w:r>
            <w:r>
              <w:rPr>
                <w:webHidden/>
              </w:rPr>
              <w:fldChar w:fldCharType="begin"/>
            </w:r>
            <w:r>
              <w:rPr>
                <w:webHidden/>
              </w:rPr>
              <w:instrText xml:space="preserve"> PAGEREF _Toc201246948 \h </w:instrText>
            </w:r>
            <w:r>
              <w:rPr>
                <w:webHidden/>
              </w:rPr>
            </w:r>
            <w:r>
              <w:rPr>
                <w:webHidden/>
              </w:rPr>
              <w:fldChar w:fldCharType="separate"/>
            </w:r>
            <w:r>
              <w:rPr>
                <w:webHidden/>
              </w:rPr>
              <w:t>46</w:t>
            </w:r>
            <w:r>
              <w:rPr>
                <w:webHidden/>
              </w:rPr>
              <w:fldChar w:fldCharType="end"/>
            </w:r>
          </w:hyperlink>
        </w:p>
        <w:p w14:paraId="2AF9C263" w14:textId="6C82CD88" w:rsidR="00E120F2" w:rsidRDefault="00E120F2">
          <w:pPr>
            <w:pStyle w:val="TOC1"/>
            <w:rPr>
              <w:rFonts w:asciiTheme="minorHAnsi" w:eastAsiaTheme="minorEastAsia" w:hAnsiTheme="minorHAnsi" w:cstheme="minorBidi"/>
              <w:color w:val="auto"/>
              <w:kern w:val="2"/>
              <w14:ligatures w14:val="standardContextual"/>
            </w:rPr>
          </w:pPr>
          <w:hyperlink w:anchor="_Toc201246949" w:history="1">
            <w:r w:rsidRPr="0096162D">
              <w:rPr>
                <w:rStyle w:val="Hyperlink"/>
              </w:rPr>
              <w:t>Attachment B- Weekly therapy schedule example</w:t>
            </w:r>
            <w:r>
              <w:rPr>
                <w:webHidden/>
              </w:rPr>
              <w:tab/>
            </w:r>
            <w:r>
              <w:rPr>
                <w:webHidden/>
              </w:rPr>
              <w:fldChar w:fldCharType="begin"/>
            </w:r>
            <w:r>
              <w:rPr>
                <w:webHidden/>
              </w:rPr>
              <w:instrText xml:space="preserve"> PAGEREF _Toc201246949 \h </w:instrText>
            </w:r>
            <w:r>
              <w:rPr>
                <w:webHidden/>
              </w:rPr>
            </w:r>
            <w:r>
              <w:rPr>
                <w:webHidden/>
              </w:rPr>
              <w:fldChar w:fldCharType="separate"/>
            </w:r>
            <w:r>
              <w:rPr>
                <w:webHidden/>
              </w:rPr>
              <w:t>53</w:t>
            </w:r>
            <w:r>
              <w:rPr>
                <w:webHidden/>
              </w:rPr>
              <w:fldChar w:fldCharType="end"/>
            </w:r>
          </w:hyperlink>
        </w:p>
        <w:p w14:paraId="21F05BDC" w14:textId="4AA30EAE"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D00C783" w14:textId="77777777" w:rsidR="00FE46F1" w:rsidRDefault="00FE46F1">
      <w:pPr>
        <w:spacing w:before="0" w:after="0" w:line="240" w:lineRule="auto"/>
        <w:rPr>
          <w:rFonts w:eastAsia="Times New Roman"/>
          <w:b/>
          <w:color w:val="FFFFFF" w:themeColor="background1"/>
          <w:szCs w:val="80"/>
          <w:lang w:eastAsia="en-US"/>
        </w:rPr>
      </w:pPr>
    </w:p>
    <w:p w14:paraId="41F2B618" w14:textId="40DF8F1C" w:rsidR="00172B2E" w:rsidRDefault="00172B2E">
      <w:pPr>
        <w:spacing w:before="0" w:after="0" w:line="240" w:lineRule="auto"/>
        <w:rPr>
          <w:rFonts w:eastAsia="Times New Roman"/>
          <w:b/>
          <w:bCs/>
          <w:iCs/>
          <w:color w:val="FFFFFF" w:themeColor="background1"/>
          <w:lang w:eastAsia="en-US"/>
        </w:rPr>
      </w:pPr>
      <w:r>
        <w:rPr>
          <w:rFonts w:eastAsia="Times New Roman"/>
          <w:b/>
          <w:bCs/>
          <w:iCs/>
          <w:color w:val="FFFFFF" w:themeColor="background1"/>
          <w:lang w:eastAsia="en-US"/>
        </w:rPr>
        <w:br w:type="page"/>
      </w:r>
    </w:p>
    <w:p w14:paraId="5B820E85" w14:textId="77777777" w:rsidR="00201AF6" w:rsidRDefault="00201AF6">
      <w:pPr>
        <w:spacing w:before="0" w:after="0" w:line="240" w:lineRule="auto"/>
        <w:rPr>
          <w:rFonts w:eastAsia="Times New Roman"/>
          <w:b/>
          <w:bCs/>
          <w:iCs/>
          <w:color w:val="FFFFFF" w:themeColor="background1"/>
          <w:lang w:eastAsia="en-US"/>
        </w:rPr>
      </w:pPr>
    </w:p>
    <w:p w14:paraId="174097D4" w14:textId="6290A87E" w:rsidR="0078367D" w:rsidRPr="00036249" w:rsidRDefault="003254E1" w:rsidP="00036249">
      <w:pPr>
        <w:pStyle w:val="Heading4"/>
      </w:pPr>
      <w:bookmarkStart w:id="1" w:name="_Toc201246928"/>
      <w:r>
        <w:t>Purpose</w:t>
      </w:r>
      <w:bookmarkEnd w:id="1"/>
      <w:r w:rsidR="009746B1" w:rsidRPr="00036249">
        <w:t xml:space="preserve"> </w:t>
      </w:r>
    </w:p>
    <w:p w14:paraId="42B54922" w14:textId="77777777" w:rsidR="0057473B" w:rsidRPr="0057473B" w:rsidRDefault="0057473B" w:rsidP="0057473B">
      <w:pPr>
        <w:pStyle w:val="BodyCopy"/>
      </w:pPr>
      <w:r w:rsidRPr="0057473B">
        <w:t>This document provides local operational procedures specific to the Eating Disorders Residential Treatment Centre (the Centre) operated by Canberra Health Services (CHS). Adherence to these procedures will ensure:</w:t>
      </w:r>
    </w:p>
    <w:p w14:paraId="3FC36C54" w14:textId="77777777" w:rsidR="0057473B" w:rsidRPr="0057473B" w:rsidRDefault="0057473B" w:rsidP="00034A46">
      <w:pPr>
        <w:pStyle w:val="Bullet"/>
      </w:pPr>
      <w:r w:rsidRPr="0057473B">
        <w:t>Clinical practice supports the Model of Care.</w:t>
      </w:r>
    </w:p>
    <w:p w14:paraId="471F973A" w14:textId="77777777" w:rsidR="0057473B" w:rsidRPr="0057473B" w:rsidRDefault="0057473B" w:rsidP="00034A46">
      <w:pPr>
        <w:pStyle w:val="Bullet"/>
      </w:pPr>
      <w:r w:rsidRPr="0057473B">
        <w:t>Compliance with statutory responsibilities.</w:t>
      </w:r>
    </w:p>
    <w:p w14:paraId="21F95534" w14:textId="77777777" w:rsidR="0057473B" w:rsidRPr="0057473B" w:rsidRDefault="0057473B" w:rsidP="00034A46">
      <w:pPr>
        <w:pStyle w:val="Bullet"/>
      </w:pPr>
      <w:r w:rsidRPr="0057473B">
        <w:t>Adoption of evidence-based practice principles.</w:t>
      </w:r>
    </w:p>
    <w:p w14:paraId="33036FF7" w14:textId="75466A27" w:rsidR="0057473B" w:rsidRDefault="0057473B" w:rsidP="0057473B">
      <w:pPr>
        <w:pStyle w:val="BodyCopy"/>
      </w:pPr>
      <w:r w:rsidRPr="0057473B">
        <w:t>Practice aligns with overarching CHS and Mental Health, Justice Health and Alcohol and Drug Services (MHJHADS) policy, procedures, and frameworks.</w:t>
      </w:r>
    </w:p>
    <w:p w14:paraId="17BD2532" w14:textId="629CC376" w:rsidR="00481A6C" w:rsidRDefault="00481A6C" w:rsidP="00481A6C">
      <w:pPr>
        <w:pStyle w:val="BodyCopy"/>
        <w:rPr>
          <w:rStyle w:val="Hyperlink"/>
          <w:iCs w:val="0"/>
        </w:rPr>
      </w:pPr>
      <w:hyperlink w:anchor="_top" w:history="1">
        <w:r w:rsidRPr="00481A6C">
          <w:rPr>
            <w:rStyle w:val="Hyperlink"/>
            <w:iCs w:val="0"/>
          </w:rPr>
          <w:t>Back to Contents</w:t>
        </w:r>
      </w:hyperlink>
    </w:p>
    <w:p w14:paraId="130A304C" w14:textId="77777777" w:rsidR="003254E1" w:rsidRDefault="003254E1" w:rsidP="003254E1">
      <w:pPr>
        <w:pStyle w:val="Heading4"/>
      </w:pPr>
      <w:bookmarkStart w:id="2" w:name="_Toc201246929"/>
      <w:r>
        <w:t>Scope</w:t>
      </w:r>
      <w:bookmarkEnd w:id="2"/>
    </w:p>
    <w:p w14:paraId="68DD71CE" w14:textId="17902AE1" w:rsidR="003254E1" w:rsidRPr="00BA236B" w:rsidRDefault="0057473B" w:rsidP="00034A46">
      <w:pPr>
        <w:pStyle w:val="BodyCopy"/>
      </w:pPr>
      <w:r w:rsidRPr="0057473B">
        <w:t>This document relates to all staff and students working within the Centre and should be adhered to in conjunction with all relevant CHS, and MHJHADS policies, procedures, and frameworks.</w:t>
      </w:r>
    </w:p>
    <w:p w14:paraId="1263DA35"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1BB6EC16" w14:textId="21380494" w:rsidR="0078367D" w:rsidRDefault="0078367D" w:rsidP="00197F2E">
      <w:pPr>
        <w:pStyle w:val="Heading4"/>
      </w:pPr>
      <w:bookmarkStart w:id="3" w:name="_Toc201246930"/>
      <w:r>
        <w:t xml:space="preserve">Section 1 - </w:t>
      </w:r>
      <w:r w:rsidR="0057473B">
        <w:t>Introduction</w:t>
      </w:r>
      <w:bookmarkEnd w:id="3"/>
    </w:p>
    <w:p w14:paraId="64B13C96" w14:textId="77777777" w:rsidR="0057473B" w:rsidRPr="0057473B" w:rsidRDefault="0057473B" w:rsidP="009A1635">
      <w:pPr>
        <w:pStyle w:val="Heading5"/>
      </w:pPr>
      <w:r w:rsidRPr="0057473B">
        <w:t>1.1 Eating Disorders Residential Treatment Centre</w:t>
      </w:r>
    </w:p>
    <w:p w14:paraId="7E6E3AA1" w14:textId="77777777" w:rsidR="0057473B" w:rsidRPr="0057473B" w:rsidRDefault="0057473B" w:rsidP="0057473B">
      <w:pPr>
        <w:pStyle w:val="BodyCopy"/>
        <w:spacing w:before="240"/>
      </w:pPr>
      <w:r w:rsidRPr="0057473B">
        <w:t>The Eating Disorders Residential Treatment Centre (the Centre) in Coombs is classified as a sub-acute inpatient health facility run by CHS. The building has been designed to have a homelike, residential feel where consumers receive intensive psychosocial support for their recovery. All participants at the Centre are referred to as ‘consumers’ in this document.  </w:t>
      </w:r>
    </w:p>
    <w:p w14:paraId="65CC2128" w14:textId="77777777" w:rsidR="0057473B" w:rsidRPr="0057473B" w:rsidRDefault="0057473B" w:rsidP="0057473B">
      <w:pPr>
        <w:pStyle w:val="BodyCopy"/>
        <w:spacing w:before="240"/>
      </w:pPr>
      <w:r w:rsidRPr="0057473B">
        <w:t xml:space="preserve">The Centre is a 24 hour, 7 days a week voluntary, specialist service for people with eating </w:t>
      </w:r>
      <w:bookmarkStart w:id="4" w:name="_Hlk172118372"/>
      <w:r w:rsidRPr="0057473B">
        <w:t>disorders who have capacity to agree to and participate in the program</w:t>
      </w:r>
      <w:bookmarkEnd w:id="4"/>
      <w:r w:rsidRPr="0057473B">
        <w:t>. The Centre focuses on the psychological, physical and functional recovery of consumers. Specialist intensive nutritional and psychological treatment with medical monitoring and 24/7 nursing support is provided for up to three months. This provides an opportunity for consumers, carers, families, kin and other supporters to envision their recovery journey. Consumers engage in education, therapy and activities which improve their relationship with food, eating and their bodies. This provides them with skills to maintain their physical and mental health when they return to their own homes.</w:t>
      </w:r>
    </w:p>
    <w:p w14:paraId="6320E04F" w14:textId="44BA373E" w:rsidR="0057473B" w:rsidRPr="0057473B" w:rsidRDefault="6804FF82" w:rsidP="0057473B">
      <w:pPr>
        <w:pStyle w:val="BodyCopy"/>
        <w:spacing w:before="240"/>
      </w:pPr>
      <w:r>
        <w:t>The Centre has 7 bedrooms with 12 beds laid out in a combination of single and double bedrooms. Each room has an ensuite with a maximum of two people sharing bathroom facilities. Room assignment is decided by the multi-disciplinary team, with consideration of the consumer’s medical and psychological needs including sex, gender, sexual orientation, accessibility needs and cultural background. These decisions are guided by a trauma informed lens to ensure safety for all consumers.</w:t>
      </w:r>
    </w:p>
    <w:p w14:paraId="7F4A1C4C" w14:textId="77777777" w:rsidR="0057473B" w:rsidRPr="0057473B" w:rsidRDefault="0057473B" w:rsidP="009A1635">
      <w:pPr>
        <w:pStyle w:val="Heading5"/>
      </w:pPr>
      <w:r w:rsidRPr="0057473B">
        <w:t xml:space="preserve">1.2 Eating Disorders Residential Treatment Centre Model of Care </w:t>
      </w:r>
    </w:p>
    <w:p w14:paraId="592C9B80" w14:textId="77777777" w:rsidR="0057473B" w:rsidRPr="0057473B" w:rsidRDefault="0057473B" w:rsidP="0057473B">
      <w:pPr>
        <w:pStyle w:val="BodyCopy"/>
        <w:spacing w:before="240"/>
      </w:pPr>
      <w:r w:rsidRPr="0057473B">
        <w:t>The Centre focuses on providing best practice, evidence-based treatment to eligible consumers, irrespective of their diverse clinical presentations. The Model of Care (MoC) outlines an evidence-based framework and guides the delivery of the right treatment at the right time, by the right person/team, in the right location across the continuum of stepped care. Development of the MoC was informed by the National Eating Disorder Collaboration (NEDC) National Strategy 2023-2033, the Australia and New Zealand Academy for Eating Disorders and RANZCP Clinical Practice Guideline, Guidance from the Commonwealth Government on the establishment of Residential Eating Disorder Treatment Centres and the National Safety and Quality Health Service Standards.</w:t>
      </w:r>
    </w:p>
    <w:p w14:paraId="1F565C23" w14:textId="77777777" w:rsidR="0057473B" w:rsidRPr="0057473B" w:rsidRDefault="0057473B" w:rsidP="0057473B">
      <w:pPr>
        <w:pStyle w:val="BodyCopy"/>
        <w:spacing w:before="240"/>
      </w:pPr>
      <w:r w:rsidRPr="0057473B">
        <w:t>The principles for the Centre are:</w:t>
      </w:r>
    </w:p>
    <w:p w14:paraId="4F196E00" w14:textId="77777777" w:rsidR="0057473B" w:rsidRPr="0057473B" w:rsidRDefault="0057473B" w:rsidP="00034A46">
      <w:pPr>
        <w:pStyle w:val="Bullet"/>
      </w:pPr>
      <w:r w:rsidRPr="0057473B">
        <w:t>Person-centred informed decision-making.  </w:t>
      </w:r>
    </w:p>
    <w:p w14:paraId="1D9DD430" w14:textId="77777777" w:rsidR="0057473B" w:rsidRPr="0057473B" w:rsidRDefault="0057473B" w:rsidP="00034A46">
      <w:pPr>
        <w:pStyle w:val="Bullet"/>
      </w:pPr>
      <w:r w:rsidRPr="0057473B">
        <w:t>Supporting and involving carers, families, kin and supporters in shared decision-making  </w:t>
      </w:r>
    </w:p>
    <w:p w14:paraId="4AE1F547" w14:textId="77777777" w:rsidR="0057473B" w:rsidRPr="0057473B" w:rsidRDefault="0057473B" w:rsidP="00034A46">
      <w:pPr>
        <w:pStyle w:val="Bullet"/>
      </w:pPr>
      <w:r w:rsidRPr="0057473B">
        <w:t>Recovery-orientated practice.  </w:t>
      </w:r>
    </w:p>
    <w:p w14:paraId="598B7557" w14:textId="77777777" w:rsidR="0057473B" w:rsidRPr="0057473B" w:rsidRDefault="0057473B" w:rsidP="00034A46">
      <w:pPr>
        <w:pStyle w:val="Bullet"/>
      </w:pPr>
      <w:r w:rsidRPr="0057473B">
        <w:t>Least restrictive treatment context.  </w:t>
      </w:r>
    </w:p>
    <w:p w14:paraId="56216E8F" w14:textId="77777777" w:rsidR="0057473B" w:rsidRPr="0057473B" w:rsidRDefault="0057473B" w:rsidP="00034A46">
      <w:pPr>
        <w:pStyle w:val="Bullet"/>
      </w:pPr>
      <w:r w:rsidRPr="0057473B">
        <w:t>Multi-disciplinary approach.  </w:t>
      </w:r>
    </w:p>
    <w:p w14:paraId="5B9B49A0" w14:textId="77777777" w:rsidR="0057473B" w:rsidRPr="0057473B" w:rsidRDefault="0057473B" w:rsidP="00034A46">
      <w:pPr>
        <w:pStyle w:val="Bullet"/>
      </w:pPr>
      <w:r w:rsidRPr="0057473B">
        <w:t>Stepped care and seamless transitions.  </w:t>
      </w:r>
    </w:p>
    <w:p w14:paraId="6F646B9E" w14:textId="77777777" w:rsidR="0057473B" w:rsidRPr="0057473B" w:rsidRDefault="0057473B" w:rsidP="00034A46">
      <w:pPr>
        <w:pStyle w:val="Bullet"/>
      </w:pPr>
      <w:r w:rsidRPr="0057473B">
        <w:t>A culturally affirming approach for Aboriginal and Torres Strait Islander communities and people from culturally and linguistically diverse backgrounds</w:t>
      </w:r>
    </w:p>
    <w:p w14:paraId="7A818D32" w14:textId="77777777" w:rsidR="0057473B" w:rsidRPr="0057473B" w:rsidRDefault="0057473B" w:rsidP="00034A46">
      <w:pPr>
        <w:pStyle w:val="Bullet"/>
      </w:pPr>
      <w:r w:rsidRPr="0057473B">
        <w:t>Promotion of sensitive, respectful, and inclusive practice for Lesbian, Gay, Bisexual, Transgender, Intersex and Queer + People (LGBTIQA+) community, people who are neurodivergent, and people with disabilities</w:t>
      </w:r>
    </w:p>
    <w:p w14:paraId="5712C0A8" w14:textId="77777777" w:rsidR="0057473B" w:rsidRPr="0057473B" w:rsidRDefault="0057473B" w:rsidP="00034A46">
      <w:pPr>
        <w:pStyle w:val="Bullet"/>
      </w:pPr>
      <w:r w:rsidRPr="0057473B">
        <w:t>Trauma-informed principles of treatment.  </w:t>
      </w:r>
    </w:p>
    <w:p w14:paraId="0575D2DD" w14:textId="77777777" w:rsidR="0057473B" w:rsidRPr="0057473B" w:rsidRDefault="0057473B" w:rsidP="00034A46">
      <w:pPr>
        <w:pStyle w:val="Bullet"/>
      </w:pPr>
      <w:r w:rsidRPr="0057473B">
        <w:t>Strong integration</w:t>
      </w:r>
      <w:r w:rsidRPr="0057473B">
        <w:rPr>
          <w:lang w:val="en-US"/>
        </w:rPr>
        <w:t xml:space="preserve"> with General Practitioners (GPs) and other primary healthcare providers.</w:t>
      </w:r>
    </w:p>
    <w:p w14:paraId="142715FF" w14:textId="77777777" w:rsidR="0057473B" w:rsidRPr="0057473B" w:rsidRDefault="0057473B" w:rsidP="009A1635">
      <w:pPr>
        <w:pStyle w:val="Heading5"/>
      </w:pPr>
      <w:r w:rsidRPr="0057473B">
        <w:t>1.3 Legislation</w:t>
      </w:r>
    </w:p>
    <w:p w14:paraId="3A838378" w14:textId="77777777" w:rsidR="0057473B" w:rsidRPr="0057473B" w:rsidRDefault="0057473B" w:rsidP="0057473B">
      <w:pPr>
        <w:pStyle w:val="BodyCopy"/>
        <w:spacing w:before="240"/>
      </w:pPr>
      <w:bookmarkStart w:id="5" w:name="_Hlk160453168"/>
      <w:r w:rsidRPr="0057473B">
        <w:t xml:space="preserve">The Centre </w:t>
      </w:r>
      <w:bookmarkEnd w:id="5"/>
      <w:r w:rsidRPr="0057473B">
        <w:t xml:space="preserve">staff are required to comply with overarching legislation to ensure that consumers admitted with mental health needs receive safe, appropriate and compassionate care. </w:t>
      </w:r>
    </w:p>
    <w:p w14:paraId="62577665" w14:textId="77777777" w:rsidR="0057473B" w:rsidRPr="0057473B" w:rsidRDefault="0057473B" w:rsidP="0057473B">
      <w:pPr>
        <w:pStyle w:val="BodyCopy"/>
        <w:spacing w:before="240"/>
      </w:pPr>
      <w:r w:rsidRPr="0057473B">
        <w:t xml:space="preserve">The legislation governs the operation of mental health services, sets standards for assessment, treatment and detention while adhering to human rights principles and best practice in the mental health field. </w:t>
      </w:r>
    </w:p>
    <w:p w14:paraId="106499B5" w14:textId="73919C27" w:rsidR="0057473B" w:rsidRPr="0057473B" w:rsidRDefault="0057473B" w:rsidP="005C5F49">
      <w:pPr>
        <w:pStyle w:val="BodyCopy"/>
        <w:spacing w:before="240"/>
        <w:rPr>
          <w:i/>
        </w:rPr>
      </w:pPr>
      <w:r w:rsidRPr="0057473B">
        <w:t xml:space="preserve">The legislative foundation for the approach to care provision, recovery, treatment, security and a person’s requirements for privacy and dignity is the </w:t>
      </w:r>
      <w:r w:rsidRPr="0057473B">
        <w:rPr>
          <w:i/>
        </w:rPr>
        <w:t xml:space="preserve">Human Rights Act 2004 </w:t>
      </w:r>
      <w:r w:rsidRPr="0057473B">
        <w:t xml:space="preserve">and the </w:t>
      </w:r>
      <w:r w:rsidRPr="0057473B">
        <w:rPr>
          <w:i/>
        </w:rPr>
        <w:t>Mental Health Act 2015.</w:t>
      </w:r>
    </w:p>
    <w:p w14:paraId="01648E06" w14:textId="7D145743" w:rsidR="00481A6C" w:rsidRPr="00481A6C" w:rsidRDefault="00481A6C" w:rsidP="005C5F49">
      <w:pPr>
        <w:pStyle w:val="BodyCopy"/>
        <w:spacing w:before="240"/>
      </w:pPr>
      <w:hyperlink w:anchor="_top" w:history="1">
        <w:r w:rsidRPr="00481A6C">
          <w:rPr>
            <w:rStyle w:val="Hyperlink"/>
            <w:iCs w:val="0"/>
          </w:rPr>
          <w:t>Back to Contents</w:t>
        </w:r>
      </w:hyperlink>
    </w:p>
    <w:p w14:paraId="09A928D7" w14:textId="51E69670" w:rsidR="0078367D" w:rsidRDefault="0078367D" w:rsidP="00A6051F">
      <w:pPr>
        <w:pStyle w:val="Heading4"/>
      </w:pPr>
      <w:bookmarkStart w:id="6" w:name="_Toc201246931"/>
      <w:r>
        <w:t xml:space="preserve">Section 2 </w:t>
      </w:r>
      <w:r w:rsidR="0057473B">
        <w:t>–</w:t>
      </w:r>
      <w:r>
        <w:t xml:space="preserve"> </w:t>
      </w:r>
      <w:r w:rsidR="0057473B">
        <w:t>Mental Health Act 2015 provisions</w:t>
      </w:r>
      <w:bookmarkEnd w:id="6"/>
    </w:p>
    <w:p w14:paraId="635D724C" w14:textId="77777777" w:rsidR="0057473B" w:rsidRPr="0057473B" w:rsidRDefault="0057473B" w:rsidP="0057473B">
      <w:pPr>
        <w:pStyle w:val="BodyCopy"/>
      </w:pPr>
      <w:r w:rsidRPr="0057473B">
        <w:t xml:space="preserve">The Office of the Chief Psychiatrist website has resources for clinicians and delegates on the rights of people experiencing mental illness or mental disorder and advisory notes on disclosure of information to carers and substitute decisions makers. </w:t>
      </w:r>
    </w:p>
    <w:p w14:paraId="12F6B623" w14:textId="77777777" w:rsidR="0057473B" w:rsidRPr="0057473B" w:rsidRDefault="0057473B" w:rsidP="009A1635">
      <w:pPr>
        <w:pStyle w:val="Heading5"/>
      </w:pPr>
      <w:bookmarkStart w:id="7" w:name="_Toc163200206"/>
      <w:r w:rsidRPr="0057473B">
        <w:t>2.1 Decision-making capacity</w:t>
      </w:r>
      <w:bookmarkEnd w:id="7"/>
      <w:r w:rsidRPr="0057473B">
        <w:t xml:space="preserve"> </w:t>
      </w:r>
    </w:p>
    <w:p w14:paraId="1DB61F1B" w14:textId="77777777" w:rsidR="0057473B" w:rsidRPr="0057473B" w:rsidRDefault="0057473B" w:rsidP="0057473B">
      <w:pPr>
        <w:pStyle w:val="BodyCopy"/>
      </w:pPr>
      <w:r w:rsidRPr="0057473B">
        <w:t xml:space="preserve">A consumer must be assumed to have decision-making capacity unless established that they do not. Article 12 of the Convention on the Rights of Persons with Disabilities recognises that people with disabilities have the right to make decisions and be supported in their decision-making. </w:t>
      </w:r>
    </w:p>
    <w:p w14:paraId="6ED3FFBC" w14:textId="0704FB79" w:rsidR="0057473B" w:rsidRPr="0057473B" w:rsidRDefault="6804FF82" w:rsidP="0057473B">
      <w:pPr>
        <w:pStyle w:val="BodyCopy"/>
      </w:pPr>
      <w:r>
        <w:t xml:space="preserve">Consumers under the age of 18 </w:t>
      </w:r>
      <w:r w:rsidR="628F447E">
        <w:t xml:space="preserve">years </w:t>
      </w:r>
      <w:r>
        <w:t>may be admitted to the Centre. Competency will be assessed in these individuals, and they may be considered mature minors.</w:t>
      </w:r>
    </w:p>
    <w:p w14:paraId="5C172CE8" w14:textId="54133204" w:rsidR="0057473B" w:rsidRPr="0057473B" w:rsidRDefault="6804FF82" w:rsidP="62376261">
      <w:pPr>
        <w:pStyle w:val="BodyCopy"/>
        <w:rPr>
          <w:i/>
        </w:rPr>
      </w:pPr>
      <w:r>
        <w:t xml:space="preserve">All Centre staff will refer to and comply with the CHS </w:t>
      </w:r>
      <w:r w:rsidRPr="62376261">
        <w:rPr>
          <w:i/>
        </w:rPr>
        <w:t xml:space="preserve">Assessment of decision-making capacity and supported decision-making for people being treated under the Mental Health Act 2015 </w:t>
      </w:r>
      <w:r>
        <w:t>Procedure.</w:t>
      </w:r>
      <w:r w:rsidRPr="62376261">
        <w:rPr>
          <w:i/>
        </w:rPr>
        <w:t xml:space="preserve"> </w:t>
      </w:r>
    </w:p>
    <w:p w14:paraId="0022A823" w14:textId="77777777" w:rsidR="0057473B" w:rsidRPr="0057473B" w:rsidRDefault="0057473B" w:rsidP="009A1635">
      <w:pPr>
        <w:pStyle w:val="Heading5"/>
      </w:pPr>
      <w:bookmarkStart w:id="8" w:name="_Toc163200207"/>
      <w:r w:rsidRPr="0057473B">
        <w:t>2.2 Advance Agreement and Advance Consent Directions</w:t>
      </w:r>
      <w:bookmarkEnd w:id="8"/>
      <w:r w:rsidRPr="0057473B">
        <w:t xml:space="preserve"> </w:t>
      </w:r>
    </w:p>
    <w:p w14:paraId="4C98F0C0" w14:textId="77777777" w:rsidR="0057473B" w:rsidRPr="0057473B" w:rsidRDefault="0057473B" w:rsidP="0057473B">
      <w:pPr>
        <w:pStyle w:val="BodyCopy"/>
      </w:pPr>
      <w:r w:rsidRPr="0057473B">
        <w:t xml:space="preserve">An Advance Agreement is a document stating a consumer’s preferences for future mental health treatment, care and support and any relevant information about practical support they may need. </w:t>
      </w:r>
    </w:p>
    <w:p w14:paraId="2258CBC5" w14:textId="77777777" w:rsidR="0057473B" w:rsidRPr="0057473B" w:rsidRDefault="0057473B" w:rsidP="0057473B">
      <w:pPr>
        <w:pStyle w:val="BodyCopy"/>
      </w:pPr>
      <w:r w:rsidRPr="0057473B">
        <w:t xml:space="preserve">An Advance Consent Direction is a document that records the consumer consent or non-consent to receiving treatment, care or support, or specific medications and procedures if they do not have decision-making capacity in the future. </w:t>
      </w:r>
    </w:p>
    <w:p w14:paraId="438E1A82" w14:textId="77777777" w:rsidR="0057473B" w:rsidRPr="0057473B" w:rsidRDefault="0057473B" w:rsidP="0057473B">
      <w:pPr>
        <w:pStyle w:val="BodyCopy"/>
      </w:pPr>
      <w:r w:rsidRPr="0057473B">
        <w:t xml:space="preserve">All Centre staff will refer to and comply with the CHS </w:t>
      </w:r>
      <w:r w:rsidRPr="0057473B">
        <w:rPr>
          <w:i/>
        </w:rPr>
        <w:t xml:space="preserve">Advance Agreements, Advance Consent Directions and Nominated Persons under the Mental Health Act 2015 </w:t>
      </w:r>
      <w:r w:rsidRPr="0057473B">
        <w:t>Procedure</w:t>
      </w:r>
      <w:r w:rsidRPr="0057473B">
        <w:rPr>
          <w:i/>
        </w:rPr>
        <w:t xml:space="preserve">. </w:t>
      </w:r>
    </w:p>
    <w:p w14:paraId="3D9BD42E" w14:textId="67898545" w:rsidR="0057473B" w:rsidRPr="0057473B" w:rsidRDefault="0057473B" w:rsidP="009A1635">
      <w:pPr>
        <w:pStyle w:val="Heading5"/>
      </w:pPr>
      <w:bookmarkStart w:id="9" w:name="_Toc163200208"/>
      <w:r w:rsidRPr="0057473B">
        <w:t xml:space="preserve">2.3 Nominated </w:t>
      </w:r>
      <w:r w:rsidR="009A1635">
        <w:t>P</w:t>
      </w:r>
      <w:r w:rsidRPr="0057473B">
        <w:t>erson</w:t>
      </w:r>
      <w:bookmarkEnd w:id="9"/>
      <w:r w:rsidRPr="0057473B">
        <w:t xml:space="preserve"> </w:t>
      </w:r>
    </w:p>
    <w:p w14:paraId="1E27B238" w14:textId="7F72AAED" w:rsidR="0057473B" w:rsidRPr="0057473B" w:rsidRDefault="0057473B" w:rsidP="0057473B">
      <w:pPr>
        <w:pStyle w:val="BodyCopy"/>
      </w:pPr>
      <w:r w:rsidRPr="0057473B">
        <w:t xml:space="preserve">A Nominated Person is someone appointed by a consumer with a mental illness or mental disorder under the </w:t>
      </w:r>
      <w:r w:rsidRPr="0057473B">
        <w:rPr>
          <w:i/>
        </w:rPr>
        <w:t xml:space="preserve">Mental Health Act 2015. </w:t>
      </w:r>
      <w:r w:rsidRPr="0057473B">
        <w:t xml:space="preserve">A Nominated </w:t>
      </w:r>
      <w:r w:rsidR="00843792">
        <w:t>P</w:t>
      </w:r>
      <w:r w:rsidRPr="0057473B">
        <w:t>erson is</w:t>
      </w:r>
      <w:r w:rsidRPr="0057473B">
        <w:rPr>
          <w:i/>
        </w:rPr>
        <w:t xml:space="preserve"> </w:t>
      </w:r>
      <w:r w:rsidRPr="0057473B">
        <w:t xml:space="preserve">to be informed and consulted about the consumer’s treatment, care, and support to ensure that the consumer’s interests and rights are respected. </w:t>
      </w:r>
    </w:p>
    <w:p w14:paraId="73ECC916" w14:textId="77777777" w:rsidR="0057473B" w:rsidRPr="0057473B" w:rsidRDefault="0057473B" w:rsidP="0057473B">
      <w:pPr>
        <w:pStyle w:val="BodyCopy"/>
      </w:pPr>
      <w:r w:rsidRPr="0057473B">
        <w:t xml:space="preserve">A Nominated Person does not have the power to make treatment or other decisions on behalf of the consumer with a mental illness or mental disorder. </w:t>
      </w:r>
    </w:p>
    <w:p w14:paraId="5016A893" w14:textId="62CC784A" w:rsidR="0057473B" w:rsidRDefault="0057473B" w:rsidP="0091462B">
      <w:pPr>
        <w:pStyle w:val="BodyCopy"/>
      </w:pPr>
      <w:r w:rsidRPr="0057473B">
        <w:t xml:space="preserve">See CHS </w:t>
      </w:r>
      <w:r w:rsidRPr="0057473B">
        <w:rPr>
          <w:i/>
        </w:rPr>
        <w:t>Advance Agreement, Advance Consent Direction and Nominated Person</w:t>
      </w:r>
      <w:r w:rsidRPr="0057473B">
        <w:t xml:space="preserve"> Procedure for further information.</w:t>
      </w:r>
    </w:p>
    <w:p w14:paraId="60F18D3A" w14:textId="162622ED" w:rsidR="00481A6C" w:rsidRDefault="00481A6C" w:rsidP="0091462B">
      <w:pPr>
        <w:pStyle w:val="BodyCopy"/>
      </w:pPr>
      <w:hyperlink w:anchor="_top" w:history="1">
        <w:r w:rsidRPr="00481A6C">
          <w:rPr>
            <w:rStyle w:val="Hyperlink"/>
            <w:iCs w:val="0"/>
          </w:rPr>
          <w:t>Back to Contents</w:t>
        </w:r>
      </w:hyperlink>
    </w:p>
    <w:p w14:paraId="2DC3DCA3" w14:textId="2F441972" w:rsidR="0078367D" w:rsidRDefault="0078367D" w:rsidP="00A6051F">
      <w:pPr>
        <w:pStyle w:val="Heading4"/>
      </w:pPr>
      <w:bookmarkStart w:id="10" w:name="_Toc201246932"/>
      <w:r w:rsidRPr="0078367D">
        <w:t xml:space="preserve">Section </w:t>
      </w:r>
      <w:r w:rsidR="0057473B">
        <w:t>3- Referral and Preadmission assessment</w:t>
      </w:r>
      <w:bookmarkEnd w:id="10"/>
    </w:p>
    <w:p w14:paraId="28F5E920" w14:textId="77777777" w:rsidR="0057473B" w:rsidRPr="0057473B" w:rsidRDefault="0057473B" w:rsidP="009A1635">
      <w:pPr>
        <w:pStyle w:val="Heading5"/>
      </w:pPr>
      <w:r w:rsidRPr="0057473B">
        <w:t xml:space="preserve">3.1 Eligibility criteria </w:t>
      </w:r>
    </w:p>
    <w:p w14:paraId="7CFD4644" w14:textId="77777777" w:rsidR="0057473B" w:rsidRPr="0057473B" w:rsidRDefault="0057473B" w:rsidP="0057473B">
      <w:pPr>
        <w:pStyle w:val="BodyCopy"/>
      </w:pPr>
      <w:r w:rsidRPr="0057473B">
        <w:t xml:space="preserve">The target population for the Centre are consumers with a primary diagnosis of an eating disorder who require further nutritional, psychological and psychosocial support to achieve long term recovery. Consumers must have capacity to agree to and participate in the program. They must be medically stable to be admitted to the Centre as the focus is on psychosocial recovery and psychological therapy rather than physical/medical treatments.  The Centre serves the ACT and surrounding NSW region, with consideration of referrals from other locations subject to eligibility criteria and bed availability. </w:t>
      </w:r>
    </w:p>
    <w:p w14:paraId="1B7D9026" w14:textId="77777777" w:rsidR="0057473B" w:rsidRPr="0057473B" w:rsidRDefault="0057473B" w:rsidP="0057473B">
      <w:pPr>
        <w:pStyle w:val="BodyCopy"/>
      </w:pPr>
      <w:r w:rsidRPr="0057473B">
        <w:t>The service is inclusive of people of diverse identities, genders and sexualities.</w:t>
      </w:r>
    </w:p>
    <w:p w14:paraId="3B0FB595" w14:textId="2C828128" w:rsidR="0057473B" w:rsidRDefault="00034A46" w:rsidP="009A1635">
      <w:pPr>
        <w:pStyle w:val="Tabletitle-numbered"/>
      </w:pPr>
      <w:r>
        <w:t>Resident status e</w:t>
      </w:r>
      <w:r w:rsidR="0057473B" w:rsidRPr="0057473B">
        <w:t xml:space="preserve">ligibility </w:t>
      </w:r>
      <w:r>
        <w:t>c</w:t>
      </w:r>
      <w:r w:rsidR="0057473B" w:rsidRPr="0057473B">
        <w:t xml:space="preserve">riteria for the </w:t>
      </w:r>
      <w:r>
        <w:t>C</w:t>
      </w:r>
      <w:r w:rsidR="0057473B" w:rsidRPr="0057473B">
        <w:t xml:space="preserve">entre </w:t>
      </w:r>
    </w:p>
    <w:tbl>
      <w:tblPr>
        <w:tblStyle w:val="TableGrid1"/>
        <w:tblW w:w="9634" w:type="dxa"/>
        <w:tblLook w:val="04A0" w:firstRow="1" w:lastRow="0" w:firstColumn="1" w:lastColumn="0" w:noHBand="0" w:noVBand="1"/>
      </w:tblPr>
      <w:tblGrid>
        <w:gridCol w:w="4673"/>
        <w:gridCol w:w="4961"/>
      </w:tblGrid>
      <w:tr w:rsidR="009A1635" w:rsidRPr="009A1635" w14:paraId="4C4B2F47" w14:textId="77777777" w:rsidTr="00172B2E">
        <w:tc>
          <w:tcPr>
            <w:tcW w:w="4673" w:type="dxa"/>
            <w:shd w:val="clear" w:color="auto" w:fill="3D2262" w:themeFill="accent1"/>
          </w:tcPr>
          <w:p w14:paraId="06A224BB" w14:textId="77777777" w:rsidR="00674727" w:rsidRPr="009A1635" w:rsidRDefault="00674727" w:rsidP="00674727">
            <w:pPr>
              <w:pStyle w:val="BodyCopy"/>
              <w:rPr>
                <w:rFonts w:ascii="Arial" w:hAnsi="Arial" w:cs="Arial"/>
                <w:b/>
                <w:bCs w:val="0"/>
                <w:color w:val="FFFFFF" w:themeColor="background1"/>
                <w:sz w:val="24"/>
                <w:szCs w:val="24"/>
                <w:lang w:val="en-AU" w:eastAsia="en-AU"/>
              </w:rPr>
            </w:pPr>
            <w:r w:rsidRPr="009A1635">
              <w:rPr>
                <w:rFonts w:ascii="Arial" w:hAnsi="Arial" w:cs="Arial"/>
                <w:b/>
                <w:bCs w:val="0"/>
                <w:color w:val="FFFFFF" w:themeColor="background1"/>
                <w:sz w:val="24"/>
                <w:szCs w:val="24"/>
                <w:lang w:val="en-AU" w:eastAsia="en-AU"/>
              </w:rPr>
              <w:t xml:space="preserve">ACT residents </w:t>
            </w:r>
          </w:p>
        </w:tc>
        <w:tc>
          <w:tcPr>
            <w:tcW w:w="4961" w:type="dxa"/>
            <w:shd w:val="clear" w:color="auto" w:fill="3D2262" w:themeFill="accent1"/>
          </w:tcPr>
          <w:p w14:paraId="1567DB0D" w14:textId="77777777" w:rsidR="00674727" w:rsidRPr="009A1635" w:rsidRDefault="00674727" w:rsidP="00674727">
            <w:pPr>
              <w:pStyle w:val="BodyCopy"/>
              <w:rPr>
                <w:rFonts w:ascii="Arial" w:hAnsi="Arial" w:cs="Arial"/>
                <w:b/>
                <w:bCs w:val="0"/>
                <w:color w:val="FFFFFF" w:themeColor="background1"/>
                <w:sz w:val="24"/>
                <w:szCs w:val="24"/>
                <w:lang w:val="en-AU" w:eastAsia="en-AU"/>
              </w:rPr>
            </w:pPr>
            <w:r w:rsidRPr="009A1635">
              <w:rPr>
                <w:rFonts w:ascii="Arial" w:hAnsi="Arial" w:cs="Arial"/>
                <w:b/>
                <w:bCs w:val="0"/>
                <w:color w:val="FFFFFF" w:themeColor="background1"/>
                <w:sz w:val="24"/>
                <w:szCs w:val="24"/>
                <w:lang w:val="en-AU" w:eastAsia="en-AU"/>
              </w:rPr>
              <w:t xml:space="preserve">Interstate residents </w:t>
            </w:r>
          </w:p>
        </w:tc>
      </w:tr>
      <w:tr w:rsidR="00674727" w:rsidRPr="00532185" w14:paraId="28658C00" w14:textId="77777777" w:rsidTr="00674727">
        <w:tc>
          <w:tcPr>
            <w:tcW w:w="4673" w:type="dxa"/>
          </w:tcPr>
          <w:p w14:paraId="6B7A4B8D" w14:textId="24AC7E5E" w:rsidR="00674727" w:rsidRPr="0023402D"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Age ≥16 years (dependent on developmental maturity). People aged under 16 will be managed as an inpatient at the Canberra Hospital or outpatient by the eating disorders team in consultation with the Division of Women, Youth and Children.</w:t>
            </w:r>
          </w:p>
        </w:tc>
        <w:tc>
          <w:tcPr>
            <w:tcW w:w="4961" w:type="dxa"/>
          </w:tcPr>
          <w:p w14:paraId="4DB15DBA" w14:textId="77777777" w:rsidR="00674727" w:rsidRPr="00674727"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Age ≥16 years (dependent on developmental maturity).</w:t>
            </w:r>
          </w:p>
        </w:tc>
      </w:tr>
      <w:tr w:rsidR="00674727" w:rsidRPr="00532185" w14:paraId="4E9A404F" w14:textId="77777777" w:rsidTr="00172B2E">
        <w:tc>
          <w:tcPr>
            <w:tcW w:w="4673" w:type="dxa"/>
            <w:tcBorders>
              <w:bottom w:val="single" w:sz="4" w:space="0" w:color="auto"/>
            </w:tcBorders>
          </w:tcPr>
          <w:p w14:paraId="5AB8B743" w14:textId="62716515" w:rsidR="00674727" w:rsidRPr="00674727"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Consumers are available for two weeks prior to potential admission to undertake pre assessment</w:t>
            </w:r>
            <w:r w:rsidR="00CB5328">
              <w:rPr>
                <w:rFonts w:ascii="Arial" w:hAnsi="Arial" w:cs="Arial"/>
                <w:bCs/>
                <w:iCs/>
                <w:color w:val="000000" w:themeColor="text1"/>
                <w:sz w:val="24"/>
                <w:szCs w:val="24"/>
                <w:lang w:val="en-AU" w:eastAsia="en-AU"/>
              </w:rPr>
              <w:t>.</w:t>
            </w:r>
          </w:p>
        </w:tc>
        <w:tc>
          <w:tcPr>
            <w:tcW w:w="4961" w:type="dxa"/>
            <w:tcBorders>
              <w:bottom w:val="single" w:sz="4" w:space="0" w:color="auto"/>
            </w:tcBorders>
          </w:tcPr>
          <w:p w14:paraId="7B5B6851" w14:textId="77777777" w:rsidR="00674727" w:rsidRPr="00674727"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Are engaged with an eating disorders treatment team within their local area who are available for consultation, liaison and discharge care following the residential care admission.</w:t>
            </w:r>
          </w:p>
          <w:p w14:paraId="7CBDE99A" w14:textId="5E0A95EE" w:rsidR="00674727" w:rsidRPr="00674727"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Consumers are located within a reasonable distance of the ACT that allow them to actively participate for a minimum two weeks prior to potential admission to undertake pre assessment</w:t>
            </w:r>
            <w:r w:rsidR="00CB5328">
              <w:rPr>
                <w:rFonts w:ascii="Arial" w:hAnsi="Arial" w:cs="Arial"/>
                <w:bCs/>
                <w:iCs/>
                <w:color w:val="000000" w:themeColor="text1"/>
                <w:sz w:val="24"/>
                <w:szCs w:val="24"/>
                <w:lang w:val="en-AU" w:eastAsia="en-AU"/>
              </w:rPr>
              <w:t>.</w:t>
            </w:r>
          </w:p>
          <w:p w14:paraId="1CB7B4A8" w14:textId="77777777" w:rsidR="00674727" w:rsidRPr="00674727" w:rsidRDefault="00674727" w:rsidP="00674727">
            <w:pPr>
              <w:numPr>
                <w:ilvl w:val="0"/>
                <w:numId w:val="30"/>
              </w:numPr>
              <w:spacing w:after="200"/>
              <w:ind w:left="360"/>
              <w:contextualSpacing/>
              <w:rPr>
                <w:rFonts w:ascii="Arial" w:hAnsi="Arial" w:cs="Arial"/>
                <w:bCs/>
                <w:iCs/>
                <w:color w:val="000000" w:themeColor="text1"/>
                <w:sz w:val="24"/>
                <w:szCs w:val="24"/>
                <w:lang w:val="en-AU" w:eastAsia="en-AU"/>
              </w:rPr>
            </w:pPr>
            <w:r w:rsidRPr="00674727">
              <w:rPr>
                <w:rFonts w:ascii="Arial" w:hAnsi="Arial" w:cs="Arial"/>
                <w:bCs/>
                <w:iCs/>
                <w:color w:val="000000" w:themeColor="text1"/>
                <w:sz w:val="24"/>
                <w:szCs w:val="24"/>
                <w:lang w:val="en-AU" w:eastAsia="en-AU"/>
              </w:rPr>
              <w:t>Engaged with adequate supports to enable safe travel to and from the ACT.</w:t>
            </w:r>
          </w:p>
        </w:tc>
      </w:tr>
    </w:tbl>
    <w:p w14:paraId="33C706B7" w14:textId="6F46766B" w:rsidR="00034A46" w:rsidRDefault="00034A46" w:rsidP="00034A46">
      <w:pPr>
        <w:pStyle w:val="Heading6"/>
      </w:pPr>
      <w:r>
        <w:t>Eligibility criteria for all consumers for the Centre:</w:t>
      </w:r>
    </w:p>
    <w:p w14:paraId="06274CB2" w14:textId="77777777" w:rsidR="00034A46" w:rsidRPr="00674727" w:rsidRDefault="00034A46" w:rsidP="00034A46">
      <w:pPr>
        <w:pStyle w:val="Bullet"/>
      </w:pPr>
      <w:r w:rsidRPr="00674727">
        <w:t>Residential treatment is determined via the Eating Disorders Clinical Hub as the most appropriate and evidence-based mode of treatment at the time</w:t>
      </w:r>
    </w:p>
    <w:p w14:paraId="2CB60894" w14:textId="77777777" w:rsidR="00034A46" w:rsidRPr="00674727" w:rsidRDefault="00034A46" w:rsidP="00034A46">
      <w:pPr>
        <w:pStyle w:val="Bullet"/>
      </w:pPr>
      <w:r w:rsidRPr="00674727">
        <w:t>Active engagement with a GP for medical monitoring and continuity of health care</w:t>
      </w:r>
    </w:p>
    <w:p w14:paraId="5E73ED48" w14:textId="77777777" w:rsidR="00034A46" w:rsidRPr="00674727" w:rsidRDefault="00034A46" w:rsidP="00034A46">
      <w:pPr>
        <w:pStyle w:val="Bullet"/>
      </w:pPr>
      <w:r w:rsidRPr="00674727">
        <w:t>Primary diagnosis of an Eating Disorder (DSM-5-TR) including Anorexia Nervosa, Bulimia Nervosa, Binge Eating, Other Specified or Unspecified Feeding or Eating Disorder (OSFED/USFED) which is causing significant psycho-social functional impairment.</w:t>
      </w:r>
    </w:p>
    <w:p w14:paraId="2062C2FE" w14:textId="77777777" w:rsidR="00034A46" w:rsidRPr="00674727" w:rsidRDefault="00034A46" w:rsidP="00034A46">
      <w:pPr>
        <w:pStyle w:val="Bullet"/>
      </w:pPr>
      <w:r w:rsidRPr="00674727">
        <w:t>Commitment to not engage in non-suicidal self-injury (NSSI) or suicidal behaviours while participating in the program. </w:t>
      </w:r>
    </w:p>
    <w:p w14:paraId="07DF49F7" w14:textId="77777777" w:rsidR="00034A46" w:rsidRPr="00674727" w:rsidRDefault="00034A46" w:rsidP="00034A46">
      <w:pPr>
        <w:pStyle w:val="Bullet"/>
      </w:pPr>
      <w:r w:rsidRPr="00674727">
        <w:t>Consumers have capacity to agree to and participate in treatment at the Centre and ready to make behavioural change with a high level of support.  </w:t>
      </w:r>
    </w:p>
    <w:p w14:paraId="1C254B58" w14:textId="77777777" w:rsidR="00034A46" w:rsidRPr="00674727" w:rsidRDefault="00034A46" w:rsidP="00034A46">
      <w:pPr>
        <w:pStyle w:val="Bullet"/>
      </w:pPr>
      <w:r w:rsidRPr="00674727">
        <w:t>No active alcohol or illicit substance dependence</w:t>
      </w:r>
    </w:p>
    <w:p w14:paraId="5DC834CD" w14:textId="77777777" w:rsidR="00034A46" w:rsidRPr="00674727" w:rsidRDefault="00034A46" w:rsidP="00034A46">
      <w:pPr>
        <w:pStyle w:val="Bullet"/>
      </w:pPr>
      <w:r w:rsidRPr="00674727">
        <w:t>Manageable dietary restrictions (e.g. religious and/or cultural dietary considerations, allergies, and sensory sensitivities will be accommodated following a dietitian assessment.)</w:t>
      </w:r>
    </w:p>
    <w:p w14:paraId="7DD274B6" w14:textId="649E8166" w:rsidR="00034A46" w:rsidRPr="00034A46" w:rsidRDefault="00034A46" w:rsidP="00034A46">
      <w:pPr>
        <w:pStyle w:val="BodyCopy"/>
      </w:pPr>
      <w:r w:rsidRPr="00674727">
        <w:t>Medically stable as detailed in the Centre Operational Procedures and can be safely monitored and managed in the Centre</w:t>
      </w:r>
    </w:p>
    <w:p w14:paraId="596F9D28" w14:textId="3FB8E8C8" w:rsidR="0057473B" w:rsidRPr="0057473B" w:rsidRDefault="0057473B" w:rsidP="009A1635">
      <w:pPr>
        <w:pStyle w:val="Heading5"/>
      </w:pPr>
      <w:r w:rsidRPr="0057473B">
        <w:t xml:space="preserve">3.2 Exclusion criteria </w:t>
      </w:r>
    </w:p>
    <w:p w14:paraId="29ECF527" w14:textId="77777777" w:rsidR="0057473B" w:rsidRPr="0057473B" w:rsidRDefault="0057473B" w:rsidP="0057473B">
      <w:pPr>
        <w:pStyle w:val="BodyCopy"/>
      </w:pPr>
      <w:r w:rsidRPr="0057473B">
        <w:t>Exclusion criteria:</w:t>
      </w:r>
    </w:p>
    <w:p w14:paraId="0285A90C" w14:textId="77777777" w:rsidR="0057473B" w:rsidRPr="0057473B" w:rsidRDefault="0057473B" w:rsidP="00034A46">
      <w:pPr>
        <w:pStyle w:val="Bullet"/>
      </w:pPr>
      <w:r w:rsidRPr="0057473B">
        <w:t xml:space="preserve">Primary diagnosis of feeding disorder such as Avoidant Restrictive Food Intake Disorder, Pica, Rumination Disorder. People who present with feeding disorders as their primary presentation will be referred to more appropriate services. </w:t>
      </w:r>
    </w:p>
    <w:p w14:paraId="5CB2D699" w14:textId="77777777" w:rsidR="0057473B" w:rsidRPr="0057473B" w:rsidRDefault="0057473B" w:rsidP="00034A46">
      <w:pPr>
        <w:pStyle w:val="Bullet"/>
      </w:pPr>
      <w:r w:rsidRPr="0057473B">
        <w:t>Requiring a level of medical care that cannot be provided at the Centre (e.g. parenteral and enteral feeding, daily blood tests, observations multiple times per day, at risk of Refeeding Syndrome).</w:t>
      </w:r>
    </w:p>
    <w:p w14:paraId="53DF8FFD" w14:textId="77777777" w:rsidR="0057473B" w:rsidRPr="0057473B" w:rsidRDefault="0057473B" w:rsidP="00034A46">
      <w:pPr>
        <w:pStyle w:val="Bullet"/>
      </w:pPr>
      <w:r w:rsidRPr="0057473B">
        <w:t xml:space="preserve">A lower level of care would be beneficial as determined in collaboration with the consumer and Eating Disorders Clinical Hub team. </w:t>
      </w:r>
    </w:p>
    <w:p w14:paraId="42A3B6AD" w14:textId="311EBB90" w:rsidR="00674727" w:rsidRDefault="0057473B" w:rsidP="00034A46">
      <w:pPr>
        <w:pStyle w:val="Bullet"/>
      </w:pPr>
      <w:r w:rsidRPr="0057473B">
        <w:t>Consumer</w:t>
      </w:r>
      <w:r w:rsidRPr="0057473B">
        <w:rPr>
          <w:lang w:val="en-US"/>
        </w:rPr>
        <w:t xml:space="preserve"> does not consent to the participant agreement.</w:t>
      </w:r>
      <w:r w:rsidRPr="0057473B">
        <w:t xml:space="preserve"> </w:t>
      </w:r>
    </w:p>
    <w:p w14:paraId="1DA3D58E" w14:textId="77777777" w:rsidR="0057473B" w:rsidRPr="00920302" w:rsidRDefault="0057473B" w:rsidP="009A1635">
      <w:pPr>
        <w:pStyle w:val="Heading5"/>
      </w:pPr>
      <w:r w:rsidRPr="00920302">
        <w:t xml:space="preserve">3.3 Referral process </w:t>
      </w:r>
    </w:p>
    <w:p w14:paraId="31445FBC" w14:textId="576BE2F4" w:rsidR="0057473B" w:rsidRPr="00020BDA" w:rsidRDefault="00362DA9" w:rsidP="0057473B">
      <w:pPr>
        <w:pStyle w:val="BodyCopy"/>
      </w:pPr>
      <w:r>
        <w:t>Referrals,</w:t>
      </w:r>
      <w:r w:rsidR="0057473B" w:rsidRPr="00020BDA">
        <w:t xml:space="preserve"> including from inpatient services, are directed to the Eating Disorders Clinical Hub (the Hub) Multi-Disciplinary Team (MDT). </w:t>
      </w:r>
    </w:p>
    <w:p w14:paraId="17E2EA15" w14:textId="0D1A393F" w:rsidR="0057473B" w:rsidRPr="00020BDA" w:rsidRDefault="0057473B" w:rsidP="0057473B">
      <w:pPr>
        <w:pStyle w:val="BodyCopy"/>
      </w:pPr>
      <w:r w:rsidRPr="00020BDA">
        <w:t xml:space="preserve">If the Hub MDT recommends residential treatment, a Digital Health Record (DHR) referral to the Centre is created. The Centre’s Allied Health Manager and/or the Clinical Nurse Consultant (CNC) manage the next </w:t>
      </w:r>
      <w:r w:rsidR="0023402D" w:rsidRPr="00020BDA">
        <w:t xml:space="preserve">steps </w:t>
      </w:r>
      <w:r w:rsidR="0023402D">
        <w:t>informed</w:t>
      </w:r>
      <w:r w:rsidR="00024AE0">
        <w:t xml:space="preserve"> </w:t>
      </w:r>
      <w:r w:rsidR="00AD4C25">
        <w:t xml:space="preserve">by </w:t>
      </w:r>
      <w:r w:rsidR="00AD4C25" w:rsidRPr="00020BDA">
        <w:t>bed</w:t>
      </w:r>
      <w:r w:rsidRPr="00020BDA">
        <w:t xml:space="preserve"> flow management and pre-admission assessment.</w:t>
      </w:r>
    </w:p>
    <w:p w14:paraId="773AE1D8" w14:textId="77777777" w:rsidR="0057473B" w:rsidRPr="0057473B" w:rsidRDefault="0057473B" w:rsidP="0057473B">
      <w:pPr>
        <w:pStyle w:val="BodyCopy"/>
      </w:pPr>
      <w:r w:rsidRPr="00020BDA">
        <w:t>If the Hub MDT decides the Centre is not the most appropriate treatment setting, a clinician from the Hub will contact the referrer and the person referred. They will explain the reasons for not accepting the referral, provide support with referrals or pathways to access alternate treatment options and whether/ when it may be appropriate to re-refer.</w:t>
      </w:r>
    </w:p>
    <w:p w14:paraId="28F720D8" w14:textId="77777777" w:rsidR="0057473B" w:rsidRPr="0057473B" w:rsidRDefault="0057473B" w:rsidP="00034A46">
      <w:pPr>
        <w:pStyle w:val="Heading6"/>
      </w:pPr>
      <w:r w:rsidRPr="0057473B">
        <w:t>Referral of current client of MHJHADS services:</w:t>
      </w:r>
    </w:p>
    <w:p w14:paraId="2BB3BE3C" w14:textId="77777777" w:rsidR="0057473B" w:rsidRPr="0057473B" w:rsidRDefault="0057473B" w:rsidP="00034A46">
      <w:pPr>
        <w:pStyle w:val="Bullet"/>
      </w:pPr>
      <w:r w:rsidRPr="0057473B">
        <w:t>The consumer is discussed at the referring team’s MDT.</w:t>
      </w:r>
    </w:p>
    <w:p w14:paraId="2995CD61" w14:textId="5843BC69" w:rsidR="0057473B" w:rsidRPr="0057473B" w:rsidRDefault="0057473B" w:rsidP="00034A46">
      <w:pPr>
        <w:pStyle w:val="Bullet"/>
      </w:pPr>
      <w:r w:rsidRPr="0057473B">
        <w:t>Referring team’s MDT makes a recommendation to the Centre, completes a DHR referral to the Hub using ISBAR principles ISBAR (Identify, Situation, Background, Assessment and Recommendation).</w:t>
      </w:r>
    </w:p>
    <w:p w14:paraId="72F4C3F3" w14:textId="77777777" w:rsidR="0057473B" w:rsidRPr="0057473B" w:rsidRDefault="0057473B" w:rsidP="00034A46">
      <w:pPr>
        <w:pStyle w:val="Bullet"/>
      </w:pPr>
      <w:r w:rsidRPr="0057473B">
        <w:t>The Hub MDT considers the referral, makes a decision or requests additional information from the referrer.</w:t>
      </w:r>
    </w:p>
    <w:p w14:paraId="330E2695" w14:textId="77777777" w:rsidR="0057473B" w:rsidRPr="0057473B" w:rsidRDefault="0057473B" w:rsidP="00034A46">
      <w:pPr>
        <w:pStyle w:val="Bullet"/>
      </w:pPr>
      <w:r w:rsidRPr="0057473B">
        <w:t>The Hub adds accepted referrals to DHR and the outcome is communicated to the referrer, GP and consumer.</w:t>
      </w:r>
    </w:p>
    <w:p w14:paraId="40EAEBC9" w14:textId="77777777" w:rsidR="0057473B" w:rsidRPr="0057473B" w:rsidRDefault="0057473B" w:rsidP="00034A46">
      <w:pPr>
        <w:pStyle w:val="Heading6"/>
      </w:pPr>
      <w:r w:rsidRPr="0057473B">
        <w:t>Referral of a consumer admitted to hospital:</w:t>
      </w:r>
    </w:p>
    <w:p w14:paraId="0F6446B4" w14:textId="77777777" w:rsidR="0057473B" w:rsidRPr="0057473B" w:rsidRDefault="0057473B" w:rsidP="00034A46">
      <w:pPr>
        <w:pStyle w:val="Bullet"/>
      </w:pPr>
      <w:r w:rsidRPr="0057473B">
        <w:t xml:space="preserve">DHR referral early in admission to the Eating Disorder Clinical Hub Transition Clinician (TC). </w:t>
      </w:r>
    </w:p>
    <w:p w14:paraId="14F92236" w14:textId="77777777" w:rsidR="0057473B" w:rsidRPr="0057473B" w:rsidRDefault="0057473B" w:rsidP="00034A46">
      <w:pPr>
        <w:pStyle w:val="Bullet"/>
      </w:pPr>
      <w:r w:rsidRPr="0057473B">
        <w:t>Consumer engagement with TC clinician while in hospital.</w:t>
      </w:r>
    </w:p>
    <w:p w14:paraId="34A23BA6" w14:textId="77777777" w:rsidR="0057473B" w:rsidRPr="0057473B" w:rsidRDefault="0057473B" w:rsidP="00034A46">
      <w:pPr>
        <w:pStyle w:val="Bullet"/>
      </w:pPr>
      <w:r w:rsidRPr="0057473B">
        <w:t>TC assesses whether the residential treatment centre would be appropriate for the admitted hospital consumer.</w:t>
      </w:r>
    </w:p>
    <w:p w14:paraId="4ED71477" w14:textId="20EBA5BC" w:rsidR="0057473B" w:rsidRPr="0057473B" w:rsidRDefault="6804FF82" w:rsidP="00034A46">
      <w:pPr>
        <w:pStyle w:val="Bullet"/>
      </w:pPr>
      <w:r>
        <w:t xml:space="preserve">TC attends hospital MDT </w:t>
      </w:r>
      <w:r w:rsidR="00930EB0">
        <w:t xml:space="preserve">for adults or </w:t>
      </w:r>
      <w:r>
        <w:t xml:space="preserve">(Child and Adolescent Unit (CAU) for age </w:t>
      </w:r>
      <w:r w:rsidR="00930EB0">
        <w:t xml:space="preserve">under </w:t>
      </w:r>
      <w:r>
        <w:t>16</w:t>
      </w:r>
      <w:r w:rsidR="008C6668">
        <w:t xml:space="preserve"> and</w:t>
      </w:r>
      <w:r>
        <w:t xml:space="preserve"> provides advice on Eating Disorders Residential Treatment Centre (EDRTC) bed flow, expected discharges and bed availability. </w:t>
      </w:r>
    </w:p>
    <w:p w14:paraId="2C38E5CF" w14:textId="77777777" w:rsidR="0057473B" w:rsidRPr="0057473B" w:rsidRDefault="0057473B" w:rsidP="00034A46">
      <w:pPr>
        <w:pStyle w:val="Bullet"/>
      </w:pPr>
      <w:r w:rsidRPr="0057473B">
        <w:t xml:space="preserve">TC presents case to EDRTC Hub MDT and completes the referral. </w:t>
      </w:r>
    </w:p>
    <w:p w14:paraId="1DD5021B" w14:textId="77777777" w:rsidR="0057473B" w:rsidRPr="0057473B" w:rsidRDefault="0057473B" w:rsidP="00034A46">
      <w:pPr>
        <w:pStyle w:val="Bullet"/>
      </w:pPr>
      <w:r w:rsidRPr="0057473B">
        <w:t>EDRTC Hub MDT accepts Hub’s recommendation and engages with the medical ward/CAU about bed availability.</w:t>
      </w:r>
    </w:p>
    <w:p w14:paraId="0FBE795D" w14:textId="720D2056" w:rsidR="0057473B" w:rsidRPr="0057473B" w:rsidRDefault="6804FF82" w:rsidP="00034A46">
      <w:pPr>
        <w:pStyle w:val="Bullet"/>
      </w:pPr>
      <w:r>
        <w:t>Consumer is given participant handbook and considers admission to EDRTC</w:t>
      </w:r>
      <w:r w:rsidR="466DFE9B">
        <w:t>.</w:t>
      </w:r>
    </w:p>
    <w:p w14:paraId="19429711" w14:textId="0189AB9C" w:rsidR="0057473B" w:rsidRPr="0057473B" w:rsidRDefault="0057473B" w:rsidP="00034A46">
      <w:pPr>
        <w:pStyle w:val="Bullet"/>
      </w:pPr>
      <w:r w:rsidRPr="0057473B">
        <w:t xml:space="preserve">Following hospital discharge, and dependent on bed availability, the consumer </w:t>
      </w:r>
      <w:r w:rsidR="00F2468F" w:rsidRPr="0057473B">
        <w:t xml:space="preserve">is </w:t>
      </w:r>
      <w:r w:rsidR="00F2468F">
        <w:t>booked</w:t>
      </w:r>
      <w:r w:rsidR="001E1881">
        <w:t xml:space="preserve"> to</w:t>
      </w:r>
      <w:r w:rsidR="00E044B6">
        <w:t xml:space="preserve"> </w:t>
      </w:r>
      <w:r w:rsidRPr="0057473B">
        <w:t>commence</w:t>
      </w:r>
      <w:r w:rsidR="001E1881">
        <w:t xml:space="preserve"> </w:t>
      </w:r>
      <w:r w:rsidRPr="0057473B">
        <w:t>the pre-admission</w:t>
      </w:r>
      <w:r w:rsidR="001E1881">
        <w:t xml:space="preserve"> assessment</w:t>
      </w:r>
      <w:r w:rsidRPr="0057473B">
        <w:t xml:space="preserve">. If the consumer </w:t>
      </w:r>
      <w:r w:rsidR="00E044B6">
        <w:t xml:space="preserve">on the waitlist who requires ongoing monitoring </w:t>
      </w:r>
      <w:r w:rsidRPr="0057473B">
        <w:t xml:space="preserve">may </w:t>
      </w:r>
      <w:r w:rsidR="00E044B6">
        <w:t xml:space="preserve">be </w:t>
      </w:r>
      <w:r w:rsidRPr="0057473B">
        <w:t>refer</w:t>
      </w:r>
      <w:r w:rsidR="00E044B6">
        <w:t>red</w:t>
      </w:r>
      <w:r w:rsidRPr="0057473B">
        <w:t xml:space="preserve"> to Hospital in the Home (HITH) until pre-admission </w:t>
      </w:r>
      <w:r w:rsidR="007E7B5C">
        <w:t xml:space="preserve">is needed. </w:t>
      </w:r>
    </w:p>
    <w:p w14:paraId="5E1814B6" w14:textId="4EE47338" w:rsidR="00510C98" w:rsidRPr="0057473B" w:rsidRDefault="00E044B6" w:rsidP="00034A46">
      <w:pPr>
        <w:pStyle w:val="Bullet"/>
      </w:pPr>
      <w:r>
        <w:t xml:space="preserve">If ongoing </w:t>
      </w:r>
      <w:r w:rsidR="0089134A">
        <w:t>monitoring</w:t>
      </w:r>
      <w:r>
        <w:t xml:space="preserve"> is not </w:t>
      </w:r>
      <w:r w:rsidR="00AD615E">
        <w:t>required,</w:t>
      </w:r>
      <w:r w:rsidR="0089134A">
        <w:t xml:space="preserve"> t</w:t>
      </w:r>
      <w:r w:rsidR="00510C98">
        <w:t xml:space="preserve">he consumer may not need to remain admitted while </w:t>
      </w:r>
      <w:r w:rsidR="0089134A">
        <w:t>on the waitlist</w:t>
      </w:r>
      <w:r w:rsidR="00E0676F">
        <w:t>.</w:t>
      </w:r>
    </w:p>
    <w:p w14:paraId="59E907CC" w14:textId="7F6BE5A1" w:rsidR="0089134A" w:rsidRPr="0057473B" w:rsidRDefault="6804FF82" w:rsidP="00034A46">
      <w:pPr>
        <w:pStyle w:val="Bullet"/>
      </w:pPr>
      <w:r>
        <w:t>If the consumer has acute medical deterioration within two weeks post discharge, either HITH or the inpatient medical team will review the need for medical readmission.</w:t>
      </w:r>
      <w:r w:rsidR="0089134A">
        <w:t xml:space="preserve"> </w:t>
      </w:r>
    </w:p>
    <w:p w14:paraId="5A1DF23A" w14:textId="4957BA38" w:rsidR="0057473B" w:rsidRPr="0057473B" w:rsidRDefault="0057473B" w:rsidP="00034A46">
      <w:pPr>
        <w:pStyle w:val="Heading6"/>
      </w:pPr>
      <w:bookmarkStart w:id="11" w:name="_Hlk163739818"/>
      <w:r w:rsidRPr="0057473B">
        <w:t>Referral of ACT consumers</w:t>
      </w:r>
      <w:r w:rsidR="00034A46">
        <w:t>:</w:t>
      </w:r>
      <w:r w:rsidRPr="0057473B">
        <w:t xml:space="preserve"> </w:t>
      </w:r>
    </w:p>
    <w:p w14:paraId="49E289AA" w14:textId="77777777" w:rsidR="0057473B" w:rsidRPr="0057473B" w:rsidRDefault="0057473B" w:rsidP="00034A46">
      <w:pPr>
        <w:pStyle w:val="Bullet"/>
      </w:pPr>
      <w:r w:rsidRPr="0057473B">
        <w:t>Referrals can be made by self, carer, GP, inpatient facility, private provider.</w:t>
      </w:r>
    </w:p>
    <w:p w14:paraId="12C81C7F" w14:textId="77777777" w:rsidR="0057473B" w:rsidRPr="0057473B" w:rsidRDefault="0057473B" w:rsidP="00034A46">
      <w:pPr>
        <w:pStyle w:val="Bullet"/>
      </w:pPr>
      <w:r w:rsidRPr="0057473B">
        <w:t>The referral is received by the Hub.</w:t>
      </w:r>
    </w:p>
    <w:p w14:paraId="21F9F088" w14:textId="77777777" w:rsidR="0057473B" w:rsidRPr="0057473B" w:rsidRDefault="0057473B" w:rsidP="00034A46">
      <w:pPr>
        <w:pStyle w:val="Bullet"/>
      </w:pPr>
      <w:r w:rsidRPr="0057473B">
        <w:t xml:space="preserve">A clinician from the Hub contacts the consumer and conducts an Initial Presentation by phone. </w:t>
      </w:r>
    </w:p>
    <w:p w14:paraId="0C8D5452" w14:textId="77777777" w:rsidR="0057473B" w:rsidRPr="0057473B" w:rsidRDefault="0057473B" w:rsidP="00034A46">
      <w:pPr>
        <w:pStyle w:val="Bullet"/>
      </w:pPr>
      <w:r w:rsidRPr="0057473B">
        <w:t>At the conclusion of the Initial Presentation, the person will be offered a Single Session Intervention (SSI) with an Eating Disorders clinician.</w:t>
      </w:r>
    </w:p>
    <w:p w14:paraId="24E88922" w14:textId="77777777" w:rsidR="0057473B" w:rsidRPr="0057473B" w:rsidRDefault="0057473B" w:rsidP="00034A46">
      <w:pPr>
        <w:pStyle w:val="Bullet"/>
        <w:rPr>
          <w:lang w:val="en-US"/>
        </w:rPr>
      </w:pPr>
      <w:r w:rsidRPr="0057473B">
        <w:t>The outcome</w:t>
      </w:r>
      <w:r w:rsidRPr="0057473B">
        <w:rPr>
          <w:lang w:val="en-US"/>
        </w:rPr>
        <w:t xml:space="preserve"> of the SSI will be discussed at the Hub MDT.</w:t>
      </w:r>
    </w:p>
    <w:bookmarkEnd w:id="11"/>
    <w:p w14:paraId="07E1B1CD" w14:textId="229CDE8D" w:rsidR="0057473B" w:rsidRPr="0057473B" w:rsidRDefault="0057473B" w:rsidP="00034A46">
      <w:pPr>
        <w:pStyle w:val="Heading6"/>
      </w:pPr>
      <w:r w:rsidRPr="0057473B">
        <w:t>Interstate referrals</w:t>
      </w:r>
      <w:r w:rsidR="00034A46">
        <w:t>:</w:t>
      </w:r>
      <w:r w:rsidRPr="0057473B">
        <w:t xml:space="preserve"> </w:t>
      </w:r>
    </w:p>
    <w:p w14:paraId="786EADC8" w14:textId="77777777" w:rsidR="0057473B" w:rsidRPr="0057473B" w:rsidRDefault="0057473B" w:rsidP="00034A46">
      <w:pPr>
        <w:pStyle w:val="Bullet"/>
      </w:pPr>
      <w:r w:rsidRPr="0057473B">
        <w:t xml:space="preserve">Interstate consumers referred to the Hub must be engaged with a treatment team for their eating disorder diagnosis in their local area. The Hub will liaise with the local team regarding suitability of the referral. </w:t>
      </w:r>
    </w:p>
    <w:p w14:paraId="490DC738" w14:textId="77777777" w:rsidR="0057473B" w:rsidRPr="0057473B" w:rsidRDefault="0057473B" w:rsidP="00034A46">
      <w:pPr>
        <w:pStyle w:val="Bullet"/>
      </w:pPr>
      <w:r w:rsidRPr="0057473B">
        <w:t xml:space="preserve">An Initial Presentation is completed by the Hub.  </w:t>
      </w:r>
    </w:p>
    <w:p w14:paraId="30A08909" w14:textId="77777777" w:rsidR="0057473B" w:rsidRPr="0057473B" w:rsidRDefault="0057473B" w:rsidP="00034A46">
      <w:pPr>
        <w:pStyle w:val="Bullet"/>
      </w:pPr>
      <w:r w:rsidRPr="0057473B">
        <w:t xml:space="preserve">Additional information and a current physical health update are requested from the consumer’s GP via a Hub referral form. </w:t>
      </w:r>
    </w:p>
    <w:p w14:paraId="19B5E202" w14:textId="77777777" w:rsidR="0057473B" w:rsidRPr="0057473B" w:rsidRDefault="0057473B" w:rsidP="00034A46">
      <w:pPr>
        <w:pStyle w:val="Bullet"/>
      </w:pPr>
      <w:r w:rsidRPr="0057473B">
        <w:t xml:space="preserve">An SSI is conducted by the Hub either in person or by telehealth to confirm suitability for residential treatment. </w:t>
      </w:r>
    </w:p>
    <w:p w14:paraId="71AC21FE" w14:textId="77777777" w:rsidR="0057473B" w:rsidRPr="0057473B" w:rsidRDefault="0057473B" w:rsidP="004B2509">
      <w:pPr>
        <w:pStyle w:val="Heading5"/>
      </w:pPr>
      <w:r w:rsidRPr="0057473B">
        <w:t>3.4 Referral assessment and outcomes</w:t>
      </w:r>
    </w:p>
    <w:p w14:paraId="73A1011C" w14:textId="1AFCA8D6" w:rsidR="0057473B" w:rsidRDefault="0057473B" w:rsidP="0057473B">
      <w:pPr>
        <w:pStyle w:val="BodyCopy"/>
        <w:rPr>
          <w:highlight w:val="yellow"/>
        </w:rPr>
      </w:pPr>
      <w:r w:rsidRPr="0057473B">
        <w:t xml:space="preserve">Consumers whose referral for residential treatment is accepted </w:t>
      </w:r>
      <w:r w:rsidR="00B0162F">
        <w:t xml:space="preserve">will </w:t>
      </w:r>
      <w:r w:rsidR="00594A60">
        <w:t xml:space="preserve">have a </w:t>
      </w:r>
      <w:r w:rsidR="00313C14">
        <w:t>physical, dietetic and psychiatric</w:t>
      </w:r>
      <w:r w:rsidR="00594A60">
        <w:t xml:space="preserve"> preadmission </w:t>
      </w:r>
      <w:r w:rsidR="007B0A34" w:rsidRPr="00AD615E">
        <w:t xml:space="preserve">assessment of </w:t>
      </w:r>
      <w:r w:rsidRPr="00AD615E">
        <w:t xml:space="preserve">readiness for the full 12-week program. </w:t>
      </w:r>
    </w:p>
    <w:p w14:paraId="5EB0B6B6" w14:textId="3F1AD77B" w:rsidR="0057473B" w:rsidRPr="0057473B" w:rsidRDefault="0057473B" w:rsidP="004B2509">
      <w:pPr>
        <w:pStyle w:val="Heading6"/>
      </w:pPr>
      <w:r w:rsidRPr="0057473B">
        <w:t>3.4.1 Pre-Admission Assessment</w:t>
      </w:r>
    </w:p>
    <w:p w14:paraId="3C5E5EA0" w14:textId="77777777" w:rsidR="0057473B" w:rsidRPr="0057473B" w:rsidRDefault="0057473B" w:rsidP="0057473B">
      <w:pPr>
        <w:pStyle w:val="BodyCopy"/>
      </w:pPr>
      <w:r w:rsidRPr="0057473B">
        <w:t xml:space="preserve">A Centre clinician contacts the consumer to arrange the pre-admission assessment. This allows time for the consumer to make necessary arrangements. Assessment appointments are conducted at the Centre and include: </w:t>
      </w:r>
    </w:p>
    <w:p w14:paraId="0B60F94B" w14:textId="77777777" w:rsidR="0057473B" w:rsidRPr="0057473B" w:rsidRDefault="0057473B" w:rsidP="00E120F2">
      <w:pPr>
        <w:pStyle w:val="Bullet"/>
      </w:pPr>
      <w:r w:rsidRPr="0057473B">
        <w:t xml:space="preserve">Psychiatric and psycho-social assessment with the Centre psychiatrist and a clinician to confirm psychiatric diagnosis, current psychiatric medications and assess psychosocial functioning, mental state and risk and ensure suitability for admission. </w:t>
      </w:r>
    </w:p>
    <w:p w14:paraId="22486B92" w14:textId="77777777" w:rsidR="0057473B" w:rsidRPr="0057473B" w:rsidRDefault="0057473B" w:rsidP="00E120F2">
      <w:pPr>
        <w:pStyle w:val="Bullet"/>
      </w:pPr>
      <w:r w:rsidRPr="0057473B">
        <w:t>Medical or advanced health assessment with the Centre GP or Nurse Practitioner to review the person’s physical health, treatment of any co-morbid conditions and ensure adequate medical stability for admission.</w:t>
      </w:r>
      <w:r w:rsidRPr="0057473B" w:rsidDel="00641B71">
        <w:t xml:space="preserve"> </w:t>
      </w:r>
    </w:p>
    <w:p w14:paraId="4F5371CA" w14:textId="77777777" w:rsidR="0057473B" w:rsidRPr="0057473B" w:rsidRDefault="0057473B" w:rsidP="00E120F2">
      <w:pPr>
        <w:pStyle w:val="Bullet"/>
      </w:pPr>
      <w:r w:rsidRPr="0057473B">
        <w:t xml:space="preserve">Dietitian assessment. </w:t>
      </w:r>
    </w:p>
    <w:p w14:paraId="4F414399" w14:textId="77777777" w:rsidR="0057473B" w:rsidRPr="0057473B" w:rsidRDefault="0057473B" w:rsidP="00E120F2">
      <w:pPr>
        <w:pStyle w:val="Bullet"/>
      </w:pPr>
      <w:r w:rsidRPr="0057473B">
        <w:t>Orientation.</w:t>
      </w:r>
      <w:r w:rsidRPr="0057473B">
        <w:rPr>
          <w:lang w:val="en-US"/>
        </w:rPr>
        <w:t xml:space="preserve"> </w:t>
      </w:r>
    </w:p>
    <w:p w14:paraId="15CB3008" w14:textId="77777777" w:rsidR="0057473B" w:rsidRPr="0057473B" w:rsidRDefault="0057473B" w:rsidP="004B2509">
      <w:pPr>
        <w:pStyle w:val="Heading6"/>
      </w:pPr>
      <w:r w:rsidRPr="0057473B">
        <w:t xml:space="preserve">3.4.2 Psychiatric Suitability for Admission: </w:t>
      </w:r>
    </w:p>
    <w:p w14:paraId="2EFE6884" w14:textId="77777777" w:rsidR="0057473B" w:rsidRPr="0057473B" w:rsidRDefault="0057473B" w:rsidP="0057473B">
      <w:pPr>
        <w:pStyle w:val="BodyCopy"/>
      </w:pPr>
      <w:r w:rsidRPr="0057473B">
        <w:t xml:space="preserve">The psychiatric/mental health assessment is conducted by the Centre psychiatrist and a mental health clinician to determine suitability and identify any social considerations. </w:t>
      </w:r>
    </w:p>
    <w:p w14:paraId="70FC5FF9" w14:textId="77777777" w:rsidR="0057473B" w:rsidRPr="0057473B" w:rsidRDefault="0057473B" w:rsidP="0057473B">
      <w:pPr>
        <w:pStyle w:val="BodyCopy"/>
      </w:pPr>
      <w:r w:rsidRPr="0057473B">
        <w:t xml:space="preserve">Psychiatric assessment includes: </w:t>
      </w:r>
    </w:p>
    <w:p w14:paraId="1CFAD35D" w14:textId="77777777" w:rsidR="0057473B" w:rsidRPr="0057473B" w:rsidRDefault="0057473B" w:rsidP="00034A46">
      <w:pPr>
        <w:pStyle w:val="Bullet"/>
      </w:pPr>
      <w:r w:rsidRPr="0057473B">
        <w:t>Comprehensive Mental Health assessment.</w:t>
      </w:r>
    </w:p>
    <w:p w14:paraId="5D8B4CA8" w14:textId="77777777" w:rsidR="0057473B" w:rsidRPr="0057473B" w:rsidRDefault="0057473B" w:rsidP="00034A46">
      <w:pPr>
        <w:pStyle w:val="Bullet"/>
      </w:pPr>
      <w:r w:rsidRPr="0057473B">
        <w:t xml:space="preserve">Risk assessment. </w:t>
      </w:r>
    </w:p>
    <w:p w14:paraId="4408B9E0" w14:textId="77777777" w:rsidR="0057473B" w:rsidRPr="0057473B" w:rsidRDefault="0057473B" w:rsidP="00034A46">
      <w:pPr>
        <w:pStyle w:val="Bullet"/>
      </w:pPr>
      <w:r w:rsidRPr="0057473B">
        <w:t>Suicide Vulnerability Assessment Tool (SVAT) and safety plan.</w:t>
      </w:r>
    </w:p>
    <w:p w14:paraId="1DCF8EFC" w14:textId="77777777" w:rsidR="0057473B" w:rsidRPr="0057473B" w:rsidRDefault="0057473B" w:rsidP="00034A46">
      <w:pPr>
        <w:pStyle w:val="Bullet"/>
        <w:rPr>
          <w:lang w:val="en-US"/>
        </w:rPr>
      </w:pPr>
      <w:r w:rsidRPr="0057473B">
        <w:t>Initial Clinical Risk Assessment (CRA) will be completed and assigned an At Risk Category Level (</w:t>
      </w:r>
      <w:r w:rsidRPr="0057473B">
        <w:rPr>
          <w:lang w:val="en-US"/>
        </w:rPr>
        <w:t>ARC).</w:t>
      </w:r>
    </w:p>
    <w:p w14:paraId="3EAD0D66" w14:textId="77777777" w:rsidR="0057473B" w:rsidRPr="0057473B" w:rsidRDefault="0057473B" w:rsidP="0057473B">
      <w:pPr>
        <w:pStyle w:val="BodyCopy"/>
      </w:pPr>
      <w:r w:rsidRPr="0057473B">
        <w:t>Consumers with current NSSI and/or suicidal behaviours identified during risk assessment will be referred to an appropriate service for ongoing management prior to acceptance for admission.</w:t>
      </w:r>
    </w:p>
    <w:p w14:paraId="0FE7D035" w14:textId="77777777" w:rsidR="0057473B" w:rsidRPr="0057473B" w:rsidRDefault="0057473B" w:rsidP="004B2509">
      <w:pPr>
        <w:pStyle w:val="Heading6"/>
      </w:pPr>
      <w:r w:rsidRPr="0057473B">
        <w:t>3.4.3 Medical Stability for Admission</w:t>
      </w:r>
    </w:p>
    <w:p w14:paraId="4B2B460A" w14:textId="77777777" w:rsidR="0057473B" w:rsidRPr="0057473B" w:rsidRDefault="0057473B" w:rsidP="0057473B">
      <w:pPr>
        <w:pStyle w:val="BodyCopy"/>
      </w:pPr>
      <w:bookmarkStart w:id="12" w:name="_Hlk163641034"/>
      <w:r>
        <w:t>The physical health assessment is conducted by the Centre GP or Nurse Practitioner to determine medical stability and risk of Refeeding Syndrome.</w:t>
      </w:r>
    </w:p>
    <w:bookmarkEnd w:id="12"/>
    <w:p w14:paraId="562ABDBB" w14:textId="77777777" w:rsidR="0057473B" w:rsidRPr="0057473B" w:rsidRDefault="0057473B" w:rsidP="0057473B">
      <w:pPr>
        <w:pStyle w:val="BodyCopy"/>
      </w:pPr>
      <w:r w:rsidRPr="0057473B">
        <w:t xml:space="preserve">The physical health assessment includes: </w:t>
      </w:r>
    </w:p>
    <w:p w14:paraId="40BD8F71" w14:textId="77777777" w:rsidR="0057473B" w:rsidRPr="0057473B" w:rsidRDefault="0057473B" w:rsidP="00034A46">
      <w:pPr>
        <w:pStyle w:val="Bullet"/>
      </w:pPr>
      <w:r w:rsidRPr="0057473B">
        <w:t>Physical examination.</w:t>
      </w:r>
    </w:p>
    <w:p w14:paraId="4334BA17" w14:textId="77777777" w:rsidR="0057473B" w:rsidRPr="0057473B" w:rsidRDefault="0057473B" w:rsidP="00034A46">
      <w:pPr>
        <w:pStyle w:val="Bullet"/>
      </w:pPr>
      <w:r w:rsidRPr="0057473B">
        <w:t>Vital observations and anthropometry.</w:t>
      </w:r>
    </w:p>
    <w:p w14:paraId="58D3EE9A" w14:textId="77777777" w:rsidR="0057473B" w:rsidRPr="0057473B" w:rsidRDefault="0057473B" w:rsidP="00034A46">
      <w:pPr>
        <w:pStyle w:val="Bullet"/>
      </w:pPr>
      <w:r w:rsidRPr="0057473B">
        <w:t>Collation and/or ordering of recent pathology and diagnostic test results.</w:t>
      </w:r>
    </w:p>
    <w:p w14:paraId="55757983" w14:textId="77777777" w:rsidR="0057473B" w:rsidRPr="0057473B" w:rsidRDefault="0057473B" w:rsidP="00034A46">
      <w:pPr>
        <w:pStyle w:val="Bullet"/>
        <w:rPr>
          <w:lang w:val="en-US"/>
        </w:rPr>
      </w:pPr>
      <w:r w:rsidRPr="0057473B">
        <w:t>Review</w:t>
      </w:r>
      <w:r w:rsidRPr="0057473B">
        <w:rPr>
          <w:lang w:val="en-US"/>
        </w:rPr>
        <w:t xml:space="preserve"> of communication from the consumer’s GP.</w:t>
      </w:r>
    </w:p>
    <w:p w14:paraId="16C38231" w14:textId="77777777" w:rsidR="0057473B" w:rsidRPr="0057473B" w:rsidRDefault="0057473B" w:rsidP="0057473B">
      <w:pPr>
        <w:pStyle w:val="BodyCopy"/>
      </w:pPr>
      <w:r w:rsidRPr="0057473B">
        <w:t xml:space="preserve">The </w:t>
      </w:r>
      <w:r w:rsidRPr="0057473B">
        <w:rPr>
          <w:i/>
        </w:rPr>
        <w:t>CHS Guideline: Adults with Eating Disorders – Medical Management of Inpatients</w:t>
      </w:r>
      <w:r w:rsidRPr="0057473B">
        <w:t xml:space="preserve"> provides guidance for when a medical admission should be considered for people who are assessed as high or extreme risk of Refeeding Syndrome, as indicated in the table below. </w:t>
      </w:r>
    </w:p>
    <w:p w14:paraId="65663EFB" w14:textId="77777777" w:rsidR="0057473B" w:rsidRPr="0057473B" w:rsidRDefault="0057473B" w:rsidP="0057473B">
      <w:pPr>
        <w:pStyle w:val="BodyCopy"/>
      </w:pPr>
      <w:r w:rsidRPr="0057473B">
        <w:t>The medical admitting officer and MDT will use clinical discretion to decide whether a consumer with some borderline indicators in the high-risk category can be safely medically managed in the Centre.</w:t>
      </w:r>
    </w:p>
    <w:p w14:paraId="1E8B1155" w14:textId="77777777" w:rsidR="0057473B" w:rsidRPr="0057473B" w:rsidRDefault="0057473B" w:rsidP="0057473B">
      <w:pPr>
        <w:pStyle w:val="BodyCopy"/>
      </w:pPr>
      <w:r w:rsidRPr="0057473B">
        <w:t>A consumer who is at extreme risk of Refeeding Syndrome (meets any criteria in the Extreme column) cannot safely be medically managed at the Centre. They will require further medical assessment and management prior to an admission to the Centre.</w:t>
      </w:r>
    </w:p>
    <w:p w14:paraId="58249DCE" w14:textId="7C138026" w:rsidR="0057473B" w:rsidRPr="0057473B" w:rsidRDefault="0057473B" w:rsidP="00596DAA">
      <w:pPr>
        <w:pStyle w:val="Tabletitle-numbered"/>
      </w:pPr>
      <w:r w:rsidRPr="0057473B">
        <w:t xml:space="preserve">Refeeding risk matrix </w:t>
      </w:r>
    </w:p>
    <w:tbl>
      <w:tblPr>
        <w:tblStyle w:val="TableGrid"/>
        <w:tblW w:w="10060" w:type="dxa"/>
        <w:tblLayout w:type="fixed"/>
        <w:tblLook w:val="06A0" w:firstRow="1" w:lastRow="0" w:firstColumn="1" w:lastColumn="0" w:noHBand="1" w:noVBand="1"/>
      </w:tblPr>
      <w:tblGrid>
        <w:gridCol w:w="3020"/>
        <w:gridCol w:w="3212"/>
        <w:gridCol w:w="3828"/>
      </w:tblGrid>
      <w:tr w:rsidR="00A04707" w:rsidRPr="00A04707" w14:paraId="5A2D6F34" w14:textId="77777777" w:rsidTr="00034A46">
        <w:trPr>
          <w:trHeight w:val="300"/>
          <w:tblHeader/>
        </w:trPr>
        <w:tc>
          <w:tcPr>
            <w:tcW w:w="3020" w:type="dxa"/>
            <w:shd w:val="clear" w:color="auto" w:fill="3D2262" w:themeFill="accent1"/>
          </w:tcPr>
          <w:p w14:paraId="0FC6BCF5" w14:textId="77777777" w:rsidR="0057473B" w:rsidRPr="00A04707" w:rsidRDefault="0057473B" w:rsidP="0057473B">
            <w:pPr>
              <w:pStyle w:val="BodyCopy"/>
              <w:rPr>
                <w:b/>
                <w:bCs w:val="0"/>
                <w:color w:val="FFFFFF" w:themeColor="background1"/>
              </w:rPr>
            </w:pPr>
            <w:r w:rsidRPr="00A04707">
              <w:rPr>
                <w:b/>
                <w:bCs w:val="0"/>
                <w:color w:val="FFFFFF" w:themeColor="background1"/>
              </w:rPr>
              <w:t>REFEEDING RISK</w:t>
            </w:r>
          </w:p>
        </w:tc>
        <w:tc>
          <w:tcPr>
            <w:tcW w:w="3212" w:type="dxa"/>
            <w:shd w:val="clear" w:color="auto" w:fill="3D2262" w:themeFill="accent1"/>
          </w:tcPr>
          <w:p w14:paraId="564BC3AA" w14:textId="77777777" w:rsidR="0057473B" w:rsidRPr="00A04707" w:rsidRDefault="0057473B" w:rsidP="0057473B">
            <w:pPr>
              <w:pStyle w:val="BodyCopy"/>
              <w:rPr>
                <w:b/>
                <w:bCs w:val="0"/>
                <w:color w:val="FFFFFF" w:themeColor="background1"/>
              </w:rPr>
            </w:pPr>
            <w:r w:rsidRPr="00A04707">
              <w:rPr>
                <w:b/>
                <w:bCs w:val="0"/>
                <w:color w:val="FFFFFF" w:themeColor="background1"/>
              </w:rPr>
              <w:t>High</w:t>
            </w:r>
          </w:p>
        </w:tc>
        <w:tc>
          <w:tcPr>
            <w:tcW w:w="3828" w:type="dxa"/>
            <w:shd w:val="clear" w:color="auto" w:fill="3D2262" w:themeFill="accent1"/>
          </w:tcPr>
          <w:p w14:paraId="339E4798" w14:textId="77777777" w:rsidR="0057473B" w:rsidRPr="00A04707" w:rsidRDefault="0057473B" w:rsidP="0057473B">
            <w:pPr>
              <w:pStyle w:val="BodyCopy"/>
              <w:rPr>
                <w:b/>
                <w:bCs w:val="0"/>
                <w:color w:val="FFFFFF" w:themeColor="background1"/>
              </w:rPr>
            </w:pPr>
            <w:r w:rsidRPr="00A04707">
              <w:rPr>
                <w:b/>
                <w:bCs w:val="0"/>
                <w:color w:val="FFFFFF" w:themeColor="background1"/>
              </w:rPr>
              <w:t>Extreme</w:t>
            </w:r>
          </w:p>
        </w:tc>
      </w:tr>
      <w:tr w:rsidR="0057473B" w:rsidRPr="0057473B" w14:paraId="0DA6E572" w14:textId="77777777" w:rsidTr="38D13D7D">
        <w:trPr>
          <w:trHeight w:val="300"/>
        </w:trPr>
        <w:tc>
          <w:tcPr>
            <w:tcW w:w="3020" w:type="dxa"/>
          </w:tcPr>
          <w:p w14:paraId="1C1007B1" w14:textId="77777777" w:rsidR="0057473B" w:rsidRPr="0057473B" w:rsidRDefault="0057473B" w:rsidP="0057473B">
            <w:pPr>
              <w:pStyle w:val="BodyCopy"/>
            </w:pPr>
            <w:r w:rsidRPr="0057473B">
              <w:t>Weight</w:t>
            </w:r>
          </w:p>
        </w:tc>
        <w:tc>
          <w:tcPr>
            <w:tcW w:w="3212" w:type="dxa"/>
          </w:tcPr>
          <w:p w14:paraId="2E03D70F" w14:textId="77777777" w:rsidR="0057473B" w:rsidRPr="0057473B" w:rsidRDefault="0057473B" w:rsidP="0057473B">
            <w:pPr>
              <w:pStyle w:val="BodyCopy"/>
            </w:pPr>
            <w:r w:rsidRPr="0057473B">
              <w:t>Body Mass Index (BMI) &lt;16kg/m</w:t>
            </w:r>
            <w:r w:rsidRPr="0057473B">
              <w:rPr>
                <w:vertAlign w:val="superscript"/>
              </w:rPr>
              <w:t>2</w:t>
            </w:r>
          </w:p>
        </w:tc>
        <w:tc>
          <w:tcPr>
            <w:tcW w:w="3828" w:type="dxa"/>
          </w:tcPr>
          <w:p w14:paraId="645E3868" w14:textId="77777777" w:rsidR="0057473B" w:rsidRPr="0057473B" w:rsidRDefault="0057473B" w:rsidP="0057473B">
            <w:pPr>
              <w:pStyle w:val="BodyCopy"/>
            </w:pPr>
            <w:r w:rsidRPr="0057473B">
              <w:t>BMI &lt;14kg/m</w:t>
            </w:r>
            <w:r w:rsidRPr="0057473B">
              <w:rPr>
                <w:vertAlign w:val="superscript"/>
              </w:rPr>
              <w:t>2</w:t>
            </w:r>
          </w:p>
        </w:tc>
      </w:tr>
      <w:tr w:rsidR="00034A46" w:rsidRPr="0057473B" w14:paraId="03150A69" w14:textId="77777777" w:rsidTr="00034A46">
        <w:trPr>
          <w:trHeight w:val="300"/>
        </w:trPr>
        <w:tc>
          <w:tcPr>
            <w:tcW w:w="3020" w:type="dxa"/>
          </w:tcPr>
          <w:p w14:paraId="56BCFCF6" w14:textId="77777777" w:rsidR="00034A46" w:rsidRPr="0057473B" w:rsidRDefault="00034A46" w:rsidP="0057473B">
            <w:pPr>
              <w:pStyle w:val="BodyCopy"/>
            </w:pPr>
            <w:r>
              <w:t>Weight loss</w:t>
            </w:r>
          </w:p>
        </w:tc>
        <w:tc>
          <w:tcPr>
            <w:tcW w:w="3212" w:type="dxa"/>
          </w:tcPr>
          <w:p w14:paraId="043F876E" w14:textId="77777777" w:rsidR="00034A46" w:rsidRPr="0057473B" w:rsidRDefault="00034A46" w:rsidP="0057473B">
            <w:pPr>
              <w:pStyle w:val="BodyCopy"/>
            </w:pPr>
            <w:r w:rsidRPr="0057473B">
              <w:t>&gt;10% body weight loss within the last 3-6 months or ≥1kg/week over several weeks</w:t>
            </w:r>
          </w:p>
        </w:tc>
        <w:tc>
          <w:tcPr>
            <w:tcW w:w="3828" w:type="dxa"/>
          </w:tcPr>
          <w:p w14:paraId="2B414C33" w14:textId="11A72BD0" w:rsidR="00034A46" w:rsidRPr="0057473B" w:rsidRDefault="00034A46" w:rsidP="0057473B">
            <w:pPr>
              <w:pStyle w:val="BodyCopy"/>
            </w:pPr>
            <w:r w:rsidRPr="0057473B">
              <w:t>&gt;10% body weight loss within the last 3-6 months or ≥1kg/week over several weeks</w:t>
            </w:r>
          </w:p>
        </w:tc>
      </w:tr>
      <w:tr w:rsidR="00034A46" w:rsidRPr="0057473B" w14:paraId="472B8B40" w14:textId="77777777" w:rsidTr="00034A46">
        <w:trPr>
          <w:trHeight w:val="300"/>
        </w:trPr>
        <w:tc>
          <w:tcPr>
            <w:tcW w:w="3020" w:type="dxa"/>
          </w:tcPr>
          <w:p w14:paraId="593D155E" w14:textId="77777777" w:rsidR="00034A46" w:rsidRPr="0057473B" w:rsidRDefault="00034A46" w:rsidP="00034A46">
            <w:pPr>
              <w:pStyle w:val="BodyCopy"/>
            </w:pPr>
            <w:r w:rsidRPr="0057473B">
              <w:t>Oral intake</w:t>
            </w:r>
          </w:p>
        </w:tc>
        <w:tc>
          <w:tcPr>
            <w:tcW w:w="3212" w:type="dxa"/>
            <w:shd w:val="clear" w:color="auto" w:fill="auto"/>
          </w:tcPr>
          <w:p w14:paraId="4F216373" w14:textId="77777777" w:rsidR="00034A46" w:rsidRPr="0057473B" w:rsidRDefault="00034A46" w:rsidP="00034A46">
            <w:pPr>
              <w:pStyle w:val="BodyCopy"/>
            </w:pPr>
            <w:r w:rsidRPr="0057473B">
              <w:t>None or negligible oral intake for &gt;7 days (&lt;500 kcal, or 50g carbohydrate/d) &amp; BMI &lt;18.5kg/m</w:t>
            </w:r>
            <w:r w:rsidRPr="0057473B">
              <w:rPr>
                <w:vertAlign w:val="superscript"/>
              </w:rPr>
              <w:t>2</w:t>
            </w:r>
          </w:p>
        </w:tc>
        <w:tc>
          <w:tcPr>
            <w:tcW w:w="3828" w:type="dxa"/>
            <w:shd w:val="clear" w:color="auto" w:fill="auto"/>
          </w:tcPr>
          <w:p w14:paraId="17698BF9" w14:textId="0F65B690" w:rsidR="00034A46" w:rsidRPr="0057473B" w:rsidRDefault="00034A46" w:rsidP="00034A46">
            <w:pPr>
              <w:pStyle w:val="BodyCopy"/>
            </w:pPr>
            <w:r w:rsidRPr="0057473B">
              <w:t>None or negligible oral intake for &gt;7 days (&lt;500 kcal, or 50g carbohydrate/d) &amp; BMI &lt;18.5kg/m</w:t>
            </w:r>
            <w:r w:rsidRPr="0057473B">
              <w:rPr>
                <w:vertAlign w:val="superscript"/>
              </w:rPr>
              <w:t>2</w:t>
            </w:r>
          </w:p>
        </w:tc>
      </w:tr>
      <w:tr w:rsidR="00034A46" w:rsidRPr="0057473B" w14:paraId="59A5BEC7" w14:textId="77777777" w:rsidTr="38D13D7D">
        <w:trPr>
          <w:trHeight w:val="300"/>
        </w:trPr>
        <w:tc>
          <w:tcPr>
            <w:tcW w:w="3020" w:type="dxa"/>
          </w:tcPr>
          <w:p w14:paraId="6C89EE23" w14:textId="77777777" w:rsidR="00034A46" w:rsidRPr="0057473B" w:rsidRDefault="00034A46" w:rsidP="00034A46">
            <w:pPr>
              <w:pStyle w:val="BodyCopy"/>
            </w:pPr>
            <w:r w:rsidRPr="0057473B">
              <w:t>Systolic BP</w:t>
            </w:r>
          </w:p>
        </w:tc>
        <w:tc>
          <w:tcPr>
            <w:tcW w:w="3212" w:type="dxa"/>
          </w:tcPr>
          <w:p w14:paraId="0281B765" w14:textId="77777777" w:rsidR="00034A46" w:rsidRPr="0057473B" w:rsidRDefault="00034A46" w:rsidP="00034A46">
            <w:pPr>
              <w:pStyle w:val="BodyCopy"/>
            </w:pPr>
            <w:r w:rsidRPr="0057473B">
              <w:t>&lt;90mmHg</w:t>
            </w:r>
          </w:p>
        </w:tc>
        <w:tc>
          <w:tcPr>
            <w:tcW w:w="3828" w:type="dxa"/>
          </w:tcPr>
          <w:p w14:paraId="456548C6" w14:textId="77777777" w:rsidR="00034A46" w:rsidRPr="0057473B" w:rsidRDefault="00034A46" w:rsidP="00034A46">
            <w:pPr>
              <w:pStyle w:val="BodyCopy"/>
            </w:pPr>
            <w:r w:rsidRPr="0057473B">
              <w:t>&lt;80mmHG</w:t>
            </w:r>
          </w:p>
        </w:tc>
      </w:tr>
      <w:tr w:rsidR="00034A46" w:rsidRPr="0057473B" w14:paraId="61C4968A" w14:textId="77777777" w:rsidTr="38D13D7D">
        <w:trPr>
          <w:trHeight w:val="300"/>
        </w:trPr>
        <w:tc>
          <w:tcPr>
            <w:tcW w:w="3020" w:type="dxa"/>
          </w:tcPr>
          <w:p w14:paraId="4694C9E2" w14:textId="77777777" w:rsidR="00034A46" w:rsidRPr="0057473B" w:rsidRDefault="00034A46" w:rsidP="00034A46">
            <w:pPr>
              <w:pStyle w:val="BodyCopy"/>
            </w:pPr>
            <w:r w:rsidRPr="0057473B">
              <w:t>Postural BP</w:t>
            </w:r>
          </w:p>
        </w:tc>
        <w:tc>
          <w:tcPr>
            <w:tcW w:w="3212" w:type="dxa"/>
          </w:tcPr>
          <w:p w14:paraId="5511CB07" w14:textId="77777777" w:rsidR="00034A46" w:rsidRPr="0057473B" w:rsidRDefault="00034A46" w:rsidP="00034A46">
            <w:pPr>
              <w:pStyle w:val="BodyCopy"/>
            </w:pPr>
            <w:r w:rsidRPr="0057473B">
              <w:t>&gt;10mmHg drop when standing</w:t>
            </w:r>
          </w:p>
        </w:tc>
        <w:tc>
          <w:tcPr>
            <w:tcW w:w="3828" w:type="dxa"/>
          </w:tcPr>
          <w:p w14:paraId="26A6A2E9" w14:textId="77777777" w:rsidR="00034A46" w:rsidRPr="0057473B" w:rsidRDefault="00034A46" w:rsidP="00034A46">
            <w:pPr>
              <w:pStyle w:val="BodyCopy"/>
            </w:pPr>
            <w:r w:rsidRPr="0057473B">
              <w:t>&gt;20mmHg drop when standing</w:t>
            </w:r>
          </w:p>
        </w:tc>
      </w:tr>
      <w:tr w:rsidR="00034A46" w:rsidRPr="0057473B" w14:paraId="7C8468D1" w14:textId="77777777" w:rsidTr="38D13D7D">
        <w:trPr>
          <w:trHeight w:val="300"/>
        </w:trPr>
        <w:tc>
          <w:tcPr>
            <w:tcW w:w="3020" w:type="dxa"/>
          </w:tcPr>
          <w:p w14:paraId="4DD01A6D" w14:textId="77777777" w:rsidR="00034A46" w:rsidRPr="0057473B" w:rsidRDefault="00034A46" w:rsidP="00034A46">
            <w:pPr>
              <w:pStyle w:val="BodyCopy"/>
            </w:pPr>
            <w:r w:rsidRPr="0057473B">
              <w:t>Heart Rate</w:t>
            </w:r>
          </w:p>
        </w:tc>
        <w:tc>
          <w:tcPr>
            <w:tcW w:w="3212" w:type="dxa"/>
          </w:tcPr>
          <w:p w14:paraId="4392AFD3" w14:textId="77777777" w:rsidR="00034A46" w:rsidRPr="0057473B" w:rsidRDefault="00034A46" w:rsidP="00034A46">
            <w:pPr>
              <w:pStyle w:val="BodyCopy"/>
            </w:pPr>
            <w:r w:rsidRPr="0057473B">
              <w:t>&lt;50bpm</w:t>
            </w:r>
          </w:p>
        </w:tc>
        <w:tc>
          <w:tcPr>
            <w:tcW w:w="3828" w:type="dxa"/>
          </w:tcPr>
          <w:p w14:paraId="6D6FFE87" w14:textId="77777777" w:rsidR="00034A46" w:rsidRPr="0057473B" w:rsidRDefault="00034A46" w:rsidP="00034A46">
            <w:pPr>
              <w:pStyle w:val="BodyCopy"/>
            </w:pPr>
            <w:r>
              <w:t>&lt;40bpm or &gt;110bpm or significant postural tachycardia (&gt;10 bpm when standing)</w:t>
            </w:r>
          </w:p>
        </w:tc>
      </w:tr>
      <w:tr w:rsidR="00034A46" w:rsidRPr="0057473B" w14:paraId="48A583CD" w14:textId="77777777" w:rsidTr="38D13D7D">
        <w:trPr>
          <w:trHeight w:val="300"/>
        </w:trPr>
        <w:tc>
          <w:tcPr>
            <w:tcW w:w="3020" w:type="dxa"/>
          </w:tcPr>
          <w:p w14:paraId="7EB609CA" w14:textId="77777777" w:rsidR="00034A46" w:rsidRPr="0057473B" w:rsidRDefault="00034A46" w:rsidP="00034A46">
            <w:pPr>
              <w:pStyle w:val="BodyCopy"/>
            </w:pPr>
            <w:r w:rsidRPr="0057473B">
              <w:t>Temperature</w:t>
            </w:r>
          </w:p>
        </w:tc>
        <w:tc>
          <w:tcPr>
            <w:tcW w:w="3212" w:type="dxa"/>
          </w:tcPr>
          <w:p w14:paraId="28A291EE" w14:textId="77777777" w:rsidR="00034A46" w:rsidRPr="0057473B" w:rsidRDefault="00034A46" w:rsidP="00034A46">
            <w:pPr>
              <w:pStyle w:val="BodyCopy"/>
            </w:pPr>
            <w:r w:rsidRPr="0057473B">
              <w:t>&lt;35.5°C</w:t>
            </w:r>
          </w:p>
        </w:tc>
        <w:tc>
          <w:tcPr>
            <w:tcW w:w="3828" w:type="dxa"/>
          </w:tcPr>
          <w:p w14:paraId="7FC52190" w14:textId="77777777" w:rsidR="00034A46" w:rsidRPr="0057473B" w:rsidRDefault="00034A46" w:rsidP="00034A46">
            <w:pPr>
              <w:pStyle w:val="BodyCopy"/>
            </w:pPr>
            <w:r w:rsidRPr="0057473B">
              <w:t>&lt;35°C or extremities are cold and blue</w:t>
            </w:r>
          </w:p>
        </w:tc>
      </w:tr>
      <w:tr w:rsidR="00034A46" w:rsidRPr="0057473B" w14:paraId="22924304" w14:textId="77777777" w:rsidTr="38D13D7D">
        <w:trPr>
          <w:trHeight w:val="300"/>
        </w:trPr>
        <w:tc>
          <w:tcPr>
            <w:tcW w:w="3020" w:type="dxa"/>
          </w:tcPr>
          <w:p w14:paraId="10BE3E4B" w14:textId="77777777" w:rsidR="00034A46" w:rsidRPr="0057473B" w:rsidRDefault="00034A46" w:rsidP="00034A46">
            <w:pPr>
              <w:pStyle w:val="BodyCopy"/>
            </w:pPr>
            <w:r w:rsidRPr="0057473B">
              <w:t>ECG findings</w:t>
            </w:r>
          </w:p>
        </w:tc>
        <w:tc>
          <w:tcPr>
            <w:tcW w:w="3212" w:type="dxa"/>
          </w:tcPr>
          <w:p w14:paraId="6D688F85" w14:textId="5C037D57" w:rsidR="00034A46" w:rsidRPr="0057473B" w:rsidRDefault="004C7CC9" w:rsidP="00034A46">
            <w:pPr>
              <w:pStyle w:val="BodyCopy"/>
            </w:pPr>
            <w:r>
              <w:t>Not applicable</w:t>
            </w:r>
          </w:p>
        </w:tc>
        <w:tc>
          <w:tcPr>
            <w:tcW w:w="3828" w:type="dxa"/>
          </w:tcPr>
          <w:p w14:paraId="5F56DE12" w14:textId="77777777" w:rsidR="00034A46" w:rsidRPr="0057473B" w:rsidRDefault="00034A46" w:rsidP="00034A46">
            <w:pPr>
              <w:pStyle w:val="BodyCopy"/>
            </w:pPr>
            <w:r>
              <w:t>Any arrhythmia including QTc prolongation or non-specific ST or T wave changes including inversion or biphasic waves</w:t>
            </w:r>
          </w:p>
        </w:tc>
      </w:tr>
      <w:tr w:rsidR="00034A46" w:rsidRPr="0057473B" w14:paraId="000F3ACF" w14:textId="77777777" w:rsidTr="38D13D7D">
        <w:trPr>
          <w:trHeight w:val="300"/>
        </w:trPr>
        <w:tc>
          <w:tcPr>
            <w:tcW w:w="3020" w:type="dxa"/>
          </w:tcPr>
          <w:p w14:paraId="6021A833" w14:textId="77777777" w:rsidR="00034A46" w:rsidRPr="0057473B" w:rsidRDefault="00034A46" w:rsidP="00034A46">
            <w:pPr>
              <w:pStyle w:val="BodyCopy"/>
            </w:pPr>
            <w:r w:rsidRPr="0057473B">
              <w:t>Blood sugar</w:t>
            </w:r>
          </w:p>
        </w:tc>
        <w:tc>
          <w:tcPr>
            <w:tcW w:w="3212" w:type="dxa"/>
          </w:tcPr>
          <w:p w14:paraId="063E8BC4" w14:textId="77777777" w:rsidR="00034A46" w:rsidRPr="0057473B" w:rsidRDefault="00034A46" w:rsidP="00034A46">
            <w:pPr>
              <w:pStyle w:val="BodyCopy"/>
            </w:pPr>
            <w:r w:rsidRPr="0057473B">
              <w:t>&lt;3.5mmol/L</w:t>
            </w:r>
          </w:p>
        </w:tc>
        <w:tc>
          <w:tcPr>
            <w:tcW w:w="3828" w:type="dxa"/>
          </w:tcPr>
          <w:p w14:paraId="28848C83" w14:textId="77777777" w:rsidR="00034A46" w:rsidRPr="0057473B" w:rsidRDefault="00034A46" w:rsidP="00034A46">
            <w:pPr>
              <w:pStyle w:val="BodyCopy"/>
            </w:pPr>
            <w:r w:rsidRPr="0057473B">
              <w:t>&lt;2.5mmol/L</w:t>
            </w:r>
          </w:p>
        </w:tc>
      </w:tr>
      <w:tr w:rsidR="00034A46" w:rsidRPr="0057473B" w14:paraId="6BD1BB02" w14:textId="77777777" w:rsidTr="38D13D7D">
        <w:trPr>
          <w:trHeight w:val="300"/>
        </w:trPr>
        <w:tc>
          <w:tcPr>
            <w:tcW w:w="3020" w:type="dxa"/>
          </w:tcPr>
          <w:p w14:paraId="634FDA09" w14:textId="77777777" w:rsidR="00034A46" w:rsidRPr="0057473B" w:rsidRDefault="00034A46" w:rsidP="00034A46">
            <w:pPr>
              <w:pStyle w:val="BodyCopy"/>
            </w:pPr>
            <w:r w:rsidRPr="0057473B">
              <w:t>Sodium</w:t>
            </w:r>
          </w:p>
        </w:tc>
        <w:tc>
          <w:tcPr>
            <w:tcW w:w="3212" w:type="dxa"/>
          </w:tcPr>
          <w:p w14:paraId="096C6603" w14:textId="77777777" w:rsidR="00034A46" w:rsidRPr="0057473B" w:rsidRDefault="00034A46" w:rsidP="00034A46">
            <w:pPr>
              <w:pStyle w:val="BodyCopy"/>
            </w:pPr>
            <w:r w:rsidRPr="0057473B">
              <w:t>&lt;130mmol/L</w:t>
            </w:r>
          </w:p>
        </w:tc>
        <w:tc>
          <w:tcPr>
            <w:tcW w:w="3828" w:type="dxa"/>
          </w:tcPr>
          <w:p w14:paraId="1E9240EE" w14:textId="77777777" w:rsidR="00034A46" w:rsidRPr="0057473B" w:rsidRDefault="00034A46" w:rsidP="00034A46">
            <w:pPr>
              <w:pStyle w:val="BodyCopy"/>
            </w:pPr>
            <w:r w:rsidRPr="0057473B">
              <w:t>&lt;125mmol/L</w:t>
            </w:r>
          </w:p>
        </w:tc>
      </w:tr>
      <w:tr w:rsidR="00034A46" w:rsidRPr="0057473B" w14:paraId="1B550E97" w14:textId="77777777" w:rsidTr="38D13D7D">
        <w:trPr>
          <w:trHeight w:val="300"/>
        </w:trPr>
        <w:tc>
          <w:tcPr>
            <w:tcW w:w="3020" w:type="dxa"/>
          </w:tcPr>
          <w:p w14:paraId="68001FAE" w14:textId="77777777" w:rsidR="00034A46" w:rsidRPr="0057473B" w:rsidRDefault="00034A46" w:rsidP="00034A46">
            <w:pPr>
              <w:pStyle w:val="BodyCopy"/>
            </w:pPr>
            <w:r w:rsidRPr="0057473B">
              <w:t>Potassium</w:t>
            </w:r>
          </w:p>
        </w:tc>
        <w:tc>
          <w:tcPr>
            <w:tcW w:w="3212" w:type="dxa"/>
          </w:tcPr>
          <w:p w14:paraId="67CC3C09" w14:textId="77777777" w:rsidR="00034A46" w:rsidRPr="0057473B" w:rsidRDefault="00034A46" w:rsidP="00034A46">
            <w:pPr>
              <w:pStyle w:val="BodyCopy"/>
            </w:pPr>
            <w:r w:rsidRPr="0057473B">
              <w:t>&lt;3.5mmol/L</w:t>
            </w:r>
          </w:p>
        </w:tc>
        <w:tc>
          <w:tcPr>
            <w:tcW w:w="3828" w:type="dxa"/>
          </w:tcPr>
          <w:p w14:paraId="21281FB4" w14:textId="77777777" w:rsidR="00034A46" w:rsidRPr="0057473B" w:rsidRDefault="00034A46" w:rsidP="00034A46">
            <w:pPr>
              <w:pStyle w:val="BodyCopy"/>
            </w:pPr>
            <w:r w:rsidRPr="0057473B">
              <w:t>&lt;3.0mmol/L</w:t>
            </w:r>
          </w:p>
        </w:tc>
      </w:tr>
      <w:tr w:rsidR="00034A46" w:rsidRPr="0057473B" w14:paraId="7587623A" w14:textId="77777777" w:rsidTr="38D13D7D">
        <w:trPr>
          <w:trHeight w:val="300"/>
        </w:trPr>
        <w:tc>
          <w:tcPr>
            <w:tcW w:w="3020" w:type="dxa"/>
          </w:tcPr>
          <w:p w14:paraId="291D744C" w14:textId="77777777" w:rsidR="00034A46" w:rsidRPr="0057473B" w:rsidRDefault="00034A46" w:rsidP="00034A46">
            <w:pPr>
              <w:pStyle w:val="BodyCopy"/>
            </w:pPr>
            <w:r w:rsidRPr="0057473B">
              <w:t>Magnesium</w:t>
            </w:r>
          </w:p>
        </w:tc>
        <w:tc>
          <w:tcPr>
            <w:tcW w:w="3212" w:type="dxa"/>
          </w:tcPr>
          <w:p w14:paraId="6A035F59" w14:textId="77777777" w:rsidR="00034A46" w:rsidRPr="0057473B" w:rsidRDefault="00034A46" w:rsidP="00034A46">
            <w:pPr>
              <w:pStyle w:val="BodyCopy"/>
            </w:pPr>
            <w:r w:rsidRPr="0057473B">
              <w:t>0.7 – 1.0 mmol/L</w:t>
            </w:r>
          </w:p>
        </w:tc>
        <w:tc>
          <w:tcPr>
            <w:tcW w:w="3828" w:type="dxa"/>
          </w:tcPr>
          <w:p w14:paraId="1E6DCE13" w14:textId="77777777" w:rsidR="00034A46" w:rsidRPr="0057473B" w:rsidRDefault="00034A46" w:rsidP="00034A46">
            <w:pPr>
              <w:pStyle w:val="BodyCopy"/>
            </w:pPr>
            <w:r w:rsidRPr="0057473B">
              <w:t>&lt;0.7mmol/L</w:t>
            </w:r>
          </w:p>
        </w:tc>
      </w:tr>
      <w:tr w:rsidR="00034A46" w:rsidRPr="0057473B" w14:paraId="13CEF84E" w14:textId="77777777" w:rsidTr="38D13D7D">
        <w:trPr>
          <w:trHeight w:val="300"/>
        </w:trPr>
        <w:tc>
          <w:tcPr>
            <w:tcW w:w="3020" w:type="dxa"/>
          </w:tcPr>
          <w:p w14:paraId="65D0352B" w14:textId="77777777" w:rsidR="00034A46" w:rsidRPr="0057473B" w:rsidRDefault="00034A46" w:rsidP="00034A46">
            <w:pPr>
              <w:pStyle w:val="BodyCopy"/>
            </w:pPr>
            <w:r w:rsidRPr="0057473B">
              <w:t>Phosphate</w:t>
            </w:r>
          </w:p>
        </w:tc>
        <w:tc>
          <w:tcPr>
            <w:tcW w:w="3212" w:type="dxa"/>
          </w:tcPr>
          <w:p w14:paraId="7F949440" w14:textId="77777777" w:rsidR="00034A46" w:rsidRPr="0057473B" w:rsidRDefault="00034A46" w:rsidP="00034A46">
            <w:pPr>
              <w:pStyle w:val="BodyCopy"/>
            </w:pPr>
            <w:r w:rsidRPr="0057473B">
              <w:t>0.8mmol/L</w:t>
            </w:r>
          </w:p>
        </w:tc>
        <w:tc>
          <w:tcPr>
            <w:tcW w:w="3828" w:type="dxa"/>
          </w:tcPr>
          <w:p w14:paraId="02084F18" w14:textId="77777777" w:rsidR="00034A46" w:rsidRPr="0057473B" w:rsidRDefault="00034A46" w:rsidP="00034A46">
            <w:pPr>
              <w:pStyle w:val="BodyCopy"/>
            </w:pPr>
            <w:r w:rsidRPr="0057473B">
              <w:t>&lt;0.8mmol/L</w:t>
            </w:r>
          </w:p>
        </w:tc>
      </w:tr>
      <w:tr w:rsidR="00034A46" w:rsidRPr="0057473B" w14:paraId="20E35B15" w14:textId="77777777" w:rsidTr="38D13D7D">
        <w:trPr>
          <w:trHeight w:val="300"/>
        </w:trPr>
        <w:tc>
          <w:tcPr>
            <w:tcW w:w="3020" w:type="dxa"/>
          </w:tcPr>
          <w:p w14:paraId="06187EBD" w14:textId="77777777" w:rsidR="00034A46" w:rsidRPr="0057473B" w:rsidRDefault="00034A46" w:rsidP="00034A46">
            <w:pPr>
              <w:pStyle w:val="BodyCopy"/>
            </w:pPr>
            <w:r w:rsidRPr="0057473B">
              <w:t>Albumin</w:t>
            </w:r>
          </w:p>
        </w:tc>
        <w:tc>
          <w:tcPr>
            <w:tcW w:w="3212" w:type="dxa"/>
          </w:tcPr>
          <w:p w14:paraId="74C2DE31" w14:textId="77777777" w:rsidR="00034A46" w:rsidRPr="0057473B" w:rsidRDefault="00034A46" w:rsidP="00034A46">
            <w:pPr>
              <w:pStyle w:val="BodyCopy"/>
            </w:pPr>
            <w:r w:rsidRPr="0057473B">
              <w:t>&lt;35g/L</w:t>
            </w:r>
          </w:p>
        </w:tc>
        <w:tc>
          <w:tcPr>
            <w:tcW w:w="3828" w:type="dxa"/>
          </w:tcPr>
          <w:p w14:paraId="72D2ED37" w14:textId="77777777" w:rsidR="00034A46" w:rsidRPr="0057473B" w:rsidRDefault="00034A46" w:rsidP="00034A46">
            <w:pPr>
              <w:pStyle w:val="BodyCopy"/>
            </w:pPr>
            <w:r w:rsidRPr="0057473B">
              <w:t>&lt;30g/L</w:t>
            </w:r>
          </w:p>
        </w:tc>
      </w:tr>
      <w:tr w:rsidR="00034A46" w:rsidRPr="0057473B" w14:paraId="335A7476" w14:textId="77777777" w:rsidTr="38D13D7D">
        <w:trPr>
          <w:trHeight w:val="300"/>
        </w:trPr>
        <w:tc>
          <w:tcPr>
            <w:tcW w:w="3020" w:type="dxa"/>
          </w:tcPr>
          <w:p w14:paraId="4D29F118" w14:textId="77777777" w:rsidR="00034A46" w:rsidRPr="0057473B" w:rsidRDefault="00034A46" w:rsidP="00034A46">
            <w:pPr>
              <w:pStyle w:val="BodyCopy"/>
            </w:pPr>
            <w:r w:rsidRPr="0057473B">
              <w:t>Liver enzymes</w:t>
            </w:r>
          </w:p>
        </w:tc>
        <w:tc>
          <w:tcPr>
            <w:tcW w:w="3212" w:type="dxa"/>
          </w:tcPr>
          <w:p w14:paraId="5D1315F6" w14:textId="77777777" w:rsidR="00034A46" w:rsidRPr="0057473B" w:rsidRDefault="00034A46" w:rsidP="00034A46">
            <w:pPr>
              <w:pStyle w:val="BodyCopy"/>
            </w:pPr>
            <w:r w:rsidRPr="0057473B">
              <w:t>Mildly elevated</w:t>
            </w:r>
          </w:p>
        </w:tc>
        <w:tc>
          <w:tcPr>
            <w:tcW w:w="3828" w:type="dxa"/>
          </w:tcPr>
          <w:p w14:paraId="403E5BF4" w14:textId="77777777" w:rsidR="00034A46" w:rsidRPr="0057473B" w:rsidRDefault="00034A46" w:rsidP="00034A46">
            <w:pPr>
              <w:pStyle w:val="BodyCopy"/>
            </w:pPr>
            <w:r w:rsidRPr="0057473B">
              <w:t>Markedly elevated (aspartate transaminase (AST) or alanine transaminase (ALT) &gt;500</w:t>
            </w:r>
          </w:p>
        </w:tc>
      </w:tr>
      <w:tr w:rsidR="00034A46" w:rsidRPr="0057473B" w14:paraId="2CD99B65" w14:textId="77777777" w:rsidTr="38D13D7D">
        <w:trPr>
          <w:trHeight w:val="300"/>
        </w:trPr>
        <w:tc>
          <w:tcPr>
            <w:tcW w:w="3020" w:type="dxa"/>
          </w:tcPr>
          <w:p w14:paraId="30329E06" w14:textId="77777777" w:rsidR="00034A46" w:rsidRPr="0057473B" w:rsidRDefault="00034A46" w:rsidP="00034A46">
            <w:pPr>
              <w:pStyle w:val="BodyCopy"/>
            </w:pPr>
            <w:r w:rsidRPr="0057473B">
              <w:t>Neutrophils</w:t>
            </w:r>
          </w:p>
        </w:tc>
        <w:tc>
          <w:tcPr>
            <w:tcW w:w="3212" w:type="dxa"/>
          </w:tcPr>
          <w:p w14:paraId="20E506C7" w14:textId="77777777" w:rsidR="00034A46" w:rsidRPr="0057473B" w:rsidRDefault="00034A46" w:rsidP="00034A46">
            <w:pPr>
              <w:pStyle w:val="BodyCopy"/>
            </w:pPr>
            <w:r w:rsidRPr="0057473B">
              <w:t>&lt;2.0 x 10</w:t>
            </w:r>
            <w:r w:rsidRPr="0057473B">
              <w:rPr>
                <w:vertAlign w:val="superscript"/>
              </w:rPr>
              <w:t>9</w:t>
            </w:r>
            <w:r w:rsidRPr="0057473B">
              <w:t>/L</w:t>
            </w:r>
          </w:p>
        </w:tc>
        <w:tc>
          <w:tcPr>
            <w:tcW w:w="3828" w:type="dxa"/>
          </w:tcPr>
          <w:p w14:paraId="0D41B56C" w14:textId="77777777" w:rsidR="00034A46" w:rsidRPr="0057473B" w:rsidRDefault="00034A46" w:rsidP="00034A46">
            <w:pPr>
              <w:pStyle w:val="BodyCopy"/>
            </w:pPr>
            <w:r w:rsidRPr="0057473B">
              <w:t>&lt;1.0 x 10</w:t>
            </w:r>
            <w:r w:rsidRPr="0057473B">
              <w:rPr>
                <w:vertAlign w:val="superscript"/>
              </w:rPr>
              <w:t>9</w:t>
            </w:r>
            <w:r w:rsidRPr="0057473B">
              <w:t>/L</w:t>
            </w:r>
          </w:p>
        </w:tc>
      </w:tr>
      <w:tr w:rsidR="004C7CC9" w:rsidRPr="0057473B" w14:paraId="2683CADF" w14:textId="77777777" w:rsidTr="004C7CC9">
        <w:trPr>
          <w:trHeight w:val="300"/>
        </w:trPr>
        <w:tc>
          <w:tcPr>
            <w:tcW w:w="3020" w:type="dxa"/>
          </w:tcPr>
          <w:p w14:paraId="332B3D25" w14:textId="77777777" w:rsidR="004C7CC9" w:rsidRPr="0057473B" w:rsidRDefault="004C7CC9" w:rsidP="00034A46">
            <w:pPr>
              <w:pStyle w:val="BodyCopy"/>
            </w:pPr>
            <w:r w:rsidRPr="0057473B">
              <w:t>Severity of eating disorder symptoms</w:t>
            </w:r>
          </w:p>
        </w:tc>
        <w:tc>
          <w:tcPr>
            <w:tcW w:w="3212" w:type="dxa"/>
          </w:tcPr>
          <w:p w14:paraId="1CD58AE9" w14:textId="77777777" w:rsidR="004C7CC9" w:rsidRPr="0057473B" w:rsidRDefault="004C7CC9" w:rsidP="004C7CC9">
            <w:pPr>
              <w:pStyle w:val="Tablebullet1"/>
            </w:pPr>
            <w:r w:rsidRPr="0057473B">
              <w:t>Severe and Enduring Eating Disorder</w:t>
            </w:r>
          </w:p>
          <w:p w14:paraId="473ED7A6" w14:textId="77777777" w:rsidR="004C7CC9" w:rsidRPr="0057473B" w:rsidRDefault="004C7CC9" w:rsidP="004C7CC9">
            <w:pPr>
              <w:pStyle w:val="Tablebullet1"/>
            </w:pPr>
            <w:r w:rsidRPr="0057473B">
              <w:t>Bulimia Nervosa (BN) without control of vomiting</w:t>
            </w:r>
          </w:p>
          <w:p w14:paraId="7CBFBD0C" w14:textId="77777777" w:rsidR="004C7CC9" w:rsidRDefault="004C7CC9" w:rsidP="004C7CC9">
            <w:pPr>
              <w:pStyle w:val="Tablebullet1"/>
            </w:pPr>
            <w:r w:rsidRPr="0057473B">
              <w:t>Vomiting more than 4 times per day</w:t>
            </w:r>
          </w:p>
          <w:p w14:paraId="329E2DD3" w14:textId="5D5D2B7A" w:rsidR="004C7CC9" w:rsidRPr="0057473B" w:rsidRDefault="004C7CC9" w:rsidP="004C7CC9">
            <w:pPr>
              <w:pStyle w:val="Tablebullet1"/>
            </w:pPr>
            <w:r w:rsidRPr="0057473B">
              <w:t>BN with hypokalaemia</w:t>
            </w:r>
          </w:p>
          <w:p w14:paraId="2E80C5FE" w14:textId="7950B7B6" w:rsidR="004C7CC9" w:rsidRPr="0057473B" w:rsidRDefault="004C7CC9" w:rsidP="004C7CC9">
            <w:pPr>
              <w:pStyle w:val="Tablebullet1"/>
            </w:pPr>
            <w:r w:rsidRPr="0057473B">
              <w:t>Excessive daily laxative use</w:t>
            </w:r>
          </w:p>
        </w:tc>
        <w:tc>
          <w:tcPr>
            <w:tcW w:w="3828" w:type="dxa"/>
          </w:tcPr>
          <w:p w14:paraId="7FB252C4" w14:textId="77777777" w:rsidR="004C7CC9" w:rsidRPr="004C7CC9" w:rsidRDefault="004C7CC9" w:rsidP="004C7CC9">
            <w:pPr>
              <w:pStyle w:val="Tablebullet1"/>
            </w:pPr>
            <w:r w:rsidRPr="004C7CC9">
              <w:t>Severe and Enduring Eating Disorder</w:t>
            </w:r>
          </w:p>
          <w:p w14:paraId="771E13F9" w14:textId="77777777" w:rsidR="004C7CC9" w:rsidRPr="004C7CC9" w:rsidRDefault="004C7CC9" w:rsidP="004C7CC9">
            <w:pPr>
              <w:pStyle w:val="Tablebullet1"/>
            </w:pPr>
            <w:r w:rsidRPr="004C7CC9">
              <w:t>Bulimia Nervosa (BN) without control of vomiting</w:t>
            </w:r>
          </w:p>
          <w:p w14:paraId="57F13184" w14:textId="77777777" w:rsidR="004C7CC9" w:rsidRPr="004C7CC9" w:rsidRDefault="004C7CC9" w:rsidP="004C7CC9">
            <w:pPr>
              <w:pStyle w:val="Tablebullet1"/>
            </w:pPr>
            <w:r w:rsidRPr="004C7CC9">
              <w:t>Vomiting more than 4 times per day</w:t>
            </w:r>
          </w:p>
          <w:p w14:paraId="5B056ABF" w14:textId="7B8BDF27" w:rsidR="004C7CC9" w:rsidRPr="004C7CC9" w:rsidRDefault="004C7CC9" w:rsidP="004C7CC9">
            <w:pPr>
              <w:pStyle w:val="Tablebullet1"/>
            </w:pPr>
            <w:r w:rsidRPr="004C7CC9">
              <w:t>BN with hypokalaemia</w:t>
            </w:r>
          </w:p>
          <w:p w14:paraId="19A693E0" w14:textId="79DCFA66" w:rsidR="004C7CC9" w:rsidRPr="0057473B" w:rsidRDefault="004C7CC9" w:rsidP="004C7CC9">
            <w:pPr>
              <w:pStyle w:val="Tablebullet1"/>
            </w:pPr>
            <w:r w:rsidRPr="004C7CC9">
              <w:t>Excessive</w:t>
            </w:r>
            <w:r w:rsidRPr="0057473B">
              <w:t xml:space="preserve"> daily laxative use</w:t>
            </w:r>
          </w:p>
        </w:tc>
      </w:tr>
      <w:tr w:rsidR="004C7CC9" w:rsidRPr="0057473B" w14:paraId="1C549C71" w14:textId="77777777" w:rsidTr="004C7CC9">
        <w:trPr>
          <w:trHeight w:val="300"/>
        </w:trPr>
        <w:tc>
          <w:tcPr>
            <w:tcW w:w="3020" w:type="dxa"/>
          </w:tcPr>
          <w:p w14:paraId="290AA654" w14:textId="77777777" w:rsidR="004C7CC9" w:rsidRPr="0057473B" w:rsidRDefault="004C7CC9" w:rsidP="00034A46">
            <w:pPr>
              <w:pStyle w:val="BodyCopy"/>
            </w:pPr>
            <w:r w:rsidRPr="0057473B">
              <w:t>Other</w:t>
            </w:r>
          </w:p>
        </w:tc>
        <w:tc>
          <w:tcPr>
            <w:tcW w:w="3212" w:type="dxa"/>
          </w:tcPr>
          <w:p w14:paraId="57D1BA1C" w14:textId="77777777" w:rsidR="004C7CC9" w:rsidRDefault="004C7CC9" w:rsidP="004C7CC9">
            <w:pPr>
              <w:pStyle w:val="Tablebullet1"/>
            </w:pPr>
            <w:r w:rsidRPr="0057473B">
              <w:t xml:space="preserve">Not responding to outpatient treatment </w:t>
            </w:r>
          </w:p>
          <w:p w14:paraId="554CA77E" w14:textId="78D9D51D" w:rsidR="004C7CC9" w:rsidRPr="0057473B" w:rsidRDefault="004C7CC9" w:rsidP="004C7CC9">
            <w:pPr>
              <w:pStyle w:val="Tablebullet1"/>
            </w:pPr>
            <w:r w:rsidRPr="0057473B">
              <w:t>Adverse family relationships or severe family stress</w:t>
            </w:r>
          </w:p>
        </w:tc>
        <w:tc>
          <w:tcPr>
            <w:tcW w:w="3828" w:type="dxa"/>
          </w:tcPr>
          <w:p w14:paraId="426C739C" w14:textId="77777777" w:rsidR="004C7CC9" w:rsidRDefault="004C7CC9" w:rsidP="004C7CC9">
            <w:pPr>
              <w:pStyle w:val="Tablebullet1"/>
            </w:pPr>
            <w:r w:rsidRPr="0057473B">
              <w:t xml:space="preserve">Not responding to outpatient treatment </w:t>
            </w:r>
          </w:p>
          <w:p w14:paraId="27199ACE" w14:textId="559C0448" w:rsidR="004C7CC9" w:rsidRPr="0057473B" w:rsidRDefault="004C7CC9" w:rsidP="004C7CC9">
            <w:pPr>
              <w:pStyle w:val="Tablebullet1"/>
            </w:pPr>
            <w:r w:rsidRPr="0057473B">
              <w:t>Adverse family relationships or severe family stress</w:t>
            </w:r>
          </w:p>
        </w:tc>
      </w:tr>
    </w:tbl>
    <w:p w14:paraId="59449113" w14:textId="0E8F83F7" w:rsidR="00A94E99" w:rsidRPr="00A94E99" w:rsidRDefault="00A94E99" w:rsidP="00A94E99">
      <w:pPr>
        <w:pStyle w:val="BodyCopy"/>
      </w:pPr>
      <w:r w:rsidRPr="00A94E99">
        <w:t xml:space="preserve">Source: </w:t>
      </w:r>
      <w:r w:rsidRPr="005756B3">
        <w:t>CHS</w:t>
      </w:r>
      <w:r w:rsidR="00D9081B">
        <w:t xml:space="preserve"> Procedure</w:t>
      </w:r>
      <w:r w:rsidRPr="005756B3">
        <w:t xml:space="preserve"> </w:t>
      </w:r>
      <w:r w:rsidRPr="005756B3">
        <w:rPr>
          <w:i/>
          <w:iCs w:val="0"/>
        </w:rPr>
        <w:t>Adults with Eating Disorders – Medical Management of (Inpatients)</w:t>
      </w:r>
      <w:r w:rsidR="00F10223">
        <w:rPr>
          <w:i/>
          <w:iCs w:val="0"/>
        </w:rPr>
        <w:t>.</w:t>
      </w:r>
    </w:p>
    <w:p w14:paraId="75025917" w14:textId="449DAD5F" w:rsidR="0057473B" w:rsidRPr="0057473B" w:rsidRDefault="0057473B" w:rsidP="0057473B">
      <w:pPr>
        <w:pStyle w:val="BodyCopy"/>
      </w:pPr>
      <w:r>
        <w:t xml:space="preserve">A consumer who is medially stable and can be safely monitored and managed in the Centre is indicated </w:t>
      </w:r>
      <w:r w:rsidRPr="001C2869">
        <w:t>by a</w:t>
      </w:r>
      <w:r w:rsidR="006C7D5A" w:rsidRPr="001C2869">
        <w:t xml:space="preserve"> </w:t>
      </w:r>
      <w:r w:rsidR="00C85E16" w:rsidRPr="001C2869">
        <w:t xml:space="preserve">total </w:t>
      </w:r>
      <w:r w:rsidR="00FB4C84">
        <w:t>Early Warning Score (</w:t>
      </w:r>
      <w:r w:rsidR="00C85E16" w:rsidRPr="001C2869">
        <w:t>EWS</w:t>
      </w:r>
      <w:r w:rsidR="00FB4C84">
        <w:t>)</w:t>
      </w:r>
      <w:r w:rsidRPr="001C2869">
        <w:t xml:space="preserve"> &lt;</w:t>
      </w:r>
      <w:r w:rsidR="001C2869" w:rsidRPr="005756B3">
        <w:t>3</w:t>
      </w:r>
      <w:r w:rsidRPr="001C2869">
        <w:t xml:space="preserve"> on admission</w:t>
      </w:r>
      <w:r>
        <w:t xml:space="preserve">, and no indicators for extreme Refeeding Syndrome risk. The GP or NP will determine if further assessment, ECG, pathology tests, or medical collaboration are required to establish medical stability. </w:t>
      </w:r>
    </w:p>
    <w:p w14:paraId="5144BA2D" w14:textId="77777777" w:rsidR="00EF5540" w:rsidRPr="0057473B" w:rsidRDefault="00EF5540" w:rsidP="00EF5540">
      <w:pPr>
        <w:pStyle w:val="BodyCopy"/>
      </w:pPr>
      <w:r>
        <w:t xml:space="preserve">If the psychiatric and medical assessments indicate the consumer is not suitable to continue with preadmission, alternate options are discussed with the consumer and the referrer.  Support for alternate referrals is provided by centre staff.  </w:t>
      </w:r>
    </w:p>
    <w:p w14:paraId="7620B07A" w14:textId="31E7B14F" w:rsidR="0057473B" w:rsidRPr="0057473B" w:rsidRDefault="0057473B" w:rsidP="0057473B">
      <w:pPr>
        <w:pStyle w:val="BodyCopy"/>
      </w:pPr>
      <w:r>
        <w:t>The admitting officer and MDT decide if the psychiatric and medical assessments indicate the consumer is suitable to continue the preadmission process. A key worker</w:t>
      </w:r>
      <w:r w:rsidR="005541EF">
        <w:t xml:space="preserve"> (see Section 4)</w:t>
      </w:r>
      <w:r>
        <w:t xml:space="preserve"> is allocated to the consumer by the Allied Health Manager or CNC.</w:t>
      </w:r>
    </w:p>
    <w:p w14:paraId="4AE248C6" w14:textId="77777777" w:rsidR="0057473B" w:rsidRPr="0057473B" w:rsidRDefault="0057473B" w:rsidP="004B2509">
      <w:pPr>
        <w:pStyle w:val="Heading6"/>
      </w:pPr>
      <w:r w:rsidRPr="0057473B">
        <w:t>3.4.4 Dietitian assessment</w:t>
      </w:r>
    </w:p>
    <w:p w14:paraId="660EA4B3" w14:textId="77777777" w:rsidR="0057473B" w:rsidRPr="0057473B" w:rsidRDefault="0057473B" w:rsidP="0057473B">
      <w:pPr>
        <w:pStyle w:val="BodyCopy"/>
        <w:rPr>
          <w:lang w:val="en-US"/>
        </w:rPr>
      </w:pPr>
      <w:r w:rsidRPr="0057473B">
        <w:rPr>
          <w:lang w:val="en-US"/>
        </w:rPr>
        <w:t>The Centre dietitian:</w:t>
      </w:r>
    </w:p>
    <w:p w14:paraId="5AD15FE3" w14:textId="77777777" w:rsidR="0057473B" w:rsidRPr="0057473B" w:rsidRDefault="0057473B" w:rsidP="004C7CC9">
      <w:pPr>
        <w:pStyle w:val="Bullet"/>
      </w:pPr>
      <w:r w:rsidRPr="0057473B">
        <w:t>Assesses the consumer’s nutritional status.</w:t>
      </w:r>
    </w:p>
    <w:p w14:paraId="2D5860C8" w14:textId="77777777" w:rsidR="0057473B" w:rsidRPr="0057473B" w:rsidRDefault="0057473B" w:rsidP="004C7CC9">
      <w:pPr>
        <w:pStyle w:val="Bullet"/>
      </w:pPr>
      <w:r w:rsidRPr="0057473B">
        <w:t>Assesses the dietetic needs of the consumer.</w:t>
      </w:r>
    </w:p>
    <w:p w14:paraId="32859FEA" w14:textId="77777777" w:rsidR="0057473B" w:rsidRPr="0057473B" w:rsidRDefault="0057473B" w:rsidP="004C7CC9">
      <w:pPr>
        <w:pStyle w:val="Bullet"/>
        <w:rPr>
          <w:lang w:val="en-US"/>
        </w:rPr>
      </w:pPr>
      <w:r w:rsidRPr="0057473B">
        <w:t>Develops</w:t>
      </w:r>
      <w:r w:rsidRPr="0057473B">
        <w:rPr>
          <w:lang w:val="en-US"/>
        </w:rPr>
        <w:t xml:space="preserve"> a meal plan with the consumer.</w:t>
      </w:r>
    </w:p>
    <w:p w14:paraId="4B54A3E2" w14:textId="77777777" w:rsidR="0057473B" w:rsidRPr="0057473B" w:rsidRDefault="0057473B" w:rsidP="004B2509">
      <w:pPr>
        <w:pStyle w:val="Heading6"/>
      </w:pPr>
      <w:r w:rsidRPr="0057473B">
        <w:t xml:space="preserve">3.4.5 Orientation </w:t>
      </w:r>
    </w:p>
    <w:p w14:paraId="091FE0B5" w14:textId="77777777" w:rsidR="0057473B" w:rsidRPr="0057473B" w:rsidRDefault="0057473B" w:rsidP="0057473B">
      <w:pPr>
        <w:pStyle w:val="BodyCopy"/>
      </w:pPr>
      <w:r w:rsidRPr="0057473B">
        <w:t>The allocated Key worker will:</w:t>
      </w:r>
    </w:p>
    <w:p w14:paraId="26FC3DCC" w14:textId="77777777" w:rsidR="0057473B" w:rsidRPr="0057473B" w:rsidRDefault="0057473B" w:rsidP="004C7CC9">
      <w:pPr>
        <w:pStyle w:val="Bullet"/>
      </w:pPr>
      <w:r w:rsidRPr="0057473B">
        <w:t>Take the consumer (and family, kin, carers and supports as appropriate) on a tour of the Centre.</w:t>
      </w:r>
    </w:p>
    <w:p w14:paraId="35DB7DDF" w14:textId="77777777" w:rsidR="0057473B" w:rsidRPr="0057473B" w:rsidRDefault="0057473B" w:rsidP="004C7CC9">
      <w:pPr>
        <w:pStyle w:val="Bullet"/>
      </w:pPr>
      <w:r w:rsidRPr="0057473B">
        <w:t>Discuss and answer questions about the program.</w:t>
      </w:r>
    </w:p>
    <w:p w14:paraId="4078A7C8" w14:textId="77777777" w:rsidR="0057473B" w:rsidRPr="0057473B" w:rsidRDefault="0057473B" w:rsidP="004C7CC9">
      <w:pPr>
        <w:pStyle w:val="Bullet"/>
      </w:pPr>
      <w:r w:rsidRPr="0057473B">
        <w:t>Provide the consumer (and family, kin, carers and supports as appropriate) with the welcome booklet.</w:t>
      </w:r>
    </w:p>
    <w:p w14:paraId="6FC98057" w14:textId="77777777" w:rsidR="0057473B" w:rsidRPr="0057473B" w:rsidRDefault="0057473B" w:rsidP="004C7CC9">
      <w:pPr>
        <w:pStyle w:val="Bullet"/>
      </w:pPr>
      <w:r w:rsidRPr="0057473B">
        <w:t>Facilitate signing of the participant agreement.</w:t>
      </w:r>
    </w:p>
    <w:p w14:paraId="204D7DE5" w14:textId="1D6FED85" w:rsidR="0057473B" w:rsidRPr="0057473B" w:rsidRDefault="0057473B" w:rsidP="004C7CC9">
      <w:pPr>
        <w:pStyle w:val="Bullet"/>
      </w:pPr>
      <w:r w:rsidRPr="0057473B">
        <w:t>Co-ordinate next steps with the consumer.</w:t>
      </w:r>
    </w:p>
    <w:p w14:paraId="1D8E5607" w14:textId="77777777" w:rsidR="0057473B" w:rsidRPr="0057473B" w:rsidRDefault="0057473B" w:rsidP="004B2509">
      <w:pPr>
        <w:pStyle w:val="Heading6"/>
      </w:pPr>
      <w:r w:rsidRPr="0057473B">
        <w:t>3.4.7 Pre-admission assessment outcome</w:t>
      </w:r>
    </w:p>
    <w:p w14:paraId="7886FF84" w14:textId="6A03D158" w:rsidR="0057473B" w:rsidRPr="006E39D7" w:rsidRDefault="0057473B" w:rsidP="0057473B">
      <w:pPr>
        <w:pStyle w:val="BodyCopy"/>
      </w:pPr>
      <w:r w:rsidRPr="006E39D7">
        <w:t xml:space="preserve">The MDT will review the preadmission assessment and determine the Care Plan. The allocated key worker is responsible for communicating the outcome of the pre-admission assessment to the consumer, the referrer, interstate team and the Hub. </w:t>
      </w:r>
    </w:p>
    <w:p w14:paraId="6E0554E6" w14:textId="2F8318FA" w:rsidR="0057473B" w:rsidRPr="006E39D7" w:rsidRDefault="0057473B" w:rsidP="0057473B">
      <w:pPr>
        <w:pStyle w:val="BodyCopy"/>
      </w:pPr>
      <w:r w:rsidRPr="006E39D7">
        <w:t>Outcomes following the preadmission assessment will be:</w:t>
      </w:r>
    </w:p>
    <w:p w14:paraId="5D96F5C3" w14:textId="77777777" w:rsidR="0057473B" w:rsidRPr="006E39D7" w:rsidRDefault="0057473B" w:rsidP="004C7CC9">
      <w:pPr>
        <w:pStyle w:val="Bullet"/>
      </w:pPr>
      <w:r w:rsidRPr="006E39D7">
        <w:t xml:space="preserve">Suitable to progress to admission to the full program. Scheduling is managed through the wait list. </w:t>
      </w:r>
    </w:p>
    <w:p w14:paraId="035F1D93" w14:textId="77777777" w:rsidR="0057473B" w:rsidRPr="006E39D7" w:rsidRDefault="0057473B" w:rsidP="004C7CC9">
      <w:pPr>
        <w:pStyle w:val="Bullet"/>
      </w:pPr>
      <w:r w:rsidRPr="006E39D7">
        <w:t xml:space="preserve">Not suitable for admission to the full program at this stage. A care plan and alternative services are discussed with the consumer and referrer, and referrals made as indicated.  </w:t>
      </w:r>
    </w:p>
    <w:p w14:paraId="72FE3ACF" w14:textId="77777777" w:rsidR="0057473B" w:rsidRPr="006E39D7" w:rsidRDefault="0057473B" w:rsidP="004C7CC9">
      <w:pPr>
        <w:pStyle w:val="Bullet"/>
      </w:pPr>
      <w:r w:rsidRPr="006E39D7">
        <w:t xml:space="preserve">If there is a change in circumstances and the Centre is later assessed as the most appropriate treatment setting, the person may be re-referred. </w:t>
      </w:r>
    </w:p>
    <w:p w14:paraId="1E231010" w14:textId="77777777" w:rsidR="0057473B" w:rsidRPr="006E39D7" w:rsidRDefault="0057473B" w:rsidP="004C7CC9">
      <w:pPr>
        <w:pStyle w:val="Bullet"/>
      </w:pPr>
      <w:r w:rsidRPr="006E39D7">
        <w:t xml:space="preserve">Consumers are entitled to usual processes to provide feedback, make a complaint, or request a review or second opinion of clinical advice and decisions. </w:t>
      </w:r>
    </w:p>
    <w:p w14:paraId="422BE8D7" w14:textId="77777777" w:rsidR="0057473B" w:rsidRPr="0057473B" w:rsidRDefault="0057473B" w:rsidP="004B2509">
      <w:pPr>
        <w:pStyle w:val="Heading6"/>
      </w:pPr>
      <w:r w:rsidRPr="0057473B">
        <w:t xml:space="preserve">3.4.8 Wait list management </w:t>
      </w:r>
    </w:p>
    <w:p w14:paraId="29904E55" w14:textId="77777777" w:rsidR="0057473B" w:rsidRPr="0057473B" w:rsidRDefault="0057473B" w:rsidP="0057473B">
      <w:pPr>
        <w:pStyle w:val="BodyCopy"/>
      </w:pPr>
      <w:r w:rsidRPr="0057473B">
        <w:t>Accepted referrals are managed by the CNC and/or Allied Health Team Manager who will delegate to the Hub Liaison or an appropriate EDRTC senior staff member.</w:t>
      </w:r>
    </w:p>
    <w:p w14:paraId="2019DEA2" w14:textId="77777777" w:rsidR="0057473B" w:rsidRPr="0057473B" w:rsidRDefault="0057473B" w:rsidP="004C7CC9">
      <w:pPr>
        <w:pStyle w:val="Bullet"/>
      </w:pPr>
      <w:r w:rsidRPr="0057473B">
        <w:t>Consumers on the waiting list are offered a bed based on their need and current dynamics of the Centre e.g. gender mix, vulnerabilities, or risk issues.</w:t>
      </w:r>
    </w:p>
    <w:p w14:paraId="1B7EB8D5" w14:textId="77777777" w:rsidR="0057473B" w:rsidRPr="0057473B" w:rsidRDefault="0057473B" w:rsidP="004C7CC9">
      <w:pPr>
        <w:pStyle w:val="Bullet"/>
      </w:pPr>
      <w:r w:rsidRPr="0057473B">
        <w:t>The waiting list is reviewed by CNC and/or Allied Health Team Manager and Consultant psychiatrist in response to new referrals and before an expected discharge.</w:t>
      </w:r>
    </w:p>
    <w:p w14:paraId="67857DE5" w14:textId="77777777" w:rsidR="0057473B" w:rsidRPr="0057473B" w:rsidRDefault="0057473B" w:rsidP="004C7CC9">
      <w:pPr>
        <w:pStyle w:val="Bullet"/>
      </w:pPr>
      <w:r w:rsidRPr="0057473B">
        <w:t>The CNC and/or Allied Health Manager allocate staff to conduct check in phone calls to consumers on the wait list and update the referrer.</w:t>
      </w:r>
    </w:p>
    <w:p w14:paraId="073BB514" w14:textId="1519A21C" w:rsidR="00310C63" w:rsidRDefault="0057473B" w:rsidP="004C7CC9">
      <w:pPr>
        <w:pStyle w:val="Bullet"/>
        <w:rPr>
          <w:lang w:val="en-US"/>
        </w:rPr>
      </w:pPr>
      <w:r w:rsidRPr="0057473B">
        <w:t xml:space="preserve">Consumers waiting for admission may </w:t>
      </w:r>
      <w:r w:rsidR="001E1881">
        <w:t xml:space="preserve">continue to </w:t>
      </w:r>
      <w:r w:rsidRPr="0057473B">
        <w:rPr>
          <w:lang w:val="en-US"/>
        </w:rPr>
        <w:t>access alternative public or private eating disorder support.</w:t>
      </w:r>
    </w:p>
    <w:p w14:paraId="2AC7E3BC" w14:textId="38E1AC59" w:rsidR="00481A6C" w:rsidRDefault="00481A6C" w:rsidP="005756B3">
      <w:hyperlink w:anchor="_top" w:history="1">
        <w:r w:rsidRPr="00481A6C">
          <w:rPr>
            <w:rStyle w:val="Hyperlink"/>
          </w:rPr>
          <w:t>Back to Contents</w:t>
        </w:r>
      </w:hyperlink>
    </w:p>
    <w:p w14:paraId="21371377" w14:textId="7538ED97" w:rsidR="0057473B" w:rsidRDefault="0057473B" w:rsidP="0057473B">
      <w:pPr>
        <w:pStyle w:val="Heading4"/>
      </w:pPr>
      <w:bookmarkStart w:id="13" w:name="_Toc201246933"/>
      <w:r>
        <w:t>Section 4- Admission</w:t>
      </w:r>
      <w:bookmarkEnd w:id="13"/>
    </w:p>
    <w:p w14:paraId="7257916A" w14:textId="77777777" w:rsidR="00EF553D" w:rsidRPr="0057473B" w:rsidRDefault="00EF553D" w:rsidP="00D011CF">
      <w:pPr>
        <w:pStyle w:val="Heading5"/>
      </w:pPr>
      <w:bookmarkStart w:id="14" w:name="_Toc87612807"/>
      <w:r w:rsidRPr="0057473B">
        <w:t xml:space="preserve">4.1 Role of staff during admission </w:t>
      </w:r>
    </w:p>
    <w:p w14:paraId="487BBC05" w14:textId="6C013C32" w:rsidR="00310C63" w:rsidRDefault="0057473B" w:rsidP="0057473B">
      <w:pPr>
        <w:pStyle w:val="BodyCopy"/>
      </w:pPr>
      <w:r w:rsidRPr="0057473B">
        <w:t>All admissions to the Centre are planned and will occur on a Tuesday where possible.</w:t>
      </w:r>
      <w:r w:rsidR="003466E5">
        <w:t xml:space="preserve"> </w:t>
      </w:r>
      <w:r w:rsidR="003466E5">
        <w:rPr>
          <w:rFonts w:cs="Calibri"/>
          <w:color w:val="000000"/>
        </w:rPr>
        <w:t>E</w:t>
      </w:r>
      <w:r w:rsidR="003466E5" w:rsidRPr="005437A0">
        <w:rPr>
          <w:rFonts w:cs="Calibri"/>
          <w:color w:val="000000"/>
        </w:rPr>
        <w:t>ngagement and readiness</w:t>
      </w:r>
      <w:r w:rsidR="003466E5">
        <w:rPr>
          <w:rFonts w:cs="Calibri"/>
          <w:color w:val="000000"/>
        </w:rPr>
        <w:t xml:space="preserve"> to address eating disorder concerns </w:t>
      </w:r>
      <w:r w:rsidR="00816C3C">
        <w:rPr>
          <w:rFonts w:cs="Calibri"/>
          <w:color w:val="000000"/>
        </w:rPr>
        <w:t>are</w:t>
      </w:r>
      <w:r w:rsidR="003466E5">
        <w:rPr>
          <w:rFonts w:cs="Calibri"/>
          <w:color w:val="000000"/>
        </w:rPr>
        <w:t xml:space="preserve"> assessed</w:t>
      </w:r>
      <w:r w:rsidR="003466E5" w:rsidRPr="005437A0">
        <w:rPr>
          <w:rFonts w:cs="Calibri"/>
          <w:color w:val="000000"/>
        </w:rPr>
        <w:t xml:space="preserve"> in the nutritional and therapeutic program </w:t>
      </w:r>
      <w:r w:rsidR="003466E5">
        <w:rPr>
          <w:rFonts w:cs="Calibri"/>
          <w:color w:val="000000"/>
        </w:rPr>
        <w:t>during the “</w:t>
      </w:r>
      <w:r w:rsidR="003466E5" w:rsidRPr="005437A0">
        <w:rPr>
          <w:rFonts w:cs="Calibri"/>
          <w:color w:val="000000"/>
        </w:rPr>
        <w:t>welcome phase</w:t>
      </w:r>
      <w:r w:rsidR="003466E5">
        <w:rPr>
          <w:rFonts w:cs="Calibri"/>
          <w:color w:val="000000"/>
        </w:rPr>
        <w:t>”</w:t>
      </w:r>
      <w:r w:rsidR="003466E5" w:rsidRPr="005437A0">
        <w:rPr>
          <w:rFonts w:cs="Calibri"/>
          <w:color w:val="000000"/>
        </w:rPr>
        <w:t xml:space="preserve"> (first week).</w:t>
      </w:r>
      <w:r w:rsidR="002221AE">
        <w:rPr>
          <w:rFonts w:cs="Calibri"/>
          <w:color w:val="000000"/>
        </w:rPr>
        <w:t xml:space="preserve"> </w:t>
      </w:r>
      <w:r w:rsidR="002221AE" w:rsidRPr="00D8618D">
        <w:rPr>
          <w:rFonts w:cs="Calibri"/>
          <w:color w:val="000000"/>
        </w:rPr>
        <w:t>Discharge planning is to commence upon admission so that timely referrals to community supports can be made</w:t>
      </w:r>
      <w:r w:rsidR="00811EE5">
        <w:rPr>
          <w:rFonts w:cs="Calibri"/>
          <w:color w:val="000000"/>
        </w:rPr>
        <w:t>.</w:t>
      </w:r>
    </w:p>
    <w:bookmarkEnd w:id="14"/>
    <w:p w14:paraId="7DB04DD1" w14:textId="77777777" w:rsidR="0057473B" w:rsidRPr="0057473B" w:rsidRDefault="0057473B" w:rsidP="004B2509">
      <w:pPr>
        <w:pStyle w:val="Heading6"/>
        <w:rPr>
          <w:lang w:bidi="en-US"/>
        </w:rPr>
      </w:pPr>
      <w:r w:rsidRPr="0057473B">
        <w:rPr>
          <w:lang w:bidi="en-US"/>
        </w:rPr>
        <w:t xml:space="preserve">4.1.1 Key Worker </w:t>
      </w:r>
    </w:p>
    <w:p w14:paraId="6FA64522" w14:textId="59CB73D4" w:rsidR="0057473B" w:rsidRPr="0057473B" w:rsidRDefault="0057473B" w:rsidP="0057473B">
      <w:pPr>
        <w:pStyle w:val="BodyCopy"/>
      </w:pPr>
      <w:r w:rsidRPr="0057473B">
        <w:t>The Key Worker is the primary point of contact for the consumer, their family, kin and carers.  The key worker may be a member of the allied health or nursing team and are assigned prior admission by the CNC or Allied Health Manager</w:t>
      </w:r>
      <w:r w:rsidR="00811EE5">
        <w:t>.</w:t>
      </w:r>
    </w:p>
    <w:p w14:paraId="58B70D14" w14:textId="77777777" w:rsidR="0057473B" w:rsidRPr="0057473B" w:rsidRDefault="0057473B" w:rsidP="0057473B">
      <w:pPr>
        <w:pStyle w:val="BodyCopy"/>
      </w:pPr>
      <w:r w:rsidRPr="0057473B">
        <w:t>On admission the key worker will:</w:t>
      </w:r>
    </w:p>
    <w:p w14:paraId="017DAF7B" w14:textId="77777777" w:rsidR="0057473B" w:rsidRPr="0057473B" w:rsidRDefault="0057473B" w:rsidP="004C7CC9">
      <w:pPr>
        <w:pStyle w:val="Bullet"/>
      </w:pPr>
      <w:r w:rsidRPr="0057473B">
        <w:t>Greet and orientate the consumer and their carers, family, kin and/or supports to the Centre facilities and staff</w:t>
      </w:r>
    </w:p>
    <w:p w14:paraId="4DC1B4C9" w14:textId="77777777" w:rsidR="0057473B" w:rsidRPr="0057473B" w:rsidRDefault="0057473B" w:rsidP="004C7CC9">
      <w:pPr>
        <w:pStyle w:val="Bullet"/>
      </w:pPr>
      <w:r w:rsidRPr="0057473B">
        <w:t>Introduce the consumer to the admitting nurse</w:t>
      </w:r>
    </w:p>
    <w:p w14:paraId="1B415837" w14:textId="77777777" w:rsidR="0057473B" w:rsidRPr="0057473B" w:rsidRDefault="0057473B" w:rsidP="004C7CC9">
      <w:pPr>
        <w:pStyle w:val="Bullet"/>
      </w:pPr>
      <w:r w:rsidRPr="0057473B">
        <w:t>Provide information on therapeutic groups and individual supports</w:t>
      </w:r>
    </w:p>
    <w:p w14:paraId="34E20914" w14:textId="77777777" w:rsidR="0057473B" w:rsidRPr="0057473B" w:rsidRDefault="0057473B" w:rsidP="004C7CC9">
      <w:pPr>
        <w:pStyle w:val="Bullet"/>
      </w:pPr>
      <w:r w:rsidRPr="0057473B">
        <w:t>Review the welcome booklet</w:t>
      </w:r>
    </w:p>
    <w:p w14:paraId="5E830899" w14:textId="77777777" w:rsidR="0057473B" w:rsidRPr="0057473B" w:rsidRDefault="0057473B" w:rsidP="004C7CC9">
      <w:pPr>
        <w:pStyle w:val="Bullet"/>
        <w:rPr>
          <w:lang w:val="en-US"/>
        </w:rPr>
      </w:pPr>
      <w:r w:rsidRPr="0057473B">
        <w:t>Complete</w:t>
      </w:r>
      <w:r w:rsidRPr="0057473B">
        <w:rPr>
          <w:lang w:val="en-US"/>
        </w:rPr>
        <w:t xml:space="preserve"> and record outcome measures on DHR.</w:t>
      </w:r>
    </w:p>
    <w:p w14:paraId="63EDC898" w14:textId="77777777" w:rsidR="0057473B" w:rsidRPr="0057473B" w:rsidRDefault="0057473B" w:rsidP="004B2509">
      <w:pPr>
        <w:pStyle w:val="Heading6"/>
        <w:rPr>
          <w:lang w:bidi="en-US"/>
        </w:rPr>
      </w:pPr>
      <w:r w:rsidRPr="0057473B">
        <w:rPr>
          <w:lang w:bidi="en-US"/>
        </w:rPr>
        <w:t>4.1.2 Nursing Staff</w:t>
      </w:r>
    </w:p>
    <w:p w14:paraId="34356874" w14:textId="77777777" w:rsidR="0057473B" w:rsidRPr="0057473B" w:rsidRDefault="0057473B" w:rsidP="004C7CC9">
      <w:pPr>
        <w:pStyle w:val="Bullet"/>
      </w:pPr>
      <w:r w:rsidRPr="0057473B">
        <w:t>An admitting nurse is allocated by the CNC or Registered Nurse Level 2 (RN2) shift team leader.</w:t>
      </w:r>
      <w:r w:rsidRPr="0057473B" w:rsidDel="00607CD0">
        <w:t xml:space="preserve"> </w:t>
      </w:r>
    </w:p>
    <w:p w14:paraId="7FF4FFEE" w14:textId="77777777" w:rsidR="0057473B" w:rsidRPr="0057473B" w:rsidRDefault="0057473B" w:rsidP="004C7CC9">
      <w:pPr>
        <w:pStyle w:val="Bullet"/>
      </w:pPr>
      <w:r w:rsidRPr="0057473B">
        <w:t>The admitting nurse and the shift team leader are responsible for completing the admission process in the electronic clinical record.</w:t>
      </w:r>
    </w:p>
    <w:p w14:paraId="750B4CD6" w14:textId="77777777" w:rsidR="0057473B" w:rsidRPr="0057473B" w:rsidRDefault="0057473B" w:rsidP="004C7CC9">
      <w:pPr>
        <w:pStyle w:val="Bullet"/>
      </w:pPr>
      <w:bookmarkStart w:id="15" w:name="_Hlk171688259"/>
      <w:r w:rsidRPr="0057473B">
        <w:t xml:space="preserve">Verify the consumer’s details and allocate an ID wristband or have photo ID documented in DHR, and allocate an access bracelet (see section 8.6.1) </w:t>
      </w:r>
    </w:p>
    <w:bookmarkEnd w:id="15"/>
    <w:p w14:paraId="4D8FA5DA" w14:textId="77777777" w:rsidR="0057473B" w:rsidRPr="0057473B" w:rsidRDefault="0057473B" w:rsidP="004C7CC9">
      <w:pPr>
        <w:pStyle w:val="Bullet"/>
        <w:rPr>
          <w:lang w:val="en-US"/>
        </w:rPr>
      </w:pPr>
      <w:r w:rsidRPr="0057473B">
        <w:t>Further</w:t>
      </w:r>
      <w:r w:rsidRPr="0057473B">
        <w:rPr>
          <w:lang w:val="en-US"/>
        </w:rPr>
        <w:t xml:space="preserve"> information for nursing staff can be found in the Nursing Process document. </w:t>
      </w:r>
    </w:p>
    <w:p w14:paraId="1ADA7CA1" w14:textId="77777777" w:rsidR="0057473B" w:rsidRPr="0057473B" w:rsidRDefault="0057473B" w:rsidP="004B2509">
      <w:pPr>
        <w:pStyle w:val="Heading6"/>
        <w:rPr>
          <w:lang w:bidi="en-US"/>
        </w:rPr>
      </w:pPr>
      <w:r w:rsidRPr="0057473B">
        <w:rPr>
          <w:lang w:bidi="en-US"/>
        </w:rPr>
        <w:t xml:space="preserve">4.1.3 The Medical team </w:t>
      </w:r>
    </w:p>
    <w:p w14:paraId="4AEBFD8F" w14:textId="77777777" w:rsidR="0057473B" w:rsidRPr="0057473B" w:rsidRDefault="0057473B" w:rsidP="004C7CC9">
      <w:pPr>
        <w:pStyle w:val="Bullet"/>
      </w:pPr>
      <w:r w:rsidRPr="0057473B">
        <w:t xml:space="preserve">Review ECG results from the week prior to admission and blood test results from within 24 hours prior to admission. </w:t>
      </w:r>
    </w:p>
    <w:p w14:paraId="5A6B4551" w14:textId="77777777" w:rsidR="0057473B" w:rsidRPr="0057473B" w:rsidRDefault="0057473B" w:rsidP="004C7CC9">
      <w:pPr>
        <w:pStyle w:val="Bullet"/>
      </w:pPr>
      <w:r w:rsidRPr="0057473B">
        <w:t>The admitting medical officer will complete the medical admission including CRA, ARC and leave requirements in DHR.</w:t>
      </w:r>
    </w:p>
    <w:p w14:paraId="604F239E" w14:textId="6A09911D" w:rsidR="0057473B" w:rsidRPr="0057473B" w:rsidRDefault="0057473B" w:rsidP="004B2509">
      <w:pPr>
        <w:pStyle w:val="Heading6"/>
        <w:rPr>
          <w:lang w:bidi="en-US"/>
        </w:rPr>
      </w:pPr>
      <w:r w:rsidRPr="0057473B">
        <w:rPr>
          <w:lang w:bidi="en-US"/>
        </w:rPr>
        <w:t xml:space="preserve">4.1.4 </w:t>
      </w:r>
      <w:r w:rsidR="006F7396">
        <w:rPr>
          <w:lang w:bidi="en-US"/>
        </w:rPr>
        <w:t xml:space="preserve">Dietitian </w:t>
      </w:r>
      <w:r w:rsidRPr="0057473B">
        <w:rPr>
          <w:lang w:bidi="en-US"/>
        </w:rPr>
        <w:t xml:space="preserve"> </w:t>
      </w:r>
    </w:p>
    <w:p w14:paraId="0E8ED71B" w14:textId="740F913B" w:rsidR="0057473B" w:rsidRPr="0057473B" w:rsidRDefault="009C3022" w:rsidP="004C7CC9">
      <w:pPr>
        <w:pStyle w:val="Bullet"/>
      </w:pPr>
      <w:r>
        <w:t>I</w:t>
      </w:r>
      <w:r w:rsidR="0057473B" w:rsidRPr="0057473B">
        <w:t>dentify a suitable time to review and update the meal plan.</w:t>
      </w:r>
    </w:p>
    <w:p w14:paraId="6E9098E7" w14:textId="77777777" w:rsidR="0057473B" w:rsidRPr="0057473B" w:rsidRDefault="0057473B" w:rsidP="004B2509">
      <w:pPr>
        <w:pStyle w:val="Heading6"/>
        <w:rPr>
          <w:lang w:bidi="en-US"/>
        </w:rPr>
      </w:pPr>
      <w:r w:rsidRPr="0057473B">
        <w:rPr>
          <w:lang w:bidi="en-US"/>
        </w:rPr>
        <w:t>4.1.5 Administration team</w:t>
      </w:r>
    </w:p>
    <w:p w14:paraId="3C46D812" w14:textId="77777777" w:rsidR="0057473B" w:rsidRPr="0057473B" w:rsidRDefault="0057473B" w:rsidP="004C7CC9">
      <w:pPr>
        <w:pStyle w:val="Bullet"/>
      </w:pPr>
      <w:r w:rsidRPr="0057473B">
        <w:t xml:space="preserve">The Centre administrative staff will comply with the </w:t>
      </w:r>
      <w:bookmarkStart w:id="16" w:name="_Hlk104557045"/>
      <w:r w:rsidRPr="0057473B">
        <w:t xml:space="preserve">CHS Admission to Discharge Procedure (Adults and Children). </w:t>
      </w:r>
      <w:bookmarkEnd w:id="16"/>
    </w:p>
    <w:p w14:paraId="04DBF1A6" w14:textId="77777777" w:rsidR="0057473B" w:rsidRPr="0057473B" w:rsidRDefault="0057473B" w:rsidP="00D011CF">
      <w:pPr>
        <w:pStyle w:val="Heading5"/>
      </w:pPr>
      <w:r w:rsidRPr="0057473B">
        <w:t>4.2 Belongings</w:t>
      </w:r>
    </w:p>
    <w:p w14:paraId="04D22F3F" w14:textId="77777777" w:rsidR="0057473B" w:rsidRPr="0057473B" w:rsidRDefault="0057473B" w:rsidP="0057473B">
      <w:pPr>
        <w:pStyle w:val="BodyCopy"/>
      </w:pPr>
      <w:r w:rsidRPr="0057473B">
        <w:t>On admission, the admitting nurse will assist the consumer to unpack their belongings and remove any prohibited items as listed in the Welcome Booklet.</w:t>
      </w:r>
    </w:p>
    <w:p w14:paraId="0E6B315F" w14:textId="77777777" w:rsidR="0057473B" w:rsidRPr="0057473B" w:rsidRDefault="0057473B" w:rsidP="0057473B">
      <w:pPr>
        <w:pStyle w:val="BodyCopy"/>
      </w:pPr>
      <w:r w:rsidRPr="0057473B">
        <w:t>Consumers are discouraged from bringing valuable items to the Centre. Where possible, the consumer will be encouraged to return valuables to a family member or carer.</w:t>
      </w:r>
    </w:p>
    <w:p w14:paraId="4151C6CE" w14:textId="77777777" w:rsidR="0057473B" w:rsidRDefault="0057473B" w:rsidP="0057473B">
      <w:pPr>
        <w:pStyle w:val="BodyCopy"/>
      </w:pPr>
      <w:r w:rsidRPr="0057473B">
        <w:t>The admitting nurse is to ensure that the consumer signs the admission checklist accepting responsibility for their items whilst at the Centre, and on discharge that they have all property and valuables. This form is then placed in the person’s DHR.</w:t>
      </w:r>
    </w:p>
    <w:p w14:paraId="1DD6CC67" w14:textId="0354C14C" w:rsidR="004C7CC9" w:rsidRPr="0057473B" w:rsidRDefault="004C7CC9" w:rsidP="004C7CC9">
      <w:pPr>
        <w:pStyle w:val="BodyCopy"/>
        <w:pBdr>
          <w:top w:val="single" w:sz="4" w:space="1" w:color="auto"/>
          <w:left w:val="single" w:sz="4" w:space="4" w:color="auto"/>
          <w:bottom w:val="single" w:sz="4" w:space="1" w:color="auto"/>
          <w:right w:val="single" w:sz="4" w:space="4" w:color="auto"/>
        </w:pBdr>
      </w:pPr>
      <w:r w:rsidRPr="0057473B">
        <w:rPr>
          <w:b/>
        </w:rPr>
        <w:t xml:space="preserve">Note: </w:t>
      </w:r>
      <w:r w:rsidRPr="0057473B">
        <w:t>Ensure the consumer is aware that the Centre cannot accept full responsibility for loss or damage to personal effects unless property was taken into safe keeping</w:t>
      </w:r>
    </w:p>
    <w:p w14:paraId="5753E832" w14:textId="77777777" w:rsidR="0057473B" w:rsidRPr="0057473B" w:rsidRDefault="0057473B" w:rsidP="0057473B">
      <w:pPr>
        <w:pStyle w:val="BodyCopy"/>
      </w:pPr>
      <w:r w:rsidRPr="0057473B">
        <w:t xml:space="preserve">The searching of a consumer’s person or their property may be necessary to protect the person, visitors and Canberra Health Services (CHS) staff and to provide a safe care environment. Searching of a consumer’s person or their property should only occur in specific circumstances. For guiding principles relating to consent and safeguards regarding a search of a person, please refer to the CHS </w:t>
      </w:r>
      <w:r w:rsidRPr="0057473B">
        <w:rPr>
          <w:i/>
        </w:rPr>
        <w:t>Searching of a Consumer’s Person or Property</w:t>
      </w:r>
      <w:r w:rsidRPr="0057473B">
        <w:t xml:space="preserve"> Policy. </w:t>
      </w:r>
    </w:p>
    <w:p w14:paraId="69AB4DCB" w14:textId="51F269DD" w:rsidR="0057473B" w:rsidRDefault="0057473B" w:rsidP="0091462B">
      <w:pPr>
        <w:pStyle w:val="BodyCopy"/>
        <w:rPr>
          <w:i/>
        </w:rPr>
      </w:pPr>
      <w:r w:rsidRPr="0057473B">
        <w:t xml:space="preserve">For the removal of suspected prohibited substances from the person, please refer to the </w:t>
      </w:r>
      <w:r w:rsidRPr="0057473B">
        <w:rPr>
          <w:i/>
        </w:rPr>
        <w:t>CHS Responding to Consumer Use of Alcohol and/other Drugs (AOD) Procedure.</w:t>
      </w:r>
    </w:p>
    <w:p w14:paraId="600183DE" w14:textId="1EE18440" w:rsidR="00310C63" w:rsidRDefault="00310C63" w:rsidP="00310C63">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7436ABCE" w14:textId="284CD8F1" w:rsidR="0057473B" w:rsidRDefault="0057473B" w:rsidP="0057473B">
      <w:pPr>
        <w:pStyle w:val="Heading4"/>
      </w:pPr>
      <w:bookmarkStart w:id="17" w:name="_Toc201246934"/>
      <w:r>
        <w:t>Section 5- Treatment Program</w:t>
      </w:r>
      <w:bookmarkEnd w:id="17"/>
    </w:p>
    <w:p w14:paraId="7BDEF0CA" w14:textId="77777777" w:rsidR="0057473B" w:rsidRPr="0057473B" w:rsidRDefault="0057473B" w:rsidP="0057473B">
      <w:pPr>
        <w:pStyle w:val="BodyCopy"/>
      </w:pPr>
      <w:r w:rsidRPr="0057473B">
        <w:t>Consumers receive intensive biopsychosocial support for their recovery during their stay. Consistent with the principles of evidence-based eating disorder treatment, the program is designed to support regular and adequate eating of 3 meals and 3 snacks each day. Care is trauma-informed, recovery focused and provided in partnership with carers, loved ones and other service providers.</w:t>
      </w:r>
    </w:p>
    <w:p w14:paraId="32C8791C" w14:textId="77777777" w:rsidR="0057473B" w:rsidRPr="0057473B" w:rsidRDefault="0057473B" w:rsidP="00D011CF">
      <w:pPr>
        <w:pStyle w:val="Heading5"/>
      </w:pPr>
      <w:r w:rsidRPr="0057473B">
        <w:t xml:space="preserve">5.1 Individual Care Plan </w:t>
      </w:r>
    </w:p>
    <w:p w14:paraId="4FDAE73C" w14:textId="6B2B02FD" w:rsidR="0057473B" w:rsidRPr="0057473B" w:rsidRDefault="0057473B" w:rsidP="0057473B">
      <w:pPr>
        <w:pStyle w:val="BodyCopy"/>
      </w:pPr>
      <w:r w:rsidRPr="0057473B">
        <w:t xml:space="preserve">Consumers take part in a multidisciplinary assessment which informs the development of a care plan with their clinician and/or the MDT. Family, kin and carers may be included if appropriate. The plan is informed by a consumer’s stage of care, clinical presentation and individual support requirements. Stages of care have been developed to facilitate consistency and accountability across care plans for consumers and staff. </w:t>
      </w:r>
    </w:p>
    <w:p w14:paraId="1BE5CE41" w14:textId="6BB1A64E" w:rsidR="0057473B" w:rsidRPr="0057473B" w:rsidRDefault="0057473B" w:rsidP="0057473B">
      <w:pPr>
        <w:pStyle w:val="BodyCopy"/>
      </w:pPr>
      <w:r w:rsidRPr="0057473B">
        <w:t xml:space="preserve">The care plan </w:t>
      </w:r>
      <w:r w:rsidR="00D275FC">
        <w:t xml:space="preserve">is in the DHR and </w:t>
      </w:r>
      <w:r w:rsidRPr="0057473B">
        <w:t>includes: </w:t>
      </w:r>
    </w:p>
    <w:p w14:paraId="5A2644D7" w14:textId="77777777" w:rsidR="0057473B" w:rsidRPr="0057473B" w:rsidRDefault="0057473B" w:rsidP="004C7CC9">
      <w:pPr>
        <w:pStyle w:val="Bullet"/>
      </w:pPr>
      <w:r w:rsidRPr="0057473B">
        <w:t>Risk assessment. </w:t>
      </w:r>
    </w:p>
    <w:p w14:paraId="092BD2E9" w14:textId="77777777" w:rsidR="0057473B" w:rsidRPr="0057473B" w:rsidRDefault="0057473B" w:rsidP="004C7CC9">
      <w:pPr>
        <w:pStyle w:val="Bullet"/>
      </w:pPr>
      <w:r w:rsidRPr="0057473B">
        <w:t>Treatment goals. </w:t>
      </w:r>
    </w:p>
    <w:p w14:paraId="7146F036" w14:textId="77777777" w:rsidR="0057473B" w:rsidRPr="0057473B" w:rsidRDefault="0057473B" w:rsidP="004C7CC9">
      <w:pPr>
        <w:pStyle w:val="Bullet"/>
      </w:pPr>
      <w:r w:rsidRPr="0057473B">
        <w:t>Stage of care. </w:t>
      </w:r>
    </w:p>
    <w:p w14:paraId="497A30F7" w14:textId="77777777" w:rsidR="0057473B" w:rsidRPr="0057473B" w:rsidRDefault="0057473B" w:rsidP="004C7CC9">
      <w:pPr>
        <w:pStyle w:val="Bullet"/>
      </w:pPr>
      <w:r w:rsidRPr="0057473B">
        <w:t>Distress tolerance plan. </w:t>
      </w:r>
    </w:p>
    <w:p w14:paraId="6FB55C8D" w14:textId="77777777" w:rsidR="0057473B" w:rsidRPr="0057473B" w:rsidRDefault="0057473B" w:rsidP="004C7CC9">
      <w:pPr>
        <w:pStyle w:val="Bullet"/>
      </w:pPr>
      <w:r w:rsidRPr="0057473B">
        <w:t>Medication.</w:t>
      </w:r>
    </w:p>
    <w:p w14:paraId="1BAC91D9" w14:textId="77777777" w:rsidR="0057473B" w:rsidRPr="0057473B" w:rsidRDefault="0057473B" w:rsidP="004C7CC9">
      <w:pPr>
        <w:pStyle w:val="Bullet"/>
      </w:pPr>
      <w:r w:rsidRPr="0057473B">
        <w:t>Meal plan. </w:t>
      </w:r>
    </w:p>
    <w:p w14:paraId="4663F8CA" w14:textId="77777777" w:rsidR="0057473B" w:rsidRPr="0057473B" w:rsidRDefault="0057473B" w:rsidP="004C7CC9">
      <w:pPr>
        <w:pStyle w:val="Bullet"/>
      </w:pPr>
      <w:r w:rsidRPr="0057473B">
        <w:t>Movement plan.</w:t>
      </w:r>
    </w:p>
    <w:p w14:paraId="044C37C0" w14:textId="77777777" w:rsidR="0057473B" w:rsidRPr="0057473B" w:rsidRDefault="0057473B" w:rsidP="004C7CC9">
      <w:pPr>
        <w:pStyle w:val="Bullet"/>
      </w:pPr>
      <w:r w:rsidRPr="0057473B">
        <w:t>Use of electronic devices. </w:t>
      </w:r>
    </w:p>
    <w:p w14:paraId="7B037678" w14:textId="77777777" w:rsidR="0057473B" w:rsidRPr="0057473B" w:rsidRDefault="0057473B" w:rsidP="004C7CC9">
      <w:pPr>
        <w:pStyle w:val="Bullet"/>
      </w:pPr>
      <w:r w:rsidRPr="0057473B">
        <w:t>Agreed leave. </w:t>
      </w:r>
    </w:p>
    <w:p w14:paraId="4EE4E2DD" w14:textId="6C1EA2E9" w:rsidR="0057473B" w:rsidRPr="0057473B" w:rsidRDefault="0057473B" w:rsidP="004C7CC9">
      <w:pPr>
        <w:pStyle w:val="Bullet"/>
        <w:rPr>
          <w:lang w:val="en-US"/>
        </w:rPr>
      </w:pPr>
      <w:r w:rsidRPr="0057473B">
        <w:t>Sexual</w:t>
      </w:r>
      <w:r w:rsidRPr="0057473B">
        <w:rPr>
          <w:lang w:val="en-US"/>
        </w:rPr>
        <w:t xml:space="preserve"> safety </w:t>
      </w:r>
    </w:p>
    <w:p w14:paraId="3DE00922" w14:textId="77777777" w:rsidR="0057473B" w:rsidRPr="0057473B" w:rsidRDefault="0057473B" w:rsidP="0057473B">
      <w:pPr>
        <w:pStyle w:val="BodyCopy"/>
      </w:pPr>
      <w:r w:rsidRPr="0057473B">
        <w:t>The care plan is reviewed and updated at each MDT and the updated plan is added to DHR. </w:t>
      </w:r>
    </w:p>
    <w:p w14:paraId="56CB36D1" w14:textId="77777777" w:rsidR="0057473B" w:rsidRPr="0057473B" w:rsidRDefault="0057473B" w:rsidP="00D011CF">
      <w:pPr>
        <w:pStyle w:val="Heading5"/>
      </w:pPr>
      <w:r w:rsidRPr="0057473B">
        <w:t>5.2 Multi-disciplinary Team (MDT) Meeting</w:t>
      </w:r>
    </w:p>
    <w:p w14:paraId="4D02C51E" w14:textId="6E5CC059" w:rsidR="0057473B" w:rsidRPr="0057473B" w:rsidRDefault="0057473B" w:rsidP="0057473B">
      <w:pPr>
        <w:pStyle w:val="BodyCopy"/>
      </w:pPr>
      <w:r w:rsidRPr="0057473B">
        <w:t xml:space="preserve">An MDT meeting will be held </w:t>
      </w:r>
      <w:r w:rsidR="00FC2AFE">
        <w:t>once per fortnight</w:t>
      </w:r>
      <w:r w:rsidR="004F02ED">
        <w:t>.</w:t>
      </w:r>
      <w:r w:rsidRPr="0057473B">
        <w:t xml:space="preserve"> The consumer and their carers, family, kin and supporters are included as appropriate. Case discussion may include diagnostic clarification, progress toward treatment goals and changes to the care plan, including stage of care. This will be documented by the key worker or delegate in the consumer’s DHR.</w:t>
      </w:r>
    </w:p>
    <w:p w14:paraId="7E50FDE4" w14:textId="0B081983" w:rsidR="0057473B" w:rsidRPr="0057473B" w:rsidRDefault="00B90479" w:rsidP="0057473B">
      <w:pPr>
        <w:pStyle w:val="BodyCopy"/>
      </w:pPr>
      <w:r>
        <w:t xml:space="preserve">The </w:t>
      </w:r>
      <w:r w:rsidR="002E1F59">
        <w:t xml:space="preserve">MDT will usually consist of </w:t>
      </w:r>
      <w:r w:rsidR="00540982">
        <w:t xml:space="preserve">the participant’s </w:t>
      </w:r>
      <w:r w:rsidR="002E1F59">
        <w:t>psychiatrist,</w:t>
      </w:r>
      <w:r w:rsidR="00540982">
        <w:t xml:space="preserve"> </w:t>
      </w:r>
      <w:r w:rsidR="002E1F59">
        <w:t xml:space="preserve">therapist and dietitian, and a </w:t>
      </w:r>
      <w:r w:rsidR="00540982">
        <w:t xml:space="preserve">where available key worker or </w:t>
      </w:r>
      <w:r w:rsidR="002E1F59">
        <w:t xml:space="preserve">member of the </w:t>
      </w:r>
      <w:r w:rsidR="00540982">
        <w:t>senior leadership</w:t>
      </w:r>
      <w:r w:rsidR="002E1F59">
        <w:t xml:space="preserve"> team.  </w:t>
      </w:r>
    </w:p>
    <w:p w14:paraId="0429068C" w14:textId="77777777" w:rsidR="0057473B" w:rsidRPr="0057473B" w:rsidRDefault="0057473B" w:rsidP="00D011CF">
      <w:pPr>
        <w:pStyle w:val="Heading5"/>
      </w:pPr>
      <w:r w:rsidRPr="0057473B">
        <w:t>5.3 Therapeutic Program</w:t>
      </w:r>
    </w:p>
    <w:p w14:paraId="34ECDFEF" w14:textId="77777777" w:rsidR="0057473B" w:rsidRPr="0057473B" w:rsidRDefault="0057473B" w:rsidP="0057473B">
      <w:pPr>
        <w:pStyle w:val="BodyCopy"/>
      </w:pPr>
      <w:r w:rsidRPr="0057473B">
        <w:t>The therapeutic program is delivered through evidence-based individual and group treatments and therapy.</w:t>
      </w:r>
    </w:p>
    <w:p w14:paraId="7E579AB4" w14:textId="26810349" w:rsidR="0057473B" w:rsidRPr="0057473B" w:rsidRDefault="0057473B" w:rsidP="0057473B">
      <w:pPr>
        <w:pStyle w:val="BodyCopy"/>
      </w:pPr>
      <w:r w:rsidRPr="0057473B">
        <w:t xml:space="preserve">Individual therapy sessions with the key worker, psychiatrist, psychologist, social worker, occupational therapist, dietitian, other allied health clinicians and nurses may </w:t>
      </w:r>
      <w:r w:rsidR="0075168F">
        <w:t xml:space="preserve">be informed </w:t>
      </w:r>
      <w:r w:rsidR="00F2468F">
        <w:t>by:</w:t>
      </w:r>
    </w:p>
    <w:p w14:paraId="01D6E527" w14:textId="77777777" w:rsidR="0057473B" w:rsidRPr="0057473B" w:rsidRDefault="0057473B" w:rsidP="004C7CC9">
      <w:pPr>
        <w:pStyle w:val="Bullet"/>
      </w:pPr>
      <w:r w:rsidRPr="0057473B">
        <w:t>Enhanced Cognitive Behaviour Therapy for Eating Disorders (CBT-E).</w:t>
      </w:r>
    </w:p>
    <w:p w14:paraId="2C21C317" w14:textId="77777777" w:rsidR="0057473B" w:rsidRPr="0057473B" w:rsidRDefault="0057473B" w:rsidP="004C7CC9">
      <w:pPr>
        <w:pStyle w:val="Bullet"/>
      </w:pPr>
      <w:r w:rsidRPr="0057473B">
        <w:t>Maudsley Model of Anorexia Nervosa Treatment for Adults (MANTRA).</w:t>
      </w:r>
    </w:p>
    <w:p w14:paraId="26460C7F" w14:textId="77777777" w:rsidR="0057473B" w:rsidRPr="0057473B" w:rsidRDefault="0057473B" w:rsidP="004C7CC9">
      <w:pPr>
        <w:pStyle w:val="Bullet"/>
      </w:pPr>
      <w:r w:rsidRPr="0057473B">
        <w:t>Specialist Supportive Clinical Management (SSCM).</w:t>
      </w:r>
    </w:p>
    <w:p w14:paraId="685A2506" w14:textId="77777777" w:rsidR="0057473B" w:rsidRPr="0057473B" w:rsidRDefault="0057473B" w:rsidP="004C7CC9">
      <w:pPr>
        <w:pStyle w:val="Bullet"/>
      </w:pPr>
      <w:r w:rsidRPr="0057473B">
        <w:t>Motivational Enhancement.  </w:t>
      </w:r>
    </w:p>
    <w:p w14:paraId="654B3C8E" w14:textId="77777777" w:rsidR="0057473B" w:rsidRPr="0057473B" w:rsidRDefault="0057473B" w:rsidP="004C7CC9">
      <w:pPr>
        <w:pStyle w:val="Bullet"/>
      </w:pPr>
      <w:r w:rsidRPr="0057473B">
        <w:t>Dialectical Behaviour Therapy (DBT).</w:t>
      </w:r>
    </w:p>
    <w:p w14:paraId="125F0A93" w14:textId="77777777" w:rsidR="0057473B" w:rsidRPr="0057473B" w:rsidRDefault="0057473B" w:rsidP="004C7CC9">
      <w:pPr>
        <w:pStyle w:val="Bullet"/>
      </w:pPr>
      <w:r w:rsidRPr="0057473B">
        <w:t>Interpersonal Psychotherapy (IPT).</w:t>
      </w:r>
    </w:p>
    <w:p w14:paraId="63256DF6" w14:textId="77777777" w:rsidR="0057473B" w:rsidRPr="0057473B" w:rsidRDefault="0057473B" w:rsidP="0057473B">
      <w:pPr>
        <w:pStyle w:val="BodyCopy"/>
        <w:rPr>
          <w:lang w:bidi="en-US"/>
        </w:rPr>
      </w:pPr>
      <w:r w:rsidRPr="0057473B">
        <w:rPr>
          <w:lang w:bidi="en-US"/>
        </w:rPr>
        <w:t>Dietetics</w:t>
      </w:r>
    </w:p>
    <w:p w14:paraId="2DF857ED" w14:textId="77777777" w:rsidR="0057473B" w:rsidRPr="0057473B" w:rsidRDefault="0057473B" w:rsidP="004C7CC9">
      <w:pPr>
        <w:pStyle w:val="Bullet"/>
      </w:pPr>
      <w:r w:rsidRPr="0057473B">
        <w:t>All consumers meet with the dietitian for individualised assessment and meal plan recommendations.</w:t>
      </w:r>
    </w:p>
    <w:p w14:paraId="26137986" w14:textId="77777777" w:rsidR="0057473B" w:rsidRPr="0057473B" w:rsidRDefault="0057473B" w:rsidP="0057473B">
      <w:pPr>
        <w:pStyle w:val="BodyCopy"/>
      </w:pPr>
      <w:r w:rsidRPr="0057473B">
        <w:t>Group therapy may be conducted in small or multiple group formats, informed by the social milieu and includes:</w:t>
      </w:r>
    </w:p>
    <w:p w14:paraId="5429C40C" w14:textId="77777777" w:rsidR="0057473B" w:rsidRPr="0057473B" w:rsidRDefault="0057473B" w:rsidP="004C7CC9">
      <w:pPr>
        <w:pStyle w:val="Bullet"/>
      </w:pPr>
      <w:r w:rsidRPr="0057473B">
        <w:t>Evidence-based talking therapies for eating disorders and their comorbidities.</w:t>
      </w:r>
    </w:p>
    <w:p w14:paraId="6152ED4E" w14:textId="77777777" w:rsidR="0057473B" w:rsidRPr="0057473B" w:rsidRDefault="0057473B" w:rsidP="004C7CC9">
      <w:pPr>
        <w:pStyle w:val="Bullet"/>
      </w:pPr>
      <w:r w:rsidRPr="0057473B">
        <w:t>Non-verbal therapies like creative art therapy, music therapy, movement groups and others.</w:t>
      </w:r>
    </w:p>
    <w:p w14:paraId="4566A739" w14:textId="77777777" w:rsidR="0057473B" w:rsidRPr="0057473B" w:rsidRDefault="0057473B" w:rsidP="004C7CC9">
      <w:pPr>
        <w:pStyle w:val="Bullet"/>
      </w:pPr>
      <w:r w:rsidRPr="0057473B">
        <w:t>Psychosocial interventions such as permaculture, animal therapy and others.</w:t>
      </w:r>
    </w:p>
    <w:p w14:paraId="0E2A000A" w14:textId="77777777" w:rsidR="0057473B" w:rsidRPr="0057473B" w:rsidRDefault="0057473B" w:rsidP="004C7CC9">
      <w:pPr>
        <w:pStyle w:val="Bullet"/>
        <w:rPr>
          <w:lang w:val="en-US"/>
        </w:rPr>
      </w:pPr>
      <w:r w:rsidRPr="0057473B">
        <w:t>Off</w:t>
      </w:r>
      <w:r w:rsidRPr="0057473B">
        <w:rPr>
          <w:lang w:val="en-US"/>
        </w:rPr>
        <w:t>-site excursions to develop flexibility and normalise social eating.</w:t>
      </w:r>
    </w:p>
    <w:p w14:paraId="7C503A4C" w14:textId="77777777" w:rsidR="0057473B" w:rsidRPr="0057473B" w:rsidRDefault="0057473B" w:rsidP="0057473B">
      <w:pPr>
        <w:pStyle w:val="BodyCopy"/>
      </w:pPr>
      <w:r w:rsidRPr="0057473B">
        <w:t>All treatment modalities are trauma informed. They aim to identify factors that maintain the eating disorder and develop skills to address these factors. This includes the development of emotional regulation, interpersonal skills, self-worth and identity outside of the eating disorder.  </w:t>
      </w:r>
    </w:p>
    <w:p w14:paraId="2CD97E6E" w14:textId="77777777" w:rsidR="0057473B" w:rsidRPr="0057473B" w:rsidRDefault="0057473B" w:rsidP="0057473B">
      <w:pPr>
        <w:pStyle w:val="BodyCopy"/>
      </w:pPr>
      <w:r w:rsidRPr="0057473B">
        <w:t>In addition to treatment, consumers will undertake household chores as agreed in their care plan. This is to simulate the home-like environment and foster a cohesive ‘community’ feel between consumers at the Centre.  </w:t>
      </w:r>
    </w:p>
    <w:p w14:paraId="2ED40F83" w14:textId="77777777" w:rsidR="0057473B" w:rsidRPr="0057473B" w:rsidRDefault="0057473B" w:rsidP="0057473B">
      <w:pPr>
        <w:pStyle w:val="BodyCopy"/>
      </w:pPr>
      <w:r w:rsidRPr="0057473B">
        <w:t>Development of a therapeutic community within the Centre is supported by:</w:t>
      </w:r>
    </w:p>
    <w:p w14:paraId="1863EE5B" w14:textId="77777777" w:rsidR="0057473B" w:rsidRPr="0057473B" w:rsidRDefault="0057473B" w:rsidP="004C7CC9">
      <w:pPr>
        <w:pStyle w:val="Bullet"/>
      </w:pPr>
      <w:r w:rsidRPr="0057473B">
        <w:t>Meal preparation including portioning and self-preparation of meals.</w:t>
      </w:r>
    </w:p>
    <w:p w14:paraId="4CBBE3C3" w14:textId="77777777" w:rsidR="0057473B" w:rsidRPr="0057473B" w:rsidRDefault="0057473B" w:rsidP="004C7CC9">
      <w:pPr>
        <w:pStyle w:val="Bullet"/>
      </w:pPr>
      <w:r w:rsidRPr="0057473B">
        <w:t>Social eating.</w:t>
      </w:r>
    </w:p>
    <w:p w14:paraId="5F1D8D59" w14:textId="77777777" w:rsidR="0057473B" w:rsidRPr="0057473B" w:rsidRDefault="0057473B" w:rsidP="004C7CC9">
      <w:pPr>
        <w:pStyle w:val="Bullet"/>
        <w:rPr>
          <w:lang w:val="en-US"/>
        </w:rPr>
      </w:pPr>
      <w:r w:rsidRPr="0057473B">
        <w:t>Engaging</w:t>
      </w:r>
      <w:r w:rsidRPr="0057473B">
        <w:rPr>
          <w:lang w:val="en-US"/>
        </w:rPr>
        <w:t xml:space="preserve"> carers and supporters with mealtime activities.</w:t>
      </w:r>
    </w:p>
    <w:p w14:paraId="0BC4838D" w14:textId="6437E33C" w:rsidR="0057473B" w:rsidRPr="0057473B" w:rsidRDefault="0057473B" w:rsidP="0057473B">
      <w:pPr>
        <w:pStyle w:val="BodyCopy"/>
      </w:pPr>
      <w:r w:rsidRPr="0057473B">
        <w:t xml:space="preserve">Depending on their stage of care, consumers </w:t>
      </w:r>
      <w:r w:rsidR="00182B36">
        <w:t xml:space="preserve">may be </w:t>
      </w:r>
      <w:r w:rsidR="00AE74CB">
        <w:t xml:space="preserve">offered </w:t>
      </w:r>
      <w:r w:rsidRPr="0057473B">
        <w:t>opportunities to shop for food items and go on excursions to cafés. Exposure activities replicate the consumer’s regular life and helps to address any anxiety and concern during their admission.</w:t>
      </w:r>
    </w:p>
    <w:p w14:paraId="0CF76123" w14:textId="2BD8B727" w:rsidR="0057473B" w:rsidRPr="0057473B" w:rsidRDefault="0057473B" w:rsidP="0057473B">
      <w:pPr>
        <w:pStyle w:val="BodyCopy"/>
      </w:pPr>
      <w:r w:rsidRPr="0057473B">
        <w:t xml:space="preserve">A sample weekly therapy schedule is at Attachment </w:t>
      </w:r>
      <w:r w:rsidR="003D5217">
        <w:t>B</w:t>
      </w:r>
      <w:r w:rsidRPr="0057473B">
        <w:t xml:space="preserve">. </w:t>
      </w:r>
    </w:p>
    <w:p w14:paraId="095635F0" w14:textId="77777777" w:rsidR="0057473B" w:rsidRPr="0057473B" w:rsidRDefault="0057473B" w:rsidP="00D011CF">
      <w:pPr>
        <w:pStyle w:val="Heading5"/>
      </w:pPr>
      <w:r w:rsidRPr="0057473B">
        <w:t xml:space="preserve">5.4 Meal support </w:t>
      </w:r>
    </w:p>
    <w:p w14:paraId="4B5FF0D5" w14:textId="77777777" w:rsidR="0057473B" w:rsidRPr="0057473B" w:rsidRDefault="0057473B" w:rsidP="0057473B">
      <w:pPr>
        <w:pStyle w:val="BodyCopy"/>
      </w:pPr>
      <w:r w:rsidRPr="0057473B">
        <w:t>Nutritional rehabilitation and exposure are core components of residential eating disorder treatment. The Centre includes a consumer kitchen and commercial kitchen. These are designed to enable consumers, carers, families, kin and supporters, and health professionals to prepare and eat meals together – replicating regular mealtimes when consumers are in their usual environments.</w:t>
      </w:r>
    </w:p>
    <w:p w14:paraId="3AA70182" w14:textId="77777777" w:rsidR="0057473B" w:rsidRPr="0057473B" w:rsidRDefault="0057473B" w:rsidP="0057473B">
      <w:pPr>
        <w:pStyle w:val="BodyCopy"/>
      </w:pPr>
      <w:r w:rsidRPr="0057473B">
        <w:t xml:space="preserve">Most meals will be provided by CHS Food Services team in close consultation with the Centre dietitian. The Centre dietitian will design the meal plans and order the appropriate quantity from CHS Food Services. The meal plans will consider consumers’ nutritional requirements, therapeutic goals, and dietary restrictions. The CHS Food Services team will deliver meals, food service assistants will complete final preparations in the commercial kitchen and transfer to the consumer kitchen for portioning and serving. </w:t>
      </w:r>
    </w:p>
    <w:p w14:paraId="33F1A1CF" w14:textId="77777777" w:rsidR="0057473B" w:rsidRPr="0057473B" w:rsidRDefault="0057473B" w:rsidP="0057473B">
      <w:pPr>
        <w:pStyle w:val="BodyCopy"/>
      </w:pPr>
      <w:r w:rsidRPr="0057473B">
        <w:t xml:space="preserve">The Centre dietitian will regularly review a consumer’s nutritional requirements and meal plan throughout the admission. Recommendations are based on the consumer’s treatment goals, allergies and sensory sensitivities, medical conditions, and available meal options. </w:t>
      </w:r>
    </w:p>
    <w:p w14:paraId="57D943E9" w14:textId="77777777" w:rsidR="0057473B" w:rsidRPr="0057473B" w:rsidRDefault="0057473B" w:rsidP="0057473B">
      <w:pPr>
        <w:pStyle w:val="BodyCopy"/>
      </w:pPr>
      <w:r w:rsidRPr="0057473B">
        <w:t xml:space="preserve">The dietitian provides individual nutrition sessions as well as facilitating group sessions. Sessions may include psychoeducation, food appreciation and preparation and outings such as to grocery stores. </w:t>
      </w:r>
    </w:p>
    <w:p w14:paraId="450F26F3" w14:textId="77777777" w:rsidR="0057473B" w:rsidRPr="0057473B" w:rsidRDefault="0057473B" w:rsidP="0057473B">
      <w:pPr>
        <w:pStyle w:val="BodyCopy"/>
      </w:pPr>
      <w:r w:rsidRPr="0057473B">
        <w:t>To reduce the risk of an adverse incident occurring because of handling/working with food in a therapeutic setting, all staff must comply with the:</w:t>
      </w:r>
    </w:p>
    <w:p w14:paraId="715601EE" w14:textId="77777777" w:rsidR="0057473B" w:rsidRPr="0057473B" w:rsidRDefault="0057473B" w:rsidP="004C7CC9">
      <w:pPr>
        <w:pStyle w:val="Bullet"/>
        <w:rPr>
          <w:lang w:val="en-US"/>
        </w:rPr>
      </w:pPr>
      <w:r w:rsidRPr="0057473B">
        <w:t>CHS Procedure Food</w:t>
      </w:r>
      <w:r w:rsidRPr="0057473B">
        <w:rPr>
          <w:lang w:val="en-US"/>
        </w:rPr>
        <w:t xml:space="preserve"> Safety- Activities For Daily Living. </w:t>
      </w:r>
    </w:p>
    <w:p w14:paraId="0B94F682" w14:textId="77777777" w:rsidR="0057473B" w:rsidRPr="0057473B" w:rsidRDefault="0057473B" w:rsidP="004C7CC9">
      <w:pPr>
        <w:pStyle w:val="Bullet"/>
        <w:rPr>
          <w:lang w:val="en-US"/>
        </w:rPr>
      </w:pPr>
      <w:r w:rsidRPr="0057473B">
        <w:t>Australia New Zealand Food Authority, August 2015 Safe Food Australia, A Guide to the Food</w:t>
      </w:r>
      <w:r w:rsidRPr="0057473B">
        <w:rPr>
          <w:lang w:val="en-US"/>
        </w:rPr>
        <w:t xml:space="preserve"> Safety Standards.</w:t>
      </w:r>
    </w:p>
    <w:p w14:paraId="6CC19431" w14:textId="0059B623" w:rsidR="0057473B" w:rsidRPr="0057473B" w:rsidRDefault="6804FF82" w:rsidP="004B2509">
      <w:pPr>
        <w:pStyle w:val="Heading6"/>
      </w:pPr>
      <w:r w:rsidRPr="62376261">
        <w:t>5.4.1 Serving of meals</w:t>
      </w:r>
    </w:p>
    <w:p w14:paraId="595F1A21" w14:textId="77777777" w:rsidR="0057473B" w:rsidRPr="0057473B" w:rsidRDefault="0057473B" w:rsidP="0057473B">
      <w:pPr>
        <w:pStyle w:val="BodyCopy"/>
      </w:pPr>
      <w:r w:rsidRPr="0057473B">
        <w:t>Consumers will either be provided with a meal portioned by staff or will portion and serve their own food under supervision in the consumer kitchen. This is dependent on their stage of care.</w:t>
      </w:r>
    </w:p>
    <w:p w14:paraId="307A476B" w14:textId="77777777" w:rsidR="0057473B" w:rsidRPr="0057473B" w:rsidRDefault="0057473B" w:rsidP="004B2509">
      <w:pPr>
        <w:pStyle w:val="Heading6"/>
      </w:pPr>
      <w:r w:rsidRPr="0057473B">
        <w:t>5.4.2 Supervision during and post mealtimes</w:t>
      </w:r>
    </w:p>
    <w:p w14:paraId="5E12AF22" w14:textId="77777777" w:rsidR="0057473B" w:rsidRPr="0057473B" w:rsidRDefault="0057473B" w:rsidP="0057473B">
      <w:pPr>
        <w:pStyle w:val="BodyCopy"/>
      </w:pPr>
      <w:r w:rsidRPr="0057473B">
        <w:t>Meal support and modelling of normal eating behaviours is an important part of the therapeutic program. All staff will be trained and will provide meal support. At a minimum, the Centre will have one staff member provide meal support for a maximum six consumers. This ratio may need to be higher dependent on the level of support required by the consumers. Other staff will be available to provide individual assistance where needed. Rostering to oversee meal supervision is a joint responsibility between allied and nursing staff.  Allied health and nursing staff are responsible for supervising and managing mealtime concerns.</w:t>
      </w:r>
    </w:p>
    <w:p w14:paraId="54C22AB2" w14:textId="0CAD1B6F" w:rsidR="0057473B" w:rsidRPr="0057473B" w:rsidRDefault="0057473B" w:rsidP="0057473B">
      <w:pPr>
        <w:pStyle w:val="BodyCopy"/>
      </w:pPr>
      <w:r w:rsidRPr="0057473B">
        <w:t xml:space="preserve">Consumers will not be able to go to the bathroom for 1 hour post meal </w:t>
      </w:r>
      <w:r w:rsidR="007E4957">
        <w:t>or</w:t>
      </w:r>
      <w:r w:rsidR="0080115F">
        <w:t xml:space="preserve"> 30 minutes post </w:t>
      </w:r>
      <w:r w:rsidR="007575FE">
        <w:t>snack and</w:t>
      </w:r>
      <w:r w:rsidRPr="0057473B">
        <w:t xml:space="preserve"> will need to stay in communal areas within this time - this is scheduled into the therapy program.</w:t>
      </w:r>
    </w:p>
    <w:p w14:paraId="37ECC402" w14:textId="77777777" w:rsidR="0057473B" w:rsidRPr="0057473B" w:rsidRDefault="0057473B" w:rsidP="004B2509">
      <w:pPr>
        <w:pStyle w:val="Heading6"/>
      </w:pPr>
      <w:r w:rsidRPr="0057473B">
        <w:t xml:space="preserve">5.4.3 Self-catered meals </w:t>
      </w:r>
    </w:p>
    <w:p w14:paraId="1128564C" w14:textId="77777777" w:rsidR="0057473B" w:rsidRPr="0057473B" w:rsidRDefault="0057473B" w:rsidP="0057473B">
      <w:pPr>
        <w:pStyle w:val="BodyCopy"/>
      </w:pPr>
      <w:r w:rsidRPr="0057473B">
        <w:t xml:space="preserve">The meal plan may include self-catered meals where ingredients are purchased by the consumer and prepared in the consumer kitchen under the supervision of staff. This is dependent on their stage of care. </w:t>
      </w:r>
    </w:p>
    <w:p w14:paraId="538365B8" w14:textId="77777777" w:rsidR="0057473B" w:rsidRPr="0057473B" w:rsidRDefault="0057473B" w:rsidP="0057473B">
      <w:pPr>
        <w:pStyle w:val="BodyCopy"/>
      </w:pPr>
      <w:r w:rsidRPr="0057473B">
        <w:t>Consumers may purchase items from a café or shop to consume at the Centre as part of their individual care plan.  All practices are in line with safe food handling and storage requirements as outlined in the CHS Procedure</w:t>
      </w:r>
      <w:r w:rsidRPr="0057473B">
        <w:rPr>
          <w:i/>
        </w:rPr>
        <w:t xml:space="preserve"> - Bringing Food into Canberra Health Services (Adults and Children).</w:t>
      </w:r>
      <w:r w:rsidRPr="0057473B">
        <w:t xml:space="preserve"> </w:t>
      </w:r>
    </w:p>
    <w:p w14:paraId="72E221F3" w14:textId="77777777" w:rsidR="0057473B" w:rsidRPr="0057473B" w:rsidRDefault="0057473B" w:rsidP="00D011CF">
      <w:pPr>
        <w:pStyle w:val="Heading5"/>
      </w:pPr>
      <w:r w:rsidRPr="0057473B">
        <w:t>5.5 Education</w:t>
      </w:r>
    </w:p>
    <w:p w14:paraId="683D6CDF" w14:textId="77777777" w:rsidR="0057473B" w:rsidRPr="0057473B" w:rsidRDefault="0057473B" w:rsidP="0057473B">
      <w:pPr>
        <w:pStyle w:val="BodyCopy"/>
      </w:pPr>
      <w:r w:rsidRPr="0057473B">
        <w:t>There is an established liaison pathway between CHS and Flexible Education, ACT Education Directorate for education support for school aged (16-18yrs) EDRTC consumers.</w:t>
      </w:r>
    </w:p>
    <w:p w14:paraId="1786A21F" w14:textId="77777777" w:rsidR="0057473B" w:rsidRPr="0057473B" w:rsidRDefault="0057473B" w:rsidP="0057473B">
      <w:pPr>
        <w:pStyle w:val="BodyCopy"/>
      </w:pPr>
      <w:r w:rsidRPr="0057473B">
        <w:t>EDRTC staff are responsible for identifying consumers that would benefit from individualised education support. Once identified, staff will complete the Flexible Education Referral and Consent to Release Information form. Flexible Education staff will then liaise with the consumer and all relevant stakeholders (parent/carers, centre staff, staff at their enrolled school) to support their education and transition needs while residing at the EDRTC.</w:t>
      </w:r>
    </w:p>
    <w:p w14:paraId="23064373" w14:textId="77777777" w:rsidR="0057473B" w:rsidRPr="0057473B" w:rsidRDefault="0057473B" w:rsidP="0057473B">
      <w:pPr>
        <w:pStyle w:val="BodyCopy"/>
      </w:pPr>
      <w:r w:rsidRPr="0057473B">
        <w:t>For consumers enrolled in tertiary education, EDTRC staff will address support needs within the consumers individual care plan.</w:t>
      </w:r>
    </w:p>
    <w:p w14:paraId="4256517E" w14:textId="77777777" w:rsidR="0057473B" w:rsidRPr="0057473B" w:rsidRDefault="0057473B" w:rsidP="00D011CF">
      <w:pPr>
        <w:pStyle w:val="Heading5"/>
      </w:pPr>
      <w:r w:rsidRPr="0057473B">
        <w:t xml:space="preserve">5.6 Leave </w:t>
      </w:r>
    </w:p>
    <w:p w14:paraId="048129E4" w14:textId="68022613" w:rsidR="0057473B" w:rsidRDefault="6804FF82" w:rsidP="0057473B">
      <w:pPr>
        <w:pStyle w:val="BodyCopy"/>
      </w:pPr>
      <w:r>
        <w:t>Access to leave arrangements will be discussed and agreed upon at the MDT with the consumer and included in their care plan. The psychiatrist will communicate the MDT leave approval within DHR by updating the CRA. When clinically indicated, consumers may also take authorised leave to visit their General Practitioner for routine primary healthcare care as per section 5.9.1</w:t>
      </w:r>
      <w:r w:rsidR="354E96F6">
        <w:t xml:space="preserve"> </w:t>
      </w:r>
      <w:r>
        <w:t>(Physical health support).</w:t>
      </w:r>
    </w:p>
    <w:p w14:paraId="4D8F5118" w14:textId="6C8A8CF4" w:rsidR="00AC2D3D" w:rsidRPr="00AC2D3D" w:rsidRDefault="0099323B" w:rsidP="00596DAA">
      <w:pPr>
        <w:pStyle w:val="Tabletitle-numbered"/>
      </w:pPr>
      <w:r w:rsidRPr="00363D8C">
        <w:t>Guide to leave</w:t>
      </w:r>
    </w:p>
    <w:tbl>
      <w:tblPr>
        <w:tblW w:w="9214" w:type="dxa"/>
        <w:tblInd w:w="-5" w:type="dxa"/>
        <w:tblCellMar>
          <w:left w:w="0" w:type="dxa"/>
          <w:right w:w="0" w:type="dxa"/>
        </w:tblCellMar>
        <w:tblLook w:val="04A0" w:firstRow="1" w:lastRow="0" w:firstColumn="1" w:lastColumn="0" w:noHBand="0" w:noVBand="1"/>
      </w:tblPr>
      <w:tblGrid>
        <w:gridCol w:w="2303"/>
        <w:gridCol w:w="2304"/>
        <w:gridCol w:w="2303"/>
        <w:gridCol w:w="2304"/>
      </w:tblGrid>
      <w:tr w:rsidR="00172B2E" w:rsidRPr="00172B2E" w14:paraId="7783636B" w14:textId="77777777" w:rsidTr="00172B2E">
        <w:tc>
          <w:tcPr>
            <w:tcW w:w="2303" w:type="dxa"/>
            <w:tcBorders>
              <w:top w:val="single" w:sz="8" w:space="0" w:color="auto"/>
              <w:left w:val="single" w:sz="8" w:space="0" w:color="auto"/>
              <w:bottom w:val="single" w:sz="8" w:space="0" w:color="auto"/>
              <w:right w:val="single" w:sz="8" w:space="0" w:color="auto"/>
            </w:tcBorders>
            <w:shd w:val="clear" w:color="auto" w:fill="3D2262" w:themeFill="accent1"/>
            <w:tcMar>
              <w:top w:w="0" w:type="dxa"/>
              <w:left w:w="108" w:type="dxa"/>
              <w:bottom w:w="0" w:type="dxa"/>
              <w:right w:w="108" w:type="dxa"/>
            </w:tcMar>
            <w:hideMark/>
          </w:tcPr>
          <w:p w14:paraId="0E26DCB7" w14:textId="77777777" w:rsidR="00AC2D3D" w:rsidRPr="00172B2E" w:rsidRDefault="00AC2D3D" w:rsidP="00D275FC">
            <w:pPr>
              <w:pStyle w:val="BodyCopy"/>
              <w:spacing w:after="120" w:line="240" w:lineRule="auto"/>
              <w:rPr>
                <w:b/>
                <w:color w:val="FFFFFF" w:themeColor="background1"/>
              </w:rPr>
            </w:pPr>
            <w:r w:rsidRPr="00172B2E">
              <w:rPr>
                <w:b/>
                <w:color w:val="FFFFFF" w:themeColor="background1"/>
              </w:rPr>
              <w:t>Stage</w:t>
            </w:r>
          </w:p>
        </w:tc>
        <w:tc>
          <w:tcPr>
            <w:tcW w:w="2304" w:type="dxa"/>
            <w:tcBorders>
              <w:top w:val="single" w:sz="8" w:space="0" w:color="auto"/>
              <w:left w:val="nil"/>
              <w:bottom w:val="single" w:sz="8" w:space="0" w:color="auto"/>
              <w:right w:val="single" w:sz="8" w:space="0" w:color="auto"/>
            </w:tcBorders>
            <w:shd w:val="clear" w:color="auto" w:fill="3D2262" w:themeFill="accent1"/>
            <w:tcMar>
              <w:top w:w="0" w:type="dxa"/>
              <w:left w:w="108" w:type="dxa"/>
              <w:bottom w:w="0" w:type="dxa"/>
              <w:right w:w="108" w:type="dxa"/>
            </w:tcMar>
            <w:hideMark/>
          </w:tcPr>
          <w:p w14:paraId="03EE078A" w14:textId="77777777" w:rsidR="00AC2D3D" w:rsidRPr="00172B2E" w:rsidRDefault="00AC2D3D" w:rsidP="00D275FC">
            <w:pPr>
              <w:pStyle w:val="BodyCopy"/>
              <w:spacing w:after="120" w:line="240" w:lineRule="auto"/>
              <w:rPr>
                <w:b/>
                <w:color w:val="FFFFFF" w:themeColor="background1"/>
              </w:rPr>
            </w:pPr>
            <w:r w:rsidRPr="00172B2E">
              <w:rPr>
                <w:b/>
                <w:color w:val="FFFFFF" w:themeColor="background1"/>
              </w:rPr>
              <w:t>Weekday Leave</w:t>
            </w:r>
          </w:p>
        </w:tc>
        <w:tc>
          <w:tcPr>
            <w:tcW w:w="2303" w:type="dxa"/>
            <w:tcBorders>
              <w:top w:val="single" w:sz="8" w:space="0" w:color="auto"/>
              <w:left w:val="nil"/>
              <w:bottom w:val="single" w:sz="8" w:space="0" w:color="auto"/>
              <w:right w:val="single" w:sz="8" w:space="0" w:color="auto"/>
            </w:tcBorders>
            <w:shd w:val="clear" w:color="auto" w:fill="3D2262" w:themeFill="accent1"/>
            <w:tcMar>
              <w:top w:w="0" w:type="dxa"/>
              <w:left w:w="108" w:type="dxa"/>
              <w:bottom w:w="0" w:type="dxa"/>
              <w:right w:w="108" w:type="dxa"/>
            </w:tcMar>
            <w:hideMark/>
          </w:tcPr>
          <w:p w14:paraId="5DA3EF4E" w14:textId="77777777" w:rsidR="00AC2D3D" w:rsidRPr="00172B2E" w:rsidRDefault="00AC2D3D" w:rsidP="00D275FC">
            <w:pPr>
              <w:pStyle w:val="BodyCopy"/>
              <w:spacing w:after="120" w:line="240" w:lineRule="auto"/>
              <w:rPr>
                <w:b/>
                <w:color w:val="FFFFFF" w:themeColor="background1"/>
              </w:rPr>
            </w:pPr>
            <w:r w:rsidRPr="00172B2E">
              <w:rPr>
                <w:b/>
                <w:color w:val="FFFFFF" w:themeColor="background1"/>
              </w:rPr>
              <w:t>Weekend/Public Holiday Leave</w:t>
            </w:r>
          </w:p>
        </w:tc>
        <w:tc>
          <w:tcPr>
            <w:tcW w:w="2304" w:type="dxa"/>
            <w:tcBorders>
              <w:top w:val="single" w:sz="8" w:space="0" w:color="auto"/>
              <w:left w:val="nil"/>
              <w:bottom w:val="single" w:sz="8" w:space="0" w:color="auto"/>
              <w:right w:val="single" w:sz="8" w:space="0" w:color="auto"/>
            </w:tcBorders>
            <w:shd w:val="clear" w:color="auto" w:fill="3D2262" w:themeFill="accent1"/>
            <w:tcMar>
              <w:top w:w="0" w:type="dxa"/>
              <w:left w:w="108" w:type="dxa"/>
              <w:bottom w:w="0" w:type="dxa"/>
              <w:right w:w="108" w:type="dxa"/>
            </w:tcMar>
            <w:hideMark/>
          </w:tcPr>
          <w:p w14:paraId="752069AF" w14:textId="77777777" w:rsidR="00AC2D3D" w:rsidRPr="00172B2E" w:rsidRDefault="00AC2D3D" w:rsidP="00D275FC">
            <w:pPr>
              <w:pStyle w:val="BodyCopy"/>
              <w:spacing w:after="120" w:line="240" w:lineRule="auto"/>
              <w:rPr>
                <w:b/>
                <w:color w:val="FFFFFF" w:themeColor="background1"/>
              </w:rPr>
            </w:pPr>
            <w:r w:rsidRPr="00172B2E">
              <w:rPr>
                <w:b/>
                <w:color w:val="FFFFFF" w:themeColor="background1"/>
              </w:rPr>
              <w:t>Challenge Leave</w:t>
            </w:r>
          </w:p>
        </w:tc>
      </w:tr>
      <w:tr w:rsidR="00AC2D3D" w:rsidRPr="00AC2D3D" w14:paraId="041C7D7B" w14:textId="77777777" w:rsidTr="00A27ADA">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A0206" w14:textId="77777777" w:rsidR="00AC2D3D" w:rsidRPr="00AC2D3D" w:rsidRDefault="00AC2D3D" w:rsidP="00D275FC">
            <w:pPr>
              <w:pStyle w:val="BodyCopy"/>
              <w:spacing w:after="120" w:line="240" w:lineRule="auto"/>
            </w:pPr>
            <w:r w:rsidRPr="00AC2D3D">
              <w:t>1</w:t>
            </w:r>
            <w:r w:rsidRPr="00AC2D3D">
              <w:rPr>
                <w:vertAlign w:val="superscript"/>
              </w:rPr>
              <w:t>st</w:t>
            </w:r>
            <w:r w:rsidRPr="00AC2D3D">
              <w:t xml:space="preserve"> Week </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7A9343D1" w14:textId="7038ADF8" w:rsidR="00AC2D3D" w:rsidRPr="00AC2D3D" w:rsidRDefault="00AC2D3D" w:rsidP="00D275FC">
            <w:pPr>
              <w:pStyle w:val="BodyCopy"/>
              <w:spacing w:after="120" w:line="240" w:lineRule="auto"/>
            </w:pPr>
            <w:r w:rsidRPr="00AC2D3D">
              <w:t>Nil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7E9DA321" w14:textId="77777777" w:rsidR="00AC2D3D" w:rsidRPr="00AC2D3D" w:rsidRDefault="00AC2D3D" w:rsidP="00D275FC">
            <w:pPr>
              <w:pStyle w:val="BodyCopy"/>
              <w:spacing w:after="120" w:line="240" w:lineRule="auto"/>
            </w:pPr>
            <w:r w:rsidRPr="00AC2D3D">
              <w:t>Nil</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00883316" w14:textId="77777777" w:rsidR="00AC2D3D" w:rsidRPr="00AC2D3D" w:rsidRDefault="00AC2D3D" w:rsidP="00D275FC">
            <w:pPr>
              <w:pStyle w:val="BodyCopy"/>
              <w:spacing w:after="120" w:line="240" w:lineRule="auto"/>
            </w:pPr>
            <w:r w:rsidRPr="00AC2D3D">
              <w:t>Nil</w:t>
            </w:r>
          </w:p>
        </w:tc>
      </w:tr>
      <w:tr w:rsidR="00AC2D3D" w:rsidRPr="00AC2D3D" w14:paraId="494A2BBD" w14:textId="77777777" w:rsidTr="00A27ADA">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68AC9" w14:textId="77777777" w:rsidR="00AC2D3D" w:rsidRPr="00AC2D3D" w:rsidRDefault="00AC2D3D" w:rsidP="00D275FC">
            <w:pPr>
              <w:pStyle w:val="BodyCopy"/>
              <w:spacing w:after="120" w:line="240" w:lineRule="auto"/>
            </w:pPr>
            <w:r w:rsidRPr="00AC2D3D">
              <w:t>Stability (stage 1)</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1A0721B6" w14:textId="77777777" w:rsidR="00AC2D3D" w:rsidRPr="00AC2D3D" w:rsidRDefault="00AC2D3D" w:rsidP="00D275FC">
            <w:pPr>
              <w:pStyle w:val="BodyCopy"/>
              <w:spacing w:after="120" w:line="240" w:lineRule="auto"/>
            </w:pPr>
            <w:r w:rsidRPr="00AC2D3D">
              <w:t xml:space="preserve">Accompanied </w:t>
            </w:r>
          </w:p>
          <w:p w14:paraId="1EA511CB" w14:textId="6B494A39" w:rsidR="00AC2D3D" w:rsidRPr="00AC2D3D" w:rsidRDefault="00AC2D3D" w:rsidP="00D275FC">
            <w:pPr>
              <w:pStyle w:val="BodyCopy"/>
              <w:spacing w:after="120" w:line="240" w:lineRule="auto"/>
            </w:pPr>
            <w:r w:rsidRPr="00AC2D3D">
              <w:t xml:space="preserve">4-5pm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3DA867F2" w14:textId="77777777" w:rsidR="00AC2D3D" w:rsidRPr="00AC2D3D" w:rsidRDefault="00AC2D3D" w:rsidP="00D275FC">
            <w:pPr>
              <w:pStyle w:val="BodyCopy"/>
              <w:spacing w:after="120" w:line="240" w:lineRule="auto"/>
            </w:pPr>
            <w:r w:rsidRPr="00AC2D3D">
              <w:t xml:space="preserve">Accompanied </w:t>
            </w:r>
          </w:p>
          <w:p w14:paraId="00A88888" w14:textId="77777777" w:rsidR="00AC2D3D" w:rsidRPr="00AC2D3D" w:rsidRDefault="00AC2D3D" w:rsidP="00D275FC">
            <w:pPr>
              <w:pStyle w:val="BodyCopy"/>
              <w:spacing w:after="120" w:line="240" w:lineRule="auto"/>
            </w:pPr>
            <w:r w:rsidRPr="00AC2D3D">
              <w:t>1 hour</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5C8A862C" w14:textId="77777777" w:rsidR="00AC2D3D" w:rsidRPr="00AC2D3D" w:rsidRDefault="00AC2D3D" w:rsidP="00D275FC">
            <w:pPr>
              <w:pStyle w:val="BodyCopy"/>
              <w:spacing w:after="120" w:line="240" w:lineRule="auto"/>
            </w:pPr>
            <w:r w:rsidRPr="00AC2D3D">
              <w:t>Nil</w:t>
            </w:r>
          </w:p>
        </w:tc>
      </w:tr>
      <w:tr w:rsidR="00AC2D3D" w:rsidRPr="00AC2D3D" w14:paraId="2BEEE337" w14:textId="77777777" w:rsidTr="00A27ADA">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CCA3A" w14:textId="77777777" w:rsidR="00AC2D3D" w:rsidRPr="00AC2D3D" w:rsidRDefault="00AC2D3D" w:rsidP="00D275FC">
            <w:pPr>
              <w:pStyle w:val="BodyCopy"/>
              <w:spacing w:after="120" w:line="240" w:lineRule="auto"/>
            </w:pPr>
            <w:r w:rsidRPr="00AC2D3D">
              <w:t>Early Challenge</w:t>
            </w:r>
          </w:p>
          <w:p w14:paraId="7766E15E" w14:textId="77777777" w:rsidR="00AC2D3D" w:rsidRPr="00AC2D3D" w:rsidRDefault="00AC2D3D" w:rsidP="00D275FC">
            <w:pPr>
              <w:pStyle w:val="BodyCopy"/>
              <w:spacing w:after="120" w:line="240" w:lineRule="auto"/>
            </w:pPr>
            <w:r w:rsidRPr="00AC2D3D">
              <w:t xml:space="preserve">(stage 2)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40E0CC3C" w14:textId="77777777" w:rsidR="00AC2D3D" w:rsidRPr="00AC2D3D" w:rsidRDefault="00AC2D3D" w:rsidP="00D275FC">
            <w:pPr>
              <w:pStyle w:val="BodyCopy"/>
              <w:spacing w:after="120" w:line="240" w:lineRule="auto"/>
            </w:pPr>
            <w:r w:rsidRPr="00AC2D3D">
              <w:t xml:space="preserve">Unaccompanied </w:t>
            </w:r>
          </w:p>
          <w:p w14:paraId="0B07E1A8" w14:textId="0C63CA01" w:rsidR="00AC2D3D" w:rsidRPr="00AC2D3D" w:rsidRDefault="00AC2D3D" w:rsidP="00D275FC">
            <w:pPr>
              <w:pStyle w:val="BodyCopy"/>
              <w:spacing w:after="120" w:line="240" w:lineRule="auto"/>
            </w:pPr>
            <w:r w:rsidRPr="00AC2D3D">
              <w:t xml:space="preserve">4-5pm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4868A4ED" w14:textId="77777777" w:rsidR="00AC2D3D" w:rsidRPr="00AC2D3D" w:rsidRDefault="00AC2D3D" w:rsidP="00D275FC">
            <w:pPr>
              <w:pStyle w:val="BodyCopy"/>
              <w:spacing w:after="120" w:line="240" w:lineRule="auto"/>
            </w:pPr>
            <w:r w:rsidRPr="00AC2D3D">
              <w:t xml:space="preserve">Unaccompanied </w:t>
            </w:r>
          </w:p>
          <w:p w14:paraId="718BE918" w14:textId="77777777" w:rsidR="00AC2D3D" w:rsidRPr="00AC2D3D" w:rsidRDefault="00AC2D3D" w:rsidP="00D275FC">
            <w:pPr>
              <w:pStyle w:val="BodyCopy"/>
              <w:spacing w:after="120" w:line="240" w:lineRule="auto"/>
            </w:pPr>
            <w:r w:rsidRPr="00AC2D3D">
              <w:t xml:space="preserve">1 hour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1F7A251F" w14:textId="77777777" w:rsidR="00AC2D3D" w:rsidRPr="00AC2D3D" w:rsidRDefault="00AC2D3D" w:rsidP="00D275FC">
            <w:pPr>
              <w:pStyle w:val="BodyCopy"/>
              <w:spacing w:after="120" w:line="240" w:lineRule="auto"/>
            </w:pPr>
            <w:r w:rsidRPr="00AC2D3D">
              <w:t>Once/week</w:t>
            </w:r>
          </w:p>
        </w:tc>
      </w:tr>
      <w:tr w:rsidR="00AC2D3D" w:rsidRPr="00AC2D3D" w14:paraId="6A854F8C" w14:textId="77777777" w:rsidTr="00A27ADA">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F7D5D" w14:textId="77777777" w:rsidR="00AC2D3D" w:rsidRPr="00AC2D3D" w:rsidRDefault="00AC2D3D" w:rsidP="00D275FC">
            <w:pPr>
              <w:pStyle w:val="BodyCopy"/>
              <w:spacing w:after="120" w:line="240" w:lineRule="auto"/>
            </w:pPr>
            <w:r w:rsidRPr="00AC2D3D">
              <w:t xml:space="preserve">Late Challenge </w:t>
            </w:r>
          </w:p>
          <w:p w14:paraId="49C91E18" w14:textId="77777777" w:rsidR="00AC2D3D" w:rsidRPr="00AC2D3D" w:rsidRDefault="00AC2D3D" w:rsidP="00D275FC">
            <w:pPr>
              <w:pStyle w:val="BodyCopy"/>
              <w:spacing w:after="120" w:line="240" w:lineRule="auto"/>
            </w:pPr>
            <w:r w:rsidRPr="00AC2D3D">
              <w:t>(stage 3)</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4394593B" w14:textId="77777777" w:rsidR="00AC2D3D" w:rsidRPr="00AC2D3D" w:rsidRDefault="00AC2D3D" w:rsidP="00D275FC">
            <w:pPr>
              <w:pStyle w:val="BodyCopy"/>
              <w:spacing w:after="120" w:line="240" w:lineRule="auto"/>
            </w:pPr>
            <w:r w:rsidRPr="00AC2D3D">
              <w:t xml:space="preserve">Unaccompanied </w:t>
            </w:r>
          </w:p>
          <w:p w14:paraId="2D301675" w14:textId="49770877" w:rsidR="00AC2D3D" w:rsidRPr="00AC2D3D" w:rsidRDefault="00AC2D3D" w:rsidP="00D275FC">
            <w:pPr>
              <w:pStyle w:val="BodyCopy"/>
              <w:spacing w:after="120" w:line="240" w:lineRule="auto"/>
            </w:pPr>
            <w:r w:rsidRPr="00AC2D3D">
              <w:t xml:space="preserve">4-5pm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28DA612B" w14:textId="77777777" w:rsidR="00AC2D3D" w:rsidRPr="00AC2D3D" w:rsidRDefault="00AC2D3D" w:rsidP="00D275FC">
            <w:pPr>
              <w:pStyle w:val="BodyCopy"/>
              <w:spacing w:after="120" w:line="240" w:lineRule="auto"/>
            </w:pPr>
            <w:r w:rsidRPr="00AC2D3D">
              <w:t xml:space="preserve">Unaccompanied </w:t>
            </w:r>
          </w:p>
          <w:p w14:paraId="5CCE8037" w14:textId="77777777" w:rsidR="00AC2D3D" w:rsidRPr="00AC2D3D" w:rsidRDefault="00AC2D3D" w:rsidP="00D275FC">
            <w:pPr>
              <w:pStyle w:val="BodyCopy"/>
              <w:spacing w:after="120" w:line="240" w:lineRule="auto"/>
            </w:pPr>
            <w:r w:rsidRPr="00AC2D3D">
              <w:t>2 hours</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7919B6C3" w14:textId="77777777" w:rsidR="00AC2D3D" w:rsidRPr="00AC2D3D" w:rsidRDefault="00AC2D3D" w:rsidP="00D275FC">
            <w:pPr>
              <w:pStyle w:val="BodyCopy"/>
              <w:spacing w:after="120" w:line="240" w:lineRule="auto"/>
            </w:pPr>
            <w:r w:rsidRPr="00AC2D3D">
              <w:t>Twice/week</w:t>
            </w:r>
          </w:p>
        </w:tc>
      </w:tr>
      <w:tr w:rsidR="00AC2D3D" w:rsidRPr="00AC2D3D" w14:paraId="1FC4A43F" w14:textId="77777777" w:rsidTr="00A27ADA">
        <w:tc>
          <w:tcPr>
            <w:tcW w:w="2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99FAE" w14:textId="77777777" w:rsidR="00AC2D3D" w:rsidRPr="00AC2D3D" w:rsidRDefault="00AC2D3D" w:rsidP="00D275FC">
            <w:pPr>
              <w:pStyle w:val="BodyCopy"/>
              <w:spacing w:after="120" w:line="240" w:lineRule="auto"/>
            </w:pPr>
            <w:r w:rsidRPr="00AC2D3D">
              <w:t xml:space="preserve">Connection </w:t>
            </w:r>
          </w:p>
          <w:p w14:paraId="7E7F8650" w14:textId="77777777" w:rsidR="00AC2D3D" w:rsidRPr="00AC2D3D" w:rsidRDefault="00AC2D3D" w:rsidP="00D275FC">
            <w:pPr>
              <w:pStyle w:val="BodyCopy"/>
              <w:spacing w:after="120" w:line="240" w:lineRule="auto"/>
            </w:pPr>
            <w:r w:rsidRPr="00AC2D3D">
              <w:t>(stage 4)</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7D509C6D" w14:textId="77777777" w:rsidR="00AC2D3D" w:rsidRPr="00AC2D3D" w:rsidRDefault="00AC2D3D" w:rsidP="00D275FC">
            <w:pPr>
              <w:pStyle w:val="BodyCopy"/>
              <w:spacing w:after="120" w:line="240" w:lineRule="auto"/>
            </w:pPr>
            <w:r w:rsidRPr="00AC2D3D">
              <w:t xml:space="preserve">Unaccompanied </w:t>
            </w:r>
          </w:p>
          <w:p w14:paraId="188DFB0F" w14:textId="768CA35B" w:rsidR="00AC2D3D" w:rsidRPr="00AC2D3D" w:rsidRDefault="00AC2D3D" w:rsidP="00D275FC">
            <w:pPr>
              <w:pStyle w:val="BodyCopy"/>
              <w:spacing w:after="120" w:line="240" w:lineRule="auto"/>
            </w:pPr>
            <w:r w:rsidRPr="00AC2D3D">
              <w:t xml:space="preserve">4-5pm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19E532DD" w14:textId="77777777" w:rsidR="00AC2D3D" w:rsidRPr="00AC2D3D" w:rsidRDefault="00AC2D3D" w:rsidP="00D275FC">
            <w:pPr>
              <w:pStyle w:val="BodyCopy"/>
              <w:spacing w:after="120" w:line="240" w:lineRule="auto"/>
            </w:pPr>
            <w:r w:rsidRPr="00AC2D3D">
              <w:t>Overnight leave</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14:paraId="08DCF58C" w14:textId="77777777" w:rsidR="00AC2D3D" w:rsidRPr="00AC2D3D" w:rsidRDefault="00AC2D3D" w:rsidP="00D275FC">
            <w:pPr>
              <w:pStyle w:val="BodyCopy"/>
              <w:spacing w:after="120" w:line="240" w:lineRule="auto"/>
            </w:pPr>
            <w:r w:rsidRPr="00AC2D3D">
              <w:t>Twice/week</w:t>
            </w:r>
          </w:p>
        </w:tc>
      </w:tr>
    </w:tbl>
    <w:p w14:paraId="6A30BE82" w14:textId="77777777" w:rsidR="0057473B" w:rsidRPr="0057473B" w:rsidRDefault="0057473B" w:rsidP="0057473B">
      <w:pPr>
        <w:pStyle w:val="BodyCopy"/>
      </w:pPr>
      <w:r w:rsidRPr="0057473B">
        <w:t>Every episode of leave is documented within DHR and includes:</w:t>
      </w:r>
    </w:p>
    <w:p w14:paraId="6B096148" w14:textId="357B8A53" w:rsidR="0057473B" w:rsidRPr="0057473B" w:rsidRDefault="0057473B" w:rsidP="004C7CC9">
      <w:pPr>
        <w:pStyle w:val="Bullet"/>
      </w:pPr>
      <w:r w:rsidRPr="0057473B">
        <w:t xml:space="preserve">Time of leave </w:t>
      </w:r>
      <w:r w:rsidR="00834719" w:rsidRPr="0057473B">
        <w:t>starting and</w:t>
      </w:r>
      <w:r w:rsidRPr="0057473B">
        <w:t xml:space="preserve"> expected duration of leave.</w:t>
      </w:r>
    </w:p>
    <w:p w14:paraId="61E6021D" w14:textId="77777777" w:rsidR="0057473B" w:rsidRPr="0057473B" w:rsidRDefault="0057473B" w:rsidP="004C7CC9">
      <w:pPr>
        <w:pStyle w:val="Bullet"/>
      </w:pPr>
      <w:r w:rsidRPr="0057473B">
        <w:t>Updated contact details for consumer while on leave.</w:t>
      </w:r>
    </w:p>
    <w:p w14:paraId="4FEBEF39" w14:textId="77777777" w:rsidR="0057473B" w:rsidRPr="0057473B" w:rsidRDefault="0057473B" w:rsidP="004C7CC9">
      <w:pPr>
        <w:pStyle w:val="Bullet"/>
        <w:rPr>
          <w:lang w:val="en-US"/>
        </w:rPr>
      </w:pPr>
      <w:r w:rsidRPr="0057473B">
        <w:t>Return</w:t>
      </w:r>
      <w:r w:rsidRPr="0057473B">
        <w:rPr>
          <w:lang w:val="en-US"/>
        </w:rPr>
        <w:t xml:space="preserve"> from leave time.</w:t>
      </w:r>
    </w:p>
    <w:p w14:paraId="29452BA2" w14:textId="77777777" w:rsidR="0057473B" w:rsidRPr="0057473B" w:rsidRDefault="0057473B" w:rsidP="0057473B">
      <w:pPr>
        <w:pStyle w:val="BodyCopy"/>
        <w:rPr>
          <w:lang w:val="en-US"/>
        </w:rPr>
      </w:pPr>
      <w:r w:rsidRPr="0057473B">
        <w:t>If a Community Worker wishes to take the person off site for leave the Consumer Leave Agreement needs to be completed. The Consumer may take authorised leave to meet with other service providers off-site.</w:t>
      </w:r>
    </w:p>
    <w:p w14:paraId="5DA7BC18" w14:textId="77777777" w:rsidR="0057473B" w:rsidRPr="0057473B" w:rsidRDefault="0057473B" w:rsidP="0057473B">
      <w:pPr>
        <w:pStyle w:val="BodyCopy"/>
      </w:pPr>
      <w:r w:rsidRPr="0057473B">
        <w:t xml:space="preserve">If a consumer is absent without leave (AWOL) all Centre staff will comply with the CHS </w:t>
      </w:r>
      <w:r w:rsidRPr="0057473B">
        <w:rPr>
          <w:i/>
        </w:rPr>
        <w:t>Missing Patient Procedure.</w:t>
      </w:r>
      <w:r w:rsidRPr="0057473B">
        <w:t xml:space="preserve"> </w:t>
      </w:r>
    </w:p>
    <w:p w14:paraId="06E7C12F" w14:textId="77777777" w:rsidR="0057473B" w:rsidRPr="0057473B" w:rsidRDefault="0057473B" w:rsidP="00D011CF">
      <w:pPr>
        <w:pStyle w:val="Heading5"/>
      </w:pPr>
      <w:r w:rsidRPr="0057473B">
        <w:t xml:space="preserve">5.7 Visitors </w:t>
      </w:r>
    </w:p>
    <w:p w14:paraId="03EAE119" w14:textId="77777777" w:rsidR="0057473B" w:rsidRPr="0057473B" w:rsidRDefault="0057473B" w:rsidP="0057473B">
      <w:pPr>
        <w:pStyle w:val="BodyCopy"/>
      </w:pPr>
      <w:r w:rsidRPr="0057473B">
        <w:t xml:space="preserve">The Centre team recognise the important role that </w:t>
      </w:r>
      <w:bookmarkStart w:id="18" w:name="_Hlk161318117"/>
      <w:r w:rsidRPr="0057473B">
        <w:t xml:space="preserve">carers, families, kin and other service providers </w:t>
      </w:r>
      <w:bookmarkEnd w:id="18"/>
      <w:r w:rsidRPr="0057473B">
        <w:t>have in supporting consumers and being actively involved in treatment and discharge planning.</w:t>
      </w:r>
    </w:p>
    <w:p w14:paraId="64CA3853" w14:textId="77777777" w:rsidR="0057473B" w:rsidRPr="0057473B" w:rsidRDefault="0057473B" w:rsidP="0057473B">
      <w:pPr>
        <w:pStyle w:val="BodyCopy"/>
      </w:pPr>
      <w:r w:rsidRPr="0057473B">
        <w:t xml:space="preserve">Visitors are welcome at the Centre as per the therapy schedule and consumer’s stage of treatment. A phone call to the centre prior to visiting is recommended. The phone number is included in the Welcome Booklet. </w:t>
      </w:r>
    </w:p>
    <w:p w14:paraId="3CDFA37E" w14:textId="77777777" w:rsidR="0057473B" w:rsidRPr="0057473B" w:rsidRDefault="0057473B" w:rsidP="0057473B">
      <w:pPr>
        <w:pStyle w:val="BodyCopy"/>
      </w:pPr>
      <w:r w:rsidRPr="0057473B">
        <w:t>Visitors that do not have a legitimate cause to be at the Centre will be asked to leave. If they do not comply with this request, they will be informed that they are trespassing, and Security or the police will be contacted.</w:t>
      </w:r>
    </w:p>
    <w:p w14:paraId="6A8FDC5B" w14:textId="77777777" w:rsidR="0057473B" w:rsidRPr="0057473B" w:rsidRDefault="0057473B" w:rsidP="0057473B">
      <w:pPr>
        <w:pStyle w:val="BodyCopy"/>
      </w:pPr>
      <w:r w:rsidRPr="0057473B">
        <w:t xml:space="preserve">In the event of violence or aggression by a visitor, staff will comply with the CHS </w:t>
      </w:r>
      <w:r w:rsidRPr="0057473B">
        <w:rPr>
          <w:i/>
        </w:rPr>
        <w:t>Occupational Violence Operational Procedure.</w:t>
      </w:r>
    </w:p>
    <w:p w14:paraId="2C05891E" w14:textId="77777777" w:rsidR="0057473B" w:rsidRPr="0057473B" w:rsidRDefault="0057473B" w:rsidP="0057473B">
      <w:pPr>
        <w:pStyle w:val="BodyCopy"/>
      </w:pPr>
      <w:bookmarkStart w:id="19" w:name="_Hlk163471021"/>
      <w:r w:rsidRPr="0057473B">
        <w:t>Other service providers from Government and non-Governmental organisations (NGOs) may attend the Centre to support discharge planning and transition to the community</w:t>
      </w:r>
      <w:bookmarkEnd w:id="19"/>
      <w:r w:rsidRPr="0057473B">
        <w:t xml:space="preserve">. They will also be provided the Welcome Booklet. </w:t>
      </w:r>
    </w:p>
    <w:p w14:paraId="6B6A199D" w14:textId="77777777" w:rsidR="0057473B" w:rsidRPr="0057473B" w:rsidRDefault="0057473B" w:rsidP="00D011CF">
      <w:pPr>
        <w:pStyle w:val="Heading5"/>
      </w:pPr>
      <w:r w:rsidRPr="0057473B">
        <w:t>5.8 Communication and care planning pathways</w:t>
      </w:r>
    </w:p>
    <w:p w14:paraId="60659471" w14:textId="5F765E21" w:rsidR="0057473B" w:rsidRPr="0057473B" w:rsidRDefault="0057473B" w:rsidP="004B2509">
      <w:pPr>
        <w:pStyle w:val="Heading6"/>
      </w:pPr>
      <w:r w:rsidRPr="0057473B">
        <w:t xml:space="preserve">5.8.1 </w:t>
      </w:r>
      <w:r w:rsidR="00F02F0B">
        <w:t>Handover</w:t>
      </w:r>
    </w:p>
    <w:p w14:paraId="33FCAF5C" w14:textId="0F295789" w:rsidR="00310C63" w:rsidRDefault="0057473B" w:rsidP="0057473B">
      <w:pPr>
        <w:pStyle w:val="BodyCopy"/>
      </w:pPr>
      <w:r w:rsidRPr="0057473B">
        <w:t>A</w:t>
      </w:r>
      <w:r w:rsidR="00F02F0B">
        <w:t xml:space="preserve"> </w:t>
      </w:r>
      <w:r w:rsidR="0015662C">
        <w:t xml:space="preserve">handover </w:t>
      </w:r>
      <w:r w:rsidR="0015662C" w:rsidRPr="0057473B">
        <w:t>will</w:t>
      </w:r>
      <w:r w:rsidRPr="0057473B">
        <w:t xml:space="preserve"> occur each morning to discuss new admissions, deteriorations, discharges and the schedule for the day. The meeting is attended by the senior nursing, medical and allied health staff. The CNC, allied health manager or shift team leader will create the consumer list for the morning and lead the discussion.</w:t>
      </w:r>
    </w:p>
    <w:p w14:paraId="10CA01E1" w14:textId="14CEEE92" w:rsidR="00C808B0" w:rsidRPr="0057473B" w:rsidRDefault="00F02F0B" w:rsidP="00F02F0B">
      <w:pPr>
        <w:pStyle w:val="BodyCopy"/>
      </w:pPr>
      <w:r w:rsidRPr="0057473B">
        <w:t>Handover at the Centre will be in accordance with the</w:t>
      </w:r>
      <w:r w:rsidRPr="0057473B">
        <w:rPr>
          <w:i/>
        </w:rPr>
        <w:t xml:space="preserve"> CHS Clinical Handover Procedur</w:t>
      </w:r>
      <w:r w:rsidR="00C808B0">
        <w:rPr>
          <w:i/>
        </w:rPr>
        <w:t>e</w:t>
      </w:r>
    </w:p>
    <w:p w14:paraId="1A772091" w14:textId="66D60BC0" w:rsidR="00A767C0" w:rsidRPr="005756B3" w:rsidRDefault="00A767C0" w:rsidP="004B2509">
      <w:pPr>
        <w:pStyle w:val="Heading6"/>
      </w:pPr>
      <w:r>
        <w:t xml:space="preserve">5.8.2 </w:t>
      </w:r>
      <w:r w:rsidRPr="001A1A6D">
        <w:t xml:space="preserve">Progress concerns </w:t>
      </w:r>
      <w:r w:rsidRPr="005756B3">
        <w:t>– Treatment Interfering Behaviour</w:t>
      </w:r>
    </w:p>
    <w:p w14:paraId="67290A1A" w14:textId="77777777" w:rsidR="00A767C0" w:rsidRPr="005756B3" w:rsidRDefault="00A767C0" w:rsidP="00A767C0">
      <w:pPr>
        <w:rPr>
          <w:color w:val="auto"/>
        </w:rPr>
      </w:pPr>
      <w:r w:rsidRPr="005756B3">
        <w:rPr>
          <w:color w:val="auto"/>
        </w:rPr>
        <w:t>The Centre recognises that recovery from an eating disorder can be challenging. Consumers may have difficulty progressing toward their care plan goals, engaging with aspects of the treatment or require a higher level of support at times. Participants with have agreed to the EDRTC Participant Agreement prior to admission – this document outlines expectations regarding engagement in the program and concerns that are indicative of additional support required to stay focused on their recovery.</w:t>
      </w:r>
    </w:p>
    <w:p w14:paraId="2C7586D3" w14:textId="015FEA60" w:rsidR="00A767C0" w:rsidRPr="001A1A6D" w:rsidRDefault="00A767C0" w:rsidP="00A767C0">
      <w:r w:rsidRPr="001A1A6D">
        <w:t xml:space="preserve">Concerns may include (but </w:t>
      </w:r>
      <w:r w:rsidR="00596DAA">
        <w:t xml:space="preserve">are </w:t>
      </w:r>
      <w:r w:rsidRPr="001A1A6D">
        <w:t>not limited to): </w:t>
      </w:r>
    </w:p>
    <w:p w14:paraId="33C21E66" w14:textId="77777777" w:rsidR="00A767C0" w:rsidRPr="001A1A6D" w:rsidRDefault="00A767C0" w:rsidP="004C7CC9">
      <w:pPr>
        <w:pStyle w:val="Bullet"/>
      </w:pPr>
      <w:r w:rsidRPr="001A1A6D">
        <w:t xml:space="preserve">Not attending therapy </w:t>
      </w:r>
      <w:r>
        <w:t xml:space="preserve">or group </w:t>
      </w:r>
      <w:r w:rsidRPr="001A1A6D">
        <w:t>sessions </w:t>
      </w:r>
    </w:p>
    <w:p w14:paraId="39150F6A" w14:textId="77777777" w:rsidR="00A767C0" w:rsidRPr="001A1A6D" w:rsidRDefault="00A767C0" w:rsidP="004C7CC9">
      <w:pPr>
        <w:pStyle w:val="Bullet"/>
      </w:pPr>
      <w:r w:rsidRPr="001A1A6D">
        <w:t>Not adhering with their nutritional meal plan </w:t>
      </w:r>
    </w:p>
    <w:p w14:paraId="77FD1F9C" w14:textId="77777777" w:rsidR="00A767C0" w:rsidRPr="001A1A6D" w:rsidRDefault="00A767C0" w:rsidP="004C7CC9">
      <w:pPr>
        <w:pStyle w:val="Bullet"/>
      </w:pPr>
      <w:r w:rsidRPr="001A1A6D">
        <w:t>Not adhering with their medication treatment plan </w:t>
      </w:r>
    </w:p>
    <w:p w14:paraId="44B2962A" w14:textId="77777777" w:rsidR="00A767C0" w:rsidRPr="001A1A6D" w:rsidRDefault="00A767C0" w:rsidP="004C7CC9">
      <w:pPr>
        <w:pStyle w:val="Bullet"/>
      </w:pPr>
      <w:r w:rsidRPr="001A1A6D">
        <w:t>Weight interfering behaviour </w:t>
      </w:r>
    </w:p>
    <w:p w14:paraId="123791B7" w14:textId="77777777" w:rsidR="00A767C0" w:rsidRPr="001A1A6D" w:rsidRDefault="00A767C0" w:rsidP="004C7CC9">
      <w:pPr>
        <w:pStyle w:val="Bullet"/>
      </w:pPr>
      <w:r w:rsidRPr="001A1A6D">
        <w:t>Non suicidal self-injury </w:t>
      </w:r>
    </w:p>
    <w:p w14:paraId="78DDE5C1" w14:textId="77777777" w:rsidR="00A767C0" w:rsidRPr="001A1A6D" w:rsidRDefault="00A767C0" w:rsidP="004C7CC9">
      <w:pPr>
        <w:pStyle w:val="Bullet"/>
      </w:pPr>
      <w:r w:rsidRPr="001A1A6D">
        <w:t>Inappropriate personal device use </w:t>
      </w:r>
    </w:p>
    <w:p w14:paraId="73C419DE" w14:textId="77777777" w:rsidR="00A767C0" w:rsidRPr="005756B3" w:rsidRDefault="00A767C0" w:rsidP="004C7CC9">
      <w:pPr>
        <w:pStyle w:val="Bullet"/>
        <w:rPr>
          <w:color w:val="auto"/>
        </w:rPr>
      </w:pPr>
      <w:r w:rsidRPr="005756B3">
        <w:rPr>
          <w:color w:val="auto"/>
        </w:rPr>
        <w:t>Inappropriate conduct with others</w:t>
      </w:r>
    </w:p>
    <w:p w14:paraId="4521441F" w14:textId="77777777" w:rsidR="00A767C0" w:rsidRPr="005756B3" w:rsidRDefault="00A767C0" w:rsidP="004C7CC9">
      <w:pPr>
        <w:pStyle w:val="Bullet"/>
        <w:rPr>
          <w:color w:val="auto"/>
        </w:rPr>
      </w:pPr>
      <w:r w:rsidRPr="005756B3">
        <w:rPr>
          <w:color w:val="auto"/>
        </w:rPr>
        <w:t>Interfering with other participant’s treatment</w:t>
      </w:r>
    </w:p>
    <w:p w14:paraId="283F3773" w14:textId="77777777" w:rsidR="00A767C0" w:rsidRPr="005756B3" w:rsidRDefault="00A767C0" w:rsidP="004C7CC9">
      <w:pPr>
        <w:pStyle w:val="Bullet"/>
        <w:rPr>
          <w:color w:val="auto"/>
        </w:rPr>
      </w:pPr>
      <w:r w:rsidRPr="005756B3">
        <w:rPr>
          <w:color w:val="auto"/>
        </w:rPr>
        <w:t>Breaching the confidentiality of other participants</w:t>
      </w:r>
    </w:p>
    <w:p w14:paraId="1C3EF69E" w14:textId="77777777" w:rsidR="00A767C0" w:rsidRPr="005756B3" w:rsidRDefault="00A767C0" w:rsidP="00A767C0">
      <w:pPr>
        <w:rPr>
          <w:color w:val="auto"/>
        </w:rPr>
      </w:pPr>
      <w:r w:rsidRPr="005756B3">
        <w:rPr>
          <w:color w:val="auto"/>
        </w:rPr>
        <w:t>Discussions and plans at all stages are documented on the consumer’s electronic clinical record.  </w:t>
      </w:r>
    </w:p>
    <w:p w14:paraId="3687DBF2" w14:textId="77777777" w:rsidR="00A767C0" w:rsidRPr="005756B3" w:rsidRDefault="00A767C0" w:rsidP="004B2509">
      <w:pPr>
        <w:pStyle w:val="Heading7"/>
      </w:pPr>
      <w:r w:rsidRPr="005756B3">
        <w:t>Initial concern </w:t>
      </w:r>
    </w:p>
    <w:p w14:paraId="150DB6DF" w14:textId="77777777" w:rsidR="00A767C0" w:rsidRPr="005756B3" w:rsidRDefault="00A767C0" w:rsidP="00A767C0">
      <w:pPr>
        <w:rPr>
          <w:color w:val="auto"/>
        </w:rPr>
      </w:pPr>
      <w:r w:rsidRPr="005756B3">
        <w:rPr>
          <w:color w:val="auto"/>
        </w:rPr>
        <w:t xml:space="preserve">A staff member who has concerns regarding a consumer’s adherence to the program will raise them with the consumer. They will provide support and encouragement for them to use the skills they have learnt during treatment. They will advise the consumer that the MDT will be informed of the concern by the staff member documenting their concerns in the DHR EDRTC tab. </w:t>
      </w:r>
    </w:p>
    <w:p w14:paraId="4A2D4853" w14:textId="77777777" w:rsidR="00A767C0" w:rsidRPr="005756B3" w:rsidRDefault="00A767C0" w:rsidP="004B2509">
      <w:pPr>
        <w:pStyle w:val="Heading7"/>
      </w:pPr>
      <w:r w:rsidRPr="005756B3">
        <w:t>Initial Clinical Discussion</w:t>
      </w:r>
    </w:p>
    <w:p w14:paraId="463C84A6" w14:textId="77777777" w:rsidR="00A767C0" w:rsidRPr="005756B3" w:rsidRDefault="00A767C0" w:rsidP="00A767C0">
      <w:pPr>
        <w:rPr>
          <w:color w:val="auto"/>
        </w:rPr>
      </w:pPr>
      <w:r w:rsidRPr="005756B3">
        <w:rPr>
          <w:color w:val="auto"/>
        </w:rPr>
        <w:t xml:space="preserve">The Senior Leadership Team will be responsible for reviewing concerns and patterns of behaviour and decide on a plan of action. The Consultant Psychiatrist or other member of the Senior Leadership Team will meet with the participant to provide feedback and make a plan for additional support. </w:t>
      </w:r>
    </w:p>
    <w:p w14:paraId="1AB9AEBF" w14:textId="77777777" w:rsidR="00A767C0" w:rsidRPr="005756B3" w:rsidRDefault="00A767C0" w:rsidP="004B2509">
      <w:pPr>
        <w:pStyle w:val="Heading7"/>
      </w:pPr>
      <w:r w:rsidRPr="005756B3">
        <w:t>Additional Concerns</w:t>
      </w:r>
    </w:p>
    <w:p w14:paraId="60719214" w14:textId="77777777" w:rsidR="00A767C0" w:rsidRPr="005756B3" w:rsidRDefault="00A767C0" w:rsidP="00A767C0">
      <w:pPr>
        <w:rPr>
          <w:color w:val="auto"/>
        </w:rPr>
      </w:pPr>
      <w:r w:rsidRPr="005756B3">
        <w:rPr>
          <w:color w:val="auto"/>
        </w:rPr>
        <w:t>If ongoing concerns continue to be raised The Senior Leadership Team will review and meet again. The consumer has a formal review with The Consultant Psychiatrist or other member of the Senior Leadership Team and if appropriate a family/carer meeting about why the program supports and consumer are not in concordance. EDRTC staff will work with the consumer to identify how the Centre can support them in their stage of treatment or whether a different stage of treatment is more appropriate. The consumer and family/carer may be informed that if ongoing concerns continue to be raised may indicate that the support provided by the Centre is not currently matching the consumer’s needs. The consumer’s participation in the Centre program will be suspended to consider their readiness to engage in the program. If they would like to resume their participation, a plan and evidence for addressing challenges needs to be demonstrated. </w:t>
      </w:r>
    </w:p>
    <w:p w14:paraId="7FFDE80C" w14:textId="77777777" w:rsidR="00A767C0" w:rsidRPr="005756B3" w:rsidRDefault="00A767C0" w:rsidP="004B2509">
      <w:pPr>
        <w:pStyle w:val="Heading7"/>
      </w:pPr>
      <w:r w:rsidRPr="005756B3">
        <w:t>Readmission to the Centre  </w:t>
      </w:r>
    </w:p>
    <w:p w14:paraId="4ABC0BF2" w14:textId="77777777" w:rsidR="00A767C0" w:rsidRPr="005756B3" w:rsidRDefault="00A767C0" w:rsidP="00A767C0">
      <w:pPr>
        <w:tabs>
          <w:tab w:val="num" w:pos="720"/>
        </w:tabs>
        <w:rPr>
          <w:color w:val="auto"/>
        </w:rPr>
      </w:pPr>
      <w:r w:rsidRPr="005756B3">
        <w:rPr>
          <w:color w:val="auto"/>
        </w:rPr>
        <w:t>If a consumer returns to the Centre within three months, they will recommence in the welcome stage for one week. The Senior Leadership Team will review at the end of the week and decide if readmission is feasible. If readmission is feasible The Senior Leadership Team will assess which stage of care is appropriate to recommence the program.</w:t>
      </w:r>
    </w:p>
    <w:p w14:paraId="2B2318DC" w14:textId="77777777" w:rsidR="00A767C0" w:rsidRPr="001A1A6D" w:rsidRDefault="00A767C0" w:rsidP="00A767C0">
      <w:r w:rsidRPr="001A1A6D">
        <w:t>It may be possible for a consumer to re-commence participation at a later stage.   </w:t>
      </w:r>
    </w:p>
    <w:p w14:paraId="7C7D7082" w14:textId="77777777" w:rsidR="00A767C0" w:rsidRPr="001A1A6D" w:rsidRDefault="00A767C0" w:rsidP="004B2509">
      <w:pPr>
        <w:pStyle w:val="Heading7"/>
      </w:pPr>
      <w:r w:rsidRPr="001A1A6D">
        <w:t>Immediate discharge from the Centre </w:t>
      </w:r>
    </w:p>
    <w:p w14:paraId="73521B17" w14:textId="77777777" w:rsidR="00A767C0" w:rsidRPr="001A1A6D" w:rsidRDefault="00A767C0" w:rsidP="00A767C0">
      <w:r w:rsidRPr="001A1A6D">
        <w:t>If the consumer engages in behaviours that mean they cannot safely be managed at the Centre, they will be discharged or transferred to an appropriate care setting. These behaviours may include:  </w:t>
      </w:r>
    </w:p>
    <w:p w14:paraId="2FE648E7" w14:textId="77777777" w:rsidR="00A767C0" w:rsidRPr="001A1A6D" w:rsidRDefault="00A767C0" w:rsidP="004C7CC9">
      <w:pPr>
        <w:pStyle w:val="Bullet"/>
      </w:pPr>
      <w:r w:rsidRPr="001A1A6D">
        <w:t>Engaging in weight control behaviour that results in a deterioration in physical stability </w:t>
      </w:r>
    </w:p>
    <w:p w14:paraId="30879006" w14:textId="77777777" w:rsidR="00A767C0" w:rsidRPr="001A1A6D" w:rsidRDefault="00A767C0" w:rsidP="004C7CC9">
      <w:pPr>
        <w:pStyle w:val="Bullet"/>
      </w:pPr>
      <w:r w:rsidRPr="001A1A6D">
        <w:t>Serious self-injury </w:t>
      </w:r>
    </w:p>
    <w:p w14:paraId="5BAD024E" w14:textId="77777777" w:rsidR="00A767C0" w:rsidRPr="001A1A6D" w:rsidRDefault="00A767C0" w:rsidP="004C7CC9">
      <w:pPr>
        <w:pStyle w:val="Bullet"/>
      </w:pPr>
      <w:r w:rsidRPr="001A1A6D">
        <w:t>Alcohol/drug/medication misuse </w:t>
      </w:r>
    </w:p>
    <w:p w14:paraId="173E5928" w14:textId="77777777" w:rsidR="00A767C0" w:rsidRPr="001A1A6D" w:rsidRDefault="00A767C0" w:rsidP="004C7CC9">
      <w:pPr>
        <w:pStyle w:val="Bullet"/>
      </w:pPr>
      <w:r w:rsidRPr="001A1A6D">
        <w:t>Violent or aggressive behaviours toward others </w:t>
      </w:r>
    </w:p>
    <w:p w14:paraId="4DEF1FCF" w14:textId="77777777" w:rsidR="00A767C0" w:rsidRPr="001A1A6D" w:rsidRDefault="00A767C0" w:rsidP="004C7CC9">
      <w:pPr>
        <w:pStyle w:val="Bullet"/>
      </w:pPr>
      <w:r w:rsidRPr="001A1A6D">
        <w:t>Criminal activity whilst on the Centre premises. </w:t>
      </w:r>
    </w:p>
    <w:p w14:paraId="69A41E97" w14:textId="33AD053C" w:rsidR="00A767C0" w:rsidRPr="001A1A6D" w:rsidRDefault="00A767C0" w:rsidP="00A767C0">
      <w:r w:rsidRPr="001A1A6D">
        <w:t>Any clinical decision will consider the most up to date MHJHADS triage scale assessment of risk in the context of a mental illness. Responding to deterioration and discharge planning will occur as outlined below. </w:t>
      </w:r>
    </w:p>
    <w:p w14:paraId="3C71E16B" w14:textId="77777777" w:rsidR="0057473B" w:rsidRPr="0057473B" w:rsidRDefault="0057473B" w:rsidP="00D011CF">
      <w:pPr>
        <w:pStyle w:val="Heading5"/>
      </w:pPr>
      <w:r w:rsidRPr="0057473B">
        <w:t xml:space="preserve">5.9 Physical health care </w:t>
      </w:r>
    </w:p>
    <w:p w14:paraId="77E1AB9F" w14:textId="77777777" w:rsidR="0057473B" w:rsidRPr="0057473B" w:rsidRDefault="0057473B" w:rsidP="004B2509">
      <w:pPr>
        <w:pStyle w:val="Heading6"/>
      </w:pPr>
      <w:r w:rsidRPr="0057473B">
        <w:t xml:space="preserve">5.9.1 Physical health support </w:t>
      </w:r>
    </w:p>
    <w:p w14:paraId="2781E63A" w14:textId="3214543E" w:rsidR="0057473B" w:rsidRPr="0057473B" w:rsidRDefault="0057473B" w:rsidP="0057473B">
      <w:pPr>
        <w:pStyle w:val="BodyCopy"/>
      </w:pPr>
      <w:r>
        <w:t>Physical health support is provided by nurses, the Nurse Practitioner (NP) and the Centre GP as clinically indicated and documented in the care plan. Physical health</w:t>
      </w:r>
      <w:r w:rsidR="00A80C30">
        <w:t xml:space="preserve"> monitoring </w:t>
      </w:r>
      <w:r>
        <w:t>may include:</w:t>
      </w:r>
    </w:p>
    <w:p w14:paraId="3D6A1577" w14:textId="77777777" w:rsidR="0057473B" w:rsidRPr="0057473B" w:rsidRDefault="0057473B" w:rsidP="004C7CC9">
      <w:pPr>
        <w:pStyle w:val="Bullet"/>
      </w:pPr>
      <w:r w:rsidRPr="0057473B">
        <w:t>Vital signs observations</w:t>
      </w:r>
    </w:p>
    <w:p w14:paraId="29C63A44" w14:textId="77777777" w:rsidR="0057473B" w:rsidRPr="0057473B" w:rsidRDefault="0057473B" w:rsidP="004C7CC9">
      <w:pPr>
        <w:pStyle w:val="Bullet"/>
      </w:pPr>
      <w:r w:rsidRPr="0057473B">
        <w:t>Pathology (blood tests, urinalysis, blood glucose)</w:t>
      </w:r>
    </w:p>
    <w:p w14:paraId="34B619D9" w14:textId="77777777" w:rsidR="0057473B" w:rsidRPr="0057473B" w:rsidRDefault="0057473B" w:rsidP="004C7CC9">
      <w:pPr>
        <w:pStyle w:val="Bullet"/>
      </w:pPr>
      <w:r w:rsidRPr="0057473B">
        <w:t xml:space="preserve">ECG </w:t>
      </w:r>
    </w:p>
    <w:p w14:paraId="490A56D3" w14:textId="77777777" w:rsidR="0057473B" w:rsidRPr="0057473B" w:rsidRDefault="0057473B" w:rsidP="0057473B">
      <w:pPr>
        <w:pStyle w:val="BodyCopy"/>
      </w:pPr>
      <w:r w:rsidRPr="0057473B">
        <w:t>A GP is available part time to provide medical assessments and monitor complex medical co-morbidities during the admission. Nursing and medical staff liaise with a consumer’s usual GP and co-ordinate care with the GP, CHS and other health care providers throughout the admission as clinically indicated.</w:t>
      </w:r>
    </w:p>
    <w:p w14:paraId="2CB1B0F3" w14:textId="77777777" w:rsidR="0057473B" w:rsidRPr="0057473B" w:rsidRDefault="0057473B" w:rsidP="0057473B">
      <w:pPr>
        <w:pStyle w:val="BodyCopy"/>
      </w:pPr>
      <w:r w:rsidRPr="0057473B">
        <w:t xml:space="preserve">A NP is generally available during business hours and works collaboratively with the GP, consultant psychiatrist and other nursing and allied health staff members. The NP can conduct advanced health assessments, order diagnostic tests, and prescribe medications. See </w:t>
      </w:r>
      <w:r w:rsidRPr="0057473B">
        <w:rPr>
          <w:i/>
        </w:rPr>
        <w:t>CHS Providing Physical Health Care across Mental Health, Justice Health and Alcohol and Drug Services Operational Guideline</w:t>
      </w:r>
      <w:r w:rsidRPr="0057473B">
        <w:t xml:space="preserve"> for more information. </w:t>
      </w:r>
    </w:p>
    <w:p w14:paraId="5EBF3FE5" w14:textId="77777777" w:rsidR="0057473B" w:rsidRPr="0057473B" w:rsidRDefault="0057473B" w:rsidP="004B2509">
      <w:pPr>
        <w:pStyle w:val="Heading6"/>
      </w:pPr>
      <w:r w:rsidRPr="0057473B">
        <w:t>5.9.2 Diagnostic interventions</w:t>
      </w:r>
    </w:p>
    <w:p w14:paraId="6A030D0E" w14:textId="50F0AC42" w:rsidR="0057473B" w:rsidRPr="0057473B" w:rsidRDefault="0057473B" w:rsidP="004C7CC9">
      <w:pPr>
        <w:pStyle w:val="Bullet"/>
      </w:pPr>
      <w:r w:rsidRPr="0057473B">
        <w:t xml:space="preserve">Pathology tests ordered at the Centre is collected by appropriately trained nursing </w:t>
      </w:r>
      <w:r w:rsidR="009E5A24" w:rsidRPr="0057473B">
        <w:t>staff and</w:t>
      </w:r>
      <w:r w:rsidRPr="0057473B">
        <w:t xml:space="preserve"> processed by ACT Pathology.</w:t>
      </w:r>
    </w:p>
    <w:p w14:paraId="1218BC43" w14:textId="77777777" w:rsidR="0057473B" w:rsidRPr="0057473B" w:rsidRDefault="0057473B" w:rsidP="004C7CC9">
      <w:pPr>
        <w:pStyle w:val="Bullet"/>
      </w:pPr>
      <w:r w:rsidRPr="0057473B">
        <w:t>ACT Pathology Courier to be contacted by shift leader or CNC for collection of specimens within recommended timeframes (i.e. 4 hours for blood specimens).</w:t>
      </w:r>
    </w:p>
    <w:p w14:paraId="59FB1893" w14:textId="77777777" w:rsidR="0057473B" w:rsidRPr="0057473B" w:rsidRDefault="0057473B" w:rsidP="004C7CC9">
      <w:pPr>
        <w:pStyle w:val="Bullet"/>
      </w:pPr>
      <w:r w:rsidRPr="0057473B">
        <w:t>Routine ECG performed at the Centre will be immediately available in DHR and consult request sent to Cardiology for inpatient consult/ review.</w:t>
      </w:r>
    </w:p>
    <w:p w14:paraId="10EAAF20" w14:textId="3C0D42BC" w:rsidR="0057473B" w:rsidRPr="0057473B" w:rsidRDefault="0057473B" w:rsidP="004C7CC9">
      <w:pPr>
        <w:pStyle w:val="Bullet"/>
      </w:pPr>
      <w:r>
        <w:t xml:space="preserve">Non-urgent medical imaging ordered during admission will require transport of consumer to the nearest medical imaging facility. Transport will be </w:t>
      </w:r>
      <w:r w:rsidR="00F93C1D">
        <w:t>arranged by</w:t>
      </w:r>
      <w:r>
        <w:t xml:space="preserve"> EDRTC staff.</w:t>
      </w:r>
    </w:p>
    <w:p w14:paraId="164D0B6F" w14:textId="77777777" w:rsidR="0057473B" w:rsidRPr="0057473B" w:rsidRDefault="0057473B" w:rsidP="004C7CC9">
      <w:pPr>
        <w:pStyle w:val="Bullet"/>
        <w:rPr>
          <w:lang w:val="en-US"/>
        </w:rPr>
      </w:pPr>
      <w:r w:rsidRPr="0057473B">
        <w:t>Any urgent pathology or medical imaging will require consideration of the medical stability of the consumer</w:t>
      </w:r>
      <w:r w:rsidRPr="0057473B">
        <w:rPr>
          <w:lang w:val="en-US"/>
        </w:rPr>
        <w:t xml:space="preserve"> and need for assessment and monitoring in an acute facility.</w:t>
      </w:r>
    </w:p>
    <w:p w14:paraId="24BC6CA1" w14:textId="77777777" w:rsidR="0057473B" w:rsidRPr="0057473B" w:rsidRDefault="0057473B" w:rsidP="00D011CF">
      <w:pPr>
        <w:pStyle w:val="Heading5"/>
      </w:pPr>
      <w:r w:rsidRPr="0057473B">
        <w:t xml:space="preserve">5.10 Medication </w:t>
      </w:r>
    </w:p>
    <w:p w14:paraId="6BA02504" w14:textId="77777777" w:rsidR="0057473B" w:rsidRPr="0057473B" w:rsidRDefault="0057473B" w:rsidP="0057473B">
      <w:pPr>
        <w:pStyle w:val="BodyCopy"/>
      </w:pPr>
      <w:r w:rsidRPr="0057473B">
        <w:t>All medication supplied to consumers of the Centre will be sourced from CHS Pharmacy stock unless otherwise agreed by the treating team.</w:t>
      </w:r>
    </w:p>
    <w:p w14:paraId="79B9040F" w14:textId="77777777" w:rsidR="0057473B" w:rsidRPr="0057473B" w:rsidRDefault="0057473B" w:rsidP="0057473B">
      <w:pPr>
        <w:pStyle w:val="BodyCopy"/>
      </w:pPr>
      <w:r w:rsidRPr="0057473B">
        <w:t xml:space="preserve">The Centre supports a medication management model that allows a person to continue to manage their medication as they would in the community. The model includes self-administration of medication (SAM) whenever it is appropriate and safe for the person to do so. </w:t>
      </w:r>
    </w:p>
    <w:p w14:paraId="49DDAC29" w14:textId="77777777" w:rsidR="0057473B" w:rsidRPr="0057473B" w:rsidRDefault="0057473B" w:rsidP="0057473B">
      <w:pPr>
        <w:pStyle w:val="BodyCopy"/>
      </w:pPr>
      <w:r w:rsidRPr="0057473B">
        <w:t>It is the responsibility of the treating team to assess that consumers are willing and competent to participate in SAM. Where someone is assessed as competent and willing to self-administer their medications, nursing staff will support this process.</w:t>
      </w:r>
    </w:p>
    <w:p w14:paraId="58226C59" w14:textId="77777777" w:rsidR="0057473B" w:rsidRPr="0057473B" w:rsidRDefault="0057473B" w:rsidP="0057473B">
      <w:pPr>
        <w:pStyle w:val="BodyCopy"/>
      </w:pPr>
      <w:r w:rsidRPr="0057473B">
        <w:t xml:space="preserve">Medication that is commenced by the treating team, undergoing titration and evaluation, or is subject to change will be dispensed from Imprest stock. These medicines will be administered by nursing staff and not supplied to the consumer for SAM. All medication will be documented in the Medication Administration Record (MAR) in DHR. </w:t>
      </w:r>
    </w:p>
    <w:p w14:paraId="3BA368CD" w14:textId="77777777" w:rsidR="0057473B" w:rsidRPr="0057473B" w:rsidRDefault="0057473B" w:rsidP="0057473B">
      <w:pPr>
        <w:pStyle w:val="BodyCopy"/>
      </w:pPr>
      <w:r w:rsidRPr="0057473B">
        <w:t>Regular ongoing medication will be dispensed by CHS pharmacy in a Dose Administration Aid (DAA) to facilitate self-administration. The DAA and Imprest stock is kept in the locked medication room and provided to consumers to self-administer on request or as scheduled. Nursing staff will record the self-administration in DHR.</w:t>
      </w:r>
    </w:p>
    <w:p w14:paraId="06F84B7B" w14:textId="63C5E935" w:rsidR="0057473B" w:rsidRPr="0057473B" w:rsidRDefault="0057473B" w:rsidP="0057473B">
      <w:pPr>
        <w:pStyle w:val="BodyCopy"/>
      </w:pPr>
      <w:r w:rsidRPr="0057473B">
        <w:t xml:space="preserve">Medications prescribed by the medical team are done so with the expectation that they will be taken by the consumer. When a consumer does not follow the agreed medication treatment plan (including refusing medication or attempting to hide medication) the treating team must be informed as soon as possible and documented in DHR.  </w:t>
      </w:r>
    </w:p>
    <w:p w14:paraId="7E745A56" w14:textId="77777777" w:rsidR="0057473B" w:rsidRPr="0057473B" w:rsidRDefault="0057473B" w:rsidP="0057473B">
      <w:pPr>
        <w:pStyle w:val="BodyCopy"/>
        <w:rPr>
          <w:i/>
        </w:rPr>
      </w:pPr>
      <w:r w:rsidRPr="0057473B">
        <w:t xml:space="preserve">For a consumer who is voluntarily admitted to the Centre, who is also on a treatment order under the </w:t>
      </w:r>
      <w:r w:rsidRPr="0057473B">
        <w:rPr>
          <w:i/>
        </w:rPr>
        <w:t>Mental Health Act, 2015</w:t>
      </w:r>
      <w:r w:rsidRPr="0057473B">
        <w:t xml:space="preserve">, and taking medication is a part of the treatment order, non-adherence will result in the commencement of a breach process in line with CHS </w:t>
      </w:r>
      <w:r w:rsidRPr="0057473B">
        <w:rPr>
          <w:i/>
        </w:rPr>
        <w:t xml:space="preserve">procedure Care of Persons subject to Psychiatric Treatment Orders (PTOs) with or without a Restriction Order (RO). </w:t>
      </w:r>
    </w:p>
    <w:p w14:paraId="50BA9F56" w14:textId="77777777" w:rsidR="0057473B" w:rsidRPr="0057473B" w:rsidRDefault="0057473B" w:rsidP="0057473B">
      <w:pPr>
        <w:pStyle w:val="BodyCopy"/>
      </w:pPr>
      <w:r w:rsidRPr="0057473B">
        <w:t xml:space="preserve">See CHS </w:t>
      </w:r>
      <w:r w:rsidRPr="0057473B">
        <w:rPr>
          <w:i/>
        </w:rPr>
        <w:t>Medication Handling policy</w:t>
      </w:r>
      <w:r w:rsidRPr="0057473B">
        <w:t xml:space="preserve"> for more information about prescribing, administering, or managing consumer medications.</w:t>
      </w:r>
    </w:p>
    <w:p w14:paraId="227F7718" w14:textId="77777777" w:rsidR="0057473B" w:rsidRPr="0057473B" w:rsidRDefault="0057473B" w:rsidP="004B2509">
      <w:pPr>
        <w:pStyle w:val="Heading6"/>
      </w:pPr>
      <w:r w:rsidRPr="0057473B">
        <w:t>5.10.1 Medications not prescribed by the Centre medical team</w:t>
      </w:r>
    </w:p>
    <w:p w14:paraId="0F0886D3" w14:textId="77777777" w:rsidR="0057473B" w:rsidRPr="0057473B" w:rsidRDefault="0057473B" w:rsidP="0057473B">
      <w:pPr>
        <w:pStyle w:val="BodyCopy"/>
      </w:pPr>
      <w:r w:rsidRPr="0057473B">
        <w:t xml:space="preserve">Consumers should not be taking any medications without the knowledge and approval of the treating medical team. </w:t>
      </w:r>
    </w:p>
    <w:p w14:paraId="5528FB7B" w14:textId="77777777" w:rsidR="0057473B" w:rsidRPr="0057473B" w:rsidRDefault="0057473B" w:rsidP="0057473B">
      <w:pPr>
        <w:pStyle w:val="BodyCopy"/>
      </w:pPr>
      <w:r w:rsidRPr="0057473B">
        <w:t>All medications such as supplements, vitamins, nutraceuticals or nootropics recommended by external providers (e.g. from community GP, or Specialist) will need to be discussed with the treating team. Consumers will be responsible for the purchase of supplements that are not on the hospital formulary.</w:t>
      </w:r>
    </w:p>
    <w:p w14:paraId="20448BAE" w14:textId="77777777" w:rsidR="0057473B" w:rsidRPr="0057473B" w:rsidRDefault="0057473B" w:rsidP="004B2509">
      <w:pPr>
        <w:pStyle w:val="Heading6"/>
      </w:pPr>
      <w:r w:rsidRPr="0057473B">
        <w:t>5.10.2 Medication Safety and Accountability</w:t>
      </w:r>
    </w:p>
    <w:p w14:paraId="00AF5E91" w14:textId="77777777" w:rsidR="0057473B" w:rsidRPr="0057473B" w:rsidRDefault="0057473B" w:rsidP="004C7CC9">
      <w:pPr>
        <w:pStyle w:val="Bullet"/>
      </w:pPr>
      <w:r w:rsidRPr="0057473B">
        <w:t>Pharmacy will supply all regular medications in a DAA which will be packed once a week. If there is a change in the consumer’s regular medications or supplements that is not able to be accommodated in a newly packed DAA, Imprest stock will be dispensed.</w:t>
      </w:r>
    </w:p>
    <w:p w14:paraId="62CB97AC" w14:textId="77777777" w:rsidR="0057473B" w:rsidRPr="0057473B" w:rsidRDefault="0057473B" w:rsidP="004C7CC9">
      <w:pPr>
        <w:pStyle w:val="Bullet"/>
      </w:pPr>
      <w:r w:rsidRPr="0057473B">
        <w:t>If there is a short-term change in medication recommended by a medical doctor external to the Centre, it should be discussed with the medical team (psychiatrist, Centre GP or Nurse Practitioner) and if appropriate have it charted in DHR.</w:t>
      </w:r>
    </w:p>
    <w:p w14:paraId="378687C3" w14:textId="3A9077F6" w:rsidR="0057473B" w:rsidRPr="0057473B" w:rsidRDefault="6804FF82" w:rsidP="004C7CC9">
      <w:pPr>
        <w:pStyle w:val="Bullet"/>
        <w:rPr>
          <w:lang w:val="en-US"/>
        </w:rPr>
      </w:pPr>
      <w:r>
        <w:t>Schedule 4 and Schedule 8 medications will remain in the locked safe in the medication room, and the consumer must request these to be administered by the RN. These will be handled</w:t>
      </w:r>
      <w:r w:rsidRPr="62376261">
        <w:rPr>
          <w:lang w:val="en-US"/>
        </w:rPr>
        <w:t xml:space="preserve"> in accordance with the </w:t>
      </w:r>
      <w:r>
        <w:t xml:space="preserve">CHS </w:t>
      </w:r>
      <w:r w:rsidRPr="62376261">
        <w:rPr>
          <w:i/>
        </w:rPr>
        <w:t>Medication Handling Policy</w:t>
      </w:r>
      <w:r w:rsidRPr="62376261">
        <w:rPr>
          <w:lang w:val="en-US"/>
        </w:rPr>
        <w:t>.</w:t>
      </w:r>
    </w:p>
    <w:p w14:paraId="3F1326D2" w14:textId="77777777" w:rsidR="0057473B" w:rsidRPr="0057473B" w:rsidRDefault="0057473B" w:rsidP="004B2509">
      <w:pPr>
        <w:pStyle w:val="Heading6"/>
      </w:pPr>
      <w:r w:rsidRPr="0057473B">
        <w:t>5.10.3 Nicotine Replacement Therapy</w:t>
      </w:r>
    </w:p>
    <w:p w14:paraId="5CC51E1B" w14:textId="77777777" w:rsidR="0057473B" w:rsidRPr="0057473B" w:rsidRDefault="0057473B" w:rsidP="0057473B">
      <w:pPr>
        <w:pStyle w:val="BodyCopy"/>
      </w:pPr>
      <w:r w:rsidRPr="0057473B">
        <w:t xml:space="preserve">The entire Centre campus is a nonsmoking/vaping environment. Consumers will be offered support and Nicotine Replacement Therapy as indicated as per the </w:t>
      </w:r>
      <w:r w:rsidRPr="0057473B">
        <w:rPr>
          <w:i/>
        </w:rPr>
        <w:t>CHS Managing Nicotine Dependence procedure.</w:t>
      </w:r>
    </w:p>
    <w:p w14:paraId="1120C728" w14:textId="3FCEC9DA" w:rsidR="0057473B" w:rsidRDefault="0057473B" w:rsidP="0057473B">
      <w:pPr>
        <w:pStyle w:val="BodyCopy"/>
      </w:pPr>
      <w:r w:rsidRPr="0057473B">
        <w:t>Staff training on how to implement the procedure is available through e-learning</w:t>
      </w:r>
      <w:r w:rsidR="00F71307">
        <w:t xml:space="preserve"> and face to face training</w:t>
      </w:r>
      <w:r w:rsidRPr="0057473B">
        <w:t xml:space="preserve">. Staff are also able to access support for nicotine dependence as per the procedure.   </w:t>
      </w:r>
    </w:p>
    <w:p w14:paraId="725A9555" w14:textId="6DC804FE" w:rsidR="00310C63" w:rsidRPr="0057473B" w:rsidRDefault="00310C63" w:rsidP="00310C63">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238DD69A" w14:textId="3F185660" w:rsidR="0057473B" w:rsidRDefault="0057473B" w:rsidP="0057473B">
      <w:pPr>
        <w:pStyle w:val="Heading4"/>
      </w:pPr>
      <w:bookmarkStart w:id="20" w:name="_Toc201246935"/>
      <w:r>
        <w:t>Section 6- Risk Assessment</w:t>
      </w:r>
      <w:bookmarkEnd w:id="20"/>
    </w:p>
    <w:p w14:paraId="3C164EAE" w14:textId="77777777" w:rsidR="0057473B" w:rsidRPr="0057473B" w:rsidRDefault="0057473B" w:rsidP="00D011CF">
      <w:pPr>
        <w:pStyle w:val="Heading5"/>
      </w:pPr>
      <w:r w:rsidRPr="0057473B">
        <w:t>6.1 Suicide Vulnerability Assessment Tool (SVAT)</w:t>
      </w:r>
    </w:p>
    <w:p w14:paraId="3ED54273" w14:textId="77777777" w:rsidR="0057473B" w:rsidRPr="0057473B" w:rsidRDefault="0057473B" w:rsidP="0057473B">
      <w:pPr>
        <w:pStyle w:val="BodyCopy"/>
      </w:pPr>
      <w:r w:rsidRPr="0057473B">
        <w:t xml:space="preserve">SVAT is used to document the assessment of a consumer’s suicide vulnerability and to formulate management strategies to mitigate that risk. </w:t>
      </w:r>
    </w:p>
    <w:p w14:paraId="16631C6F" w14:textId="77777777" w:rsidR="0057473B" w:rsidRPr="0057473B" w:rsidRDefault="0057473B" w:rsidP="0057473B">
      <w:pPr>
        <w:pStyle w:val="BodyCopy"/>
      </w:pPr>
      <w:r w:rsidRPr="0057473B">
        <w:t xml:space="preserve">SVAT and safety planning will be completed on admission, if there is a change in clinical presentation and prior to discharge. </w:t>
      </w:r>
    </w:p>
    <w:p w14:paraId="73467BF4" w14:textId="77777777" w:rsidR="0057473B" w:rsidRPr="0057473B" w:rsidRDefault="0057473B" w:rsidP="0057473B">
      <w:pPr>
        <w:pStyle w:val="BodyCopy"/>
      </w:pPr>
      <w:r w:rsidRPr="0057473B">
        <w:t xml:space="preserve">All staff must be familiar with the MHJHADS </w:t>
      </w:r>
      <w:r w:rsidRPr="0057473B">
        <w:rPr>
          <w:i/>
        </w:rPr>
        <w:t>Initial Management, Assessment, and Intervention for People Vulnerable to Suicide Procedure and the Suicide Vulnerability Assessment Tool (SVAT)</w:t>
      </w:r>
      <w:r w:rsidRPr="0057473B">
        <w:t xml:space="preserve"> to assess a consumer’s suicide vulnerability.</w:t>
      </w:r>
    </w:p>
    <w:p w14:paraId="720E313B" w14:textId="77777777" w:rsidR="0057473B" w:rsidRPr="0057473B" w:rsidRDefault="0057473B" w:rsidP="00D011CF">
      <w:pPr>
        <w:pStyle w:val="Heading5"/>
      </w:pPr>
      <w:r w:rsidRPr="0057473B">
        <w:t>6.2 Clinical Risk Assessment (CRA)</w:t>
      </w:r>
    </w:p>
    <w:p w14:paraId="25838C5C" w14:textId="77777777" w:rsidR="0057473B" w:rsidRPr="0057473B" w:rsidRDefault="0057473B" w:rsidP="0057473B">
      <w:pPr>
        <w:pStyle w:val="BodyCopy"/>
      </w:pPr>
      <w:r w:rsidRPr="0057473B">
        <w:t xml:space="preserve">The admitting psychiatrist will complete a CRA on admission using the initial CRA form in DHR. This will determine the level of observation required for each person admitted to the Centre. CRA is reviewed throughout the consumer’s stay as clinically indicated by the psychiatrist. </w:t>
      </w:r>
    </w:p>
    <w:p w14:paraId="42AC7CDD" w14:textId="77777777" w:rsidR="0057473B" w:rsidRPr="0057473B" w:rsidRDefault="0057473B" w:rsidP="00D011CF">
      <w:pPr>
        <w:pStyle w:val="Heading5"/>
      </w:pPr>
      <w:r w:rsidRPr="38D13D7D">
        <w:t>6.3 Observation</w:t>
      </w:r>
    </w:p>
    <w:p w14:paraId="6E3F0326" w14:textId="767E16D7" w:rsidR="0057473B" w:rsidRPr="0057473B" w:rsidRDefault="0057473B" w:rsidP="0057473B">
      <w:pPr>
        <w:pStyle w:val="BodyCopy"/>
      </w:pPr>
      <w:r w:rsidRPr="0057473B">
        <w:t>Observation through engagement is the purposeful gathering of information from consumers to inform clinical decision-making and the formal and objective assessment of a consumer’s physical, mental, and social condition.</w:t>
      </w:r>
      <w:r w:rsidR="00F07F2F">
        <w:t xml:space="preserve"> Refer to the </w:t>
      </w:r>
      <w:r w:rsidR="00FB1B1E">
        <w:t xml:space="preserve">CHS procedure </w:t>
      </w:r>
      <w:r w:rsidR="00F07F2F" w:rsidRPr="005756B3">
        <w:rPr>
          <w:i/>
          <w:iCs w:val="0"/>
        </w:rPr>
        <w:t>Observation through Therapeutic Engagement in MHJHADS Mental Health Inpatient Settings</w:t>
      </w:r>
      <w:r w:rsidR="00FB1B1E">
        <w:rPr>
          <w:i/>
          <w:iCs w:val="0"/>
        </w:rPr>
        <w:t>.</w:t>
      </w:r>
    </w:p>
    <w:p w14:paraId="0268B2FB" w14:textId="77777777" w:rsidR="0057473B" w:rsidRPr="0057473B" w:rsidRDefault="0057473B" w:rsidP="0057473B">
      <w:pPr>
        <w:pStyle w:val="BodyCopy"/>
      </w:pPr>
      <w:r w:rsidRPr="0057473B">
        <w:t xml:space="preserve">The purpose of observation is to provide optimum care, to escalate and manage deterioration in a timely way and ensure safety of the environment where care is provided. </w:t>
      </w:r>
    </w:p>
    <w:p w14:paraId="05A70980" w14:textId="77777777" w:rsidR="0057473B" w:rsidRPr="0057473B" w:rsidRDefault="0057473B" w:rsidP="0057473B">
      <w:pPr>
        <w:pStyle w:val="BodyCopy"/>
      </w:pPr>
      <w:r w:rsidRPr="0057473B">
        <w:t xml:space="preserve">Observations are not passive but require staff to be person-centred and engage therapeutically with consumers. Observation through engagement is for safety, protection from harm and maintenance of wellbeing. It provides opportunity to develop rapport and contribute to ongoing assessment and recovery. </w:t>
      </w:r>
    </w:p>
    <w:p w14:paraId="74241D76" w14:textId="77777777" w:rsidR="0057473B" w:rsidRPr="0057473B" w:rsidRDefault="0057473B" w:rsidP="0057473B">
      <w:pPr>
        <w:pStyle w:val="BodyCopy"/>
      </w:pPr>
      <w:r w:rsidRPr="0057473B">
        <w:t xml:space="preserve">Observations enable engagement with consumers which actively contributes to comprehensive care. There are several principles that underlie the practice of observation: </w:t>
      </w:r>
    </w:p>
    <w:p w14:paraId="288B1DE9" w14:textId="77777777" w:rsidR="0057473B" w:rsidRPr="0057473B" w:rsidRDefault="0057473B" w:rsidP="004C7CC9">
      <w:pPr>
        <w:pStyle w:val="Bullet"/>
      </w:pPr>
      <w:r w:rsidRPr="0057473B">
        <w:t>It is multifaceted.</w:t>
      </w:r>
    </w:p>
    <w:p w14:paraId="7C074D7B" w14:textId="77777777" w:rsidR="0057473B" w:rsidRPr="0057473B" w:rsidRDefault="0057473B" w:rsidP="004C7CC9">
      <w:pPr>
        <w:pStyle w:val="Bullet"/>
      </w:pPr>
      <w:r w:rsidRPr="0057473B">
        <w:t>Observation and assessment are interrelated.</w:t>
      </w:r>
    </w:p>
    <w:p w14:paraId="3F345FB8" w14:textId="77777777" w:rsidR="0057473B" w:rsidRPr="0057473B" w:rsidRDefault="0057473B" w:rsidP="004C7CC9">
      <w:pPr>
        <w:pStyle w:val="Bullet"/>
      </w:pPr>
      <w:r w:rsidRPr="0057473B">
        <w:t>Observation is grounded in therapeutic engagement with the consumer.</w:t>
      </w:r>
    </w:p>
    <w:p w14:paraId="5748EF62" w14:textId="77777777" w:rsidR="0057473B" w:rsidRPr="0057473B" w:rsidRDefault="0057473B" w:rsidP="004C7CC9">
      <w:pPr>
        <w:pStyle w:val="Bullet"/>
      </w:pPr>
      <w:r w:rsidRPr="0057473B">
        <w:t>Appreciation of how a consumer’s illness influences behaviour.</w:t>
      </w:r>
    </w:p>
    <w:p w14:paraId="24145EC4" w14:textId="77777777" w:rsidR="0057473B" w:rsidRPr="0057473B" w:rsidRDefault="0057473B" w:rsidP="004C7CC9">
      <w:pPr>
        <w:pStyle w:val="Bullet"/>
      </w:pPr>
      <w:r w:rsidRPr="0057473B">
        <w:t>Observations are communicated between staff.</w:t>
      </w:r>
    </w:p>
    <w:p w14:paraId="3C8448B7" w14:textId="77777777" w:rsidR="0057473B" w:rsidRPr="0057473B" w:rsidRDefault="0057473B" w:rsidP="004C7CC9">
      <w:pPr>
        <w:pStyle w:val="Bullet"/>
      </w:pPr>
      <w:r w:rsidRPr="0057473B">
        <w:t>There</w:t>
      </w:r>
      <w:r w:rsidRPr="0057473B">
        <w:rPr>
          <w:lang w:val="en-US"/>
        </w:rPr>
        <w:t xml:space="preserve"> is a clear process of documentation that is timely and descriptive</w:t>
      </w:r>
      <w:r w:rsidRPr="0057473B">
        <w:t>.</w:t>
      </w:r>
    </w:p>
    <w:p w14:paraId="39E66135" w14:textId="77777777" w:rsidR="0057473B" w:rsidRPr="0057473B" w:rsidRDefault="0057473B" w:rsidP="0057473B">
      <w:pPr>
        <w:pStyle w:val="BodyCopy"/>
      </w:pPr>
      <w:r w:rsidRPr="0057473B">
        <w:t>The shift team leader or allocated nurse should know the location of the consumer. Observation should be established as part of the Centre routine and performed regularly by the consumer’s allocated nurse as part of their everyday practice to maintain the safety of consumers.</w:t>
      </w:r>
    </w:p>
    <w:p w14:paraId="562C0818" w14:textId="77777777" w:rsidR="0057473B" w:rsidRDefault="0057473B" w:rsidP="0057473B">
      <w:pPr>
        <w:pStyle w:val="BodyCopy"/>
      </w:pPr>
      <w:r w:rsidRPr="0057473B">
        <w:t xml:space="preserve">The frequency of clinical documentation in a consumer’s clinical record is based on their ARC level. There are 5 levels of ARC observation described in Table 4. </w:t>
      </w:r>
    </w:p>
    <w:p w14:paraId="3A10AFF6" w14:textId="2D3B5419" w:rsidR="004C7CC9" w:rsidRDefault="004C7CC9">
      <w:pPr>
        <w:spacing w:before="0" w:after="0" w:line="240" w:lineRule="auto"/>
        <w:rPr>
          <w:rFonts w:eastAsia="Times New Roman"/>
          <w:bCs/>
          <w:iCs/>
        </w:rPr>
      </w:pPr>
      <w:r>
        <w:br w:type="page"/>
      </w:r>
    </w:p>
    <w:p w14:paraId="02489FB9" w14:textId="7EEB6DF3" w:rsidR="0057473B" w:rsidRPr="0057473B" w:rsidRDefault="0057473B" w:rsidP="00596DAA">
      <w:pPr>
        <w:pStyle w:val="Tabletitle-numbered"/>
      </w:pPr>
      <w:r w:rsidRPr="0057473B">
        <w:t xml:space="preserve">At Risk Category (ARC) levels </w:t>
      </w:r>
    </w:p>
    <w:tbl>
      <w:tblPr>
        <w:tblStyle w:val="TableGrid"/>
        <w:tblW w:w="5218" w:type="pct"/>
        <w:tblLook w:val="04A0" w:firstRow="1" w:lastRow="0" w:firstColumn="1" w:lastColumn="0" w:noHBand="0" w:noVBand="1"/>
      </w:tblPr>
      <w:tblGrid>
        <w:gridCol w:w="1412"/>
        <w:gridCol w:w="4820"/>
        <w:gridCol w:w="2127"/>
        <w:gridCol w:w="1984"/>
      </w:tblGrid>
      <w:tr w:rsidR="00A04707" w:rsidRPr="00A04707" w14:paraId="2B1E1EAE" w14:textId="77777777" w:rsidTr="004C7CC9">
        <w:trPr>
          <w:trHeight w:val="1011"/>
          <w:tblHeader/>
        </w:trPr>
        <w:tc>
          <w:tcPr>
            <w:tcW w:w="683" w:type="pct"/>
            <w:shd w:val="clear" w:color="auto" w:fill="3D2262" w:themeFill="accent1"/>
          </w:tcPr>
          <w:p w14:paraId="761CF44D" w14:textId="77777777" w:rsidR="004C7CC9" w:rsidRDefault="0057473B" w:rsidP="004C7CC9">
            <w:pPr>
              <w:pStyle w:val="Tableheader"/>
              <w:rPr>
                <w:bCs/>
              </w:rPr>
            </w:pPr>
            <w:r w:rsidRPr="00A04707">
              <w:t xml:space="preserve">ARC level </w:t>
            </w:r>
          </w:p>
          <w:p w14:paraId="37242425" w14:textId="1C369C75" w:rsidR="0057473B" w:rsidRPr="00A04707" w:rsidRDefault="0057473B" w:rsidP="004C7CC9">
            <w:pPr>
              <w:pStyle w:val="Tableheader"/>
              <w:rPr>
                <w:bCs/>
              </w:rPr>
            </w:pPr>
            <w:r w:rsidRPr="00A04707">
              <w:t xml:space="preserve">and Risk </w:t>
            </w:r>
          </w:p>
        </w:tc>
        <w:tc>
          <w:tcPr>
            <w:tcW w:w="2330" w:type="pct"/>
            <w:shd w:val="clear" w:color="auto" w:fill="3D2262" w:themeFill="accent1"/>
          </w:tcPr>
          <w:p w14:paraId="008B722B" w14:textId="77777777" w:rsidR="0057473B" w:rsidRPr="00A04707" w:rsidRDefault="0057473B" w:rsidP="004C7CC9">
            <w:pPr>
              <w:pStyle w:val="Tableheader"/>
              <w:rPr>
                <w:bCs/>
              </w:rPr>
            </w:pPr>
            <w:r w:rsidRPr="00A04707">
              <w:t>Description</w:t>
            </w:r>
          </w:p>
        </w:tc>
        <w:tc>
          <w:tcPr>
            <w:tcW w:w="1028" w:type="pct"/>
            <w:shd w:val="clear" w:color="auto" w:fill="3D2262" w:themeFill="accent1"/>
          </w:tcPr>
          <w:p w14:paraId="00A7941F" w14:textId="77777777" w:rsidR="0057473B" w:rsidRPr="00A04707" w:rsidRDefault="0057473B" w:rsidP="004C7CC9">
            <w:pPr>
              <w:pStyle w:val="Tableheader"/>
              <w:rPr>
                <w:bCs/>
              </w:rPr>
            </w:pPr>
            <w:r w:rsidRPr="00A04707">
              <w:t xml:space="preserve">Observations AM and PM shifts </w:t>
            </w:r>
          </w:p>
        </w:tc>
        <w:tc>
          <w:tcPr>
            <w:tcW w:w="959" w:type="pct"/>
            <w:shd w:val="clear" w:color="auto" w:fill="3D2262" w:themeFill="accent1"/>
          </w:tcPr>
          <w:p w14:paraId="37EA1B17" w14:textId="77777777" w:rsidR="0057473B" w:rsidRPr="00A04707" w:rsidRDefault="0057473B" w:rsidP="004C7CC9">
            <w:pPr>
              <w:pStyle w:val="Tableheader"/>
              <w:rPr>
                <w:bCs/>
              </w:rPr>
            </w:pPr>
            <w:r w:rsidRPr="00A04707">
              <w:t>Observations Night shift</w:t>
            </w:r>
          </w:p>
        </w:tc>
      </w:tr>
      <w:tr w:rsidR="0057473B" w:rsidRPr="0057473B" w14:paraId="7DAC1C7C" w14:textId="77777777" w:rsidTr="004C7CC9">
        <w:trPr>
          <w:trHeight w:val="1549"/>
        </w:trPr>
        <w:tc>
          <w:tcPr>
            <w:tcW w:w="683" w:type="pct"/>
          </w:tcPr>
          <w:p w14:paraId="3D8BB1DB" w14:textId="77777777" w:rsidR="0057473B" w:rsidRPr="0057473B" w:rsidRDefault="0057473B" w:rsidP="004C7CC9">
            <w:pPr>
              <w:pStyle w:val="Tablebody"/>
            </w:pPr>
            <w:r w:rsidRPr="0057473B">
              <w:t xml:space="preserve">Level 1 </w:t>
            </w:r>
          </w:p>
          <w:p w14:paraId="333304B0" w14:textId="77777777" w:rsidR="0057473B" w:rsidRPr="0057473B" w:rsidRDefault="0057473B" w:rsidP="004C7CC9">
            <w:pPr>
              <w:pStyle w:val="Tablebody"/>
            </w:pPr>
            <w:r w:rsidRPr="0057473B">
              <w:t>Low risk</w:t>
            </w:r>
          </w:p>
        </w:tc>
        <w:tc>
          <w:tcPr>
            <w:tcW w:w="2330" w:type="pct"/>
          </w:tcPr>
          <w:p w14:paraId="47479D84" w14:textId="77777777" w:rsidR="0057473B" w:rsidRPr="0057473B" w:rsidRDefault="0057473B" w:rsidP="004C7CC9">
            <w:pPr>
              <w:pStyle w:val="Tablebody"/>
            </w:pPr>
            <w:r w:rsidRPr="0057473B">
              <w:t>Less distracted by psychiatric symptoms, no inappropriate behaviour, not troubled by thoughts of self-harm, engaging with treatment and Centre program.</w:t>
            </w:r>
          </w:p>
        </w:tc>
        <w:tc>
          <w:tcPr>
            <w:tcW w:w="1028" w:type="pct"/>
          </w:tcPr>
          <w:p w14:paraId="2172B908" w14:textId="77777777" w:rsidR="0057473B" w:rsidRPr="0057473B" w:rsidRDefault="0057473B" w:rsidP="004C7CC9">
            <w:pPr>
              <w:pStyle w:val="Tablebody"/>
            </w:pPr>
            <w:r w:rsidRPr="0057473B">
              <w:t>General engagement and observations every 2 hours.</w:t>
            </w:r>
          </w:p>
        </w:tc>
        <w:tc>
          <w:tcPr>
            <w:tcW w:w="959" w:type="pct"/>
          </w:tcPr>
          <w:p w14:paraId="493126D9" w14:textId="77777777" w:rsidR="0057473B" w:rsidRPr="0057473B" w:rsidRDefault="0057473B" w:rsidP="004C7CC9">
            <w:pPr>
              <w:pStyle w:val="Tablebody"/>
            </w:pPr>
            <w:r w:rsidRPr="0057473B">
              <w:t>2 hourly</w:t>
            </w:r>
          </w:p>
        </w:tc>
      </w:tr>
      <w:tr w:rsidR="0057473B" w:rsidRPr="0057473B" w14:paraId="4F0AB26B" w14:textId="77777777" w:rsidTr="004C7CC9">
        <w:trPr>
          <w:trHeight w:val="1556"/>
        </w:trPr>
        <w:tc>
          <w:tcPr>
            <w:tcW w:w="683" w:type="pct"/>
          </w:tcPr>
          <w:p w14:paraId="4ECDB017" w14:textId="77777777" w:rsidR="0057473B" w:rsidRPr="0057473B" w:rsidRDefault="0057473B" w:rsidP="004C7CC9">
            <w:pPr>
              <w:pStyle w:val="Tablebody"/>
            </w:pPr>
            <w:r w:rsidRPr="0057473B">
              <w:t xml:space="preserve">Level 2 </w:t>
            </w:r>
          </w:p>
          <w:p w14:paraId="43E943B0" w14:textId="77777777" w:rsidR="0057473B" w:rsidRPr="0057473B" w:rsidRDefault="0057473B" w:rsidP="004C7CC9">
            <w:pPr>
              <w:pStyle w:val="Tablebody"/>
            </w:pPr>
            <w:r w:rsidRPr="0057473B">
              <w:t>Low to Medium risk</w:t>
            </w:r>
          </w:p>
        </w:tc>
        <w:tc>
          <w:tcPr>
            <w:tcW w:w="2330" w:type="pct"/>
          </w:tcPr>
          <w:p w14:paraId="66D68EE7" w14:textId="77777777" w:rsidR="0057473B" w:rsidRPr="0057473B" w:rsidRDefault="0057473B" w:rsidP="004C7CC9">
            <w:pPr>
              <w:pStyle w:val="Tablebody"/>
            </w:pPr>
            <w:r w:rsidRPr="0057473B">
              <w:t>Distracted by psychiatric symptoms but can manage in the Centre, potential risk to harm self or others but no immediate risk. Compliant with the Centre program.</w:t>
            </w:r>
          </w:p>
        </w:tc>
        <w:tc>
          <w:tcPr>
            <w:tcW w:w="1028" w:type="pct"/>
          </w:tcPr>
          <w:p w14:paraId="50351733" w14:textId="77777777" w:rsidR="0057473B" w:rsidRPr="0057473B" w:rsidRDefault="0057473B" w:rsidP="004C7CC9">
            <w:pPr>
              <w:pStyle w:val="Tablebody"/>
            </w:pPr>
            <w:r w:rsidRPr="0057473B">
              <w:t>Every 50-60 minutes</w:t>
            </w:r>
          </w:p>
        </w:tc>
        <w:tc>
          <w:tcPr>
            <w:tcW w:w="959" w:type="pct"/>
          </w:tcPr>
          <w:p w14:paraId="1FC7CCDB" w14:textId="77777777" w:rsidR="0057473B" w:rsidRPr="0057473B" w:rsidRDefault="0057473B" w:rsidP="004C7CC9">
            <w:pPr>
              <w:pStyle w:val="Tablebody"/>
            </w:pPr>
            <w:r w:rsidRPr="0057473B">
              <w:t>Every 50-60minutes</w:t>
            </w:r>
          </w:p>
        </w:tc>
      </w:tr>
      <w:tr w:rsidR="0057473B" w:rsidRPr="0057473B" w14:paraId="014E0973" w14:textId="77777777" w:rsidTr="004C7CC9">
        <w:trPr>
          <w:trHeight w:val="2426"/>
        </w:trPr>
        <w:tc>
          <w:tcPr>
            <w:tcW w:w="683" w:type="pct"/>
          </w:tcPr>
          <w:p w14:paraId="686B89F0" w14:textId="77777777" w:rsidR="0057473B" w:rsidRPr="0057473B" w:rsidRDefault="0057473B" w:rsidP="004C7CC9">
            <w:pPr>
              <w:pStyle w:val="Tablebody"/>
            </w:pPr>
            <w:r w:rsidRPr="0057473B">
              <w:t>Level 3 Medium risk</w:t>
            </w:r>
          </w:p>
        </w:tc>
        <w:tc>
          <w:tcPr>
            <w:tcW w:w="2330" w:type="pct"/>
          </w:tcPr>
          <w:p w14:paraId="00979894" w14:textId="77777777" w:rsidR="0057473B" w:rsidRPr="0057473B" w:rsidRDefault="0057473B" w:rsidP="004C7CC9">
            <w:pPr>
              <w:pStyle w:val="Tablebody"/>
            </w:pPr>
            <w:r w:rsidRPr="0057473B">
              <w:t>Distracted by psychiatric symptoms and at increased risk of harm to self or others, overt psychotic symptoms, falls, severe self-neglect, violence or aggression. Non-adherent with the Centre program.</w:t>
            </w:r>
          </w:p>
        </w:tc>
        <w:tc>
          <w:tcPr>
            <w:tcW w:w="1028" w:type="pct"/>
          </w:tcPr>
          <w:p w14:paraId="52C517D1" w14:textId="77777777" w:rsidR="0057473B" w:rsidRPr="0057473B" w:rsidRDefault="0057473B" w:rsidP="004C7CC9">
            <w:pPr>
              <w:pStyle w:val="Tablebody"/>
            </w:pPr>
            <w:r w:rsidRPr="0057473B">
              <w:t>Every 20-30 minutes.</w:t>
            </w:r>
          </w:p>
          <w:p w14:paraId="6E2F93A7" w14:textId="77777777" w:rsidR="0057473B" w:rsidRPr="0057473B" w:rsidRDefault="0057473B" w:rsidP="004C7CC9">
            <w:pPr>
              <w:pStyle w:val="Tablebody"/>
            </w:pPr>
            <w:r w:rsidRPr="0057473B">
              <w:t>Action as per escalation pathway for mental health deterioration</w:t>
            </w:r>
          </w:p>
        </w:tc>
        <w:tc>
          <w:tcPr>
            <w:tcW w:w="959" w:type="pct"/>
          </w:tcPr>
          <w:p w14:paraId="32405419" w14:textId="77777777" w:rsidR="0057473B" w:rsidRPr="0057473B" w:rsidRDefault="0057473B" w:rsidP="004C7CC9">
            <w:pPr>
              <w:pStyle w:val="Tablebody"/>
            </w:pPr>
            <w:r w:rsidRPr="0057473B">
              <w:t>Every 20-30 minutes.</w:t>
            </w:r>
          </w:p>
          <w:p w14:paraId="68E7023F" w14:textId="77777777" w:rsidR="0057473B" w:rsidRPr="0057473B" w:rsidRDefault="0057473B" w:rsidP="004C7CC9">
            <w:pPr>
              <w:pStyle w:val="Tablebody"/>
            </w:pPr>
            <w:r w:rsidRPr="0057473B">
              <w:t>Action as per escalation pathway for mental health deterioration</w:t>
            </w:r>
          </w:p>
        </w:tc>
      </w:tr>
      <w:tr w:rsidR="0057473B" w:rsidRPr="0057473B" w14:paraId="2A40C47D" w14:textId="77777777" w:rsidTr="004C7CC9">
        <w:trPr>
          <w:trHeight w:val="2442"/>
        </w:trPr>
        <w:tc>
          <w:tcPr>
            <w:tcW w:w="683" w:type="pct"/>
          </w:tcPr>
          <w:p w14:paraId="29CD3D19" w14:textId="77777777" w:rsidR="0057473B" w:rsidRPr="0057473B" w:rsidRDefault="0057473B" w:rsidP="004C7CC9">
            <w:pPr>
              <w:pStyle w:val="Tablebody"/>
            </w:pPr>
            <w:r w:rsidRPr="0057473B">
              <w:t>Level 4 Medium to High risk</w:t>
            </w:r>
          </w:p>
        </w:tc>
        <w:tc>
          <w:tcPr>
            <w:tcW w:w="2330" w:type="pct"/>
          </w:tcPr>
          <w:p w14:paraId="41ADA407" w14:textId="77777777" w:rsidR="0057473B" w:rsidRPr="0057473B" w:rsidRDefault="0057473B" w:rsidP="004C7CC9">
            <w:pPr>
              <w:pStyle w:val="Tablebody"/>
            </w:pPr>
            <w:r w:rsidRPr="0057473B">
              <w:t>Expressing suicidal ideation with plan and intent, or active self-harm, overt psychotic phenomena, mania. Risk of aggression and possible violence.</w:t>
            </w:r>
          </w:p>
        </w:tc>
        <w:tc>
          <w:tcPr>
            <w:tcW w:w="1028" w:type="pct"/>
          </w:tcPr>
          <w:p w14:paraId="1C7B3CFC" w14:textId="62048B0E" w:rsidR="0057473B" w:rsidRPr="0057473B" w:rsidRDefault="0057473B" w:rsidP="004C7CC9">
            <w:pPr>
              <w:pStyle w:val="Tablebody"/>
            </w:pPr>
            <w:r w:rsidRPr="0057473B">
              <w:t xml:space="preserve">Every 10-15minutes. </w:t>
            </w:r>
          </w:p>
          <w:p w14:paraId="3EDF5275" w14:textId="77777777" w:rsidR="0057473B" w:rsidRPr="0057473B" w:rsidRDefault="0057473B" w:rsidP="004C7CC9">
            <w:pPr>
              <w:pStyle w:val="Tablebody"/>
            </w:pPr>
            <w:r w:rsidRPr="0057473B">
              <w:t xml:space="preserve">Action as per escalation pathway for mental health deterioration </w:t>
            </w:r>
          </w:p>
        </w:tc>
        <w:tc>
          <w:tcPr>
            <w:tcW w:w="959" w:type="pct"/>
          </w:tcPr>
          <w:p w14:paraId="186B3437" w14:textId="77777777" w:rsidR="0057473B" w:rsidRPr="0057473B" w:rsidRDefault="0057473B" w:rsidP="004C7CC9">
            <w:pPr>
              <w:pStyle w:val="Tablebody"/>
            </w:pPr>
            <w:r w:rsidRPr="0057473B">
              <w:t>Every 10-15 minutes.</w:t>
            </w:r>
          </w:p>
          <w:p w14:paraId="63BED00F" w14:textId="77777777" w:rsidR="0057473B" w:rsidRPr="0057473B" w:rsidRDefault="0057473B" w:rsidP="004C7CC9">
            <w:pPr>
              <w:pStyle w:val="Tablebody"/>
            </w:pPr>
            <w:r w:rsidRPr="0057473B">
              <w:t>Action as per escalation pathway for mental health deterioration</w:t>
            </w:r>
          </w:p>
        </w:tc>
      </w:tr>
      <w:tr w:rsidR="0057473B" w:rsidRPr="0057473B" w14:paraId="6BFF8493" w14:textId="77777777" w:rsidTr="00545B86">
        <w:trPr>
          <w:trHeight w:val="3450"/>
        </w:trPr>
        <w:tc>
          <w:tcPr>
            <w:tcW w:w="683" w:type="pct"/>
          </w:tcPr>
          <w:p w14:paraId="11BEBE9D" w14:textId="77777777" w:rsidR="0057473B" w:rsidRPr="0057473B" w:rsidRDefault="0057473B" w:rsidP="004C7CC9">
            <w:pPr>
              <w:pStyle w:val="Tablebody"/>
            </w:pPr>
            <w:r w:rsidRPr="0057473B">
              <w:t xml:space="preserve">Level 5 </w:t>
            </w:r>
          </w:p>
          <w:p w14:paraId="5DA34049" w14:textId="77777777" w:rsidR="0057473B" w:rsidRPr="0057473B" w:rsidRDefault="0057473B" w:rsidP="004C7CC9">
            <w:pPr>
              <w:pStyle w:val="Tablebody"/>
            </w:pPr>
            <w:r w:rsidRPr="0057473B">
              <w:t>High risk</w:t>
            </w:r>
          </w:p>
        </w:tc>
        <w:tc>
          <w:tcPr>
            <w:tcW w:w="2330" w:type="pct"/>
          </w:tcPr>
          <w:p w14:paraId="5AE613A6" w14:textId="77777777" w:rsidR="0057473B" w:rsidRPr="0057473B" w:rsidRDefault="0057473B" w:rsidP="004C7CC9">
            <w:pPr>
              <w:pStyle w:val="Tablebody"/>
            </w:pPr>
            <w:r w:rsidRPr="0057473B">
              <w:t xml:space="preserve">Clinical risk assessment identifies a serious, significant, and immediate risk as outlined for ARC 3 and 4. </w:t>
            </w:r>
          </w:p>
          <w:p w14:paraId="478CAD0F" w14:textId="77777777" w:rsidR="0057473B" w:rsidRPr="0057473B" w:rsidRDefault="0057473B" w:rsidP="004C7CC9">
            <w:pPr>
              <w:pStyle w:val="Tablebody"/>
            </w:pPr>
            <w:r w:rsidRPr="0057473B">
              <w:t>Staff must not leave the consumer unsupervised under any circumstances or for any period. The consumer must be managed in a highly visible area. During normal sleeping hours the staff member will sit outside the consumer’s bedroom, with the bedroom door open.</w:t>
            </w:r>
          </w:p>
        </w:tc>
        <w:tc>
          <w:tcPr>
            <w:tcW w:w="1028" w:type="pct"/>
          </w:tcPr>
          <w:p w14:paraId="7AD7E58C" w14:textId="77777777" w:rsidR="0057473B" w:rsidRPr="0057473B" w:rsidRDefault="0057473B" w:rsidP="004C7CC9">
            <w:pPr>
              <w:pStyle w:val="Tablebody"/>
            </w:pPr>
            <w:r w:rsidRPr="0057473B">
              <w:t xml:space="preserve">Continuous visual observations. Action as per escalation pathway for mental health deterioration </w:t>
            </w:r>
          </w:p>
        </w:tc>
        <w:tc>
          <w:tcPr>
            <w:tcW w:w="959" w:type="pct"/>
          </w:tcPr>
          <w:p w14:paraId="478E288A" w14:textId="77777777" w:rsidR="0057473B" w:rsidRPr="0057473B" w:rsidRDefault="0057473B" w:rsidP="004C7CC9">
            <w:pPr>
              <w:pStyle w:val="Tablebody"/>
            </w:pPr>
            <w:r w:rsidRPr="0057473B">
              <w:t>Continuous visual observations</w:t>
            </w:r>
          </w:p>
          <w:p w14:paraId="33B61990" w14:textId="77777777" w:rsidR="0057473B" w:rsidRPr="0057473B" w:rsidRDefault="0057473B" w:rsidP="004C7CC9">
            <w:pPr>
              <w:pStyle w:val="Tablebody"/>
            </w:pPr>
            <w:r w:rsidRPr="0057473B">
              <w:t>Action as per escalation pathway for mental health deterioration</w:t>
            </w:r>
          </w:p>
        </w:tc>
      </w:tr>
    </w:tbl>
    <w:p w14:paraId="5BD2AB3E" w14:textId="2CF29D7D" w:rsidR="0057473B" w:rsidRDefault="00310C63" w:rsidP="00310C63">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5687ECCF" w14:textId="45BDDCDE" w:rsidR="0057473B" w:rsidRDefault="0057473B" w:rsidP="0057473B">
      <w:pPr>
        <w:pStyle w:val="Heading4"/>
      </w:pPr>
      <w:bookmarkStart w:id="21" w:name="_Toc201246936"/>
      <w:r>
        <w:t>Section 7- Deter</w:t>
      </w:r>
      <w:r w:rsidR="00037E57">
        <w:t>ioration of mental health or physical health</w:t>
      </w:r>
      <w:bookmarkEnd w:id="21"/>
    </w:p>
    <w:p w14:paraId="23138FEC" w14:textId="585DF942" w:rsidR="00037E57" w:rsidRPr="00037E57" w:rsidRDefault="00037E57" w:rsidP="00037E57">
      <w:pPr>
        <w:pStyle w:val="BodyCopy"/>
      </w:pPr>
      <w:r w:rsidRPr="00037E57">
        <w:t xml:space="preserve">If a consumer’s mental or physical health deteriorates and they can no longer be safely managed at the Centre, staff will follow the Centre escalation pathway (Table </w:t>
      </w:r>
      <w:r w:rsidR="001F099A">
        <w:t>5</w:t>
      </w:r>
      <w:r w:rsidRPr="00037E57">
        <w:t xml:space="preserve"> and Table </w:t>
      </w:r>
      <w:r w:rsidR="001F099A">
        <w:t>6</w:t>
      </w:r>
      <w:r w:rsidRPr="00037E57">
        <w:t>).</w:t>
      </w:r>
    </w:p>
    <w:p w14:paraId="40851C7D" w14:textId="77777777" w:rsidR="00037E57" w:rsidRPr="00037E57" w:rsidRDefault="00037E57" w:rsidP="00037E57">
      <w:pPr>
        <w:pStyle w:val="BodyCopy"/>
      </w:pPr>
      <w:r w:rsidRPr="00037E57">
        <w:t xml:space="preserve">If a consumer requires admission to an acute ward for medical or psychiatric stabilisation, the consumer will be discharged from the Centre as per the CHS </w:t>
      </w:r>
      <w:r w:rsidRPr="00037E57">
        <w:rPr>
          <w:i/>
        </w:rPr>
        <w:t>Admission to Discharge Procedure (Adults and Children)</w:t>
      </w:r>
      <w:r w:rsidRPr="00037E57">
        <w:t xml:space="preserve"> to enable admission to the appropriate ward. </w:t>
      </w:r>
    </w:p>
    <w:p w14:paraId="4DA2B363" w14:textId="0B83F298" w:rsidR="00037E57" w:rsidRPr="00037E57" w:rsidRDefault="00037E57" w:rsidP="00D011CF">
      <w:pPr>
        <w:pStyle w:val="Heading5"/>
      </w:pPr>
      <w:r w:rsidRPr="00037E57">
        <w:t>7.1</w:t>
      </w:r>
      <w:r w:rsidR="00664694">
        <w:t xml:space="preserve"> </w:t>
      </w:r>
      <w:r w:rsidRPr="00037E57">
        <w:t>Mental health deterioration</w:t>
      </w:r>
    </w:p>
    <w:p w14:paraId="75C8BDD8" w14:textId="638AA9F2" w:rsidR="00037E57" w:rsidRPr="00037E57" w:rsidRDefault="00037E57" w:rsidP="00037E57">
      <w:pPr>
        <w:pStyle w:val="BodyCopy"/>
      </w:pPr>
      <w:r w:rsidRPr="00037E57">
        <w:t xml:space="preserve">The Centre admitting psychiatrist will utilise the CRA form to determine the ARC, frequency of observations, leave authorisation, access to electronic devices and further needs of the consumer. Consumers with an ARC score &gt; ARC 1 will require review as per the escalation pathway for mental health deterioration (Table </w:t>
      </w:r>
      <w:r w:rsidR="00C710EB">
        <w:t>5</w:t>
      </w:r>
      <w:r w:rsidRPr="00037E57">
        <w:t>).</w:t>
      </w:r>
    </w:p>
    <w:p w14:paraId="3128025A" w14:textId="77777777" w:rsidR="00037E57" w:rsidRPr="00037E57" w:rsidRDefault="00037E57" w:rsidP="00037E57">
      <w:pPr>
        <w:pStyle w:val="BodyCopy"/>
      </w:pPr>
      <w:r w:rsidRPr="00037E57">
        <w:t xml:space="preserve">Consumers or their carers may advise staff of a deterioration in their mental health or staff may notice a change in consumer’s behaviour or evidence of distress or agitation. Information disclosed to Centre staff that would impact a consumer’s mental or physical health will be communicated to the shift team leader (TL) and documented in DHR. </w:t>
      </w:r>
    </w:p>
    <w:p w14:paraId="66EF0C56" w14:textId="77777777" w:rsidR="00037E57" w:rsidRPr="00037E57" w:rsidRDefault="00037E57" w:rsidP="00037E57">
      <w:pPr>
        <w:pStyle w:val="BodyCopy"/>
      </w:pPr>
      <w:r w:rsidRPr="00037E57">
        <w:t xml:space="preserve">The shift team leader should be notified immediately of any changes to the CRA form by the psychiatrist. </w:t>
      </w:r>
    </w:p>
    <w:p w14:paraId="02C3AC17" w14:textId="0E43A6CF" w:rsidR="0003309B" w:rsidRPr="00037E57" w:rsidRDefault="00037E57" w:rsidP="00037E57">
      <w:pPr>
        <w:pStyle w:val="BodyCopy"/>
        <w:rPr>
          <w:i/>
        </w:rPr>
      </w:pPr>
      <w:r w:rsidRPr="00037E57">
        <w:t xml:space="preserve">Cognitive impairment (delirium and dementia) and deteriorating mental state should be considered for all adults. If screening is indicated, nursing staff will complete a 4AT assessment as per the CHS </w:t>
      </w:r>
      <w:r w:rsidRPr="00037E57">
        <w:rPr>
          <w:i/>
        </w:rPr>
        <w:t>Cognitive Impairment (Delirium and Dementia) and Deteriorating Mental State – Adult Procedure</w:t>
      </w:r>
    </w:p>
    <w:p w14:paraId="0A8D8391" w14:textId="77777777" w:rsidR="00037E57" w:rsidRPr="00037E57" w:rsidDel="00BD3288" w:rsidRDefault="00037E57" w:rsidP="00037E57">
      <w:pPr>
        <w:pStyle w:val="BodyCopy"/>
        <w:rPr>
          <w:b/>
          <w:bCs w:val="0"/>
        </w:rPr>
      </w:pPr>
      <w:r w:rsidRPr="00037E57">
        <w:rPr>
          <w:b/>
          <w:bCs w:val="0"/>
        </w:rPr>
        <w:t>Review of CRA and ARC</w:t>
      </w:r>
    </w:p>
    <w:p w14:paraId="71FD0AFE" w14:textId="77777777" w:rsidR="00037E57" w:rsidRPr="00037E57" w:rsidRDefault="00037E57" w:rsidP="00545B86">
      <w:pPr>
        <w:pStyle w:val="Bullet"/>
      </w:pPr>
      <w:r w:rsidRPr="00037E57">
        <w:t xml:space="preserve">A Registered Nurse, in consultation with the shift team leader can increase the ARC score if clinically indicated. If an ARC score has been increased by a registered nurse, the treating team must complete a revised CRA as soon as practicable. </w:t>
      </w:r>
    </w:p>
    <w:p w14:paraId="139BB0C1" w14:textId="77777777" w:rsidR="00037E57" w:rsidRPr="00037E57" w:rsidRDefault="00037E57" w:rsidP="00545B86">
      <w:pPr>
        <w:pStyle w:val="Bullet"/>
      </w:pPr>
      <w:r w:rsidRPr="00037E57">
        <w:t>Only the Medical team or the NP can revise the CRA or decrease the ARC after a mental health review.</w:t>
      </w:r>
    </w:p>
    <w:p w14:paraId="56D8A6F7" w14:textId="77777777" w:rsidR="00037E57" w:rsidRPr="00037E57" w:rsidRDefault="00037E57" w:rsidP="00545B86">
      <w:pPr>
        <w:pStyle w:val="Bullet"/>
        <w:rPr>
          <w:u w:val="single"/>
        </w:rPr>
      </w:pPr>
      <w:r w:rsidRPr="00037E57">
        <w:t xml:space="preserve">ARC level 3 ‘After hours advice’ may be by phone initially. The need for in person attendance or transfer by ambulance will be clinically determined. </w:t>
      </w:r>
    </w:p>
    <w:p w14:paraId="508A3D2D" w14:textId="77777777" w:rsidR="00037E57" w:rsidRPr="00037E57" w:rsidRDefault="00037E57" w:rsidP="00545B86">
      <w:pPr>
        <w:pStyle w:val="Bullet"/>
      </w:pPr>
      <w:r w:rsidRPr="00037E57">
        <w:t xml:space="preserve">An emergency assessment may be warranted under the </w:t>
      </w:r>
      <w:r w:rsidRPr="00037E57">
        <w:rPr>
          <w:i/>
          <w:lang w:val="en-US"/>
        </w:rPr>
        <w:t xml:space="preserve">Mental Health Act 2015. </w:t>
      </w:r>
      <w:r w:rsidRPr="00037E57">
        <w:t xml:space="preserve">A medical officer, mental health officer or police officer may make this decision under the </w:t>
      </w:r>
      <w:r w:rsidRPr="00037E57">
        <w:rPr>
          <w:i/>
        </w:rPr>
        <w:t>Act</w:t>
      </w:r>
      <w:r w:rsidRPr="00037E57">
        <w:t xml:space="preserve">.  </w:t>
      </w:r>
    </w:p>
    <w:p w14:paraId="6259D351" w14:textId="12C827B4" w:rsidR="00037E57" w:rsidRDefault="00037E57" w:rsidP="00037E57">
      <w:pPr>
        <w:pStyle w:val="BodyCopy"/>
      </w:pPr>
      <w:r w:rsidRPr="00037E57">
        <w:t>Table 5</w:t>
      </w:r>
      <w:r w:rsidR="00545B86">
        <w:t xml:space="preserve"> (in hours) and Table 6 (out of hours)</w:t>
      </w:r>
      <w:r w:rsidRPr="00037E57">
        <w:t xml:space="preserve"> outline the escalation pathway to be followed for all consumers admitted to the Centre.</w:t>
      </w:r>
    </w:p>
    <w:p w14:paraId="5C619184" w14:textId="77777777" w:rsidR="00545B86" w:rsidRPr="00037E57" w:rsidRDefault="00545B86" w:rsidP="00037E57">
      <w:pPr>
        <w:pStyle w:val="BodyCopy"/>
      </w:pPr>
    </w:p>
    <w:p w14:paraId="2B0CC0D0" w14:textId="63BAC057" w:rsidR="00037E57" w:rsidRDefault="00545B86" w:rsidP="00596DAA">
      <w:pPr>
        <w:pStyle w:val="Tabletitle-numbered"/>
      </w:pPr>
      <w:r>
        <w:t>In hour e</w:t>
      </w:r>
      <w:r w:rsidR="00037E57" w:rsidRPr="00037E57">
        <w:t>scalation pathway for mental health deterioration</w:t>
      </w:r>
    </w:p>
    <w:p w14:paraId="0F9EBBE2" w14:textId="090EB61B" w:rsidR="00545B86" w:rsidRDefault="00545B86" w:rsidP="00545B86">
      <w:pPr>
        <w:pStyle w:val="BodyCopy"/>
      </w:pPr>
      <w:r w:rsidRPr="00545B86">
        <w:t>08:30hrs – 17:00hrs Monday – Friday – Psychiatric staff on site</w:t>
      </w:r>
      <w:r>
        <w:t>.</w:t>
      </w:r>
    </w:p>
    <w:p w14:paraId="3212ACEE" w14:textId="4CA497FD" w:rsidR="00545B86" w:rsidRPr="00545B86" w:rsidRDefault="00545B86" w:rsidP="00545B86">
      <w:pPr>
        <w:pStyle w:val="BodyCopy"/>
        <w:rPr>
          <w:rStyle w:val="Bold"/>
        </w:rPr>
      </w:pPr>
      <w:r w:rsidRPr="00037E57">
        <w:rPr>
          <w:b/>
        </w:rPr>
        <w:t>Transfers:</w:t>
      </w:r>
      <w:r w:rsidRPr="00037E57">
        <w:t xml:space="preserve"> Notify Bed Access Coordinator/Patient Flow Coordinator of all transfers</w:t>
      </w:r>
    </w:p>
    <w:tbl>
      <w:tblPr>
        <w:tblStyle w:val="CHSTable"/>
        <w:tblW w:w="9634" w:type="dxa"/>
        <w:tblLook w:val="04A0" w:firstRow="1" w:lastRow="0" w:firstColumn="1" w:lastColumn="0" w:noHBand="0" w:noVBand="1"/>
      </w:tblPr>
      <w:tblGrid>
        <w:gridCol w:w="860"/>
        <w:gridCol w:w="2913"/>
        <w:gridCol w:w="3053"/>
        <w:gridCol w:w="2808"/>
      </w:tblGrid>
      <w:tr w:rsidR="00037E57" w:rsidRPr="00037E57" w14:paraId="41447DEB" w14:textId="77777777" w:rsidTr="00545B86">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60" w:type="dxa"/>
            <w:hideMark/>
          </w:tcPr>
          <w:p w14:paraId="2B1E6B2F" w14:textId="77777777" w:rsidR="00037E57" w:rsidRPr="00037E57" w:rsidRDefault="00037E57" w:rsidP="00545B86">
            <w:pPr>
              <w:pStyle w:val="Tableheader"/>
            </w:pPr>
            <w:r w:rsidRPr="00037E57">
              <w:t>ARC</w:t>
            </w:r>
          </w:p>
        </w:tc>
        <w:tc>
          <w:tcPr>
            <w:tcW w:w="2913" w:type="dxa"/>
            <w:hideMark/>
          </w:tcPr>
          <w:p w14:paraId="4902B7A0" w14:textId="77777777" w:rsidR="00037E57" w:rsidRPr="00037E57" w:rsidRDefault="00037E57" w:rsidP="00545B86">
            <w:pPr>
              <w:pStyle w:val="Tableheader"/>
              <w:cnfStyle w:val="100000000000" w:firstRow="1" w:lastRow="0" w:firstColumn="0" w:lastColumn="0" w:oddVBand="0" w:evenVBand="0" w:oddHBand="0" w:evenHBand="0" w:firstRowFirstColumn="0" w:firstRowLastColumn="0" w:lastRowFirstColumn="0" w:lastRowLastColumn="0"/>
            </w:pPr>
            <w:r w:rsidRPr="00037E57">
              <w:t>NOTIFY</w:t>
            </w:r>
          </w:p>
        </w:tc>
        <w:tc>
          <w:tcPr>
            <w:tcW w:w="3053" w:type="dxa"/>
            <w:hideMark/>
          </w:tcPr>
          <w:p w14:paraId="084B4EE5" w14:textId="77777777" w:rsidR="00037E57" w:rsidRPr="00037E57" w:rsidRDefault="00037E57" w:rsidP="00545B86">
            <w:pPr>
              <w:pStyle w:val="Tableheader"/>
              <w:cnfStyle w:val="100000000000" w:firstRow="1" w:lastRow="0" w:firstColumn="0" w:lastColumn="0" w:oddVBand="0" w:evenVBand="0" w:oddHBand="0" w:evenHBand="0" w:firstRowFirstColumn="0" w:firstRowLastColumn="0" w:lastRowFirstColumn="0" w:lastRowLastColumn="0"/>
            </w:pPr>
            <w:r w:rsidRPr="00037E57">
              <w:t>ESCALATE</w:t>
            </w:r>
          </w:p>
        </w:tc>
        <w:tc>
          <w:tcPr>
            <w:tcW w:w="2808" w:type="dxa"/>
            <w:hideMark/>
          </w:tcPr>
          <w:p w14:paraId="4C1E4B88" w14:textId="77777777" w:rsidR="00037E57" w:rsidRPr="00037E57" w:rsidRDefault="00037E57" w:rsidP="00545B86">
            <w:pPr>
              <w:pStyle w:val="Tableheader"/>
              <w:cnfStyle w:val="100000000000" w:firstRow="1" w:lastRow="0" w:firstColumn="0" w:lastColumn="0" w:oddVBand="0" w:evenVBand="0" w:oddHBand="0" w:evenHBand="0" w:firstRowFirstColumn="0" w:firstRowLastColumn="0" w:lastRowFirstColumn="0" w:lastRowLastColumn="0"/>
            </w:pPr>
            <w:r w:rsidRPr="00037E57">
              <w:t>OBSERVATIONS</w:t>
            </w:r>
          </w:p>
        </w:tc>
      </w:tr>
      <w:tr w:rsidR="00037E57" w:rsidRPr="00037E57" w14:paraId="7B28501C" w14:textId="77777777" w:rsidTr="00545B86">
        <w:trPr>
          <w:trHeight w:val="946"/>
        </w:trPr>
        <w:tc>
          <w:tcPr>
            <w:cnfStyle w:val="001000000000" w:firstRow="0" w:lastRow="0" w:firstColumn="1" w:lastColumn="0" w:oddVBand="0" w:evenVBand="0" w:oddHBand="0" w:evenHBand="0" w:firstRowFirstColumn="0" w:firstRowLastColumn="0" w:lastRowFirstColumn="0" w:lastRowLastColumn="0"/>
            <w:tcW w:w="860" w:type="dxa"/>
            <w:shd w:val="clear" w:color="auto" w:fill="auto"/>
          </w:tcPr>
          <w:p w14:paraId="7B9F6E38" w14:textId="77777777" w:rsidR="00037E57" w:rsidRPr="00545B86" w:rsidRDefault="00037E57" w:rsidP="00545B86">
            <w:pPr>
              <w:pStyle w:val="Tableheader"/>
              <w:rPr>
                <w:color w:val="000000" w:themeColor="text1"/>
              </w:rPr>
            </w:pPr>
            <w:r w:rsidRPr="00545B86">
              <w:rPr>
                <w:color w:val="000000" w:themeColor="text1"/>
              </w:rPr>
              <w:t xml:space="preserve">1 </w:t>
            </w:r>
          </w:p>
        </w:tc>
        <w:tc>
          <w:tcPr>
            <w:tcW w:w="2913" w:type="dxa"/>
          </w:tcPr>
          <w:p w14:paraId="2E544FFC"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 xml:space="preserve">Shift team leader </w:t>
            </w:r>
          </w:p>
        </w:tc>
        <w:tc>
          <w:tcPr>
            <w:tcW w:w="3053" w:type="dxa"/>
          </w:tcPr>
          <w:p w14:paraId="738D30EA"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t>If increasing concerns</w:t>
            </w:r>
          </w:p>
        </w:tc>
        <w:tc>
          <w:tcPr>
            <w:tcW w:w="2808" w:type="dxa"/>
          </w:tcPr>
          <w:p w14:paraId="0A9A6DF5"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lang w:val="en-GB"/>
              </w:rPr>
            </w:pPr>
            <w:r w:rsidRPr="00037E57">
              <w:rPr>
                <w:u w:val="single"/>
                <w:lang w:val="en-GB"/>
              </w:rPr>
              <w:t>General observations and engagement</w:t>
            </w:r>
            <w:r w:rsidRPr="00037E57">
              <w:rPr>
                <w:lang w:val="en-GB"/>
              </w:rPr>
              <w:t xml:space="preserve"> </w:t>
            </w:r>
          </w:p>
          <w:p w14:paraId="617907AD"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lang w:val="en-GB"/>
              </w:rPr>
              <w:t>Every 2 hours.</w:t>
            </w:r>
          </w:p>
        </w:tc>
      </w:tr>
      <w:tr w:rsidR="00037E57" w:rsidRPr="00037E57" w14:paraId="0D91445E" w14:textId="77777777" w:rsidTr="00545B86">
        <w:trPr>
          <w:trHeight w:val="1146"/>
        </w:trPr>
        <w:tc>
          <w:tcPr>
            <w:cnfStyle w:val="001000000000" w:firstRow="0" w:lastRow="0" w:firstColumn="1" w:lastColumn="0" w:oddVBand="0" w:evenVBand="0" w:oddHBand="0" w:evenHBand="0" w:firstRowFirstColumn="0" w:firstRowLastColumn="0" w:lastRowFirstColumn="0" w:lastRowLastColumn="0"/>
            <w:tcW w:w="860" w:type="dxa"/>
            <w:shd w:val="clear" w:color="auto" w:fill="auto"/>
          </w:tcPr>
          <w:p w14:paraId="54964153" w14:textId="77777777" w:rsidR="00037E57" w:rsidRPr="00545B86" w:rsidRDefault="00037E57" w:rsidP="00545B86">
            <w:pPr>
              <w:pStyle w:val="Tableheader"/>
              <w:rPr>
                <w:color w:val="000000" w:themeColor="text1"/>
              </w:rPr>
            </w:pPr>
          </w:p>
          <w:p w14:paraId="2354F06F" w14:textId="77777777" w:rsidR="00037E57" w:rsidRPr="00545B86" w:rsidRDefault="00037E57" w:rsidP="00545B86">
            <w:pPr>
              <w:pStyle w:val="Tableheader"/>
              <w:rPr>
                <w:color w:val="000000" w:themeColor="text1"/>
              </w:rPr>
            </w:pPr>
            <w:r w:rsidRPr="00545B86">
              <w:rPr>
                <w:color w:val="000000" w:themeColor="text1"/>
              </w:rPr>
              <w:t>2</w:t>
            </w:r>
          </w:p>
        </w:tc>
        <w:tc>
          <w:tcPr>
            <w:tcW w:w="2913" w:type="dxa"/>
            <w:hideMark/>
          </w:tcPr>
          <w:p w14:paraId="0C989FA7"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Available medical practitioner-consultant psychiatrist, GP or NP to review that day</w:t>
            </w:r>
          </w:p>
        </w:tc>
        <w:tc>
          <w:tcPr>
            <w:tcW w:w="3053" w:type="dxa"/>
            <w:hideMark/>
          </w:tcPr>
          <w:p w14:paraId="56318E87"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If increasing concerns</w:t>
            </w:r>
          </w:p>
        </w:tc>
        <w:tc>
          <w:tcPr>
            <w:tcW w:w="2808" w:type="dxa"/>
            <w:hideMark/>
          </w:tcPr>
          <w:p w14:paraId="4635A81C"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u w:val="single"/>
              </w:rPr>
            </w:pPr>
            <w:r w:rsidRPr="00037E57">
              <w:rPr>
                <w:u w:val="single"/>
              </w:rPr>
              <w:t xml:space="preserve">Intermittent engagement and observations </w:t>
            </w:r>
          </w:p>
          <w:p w14:paraId="137F1690"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Every 50-60 minutes</w:t>
            </w:r>
          </w:p>
        </w:tc>
      </w:tr>
      <w:tr w:rsidR="00037E57" w:rsidRPr="00037E57" w14:paraId="46366DCB" w14:textId="77777777" w:rsidTr="00545B86">
        <w:trPr>
          <w:trHeight w:val="980"/>
        </w:trPr>
        <w:tc>
          <w:tcPr>
            <w:cnfStyle w:val="001000000000" w:firstRow="0" w:lastRow="0" w:firstColumn="1" w:lastColumn="0" w:oddVBand="0" w:evenVBand="0" w:oddHBand="0" w:evenHBand="0" w:firstRowFirstColumn="0" w:firstRowLastColumn="0" w:lastRowFirstColumn="0" w:lastRowLastColumn="0"/>
            <w:tcW w:w="860" w:type="dxa"/>
            <w:shd w:val="clear" w:color="auto" w:fill="auto"/>
          </w:tcPr>
          <w:p w14:paraId="18F88A84" w14:textId="77777777" w:rsidR="00037E57" w:rsidRPr="00545B86" w:rsidRDefault="00037E57" w:rsidP="00545B86">
            <w:pPr>
              <w:pStyle w:val="Tableheader"/>
              <w:rPr>
                <w:color w:val="000000" w:themeColor="text1"/>
              </w:rPr>
            </w:pPr>
          </w:p>
          <w:p w14:paraId="11E69E8E" w14:textId="77777777" w:rsidR="00037E57" w:rsidRPr="00545B86" w:rsidRDefault="00037E57" w:rsidP="00545B86">
            <w:pPr>
              <w:pStyle w:val="Tableheader"/>
              <w:rPr>
                <w:color w:val="000000" w:themeColor="text1"/>
              </w:rPr>
            </w:pPr>
            <w:r w:rsidRPr="00545B86">
              <w:rPr>
                <w:color w:val="000000" w:themeColor="text1"/>
              </w:rPr>
              <w:t>3</w:t>
            </w:r>
          </w:p>
        </w:tc>
        <w:tc>
          <w:tcPr>
            <w:tcW w:w="2913" w:type="dxa"/>
            <w:hideMark/>
          </w:tcPr>
          <w:p w14:paraId="575D74B1"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 xml:space="preserve">Inform shift team leader, Consultant psychiatrist, GP or NP to review </w:t>
            </w:r>
          </w:p>
          <w:p w14:paraId="3752929A"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Initial advice may be by phone</w:t>
            </w:r>
          </w:p>
        </w:tc>
        <w:tc>
          <w:tcPr>
            <w:tcW w:w="3053" w:type="dxa"/>
            <w:hideMark/>
          </w:tcPr>
          <w:p w14:paraId="75CEF1CA"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Transfer consumer to ED via ambulance if no assessment available and serious concern</w:t>
            </w:r>
          </w:p>
          <w:p w14:paraId="1F1EB60A"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 xml:space="preserve">Medical officer or nurse calls ED admitting officer to handover </w:t>
            </w:r>
          </w:p>
        </w:tc>
        <w:tc>
          <w:tcPr>
            <w:tcW w:w="2808" w:type="dxa"/>
            <w:hideMark/>
          </w:tcPr>
          <w:p w14:paraId="783A6795"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lang w:val="en-GB"/>
              </w:rPr>
            </w:pPr>
            <w:r w:rsidRPr="00037E57">
              <w:rPr>
                <w:u w:val="single"/>
                <w:lang w:val="en-GB"/>
              </w:rPr>
              <w:t>Frequent engagement and observation</w:t>
            </w:r>
            <w:r w:rsidRPr="00037E57">
              <w:rPr>
                <w:lang w:val="en-GB"/>
              </w:rPr>
              <w:t xml:space="preserve"> </w:t>
            </w:r>
          </w:p>
          <w:p w14:paraId="73A4CA0B"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lang w:val="en-GB"/>
              </w:rPr>
            </w:pPr>
            <w:r w:rsidRPr="00037E57">
              <w:rPr>
                <w:lang w:val="en-GB"/>
              </w:rPr>
              <w:t>Every 20 – 30 minutes</w:t>
            </w:r>
          </w:p>
          <w:p w14:paraId="13E7FF36"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p>
        </w:tc>
      </w:tr>
      <w:tr w:rsidR="00037E57" w:rsidRPr="00037E57" w14:paraId="2150759A" w14:textId="77777777" w:rsidTr="00545B86">
        <w:trPr>
          <w:trHeight w:val="1052"/>
        </w:trPr>
        <w:tc>
          <w:tcPr>
            <w:cnfStyle w:val="001000000000" w:firstRow="0" w:lastRow="0" w:firstColumn="1" w:lastColumn="0" w:oddVBand="0" w:evenVBand="0" w:oddHBand="0" w:evenHBand="0" w:firstRowFirstColumn="0" w:firstRowLastColumn="0" w:lastRowFirstColumn="0" w:lastRowLastColumn="0"/>
            <w:tcW w:w="860" w:type="dxa"/>
            <w:shd w:val="clear" w:color="auto" w:fill="auto"/>
            <w:hideMark/>
          </w:tcPr>
          <w:p w14:paraId="311EE0E9" w14:textId="77777777" w:rsidR="00037E57" w:rsidRPr="00545B86" w:rsidRDefault="00037E57" w:rsidP="00545B86">
            <w:pPr>
              <w:pStyle w:val="Tableheader"/>
              <w:rPr>
                <w:color w:val="000000" w:themeColor="text1"/>
              </w:rPr>
            </w:pPr>
            <w:r w:rsidRPr="00545B86">
              <w:rPr>
                <w:color w:val="000000" w:themeColor="text1"/>
              </w:rPr>
              <w:t>4-5</w:t>
            </w:r>
          </w:p>
        </w:tc>
        <w:tc>
          <w:tcPr>
            <w:tcW w:w="2913" w:type="dxa"/>
            <w:hideMark/>
          </w:tcPr>
          <w:p w14:paraId="08A70E29"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pPr>
            <w:r w:rsidRPr="00037E57">
              <w:t>Inform shift team leader or activate duress, consultant psychiatrist, GP or NP to review immediately</w:t>
            </w:r>
          </w:p>
        </w:tc>
        <w:tc>
          <w:tcPr>
            <w:tcW w:w="3053" w:type="dxa"/>
            <w:hideMark/>
          </w:tcPr>
          <w:p w14:paraId="0BD6E143"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Call ambulance for transfer</w:t>
            </w:r>
          </w:p>
        </w:tc>
        <w:tc>
          <w:tcPr>
            <w:tcW w:w="2808" w:type="dxa"/>
            <w:hideMark/>
          </w:tcPr>
          <w:p w14:paraId="4D8C7AD1" w14:textId="77777777" w:rsidR="00037E57" w:rsidRPr="00037E57" w:rsidRDefault="00037E57"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Constant observation until able to transfer</w:t>
            </w:r>
          </w:p>
        </w:tc>
      </w:tr>
    </w:tbl>
    <w:p w14:paraId="6FC870E0" w14:textId="4E34323D" w:rsidR="00037E57" w:rsidRDefault="00545B86" w:rsidP="00545B86">
      <w:pPr>
        <w:pStyle w:val="Tabletitle-numbered"/>
      </w:pPr>
      <w:r>
        <w:t>Out of hours escalation pathway for mental health deterioration</w:t>
      </w:r>
    </w:p>
    <w:p w14:paraId="7718B1D6" w14:textId="340367E0" w:rsidR="00545B86" w:rsidRDefault="00545B86" w:rsidP="00545B86">
      <w:pPr>
        <w:pStyle w:val="BodyCopy"/>
      </w:pPr>
      <w:r w:rsidRPr="00545B86">
        <w:t>Afterhours and Weekends / Public Holidays or when review psychiatric staff not onsite</w:t>
      </w:r>
      <w:r>
        <w:t>.</w:t>
      </w:r>
    </w:p>
    <w:p w14:paraId="0E3DB3AD" w14:textId="7724877C" w:rsidR="00545B86" w:rsidRDefault="00545B86" w:rsidP="00545B86">
      <w:pPr>
        <w:pStyle w:val="BodyCopy"/>
      </w:pPr>
      <w:r w:rsidRPr="00545B86">
        <w:rPr>
          <w:b/>
          <w:bCs w:val="0"/>
        </w:rPr>
        <w:t>Transfers:</w:t>
      </w:r>
      <w:r w:rsidRPr="00545B86">
        <w:t xml:space="preserve"> Notify Bed Access Coordinator/Patient Flow Coordinator of all transfers</w:t>
      </w:r>
      <w:r>
        <w:t>.</w:t>
      </w:r>
    </w:p>
    <w:tbl>
      <w:tblPr>
        <w:tblStyle w:val="CHSTable"/>
        <w:tblW w:w="9634" w:type="dxa"/>
        <w:tblLook w:val="04A0" w:firstRow="1" w:lastRow="0" w:firstColumn="1" w:lastColumn="0" w:noHBand="0" w:noVBand="1"/>
      </w:tblPr>
      <w:tblGrid>
        <w:gridCol w:w="860"/>
        <w:gridCol w:w="2913"/>
        <w:gridCol w:w="3053"/>
        <w:gridCol w:w="2808"/>
      </w:tblGrid>
      <w:tr w:rsidR="00545B86" w:rsidRPr="00037E57" w14:paraId="4F845C71" w14:textId="77777777" w:rsidTr="00545B86">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60" w:type="dxa"/>
            <w:hideMark/>
          </w:tcPr>
          <w:p w14:paraId="4F9E619E" w14:textId="77777777" w:rsidR="00545B86" w:rsidRPr="00037E57" w:rsidRDefault="00545B86" w:rsidP="00E45873">
            <w:pPr>
              <w:pStyle w:val="Tableheader"/>
            </w:pPr>
            <w:r w:rsidRPr="00037E57">
              <w:t>ARC</w:t>
            </w:r>
          </w:p>
        </w:tc>
        <w:tc>
          <w:tcPr>
            <w:tcW w:w="2913" w:type="dxa"/>
            <w:hideMark/>
          </w:tcPr>
          <w:p w14:paraId="0A13C597" w14:textId="77777777" w:rsidR="00545B86" w:rsidRPr="00037E57" w:rsidRDefault="00545B86" w:rsidP="00E45873">
            <w:pPr>
              <w:pStyle w:val="Tableheader"/>
              <w:cnfStyle w:val="100000000000" w:firstRow="1" w:lastRow="0" w:firstColumn="0" w:lastColumn="0" w:oddVBand="0" w:evenVBand="0" w:oddHBand="0" w:evenHBand="0" w:firstRowFirstColumn="0" w:firstRowLastColumn="0" w:lastRowFirstColumn="0" w:lastRowLastColumn="0"/>
            </w:pPr>
            <w:r w:rsidRPr="00037E57">
              <w:t>NOTIFY</w:t>
            </w:r>
          </w:p>
        </w:tc>
        <w:tc>
          <w:tcPr>
            <w:tcW w:w="3053" w:type="dxa"/>
            <w:hideMark/>
          </w:tcPr>
          <w:p w14:paraId="338FE781" w14:textId="77777777" w:rsidR="00545B86" w:rsidRPr="00037E57" w:rsidRDefault="00545B86" w:rsidP="00E45873">
            <w:pPr>
              <w:pStyle w:val="Tableheader"/>
              <w:cnfStyle w:val="100000000000" w:firstRow="1" w:lastRow="0" w:firstColumn="0" w:lastColumn="0" w:oddVBand="0" w:evenVBand="0" w:oddHBand="0" w:evenHBand="0" w:firstRowFirstColumn="0" w:firstRowLastColumn="0" w:lastRowFirstColumn="0" w:lastRowLastColumn="0"/>
            </w:pPr>
            <w:r w:rsidRPr="00037E57">
              <w:t>ESCALATE</w:t>
            </w:r>
          </w:p>
        </w:tc>
        <w:tc>
          <w:tcPr>
            <w:tcW w:w="2808" w:type="dxa"/>
            <w:hideMark/>
          </w:tcPr>
          <w:p w14:paraId="32B11BCD" w14:textId="77777777" w:rsidR="00545B86" w:rsidRPr="00037E57" w:rsidRDefault="00545B86" w:rsidP="00E45873">
            <w:pPr>
              <w:pStyle w:val="Tableheader"/>
              <w:cnfStyle w:val="100000000000" w:firstRow="1" w:lastRow="0" w:firstColumn="0" w:lastColumn="0" w:oddVBand="0" w:evenVBand="0" w:oddHBand="0" w:evenHBand="0" w:firstRowFirstColumn="0" w:firstRowLastColumn="0" w:lastRowFirstColumn="0" w:lastRowLastColumn="0"/>
            </w:pPr>
            <w:r w:rsidRPr="00037E57">
              <w:t>OBSERVATIONS</w:t>
            </w:r>
          </w:p>
        </w:tc>
      </w:tr>
      <w:tr w:rsidR="00545B86" w:rsidRPr="00037E57" w14:paraId="08A5BCA7" w14:textId="77777777" w:rsidTr="00545B86">
        <w:trPr>
          <w:trHeight w:val="1146"/>
        </w:trPr>
        <w:tc>
          <w:tcPr>
            <w:cnfStyle w:val="001000000000" w:firstRow="0" w:lastRow="0" w:firstColumn="1" w:lastColumn="0" w:oddVBand="0" w:evenVBand="0" w:oddHBand="0" w:evenHBand="0" w:firstRowFirstColumn="0" w:firstRowLastColumn="0" w:lastRowFirstColumn="0" w:lastRowLastColumn="0"/>
            <w:tcW w:w="860" w:type="dxa"/>
            <w:shd w:val="clear" w:color="auto" w:fill="auto"/>
          </w:tcPr>
          <w:p w14:paraId="7F68A49D" w14:textId="77777777" w:rsidR="00545B86" w:rsidRPr="00545B86" w:rsidRDefault="00545B86" w:rsidP="00545B86">
            <w:pPr>
              <w:pStyle w:val="Tableheader"/>
              <w:rPr>
                <w:color w:val="000000" w:themeColor="text1"/>
              </w:rPr>
            </w:pPr>
          </w:p>
          <w:p w14:paraId="6C80292C" w14:textId="77777777" w:rsidR="00545B86" w:rsidRPr="00545B86" w:rsidRDefault="00545B86" w:rsidP="00545B86">
            <w:pPr>
              <w:pStyle w:val="Tableheader"/>
              <w:rPr>
                <w:color w:val="000000" w:themeColor="text1"/>
              </w:rPr>
            </w:pPr>
            <w:r w:rsidRPr="00545B86">
              <w:rPr>
                <w:color w:val="000000" w:themeColor="text1"/>
              </w:rPr>
              <w:t>2</w:t>
            </w:r>
          </w:p>
        </w:tc>
        <w:tc>
          <w:tcPr>
            <w:tcW w:w="2913" w:type="dxa"/>
            <w:hideMark/>
          </w:tcPr>
          <w:p w14:paraId="0BB86CDB" w14:textId="71D7C73D"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t>Notify shift team leader and ensure medical review next business day</w:t>
            </w:r>
          </w:p>
        </w:tc>
        <w:tc>
          <w:tcPr>
            <w:tcW w:w="3053" w:type="dxa"/>
            <w:hideMark/>
          </w:tcPr>
          <w:p w14:paraId="3D34C861" w14:textId="620854CF"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t>Escalate to next ARC level if increased concerns or ward environment unable to sustain increased observation</w:t>
            </w:r>
          </w:p>
        </w:tc>
        <w:tc>
          <w:tcPr>
            <w:tcW w:w="2808" w:type="dxa"/>
            <w:hideMark/>
          </w:tcPr>
          <w:p w14:paraId="483BC194"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lang w:val="en-GB"/>
              </w:rPr>
            </w:pPr>
            <w:r w:rsidRPr="00037E57">
              <w:rPr>
                <w:u w:val="single"/>
                <w:lang w:val="en-GB"/>
              </w:rPr>
              <w:t>Intermittent engagement and observations</w:t>
            </w:r>
            <w:r w:rsidRPr="00037E57">
              <w:rPr>
                <w:lang w:val="en-GB"/>
              </w:rPr>
              <w:t xml:space="preserve"> </w:t>
            </w:r>
          </w:p>
          <w:p w14:paraId="406F4B3A" w14:textId="377E3431"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rPr>
                <w:lang w:val="en-GB"/>
              </w:rPr>
              <w:t>Every 50-60 minutes</w:t>
            </w:r>
          </w:p>
        </w:tc>
      </w:tr>
      <w:tr w:rsidR="00545B86" w:rsidRPr="00037E57" w14:paraId="1C83CCAD" w14:textId="77777777" w:rsidTr="00545B86">
        <w:trPr>
          <w:trHeight w:val="980"/>
        </w:trPr>
        <w:tc>
          <w:tcPr>
            <w:cnfStyle w:val="001000000000" w:firstRow="0" w:lastRow="0" w:firstColumn="1" w:lastColumn="0" w:oddVBand="0" w:evenVBand="0" w:oddHBand="0" w:evenHBand="0" w:firstRowFirstColumn="0" w:firstRowLastColumn="0" w:lastRowFirstColumn="0" w:lastRowLastColumn="0"/>
            <w:tcW w:w="860" w:type="dxa"/>
            <w:shd w:val="clear" w:color="auto" w:fill="auto"/>
          </w:tcPr>
          <w:p w14:paraId="5942F835" w14:textId="77777777" w:rsidR="00545B86" w:rsidRPr="00545B86" w:rsidRDefault="00545B86" w:rsidP="00545B86">
            <w:pPr>
              <w:pStyle w:val="Tableheader"/>
              <w:rPr>
                <w:color w:val="000000" w:themeColor="text1"/>
              </w:rPr>
            </w:pPr>
          </w:p>
          <w:p w14:paraId="7938E32A" w14:textId="77777777" w:rsidR="00545B86" w:rsidRPr="00545B86" w:rsidRDefault="00545B86" w:rsidP="00545B86">
            <w:pPr>
              <w:pStyle w:val="Tableheader"/>
              <w:rPr>
                <w:color w:val="000000" w:themeColor="text1"/>
              </w:rPr>
            </w:pPr>
            <w:r w:rsidRPr="00545B86">
              <w:rPr>
                <w:color w:val="000000" w:themeColor="text1"/>
              </w:rPr>
              <w:t>3</w:t>
            </w:r>
          </w:p>
        </w:tc>
        <w:tc>
          <w:tcPr>
            <w:tcW w:w="2913" w:type="dxa"/>
            <w:hideMark/>
          </w:tcPr>
          <w:p w14:paraId="78C0C2D4"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t>Psychiatric registrar or consultant psychiatrist on call to review</w:t>
            </w:r>
          </w:p>
          <w:p w14:paraId="15FF34E1"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t>Initial advice may be by phone</w:t>
            </w:r>
          </w:p>
          <w:p w14:paraId="5855FCAF" w14:textId="7FA50514"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p>
        </w:tc>
        <w:tc>
          <w:tcPr>
            <w:tcW w:w="3053" w:type="dxa"/>
            <w:hideMark/>
          </w:tcPr>
          <w:p w14:paraId="5DBF52CD"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Transfer consumer to ED via ambulance if no assessment available and serious concern</w:t>
            </w:r>
          </w:p>
          <w:p w14:paraId="1F0B9E8E" w14:textId="0FD8659B"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t>Medical officer or nurse calls ED admitting officer to handover</w:t>
            </w:r>
          </w:p>
        </w:tc>
        <w:tc>
          <w:tcPr>
            <w:tcW w:w="2808" w:type="dxa"/>
            <w:hideMark/>
          </w:tcPr>
          <w:p w14:paraId="7BBEAAB2"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lang w:val="en-GB"/>
              </w:rPr>
            </w:pPr>
            <w:r w:rsidRPr="00037E57">
              <w:rPr>
                <w:u w:val="single"/>
                <w:lang w:val="en-GB"/>
              </w:rPr>
              <w:t>Frequent engagement and observation</w:t>
            </w:r>
            <w:r w:rsidRPr="00037E57">
              <w:rPr>
                <w:lang w:val="en-GB"/>
              </w:rPr>
              <w:t xml:space="preserve"> </w:t>
            </w:r>
          </w:p>
          <w:p w14:paraId="3F6B9018" w14:textId="5CA76221"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rPr>
                <w:lang w:val="en-GB"/>
              </w:rPr>
              <w:t>Every 20 – 30 minutes</w:t>
            </w:r>
          </w:p>
        </w:tc>
      </w:tr>
      <w:tr w:rsidR="00545B86" w:rsidRPr="00037E57" w14:paraId="40575FC3" w14:textId="77777777" w:rsidTr="00614252">
        <w:trPr>
          <w:trHeight w:val="1052"/>
        </w:trPr>
        <w:tc>
          <w:tcPr>
            <w:cnfStyle w:val="001000000000" w:firstRow="0" w:lastRow="0" w:firstColumn="1" w:lastColumn="0" w:oddVBand="0" w:evenVBand="0" w:oddHBand="0" w:evenHBand="0" w:firstRowFirstColumn="0" w:firstRowLastColumn="0" w:lastRowFirstColumn="0" w:lastRowLastColumn="0"/>
            <w:tcW w:w="860" w:type="dxa"/>
            <w:shd w:val="clear" w:color="auto" w:fill="auto"/>
            <w:hideMark/>
          </w:tcPr>
          <w:p w14:paraId="074FC82A" w14:textId="77777777" w:rsidR="00545B86" w:rsidRPr="00545B86" w:rsidRDefault="00545B86" w:rsidP="00545B86">
            <w:pPr>
              <w:pStyle w:val="Tableheader"/>
              <w:rPr>
                <w:color w:val="000000" w:themeColor="text1"/>
              </w:rPr>
            </w:pPr>
            <w:r w:rsidRPr="00545B86">
              <w:rPr>
                <w:color w:val="000000" w:themeColor="text1"/>
              </w:rPr>
              <w:t>4-5</w:t>
            </w:r>
          </w:p>
        </w:tc>
        <w:tc>
          <w:tcPr>
            <w:tcW w:w="2913" w:type="dxa"/>
            <w:hideMark/>
          </w:tcPr>
          <w:p w14:paraId="05070DA4" w14:textId="77777777"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Activate duress for team response</w:t>
            </w:r>
          </w:p>
          <w:p w14:paraId="1ABEB965" w14:textId="7AA2FD5A"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pPr>
            <w:r w:rsidRPr="00037E57">
              <w:rPr>
                <w:b/>
              </w:rPr>
              <w:t>Organise transfer to Emergency for psychiatric assessment</w:t>
            </w:r>
          </w:p>
        </w:tc>
        <w:tc>
          <w:tcPr>
            <w:tcW w:w="3053" w:type="dxa"/>
            <w:hideMark/>
          </w:tcPr>
          <w:p w14:paraId="31CF8CD5" w14:textId="77777777" w:rsidR="00545B86" w:rsidRPr="00545B86" w:rsidRDefault="00545B86" w:rsidP="00545B86">
            <w:pPr>
              <w:pStyle w:val="Tablebody"/>
              <w:cnfStyle w:val="000000000000" w:firstRow="0" w:lastRow="0" w:firstColumn="0" w:lastColumn="0" w:oddVBand="0" w:evenVBand="0" w:oddHBand="0" w:evenHBand="0" w:firstRowFirstColumn="0" w:firstRowLastColumn="0" w:lastRowFirstColumn="0" w:lastRowLastColumn="0"/>
              <w:rPr>
                <w:b/>
              </w:rPr>
            </w:pPr>
            <w:r w:rsidRPr="00545B86">
              <w:rPr>
                <w:b/>
              </w:rPr>
              <w:t>Activate duress for team response</w:t>
            </w:r>
          </w:p>
          <w:p w14:paraId="21DB0BC5" w14:textId="025A837A"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b/>
              </w:rPr>
            </w:pPr>
            <w:r w:rsidRPr="00545B86">
              <w:rPr>
                <w:b/>
              </w:rPr>
              <w:t>Organise transfer to Emergency for psychiatric assessment</w:t>
            </w:r>
          </w:p>
        </w:tc>
        <w:tc>
          <w:tcPr>
            <w:tcW w:w="2808" w:type="dxa"/>
            <w:vAlign w:val="top"/>
            <w:hideMark/>
          </w:tcPr>
          <w:p w14:paraId="6B5F4142" w14:textId="61524C31" w:rsidR="00545B86" w:rsidRPr="00037E57" w:rsidRDefault="00545B86" w:rsidP="00545B86">
            <w:pPr>
              <w:pStyle w:val="Tablebody"/>
              <w:cnfStyle w:val="000000000000" w:firstRow="0" w:lastRow="0" w:firstColumn="0" w:lastColumn="0" w:oddVBand="0" w:evenVBand="0" w:oddHBand="0" w:evenHBand="0" w:firstRowFirstColumn="0" w:firstRowLastColumn="0" w:lastRowFirstColumn="0" w:lastRowLastColumn="0"/>
              <w:rPr>
                <w:b/>
              </w:rPr>
            </w:pPr>
            <w:r w:rsidRPr="00037E57">
              <w:rPr>
                <w:b/>
              </w:rPr>
              <w:t>Constant observation until able to transfer</w:t>
            </w:r>
          </w:p>
        </w:tc>
      </w:tr>
    </w:tbl>
    <w:p w14:paraId="779F3596" w14:textId="5A4CBA27" w:rsidR="00037E57" w:rsidRPr="00037E57" w:rsidRDefault="00037E57" w:rsidP="00D011CF">
      <w:pPr>
        <w:pStyle w:val="Heading5"/>
      </w:pPr>
      <w:bookmarkStart w:id="22" w:name="_Toc87612816"/>
      <w:r w:rsidRPr="00037E57">
        <w:t xml:space="preserve">7.2 Physical health </w:t>
      </w:r>
      <w:bookmarkEnd w:id="22"/>
      <w:r w:rsidRPr="00037E57">
        <w:t>deterioration</w:t>
      </w:r>
    </w:p>
    <w:p w14:paraId="31D7B135" w14:textId="6E64A644" w:rsidR="00037E57" w:rsidRPr="00D011CF" w:rsidRDefault="00037E57" w:rsidP="00D011CF">
      <w:pPr>
        <w:pStyle w:val="BodyCopy"/>
        <w:rPr>
          <w:sz w:val="16"/>
          <w:szCs w:val="16"/>
        </w:rPr>
      </w:pPr>
      <w:bookmarkStart w:id="23" w:name="_Hlk104555254"/>
      <w:r w:rsidRPr="00037E57">
        <w:t xml:space="preserve">All Centre </w:t>
      </w:r>
      <w:r w:rsidRPr="00D011CF">
        <w:t>staff</w:t>
      </w:r>
      <w:r w:rsidRPr="00037E57">
        <w:t xml:space="preserve"> will comply with the </w:t>
      </w:r>
      <w:r w:rsidRPr="00037E57">
        <w:rPr>
          <w:i/>
        </w:rPr>
        <w:t xml:space="preserve">CHS Vital Signs and Early Warning Scores Procedure </w:t>
      </w:r>
      <w:bookmarkEnd w:id="23"/>
      <w:r w:rsidRPr="00037E57">
        <w:t xml:space="preserve">for definitions and how to measure vital signs and </w:t>
      </w:r>
      <w:r w:rsidR="00040797">
        <w:t xml:space="preserve">the </w:t>
      </w:r>
      <w:r w:rsidR="00040797" w:rsidRPr="005756B3">
        <w:t xml:space="preserve"> </w:t>
      </w:r>
      <w:hyperlink r:id="rId10" w:history="1">
        <w:r w:rsidR="00040797" w:rsidRPr="005756B3">
          <w:t>MHJHADS</w:t>
        </w:r>
        <w:r w:rsidR="00040797">
          <w:t xml:space="preserve"> procedure</w:t>
        </w:r>
        <w:r w:rsidR="00040797" w:rsidRPr="005756B3">
          <w:t xml:space="preserve"> </w:t>
        </w:r>
        <w:r w:rsidR="00040797" w:rsidRPr="002D77D6">
          <w:rPr>
            <w:i/>
            <w:iCs w:val="0"/>
          </w:rPr>
          <w:t>Recognition and Escalation Pathways for Physiological Deterioration for Bedded Services Remote to Canberra Hospital, University of Canberra Hospital and North Canberra Hospita</w:t>
        </w:r>
        <w:r w:rsidR="00040797" w:rsidRPr="005756B3">
          <w:t>l</w:t>
        </w:r>
      </w:hyperlink>
      <w:r w:rsidR="002D77D6">
        <w:t>.</w:t>
      </w:r>
    </w:p>
    <w:p w14:paraId="3AB5FF84" w14:textId="77777777" w:rsidR="00037E57" w:rsidRPr="00037E57" w:rsidRDefault="00037E57" w:rsidP="00545B86">
      <w:pPr>
        <w:pStyle w:val="BodyCopy"/>
        <w:pBdr>
          <w:top w:val="single" w:sz="4" w:space="1" w:color="auto"/>
          <w:left w:val="single" w:sz="4" w:space="4" w:color="auto"/>
          <w:bottom w:val="single" w:sz="4" w:space="1" w:color="auto"/>
          <w:right w:val="single" w:sz="4" w:space="4" w:color="auto"/>
        </w:pBdr>
      </w:pPr>
      <w:r w:rsidRPr="00037E57">
        <w:rPr>
          <w:b/>
        </w:rPr>
        <w:t>Note</w:t>
      </w:r>
      <w:r w:rsidRPr="00037E57">
        <w:t>: the emergency number is 0-000</w:t>
      </w:r>
    </w:p>
    <w:p w14:paraId="73184CCF" w14:textId="721B5D38" w:rsidR="007B547A" w:rsidRDefault="443942EC" w:rsidP="00037E57">
      <w:pPr>
        <w:pStyle w:val="BodyCopy"/>
      </w:pPr>
      <w:r>
        <w:t xml:space="preserve">As per Section 7.2.4 Medical Emergencies, staff may call an ambulance for any consumer they are “seriously worried’ about regardless of EWS score. Nursing staff can also increase frequency of observations on any consumer they are concerned about. </w:t>
      </w:r>
    </w:p>
    <w:p w14:paraId="1ED40F21" w14:textId="77777777" w:rsidR="007B547A" w:rsidRDefault="007B547A">
      <w:pPr>
        <w:spacing w:before="0" w:after="0" w:line="240" w:lineRule="auto"/>
        <w:rPr>
          <w:rFonts w:eastAsia="Times New Roman"/>
          <w:bCs/>
          <w:iCs/>
        </w:rPr>
      </w:pPr>
      <w:r>
        <w:br w:type="page"/>
      </w:r>
    </w:p>
    <w:p w14:paraId="39E7C6F5" w14:textId="515B73D0" w:rsidR="00183C7B" w:rsidRDefault="00545B86" w:rsidP="00596DAA">
      <w:pPr>
        <w:pStyle w:val="Tabletitle-numbered"/>
      </w:pPr>
      <w:r>
        <w:t>In hours e</w:t>
      </w:r>
      <w:r w:rsidR="00037E57" w:rsidRPr="00171CD2">
        <w:t>scalation pathway for physical health deterioration</w:t>
      </w:r>
    </w:p>
    <w:p w14:paraId="356C9301" w14:textId="4E5E7B8D" w:rsidR="00545B86" w:rsidRDefault="00545B86" w:rsidP="00545B86">
      <w:pPr>
        <w:pStyle w:val="BodyCopy"/>
      </w:pPr>
      <w:r w:rsidRPr="00545B86">
        <w:t>08:30hrs to 17:00hrs Monday to Friday when medical staff on site</w:t>
      </w:r>
      <w:r>
        <w:t>.</w:t>
      </w:r>
    </w:p>
    <w:p w14:paraId="0EEF01C4" w14:textId="35138CD3" w:rsidR="00545B86" w:rsidRPr="00171CD2" w:rsidRDefault="00545B86" w:rsidP="007B547A">
      <w:pPr>
        <w:pStyle w:val="BodyCopy"/>
      </w:pPr>
      <w:r>
        <w:t xml:space="preserve">Early Warning Score (EWS) Escalation for adult and </w:t>
      </w:r>
      <w:r w:rsidRPr="007B547A">
        <w:t>paediatric</w:t>
      </w:r>
      <w:r>
        <w:t xml:space="preserve"> consumers.</w:t>
      </w:r>
    </w:p>
    <w:tbl>
      <w:tblPr>
        <w:tblStyle w:val="CHSTable"/>
        <w:tblpPr w:leftFromText="180" w:rightFromText="180" w:vertAnchor="text" w:horzAnchor="margin" w:tblpXSpec="center" w:tblpY="322"/>
        <w:tblW w:w="5427" w:type="pct"/>
        <w:tblLook w:val="04A0" w:firstRow="1" w:lastRow="0" w:firstColumn="1" w:lastColumn="0" w:noHBand="0" w:noVBand="1"/>
      </w:tblPr>
      <w:tblGrid>
        <w:gridCol w:w="1154"/>
        <w:gridCol w:w="2132"/>
        <w:gridCol w:w="2663"/>
        <w:gridCol w:w="3001"/>
        <w:gridCol w:w="1807"/>
      </w:tblGrid>
      <w:tr w:rsidR="00183C7B" w:rsidRPr="00D777F5" w14:paraId="3353F6F7" w14:textId="77777777" w:rsidTr="007B547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pct"/>
          </w:tcPr>
          <w:p w14:paraId="5DE7E0B8" w14:textId="7BFC6BDE" w:rsidR="00183C7B" w:rsidRPr="00E600F0" w:rsidRDefault="00183C7B" w:rsidP="00907C01">
            <w:pPr>
              <w:spacing w:after="120"/>
              <w:jc w:val="center"/>
              <w:rPr>
                <w:rFonts w:asciiTheme="minorHAnsi" w:eastAsia="Times New Roman" w:hAnsiTheme="minorHAnsi" w:cstheme="minorHAnsi"/>
                <w:b/>
                <w:color w:val="auto"/>
                <w:lang w:eastAsia="en-US"/>
              </w:rPr>
            </w:pPr>
            <w:bookmarkStart w:id="24" w:name="_Hlk174440630"/>
            <w:r w:rsidRPr="00E600F0">
              <w:rPr>
                <w:rFonts w:asciiTheme="minorHAnsi" w:eastAsia="Times New Roman" w:hAnsiTheme="minorHAnsi" w:cstheme="minorHAnsi"/>
                <w:b/>
                <w:color w:val="auto"/>
                <w:lang w:eastAsia="en-US"/>
              </w:rPr>
              <w:t>EWS</w:t>
            </w:r>
          </w:p>
        </w:tc>
        <w:tc>
          <w:tcPr>
            <w:tcW w:w="991" w:type="pct"/>
          </w:tcPr>
          <w:p w14:paraId="23A4C950" w14:textId="77777777" w:rsidR="00183C7B" w:rsidRPr="00E600F0" w:rsidRDefault="00183C7B" w:rsidP="00907C0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NOTIFY</w:t>
            </w:r>
          </w:p>
        </w:tc>
        <w:tc>
          <w:tcPr>
            <w:tcW w:w="1238" w:type="pct"/>
          </w:tcPr>
          <w:p w14:paraId="03CBCD12" w14:textId="77777777" w:rsidR="00183C7B" w:rsidRPr="00E600F0" w:rsidRDefault="00183C7B" w:rsidP="00907C0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ESCALATE</w:t>
            </w:r>
          </w:p>
        </w:tc>
        <w:tc>
          <w:tcPr>
            <w:tcW w:w="1395" w:type="pct"/>
          </w:tcPr>
          <w:p w14:paraId="3C86D832" w14:textId="77777777" w:rsidR="00183C7B" w:rsidRPr="00E600F0" w:rsidRDefault="00183C7B" w:rsidP="00907C0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OBSERVATIONS</w:t>
            </w:r>
          </w:p>
        </w:tc>
        <w:tc>
          <w:tcPr>
            <w:tcW w:w="840" w:type="pct"/>
          </w:tcPr>
          <w:p w14:paraId="1C20D9E5" w14:textId="77777777" w:rsidR="00183C7B" w:rsidRPr="00E600F0" w:rsidRDefault="00183C7B" w:rsidP="00907C01">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TRANSFERS</w:t>
            </w:r>
          </w:p>
        </w:tc>
      </w:tr>
      <w:tr w:rsidR="00183C7B" w:rsidRPr="00D777F5" w14:paraId="623AABE4" w14:textId="77777777" w:rsidTr="007B547A">
        <w:trPr>
          <w:trHeight w:val="2022"/>
        </w:trPr>
        <w:tc>
          <w:tcPr>
            <w:cnfStyle w:val="001000000000" w:firstRow="0" w:lastRow="0" w:firstColumn="1" w:lastColumn="0" w:oddVBand="0" w:evenVBand="0" w:oddHBand="0" w:evenHBand="0" w:firstRowFirstColumn="0" w:firstRowLastColumn="0" w:lastRowFirstColumn="0" w:lastRowLastColumn="0"/>
            <w:tcW w:w="536" w:type="pct"/>
          </w:tcPr>
          <w:p w14:paraId="3736343A" w14:textId="77777777" w:rsidR="00183C7B" w:rsidRPr="00E600F0" w:rsidRDefault="00183C7B" w:rsidP="00907C01">
            <w:pPr>
              <w:spacing w:after="120"/>
              <w:jc w:val="center"/>
              <w:rPr>
                <w:rFonts w:asciiTheme="minorHAnsi" w:eastAsia="Times New Roman" w:hAnsiTheme="minorHAnsi" w:cstheme="minorHAnsi"/>
                <w:b/>
                <w:bCs/>
                <w:color w:val="auto"/>
                <w:lang w:eastAsia="en-US"/>
              </w:rPr>
            </w:pPr>
            <w:r w:rsidRPr="00E600F0">
              <w:rPr>
                <w:rFonts w:asciiTheme="minorHAnsi" w:eastAsia="Times New Roman" w:hAnsiTheme="minorHAnsi" w:cstheme="minorHAnsi"/>
                <w:b/>
                <w:bCs/>
                <w:color w:val="auto"/>
                <w:lang w:eastAsia="en-US"/>
              </w:rPr>
              <w:t>3</w:t>
            </w:r>
          </w:p>
        </w:tc>
        <w:tc>
          <w:tcPr>
            <w:tcW w:w="991" w:type="pct"/>
          </w:tcPr>
          <w:p w14:paraId="357E6E63"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p w14:paraId="4E5D9339"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lang w:eastAsia="en-US"/>
              </w:rPr>
              <w:t>Inform Team Leader and CNC.</w:t>
            </w:r>
          </w:p>
          <w:p w14:paraId="76E5C194"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lang w:eastAsia="en-US"/>
              </w:rPr>
              <w:t>Seek review by NP or MO.</w:t>
            </w:r>
          </w:p>
        </w:tc>
        <w:tc>
          <w:tcPr>
            <w:tcW w:w="1238" w:type="pct"/>
          </w:tcPr>
          <w:p w14:paraId="67403CBB" w14:textId="1DC31C5C"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b/>
                <w:lang w:eastAsia="en-US"/>
              </w:rPr>
            </w:pPr>
            <w:r w:rsidRPr="00E600F0">
              <w:rPr>
                <w:lang w:eastAsia="en-US"/>
              </w:rPr>
              <w:t>If after</w:t>
            </w:r>
            <w:r w:rsidRPr="00E600F0">
              <w:rPr>
                <w:b/>
                <w:lang w:eastAsia="en-US"/>
              </w:rPr>
              <w:t xml:space="preserve"> </w:t>
            </w:r>
            <w:r w:rsidRPr="00E600F0">
              <w:rPr>
                <w:lang w:eastAsia="en-US"/>
              </w:rPr>
              <w:t>total</w:t>
            </w:r>
            <w:r w:rsidRPr="00E600F0">
              <w:rPr>
                <w:b/>
                <w:lang w:eastAsia="en-US"/>
              </w:rPr>
              <w:t xml:space="preserve"> 60</w:t>
            </w:r>
            <w:r w:rsidRPr="00E600F0">
              <w:rPr>
                <w:lang w:eastAsia="en-US"/>
              </w:rPr>
              <w:t xml:space="preserve"> minutes nil review</w:t>
            </w:r>
            <w:r w:rsidRPr="00E600F0">
              <w:rPr>
                <w:b/>
                <w:lang w:eastAsia="en-US"/>
              </w:rPr>
              <w:t xml:space="preserve">, </w:t>
            </w:r>
            <w:r w:rsidRPr="00E600F0">
              <w:rPr>
                <w:lang w:eastAsia="en-US"/>
              </w:rPr>
              <w:t>escalate as per EWS</w:t>
            </w:r>
            <w:r w:rsidRPr="00E600F0">
              <w:rPr>
                <w:b/>
                <w:lang w:eastAsia="en-US"/>
              </w:rPr>
              <w:t xml:space="preserve"> 4</w:t>
            </w:r>
          </w:p>
          <w:p w14:paraId="2666B66A"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b/>
                <w:lang w:eastAsia="en-US"/>
              </w:rPr>
            </w:pPr>
            <w:r w:rsidRPr="00E600F0">
              <w:rPr>
                <w:lang w:eastAsia="en-US"/>
              </w:rPr>
              <w:t xml:space="preserve">If the consumer has not improved at </w:t>
            </w:r>
            <w:r w:rsidRPr="00E600F0">
              <w:rPr>
                <w:b/>
                <w:lang w:eastAsia="en-US"/>
              </w:rPr>
              <w:t>4 h</w:t>
            </w:r>
            <w:r>
              <w:rPr>
                <w:b/>
                <w:lang w:eastAsia="en-US"/>
              </w:rPr>
              <w:t>ou</w:t>
            </w:r>
            <w:r w:rsidRPr="00E600F0">
              <w:rPr>
                <w:b/>
                <w:lang w:eastAsia="en-US"/>
              </w:rPr>
              <w:t>rs</w:t>
            </w:r>
            <w:r w:rsidRPr="00E600F0">
              <w:rPr>
                <w:lang w:eastAsia="en-US"/>
              </w:rPr>
              <w:t xml:space="preserve"> escalate as per</w:t>
            </w:r>
            <w:r>
              <w:rPr>
                <w:lang w:eastAsia="en-US"/>
              </w:rPr>
              <w:t xml:space="preserve"> </w:t>
            </w:r>
            <w:r w:rsidRPr="00DF7445">
              <w:rPr>
                <w:b/>
                <w:lang w:eastAsia="en-US"/>
              </w:rPr>
              <w:t>equal to or greater than</w:t>
            </w:r>
            <w:r>
              <w:rPr>
                <w:lang w:eastAsia="en-US"/>
              </w:rPr>
              <w:t xml:space="preserve"> </w:t>
            </w:r>
            <w:r w:rsidRPr="00E600F0">
              <w:rPr>
                <w:b/>
                <w:lang w:eastAsia="en-US"/>
              </w:rPr>
              <w:t>4</w:t>
            </w:r>
          </w:p>
        </w:tc>
        <w:tc>
          <w:tcPr>
            <w:tcW w:w="1395" w:type="pct"/>
          </w:tcPr>
          <w:p w14:paraId="4D70CA3D" w14:textId="6123C0DF"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 xml:space="preserve"> </w:t>
            </w:r>
            <w:r w:rsidRPr="00E600F0">
              <w:rPr>
                <w:rFonts w:asciiTheme="minorHAnsi" w:hAnsiTheme="minorHAnsi" w:cstheme="minorHAnsi"/>
                <w:b/>
                <w:color w:val="auto"/>
                <w:lang w:eastAsia="en-US"/>
              </w:rPr>
              <w:t>Hourly</w:t>
            </w:r>
            <w:r w:rsidRPr="00E600F0">
              <w:rPr>
                <w:rFonts w:asciiTheme="minorHAnsi" w:hAnsiTheme="minorHAnsi" w:cstheme="minorHAnsi"/>
                <w:color w:val="auto"/>
                <w:lang w:eastAsia="en-US"/>
              </w:rPr>
              <w:t xml:space="preserve"> observations until EWS </w:t>
            </w:r>
            <w:r>
              <w:rPr>
                <w:rFonts w:asciiTheme="minorHAnsi" w:hAnsiTheme="minorHAnsi" w:cstheme="minorHAnsi"/>
                <w:b/>
                <w:color w:val="auto"/>
                <w:lang w:eastAsia="en-US"/>
              </w:rPr>
              <w:t>less than</w:t>
            </w:r>
            <w:r w:rsidRPr="00E600F0">
              <w:rPr>
                <w:rFonts w:asciiTheme="minorHAnsi" w:hAnsiTheme="minorHAnsi" w:cstheme="minorHAnsi"/>
                <w:b/>
                <w:color w:val="auto"/>
                <w:lang w:eastAsia="en-US"/>
              </w:rPr>
              <w:t xml:space="preserve"> 3</w:t>
            </w:r>
            <w:r w:rsidRPr="00E600F0">
              <w:rPr>
                <w:rFonts w:asciiTheme="minorHAnsi" w:hAnsiTheme="minorHAnsi" w:cstheme="minorHAnsi"/>
                <w:color w:val="auto"/>
                <w:lang w:eastAsia="en-US"/>
              </w:rPr>
              <w:t xml:space="preserve">. </w:t>
            </w:r>
          </w:p>
        </w:tc>
        <w:tc>
          <w:tcPr>
            <w:tcW w:w="840" w:type="pct"/>
          </w:tcPr>
          <w:p w14:paraId="7CE7C342"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Remains at the Centre with increased frequency of observations.</w:t>
            </w:r>
          </w:p>
        </w:tc>
      </w:tr>
      <w:tr w:rsidR="00183C7B" w:rsidRPr="00D777F5" w14:paraId="053403AB" w14:textId="77777777" w:rsidTr="007B547A">
        <w:trPr>
          <w:trHeight w:val="1633"/>
        </w:trPr>
        <w:tc>
          <w:tcPr>
            <w:cnfStyle w:val="001000000000" w:firstRow="0" w:lastRow="0" w:firstColumn="1" w:lastColumn="0" w:oddVBand="0" w:evenVBand="0" w:oddHBand="0" w:evenHBand="0" w:firstRowFirstColumn="0" w:firstRowLastColumn="0" w:lastRowFirstColumn="0" w:lastRowLastColumn="0"/>
            <w:tcW w:w="536" w:type="pct"/>
          </w:tcPr>
          <w:p w14:paraId="7FE13FD6" w14:textId="77777777" w:rsidR="00183C7B" w:rsidRPr="00E600F0" w:rsidRDefault="00183C7B" w:rsidP="00907C01">
            <w:pPr>
              <w:spacing w:after="120"/>
              <w:jc w:val="center"/>
              <w:rPr>
                <w:rFonts w:asciiTheme="minorHAnsi" w:eastAsia="Times New Roman" w:hAnsiTheme="minorHAnsi" w:cstheme="minorHAnsi"/>
                <w:b/>
                <w:bCs/>
                <w:color w:val="auto"/>
                <w:lang w:eastAsia="en-US"/>
              </w:rPr>
            </w:pPr>
            <w:r w:rsidRPr="00E600F0">
              <w:rPr>
                <w:rFonts w:asciiTheme="minorHAnsi" w:eastAsia="Times New Roman" w:hAnsiTheme="minorHAnsi" w:cstheme="minorHAnsi"/>
                <w:b/>
                <w:bCs/>
                <w:color w:val="auto"/>
                <w:lang w:eastAsia="en-US"/>
              </w:rPr>
              <w:t>4</w:t>
            </w:r>
          </w:p>
        </w:tc>
        <w:tc>
          <w:tcPr>
            <w:tcW w:w="991" w:type="pct"/>
          </w:tcPr>
          <w:p w14:paraId="7F5AF82A"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p w14:paraId="5FEF542C"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lang w:eastAsia="en-US"/>
              </w:rPr>
              <w:t>Consultant psychiatrist, GP or NP to review within</w:t>
            </w:r>
            <w:r w:rsidRPr="00E600F0">
              <w:rPr>
                <w:b/>
                <w:lang w:eastAsia="en-US"/>
              </w:rPr>
              <w:t xml:space="preserve"> 30</w:t>
            </w:r>
            <w:r w:rsidRPr="00E600F0">
              <w:rPr>
                <w:lang w:eastAsia="en-US"/>
              </w:rPr>
              <w:t xml:space="preserve"> minutes.</w:t>
            </w:r>
          </w:p>
          <w:p w14:paraId="7B7D11FE"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tc>
        <w:tc>
          <w:tcPr>
            <w:tcW w:w="1238" w:type="pct"/>
          </w:tcPr>
          <w:p w14:paraId="082840B4"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p w14:paraId="0B46DD96" w14:textId="48245479"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lang w:eastAsia="en-US"/>
              </w:rPr>
              <w:t>If after</w:t>
            </w:r>
            <w:r w:rsidRPr="00E600F0">
              <w:rPr>
                <w:b/>
                <w:lang w:eastAsia="en-US"/>
              </w:rPr>
              <w:t xml:space="preserve"> </w:t>
            </w:r>
            <w:r w:rsidRPr="00E600F0">
              <w:rPr>
                <w:lang w:eastAsia="en-US"/>
              </w:rPr>
              <w:t>total</w:t>
            </w:r>
            <w:r w:rsidRPr="00E600F0">
              <w:rPr>
                <w:b/>
                <w:lang w:eastAsia="en-US"/>
              </w:rPr>
              <w:t xml:space="preserve"> 60</w:t>
            </w:r>
            <w:r w:rsidRPr="00E600F0">
              <w:rPr>
                <w:lang w:eastAsia="en-US"/>
              </w:rPr>
              <w:t xml:space="preserve"> minutes nil review and EWS </w:t>
            </w:r>
            <w:r>
              <w:rPr>
                <w:b/>
                <w:lang w:eastAsia="en-US"/>
              </w:rPr>
              <w:t xml:space="preserve">equal to or greater than </w:t>
            </w:r>
            <w:r w:rsidRPr="00E600F0">
              <w:rPr>
                <w:b/>
                <w:lang w:eastAsia="en-US"/>
              </w:rPr>
              <w:t xml:space="preserve">4 </w:t>
            </w:r>
            <w:r w:rsidRPr="00E600F0">
              <w:rPr>
                <w:lang w:eastAsia="en-US"/>
              </w:rPr>
              <w:t xml:space="preserve">escalate as per EWS </w:t>
            </w:r>
            <w:r>
              <w:rPr>
                <w:b/>
                <w:lang w:eastAsia="en-US"/>
              </w:rPr>
              <w:t xml:space="preserve">equal to or greater than </w:t>
            </w:r>
            <w:r w:rsidRPr="00E600F0">
              <w:rPr>
                <w:b/>
                <w:lang w:eastAsia="en-US"/>
              </w:rPr>
              <w:t>6</w:t>
            </w:r>
          </w:p>
          <w:p w14:paraId="38AF6CB4"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tc>
        <w:tc>
          <w:tcPr>
            <w:tcW w:w="1395" w:type="pct"/>
          </w:tcPr>
          <w:p w14:paraId="3CEA0B7C" w14:textId="34C978FB"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b/>
                <w:color w:val="auto"/>
                <w:lang w:eastAsia="en-US"/>
              </w:rPr>
              <w:t xml:space="preserve">Vital Signs: </w:t>
            </w:r>
            <w:r>
              <w:rPr>
                <w:rFonts w:asciiTheme="minorHAnsi" w:hAnsiTheme="minorHAnsi" w:cstheme="minorHAnsi"/>
                <w:b/>
                <w:color w:val="auto"/>
                <w:lang w:eastAsia="en-US"/>
              </w:rPr>
              <w:t>every 30 minutes</w:t>
            </w:r>
            <w:r w:rsidRPr="00E600F0">
              <w:rPr>
                <w:rFonts w:asciiTheme="minorHAnsi" w:hAnsiTheme="minorHAnsi" w:cstheme="minorHAnsi"/>
                <w:color w:val="auto"/>
                <w:lang w:eastAsia="en-US"/>
              </w:rPr>
              <w:t xml:space="preserve"> until EWS </w:t>
            </w:r>
            <w:r>
              <w:rPr>
                <w:rFonts w:asciiTheme="minorHAnsi" w:hAnsiTheme="minorHAnsi" w:cstheme="minorHAnsi"/>
                <w:b/>
                <w:color w:val="auto"/>
                <w:lang w:eastAsia="en-US"/>
              </w:rPr>
              <w:t xml:space="preserve">less than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w:t>
            </w:r>
          </w:p>
          <w:p w14:paraId="79C76292"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lang w:eastAsia="en-US"/>
              </w:rPr>
            </w:pPr>
            <w:r w:rsidRPr="00E600F0">
              <w:rPr>
                <w:rFonts w:asciiTheme="minorHAnsi" w:hAnsiTheme="minorHAnsi" w:cstheme="minorHAnsi"/>
                <w:color w:val="auto"/>
                <w:lang w:eastAsia="en-US"/>
              </w:rPr>
              <w:t>B</w:t>
            </w:r>
            <w:r>
              <w:rPr>
                <w:rFonts w:asciiTheme="minorHAnsi" w:hAnsiTheme="minorHAnsi" w:cstheme="minorHAnsi"/>
                <w:color w:val="auto"/>
                <w:lang w:eastAsia="en-US"/>
              </w:rPr>
              <w:t xml:space="preserve">lood </w:t>
            </w:r>
            <w:r w:rsidRPr="00E600F0">
              <w:rPr>
                <w:rFonts w:asciiTheme="minorHAnsi" w:hAnsiTheme="minorHAnsi" w:cstheme="minorHAnsi"/>
                <w:color w:val="auto"/>
                <w:lang w:eastAsia="en-US"/>
              </w:rPr>
              <w:t>G</w:t>
            </w:r>
            <w:r>
              <w:rPr>
                <w:rFonts w:asciiTheme="minorHAnsi" w:hAnsiTheme="minorHAnsi" w:cstheme="minorHAnsi"/>
                <w:color w:val="auto"/>
                <w:lang w:eastAsia="en-US"/>
              </w:rPr>
              <w:t xml:space="preserve">lucose </w:t>
            </w:r>
            <w:r w:rsidRPr="00E600F0">
              <w:rPr>
                <w:rFonts w:asciiTheme="minorHAnsi" w:hAnsiTheme="minorHAnsi" w:cstheme="minorHAnsi"/>
                <w:color w:val="auto"/>
                <w:lang w:eastAsia="en-US"/>
              </w:rPr>
              <w:t>L</w:t>
            </w:r>
            <w:r>
              <w:rPr>
                <w:rFonts w:asciiTheme="minorHAnsi" w:hAnsiTheme="minorHAnsi" w:cstheme="minorHAnsi"/>
                <w:color w:val="auto"/>
                <w:lang w:eastAsia="en-US"/>
              </w:rPr>
              <w:t>evel (BGL) to be taken.</w:t>
            </w:r>
          </w:p>
          <w:p w14:paraId="711D62AA" w14:textId="3032F28D"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 xml:space="preserve">If EWS </w:t>
            </w:r>
            <w:r>
              <w:rPr>
                <w:rFonts w:asciiTheme="minorHAnsi" w:hAnsiTheme="minorHAnsi" w:cstheme="minorHAnsi"/>
                <w:b/>
                <w:color w:val="auto"/>
                <w:lang w:eastAsia="en-US"/>
              </w:rPr>
              <w:t>less than</w:t>
            </w:r>
            <w:r w:rsidRPr="00E600F0">
              <w:rPr>
                <w:rFonts w:asciiTheme="minorHAnsi" w:hAnsiTheme="minorHAnsi" w:cstheme="minorHAnsi"/>
                <w:b/>
                <w:color w:val="auto"/>
                <w:lang w:eastAsia="en-US"/>
              </w:rPr>
              <w:t xml:space="preserve"> 4</w:t>
            </w:r>
            <w:r w:rsidRPr="00E600F0">
              <w:rPr>
                <w:rFonts w:asciiTheme="minorHAnsi" w:hAnsiTheme="minorHAnsi" w:cstheme="minorHAnsi"/>
                <w:color w:val="auto"/>
                <w:lang w:eastAsia="en-US"/>
              </w:rPr>
              <w:t xml:space="preserve"> Continue hourly vital signs for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hours.</w:t>
            </w:r>
          </w:p>
          <w:p w14:paraId="0F5EF5B1"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 xml:space="preserve">Then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hourly for </w:t>
            </w:r>
            <w:r w:rsidRPr="00E600F0">
              <w:rPr>
                <w:rFonts w:asciiTheme="minorHAnsi" w:hAnsiTheme="minorHAnsi" w:cstheme="minorHAnsi"/>
                <w:b/>
                <w:color w:val="auto"/>
                <w:lang w:eastAsia="en-US"/>
              </w:rPr>
              <w:t>24</w:t>
            </w:r>
            <w:r w:rsidRPr="00E600F0">
              <w:rPr>
                <w:rFonts w:asciiTheme="minorHAnsi" w:hAnsiTheme="minorHAnsi" w:cstheme="minorHAnsi"/>
                <w:color w:val="auto"/>
                <w:lang w:eastAsia="en-US"/>
              </w:rPr>
              <w:t xml:space="preserve"> hours</w:t>
            </w:r>
          </w:p>
        </w:tc>
        <w:tc>
          <w:tcPr>
            <w:tcW w:w="840" w:type="pct"/>
          </w:tcPr>
          <w:p w14:paraId="203AA761" w14:textId="77777777" w:rsidR="00183C7B" w:rsidRPr="00E600F0" w:rsidRDefault="00183C7B"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Notify Patient Flow and Coordination Hub</w:t>
            </w:r>
          </w:p>
        </w:tc>
      </w:tr>
      <w:tr w:rsidR="007B547A" w:rsidRPr="00D777F5" w14:paraId="2E106D7F" w14:textId="77777777" w:rsidTr="007B547A">
        <w:trPr>
          <w:trHeight w:val="1633"/>
        </w:trPr>
        <w:tc>
          <w:tcPr>
            <w:cnfStyle w:val="001000000000" w:firstRow="0" w:lastRow="0" w:firstColumn="1" w:lastColumn="0" w:oddVBand="0" w:evenVBand="0" w:oddHBand="0" w:evenHBand="0" w:firstRowFirstColumn="0" w:firstRowLastColumn="0" w:lastRowFirstColumn="0" w:lastRowLastColumn="0"/>
            <w:tcW w:w="536" w:type="pct"/>
          </w:tcPr>
          <w:p w14:paraId="3CF0914A" w14:textId="32475A59" w:rsidR="007B547A" w:rsidRPr="00E600F0" w:rsidRDefault="007B547A" w:rsidP="00907C01">
            <w:pPr>
              <w:spacing w:after="120"/>
              <w:jc w:val="center"/>
              <w:rPr>
                <w:rFonts w:asciiTheme="minorHAnsi" w:eastAsia="Times New Roman" w:hAnsiTheme="minorHAnsi" w:cstheme="minorHAnsi"/>
                <w:b/>
                <w:bCs/>
                <w:color w:val="auto"/>
                <w:lang w:eastAsia="en-US"/>
              </w:rPr>
            </w:pPr>
            <w:r>
              <w:rPr>
                <w:rFonts w:asciiTheme="minorHAnsi" w:eastAsia="Times New Roman" w:hAnsiTheme="minorHAnsi" w:cstheme="minorHAnsi"/>
                <w:b/>
                <w:bCs/>
                <w:color w:val="auto"/>
                <w:lang w:eastAsia="en-US"/>
              </w:rPr>
              <w:t xml:space="preserve">Equal to or greater than </w:t>
            </w:r>
            <w:r w:rsidRPr="00E600F0">
              <w:rPr>
                <w:rFonts w:asciiTheme="minorHAnsi" w:eastAsia="Times New Roman" w:hAnsiTheme="minorHAnsi" w:cstheme="minorHAnsi"/>
                <w:b/>
                <w:bCs/>
                <w:color w:val="auto"/>
                <w:lang w:eastAsia="en-US"/>
              </w:rPr>
              <w:t>6</w:t>
            </w:r>
          </w:p>
        </w:tc>
        <w:tc>
          <w:tcPr>
            <w:tcW w:w="991" w:type="pct"/>
          </w:tcPr>
          <w:p w14:paraId="74029AA6" w14:textId="3D9B4EB8"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Pr>
                <w:lang w:eastAsia="en-US"/>
              </w:rPr>
              <w:t>nil</w:t>
            </w:r>
          </w:p>
        </w:tc>
        <w:tc>
          <w:tcPr>
            <w:tcW w:w="1238" w:type="pct"/>
          </w:tcPr>
          <w:p w14:paraId="22F3B92F" w14:textId="7B6C3578"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b/>
                <w:lang w:eastAsia="en-US"/>
              </w:rPr>
              <w:t xml:space="preserve">Transfer to ED via </w:t>
            </w:r>
            <w:r>
              <w:rPr>
                <w:b/>
                <w:lang w:eastAsia="en-US"/>
              </w:rPr>
              <w:t xml:space="preserve">an </w:t>
            </w:r>
            <w:r w:rsidRPr="00E600F0">
              <w:rPr>
                <w:b/>
                <w:lang w:eastAsia="en-US"/>
              </w:rPr>
              <w:t>ambulance</w:t>
            </w:r>
          </w:p>
        </w:tc>
        <w:tc>
          <w:tcPr>
            <w:tcW w:w="1395" w:type="pct"/>
          </w:tcPr>
          <w:p w14:paraId="34569066" w14:textId="77777777"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b/>
                <w:color w:val="auto"/>
                <w:lang w:eastAsia="en-US"/>
              </w:rPr>
              <w:t xml:space="preserve">Vital Signs: </w:t>
            </w:r>
            <w:r>
              <w:rPr>
                <w:rFonts w:asciiTheme="minorHAnsi" w:hAnsiTheme="minorHAnsi" w:cstheme="minorHAnsi"/>
                <w:b/>
                <w:color w:val="auto"/>
                <w:lang w:eastAsia="en-US"/>
              </w:rPr>
              <w:t>every 30 minutes</w:t>
            </w:r>
            <w:r w:rsidRPr="00E600F0">
              <w:rPr>
                <w:rFonts w:asciiTheme="minorHAnsi" w:hAnsiTheme="minorHAnsi" w:cstheme="minorHAnsi"/>
                <w:color w:val="auto"/>
                <w:lang w:eastAsia="en-US"/>
              </w:rPr>
              <w:t xml:space="preserve"> until EWS </w:t>
            </w:r>
            <w:r>
              <w:rPr>
                <w:rFonts w:asciiTheme="minorHAnsi" w:hAnsiTheme="minorHAnsi" w:cstheme="minorHAnsi"/>
                <w:b/>
                <w:color w:val="auto"/>
                <w:lang w:eastAsia="en-US"/>
              </w:rPr>
              <w:t xml:space="preserve">less than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w:t>
            </w:r>
          </w:p>
          <w:p w14:paraId="77EE773D" w14:textId="77777777"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lang w:eastAsia="en-US"/>
              </w:rPr>
            </w:pPr>
            <w:r w:rsidRPr="00E600F0">
              <w:rPr>
                <w:rFonts w:asciiTheme="minorHAnsi" w:hAnsiTheme="minorHAnsi" w:cstheme="minorHAnsi"/>
                <w:color w:val="auto"/>
                <w:lang w:eastAsia="en-US"/>
              </w:rPr>
              <w:t>B</w:t>
            </w:r>
            <w:r>
              <w:rPr>
                <w:rFonts w:asciiTheme="minorHAnsi" w:hAnsiTheme="minorHAnsi" w:cstheme="minorHAnsi"/>
                <w:color w:val="auto"/>
                <w:lang w:eastAsia="en-US"/>
              </w:rPr>
              <w:t xml:space="preserve">lood </w:t>
            </w:r>
            <w:r w:rsidRPr="00E600F0">
              <w:rPr>
                <w:rFonts w:asciiTheme="minorHAnsi" w:hAnsiTheme="minorHAnsi" w:cstheme="minorHAnsi"/>
                <w:color w:val="auto"/>
                <w:lang w:eastAsia="en-US"/>
              </w:rPr>
              <w:t>G</w:t>
            </w:r>
            <w:r>
              <w:rPr>
                <w:rFonts w:asciiTheme="minorHAnsi" w:hAnsiTheme="minorHAnsi" w:cstheme="minorHAnsi"/>
                <w:color w:val="auto"/>
                <w:lang w:eastAsia="en-US"/>
              </w:rPr>
              <w:t xml:space="preserve">lucose </w:t>
            </w:r>
            <w:r w:rsidRPr="00E600F0">
              <w:rPr>
                <w:rFonts w:asciiTheme="minorHAnsi" w:hAnsiTheme="minorHAnsi" w:cstheme="minorHAnsi"/>
                <w:color w:val="auto"/>
                <w:lang w:eastAsia="en-US"/>
              </w:rPr>
              <w:t>L</w:t>
            </w:r>
            <w:r>
              <w:rPr>
                <w:rFonts w:asciiTheme="minorHAnsi" w:hAnsiTheme="minorHAnsi" w:cstheme="minorHAnsi"/>
                <w:color w:val="auto"/>
                <w:lang w:eastAsia="en-US"/>
              </w:rPr>
              <w:t>evel (BGL) to be taken.</w:t>
            </w:r>
          </w:p>
          <w:p w14:paraId="1261455E" w14:textId="77777777"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 xml:space="preserve">If EWS </w:t>
            </w:r>
            <w:r>
              <w:rPr>
                <w:rFonts w:asciiTheme="minorHAnsi" w:hAnsiTheme="minorHAnsi" w:cstheme="minorHAnsi"/>
                <w:b/>
                <w:color w:val="auto"/>
                <w:lang w:eastAsia="en-US"/>
              </w:rPr>
              <w:t>less than</w:t>
            </w:r>
            <w:r w:rsidRPr="00E600F0">
              <w:rPr>
                <w:rFonts w:asciiTheme="minorHAnsi" w:hAnsiTheme="minorHAnsi" w:cstheme="minorHAnsi"/>
                <w:b/>
                <w:color w:val="auto"/>
                <w:lang w:eastAsia="en-US"/>
              </w:rPr>
              <w:t xml:space="preserve"> 4</w:t>
            </w:r>
            <w:r w:rsidRPr="00E600F0">
              <w:rPr>
                <w:rFonts w:asciiTheme="minorHAnsi" w:hAnsiTheme="minorHAnsi" w:cstheme="minorHAnsi"/>
                <w:color w:val="auto"/>
                <w:lang w:eastAsia="en-US"/>
              </w:rPr>
              <w:t xml:space="preserve"> Continue hourly vital signs for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hours.</w:t>
            </w:r>
          </w:p>
          <w:p w14:paraId="7B1402AF" w14:textId="38AED155"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lang w:eastAsia="en-US"/>
              </w:rPr>
            </w:pPr>
            <w:r w:rsidRPr="00E600F0">
              <w:rPr>
                <w:rFonts w:asciiTheme="minorHAnsi" w:hAnsiTheme="minorHAnsi" w:cstheme="minorHAnsi"/>
                <w:color w:val="auto"/>
                <w:lang w:eastAsia="en-US"/>
              </w:rPr>
              <w:t xml:space="preserve">Then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hourly for </w:t>
            </w:r>
            <w:r w:rsidRPr="00E600F0">
              <w:rPr>
                <w:rFonts w:asciiTheme="minorHAnsi" w:hAnsiTheme="minorHAnsi" w:cstheme="minorHAnsi"/>
                <w:b/>
                <w:color w:val="auto"/>
                <w:lang w:eastAsia="en-US"/>
              </w:rPr>
              <w:t>24</w:t>
            </w:r>
            <w:r w:rsidRPr="00E600F0">
              <w:rPr>
                <w:rFonts w:asciiTheme="minorHAnsi" w:hAnsiTheme="minorHAnsi" w:cstheme="minorHAnsi"/>
                <w:color w:val="auto"/>
                <w:lang w:eastAsia="en-US"/>
              </w:rPr>
              <w:t xml:space="preserve"> hours</w:t>
            </w:r>
          </w:p>
        </w:tc>
        <w:tc>
          <w:tcPr>
            <w:tcW w:w="840" w:type="pct"/>
          </w:tcPr>
          <w:p w14:paraId="49B7DFC5" w14:textId="254DA796"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lang w:eastAsia="en-US"/>
              </w:rPr>
            </w:pPr>
            <w:r w:rsidRPr="00E600F0">
              <w:rPr>
                <w:rFonts w:asciiTheme="minorHAnsi" w:hAnsiTheme="minorHAnsi" w:cstheme="minorHAnsi"/>
                <w:color w:val="auto"/>
                <w:lang w:eastAsia="en-US"/>
              </w:rPr>
              <w:t>Notify Patient Flow and Coordination Hub</w:t>
            </w:r>
          </w:p>
        </w:tc>
      </w:tr>
      <w:bookmarkEnd w:id="24"/>
    </w:tbl>
    <w:p w14:paraId="0B952ED8" w14:textId="77777777" w:rsidR="007B547A" w:rsidRDefault="007B547A">
      <w:pPr>
        <w:spacing w:before="0" w:after="0" w:line="240" w:lineRule="auto"/>
        <w:rPr>
          <w:rFonts w:eastAsia="Times New Roman"/>
          <w:bCs/>
          <w:iCs/>
        </w:rPr>
      </w:pPr>
      <w:r>
        <w:br w:type="page"/>
      </w:r>
    </w:p>
    <w:p w14:paraId="3805FFE8" w14:textId="7EEB4087" w:rsidR="007B547A" w:rsidRDefault="007B547A" w:rsidP="007B547A">
      <w:pPr>
        <w:pStyle w:val="Tabletitle-numbered"/>
      </w:pPr>
      <w:r>
        <w:t>After hours e</w:t>
      </w:r>
      <w:r w:rsidRPr="00171CD2">
        <w:t>scalation pathway for physical health deterioration</w:t>
      </w:r>
    </w:p>
    <w:p w14:paraId="550B1067" w14:textId="77777777" w:rsidR="007B547A" w:rsidRDefault="007B547A" w:rsidP="007B547A">
      <w:pPr>
        <w:pStyle w:val="BodyCopy"/>
      </w:pPr>
      <w:r w:rsidRPr="007B547A">
        <w:t xml:space="preserve">Afterhours and Weekends / Public Holidays or when medical staff NOT on site </w:t>
      </w:r>
    </w:p>
    <w:p w14:paraId="365D045C" w14:textId="656E56F6" w:rsidR="007B547A" w:rsidRPr="00171CD2" w:rsidRDefault="007B547A" w:rsidP="007B547A">
      <w:pPr>
        <w:pStyle w:val="BodyCopy"/>
      </w:pPr>
      <w:r>
        <w:t>Early Warning Score (EWS) Escalation for adult and paediatric consumers.</w:t>
      </w:r>
    </w:p>
    <w:tbl>
      <w:tblPr>
        <w:tblStyle w:val="CHSTable"/>
        <w:tblpPr w:leftFromText="180" w:rightFromText="180" w:vertAnchor="text" w:horzAnchor="margin" w:tblpXSpec="center" w:tblpY="322"/>
        <w:tblW w:w="5427" w:type="pct"/>
        <w:tblLook w:val="04A0" w:firstRow="1" w:lastRow="0" w:firstColumn="1" w:lastColumn="0" w:noHBand="0" w:noVBand="1"/>
      </w:tblPr>
      <w:tblGrid>
        <w:gridCol w:w="1154"/>
        <w:gridCol w:w="2131"/>
        <w:gridCol w:w="1857"/>
        <w:gridCol w:w="3808"/>
        <w:gridCol w:w="1807"/>
      </w:tblGrid>
      <w:tr w:rsidR="007B547A" w:rsidRPr="00E600F0" w14:paraId="24313013" w14:textId="77777777" w:rsidTr="00E45873">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pct"/>
          </w:tcPr>
          <w:p w14:paraId="05E6107F" w14:textId="77777777" w:rsidR="007B547A" w:rsidRPr="00E600F0" w:rsidRDefault="007B547A" w:rsidP="00E45873">
            <w:pPr>
              <w:spacing w:after="120"/>
              <w:jc w:val="center"/>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EWS</w:t>
            </w:r>
          </w:p>
        </w:tc>
        <w:tc>
          <w:tcPr>
            <w:tcW w:w="991" w:type="pct"/>
          </w:tcPr>
          <w:p w14:paraId="661390EE" w14:textId="77777777" w:rsidR="007B547A" w:rsidRPr="00E600F0" w:rsidRDefault="007B547A" w:rsidP="00E4587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NOTIFY</w:t>
            </w:r>
          </w:p>
        </w:tc>
        <w:tc>
          <w:tcPr>
            <w:tcW w:w="863" w:type="pct"/>
          </w:tcPr>
          <w:p w14:paraId="17ABEE87" w14:textId="77777777" w:rsidR="007B547A" w:rsidRPr="00E600F0" w:rsidRDefault="007B547A" w:rsidP="00E4587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ESCALATE</w:t>
            </w:r>
          </w:p>
        </w:tc>
        <w:tc>
          <w:tcPr>
            <w:tcW w:w="1770" w:type="pct"/>
          </w:tcPr>
          <w:p w14:paraId="39EA7262" w14:textId="77777777" w:rsidR="007B547A" w:rsidRPr="00E600F0" w:rsidRDefault="007B547A" w:rsidP="00E4587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OBSERVATIONS</w:t>
            </w:r>
          </w:p>
        </w:tc>
        <w:tc>
          <w:tcPr>
            <w:tcW w:w="840" w:type="pct"/>
          </w:tcPr>
          <w:p w14:paraId="7232DC0F" w14:textId="77777777" w:rsidR="007B547A" w:rsidRPr="00E600F0" w:rsidRDefault="007B547A" w:rsidP="00E4587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TRANSFERS</w:t>
            </w:r>
          </w:p>
        </w:tc>
      </w:tr>
      <w:tr w:rsidR="007B547A" w:rsidRPr="00E600F0" w14:paraId="0493AB05" w14:textId="77777777" w:rsidTr="00E45873">
        <w:trPr>
          <w:trHeight w:val="2022"/>
        </w:trPr>
        <w:tc>
          <w:tcPr>
            <w:cnfStyle w:val="001000000000" w:firstRow="0" w:lastRow="0" w:firstColumn="1" w:lastColumn="0" w:oddVBand="0" w:evenVBand="0" w:oddHBand="0" w:evenHBand="0" w:firstRowFirstColumn="0" w:firstRowLastColumn="0" w:lastRowFirstColumn="0" w:lastRowLastColumn="0"/>
            <w:tcW w:w="536" w:type="pct"/>
          </w:tcPr>
          <w:p w14:paraId="0E0E0FDD" w14:textId="77777777" w:rsidR="007B547A" w:rsidRPr="00E600F0" w:rsidRDefault="007B547A" w:rsidP="007B547A">
            <w:pPr>
              <w:spacing w:after="120"/>
              <w:jc w:val="center"/>
              <w:rPr>
                <w:rFonts w:asciiTheme="minorHAnsi" w:eastAsia="Times New Roman" w:hAnsiTheme="minorHAnsi" w:cstheme="minorHAnsi"/>
                <w:b/>
                <w:bCs/>
                <w:color w:val="auto"/>
                <w:lang w:eastAsia="en-US"/>
              </w:rPr>
            </w:pPr>
            <w:r w:rsidRPr="00E600F0">
              <w:rPr>
                <w:rFonts w:asciiTheme="minorHAnsi" w:eastAsia="Times New Roman" w:hAnsiTheme="minorHAnsi" w:cstheme="minorHAnsi"/>
                <w:b/>
                <w:bCs/>
                <w:color w:val="auto"/>
                <w:lang w:eastAsia="en-US"/>
              </w:rPr>
              <w:t>3</w:t>
            </w:r>
          </w:p>
        </w:tc>
        <w:tc>
          <w:tcPr>
            <w:tcW w:w="991" w:type="pct"/>
          </w:tcPr>
          <w:p w14:paraId="75767640"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Inform Team Leader and After-hours Hospital CNC.</w:t>
            </w:r>
          </w:p>
          <w:p w14:paraId="73136636" w14:textId="5CA3700E"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rFonts w:asciiTheme="minorHAnsi" w:hAnsiTheme="minorHAnsi" w:cstheme="minorHAnsi"/>
                <w:color w:val="auto"/>
                <w:lang w:eastAsia="en-US"/>
              </w:rPr>
              <w:t>Phone on-call JMO for advice.</w:t>
            </w:r>
          </w:p>
        </w:tc>
        <w:tc>
          <w:tcPr>
            <w:tcW w:w="863" w:type="pct"/>
          </w:tcPr>
          <w:p w14:paraId="21A380B2"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en-US"/>
              </w:rPr>
            </w:pPr>
            <w:r w:rsidRPr="00E600F0">
              <w:rPr>
                <w:rFonts w:asciiTheme="minorHAnsi" w:eastAsia="Times New Roman" w:hAnsiTheme="minorHAnsi" w:cstheme="minorHAnsi"/>
                <w:color w:val="auto"/>
                <w:lang w:eastAsia="en-US"/>
              </w:rPr>
              <w:t xml:space="preserve">If MO not contactable, escalate as per EWS </w:t>
            </w:r>
            <w:r w:rsidRPr="00E600F0">
              <w:rPr>
                <w:rFonts w:asciiTheme="minorHAnsi" w:eastAsia="Times New Roman" w:hAnsiTheme="minorHAnsi" w:cstheme="minorHAnsi"/>
                <w:b/>
                <w:bCs/>
                <w:color w:val="auto"/>
                <w:lang w:eastAsia="en-US"/>
              </w:rPr>
              <w:t>4</w:t>
            </w:r>
            <w:r>
              <w:rPr>
                <w:rFonts w:asciiTheme="minorHAnsi" w:eastAsia="Times New Roman" w:hAnsiTheme="minorHAnsi" w:cstheme="minorHAnsi"/>
                <w:b/>
                <w:bCs/>
                <w:color w:val="auto"/>
                <w:lang w:eastAsia="en-US"/>
              </w:rPr>
              <w:t xml:space="preserve"> to </w:t>
            </w:r>
            <w:r w:rsidRPr="00E600F0">
              <w:rPr>
                <w:rFonts w:asciiTheme="minorHAnsi" w:eastAsia="Times New Roman" w:hAnsiTheme="minorHAnsi" w:cstheme="minorHAnsi"/>
                <w:b/>
                <w:bCs/>
                <w:color w:val="auto"/>
                <w:lang w:eastAsia="en-US"/>
              </w:rPr>
              <w:t>5</w:t>
            </w:r>
          </w:p>
          <w:p w14:paraId="586FCA8E" w14:textId="188D0229"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b/>
                <w:lang w:eastAsia="en-US"/>
              </w:rPr>
            </w:pPr>
            <w:r w:rsidRPr="00E600F0">
              <w:rPr>
                <w:color w:val="auto"/>
                <w:lang w:eastAsia="en-US"/>
              </w:rPr>
              <w:t xml:space="preserve">If the consumer has not improved at </w:t>
            </w:r>
            <w:r w:rsidRPr="00E600F0">
              <w:rPr>
                <w:b/>
                <w:color w:val="auto"/>
                <w:lang w:eastAsia="en-US"/>
              </w:rPr>
              <w:t>4 h</w:t>
            </w:r>
            <w:r>
              <w:rPr>
                <w:b/>
                <w:color w:val="auto"/>
                <w:lang w:eastAsia="en-US"/>
              </w:rPr>
              <w:t>ou</w:t>
            </w:r>
            <w:r w:rsidRPr="00E600F0">
              <w:rPr>
                <w:b/>
                <w:color w:val="auto"/>
                <w:lang w:eastAsia="en-US"/>
              </w:rPr>
              <w:t>rs</w:t>
            </w:r>
            <w:r w:rsidRPr="00E600F0">
              <w:rPr>
                <w:color w:val="auto"/>
                <w:lang w:eastAsia="en-US"/>
              </w:rPr>
              <w:t xml:space="preserve"> escalate as per </w:t>
            </w:r>
            <w:r>
              <w:rPr>
                <w:b/>
                <w:color w:val="auto"/>
                <w:lang w:eastAsia="en-US"/>
              </w:rPr>
              <w:t xml:space="preserve">equal to or greater than </w:t>
            </w:r>
            <w:r w:rsidRPr="00E600F0">
              <w:rPr>
                <w:b/>
                <w:color w:val="auto"/>
                <w:lang w:eastAsia="en-US"/>
              </w:rPr>
              <w:t>6</w:t>
            </w:r>
          </w:p>
        </w:tc>
        <w:tc>
          <w:tcPr>
            <w:tcW w:w="1770" w:type="pct"/>
          </w:tcPr>
          <w:p w14:paraId="1DA6E781"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auto"/>
                <w:lang w:eastAsia="en-US"/>
              </w:rPr>
            </w:pPr>
            <w:r w:rsidRPr="00E600F0">
              <w:rPr>
                <w:rFonts w:asciiTheme="minorHAnsi" w:eastAsia="Times New Roman" w:hAnsiTheme="minorHAnsi" w:cstheme="minorHAnsi"/>
                <w:b/>
                <w:color w:val="auto"/>
                <w:lang w:eastAsia="en-US"/>
              </w:rPr>
              <w:t xml:space="preserve"> Hourly</w:t>
            </w:r>
            <w:r w:rsidRPr="00E600F0">
              <w:rPr>
                <w:rFonts w:asciiTheme="minorHAnsi" w:eastAsia="Times New Roman" w:hAnsiTheme="minorHAnsi" w:cstheme="minorHAnsi"/>
                <w:bCs/>
                <w:color w:val="auto"/>
                <w:lang w:eastAsia="en-US"/>
              </w:rPr>
              <w:t xml:space="preserve"> observations until </w:t>
            </w:r>
            <w:r>
              <w:rPr>
                <w:rFonts w:asciiTheme="minorHAnsi" w:eastAsia="Times New Roman" w:hAnsiTheme="minorHAnsi" w:cstheme="minorHAnsi"/>
                <w:b/>
                <w:color w:val="auto"/>
                <w:lang w:eastAsia="en-US"/>
              </w:rPr>
              <w:t>less than</w:t>
            </w:r>
            <w:r w:rsidRPr="00E600F0">
              <w:rPr>
                <w:rFonts w:asciiTheme="minorHAnsi" w:eastAsia="Times New Roman" w:hAnsiTheme="minorHAnsi" w:cstheme="minorHAnsi"/>
                <w:b/>
                <w:color w:val="auto"/>
                <w:lang w:eastAsia="en-US"/>
              </w:rPr>
              <w:t xml:space="preserve"> 2</w:t>
            </w:r>
            <w:r w:rsidRPr="00E600F0">
              <w:rPr>
                <w:rFonts w:asciiTheme="minorHAnsi" w:eastAsia="Times New Roman" w:hAnsiTheme="minorHAnsi" w:cstheme="minorHAnsi"/>
                <w:bCs/>
                <w:color w:val="auto"/>
                <w:lang w:eastAsia="en-US"/>
              </w:rPr>
              <w:t>.</w:t>
            </w:r>
          </w:p>
          <w:p w14:paraId="270BF870"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auto"/>
                <w:lang w:eastAsia="en-US"/>
              </w:rPr>
            </w:pPr>
            <w:r w:rsidRPr="00E600F0">
              <w:rPr>
                <w:rFonts w:asciiTheme="minorHAnsi" w:eastAsia="Times New Roman" w:hAnsiTheme="minorHAnsi" w:cstheme="minorHAnsi"/>
                <w:bCs/>
                <w:color w:val="auto"/>
                <w:lang w:eastAsia="en-US"/>
              </w:rPr>
              <w:t>If further deterioration, then action as per the EWS.</w:t>
            </w:r>
          </w:p>
          <w:p w14:paraId="53BA85BF" w14:textId="74989C08"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auto"/>
                <w:lang w:eastAsia="en-US"/>
              </w:rPr>
            </w:pPr>
          </w:p>
        </w:tc>
        <w:tc>
          <w:tcPr>
            <w:tcW w:w="840" w:type="pct"/>
          </w:tcPr>
          <w:p w14:paraId="5C7AF7BF"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p>
          <w:p w14:paraId="50270911" w14:textId="747F4216"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Remains at the Centre with increased frequency of observations.</w:t>
            </w:r>
          </w:p>
        </w:tc>
      </w:tr>
      <w:tr w:rsidR="007B547A" w:rsidRPr="00E600F0" w14:paraId="11F17098" w14:textId="77777777" w:rsidTr="00E45873">
        <w:trPr>
          <w:trHeight w:val="1633"/>
        </w:trPr>
        <w:tc>
          <w:tcPr>
            <w:cnfStyle w:val="001000000000" w:firstRow="0" w:lastRow="0" w:firstColumn="1" w:lastColumn="0" w:oddVBand="0" w:evenVBand="0" w:oddHBand="0" w:evenHBand="0" w:firstRowFirstColumn="0" w:firstRowLastColumn="0" w:lastRowFirstColumn="0" w:lastRowLastColumn="0"/>
            <w:tcW w:w="536" w:type="pct"/>
          </w:tcPr>
          <w:p w14:paraId="30148A20" w14:textId="77777777" w:rsidR="007B547A" w:rsidRPr="00E600F0" w:rsidRDefault="007B547A" w:rsidP="007B547A">
            <w:pPr>
              <w:spacing w:after="120"/>
              <w:jc w:val="center"/>
              <w:rPr>
                <w:rFonts w:asciiTheme="minorHAnsi" w:eastAsia="Times New Roman" w:hAnsiTheme="minorHAnsi" w:cstheme="minorHAnsi"/>
                <w:b/>
                <w:bCs/>
                <w:color w:val="auto"/>
                <w:lang w:eastAsia="en-US"/>
              </w:rPr>
            </w:pPr>
            <w:r w:rsidRPr="00E600F0">
              <w:rPr>
                <w:rFonts w:asciiTheme="minorHAnsi" w:eastAsia="Times New Roman" w:hAnsiTheme="minorHAnsi" w:cstheme="minorHAnsi"/>
                <w:b/>
                <w:bCs/>
                <w:color w:val="auto"/>
                <w:lang w:eastAsia="en-US"/>
              </w:rPr>
              <w:t>4</w:t>
            </w:r>
          </w:p>
        </w:tc>
        <w:tc>
          <w:tcPr>
            <w:tcW w:w="991" w:type="pct"/>
          </w:tcPr>
          <w:p w14:paraId="093188F8" w14:textId="51172ED1"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rFonts w:asciiTheme="minorHAnsi" w:hAnsiTheme="minorHAnsi" w:cstheme="minorHAnsi"/>
                <w:color w:val="auto"/>
                <w:lang w:eastAsia="en-US"/>
              </w:rPr>
              <w:t>Phone on-call psychiatrist.</w:t>
            </w:r>
          </w:p>
        </w:tc>
        <w:tc>
          <w:tcPr>
            <w:tcW w:w="863" w:type="pct"/>
          </w:tcPr>
          <w:p w14:paraId="6019DA9F" w14:textId="016BE644"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rFonts w:asciiTheme="minorHAnsi" w:hAnsiTheme="minorHAnsi" w:cstheme="minorHAnsi"/>
                <w:color w:val="auto"/>
                <w:lang w:eastAsia="en-US"/>
              </w:rPr>
              <w:t xml:space="preserve">If after </w:t>
            </w:r>
            <w:r w:rsidRPr="00E600F0">
              <w:rPr>
                <w:rFonts w:asciiTheme="minorHAnsi" w:hAnsiTheme="minorHAnsi" w:cstheme="minorHAnsi"/>
                <w:b/>
                <w:color w:val="auto"/>
                <w:lang w:eastAsia="en-US"/>
              </w:rPr>
              <w:t xml:space="preserve">30 </w:t>
            </w:r>
            <w:r w:rsidRPr="00E600F0">
              <w:rPr>
                <w:rFonts w:asciiTheme="minorHAnsi" w:hAnsiTheme="minorHAnsi" w:cstheme="minorHAnsi"/>
                <w:color w:val="auto"/>
                <w:lang w:eastAsia="en-US"/>
              </w:rPr>
              <w:t xml:space="preserve">minutes nil review </w:t>
            </w:r>
            <w:r w:rsidRPr="00E600F0">
              <w:rPr>
                <w:rFonts w:asciiTheme="minorHAnsi" w:hAnsiTheme="minorHAnsi" w:cstheme="minorHAnsi"/>
                <w:b/>
                <w:color w:val="auto"/>
                <w:lang w:eastAsia="en-US"/>
              </w:rPr>
              <w:t>and</w:t>
            </w:r>
            <w:r w:rsidRPr="00E600F0">
              <w:rPr>
                <w:rFonts w:asciiTheme="minorHAnsi" w:hAnsiTheme="minorHAnsi" w:cstheme="minorHAnsi"/>
                <w:color w:val="auto"/>
                <w:lang w:eastAsia="en-US"/>
              </w:rPr>
              <w:t xml:space="preserve"> EWS remains </w:t>
            </w:r>
            <w:r>
              <w:rPr>
                <w:rFonts w:asciiTheme="minorHAnsi" w:hAnsiTheme="minorHAnsi" w:cstheme="minorHAnsi"/>
                <w:color w:val="auto"/>
                <w:lang w:eastAsia="en-US"/>
              </w:rPr>
              <w:t xml:space="preserve">equal to or </w:t>
            </w:r>
            <w:r>
              <w:rPr>
                <w:rFonts w:asciiTheme="minorHAnsi" w:hAnsiTheme="minorHAnsi" w:cstheme="minorHAnsi"/>
                <w:b/>
                <w:color w:val="auto"/>
                <w:lang w:eastAsia="en-US"/>
              </w:rPr>
              <w:t xml:space="preserve">greater than </w:t>
            </w:r>
            <w:r w:rsidRPr="00E600F0">
              <w:rPr>
                <w:rFonts w:asciiTheme="minorHAnsi" w:hAnsiTheme="minorHAnsi" w:cstheme="minorHAnsi"/>
                <w:b/>
                <w:color w:val="auto"/>
                <w:lang w:eastAsia="en-US"/>
              </w:rPr>
              <w:t>4</w:t>
            </w:r>
            <w:r w:rsidRPr="00E600F0">
              <w:rPr>
                <w:rFonts w:asciiTheme="minorHAnsi" w:hAnsiTheme="minorHAnsi" w:cstheme="minorHAnsi"/>
                <w:color w:val="auto"/>
                <w:lang w:eastAsia="en-US"/>
              </w:rPr>
              <w:t xml:space="preserve">, escalate per EWS </w:t>
            </w:r>
            <w:r>
              <w:rPr>
                <w:rFonts w:asciiTheme="minorHAnsi" w:hAnsiTheme="minorHAnsi" w:cstheme="minorHAnsi"/>
                <w:b/>
                <w:color w:val="auto"/>
                <w:lang w:eastAsia="en-US"/>
              </w:rPr>
              <w:t xml:space="preserve">equal to or greater than </w:t>
            </w:r>
            <w:r w:rsidRPr="00E600F0">
              <w:rPr>
                <w:rFonts w:asciiTheme="minorHAnsi" w:hAnsiTheme="minorHAnsi" w:cstheme="minorHAnsi"/>
                <w:b/>
                <w:color w:val="auto"/>
                <w:lang w:eastAsia="en-US"/>
              </w:rPr>
              <w:t>6</w:t>
            </w:r>
          </w:p>
        </w:tc>
        <w:tc>
          <w:tcPr>
            <w:tcW w:w="1770" w:type="pct"/>
          </w:tcPr>
          <w:p w14:paraId="36F35535" w14:textId="77777777" w:rsidR="007B547A" w:rsidRPr="00E600F0" w:rsidRDefault="007B547A" w:rsidP="007B547A">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Vital Signs:</w:t>
            </w:r>
          </w:p>
          <w:p w14:paraId="30189C19"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Pr>
                <w:rFonts w:asciiTheme="minorHAnsi" w:eastAsia="Times New Roman" w:hAnsiTheme="minorHAnsi" w:cstheme="minorHAnsi"/>
                <w:b/>
                <w:bCs/>
                <w:color w:val="auto"/>
                <w:lang w:eastAsia="en-US"/>
              </w:rPr>
              <w:t>every 30 minutes</w:t>
            </w:r>
            <w:r w:rsidRPr="00E600F0">
              <w:rPr>
                <w:rFonts w:asciiTheme="minorHAnsi" w:eastAsia="Times New Roman" w:hAnsiTheme="minorHAnsi" w:cstheme="minorHAnsi"/>
                <w:color w:val="auto"/>
                <w:lang w:eastAsia="en-US"/>
              </w:rPr>
              <w:t xml:space="preserve"> until EWS </w:t>
            </w:r>
            <w:r>
              <w:rPr>
                <w:rFonts w:asciiTheme="minorHAnsi" w:eastAsia="Times New Roman" w:hAnsiTheme="minorHAnsi" w:cstheme="minorHAnsi"/>
                <w:b/>
                <w:bCs/>
                <w:color w:val="auto"/>
                <w:lang w:eastAsia="en-US"/>
              </w:rPr>
              <w:t xml:space="preserve">less than </w:t>
            </w:r>
            <w:r w:rsidRPr="00E600F0">
              <w:rPr>
                <w:rFonts w:asciiTheme="minorHAnsi" w:eastAsia="Times New Roman" w:hAnsiTheme="minorHAnsi" w:cstheme="minorHAnsi"/>
                <w:b/>
                <w:bCs/>
                <w:color w:val="auto"/>
                <w:lang w:eastAsia="en-US"/>
              </w:rPr>
              <w:t>4</w:t>
            </w:r>
          </w:p>
          <w:p w14:paraId="3B2931F7"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auto"/>
                <w:lang w:eastAsia="en-US"/>
              </w:rPr>
            </w:pPr>
            <w:r w:rsidRPr="00E600F0">
              <w:rPr>
                <w:rFonts w:asciiTheme="minorHAnsi" w:eastAsia="Times New Roman" w:hAnsiTheme="minorHAnsi" w:cstheme="minorHAnsi"/>
                <w:bCs/>
                <w:color w:val="auto"/>
                <w:lang w:eastAsia="en-US"/>
              </w:rPr>
              <w:t>BGL</w:t>
            </w:r>
            <w:r>
              <w:rPr>
                <w:rFonts w:asciiTheme="minorHAnsi" w:eastAsia="Times New Roman" w:hAnsiTheme="minorHAnsi" w:cstheme="minorHAnsi"/>
                <w:bCs/>
                <w:color w:val="auto"/>
                <w:lang w:eastAsia="en-US"/>
              </w:rPr>
              <w:t xml:space="preserve"> to be taken</w:t>
            </w:r>
          </w:p>
          <w:p w14:paraId="366EA420"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 xml:space="preserve">Continue </w:t>
            </w:r>
            <w:r w:rsidRPr="00E600F0">
              <w:rPr>
                <w:rFonts w:asciiTheme="minorHAnsi" w:eastAsia="Times New Roman" w:hAnsiTheme="minorHAnsi" w:cstheme="minorHAnsi"/>
                <w:b/>
                <w:bCs/>
                <w:color w:val="auto"/>
                <w:lang w:eastAsia="en-US"/>
              </w:rPr>
              <w:t>hourly</w:t>
            </w:r>
            <w:r w:rsidRPr="00E600F0">
              <w:rPr>
                <w:rFonts w:asciiTheme="minorHAnsi" w:eastAsia="Times New Roman" w:hAnsiTheme="minorHAnsi" w:cstheme="minorHAnsi"/>
                <w:color w:val="auto"/>
                <w:lang w:eastAsia="en-US"/>
              </w:rPr>
              <w:t xml:space="preserve"> vital signs for </w:t>
            </w:r>
            <w:r w:rsidRPr="00E600F0">
              <w:rPr>
                <w:rFonts w:asciiTheme="minorHAnsi" w:eastAsia="Times New Roman" w:hAnsiTheme="minorHAnsi" w:cstheme="minorHAnsi"/>
                <w:b/>
                <w:bCs/>
                <w:color w:val="auto"/>
                <w:lang w:eastAsia="en-US"/>
              </w:rPr>
              <w:t>4</w:t>
            </w:r>
            <w:r w:rsidRPr="00E600F0">
              <w:rPr>
                <w:rFonts w:asciiTheme="minorHAnsi" w:eastAsia="Times New Roman" w:hAnsiTheme="minorHAnsi" w:cstheme="minorHAnsi"/>
                <w:color w:val="auto"/>
                <w:lang w:eastAsia="en-US"/>
              </w:rPr>
              <w:t xml:space="preserve"> hours.</w:t>
            </w:r>
          </w:p>
          <w:p w14:paraId="5FB05715" w14:textId="4D9B3FD5"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 xml:space="preserve">Then </w:t>
            </w:r>
            <w:r w:rsidRPr="00E600F0">
              <w:rPr>
                <w:rFonts w:asciiTheme="minorHAnsi" w:eastAsia="Times New Roman" w:hAnsiTheme="minorHAnsi" w:cstheme="minorHAnsi"/>
                <w:b/>
                <w:bCs/>
                <w:color w:val="auto"/>
                <w:lang w:eastAsia="en-US"/>
              </w:rPr>
              <w:t>4</w:t>
            </w:r>
            <w:r w:rsidRPr="00E600F0">
              <w:rPr>
                <w:rFonts w:asciiTheme="minorHAnsi" w:eastAsia="Times New Roman" w:hAnsiTheme="minorHAnsi" w:cstheme="minorHAnsi"/>
                <w:color w:val="auto"/>
                <w:lang w:eastAsia="en-US"/>
              </w:rPr>
              <w:t xml:space="preserve"> hourly for </w:t>
            </w:r>
            <w:r w:rsidRPr="00E600F0">
              <w:rPr>
                <w:rFonts w:asciiTheme="minorHAnsi" w:eastAsia="Times New Roman" w:hAnsiTheme="minorHAnsi" w:cstheme="minorHAnsi"/>
                <w:b/>
                <w:bCs/>
                <w:color w:val="auto"/>
                <w:lang w:eastAsia="en-US"/>
              </w:rPr>
              <w:t>24</w:t>
            </w:r>
            <w:r w:rsidRPr="00E600F0">
              <w:rPr>
                <w:rFonts w:asciiTheme="minorHAnsi" w:eastAsia="Times New Roman" w:hAnsiTheme="minorHAnsi" w:cstheme="minorHAnsi"/>
                <w:color w:val="auto"/>
                <w:lang w:eastAsia="en-US"/>
              </w:rPr>
              <w:t xml:space="preserve"> hours</w:t>
            </w:r>
          </w:p>
        </w:tc>
        <w:tc>
          <w:tcPr>
            <w:tcW w:w="840" w:type="pct"/>
          </w:tcPr>
          <w:p w14:paraId="2E4BAF04"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p>
          <w:p w14:paraId="2885F429" w14:textId="7777777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p>
          <w:p w14:paraId="093A057E" w14:textId="35F49C37"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Notify Patient Flow and Coordination Hub</w:t>
            </w:r>
          </w:p>
        </w:tc>
      </w:tr>
      <w:tr w:rsidR="007B547A" w:rsidRPr="00E600F0" w14:paraId="2BDE962F" w14:textId="77777777" w:rsidTr="00E45873">
        <w:trPr>
          <w:trHeight w:val="1633"/>
        </w:trPr>
        <w:tc>
          <w:tcPr>
            <w:cnfStyle w:val="001000000000" w:firstRow="0" w:lastRow="0" w:firstColumn="1" w:lastColumn="0" w:oddVBand="0" w:evenVBand="0" w:oddHBand="0" w:evenHBand="0" w:firstRowFirstColumn="0" w:firstRowLastColumn="0" w:lastRowFirstColumn="0" w:lastRowLastColumn="0"/>
            <w:tcW w:w="536" w:type="pct"/>
          </w:tcPr>
          <w:p w14:paraId="0B35EA04" w14:textId="331EB879" w:rsidR="007B547A" w:rsidRPr="00E600F0" w:rsidRDefault="007B547A" w:rsidP="007B547A">
            <w:pPr>
              <w:spacing w:after="120"/>
              <w:jc w:val="center"/>
              <w:rPr>
                <w:rFonts w:asciiTheme="minorHAnsi" w:eastAsia="Times New Roman" w:hAnsiTheme="minorHAnsi" w:cstheme="minorHAnsi"/>
                <w:b/>
                <w:bCs/>
                <w:color w:val="auto"/>
                <w:lang w:eastAsia="en-US"/>
              </w:rPr>
            </w:pPr>
            <w:r w:rsidRPr="007B547A">
              <w:rPr>
                <w:rFonts w:asciiTheme="minorHAnsi" w:eastAsia="Times New Roman" w:hAnsiTheme="minorHAnsi" w:cstheme="minorHAnsi"/>
                <w:b/>
                <w:bCs/>
                <w:color w:val="auto"/>
                <w:lang w:eastAsia="en-US"/>
              </w:rPr>
              <w:t>Equal to or greater than 6</w:t>
            </w:r>
          </w:p>
        </w:tc>
        <w:tc>
          <w:tcPr>
            <w:tcW w:w="991" w:type="pct"/>
          </w:tcPr>
          <w:p w14:paraId="2E5F5F6A" w14:textId="3E767A3E"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p>
        </w:tc>
        <w:tc>
          <w:tcPr>
            <w:tcW w:w="863" w:type="pct"/>
          </w:tcPr>
          <w:p w14:paraId="1BDC35AF" w14:textId="623C729D" w:rsidR="007B547A" w:rsidRPr="00E600F0" w:rsidRDefault="007B547A" w:rsidP="007B547A">
            <w:pPr>
              <w:pStyle w:val="Tablebody"/>
              <w:cnfStyle w:val="000000000000" w:firstRow="0" w:lastRow="0" w:firstColumn="0" w:lastColumn="0" w:oddVBand="0" w:evenVBand="0" w:oddHBand="0" w:evenHBand="0" w:firstRowFirstColumn="0" w:firstRowLastColumn="0" w:lastRowFirstColumn="0" w:lastRowLastColumn="0"/>
              <w:rPr>
                <w:lang w:eastAsia="en-US"/>
              </w:rPr>
            </w:pPr>
            <w:r w:rsidRPr="00E600F0">
              <w:rPr>
                <w:rFonts w:asciiTheme="minorHAnsi" w:hAnsiTheme="minorHAnsi" w:cstheme="minorHAnsi"/>
                <w:b/>
                <w:color w:val="auto"/>
                <w:lang w:eastAsia="en-US"/>
              </w:rPr>
              <w:t xml:space="preserve">Transfer consumer to ED via </w:t>
            </w:r>
            <w:r>
              <w:rPr>
                <w:rFonts w:asciiTheme="minorHAnsi" w:hAnsiTheme="minorHAnsi" w:cstheme="minorHAnsi"/>
                <w:b/>
                <w:color w:val="auto"/>
                <w:lang w:eastAsia="en-US"/>
              </w:rPr>
              <w:t>an a</w:t>
            </w:r>
            <w:r w:rsidRPr="00E600F0">
              <w:rPr>
                <w:rFonts w:asciiTheme="minorHAnsi" w:hAnsiTheme="minorHAnsi" w:cstheme="minorHAnsi"/>
                <w:b/>
                <w:color w:val="auto"/>
                <w:lang w:eastAsia="en-US"/>
              </w:rPr>
              <w:t>mbulance.</w:t>
            </w:r>
          </w:p>
        </w:tc>
        <w:tc>
          <w:tcPr>
            <w:tcW w:w="1770" w:type="pct"/>
          </w:tcPr>
          <w:p w14:paraId="74299F9A" w14:textId="77777777" w:rsidR="007B547A" w:rsidRPr="00E600F0" w:rsidRDefault="007B547A" w:rsidP="007B547A">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b/>
                <w:color w:val="auto"/>
                <w:lang w:eastAsia="en-US"/>
              </w:rPr>
              <w:t>Vital Signs:</w:t>
            </w:r>
          </w:p>
          <w:p w14:paraId="7BDCCFE0"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Pr>
                <w:rFonts w:asciiTheme="minorHAnsi" w:eastAsia="Times New Roman" w:hAnsiTheme="minorHAnsi" w:cstheme="minorHAnsi"/>
                <w:b/>
                <w:bCs/>
                <w:color w:val="auto"/>
                <w:lang w:eastAsia="en-US"/>
              </w:rPr>
              <w:t>every 30 minutes</w:t>
            </w:r>
            <w:r w:rsidRPr="00E600F0">
              <w:rPr>
                <w:rFonts w:asciiTheme="minorHAnsi" w:eastAsia="Times New Roman" w:hAnsiTheme="minorHAnsi" w:cstheme="minorHAnsi"/>
                <w:color w:val="auto"/>
                <w:lang w:eastAsia="en-US"/>
              </w:rPr>
              <w:t xml:space="preserve"> until EWS </w:t>
            </w:r>
            <w:r>
              <w:rPr>
                <w:rFonts w:asciiTheme="minorHAnsi" w:eastAsia="Times New Roman" w:hAnsiTheme="minorHAnsi" w:cstheme="minorHAnsi"/>
                <w:b/>
                <w:bCs/>
                <w:color w:val="auto"/>
                <w:lang w:eastAsia="en-US"/>
              </w:rPr>
              <w:t xml:space="preserve">less than </w:t>
            </w:r>
            <w:r w:rsidRPr="00E600F0">
              <w:rPr>
                <w:rFonts w:asciiTheme="minorHAnsi" w:eastAsia="Times New Roman" w:hAnsiTheme="minorHAnsi" w:cstheme="minorHAnsi"/>
                <w:b/>
                <w:bCs/>
                <w:color w:val="auto"/>
                <w:lang w:eastAsia="en-US"/>
              </w:rPr>
              <w:t>4</w:t>
            </w:r>
          </w:p>
          <w:p w14:paraId="611FCB2B"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auto"/>
                <w:lang w:eastAsia="en-US"/>
              </w:rPr>
            </w:pPr>
            <w:r w:rsidRPr="00E600F0">
              <w:rPr>
                <w:rFonts w:asciiTheme="minorHAnsi" w:eastAsia="Times New Roman" w:hAnsiTheme="minorHAnsi" w:cstheme="minorHAnsi"/>
                <w:bCs/>
                <w:color w:val="auto"/>
                <w:lang w:eastAsia="en-US"/>
              </w:rPr>
              <w:t>BGL</w:t>
            </w:r>
            <w:r>
              <w:rPr>
                <w:rFonts w:asciiTheme="minorHAnsi" w:eastAsia="Times New Roman" w:hAnsiTheme="minorHAnsi" w:cstheme="minorHAnsi"/>
                <w:bCs/>
                <w:color w:val="auto"/>
                <w:lang w:eastAsia="en-US"/>
              </w:rPr>
              <w:t xml:space="preserve"> to be taken</w:t>
            </w:r>
          </w:p>
          <w:p w14:paraId="1BC22822" w14:textId="77777777" w:rsidR="007B547A" w:rsidRPr="00E600F0" w:rsidRDefault="007B547A" w:rsidP="007B547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 xml:space="preserve">Continue </w:t>
            </w:r>
            <w:r w:rsidRPr="00E600F0">
              <w:rPr>
                <w:rFonts w:asciiTheme="minorHAnsi" w:eastAsia="Times New Roman" w:hAnsiTheme="minorHAnsi" w:cstheme="minorHAnsi"/>
                <w:b/>
                <w:bCs/>
                <w:color w:val="auto"/>
                <w:lang w:eastAsia="en-US"/>
              </w:rPr>
              <w:t>hourly</w:t>
            </w:r>
            <w:r w:rsidRPr="00E600F0">
              <w:rPr>
                <w:rFonts w:asciiTheme="minorHAnsi" w:eastAsia="Times New Roman" w:hAnsiTheme="minorHAnsi" w:cstheme="minorHAnsi"/>
                <w:color w:val="auto"/>
                <w:lang w:eastAsia="en-US"/>
              </w:rPr>
              <w:t xml:space="preserve"> vital signs for </w:t>
            </w:r>
            <w:r w:rsidRPr="00E600F0">
              <w:rPr>
                <w:rFonts w:asciiTheme="minorHAnsi" w:eastAsia="Times New Roman" w:hAnsiTheme="minorHAnsi" w:cstheme="minorHAnsi"/>
                <w:b/>
                <w:bCs/>
                <w:color w:val="auto"/>
                <w:lang w:eastAsia="en-US"/>
              </w:rPr>
              <w:t>4</w:t>
            </w:r>
            <w:r w:rsidRPr="00E600F0">
              <w:rPr>
                <w:rFonts w:asciiTheme="minorHAnsi" w:eastAsia="Times New Roman" w:hAnsiTheme="minorHAnsi" w:cstheme="minorHAnsi"/>
                <w:color w:val="auto"/>
                <w:lang w:eastAsia="en-US"/>
              </w:rPr>
              <w:t xml:space="preserve"> hours.</w:t>
            </w:r>
          </w:p>
          <w:p w14:paraId="6A043BAF" w14:textId="028A6F54"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auto"/>
                <w:lang w:eastAsia="en-US"/>
              </w:rPr>
            </w:pPr>
            <w:r w:rsidRPr="00E600F0">
              <w:rPr>
                <w:rFonts w:asciiTheme="minorHAnsi" w:eastAsia="Times New Roman" w:hAnsiTheme="minorHAnsi" w:cstheme="minorHAnsi"/>
                <w:color w:val="auto"/>
                <w:lang w:eastAsia="en-US"/>
              </w:rPr>
              <w:t xml:space="preserve">Then </w:t>
            </w:r>
            <w:r w:rsidRPr="00E600F0">
              <w:rPr>
                <w:rFonts w:asciiTheme="minorHAnsi" w:eastAsia="Times New Roman" w:hAnsiTheme="minorHAnsi" w:cstheme="minorHAnsi"/>
                <w:b/>
                <w:bCs/>
                <w:color w:val="auto"/>
                <w:lang w:eastAsia="en-US"/>
              </w:rPr>
              <w:t>4</w:t>
            </w:r>
            <w:r w:rsidRPr="00E600F0">
              <w:rPr>
                <w:rFonts w:asciiTheme="minorHAnsi" w:eastAsia="Times New Roman" w:hAnsiTheme="minorHAnsi" w:cstheme="minorHAnsi"/>
                <w:color w:val="auto"/>
                <w:lang w:eastAsia="en-US"/>
              </w:rPr>
              <w:t xml:space="preserve"> hourly for </w:t>
            </w:r>
            <w:r w:rsidRPr="00E600F0">
              <w:rPr>
                <w:rFonts w:asciiTheme="minorHAnsi" w:eastAsia="Times New Roman" w:hAnsiTheme="minorHAnsi" w:cstheme="minorHAnsi"/>
                <w:b/>
                <w:bCs/>
                <w:color w:val="auto"/>
                <w:lang w:eastAsia="en-US"/>
              </w:rPr>
              <w:t>24</w:t>
            </w:r>
            <w:r w:rsidRPr="00E600F0">
              <w:rPr>
                <w:rFonts w:asciiTheme="minorHAnsi" w:eastAsia="Times New Roman" w:hAnsiTheme="minorHAnsi" w:cstheme="minorHAnsi"/>
                <w:color w:val="auto"/>
                <w:lang w:eastAsia="en-US"/>
              </w:rPr>
              <w:t xml:space="preserve"> hours</w:t>
            </w:r>
          </w:p>
        </w:tc>
        <w:tc>
          <w:tcPr>
            <w:tcW w:w="840" w:type="pct"/>
          </w:tcPr>
          <w:p w14:paraId="3F72A2DC" w14:textId="36819029" w:rsidR="007B547A" w:rsidRPr="00E600F0" w:rsidRDefault="007B547A" w:rsidP="007B547A">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US"/>
              </w:rPr>
            </w:pPr>
            <w:r w:rsidRPr="00E600F0">
              <w:rPr>
                <w:rFonts w:asciiTheme="minorHAnsi" w:eastAsia="Times New Roman" w:hAnsiTheme="minorHAnsi" w:cstheme="minorHAnsi"/>
                <w:color w:val="auto"/>
                <w:lang w:eastAsia="en-US"/>
              </w:rPr>
              <w:t>Notify Patient Flow and Coordination Hub</w:t>
            </w:r>
          </w:p>
        </w:tc>
      </w:tr>
    </w:tbl>
    <w:p w14:paraId="4F4C2A77" w14:textId="77777777" w:rsidR="007B547A" w:rsidRDefault="007B547A" w:rsidP="00183C7B">
      <w:pPr>
        <w:pStyle w:val="BodyCopy"/>
      </w:pPr>
    </w:p>
    <w:p w14:paraId="092FCA01" w14:textId="4818C261" w:rsidR="007B547A" w:rsidRDefault="007B547A" w:rsidP="007B547A">
      <w:pPr>
        <w:pStyle w:val="BodyCopy"/>
        <w:pBdr>
          <w:top w:val="single" w:sz="4" w:space="1" w:color="auto"/>
          <w:left w:val="single" w:sz="4" w:space="4" w:color="auto"/>
          <w:bottom w:val="single" w:sz="4" w:space="1" w:color="auto"/>
          <w:right w:val="single" w:sz="4" w:space="4" w:color="auto"/>
        </w:pBdr>
      </w:pPr>
      <w:r w:rsidRPr="007B547A">
        <w:rPr>
          <w:b/>
          <w:bCs w:val="0"/>
        </w:rPr>
        <w:t>Alert:</w:t>
      </w:r>
      <w:r>
        <w:t xml:space="preserve"> </w:t>
      </w:r>
      <w:r w:rsidRPr="007B547A">
        <w:t>If the CODE BLUE criteria are met at any time during these timeframes, (i.e threat to AIRWAY, BREATHING or CIRCULATION), call an ambulance.</w:t>
      </w:r>
    </w:p>
    <w:p w14:paraId="075FB9C8" w14:textId="1B182AD4" w:rsidR="00446D87" w:rsidRPr="00037E57" w:rsidRDefault="00446D87" w:rsidP="004B2509">
      <w:pPr>
        <w:pStyle w:val="Heading6"/>
      </w:pPr>
      <w:r>
        <w:t xml:space="preserve">7.2.2 </w:t>
      </w:r>
      <w:r w:rsidRPr="00037E57">
        <w:t>Medical Emergencies (Code Blue):</w:t>
      </w:r>
    </w:p>
    <w:p w14:paraId="7E66F090" w14:textId="77777777" w:rsidR="00446D87" w:rsidRPr="00037E57" w:rsidRDefault="00446D87" w:rsidP="00446D87">
      <w:pPr>
        <w:pStyle w:val="BodyCopy"/>
      </w:pPr>
      <w:r w:rsidRPr="00037E57">
        <w:t>Code Blue relates to a medical condition that has the potential to be life threatening and/or cannot be managed with the available resources at hand.</w:t>
      </w:r>
    </w:p>
    <w:p w14:paraId="4E27CC62" w14:textId="77777777" w:rsidR="00446D87" w:rsidRDefault="00446D87" w:rsidP="00446D87">
      <w:pPr>
        <w:pStyle w:val="BodyCopy"/>
      </w:pPr>
      <w:r w:rsidRPr="00037E57">
        <w:t>Any staff member may activate a Code Blue if they have concerns for any person’s health and wellbeing at the Centre.</w:t>
      </w:r>
    </w:p>
    <w:p w14:paraId="67D8A00B" w14:textId="77777777" w:rsidR="00446D87" w:rsidRPr="005756B3" w:rsidRDefault="00446D87" w:rsidP="00446D87">
      <w:pPr>
        <w:pStyle w:val="BodyCopy"/>
      </w:pPr>
      <w:r>
        <w:t xml:space="preserve">Refer to the </w:t>
      </w:r>
      <w:r w:rsidRPr="005756B3">
        <w:t xml:space="preserve"> </w:t>
      </w:r>
      <w:hyperlink r:id="rId11" w:history="1">
        <w:r w:rsidRPr="005756B3">
          <w:t xml:space="preserve">MHJHADS procedure </w:t>
        </w:r>
        <w:r w:rsidRPr="005756B3">
          <w:rPr>
            <w:i/>
            <w:iCs w:val="0"/>
          </w:rPr>
          <w:t>Recognition and Escalation Pathways for Physiological Deterioration for Bedded Services Remote to Canberra Hospital, University of Canberra Hospital and North Canberra Hospital</w:t>
        </w:r>
      </w:hyperlink>
    </w:p>
    <w:p w14:paraId="7C80BB08" w14:textId="77777777" w:rsidR="00446D87" w:rsidRDefault="00446D87" w:rsidP="00446D87">
      <w:pPr>
        <w:rPr>
          <w:rFonts w:eastAsia="Times New Roman"/>
          <w:bCs/>
          <w:iCs/>
          <w:lang w:eastAsia="en-US"/>
        </w:rPr>
      </w:pPr>
      <w:r w:rsidRPr="00183C7B">
        <w:rPr>
          <w:rFonts w:eastAsia="Times New Roman"/>
          <w:bCs/>
          <w:iCs/>
          <w:lang w:eastAsia="en-US"/>
        </w:rPr>
        <w:t>If the consumer meets any of the following criteria call an ambulance immediately and transfer the consumer to the Emergency Department.</w:t>
      </w:r>
    </w:p>
    <w:p w14:paraId="505FDACC" w14:textId="73503189" w:rsidR="00A52854" w:rsidRDefault="00A52854" w:rsidP="00A52854">
      <w:pPr>
        <w:pStyle w:val="Tabletitle-numbered"/>
      </w:pPr>
      <w:r>
        <w:t>Criteria for ambulance call and transfer to Emergency Department</w:t>
      </w:r>
    </w:p>
    <w:p w14:paraId="24DAAE1A" w14:textId="5F641D5A" w:rsidR="00B44B87" w:rsidRPr="00183C7B" w:rsidRDefault="00B44B87" w:rsidP="00B44B87">
      <w:pPr>
        <w:pStyle w:val="BodyCopy"/>
      </w:pPr>
      <w:r w:rsidRPr="00B44B87">
        <w:rPr>
          <w:b/>
          <w:bCs w:val="0"/>
          <w:u w:val="single"/>
        </w:rPr>
        <w:t>All Cardiac and Respiratory Arrests</w:t>
      </w:r>
      <w:r>
        <w:rPr>
          <w:b/>
          <w:bCs w:val="0"/>
          <w:u w:val="single"/>
        </w:rPr>
        <w:t xml:space="preserve"> require an ambulance</w:t>
      </w:r>
      <w:r w:rsidRPr="00B44B87">
        <w:t xml:space="preserve"> </w:t>
      </w:r>
      <w:r w:rsidRPr="005E771D">
        <w:t xml:space="preserve">and acute changes </w:t>
      </w:r>
      <w:r>
        <w:t>as per table</w:t>
      </w:r>
      <w:r w:rsidRPr="005E771D">
        <w:t>:</w:t>
      </w:r>
    </w:p>
    <w:tbl>
      <w:tblPr>
        <w:tblStyle w:val="TableGrid11"/>
        <w:tblW w:w="9980" w:type="dxa"/>
        <w:tblInd w:w="-5" w:type="dxa"/>
        <w:shd w:val="clear" w:color="auto" w:fill="FFFFFF" w:themeFill="background1"/>
        <w:tblLook w:val="04A0" w:firstRow="1" w:lastRow="0" w:firstColumn="1" w:lastColumn="0" w:noHBand="0" w:noVBand="1"/>
      </w:tblPr>
      <w:tblGrid>
        <w:gridCol w:w="3119"/>
        <w:gridCol w:w="6861"/>
      </w:tblGrid>
      <w:tr w:rsidR="007B547A" w:rsidRPr="00B44B87" w14:paraId="59553048" w14:textId="77777777" w:rsidTr="00B44B87">
        <w:trPr>
          <w:trHeight w:val="470"/>
          <w:tblHeader/>
        </w:trPr>
        <w:tc>
          <w:tcPr>
            <w:tcW w:w="3119" w:type="dxa"/>
            <w:shd w:val="clear" w:color="auto" w:fill="3D2262" w:themeFill="accent1"/>
          </w:tcPr>
          <w:p w14:paraId="5821927D" w14:textId="573DA4A3" w:rsidR="007B547A" w:rsidRPr="00B44B87" w:rsidRDefault="007B547A" w:rsidP="00B44B87">
            <w:pPr>
              <w:pStyle w:val="Tableheader"/>
              <w:jc w:val="center"/>
              <w:rPr>
                <w:rFonts w:asciiTheme="majorHAnsi" w:hAnsiTheme="majorHAnsi" w:cstheme="majorHAnsi"/>
                <w:color w:val="auto"/>
                <w:sz w:val="24"/>
                <w:szCs w:val="24"/>
              </w:rPr>
            </w:pPr>
            <w:r w:rsidRPr="00B44B87">
              <w:rPr>
                <w:rFonts w:asciiTheme="majorHAnsi" w:hAnsiTheme="majorHAnsi" w:cstheme="majorHAnsi"/>
                <w:sz w:val="24"/>
                <w:szCs w:val="24"/>
              </w:rPr>
              <w:t>Criteria:</w:t>
            </w:r>
          </w:p>
        </w:tc>
        <w:tc>
          <w:tcPr>
            <w:tcW w:w="6861" w:type="dxa"/>
            <w:shd w:val="clear" w:color="auto" w:fill="3D2262" w:themeFill="accent1"/>
          </w:tcPr>
          <w:p w14:paraId="71941777" w14:textId="2E5DD7B6" w:rsidR="007B547A" w:rsidRPr="00B44B87" w:rsidRDefault="00B44B87" w:rsidP="00B44B87">
            <w:pPr>
              <w:pStyle w:val="Tableheader"/>
              <w:jc w:val="center"/>
              <w:rPr>
                <w:rFonts w:asciiTheme="majorHAnsi" w:eastAsia="Calibri" w:hAnsiTheme="majorHAnsi" w:cstheme="majorHAnsi"/>
                <w:sz w:val="24"/>
                <w:szCs w:val="24"/>
              </w:rPr>
            </w:pPr>
            <w:r w:rsidRPr="00B44B87">
              <w:rPr>
                <w:rFonts w:asciiTheme="majorHAnsi" w:eastAsia="Calibri" w:hAnsiTheme="majorHAnsi" w:cstheme="majorHAnsi"/>
                <w:sz w:val="24"/>
                <w:szCs w:val="24"/>
              </w:rPr>
              <w:t>Acute change:</w:t>
            </w:r>
          </w:p>
        </w:tc>
      </w:tr>
      <w:tr w:rsidR="00446D87" w:rsidRPr="005E771D" w14:paraId="29D8AF41" w14:textId="77777777" w:rsidTr="00B417AB">
        <w:trPr>
          <w:trHeight w:val="389"/>
        </w:trPr>
        <w:tc>
          <w:tcPr>
            <w:tcW w:w="3119" w:type="dxa"/>
            <w:shd w:val="clear" w:color="auto" w:fill="FFFFFF" w:themeFill="background1"/>
          </w:tcPr>
          <w:p w14:paraId="342A2455"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AIRWAY</w:t>
            </w:r>
          </w:p>
        </w:tc>
        <w:tc>
          <w:tcPr>
            <w:tcW w:w="6861" w:type="dxa"/>
            <w:shd w:val="clear" w:color="auto" w:fill="FFFFFF" w:themeFill="background1"/>
          </w:tcPr>
          <w:p w14:paraId="4FC0931D"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Threatened</w:t>
            </w:r>
          </w:p>
        </w:tc>
      </w:tr>
      <w:tr w:rsidR="00446D87" w:rsidRPr="005E771D" w14:paraId="548B7732" w14:textId="77777777" w:rsidTr="00B417AB">
        <w:trPr>
          <w:trHeight w:val="579"/>
        </w:trPr>
        <w:tc>
          <w:tcPr>
            <w:tcW w:w="3119" w:type="dxa"/>
            <w:shd w:val="clear" w:color="auto" w:fill="FFFFFF" w:themeFill="background1"/>
          </w:tcPr>
          <w:p w14:paraId="3111A153"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BREATHING</w:t>
            </w:r>
          </w:p>
        </w:tc>
        <w:tc>
          <w:tcPr>
            <w:tcW w:w="6861" w:type="dxa"/>
            <w:shd w:val="clear" w:color="auto" w:fill="FFFFFF" w:themeFill="background1"/>
          </w:tcPr>
          <w:p w14:paraId="0C66B5C3"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ALL RESPIRATORY ARRESTS</w:t>
            </w:r>
          </w:p>
          <w:p w14:paraId="5B57ADB0"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Respiratory Rate </w:t>
            </w:r>
            <w:r w:rsidRPr="00B44B87">
              <w:rPr>
                <w:rFonts w:asciiTheme="minorHAnsi" w:eastAsia="Calibri" w:hAnsiTheme="minorHAnsi" w:cstheme="minorHAnsi"/>
                <w:sz w:val="24"/>
                <w:szCs w:val="24"/>
              </w:rPr>
              <w:t>less than</w:t>
            </w:r>
            <w:r w:rsidRPr="00B44B87">
              <w:rPr>
                <w:rFonts w:asciiTheme="minorHAnsi" w:hAnsiTheme="minorHAnsi" w:cstheme="minorHAnsi"/>
                <w:sz w:val="24"/>
                <w:szCs w:val="24"/>
              </w:rPr>
              <w:t xml:space="preserve"> 5/min</w:t>
            </w:r>
          </w:p>
          <w:p w14:paraId="4DAF2D73"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Respiratory Rate </w:t>
            </w:r>
            <w:r w:rsidRPr="00B44B87">
              <w:rPr>
                <w:rFonts w:asciiTheme="minorHAnsi" w:eastAsia="Calibri" w:hAnsiTheme="minorHAnsi" w:cstheme="minorHAnsi"/>
                <w:sz w:val="24"/>
                <w:szCs w:val="24"/>
              </w:rPr>
              <w:t xml:space="preserve">greater than </w:t>
            </w:r>
            <w:r w:rsidRPr="00B44B87">
              <w:rPr>
                <w:rFonts w:asciiTheme="minorHAnsi" w:hAnsiTheme="minorHAnsi" w:cstheme="minorHAnsi"/>
                <w:sz w:val="24"/>
                <w:szCs w:val="24"/>
              </w:rPr>
              <w:t>36/min</w:t>
            </w:r>
          </w:p>
          <w:p w14:paraId="546F7FED"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Sp02 </w:t>
            </w:r>
            <w:r w:rsidRPr="00B44B87">
              <w:rPr>
                <w:rFonts w:asciiTheme="minorHAnsi" w:eastAsia="Calibri" w:hAnsiTheme="minorHAnsi" w:cstheme="minorHAnsi"/>
                <w:sz w:val="24"/>
                <w:szCs w:val="24"/>
              </w:rPr>
              <w:t xml:space="preserve">less than </w:t>
            </w:r>
            <w:r w:rsidRPr="00B44B87">
              <w:rPr>
                <w:rFonts w:asciiTheme="minorHAnsi" w:hAnsiTheme="minorHAnsi" w:cstheme="minorHAnsi"/>
                <w:sz w:val="24"/>
                <w:szCs w:val="24"/>
              </w:rPr>
              <w:t>85%</w:t>
            </w:r>
          </w:p>
        </w:tc>
      </w:tr>
      <w:tr w:rsidR="00446D87" w:rsidRPr="005E771D" w14:paraId="20360118" w14:textId="77777777" w:rsidTr="00B417AB">
        <w:trPr>
          <w:trHeight w:val="837"/>
        </w:trPr>
        <w:tc>
          <w:tcPr>
            <w:tcW w:w="3119" w:type="dxa"/>
            <w:shd w:val="clear" w:color="auto" w:fill="FFFFFF" w:themeFill="background1"/>
          </w:tcPr>
          <w:p w14:paraId="18DC3387"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CIRCULATION</w:t>
            </w:r>
          </w:p>
        </w:tc>
        <w:tc>
          <w:tcPr>
            <w:tcW w:w="6861" w:type="dxa"/>
            <w:shd w:val="clear" w:color="auto" w:fill="FFFFFF" w:themeFill="background1"/>
          </w:tcPr>
          <w:p w14:paraId="52B185ED"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ALL CARDIAC ARRESTS</w:t>
            </w:r>
          </w:p>
          <w:p w14:paraId="7F6BC4AA"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Pulse rate </w:t>
            </w:r>
            <w:r w:rsidRPr="00B44B87">
              <w:rPr>
                <w:rFonts w:asciiTheme="minorHAnsi" w:eastAsia="Calibri" w:hAnsiTheme="minorHAnsi" w:cstheme="minorHAnsi"/>
                <w:sz w:val="24"/>
                <w:szCs w:val="24"/>
              </w:rPr>
              <w:t>less than</w:t>
            </w:r>
            <w:r w:rsidRPr="00B44B87">
              <w:rPr>
                <w:rFonts w:asciiTheme="minorHAnsi" w:hAnsiTheme="minorHAnsi" w:cstheme="minorHAnsi"/>
                <w:sz w:val="24"/>
                <w:szCs w:val="24"/>
              </w:rPr>
              <w:t xml:space="preserve"> 39 bpm</w:t>
            </w:r>
          </w:p>
          <w:p w14:paraId="6464995A"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Pulse rate </w:t>
            </w:r>
            <w:r w:rsidRPr="00B44B87">
              <w:rPr>
                <w:rFonts w:asciiTheme="minorHAnsi" w:eastAsia="Calibri" w:hAnsiTheme="minorHAnsi" w:cstheme="minorHAnsi"/>
                <w:sz w:val="24"/>
                <w:szCs w:val="24"/>
              </w:rPr>
              <w:t>greater than</w:t>
            </w:r>
            <w:r w:rsidRPr="00B44B87">
              <w:rPr>
                <w:rFonts w:asciiTheme="minorHAnsi" w:hAnsiTheme="minorHAnsi" w:cstheme="minorHAnsi"/>
                <w:sz w:val="24"/>
                <w:szCs w:val="24"/>
              </w:rPr>
              <w:t xml:space="preserve"> 140 bpm</w:t>
            </w:r>
          </w:p>
          <w:p w14:paraId="025C0B9C"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Systolic Blood Pressure </w:t>
            </w:r>
            <w:r w:rsidRPr="00B44B87">
              <w:rPr>
                <w:rFonts w:asciiTheme="minorHAnsi" w:eastAsia="Calibri" w:hAnsiTheme="minorHAnsi" w:cstheme="minorHAnsi"/>
                <w:sz w:val="24"/>
                <w:szCs w:val="24"/>
              </w:rPr>
              <w:t>less than</w:t>
            </w:r>
            <w:r w:rsidRPr="00B44B87">
              <w:rPr>
                <w:rFonts w:asciiTheme="minorHAnsi" w:hAnsiTheme="minorHAnsi" w:cstheme="minorHAnsi"/>
                <w:sz w:val="24"/>
                <w:szCs w:val="24"/>
              </w:rPr>
              <w:t xml:space="preserve"> 90mmHg</w:t>
            </w:r>
          </w:p>
        </w:tc>
      </w:tr>
      <w:tr w:rsidR="00446D87" w:rsidRPr="005E771D" w14:paraId="5B8EC8FB" w14:textId="77777777" w:rsidTr="00B417AB">
        <w:trPr>
          <w:trHeight w:val="837"/>
        </w:trPr>
        <w:tc>
          <w:tcPr>
            <w:tcW w:w="3119" w:type="dxa"/>
            <w:shd w:val="clear" w:color="auto" w:fill="FFFFFF" w:themeFill="background1"/>
          </w:tcPr>
          <w:p w14:paraId="437D0B10"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NEUROLOGY</w:t>
            </w:r>
          </w:p>
        </w:tc>
        <w:tc>
          <w:tcPr>
            <w:tcW w:w="6861" w:type="dxa"/>
            <w:shd w:val="clear" w:color="auto" w:fill="FFFFFF" w:themeFill="background1"/>
          </w:tcPr>
          <w:p w14:paraId="2F1E42C6"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Sudden drop in level of consciousness (Fall in GCS </w:t>
            </w:r>
            <w:r w:rsidRPr="00B44B87">
              <w:rPr>
                <w:rFonts w:asciiTheme="minorHAnsi" w:eastAsia="Calibri" w:hAnsiTheme="minorHAnsi" w:cstheme="minorHAnsi"/>
                <w:sz w:val="24"/>
                <w:szCs w:val="24"/>
              </w:rPr>
              <w:t xml:space="preserve">greater than </w:t>
            </w:r>
            <w:r w:rsidRPr="00B44B87">
              <w:rPr>
                <w:rFonts w:asciiTheme="minorHAnsi" w:hAnsiTheme="minorHAnsi" w:cstheme="minorHAnsi"/>
                <w:sz w:val="24"/>
                <w:szCs w:val="24"/>
              </w:rPr>
              <w:t>2 points)</w:t>
            </w:r>
          </w:p>
          <w:p w14:paraId="36F4773A"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Repeated or prolonged seizures</w:t>
            </w:r>
          </w:p>
        </w:tc>
      </w:tr>
      <w:tr w:rsidR="00446D87" w:rsidRPr="005E771D" w14:paraId="54195993" w14:textId="77777777" w:rsidTr="00B417AB">
        <w:trPr>
          <w:trHeight w:val="837"/>
        </w:trPr>
        <w:tc>
          <w:tcPr>
            <w:tcW w:w="3119" w:type="dxa"/>
            <w:shd w:val="clear" w:color="auto" w:fill="FFFFFF" w:themeFill="background1"/>
          </w:tcPr>
          <w:p w14:paraId="0028EB56"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TRAUMATIC INJURY</w:t>
            </w:r>
          </w:p>
        </w:tc>
        <w:tc>
          <w:tcPr>
            <w:tcW w:w="6861" w:type="dxa"/>
            <w:shd w:val="clear" w:color="auto" w:fill="FFFFFF" w:themeFill="background1"/>
          </w:tcPr>
          <w:p w14:paraId="3CD8F977"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Serious Self-Harm</w:t>
            </w:r>
          </w:p>
          <w:p w14:paraId="6AE71F0C"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Serious Assault</w:t>
            </w:r>
          </w:p>
          <w:p w14:paraId="3F9F0F43"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Serious Accidental Injury</w:t>
            </w:r>
          </w:p>
        </w:tc>
      </w:tr>
      <w:tr w:rsidR="00446D87" w:rsidRPr="005E771D" w14:paraId="1BF5C8EF" w14:textId="77777777" w:rsidTr="00B417AB">
        <w:trPr>
          <w:trHeight w:val="416"/>
        </w:trPr>
        <w:tc>
          <w:tcPr>
            <w:tcW w:w="3119" w:type="dxa"/>
            <w:shd w:val="clear" w:color="auto" w:fill="FFFFFF" w:themeFill="background1"/>
          </w:tcPr>
          <w:p w14:paraId="6B8E4D3E" w14:textId="77777777" w:rsidR="00446D87" w:rsidRPr="00B44B87" w:rsidRDefault="00446D87" w:rsidP="00B44B87">
            <w:pPr>
              <w:spacing w:after="120"/>
              <w:rPr>
                <w:rFonts w:asciiTheme="minorHAnsi" w:eastAsia="Calibri" w:hAnsiTheme="minorHAnsi" w:cstheme="minorHAnsi"/>
                <w:b/>
                <w:bCs/>
                <w:sz w:val="24"/>
                <w:szCs w:val="24"/>
              </w:rPr>
            </w:pPr>
            <w:r w:rsidRPr="00B44B87">
              <w:rPr>
                <w:rFonts w:asciiTheme="minorHAnsi" w:hAnsiTheme="minorHAnsi" w:cstheme="minorHAnsi"/>
                <w:b/>
                <w:bCs/>
                <w:sz w:val="24"/>
                <w:szCs w:val="24"/>
              </w:rPr>
              <w:t>OTHER</w:t>
            </w:r>
          </w:p>
        </w:tc>
        <w:tc>
          <w:tcPr>
            <w:tcW w:w="6861" w:type="dxa"/>
            <w:shd w:val="clear" w:color="auto" w:fill="FFFFFF" w:themeFill="background1"/>
          </w:tcPr>
          <w:p w14:paraId="4D36327E"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 xml:space="preserve">A single clinic observation leading to an EWS </w:t>
            </w:r>
            <w:r w:rsidRPr="00B44B87">
              <w:rPr>
                <w:rFonts w:asciiTheme="minorHAnsi" w:eastAsia="Calibri" w:hAnsiTheme="minorHAnsi" w:cstheme="minorHAnsi"/>
                <w:sz w:val="24"/>
                <w:szCs w:val="24"/>
              </w:rPr>
              <w:t>equal</w:t>
            </w:r>
            <w:r w:rsidRPr="00B44B87">
              <w:rPr>
                <w:rFonts w:asciiTheme="minorHAnsi" w:hAnsiTheme="minorHAnsi" w:cstheme="minorHAnsi"/>
                <w:sz w:val="24"/>
                <w:szCs w:val="24"/>
              </w:rPr>
              <w:t xml:space="preserve"> 4</w:t>
            </w:r>
          </w:p>
          <w:p w14:paraId="333BE610" w14:textId="77777777" w:rsidR="00446D87" w:rsidRPr="00B44B87" w:rsidRDefault="00446D87" w:rsidP="00B44B87">
            <w:pPr>
              <w:spacing w:after="120"/>
              <w:rPr>
                <w:rFonts w:asciiTheme="minorHAnsi" w:eastAsia="Calibri" w:hAnsiTheme="minorHAnsi" w:cstheme="minorHAnsi"/>
                <w:sz w:val="24"/>
                <w:szCs w:val="24"/>
              </w:rPr>
            </w:pPr>
            <w:r w:rsidRPr="00B44B87">
              <w:rPr>
                <w:rFonts w:asciiTheme="minorHAnsi" w:hAnsiTheme="minorHAnsi" w:cstheme="minorHAnsi"/>
                <w:sz w:val="24"/>
                <w:szCs w:val="24"/>
              </w:rPr>
              <w:t>Any client you are worried about that does not fit the above criteria</w:t>
            </w:r>
          </w:p>
        </w:tc>
      </w:tr>
    </w:tbl>
    <w:p w14:paraId="7018C282" w14:textId="77777777" w:rsidR="00037E57" w:rsidRPr="00037E57" w:rsidRDefault="00037E57" w:rsidP="004B2509">
      <w:pPr>
        <w:pStyle w:val="Heading6"/>
      </w:pPr>
      <w:r w:rsidRPr="00037E57">
        <w:t>7.2.3 Readmission to the Centre following deterioration of physical health.</w:t>
      </w:r>
    </w:p>
    <w:p w14:paraId="00EAE938" w14:textId="77777777" w:rsidR="00037E57" w:rsidRPr="00037E57" w:rsidRDefault="00037E57" w:rsidP="00037E57">
      <w:pPr>
        <w:pStyle w:val="BodyCopy"/>
      </w:pPr>
      <w:r w:rsidRPr="00037E57">
        <w:t>If a consumer returns from an acute facility or Emergency Department, they may be re-admitted to the Centre with a clinical handover to the RN2 TL in ISBAR format. An MDT will occur the next business day to discuss factors that contributed to the deterioration in physical health and adjustments made to the care plan.</w:t>
      </w:r>
    </w:p>
    <w:p w14:paraId="12D6D3CC" w14:textId="19DA3C26" w:rsidR="0057473B" w:rsidRDefault="00310C63" w:rsidP="00310C63">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6C5676F3" w14:textId="55A80DFD" w:rsidR="00037E57" w:rsidRDefault="00037E57" w:rsidP="00037E57">
      <w:pPr>
        <w:pStyle w:val="Heading4"/>
      </w:pPr>
      <w:bookmarkStart w:id="25" w:name="_Toc201246937"/>
      <w:r>
        <w:t>Section 8- Safety and Security</w:t>
      </w:r>
      <w:bookmarkEnd w:id="25"/>
    </w:p>
    <w:p w14:paraId="490446A7" w14:textId="77777777" w:rsidR="00037E57" w:rsidRPr="00037E57" w:rsidRDefault="00037E57" w:rsidP="00037E57">
      <w:pPr>
        <w:pStyle w:val="BodyCopy"/>
      </w:pPr>
      <w:r w:rsidRPr="00037E57">
        <w:t>The Centre aims to ensure safety for consumers, visitors and staff.</w:t>
      </w:r>
    </w:p>
    <w:p w14:paraId="4417563A" w14:textId="77777777" w:rsidR="00037E57" w:rsidRPr="00037E57" w:rsidRDefault="00037E57" w:rsidP="00037E57">
      <w:pPr>
        <w:pStyle w:val="BodyCopy"/>
      </w:pPr>
      <w:r w:rsidRPr="00037E57">
        <w:t xml:space="preserve">A therapeutic approach to security includes relational, environmental and procedural security. </w:t>
      </w:r>
    </w:p>
    <w:p w14:paraId="4E53B594" w14:textId="77777777" w:rsidR="00037E57" w:rsidRPr="00037E57" w:rsidRDefault="00037E57" w:rsidP="00037E57">
      <w:pPr>
        <w:pStyle w:val="BodyCopy"/>
      </w:pPr>
      <w:r w:rsidRPr="00037E57">
        <w:t xml:space="preserve">Relational security describes the relationship between staff and consumers, including aspects relating to quality of care and resourcing, knowing and understanding the consumer, their history, stressors, strengths and risk potential. It is the responsibility of all staff. Staff work with consumers to reduce their distress and avoid mental health deterioration. </w:t>
      </w:r>
    </w:p>
    <w:p w14:paraId="00D19907" w14:textId="4CF5A711" w:rsidR="00037E57" w:rsidRPr="00037E57" w:rsidRDefault="443942EC" w:rsidP="00037E57">
      <w:pPr>
        <w:pStyle w:val="BodyCopy"/>
      </w:pPr>
      <w:r>
        <w:t>Environmental security refers to ensuring the physical environment is safe for consumers, staff and visitors. It includes building design and maintenance, access controls to enter the building, and CCTV in specified areas. It is primarily the responsibility of the CHS security team.  Procedural security are methods used by staff to maintain security such as following relevant CHS procedures, guidelines and legislation</w:t>
      </w:r>
    </w:p>
    <w:p w14:paraId="03E85BEB" w14:textId="77777777" w:rsidR="00037E57" w:rsidRPr="00037E57" w:rsidRDefault="00037E57" w:rsidP="00037E57">
      <w:pPr>
        <w:pStyle w:val="BodyCopy"/>
      </w:pPr>
      <w:r w:rsidRPr="00037E57">
        <w:t>The Centre will utilise the Safewards model and interventions. The Safewards model is designed to reduce conflict and containment or restrictive practices within in-patient units by identifying and addressing the causes of behaviours in staff and consumers that may result in harm (conflict) and reduce the likelihood of this occurring. Staff are trained to use a range of methods to manage consumer behaviours in a concerted effort to reduce restrictive or coercive interventions. This also requires staff to review their own behaviours and responses to conflict and the strategies used to manage challenging behaviours. Safewards strategies are included in the orientation and induction for new Centre staff.</w:t>
      </w:r>
    </w:p>
    <w:p w14:paraId="041AE698" w14:textId="77777777" w:rsidR="00037E57" w:rsidRPr="00037E57" w:rsidRDefault="00037E57" w:rsidP="00D011CF">
      <w:pPr>
        <w:pStyle w:val="Heading5"/>
      </w:pPr>
      <w:r w:rsidRPr="00037E57">
        <w:t>8.1 Emergency codes and plans</w:t>
      </w:r>
    </w:p>
    <w:p w14:paraId="170D183E" w14:textId="77777777" w:rsidR="00037E57" w:rsidRPr="00037E57" w:rsidRDefault="00037E57" w:rsidP="00037E57">
      <w:pPr>
        <w:pStyle w:val="BodyCopy"/>
      </w:pPr>
      <w:r>
        <w:t>All staff will comply with the Eating Disorder Residential Treatment Centre Emergency Management Plan and the CHS Emergency Plan. This is available at the Centre in hardcopy and on the CHS Health Hub SharePoint. Staff are orientated to the Centre Emergency Plan and its location on induction.</w:t>
      </w:r>
    </w:p>
    <w:p w14:paraId="6C67AD82" w14:textId="77777777" w:rsidR="00037E57" w:rsidRPr="00037E57" w:rsidRDefault="00037E57" w:rsidP="00D011CF">
      <w:pPr>
        <w:pStyle w:val="Heading5"/>
      </w:pPr>
      <w:r w:rsidRPr="00037E57">
        <w:t>8.2 Security services</w:t>
      </w:r>
    </w:p>
    <w:p w14:paraId="60783854" w14:textId="77777777" w:rsidR="00037E57" w:rsidRPr="00037E57" w:rsidRDefault="00037E57" w:rsidP="00037E57">
      <w:pPr>
        <w:pStyle w:val="BodyCopy"/>
      </w:pPr>
      <w:r w:rsidRPr="00037E57">
        <w:t>The Centre is supported by security procedures and CHS Security. There are three tiers of response:</w:t>
      </w:r>
    </w:p>
    <w:p w14:paraId="7F15E220" w14:textId="77777777" w:rsidR="00037E57" w:rsidRPr="00037E57" w:rsidRDefault="00037E57" w:rsidP="00B44B87">
      <w:pPr>
        <w:pStyle w:val="Numberedlist"/>
      </w:pPr>
      <w:r w:rsidRPr="00037E57">
        <w:t>Local response by clinical staff.</w:t>
      </w:r>
    </w:p>
    <w:p w14:paraId="0590F03F" w14:textId="77777777" w:rsidR="00037E57" w:rsidRPr="00037E57" w:rsidRDefault="00037E57" w:rsidP="00B44B87">
      <w:pPr>
        <w:pStyle w:val="Numberedlist"/>
      </w:pPr>
      <w:r w:rsidRPr="00037E57">
        <w:t>Escalate to off-site security.</w:t>
      </w:r>
    </w:p>
    <w:p w14:paraId="245D55DD" w14:textId="071707E1" w:rsidR="00037E57" w:rsidRPr="00037E57" w:rsidRDefault="443942EC" w:rsidP="00B44B87">
      <w:pPr>
        <w:pStyle w:val="Numberedlist"/>
      </w:pPr>
      <w:r>
        <w:t xml:space="preserve">If </w:t>
      </w:r>
      <w:r w:rsidR="2A71DE68">
        <w:t>C</w:t>
      </w:r>
      <w:r>
        <w:t>-cure alarm is activated (see ASCOM)- CHS Security operations will contact the CHS Security contractor to attend. This service consists of a single person patrol with 20-minute response time Key Performance Indicators (KPI).</w:t>
      </w:r>
    </w:p>
    <w:p w14:paraId="2BB3C2DF" w14:textId="77777777" w:rsidR="00037E57" w:rsidRPr="00037E57" w:rsidRDefault="00037E57" w:rsidP="00037E57">
      <w:pPr>
        <w:pStyle w:val="BodyCopy"/>
      </w:pPr>
      <w:r w:rsidRPr="00037E57">
        <w:t>More serious incidents escalate to Australian Federal Police (AFP) based on threat level determined by the Centre staff. For an emergency response, staff should call Police on 0-000.</w:t>
      </w:r>
    </w:p>
    <w:p w14:paraId="2A47B8B5" w14:textId="77777777" w:rsidR="00037E57" w:rsidRPr="00037E57" w:rsidRDefault="00037E57" w:rsidP="00037E57">
      <w:pPr>
        <w:pStyle w:val="BodyCopy"/>
      </w:pPr>
      <w:r w:rsidRPr="00037E57">
        <w:t>Two welfare checks/patrols will be conducted overnight by the CHS security contractor.</w:t>
      </w:r>
    </w:p>
    <w:p w14:paraId="1C85CD79" w14:textId="77777777" w:rsidR="00037E57" w:rsidRPr="00037E57" w:rsidRDefault="00037E57" w:rsidP="00037E57">
      <w:pPr>
        <w:pStyle w:val="BodyCopy"/>
      </w:pPr>
      <w:r w:rsidRPr="00037E57">
        <w:t xml:space="preserve">CCTV is located on the external aspect of the building, within the communications room, within the medication room focused on the drug safe and within communal social areas. CCTV is used in accordance with the CHS </w:t>
      </w:r>
      <w:r w:rsidRPr="00037E57">
        <w:rPr>
          <w:i/>
        </w:rPr>
        <w:t>Protective Security – Closed Circuit Television</w:t>
      </w:r>
      <w:r w:rsidRPr="00037E57">
        <w:t xml:space="preserve"> procedure.</w:t>
      </w:r>
    </w:p>
    <w:p w14:paraId="54286D01" w14:textId="77777777" w:rsidR="00037E57" w:rsidRPr="00037E57" w:rsidRDefault="00037E57" w:rsidP="00D011CF">
      <w:pPr>
        <w:pStyle w:val="Heading5"/>
      </w:pPr>
      <w:r w:rsidRPr="00037E57">
        <w:t xml:space="preserve">8.3 Code Black </w:t>
      </w:r>
    </w:p>
    <w:p w14:paraId="2DEA953C" w14:textId="77777777" w:rsidR="00037E57" w:rsidRPr="00037E57" w:rsidRDefault="00037E57" w:rsidP="00037E57">
      <w:pPr>
        <w:pStyle w:val="BodyCopy"/>
      </w:pPr>
      <w:r w:rsidRPr="00037E57">
        <w:t xml:space="preserve">In addition to the Emergency Management Plans the Centre adheres to CHS </w:t>
      </w:r>
      <w:r w:rsidRPr="00037E57">
        <w:rPr>
          <w:i/>
        </w:rPr>
        <w:t xml:space="preserve">Occupational Policies and Procedures for Occupational Violence. </w:t>
      </w:r>
      <w:r w:rsidRPr="00037E57">
        <w:t>Occupational Violence is unacceptable and includes any situation where a staff member is abused, threatened, or assaulted by a consumer or visitor in circumstances relating to their work.</w:t>
      </w:r>
    </w:p>
    <w:p w14:paraId="1B6BD86B" w14:textId="77777777" w:rsidR="00037E57" w:rsidRPr="00037E57" w:rsidRDefault="00037E57" w:rsidP="004B2509">
      <w:pPr>
        <w:pStyle w:val="Heading6"/>
      </w:pPr>
      <w:r w:rsidRPr="00037E57">
        <w:t xml:space="preserve">8.3.1 Duress Alarms </w:t>
      </w:r>
    </w:p>
    <w:p w14:paraId="135A4E80" w14:textId="77777777" w:rsidR="00037E57" w:rsidRPr="00037E57" w:rsidRDefault="00037E57" w:rsidP="00037E57">
      <w:pPr>
        <w:pStyle w:val="BodyCopy"/>
      </w:pPr>
      <w:r w:rsidRPr="00037E57">
        <w:rPr>
          <w:b/>
          <w:bCs w:val="0"/>
        </w:rPr>
        <w:t>Personal duress alarms</w:t>
      </w:r>
      <w:r w:rsidRPr="00037E57">
        <w:t xml:space="preserve"> – ASCOM, are security devices to help ensure safety and communication around safety for consumers, staff and visitors. </w:t>
      </w:r>
    </w:p>
    <w:p w14:paraId="0A823EDF" w14:textId="77777777" w:rsidR="00037E57" w:rsidRPr="00037E57" w:rsidRDefault="00037E57" w:rsidP="00037E57">
      <w:pPr>
        <w:pStyle w:val="BodyCopy"/>
      </w:pPr>
      <w:r w:rsidRPr="00037E57">
        <w:t>All members of staff are required to wear a personal duress alarm registered to them. A personal duress alarm should be collected from the storage/charging racks immediately on arrival for duty. Staff must then enter their name and duress number on the handset to register their details on the computer terminal.</w:t>
      </w:r>
    </w:p>
    <w:p w14:paraId="41B2B798" w14:textId="77777777" w:rsidR="00037E57" w:rsidRPr="00037E57" w:rsidRDefault="00037E57" w:rsidP="00037E57">
      <w:pPr>
        <w:pStyle w:val="BodyCopy"/>
      </w:pPr>
      <w:r w:rsidRPr="00037E57">
        <w:t>The Centre also has fixed duress alarms in the Nurses Station, interview rooms, meeting rooms and therapy rooms.</w:t>
      </w:r>
    </w:p>
    <w:p w14:paraId="003A201C" w14:textId="77777777" w:rsidR="00037E57" w:rsidRPr="00037E57" w:rsidRDefault="00037E57" w:rsidP="00037E57">
      <w:pPr>
        <w:pStyle w:val="BodyCopy"/>
        <w:rPr>
          <w:b/>
          <w:bCs w:val="0"/>
        </w:rPr>
      </w:pPr>
      <w:r w:rsidRPr="00037E57">
        <w:rPr>
          <w:b/>
          <w:bCs w:val="0"/>
        </w:rPr>
        <w:t>Operation of the ASCOM device:</w:t>
      </w:r>
    </w:p>
    <w:p w14:paraId="50EE7623" w14:textId="77777777" w:rsidR="00037E57" w:rsidRPr="00037E57" w:rsidRDefault="00037E57" w:rsidP="00B44B87">
      <w:pPr>
        <w:pStyle w:val="Numberedlist"/>
      </w:pPr>
      <w:r w:rsidRPr="00037E57">
        <w:t>Single press and/or ‘man-down’ activation will be a local response</w:t>
      </w:r>
    </w:p>
    <w:p w14:paraId="6736FDBF" w14:textId="77777777" w:rsidR="00037E57" w:rsidRPr="00037E57" w:rsidRDefault="00037E57" w:rsidP="00B44B87">
      <w:pPr>
        <w:pStyle w:val="Numberedlist"/>
      </w:pPr>
      <w:r w:rsidRPr="00037E57">
        <w:t>A double press will escalate via a C-cure notification to CHS Security operations who will request an off-site security response</w:t>
      </w:r>
    </w:p>
    <w:p w14:paraId="43B1793B" w14:textId="77777777" w:rsidR="00037E57" w:rsidRPr="00037E57" w:rsidRDefault="00037E57" w:rsidP="00037E57">
      <w:pPr>
        <w:pStyle w:val="BodyCopy"/>
      </w:pPr>
      <w:r w:rsidRPr="00037E57">
        <w:t>Annunciation of an alarm will be via the handsets and fixed annunciators in the staff workspace and in the main therapy wing. All staff will be oriented to duress process as part of onboarding.</w:t>
      </w:r>
    </w:p>
    <w:p w14:paraId="0A84950B" w14:textId="77777777" w:rsidR="00037E57" w:rsidRPr="00037E57" w:rsidRDefault="00037E57" w:rsidP="00037E57">
      <w:pPr>
        <w:pStyle w:val="BodyCopy"/>
      </w:pPr>
      <w:bookmarkStart w:id="26" w:name="_Hlk171689013"/>
      <w:r w:rsidRPr="00037E57">
        <w:t>For an emergency response, staff should call Police on 0-000</w:t>
      </w:r>
    </w:p>
    <w:bookmarkEnd w:id="26"/>
    <w:p w14:paraId="1B567AD9" w14:textId="77777777" w:rsidR="00037E57" w:rsidRPr="00037E57" w:rsidRDefault="00037E57" w:rsidP="00D011CF">
      <w:pPr>
        <w:pStyle w:val="Heading5"/>
      </w:pPr>
      <w:r w:rsidRPr="00037E57">
        <w:t xml:space="preserve">8.4 Environment safety check </w:t>
      </w:r>
    </w:p>
    <w:p w14:paraId="5FB3A4FB" w14:textId="77777777" w:rsidR="00037E57" w:rsidRPr="00037E57" w:rsidRDefault="00037E57" w:rsidP="00037E57">
      <w:pPr>
        <w:pStyle w:val="BodyCopy"/>
      </w:pPr>
      <w:r w:rsidRPr="00037E57">
        <w:t xml:space="preserve">All Centre staff will comply with Section 13 of the CHS </w:t>
      </w:r>
      <w:r w:rsidRPr="00037E57">
        <w:rPr>
          <w:i/>
        </w:rPr>
        <w:t>Ligature Use, Response and Risk Management MHJHADS Procedure</w:t>
      </w:r>
      <w:r w:rsidRPr="00037E57">
        <w:t xml:space="preserve"> which details the requirement for </w:t>
      </w:r>
      <w:bookmarkStart w:id="27" w:name="_Hlk104977795"/>
      <w:r w:rsidRPr="00037E57">
        <w:t xml:space="preserve">Environmental Safety Checks (ESC) </w:t>
      </w:r>
      <w:bookmarkEnd w:id="27"/>
      <w:r w:rsidRPr="00037E57">
        <w:t>on each nursing shift handover.</w:t>
      </w:r>
    </w:p>
    <w:p w14:paraId="09CD1C56" w14:textId="77777777" w:rsidR="00037E57" w:rsidRPr="00037E57" w:rsidRDefault="00037E57" w:rsidP="00037E57">
      <w:pPr>
        <w:pStyle w:val="BodyCopy"/>
      </w:pPr>
      <w:r w:rsidRPr="00037E57">
        <w:t>Random environmental checks will be conducted as required or at the discretion of the CNC or shift team leader based on reasonable cause for concern.</w:t>
      </w:r>
    </w:p>
    <w:p w14:paraId="1CC4B8FB" w14:textId="77777777" w:rsidR="00037E57" w:rsidRPr="00037E57" w:rsidRDefault="00037E57" w:rsidP="00D011CF">
      <w:pPr>
        <w:pStyle w:val="Heading5"/>
      </w:pPr>
      <w:r w:rsidRPr="00037E57">
        <w:t>8.5 Consumer Identification</w:t>
      </w:r>
    </w:p>
    <w:p w14:paraId="41F92F54" w14:textId="77777777" w:rsidR="00037E57" w:rsidRPr="00037E57" w:rsidRDefault="00037E57" w:rsidP="00037E57">
      <w:pPr>
        <w:pStyle w:val="BodyCopy"/>
      </w:pPr>
      <w:r w:rsidRPr="00037E57">
        <w:t xml:space="preserve">To ensure staff can follow the correct process for positive consumer identification, consumers can choose either an ID wristband or to have a photo used as described in the CHS – </w:t>
      </w:r>
      <w:r w:rsidRPr="00037E57">
        <w:rPr>
          <w:i/>
        </w:rPr>
        <w:t>Patient Identification and Procedure Matching procedure.</w:t>
      </w:r>
    </w:p>
    <w:p w14:paraId="0F99818F" w14:textId="77777777" w:rsidR="00037E57" w:rsidRPr="00037E57" w:rsidRDefault="00037E57" w:rsidP="00D011CF">
      <w:pPr>
        <w:pStyle w:val="Heading5"/>
      </w:pPr>
      <w:r w:rsidRPr="00037E57">
        <w:t>8.6 Access Control</w:t>
      </w:r>
    </w:p>
    <w:p w14:paraId="0F0C0ED6" w14:textId="77777777" w:rsidR="00037E57" w:rsidRPr="00037E57" w:rsidRDefault="00037E57" w:rsidP="00037E57">
      <w:pPr>
        <w:pStyle w:val="BodyCopy"/>
      </w:pPr>
      <w:r w:rsidRPr="00037E57">
        <w:t>The Centre will be access controlled with some sections for staff only. Building access is via pass key or intercom communication with staff. The intercom connects to both the staff administration area and the nurse’s station. If not answered within 30 seconds, the intercom is then transferred to the shift team leader’s ASCOM handset.</w:t>
      </w:r>
    </w:p>
    <w:p w14:paraId="5CA1F0F2" w14:textId="77777777" w:rsidR="00037E57" w:rsidRPr="00037E57" w:rsidRDefault="00037E57" w:rsidP="004B2509">
      <w:pPr>
        <w:pStyle w:val="Heading6"/>
      </w:pPr>
      <w:r w:rsidRPr="00037E57">
        <w:t>8.6.1 Consumer access bracelets</w:t>
      </w:r>
    </w:p>
    <w:p w14:paraId="4BA55F83" w14:textId="77777777" w:rsidR="00037E57" w:rsidRPr="00037E57" w:rsidRDefault="00037E57" w:rsidP="00B44B87">
      <w:pPr>
        <w:pStyle w:val="Bullet"/>
      </w:pPr>
      <w:r w:rsidRPr="00037E57">
        <w:t>Consumers will be issued with an access bracelet with a programmable RFID chip (like an access card) on admission. This allows a consumer access to controlled doors within the facility including their bedroom door.</w:t>
      </w:r>
    </w:p>
    <w:p w14:paraId="224DF823" w14:textId="77777777" w:rsidR="00037E57" w:rsidRPr="00037E57" w:rsidRDefault="00037E57" w:rsidP="00B44B87">
      <w:pPr>
        <w:pStyle w:val="Bullet"/>
      </w:pPr>
      <w:r w:rsidRPr="00037E57">
        <w:t xml:space="preserve">Programmed bracelets open a lock when placed close to the door’s proxy-controlled unit. </w:t>
      </w:r>
    </w:p>
    <w:p w14:paraId="24351E80" w14:textId="77777777" w:rsidR="00037E57" w:rsidRPr="00037E57" w:rsidRDefault="00037E57" w:rsidP="00B44B87">
      <w:pPr>
        <w:pStyle w:val="Bullet"/>
      </w:pPr>
      <w:r w:rsidRPr="00037E57">
        <w:t>The bracelets are purchased and programmed by CHS Security Operations.</w:t>
      </w:r>
    </w:p>
    <w:p w14:paraId="24DFC86D" w14:textId="77777777" w:rsidR="00037E57" w:rsidRPr="00037E57" w:rsidRDefault="00037E57" w:rsidP="00B44B87">
      <w:pPr>
        <w:pStyle w:val="Bullet"/>
      </w:pPr>
      <w:r w:rsidRPr="00037E57">
        <w:t xml:space="preserve">Each bracelet has a unique number visible on the interior of each bracelet. </w:t>
      </w:r>
    </w:p>
    <w:p w14:paraId="3818D2B8" w14:textId="77777777" w:rsidR="00037E57" w:rsidRPr="00037E57" w:rsidRDefault="00037E57" w:rsidP="00B44B87">
      <w:pPr>
        <w:pStyle w:val="Bullet"/>
      </w:pPr>
      <w:r w:rsidRPr="00037E57">
        <w:t>The clinical team will hold pre-programmed bracelets on site for each bedroom door as well as spare bracelets for use in the event of a loss or fault. These bracelets will be kept in a locked cabinet in the staff office.</w:t>
      </w:r>
    </w:p>
    <w:p w14:paraId="2B589D82" w14:textId="77777777" w:rsidR="00037E57" w:rsidRPr="00037E57" w:rsidRDefault="00037E57" w:rsidP="00B44B87">
      <w:pPr>
        <w:pStyle w:val="Bullet"/>
      </w:pPr>
      <w:r w:rsidRPr="00037E57">
        <w:t>When a new consumer is to be admitted to the facility the admitting nurse will:</w:t>
      </w:r>
    </w:p>
    <w:p w14:paraId="019F54B4" w14:textId="77777777" w:rsidR="00037E57" w:rsidRPr="00037E57" w:rsidRDefault="00037E57" w:rsidP="00B44B87">
      <w:pPr>
        <w:pStyle w:val="Bullet"/>
        <w:numPr>
          <w:ilvl w:val="1"/>
          <w:numId w:val="1"/>
        </w:numPr>
      </w:pPr>
      <w:r w:rsidRPr="00037E57">
        <w:t>provide the consumer with the bracelet programmed to their bedroom door</w:t>
      </w:r>
    </w:p>
    <w:p w14:paraId="58813403" w14:textId="77777777" w:rsidR="00037E57" w:rsidRPr="00037E57" w:rsidRDefault="00037E57" w:rsidP="00B44B87">
      <w:pPr>
        <w:pStyle w:val="Bullet"/>
        <w:numPr>
          <w:ilvl w:val="1"/>
          <w:numId w:val="1"/>
        </w:numPr>
      </w:pPr>
      <w:r w:rsidRPr="00037E57">
        <w:t>explain the operation of the bracelet</w:t>
      </w:r>
    </w:p>
    <w:p w14:paraId="6FB540E3" w14:textId="77777777" w:rsidR="00037E57" w:rsidRPr="00037E57" w:rsidRDefault="00037E57" w:rsidP="00B44B87">
      <w:pPr>
        <w:pStyle w:val="Bullet"/>
        <w:numPr>
          <w:ilvl w:val="1"/>
          <w:numId w:val="1"/>
        </w:numPr>
      </w:pPr>
      <w:r w:rsidRPr="00037E57">
        <w:t>record the consumers name against the bracelet number within the electronic register.</w:t>
      </w:r>
    </w:p>
    <w:p w14:paraId="17873C0E" w14:textId="77777777" w:rsidR="00037E57" w:rsidRPr="00037E57" w:rsidRDefault="00037E57" w:rsidP="00B44B87">
      <w:pPr>
        <w:pStyle w:val="Bullet"/>
      </w:pPr>
      <w:r w:rsidRPr="00037E57">
        <w:t>The bracelet must always be worn by consumers while in the facility to ensure access.</w:t>
      </w:r>
    </w:p>
    <w:p w14:paraId="3A1794AB" w14:textId="77777777" w:rsidR="00037E57" w:rsidRPr="00037E57" w:rsidRDefault="00037E57" w:rsidP="00B44B87">
      <w:pPr>
        <w:pStyle w:val="Bullet"/>
      </w:pPr>
      <w:r w:rsidRPr="00037E57">
        <w:t>When a consumer is being discharged, staff will ensure the bracelet is returned and reconciled against the electronic register.</w:t>
      </w:r>
    </w:p>
    <w:p w14:paraId="35AF24B6" w14:textId="77777777" w:rsidR="00037E57" w:rsidRPr="00037E57" w:rsidRDefault="00037E57" w:rsidP="00B44B87">
      <w:pPr>
        <w:pStyle w:val="Bullet"/>
      </w:pPr>
      <w:r w:rsidRPr="00037E57">
        <w:t xml:space="preserve">Staff must notify CHS Security Operations of lost or broken bracelets. Staff can request CHS Security to program a spare bracelet to the appropriate room and order a replacement bracelet. </w:t>
      </w:r>
    </w:p>
    <w:p w14:paraId="1B2023A0" w14:textId="77777777" w:rsidR="00037E57" w:rsidRPr="00037E57" w:rsidRDefault="00037E57" w:rsidP="00B44B87">
      <w:pPr>
        <w:pStyle w:val="Bullet"/>
      </w:pPr>
      <w:r w:rsidRPr="00037E57">
        <w:t>Lost bracelets must also be reported on Riskman.</w:t>
      </w:r>
    </w:p>
    <w:p w14:paraId="7B4301DA" w14:textId="77777777" w:rsidR="00037E57" w:rsidRDefault="00037E57" w:rsidP="00B44B87">
      <w:pPr>
        <w:pStyle w:val="BodyCopy"/>
        <w:rPr>
          <w:rStyle w:val="Hyperlink"/>
          <w:iCs w:val="0"/>
        </w:rPr>
      </w:pPr>
      <w:hyperlink w:anchor="_top" w:history="1">
        <w:r w:rsidRPr="00481A6C">
          <w:rPr>
            <w:rStyle w:val="Hyperlink"/>
            <w:iCs w:val="0"/>
          </w:rPr>
          <w:t>Back to Contents</w:t>
        </w:r>
      </w:hyperlink>
    </w:p>
    <w:p w14:paraId="60B25EED" w14:textId="056F4EC1" w:rsidR="00037E57" w:rsidRDefault="00037E57" w:rsidP="00037E57">
      <w:pPr>
        <w:pStyle w:val="Heading4"/>
      </w:pPr>
      <w:bookmarkStart w:id="28" w:name="_Toc201246938"/>
      <w:r>
        <w:t>Section 9- Electronic devices for consumers</w:t>
      </w:r>
      <w:bookmarkEnd w:id="28"/>
    </w:p>
    <w:p w14:paraId="40287D9E" w14:textId="77777777" w:rsidR="00037E57" w:rsidRPr="00037E57" w:rsidRDefault="00037E57" w:rsidP="00D011CF">
      <w:pPr>
        <w:pStyle w:val="Heading5"/>
      </w:pPr>
      <w:r w:rsidRPr="00037E57">
        <w:t>9.1 Centre rules regarding personal electronic items</w:t>
      </w:r>
    </w:p>
    <w:p w14:paraId="6C67FC73" w14:textId="77777777" w:rsidR="00037E57" w:rsidRPr="00037E57" w:rsidRDefault="00037E57" w:rsidP="00310C63">
      <w:pPr>
        <w:pStyle w:val="BodyCopy"/>
        <w:spacing w:after="0"/>
      </w:pPr>
      <w:r w:rsidRPr="00037E57">
        <w:t>Consumers:</w:t>
      </w:r>
    </w:p>
    <w:p w14:paraId="6C4CB0C0" w14:textId="77777777" w:rsidR="00037E57" w:rsidRPr="00037E57" w:rsidRDefault="00037E57" w:rsidP="00B44B87">
      <w:pPr>
        <w:pStyle w:val="Bullet"/>
      </w:pPr>
      <w:r w:rsidRPr="00037E57">
        <w:t xml:space="preserve">May have their laptop, tablet or mobile phone whilst they are staying at the Centre </w:t>
      </w:r>
    </w:p>
    <w:p w14:paraId="5525A205" w14:textId="77777777" w:rsidR="00037E57" w:rsidRPr="00037E57" w:rsidRDefault="00037E57" w:rsidP="00B44B87">
      <w:pPr>
        <w:pStyle w:val="Bullet"/>
      </w:pPr>
      <w:r w:rsidRPr="00310C63">
        <w:rPr>
          <w:bCs/>
          <w:iCs/>
        </w:rPr>
        <w:t xml:space="preserve">Are responsible for their items at all times. </w:t>
      </w:r>
    </w:p>
    <w:p w14:paraId="1FC585CA" w14:textId="77777777" w:rsidR="00037E57" w:rsidRPr="00037E57" w:rsidRDefault="00037E57" w:rsidP="00B44B87">
      <w:pPr>
        <w:pStyle w:val="Bullet"/>
      </w:pPr>
      <w:r w:rsidRPr="00037E57">
        <w:t>Agree not to use their personal electronic items during therapeutic activities/groups unless previously agreed as being a part of a therapeutic activity.</w:t>
      </w:r>
    </w:p>
    <w:p w14:paraId="77AA6667" w14:textId="77777777" w:rsidR="00037E57" w:rsidRPr="00037E57" w:rsidRDefault="00037E57" w:rsidP="00B44B87">
      <w:pPr>
        <w:pStyle w:val="Bullet"/>
      </w:pPr>
      <w:r w:rsidRPr="00037E57">
        <w:t>Agree not to use electronic items after 9pm to help develop sleep hygiene and sleep routines.</w:t>
      </w:r>
    </w:p>
    <w:p w14:paraId="5F277D52" w14:textId="77777777" w:rsidR="00037E57" w:rsidRPr="00037E57" w:rsidRDefault="00037E57" w:rsidP="00B44B87">
      <w:pPr>
        <w:pStyle w:val="Bullet"/>
        <w:rPr>
          <w:lang w:val="en-US"/>
        </w:rPr>
      </w:pPr>
      <w:r w:rsidRPr="00037E57">
        <w:t>Agree</w:t>
      </w:r>
      <w:r w:rsidRPr="00037E57">
        <w:rPr>
          <w:lang w:val="en-US"/>
        </w:rPr>
        <w:t xml:space="preserve"> </w:t>
      </w:r>
      <w:r w:rsidRPr="00037E57">
        <w:t>not to take or post photos or videos on social media platforms from their stay at the Centre.</w:t>
      </w:r>
      <w:r w:rsidRPr="00037E57">
        <w:rPr>
          <w:lang w:val="en-US"/>
        </w:rPr>
        <w:t xml:space="preserve"> </w:t>
      </w:r>
    </w:p>
    <w:p w14:paraId="08FF8F08" w14:textId="6F9C5DE6" w:rsidR="001A78B3" w:rsidRDefault="00037E57" w:rsidP="00037E57">
      <w:pPr>
        <w:pStyle w:val="BodyCopy"/>
      </w:pPr>
      <w:r w:rsidRPr="00037E57">
        <w:t xml:space="preserve">For further information refer to CHS </w:t>
      </w:r>
      <w:r w:rsidRPr="00037E57">
        <w:rPr>
          <w:i/>
        </w:rPr>
        <w:t>Patient Mobile and Recording Devices: Management and Use Procedure</w:t>
      </w:r>
      <w:r w:rsidRPr="00037E57">
        <w:t xml:space="preserve"> on the CHS Policy and Guidance Register.</w:t>
      </w:r>
    </w:p>
    <w:p w14:paraId="4F1ECA05" w14:textId="77777777" w:rsidR="00037E57" w:rsidRPr="00037E57" w:rsidRDefault="00037E57" w:rsidP="00D011CF">
      <w:pPr>
        <w:pStyle w:val="Heading5"/>
      </w:pPr>
      <w:r w:rsidRPr="00037E57">
        <w:t>9.2 Responding to inappropriate use of electronic devices</w:t>
      </w:r>
    </w:p>
    <w:p w14:paraId="6B3910C8" w14:textId="77777777" w:rsidR="00037E57" w:rsidRPr="00037E57" w:rsidRDefault="00037E57" w:rsidP="00037E57">
      <w:pPr>
        <w:pStyle w:val="BodyCopy"/>
      </w:pPr>
      <w:r w:rsidRPr="00037E57">
        <w:t>If there are concerns about inappropriate use of an item or content, this should be referred to the CNC or shift TL. The consumer will be asked to put away the device, and the matter referred to the MDT for further discussion where the item is:</w:t>
      </w:r>
    </w:p>
    <w:p w14:paraId="0745C93D" w14:textId="77777777" w:rsidR="00037E57" w:rsidRPr="00037E57" w:rsidRDefault="00037E57" w:rsidP="00B44B87">
      <w:pPr>
        <w:pStyle w:val="Bullet"/>
      </w:pPr>
      <w:r w:rsidRPr="00037E57">
        <w:t>Used to access/view inappropriate sexual, violent, or “pro eating disorder” content.</w:t>
      </w:r>
    </w:p>
    <w:p w14:paraId="1B45D0F3" w14:textId="77777777" w:rsidR="00037E57" w:rsidRPr="00037E57" w:rsidRDefault="00037E57" w:rsidP="00B44B87">
      <w:pPr>
        <w:pStyle w:val="Bullet"/>
      </w:pPr>
      <w:r w:rsidRPr="00037E57">
        <w:t>Used to take photographs or record staff or other people without their consent.</w:t>
      </w:r>
    </w:p>
    <w:p w14:paraId="606DBF0F" w14:textId="77777777" w:rsidR="00037E57" w:rsidRPr="00037E57" w:rsidRDefault="00037E57" w:rsidP="00B44B87">
      <w:pPr>
        <w:pStyle w:val="Bullet"/>
      </w:pPr>
      <w:r w:rsidRPr="00037E57">
        <w:t xml:space="preserve">Used to make calls of a threatening or harassing nature. </w:t>
      </w:r>
    </w:p>
    <w:p w14:paraId="6D4798E9" w14:textId="77777777" w:rsidR="00037E57" w:rsidRPr="00037E57" w:rsidRDefault="00037E57" w:rsidP="00B44B87">
      <w:pPr>
        <w:pStyle w:val="Bullet"/>
        <w:rPr>
          <w:lang w:val="en-US"/>
        </w:rPr>
      </w:pPr>
      <w:r w:rsidRPr="00037E57">
        <w:t>Contributing</w:t>
      </w:r>
      <w:r w:rsidRPr="00037E57">
        <w:rPr>
          <w:lang w:val="en-US"/>
        </w:rPr>
        <w:t xml:space="preserve"> to the deterioration of a consumer’s mental state or others in the Centre.</w:t>
      </w:r>
    </w:p>
    <w:p w14:paraId="6EC20326" w14:textId="77777777" w:rsidR="00037E57" w:rsidRPr="00037E57" w:rsidRDefault="00037E57" w:rsidP="00037E57">
      <w:pPr>
        <w:pStyle w:val="BodyCopy"/>
      </w:pPr>
      <w:r w:rsidRPr="00037E57">
        <w:t xml:space="preserve">The CNC is responsible for documenting the discussion and action taken. The next MDT will include discussion and documentation in DHR of actions and plans for further use. </w:t>
      </w:r>
    </w:p>
    <w:p w14:paraId="23FFC736" w14:textId="77777777" w:rsidR="00037E57" w:rsidRPr="00037E57" w:rsidRDefault="00037E57" w:rsidP="00D011CF">
      <w:pPr>
        <w:pStyle w:val="Heading5"/>
      </w:pPr>
      <w:r w:rsidRPr="00037E57">
        <w:t>9.3 Taking Photographs</w:t>
      </w:r>
    </w:p>
    <w:p w14:paraId="268A2694" w14:textId="77777777" w:rsidR="00037E57" w:rsidRPr="00037E57" w:rsidRDefault="00037E57" w:rsidP="00037E57">
      <w:pPr>
        <w:pStyle w:val="BodyCopy"/>
      </w:pPr>
      <w:r w:rsidRPr="00037E57">
        <w:t>Consumers, staff and visitors should respect consumers and their privacy when taking, using, storing and disposing of images and audio. This includes gaining consent.</w:t>
      </w:r>
    </w:p>
    <w:p w14:paraId="1CF6CBF1" w14:textId="77777777" w:rsidR="00037E57" w:rsidRPr="00037E57" w:rsidRDefault="00037E57" w:rsidP="00037E57">
      <w:pPr>
        <w:pStyle w:val="BodyCopy"/>
      </w:pPr>
      <w:r w:rsidRPr="00037E57">
        <w:t xml:space="preserve">Please refer to </w:t>
      </w:r>
      <w:r w:rsidRPr="00037E57">
        <w:rPr>
          <w:i/>
        </w:rPr>
        <w:t>CHS Photo, Video and Audio: Capture, Storage Disposal and Use procedure</w:t>
      </w:r>
    </w:p>
    <w:p w14:paraId="42FA9DAA" w14:textId="77777777" w:rsidR="00037E57" w:rsidRPr="00037E57" w:rsidRDefault="00037E57" w:rsidP="00D011CF">
      <w:pPr>
        <w:pStyle w:val="Heading5"/>
      </w:pPr>
      <w:r w:rsidRPr="00037E57">
        <w:t>9.4 Televisions</w:t>
      </w:r>
    </w:p>
    <w:p w14:paraId="237F56AE" w14:textId="77777777" w:rsidR="00037E57" w:rsidRPr="00037E57" w:rsidRDefault="00037E57" w:rsidP="00037E57">
      <w:pPr>
        <w:pStyle w:val="BodyCopy"/>
      </w:pPr>
      <w:r w:rsidRPr="00037E57">
        <w:t>Televisions are in the lounge area of the Centre and may be watched during free time as per the therapy schedule. Personal televisions are not permitted in the Centre.</w:t>
      </w:r>
    </w:p>
    <w:p w14:paraId="672D1578" w14:textId="77777777" w:rsidR="00037E57" w:rsidRPr="00037E57" w:rsidRDefault="00037E57" w:rsidP="00037E57">
      <w:pPr>
        <w:pStyle w:val="BodyCopy"/>
      </w:pPr>
      <w:r w:rsidRPr="00037E57">
        <w:t>The volume of televisions and other audio devices should be kept low such that it does not interfere with the sleep or wellbeing of others.</w:t>
      </w:r>
    </w:p>
    <w:p w14:paraId="479D88A4" w14:textId="77777777" w:rsidR="00037E57" w:rsidRPr="00037E57" w:rsidRDefault="00037E57" w:rsidP="00D011CF">
      <w:pPr>
        <w:pStyle w:val="Heading5"/>
      </w:pPr>
      <w:r w:rsidRPr="00037E57">
        <w:t>9.5 Electrical cords and appliances</w:t>
      </w:r>
    </w:p>
    <w:p w14:paraId="018FD293" w14:textId="77777777" w:rsidR="00037E57" w:rsidRPr="00037E57" w:rsidRDefault="00037E57" w:rsidP="00037E57">
      <w:pPr>
        <w:pStyle w:val="BodyCopy"/>
      </w:pPr>
      <w:r w:rsidRPr="00037E57">
        <w:t>Electrical cords must be tested and tagged if older than 12 months. Admin staff can arrange this on admission by contacting Building Grounds Infrastructure Services. The consumer will not be able to use these items until tagging and testing has been completed.</w:t>
      </w:r>
    </w:p>
    <w:p w14:paraId="058E0076" w14:textId="77777777" w:rsidR="00037E57" w:rsidRPr="00037E57" w:rsidRDefault="00037E57" w:rsidP="00037E57">
      <w:pPr>
        <w:pStyle w:val="BodyCopy"/>
      </w:pPr>
      <w:r w:rsidRPr="00037E57">
        <w:t xml:space="preserve">Electrical appliances brought onto the unit should be small and for personal use, for instance electric toothbrushes, shaver or hairdryers. Medium or large appliances such as personal televisions, coffee machines are not permitted in the Centre. </w:t>
      </w:r>
      <w:r w:rsidRPr="00037E57">
        <w:rPr>
          <w:lang w:val="en-US"/>
        </w:rPr>
        <w:t xml:space="preserve"> Individual risk assessment informs whether a person may have charging cords in their room (section 6).  </w:t>
      </w:r>
    </w:p>
    <w:p w14:paraId="66918959" w14:textId="489E96BF" w:rsidR="001A78B3" w:rsidRDefault="00037E57" w:rsidP="00037E57">
      <w:pPr>
        <w:pStyle w:val="BodyCopy"/>
        <w:spacing w:after="120"/>
        <w:rPr>
          <w:rStyle w:val="Hyperlink"/>
          <w:iCs w:val="0"/>
        </w:rPr>
      </w:pPr>
      <w:hyperlink w:anchor="_top" w:history="1">
        <w:r w:rsidRPr="00481A6C">
          <w:rPr>
            <w:rStyle w:val="Hyperlink"/>
            <w:iCs w:val="0"/>
          </w:rPr>
          <w:t>Back to Contents</w:t>
        </w:r>
      </w:hyperlink>
    </w:p>
    <w:p w14:paraId="58E9A282" w14:textId="497C4F24" w:rsidR="00037E57" w:rsidRDefault="00037E57" w:rsidP="00037E57">
      <w:pPr>
        <w:pStyle w:val="Heading4"/>
      </w:pPr>
      <w:bookmarkStart w:id="29" w:name="_Toc201246939"/>
      <w:r>
        <w:t>Section 10- Discharge</w:t>
      </w:r>
      <w:bookmarkEnd w:id="29"/>
    </w:p>
    <w:p w14:paraId="5C00188B" w14:textId="77777777" w:rsidR="00037E57" w:rsidRPr="00037E57" w:rsidRDefault="00037E57" w:rsidP="00037E57">
      <w:pPr>
        <w:pStyle w:val="BodyCopy"/>
      </w:pPr>
      <w:r w:rsidRPr="00037E57">
        <w:t xml:space="preserve">All Centre staff should comply with the CHS </w:t>
      </w:r>
      <w:r w:rsidRPr="00037E57">
        <w:rPr>
          <w:i/>
        </w:rPr>
        <w:t>Admission to Discharge Procedure (Adults and Children)</w:t>
      </w:r>
      <w:r w:rsidRPr="00037E57">
        <w:t xml:space="preserve"> and the CHS </w:t>
      </w:r>
      <w:r w:rsidRPr="00037E57">
        <w:rPr>
          <w:i/>
        </w:rPr>
        <w:t>Discharge Summary Completion Inpatients Procedure</w:t>
      </w:r>
      <w:r w:rsidRPr="00037E57">
        <w:t>.</w:t>
      </w:r>
    </w:p>
    <w:p w14:paraId="0ABA819D" w14:textId="77777777" w:rsidR="00037E57" w:rsidRPr="00037E57" w:rsidRDefault="00037E57" w:rsidP="00037E57">
      <w:pPr>
        <w:pStyle w:val="BodyCopy"/>
      </w:pPr>
      <w:r w:rsidRPr="00037E57">
        <w:t>Graduation and discharge planning commences at admission to the program. This will ensure appropriate and/or existing services (local and interstate) are identified and included in care planning and MDTs throughout the admission.  Discharge planning may include invitations for stakeholders to participate in regular multidisciplinary reviews, care planning and discharge planning meetings throughout the person’s stages of care at the Centre.</w:t>
      </w:r>
    </w:p>
    <w:p w14:paraId="300B13D7" w14:textId="6E67A5AF" w:rsidR="00037E57" w:rsidRPr="00037E57" w:rsidRDefault="00037E57" w:rsidP="00037E57">
      <w:pPr>
        <w:pStyle w:val="BodyCopy"/>
      </w:pPr>
      <w:r w:rsidRPr="00037E57">
        <w:t xml:space="preserve">The </w:t>
      </w:r>
      <w:r w:rsidR="00A775B8">
        <w:t>treating team</w:t>
      </w:r>
      <w:r w:rsidRPr="00037E57">
        <w:t xml:space="preserve"> will liaise with the consumer’s community-based eating disorders supports at the beginning, midpoint and end of their admission to facilitate collaborative and comprehensive discharge planning. </w:t>
      </w:r>
    </w:p>
    <w:p w14:paraId="3404F49A" w14:textId="77777777" w:rsidR="00037E57" w:rsidRPr="00037E57" w:rsidRDefault="00037E57" w:rsidP="00037E57">
      <w:pPr>
        <w:pStyle w:val="BodyCopy"/>
      </w:pPr>
      <w:r w:rsidRPr="00037E57">
        <w:t>Discharge may occur:</w:t>
      </w:r>
    </w:p>
    <w:p w14:paraId="3D287516" w14:textId="77777777" w:rsidR="00037E57" w:rsidRPr="00037E57" w:rsidRDefault="00037E57" w:rsidP="00B44B87">
      <w:pPr>
        <w:pStyle w:val="Bullet"/>
      </w:pPr>
      <w:r w:rsidRPr="00037E57">
        <w:t xml:space="preserve">When the consumer has completed the program. </w:t>
      </w:r>
    </w:p>
    <w:p w14:paraId="5420AF39" w14:textId="77777777" w:rsidR="00037E57" w:rsidRPr="00037E57" w:rsidRDefault="00037E57" w:rsidP="00B44B87">
      <w:pPr>
        <w:pStyle w:val="Bullet"/>
      </w:pPr>
      <w:r w:rsidRPr="00037E57">
        <w:t xml:space="preserve">If the consumer chooses to withdraw from the program. </w:t>
      </w:r>
    </w:p>
    <w:p w14:paraId="04EEFC92" w14:textId="194C0D2F" w:rsidR="00037E57" w:rsidRPr="00037E57" w:rsidRDefault="00037E57" w:rsidP="00B44B87">
      <w:pPr>
        <w:pStyle w:val="Bullet"/>
      </w:pPr>
      <w:r w:rsidRPr="00037E57">
        <w:t xml:space="preserve">If the program is not meeting the consumer’s needs </w:t>
      </w:r>
    </w:p>
    <w:p w14:paraId="5F5C1EDD" w14:textId="77777777" w:rsidR="00037E57" w:rsidRPr="00037E57" w:rsidRDefault="00037E57" w:rsidP="00B44B87">
      <w:pPr>
        <w:pStyle w:val="Bullet"/>
      </w:pPr>
      <w:r w:rsidRPr="00037E57">
        <w:t>The consumer’s</w:t>
      </w:r>
      <w:r w:rsidRPr="00037E57">
        <w:rPr>
          <w:lang w:val="en-US"/>
        </w:rPr>
        <w:t xml:space="preserve"> condition requires transfer to a more acute setting</w:t>
      </w:r>
      <w:r w:rsidRPr="00037E57">
        <w:t xml:space="preserve">. </w:t>
      </w:r>
    </w:p>
    <w:p w14:paraId="6C18FC78" w14:textId="77777777" w:rsidR="00037E57" w:rsidRPr="00037E57" w:rsidRDefault="00037E57" w:rsidP="00037E57">
      <w:pPr>
        <w:pStyle w:val="BodyCopy"/>
      </w:pPr>
      <w:r w:rsidRPr="00037E57">
        <w:t xml:space="preserve">An expected discharge </w:t>
      </w:r>
      <w:bookmarkStart w:id="30" w:name="_Int_Yd0ZSNsh"/>
      <w:r w:rsidRPr="00037E57">
        <w:t>timeframe</w:t>
      </w:r>
      <w:bookmarkEnd w:id="30"/>
      <w:r w:rsidRPr="00037E57">
        <w:t xml:space="preserve"> will be discussed with the consumer, families, kin and carers and any other support services or networks and confirmed at the MDT. It will be noted if additional community supports need to be arranged. </w:t>
      </w:r>
    </w:p>
    <w:p w14:paraId="609E19CA" w14:textId="77777777" w:rsidR="00037E57" w:rsidRPr="00037E57" w:rsidRDefault="00037E57" w:rsidP="00037E57">
      <w:pPr>
        <w:pStyle w:val="BodyCopy"/>
      </w:pPr>
      <w:r w:rsidRPr="00037E57">
        <w:t xml:space="preserve">External stakeholders involved in discharge planning may include: </w:t>
      </w:r>
    </w:p>
    <w:p w14:paraId="2C505438" w14:textId="77777777" w:rsidR="00037E57" w:rsidRPr="00037E57" w:rsidRDefault="00037E57" w:rsidP="00B44B87">
      <w:pPr>
        <w:pStyle w:val="Bullet"/>
      </w:pPr>
      <w:r w:rsidRPr="00037E57">
        <w:t>Community mental health services.</w:t>
      </w:r>
    </w:p>
    <w:p w14:paraId="20BBA929" w14:textId="77777777" w:rsidR="00037E57" w:rsidRPr="00037E57" w:rsidRDefault="00037E57" w:rsidP="00B44B87">
      <w:pPr>
        <w:pStyle w:val="Bullet"/>
      </w:pPr>
      <w:r w:rsidRPr="00037E57">
        <w:t>Community dietetics and other allied health services.</w:t>
      </w:r>
    </w:p>
    <w:p w14:paraId="5A5541F1" w14:textId="77777777" w:rsidR="00037E57" w:rsidRPr="00037E57" w:rsidRDefault="00037E57" w:rsidP="00B44B87">
      <w:pPr>
        <w:pStyle w:val="Bullet"/>
      </w:pPr>
      <w:r w:rsidRPr="00037E57">
        <w:t>Carers, families, kin and supporters.</w:t>
      </w:r>
    </w:p>
    <w:p w14:paraId="13CF8F4C" w14:textId="77777777" w:rsidR="00037E57" w:rsidRPr="00037E57" w:rsidRDefault="00037E57" w:rsidP="00B44B87">
      <w:pPr>
        <w:pStyle w:val="Bullet"/>
      </w:pPr>
      <w:r w:rsidRPr="00037E57">
        <w:t xml:space="preserve">GPs and other primary health providers. </w:t>
      </w:r>
    </w:p>
    <w:p w14:paraId="1CB91ACC" w14:textId="77777777" w:rsidR="00037E57" w:rsidRPr="00037E57" w:rsidRDefault="00037E57" w:rsidP="00B44B87">
      <w:pPr>
        <w:pStyle w:val="Bullet"/>
      </w:pPr>
      <w:r w:rsidRPr="00037E57">
        <w:t>Private psychiatrists and other treating specialists.</w:t>
      </w:r>
    </w:p>
    <w:p w14:paraId="0445C2D4" w14:textId="77777777" w:rsidR="00037E57" w:rsidRPr="00037E57" w:rsidRDefault="00037E57" w:rsidP="00B44B87">
      <w:pPr>
        <w:pStyle w:val="Bullet"/>
      </w:pPr>
      <w:r w:rsidRPr="00037E57">
        <w:t>Private counsellors, psychologists, dietitian and other allied health professionals.</w:t>
      </w:r>
    </w:p>
    <w:p w14:paraId="339F6228" w14:textId="77777777" w:rsidR="00A44785" w:rsidRPr="005756B3" w:rsidRDefault="00037E57" w:rsidP="00B44B87">
      <w:pPr>
        <w:pStyle w:val="Bullet"/>
      </w:pPr>
      <w:r w:rsidRPr="00037E57">
        <w:t>Other</w:t>
      </w:r>
      <w:r w:rsidRPr="00037E57">
        <w:rPr>
          <w:lang w:val="en-US"/>
        </w:rPr>
        <w:t xml:space="preserve"> community services.</w:t>
      </w:r>
    </w:p>
    <w:p w14:paraId="2D7028EE" w14:textId="79FF9097" w:rsidR="00A44785" w:rsidRPr="00037E57" w:rsidRDefault="00A44785" w:rsidP="00B44B87">
      <w:pPr>
        <w:pStyle w:val="Bullet"/>
      </w:pPr>
      <w:r>
        <w:t xml:space="preserve">Discharge to EDP </w:t>
      </w:r>
    </w:p>
    <w:p w14:paraId="5DC01BB4" w14:textId="57CA01F0" w:rsidR="008A2677" w:rsidRDefault="008A2677" w:rsidP="005756B3">
      <w:r>
        <w:t>Discharge pathway for EDRTC consumers identified for step down</w:t>
      </w:r>
      <w:r w:rsidR="008A3AEE">
        <w:t xml:space="preserve"> to the</w:t>
      </w:r>
      <w:r>
        <w:t xml:space="preserve"> </w:t>
      </w:r>
      <w:r w:rsidR="008A3AEE">
        <w:t>EDP</w:t>
      </w:r>
    </w:p>
    <w:p w14:paraId="1B7E7FDF" w14:textId="1D595D3D" w:rsidR="00864104" w:rsidRDefault="008A2677" w:rsidP="00B44B87">
      <w:pPr>
        <w:pStyle w:val="Bullet"/>
      </w:pPr>
      <w:r>
        <w:t xml:space="preserve">EDRTC </w:t>
      </w:r>
      <w:r w:rsidR="00C824E4">
        <w:t>t</w:t>
      </w:r>
      <w:r>
        <w:t xml:space="preserve">reating team to review community step down support options for participants including EDP </w:t>
      </w:r>
      <w:r w:rsidR="008A3AEE">
        <w:t xml:space="preserve">if </w:t>
      </w:r>
      <w:r>
        <w:t xml:space="preserve">the participant lives in the ACT. </w:t>
      </w:r>
      <w:r w:rsidR="00C824E4">
        <w:t>As</w:t>
      </w:r>
      <w:r>
        <w:t xml:space="preserve"> indicated and </w:t>
      </w:r>
      <w:r w:rsidR="00C824E4">
        <w:t>agreed</w:t>
      </w:r>
      <w:r>
        <w:t xml:space="preserve"> by the participant a referral (in the form of a detailed ISBAR) is to be presented at the Hub MDT</w:t>
      </w:r>
    </w:p>
    <w:p w14:paraId="2DF3AD52" w14:textId="355E00D0" w:rsidR="008A2677" w:rsidRDefault="00F17948" w:rsidP="00B44B87">
      <w:pPr>
        <w:pStyle w:val="Bullet"/>
      </w:pPr>
      <w:r>
        <w:t>T</w:t>
      </w:r>
      <w:r w:rsidR="00864104">
        <w:t>he referral</w:t>
      </w:r>
      <w:r w:rsidR="008A2677">
        <w:t xml:space="preserve"> </w:t>
      </w:r>
      <w:r>
        <w:t xml:space="preserve">should be sent </w:t>
      </w:r>
      <w:r w:rsidR="008A2677">
        <w:t xml:space="preserve">to the ED Hub referral work que </w:t>
      </w:r>
      <w:r w:rsidR="00F212F6">
        <w:t>as</w:t>
      </w:r>
      <w:r>
        <w:t xml:space="preserve"> soon as</w:t>
      </w:r>
      <w:r w:rsidR="00F212F6">
        <w:t xml:space="preserve"> possible after admission to EDRTC and at least </w:t>
      </w:r>
      <w:r w:rsidR="008A2677">
        <w:t xml:space="preserve">one month prior </w:t>
      </w:r>
      <w:r w:rsidR="00F212F6">
        <w:t>to</w:t>
      </w:r>
      <w:r w:rsidR="008A2677">
        <w:t xml:space="preserve"> </w:t>
      </w:r>
      <w:r>
        <w:t xml:space="preserve">expected </w:t>
      </w:r>
      <w:r w:rsidR="008A2677">
        <w:t xml:space="preserve">discharge. </w:t>
      </w:r>
    </w:p>
    <w:p w14:paraId="784CEFF6" w14:textId="39B1A0B1" w:rsidR="008A2677" w:rsidRDefault="008A2677" w:rsidP="00B44B87">
      <w:pPr>
        <w:pStyle w:val="Bullet"/>
      </w:pPr>
      <w:r>
        <w:t xml:space="preserve">Include an expected discharge date from EDRTC and therapy/recovery goals </w:t>
      </w:r>
    </w:p>
    <w:p w14:paraId="3A9EB404" w14:textId="2B944C12" w:rsidR="008A2677" w:rsidRDefault="008A2677" w:rsidP="00B44B87">
      <w:pPr>
        <w:pStyle w:val="Bullet"/>
      </w:pPr>
      <w:r>
        <w:t xml:space="preserve">Update the ED Hub team of any changes to the participant’s presentation or </w:t>
      </w:r>
      <w:r w:rsidR="005834D8">
        <w:t xml:space="preserve">expected length of admission </w:t>
      </w:r>
    </w:p>
    <w:p w14:paraId="034FF3C5" w14:textId="561C5C5C" w:rsidR="00037E57" w:rsidRPr="005756B3" w:rsidRDefault="008A2677" w:rsidP="00B44B87">
      <w:pPr>
        <w:pStyle w:val="Bullet"/>
      </w:pPr>
      <w:r>
        <w:t xml:space="preserve">Inform the participant that if they discharge early from EDRTC </w:t>
      </w:r>
      <w:r w:rsidR="005834D8">
        <w:t xml:space="preserve">it may not be possible to </w:t>
      </w:r>
      <w:r w:rsidR="008A3AEE">
        <w:t xml:space="preserve">bring forward their </w:t>
      </w:r>
      <w:r>
        <w:t>EDP appointment time</w:t>
      </w:r>
    </w:p>
    <w:p w14:paraId="2D477B40" w14:textId="77777777" w:rsidR="00037E57" w:rsidRPr="00037E57" w:rsidRDefault="00037E57" w:rsidP="00037E57">
      <w:pPr>
        <w:pStyle w:val="BodyCopy"/>
      </w:pPr>
      <w:r w:rsidRPr="00037E57">
        <w:t>Discharge process:</w:t>
      </w:r>
    </w:p>
    <w:p w14:paraId="2A4FFFF3" w14:textId="77777777" w:rsidR="00037E57" w:rsidRPr="00037E57" w:rsidRDefault="00037E57" w:rsidP="00B44B87">
      <w:pPr>
        <w:pStyle w:val="Bullet"/>
      </w:pPr>
      <w:r w:rsidRPr="00037E57">
        <w:t>The consumer’s discharge date is confirmed at the MDT and community supports meeting.</w:t>
      </w:r>
    </w:p>
    <w:p w14:paraId="5A1AD283" w14:textId="77777777" w:rsidR="00037E57" w:rsidRPr="00037E57" w:rsidRDefault="00037E57" w:rsidP="00B44B87">
      <w:pPr>
        <w:pStyle w:val="Bullet"/>
      </w:pPr>
      <w:r w:rsidRPr="00037E57">
        <w:t>A care plan is co-developed with the consumer, carers/families/kin and treating team for post discharge treatment and services.</w:t>
      </w:r>
    </w:p>
    <w:p w14:paraId="520ABF22" w14:textId="6B6368AB" w:rsidR="00037E57" w:rsidRPr="00037E57" w:rsidRDefault="00037E57" w:rsidP="00B44B87">
      <w:pPr>
        <w:pStyle w:val="Bullet"/>
      </w:pPr>
      <w:r w:rsidRPr="00037E57">
        <w:t xml:space="preserve">A discharge summary is completed by the consumer’s </w:t>
      </w:r>
      <w:r w:rsidR="005E4BD4">
        <w:t>treating team</w:t>
      </w:r>
      <w:r w:rsidRPr="00037E57">
        <w:t xml:space="preserve"> and sent to their GP and community supports within 48 hours of discharge.</w:t>
      </w:r>
    </w:p>
    <w:p w14:paraId="01536980" w14:textId="77777777" w:rsidR="00037E57" w:rsidRDefault="00037E57" w:rsidP="00B44B87">
      <w:pPr>
        <w:pStyle w:val="Bullet"/>
      </w:pPr>
      <w:r w:rsidRPr="00037E57">
        <w:t>The consumer is given a copy of their care plan.</w:t>
      </w:r>
    </w:p>
    <w:p w14:paraId="2740B5B8" w14:textId="1D56F372" w:rsidR="00037E57" w:rsidRPr="00037E57" w:rsidRDefault="00037E57" w:rsidP="00037E57">
      <w:pPr>
        <w:pStyle w:val="BodyCopy"/>
      </w:pPr>
      <w:r w:rsidRPr="00037E57">
        <w:t xml:space="preserve">Interstate residents will be required to have, at a minimum, a </w:t>
      </w:r>
      <w:r w:rsidR="00A44785">
        <w:t>GP</w:t>
      </w:r>
      <w:r w:rsidRPr="00037E57">
        <w:t xml:space="preserve"> and mental health worker (psychologist/mental health professional/nurse) who are able to re-engage and support the consumer post discharge.   </w:t>
      </w:r>
    </w:p>
    <w:p w14:paraId="3E9FB56A" w14:textId="77777777" w:rsidR="00037E57" w:rsidRDefault="00037E57" w:rsidP="00037E57">
      <w:pPr>
        <w:pStyle w:val="BodyCopy"/>
        <w:rPr>
          <w:i/>
        </w:rPr>
      </w:pPr>
      <w:r w:rsidRPr="00037E57">
        <w:t xml:space="preserve">Guidance on the collection of discharge medications can be found in the </w:t>
      </w:r>
      <w:r w:rsidRPr="00037E57">
        <w:rPr>
          <w:i/>
        </w:rPr>
        <w:t>CHS Medication Handling Policy.</w:t>
      </w:r>
    </w:p>
    <w:p w14:paraId="7888200B" w14:textId="10A95DAF" w:rsidR="00037E57" w:rsidRPr="00037E57" w:rsidRDefault="00037E57" w:rsidP="00037E57">
      <w:pPr>
        <w:pStyle w:val="BodyCopy"/>
        <w:spacing w:after="120"/>
        <w:rPr>
          <w:iCs w:val="0"/>
          <w:color w:val="auto"/>
          <w:u w:val="single"/>
        </w:rPr>
      </w:pPr>
      <w:hyperlink w:anchor="_top" w:history="1">
        <w:r w:rsidRPr="00481A6C">
          <w:rPr>
            <w:rStyle w:val="Hyperlink"/>
            <w:iCs w:val="0"/>
          </w:rPr>
          <w:t>Back to Contents</w:t>
        </w:r>
      </w:hyperlink>
    </w:p>
    <w:p w14:paraId="35AD344E" w14:textId="797C2E85" w:rsidR="00037E57" w:rsidRDefault="00037E57" w:rsidP="00037E57">
      <w:pPr>
        <w:pStyle w:val="Heading4"/>
      </w:pPr>
      <w:bookmarkStart w:id="31" w:name="_Toc201246940"/>
      <w:r>
        <w:t xml:space="preserve">Section 11- </w:t>
      </w:r>
      <w:r w:rsidRPr="00037E57">
        <w:t>Partnering with consumers, carers, family, kin and other supports</w:t>
      </w:r>
      <w:bookmarkEnd w:id="31"/>
      <w:r w:rsidRPr="00037E57">
        <w:t xml:space="preserve">   </w:t>
      </w:r>
    </w:p>
    <w:p w14:paraId="10EAA963" w14:textId="77777777" w:rsidR="00037E57" w:rsidRPr="00037E57" w:rsidRDefault="00037E57" w:rsidP="00D011CF">
      <w:pPr>
        <w:pStyle w:val="Heading5"/>
      </w:pPr>
      <w:r w:rsidRPr="00037E57">
        <w:t>11.1 Carers, Kin and Family inclusion</w:t>
      </w:r>
    </w:p>
    <w:p w14:paraId="1570E4C7" w14:textId="77777777" w:rsidR="00037E57" w:rsidRPr="00037E57" w:rsidRDefault="00037E57" w:rsidP="005756B3">
      <w:pPr>
        <w:pStyle w:val="BodyCopy"/>
        <w:rPr>
          <w:lang w:val="en-US"/>
        </w:rPr>
      </w:pPr>
      <w:r w:rsidRPr="38D13D7D">
        <w:rPr>
          <w:lang w:val="en-US"/>
        </w:rPr>
        <w:t xml:space="preserve">Centre staff are committed to partnering with consumers and carers as a foundation for exceptional care. Partnering with consumers supports a person-centred approach to individual care. </w:t>
      </w:r>
    </w:p>
    <w:p w14:paraId="27056768" w14:textId="77777777" w:rsidR="00037E57" w:rsidRPr="00037E57" w:rsidRDefault="00037E57" w:rsidP="00037E57">
      <w:pPr>
        <w:pStyle w:val="BodyCopy"/>
      </w:pPr>
      <w:r w:rsidRPr="00037E57">
        <w:t xml:space="preserve">Partnering with consumers and carers is supported by open communication between the consumer, carer and all Centre staff, with consent from the consumer. Communication enables active engagement of carers, kin and families in the consumer journey and recovery. </w:t>
      </w:r>
    </w:p>
    <w:p w14:paraId="155CD4B4" w14:textId="77777777" w:rsidR="00037E57" w:rsidRPr="00037E57" w:rsidRDefault="00037E57" w:rsidP="00037E57">
      <w:pPr>
        <w:pStyle w:val="BodyCopy"/>
      </w:pPr>
      <w:r w:rsidRPr="00037E57">
        <w:t>The Centre staff will provide education and training to carers, families, kin and supporters so they feel equipped and skilled to assist their loved one in their recovery journey during admission and post discharge.</w:t>
      </w:r>
    </w:p>
    <w:p w14:paraId="2558C1A7" w14:textId="2BC628D8" w:rsidR="00037E57" w:rsidRPr="00037E57" w:rsidRDefault="00037E57" w:rsidP="00037E57">
      <w:pPr>
        <w:pStyle w:val="BodyCopy"/>
      </w:pPr>
      <w:r w:rsidRPr="00037E57">
        <w:t xml:space="preserve">The Centre </w:t>
      </w:r>
      <w:r w:rsidR="00CE4112">
        <w:t xml:space="preserve">may </w:t>
      </w:r>
      <w:r w:rsidRPr="00037E57">
        <w:t>offer carers, families, kin and supporters:</w:t>
      </w:r>
    </w:p>
    <w:p w14:paraId="5909E95A" w14:textId="77777777" w:rsidR="00037E57" w:rsidRPr="00037E57" w:rsidRDefault="00037E57" w:rsidP="00B44B87">
      <w:pPr>
        <w:pStyle w:val="Bullet"/>
      </w:pPr>
      <w:r w:rsidRPr="00037E57">
        <w:t>The welcome booklet</w:t>
      </w:r>
    </w:p>
    <w:p w14:paraId="6C49F8AF" w14:textId="77777777" w:rsidR="00037E57" w:rsidRPr="00037E57" w:rsidRDefault="00037E57" w:rsidP="00B44B87">
      <w:pPr>
        <w:pStyle w:val="Bullet"/>
      </w:pPr>
      <w:r w:rsidRPr="00037E57">
        <w:t>Information sessions</w:t>
      </w:r>
    </w:p>
    <w:p w14:paraId="6CD64D5A" w14:textId="77777777" w:rsidR="00037E57" w:rsidRPr="00037E57" w:rsidRDefault="00037E57" w:rsidP="00B44B87">
      <w:pPr>
        <w:pStyle w:val="Bullet"/>
      </w:pPr>
      <w:r w:rsidRPr="00037E57">
        <w:t>Opportunities to be involved in meal support</w:t>
      </w:r>
    </w:p>
    <w:p w14:paraId="00B945A6" w14:textId="77777777" w:rsidR="00037E57" w:rsidRPr="00037E57" w:rsidRDefault="00037E57" w:rsidP="00B44B87">
      <w:pPr>
        <w:pStyle w:val="Bullet"/>
        <w:rPr>
          <w:lang w:val="en-US"/>
        </w:rPr>
      </w:pPr>
      <w:r w:rsidRPr="00037E57">
        <w:t>Opportunities</w:t>
      </w:r>
      <w:r w:rsidRPr="00037E57">
        <w:rPr>
          <w:lang w:val="en-US"/>
        </w:rPr>
        <w:t xml:space="preserve"> to connect and share their experience. </w:t>
      </w:r>
    </w:p>
    <w:p w14:paraId="5EB1B078" w14:textId="77777777" w:rsidR="00037E57" w:rsidRPr="00037E57" w:rsidRDefault="00037E57" w:rsidP="00037E57">
      <w:pPr>
        <w:pStyle w:val="BodyCopy"/>
      </w:pPr>
      <w:r w:rsidRPr="00037E57">
        <w:t>Carers, families, kin and supporters may be invited to attend MDTs, consumer individual therapy sessions, family meetings, and carer skills and support groups.</w:t>
      </w:r>
    </w:p>
    <w:p w14:paraId="61CBCA27" w14:textId="77777777" w:rsidR="00037E57" w:rsidRPr="00037E57" w:rsidRDefault="00037E57" w:rsidP="00037E57">
      <w:pPr>
        <w:pStyle w:val="BodyCopy"/>
      </w:pPr>
      <w:r w:rsidRPr="00037E57">
        <w:t>Consumers and family, kin and carers can also access advocacy and support through consumer and carer organisations.</w:t>
      </w:r>
    </w:p>
    <w:p w14:paraId="62172850" w14:textId="77777777" w:rsidR="00037E57" w:rsidRPr="00037E57" w:rsidRDefault="00037E57" w:rsidP="00037E57">
      <w:pPr>
        <w:pStyle w:val="BodyCopy"/>
      </w:pPr>
      <w:r w:rsidRPr="00037E57">
        <w:t xml:space="preserve">See </w:t>
      </w:r>
      <w:r w:rsidRPr="00037E57">
        <w:rPr>
          <w:i/>
        </w:rPr>
        <w:t>CHS Partnering with Consumers Framework and CHS Partnering with Consumer policy</w:t>
      </w:r>
      <w:r w:rsidRPr="00037E57">
        <w:t xml:space="preserve"> for further information. </w:t>
      </w:r>
    </w:p>
    <w:p w14:paraId="67637A06" w14:textId="77777777" w:rsidR="00037E57" w:rsidRDefault="00037E57" w:rsidP="00037E57">
      <w:pPr>
        <w:pStyle w:val="BodyCopy"/>
        <w:spacing w:after="120"/>
        <w:rPr>
          <w:rStyle w:val="Hyperlink"/>
          <w:iCs w:val="0"/>
        </w:rPr>
      </w:pPr>
      <w:hyperlink w:anchor="_top" w:history="1">
        <w:r w:rsidRPr="00481A6C">
          <w:rPr>
            <w:rStyle w:val="Hyperlink"/>
            <w:iCs w:val="0"/>
          </w:rPr>
          <w:t>Back to Contents</w:t>
        </w:r>
      </w:hyperlink>
    </w:p>
    <w:p w14:paraId="20E3B705" w14:textId="49E67A62" w:rsidR="00037E57" w:rsidRDefault="00037E57" w:rsidP="00037E57">
      <w:pPr>
        <w:pStyle w:val="Heading4"/>
      </w:pPr>
      <w:bookmarkStart w:id="32" w:name="_Toc201246941"/>
      <w:r>
        <w:t>Section 12- Documentation</w:t>
      </w:r>
      <w:bookmarkEnd w:id="32"/>
    </w:p>
    <w:p w14:paraId="74E035DE" w14:textId="77777777" w:rsidR="00037E57" w:rsidRPr="00037E57" w:rsidRDefault="00037E57" w:rsidP="00037E57">
      <w:pPr>
        <w:pStyle w:val="BodyCopy"/>
      </w:pPr>
      <w:bookmarkStart w:id="33" w:name="_Hlk156919062"/>
      <w:r w:rsidRPr="00037E57">
        <w:t>The purpose of a clinical record is to:</w:t>
      </w:r>
    </w:p>
    <w:p w14:paraId="587F7AAF" w14:textId="77777777" w:rsidR="00037E57" w:rsidRPr="00037E57" w:rsidRDefault="00037E57" w:rsidP="00B44B87">
      <w:pPr>
        <w:pStyle w:val="Bullet"/>
      </w:pPr>
      <w:r w:rsidRPr="00037E57">
        <w:t>Communicate clinical information between members of the treating team</w:t>
      </w:r>
    </w:p>
    <w:p w14:paraId="2D92814A" w14:textId="77777777" w:rsidR="00037E57" w:rsidRPr="00037E57" w:rsidRDefault="00037E57" w:rsidP="00B44B87">
      <w:pPr>
        <w:pStyle w:val="Bullet"/>
        <w:rPr>
          <w:lang w:val="en-US"/>
        </w:rPr>
      </w:pPr>
      <w:r w:rsidRPr="00037E57">
        <w:t xml:space="preserve">Provide accurate reflections of the assessment made, changes in clinical state, the care </w:t>
      </w:r>
      <w:r w:rsidRPr="00037E57">
        <w:rPr>
          <w:lang w:val="en-US"/>
        </w:rPr>
        <w:t xml:space="preserve">provided and pertinent information to support the ongoing clinical care provided to the consumer. </w:t>
      </w:r>
    </w:p>
    <w:p w14:paraId="6876B511" w14:textId="77777777" w:rsidR="00037E57" w:rsidRPr="00037E57" w:rsidRDefault="00037E57" w:rsidP="00037E57">
      <w:pPr>
        <w:pStyle w:val="BodyCopy"/>
      </w:pPr>
      <w:r w:rsidRPr="00037E57">
        <w:t xml:space="preserve">Clinical records are multidisciplinary and should contain sequential entries from all health professionals on the treating team. Engagement with the consumer should be documented in the clinical record at the time it occurs or as soon as practicable after. </w:t>
      </w:r>
    </w:p>
    <w:p w14:paraId="72869219" w14:textId="4802C28E" w:rsidR="00037E57" w:rsidRPr="00037E57" w:rsidRDefault="00037E57" w:rsidP="00310C63">
      <w:pPr>
        <w:pStyle w:val="BodyCopy"/>
      </w:pPr>
      <w:r w:rsidRPr="00037E57">
        <w:t xml:space="preserve">The CHS centralised clinical record system DHR is used to record all interactions, assessments, and clinical tools between a consumer and CHS. All risk assessment forms and templates are built into the clinical record. </w:t>
      </w:r>
      <w:r w:rsidRPr="00037E57">
        <w:rPr>
          <w:lang w:val="en-US"/>
        </w:rPr>
        <w:t>See</w:t>
      </w:r>
      <w:r w:rsidRPr="00037E57">
        <w:rPr>
          <w:i/>
          <w:lang w:val="en-US"/>
        </w:rPr>
        <w:t xml:space="preserve"> CHS Clinical Records Procedure </w:t>
      </w:r>
      <w:r w:rsidRPr="00037E57">
        <w:rPr>
          <w:lang w:val="en-US"/>
        </w:rPr>
        <w:t>for further information</w:t>
      </w:r>
      <w:r w:rsidRPr="00037E57">
        <w:rPr>
          <w:i/>
          <w:lang w:val="en-US"/>
        </w:rPr>
        <w:t xml:space="preserve">. </w:t>
      </w:r>
    </w:p>
    <w:bookmarkEnd w:id="33"/>
    <w:p w14:paraId="04CF5D41" w14:textId="5BA1D53A" w:rsidR="00A52854" w:rsidRPr="00B44B87" w:rsidRDefault="00037E57" w:rsidP="00B44B87">
      <w:pPr>
        <w:pStyle w:val="BodyCopy"/>
        <w:spacing w:after="120"/>
        <w:rPr>
          <w:iCs w:val="0"/>
          <w:color w:val="auto"/>
          <w:u w:val="single"/>
        </w:rPr>
      </w:pPr>
      <w:r>
        <w:fldChar w:fldCharType="begin"/>
      </w:r>
      <w:r>
        <w:instrText>HYPERLINK \l "_top"</w:instrText>
      </w:r>
      <w:r>
        <w:fldChar w:fldCharType="separate"/>
      </w:r>
      <w:r w:rsidRPr="00481A6C">
        <w:rPr>
          <w:rStyle w:val="Hyperlink"/>
          <w:iCs w:val="0"/>
        </w:rPr>
        <w:t>Back to Contents</w:t>
      </w:r>
      <w:r>
        <w:rPr>
          <w:rStyle w:val="Hyperlink"/>
          <w:iCs w:val="0"/>
        </w:rPr>
        <w:fldChar w:fldCharType="end"/>
      </w:r>
    </w:p>
    <w:p w14:paraId="25177C23" w14:textId="244BA395" w:rsidR="00037E57" w:rsidRDefault="00037E57" w:rsidP="00037E57">
      <w:pPr>
        <w:pStyle w:val="Heading4"/>
      </w:pPr>
      <w:bookmarkStart w:id="34" w:name="_Toc201246942"/>
      <w:r>
        <w:t>Section 13- Centre governance and meeting structure</w:t>
      </w:r>
      <w:bookmarkEnd w:id="34"/>
    </w:p>
    <w:p w14:paraId="7DFC9BF4" w14:textId="77777777" w:rsidR="00037E57" w:rsidRPr="00037E57" w:rsidRDefault="00037E57" w:rsidP="00037E57">
      <w:pPr>
        <w:pStyle w:val="BodyCopy"/>
      </w:pPr>
      <w:r w:rsidRPr="00037E57">
        <w:t xml:space="preserve">The Centre governance is embedded within the existing MHJHADS and CHS corporate, clinical, and operational governance systems. These provide a framework that draws together initiatives, process, systems, and ways of working. All eating disorders program areas sit in the CAMHS stream of MHJHADS Governance. </w:t>
      </w:r>
    </w:p>
    <w:p w14:paraId="5EF7D25B" w14:textId="77777777" w:rsidR="00037E57" w:rsidRPr="00037E57" w:rsidRDefault="00037E57" w:rsidP="00037E57">
      <w:pPr>
        <w:pStyle w:val="BodyCopy"/>
      </w:pPr>
      <w:r w:rsidRPr="00037E57">
        <w:t>The Clinical and Operational Directors provide overarching leadership to ensure service delivery is in line with the strategic direction, organisational accountability and corporate governance processes. The clinical governance structure sits within a tiered hierarchy of organisational governances regarding decision-making and endorsement of service activities</w:t>
      </w:r>
    </w:p>
    <w:p w14:paraId="529D07CF" w14:textId="77777777" w:rsidR="00037E57" w:rsidRDefault="00037E57" w:rsidP="00037E57">
      <w:pPr>
        <w:pStyle w:val="BodyCopy"/>
        <w:spacing w:after="120"/>
        <w:rPr>
          <w:rStyle w:val="Hyperlink"/>
          <w:iCs w:val="0"/>
        </w:rPr>
      </w:pPr>
      <w:hyperlink w:anchor="_top" w:history="1">
        <w:r w:rsidRPr="00481A6C">
          <w:rPr>
            <w:rStyle w:val="Hyperlink"/>
            <w:iCs w:val="0"/>
          </w:rPr>
          <w:t>Back to Contents</w:t>
        </w:r>
      </w:hyperlink>
    </w:p>
    <w:p w14:paraId="02068DE1" w14:textId="65165F86" w:rsidR="00037E57" w:rsidRDefault="00037E57" w:rsidP="00037E57">
      <w:pPr>
        <w:pStyle w:val="Heading4"/>
      </w:pPr>
      <w:bookmarkStart w:id="35" w:name="_Toc201246943"/>
      <w:r>
        <w:t>Section 14- Evaluation</w:t>
      </w:r>
      <w:bookmarkEnd w:id="35"/>
    </w:p>
    <w:p w14:paraId="3211435B" w14:textId="77777777" w:rsidR="00037E57" w:rsidRPr="00037E57" w:rsidRDefault="00037E57" w:rsidP="00037E57">
      <w:pPr>
        <w:pStyle w:val="BodyCopy"/>
      </w:pPr>
      <w:r w:rsidRPr="00037E57">
        <w:t xml:space="preserve">The Centre is committed to ongoing service improvement and contributing to the evidence base for the role of Residential Centres in the stepped care model of treatment for eating disorders. The workforce profile includes a part time research position responsible for planning and implementing research and evaluation activities and data management. </w:t>
      </w:r>
    </w:p>
    <w:p w14:paraId="5B51D5B2" w14:textId="77777777" w:rsidR="00037E57" w:rsidRPr="00037E57" w:rsidRDefault="00037E57" w:rsidP="00037E57">
      <w:pPr>
        <w:pStyle w:val="BodyCopy"/>
      </w:pPr>
      <w:r w:rsidRPr="00037E57">
        <w:t>The Centre will report on qualitative and quantitative benefits.</w:t>
      </w:r>
    </w:p>
    <w:p w14:paraId="6D7FED1F" w14:textId="77777777" w:rsidR="00037E57" w:rsidRPr="00037E57" w:rsidRDefault="00037E57" w:rsidP="00037E57">
      <w:pPr>
        <w:pStyle w:val="BodyCopy"/>
      </w:pPr>
      <w:r w:rsidRPr="00037E57">
        <w:t> Qualitative measures: </w:t>
      </w:r>
    </w:p>
    <w:p w14:paraId="5FB8A7D6" w14:textId="77777777" w:rsidR="00037E57" w:rsidRPr="00037E57" w:rsidRDefault="00037E57" w:rsidP="00B44B87">
      <w:pPr>
        <w:pStyle w:val="Bullet"/>
      </w:pPr>
      <w:r w:rsidRPr="00037E57">
        <w:t xml:space="preserve">Consumer experience surveys (YES Survey). </w:t>
      </w:r>
    </w:p>
    <w:p w14:paraId="4A0B9409" w14:textId="77777777" w:rsidR="00037E57" w:rsidRPr="00037E57" w:rsidRDefault="00037E57" w:rsidP="00B44B87">
      <w:pPr>
        <w:pStyle w:val="Bullet"/>
      </w:pPr>
      <w:r w:rsidRPr="00037E57">
        <w:t>Evaluation feedback from carers, families, kin and supporters (CES to be introduced)</w:t>
      </w:r>
    </w:p>
    <w:p w14:paraId="393AE833" w14:textId="77777777" w:rsidR="00037E57" w:rsidRPr="00037E57" w:rsidRDefault="00037E57" w:rsidP="00B44B87">
      <w:pPr>
        <w:pStyle w:val="Bullet"/>
      </w:pPr>
      <w:r w:rsidRPr="00037E57">
        <w:t xml:space="preserve">Staff experience and satisfaction surveys </w:t>
      </w:r>
    </w:p>
    <w:p w14:paraId="23EAB895" w14:textId="77777777" w:rsidR="00037E57" w:rsidRPr="00037E57" w:rsidRDefault="00037E57" w:rsidP="00B44B87">
      <w:pPr>
        <w:pStyle w:val="Bullet"/>
      </w:pPr>
      <w:r w:rsidRPr="00037E57">
        <w:t>Compliments or complaints received as feedback.</w:t>
      </w:r>
    </w:p>
    <w:p w14:paraId="7EB7ED9D" w14:textId="77777777" w:rsidR="00037E57" w:rsidRPr="00037E57" w:rsidRDefault="00037E57" w:rsidP="00B44B87">
      <w:pPr>
        <w:pStyle w:val="Bullet"/>
      </w:pPr>
      <w:r w:rsidRPr="00037E57">
        <w:t>Audit of the use of CCTV will be conducted a year after the Centre commences operating.</w:t>
      </w:r>
    </w:p>
    <w:p w14:paraId="712396CB" w14:textId="77777777" w:rsidR="00037E57" w:rsidRPr="00037E57" w:rsidRDefault="00037E57" w:rsidP="00B44B87">
      <w:pPr>
        <w:pStyle w:val="Bullet"/>
      </w:pPr>
      <w:r w:rsidRPr="00037E57">
        <w:t>The MoC and operational procedures will be reviewed one year after opening, and every 3-5 years ongoing</w:t>
      </w:r>
    </w:p>
    <w:p w14:paraId="7D5CE633" w14:textId="77777777" w:rsidR="00037E57" w:rsidRPr="00037E57" w:rsidRDefault="00037E57" w:rsidP="00037E57">
      <w:pPr>
        <w:pStyle w:val="BodyCopy"/>
      </w:pPr>
      <w:r w:rsidRPr="00037E57">
        <w:t>Quantitative measures: </w:t>
      </w:r>
    </w:p>
    <w:p w14:paraId="6FF8277D" w14:textId="77777777" w:rsidR="00037E57" w:rsidRPr="00037E57" w:rsidRDefault="00037E57" w:rsidP="00037E57">
      <w:pPr>
        <w:pStyle w:val="BodyCopy"/>
      </w:pPr>
      <w:r w:rsidRPr="00037E57">
        <w:t xml:space="preserve">CHS has an obligation to report both locally and nationally on its performance. Additional measures will be administered consistent with the </w:t>
      </w:r>
      <w:r w:rsidRPr="00037E57">
        <w:rPr>
          <w:i/>
        </w:rPr>
        <w:t xml:space="preserve">Use of Mandatory National Outcome Measures – MHJHADS </w:t>
      </w:r>
      <w:r w:rsidRPr="00037E57">
        <w:t>policy and updated clinical guidelines, research, and CHS policy.  </w:t>
      </w:r>
    </w:p>
    <w:p w14:paraId="1E0FD515" w14:textId="77777777" w:rsidR="00037E57" w:rsidRDefault="00037E57" w:rsidP="00037E57">
      <w:pPr>
        <w:pStyle w:val="BodyCopy"/>
      </w:pPr>
      <w:r w:rsidRPr="00037E57">
        <w:t>Other indicators may include adverse clinical events resulting in significant harm, morbidity or mortality and monitoring of wait times. KPI’s are reported through the usual MHJHADS data reporting processes.</w:t>
      </w:r>
    </w:p>
    <w:p w14:paraId="606E450B" w14:textId="559C9F1E" w:rsidR="00037E57" w:rsidRPr="00037E57" w:rsidRDefault="00037E57" w:rsidP="00596DAA">
      <w:pPr>
        <w:pStyle w:val="Tabletitle-numbered"/>
      </w:pPr>
      <w:r w:rsidRPr="00037E57">
        <w:t xml:space="preserve">Key Performance Indicators </w:t>
      </w:r>
    </w:p>
    <w:tbl>
      <w:tblPr>
        <w:tblStyle w:val="CHSTable03"/>
        <w:tblW w:w="10424" w:type="dxa"/>
        <w:tblLook w:val="0420" w:firstRow="1" w:lastRow="0" w:firstColumn="0" w:lastColumn="0" w:noHBand="0" w:noVBand="1"/>
      </w:tblPr>
      <w:tblGrid>
        <w:gridCol w:w="3388"/>
        <w:gridCol w:w="6743"/>
        <w:gridCol w:w="293"/>
      </w:tblGrid>
      <w:tr w:rsidR="00037E57" w:rsidRPr="00037E57" w14:paraId="5F8033BB" w14:textId="77777777" w:rsidTr="00A04707">
        <w:trPr>
          <w:cnfStyle w:val="100000000000" w:firstRow="1" w:lastRow="0" w:firstColumn="0" w:lastColumn="0" w:oddVBand="0" w:evenVBand="0" w:oddHBand="0" w:evenHBand="0" w:firstRowFirstColumn="0" w:firstRowLastColumn="0" w:lastRowFirstColumn="0" w:lastRowLastColumn="0"/>
          <w:trHeight w:val="299"/>
        </w:trPr>
        <w:tc>
          <w:tcPr>
            <w:tcW w:w="3440" w:type="dxa"/>
            <w:hideMark/>
          </w:tcPr>
          <w:p w14:paraId="015B9C9A" w14:textId="77777777" w:rsidR="00037E57" w:rsidRPr="00A04707" w:rsidRDefault="00037E57" w:rsidP="00EF2A08">
            <w:pPr>
              <w:pStyle w:val="BodyCopy"/>
              <w:spacing w:after="120"/>
              <w:rPr>
                <w:b/>
                <w:color w:val="FFFFFF" w:themeColor="background1"/>
              </w:rPr>
            </w:pPr>
            <w:r w:rsidRPr="00A04707">
              <w:rPr>
                <w:b/>
                <w:color w:val="FFFFFF" w:themeColor="background1"/>
              </w:rPr>
              <w:t>Key Performance Indicators  </w:t>
            </w:r>
          </w:p>
        </w:tc>
        <w:tc>
          <w:tcPr>
            <w:tcW w:w="6984" w:type="dxa"/>
            <w:gridSpan w:val="2"/>
            <w:hideMark/>
          </w:tcPr>
          <w:p w14:paraId="32937F1C" w14:textId="77777777" w:rsidR="00037E57" w:rsidRPr="00A04707" w:rsidRDefault="00037E57" w:rsidP="00EF2A08">
            <w:pPr>
              <w:pStyle w:val="BodyCopy"/>
              <w:spacing w:after="120"/>
              <w:rPr>
                <w:b/>
                <w:color w:val="FFFFFF" w:themeColor="background1"/>
              </w:rPr>
            </w:pPr>
            <w:r w:rsidRPr="00A04707">
              <w:rPr>
                <w:b/>
                <w:color w:val="FFFFFF" w:themeColor="background1"/>
              </w:rPr>
              <w:t>Description </w:t>
            </w:r>
          </w:p>
        </w:tc>
      </w:tr>
      <w:tr w:rsidR="00037E57" w:rsidRPr="00037E57" w14:paraId="41204A1C" w14:textId="77777777" w:rsidTr="00A04707">
        <w:trPr>
          <w:trHeight w:val="299"/>
        </w:trPr>
        <w:tc>
          <w:tcPr>
            <w:tcW w:w="3440" w:type="dxa"/>
            <w:hideMark/>
          </w:tcPr>
          <w:p w14:paraId="544D7B1D" w14:textId="77777777" w:rsidR="00037E57" w:rsidRPr="00037E57" w:rsidRDefault="00037E57" w:rsidP="00B44B87">
            <w:pPr>
              <w:pStyle w:val="Tablebody"/>
            </w:pPr>
            <w:r w:rsidRPr="00037E57">
              <w:t>Admissions  </w:t>
            </w:r>
          </w:p>
        </w:tc>
        <w:tc>
          <w:tcPr>
            <w:tcW w:w="6895" w:type="dxa"/>
            <w:hideMark/>
          </w:tcPr>
          <w:p w14:paraId="3B78F887" w14:textId="77777777" w:rsidR="00037E57" w:rsidRPr="00037E57" w:rsidRDefault="00037E57" w:rsidP="00B44B87">
            <w:pPr>
              <w:pStyle w:val="Tablebody"/>
            </w:pPr>
            <w:r w:rsidRPr="00037E57">
              <w:t>Total number of admissions. </w:t>
            </w:r>
          </w:p>
          <w:p w14:paraId="2AE32996" w14:textId="77777777" w:rsidR="00037E57" w:rsidRPr="00037E57" w:rsidRDefault="00037E57" w:rsidP="00B44B87">
            <w:pPr>
              <w:pStyle w:val="Tablebody"/>
            </w:pPr>
            <w:r w:rsidRPr="00037E57">
              <w:t>Admission source: </w:t>
            </w:r>
          </w:p>
          <w:p w14:paraId="67BF3176" w14:textId="77777777" w:rsidR="00037E57" w:rsidRPr="00037E57" w:rsidRDefault="00037E57" w:rsidP="00B44B87">
            <w:pPr>
              <w:pStyle w:val="Tablebullet1"/>
            </w:pPr>
            <w:r w:rsidRPr="00037E57">
              <w:t>MHJHADS teams  </w:t>
            </w:r>
          </w:p>
          <w:p w14:paraId="2CD97122" w14:textId="77777777" w:rsidR="00037E57" w:rsidRPr="00037E57" w:rsidRDefault="00037E57" w:rsidP="00B44B87">
            <w:pPr>
              <w:pStyle w:val="Tablebullet1"/>
            </w:pPr>
            <w:r w:rsidRPr="00037E57">
              <w:t>Interstate  </w:t>
            </w:r>
          </w:p>
          <w:p w14:paraId="2CD5E318" w14:textId="77777777" w:rsidR="00037E57" w:rsidRPr="00037E57" w:rsidRDefault="00037E57" w:rsidP="00B44B87">
            <w:pPr>
              <w:pStyle w:val="Tablebullet1"/>
            </w:pPr>
            <w:r w:rsidRPr="00037E57">
              <w:t>Other </w:t>
            </w:r>
          </w:p>
          <w:p w14:paraId="2475DCF9" w14:textId="77777777" w:rsidR="00037E57" w:rsidRPr="00037E57" w:rsidRDefault="00037E57" w:rsidP="00B44B87">
            <w:pPr>
              <w:pStyle w:val="Tablebody"/>
            </w:pPr>
            <w:r w:rsidRPr="00037E57">
              <w:t>Age</w:t>
            </w:r>
          </w:p>
          <w:p w14:paraId="58AAFA59" w14:textId="77777777" w:rsidR="00037E57" w:rsidRPr="00037E57" w:rsidRDefault="00037E57" w:rsidP="00B44B87">
            <w:pPr>
              <w:pStyle w:val="Tablebody"/>
            </w:pPr>
            <w:r w:rsidRPr="00037E57">
              <w:t>Gender</w:t>
            </w:r>
          </w:p>
          <w:p w14:paraId="32530385" w14:textId="77777777" w:rsidR="00037E57" w:rsidRPr="00037E57" w:rsidRDefault="00037E57" w:rsidP="00B44B87">
            <w:pPr>
              <w:pStyle w:val="Tablebody"/>
            </w:pPr>
            <w:r w:rsidRPr="00037E57">
              <w:t>Diagnosis</w:t>
            </w:r>
          </w:p>
          <w:p w14:paraId="35BAE154" w14:textId="77777777" w:rsidR="00037E57" w:rsidRPr="00037E57" w:rsidRDefault="00037E57" w:rsidP="00B44B87">
            <w:pPr>
              <w:pStyle w:val="Tablebody"/>
            </w:pPr>
            <w:r w:rsidRPr="00037E57">
              <w:t>Cultural background  </w:t>
            </w:r>
          </w:p>
        </w:tc>
        <w:tc>
          <w:tcPr>
            <w:tcW w:w="89" w:type="dxa"/>
            <w:hideMark/>
          </w:tcPr>
          <w:p w14:paraId="5D632F73" w14:textId="77777777" w:rsidR="00037E57" w:rsidRPr="00037E57" w:rsidRDefault="00037E57" w:rsidP="00EF2A08">
            <w:pPr>
              <w:pStyle w:val="BodyCopy"/>
              <w:spacing w:after="120"/>
            </w:pPr>
            <w:r w:rsidRPr="00037E57">
              <w:t> </w:t>
            </w:r>
          </w:p>
        </w:tc>
      </w:tr>
      <w:tr w:rsidR="00037E57" w:rsidRPr="00037E57" w14:paraId="4EB9722B" w14:textId="77777777" w:rsidTr="00B44B87">
        <w:trPr>
          <w:trHeight w:val="3301"/>
        </w:trPr>
        <w:tc>
          <w:tcPr>
            <w:tcW w:w="3440" w:type="dxa"/>
            <w:hideMark/>
          </w:tcPr>
          <w:p w14:paraId="0EC7ED44" w14:textId="77777777" w:rsidR="00037E57" w:rsidRPr="00037E57" w:rsidRDefault="00037E57" w:rsidP="00EF2A08">
            <w:pPr>
              <w:pStyle w:val="BodyCopy"/>
              <w:spacing w:after="120"/>
            </w:pPr>
            <w:r w:rsidRPr="00037E57">
              <w:t>Discharges  </w:t>
            </w:r>
          </w:p>
        </w:tc>
        <w:tc>
          <w:tcPr>
            <w:tcW w:w="6984" w:type="dxa"/>
            <w:gridSpan w:val="2"/>
            <w:hideMark/>
          </w:tcPr>
          <w:p w14:paraId="26E5FC0F" w14:textId="77777777" w:rsidR="00037E57" w:rsidRPr="00037E57" w:rsidRDefault="00037E57" w:rsidP="00B44B87">
            <w:pPr>
              <w:pStyle w:val="Tablebody"/>
            </w:pPr>
            <w:r w:rsidRPr="00037E57">
              <w:t>Total number of consumers discharged </w:t>
            </w:r>
          </w:p>
          <w:p w14:paraId="60038152" w14:textId="77777777" w:rsidR="00037E57" w:rsidRPr="00037E57" w:rsidRDefault="00037E57" w:rsidP="00B44B87">
            <w:pPr>
              <w:pStyle w:val="Tablebody"/>
            </w:pPr>
            <w:r w:rsidRPr="00037E57">
              <w:t>Discharge reason: </w:t>
            </w:r>
          </w:p>
          <w:p w14:paraId="018517A3" w14:textId="77777777" w:rsidR="00037E57" w:rsidRPr="00037E57" w:rsidRDefault="00037E57" w:rsidP="00B44B87">
            <w:pPr>
              <w:pStyle w:val="Tablebullet1"/>
            </w:pPr>
            <w:r w:rsidRPr="00037E57">
              <w:t>Completion of program </w:t>
            </w:r>
          </w:p>
          <w:p w14:paraId="69E86A74" w14:textId="77777777" w:rsidR="00037E57" w:rsidRPr="00037E57" w:rsidRDefault="00037E57" w:rsidP="00B44B87">
            <w:pPr>
              <w:pStyle w:val="Tablebullet1"/>
            </w:pPr>
            <w:r w:rsidRPr="00037E57">
              <w:t>Required higher level of care </w:t>
            </w:r>
          </w:p>
          <w:p w14:paraId="1448E4B9" w14:textId="77777777" w:rsidR="00037E57" w:rsidRPr="00037E57" w:rsidRDefault="00037E57" w:rsidP="00B44B87">
            <w:pPr>
              <w:pStyle w:val="Tablebullet1"/>
            </w:pPr>
            <w:r w:rsidRPr="00037E57">
              <w:t>Withdrew from the program  </w:t>
            </w:r>
          </w:p>
          <w:p w14:paraId="4B7B4075" w14:textId="77777777" w:rsidR="00037E57" w:rsidRPr="00037E57" w:rsidRDefault="00037E57" w:rsidP="00EF2A08">
            <w:pPr>
              <w:pStyle w:val="BodyCopy"/>
              <w:spacing w:after="120"/>
            </w:pPr>
            <w:r w:rsidRPr="00037E57">
              <w:t>Discharge follow up: </w:t>
            </w:r>
          </w:p>
          <w:p w14:paraId="5264ABA2" w14:textId="77777777" w:rsidR="00037E57" w:rsidRPr="00037E57" w:rsidRDefault="00037E57" w:rsidP="00B44B87">
            <w:pPr>
              <w:pStyle w:val="Tablebullet1"/>
            </w:pPr>
            <w:r w:rsidRPr="00037E57">
              <w:t>MHJHADS team </w:t>
            </w:r>
          </w:p>
          <w:p w14:paraId="7B194B9A" w14:textId="77777777" w:rsidR="00037E57" w:rsidRPr="00037E57" w:rsidRDefault="00037E57" w:rsidP="00B44B87">
            <w:pPr>
              <w:pStyle w:val="Tablebullet1"/>
            </w:pPr>
            <w:r w:rsidRPr="00037E57">
              <w:t>Private provider  </w:t>
            </w:r>
          </w:p>
          <w:p w14:paraId="1476466A" w14:textId="77777777" w:rsidR="00037E57" w:rsidRPr="00037E57" w:rsidRDefault="00037E57" w:rsidP="00B44B87">
            <w:pPr>
              <w:pStyle w:val="Tablebullet1"/>
            </w:pPr>
            <w:r w:rsidRPr="00037E57">
              <w:t>Interstate  </w:t>
            </w:r>
          </w:p>
          <w:p w14:paraId="1878008A" w14:textId="77777777" w:rsidR="00037E57" w:rsidRPr="00037E57" w:rsidRDefault="00037E57" w:rsidP="00B44B87">
            <w:pPr>
              <w:pStyle w:val="Tablebullet1"/>
            </w:pPr>
            <w:r w:rsidRPr="00037E57">
              <w:t>Other  </w:t>
            </w:r>
          </w:p>
        </w:tc>
      </w:tr>
      <w:tr w:rsidR="00037E57" w:rsidRPr="00037E57" w14:paraId="50834075" w14:textId="77777777" w:rsidTr="00A04707">
        <w:trPr>
          <w:trHeight w:val="299"/>
        </w:trPr>
        <w:tc>
          <w:tcPr>
            <w:tcW w:w="3440" w:type="dxa"/>
            <w:hideMark/>
          </w:tcPr>
          <w:p w14:paraId="3B5DB2C3" w14:textId="77777777" w:rsidR="00037E57" w:rsidRPr="00037E57" w:rsidRDefault="00037E57" w:rsidP="00B44B87">
            <w:pPr>
              <w:pStyle w:val="Tablebody"/>
            </w:pPr>
            <w:r w:rsidRPr="00037E57">
              <w:t>Centre occupancy </w:t>
            </w:r>
          </w:p>
        </w:tc>
        <w:tc>
          <w:tcPr>
            <w:tcW w:w="6984" w:type="dxa"/>
            <w:gridSpan w:val="2"/>
            <w:hideMark/>
          </w:tcPr>
          <w:p w14:paraId="149FC633" w14:textId="77777777" w:rsidR="00037E57" w:rsidRPr="00037E57" w:rsidRDefault="00037E57" w:rsidP="00B44B87">
            <w:pPr>
              <w:pStyle w:val="Tablebody"/>
            </w:pPr>
            <w:r w:rsidRPr="00037E57">
              <w:t>Percentage of inpatient beds occupied </w:t>
            </w:r>
          </w:p>
        </w:tc>
      </w:tr>
      <w:tr w:rsidR="00037E57" w:rsidRPr="00037E57" w14:paraId="4232329D" w14:textId="77777777" w:rsidTr="00A04707">
        <w:trPr>
          <w:trHeight w:val="299"/>
        </w:trPr>
        <w:tc>
          <w:tcPr>
            <w:tcW w:w="3440" w:type="dxa"/>
            <w:hideMark/>
          </w:tcPr>
          <w:p w14:paraId="564CAF9B" w14:textId="77777777" w:rsidR="00037E57" w:rsidRPr="00037E57" w:rsidRDefault="00037E57" w:rsidP="00B44B87">
            <w:pPr>
              <w:pStyle w:val="Tablebody"/>
            </w:pPr>
            <w:r w:rsidRPr="00037E57">
              <w:t>Average length of stay  </w:t>
            </w:r>
          </w:p>
        </w:tc>
        <w:tc>
          <w:tcPr>
            <w:tcW w:w="6984" w:type="dxa"/>
            <w:gridSpan w:val="2"/>
            <w:hideMark/>
          </w:tcPr>
          <w:p w14:paraId="56F9A4C0" w14:textId="77777777" w:rsidR="00037E57" w:rsidRPr="00037E57" w:rsidRDefault="00037E57" w:rsidP="00B44B87">
            <w:pPr>
              <w:pStyle w:val="Tablebody"/>
            </w:pPr>
            <w:r w:rsidRPr="00037E57">
              <w:t>Calculated for discharged consumers </w:t>
            </w:r>
          </w:p>
        </w:tc>
      </w:tr>
      <w:tr w:rsidR="00037E57" w:rsidRPr="00037E57" w14:paraId="480B22EA" w14:textId="77777777" w:rsidTr="00A04707">
        <w:trPr>
          <w:trHeight w:val="299"/>
        </w:trPr>
        <w:tc>
          <w:tcPr>
            <w:tcW w:w="3440" w:type="dxa"/>
            <w:hideMark/>
          </w:tcPr>
          <w:p w14:paraId="1ACC9B36" w14:textId="77777777" w:rsidR="00037E57" w:rsidRPr="00037E57" w:rsidRDefault="00037E57" w:rsidP="00B44B87">
            <w:pPr>
              <w:pStyle w:val="Tablebody"/>
            </w:pPr>
            <w:r w:rsidRPr="00037E57">
              <w:t>Care plan </w:t>
            </w:r>
          </w:p>
        </w:tc>
        <w:tc>
          <w:tcPr>
            <w:tcW w:w="6984" w:type="dxa"/>
            <w:gridSpan w:val="2"/>
            <w:hideMark/>
          </w:tcPr>
          <w:p w14:paraId="366B28DB" w14:textId="77777777" w:rsidR="00037E57" w:rsidRPr="00037E57" w:rsidRDefault="00037E57" w:rsidP="00B44B87">
            <w:pPr>
              <w:pStyle w:val="Tablebody"/>
            </w:pPr>
            <w:r w:rsidRPr="00037E57">
              <w:t>Percentage of consumers with a care plan - completed  </w:t>
            </w:r>
          </w:p>
        </w:tc>
      </w:tr>
      <w:tr w:rsidR="00037E57" w:rsidRPr="00037E57" w14:paraId="4E0A000F" w14:textId="77777777" w:rsidTr="00A04707">
        <w:trPr>
          <w:trHeight w:val="299"/>
        </w:trPr>
        <w:tc>
          <w:tcPr>
            <w:tcW w:w="3440" w:type="dxa"/>
            <w:hideMark/>
          </w:tcPr>
          <w:p w14:paraId="6E473E2D" w14:textId="77777777" w:rsidR="00037E57" w:rsidRPr="00037E57" w:rsidRDefault="00037E57" w:rsidP="00B44B87">
            <w:pPr>
              <w:pStyle w:val="Tablebody"/>
            </w:pPr>
            <w:r w:rsidRPr="00037E57">
              <w:t>Readmission rate </w:t>
            </w:r>
          </w:p>
        </w:tc>
        <w:tc>
          <w:tcPr>
            <w:tcW w:w="6984" w:type="dxa"/>
            <w:gridSpan w:val="2"/>
            <w:hideMark/>
          </w:tcPr>
          <w:p w14:paraId="3E293604" w14:textId="77777777" w:rsidR="00037E57" w:rsidRPr="00037E57" w:rsidRDefault="00037E57" w:rsidP="00B44B87">
            <w:pPr>
              <w:pStyle w:val="Tablebody"/>
            </w:pPr>
            <w:r w:rsidRPr="00037E57">
              <w:t>Readmission to inpatient care within 28 days   </w:t>
            </w:r>
          </w:p>
        </w:tc>
      </w:tr>
      <w:tr w:rsidR="00037E57" w:rsidRPr="00037E57" w14:paraId="08231B82" w14:textId="77777777" w:rsidTr="00A04707">
        <w:trPr>
          <w:trHeight w:val="299"/>
        </w:trPr>
        <w:tc>
          <w:tcPr>
            <w:tcW w:w="3440" w:type="dxa"/>
            <w:hideMark/>
          </w:tcPr>
          <w:p w14:paraId="70B119A9" w14:textId="77777777" w:rsidR="00037E57" w:rsidRPr="00037E57" w:rsidRDefault="00037E57" w:rsidP="00B44B87">
            <w:pPr>
              <w:pStyle w:val="Tablebody"/>
            </w:pPr>
            <w:r w:rsidRPr="00037E57">
              <w:t>Admission assessment  </w:t>
            </w:r>
          </w:p>
        </w:tc>
        <w:tc>
          <w:tcPr>
            <w:tcW w:w="6984" w:type="dxa"/>
            <w:gridSpan w:val="2"/>
            <w:hideMark/>
          </w:tcPr>
          <w:p w14:paraId="55325CE8" w14:textId="77777777" w:rsidR="00037E57" w:rsidRPr="00037E57" w:rsidRDefault="00037E57" w:rsidP="00B44B87">
            <w:pPr>
              <w:pStyle w:val="Tablebody"/>
            </w:pPr>
            <w:r w:rsidRPr="00037E57">
              <w:t>Percentage of consumers who have undergone physical examination within 24 hours of admission – conducted by a medical officer or nurse practitioner</w:t>
            </w:r>
          </w:p>
        </w:tc>
      </w:tr>
      <w:tr w:rsidR="00037E57" w:rsidRPr="00037E57" w14:paraId="277A5540" w14:textId="77777777" w:rsidTr="00A04707">
        <w:trPr>
          <w:trHeight w:val="299"/>
        </w:trPr>
        <w:tc>
          <w:tcPr>
            <w:tcW w:w="3440" w:type="dxa"/>
            <w:hideMark/>
          </w:tcPr>
          <w:p w14:paraId="45E2FAEE" w14:textId="77777777" w:rsidR="00037E57" w:rsidRPr="00037E57" w:rsidRDefault="00037E57" w:rsidP="00B44B87">
            <w:pPr>
              <w:pStyle w:val="Tablebody"/>
            </w:pPr>
            <w:r w:rsidRPr="00037E57">
              <w:t>Consumer experience  </w:t>
            </w:r>
          </w:p>
        </w:tc>
        <w:tc>
          <w:tcPr>
            <w:tcW w:w="6984" w:type="dxa"/>
            <w:gridSpan w:val="2"/>
            <w:hideMark/>
          </w:tcPr>
          <w:p w14:paraId="2FC158D9" w14:textId="77777777" w:rsidR="00037E57" w:rsidRPr="00037E57" w:rsidRDefault="00037E57" w:rsidP="00B44B87">
            <w:pPr>
              <w:pStyle w:val="Tablebody"/>
            </w:pPr>
            <w:r w:rsidRPr="00037E57">
              <w:t>Your Experience of Service (YES) survey results on discharge   </w:t>
            </w:r>
          </w:p>
        </w:tc>
      </w:tr>
      <w:tr w:rsidR="00037E57" w:rsidRPr="00037E57" w14:paraId="7061591B" w14:textId="77777777" w:rsidTr="00A04707">
        <w:trPr>
          <w:trHeight w:val="299"/>
        </w:trPr>
        <w:tc>
          <w:tcPr>
            <w:tcW w:w="3440" w:type="dxa"/>
            <w:hideMark/>
          </w:tcPr>
          <w:p w14:paraId="1B25389E" w14:textId="77777777" w:rsidR="00037E57" w:rsidRPr="00037E57" w:rsidRDefault="00037E57" w:rsidP="00B44B87">
            <w:pPr>
              <w:pStyle w:val="Tablebody"/>
            </w:pPr>
            <w:r w:rsidRPr="00037E57">
              <w:t>Consumer and carer feedback response. </w:t>
            </w:r>
          </w:p>
        </w:tc>
        <w:tc>
          <w:tcPr>
            <w:tcW w:w="6984" w:type="dxa"/>
            <w:gridSpan w:val="2"/>
            <w:hideMark/>
          </w:tcPr>
          <w:p w14:paraId="7DF9B9FF" w14:textId="77777777" w:rsidR="00037E57" w:rsidRPr="00037E57" w:rsidRDefault="00037E57" w:rsidP="00B44B87">
            <w:pPr>
              <w:pStyle w:val="Tablebody"/>
            </w:pPr>
            <w:r w:rsidRPr="00037E57">
              <w:t>Percentage of Feedback responded to within 35 days (National reporting requirement) </w:t>
            </w:r>
          </w:p>
        </w:tc>
      </w:tr>
    </w:tbl>
    <w:p w14:paraId="76986AF6" w14:textId="45319916" w:rsidR="00037E57" w:rsidRPr="00037E57" w:rsidRDefault="00037E57" w:rsidP="00EF2A08">
      <w:pPr>
        <w:pStyle w:val="BodyCopy"/>
        <w:spacing w:after="120"/>
      </w:pPr>
      <w:r w:rsidRPr="00037E57">
        <w:t>The Commonwealth Technical Advisory Group developed a minimum data set for collection by all residential eating disorders programs across Australia. Research and evaluation may be undertaken by Centre staff and/or in partnership with universities with relevant ethics approvals obtained. </w:t>
      </w:r>
    </w:p>
    <w:p w14:paraId="504C45DE" w14:textId="767A0105" w:rsidR="00037E57" w:rsidRPr="00037E57" w:rsidRDefault="00037E57" w:rsidP="00596DAA">
      <w:pPr>
        <w:pStyle w:val="Tabletitle-numbered"/>
      </w:pPr>
      <w:r w:rsidRPr="00037E57">
        <w:t>Minimum data set measures</w:t>
      </w:r>
    </w:p>
    <w:tbl>
      <w:tblPr>
        <w:tblStyle w:val="CHSTable"/>
        <w:tblW w:w="9610" w:type="dxa"/>
        <w:tblLook w:val="0420" w:firstRow="1" w:lastRow="0" w:firstColumn="0" w:lastColumn="0" w:noHBand="0" w:noVBand="1"/>
      </w:tblPr>
      <w:tblGrid>
        <w:gridCol w:w="3304"/>
        <w:gridCol w:w="6306"/>
      </w:tblGrid>
      <w:tr w:rsidR="00037E57" w:rsidRPr="00037E57" w14:paraId="446BB3E7" w14:textId="77777777" w:rsidTr="00596DAA">
        <w:trPr>
          <w:cnfStyle w:val="100000000000" w:firstRow="1" w:lastRow="0" w:firstColumn="0" w:lastColumn="0" w:oddVBand="0" w:evenVBand="0" w:oddHBand="0" w:evenHBand="0" w:firstRowFirstColumn="0" w:firstRowLastColumn="0" w:lastRowFirstColumn="0" w:lastRowLastColumn="0"/>
          <w:trHeight w:val="288"/>
        </w:trPr>
        <w:tc>
          <w:tcPr>
            <w:tcW w:w="4805" w:type="dxa"/>
            <w:hideMark/>
          </w:tcPr>
          <w:p w14:paraId="19214213" w14:textId="77777777" w:rsidR="00037E57" w:rsidRPr="00596DAA" w:rsidRDefault="00037E57" w:rsidP="00037E57">
            <w:pPr>
              <w:pStyle w:val="BodyCopy"/>
              <w:rPr>
                <w:b/>
                <w:color w:val="FFFFFF" w:themeColor="background1"/>
              </w:rPr>
            </w:pPr>
            <w:r w:rsidRPr="00596DAA">
              <w:rPr>
                <w:b/>
                <w:color w:val="FFFFFF" w:themeColor="background1"/>
              </w:rPr>
              <w:t>Measure  </w:t>
            </w:r>
          </w:p>
        </w:tc>
        <w:tc>
          <w:tcPr>
            <w:tcW w:w="4805" w:type="dxa"/>
            <w:hideMark/>
          </w:tcPr>
          <w:p w14:paraId="2BF08003" w14:textId="77777777" w:rsidR="00037E57" w:rsidRPr="00596DAA" w:rsidRDefault="00037E57" w:rsidP="00037E57">
            <w:pPr>
              <w:pStyle w:val="BodyCopy"/>
              <w:rPr>
                <w:b/>
                <w:color w:val="FFFFFF" w:themeColor="background1"/>
              </w:rPr>
            </w:pPr>
            <w:r w:rsidRPr="00596DAA">
              <w:rPr>
                <w:b/>
                <w:color w:val="FFFFFF" w:themeColor="background1"/>
              </w:rPr>
              <w:t>Frequency  </w:t>
            </w:r>
          </w:p>
        </w:tc>
      </w:tr>
      <w:tr w:rsidR="00037E57" w:rsidRPr="00037E57" w14:paraId="26FB889A" w14:textId="77777777" w:rsidTr="00596DAA">
        <w:trPr>
          <w:trHeight w:val="288"/>
        </w:trPr>
        <w:tc>
          <w:tcPr>
            <w:tcW w:w="4805" w:type="dxa"/>
            <w:hideMark/>
          </w:tcPr>
          <w:p w14:paraId="72E18353" w14:textId="77777777" w:rsidR="00037E57" w:rsidRPr="00037E57" w:rsidRDefault="00037E57" w:rsidP="00B44B87">
            <w:pPr>
              <w:pStyle w:val="Tablebody"/>
            </w:pPr>
            <w:r w:rsidRPr="00037E57">
              <w:t>Body Mass Index (BMI) </w:t>
            </w:r>
          </w:p>
        </w:tc>
        <w:tc>
          <w:tcPr>
            <w:tcW w:w="4805" w:type="dxa"/>
            <w:hideMark/>
          </w:tcPr>
          <w:p w14:paraId="50780242" w14:textId="77777777" w:rsidR="00037E57" w:rsidRPr="00037E57" w:rsidRDefault="00037E57" w:rsidP="00B44B87">
            <w:pPr>
              <w:pStyle w:val="Tablebody"/>
            </w:pPr>
            <w:r w:rsidRPr="00037E57">
              <w:t>Weekly</w:t>
            </w:r>
          </w:p>
        </w:tc>
      </w:tr>
      <w:tr w:rsidR="00037E57" w:rsidRPr="00037E57" w14:paraId="7EBB0819" w14:textId="77777777" w:rsidTr="00596DAA">
        <w:trPr>
          <w:trHeight w:val="288"/>
        </w:trPr>
        <w:tc>
          <w:tcPr>
            <w:tcW w:w="4805" w:type="dxa"/>
            <w:hideMark/>
          </w:tcPr>
          <w:p w14:paraId="1AB441A2" w14:textId="77777777" w:rsidR="00037E57" w:rsidRPr="00037E57" w:rsidRDefault="00037E57" w:rsidP="00B44B87">
            <w:pPr>
              <w:pStyle w:val="Tablebody"/>
            </w:pPr>
            <w:r w:rsidRPr="00037E57">
              <w:t>Health Questionnaire EQ-5D-3L or EQ-5D-5L (EuroQol) </w:t>
            </w:r>
          </w:p>
        </w:tc>
        <w:tc>
          <w:tcPr>
            <w:tcW w:w="4805" w:type="dxa"/>
            <w:hideMark/>
          </w:tcPr>
          <w:p w14:paraId="1046947C" w14:textId="77777777" w:rsidR="00037E57" w:rsidRPr="00037E57" w:rsidRDefault="00037E57" w:rsidP="00B44B87">
            <w:pPr>
              <w:pStyle w:val="Tablebody"/>
            </w:pPr>
            <w:r w:rsidRPr="00037E57">
              <w:t>Admission and follow-up as per the National evaluation strategy under development</w:t>
            </w:r>
          </w:p>
        </w:tc>
      </w:tr>
      <w:tr w:rsidR="00037E57" w:rsidRPr="00037E57" w14:paraId="497B8E20" w14:textId="77777777" w:rsidTr="00596DAA">
        <w:trPr>
          <w:trHeight w:val="288"/>
        </w:trPr>
        <w:tc>
          <w:tcPr>
            <w:tcW w:w="4805" w:type="dxa"/>
            <w:hideMark/>
          </w:tcPr>
          <w:p w14:paraId="6832A9FB" w14:textId="77777777" w:rsidR="00037E57" w:rsidRPr="00037E57" w:rsidRDefault="00037E57" w:rsidP="00B44B87">
            <w:pPr>
              <w:pStyle w:val="Tablebody"/>
            </w:pPr>
            <w:r w:rsidRPr="00037E57">
              <w:t>World Health Organisation Disability Assessment Scale (WHO-DAS) </w:t>
            </w:r>
          </w:p>
        </w:tc>
        <w:tc>
          <w:tcPr>
            <w:tcW w:w="4805" w:type="dxa"/>
            <w:hideMark/>
          </w:tcPr>
          <w:p w14:paraId="7AAFE89B" w14:textId="77777777" w:rsidR="00037E57" w:rsidRPr="00037E57" w:rsidRDefault="00037E57" w:rsidP="00B44B87">
            <w:pPr>
              <w:pStyle w:val="Tablebody"/>
            </w:pPr>
            <w:r w:rsidRPr="00037E57">
              <w:t>Admission and follow-up as per the National evaluation strategy under development</w:t>
            </w:r>
          </w:p>
        </w:tc>
      </w:tr>
      <w:tr w:rsidR="00037E57" w:rsidRPr="00037E57" w14:paraId="5547835E" w14:textId="77777777" w:rsidTr="00596DAA">
        <w:trPr>
          <w:trHeight w:val="288"/>
        </w:trPr>
        <w:tc>
          <w:tcPr>
            <w:tcW w:w="4805" w:type="dxa"/>
            <w:hideMark/>
          </w:tcPr>
          <w:p w14:paraId="2408395E" w14:textId="77777777" w:rsidR="00037E57" w:rsidRPr="00037E57" w:rsidRDefault="00037E57" w:rsidP="00B44B87">
            <w:pPr>
              <w:pStyle w:val="Tablebody"/>
            </w:pPr>
            <w:r w:rsidRPr="00037E57">
              <w:t>Eating Disorder-15 (ED15) </w:t>
            </w:r>
          </w:p>
        </w:tc>
        <w:tc>
          <w:tcPr>
            <w:tcW w:w="4805" w:type="dxa"/>
            <w:hideMark/>
          </w:tcPr>
          <w:p w14:paraId="6A8D9985" w14:textId="77777777" w:rsidR="00037E57" w:rsidRPr="00037E57" w:rsidRDefault="00037E57" w:rsidP="00B44B87">
            <w:pPr>
              <w:pStyle w:val="Tablebody"/>
            </w:pPr>
            <w:r w:rsidRPr="00037E57">
              <w:t>Weekly  </w:t>
            </w:r>
          </w:p>
        </w:tc>
      </w:tr>
      <w:tr w:rsidR="00037E57" w:rsidRPr="00037E57" w14:paraId="7B5914CA" w14:textId="77777777" w:rsidTr="00596DAA">
        <w:trPr>
          <w:trHeight w:val="288"/>
        </w:trPr>
        <w:tc>
          <w:tcPr>
            <w:tcW w:w="4805" w:type="dxa"/>
            <w:hideMark/>
          </w:tcPr>
          <w:p w14:paraId="3387973F" w14:textId="77777777" w:rsidR="00037E57" w:rsidRPr="00037E57" w:rsidRDefault="00037E57" w:rsidP="00B44B87">
            <w:pPr>
              <w:pStyle w:val="Tablebody"/>
            </w:pPr>
            <w:r w:rsidRPr="00037E57">
              <w:t>Eating Disorder Examination Questionnaire (EDED-Q) </w:t>
            </w:r>
          </w:p>
        </w:tc>
        <w:tc>
          <w:tcPr>
            <w:tcW w:w="4805" w:type="dxa"/>
            <w:hideMark/>
          </w:tcPr>
          <w:p w14:paraId="73C22D84" w14:textId="77777777" w:rsidR="00037E57" w:rsidRPr="00037E57" w:rsidRDefault="00037E57" w:rsidP="00B44B87">
            <w:pPr>
              <w:pStyle w:val="Tablebody"/>
            </w:pPr>
            <w:r w:rsidRPr="00037E57">
              <w:t>Start of treatment, every 4 weeks during admission, every 3 months post-discharge over 12 months  </w:t>
            </w:r>
          </w:p>
        </w:tc>
      </w:tr>
      <w:tr w:rsidR="00037E57" w:rsidRPr="00037E57" w14:paraId="512A2394" w14:textId="77777777" w:rsidTr="00596DAA">
        <w:trPr>
          <w:trHeight w:val="288"/>
        </w:trPr>
        <w:tc>
          <w:tcPr>
            <w:tcW w:w="4805" w:type="dxa"/>
            <w:hideMark/>
          </w:tcPr>
          <w:p w14:paraId="237F82B2" w14:textId="77777777" w:rsidR="00037E57" w:rsidRPr="00037E57" w:rsidRDefault="00037E57" w:rsidP="00B44B87">
            <w:pPr>
              <w:pStyle w:val="Tablebody"/>
            </w:pPr>
            <w:r w:rsidRPr="00037E57">
              <w:t>Body Image Acceptance and Action Questionnaire (BIAA-Q) </w:t>
            </w:r>
          </w:p>
        </w:tc>
        <w:tc>
          <w:tcPr>
            <w:tcW w:w="0" w:type="auto"/>
            <w:hideMark/>
          </w:tcPr>
          <w:p w14:paraId="6DC59D22" w14:textId="2DC4C112" w:rsidR="00037E57" w:rsidRPr="00037E57" w:rsidRDefault="00B44B87" w:rsidP="00B44B87">
            <w:pPr>
              <w:pStyle w:val="Tablebody"/>
            </w:pPr>
            <w:r w:rsidRPr="00037E57">
              <w:t>Start of treatment, every 4 weeks during admission, every 3 months post-discharge over 12 months  </w:t>
            </w:r>
          </w:p>
        </w:tc>
      </w:tr>
      <w:tr w:rsidR="00037E57" w:rsidRPr="00037E57" w14:paraId="5BDA1CA1" w14:textId="77777777" w:rsidTr="00596DAA">
        <w:trPr>
          <w:trHeight w:val="288"/>
        </w:trPr>
        <w:tc>
          <w:tcPr>
            <w:tcW w:w="4805" w:type="dxa"/>
            <w:hideMark/>
          </w:tcPr>
          <w:p w14:paraId="58A3B2EA" w14:textId="77777777" w:rsidR="00037E57" w:rsidRPr="00037E57" w:rsidRDefault="00037E57" w:rsidP="00B44B87">
            <w:pPr>
              <w:pStyle w:val="Tablebody"/>
            </w:pPr>
            <w:r w:rsidRPr="00037E57">
              <w:t>Patient Health Questionnaire (PHQ-9)  </w:t>
            </w:r>
          </w:p>
        </w:tc>
        <w:tc>
          <w:tcPr>
            <w:tcW w:w="0" w:type="auto"/>
            <w:hideMark/>
          </w:tcPr>
          <w:p w14:paraId="1B13A628" w14:textId="702F96DE" w:rsidR="00037E57" w:rsidRPr="00037E57" w:rsidRDefault="00B44B87" w:rsidP="00B44B87">
            <w:pPr>
              <w:pStyle w:val="Tablebody"/>
            </w:pPr>
            <w:r w:rsidRPr="00037E57">
              <w:t>Start of treatment, every 4 weeks during admission, every 3 months post-discharge over 12 months  </w:t>
            </w:r>
          </w:p>
        </w:tc>
      </w:tr>
      <w:tr w:rsidR="00037E57" w:rsidRPr="00037E57" w14:paraId="76F67918" w14:textId="77777777" w:rsidTr="00596DAA">
        <w:trPr>
          <w:trHeight w:val="288"/>
        </w:trPr>
        <w:tc>
          <w:tcPr>
            <w:tcW w:w="4805" w:type="dxa"/>
            <w:hideMark/>
          </w:tcPr>
          <w:p w14:paraId="59892CFF" w14:textId="77777777" w:rsidR="00037E57" w:rsidRPr="00037E57" w:rsidRDefault="00037E57" w:rsidP="00B44B87">
            <w:pPr>
              <w:pStyle w:val="Tablebody"/>
            </w:pPr>
            <w:r w:rsidRPr="00037E57">
              <w:t>General Anxiety Disorder Screener (GAD-7) </w:t>
            </w:r>
          </w:p>
        </w:tc>
        <w:tc>
          <w:tcPr>
            <w:tcW w:w="0" w:type="auto"/>
            <w:hideMark/>
          </w:tcPr>
          <w:p w14:paraId="7E900AAD" w14:textId="6CBBBFDA" w:rsidR="00037E57" w:rsidRPr="00037E57" w:rsidRDefault="00B44B87" w:rsidP="00B44B87">
            <w:pPr>
              <w:pStyle w:val="Tablebody"/>
            </w:pPr>
            <w:r w:rsidRPr="00037E57">
              <w:t>Start of treatment, every 4 weeks during admission, every 3 months post-discharge over 12 months  </w:t>
            </w:r>
          </w:p>
        </w:tc>
      </w:tr>
      <w:tr w:rsidR="00037E57" w:rsidRPr="00037E57" w14:paraId="62AF1718" w14:textId="77777777" w:rsidTr="00596DAA">
        <w:trPr>
          <w:trHeight w:val="288"/>
        </w:trPr>
        <w:tc>
          <w:tcPr>
            <w:tcW w:w="4805" w:type="dxa"/>
            <w:hideMark/>
          </w:tcPr>
          <w:p w14:paraId="68907D6F" w14:textId="77777777" w:rsidR="00037E57" w:rsidRPr="00037E57" w:rsidRDefault="00037E57" w:rsidP="00B44B87">
            <w:pPr>
              <w:pStyle w:val="Tablebody"/>
            </w:pPr>
            <w:r w:rsidRPr="00037E57">
              <w:t>Clinical Impairment Assessment (CIA) </w:t>
            </w:r>
          </w:p>
        </w:tc>
        <w:tc>
          <w:tcPr>
            <w:tcW w:w="0" w:type="auto"/>
            <w:hideMark/>
          </w:tcPr>
          <w:p w14:paraId="0A2904F0" w14:textId="79BBFC1D" w:rsidR="00037E57" w:rsidRPr="00037E57" w:rsidRDefault="00B44B87" w:rsidP="00B44B87">
            <w:pPr>
              <w:pStyle w:val="Tablebody"/>
            </w:pPr>
            <w:r w:rsidRPr="00037E57">
              <w:t>Start of treatment, every 4 weeks during admission, every 3 months post-discharge over 12 months  </w:t>
            </w:r>
          </w:p>
        </w:tc>
      </w:tr>
      <w:tr w:rsidR="00037E57" w:rsidRPr="00037E57" w14:paraId="04900072" w14:textId="77777777" w:rsidTr="00596DAA">
        <w:trPr>
          <w:trHeight w:val="288"/>
        </w:trPr>
        <w:tc>
          <w:tcPr>
            <w:tcW w:w="4805" w:type="dxa"/>
            <w:hideMark/>
          </w:tcPr>
          <w:p w14:paraId="7215DE7D" w14:textId="77777777" w:rsidR="00037E57" w:rsidRPr="00037E57" w:rsidRDefault="00037E57" w:rsidP="00B44B87">
            <w:pPr>
              <w:pStyle w:val="Tablebody"/>
            </w:pPr>
            <w:r w:rsidRPr="00037E57">
              <w:t>Your Experience of Service Survey (YES) </w:t>
            </w:r>
          </w:p>
        </w:tc>
        <w:tc>
          <w:tcPr>
            <w:tcW w:w="4805" w:type="dxa"/>
            <w:hideMark/>
          </w:tcPr>
          <w:p w14:paraId="4C055B65" w14:textId="77777777" w:rsidR="00037E57" w:rsidRPr="00037E57" w:rsidRDefault="00037E57" w:rsidP="00B44B87">
            <w:pPr>
              <w:pStyle w:val="Tablebody"/>
            </w:pPr>
            <w:r w:rsidRPr="00037E57">
              <w:t>On discharge or end of treatment   </w:t>
            </w:r>
          </w:p>
        </w:tc>
      </w:tr>
      <w:tr w:rsidR="00037E57" w:rsidRPr="00037E57" w14:paraId="6EF9573F" w14:textId="77777777" w:rsidTr="00596DAA">
        <w:trPr>
          <w:trHeight w:val="288"/>
        </w:trPr>
        <w:tc>
          <w:tcPr>
            <w:tcW w:w="4805" w:type="dxa"/>
            <w:hideMark/>
          </w:tcPr>
          <w:p w14:paraId="236DC538" w14:textId="77777777" w:rsidR="00037E57" w:rsidRPr="00037E57" w:rsidRDefault="00037E57" w:rsidP="00B44B87">
            <w:pPr>
              <w:pStyle w:val="Tablebody"/>
            </w:pPr>
            <w:r w:rsidRPr="00037E57">
              <w:t>Carer Experience Survey (TBC) </w:t>
            </w:r>
          </w:p>
        </w:tc>
        <w:tc>
          <w:tcPr>
            <w:tcW w:w="4805" w:type="dxa"/>
            <w:hideMark/>
          </w:tcPr>
          <w:p w14:paraId="4533CAD6" w14:textId="77777777" w:rsidR="00037E57" w:rsidRPr="00037E57" w:rsidRDefault="00037E57" w:rsidP="00B44B87">
            <w:pPr>
              <w:pStyle w:val="Tablebody"/>
            </w:pPr>
            <w:r w:rsidRPr="00037E57">
              <w:t>On discharge or end of treatment   </w:t>
            </w:r>
          </w:p>
        </w:tc>
      </w:tr>
    </w:tbl>
    <w:p w14:paraId="08DB4241" w14:textId="25CADF44" w:rsidR="00037E57" w:rsidRPr="00037E57" w:rsidRDefault="00037E57" w:rsidP="00037E57">
      <w:pPr>
        <w:pStyle w:val="BodyCopy"/>
        <w:spacing w:after="120"/>
        <w:rPr>
          <w:iCs w:val="0"/>
          <w:color w:val="auto"/>
          <w:u w:val="single"/>
        </w:rPr>
      </w:pPr>
      <w:hyperlink w:anchor="_top" w:history="1">
        <w:r w:rsidRPr="00481A6C">
          <w:rPr>
            <w:rStyle w:val="Hyperlink"/>
            <w:iCs w:val="0"/>
          </w:rPr>
          <w:t>Back to Contents</w:t>
        </w:r>
      </w:hyperlink>
    </w:p>
    <w:p w14:paraId="0E47D94D" w14:textId="77777777" w:rsidR="00A6051F" w:rsidRDefault="00A6051F" w:rsidP="00A6051F">
      <w:pPr>
        <w:pStyle w:val="Heading4"/>
      </w:pPr>
      <w:bookmarkStart w:id="36" w:name="_Toc201246944"/>
      <w:r>
        <w:t>Related policies, procedures, guidelines and legislation</w:t>
      </w:r>
      <w:bookmarkEnd w:id="36"/>
    </w:p>
    <w:p w14:paraId="37E8914D" w14:textId="77777777" w:rsidR="00481A6C" w:rsidRDefault="00481A6C" w:rsidP="00A6051F">
      <w:pPr>
        <w:pStyle w:val="Heading5"/>
      </w:pPr>
      <w:r w:rsidRPr="00F06FAB">
        <w:t>Policies</w:t>
      </w:r>
    </w:p>
    <w:p w14:paraId="1FAE06C2" w14:textId="77777777" w:rsidR="00F06FAB" w:rsidRPr="00F06FAB" w:rsidRDefault="00F06FAB" w:rsidP="00F06FAB">
      <w:pPr>
        <w:pStyle w:val="Bullet"/>
      </w:pPr>
      <w:r w:rsidRPr="00F06FAB">
        <w:t xml:space="preserve">Medication Handling </w:t>
      </w:r>
    </w:p>
    <w:p w14:paraId="724613B8" w14:textId="77777777" w:rsidR="00F06FAB" w:rsidRPr="00F06FAB" w:rsidRDefault="00F06FAB" w:rsidP="00F06FAB">
      <w:pPr>
        <w:pStyle w:val="Bullet"/>
      </w:pPr>
      <w:r w:rsidRPr="00F06FAB">
        <w:t>Occupational Violence</w:t>
      </w:r>
    </w:p>
    <w:p w14:paraId="056F727B" w14:textId="77777777" w:rsidR="00F06FAB" w:rsidRPr="00F06FAB" w:rsidRDefault="00F06FAB" w:rsidP="00F06FAB">
      <w:pPr>
        <w:pStyle w:val="Bullet"/>
      </w:pPr>
      <w:r w:rsidRPr="00F06FAB">
        <w:t xml:space="preserve">Smoke Free Environment </w:t>
      </w:r>
    </w:p>
    <w:p w14:paraId="1F879D3F" w14:textId="77777777" w:rsidR="00F06FAB" w:rsidRPr="00F06FAB" w:rsidRDefault="00F06FAB" w:rsidP="00F06FAB">
      <w:pPr>
        <w:pStyle w:val="Bullet"/>
      </w:pPr>
      <w:r w:rsidRPr="00F06FAB">
        <w:t xml:space="preserve">Work Health and Safety </w:t>
      </w:r>
    </w:p>
    <w:p w14:paraId="585CA925" w14:textId="41D46657" w:rsidR="00F06FAB" w:rsidRPr="00F06FAB" w:rsidRDefault="00F06FAB" w:rsidP="00F06FAB">
      <w:pPr>
        <w:pStyle w:val="Bullet"/>
      </w:pPr>
      <w:r w:rsidRPr="00F06FAB">
        <w:t>Partnering with Consumers</w:t>
      </w:r>
    </w:p>
    <w:p w14:paraId="555BBB88" w14:textId="77777777" w:rsidR="00481A6C" w:rsidRDefault="00481A6C" w:rsidP="00A6051F">
      <w:pPr>
        <w:pStyle w:val="Heading5"/>
      </w:pPr>
      <w:r>
        <w:t>Procedures</w:t>
      </w:r>
    </w:p>
    <w:p w14:paraId="7803D232" w14:textId="77777777" w:rsidR="00F06FAB" w:rsidRPr="00F06FAB" w:rsidRDefault="00F06FAB" w:rsidP="00F06FAB">
      <w:pPr>
        <w:pStyle w:val="Bullet"/>
      </w:pPr>
      <w:r w:rsidRPr="00F06FAB">
        <w:t xml:space="preserve">Incident Management </w:t>
      </w:r>
    </w:p>
    <w:p w14:paraId="45A3CD76" w14:textId="77777777" w:rsidR="00F06FAB" w:rsidRPr="00F06FAB" w:rsidRDefault="00F06FAB" w:rsidP="00F06FAB">
      <w:pPr>
        <w:pStyle w:val="Bullet"/>
      </w:pPr>
      <w:r w:rsidRPr="00F06FAB">
        <w:t>Advance Agreements, Advance Consent Directions and Nominated Persons under the Mental Health Act 2015</w:t>
      </w:r>
    </w:p>
    <w:p w14:paraId="380E071A" w14:textId="77777777" w:rsidR="00F06FAB" w:rsidRPr="00F06FAB" w:rsidRDefault="00F06FAB" w:rsidP="00F06FAB">
      <w:pPr>
        <w:pStyle w:val="Bullet"/>
      </w:pPr>
      <w:r w:rsidRPr="00F06FAB">
        <w:t>Assessment of Decision-making Capacity and Supported Decision-making for people being treated under the Mental Health Act 2015</w:t>
      </w:r>
    </w:p>
    <w:p w14:paraId="0D33451E" w14:textId="77777777" w:rsidR="00F06FAB" w:rsidRPr="00F06FAB" w:rsidRDefault="00F06FAB" w:rsidP="00F06FAB">
      <w:pPr>
        <w:pStyle w:val="Bullet"/>
      </w:pPr>
      <w:r w:rsidRPr="00F06FAB">
        <w:t>Care of Persons Subject to Psychiatric Treatment Orders (PTOs) with or without a Restriction Order (RO)</w:t>
      </w:r>
    </w:p>
    <w:p w14:paraId="02EF4D1E" w14:textId="621D1B95" w:rsidR="00F06FAB" w:rsidRPr="00F06FAB" w:rsidRDefault="00F06FAB" w:rsidP="00F06FAB">
      <w:pPr>
        <w:pStyle w:val="Bullet"/>
      </w:pPr>
      <w:r w:rsidRPr="00F06FAB">
        <w:t>Cognitive Impairment (Delirium and Dementia)</w:t>
      </w:r>
      <w:r w:rsidR="00B44B87">
        <w:t xml:space="preserve"> </w:t>
      </w:r>
      <w:r w:rsidRPr="00F06FAB">
        <w:t>– Adult.</w:t>
      </w:r>
    </w:p>
    <w:p w14:paraId="316E3ABC" w14:textId="77777777" w:rsidR="00F06FAB" w:rsidRPr="00F06FAB" w:rsidRDefault="00F06FAB" w:rsidP="00F06FAB">
      <w:pPr>
        <w:pStyle w:val="Bullet"/>
      </w:pPr>
      <w:r w:rsidRPr="00F06FAB">
        <w:t xml:space="preserve">Ligature Use, Response and Risk Management in MHJHADS </w:t>
      </w:r>
    </w:p>
    <w:p w14:paraId="6CD01909" w14:textId="77777777" w:rsidR="00F06FAB" w:rsidRPr="00F06FAB" w:rsidRDefault="00F06FAB" w:rsidP="00F06FAB">
      <w:pPr>
        <w:pStyle w:val="Bullet"/>
      </w:pPr>
      <w:r w:rsidRPr="00F06FAB">
        <w:t>Clinical Handover</w:t>
      </w:r>
    </w:p>
    <w:p w14:paraId="065D5DD7" w14:textId="77777777" w:rsidR="00F06FAB" w:rsidRPr="00F06FAB" w:rsidRDefault="00F06FAB" w:rsidP="00F06FAB">
      <w:pPr>
        <w:pStyle w:val="Bullet"/>
      </w:pPr>
      <w:r w:rsidRPr="00F06FAB">
        <w:t xml:space="preserve">Sharing Information with Carers – Mental Health Inpatient Units  </w:t>
      </w:r>
    </w:p>
    <w:p w14:paraId="46E5C66A" w14:textId="77777777" w:rsidR="00F06FAB" w:rsidRPr="00F06FAB" w:rsidRDefault="00F06FAB" w:rsidP="00F06FAB">
      <w:pPr>
        <w:pStyle w:val="Bullet"/>
      </w:pPr>
      <w:r w:rsidRPr="00F06FAB">
        <w:t xml:space="preserve">Infection Prevention and Control - Healthcare Associated Infections </w:t>
      </w:r>
    </w:p>
    <w:p w14:paraId="77F9AB05" w14:textId="77777777" w:rsidR="00F06FAB" w:rsidRPr="00F06FAB" w:rsidRDefault="00F06FAB" w:rsidP="00F06FAB">
      <w:pPr>
        <w:pStyle w:val="Bullet"/>
      </w:pPr>
      <w:r w:rsidRPr="00F06FAB">
        <w:t xml:space="preserve">Information and Communication Technology Resources: Acceptable Use </w:t>
      </w:r>
    </w:p>
    <w:p w14:paraId="4022C8D7" w14:textId="77777777" w:rsidR="00F06FAB" w:rsidRPr="00F06FAB" w:rsidRDefault="00F06FAB" w:rsidP="00F06FAB">
      <w:pPr>
        <w:pStyle w:val="Bullet"/>
      </w:pPr>
      <w:r w:rsidRPr="00F06FAB">
        <w:t xml:space="preserve">Initial Management, Assessment and Intervention for People Vulnerable to Suicide Managing </w:t>
      </w:r>
    </w:p>
    <w:p w14:paraId="117FBAD9" w14:textId="77777777" w:rsidR="00F06FAB" w:rsidRPr="00F06FAB" w:rsidRDefault="00F06FAB" w:rsidP="00F06FAB">
      <w:pPr>
        <w:pStyle w:val="Bullet"/>
      </w:pPr>
      <w:r w:rsidRPr="00F06FAB">
        <w:t>Occupational Violence</w:t>
      </w:r>
    </w:p>
    <w:p w14:paraId="6C2FC908" w14:textId="77777777" w:rsidR="00F06FAB" w:rsidRPr="00F06FAB" w:rsidRDefault="00F06FAB" w:rsidP="00F06FAB">
      <w:pPr>
        <w:pStyle w:val="Bullet"/>
      </w:pPr>
      <w:r w:rsidRPr="00F06FAB">
        <w:t xml:space="preserve">Patient Identification and Procedure Matching </w:t>
      </w:r>
    </w:p>
    <w:p w14:paraId="00402C93" w14:textId="77777777" w:rsidR="00F06FAB" w:rsidRPr="00F06FAB" w:rsidRDefault="00F06FAB" w:rsidP="00F06FAB">
      <w:pPr>
        <w:pStyle w:val="Bullet"/>
      </w:pPr>
      <w:r w:rsidRPr="00F06FAB">
        <w:t xml:space="preserve">Providing Physical Health Care across MHJHADS </w:t>
      </w:r>
    </w:p>
    <w:p w14:paraId="38FAAFD6" w14:textId="77777777" w:rsidR="00F06FAB" w:rsidRPr="00F06FAB" w:rsidRDefault="00F06FAB" w:rsidP="00F06FAB">
      <w:pPr>
        <w:pStyle w:val="Bullet"/>
      </w:pPr>
      <w:r w:rsidRPr="00F06FAB">
        <w:t>Discharge Summary Completion – Inpatient</w:t>
      </w:r>
    </w:p>
    <w:p w14:paraId="04387392" w14:textId="77777777" w:rsidR="00F06FAB" w:rsidRPr="00F06FAB" w:rsidRDefault="00F06FAB" w:rsidP="00F06FAB">
      <w:pPr>
        <w:pStyle w:val="Bullet"/>
      </w:pPr>
      <w:r w:rsidRPr="00F06FAB">
        <w:t xml:space="preserve">Protective Security – Closed Circuit Television </w:t>
      </w:r>
    </w:p>
    <w:p w14:paraId="04B66D34" w14:textId="139827F5" w:rsidR="00F06FAB" w:rsidRPr="00F06FAB" w:rsidRDefault="00F06FAB" w:rsidP="00F06FAB">
      <w:pPr>
        <w:pStyle w:val="Bullet"/>
      </w:pPr>
      <w:r w:rsidRPr="00F06FAB">
        <w:t>Missing Patient Procedure</w:t>
      </w:r>
    </w:p>
    <w:p w14:paraId="65880A1A" w14:textId="77777777" w:rsidR="00F06FAB" w:rsidRPr="00F06FAB" w:rsidRDefault="00F06FAB" w:rsidP="00F06FAB">
      <w:pPr>
        <w:pStyle w:val="Bullet"/>
      </w:pPr>
      <w:r w:rsidRPr="00F06FAB">
        <w:t xml:space="preserve">Bringing Food into Canberra Health Services (Adults and Children) </w:t>
      </w:r>
    </w:p>
    <w:p w14:paraId="2EF879B6" w14:textId="77777777" w:rsidR="00F06FAB" w:rsidRPr="00F06FAB" w:rsidRDefault="00F06FAB" w:rsidP="00F06FAB">
      <w:pPr>
        <w:pStyle w:val="Bullet"/>
      </w:pPr>
      <w:r w:rsidRPr="00F06FAB">
        <w:t>Animal visits</w:t>
      </w:r>
    </w:p>
    <w:p w14:paraId="0855C6F4" w14:textId="7C2B1A60" w:rsidR="00F06FAB" w:rsidRDefault="00F06FAB" w:rsidP="00F06FAB">
      <w:pPr>
        <w:pStyle w:val="Bullet"/>
      </w:pPr>
      <w:r w:rsidRPr="00F06FAB">
        <w:t>Food Activities for Daily Living</w:t>
      </w:r>
    </w:p>
    <w:p w14:paraId="1659F78A" w14:textId="77777777" w:rsidR="00007399" w:rsidRDefault="007E13CB" w:rsidP="002219B3">
      <w:pPr>
        <w:pStyle w:val="Bullet"/>
      </w:pPr>
      <w:r w:rsidRPr="0057473B">
        <w:t xml:space="preserve">CHS </w:t>
      </w:r>
      <w:r w:rsidRPr="0057473B">
        <w:rPr>
          <w:i/>
        </w:rPr>
        <w:t>Searching of a Consumer’s Person or Property</w:t>
      </w:r>
      <w:r w:rsidRPr="0057473B">
        <w:t xml:space="preserve"> Policy</w:t>
      </w:r>
      <w:r w:rsidR="00795F35">
        <w:t xml:space="preserve"> </w:t>
      </w:r>
    </w:p>
    <w:p w14:paraId="6F16B39F" w14:textId="13B15D6E" w:rsidR="002219B3" w:rsidRDefault="002219B3" w:rsidP="002219B3">
      <w:pPr>
        <w:pStyle w:val="Bullet"/>
      </w:pPr>
      <w:hyperlink r:id="rId12" w:history="1">
        <w:r w:rsidRPr="005756B3">
          <w:t>MHJHADS Recognition and Escalation Pathways for Physiological Deterioration for Bedded Services Remote to Canberra Hospital, University of Canberra Hospital and North Canberra Hospital</w:t>
        </w:r>
      </w:hyperlink>
    </w:p>
    <w:p w14:paraId="474C2F4A" w14:textId="4CB27C05" w:rsidR="002219B3" w:rsidRPr="00F06FAB" w:rsidRDefault="00FB1B1E" w:rsidP="00007399">
      <w:pPr>
        <w:pStyle w:val="Bullet"/>
      </w:pPr>
      <w:r w:rsidRPr="00FB1B1E">
        <w:t>Observation through Therapeutic Engagement in MHJHADS Mental Health Inpatient Settings</w:t>
      </w:r>
    </w:p>
    <w:p w14:paraId="47438A69" w14:textId="77777777" w:rsidR="00481A6C" w:rsidRDefault="00481A6C" w:rsidP="00A6051F">
      <w:pPr>
        <w:pStyle w:val="Heading5"/>
      </w:pPr>
      <w:r>
        <w:t xml:space="preserve">Guidelines </w:t>
      </w:r>
    </w:p>
    <w:p w14:paraId="0521B511" w14:textId="77777777" w:rsidR="009746B1" w:rsidRDefault="009746B1" w:rsidP="009746B1">
      <w:pPr>
        <w:pStyle w:val="Bullet"/>
      </w:pPr>
      <w:r>
        <w:t>Consent for Healthcare Treatment</w:t>
      </w:r>
    </w:p>
    <w:p w14:paraId="239D0F83" w14:textId="5AD4D43C" w:rsidR="00473AA0" w:rsidRDefault="00473AA0" w:rsidP="009746B1">
      <w:pPr>
        <w:pStyle w:val="Bullet"/>
      </w:pPr>
      <w:r>
        <w:t>Deteriorating mental state - inpatients</w:t>
      </w:r>
    </w:p>
    <w:p w14:paraId="0615F41A" w14:textId="02C42D33" w:rsidR="00F06FAB" w:rsidRDefault="00F06FAB" w:rsidP="00F06FAB">
      <w:pPr>
        <w:pStyle w:val="Heading5"/>
      </w:pPr>
      <w:r>
        <w:t>Standards</w:t>
      </w:r>
    </w:p>
    <w:p w14:paraId="6718E0DD" w14:textId="77777777" w:rsidR="00F06FAB" w:rsidRPr="00F06FAB" w:rsidRDefault="00F06FAB" w:rsidP="00F06FAB">
      <w:pPr>
        <w:pStyle w:val="Bullet"/>
      </w:pPr>
      <w:r w:rsidRPr="00F06FAB">
        <w:t>National Standards for Mental Health Services 2010</w:t>
      </w:r>
    </w:p>
    <w:p w14:paraId="407764DD" w14:textId="77777777" w:rsidR="00F06FAB" w:rsidRPr="00F06FAB" w:rsidRDefault="00F06FAB" w:rsidP="00F06FAB">
      <w:pPr>
        <w:pStyle w:val="Bullet"/>
      </w:pPr>
      <w:r w:rsidRPr="00F06FAB">
        <w:t xml:space="preserve">National Safety and Quality Health Service Standards - Second edition (updated May 2021) </w:t>
      </w:r>
    </w:p>
    <w:p w14:paraId="66DB9654" w14:textId="6DA0CDE8" w:rsidR="00F06FAB" w:rsidRDefault="00F06FAB" w:rsidP="00F06FAB">
      <w:pPr>
        <w:pStyle w:val="Bullet"/>
      </w:pPr>
      <w:r w:rsidRPr="00F06FAB">
        <w:t>Standards of Practice for ACT Health Allied Health Professionals 2016</w:t>
      </w:r>
    </w:p>
    <w:p w14:paraId="792BF542" w14:textId="77777777" w:rsidR="00481A6C" w:rsidRDefault="00481A6C" w:rsidP="00A6051F">
      <w:pPr>
        <w:pStyle w:val="Heading5"/>
      </w:pPr>
      <w:r>
        <w:t>Legislation</w:t>
      </w:r>
    </w:p>
    <w:p w14:paraId="266CEC00" w14:textId="77777777" w:rsidR="00481A6C" w:rsidRPr="000E7683" w:rsidRDefault="00481A6C" w:rsidP="000E7683">
      <w:pPr>
        <w:pStyle w:val="Bullet"/>
      </w:pPr>
      <w:r w:rsidRPr="00FE46F1">
        <w:rPr>
          <w:i/>
          <w:iCs/>
        </w:rPr>
        <w:t>Health Records (Privacy and Access) Act</w:t>
      </w:r>
      <w:r w:rsidRPr="000E7683">
        <w:t xml:space="preserve"> 1997</w:t>
      </w:r>
    </w:p>
    <w:p w14:paraId="3BA67BC4" w14:textId="77777777" w:rsidR="00481A6C" w:rsidRPr="000E7683" w:rsidRDefault="00481A6C" w:rsidP="000E7683">
      <w:pPr>
        <w:pStyle w:val="Bullet"/>
      </w:pPr>
      <w:r w:rsidRPr="00FE46F1">
        <w:rPr>
          <w:i/>
          <w:iCs/>
        </w:rPr>
        <w:t>Human Rights Act</w:t>
      </w:r>
      <w:r w:rsidRPr="000E7683">
        <w:t xml:space="preserve"> 2004</w:t>
      </w:r>
    </w:p>
    <w:p w14:paraId="7CE6D7C8" w14:textId="77777777" w:rsidR="00481A6C" w:rsidRPr="000E7683" w:rsidRDefault="00481A6C" w:rsidP="000E7683">
      <w:pPr>
        <w:pStyle w:val="Bullet"/>
      </w:pPr>
      <w:r w:rsidRPr="00FE46F1">
        <w:rPr>
          <w:i/>
          <w:iCs/>
        </w:rPr>
        <w:t>Work Health and Safety Act</w:t>
      </w:r>
      <w:r w:rsidRPr="000E7683">
        <w:t xml:space="preserve"> 2011</w:t>
      </w:r>
    </w:p>
    <w:p w14:paraId="3EF0FBBB" w14:textId="77777777" w:rsidR="00481A6C" w:rsidRDefault="00481A6C" w:rsidP="000E7683">
      <w:pPr>
        <w:pStyle w:val="Bullet"/>
      </w:pPr>
      <w:r w:rsidRPr="00FE46F1">
        <w:rPr>
          <w:i/>
          <w:iCs/>
        </w:rPr>
        <w:t>Carers Recognition Act</w:t>
      </w:r>
      <w:r w:rsidRPr="000E7683">
        <w:t xml:space="preserve"> 2021</w:t>
      </w:r>
    </w:p>
    <w:p w14:paraId="4CA7D859" w14:textId="5E7C1852" w:rsidR="00F06FAB" w:rsidRPr="00F06FAB" w:rsidRDefault="00F06FAB" w:rsidP="000E7683">
      <w:pPr>
        <w:pStyle w:val="Bullet"/>
      </w:pPr>
      <w:r>
        <w:rPr>
          <w:i/>
          <w:iCs/>
        </w:rPr>
        <w:t>Mental Health Act 2015</w:t>
      </w:r>
    </w:p>
    <w:p w14:paraId="67A1B2FD" w14:textId="38D8D089" w:rsidR="00F06FAB" w:rsidRPr="00F06FAB" w:rsidRDefault="00F06FAB" w:rsidP="000E7683">
      <w:pPr>
        <w:pStyle w:val="Bullet"/>
      </w:pPr>
      <w:r>
        <w:rPr>
          <w:i/>
          <w:iCs/>
        </w:rPr>
        <w:t>Information Privacy Act 2014</w:t>
      </w:r>
    </w:p>
    <w:p w14:paraId="5027CBD1" w14:textId="3ED02D4D" w:rsidR="00F06FAB" w:rsidRPr="000E7683" w:rsidRDefault="00F06FAB" w:rsidP="000E7683">
      <w:pPr>
        <w:pStyle w:val="Bullet"/>
      </w:pPr>
      <w:r>
        <w:rPr>
          <w:i/>
          <w:iCs/>
        </w:rPr>
        <w:t>Discrimination Act 1991</w:t>
      </w:r>
    </w:p>
    <w:p w14:paraId="3DF61A50" w14:textId="77777777" w:rsidR="00481A6C" w:rsidRDefault="00481A6C" w:rsidP="00A6051F">
      <w:pPr>
        <w:pStyle w:val="Heading5"/>
      </w:pPr>
      <w:r>
        <w:t>Other</w:t>
      </w:r>
    </w:p>
    <w:p w14:paraId="255C3FB0" w14:textId="77777777" w:rsidR="000E7683" w:rsidRDefault="00481A6C" w:rsidP="00A66966">
      <w:pPr>
        <w:pStyle w:val="Bullet"/>
      </w:pPr>
      <w:r w:rsidRPr="00A66966">
        <w:t>Australian</w:t>
      </w:r>
      <w:r w:rsidRPr="000E7683">
        <w:t xml:space="preserve"> Charter of Healthcare Right</w:t>
      </w:r>
      <w:r w:rsidR="00280C5D" w:rsidRPr="000E7683">
        <w:t>s</w:t>
      </w:r>
    </w:p>
    <w:p w14:paraId="5F04077F" w14:textId="77777777" w:rsidR="000E7683" w:rsidRPr="000E7683" w:rsidRDefault="000E7683" w:rsidP="002D7682">
      <w:pPr>
        <w:pStyle w:val="BodyCopy"/>
      </w:pPr>
      <w:hyperlink w:anchor="_top" w:history="1">
        <w:r w:rsidRPr="004A7A7F">
          <w:rPr>
            <w:rStyle w:val="Hyperlink"/>
          </w:rPr>
          <w:t>Back to Contents</w:t>
        </w:r>
      </w:hyperlink>
    </w:p>
    <w:p w14:paraId="38A074B2" w14:textId="77777777" w:rsidR="0078367D" w:rsidRPr="0078367D" w:rsidRDefault="0078367D" w:rsidP="00A6051F">
      <w:pPr>
        <w:pStyle w:val="Heading4"/>
      </w:pPr>
      <w:bookmarkStart w:id="37" w:name="_Toc201246945"/>
      <w:r w:rsidRPr="0078367D">
        <w:t>References</w:t>
      </w:r>
      <w:bookmarkEnd w:id="37"/>
    </w:p>
    <w:p w14:paraId="7A1E59AA" w14:textId="77777777" w:rsidR="00F06FAB" w:rsidRPr="002F5AB1" w:rsidRDefault="00F06FAB" w:rsidP="00F06FAB">
      <w:pPr>
        <w:rPr>
          <w:rStyle w:val="eop"/>
          <w:rFonts w:cs="Calibri"/>
          <w:color w:val="000000"/>
          <w:shd w:val="clear" w:color="auto" w:fill="FFFFFF"/>
        </w:rPr>
      </w:pPr>
      <w:r w:rsidRPr="002F5AB1">
        <w:rPr>
          <w:rStyle w:val="normaltextrun"/>
          <w:rFonts w:cs="Calibri"/>
          <w:color w:val="000000"/>
          <w:shd w:val="clear" w:color="auto" w:fill="FFFFFF"/>
        </w:rPr>
        <w:t>National Eating Disorders Collaboration (NEDC). National Eating Disorders Strategy 2023-2033. NEDC; 2023</w:t>
      </w:r>
      <w:r w:rsidRPr="002F5AB1">
        <w:rPr>
          <w:rStyle w:val="eop"/>
          <w:rFonts w:cs="Calibri"/>
          <w:color w:val="000000"/>
          <w:shd w:val="clear" w:color="auto" w:fill="FFFFFF"/>
        </w:rPr>
        <w:t> </w:t>
      </w:r>
    </w:p>
    <w:p w14:paraId="7962C1D8" w14:textId="77777777" w:rsidR="00F06FAB" w:rsidRPr="002F5AB1" w:rsidRDefault="00F06FAB" w:rsidP="00F06FAB">
      <w:pPr>
        <w:rPr>
          <w:rStyle w:val="eop"/>
          <w:rFonts w:cs="Calibri"/>
          <w:shd w:val="clear" w:color="auto" w:fill="FFFFFF"/>
        </w:rPr>
      </w:pPr>
      <w:r w:rsidRPr="002F5AB1">
        <w:rPr>
          <w:rStyle w:val="normaltextrun"/>
          <w:rFonts w:cs="Calibri"/>
          <w:shd w:val="clear" w:color="auto" w:fill="FFFFFF"/>
        </w:rPr>
        <w:t>Heruc, G., Hurst, K., Casey, A. </w:t>
      </w:r>
      <w:r w:rsidRPr="002F5AB1">
        <w:rPr>
          <w:rStyle w:val="normaltextrun"/>
          <w:rFonts w:cs="Calibri"/>
          <w:i/>
          <w:iCs/>
          <w:shd w:val="clear" w:color="auto" w:fill="FFFFFF"/>
        </w:rPr>
        <w:t>et al.</w:t>
      </w:r>
      <w:r w:rsidRPr="002F5AB1">
        <w:rPr>
          <w:rStyle w:val="normaltextrun"/>
          <w:rFonts w:cs="Calibri"/>
          <w:shd w:val="clear" w:color="auto" w:fill="FFFFFF"/>
        </w:rPr>
        <w:t> ANZAED eating disorder treatment principles and general clinical practice and training standards. </w:t>
      </w:r>
      <w:r w:rsidRPr="002F5AB1">
        <w:rPr>
          <w:rStyle w:val="normaltextrun"/>
          <w:rFonts w:cs="Calibri"/>
          <w:i/>
          <w:iCs/>
          <w:shd w:val="clear" w:color="auto" w:fill="FFFFFF"/>
        </w:rPr>
        <w:t>J Eat Disord</w:t>
      </w:r>
      <w:r w:rsidRPr="002F5AB1">
        <w:rPr>
          <w:rStyle w:val="normaltextrun"/>
          <w:rFonts w:cs="Calibri"/>
          <w:shd w:val="clear" w:color="auto" w:fill="FFFFFF"/>
        </w:rPr>
        <w:t> </w:t>
      </w:r>
      <w:r w:rsidRPr="002F5AB1">
        <w:rPr>
          <w:rStyle w:val="normaltextrun"/>
          <w:rFonts w:cs="Calibri"/>
          <w:b/>
          <w:bCs/>
          <w:shd w:val="clear" w:color="auto" w:fill="FFFFFF"/>
        </w:rPr>
        <w:t>8, </w:t>
      </w:r>
      <w:r w:rsidRPr="002F5AB1">
        <w:rPr>
          <w:rStyle w:val="normaltextrun"/>
          <w:rFonts w:cs="Calibri"/>
          <w:shd w:val="clear" w:color="auto" w:fill="FFFFFF"/>
        </w:rPr>
        <w:t>63 (2020). https://doi.org/10.1186/s40337-020-00341-0.</w:t>
      </w:r>
      <w:r w:rsidRPr="002F5AB1">
        <w:rPr>
          <w:rStyle w:val="eop"/>
          <w:rFonts w:cs="Calibri"/>
          <w:shd w:val="clear" w:color="auto" w:fill="FFFFFF"/>
        </w:rPr>
        <w:t> </w:t>
      </w:r>
    </w:p>
    <w:p w14:paraId="5CB37BAB" w14:textId="77777777" w:rsidR="00F06FAB" w:rsidRPr="002F5AB1" w:rsidRDefault="00F06FAB" w:rsidP="00F06FAB">
      <w:pPr>
        <w:rPr>
          <w:rStyle w:val="eop"/>
          <w:rFonts w:cs="Calibri"/>
          <w:color w:val="323232"/>
          <w:shd w:val="clear" w:color="auto" w:fill="FFFFFF"/>
        </w:rPr>
      </w:pPr>
      <w:r w:rsidRPr="002F5AB1">
        <w:rPr>
          <w:rStyle w:val="normaltextrun"/>
          <w:rFonts w:cs="Calibri"/>
          <w:color w:val="323232"/>
          <w:shd w:val="clear" w:color="auto" w:fill="FFFFFF"/>
        </w:rPr>
        <w:t>Hay, P. et al (2014). Royal Australian and New Zealand College of Psychiatrists clinical practice guidelines for the treatment of eating disorders. Australian and New Zealand Journal of Psychiatry, 48(11) 1-62</w:t>
      </w:r>
      <w:r>
        <w:rPr>
          <w:rStyle w:val="normaltextrun"/>
          <w:rFonts w:cs="Calibri"/>
          <w:color w:val="323232"/>
          <w:shd w:val="clear" w:color="auto" w:fill="FFFFFF"/>
        </w:rPr>
        <w:t xml:space="preserve"> </w:t>
      </w:r>
      <w:r w:rsidRPr="002F5AB1">
        <w:rPr>
          <w:rStyle w:val="normaltextrun"/>
          <w:rFonts w:cs="Calibri"/>
          <w:color w:val="323232"/>
          <w:shd w:val="clear" w:color="auto" w:fill="FFFFFF"/>
        </w:rPr>
        <w:t>https://www.ranzcp.org/files/resources/college_statements/clinician/cpg/eating-disorders-cpg.aspx</w:t>
      </w:r>
      <w:r w:rsidRPr="002F5AB1">
        <w:rPr>
          <w:rStyle w:val="eop"/>
          <w:rFonts w:cs="Calibri"/>
          <w:color w:val="323232"/>
          <w:shd w:val="clear" w:color="auto" w:fill="FFFFFF"/>
        </w:rPr>
        <w:t> </w:t>
      </w:r>
    </w:p>
    <w:p w14:paraId="6C9C473B" w14:textId="77777777" w:rsidR="00F06FAB" w:rsidRPr="002F5AB1" w:rsidRDefault="00F06FAB" w:rsidP="00F06FAB">
      <w:r w:rsidRPr="002F5AB1">
        <w:rPr>
          <w:rStyle w:val="normaltextrun"/>
          <w:rFonts w:cs="Calibri"/>
          <w:color w:val="000000"/>
          <w:shd w:val="clear" w:color="auto" w:fill="FFFFFF"/>
        </w:rPr>
        <w:t>Waller, G., Turner, H., Tatham, M., Mountford, V., &amp; Wade, T. (2019). Brief Cognitive Behavioural Therapy for Non-Underweight Patients: CBT-T for Eating Disorders (1</w:t>
      </w:r>
      <w:r w:rsidRPr="002F5AB1">
        <w:rPr>
          <w:rStyle w:val="normaltextrun"/>
          <w:rFonts w:cs="Calibri"/>
          <w:color w:val="000000"/>
          <w:shd w:val="clear" w:color="auto" w:fill="FFFFFF"/>
          <w:vertAlign w:val="superscript"/>
        </w:rPr>
        <w:t>st</w:t>
      </w:r>
      <w:r w:rsidRPr="002F5AB1">
        <w:rPr>
          <w:rStyle w:val="normaltextrun"/>
          <w:rFonts w:cs="Calibri"/>
          <w:color w:val="000000"/>
          <w:shd w:val="clear" w:color="auto" w:fill="FFFFFF"/>
        </w:rPr>
        <w:t> ed.). Routledge. </w:t>
      </w:r>
      <w:hyperlink r:id="rId13" w:tgtFrame="_blank" w:history="1">
        <w:r w:rsidRPr="002F5AB1">
          <w:rPr>
            <w:rStyle w:val="normaltextrun"/>
            <w:rFonts w:cs="Calibri"/>
            <w:color w:val="0000FF"/>
            <w:u w:val="single"/>
            <w:shd w:val="clear" w:color="auto" w:fill="E1E3E6"/>
          </w:rPr>
          <w:t>https://doi.org/10.4324/9780367192280</w:t>
        </w:r>
      </w:hyperlink>
      <w:r w:rsidRPr="002F5AB1">
        <w:rPr>
          <w:rStyle w:val="eop"/>
          <w:rFonts w:cs="Calibri"/>
          <w:color w:val="000000"/>
          <w:shd w:val="clear" w:color="auto" w:fill="FFFFFF"/>
        </w:rPr>
        <w:t> </w:t>
      </w:r>
    </w:p>
    <w:bookmarkStart w:id="38" w:name="_Hlk178251399"/>
    <w:p w14:paraId="67441C91" w14:textId="5366ADD3" w:rsidR="00280C5D" w:rsidRDefault="001A78B3" w:rsidP="002D7682">
      <w:pPr>
        <w:pStyle w:val="Bullet"/>
        <w:numPr>
          <w:ilvl w:val="0"/>
          <w:numId w:val="0"/>
        </w:numPr>
        <w:tabs>
          <w:tab w:val="clear" w:pos="425"/>
        </w:tabs>
        <w:spacing w:after="240"/>
        <w:ind w:left="357" w:hanging="357"/>
        <w:rPr>
          <w:lang w:eastAsia="en-US"/>
        </w:rPr>
      </w:pPr>
      <w:r>
        <w:fldChar w:fldCharType="begin"/>
      </w:r>
      <w:r>
        <w:instrText>HYPERLINK \l "_top"</w:instrText>
      </w:r>
      <w:r>
        <w:fldChar w:fldCharType="separate"/>
      </w:r>
      <w:r w:rsidR="00280C5D" w:rsidRPr="004A7A7F">
        <w:rPr>
          <w:rStyle w:val="Hyperlink"/>
        </w:rPr>
        <w:t>Back to Contents</w:t>
      </w:r>
      <w:r>
        <w:rPr>
          <w:rStyle w:val="Hyperlink"/>
        </w:rPr>
        <w:fldChar w:fldCharType="end"/>
      </w:r>
    </w:p>
    <w:p w14:paraId="0DFA1B03" w14:textId="77777777" w:rsidR="0078367D" w:rsidRDefault="0078367D" w:rsidP="00A6051F">
      <w:pPr>
        <w:pStyle w:val="Heading4"/>
      </w:pPr>
      <w:bookmarkStart w:id="39" w:name="_Toc201246946"/>
      <w:bookmarkEnd w:id="38"/>
      <w:r>
        <w:t>Search terms</w:t>
      </w:r>
      <w:bookmarkEnd w:id="39"/>
    </w:p>
    <w:p w14:paraId="3BD3C9B0" w14:textId="2342948C" w:rsidR="00F06FAB" w:rsidRPr="00F06FAB" w:rsidRDefault="00F06FAB" w:rsidP="00F06FAB">
      <w:pPr>
        <w:pStyle w:val="Bullet"/>
        <w:numPr>
          <w:ilvl w:val="0"/>
          <w:numId w:val="0"/>
        </w:numPr>
        <w:spacing w:after="240"/>
        <w:rPr>
          <w:bCs/>
          <w:i/>
        </w:rPr>
      </w:pPr>
      <w:r w:rsidRPr="00F06FAB">
        <w:rPr>
          <w:bCs/>
          <w:iCs/>
        </w:rPr>
        <w:t>Eating disorders, residential, eating disorders clinical Hub</w:t>
      </w:r>
      <w:r w:rsidRPr="00F06FAB">
        <w:rPr>
          <w:bCs/>
          <w:i/>
        </w:rPr>
        <w:t xml:space="preserve">, </w:t>
      </w:r>
      <w:r w:rsidRPr="00F06FAB">
        <w:rPr>
          <w:bCs/>
          <w:iCs/>
        </w:rPr>
        <w:t>refeeding syndrome, nutritional support</w:t>
      </w:r>
    </w:p>
    <w:p w14:paraId="7DF200AD" w14:textId="77777777" w:rsidR="00F06FAB" w:rsidRDefault="00F06FAB" w:rsidP="002D7682">
      <w:pPr>
        <w:pStyle w:val="Bullet"/>
        <w:numPr>
          <w:ilvl w:val="0"/>
          <w:numId w:val="0"/>
        </w:numPr>
        <w:spacing w:after="240"/>
      </w:pPr>
    </w:p>
    <w:p w14:paraId="27658724" w14:textId="33AFE50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7CFE4378" w14:textId="7D28D4B6" w:rsidR="0078367D" w:rsidRPr="009A5010" w:rsidRDefault="0078367D" w:rsidP="00A6051F">
      <w:pPr>
        <w:pStyle w:val="Heading4"/>
      </w:pPr>
      <w:bookmarkStart w:id="40" w:name="_Toc201246947"/>
      <w:r>
        <w:t>Attachments</w:t>
      </w:r>
      <w:bookmarkEnd w:id="40"/>
      <w:r w:rsidR="009746B1">
        <w:t xml:space="preserve"> </w:t>
      </w:r>
    </w:p>
    <w:p w14:paraId="71EE629F" w14:textId="6D6CB151" w:rsidR="00D44089" w:rsidRDefault="00D44089" w:rsidP="00F06FAB">
      <w:pPr>
        <w:pStyle w:val="Bullet"/>
        <w:numPr>
          <w:ilvl w:val="0"/>
          <w:numId w:val="0"/>
        </w:numPr>
        <w:spacing w:after="240"/>
        <w:ind w:left="360" w:hanging="360"/>
        <w:rPr>
          <w:b/>
          <w:bCs/>
        </w:rPr>
      </w:pPr>
      <w:r>
        <w:rPr>
          <w:b/>
          <w:bCs/>
        </w:rPr>
        <w:t>Attachment A Stages of Care</w:t>
      </w:r>
    </w:p>
    <w:p w14:paraId="321DFD30" w14:textId="441FB65F" w:rsidR="00D44089" w:rsidRDefault="00D44089" w:rsidP="00D44089">
      <w:pPr>
        <w:pStyle w:val="Bullet"/>
        <w:numPr>
          <w:ilvl w:val="0"/>
          <w:numId w:val="0"/>
        </w:numPr>
        <w:spacing w:after="240"/>
        <w:ind w:left="360" w:hanging="360"/>
        <w:rPr>
          <w:b/>
          <w:bCs/>
        </w:rPr>
      </w:pPr>
      <w:r>
        <w:rPr>
          <w:b/>
          <w:bCs/>
        </w:rPr>
        <w:t xml:space="preserve">Attachment </w:t>
      </w:r>
      <w:r w:rsidR="003D5217">
        <w:rPr>
          <w:b/>
          <w:bCs/>
        </w:rPr>
        <w:t>B</w:t>
      </w:r>
      <w:r>
        <w:rPr>
          <w:b/>
          <w:bCs/>
        </w:rPr>
        <w:t xml:space="preserve"> Sample </w:t>
      </w:r>
      <w:r w:rsidR="006120DD">
        <w:rPr>
          <w:b/>
          <w:bCs/>
        </w:rPr>
        <w:t xml:space="preserve">Weekly </w:t>
      </w:r>
      <w:r>
        <w:rPr>
          <w:b/>
          <w:bCs/>
        </w:rPr>
        <w:t xml:space="preserve">Therapy schedule </w:t>
      </w:r>
    </w:p>
    <w:p w14:paraId="1D6EB99C" w14:textId="77777777" w:rsidR="00D44089" w:rsidRPr="00F06FAB" w:rsidRDefault="00D44089" w:rsidP="00F06FAB">
      <w:pPr>
        <w:pStyle w:val="Bullet"/>
        <w:numPr>
          <w:ilvl w:val="0"/>
          <w:numId w:val="0"/>
        </w:numPr>
        <w:spacing w:after="240"/>
        <w:ind w:left="360" w:hanging="360"/>
        <w:rPr>
          <w:b/>
          <w:bCs/>
        </w:rPr>
      </w:pPr>
    </w:p>
    <w:p w14:paraId="74D7AB4B"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753FBF01"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10D3569B" w14:textId="77777777" w:rsidR="00280C5D" w:rsidRDefault="00280C5D" w:rsidP="003B0E72">
            <w:pPr>
              <w:pStyle w:val="Tableheader"/>
            </w:pPr>
            <w:r>
              <w:t>Date amended</w:t>
            </w:r>
          </w:p>
        </w:tc>
        <w:tc>
          <w:tcPr>
            <w:tcW w:w="2477" w:type="dxa"/>
          </w:tcPr>
          <w:p w14:paraId="16AE439D" w14:textId="77777777" w:rsidR="00280C5D" w:rsidRDefault="00280C5D" w:rsidP="003B0E72">
            <w:pPr>
              <w:pStyle w:val="Tableheader"/>
            </w:pPr>
            <w:r>
              <w:t>Section amended</w:t>
            </w:r>
          </w:p>
        </w:tc>
        <w:tc>
          <w:tcPr>
            <w:tcW w:w="2555" w:type="dxa"/>
          </w:tcPr>
          <w:p w14:paraId="3664A691" w14:textId="77777777" w:rsidR="00280C5D" w:rsidRDefault="00280C5D" w:rsidP="003B0E72">
            <w:pPr>
              <w:pStyle w:val="Tableheader"/>
            </w:pPr>
            <w:r>
              <w:t>Divisional approval</w:t>
            </w:r>
          </w:p>
        </w:tc>
        <w:tc>
          <w:tcPr>
            <w:tcW w:w="2403" w:type="dxa"/>
          </w:tcPr>
          <w:p w14:paraId="4E56DBEC" w14:textId="77777777" w:rsidR="00280C5D" w:rsidRDefault="00280C5D" w:rsidP="003B0E72">
            <w:pPr>
              <w:pStyle w:val="Tableheader"/>
            </w:pPr>
            <w:r>
              <w:t>Final approval</w:t>
            </w:r>
          </w:p>
        </w:tc>
      </w:tr>
      <w:tr w:rsidR="00280C5D" w14:paraId="7D18A9BE" w14:textId="77777777" w:rsidTr="003B0E72">
        <w:tc>
          <w:tcPr>
            <w:tcW w:w="2476" w:type="dxa"/>
          </w:tcPr>
          <w:p w14:paraId="298F7423" w14:textId="4023AC2F" w:rsidR="00280C5D" w:rsidRDefault="00B909C1" w:rsidP="003B0E72">
            <w:pPr>
              <w:pStyle w:val="Tablebody"/>
              <w:rPr>
                <w:lang w:eastAsia="en-US"/>
              </w:rPr>
            </w:pPr>
            <w:r>
              <w:rPr>
                <w:lang w:eastAsia="en-US"/>
              </w:rPr>
              <w:t>20/06/2025</w:t>
            </w:r>
          </w:p>
        </w:tc>
        <w:tc>
          <w:tcPr>
            <w:tcW w:w="2477" w:type="dxa"/>
          </w:tcPr>
          <w:p w14:paraId="7F673668" w14:textId="2F2E9FD3" w:rsidR="00280C5D" w:rsidRDefault="00B909C1" w:rsidP="003B0E72">
            <w:pPr>
              <w:pStyle w:val="Tablebody"/>
              <w:rPr>
                <w:lang w:eastAsia="en-US"/>
              </w:rPr>
            </w:pPr>
            <w:r>
              <w:rPr>
                <w:lang w:eastAsia="en-US"/>
              </w:rPr>
              <w:t>Complete review</w:t>
            </w:r>
          </w:p>
        </w:tc>
        <w:tc>
          <w:tcPr>
            <w:tcW w:w="2555" w:type="dxa"/>
          </w:tcPr>
          <w:p w14:paraId="359F2FDD" w14:textId="2B96A823" w:rsidR="00280C5D" w:rsidRDefault="0033513A" w:rsidP="003B0E72">
            <w:pPr>
              <w:pStyle w:val="Tablebody"/>
              <w:rPr>
                <w:lang w:eastAsia="en-US"/>
              </w:rPr>
            </w:pPr>
            <w:r>
              <w:rPr>
                <w:lang w:eastAsia="en-US"/>
              </w:rPr>
              <w:t xml:space="preserve">Deb Plant, </w:t>
            </w:r>
            <w:r w:rsidR="00B909C1">
              <w:rPr>
                <w:lang w:eastAsia="en-US"/>
              </w:rPr>
              <w:t>A</w:t>
            </w:r>
            <w:r>
              <w:rPr>
                <w:lang w:eastAsia="en-US"/>
              </w:rPr>
              <w:t>/g ED MHJHADS</w:t>
            </w:r>
          </w:p>
        </w:tc>
        <w:tc>
          <w:tcPr>
            <w:tcW w:w="2403" w:type="dxa"/>
          </w:tcPr>
          <w:p w14:paraId="36FC0355" w14:textId="0F48F502" w:rsidR="00280C5D" w:rsidRDefault="0033513A" w:rsidP="003B0E72">
            <w:pPr>
              <w:pStyle w:val="Tablebody"/>
              <w:rPr>
                <w:lang w:eastAsia="en-US"/>
              </w:rPr>
            </w:pPr>
            <w:r>
              <w:rPr>
                <w:lang w:eastAsia="en-US"/>
              </w:rPr>
              <w:t>Chair of Policy Document Review Panel</w:t>
            </w:r>
          </w:p>
        </w:tc>
      </w:tr>
      <w:tr w:rsidR="00280C5D" w14:paraId="1DF85E83" w14:textId="77777777" w:rsidTr="003B0E72">
        <w:tc>
          <w:tcPr>
            <w:tcW w:w="2476" w:type="dxa"/>
          </w:tcPr>
          <w:p w14:paraId="3634E45F" w14:textId="77777777" w:rsidR="00280C5D" w:rsidRDefault="00280C5D" w:rsidP="003B0E72">
            <w:pPr>
              <w:pStyle w:val="Tablebody"/>
              <w:rPr>
                <w:lang w:eastAsia="en-US"/>
              </w:rPr>
            </w:pPr>
          </w:p>
        </w:tc>
        <w:tc>
          <w:tcPr>
            <w:tcW w:w="2477" w:type="dxa"/>
          </w:tcPr>
          <w:p w14:paraId="2629DE37" w14:textId="77777777" w:rsidR="00280C5D" w:rsidRDefault="00280C5D" w:rsidP="003B0E72">
            <w:pPr>
              <w:pStyle w:val="Tablebody"/>
              <w:rPr>
                <w:lang w:eastAsia="en-US"/>
              </w:rPr>
            </w:pPr>
          </w:p>
        </w:tc>
        <w:tc>
          <w:tcPr>
            <w:tcW w:w="2555" w:type="dxa"/>
          </w:tcPr>
          <w:p w14:paraId="2F3EA552" w14:textId="77777777" w:rsidR="00280C5D" w:rsidRDefault="00280C5D" w:rsidP="003B0E72">
            <w:pPr>
              <w:pStyle w:val="Tablebody"/>
              <w:rPr>
                <w:lang w:eastAsia="en-US"/>
              </w:rPr>
            </w:pPr>
          </w:p>
        </w:tc>
        <w:tc>
          <w:tcPr>
            <w:tcW w:w="2403" w:type="dxa"/>
          </w:tcPr>
          <w:p w14:paraId="1158FD41" w14:textId="77777777" w:rsidR="00280C5D" w:rsidRDefault="00280C5D" w:rsidP="003B0E72">
            <w:pPr>
              <w:pStyle w:val="Tablebody"/>
              <w:rPr>
                <w:lang w:eastAsia="en-US"/>
              </w:rPr>
            </w:pPr>
          </w:p>
        </w:tc>
      </w:tr>
    </w:tbl>
    <w:p w14:paraId="5C4E8E65"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01C6BF40"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CB9AB7B" w14:textId="77777777" w:rsidR="00280C5D" w:rsidRDefault="00280C5D" w:rsidP="003B0E72">
            <w:pPr>
              <w:pStyle w:val="Tableheader"/>
            </w:pPr>
            <w:r>
              <w:t>Document number</w:t>
            </w:r>
          </w:p>
        </w:tc>
        <w:tc>
          <w:tcPr>
            <w:tcW w:w="7653" w:type="dxa"/>
          </w:tcPr>
          <w:p w14:paraId="09F47204" w14:textId="77777777" w:rsidR="00280C5D" w:rsidRDefault="00280C5D" w:rsidP="003B0E72">
            <w:pPr>
              <w:pStyle w:val="Tableheader"/>
            </w:pPr>
            <w:r>
              <w:t>Document name</w:t>
            </w:r>
          </w:p>
        </w:tc>
      </w:tr>
      <w:tr w:rsidR="00280C5D" w14:paraId="7A399BC1" w14:textId="77777777" w:rsidTr="003B0E72">
        <w:tc>
          <w:tcPr>
            <w:tcW w:w="2548" w:type="dxa"/>
          </w:tcPr>
          <w:p w14:paraId="40A3ABC7" w14:textId="7C7663BF" w:rsidR="00280C5D" w:rsidRDefault="00B909C1" w:rsidP="003B0E72">
            <w:pPr>
              <w:pStyle w:val="Tablebody"/>
              <w:rPr>
                <w:lang w:eastAsia="en-US"/>
              </w:rPr>
            </w:pPr>
            <w:r w:rsidRPr="00B909C1">
              <w:rPr>
                <w:lang w:val="en-AU" w:eastAsia="en-US"/>
              </w:rPr>
              <w:t>CHS24/441</w:t>
            </w:r>
          </w:p>
        </w:tc>
        <w:tc>
          <w:tcPr>
            <w:tcW w:w="7653" w:type="dxa"/>
          </w:tcPr>
          <w:p w14:paraId="6201CD9B" w14:textId="61C6A347" w:rsidR="00280C5D" w:rsidRDefault="00B909C1" w:rsidP="003B0E72">
            <w:pPr>
              <w:pStyle w:val="Tablebody"/>
              <w:rPr>
                <w:lang w:eastAsia="en-US"/>
              </w:rPr>
            </w:pPr>
            <w:r w:rsidRPr="00B909C1">
              <w:rPr>
                <w:lang w:val="en-AU" w:eastAsia="en-US"/>
              </w:rPr>
              <w:t>Eating Disorders Residential Treatment Centre Procedure</w:t>
            </w:r>
          </w:p>
        </w:tc>
      </w:tr>
      <w:tr w:rsidR="00280C5D" w14:paraId="5108A4C0" w14:textId="77777777" w:rsidTr="003B0E72">
        <w:tc>
          <w:tcPr>
            <w:tcW w:w="2548" w:type="dxa"/>
          </w:tcPr>
          <w:p w14:paraId="0F194343" w14:textId="77777777" w:rsidR="00280C5D" w:rsidRDefault="00280C5D" w:rsidP="003B0E72">
            <w:pPr>
              <w:pStyle w:val="Tablebody"/>
              <w:rPr>
                <w:lang w:eastAsia="en-US"/>
              </w:rPr>
            </w:pPr>
          </w:p>
        </w:tc>
        <w:tc>
          <w:tcPr>
            <w:tcW w:w="7653" w:type="dxa"/>
          </w:tcPr>
          <w:p w14:paraId="57361677" w14:textId="77777777" w:rsidR="00280C5D" w:rsidRDefault="00280C5D" w:rsidP="003B0E72">
            <w:pPr>
              <w:pStyle w:val="Tablebody"/>
              <w:rPr>
                <w:lang w:eastAsia="en-US"/>
              </w:rPr>
            </w:pPr>
          </w:p>
        </w:tc>
      </w:tr>
    </w:tbl>
    <w:p w14:paraId="53A54B91" w14:textId="77777777" w:rsidR="00280C5D" w:rsidRPr="001F3ED6" w:rsidRDefault="00280C5D" w:rsidP="001F3ED6">
      <w:pPr>
        <w:pStyle w:val="BodyCopy"/>
        <w:rPr>
          <w:rStyle w:val="Bold"/>
        </w:rPr>
      </w:pPr>
      <w:r w:rsidRPr="001F3ED6">
        <w:rPr>
          <w:rStyle w:val="Bold"/>
        </w:rPr>
        <w:t>Disclaimer</w:t>
      </w:r>
    </w:p>
    <w:p w14:paraId="0750D026"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24DE672"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12301CBF" w14:textId="77777777" w:rsidTr="00E33D89">
        <w:tc>
          <w:tcPr>
            <w:tcW w:w="5271" w:type="dxa"/>
            <w:shd w:val="clear" w:color="auto" w:fill="F4F3EE"/>
            <w:tcMar>
              <w:top w:w="142" w:type="dxa"/>
              <w:left w:w="170" w:type="dxa"/>
              <w:bottom w:w="142" w:type="dxa"/>
              <w:right w:w="170" w:type="dxa"/>
            </w:tcMar>
          </w:tcPr>
          <w:bookmarkStart w:id="41" w:name="_Hlk160027189" w:displacedByCustomXml="next"/>
          <w:sdt>
            <w:sdtPr>
              <w:rPr>
                <w:color w:val="auto"/>
                <w:u w:val="single"/>
              </w:rPr>
              <w:id w:val="643171884"/>
              <w:placeholder>
                <w:docPart w:val="A4D91F16745D45FE9B8A2AF1850F9B25"/>
              </w:placeholder>
            </w:sdtPr>
            <w:sdtEndPr>
              <w:rPr>
                <w:color w:val="000000" w:themeColor="text1"/>
                <w:u w:val="none"/>
              </w:rPr>
            </w:sdtEndPr>
            <w:sdtContent>
              <w:p w14:paraId="1162640F" w14:textId="77777777" w:rsidR="00280C5D" w:rsidRPr="00350211" w:rsidRDefault="00280C5D" w:rsidP="003B0E72">
                <w:pPr>
                  <w:pStyle w:val="Bottomblocktext"/>
                  <w:rPr>
                    <w:b/>
                    <w:bCs w:val="0"/>
                    <w:sz w:val="20"/>
                    <w:szCs w:val="20"/>
                  </w:rPr>
                </w:pPr>
                <w:r>
                  <w:rPr>
                    <w:noProof/>
                    <w:sz w:val="20"/>
                    <w:szCs w:val="20"/>
                  </w:rPr>
                  <w:drawing>
                    <wp:inline distT="0" distB="0" distL="0" distR="0" wp14:anchorId="1C4954A8" wp14:editId="444164FE">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6A53DDD"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C42F36C"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45A854D0A38D42E5965732E447457D72"/>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60CEB34D2FBA454AA87FFA5E3E4B9E56"/>
            </w:placeholder>
            <w:showingPlcHdr/>
          </w:sdtPr>
          <w:sdtEndPr/>
          <w:sdtContent>
            <w:tc>
              <w:tcPr>
                <w:tcW w:w="4650" w:type="dxa"/>
                <w:shd w:val="clear" w:color="auto" w:fill="F4F3EE"/>
                <w:tcMar>
                  <w:top w:w="142" w:type="dxa"/>
                  <w:left w:w="170" w:type="dxa"/>
                  <w:bottom w:w="142" w:type="dxa"/>
                  <w:right w:w="170" w:type="dxa"/>
                </w:tcMar>
              </w:tcPr>
              <w:p w14:paraId="7F81292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BCC500F" wp14:editId="08282146">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6913B65" wp14:editId="0CA057AE">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1915DDB2"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E505459" wp14:editId="6AC0C5A1">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06A8F87" wp14:editId="1310DFF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76E6C59C" w14:textId="77777777" w:rsidR="00280C5D" w:rsidRDefault="00280C5D" w:rsidP="003B0E72">
                <w:pPr>
                  <w:pStyle w:val="Bottomblocktext"/>
                  <w:rPr>
                    <w:sz w:val="20"/>
                    <w:szCs w:val="20"/>
                  </w:rPr>
                </w:pPr>
                <w:hyperlink r:id="rId18" w:history="1">
                  <w:r w:rsidRPr="00350211">
                    <w:rPr>
                      <w:rStyle w:val="Hyperlink"/>
                      <w:sz w:val="20"/>
                      <w:szCs w:val="20"/>
                    </w:rPr>
                    <w:t>canberrahealthservices.act.gov.au/accessibility</w:t>
                  </w:r>
                </w:hyperlink>
              </w:p>
              <w:p w14:paraId="0E37EA9C" w14:textId="77777777" w:rsidR="00280C5D" w:rsidRDefault="00280C5D" w:rsidP="003B0E72">
                <w:pPr>
                  <w:pStyle w:val="Bottomblocktext"/>
                </w:pPr>
                <w:r>
                  <w:rPr>
                    <w:b/>
                    <w:bCs w:val="0"/>
                    <w:noProof/>
                  </w:rPr>
                  <w:drawing>
                    <wp:inline distT="0" distB="0" distL="0" distR="0" wp14:anchorId="096C1FB5" wp14:editId="14092B1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41"/>
    </w:tbl>
    <w:p w14:paraId="5ACB7618" w14:textId="77777777" w:rsidR="00201AF6" w:rsidRDefault="00201AF6" w:rsidP="000E7683">
      <w:pPr>
        <w:rPr>
          <w:lang w:eastAsia="en-US"/>
        </w:rPr>
      </w:pPr>
    </w:p>
    <w:p w14:paraId="764CB3ED" w14:textId="77777777" w:rsidR="00007399" w:rsidRDefault="00201AF6">
      <w:pPr>
        <w:spacing w:before="0" w:after="0" w:line="240" w:lineRule="auto"/>
        <w:rPr>
          <w:lang w:eastAsia="en-US"/>
        </w:rPr>
        <w:sectPr w:rsidR="00007399" w:rsidSect="005756B3">
          <w:footerReference w:type="default" r:id="rId20"/>
          <w:headerReference w:type="first" r:id="rId21"/>
          <w:footerReference w:type="first" r:id="rId22"/>
          <w:pgSz w:w="11906" w:h="16838" w:code="9"/>
          <w:pgMar w:top="970" w:right="1134" w:bottom="1134" w:left="851" w:header="284" w:footer="51" w:gutter="0"/>
          <w:cols w:space="708"/>
          <w:titlePg/>
          <w:docGrid w:linePitch="360"/>
        </w:sectPr>
      </w:pPr>
      <w:r>
        <w:rPr>
          <w:lang w:eastAsia="en-US"/>
        </w:rPr>
        <w:br w:type="page"/>
      </w:r>
    </w:p>
    <w:p w14:paraId="4A7E6516" w14:textId="77777777" w:rsidR="00201AF6" w:rsidRDefault="00201AF6">
      <w:pPr>
        <w:spacing w:before="0" w:after="0" w:line="240" w:lineRule="auto"/>
        <w:rPr>
          <w:lang w:eastAsia="en-US"/>
        </w:rPr>
      </w:pPr>
    </w:p>
    <w:p w14:paraId="501929B3" w14:textId="21B8F829" w:rsidR="004D75E2" w:rsidRPr="009A5010" w:rsidRDefault="004D75E2" w:rsidP="004D75E2">
      <w:pPr>
        <w:pStyle w:val="Heading4"/>
      </w:pPr>
      <w:bookmarkStart w:id="42" w:name="_Toc201246948"/>
      <w:r>
        <w:t xml:space="preserve">Attachment </w:t>
      </w:r>
      <w:r w:rsidR="008A75FA">
        <w:t>A</w:t>
      </w:r>
      <w:r>
        <w:t>- Stages of Care</w:t>
      </w:r>
      <w:bookmarkEnd w:id="42"/>
      <w:r>
        <w:t xml:space="preserve"> </w:t>
      </w:r>
    </w:p>
    <w:tbl>
      <w:tblPr>
        <w:tblW w:w="5392"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0"/>
        <w:gridCol w:w="1524"/>
        <w:gridCol w:w="1923"/>
        <w:gridCol w:w="1551"/>
        <w:gridCol w:w="1296"/>
        <w:gridCol w:w="1822"/>
        <w:gridCol w:w="1336"/>
        <w:gridCol w:w="1644"/>
        <w:gridCol w:w="1800"/>
        <w:gridCol w:w="1456"/>
      </w:tblGrid>
      <w:tr w:rsidR="00473AA0" w:rsidRPr="00D66212" w14:paraId="7CE06CEC" w14:textId="77777777" w:rsidTr="00473AA0">
        <w:trPr>
          <w:trHeight w:val="1316"/>
        </w:trPr>
        <w:tc>
          <w:tcPr>
            <w:tcW w:w="479"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654C9EAD" w14:textId="77777777" w:rsidR="00D66212" w:rsidRPr="00D66212" w:rsidRDefault="00D66212" w:rsidP="00473AA0">
            <w:pPr>
              <w:pStyle w:val="Tableheader"/>
            </w:pPr>
            <w:r w:rsidRPr="00D66212">
              <w:t>Stage of care</w:t>
            </w:r>
          </w:p>
        </w:tc>
        <w:tc>
          <w:tcPr>
            <w:tcW w:w="480"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477033E1" w14:textId="77777777" w:rsidR="00D66212" w:rsidRPr="00D66212" w:rsidRDefault="00D66212" w:rsidP="00473AA0">
            <w:pPr>
              <w:pStyle w:val="Tableheader"/>
            </w:pPr>
            <w:r w:rsidRPr="00D66212">
              <w:t>Philosophy </w:t>
            </w:r>
          </w:p>
        </w:tc>
        <w:tc>
          <w:tcPr>
            <w:tcW w:w="606"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36832132" w14:textId="77777777" w:rsidR="00D66212" w:rsidRPr="00D66212" w:rsidRDefault="00D66212" w:rsidP="00473AA0">
            <w:pPr>
              <w:pStyle w:val="Tableheader"/>
            </w:pPr>
            <w:r w:rsidRPr="00D66212">
              <w:t>Meals </w:t>
            </w:r>
          </w:p>
        </w:tc>
        <w:tc>
          <w:tcPr>
            <w:tcW w:w="489"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5F9D4890" w14:textId="77777777" w:rsidR="00D66212" w:rsidRPr="00D66212" w:rsidRDefault="00D66212" w:rsidP="00473AA0">
            <w:pPr>
              <w:pStyle w:val="Tableheader"/>
            </w:pPr>
            <w:r w:rsidRPr="00D66212">
              <w:t>Challenges/ skills building </w:t>
            </w:r>
          </w:p>
        </w:tc>
        <w:tc>
          <w:tcPr>
            <w:tcW w:w="408" w:type="pct"/>
            <w:tcBorders>
              <w:top w:val="single" w:sz="6" w:space="0" w:color="auto"/>
              <w:left w:val="single" w:sz="6" w:space="0" w:color="auto"/>
              <w:bottom w:val="single" w:sz="6" w:space="0" w:color="auto"/>
              <w:right w:val="single" w:sz="6" w:space="0" w:color="auto"/>
            </w:tcBorders>
            <w:shd w:val="clear" w:color="auto" w:fill="6E3894" w:themeFill="accent2"/>
          </w:tcPr>
          <w:p w14:paraId="2FF5AE81" w14:textId="77777777" w:rsidR="00D66212" w:rsidRPr="00D66212" w:rsidRDefault="00D66212" w:rsidP="00473AA0">
            <w:pPr>
              <w:pStyle w:val="Tableheader"/>
            </w:pPr>
            <w:r w:rsidRPr="00D66212">
              <w:t>Intuitive Movement (Exercise)</w:t>
            </w:r>
          </w:p>
        </w:tc>
        <w:tc>
          <w:tcPr>
            <w:tcW w:w="574"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7F345DCE" w14:textId="77777777" w:rsidR="00D66212" w:rsidRPr="00D66212" w:rsidRDefault="00D66212" w:rsidP="00473AA0">
            <w:pPr>
              <w:pStyle w:val="Tableheader"/>
            </w:pPr>
            <w:r w:rsidRPr="00D66212">
              <w:t xml:space="preserve">Leave </w:t>
            </w:r>
          </w:p>
          <w:p w14:paraId="16FFAAF7" w14:textId="77777777" w:rsidR="00D66212" w:rsidRPr="00473AA0" w:rsidRDefault="00D66212" w:rsidP="00473AA0">
            <w:pPr>
              <w:pStyle w:val="Tableheader"/>
              <w:rPr>
                <w:b w:val="0"/>
                <w:bCs/>
              </w:rPr>
            </w:pPr>
            <w:r w:rsidRPr="00473AA0">
              <w:rPr>
                <w:b w:val="0"/>
                <w:bCs/>
              </w:rPr>
              <w:t>All leave is dependent on medical stability</w:t>
            </w:r>
          </w:p>
          <w:p w14:paraId="694E7469" w14:textId="77777777" w:rsidR="00D66212" w:rsidRPr="00473AA0" w:rsidRDefault="00D66212" w:rsidP="00473AA0">
            <w:pPr>
              <w:pStyle w:val="Tableheader"/>
              <w:rPr>
                <w:rFonts w:eastAsia="Aptos"/>
                <w:b w:val="0"/>
                <w:bCs/>
                <w:kern w:val="2"/>
                <w14:ligatures w14:val="standardContextual"/>
              </w:rPr>
            </w:pPr>
            <w:r w:rsidRPr="00473AA0">
              <w:rPr>
                <w:rFonts w:eastAsia="Aptos"/>
                <w:b w:val="0"/>
                <w:bCs/>
                <w:kern w:val="2"/>
                <w14:ligatures w14:val="standardContextual"/>
              </w:rPr>
              <w:t>* Leave is permitted for medical appointments that cannot be attended by VC</w:t>
            </w:r>
          </w:p>
          <w:p w14:paraId="01D4C035" w14:textId="77777777" w:rsidR="00D66212" w:rsidRPr="00D66212" w:rsidRDefault="00D66212" w:rsidP="00473AA0">
            <w:pPr>
              <w:pStyle w:val="Tableheader"/>
            </w:pPr>
          </w:p>
        </w:tc>
        <w:tc>
          <w:tcPr>
            <w:tcW w:w="421"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59DE5F7C" w14:textId="77777777" w:rsidR="00D66212" w:rsidRPr="00D66212" w:rsidRDefault="00D66212" w:rsidP="00473AA0">
            <w:pPr>
              <w:pStyle w:val="Tableheader"/>
            </w:pPr>
            <w:r w:rsidRPr="00D66212">
              <w:t>Group therapy </w:t>
            </w:r>
          </w:p>
        </w:tc>
        <w:tc>
          <w:tcPr>
            <w:tcW w:w="518" w:type="pct"/>
            <w:tcBorders>
              <w:top w:val="single" w:sz="6" w:space="0" w:color="auto"/>
              <w:left w:val="single" w:sz="6" w:space="0" w:color="auto"/>
              <w:bottom w:val="single" w:sz="6" w:space="0" w:color="auto"/>
              <w:right w:val="single" w:sz="6" w:space="0" w:color="auto"/>
            </w:tcBorders>
            <w:shd w:val="clear" w:color="auto" w:fill="6E3894" w:themeFill="accent2"/>
            <w:hideMark/>
          </w:tcPr>
          <w:p w14:paraId="4301F4A9" w14:textId="77777777" w:rsidR="00D66212" w:rsidRPr="00D66212" w:rsidRDefault="00D66212" w:rsidP="00473AA0">
            <w:pPr>
              <w:pStyle w:val="Tableheader"/>
            </w:pPr>
            <w:r w:rsidRPr="00D66212">
              <w:t>Individual therapy </w:t>
            </w:r>
          </w:p>
        </w:tc>
        <w:tc>
          <w:tcPr>
            <w:tcW w:w="567" w:type="pct"/>
            <w:tcBorders>
              <w:top w:val="single" w:sz="6" w:space="0" w:color="auto"/>
              <w:left w:val="single" w:sz="6" w:space="0" w:color="auto"/>
              <w:bottom w:val="single" w:sz="6" w:space="0" w:color="auto"/>
              <w:right w:val="single" w:sz="6" w:space="0" w:color="auto"/>
            </w:tcBorders>
            <w:shd w:val="clear" w:color="auto" w:fill="6E3894" w:themeFill="accent2"/>
          </w:tcPr>
          <w:p w14:paraId="3D13D55B" w14:textId="77777777" w:rsidR="00D66212" w:rsidRPr="00D66212" w:rsidRDefault="00D66212" w:rsidP="00473AA0">
            <w:pPr>
              <w:pStyle w:val="Tableheader"/>
            </w:pPr>
            <w:r w:rsidRPr="00D66212">
              <w:t>Indicators of stage progression readiness  </w:t>
            </w:r>
          </w:p>
        </w:tc>
        <w:tc>
          <w:tcPr>
            <w:tcW w:w="459" w:type="pct"/>
            <w:tcBorders>
              <w:top w:val="single" w:sz="6" w:space="0" w:color="auto"/>
              <w:left w:val="single" w:sz="6" w:space="0" w:color="auto"/>
              <w:bottom w:val="single" w:sz="6" w:space="0" w:color="auto"/>
              <w:right w:val="single" w:sz="6" w:space="0" w:color="auto"/>
            </w:tcBorders>
            <w:shd w:val="clear" w:color="auto" w:fill="6E3894" w:themeFill="accent2"/>
          </w:tcPr>
          <w:p w14:paraId="3CECD55B" w14:textId="77777777" w:rsidR="00D66212" w:rsidRPr="00D66212" w:rsidRDefault="00D66212" w:rsidP="00473AA0">
            <w:pPr>
              <w:pStyle w:val="Tableheader"/>
            </w:pPr>
            <w:r w:rsidRPr="00D66212">
              <w:t>MDT</w:t>
            </w:r>
          </w:p>
          <w:p w14:paraId="64C1E0F8" w14:textId="77777777" w:rsidR="00D66212" w:rsidRPr="00D66212" w:rsidRDefault="00D66212" w:rsidP="00473AA0">
            <w:pPr>
              <w:pStyle w:val="Tableheader"/>
            </w:pPr>
            <w:r w:rsidRPr="00D66212">
              <w:t>Including family/ carers/ kin as appropriate.</w:t>
            </w:r>
          </w:p>
        </w:tc>
      </w:tr>
      <w:tr w:rsidR="00473AA0" w:rsidRPr="00D66212" w14:paraId="46A736DF"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tcPr>
          <w:p w14:paraId="48BF89FA" w14:textId="77777777" w:rsidR="00D66212" w:rsidRPr="00D66212" w:rsidRDefault="00D66212" w:rsidP="00473AA0">
            <w:pPr>
              <w:pStyle w:val="Tablebody"/>
            </w:pPr>
            <w:r w:rsidRPr="00D66212">
              <w:t xml:space="preserve">Pre-admission stage. </w:t>
            </w:r>
          </w:p>
          <w:p w14:paraId="771D198D" w14:textId="77777777" w:rsidR="00D66212" w:rsidRPr="00D66212" w:rsidRDefault="00D66212" w:rsidP="00473AA0">
            <w:pPr>
              <w:pStyle w:val="Tablebody"/>
            </w:pPr>
            <w:r w:rsidRPr="00D66212">
              <w:t>Assessment Week</w:t>
            </w:r>
          </w:p>
          <w:p w14:paraId="326A3F58" w14:textId="77777777" w:rsidR="00D66212" w:rsidRPr="00D66212" w:rsidRDefault="00D66212" w:rsidP="00473AA0">
            <w:pPr>
              <w:pStyle w:val="Tablebody"/>
            </w:pPr>
          </w:p>
        </w:tc>
        <w:tc>
          <w:tcPr>
            <w:tcW w:w="480" w:type="pct"/>
            <w:tcBorders>
              <w:top w:val="single" w:sz="6" w:space="0" w:color="auto"/>
              <w:left w:val="single" w:sz="6" w:space="0" w:color="auto"/>
              <w:bottom w:val="single" w:sz="6" w:space="0" w:color="auto"/>
              <w:right w:val="single" w:sz="6" w:space="0" w:color="auto"/>
            </w:tcBorders>
            <w:shd w:val="clear" w:color="auto" w:fill="auto"/>
          </w:tcPr>
          <w:p w14:paraId="310CD608" w14:textId="77777777" w:rsidR="00D66212" w:rsidRPr="00D66212" w:rsidRDefault="00D66212" w:rsidP="00473AA0">
            <w:pPr>
              <w:pStyle w:val="Tablebody"/>
            </w:pPr>
            <w:r w:rsidRPr="00D66212">
              <w:t xml:space="preserve">Orientation to the Centre and participants to attend appointments with Psychiatrist, NP/GP, Dietitian as scheduled. </w:t>
            </w:r>
          </w:p>
        </w:tc>
        <w:tc>
          <w:tcPr>
            <w:tcW w:w="606" w:type="pct"/>
            <w:tcBorders>
              <w:top w:val="single" w:sz="6" w:space="0" w:color="auto"/>
              <w:left w:val="single" w:sz="6" w:space="0" w:color="auto"/>
              <w:bottom w:val="single" w:sz="6" w:space="0" w:color="auto"/>
              <w:right w:val="single" w:sz="6" w:space="0" w:color="auto"/>
            </w:tcBorders>
            <w:shd w:val="clear" w:color="auto" w:fill="auto"/>
          </w:tcPr>
          <w:p w14:paraId="547BBA2F" w14:textId="77777777" w:rsidR="00D66212" w:rsidRPr="00D66212" w:rsidRDefault="00D66212" w:rsidP="00473AA0">
            <w:pPr>
              <w:pStyle w:val="Tablebody"/>
            </w:pPr>
            <w:r w:rsidRPr="00D66212">
              <w:t>No meals, appointments only</w:t>
            </w:r>
          </w:p>
        </w:tc>
        <w:tc>
          <w:tcPr>
            <w:tcW w:w="489" w:type="pct"/>
            <w:tcBorders>
              <w:top w:val="single" w:sz="6" w:space="0" w:color="auto"/>
              <w:left w:val="single" w:sz="6" w:space="0" w:color="auto"/>
              <w:bottom w:val="single" w:sz="6" w:space="0" w:color="auto"/>
              <w:right w:val="single" w:sz="6" w:space="0" w:color="auto"/>
            </w:tcBorders>
            <w:shd w:val="clear" w:color="auto" w:fill="auto"/>
          </w:tcPr>
          <w:p w14:paraId="29A28FA4" w14:textId="77777777" w:rsidR="00D66212" w:rsidRPr="00D66212" w:rsidRDefault="00D66212" w:rsidP="00473AA0">
            <w:pPr>
              <w:pStyle w:val="Tablebody"/>
            </w:pPr>
            <w:r w:rsidRPr="00D66212">
              <w:t>Participate in all booked appointments</w:t>
            </w:r>
          </w:p>
        </w:tc>
        <w:tc>
          <w:tcPr>
            <w:tcW w:w="408" w:type="pct"/>
            <w:tcBorders>
              <w:top w:val="single" w:sz="6" w:space="0" w:color="auto"/>
              <w:left w:val="single" w:sz="6" w:space="0" w:color="auto"/>
              <w:bottom w:val="single" w:sz="6" w:space="0" w:color="auto"/>
              <w:right w:val="single" w:sz="6" w:space="0" w:color="auto"/>
            </w:tcBorders>
          </w:tcPr>
          <w:p w14:paraId="5C6D5600" w14:textId="77777777" w:rsidR="00D66212" w:rsidRPr="00D66212" w:rsidRDefault="00D66212" w:rsidP="00473AA0">
            <w:pPr>
              <w:pStyle w:val="Tablebody"/>
            </w:pPr>
            <w:r w:rsidRPr="00D66212">
              <w:t>N/A</w:t>
            </w:r>
          </w:p>
        </w:tc>
        <w:tc>
          <w:tcPr>
            <w:tcW w:w="574" w:type="pct"/>
            <w:tcBorders>
              <w:top w:val="single" w:sz="6" w:space="0" w:color="auto"/>
              <w:left w:val="single" w:sz="6" w:space="0" w:color="auto"/>
              <w:bottom w:val="single" w:sz="6" w:space="0" w:color="auto"/>
              <w:right w:val="single" w:sz="6" w:space="0" w:color="auto"/>
            </w:tcBorders>
            <w:shd w:val="clear" w:color="auto" w:fill="auto"/>
          </w:tcPr>
          <w:p w14:paraId="69892C84" w14:textId="77777777" w:rsidR="00D66212" w:rsidRPr="00D66212" w:rsidRDefault="00D66212" w:rsidP="00473AA0">
            <w:pPr>
              <w:pStyle w:val="Tablebody"/>
            </w:pPr>
            <w:r w:rsidRPr="00D66212">
              <w:t>N/A</w:t>
            </w:r>
          </w:p>
        </w:tc>
        <w:tc>
          <w:tcPr>
            <w:tcW w:w="421" w:type="pct"/>
            <w:tcBorders>
              <w:top w:val="single" w:sz="6" w:space="0" w:color="auto"/>
              <w:left w:val="single" w:sz="6" w:space="0" w:color="auto"/>
              <w:bottom w:val="single" w:sz="6" w:space="0" w:color="auto"/>
              <w:right w:val="single" w:sz="6" w:space="0" w:color="auto"/>
            </w:tcBorders>
            <w:shd w:val="clear" w:color="auto" w:fill="auto"/>
          </w:tcPr>
          <w:p w14:paraId="4E7DC115" w14:textId="77777777" w:rsidR="00D66212" w:rsidRPr="00D66212" w:rsidRDefault="00D66212" w:rsidP="00473AA0">
            <w:pPr>
              <w:pStyle w:val="Tablebody"/>
            </w:pPr>
            <w:r w:rsidRPr="00D66212">
              <w:t>N/A</w:t>
            </w:r>
          </w:p>
        </w:tc>
        <w:tc>
          <w:tcPr>
            <w:tcW w:w="518" w:type="pct"/>
            <w:tcBorders>
              <w:top w:val="single" w:sz="6" w:space="0" w:color="auto"/>
              <w:left w:val="single" w:sz="6" w:space="0" w:color="auto"/>
              <w:bottom w:val="single" w:sz="6" w:space="0" w:color="auto"/>
              <w:right w:val="single" w:sz="6" w:space="0" w:color="auto"/>
            </w:tcBorders>
            <w:shd w:val="clear" w:color="auto" w:fill="auto"/>
          </w:tcPr>
          <w:p w14:paraId="49652981" w14:textId="77777777" w:rsidR="00D66212" w:rsidRPr="00D66212" w:rsidRDefault="00D66212" w:rsidP="00473AA0">
            <w:pPr>
              <w:pStyle w:val="Tablebody"/>
            </w:pPr>
            <w:r w:rsidRPr="00D66212">
              <w:t>Continue outpatient therapy</w:t>
            </w:r>
          </w:p>
        </w:tc>
        <w:tc>
          <w:tcPr>
            <w:tcW w:w="567" w:type="pct"/>
            <w:tcBorders>
              <w:top w:val="single" w:sz="6" w:space="0" w:color="auto"/>
              <w:left w:val="single" w:sz="6" w:space="0" w:color="auto"/>
              <w:bottom w:val="single" w:sz="6" w:space="0" w:color="auto"/>
              <w:right w:val="single" w:sz="6" w:space="0" w:color="auto"/>
            </w:tcBorders>
          </w:tcPr>
          <w:p w14:paraId="48F622C3" w14:textId="77777777" w:rsidR="00D66212" w:rsidRPr="00D66212" w:rsidRDefault="00D66212" w:rsidP="00473AA0">
            <w:pPr>
              <w:pStyle w:val="Tablebody"/>
            </w:pPr>
            <w:r w:rsidRPr="00D66212">
              <w:t>Attended the assessment appointments.</w:t>
            </w:r>
          </w:p>
          <w:p w14:paraId="25A07812" w14:textId="77777777" w:rsidR="00D66212" w:rsidRPr="00D66212" w:rsidRDefault="00D66212" w:rsidP="00473AA0">
            <w:pPr>
              <w:pStyle w:val="Tablebody"/>
            </w:pPr>
            <w:r w:rsidRPr="00D66212">
              <w:t>Consents to admission</w:t>
            </w:r>
          </w:p>
        </w:tc>
        <w:tc>
          <w:tcPr>
            <w:tcW w:w="459" w:type="pct"/>
            <w:tcBorders>
              <w:top w:val="single" w:sz="6" w:space="0" w:color="auto"/>
              <w:left w:val="single" w:sz="6" w:space="0" w:color="auto"/>
              <w:bottom w:val="single" w:sz="6" w:space="0" w:color="auto"/>
              <w:right w:val="single" w:sz="6" w:space="0" w:color="auto"/>
            </w:tcBorders>
          </w:tcPr>
          <w:p w14:paraId="182B0D3A" w14:textId="77777777" w:rsidR="00D66212" w:rsidRPr="00D66212" w:rsidRDefault="00D66212" w:rsidP="00473AA0">
            <w:pPr>
              <w:pStyle w:val="Tablebody"/>
            </w:pPr>
            <w:r w:rsidRPr="00D66212">
              <w:t>Clinical discussion re: admission following assessment appointments</w:t>
            </w:r>
          </w:p>
        </w:tc>
      </w:tr>
      <w:tr w:rsidR="00473AA0" w:rsidRPr="00D66212" w14:paraId="5218D285" w14:textId="77777777" w:rsidTr="00473AA0">
        <w:trPr>
          <w:trHeight w:val="69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17F0E9D2" w14:textId="77777777" w:rsidR="00D66212" w:rsidRPr="00D66212" w:rsidRDefault="00D66212" w:rsidP="00473AA0">
            <w:pPr>
              <w:pStyle w:val="Tablebody"/>
              <w:rPr>
                <w:lang w:val="en-GB"/>
              </w:rPr>
            </w:pPr>
            <w:r w:rsidRPr="00D66212">
              <w:t>Welcome</w:t>
            </w:r>
            <w:r w:rsidRPr="00D66212">
              <w:rPr>
                <w:lang w:val="en-GB"/>
              </w:rPr>
              <w:t> </w:t>
            </w:r>
          </w:p>
          <w:p w14:paraId="1046EAD8" w14:textId="77777777" w:rsidR="00D66212" w:rsidRPr="009055A1" w:rsidRDefault="00D66212" w:rsidP="00473AA0">
            <w:pPr>
              <w:pStyle w:val="Tablebody"/>
              <w:rPr>
                <w:lang w:val="en-GB"/>
              </w:rPr>
            </w:pPr>
            <w:r w:rsidRPr="009055A1">
              <w:rPr>
                <w:lang w:val="en-GB"/>
              </w:rPr>
              <w:t xml:space="preserve">Admission week </w:t>
            </w:r>
          </w:p>
          <w:p w14:paraId="0BAC13E0" w14:textId="77777777" w:rsidR="00D66212" w:rsidRPr="00D66212" w:rsidRDefault="00D66212" w:rsidP="00473AA0">
            <w:pPr>
              <w:pStyle w:val="Tablebody"/>
              <w:rPr>
                <w:lang w:val="en-GB"/>
              </w:rPr>
            </w:pP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63831CB7" w14:textId="77777777" w:rsidR="00D66212" w:rsidRPr="00D66212" w:rsidRDefault="00D66212" w:rsidP="00473AA0">
            <w:pPr>
              <w:pStyle w:val="Tablebody"/>
            </w:pPr>
            <w:r w:rsidRPr="00D66212">
              <w:t>Orientate consumer to the full treatment program. </w:t>
            </w:r>
          </w:p>
          <w:p w14:paraId="37F175FE" w14:textId="77777777" w:rsidR="00D66212" w:rsidRPr="00D66212" w:rsidRDefault="00D66212" w:rsidP="00473AA0">
            <w:pPr>
              <w:pStyle w:val="Tablebody"/>
            </w:pPr>
            <w:r w:rsidRPr="00D66212">
              <w:t>Day of admission will have booked appointments for medical stability and for dietitian appointment</w:t>
            </w:r>
          </w:p>
          <w:p w14:paraId="45485F20" w14:textId="77777777" w:rsidR="00D66212" w:rsidRPr="00D66212" w:rsidRDefault="00D66212" w:rsidP="00473AA0">
            <w:pPr>
              <w:pStyle w:val="Tablebody"/>
            </w:pP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04761DE7" w14:textId="77777777" w:rsidR="00D66212" w:rsidRPr="00D66212" w:rsidRDefault="00D66212" w:rsidP="00473AA0">
            <w:pPr>
              <w:pStyle w:val="Tablebody"/>
            </w:pPr>
            <w:r w:rsidRPr="00D66212">
              <w:t> As developed with dietitian (with 2 dislikes).</w:t>
            </w:r>
          </w:p>
          <w:p w14:paraId="4265E123" w14:textId="77777777" w:rsidR="00D66212" w:rsidRPr="00D66212" w:rsidRDefault="00D66212" w:rsidP="00473AA0">
            <w:pPr>
              <w:pStyle w:val="Tablebody"/>
            </w:pPr>
            <w:r w:rsidRPr="00D66212">
              <w:t>1.0 hrs observation post meal and snacks.</w:t>
            </w: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597ADAB9" w14:textId="77777777" w:rsidR="00D66212" w:rsidRPr="00D66212" w:rsidRDefault="00D66212" w:rsidP="00473AA0">
            <w:pPr>
              <w:pStyle w:val="Tablebody"/>
            </w:pPr>
            <w:r w:rsidRPr="00D66212">
              <w:t> Introductory sessions with care team throughout the week</w:t>
            </w:r>
          </w:p>
          <w:p w14:paraId="5925D155" w14:textId="77777777" w:rsidR="00D66212" w:rsidRPr="00D66212" w:rsidRDefault="00D66212" w:rsidP="00473AA0">
            <w:pPr>
              <w:pStyle w:val="Tablebody"/>
            </w:pPr>
            <w:r w:rsidRPr="00D66212">
              <w:t>Meet with allocated Key worker, Individual therapist and with dietitian.</w:t>
            </w:r>
          </w:p>
        </w:tc>
        <w:tc>
          <w:tcPr>
            <w:tcW w:w="408" w:type="pct"/>
            <w:tcBorders>
              <w:top w:val="single" w:sz="6" w:space="0" w:color="auto"/>
              <w:left w:val="single" w:sz="6" w:space="0" w:color="auto"/>
              <w:bottom w:val="single" w:sz="6" w:space="0" w:color="auto"/>
              <w:right w:val="single" w:sz="6" w:space="0" w:color="auto"/>
            </w:tcBorders>
          </w:tcPr>
          <w:p w14:paraId="1ADC99D3" w14:textId="77777777" w:rsidR="00D66212" w:rsidRPr="00D66212" w:rsidRDefault="00D66212" w:rsidP="00473AA0">
            <w:pPr>
              <w:pStyle w:val="Tablebody"/>
            </w:pPr>
            <w:r w:rsidRPr="00D66212">
              <w:t>Medical stability assessment for access to movement plan</w:t>
            </w:r>
          </w:p>
          <w:p w14:paraId="1C05F55E" w14:textId="77777777" w:rsidR="00D66212" w:rsidRPr="00D66212" w:rsidRDefault="00D66212" w:rsidP="00473AA0">
            <w:pPr>
              <w:pStyle w:val="Tablebody"/>
            </w:pP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2BA2D617" w14:textId="77777777" w:rsidR="00D66212" w:rsidRPr="00D66212" w:rsidRDefault="00D66212" w:rsidP="00473AA0">
            <w:pPr>
              <w:pStyle w:val="Tablebody"/>
            </w:pPr>
            <w:r w:rsidRPr="00D66212">
              <w:t>Observations as per ARC</w:t>
            </w:r>
          </w:p>
          <w:p w14:paraId="20FBFA03" w14:textId="77777777" w:rsidR="00D66212" w:rsidRPr="00D66212" w:rsidRDefault="00D66212" w:rsidP="00473AA0">
            <w:pPr>
              <w:pStyle w:val="Tablebody"/>
            </w:pPr>
            <w:r w:rsidRPr="00D66212">
              <w:t>No leave</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7DB30DC4" w14:textId="77777777" w:rsidR="00D66212" w:rsidRPr="00D66212" w:rsidRDefault="00D66212" w:rsidP="00473AA0">
            <w:pPr>
              <w:pStyle w:val="Tablebody"/>
            </w:pPr>
            <w:r w:rsidRPr="00D66212">
              <w:t> Attend all group therapy sessions</w:t>
            </w:r>
          </w:p>
          <w:p w14:paraId="59241FBF" w14:textId="77777777" w:rsidR="00D66212" w:rsidRPr="00D66212" w:rsidRDefault="00D66212" w:rsidP="00473AA0">
            <w:pPr>
              <w:pStyle w:val="Tablebody"/>
            </w:pP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59E2D2DA" w14:textId="77777777" w:rsidR="00D66212" w:rsidRPr="00D66212" w:rsidRDefault="00D66212" w:rsidP="00473AA0">
            <w:pPr>
              <w:pStyle w:val="Tablebody"/>
            </w:pPr>
            <w:r w:rsidRPr="00D66212">
              <w:t>Twice weekly physical health review</w:t>
            </w:r>
          </w:p>
          <w:p w14:paraId="6DBFE7AF" w14:textId="77777777" w:rsidR="00D66212" w:rsidRPr="00D66212" w:rsidRDefault="00D66212" w:rsidP="00473AA0">
            <w:pPr>
              <w:pStyle w:val="Tablebody"/>
            </w:pPr>
            <w:r w:rsidRPr="00D66212">
              <w:t>Introduction to individual therapy, key worker sessions.</w:t>
            </w:r>
          </w:p>
          <w:p w14:paraId="76281364" w14:textId="77777777" w:rsidR="00D66212" w:rsidRPr="00D66212" w:rsidRDefault="00D66212" w:rsidP="00473AA0">
            <w:pPr>
              <w:pStyle w:val="Tablebody"/>
            </w:pPr>
          </w:p>
        </w:tc>
        <w:tc>
          <w:tcPr>
            <w:tcW w:w="567" w:type="pct"/>
            <w:tcBorders>
              <w:top w:val="single" w:sz="6" w:space="0" w:color="auto"/>
              <w:left w:val="single" w:sz="6" w:space="0" w:color="auto"/>
              <w:bottom w:val="single" w:sz="6" w:space="0" w:color="auto"/>
              <w:right w:val="single" w:sz="6" w:space="0" w:color="auto"/>
            </w:tcBorders>
          </w:tcPr>
          <w:p w14:paraId="7A7CD60A" w14:textId="77777777" w:rsidR="00D66212" w:rsidRPr="00D66212" w:rsidRDefault="00D66212" w:rsidP="00473AA0">
            <w:pPr>
              <w:pStyle w:val="Tablebody"/>
            </w:pPr>
            <w:r w:rsidRPr="00D66212">
              <w:t xml:space="preserve">Developed an agreed EDRTC care plan and wish to continue after the welcome stage. </w:t>
            </w:r>
          </w:p>
          <w:p w14:paraId="222C416F" w14:textId="77777777" w:rsidR="00D66212" w:rsidRPr="00D66212" w:rsidRDefault="00D66212" w:rsidP="00473AA0">
            <w:pPr>
              <w:pStyle w:val="Tablebody"/>
            </w:pPr>
          </w:p>
        </w:tc>
        <w:tc>
          <w:tcPr>
            <w:tcW w:w="459" w:type="pct"/>
            <w:tcBorders>
              <w:top w:val="single" w:sz="6" w:space="0" w:color="auto"/>
              <w:left w:val="single" w:sz="6" w:space="0" w:color="auto"/>
              <w:bottom w:val="single" w:sz="6" w:space="0" w:color="auto"/>
              <w:right w:val="single" w:sz="6" w:space="0" w:color="auto"/>
            </w:tcBorders>
          </w:tcPr>
          <w:p w14:paraId="16D70649" w14:textId="77777777" w:rsidR="00D66212" w:rsidRPr="00D66212" w:rsidRDefault="00D66212" w:rsidP="00473AA0">
            <w:pPr>
              <w:pStyle w:val="Tablebody"/>
            </w:pPr>
            <w:r w:rsidRPr="00D66212">
              <w:t xml:space="preserve">Senior leadership team reviews file at end of Welcome stage to determine progress to Stage 1 </w:t>
            </w:r>
          </w:p>
        </w:tc>
      </w:tr>
      <w:tr w:rsidR="00473AA0" w:rsidRPr="00D66212" w14:paraId="48AA3297"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3CBB1D5C" w14:textId="77777777" w:rsidR="00F22B11" w:rsidRPr="009055A1" w:rsidRDefault="00D66212" w:rsidP="00473AA0">
            <w:pPr>
              <w:pStyle w:val="Tablebody"/>
            </w:pPr>
            <w:r w:rsidRPr="009055A1">
              <w:t>Stage 1</w:t>
            </w:r>
          </w:p>
          <w:p w14:paraId="1D511468" w14:textId="707C9EB0" w:rsidR="00D66212" w:rsidRPr="00D66212" w:rsidRDefault="00F22B11" w:rsidP="00473AA0">
            <w:pPr>
              <w:pStyle w:val="Tablebody"/>
            </w:pPr>
            <w:r w:rsidRPr="009055A1">
              <w:t>(Stability)</w:t>
            </w:r>
            <w:r w:rsidR="00D66212" w:rsidRPr="00D66212">
              <w:t> </w:t>
            </w: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4A889653" w14:textId="77777777" w:rsidR="00D66212" w:rsidRPr="00D66212" w:rsidRDefault="00D66212" w:rsidP="00473AA0">
            <w:pPr>
              <w:pStyle w:val="Tablebody"/>
            </w:pPr>
            <w:r w:rsidRPr="00D66212">
              <w:t>Provide realistic challenges and high level of support</w:t>
            </w: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74FBBEFF" w14:textId="77777777" w:rsidR="00D66212" w:rsidRPr="00D66212" w:rsidRDefault="00D66212" w:rsidP="00473AA0">
            <w:pPr>
              <w:pStyle w:val="Tablebody"/>
            </w:pPr>
            <w:r w:rsidRPr="00D66212">
              <w:t>Meals portioned by staff.</w:t>
            </w:r>
          </w:p>
          <w:p w14:paraId="78DB3C76" w14:textId="77777777" w:rsidR="00D66212" w:rsidRPr="00D66212" w:rsidRDefault="00D66212" w:rsidP="00473AA0">
            <w:pPr>
              <w:pStyle w:val="Tablebody"/>
            </w:pPr>
          </w:p>
          <w:p w14:paraId="0DAB7694" w14:textId="77777777" w:rsidR="00D66212" w:rsidRPr="00D66212" w:rsidRDefault="00D66212" w:rsidP="00473AA0">
            <w:pPr>
              <w:pStyle w:val="Tablebody"/>
            </w:pPr>
            <w:r w:rsidRPr="00D66212">
              <w:t>As developed with dietitian (with two dislikes). Focus on increasing variety in line with therapeutic goals.</w:t>
            </w:r>
          </w:p>
          <w:p w14:paraId="05F0BB0D" w14:textId="77777777" w:rsidR="00D66212" w:rsidRPr="00D66212" w:rsidRDefault="00D66212" w:rsidP="00473AA0">
            <w:pPr>
              <w:pStyle w:val="Tablebody"/>
            </w:pPr>
            <w:r w:rsidRPr="00D66212">
              <w:t xml:space="preserve">Oral Nutritional Supplements as much as necessary as per the meal plan  </w:t>
            </w:r>
          </w:p>
          <w:p w14:paraId="7F44866F" w14:textId="77777777" w:rsidR="00D66212" w:rsidRPr="00D66212" w:rsidRDefault="00D66212" w:rsidP="00473AA0">
            <w:pPr>
              <w:pStyle w:val="Tablebody"/>
            </w:pPr>
            <w:r w:rsidRPr="00D66212">
              <w:t>1.0hr observation post meal and snacks</w:t>
            </w: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02E650AE" w14:textId="77777777" w:rsidR="00D66212" w:rsidRPr="00D66212" w:rsidRDefault="00D66212" w:rsidP="00473AA0">
            <w:pPr>
              <w:pStyle w:val="Tablebody"/>
            </w:pPr>
            <w:r w:rsidRPr="00D66212">
              <w:t xml:space="preserve"> Establish regular and adequate eating. </w:t>
            </w:r>
          </w:p>
          <w:p w14:paraId="58B1DC88" w14:textId="77777777" w:rsidR="00D66212" w:rsidRPr="00D66212" w:rsidRDefault="00D66212" w:rsidP="00473AA0">
            <w:pPr>
              <w:pStyle w:val="Tablebody"/>
            </w:pPr>
            <w:r w:rsidRPr="00D66212">
              <w:t>Working on reducing ritualistic eating disorder behaviours</w:t>
            </w:r>
          </w:p>
          <w:p w14:paraId="3A662586" w14:textId="77777777" w:rsidR="00D66212" w:rsidRPr="00D66212" w:rsidRDefault="00D66212" w:rsidP="00473AA0">
            <w:pPr>
              <w:pStyle w:val="Tablebody"/>
            </w:pPr>
            <w:r w:rsidRPr="00D66212">
              <w:t xml:space="preserve">Working on reducing compensatory behaviours </w:t>
            </w:r>
          </w:p>
          <w:p w14:paraId="7BBA6788" w14:textId="77777777" w:rsidR="00D66212" w:rsidRPr="00D66212" w:rsidRDefault="00D66212" w:rsidP="00473AA0">
            <w:pPr>
              <w:pStyle w:val="Tablebody"/>
            </w:pPr>
            <w:r w:rsidRPr="00D66212">
              <w:t>Evidenced by EDRTC Stage care plan goals</w:t>
            </w:r>
          </w:p>
        </w:tc>
        <w:tc>
          <w:tcPr>
            <w:tcW w:w="408" w:type="pct"/>
            <w:tcBorders>
              <w:top w:val="single" w:sz="6" w:space="0" w:color="auto"/>
              <w:left w:val="single" w:sz="6" w:space="0" w:color="auto"/>
              <w:bottom w:val="single" w:sz="6" w:space="0" w:color="auto"/>
              <w:right w:val="single" w:sz="6" w:space="0" w:color="auto"/>
            </w:tcBorders>
          </w:tcPr>
          <w:p w14:paraId="3922D527" w14:textId="77777777" w:rsidR="00D66212" w:rsidRPr="00D66212" w:rsidRDefault="00D66212" w:rsidP="00473AA0">
            <w:pPr>
              <w:pStyle w:val="Tablebody"/>
            </w:pPr>
            <w:r w:rsidRPr="00D66212">
              <w:t>Exercise dependent on medical stability</w:t>
            </w:r>
          </w:p>
          <w:p w14:paraId="0857FFAE" w14:textId="77777777" w:rsidR="00D66212" w:rsidRPr="00D66212" w:rsidRDefault="00D66212" w:rsidP="00473AA0">
            <w:pPr>
              <w:pStyle w:val="Tablebody"/>
            </w:pPr>
            <w:r w:rsidRPr="00D66212">
              <w:t>Walking group twice weekly</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32F866C4" w14:textId="77777777" w:rsidR="00D66212" w:rsidRPr="00D66212" w:rsidRDefault="00D66212" w:rsidP="00473AA0">
            <w:pPr>
              <w:pStyle w:val="Tablebody"/>
            </w:pPr>
            <w:r w:rsidRPr="00D66212">
              <w:t>Observations as per ARC</w:t>
            </w:r>
          </w:p>
          <w:p w14:paraId="7E8B3BA6" w14:textId="77777777" w:rsidR="00D66212" w:rsidRPr="00D66212" w:rsidRDefault="00D66212" w:rsidP="00473AA0">
            <w:pPr>
              <w:pStyle w:val="Tablebody"/>
            </w:pPr>
            <w:r w:rsidRPr="00D66212">
              <w:t>1 hour accompanied on grounds/nearby lake with family or friends during visiting hours *</w:t>
            </w:r>
          </w:p>
          <w:p w14:paraId="3E7C5653" w14:textId="77777777" w:rsidR="00D66212" w:rsidRPr="00D66212" w:rsidRDefault="00D66212" w:rsidP="00473AA0">
            <w:pPr>
              <w:pStyle w:val="Tablebody"/>
            </w:pPr>
            <w:r w:rsidRPr="00D66212">
              <w:t>No overnight leave.</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43089448" w14:textId="77777777" w:rsidR="00D66212" w:rsidRPr="00D66212" w:rsidRDefault="00D66212" w:rsidP="00473AA0">
            <w:pPr>
              <w:pStyle w:val="Tablebody"/>
            </w:pPr>
            <w:r w:rsidRPr="00D66212">
              <w:t> Attend all group therapy sessions</w:t>
            </w:r>
          </w:p>
          <w:p w14:paraId="3B2D57BD" w14:textId="77777777" w:rsidR="00D66212" w:rsidRPr="00D66212" w:rsidRDefault="00D66212" w:rsidP="00473AA0">
            <w:pPr>
              <w:pStyle w:val="Tablebody"/>
            </w:pP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558BAF5F" w14:textId="77777777" w:rsidR="00D66212" w:rsidRPr="00D66212" w:rsidRDefault="00D66212" w:rsidP="00473AA0">
            <w:pPr>
              <w:pStyle w:val="Tablebody"/>
            </w:pPr>
            <w:r w:rsidRPr="00D66212">
              <w:t> Attend all sessions</w:t>
            </w:r>
          </w:p>
          <w:p w14:paraId="6AD3B4D0" w14:textId="77777777" w:rsidR="00D66212" w:rsidRPr="00D66212" w:rsidRDefault="00D66212" w:rsidP="00473AA0">
            <w:pPr>
              <w:pStyle w:val="Tablebody"/>
            </w:pPr>
            <w:r w:rsidRPr="00D66212">
              <w:t>MH Clinician: 1/wk.</w:t>
            </w:r>
          </w:p>
          <w:p w14:paraId="56CC7F94" w14:textId="77777777" w:rsidR="00D66212" w:rsidRPr="00D66212" w:rsidRDefault="00D66212" w:rsidP="00473AA0">
            <w:pPr>
              <w:pStyle w:val="Tablebody"/>
            </w:pPr>
            <w:r w:rsidRPr="00D66212">
              <w:t>Key worker: 1/wk.</w:t>
            </w:r>
          </w:p>
          <w:p w14:paraId="7E473FE1" w14:textId="77777777" w:rsidR="00D66212" w:rsidRPr="00D66212" w:rsidRDefault="00D66212" w:rsidP="00473AA0">
            <w:pPr>
              <w:pStyle w:val="Tablebody"/>
            </w:pPr>
            <w:r w:rsidRPr="00D66212">
              <w:t>Dietitian: 1/wk.</w:t>
            </w:r>
          </w:p>
          <w:p w14:paraId="0E6AA941" w14:textId="77777777" w:rsidR="00D66212" w:rsidRPr="00D66212" w:rsidRDefault="00D66212" w:rsidP="00473AA0">
            <w:pPr>
              <w:pStyle w:val="Tablebody"/>
            </w:pPr>
            <w:r w:rsidRPr="00D66212">
              <w:t>Psychiatrist: as required</w:t>
            </w:r>
          </w:p>
          <w:p w14:paraId="2CEBE8AC" w14:textId="77777777" w:rsidR="00D66212" w:rsidRPr="00D66212" w:rsidRDefault="00D66212" w:rsidP="00473AA0">
            <w:pPr>
              <w:pStyle w:val="Tablebody"/>
            </w:pPr>
            <w:r w:rsidRPr="00D66212">
              <w:t>Medical/ NP: 1/week or as clinically indicated</w:t>
            </w:r>
          </w:p>
          <w:p w14:paraId="7149E1F4" w14:textId="77777777" w:rsidR="00D66212" w:rsidRPr="00D66212" w:rsidRDefault="00D66212" w:rsidP="00473AA0">
            <w:pPr>
              <w:pStyle w:val="Tablebody"/>
            </w:pPr>
          </w:p>
        </w:tc>
        <w:tc>
          <w:tcPr>
            <w:tcW w:w="567" w:type="pct"/>
            <w:tcBorders>
              <w:top w:val="single" w:sz="6" w:space="0" w:color="auto"/>
              <w:left w:val="single" w:sz="6" w:space="0" w:color="auto"/>
              <w:bottom w:val="single" w:sz="6" w:space="0" w:color="auto"/>
              <w:right w:val="single" w:sz="6" w:space="0" w:color="auto"/>
            </w:tcBorders>
          </w:tcPr>
          <w:p w14:paraId="3A6E34D1" w14:textId="77777777" w:rsidR="00D66212" w:rsidRPr="00D66212" w:rsidRDefault="00D66212" w:rsidP="00473AA0">
            <w:pPr>
              <w:pStyle w:val="Tablebody"/>
            </w:pPr>
            <w:r w:rsidRPr="00D66212">
              <w:t>Developed agreed care plan goals</w:t>
            </w:r>
          </w:p>
          <w:p w14:paraId="30ED1469" w14:textId="77777777" w:rsidR="00D66212" w:rsidRPr="00D66212" w:rsidRDefault="00D66212" w:rsidP="00473AA0">
            <w:pPr>
              <w:pStyle w:val="Tablebody"/>
            </w:pPr>
            <w:r w:rsidRPr="00D66212">
              <w:t>Completed all Stage 1 challenges in care plan</w:t>
            </w:r>
          </w:p>
          <w:p w14:paraId="1234DBDC" w14:textId="77777777" w:rsidR="00D66212" w:rsidRPr="00D66212" w:rsidRDefault="00D66212" w:rsidP="00473AA0">
            <w:pPr>
              <w:pStyle w:val="Tablebody"/>
            </w:pPr>
          </w:p>
          <w:p w14:paraId="10E346FD" w14:textId="77777777" w:rsidR="00D66212" w:rsidRPr="00D66212" w:rsidRDefault="00D66212" w:rsidP="00473AA0">
            <w:pPr>
              <w:pStyle w:val="Tablebody"/>
            </w:pPr>
          </w:p>
        </w:tc>
        <w:tc>
          <w:tcPr>
            <w:tcW w:w="459" w:type="pct"/>
            <w:tcBorders>
              <w:top w:val="single" w:sz="6" w:space="0" w:color="auto"/>
              <w:left w:val="single" w:sz="6" w:space="0" w:color="auto"/>
              <w:bottom w:val="single" w:sz="6" w:space="0" w:color="auto"/>
              <w:right w:val="single" w:sz="6" w:space="0" w:color="auto"/>
            </w:tcBorders>
          </w:tcPr>
          <w:p w14:paraId="7A2716FF" w14:textId="77777777" w:rsidR="00D66212" w:rsidRPr="00D66212" w:rsidRDefault="00D66212" w:rsidP="00473AA0">
            <w:pPr>
              <w:pStyle w:val="Tablebody"/>
            </w:pPr>
            <w:r w:rsidRPr="00D66212">
              <w:t>MDT minimum two weeks into Stage 1 to determine progression to Stage 2</w:t>
            </w:r>
          </w:p>
        </w:tc>
      </w:tr>
      <w:tr w:rsidR="00473AA0" w:rsidRPr="00D66212" w14:paraId="6B040FC1"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00BA3752" w14:textId="77777777" w:rsidR="00D66212" w:rsidRPr="009055A1" w:rsidRDefault="00D66212" w:rsidP="00473AA0">
            <w:pPr>
              <w:pStyle w:val="Tablebody"/>
            </w:pPr>
            <w:r w:rsidRPr="009055A1">
              <w:t>Stage 2 </w:t>
            </w:r>
          </w:p>
          <w:p w14:paraId="4463B1BB" w14:textId="6A5AA40F" w:rsidR="00F22B11" w:rsidRPr="00D66212" w:rsidRDefault="00F22B11" w:rsidP="00473AA0">
            <w:pPr>
              <w:pStyle w:val="Tablebody"/>
            </w:pPr>
            <w:r w:rsidRPr="009055A1">
              <w:t>(</w:t>
            </w:r>
            <w:r w:rsidR="009055A1" w:rsidRPr="009055A1">
              <w:t>E</w:t>
            </w:r>
            <w:r w:rsidRPr="009055A1">
              <w:t>arly challenge)</w:t>
            </w: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3FA63BD5" w14:textId="77777777" w:rsidR="00D66212" w:rsidRPr="00D66212" w:rsidRDefault="00D66212" w:rsidP="00473AA0">
            <w:pPr>
              <w:pStyle w:val="Tablebody"/>
            </w:pPr>
            <w:r w:rsidRPr="00D66212">
              <w:t>Increase independence with moderate to high level of support</w:t>
            </w:r>
          </w:p>
          <w:p w14:paraId="67523F9B" w14:textId="77777777" w:rsidR="00D66212" w:rsidRPr="00D66212" w:rsidRDefault="00D66212" w:rsidP="00473AA0">
            <w:pPr>
              <w:pStyle w:val="Tablebody"/>
            </w:pPr>
            <w:r w:rsidRPr="00D66212">
              <w:t>Exploring and developing skills to reduce the impact of factors that maintain the eating disorder</w:t>
            </w:r>
          </w:p>
          <w:p w14:paraId="595F065B" w14:textId="77777777" w:rsidR="00D66212" w:rsidRPr="00D66212" w:rsidRDefault="00D66212" w:rsidP="00473AA0">
            <w:pPr>
              <w:pStyle w:val="Tablebody"/>
            </w:pPr>
          </w:p>
          <w:p w14:paraId="2D83C43A" w14:textId="77777777" w:rsidR="00D66212" w:rsidRPr="00D66212" w:rsidRDefault="00D66212" w:rsidP="00473AA0">
            <w:pPr>
              <w:pStyle w:val="Tablebody"/>
            </w:pP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330B9F84" w14:textId="77777777" w:rsidR="00D66212" w:rsidRPr="00D66212" w:rsidRDefault="00D66212" w:rsidP="00473AA0">
            <w:pPr>
              <w:pStyle w:val="Tablebody"/>
            </w:pPr>
            <w:r w:rsidRPr="00D66212">
              <w:t> Portion some food (breakfast, snacks) under supervision of staff.</w:t>
            </w:r>
          </w:p>
          <w:p w14:paraId="5FF35881" w14:textId="77777777" w:rsidR="00D66212" w:rsidRPr="00D66212" w:rsidRDefault="00D66212" w:rsidP="00473AA0">
            <w:pPr>
              <w:pStyle w:val="Tablebody"/>
            </w:pPr>
            <w:r w:rsidRPr="00D66212">
              <w:t>Self-select to be determined by treating dietitian. Continued focus on increasing variety in line with therapeutic goals. (e.g. commencing with mid-meal snacks and continental breakfast).</w:t>
            </w:r>
          </w:p>
          <w:p w14:paraId="159726A1" w14:textId="77777777" w:rsidR="00D66212" w:rsidRPr="00D66212" w:rsidRDefault="00D66212" w:rsidP="00473AA0">
            <w:pPr>
              <w:pStyle w:val="Tablebody"/>
            </w:pPr>
          </w:p>
          <w:p w14:paraId="62B1B931" w14:textId="77777777" w:rsidR="00D66212" w:rsidRPr="00D66212" w:rsidRDefault="00D66212" w:rsidP="00473AA0">
            <w:pPr>
              <w:pStyle w:val="Tablebody"/>
            </w:pPr>
            <w:r w:rsidRPr="00D66212">
              <w:t>Lunch and dinner portioned by staff</w:t>
            </w:r>
          </w:p>
          <w:p w14:paraId="571A6A4F" w14:textId="77777777" w:rsidR="00D66212" w:rsidRPr="00D66212" w:rsidRDefault="00D66212" w:rsidP="00473AA0">
            <w:pPr>
              <w:pStyle w:val="Tablebody"/>
            </w:pPr>
            <w:r w:rsidRPr="00D66212">
              <w:t>Reduced use of oral supplements</w:t>
            </w:r>
          </w:p>
          <w:p w14:paraId="2B6D4CEA" w14:textId="77777777" w:rsidR="00D66212" w:rsidRPr="00D66212" w:rsidRDefault="00D66212" w:rsidP="00473AA0">
            <w:pPr>
              <w:pStyle w:val="Tablebody"/>
            </w:pPr>
            <w:r w:rsidRPr="00D66212">
              <w:t>1.0-hour post meal support following main meals and 30 minutes post snack</w:t>
            </w:r>
          </w:p>
          <w:p w14:paraId="1B2C7C49" w14:textId="77777777" w:rsidR="00D66212" w:rsidRPr="00D66212" w:rsidRDefault="00D66212" w:rsidP="00473AA0">
            <w:pPr>
              <w:pStyle w:val="Tablebody"/>
            </w:pP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14A8B6BE" w14:textId="77777777" w:rsidR="00D66212" w:rsidRPr="00D66212" w:rsidRDefault="00D66212" w:rsidP="00473AA0">
            <w:pPr>
              <w:pStyle w:val="Tablebody"/>
            </w:pPr>
            <w:r w:rsidRPr="00D66212">
              <w:t>Maintain regular and adequate eating</w:t>
            </w:r>
          </w:p>
          <w:p w14:paraId="27774FAC" w14:textId="77777777" w:rsidR="00D66212" w:rsidRPr="00D66212" w:rsidRDefault="00D66212" w:rsidP="00473AA0">
            <w:pPr>
              <w:pStyle w:val="Tablebody"/>
            </w:pPr>
            <w:r w:rsidRPr="00D66212">
              <w:t>Increase variety in intake</w:t>
            </w:r>
          </w:p>
          <w:p w14:paraId="27383940" w14:textId="77777777" w:rsidR="00D66212" w:rsidRPr="00D66212" w:rsidRDefault="00D66212" w:rsidP="00473AA0">
            <w:pPr>
              <w:pStyle w:val="Tablebody"/>
            </w:pPr>
            <w:r w:rsidRPr="00D66212">
              <w:t>Completion of stage challenges to reduce ritualistic eating disorder behaviours</w:t>
            </w:r>
          </w:p>
          <w:p w14:paraId="32F915D5" w14:textId="77777777" w:rsidR="00D66212" w:rsidRPr="00D66212" w:rsidRDefault="00D66212" w:rsidP="00473AA0">
            <w:pPr>
              <w:pStyle w:val="Tablebody"/>
            </w:pPr>
            <w:r w:rsidRPr="00D66212">
              <w:t>Completion of stage challenges to reduce compensatory behaviours</w:t>
            </w:r>
          </w:p>
          <w:p w14:paraId="18C74E18" w14:textId="77777777" w:rsidR="00D66212" w:rsidRPr="00D66212" w:rsidRDefault="00D66212" w:rsidP="00473AA0">
            <w:pPr>
              <w:pStyle w:val="Tablebody"/>
            </w:pPr>
            <w:r w:rsidRPr="00D66212">
              <w:t xml:space="preserve">Evidenced by EDRTC Stage care plan </w:t>
            </w:r>
          </w:p>
          <w:p w14:paraId="310BADA9" w14:textId="77777777" w:rsidR="00D66212" w:rsidRPr="00D66212" w:rsidRDefault="00D66212" w:rsidP="00473AA0">
            <w:pPr>
              <w:pStyle w:val="Tablebody"/>
            </w:pPr>
            <w:r w:rsidRPr="00D66212">
              <w:t xml:space="preserve">Increased participation in groups </w:t>
            </w:r>
          </w:p>
        </w:tc>
        <w:tc>
          <w:tcPr>
            <w:tcW w:w="408" w:type="pct"/>
            <w:tcBorders>
              <w:top w:val="single" w:sz="6" w:space="0" w:color="auto"/>
              <w:left w:val="single" w:sz="6" w:space="0" w:color="auto"/>
              <w:bottom w:val="single" w:sz="6" w:space="0" w:color="auto"/>
              <w:right w:val="single" w:sz="6" w:space="0" w:color="auto"/>
            </w:tcBorders>
          </w:tcPr>
          <w:p w14:paraId="2811F60D" w14:textId="77777777" w:rsidR="00D66212" w:rsidRPr="00D66212" w:rsidRDefault="00D66212" w:rsidP="00473AA0">
            <w:pPr>
              <w:pStyle w:val="Tablebody"/>
            </w:pPr>
            <w:r w:rsidRPr="00D66212">
              <w:t>Walking group twice weekly</w:t>
            </w:r>
          </w:p>
          <w:p w14:paraId="54191967" w14:textId="77777777" w:rsidR="00D66212" w:rsidRPr="00D66212" w:rsidRDefault="00D66212" w:rsidP="00473AA0">
            <w:pPr>
              <w:pStyle w:val="Tablebody"/>
            </w:pPr>
            <w:r w:rsidRPr="00D66212">
              <w:t>As per movement plan or care plan goals.</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61F06599" w14:textId="77777777" w:rsidR="00D66212" w:rsidRPr="00D66212" w:rsidRDefault="00D66212" w:rsidP="00473AA0">
            <w:pPr>
              <w:pStyle w:val="Tablebody"/>
            </w:pPr>
            <w:r w:rsidRPr="00D66212">
              <w:t> Observations as per ARC</w:t>
            </w:r>
          </w:p>
          <w:p w14:paraId="5E768EF9" w14:textId="77777777" w:rsidR="00D66212" w:rsidRPr="00D66212" w:rsidRDefault="00D66212" w:rsidP="00473AA0">
            <w:pPr>
              <w:pStyle w:val="Tablebody"/>
            </w:pPr>
            <w:r w:rsidRPr="00D66212">
              <w:rPr>
                <w:rFonts w:eastAsia="Aptos"/>
                <w:kern w:val="2"/>
                <w:lang w:eastAsia="en-US"/>
                <w14:ligatures w14:val="standardContextual"/>
              </w:rPr>
              <w:t>Weekdays - 1 hour accompanied leave off grounds during visiting hours *</w:t>
            </w:r>
          </w:p>
          <w:p w14:paraId="0557D1FC" w14:textId="77777777" w:rsidR="00D66212" w:rsidRPr="00D66212" w:rsidRDefault="00D66212" w:rsidP="00473AA0">
            <w:pPr>
              <w:pStyle w:val="Tablebody"/>
              <w:rPr>
                <w:rFonts w:eastAsia="Aptos"/>
                <w:kern w:val="2"/>
                <w:lang w:eastAsia="en-US"/>
                <w14:ligatures w14:val="standardContextual"/>
              </w:rPr>
            </w:pPr>
            <w:r w:rsidRPr="00D66212">
              <w:rPr>
                <w:rFonts w:eastAsia="Aptos"/>
                <w:kern w:val="2"/>
                <w:lang w:eastAsia="en-US"/>
                <w14:ligatures w14:val="standardContextual"/>
              </w:rPr>
              <w:t>Weekends - 2 hours accompanied leave off grounds during visiting hours *</w:t>
            </w:r>
          </w:p>
          <w:p w14:paraId="151F56C3" w14:textId="77777777" w:rsidR="00D66212" w:rsidRPr="00D66212" w:rsidRDefault="00D66212" w:rsidP="00473AA0">
            <w:pPr>
              <w:pStyle w:val="Tablebody"/>
            </w:pPr>
            <w:r w:rsidRPr="00D66212">
              <w:t>Therapeutic challenge/goal leave documented in care plan.</w:t>
            </w:r>
          </w:p>
          <w:p w14:paraId="6E5042BD" w14:textId="77777777" w:rsidR="00D66212" w:rsidRPr="00D66212" w:rsidRDefault="00D66212" w:rsidP="00473AA0">
            <w:pPr>
              <w:pStyle w:val="Tablebody"/>
            </w:pPr>
            <w:r w:rsidRPr="00D66212">
              <w:t>No overnight leave.</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181D4CF1" w14:textId="77777777" w:rsidR="00D66212" w:rsidRPr="00D66212" w:rsidRDefault="00D66212" w:rsidP="00473AA0">
            <w:pPr>
              <w:pStyle w:val="Tablebody"/>
            </w:pPr>
            <w:r w:rsidRPr="00D66212">
              <w:t>Attend all group therapy sessions</w:t>
            </w:r>
          </w:p>
          <w:p w14:paraId="371D6BD4" w14:textId="77777777" w:rsidR="00D66212" w:rsidRPr="00D66212" w:rsidRDefault="00D66212" w:rsidP="00473AA0">
            <w:pPr>
              <w:pStyle w:val="Tablebody"/>
            </w:pP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7EBE7948" w14:textId="77777777" w:rsidR="00D66212" w:rsidRPr="00D66212" w:rsidRDefault="00D66212" w:rsidP="00473AA0">
            <w:pPr>
              <w:pStyle w:val="Tablebody"/>
            </w:pPr>
            <w:r w:rsidRPr="00D66212">
              <w:t>MH Clinician: 1/wk.</w:t>
            </w:r>
          </w:p>
          <w:p w14:paraId="6C3FB41E" w14:textId="77777777" w:rsidR="00D66212" w:rsidRPr="00D66212" w:rsidRDefault="00D66212" w:rsidP="00473AA0">
            <w:pPr>
              <w:pStyle w:val="Tablebody"/>
            </w:pPr>
            <w:r w:rsidRPr="00D66212">
              <w:t>Key worker: 1/wk.</w:t>
            </w:r>
          </w:p>
          <w:p w14:paraId="62EDD191" w14:textId="77777777" w:rsidR="00D66212" w:rsidRPr="00D66212" w:rsidRDefault="00D66212" w:rsidP="00473AA0">
            <w:pPr>
              <w:pStyle w:val="Tablebody"/>
            </w:pPr>
            <w:r w:rsidRPr="00D66212">
              <w:t>Dietitian: 1/wk.</w:t>
            </w:r>
          </w:p>
          <w:p w14:paraId="588D8C74" w14:textId="77777777" w:rsidR="00D66212" w:rsidRPr="00D66212" w:rsidRDefault="00D66212" w:rsidP="00473AA0">
            <w:pPr>
              <w:pStyle w:val="Tablebody"/>
            </w:pPr>
            <w:r w:rsidRPr="00D66212">
              <w:t>Medical: 1/week or as clinically indicated</w:t>
            </w:r>
          </w:p>
          <w:p w14:paraId="495223BE" w14:textId="77777777" w:rsidR="00D66212" w:rsidRPr="00D66212" w:rsidRDefault="00D66212" w:rsidP="00473AA0">
            <w:pPr>
              <w:pStyle w:val="Tablebody"/>
            </w:pPr>
            <w:r w:rsidRPr="00D66212">
              <w:t>Psychiatrist: As required</w:t>
            </w:r>
          </w:p>
          <w:p w14:paraId="6F32158C" w14:textId="77777777" w:rsidR="00D66212" w:rsidRPr="00D66212" w:rsidRDefault="00D66212" w:rsidP="00473AA0">
            <w:pPr>
              <w:pStyle w:val="Tablebody"/>
              <w:rPr>
                <w:strike/>
              </w:rPr>
            </w:pPr>
          </w:p>
        </w:tc>
        <w:tc>
          <w:tcPr>
            <w:tcW w:w="567" w:type="pct"/>
            <w:tcBorders>
              <w:top w:val="single" w:sz="6" w:space="0" w:color="auto"/>
              <w:left w:val="single" w:sz="6" w:space="0" w:color="auto"/>
              <w:bottom w:val="single" w:sz="6" w:space="0" w:color="auto"/>
              <w:right w:val="single" w:sz="6" w:space="0" w:color="auto"/>
            </w:tcBorders>
          </w:tcPr>
          <w:p w14:paraId="6F71A0C8" w14:textId="77777777" w:rsidR="00D66212" w:rsidRPr="00D66212" w:rsidRDefault="00D66212" w:rsidP="00473AA0">
            <w:pPr>
              <w:pStyle w:val="Tablebody"/>
            </w:pPr>
            <w:r w:rsidRPr="00D66212">
              <w:t>Completed all Stage 2 challenges in care plan</w:t>
            </w:r>
          </w:p>
          <w:p w14:paraId="7531FB7C" w14:textId="77777777" w:rsidR="00D66212" w:rsidRPr="00D66212" w:rsidRDefault="00D66212" w:rsidP="00473AA0">
            <w:pPr>
              <w:pStyle w:val="Tablebody"/>
            </w:pPr>
            <w:r w:rsidRPr="00D66212">
              <w:t>Increased motivation</w:t>
            </w:r>
          </w:p>
          <w:p w14:paraId="1989B45E" w14:textId="77777777" w:rsidR="00D66212" w:rsidRPr="00D66212" w:rsidRDefault="00D66212" w:rsidP="00473AA0">
            <w:pPr>
              <w:pStyle w:val="Tablebody"/>
            </w:pPr>
            <w:r w:rsidRPr="00D66212">
              <w:t>Decreased use of supplements</w:t>
            </w:r>
          </w:p>
          <w:p w14:paraId="52D9386A" w14:textId="77777777" w:rsidR="00D66212" w:rsidRPr="00D66212" w:rsidRDefault="00D66212" w:rsidP="00473AA0">
            <w:pPr>
              <w:pStyle w:val="Tablebody"/>
            </w:pPr>
            <w:r w:rsidRPr="00D66212">
              <w:t>Working towards care plan goals</w:t>
            </w:r>
          </w:p>
        </w:tc>
        <w:tc>
          <w:tcPr>
            <w:tcW w:w="459" w:type="pct"/>
            <w:tcBorders>
              <w:top w:val="single" w:sz="6" w:space="0" w:color="auto"/>
              <w:left w:val="single" w:sz="6" w:space="0" w:color="auto"/>
              <w:bottom w:val="single" w:sz="6" w:space="0" w:color="auto"/>
              <w:right w:val="single" w:sz="6" w:space="0" w:color="auto"/>
            </w:tcBorders>
          </w:tcPr>
          <w:p w14:paraId="7256122C" w14:textId="77777777" w:rsidR="00D66212" w:rsidRPr="00D66212" w:rsidRDefault="00D66212" w:rsidP="00473AA0">
            <w:pPr>
              <w:pStyle w:val="Tablebody"/>
            </w:pPr>
            <w:r w:rsidRPr="00D66212">
              <w:t xml:space="preserve">MDT minimum two weeks after progression to Stage 2 to determine progression to Stage 3 </w:t>
            </w:r>
          </w:p>
        </w:tc>
      </w:tr>
      <w:tr w:rsidR="00473AA0" w:rsidRPr="00D66212" w14:paraId="70571C8F"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3E7940D8" w14:textId="77777777" w:rsidR="00D66212" w:rsidRPr="009055A1" w:rsidRDefault="00D66212" w:rsidP="00473AA0">
            <w:pPr>
              <w:pStyle w:val="Tablebody"/>
            </w:pPr>
            <w:r w:rsidRPr="009055A1">
              <w:t>Stage 3 </w:t>
            </w:r>
          </w:p>
          <w:p w14:paraId="15DD3D00" w14:textId="77858AA9" w:rsidR="00F22B11" w:rsidRPr="00D66212" w:rsidRDefault="00F22B11" w:rsidP="00473AA0">
            <w:pPr>
              <w:pStyle w:val="Tablebody"/>
            </w:pPr>
            <w:r w:rsidRPr="009055A1">
              <w:t>(</w:t>
            </w:r>
            <w:r w:rsidR="009055A1" w:rsidRPr="009055A1">
              <w:t>L</w:t>
            </w:r>
            <w:r w:rsidRPr="009055A1">
              <w:t>ate challenge)</w:t>
            </w: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6379F367" w14:textId="77777777" w:rsidR="00D66212" w:rsidRPr="00D66212" w:rsidRDefault="00D66212" w:rsidP="00473AA0">
            <w:pPr>
              <w:pStyle w:val="Tablebody"/>
            </w:pPr>
            <w:r w:rsidRPr="00D66212">
              <w:t>Increase independence with low to moderate level of support</w:t>
            </w:r>
          </w:p>
          <w:p w14:paraId="587B9E6B" w14:textId="77777777" w:rsidR="00D66212" w:rsidRPr="00D66212" w:rsidRDefault="00D66212" w:rsidP="00473AA0">
            <w:pPr>
              <w:pStyle w:val="Tablebody"/>
            </w:pPr>
            <w:r w:rsidRPr="00D66212">
              <w:t>Increase Social eating</w:t>
            </w: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19794D35" w14:textId="77777777" w:rsidR="00D66212" w:rsidRPr="00D66212" w:rsidRDefault="00D66212" w:rsidP="00473AA0">
            <w:pPr>
              <w:pStyle w:val="Tablebody"/>
            </w:pPr>
            <w:r w:rsidRPr="00D66212">
              <w:t> If appropriate, practice attending grocery store grocery shopping and purchase own snacks</w:t>
            </w:r>
          </w:p>
          <w:p w14:paraId="5D93B807" w14:textId="77777777" w:rsidR="00D66212" w:rsidRPr="00D66212" w:rsidRDefault="00D66212" w:rsidP="00473AA0">
            <w:pPr>
              <w:pStyle w:val="Tablebody"/>
            </w:pPr>
            <w:r w:rsidRPr="00D66212">
              <w:t>Participants able to have active role in practical food experiences (E.g. grocery shopping, preparing snacks) as per dietitian and treating team’s recommendations</w:t>
            </w:r>
          </w:p>
          <w:p w14:paraId="0707D337" w14:textId="77777777" w:rsidR="00D66212" w:rsidRPr="00D66212" w:rsidRDefault="00D66212" w:rsidP="00473AA0">
            <w:pPr>
              <w:pStyle w:val="Tablebody"/>
            </w:pPr>
            <w:r w:rsidRPr="00D66212">
              <w:t>Use of oral supplements restricted to individual care plan goal.</w:t>
            </w:r>
          </w:p>
          <w:p w14:paraId="523EA352" w14:textId="77777777" w:rsidR="00D66212" w:rsidRPr="00D66212" w:rsidRDefault="00D66212" w:rsidP="00473AA0">
            <w:pPr>
              <w:pStyle w:val="Tablebody"/>
            </w:pPr>
            <w:r w:rsidRPr="00D66212">
              <w:t>30 minutes supervision post main meal and no supervision post snacks.</w:t>
            </w:r>
          </w:p>
          <w:p w14:paraId="480C5F6C" w14:textId="77777777" w:rsidR="00D66212" w:rsidRPr="00D66212" w:rsidRDefault="00D66212" w:rsidP="00473AA0">
            <w:pPr>
              <w:pStyle w:val="Tablebody"/>
            </w:pPr>
            <w:r w:rsidRPr="00D66212">
              <w:t>Will remain in therapy wing for support.</w:t>
            </w:r>
          </w:p>
          <w:p w14:paraId="1DB59BE3" w14:textId="77777777" w:rsidR="00D66212" w:rsidRPr="00D66212" w:rsidRDefault="00D66212" w:rsidP="00473AA0">
            <w:pPr>
              <w:pStyle w:val="Tablebody"/>
            </w:pP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5B2A0B49" w14:textId="77777777" w:rsidR="00D66212" w:rsidRPr="00D66212" w:rsidRDefault="00D66212" w:rsidP="00473AA0">
            <w:pPr>
              <w:pStyle w:val="Tablebody"/>
            </w:pPr>
            <w:r w:rsidRPr="00D66212">
              <w:t>Maintain regular and adequate eating</w:t>
            </w:r>
          </w:p>
          <w:p w14:paraId="76FFD5B8" w14:textId="77777777" w:rsidR="00D66212" w:rsidRPr="00D66212" w:rsidRDefault="00D66212" w:rsidP="00473AA0">
            <w:pPr>
              <w:pStyle w:val="Tablebody"/>
            </w:pPr>
            <w:r w:rsidRPr="00D66212">
              <w:t>Increase social eating</w:t>
            </w:r>
          </w:p>
          <w:p w14:paraId="4FB6EAC1" w14:textId="77777777" w:rsidR="00D66212" w:rsidRPr="00D66212" w:rsidRDefault="00D66212" w:rsidP="00473AA0">
            <w:pPr>
              <w:pStyle w:val="Tablebody"/>
            </w:pPr>
            <w:r w:rsidRPr="00D66212">
              <w:t>Successful completion of stage challenges to minimise or cease ritualistic eating disorder behaviours</w:t>
            </w:r>
          </w:p>
          <w:p w14:paraId="3758D225" w14:textId="77777777" w:rsidR="00D66212" w:rsidRPr="00D66212" w:rsidRDefault="00D66212" w:rsidP="00473AA0">
            <w:pPr>
              <w:pStyle w:val="Tablebody"/>
            </w:pPr>
            <w:r w:rsidRPr="00D66212">
              <w:t>Successful completion of stage challenges to reduce or cease compensatory behaviours</w:t>
            </w:r>
          </w:p>
          <w:p w14:paraId="65829BB9" w14:textId="77777777" w:rsidR="00D66212" w:rsidRPr="00D66212" w:rsidRDefault="00D66212" w:rsidP="00473AA0">
            <w:pPr>
              <w:pStyle w:val="Tablebody"/>
            </w:pPr>
            <w:r w:rsidRPr="00D66212">
              <w:t>Evidenced by EDRTC Stage care plan</w:t>
            </w:r>
          </w:p>
          <w:p w14:paraId="5E9CF095" w14:textId="77777777" w:rsidR="00D66212" w:rsidRPr="00D66212" w:rsidRDefault="00D66212" w:rsidP="00473AA0">
            <w:pPr>
              <w:pStyle w:val="Tablebody"/>
            </w:pPr>
            <w:r w:rsidRPr="00D66212">
              <w:t>Role modelling recovery orientated behaviours and leadership in groups</w:t>
            </w:r>
          </w:p>
        </w:tc>
        <w:tc>
          <w:tcPr>
            <w:tcW w:w="408" w:type="pct"/>
            <w:tcBorders>
              <w:top w:val="single" w:sz="6" w:space="0" w:color="auto"/>
              <w:left w:val="single" w:sz="6" w:space="0" w:color="auto"/>
              <w:bottom w:val="single" w:sz="6" w:space="0" w:color="auto"/>
              <w:right w:val="single" w:sz="6" w:space="0" w:color="auto"/>
            </w:tcBorders>
          </w:tcPr>
          <w:p w14:paraId="45C65EF1" w14:textId="77777777" w:rsidR="00D66212" w:rsidRPr="00D66212" w:rsidRDefault="00D66212" w:rsidP="00473AA0">
            <w:pPr>
              <w:pStyle w:val="Tablebody"/>
            </w:pPr>
            <w:r w:rsidRPr="00D66212">
              <w:t>Walking group</w:t>
            </w:r>
          </w:p>
          <w:p w14:paraId="66352315" w14:textId="77777777" w:rsidR="00D66212" w:rsidRPr="00D66212" w:rsidRDefault="00D66212" w:rsidP="00473AA0">
            <w:pPr>
              <w:pStyle w:val="Tablebody"/>
            </w:pPr>
            <w:r w:rsidRPr="00D66212">
              <w:t>As per movement plan or care plan goals.</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1F8FCD2C" w14:textId="77777777" w:rsidR="00D66212" w:rsidRPr="00D66212" w:rsidRDefault="00D66212" w:rsidP="00473AA0">
            <w:pPr>
              <w:pStyle w:val="Tablebody"/>
            </w:pPr>
            <w:r w:rsidRPr="00D66212">
              <w:t>Observations as per ARC</w:t>
            </w:r>
          </w:p>
          <w:p w14:paraId="6ABEE414" w14:textId="77777777" w:rsidR="00D66212" w:rsidRPr="00D66212" w:rsidRDefault="00D66212" w:rsidP="00473AA0">
            <w:pPr>
              <w:pStyle w:val="Tablebody"/>
              <w:rPr>
                <w:rFonts w:eastAsia="Aptos"/>
                <w:kern w:val="2"/>
                <w:lang w:eastAsia="en-US"/>
                <w14:ligatures w14:val="standardContextual"/>
              </w:rPr>
            </w:pPr>
            <w:r w:rsidRPr="00D66212">
              <w:rPr>
                <w:rFonts w:eastAsia="Aptos"/>
                <w:kern w:val="2"/>
                <w:lang w:eastAsia="en-US"/>
                <w14:ligatures w14:val="standardContextual"/>
              </w:rPr>
              <w:t xml:space="preserve">Weekdays 1 hour unaccompanied leave off grounds during visiting hours * </w:t>
            </w:r>
          </w:p>
          <w:p w14:paraId="3840BDF7" w14:textId="77777777" w:rsidR="00D66212" w:rsidRPr="00D66212" w:rsidRDefault="00D66212" w:rsidP="00473AA0">
            <w:pPr>
              <w:pStyle w:val="Tablebody"/>
              <w:rPr>
                <w:rFonts w:eastAsia="Aptos"/>
                <w:kern w:val="2"/>
                <w:lang w:eastAsia="en-US"/>
                <w14:ligatures w14:val="standardContextual"/>
              </w:rPr>
            </w:pPr>
            <w:r w:rsidRPr="00D66212">
              <w:rPr>
                <w:rFonts w:eastAsia="Aptos"/>
                <w:kern w:val="2"/>
                <w:lang w:eastAsia="en-US"/>
                <w14:ligatures w14:val="standardContextual"/>
              </w:rPr>
              <w:t>Weekends 2 hours unaccompanied leave off grounds during visiting hours *</w:t>
            </w:r>
          </w:p>
          <w:p w14:paraId="26C47962" w14:textId="77777777" w:rsidR="00D66212" w:rsidRPr="00D66212" w:rsidRDefault="00D66212" w:rsidP="00473AA0">
            <w:pPr>
              <w:pStyle w:val="Tablebody"/>
            </w:pPr>
            <w:r w:rsidRPr="00D66212">
              <w:t>Overnight leave considered for special occasions case by case basis.</w:t>
            </w:r>
          </w:p>
          <w:p w14:paraId="5A717779" w14:textId="77777777" w:rsidR="00D66212" w:rsidRPr="00D66212" w:rsidRDefault="00D66212" w:rsidP="00473AA0">
            <w:pPr>
              <w:pStyle w:val="Tablebody"/>
            </w:pPr>
            <w:r w:rsidRPr="00D66212">
              <w:t>Therapeutic challenge leave documented in care plan.</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4E0132C0" w14:textId="77777777" w:rsidR="00D66212" w:rsidRPr="00D66212" w:rsidRDefault="00D66212" w:rsidP="00473AA0">
            <w:pPr>
              <w:pStyle w:val="Tablebody"/>
            </w:pPr>
            <w:r w:rsidRPr="00D66212">
              <w:t xml:space="preserve">Attend all sessions while at centre. </w:t>
            </w:r>
          </w:p>
          <w:p w14:paraId="1F04C8C4" w14:textId="77777777" w:rsidR="00D66212" w:rsidRPr="00D66212" w:rsidRDefault="00D66212" w:rsidP="00473AA0">
            <w:pPr>
              <w:pStyle w:val="Tablebody"/>
            </w:pPr>
            <w:r w:rsidRPr="00D66212">
              <w:t>May be able to take therapeutic leave with family and friends during group session times as documented in care plan and medical record.</w:t>
            </w: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1596D8F4" w14:textId="77777777" w:rsidR="00D66212" w:rsidRPr="00D66212" w:rsidRDefault="00D66212" w:rsidP="00473AA0">
            <w:pPr>
              <w:pStyle w:val="Tablebody"/>
            </w:pPr>
            <w:r w:rsidRPr="00D66212">
              <w:t>MH Clinician: 1/wk.</w:t>
            </w:r>
          </w:p>
          <w:p w14:paraId="570DC2A2" w14:textId="77777777" w:rsidR="00D66212" w:rsidRPr="00D66212" w:rsidRDefault="00D66212" w:rsidP="00473AA0">
            <w:pPr>
              <w:pStyle w:val="Tablebody"/>
            </w:pPr>
            <w:r w:rsidRPr="00D66212">
              <w:t>Key worker: 1/wk.</w:t>
            </w:r>
          </w:p>
          <w:p w14:paraId="45F0B152" w14:textId="77777777" w:rsidR="00D66212" w:rsidRPr="00D66212" w:rsidRDefault="00D66212" w:rsidP="00473AA0">
            <w:pPr>
              <w:pStyle w:val="Tablebody"/>
            </w:pPr>
            <w:r w:rsidRPr="00D66212">
              <w:t>Dietitian: 1/wk.</w:t>
            </w:r>
          </w:p>
          <w:p w14:paraId="3DCF62EB" w14:textId="77777777" w:rsidR="00D66212" w:rsidRPr="00D66212" w:rsidRDefault="00D66212" w:rsidP="00473AA0">
            <w:pPr>
              <w:pStyle w:val="Tablebody"/>
            </w:pPr>
            <w:r w:rsidRPr="00D66212">
              <w:t>Psychiatrist: As required</w:t>
            </w:r>
          </w:p>
          <w:p w14:paraId="581299D3" w14:textId="77777777" w:rsidR="00D66212" w:rsidRPr="00D66212" w:rsidRDefault="00D66212" w:rsidP="00473AA0">
            <w:pPr>
              <w:pStyle w:val="Tablebody"/>
            </w:pPr>
            <w:r w:rsidRPr="00D66212">
              <w:t>Medical: As required</w:t>
            </w:r>
          </w:p>
          <w:p w14:paraId="5CA4264B" w14:textId="77777777" w:rsidR="00D66212" w:rsidRPr="00D66212" w:rsidRDefault="00D66212" w:rsidP="00473AA0">
            <w:pPr>
              <w:pStyle w:val="Tablebody"/>
            </w:pPr>
          </w:p>
        </w:tc>
        <w:tc>
          <w:tcPr>
            <w:tcW w:w="567" w:type="pct"/>
            <w:tcBorders>
              <w:top w:val="single" w:sz="6" w:space="0" w:color="auto"/>
              <w:left w:val="single" w:sz="6" w:space="0" w:color="auto"/>
              <w:bottom w:val="single" w:sz="6" w:space="0" w:color="auto"/>
              <w:right w:val="single" w:sz="6" w:space="0" w:color="auto"/>
            </w:tcBorders>
          </w:tcPr>
          <w:p w14:paraId="205DE1A4" w14:textId="77777777" w:rsidR="00D66212" w:rsidRPr="00D66212" w:rsidRDefault="00D66212" w:rsidP="00473AA0">
            <w:pPr>
              <w:pStyle w:val="Tablebody"/>
            </w:pPr>
            <w:r w:rsidRPr="00D66212">
              <w:t>Completed all stage 3 challenges in care plan</w:t>
            </w:r>
          </w:p>
          <w:p w14:paraId="4CA6149D" w14:textId="77777777" w:rsidR="00D66212" w:rsidRPr="00D66212" w:rsidRDefault="00D66212" w:rsidP="00473AA0">
            <w:pPr>
              <w:pStyle w:val="Tablebody"/>
            </w:pPr>
            <w:r w:rsidRPr="00D66212">
              <w:t>Increased motivation for recovery</w:t>
            </w:r>
          </w:p>
          <w:p w14:paraId="1A71A22E" w14:textId="77777777" w:rsidR="00D66212" w:rsidRPr="00D66212" w:rsidRDefault="00D66212" w:rsidP="00473AA0">
            <w:pPr>
              <w:pStyle w:val="Tablebody"/>
            </w:pPr>
            <w:r w:rsidRPr="00D66212">
              <w:t>Can show recovery leadership (role modelling – increased participation in groups, healthy food behaviours, recovery-oriented discussion)</w:t>
            </w:r>
          </w:p>
          <w:p w14:paraId="14677BB5" w14:textId="77777777" w:rsidR="00D66212" w:rsidRPr="00D66212" w:rsidRDefault="00D66212" w:rsidP="00473AA0">
            <w:pPr>
              <w:pStyle w:val="Tablebody"/>
            </w:pPr>
          </w:p>
          <w:p w14:paraId="61017CAF" w14:textId="77777777" w:rsidR="00D66212" w:rsidRPr="00D66212" w:rsidRDefault="00D66212" w:rsidP="00473AA0">
            <w:pPr>
              <w:pStyle w:val="Tablebody"/>
            </w:pPr>
          </w:p>
        </w:tc>
        <w:tc>
          <w:tcPr>
            <w:tcW w:w="459" w:type="pct"/>
            <w:tcBorders>
              <w:top w:val="single" w:sz="6" w:space="0" w:color="auto"/>
              <w:left w:val="single" w:sz="6" w:space="0" w:color="auto"/>
              <w:bottom w:val="single" w:sz="6" w:space="0" w:color="auto"/>
              <w:right w:val="single" w:sz="6" w:space="0" w:color="auto"/>
            </w:tcBorders>
          </w:tcPr>
          <w:p w14:paraId="11192CAE" w14:textId="77777777" w:rsidR="00D66212" w:rsidRPr="00D66212" w:rsidRDefault="00D66212" w:rsidP="00473AA0">
            <w:pPr>
              <w:pStyle w:val="Tablebody"/>
            </w:pPr>
            <w:r w:rsidRPr="00D66212">
              <w:t xml:space="preserve">MDT minimum two weeks after progression to Stage 3 to determine progression to Stage 4 </w:t>
            </w:r>
          </w:p>
          <w:p w14:paraId="0DD3C04B" w14:textId="77777777" w:rsidR="00D66212" w:rsidRPr="00D66212" w:rsidRDefault="00D66212" w:rsidP="00473AA0">
            <w:pPr>
              <w:pStyle w:val="Tablebody"/>
            </w:pPr>
          </w:p>
          <w:p w14:paraId="0F84AFC0" w14:textId="77777777" w:rsidR="00D66212" w:rsidRPr="00D66212" w:rsidRDefault="00D66212" w:rsidP="00473AA0">
            <w:pPr>
              <w:pStyle w:val="Tablebody"/>
            </w:pPr>
          </w:p>
        </w:tc>
      </w:tr>
      <w:tr w:rsidR="00473AA0" w:rsidRPr="00D66212" w14:paraId="6B9B94A6"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6C0B2C98" w14:textId="77777777" w:rsidR="00D66212" w:rsidRPr="009055A1" w:rsidRDefault="00D66212" w:rsidP="00473AA0">
            <w:pPr>
              <w:pStyle w:val="Tablebody"/>
            </w:pPr>
            <w:r w:rsidRPr="009055A1">
              <w:t>Stage 4 </w:t>
            </w:r>
          </w:p>
          <w:p w14:paraId="58EF828C" w14:textId="0CF7E217" w:rsidR="00F22B11" w:rsidRPr="00D66212" w:rsidRDefault="00F22B11" w:rsidP="00473AA0">
            <w:pPr>
              <w:pStyle w:val="Tablebody"/>
            </w:pPr>
            <w:r w:rsidRPr="009055A1">
              <w:t>(</w:t>
            </w:r>
            <w:r w:rsidR="009055A1" w:rsidRPr="009055A1">
              <w:t>C</w:t>
            </w:r>
            <w:r w:rsidRPr="009055A1">
              <w:t>onnection)</w:t>
            </w: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77702493" w14:textId="77777777" w:rsidR="00D66212" w:rsidRPr="00D66212" w:rsidRDefault="00D66212" w:rsidP="00473AA0">
            <w:pPr>
              <w:pStyle w:val="Tablebody"/>
            </w:pPr>
            <w:r w:rsidRPr="00D66212">
              <w:t> Instil independence and prepare for step down from residential.</w:t>
            </w: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243814F0" w14:textId="77777777" w:rsidR="00D66212" w:rsidRPr="00D66212" w:rsidRDefault="00D66212" w:rsidP="00473AA0">
            <w:pPr>
              <w:pStyle w:val="Tablebody"/>
            </w:pPr>
            <w:r w:rsidRPr="00D66212">
              <w:t xml:space="preserve"> Increased role of participant in food choices, to support independent eating post discharge. </w:t>
            </w:r>
          </w:p>
          <w:p w14:paraId="168806A5" w14:textId="77777777" w:rsidR="00D66212" w:rsidRPr="00D66212" w:rsidRDefault="00D66212" w:rsidP="00473AA0">
            <w:pPr>
              <w:pStyle w:val="Tablebody"/>
            </w:pPr>
            <w:r w:rsidRPr="00D66212">
              <w:t>Select foods not on the menu</w:t>
            </w:r>
          </w:p>
          <w:p w14:paraId="7B73980B" w14:textId="77777777" w:rsidR="00D66212" w:rsidRPr="00D66212" w:rsidRDefault="00D66212" w:rsidP="00473AA0">
            <w:pPr>
              <w:pStyle w:val="Tablebody"/>
            </w:pPr>
            <w:r w:rsidRPr="00D66212">
              <w:t>Nil post meal supervision - remain in therapy wing as centre staff need to continue to support others – prior to supporting leave requirements</w:t>
            </w:r>
          </w:p>
          <w:p w14:paraId="1C9CCF5D" w14:textId="77777777" w:rsidR="00D66212" w:rsidRPr="00D66212" w:rsidRDefault="00D66212" w:rsidP="00473AA0">
            <w:pPr>
              <w:pStyle w:val="Tablebody"/>
            </w:pP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46CBF5E1" w14:textId="77777777" w:rsidR="00D66212" w:rsidRPr="00D66212" w:rsidRDefault="00D66212" w:rsidP="00473AA0">
            <w:pPr>
              <w:pStyle w:val="Tablebody"/>
            </w:pPr>
            <w:r w:rsidRPr="00D66212">
              <w:t> Maintain regular and adequate eating</w:t>
            </w:r>
          </w:p>
          <w:p w14:paraId="19A4A370" w14:textId="77777777" w:rsidR="00D66212" w:rsidRPr="00D66212" w:rsidRDefault="00D66212" w:rsidP="00473AA0">
            <w:pPr>
              <w:pStyle w:val="Tablebody"/>
            </w:pPr>
            <w:r w:rsidRPr="00D66212">
              <w:t>Increased mastery over food and meal preparation</w:t>
            </w:r>
          </w:p>
          <w:p w14:paraId="5C1ECC56" w14:textId="77777777" w:rsidR="00D66212" w:rsidRPr="00D66212" w:rsidRDefault="00D66212" w:rsidP="00473AA0">
            <w:pPr>
              <w:pStyle w:val="Tablebody"/>
            </w:pPr>
            <w:r w:rsidRPr="00D66212">
              <w:t>Successful completion of stage challenges to minimise or cease ritualistic eating disorder behaviours</w:t>
            </w:r>
          </w:p>
          <w:p w14:paraId="2491F87A" w14:textId="77777777" w:rsidR="00D66212" w:rsidRPr="00D66212" w:rsidRDefault="00D66212" w:rsidP="00473AA0">
            <w:pPr>
              <w:pStyle w:val="Tablebody"/>
            </w:pPr>
            <w:r w:rsidRPr="00D66212">
              <w:t>Successful completion of stage challenges to reduce or cease compensatory behaviours</w:t>
            </w:r>
          </w:p>
          <w:p w14:paraId="0EF6361E" w14:textId="77777777" w:rsidR="00D66212" w:rsidRPr="00D66212" w:rsidRDefault="00D66212" w:rsidP="00473AA0">
            <w:pPr>
              <w:pStyle w:val="Tablebody"/>
            </w:pPr>
            <w:r w:rsidRPr="00D66212">
              <w:t>Evidenced by EDRTC Stage care plan</w:t>
            </w:r>
          </w:p>
          <w:p w14:paraId="1686CF8E" w14:textId="77777777" w:rsidR="00D66212" w:rsidRPr="00D66212" w:rsidRDefault="00D66212" w:rsidP="00473AA0">
            <w:pPr>
              <w:pStyle w:val="Tablebody"/>
            </w:pPr>
            <w:r w:rsidRPr="00D66212">
              <w:t>Role modelling recovery orientated behaviours and leadership in groups</w:t>
            </w:r>
          </w:p>
        </w:tc>
        <w:tc>
          <w:tcPr>
            <w:tcW w:w="408" w:type="pct"/>
            <w:tcBorders>
              <w:top w:val="single" w:sz="6" w:space="0" w:color="auto"/>
              <w:left w:val="single" w:sz="6" w:space="0" w:color="auto"/>
              <w:bottom w:val="single" w:sz="6" w:space="0" w:color="auto"/>
              <w:right w:val="single" w:sz="6" w:space="0" w:color="auto"/>
            </w:tcBorders>
          </w:tcPr>
          <w:p w14:paraId="4CD525F8" w14:textId="77777777" w:rsidR="00D66212" w:rsidRPr="00D66212" w:rsidRDefault="00D66212" w:rsidP="00473AA0">
            <w:pPr>
              <w:pStyle w:val="Tablebody"/>
            </w:pPr>
            <w:r w:rsidRPr="00D66212">
              <w:t>As per movement plan or care plan goals.</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281E7B74" w14:textId="77777777" w:rsidR="00D66212" w:rsidRPr="00D66212" w:rsidRDefault="00D66212" w:rsidP="00473AA0">
            <w:pPr>
              <w:pStyle w:val="Tablebody"/>
            </w:pPr>
            <w:r w:rsidRPr="00D66212">
              <w:t>Observations as per ARC</w:t>
            </w:r>
          </w:p>
          <w:p w14:paraId="3472DB3F" w14:textId="77777777" w:rsidR="00D66212" w:rsidRPr="00D66212" w:rsidRDefault="00D66212" w:rsidP="00473AA0">
            <w:pPr>
              <w:pStyle w:val="Tablebody"/>
            </w:pPr>
            <w:r w:rsidRPr="00D66212">
              <w:t>Unaccompanied leave during visiting hours as per stage 3</w:t>
            </w:r>
          </w:p>
          <w:p w14:paraId="3551CC04" w14:textId="77777777" w:rsidR="00D66212" w:rsidRPr="00D66212" w:rsidRDefault="00D66212" w:rsidP="00473AA0">
            <w:pPr>
              <w:pStyle w:val="Tablebody"/>
            </w:pPr>
          </w:p>
          <w:p w14:paraId="1E0C7DE9" w14:textId="77777777" w:rsidR="00D66212" w:rsidRPr="00D66212" w:rsidRDefault="00D66212" w:rsidP="00473AA0">
            <w:pPr>
              <w:pStyle w:val="Tablebody"/>
            </w:pPr>
            <w:r w:rsidRPr="00D66212">
              <w:t>Therapeutic leave- Negotiated on case-by-case basis – may include extended day leave, overnight, and weekend leave planned one week in advance and documented on plan and in medical record.</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60471FEB" w14:textId="77777777" w:rsidR="00D66212" w:rsidRPr="00D66212" w:rsidRDefault="00D66212" w:rsidP="00473AA0">
            <w:pPr>
              <w:pStyle w:val="Tablebody"/>
            </w:pPr>
            <w:r w:rsidRPr="00D66212">
              <w:t>Attend groups when not on leave and take leadership role in groups.</w:t>
            </w: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23A07721" w14:textId="77777777" w:rsidR="00D66212" w:rsidRPr="00D66212" w:rsidRDefault="00D66212" w:rsidP="00473AA0">
            <w:pPr>
              <w:pStyle w:val="Tablebody"/>
            </w:pPr>
            <w:r w:rsidRPr="00D66212">
              <w:t>MH Clinician: 1/wk</w:t>
            </w:r>
          </w:p>
          <w:p w14:paraId="5E06F106" w14:textId="77777777" w:rsidR="00D66212" w:rsidRPr="00D66212" w:rsidRDefault="00D66212" w:rsidP="00473AA0">
            <w:pPr>
              <w:pStyle w:val="Tablebody"/>
            </w:pPr>
            <w:r w:rsidRPr="00D66212">
              <w:t>Key worker: 1/wk. Attend final session to discuss relapse prevention.</w:t>
            </w:r>
          </w:p>
          <w:p w14:paraId="4B594A52" w14:textId="77777777" w:rsidR="00D66212" w:rsidRPr="00D66212" w:rsidRDefault="00D66212" w:rsidP="00473AA0">
            <w:pPr>
              <w:pStyle w:val="Tablebody"/>
            </w:pPr>
            <w:r w:rsidRPr="00D66212">
              <w:t>Dietitian: As required. Attend final session to discuss guidance for meals at home</w:t>
            </w:r>
          </w:p>
          <w:p w14:paraId="3B850F25" w14:textId="77777777" w:rsidR="00D66212" w:rsidRPr="00D66212" w:rsidRDefault="00D66212" w:rsidP="00473AA0">
            <w:pPr>
              <w:pStyle w:val="Tablebody"/>
            </w:pPr>
            <w:r w:rsidRPr="00D66212">
              <w:t>Psychiatrist: As required</w:t>
            </w:r>
          </w:p>
          <w:p w14:paraId="7AA2D2BC" w14:textId="77777777" w:rsidR="00D66212" w:rsidRPr="00D66212" w:rsidRDefault="00D66212" w:rsidP="00473AA0">
            <w:pPr>
              <w:pStyle w:val="Tablebody"/>
            </w:pPr>
            <w:r w:rsidRPr="00D66212">
              <w:t>Medical: As required.</w:t>
            </w:r>
          </w:p>
          <w:p w14:paraId="537B5D66" w14:textId="77777777" w:rsidR="00D66212" w:rsidRPr="00D66212" w:rsidRDefault="00D66212" w:rsidP="00473AA0">
            <w:pPr>
              <w:pStyle w:val="Tablebody"/>
            </w:pPr>
            <w:r w:rsidRPr="00D66212">
              <w:t xml:space="preserve">Engagement with outpatient team: As required </w:t>
            </w:r>
          </w:p>
        </w:tc>
        <w:tc>
          <w:tcPr>
            <w:tcW w:w="567" w:type="pct"/>
            <w:tcBorders>
              <w:top w:val="single" w:sz="6" w:space="0" w:color="auto"/>
              <w:left w:val="single" w:sz="6" w:space="0" w:color="auto"/>
              <w:bottom w:val="single" w:sz="6" w:space="0" w:color="auto"/>
              <w:right w:val="single" w:sz="6" w:space="0" w:color="auto"/>
            </w:tcBorders>
          </w:tcPr>
          <w:p w14:paraId="3EBAE97F" w14:textId="77777777" w:rsidR="00D66212" w:rsidRPr="00D66212" w:rsidRDefault="00D66212" w:rsidP="00473AA0">
            <w:pPr>
              <w:pStyle w:val="Tablebody"/>
            </w:pPr>
            <w:r w:rsidRPr="00D66212">
              <w:t xml:space="preserve"> Mastery over challenges presented </w:t>
            </w:r>
          </w:p>
          <w:p w14:paraId="239C8601" w14:textId="77777777" w:rsidR="00D66212" w:rsidRPr="00D66212" w:rsidRDefault="00D66212" w:rsidP="00473AA0">
            <w:pPr>
              <w:pStyle w:val="Tablebody"/>
            </w:pPr>
            <w:r w:rsidRPr="00D66212">
              <w:t xml:space="preserve">Role models recovery </w:t>
            </w:r>
          </w:p>
          <w:p w14:paraId="46CD982C" w14:textId="77777777" w:rsidR="00D66212" w:rsidRPr="00D66212" w:rsidRDefault="00D66212" w:rsidP="00473AA0">
            <w:pPr>
              <w:pStyle w:val="Tablebody"/>
            </w:pPr>
            <w:r w:rsidRPr="00D66212">
              <w:t>Recovery focused in actions and conversations, including plans for returning home and relapse prevention planning</w:t>
            </w:r>
          </w:p>
          <w:p w14:paraId="5853B895" w14:textId="77777777" w:rsidR="00D66212" w:rsidRPr="00D66212" w:rsidRDefault="00D66212" w:rsidP="00473AA0">
            <w:pPr>
              <w:pStyle w:val="Tablebody"/>
            </w:pPr>
          </w:p>
        </w:tc>
        <w:tc>
          <w:tcPr>
            <w:tcW w:w="459" w:type="pct"/>
            <w:tcBorders>
              <w:top w:val="single" w:sz="6" w:space="0" w:color="auto"/>
              <w:left w:val="single" w:sz="6" w:space="0" w:color="auto"/>
              <w:bottom w:val="single" w:sz="6" w:space="0" w:color="auto"/>
              <w:right w:val="single" w:sz="6" w:space="0" w:color="auto"/>
            </w:tcBorders>
          </w:tcPr>
          <w:p w14:paraId="1EDD1BD9" w14:textId="77777777" w:rsidR="00D66212" w:rsidRPr="00D66212" w:rsidRDefault="00D66212" w:rsidP="00473AA0">
            <w:pPr>
              <w:pStyle w:val="Tablebody"/>
            </w:pPr>
            <w:r w:rsidRPr="00D66212">
              <w:t xml:space="preserve">MDT minimum two weeks after progression to Stage 4 to determine progression to Graduation Stage  </w:t>
            </w:r>
          </w:p>
          <w:p w14:paraId="23822701" w14:textId="77777777" w:rsidR="00D66212" w:rsidRPr="00D66212" w:rsidRDefault="00D66212" w:rsidP="00473AA0">
            <w:pPr>
              <w:pStyle w:val="Tablebody"/>
            </w:pPr>
          </w:p>
          <w:p w14:paraId="531F1CAA" w14:textId="77777777" w:rsidR="00D66212" w:rsidRPr="00D66212" w:rsidRDefault="00D66212" w:rsidP="00473AA0">
            <w:pPr>
              <w:pStyle w:val="Tablebody"/>
            </w:pPr>
            <w:r w:rsidRPr="00D66212">
              <w:t>Invite outpatient supports to MDT.</w:t>
            </w:r>
          </w:p>
        </w:tc>
      </w:tr>
      <w:tr w:rsidR="00473AA0" w:rsidRPr="00D66212" w14:paraId="18B487D6" w14:textId="77777777" w:rsidTr="00473AA0">
        <w:trPr>
          <w:trHeight w:val="404"/>
        </w:trPr>
        <w:tc>
          <w:tcPr>
            <w:tcW w:w="479" w:type="pct"/>
            <w:tcBorders>
              <w:top w:val="single" w:sz="6" w:space="0" w:color="auto"/>
              <w:left w:val="single" w:sz="6" w:space="0" w:color="auto"/>
              <w:bottom w:val="single" w:sz="6" w:space="0" w:color="auto"/>
              <w:right w:val="single" w:sz="6" w:space="0" w:color="auto"/>
            </w:tcBorders>
            <w:shd w:val="clear" w:color="auto" w:fill="auto"/>
            <w:hideMark/>
          </w:tcPr>
          <w:p w14:paraId="4AA29DEA" w14:textId="77777777" w:rsidR="00D66212" w:rsidRPr="00D66212" w:rsidRDefault="00D66212" w:rsidP="00473AA0">
            <w:pPr>
              <w:pStyle w:val="Tablebody"/>
            </w:pPr>
            <w:r w:rsidRPr="00D66212">
              <w:t>Graduation</w:t>
            </w:r>
          </w:p>
        </w:tc>
        <w:tc>
          <w:tcPr>
            <w:tcW w:w="480" w:type="pct"/>
            <w:tcBorders>
              <w:top w:val="single" w:sz="6" w:space="0" w:color="auto"/>
              <w:left w:val="single" w:sz="6" w:space="0" w:color="auto"/>
              <w:bottom w:val="single" w:sz="6" w:space="0" w:color="auto"/>
              <w:right w:val="single" w:sz="6" w:space="0" w:color="auto"/>
            </w:tcBorders>
            <w:shd w:val="clear" w:color="auto" w:fill="auto"/>
            <w:hideMark/>
          </w:tcPr>
          <w:p w14:paraId="5B90EC5A" w14:textId="77777777" w:rsidR="00D66212" w:rsidRPr="00D66212" w:rsidRDefault="00D66212" w:rsidP="00473AA0">
            <w:pPr>
              <w:pStyle w:val="Tablebody"/>
            </w:pPr>
            <w:r w:rsidRPr="00D66212">
              <w:t>Prepare to step down to a lower level of care </w:t>
            </w:r>
          </w:p>
        </w:tc>
        <w:tc>
          <w:tcPr>
            <w:tcW w:w="606" w:type="pct"/>
            <w:tcBorders>
              <w:top w:val="single" w:sz="6" w:space="0" w:color="auto"/>
              <w:left w:val="single" w:sz="6" w:space="0" w:color="auto"/>
              <w:bottom w:val="single" w:sz="6" w:space="0" w:color="auto"/>
              <w:right w:val="single" w:sz="6" w:space="0" w:color="auto"/>
            </w:tcBorders>
            <w:shd w:val="clear" w:color="auto" w:fill="auto"/>
            <w:hideMark/>
          </w:tcPr>
          <w:p w14:paraId="61C82A6F" w14:textId="77777777" w:rsidR="00D66212" w:rsidRPr="00D66212" w:rsidRDefault="00D66212" w:rsidP="00473AA0">
            <w:pPr>
              <w:pStyle w:val="Tablebody"/>
            </w:pPr>
            <w:r w:rsidRPr="00D66212">
              <w:t> To be determined with MDT dependent on current stage of care and treatment goals</w:t>
            </w:r>
          </w:p>
        </w:tc>
        <w:tc>
          <w:tcPr>
            <w:tcW w:w="489" w:type="pct"/>
            <w:tcBorders>
              <w:top w:val="single" w:sz="6" w:space="0" w:color="auto"/>
              <w:left w:val="single" w:sz="6" w:space="0" w:color="auto"/>
              <w:bottom w:val="single" w:sz="6" w:space="0" w:color="auto"/>
              <w:right w:val="single" w:sz="6" w:space="0" w:color="auto"/>
            </w:tcBorders>
            <w:shd w:val="clear" w:color="auto" w:fill="auto"/>
            <w:hideMark/>
          </w:tcPr>
          <w:p w14:paraId="5710DA2F" w14:textId="77777777" w:rsidR="00D66212" w:rsidRPr="00D66212" w:rsidRDefault="00D66212" w:rsidP="00473AA0">
            <w:pPr>
              <w:pStyle w:val="Tablebody"/>
            </w:pPr>
            <w:r w:rsidRPr="00D66212">
              <w:t> To be determined with MDT dependent on current stage of care and treatment goals</w:t>
            </w:r>
          </w:p>
        </w:tc>
        <w:tc>
          <w:tcPr>
            <w:tcW w:w="408" w:type="pct"/>
            <w:tcBorders>
              <w:top w:val="single" w:sz="6" w:space="0" w:color="auto"/>
              <w:left w:val="single" w:sz="6" w:space="0" w:color="auto"/>
              <w:bottom w:val="single" w:sz="6" w:space="0" w:color="auto"/>
              <w:right w:val="single" w:sz="6" w:space="0" w:color="auto"/>
            </w:tcBorders>
          </w:tcPr>
          <w:p w14:paraId="3C8F3290" w14:textId="77777777" w:rsidR="00D66212" w:rsidRPr="00D66212" w:rsidRDefault="00D66212" w:rsidP="00473AA0">
            <w:pPr>
              <w:pStyle w:val="Tablebody"/>
            </w:pPr>
            <w:r w:rsidRPr="00D66212">
              <w:t>To be determined with MDT dependent on current stage of care and treatment goals</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14:paraId="5C9390F5" w14:textId="77777777" w:rsidR="00D66212" w:rsidRPr="00D66212" w:rsidRDefault="00D66212" w:rsidP="00473AA0">
            <w:pPr>
              <w:pStyle w:val="Tablebody"/>
            </w:pPr>
            <w:r w:rsidRPr="00D66212">
              <w:t>To be determined with MDT dependent on current stage of care and treatment goals</w:t>
            </w:r>
          </w:p>
        </w:tc>
        <w:tc>
          <w:tcPr>
            <w:tcW w:w="421" w:type="pct"/>
            <w:tcBorders>
              <w:top w:val="single" w:sz="6" w:space="0" w:color="auto"/>
              <w:left w:val="single" w:sz="6" w:space="0" w:color="auto"/>
              <w:bottom w:val="single" w:sz="6" w:space="0" w:color="auto"/>
              <w:right w:val="single" w:sz="6" w:space="0" w:color="auto"/>
            </w:tcBorders>
            <w:shd w:val="clear" w:color="auto" w:fill="auto"/>
            <w:hideMark/>
          </w:tcPr>
          <w:p w14:paraId="242CEE42" w14:textId="77777777" w:rsidR="00D66212" w:rsidRPr="00D66212" w:rsidRDefault="00D66212" w:rsidP="00473AA0">
            <w:pPr>
              <w:pStyle w:val="Tablebody"/>
            </w:pPr>
            <w:r w:rsidRPr="00D66212">
              <w:t>To be determined with MDT dependent on current stage of care and treatment goals</w:t>
            </w:r>
          </w:p>
        </w:tc>
        <w:tc>
          <w:tcPr>
            <w:tcW w:w="518" w:type="pct"/>
            <w:tcBorders>
              <w:top w:val="single" w:sz="6" w:space="0" w:color="auto"/>
              <w:left w:val="single" w:sz="6" w:space="0" w:color="auto"/>
              <w:bottom w:val="single" w:sz="6" w:space="0" w:color="auto"/>
              <w:right w:val="single" w:sz="6" w:space="0" w:color="auto"/>
            </w:tcBorders>
            <w:shd w:val="clear" w:color="auto" w:fill="auto"/>
            <w:hideMark/>
          </w:tcPr>
          <w:p w14:paraId="6ABD18FD" w14:textId="77777777" w:rsidR="00D66212" w:rsidRPr="00D66212" w:rsidRDefault="00D66212" w:rsidP="00473AA0">
            <w:pPr>
              <w:pStyle w:val="Tablebody"/>
            </w:pPr>
            <w:r w:rsidRPr="00D66212">
              <w:t>MH Clinician: Attend Final session</w:t>
            </w:r>
          </w:p>
          <w:p w14:paraId="737498E5" w14:textId="77777777" w:rsidR="00D66212" w:rsidRPr="00D66212" w:rsidRDefault="00D66212" w:rsidP="00473AA0">
            <w:pPr>
              <w:pStyle w:val="Tablebody"/>
            </w:pPr>
            <w:r w:rsidRPr="00D66212">
              <w:t>Key worker:  Attend final session to discuss relapse prevention.</w:t>
            </w:r>
          </w:p>
          <w:p w14:paraId="5B1A741D" w14:textId="77777777" w:rsidR="00D66212" w:rsidRPr="00D66212" w:rsidRDefault="00D66212" w:rsidP="00473AA0">
            <w:pPr>
              <w:pStyle w:val="Tablebody"/>
            </w:pPr>
            <w:r w:rsidRPr="00D66212">
              <w:t>Dietitian: Attend final session to discuss guidance for meals at home</w:t>
            </w:r>
          </w:p>
          <w:p w14:paraId="20E55E2B" w14:textId="77777777" w:rsidR="00D66212" w:rsidRPr="00D66212" w:rsidRDefault="00D66212" w:rsidP="00473AA0">
            <w:pPr>
              <w:pStyle w:val="Tablebody"/>
            </w:pPr>
            <w:r w:rsidRPr="00D66212">
              <w:t>Psychiatrist: Final appointment</w:t>
            </w:r>
          </w:p>
          <w:p w14:paraId="1A5A6519" w14:textId="77777777" w:rsidR="00D66212" w:rsidRPr="00D66212" w:rsidRDefault="00D66212" w:rsidP="00473AA0">
            <w:pPr>
              <w:pStyle w:val="Tablebody"/>
            </w:pPr>
            <w:r w:rsidRPr="00D66212">
              <w:t>Medical: Final appointment – with review of physical health information for GP, Book discharge GP appointment</w:t>
            </w:r>
          </w:p>
          <w:p w14:paraId="18E542E1" w14:textId="77777777" w:rsidR="00D66212" w:rsidRPr="00D66212" w:rsidRDefault="00D66212" w:rsidP="00473AA0">
            <w:pPr>
              <w:pStyle w:val="Tablebody"/>
            </w:pPr>
            <w:r w:rsidRPr="00D66212">
              <w:t xml:space="preserve">Engagement with outpatient team: As required </w:t>
            </w:r>
          </w:p>
        </w:tc>
        <w:tc>
          <w:tcPr>
            <w:tcW w:w="567" w:type="pct"/>
            <w:tcBorders>
              <w:top w:val="single" w:sz="6" w:space="0" w:color="auto"/>
              <w:left w:val="single" w:sz="6" w:space="0" w:color="auto"/>
              <w:bottom w:val="single" w:sz="6" w:space="0" w:color="auto"/>
              <w:right w:val="single" w:sz="6" w:space="0" w:color="auto"/>
            </w:tcBorders>
          </w:tcPr>
          <w:p w14:paraId="2E438090" w14:textId="77777777" w:rsidR="00D66212" w:rsidRPr="00D66212" w:rsidRDefault="00D66212" w:rsidP="00473AA0">
            <w:pPr>
              <w:pStyle w:val="Tablebody"/>
            </w:pPr>
            <w:r w:rsidRPr="00D66212">
              <w:t>Early discharge – planning and handover outpatient team</w:t>
            </w:r>
          </w:p>
          <w:p w14:paraId="6EA7F172" w14:textId="77777777" w:rsidR="00D66212" w:rsidRPr="00D66212" w:rsidRDefault="00D66212" w:rsidP="00473AA0">
            <w:pPr>
              <w:pStyle w:val="Tablebody"/>
            </w:pPr>
            <w:r w:rsidRPr="00D66212">
              <w:t>Graduation – planned</w:t>
            </w:r>
          </w:p>
        </w:tc>
        <w:tc>
          <w:tcPr>
            <w:tcW w:w="459" w:type="pct"/>
            <w:tcBorders>
              <w:top w:val="single" w:sz="6" w:space="0" w:color="auto"/>
              <w:left w:val="single" w:sz="6" w:space="0" w:color="auto"/>
              <w:bottom w:val="single" w:sz="6" w:space="0" w:color="auto"/>
              <w:right w:val="single" w:sz="6" w:space="0" w:color="auto"/>
            </w:tcBorders>
          </w:tcPr>
          <w:p w14:paraId="3BE69A26" w14:textId="77777777" w:rsidR="00D66212" w:rsidRPr="00D66212" w:rsidRDefault="00D66212" w:rsidP="00473AA0">
            <w:pPr>
              <w:pStyle w:val="Tablebody"/>
            </w:pPr>
            <w:r w:rsidRPr="00D66212">
              <w:t>Graduation/ Discharge  MDT for closure and discharge plan review</w:t>
            </w:r>
          </w:p>
        </w:tc>
      </w:tr>
    </w:tbl>
    <w:p w14:paraId="4DFDCB26" w14:textId="77777777" w:rsidR="008837E3" w:rsidRDefault="008837E3" w:rsidP="00473AA0">
      <w:pPr>
        <w:pStyle w:val="Tablebody"/>
      </w:pPr>
    </w:p>
    <w:p w14:paraId="779F8707" w14:textId="77777777" w:rsidR="00007399" w:rsidRDefault="00007399">
      <w:pPr>
        <w:spacing w:before="0" w:after="0" w:line="240" w:lineRule="auto"/>
        <w:sectPr w:rsidR="00007399" w:rsidSect="00007399">
          <w:pgSz w:w="16838" w:h="11906" w:orient="landscape" w:code="9"/>
          <w:pgMar w:top="851" w:right="970" w:bottom="1134" w:left="1134" w:header="284" w:footer="51" w:gutter="0"/>
          <w:cols w:space="708"/>
          <w:titlePg/>
          <w:docGrid w:linePitch="360"/>
        </w:sectPr>
      </w:pPr>
    </w:p>
    <w:p w14:paraId="4B60AA05" w14:textId="77777777" w:rsidR="008837E3" w:rsidRDefault="008837E3">
      <w:pPr>
        <w:spacing w:before="0" w:after="0" w:line="240" w:lineRule="auto"/>
      </w:pPr>
    </w:p>
    <w:p w14:paraId="7CEC75D0" w14:textId="6B7CC50B" w:rsidR="004D75E2" w:rsidRPr="009A5010" w:rsidRDefault="004D75E2" w:rsidP="004D75E2">
      <w:pPr>
        <w:pStyle w:val="Heading4"/>
      </w:pPr>
      <w:bookmarkStart w:id="43" w:name="_Toc201246949"/>
      <w:r>
        <w:t xml:space="preserve">Attachment </w:t>
      </w:r>
      <w:r w:rsidR="002D77D6">
        <w:t>B</w:t>
      </w:r>
      <w:r>
        <w:t xml:space="preserve">- </w:t>
      </w:r>
      <w:r w:rsidR="00EC76EA">
        <w:t>Weekly therapy schedule example</w:t>
      </w:r>
      <w:bookmarkEnd w:id="43"/>
    </w:p>
    <w:p w14:paraId="1011C8FC" w14:textId="77A22752" w:rsidR="00FF4B2C" w:rsidRDefault="00ED7D5D" w:rsidP="00201AF6">
      <w:pPr>
        <w:pStyle w:val="BodyCopy"/>
      </w:pPr>
      <w:r>
        <w:t xml:space="preserve">Example weekly schedule </w:t>
      </w:r>
    </w:p>
    <w:tbl>
      <w:tblPr>
        <w:tblStyle w:val="TableGrid"/>
        <w:tblW w:w="14968" w:type="dxa"/>
        <w:tblInd w:w="-3" w:type="dxa"/>
        <w:tblLayout w:type="fixed"/>
        <w:tblLook w:val="04A0" w:firstRow="1" w:lastRow="0" w:firstColumn="1" w:lastColumn="0" w:noHBand="0" w:noVBand="1"/>
      </w:tblPr>
      <w:tblGrid>
        <w:gridCol w:w="1413"/>
        <w:gridCol w:w="1984"/>
        <w:gridCol w:w="1843"/>
        <w:gridCol w:w="1985"/>
        <w:gridCol w:w="2130"/>
        <w:gridCol w:w="1871"/>
        <w:gridCol w:w="1871"/>
        <w:gridCol w:w="1871"/>
      </w:tblGrid>
      <w:tr w:rsidR="00604EF2" w14:paraId="61A0FE43" w14:textId="77777777" w:rsidTr="00E120F2">
        <w:trPr>
          <w:tblHeader/>
        </w:trPr>
        <w:tc>
          <w:tcPr>
            <w:tcW w:w="1413" w:type="dxa"/>
            <w:tcBorders>
              <w:top w:val="single" w:sz="6" w:space="0" w:color="000000"/>
              <w:left w:val="single" w:sz="6" w:space="0" w:color="000000"/>
              <w:bottom w:val="single" w:sz="6" w:space="0" w:color="000000"/>
              <w:right w:val="single" w:sz="6" w:space="0" w:color="000000"/>
            </w:tcBorders>
            <w:shd w:val="clear" w:color="auto" w:fill="6E3894" w:themeFill="accent2"/>
          </w:tcPr>
          <w:p w14:paraId="038B165A" w14:textId="2C35EBCA" w:rsidR="00473AA0" w:rsidRPr="00473AA0" w:rsidRDefault="00473AA0" w:rsidP="00473AA0">
            <w:pPr>
              <w:pStyle w:val="Tableheader"/>
            </w:pPr>
            <w:r w:rsidRPr="00473AA0">
              <w:t>Time</w:t>
            </w:r>
          </w:p>
        </w:tc>
        <w:tc>
          <w:tcPr>
            <w:tcW w:w="1984"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43591A32" w14:textId="42919D08" w:rsidR="00473AA0" w:rsidRPr="00473AA0" w:rsidRDefault="00473AA0" w:rsidP="00473AA0">
            <w:pPr>
              <w:pStyle w:val="Tableheader"/>
            </w:pPr>
            <w:r w:rsidRPr="00473AA0">
              <w:t>Monday</w:t>
            </w:r>
          </w:p>
        </w:tc>
        <w:tc>
          <w:tcPr>
            <w:tcW w:w="1843"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4C4EC043" w14:textId="6C299EFD" w:rsidR="00473AA0" w:rsidRPr="00473AA0" w:rsidRDefault="00473AA0" w:rsidP="00473AA0">
            <w:pPr>
              <w:pStyle w:val="Tableheader"/>
            </w:pPr>
            <w:r w:rsidRPr="00473AA0">
              <w:t>Tuesday</w:t>
            </w:r>
          </w:p>
        </w:tc>
        <w:tc>
          <w:tcPr>
            <w:tcW w:w="1985"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0432AADA" w14:textId="12128C22" w:rsidR="00473AA0" w:rsidRPr="00473AA0" w:rsidRDefault="00473AA0" w:rsidP="00473AA0">
            <w:pPr>
              <w:pStyle w:val="Tableheader"/>
            </w:pPr>
            <w:r w:rsidRPr="00473AA0">
              <w:t>Wednesday</w:t>
            </w:r>
          </w:p>
        </w:tc>
        <w:tc>
          <w:tcPr>
            <w:tcW w:w="2130"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26D11EE0" w14:textId="6AA8A213" w:rsidR="00473AA0" w:rsidRPr="00473AA0" w:rsidRDefault="00473AA0" w:rsidP="00473AA0">
            <w:pPr>
              <w:pStyle w:val="Tableheader"/>
            </w:pPr>
            <w:r w:rsidRPr="00473AA0">
              <w:t>Thursday</w:t>
            </w:r>
          </w:p>
        </w:tc>
        <w:tc>
          <w:tcPr>
            <w:tcW w:w="1871"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3F9A3B43" w14:textId="62161200" w:rsidR="00473AA0" w:rsidRPr="00473AA0" w:rsidRDefault="00473AA0" w:rsidP="00473AA0">
            <w:pPr>
              <w:pStyle w:val="Tableheader"/>
            </w:pPr>
            <w:r w:rsidRPr="00473AA0">
              <w:t>Friday</w:t>
            </w:r>
          </w:p>
        </w:tc>
        <w:tc>
          <w:tcPr>
            <w:tcW w:w="1871"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1AE0428C" w14:textId="2A509260" w:rsidR="00473AA0" w:rsidRPr="00473AA0" w:rsidRDefault="00473AA0" w:rsidP="00473AA0">
            <w:pPr>
              <w:pStyle w:val="Tableheader"/>
            </w:pPr>
            <w:r w:rsidRPr="00473AA0">
              <w:t>Saturday</w:t>
            </w:r>
          </w:p>
        </w:tc>
        <w:tc>
          <w:tcPr>
            <w:tcW w:w="1871" w:type="dxa"/>
            <w:tcBorders>
              <w:top w:val="single" w:sz="6" w:space="0" w:color="000000"/>
              <w:left w:val="single" w:sz="6" w:space="0" w:color="000000"/>
              <w:bottom w:val="single" w:sz="6" w:space="0" w:color="000000"/>
              <w:right w:val="single" w:sz="6" w:space="0" w:color="000000"/>
            </w:tcBorders>
            <w:shd w:val="clear" w:color="auto" w:fill="6E3894" w:themeFill="accent2"/>
            <w:vAlign w:val="center"/>
          </w:tcPr>
          <w:p w14:paraId="2865BA18" w14:textId="700C3E3F" w:rsidR="00473AA0" w:rsidRPr="00473AA0" w:rsidRDefault="00473AA0" w:rsidP="00473AA0">
            <w:pPr>
              <w:pStyle w:val="Tableheader"/>
            </w:pPr>
            <w:r w:rsidRPr="00473AA0">
              <w:t>Sunday</w:t>
            </w:r>
          </w:p>
        </w:tc>
      </w:tr>
      <w:tr w:rsidR="009E4C42" w14:paraId="60C92652" w14:textId="77777777" w:rsidTr="00E120F2">
        <w:tc>
          <w:tcPr>
            <w:tcW w:w="1413" w:type="dxa"/>
          </w:tcPr>
          <w:p w14:paraId="390F1550" w14:textId="5CA50B7E" w:rsidR="00473AA0" w:rsidRPr="00473AA0" w:rsidRDefault="00473AA0" w:rsidP="00473AA0">
            <w:pPr>
              <w:pStyle w:val="Tablebody"/>
            </w:pPr>
            <w:r w:rsidRPr="00473AA0">
              <w:t>08:00 - 8:15</w:t>
            </w:r>
          </w:p>
        </w:tc>
        <w:tc>
          <w:tcPr>
            <w:tcW w:w="1984" w:type="dxa"/>
          </w:tcPr>
          <w:p w14:paraId="78473E7B" w14:textId="12C82534" w:rsidR="00473AA0" w:rsidRDefault="00473AA0" w:rsidP="00201AF6">
            <w:pPr>
              <w:pStyle w:val="BodyCopy"/>
            </w:pPr>
            <w:r w:rsidRPr="00473AA0">
              <w:t>Meal Portioning and Plating</w:t>
            </w:r>
          </w:p>
        </w:tc>
        <w:tc>
          <w:tcPr>
            <w:tcW w:w="1843" w:type="dxa"/>
          </w:tcPr>
          <w:p w14:paraId="6034F555" w14:textId="686679BB" w:rsidR="00473AA0" w:rsidRDefault="00473AA0" w:rsidP="00201AF6">
            <w:pPr>
              <w:pStyle w:val="BodyCopy"/>
            </w:pPr>
            <w:r w:rsidRPr="00473AA0">
              <w:t>Meal Portioning and Plating</w:t>
            </w:r>
          </w:p>
        </w:tc>
        <w:tc>
          <w:tcPr>
            <w:tcW w:w="1985" w:type="dxa"/>
          </w:tcPr>
          <w:p w14:paraId="6AB4B96F" w14:textId="3E58F4D8" w:rsidR="00473AA0" w:rsidRDefault="00473AA0" w:rsidP="00201AF6">
            <w:pPr>
              <w:pStyle w:val="BodyCopy"/>
            </w:pPr>
            <w:r w:rsidRPr="00473AA0">
              <w:t>Meal Portioning and Plating</w:t>
            </w:r>
          </w:p>
        </w:tc>
        <w:tc>
          <w:tcPr>
            <w:tcW w:w="2130" w:type="dxa"/>
          </w:tcPr>
          <w:p w14:paraId="323AC552" w14:textId="75B5CA3F" w:rsidR="00473AA0" w:rsidRDefault="00473AA0" w:rsidP="00201AF6">
            <w:pPr>
              <w:pStyle w:val="BodyCopy"/>
            </w:pPr>
            <w:r w:rsidRPr="00473AA0">
              <w:t>Meal Portioning and Plating</w:t>
            </w:r>
          </w:p>
        </w:tc>
        <w:tc>
          <w:tcPr>
            <w:tcW w:w="1871" w:type="dxa"/>
          </w:tcPr>
          <w:p w14:paraId="13B0A725" w14:textId="5A1CD38A" w:rsidR="00473AA0" w:rsidRPr="00473AA0" w:rsidRDefault="00473AA0" w:rsidP="00201AF6">
            <w:pPr>
              <w:pStyle w:val="BodyCopy"/>
              <w:rPr>
                <w:b/>
                <w:bCs w:val="0"/>
              </w:rPr>
            </w:pPr>
            <w:r w:rsidRPr="00473AA0">
              <w:t>Meal Portioning and Plating</w:t>
            </w:r>
          </w:p>
        </w:tc>
        <w:tc>
          <w:tcPr>
            <w:tcW w:w="1871" w:type="dxa"/>
          </w:tcPr>
          <w:p w14:paraId="7B08ED6F" w14:textId="1EEC2A54" w:rsidR="00473AA0" w:rsidRDefault="00473AA0" w:rsidP="00201AF6">
            <w:pPr>
              <w:pStyle w:val="BodyCopy"/>
            </w:pPr>
            <w:r w:rsidRPr="00473AA0">
              <w:t>Meal Portioning and Plating</w:t>
            </w:r>
          </w:p>
        </w:tc>
        <w:tc>
          <w:tcPr>
            <w:tcW w:w="1871" w:type="dxa"/>
          </w:tcPr>
          <w:p w14:paraId="2089C7F8" w14:textId="6520A025" w:rsidR="00473AA0" w:rsidRDefault="00473AA0" w:rsidP="00201AF6">
            <w:pPr>
              <w:pStyle w:val="BodyCopy"/>
            </w:pPr>
            <w:r w:rsidRPr="00473AA0">
              <w:t>Meal Portioning and Plating</w:t>
            </w:r>
          </w:p>
        </w:tc>
      </w:tr>
      <w:tr w:rsidR="00604EF2" w14:paraId="74A78A4F" w14:textId="77777777" w:rsidTr="00E120F2">
        <w:tc>
          <w:tcPr>
            <w:tcW w:w="1413" w:type="dxa"/>
          </w:tcPr>
          <w:p w14:paraId="39D692AE" w14:textId="23A0EA57" w:rsidR="00473AA0" w:rsidRDefault="00473AA0" w:rsidP="00201AF6">
            <w:pPr>
              <w:pStyle w:val="BodyCopy"/>
            </w:pPr>
            <w:r w:rsidRPr="00473AA0">
              <w:t>08:15 – 9:00</w:t>
            </w:r>
          </w:p>
        </w:tc>
        <w:tc>
          <w:tcPr>
            <w:tcW w:w="1984" w:type="dxa"/>
            <w:shd w:val="clear" w:color="auto" w:fill="F172A4" w:themeFill="accent5"/>
          </w:tcPr>
          <w:p w14:paraId="1FCFFE98" w14:textId="4CEA0277" w:rsidR="00473AA0" w:rsidRDefault="00473AA0" w:rsidP="00201AF6">
            <w:pPr>
              <w:pStyle w:val="BodyCopy"/>
            </w:pPr>
            <w:r w:rsidRPr="00473AA0">
              <w:t>Breakfast (including bolus ONS time)</w:t>
            </w:r>
          </w:p>
        </w:tc>
        <w:tc>
          <w:tcPr>
            <w:tcW w:w="1843" w:type="dxa"/>
            <w:shd w:val="clear" w:color="auto" w:fill="F172A4" w:themeFill="accent5"/>
          </w:tcPr>
          <w:p w14:paraId="0966C8CA" w14:textId="1A6B8E04" w:rsidR="00473AA0" w:rsidRDefault="00473AA0" w:rsidP="00201AF6">
            <w:pPr>
              <w:pStyle w:val="BodyCopy"/>
            </w:pPr>
            <w:r w:rsidRPr="00473AA0">
              <w:t>Breakfast (including bolus ONS time)</w:t>
            </w:r>
          </w:p>
        </w:tc>
        <w:tc>
          <w:tcPr>
            <w:tcW w:w="1985" w:type="dxa"/>
            <w:shd w:val="clear" w:color="auto" w:fill="F172A4" w:themeFill="accent5"/>
          </w:tcPr>
          <w:p w14:paraId="4731B05E" w14:textId="129334D2" w:rsidR="00473AA0" w:rsidRDefault="00473AA0" w:rsidP="00201AF6">
            <w:pPr>
              <w:pStyle w:val="BodyCopy"/>
            </w:pPr>
            <w:r w:rsidRPr="00473AA0">
              <w:t>Breakfast (including bolus ONS time)</w:t>
            </w:r>
          </w:p>
        </w:tc>
        <w:tc>
          <w:tcPr>
            <w:tcW w:w="2130" w:type="dxa"/>
            <w:shd w:val="clear" w:color="auto" w:fill="F172A4" w:themeFill="accent5"/>
          </w:tcPr>
          <w:p w14:paraId="5847EED2" w14:textId="0C47DA0A" w:rsidR="00473AA0" w:rsidRDefault="00473AA0" w:rsidP="00201AF6">
            <w:pPr>
              <w:pStyle w:val="BodyCopy"/>
            </w:pPr>
            <w:r w:rsidRPr="00473AA0">
              <w:t>Breakfast (including bolus ONS time)</w:t>
            </w:r>
          </w:p>
        </w:tc>
        <w:tc>
          <w:tcPr>
            <w:tcW w:w="1871" w:type="dxa"/>
            <w:shd w:val="clear" w:color="auto" w:fill="F172A4" w:themeFill="accent5"/>
          </w:tcPr>
          <w:p w14:paraId="5AA1E4F9" w14:textId="4091A49D" w:rsidR="00473AA0" w:rsidRDefault="00473AA0" w:rsidP="00201AF6">
            <w:pPr>
              <w:pStyle w:val="BodyCopy"/>
            </w:pPr>
            <w:r w:rsidRPr="00473AA0">
              <w:t>Breakfast (including bolus ONS time)</w:t>
            </w:r>
          </w:p>
        </w:tc>
        <w:tc>
          <w:tcPr>
            <w:tcW w:w="1871" w:type="dxa"/>
            <w:shd w:val="clear" w:color="auto" w:fill="F172A4" w:themeFill="accent5"/>
          </w:tcPr>
          <w:p w14:paraId="0FDA19DF" w14:textId="5028042A" w:rsidR="00473AA0" w:rsidRDefault="00473AA0" w:rsidP="00201AF6">
            <w:pPr>
              <w:pStyle w:val="BodyCopy"/>
            </w:pPr>
            <w:r w:rsidRPr="00473AA0">
              <w:t>Breakfast (including bolus ONS time)</w:t>
            </w:r>
          </w:p>
        </w:tc>
        <w:tc>
          <w:tcPr>
            <w:tcW w:w="1871" w:type="dxa"/>
            <w:shd w:val="clear" w:color="auto" w:fill="F172A4" w:themeFill="accent5"/>
          </w:tcPr>
          <w:p w14:paraId="3D1F4BB1" w14:textId="51854D82" w:rsidR="00473AA0" w:rsidRDefault="00473AA0" w:rsidP="00201AF6">
            <w:pPr>
              <w:pStyle w:val="BodyCopy"/>
            </w:pPr>
            <w:r w:rsidRPr="00473AA0">
              <w:t>Breakfast (including bolus ONS time)</w:t>
            </w:r>
          </w:p>
        </w:tc>
      </w:tr>
      <w:tr w:rsidR="00604EF2" w14:paraId="745EAE6A" w14:textId="77777777" w:rsidTr="00E120F2">
        <w:tc>
          <w:tcPr>
            <w:tcW w:w="1413" w:type="dxa"/>
          </w:tcPr>
          <w:p w14:paraId="024CEC42" w14:textId="1FCF0F90" w:rsidR="00473AA0" w:rsidRDefault="00473AA0" w:rsidP="00473AA0">
            <w:pPr>
              <w:pStyle w:val="BodyCopy"/>
            </w:pPr>
            <w:r w:rsidRPr="00473AA0">
              <w:t>9:00 - 10:00</w:t>
            </w:r>
          </w:p>
        </w:tc>
        <w:tc>
          <w:tcPr>
            <w:tcW w:w="1984" w:type="dxa"/>
            <w:shd w:val="clear" w:color="auto" w:fill="9AF8A7"/>
            <w:vAlign w:val="center"/>
          </w:tcPr>
          <w:p w14:paraId="5A71DDB4" w14:textId="713EEA8A" w:rsidR="00473AA0" w:rsidRDefault="00473AA0" w:rsidP="009E4C42">
            <w:pPr>
              <w:pStyle w:val="Tablebody"/>
            </w:pPr>
            <w:r>
              <w:t>Music Therapy</w:t>
            </w:r>
          </w:p>
        </w:tc>
        <w:tc>
          <w:tcPr>
            <w:tcW w:w="1843" w:type="dxa"/>
            <w:shd w:val="clear" w:color="auto" w:fill="E2D2EE" w:themeFill="accent2" w:themeFillTint="33"/>
            <w:vAlign w:val="center"/>
          </w:tcPr>
          <w:p w14:paraId="0A04371B" w14:textId="77777777" w:rsidR="00473AA0" w:rsidRPr="00A537B9" w:rsidRDefault="00473AA0" w:rsidP="009E4C42">
            <w:pPr>
              <w:pStyle w:val="Tablebody"/>
            </w:pPr>
            <w:r w:rsidRPr="00A537B9">
              <w:t xml:space="preserve">Walking group </w:t>
            </w:r>
          </w:p>
          <w:p w14:paraId="5D531689" w14:textId="77777777" w:rsidR="00473AA0" w:rsidRDefault="00473AA0" w:rsidP="009E4C42">
            <w:pPr>
              <w:pStyle w:val="Tablebody"/>
            </w:pPr>
          </w:p>
        </w:tc>
        <w:tc>
          <w:tcPr>
            <w:tcW w:w="1985" w:type="dxa"/>
            <w:shd w:val="clear" w:color="auto" w:fill="E2D2EE" w:themeFill="accent2" w:themeFillTint="33"/>
            <w:vAlign w:val="center"/>
          </w:tcPr>
          <w:p w14:paraId="57945EEF" w14:textId="5EC2C080" w:rsidR="00473AA0" w:rsidRDefault="00473AA0" w:rsidP="009E4C42">
            <w:pPr>
              <w:pStyle w:val="Tablebody"/>
            </w:pPr>
            <w:r w:rsidRPr="2A6F0077">
              <w:t xml:space="preserve"> Stretching session </w:t>
            </w:r>
          </w:p>
        </w:tc>
        <w:tc>
          <w:tcPr>
            <w:tcW w:w="2130" w:type="dxa"/>
            <w:shd w:val="clear" w:color="auto" w:fill="D2F2FA" w:themeFill="accent4" w:themeFillTint="33"/>
            <w:vAlign w:val="center"/>
          </w:tcPr>
          <w:p w14:paraId="720AD681" w14:textId="705FE974" w:rsidR="00473AA0" w:rsidRDefault="00473AA0" w:rsidP="009E4C42">
            <w:pPr>
              <w:pStyle w:val="Tablebody"/>
            </w:pPr>
            <w:r w:rsidRPr="00A537B9">
              <w:rPr>
                <w:rFonts w:cstheme="minorHAnsi"/>
              </w:rPr>
              <w:t>Physical</w:t>
            </w:r>
            <w:r>
              <w:rPr>
                <w:rFonts w:cstheme="minorHAnsi"/>
              </w:rPr>
              <w:t xml:space="preserve"> H</w:t>
            </w:r>
            <w:r w:rsidRPr="00A537B9">
              <w:rPr>
                <w:rFonts w:cstheme="minorHAnsi"/>
              </w:rPr>
              <w:t xml:space="preserve">ealth  </w:t>
            </w:r>
          </w:p>
        </w:tc>
        <w:tc>
          <w:tcPr>
            <w:tcW w:w="1871" w:type="dxa"/>
            <w:shd w:val="clear" w:color="auto" w:fill="E2D2EE" w:themeFill="accent2" w:themeFillTint="33"/>
            <w:vAlign w:val="center"/>
          </w:tcPr>
          <w:p w14:paraId="2A8C0A1E" w14:textId="77777777" w:rsidR="00473AA0" w:rsidRPr="00613488" w:rsidRDefault="00473AA0" w:rsidP="009E4C42">
            <w:pPr>
              <w:pStyle w:val="Tablebody"/>
            </w:pPr>
            <w:r w:rsidRPr="2E8F401A">
              <w:t xml:space="preserve"> Walking group</w:t>
            </w:r>
          </w:p>
          <w:p w14:paraId="24D41158" w14:textId="77777777" w:rsidR="00473AA0" w:rsidRDefault="00473AA0" w:rsidP="009E4C42">
            <w:pPr>
              <w:pStyle w:val="Tablebody"/>
            </w:pPr>
          </w:p>
        </w:tc>
        <w:tc>
          <w:tcPr>
            <w:tcW w:w="1871" w:type="dxa"/>
            <w:shd w:val="clear" w:color="auto" w:fill="E2D2EE" w:themeFill="accent2" w:themeFillTint="33"/>
            <w:vAlign w:val="center"/>
          </w:tcPr>
          <w:p w14:paraId="76AA27D2" w14:textId="596CE7DB" w:rsidR="00473AA0" w:rsidRDefault="00473AA0" w:rsidP="009E4C42">
            <w:pPr>
              <w:pStyle w:val="Tablebody"/>
            </w:pPr>
            <w:r w:rsidRPr="001F0BED">
              <w:t xml:space="preserve">Recreation </w:t>
            </w:r>
            <w:r>
              <w:t>T</w:t>
            </w:r>
            <w:r w:rsidRPr="001F0BED">
              <w:t>ime</w:t>
            </w:r>
          </w:p>
        </w:tc>
        <w:tc>
          <w:tcPr>
            <w:tcW w:w="1871" w:type="dxa"/>
            <w:shd w:val="clear" w:color="auto" w:fill="E2D2EE" w:themeFill="accent2" w:themeFillTint="33"/>
            <w:vAlign w:val="center"/>
          </w:tcPr>
          <w:p w14:paraId="78C68EBC" w14:textId="420796EC" w:rsidR="00473AA0" w:rsidRDefault="00473AA0" w:rsidP="009E4C42">
            <w:pPr>
              <w:pStyle w:val="Tablebody"/>
            </w:pPr>
            <w:r w:rsidRPr="00B26DBB">
              <w:t xml:space="preserve">Walking </w:t>
            </w:r>
            <w:r>
              <w:t>G</w:t>
            </w:r>
            <w:r w:rsidRPr="00B26DBB">
              <w:t xml:space="preserve">roup </w:t>
            </w:r>
          </w:p>
        </w:tc>
      </w:tr>
      <w:tr w:rsidR="009E4C42" w14:paraId="4421D57F" w14:textId="77777777" w:rsidTr="00E120F2">
        <w:tc>
          <w:tcPr>
            <w:tcW w:w="1413" w:type="dxa"/>
          </w:tcPr>
          <w:p w14:paraId="79E8549B" w14:textId="621387CB" w:rsidR="009E4C42" w:rsidRDefault="009E4C42" w:rsidP="009E4C42">
            <w:pPr>
              <w:pStyle w:val="Tablebody"/>
            </w:pPr>
            <w:r w:rsidRPr="009E4C42">
              <w:t>10:00 - 10:10</w:t>
            </w:r>
          </w:p>
        </w:tc>
        <w:tc>
          <w:tcPr>
            <w:tcW w:w="1984" w:type="dxa"/>
          </w:tcPr>
          <w:p w14:paraId="6F561CE7" w14:textId="184D237E" w:rsidR="009E4C42" w:rsidRDefault="009E4C42" w:rsidP="009E4C42">
            <w:pPr>
              <w:pStyle w:val="BodyCopy"/>
            </w:pPr>
            <w:r w:rsidRPr="009E4C42">
              <w:t>Snack Portioning and Plating</w:t>
            </w:r>
          </w:p>
        </w:tc>
        <w:tc>
          <w:tcPr>
            <w:tcW w:w="1843" w:type="dxa"/>
          </w:tcPr>
          <w:p w14:paraId="559FC89F" w14:textId="2BD67AFE" w:rsidR="009E4C42" w:rsidRDefault="009E4C42" w:rsidP="009E4C42">
            <w:pPr>
              <w:pStyle w:val="BodyCopy"/>
            </w:pPr>
            <w:r w:rsidRPr="009E4C42">
              <w:t>Snack Portioning and Plating</w:t>
            </w:r>
          </w:p>
        </w:tc>
        <w:tc>
          <w:tcPr>
            <w:tcW w:w="1985" w:type="dxa"/>
          </w:tcPr>
          <w:p w14:paraId="6DE05B98" w14:textId="7A92388B" w:rsidR="009E4C42" w:rsidRDefault="009E4C42" w:rsidP="009E4C42">
            <w:pPr>
              <w:pStyle w:val="BodyCopy"/>
            </w:pPr>
            <w:r w:rsidRPr="009E4C42">
              <w:t>Snack Portioning and Plating</w:t>
            </w:r>
          </w:p>
        </w:tc>
        <w:tc>
          <w:tcPr>
            <w:tcW w:w="2130" w:type="dxa"/>
          </w:tcPr>
          <w:p w14:paraId="5326BC45" w14:textId="5EE1A63F" w:rsidR="009E4C42" w:rsidRDefault="009E4C42" w:rsidP="009E4C42">
            <w:pPr>
              <w:pStyle w:val="BodyCopy"/>
            </w:pPr>
            <w:r w:rsidRPr="009E4C42">
              <w:t>Snack Portioning and Plating</w:t>
            </w:r>
          </w:p>
        </w:tc>
        <w:tc>
          <w:tcPr>
            <w:tcW w:w="1871" w:type="dxa"/>
          </w:tcPr>
          <w:p w14:paraId="10118C32" w14:textId="4F385C58" w:rsidR="009E4C42" w:rsidRDefault="009E4C42" w:rsidP="009E4C42">
            <w:pPr>
              <w:pStyle w:val="BodyCopy"/>
            </w:pPr>
            <w:r w:rsidRPr="009E4C42">
              <w:t>Snack Portioning and Plating</w:t>
            </w:r>
          </w:p>
        </w:tc>
        <w:tc>
          <w:tcPr>
            <w:tcW w:w="1871" w:type="dxa"/>
          </w:tcPr>
          <w:p w14:paraId="0C3C0793" w14:textId="72216BE6" w:rsidR="009E4C42" w:rsidRDefault="009E4C42" w:rsidP="009E4C42">
            <w:pPr>
              <w:pStyle w:val="BodyCopy"/>
            </w:pPr>
            <w:r w:rsidRPr="009E4C42">
              <w:t>Snack Portioning and Plating</w:t>
            </w:r>
          </w:p>
        </w:tc>
        <w:tc>
          <w:tcPr>
            <w:tcW w:w="1871" w:type="dxa"/>
          </w:tcPr>
          <w:p w14:paraId="75FB48B9" w14:textId="6B038532" w:rsidR="009E4C42" w:rsidRDefault="009E4C42" w:rsidP="009E4C42">
            <w:pPr>
              <w:pStyle w:val="BodyCopy"/>
            </w:pPr>
            <w:r w:rsidRPr="009E4C42">
              <w:t>Snack Portioning and Plating</w:t>
            </w:r>
          </w:p>
        </w:tc>
      </w:tr>
      <w:tr w:rsidR="00604EF2" w14:paraId="3E9ECF7F" w14:textId="77777777" w:rsidTr="00E120F2">
        <w:tc>
          <w:tcPr>
            <w:tcW w:w="1413" w:type="dxa"/>
          </w:tcPr>
          <w:p w14:paraId="3E0EFEE5" w14:textId="7A53687B" w:rsidR="009E4C42" w:rsidRDefault="009E4C42" w:rsidP="009E4C42">
            <w:pPr>
              <w:pStyle w:val="BodyCopy"/>
            </w:pPr>
            <w:r w:rsidRPr="009E4C42">
              <w:t>10:10 - 10:30</w:t>
            </w:r>
          </w:p>
        </w:tc>
        <w:tc>
          <w:tcPr>
            <w:tcW w:w="1984" w:type="dxa"/>
            <w:shd w:val="clear" w:color="auto" w:fill="F172A4" w:themeFill="accent5"/>
          </w:tcPr>
          <w:p w14:paraId="61083F61" w14:textId="783399E6" w:rsidR="009E4C42" w:rsidRDefault="009E4C42" w:rsidP="009E4C42">
            <w:pPr>
              <w:pStyle w:val="BodyCopy"/>
            </w:pPr>
            <w:r w:rsidRPr="009E4C42">
              <w:t>Morning Tea (including bolus ONS time)</w:t>
            </w:r>
          </w:p>
        </w:tc>
        <w:tc>
          <w:tcPr>
            <w:tcW w:w="1843" w:type="dxa"/>
            <w:shd w:val="clear" w:color="auto" w:fill="F172A4" w:themeFill="accent5"/>
          </w:tcPr>
          <w:p w14:paraId="147448B4" w14:textId="1A84D8CD" w:rsidR="009E4C42" w:rsidRDefault="009E4C42" w:rsidP="009E4C42">
            <w:pPr>
              <w:pStyle w:val="BodyCopy"/>
            </w:pPr>
            <w:r w:rsidRPr="009E4C42">
              <w:t>Morning Tea (including bolus ONS time)</w:t>
            </w:r>
          </w:p>
        </w:tc>
        <w:tc>
          <w:tcPr>
            <w:tcW w:w="1985" w:type="dxa"/>
            <w:shd w:val="clear" w:color="auto" w:fill="F172A4" w:themeFill="accent5"/>
          </w:tcPr>
          <w:p w14:paraId="4C15DA69" w14:textId="01FDE8A4" w:rsidR="009E4C42" w:rsidRDefault="009E4C42" w:rsidP="009E4C42">
            <w:pPr>
              <w:pStyle w:val="BodyCopy"/>
            </w:pPr>
            <w:r w:rsidRPr="009E4C42">
              <w:t>Morning Tea (including bolus ONS time)</w:t>
            </w:r>
          </w:p>
        </w:tc>
        <w:tc>
          <w:tcPr>
            <w:tcW w:w="2130" w:type="dxa"/>
            <w:shd w:val="clear" w:color="auto" w:fill="F172A4" w:themeFill="accent5"/>
          </w:tcPr>
          <w:p w14:paraId="7D68D0BF" w14:textId="39C91584" w:rsidR="009E4C42" w:rsidRDefault="009E4C42" w:rsidP="009E4C42">
            <w:pPr>
              <w:pStyle w:val="BodyCopy"/>
            </w:pPr>
            <w:r w:rsidRPr="009E4C42">
              <w:t>Morning Tea (including bolus ONS time)</w:t>
            </w:r>
          </w:p>
        </w:tc>
        <w:tc>
          <w:tcPr>
            <w:tcW w:w="1871" w:type="dxa"/>
            <w:shd w:val="clear" w:color="auto" w:fill="F172A4" w:themeFill="accent5"/>
          </w:tcPr>
          <w:p w14:paraId="391D3117" w14:textId="15BAFFF2" w:rsidR="009E4C42" w:rsidRDefault="009E4C42" w:rsidP="009E4C42">
            <w:pPr>
              <w:pStyle w:val="BodyCopy"/>
            </w:pPr>
            <w:r w:rsidRPr="009E4C42">
              <w:t>Morning Tea (including bolus ONS time)</w:t>
            </w:r>
          </w:p>
        </w:tc>
        <w:tc>
          <w:tcPr>
            <w:tcW w:w="1871" w:type="dxa"/>
            <w:shd w:val="clear" w:color="auto" w:fill="F172A4" w:themeFill="accent5"/>
          </w:tcPr>
          <w:p w14:paraId="2FF10304" w14:textId="33053492" w:rsidR="009E4C42" w:rsidRDefault="009E4C42" w:rsidP="009E4C42">
            <w:pPr>
              <w:pStyle w:val="BodyCopy"/>
            </w:pPr>
            <w:r w:rsidRPr="009E4C42">
              <w:t>Morning Tea (including bolus ONS time)</w:t>
            </w:r>
          </w:p>
        </w:tc>
        <w:tc>
          <w:tcPr>
            <w:tcW w:w="1871" w:type="dxa"/>
            <w:shd w:val="clear" w:color="auto" w:fill="F172A4" w:themeFill="accent5"/>
          </w:tcPr>
          <w:p w14:paraId="4C0D8B1E" w14:textId="7D9060B5" w:rsidR="009E4C42" w:rsidRDefault="009E4C42" w:rsidP="009E4C42">
            <w:pPr>
              <w:pStyle w:val="BodyCopy"/>
            </w:pPr>
            <w:r w:rsidRPr="009E4C42">
              <w:t>Morning Tea (including bolus ONS time)</w:t>
            </w:r>
          </w:p>
        </w:tc>
      </w:tr>
      <w:tr w:rsidR="00604EF2" w14:paraId="0F04BC7D" w14:textId="77777777" w:rsidTr="00E120F2">
        <w:tc>
          <w:tcPr>
            <w:tcW w:w="1413" w:type="dxa"/>
          </w:tcPr>
          <w:p w14:paraId="0D608B66" w14:textId="1D5D28CE" w:rsidR="009E4C42" w:rsidRPr="009E4C42" w:rsidRDefault="009E4C42" w:rsidP="009E4C42">
            <w:pPr>
              <w:pStyle w:val="BodyCopy"/>
            </w:pPr>
            <w:r w:rsidRPr="009E4C42">
              <w:t>10:30 - 11:30</w:t>
            </w:r>
          </w:p>
        </w:tc>
        <w:tc>
          <w:tcPr>
            <w:tcW w:w="1984" w:type="dxa"/>
            <w:shd w:val="clear" w:color="auto" w:fill="9AF8A7"/>
            <w:vAlign w:val="center"/>
          </w:tcPr>
          <w:p w14:paraId="4BD07C94" w14:textId="13A7FC37" w:rsidR="009E4C42" w:rsidRPr="009E4C42" w:rsidRDefault="009E4C42" w:rsidP="009E4C42">
            <w:pPr>
              <w:pStyle w:val="Tablebody"/>
            </w:pPr>
            <w:r w:rsidRPr="2958BE91">
              <w:t xml:space="preserve">Horticulture </w:t>
            </w:r>
            <w:r>
              <w:t>T</w:t>
            </w:r>
            <w:r w:rsidRPr="2958BE91">
              <w:t xml:space="preserve">herapy </w:t>
            </w:r>
          </w:p>
        </w:tc>
        <w:tc>
          <w:tcPr>
            <w:tcW w:w="1843" w:type="dxa"/>
            <w:shd w:val="clear" w:color="auto" w:fill="9AF8A7"/>
            <w:vAlign w:val="center"/>
          </w:tcPr>
          <w:p w14:paraId="18482045" w14:textId="2E837391" w:rsidR="009E4C42" w:rsidRPr="009E4C42" w:rsidRDefault="009E4C42" w:rsidP="009E4C42">
            <w:pPr>
              <w:pStyle w:val="Tablebody"/>
            </w:pPr>
            <w:r w:rsidRPr="00503DDB">
              <w:t>Skills Group</w:t>
            </w:r>
          </w:p>
        </w:tc>
        <w:tc>
          <w:tcPr>
            <w:tcW w:w="1985" w:type="dxa"/>
            <w:shd w:val="clear" w:color="auto" w:fill="9AF8A7"/>
            <w:vAlign w:val="center"/>
          </w:tcPr>
          <w:p w14:paraId="220ABD20" w14:textId="03F55440" w:rsidR="009E4C42" w:rsidRPr="009E4C42" w:rsidRDefault="009E4C42" w:rsidP="009E4C42">
            <w:pPr>
              <w:pStyle w:val="Tablebody"/>
            </w:pPr>
            <w:r w:rsidRPr="009F2A2A">
              <w:t xml:space="preserve">Horticulture </w:t>
            </w:r>
            <w:r>
              <w:t>therapy</w:t>
            </w:r>
          </w:p>
        </w:tc>
        <w:tc>
          <w:tcPr>
            <w:tcW w:w="2130" w:type="dxa"/>
            <w:shd w:val="clear" w:color="auto" w:fill="9AF8A7"/>
            <w:vAlign w:val="center"/>
          </w:tcPr>
          <w:p w14:paraId="11064819" w14:textId="75ADD52B" w:rsidR="009E4C42" w:rsidRPr="009E4C42" w:rsidRDefault="009E4C42" w:rsidP="009E4C42">
            <w:pPr>
              <w:pStyle w:val="Tablebody"/>
            </w:pPr>
            <w:r w:rsidRPr="009F2A2A">
              <w:t xml:space="preserve">Art </w:t>
            </w:r>
            <w:r>
              <w:t>T</w:t>
            </w:r>
            <w:r w:rsidRPr="009F2A2A">
              <w:t xml:space="preserve">herapy </w:t>
            </w:r>
          </w:p>
        </w:tc>
        <w:tc>
          <w:tcPr>
            <w:tcW w:w="1871" w:type="dxa"/>
            <w:shd w:val="clear" w:color="auto" w:fill="9AF8A7"/>
            <w:vAlign w:val="center"/>
          </w:tcPr>
          <w:p w14:paraId="3908A7E5" w14:textId="28D7BC1F" w:rsidR="009E4C42" w:rsidRPr="009E4C42" w:rsidRDefault="009E4C42" w:rsidP="009E4C42">
            <w:pPr>
              <w:pStyle w:val="Tablebody"/>
            </w:pPr>
            <w:r w:rsidRPr="00D80311">
              <w:rPr>
                <w:color w:val="000000"/>
              </w:rPr>
              <w:t xml:space="preserve">Cooking </w:t>
            </w:r>
            <w:r>
              <w:rPr>
                <w:color w:val="000000"/>
              </w:rPr>
              <w:t>G</w:t>
            </w:r>
            <w:r w:rsidRPr="00D80311">
              <w:rPr>
                <w:color w:val="000000"/>
              </w:rPr>
              <w:t xml:space="preserve">roup </w:t>
            </w:r>
          </w:p>
        </w:tc>
        <w:tc>
          <w:tcPr>
            <w:tcW w:w="1871" w:type="dxa"/>
            <w:shd w:val="clear" w:color="auto" w:fill="00B5A5" w:themeFill="accent3"/>
            <w:vAlign w:val="center"/>
          </w:tcPr>
          <w:p w14:paraId="1C1DDA9B" w14:textId="7758C182" w:rsidR="009E4C42" w:rsidRPr="009E4C42" w:rsidRDefault="009E4C42" w:rsidP="009E4C42">
            <w:pPr>
              <w:pStyle w:val="Tablebody"/>
            </w:pPr>
            <w:r w:rsidRPr="78456358">
              <w:t>Family</w:t>
            </w:r>
            <w:r>
              <w:t>/Friends</w:t>
            </w:r>
            <w:r w:rsidRPr="78456358">
              <w:t xml:space="preserve"> </w:t>
            </w:r>
            <w:r>
              <w:t>V</w:t>
            </w:r>
            <w:r w:rsidRPr="78456358">
              <w:t>isit</w:t>
            </w:r>
          </w:p>
        </w:tc>
        <w:tc>
          <w:tcPr>
            <w:tcW w:w="1871" w:type="dxa"/>
            <w:shd w:val="clear" w:color="auto" w:fill="00B5A5" w:themeFill="accent3"/>
            <w:vAlign w:val="center"/>
          </w:tcPr>
          <w:p w14:paraId="40581AB1" w14:textId="230486AC" w:rsidR="009E4C42" w:rsidRPr="009E4C42" w:rsidRDefault="009E4C42" w:rsidP="009E4C42">
            <w:pPr>
              <w:pStyle w:val="Tablebody"/>
            </w:pPr>
            <w:r w:rsidRPr="78456358">
              <w:t>Family</w:t>
            </w:r>
            <w:r>
              <w:t>/Friends</w:t>
            </w:r>
            <w:r w:rsidRPr="78456358">
              <w:t xml:space="preserve"> </w:t>
            </w:r>
            <w:r>
              <w:t>V</w:t>
            </w:r>
            <w:r w:rsidRPr="78456358">
              <w:t>isit</w:t>
            </w:r>
          </w:p>
        </w:tc>
      </w:tr>
      <w:tr w:rsidR="00604EF2" w14:paraId="5916D192" w14:textId="77777777" w:rsidTr="00E120F2">
        <w:tc>
          <w:tcPr>
            <w:tcW w:w="1413" w:type="dxa"/>
          </w:tcPr>
          <w:p w14:paraId="0BAB5ABC" w14:textId="6D62EFF1" w:rsidR="009E4C42" w:rsidRPr="009E4C42" w:rsidRDefault="009E4C42" w:rsidP="009E4C42">
            <w:pPr>
              <w:pStyle w:val="BodyCopy"/>
            </w:pPr>
            <w:r w:rsidRPr="009E4C42">
              <w:t>11:30 - 12:30</w:t>
            </w:r>
          </w:p>
        </w:tc>
        <w:tc>
          <w:tcPr>
            <w:tcW w:w="1984" w:type="dxa"/>
            <w:shd w:val="clear" w:color="auto" w:fill="6E3894" w:themeFill="accent2"/>
            <w:vAlign w:val="center"/>
          </w:tcPr>
          <w:p w14:paraId="68DF88D6" w14:textId="77777777" w:rsidR="009E4C42" w:rsidRPr="00604EF2" w:rsidRDefault="009E4C42" w:rsidP="009E4C42">
            <w:pPr>
              <w:pStyle w:val="Tablebody"/>
              <w:rPr>
                <w:color w:val="FFFFFF" w:themeColor="background1"/>
              </w:rPr>
            </w:pPr>
            <w:r w:rsidRPr="00604EF2">
              <w:rPr>
                <w:color w:val="FFFFFF" w:themeColor="background1"/>
              </w:rPr>
              <w:t>Nurses Group</w:t>
            </w:r>
          </w:p>
          <w:p w14:paraId="47C496B8" w14:textId="77777777" w:rsidR="009E4C42" w:rsidRPr="00604EF2" w:rsidRDefault="009E4C42" w:rsidP="009E4C42">
            <w:pPr>
              <w:pStyle w:val="Tablebody"/>
              <w:rPr>
                <w:color w:val="FFFFFF" w:themeColor="background1"/>
              </w:rPr>
            </w:pPr>
          </w:p>
        </w:tc>
        <w:tc>
          <w:tcPr>
            <w:tcW w:w="1843" w:type="dxa"/>
            <w:shd w:val="clear" w:color="auto" w:fill="6E3894" w:themeFill="accent2"/>
            <w:vAlign w:val="center"/>
          </w:tcPr>
          <w:p w14:paraId="5BD6E211" w14:textId="62916676" w:rsidR="009E4C42" w:rsidRPr="00604EF2" w:rsidRDefault="009E4C42" w:rsidP="009E4C42">
            <w:pPr>
              <w:pStyle w:val="Tablebody"/>
              <w:rPr>
                <w:color w:val="FFFFFF" w:themeColor="background1"/>
              </w:rPr>
            </w:pPr>
            <w:r w:rsidRPr="00604EF2">
              <w:rPr>
                <w:rFonts w:cstheme="minorHAnsi"/>
                <w:color w:val="FFFFFF" w:themeColor="background1"/>
              </w:rPr>
              <w:t>Hobby Group</w:t>
            </w:r>
          </w:p>
        </w:tc>
        <w:tc>
          <w:tcPr>
            <w:tcW w:w="1985" w:type="dxa"/>
            <w:shd w:val="clear" w:color="auto" w:fill="6E3894" w:themeFill="accent2"/>
            <w:vAlign w:val="center"/>
          </w:tcPr>
          <w:p w14:paraId="5DAB7C1E" w14:textId="7F14AC35" w:rsidR="009E4C42" w:rsidRPr="00604EF2" w:rsidRDefault="009E4C42" w:rsidP="009E4C42">
            <w:pPr>
              <w:pStyle w:val="Tablebody"/>
              <w:rPr>
                <w:color w:val="FFFFFF" w:themeColor="background1"/>
              </w:rPr>
            </w:pPr>
            <w:r w:rsidRPr="00604EF2">
              <w:rPr>
                <w:color w:val="FFFFFF" w:themeColor="background1"/>
              </w:rPr>
              <w:t xml:space="preserve">Rest and Reset </w:t>
            </w:r>
          </w:p>
        </w:tc>
        <w:tc>
          <w:tcPr>
            <w:tcW w:w="2130" w:type="dxa"/>
            <w:shd w:val="clear" w:color="auto" w:fill="9AF8A7"/>
            <w:vAlign w:val="center"/>
          </w:tcPr>
          <w:p w14:paraId="16C571DA" w14:textId="571F6A4F" w:rsidR="009E4C42" w:rsidRPr="009E4C42" w:rsidRDefault="009E4C42" w:rsidP="009E4C42">
            <w:pPr>
              <w:pStyle w:val="Tablebody"/>
            </w:pPr>
            <w:r w:rsidRPr="2958BE91">
              <w:t xml:space="preserve">Art </w:t>
            </w:r>
            <w:r>
              <w:t>T</w:t>
            </w:r>
            <w:r w:rsidRPr="2958BE91">
              <w:t xml:space="preserve">herapy </w:t>
            </w:r>
          </w:p>
        </w:tc>
        <w:tc>
          <w:tcPr>
            <w:tcW w:w="1871" w:type="dxa"/>
            <w:shd w:val="clear" w:color="auto" w:fill="9AF8A7"/>
            <w:vAlign w:val="center"/>
          </w:tcPr>
          <w:p w14:paraId="2FAD81B4" w14:textId="6B3E38AE" w:rsidR="009E4C42" w:rsidRPr="009E4C42" w:rsidRDefault="009E4C42" w:rsidP="009E4C42">
            <w:pPr>
              <w:pStyle w:val="Tablebody"/>
            </w:pPr>
            <w:r w:rsidRPr="00D80311">
              <w:rPr>
                <w:color w:val="000000"/>
              </w:rPr>
              <w:t xml:space="preserve">Cooking </w:t>
            </w:r>
            <w:r>
              <w:rPr>
                <w:color w:val="000000"/>
              </w:rPr>
              <w:t>G</w:t>
            </w:r>
            <w:r w:rsidRPr="00D80311">
              <w:rPr>
                <w:color w:val="000000"/>
              </w:rPr>
              <w:t xml:space="preserve">roup </w:t>
            </w:r>
          </w:p>
        </w:tc>
        <w:tc>
          <w:tcPr>
            <w:tcW w:w="1871" w:type="dxa"/>
            <w:shd w:val="clear" w:color="auto" w:fill="00B5A5" w:themeFill="accent3"/>
            <w:vAlign w:val="center"/>
          </w:tcPr>
          <w:p w14:paraId="2E559123" w14:textId="4D115F33" w:rsidR="009E4C42" w:rsidRPr="009E4C42" w:rsidRDefault="009E4C42" w:rsidP="009E4C42">
            <w:pPr>
              <w:pStyle w:val="Tablebody"/>
            </w:pPr>
            <w:r w:rsidRPr="78456358">
              <w:t>Family</w:t>
            </w:r>
            <w:r>
              <w:t>/Friends</w:t>
            </w:r>
            <w:r w:rsidRPr="78456358">
              <w:t xml:space="preserve"> </w:t>
            </w:r>
            <w:r>
              <w:t>V</w:t>
            </w:r>
            <w:r w:rsidRPr="78456358">
              <w:t>isit</w:t>
            </w:r>
          </w:p>
        </w:tc>
        <w:tc>
          <w:tcPr>
            <w:tcW w:w="1871" w:type="dxa"/>
            <w:shd w:val="clear" w:color="auto" w:fill="00B5A5" w:themeFill="accent3"/>
            <w:vAlign w:val="center"/>
          </w:tcPr>
          <w:p w14:paraId="23ADAEC7" w14:textId="2E7E0843" w:rsidR="009E4C42" w:rsidRPr="009E4C42" w:rsidRDefault="009E4C42" w:rsidP="009E4C42">
            <w:pPr>
              <w:pStyle w:val="Tablebody"/>
            </w:pPr>
            <w:r w:rsidRPr="78456358">
              <w:t>Family</w:t>
            </w:r>
            <w:r>
              <w:t>/Friends</w:t>
            </w:r>
            <w:r w:rsidRPr="78456358">
              <w:t xml:space="preserve"> </w:t>
            </w:r>
            <w:r>
              <w:t>V</w:t>
            </w:r>
            <w:r w:rsidRPr="78456358">
              <w:t>isit</w:t>
            </w:r>
          </w:p>
        </w:tc>
      </w:tr>
      <w:tr w:rsidR="00604EF2" w:rsidRPr="009E4C42" w14:paraId="3392FEBF" w14:textId="77777777" w:rsidTr="00E120F2">
        <w:tc>
          <w:tcPr>
            <w:tcW w:w="1413" w:type="dxa"/>
            <w:shd w:val="clear" w:color="auto" w:fill="FFFFFF" w:themeFill="background1"/>
          </w:tcPr>
          <w:p w14:paraId="5A784F9A" w14:textId="3583E1B5" w:rsidR="009E4C42" w:rsidRPr="009E4C42" w:rsidRDefault="009E4C42" w:rsidP="009E4C42">
            <w:pPr>
              <w:pStyle w:val="Tablebody"/>
            </w:pPr>
            <w:r w:rsidRPr="009E4C42">
              <w:t>12:30 - 12:50</w:t>
            </w:r>
          </w:p>
        </w:tc>
        <w:tc>
          <w:tcPr>
            <w:tcW w:w="1984" w:type="dxa"/>
            <w:shd w:val="clear" w:color="auto" w:fill="FFFFFF" w:themeFill="background1"/>
            <w:vAlign w:val="center"/>
          </w:tcPr>
          <w:p w14:paraId="5492A8BA" w14:textId="36394C69" w:rsidR="009E4C42" w:rsidRPr="009E4C42" w:rsidRDefault="009E4C42" w:rsidP="009E4C42">
            <w:pPr>
              <w:pStyle w:val="Tablebody"/>
            </w:pPr>
            <w:r w:rsidRPr="009E4C42">
              <w:t>Meal Portioning and Plating</w:t>
            </w:r>
          </w:p>
        </w:tc>
        <w:tc>
          <w:tcPr>
            <w:tcW w:w="1843" w:type="dxa"/>
            <w:shd w:val="clear" w:color="auto" w:fill="FFFFFF" w:themeFill="background1"/>
            <w:vAlign w:val="center"/>
          </w:tcPr>
          <w:p w14:paraId="195FC2FC" w14:textId="4F3527CB" w:rsidR="009E4C42" w:rsidRPr="009E4C42" w:rsidRDefault="009E4C42" w:rsidP="009E4C42">
            <w:pPr>
              <w:pStyle w:val="Tablebody"/>
            </w:pPr>
            <w:r w:rsidRPr="009E4C42">
              <w:t>Meal Portioning and Plating</w:t>
            </w:r>
          </w:p>
        </w:tc>
        <w:tc>
          <w:tcPr>
            <w:tcW w:w="1985" w:type="dxa"/>
            <w:shd w:val="clear" w:color="auto" w:fill="FFFFFF" w:themeFill="background1"/>
            <w:vAlign w:val="center"/>
          </w:tcPr>
          <w:p w14:paraId="09C8081B" w14:textId="566D345F" w:rsidR="009E4C42" w:rsidRPr="009E4C42" w:rsidRDefault="009E4C42" w:rsidP="009E4C42">
            <w:pPr>
              <w:pStyle w:val="Tablebody"/>
            </w:pPr>
            <w:r w:rsidRPr="009E4C42">
              <w:t>Meal Portioning and Plating</w:t>
            </w:r>
          </w:p>
        </w:tc>
        <w:tc>
          <w:tcPr>
            <w:tcW w:w="2130" w:type="dxa"/>
            <w:shd w:val="clear" w:color="auto" w:fill="FFFFFF" w:themeFill="background1"/>
            <w:vAlign w:val="center"/>
          </w:tcPr>
          <w:p w14:paraId="59EB9D05" w14:textId="3800A608" w:rsidR="009E4C42" w:rsidRPr="009E4C42" w:rsidRDefault="009E4C42" w:rsidP="009E4C42">
            <w:pPr>
              <w:pStyle w:val="Tablebody"/>
            </w:pPr>
            <w:r w:rsidRPr="009E4C42">
              <w:t>Meal Portioning and Plating</w:t>
            </w:r>
          </w:p>
        </w:tc>
        <w:tc>
          <w:tcPr>
            <w:tcW w:w="1871" w:type="dxa"/>
            <w:shd w:val="clear" w:color="auto" w:fill="FFFFFF" w:themeFill="background1"/>
            <w:vAlign w:val="center"/>
          </w:tcPr>
          <w:p w14:paraId="3EF39EE9" w14:textId="45E2B3A0" w:rsidR="009E4C42" w:rsidRPr="009E4C42" w:rsidRDefault="009E4C42" w:rsidP="009E4C42">
            <w:pPr>
              <w:pStyle w:val="Tablebody"/>
            </w:pPr>
            <w:r w:rsidRPr="009E4C42">
              <w:t>Meal Portioning and Plating</w:t>
            </w:r>
          </w:p>
        </w:tc>
        <w:tc>
          <w:tcPr>
            <w:tcW w:w="1871" w:type="dxa"/>
            <w:shd w:val="clear" w:color="auto" w:fill="FFFFFF" w:themeFill="background1"/>
            <w:vAlign w:val="center"/>
          </w:tcPr>
          <w:p w14:paraId="23241F2C" w14:textId="34262D65" w:rsidR="009E4C42" w:rsidRPr="009E4C42" w:rsidRDefault="009E4C42" w:rsidP="009E4C42">
            <w:pPr>
              <w:pStyle w:val="Tablebody"/>
            </w:pPr>
            <w:r w:rsidRPr="009E4C42">
              <w:t>Meal Portioning and Plating</w:t>
            </w:r>
          </w:p>
        </w:tc>
        <w:tc>
          <w:tcPr>
            <w:tcW w:w="1871" w:type="dxa"/>
            <w:shd w:val="clear" w:color="auto" w:fill="FFFFFF" w:themeFill="background1"/>
            <w:vAlign w:val="center"/>
          </w:tcPr>
          <w:p w14:paraId="3BCC9C3F" w14:textId="53AD41F4" w:rsidR="009E4C42" w:rsidRPr="009E4C42" w:rsidRDefault="009E4C42" w:rsidP="009E4C42">
            <w:pPr>
              <w:pStyle w:val="Tablebody"/>
            </w:pPr>
            <w:r w:rsidRPr="009E4C42">
              <w:t>Meal Portioning and Plating</w:t>
            </w:r>
          </w:p>
        </w:tc>
      </w:tr>
      <w:tr w:rsidR="00604EF2" w:rsidRPr="009E4C42" w14:paraId="718AF331" w14:textId="77777777" w:rsidTr="00E120F2">
        <w:tc>
          <w:tcPr>
            <w:tcW w:w="1413" w:type="dxa"/>
          </w:tcPr>
          <w:p w14:paraId="7F0A9132" w14:textId="66C6F675" w:rsidR="009E4C42" w:rsidRPr="009E4C42" w:rsidRDefault="009E4C42" w:rsidP="009E4C42">
            <w:pPr>
              <w:pStyle w:val="Tablebody"/>
            </w:pPr>
            <w:r w:rsidRPr="009E4C42">
              <w:t>12:50 - 1330</w:t>
            </w:r>
          </w:p>
        </w:tc>
        <w:tc>
          <w:tcPr>
            <w:tcW w:w="1984" w:type="dxa"/>
            <w:shd w:val="clear" w:color="auto" w:fill="F172A4" w:themeFill="accent5"/>
            <w:vAlign w:val="center"/>
          </w:tcPr>
          <w:p w14:paraId="53712C6A" w14:textId="4DC8D514" w:rsidR="009E4C42" w:rsidRPr="009E4C42" w:rsidRDefault="009E4C42" w:rsidP="009E4C42">
            <w:pPr>
              <w:pStyle w:val="Tablebody"/>
            </w:pPr>
            <w:r w:rsidRPr="009E4C42">
              <w:t>Lunch (including bolus ONS time)</w:t>
            </w:r>
          </w:p>
        </w:tc>
        <w:tc>
          <w:tcPr>
            <w:tcW w:w="1843" w:type="dxa"/>
            <w:shd w:val="clear" w:color="auto" w:fill="F172A4" w:themeFill="accent5"/>
            <w:vAlign w:val="center"/>
          </w:tcPr>
          <w:p w14:paraId="37C1C516" w14:textId="2CA338D5" w:rsidR="009E4C42" w:rsidRPr="009E4C42" w:rsidRDefault="009E4C42" w:rsidP="009E4C42">
            <w:pPr>
              <w:pStyle w:val="Tablebody"/>
            </w:pPr>
            <w:r w:rsidRPr="009E4C42">
              <w:t>Lunch (including bolus ONS time)</w:t>
            </w:r>
          </w:p>
        </w:tc>
        <w:tc>
          <w:tcPr>
            <w:tcW w:w="1985" w:type="dxa"/>
            <w:shd w:val="clear" w:color="auto" w:fill="F172A4" w:themeFill="accent5"/>
            <w:vAlign w:val="center"/>
          </w:tcPr>
          <w:p w14:paraId="1FB2AA05" w14:textId="0CC811AF" w:rsidR="009E4C42" w:rsidRPr="009E4C42" w:rsidRDefault="009E4C42" w:rsidP="009E4C42">
            <w:pPr>
              <w:pStyle w:val="Tablebody"/>
            </w:pPr>
            <w:r w:rsidRPr="009E4C42">
              <w:t>Lunch (including bolus ONS time)</w:t>
            </w:r>
          </w:p>
        </w:tc>
        <w:tc>
          <w:tcPr>
            <w:tcW w:w="2130" w:type="dxa"/>
            <w:shd w:val="clear" w:color="auto" w:fill="F172A4" w:themeFill="accent5"/>
            <w:vAlign w:val="center"/>
          </w:tcPr>
          <w:p w14:paraId="2431512B" w14:textId="725B12EE" w:rsidR="009E4C42" w:rsidRPr="009E4C42" w:rsidRDefault="009E4C42" w:rsidP="009E4C42">
            <w:pPr>
              <w:pStyle w:val="Tablebody"/>
            </w:pPr>
            <w:r w:rsidRPr="009E4C42">
              <w:t>Lunch (including bolus ONS time)</w:t>
            </w:r>
          </w:p>
        </w:tc>
        <w:tc>
          <w:tcPr>
            <w:tcW w:w="1871" w:type="dxa"/>
            <w:shd w:val="clear" w:color="auto" w:fill="F172A4" w:themeFill="accent5"/>
            <w:vAlign w:val="center"/>
          </w:tcPr>
          <w:p w14:paraId="13039FD0" w14:textId="2AF222AF" w:rsidR="009E4C42" w:rsidRPr="009E4C42" w:rsidRDefault="009E4C42" w:rsidP="009E4C42">
            <w:pPr>
              <w:pStyle w:val="Tablebody"/>
            </w:pPr>
            <w:r w:rsidRPr="009E4C42">
              <w:t>Lunch (including bolus ONS time)</w:t>
            </w:r>
          </w:p>
        </w:tc>
        <w:tc>
          <w:tcPr>
            <w:tcW w:w="1871" w:type="dxa"/>
            <w:shd w:val="clear" w:color="auto" w:fill="F172A4" w:themeFill="accent5"/>
            <w:vAlign w:val="center"/>
          </w:tcPr>
          <w:p w14:paraId="0D16A317" w14:textId="26294E8B" w:rsidR="009E4C42" w:rsidRPr="009E4C42" w:rsidRDefault="009E4C42" w:rsidP="009E4C42">
            <w:pPr>
              <w:pStyle w:val="Tablebody"/>
            </w:pPr>
            <w:r w:rsidRPr="009E4C42">
              <w:t>Lunch (including bolus ONS time)</w:t>
            </w:r>
          </w:p>
        </w:tc>
        <w:tc>
          <w:tcPr>
            <w:tcW w:w="1871" w:type="dxa"/>
            <w:shd w:val="clear" w:color="auto" w:fill="F172A4" w:themeFill="accent5"/>
            <w:vAlign w:val="center"/>
          </w:tcPr>
          <w:p w14:paraId="387B697F" w14:textId="4A041B21" w:rsidR="009E4C42" w:rsidRPr="009E4C42" w:rsidRDefault="009E4C42" w:rsidP="009E4C42">
            <w:pPr>
              <w:pStyle w:val="Tablebody"/>
            </w:pPr>
            <w:r w:rsidRPr="009E4C42">
              <w:t>Lunch (including bolus ONS time)</w:t>
            </w:r>
          </w:p>
        </w:tc>
      </w:tr>
      <w:tr w:rsidR="00604EF2" w:rsidRPr="009E4C42" w14:paraId="0F18674B"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2BBE9450" w14:textId="56F3A70A" w:rsidR="009E4C42" w:rsidRPr="009E4C42" w:rsidRDefault="009E4C42" w:rsidP="009E4C42">
            <w:pPr>
              <w:pStyle w:val="Tablebody"/>
            </w:pPr>
            <w:r w:rsidRPr="009E4C42">
              <w:rPr>
                <w:rFonts w:eastAsia="Calibri"/>
              </w:rPr>
              <w:t>13.30 - 1430</w:t>
            </w:r>
          </w:p>
        </w:tc>
        <w:tc>
          <w:tcPr>
            <w:tcW w:w="1984" w:type="dxa"/>
            <w:shd w:val="clear" w:color="auto" w:fill="9AF8A7"/>
            <w:vAlign w:val="center"/>
          </w:tcPr>
          <w:p w14:paraId="19EABBD2" w14:textId="77777777" w:rsidR="009E4C42" w:rsidRPr="009E4C42" w:rsidRDefault="009E4C42" w:rsidP="009E4C42">
            <w:pPr>
              <w:pStyle w:val="Tablebody"/>
            </w:pPr>
            <w:r w:rsidRPr="009E4C42">
              <w:t>L.E.A.P</w:t>
            </w:r>
          </w:p>
          <w:p w14:paraId="494C888B" w14:textId="77777777" w:rsidR="009E4C42" w:rsidRPr="009E4C42" w:rsidRDefault="009E4C42" w:rsidP="009E4C42">
            <w:pPr>
              <w:pStyle w:val="Tablebody"/>
            </w:pPr>
          </w:p>
        </w:tc>
        <w:tc>
          <w:tcPr>
            <w:tcW w:w="1843" w:type="dxa"/>
            <w:shd w:val="clear" w:color="auto" w:fill="F47A5C" w:themeFill="accent6"/>
            <w:vAlign w:val="center"/>
          </w:tcPr>
          <w:p w14:paraId="181F2147" w14:textId="5D3422B5" w:rsidR="009E4C42" w:rsidRPr="009E4C42" w:rsidRDefault="009E4C42" w:rsidP="009E4C42">
            <w:pPr>
              <w:pStyle w:val="Tablebody"/>
            </w:pPr>
            <w:r w:rsidRPr="009E4C42">
              <w:t>Process group</w:t>
            </w:r>
          </w:p>
        </w:tc>
        <w:tc>
          <w:tcPr>
            <w:tcW w:w="1985" w:type="dxa"/>
            <w:shd w:val="clear" w:color="auto" w:fill="9AF8A7"/>
            <w:vAlign w:val="center"/>
          </w:tcPr>
          <w:p w14:paraId="7D4C6007" w14:textId="3424552B" w:rsidR="009E4C42" w:rsidRPr="009E4C42" w:rsidRDefault="009E4C42" w:rsidP="009E4C42">
            <w:pPr>
              <w:pStyle w:val="Tablebody"/>
            </w:pPr>
            <w:r w:rsidRPr="009E4C42">
              <w:t>Food for thought</w:t>
            </w:r>
          </w:p>
        </w:tc>
        <w:tc>
          <w:tcPr>
            <w:tcW w:w="2130" w:type="dxa"/>
            <w:shd w:val="clear" w:color="auto" w:fill="9AF8A7"/>
            <w:vAlign w:val="center"/>
          </w:tcPr>
          <w:p w14:paraId="760CF86E" w14:textId="70E41D2C" w:rsidR="009E4C42" w:rsidRPr="009E4C42" w:rsidRDefault="009E4C42" w:rsidP="009E4C42">
            <w:pPr>
              <w:pStyle w:val="Tablebody"/>
            </w:pPr>
            <w:r w:rsidRPr="009E4C42">
              <w:t>Skills group</w:t>
            </w:r>
          </w:p>
        </w:tc>
        <w:tc>
          <w:tcPr>
            <w:tcW w:w="1871" w:type="dxa"/>
            <w:shd w:val="clear" w:color="auto" w:fill="9AF8A7"/>
            <w:vAlign w:val="center"/>
          </w:tcPr>
          <w:p w14:paraId="6AA398F5" w14:textId="7A4016EB" w:rsidR="009E4C42" w:rsidRPr="009E4C42" w:rsidRDefault="009E4C42" w:rsidP="009E4C42">
            <w:pPr>
              <w:pStyle w:val="Tablebody"/>
            </w:pPr>
            <w:r w:rsidRPr="009E4C42">
              <w:t>Music Therapy</w:t>
            </w:r>
          </w:p>
        </w:tc>
        <w:tc>
          <w:tcPr>
            <w:tcW w:w="1871" w:type="dxa"/>
            <w:shd w:val="clear" w:color="auto" w:fill="00B5A5" w:themeFill="accent3"/>
            <w:vAlign w:val="center"/>
          </w:tcPr>
          <w:p w14:paraId="212FD8BB" w14:textId="07BC31FB" w:rsidR="009E4C42" w:rsidRPr="009E4C42" w:rsidRDefault="009E4C42" w:rsidP="009E4C42">
            <w:pPr>
              <w:pStyle w:val="Tablebody"/>
            </w:pPr>
            <w:r w:rsidRPr="009E4C42">
              <w:t>Family/Friends Visit</w:t>
            </w:r>
          </w:p>
        </w:tc>
        <w:tc>
          <w:tcPr>
            <w:tcW w:w="1871" w:type="dxa"/>
            <w:shd w:val="clear" w:color="auto" w:fill="00B5A5" w:themeFill="accent3"/>
            <w:vAlign w:val="center"/>
          </w:tcPr>
          <w:p w14:paraId="439A3CB9" w14:textId="59D6205B" w:rsidR="009E4C42" w:rsidRPr="009E4C42" w:rsidRDefault="009E4C42" w:rsidP="009E4C42">
            <w:pPr>
              <w:pStyle w:val="Tablebody"/>
            </w:pPr>
            <w:r w:rsidRPr="009E4C42">
              <w:t>Family/Friends Visit</w:t>
            </w:r>
          </w:p>
        </w:tc>
      </w:tr>
      <w:tr w:rsidR="00604EF2" w:rsidRPr="009E4C42" w14:paraId="4F839901"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3C52AC25" w14:textId="5C5BFF60" w:rsidR="009E4C42" w:rsidRPr="009E4C42" w:rsidRDefault="009E4C42" w:rsidP="009E4C42">
            <w:pPr>
              <w:pStyle w:val="Tablebody"/>
            </w:pPr>
            <w:r w:rsidRPr="009E4C42">
              <w:t>14:30 - 15:00</w:t>
            </w:r>
          </w:p>
        </w:tc>
        <w:tc>
          <w:tcPr>
            <w:tcW w:w="1984" w:type="dxa"/>
            <w:shd w:val="clear" w:color="auto" w:fill="9AF8A7"/>
            <w:vAlign w:val="center"/>
          </w:tcPr>
          <w:p w14:paraId="4AA2E494" w14:textId="06A4296A" w:rsidR="009E4C42" w:rsidRPr="009E4C42" w:rsidRDefault="009E4C42" w:rsidP="009E4C42">
            <w:pPr>
              <w:pStyle w:val="Tablebody"/>
            </w:pPr>
            <w:r w:rsidRPr="009E4C42">
              <w:t xml:space="preserve">Self-Reflection/Journaling </w:t>
            </w:r>
          </w:p>
        </w:tc>
        <w:tc>
          <w:tcPr>
            <w:tcW w:w="1843" w:type="dxa"/>
            <w:shd w:val="clear" w:color="auto" w:fill="9AF8A7"/>
            <w:vAlign w:val="center"/>
          </w:tcPr>
          <w:p w14:paraId="6627D323" w14:textId="62D57FA1" w:rsidR="009E4C42" w:rsidRPr="009E4C42" w:rsidRDefault="009E4C42" w:rsidP="009E4C42">
            <w:pPr>
              <w:pStyle w:val="Tablebody"/>
            </w:pPr>
            <w:r w:rsidRPr="009E4C42">
              <w:t>Self-Reflection/Journaling</w:t>
            </w:r>
          </w:p>
        </w:tc>
        <w:tc>
          <w:tcPr>
            <w:tcW w:w="1985" w:type="dxa"/>
            <w:shd w:val="clear" w:color="auto" w:fill="9AF8A7"/>
            <w:vAlign w:val="center"/>
          </w:tcPr>
          <w:p w14:paraId="20DBC999" w14:textId="338E1F34" w:rsidR="009E4C42" w:rsidRPr="009E4C42" w:rsidRDefault="009E4C42" w:rsidP="009E4C42">
            <w:pPr>
              <w:pStyle w:val="Tablebody"/>
            </w:pPr>
            <w:r w:rsidRPr="009E4C42">
              <w:t>Self-Reflection/Journaling</w:t>
            </w:r>
          </w:p>
        </w:tc>
        <w:tc>
          <w:tcPr>
            <w:tcW w:w="2130" w:type="dxa"/>
            <w:shd w:val="clear" w:color="auto" w:fill="9AF8A7"/>
            <w:vAlign w:val="center"/>
          </w:tcPr>
          <w:p w14:paraId="2AD1AAEE" w14:textId="6E4FCDF4" w:rsidR="009E4C42" w:rsidRPr="009E4C42" w:rsidRDefault="009E4C42" w:rsidP="009E4C42">
            <w:pPr>
              <w:pStyle w:val="Tablebody"/>
            </w:pPr>
            <w:r w:rsidRPr="009E4C42">
              <w:t>Journaling</w:t>
            </w:r>
          </w:p>
        </w:tc>
        <w:tc>
          <w:tcPr>
            <w:tcW w:w="1871" w:type="dxa"/>
            <w:shd w:val="clear" w:color="auto" w:fill="9AF8A7"/>
            <w:vAlign w:val="center"/>
          </w:tcPr>
          <w:p w14:paraId="489736B7" w14:textId="069CEF19" w:rsidR="009E4C42" w:rsidRPr="009E4C42" w:rsidRDefault="009E4C42" w:rsidP="009E4C42">
            <w:pPr>
              <w:pStyle w:val="Tablebody"/>
            </w:pPr>
            <w:r w:rsidRPr="009E4C42">
              <w:t>Journaling</w:t>
            </w:r>
          </w:p>
        </w:tc>
        <w:tc>
          <w:tcPr>
            <w:tcW w:w="1871" w:type="dxa"/>
            <w:shd w:val="clear" w:color="auto" w:fill="9AF8A7"/>
            <w:vAlign w:val="center"/>
          </w:tcPr>
          <w:p w14:paraId="6C1AE48B" w14:textId="4D8D4376" w:rsidR="009E4C42" w:rsidRPr="009E4C42" w:rsidRDefault="009E4C42" w:rsidP="009E4C42">
            <w:pPr>
              <w:pStyle w:val="Tablebody"/>
            </w:pPr>
            <w:r w:rsidRPr="009E4C42">
              <w:t>Journaling</w:t>
            </w:r>
          </w:p>
        </w:tc>
        <w:tc>
          <w:tcPr>
            <w:tcW w:w="1871" w:type="dxa"/>
            <w:shd w:val="clear" w:color="auto" w:fill="9AF8A7"/>
            <w:vAlign w:val="center"/>
          </w:tcPr>
          <w:p w14:paraId="5EBE8F12" w14:textId="3F61D43E" w:rsidR="009E4C42" w:rsidRPr="009E4C42" w:rsidRDefault="009E4C42" w:rsidP="009E4C42">
            <w:pPr>
              <w:pStyle w:val="Tablebody"/>
            </w:pPr>
            <w:r w:rsidRPr="009E4C42">
              <w:t xml:space="preserve">Self-Reflection/Journaling </w:t>
            </w:r>
          </w:p>
        </w:tc>
      </w:tr>
      <w:tr w:rsidR="00604EF2" w:rsidRPr="009E4C42" w14:paraId="36C9B142"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313E42FF" w14:textId="4FC8C09E" w:rsidR="009E4C42" w:rsidRPr="009E4C42" w:rsidRDefault="009E4C42" w:rsidP="009E4C42">
            <w:pPr>
              <w:pStyle w:val="Tablebody"/>
            </w:pPr>
            <w:r w:rsidRPr="009E4C42">
              <w:t>15:00 – 15:10</w:t>
            </w:r>
          </w:p>
        </w:tc>
        <w:tc>
          <w:tcPr>
            <w:tcW w:w="1984" w:type="dxa"/>
            <w:shd w:val="clear" w:color="auto" w:fill="FFFFFF" w:themeFill="background1"/>
            <w:vAlign w:val="center"/>
          </w:tcPr>
          <w:p w14:paraId="3C9D07B4" w14:textId="6BDE70E7" w:rsidR="009E4C42" w:rsidRPr="009E4C42" w:rsidRDefault="009E4C42" w:rsidP="009E4C42">
            <w:pPr>
              <w:pStyle w:val="Tablebody"/>
            </w:pPr>
            <w:r w:rsidRPr="009E4C42">
              <w:t>Snack Portioning and Plating</w:t>
            </w:r>
          </w:p>
        </w:tc>
        <w:tc>
          <w:tcPr>
            <w:tcW w:w="1843" w:type="dxa"/>
            <w:shd w:val="clear" w:color="auto" w:fill="6E3894" w:themeFill="accent2"/>
            <w:vAlign w:val="center"/>
          </w:tcPr>
          <w:p w14:paraId="6F3D60C6" w14:textId="4F9E3F35" w:rsidR="009E4C42" w:rsidRPr="009E4C42" w:rsidRDefault="009E4C42" w:rsidP="009E4C42">
            <w:pPr>
              <w:pStyle w:val="Tablebody"/>
            </w:pPr>
            <w:r w:rsidRPr="00604EF2">
              <w:rPr>
                <w:color w:val="FFFFFF" w:themeColor="background1"/>
              </w:rPr>
              <w:t>Snack Group</w:t>
            </w:r>
          </w:p>
        </w:tc>
        <w:tc>
          <w:tcPr>
            <w:tcW w:w="1985" w:type="dxa"/>
            <w:shd w:val="clear" w:color="auto" w:fill="FFFFFF" w:themeFill="background1"/>
            <w:vAlign w:val="center"/>
          </w:tcPr>
          <w:p w14:paraId="04EBC6AC" w14:textId="77777777" w:rsidR="009E4C42" w:rsidRPr="009E4C42" w:rsidRDefault="009E4C42" w:rsidP="009E4C42">
            <w:pPr>
              <w:pStyle w:val="Tablebody"/>
            </w:pPr>
            <w:r w:rsidRPr="009E4C42">
              <w:t>Snack Portioning and Plating</w:t>
            </w:r>
          </w:p>
          <w:p w14:paraId="20B68AB6" w14:textId="77777777" w:rsidR="009E4C42" w:rsidRPr="009E4C42" w:rsidRDefault="009E4C42" w:rsidP="009E4C42">
            <w:pPr>
              <w:pStyle w:val="Tablebody"/>
            </w:pPr>
          </w:p>
        </w:tc>
        <w:tc>
          <w:tcPr>
            <w:tcW w:w="2130" w:type="dxa"/>
            <w:shd w:val="clear" w:color="auto" w:fill="6E3894" w:themeFill="accent2"/>
            <w:vAlign w:val="center"/>
          </w:tcPr>
          <w:p w14:paraId="643175F8" w14:textId="77777777" w:rsidR="009E4C42" w:rsidRPr="00604EF2" w:rsidRDefault="009E4C42" w:rsidP="009E4C42">
            <w:pPr>
              <w:pStyle w:val="Tablebody"/>
              <w:rPr>
                <w:color w:val="FFFFFF" w:themeColor="background1"/>
              </w:rPr>
            </w:pPr>
            <w:r w:rsidRPr="00604EF2">
              <w:rPr>
                <w:color w:val="FFFFFF" w:themeColor="background1"/>
              </w:rPr>
              <w:t>Snack Group</w:t>
            </w:r>
          </w:p>
          <w:p w14:paraId="15F4287C" w14:textId="77777777" w:rsidR="009E4C42" w:rsidRPr="009E4C42" w:rsidRDefault="009E4C42" w:rsidP="009E4C42">
            <w:pPr>
              <w:pStyle w:val="Tablebody"/>
            </w:pPr>
          </w:p>
        </w:tc>
        <w:tc>
          <w:tcPr>
            <w:tcW w:w="1871" w:type="dxa"/>
            <w:shd w:val="clear" w:color="auto" w:fill="FFFFFF" w:themeFill="background1"/>
            <w:vAlign w:val="center"/>
          </w:tcPr>
          <w:p w14:paraId="109EE8EA" w14:textId="77777777" w:rsidR="009E4C42" w:rsidRPr="009E4C42" w:rsidRDefault="009E4C42" w:rsidP="009E4C42">
            <w:pPr>
              <w:pStyle w:val="Tablebody"/>
            </w:pPr>
            <w:r w:rsidRPr="009E4C42">
              <w:t>Snack Portioning and Plating</w:t>
            </w:r>
          </w:p>
          <w:p w14:paraId="52C1D1A5" w14:textId="77777777" w:rsidR="009E4C42" w:rsidRPr="009E4C42" w:rsidRDefault="009E4C42" w:rsidP="009E4C42">
            <w:pPr>
              <w:pStyle w:val="Tablebody"/>
            </w:pPr>
          </w:p>
        </w:tc>
        <w:tc>
          <w:tcPr>
            <w:tcW w:w="1871" w:type="dxa"/>
            <w:shd w:val="clear" w:color="auto" w:fill="FFFFFF" w:themeFill="background1"/>
            <w:vAlign w:val="center"/>
          </w:tcPr>
          <w:p w14:paraId="59378259" w14:textId="77777777" w:rsidR="009E4C42" w:rsidRPr="009E4C42" w:rsidRDefault="009E4C42" w:rsidP="009E4C42">
            <w:pPr>
              <w:pStyle w:val="Tablebody"/>
            </w:pPr>
            <w:r w:rsidRPr="009E4C42">
              <w:t>Snack Portioning and Plating</w:t>
            </w:r>
          </w:p>
          <w:p w14:paraId="70949469" w14:textId="77777777" w:rsidR="009E4C42" w:rsidRPr="009E4C42" w:rsidRDefault="009E4C42" w:rsidP="009E4C42">
            <w:pPr>
              <w:pStyle w:val="Tablebody"/>
            </w:pPr>
          </w:p>
        </w:tc>
        <w:tc>
          <w:tcPr>
            <w:tcW w:w="1871" w:type="dxa"/>
            <w:shd w:val="clear" w:color="auto" w:fill="FFFFFF" w:themeFill="background1"/>
            <w:vAlign w:val="center"/>
          </w:tcPr>
          <w:p w14:paraId="41907423" w14:textId="77777777" w:rsidR="009E4C42" w:rsidRPr="009E4C42" w:rsidRDefault="009E4C42" w:rsidP="009E4C42">
            <w:pPr>
              <w:pStyle w:val="Tablebody"/>
            </w:pPr>
            <w:r w:rsidRPr="009E4C42">
              <w:t>Snack Portioning and Plating</w:t>
            </w:r>
          </w:p>
          <w:p w14:paraId="0F0E6873" w14:textId="77777777" w:rsidR="009E4C42" w:rsidRPr="009E4C42" w:rsidRDefault="009E4C42" w:rsidP="009E4C42">
            <w:pPr>
              <w:pStyle w:val="Tablebody"/>
            </w:pPr>
          </w:p>
        </w:tc>
      </w:tr>
      <w:tr w:rsidR="00E120F2" w:rsidRPr="00604EF2" w14:paraId="143CF639"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435E2168" w14:textId="062E2474" w:rsidR="009E4C42" w:rsidRPr="00604EF2" w:rsidRDefault="00604EF2" w:rsidP="00604EF2">
            <w:pPr>
              <w:pStyle w:val="Tablebody"/>
            </w:pPr>
            <w:r w:rsidRPr="00604EF2">
              <w:t>15:10 – 15:30</w:t>
            </w:r>
          </w:p>
        </w:tc>
        <w:tc>
          <w:tcPr>
            <w:tcW w:w="1984" w:type="dxa"/>
            <w:shd w:val="clear" w:color="auto" w:fill="F172A4" w:themeFill="accent5"/>
            <w:vAlign w:val="center"/>
          </w:tcPr>
          <w:p w14:paraId="0D346DD3" w14:textId="0C677EEE" w:rsidR="009E4C42" w:rsidRPr="00604EF2" w:rsidRDefault="00604EF2" w:rsidP="00604EF2">
            <w:pPr>
              <w:pStyle w:val="Tablebody"/>
            </w:pPr>
            <w:r w:rsidRPr="00604EF2">
              <w:t>Afternoon Tea (including bolus ONS time)</w:t>
            </w:r>
          </w:p>
        </w:tc>
        <w:tc>
          <w:tcPr>
            <w:tcW w:w="1843" w:type="dxa"/>
            <w:shd w:val="clear" w:color="auto" w:fill="F172A4" w:themeFill="accent5"/>
            <w:vAlign w:val="center"/>
          </w:tcPr>
          <w:p w14:paraId="2F65DF5E" w14:textId="797D2EF3" w:rsidR="009E4C42" w:rsidRPr="00604EF2" w:rsidRDefault="00604EF2" w:rsidP="00604EF2">
            <w:pPr>
              <w:pStyle w:val="Tablebody"/>
            </w:pPr>
            <w:r w:rsidRPr="00604EF2">
              <w:t>Afternoon Tea (including bolus ONS time)</w:t>
            </w:r>
          </w:p>
        </w:tc>
        <w:tc>
          <w:tcPr>
            <w:tcW w:w="1985" w:type="dxa"/>
            <w:shd w:val="clear" w:color="auto" w:fill="F172A4" w:themeFill="accent5"/>
            <w:vAlign w:val="center"/>
          </w:tcPr>
          <w:p w14:paraId="7236D6F6" w14:textId="0FDA50BA" w:rsidR="009E4C42" w:rsidRPr="00604EF2" w:rsidRDefault="00604EF2" w:rsidP="00604EF2">
            <w:pPr>
              <w:pStyle w:val="Tablebody"/>
            </w:pPr>
            <w:r w:rsidRPr="00604EF2">
              <w:t>Afternoon Tea (including bolus ONS time)</w:t>
            </w:r>
          </w:p>
        </w:tc>
        <w:tc>
          <w:tcPr>
            <w:tcW w:w="2130" w:type="dxa"/>
            <w:shd w:val="clear" w:color="auto" w:fill="F172A4" w:themeFill="accent5"/>
            <w:vAlign w:val="center"/>
          </w:tcPr>
          <w:p w14:paraId="3CE195F3" w14:textId="3B96047B" w:rsidR="009E4C42" w:rsidRPr="00604EF2" w:rsidRDefault="00604EF2" w:rsidP="00604EF2">
            <w:pPr>
              <w:pStyle w:val="Tablebody"/>
            </w:pPr>
            <w:r w:rsidRPr="00604EF2">
              <w:t>Afternoon Tea (including bolus ONS time)</w:t>
            </w:r>
          </w:p>
        </w:tc>
        <w:tc>
          <w:tcPr>
            <w:tcW w:w="1871" w:type="dxa"/>
            <w:shd w:val="clear" w:color="auto" w:fill="F172A4" w:themeFill="accent5"/>
            <w:vAlign w:val="center"/>
          </w:tcPr>
          <w:p w14:paraId="35426B69" w14:textId="726A7054" w:rsidR="009E4C42" w:rsidRPr="00604EF2" w:rsidRDefault="00604EF2" w:rsidP="00604EF2">
            <w:pPr>
              <w:pStyle w:val="Tablebody"/>
            </w:pPr>
            <w:r w:rsidRPr="00604EF2">
              <w:t>Afternoon Tea (including bolus ONS time)</w:t>
            </w:r>
          </w:p>
        </w:tc>
        <w:tc>
          <w:tcPr>
            <w:tcW w:w="1871" w:type="dxa"/>
            <w:shd w:val="clear" w:color="auto" w:fill="F172A4" w:themeFill="accent5"/>
            <w:vAlign w:val="center"/>
          </w:tcPr>
          <w:p w14:paraId="501F76B5" w14:textId="5088AAEB" w:rsidR="009E4C42" w:rsidRPr="00604EF2" w:rsidRDefault="00604EF2" w:rsidP="00604EF2">
            <w:pPr>
              <w:pStyle w:val="Tablebody"/>
            </w:pPr>
            <w:r w:rsidRPr="00604EF2">
              <w:t>Afternoon Tea (including bolus ONS time)</w:t>
            </w:r>
          </w:p>
        </w:tc>
        <w:tc>
          <w:tcPr>
            <w:tcW w:w="1871" w:type="dxa"/>
            <w:shd w:val="clear" w:color="auto" w:fill="F172A4" w:themeFill="accent5"/>
            <w:vAlign w:val="center"/>
          </w:tcPr>
          <w:p w14:paraId="6219D63E" w14:textId="134A291E" w:rsidR="009E4C42" w:rsidRPr="00604EF2" w:rsidRDefault="00604EF2" w:rsidP="00604EF2">
            <w:pPr>
              <w:pStyle w:val="Tablebody"/>
            </w:pPr>
            <w:r w:rsidRPr="00604EF2">
              <w:t>Afternoon Tea (including bolus ONS time)</w:t>
            </w:r>
          </w:p>
        </w:tc>
      </w:tr>
      <w:tr w:rsidR="00E120F2" w:rsidRPr="009E4C42" w14:paraId="096C630F"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5CCC17F5" w14:textId="5426722A" w:rsidR="009E4C42" w:rsidRPr="009E4C42" w:rsidRDefault="00604EF2" w:rsidP="009E4C42">
            <w:pPr>
              <w:pStyle w:val="Tablebody"/>
            </w:pPr>
            <w:r w:rsidRPr="00604EF2">
              <w:t>1530- 1630</w:t>
            </w:r>
          </w:p>
        </w:tc>
        <w:tc>
          <w:tcPr>
            <w:tcW w:w="1984" w:type="dxa"/>
            <w:shd w:val="clear" w:color="auto" w:fill="9AF8A7"/>
            <w:vAlign w:val="center"/>
          </w:tcPr>
          <w:p w14:paraId="1CC00446" w14:textId="27D10CE6" w:rsidR="009E4C42" w:rsidRPr="009E4C42" w:rsidRDefault="00604EF2" w:rsidP="009E4C42">
            <w:pPr>
              <w:pStyle w:val="Tablebody"/>
            </w:pPr>
            <w:r>
              <w:t>Music Therapy</w:t>
            </w:r>
          </w:p>
        </w:tc>
        <w:tc>
          <w:tcPr>
            <w:tcW w:w="1843" w:type="dxa"/>
            <w:shd w:val="clear" w:color="auto" w:fill="3D2262" w:themeFill="accent1"/>
            <w:vAlign w:val="center"/>
          </w:tcPr>
          <w:p w14:paraId="0D70A4FC" w14:textId="13FCB040" w:rsidR="009E4C42" w:rsidRPr="00604EF2" w:rsidRDefault="00604EF2" w:rsidP="009E4C42">
            <w:pPr>
              <w:pStyle w:val="Tablebody"/>
              <w:rPr>
                <w:color w:val="FFFFFF" w:themeColor="background1"/>
              </w:rPr>
            </w:pPr>
            <w:r w:rsidRPr="00604EF2">
              <w:rPr>
                <w:color w:val="FFFFFF" w:themeColor="background1"/>
              </w:rPr>
              <w:t>House Meeting</w:t>
            </w:r>
          </w:p>
        </w:tc>
        <w:tc>
          <w:tcPr>
            <w:tcW w:w="1985" w:type="dxa"/>
            <w:shd w:val="clear" w:color="auto" w:fill="3D2262" w:themeFill="accent1"/>
            <w:vAlign w:val="center"/>
          </w:tcPr>
          <w:p w14:paraId="357609D3" w14:textId="7548B43B" w:rsidR="009E4C42" w:rsidRPr="00604EF2" w:rsidRDefault="00604EF2" w:rsidP="009E4C42">
            <w:pPr>
              <w:pStyle w:val="Tablebody"/>
              <w:rPr>
                <w:color w:val="FFFFFF" w:themeColor="background1"/>
              </w:rPr>
            </w:pPr>
            <w:r w:rsidRPr="00604EF2">
              <w:rPr>
                <w:color w:val="FFFFFF" w:themeColor="background1"/>
              </w:rPr>
              <w:t>Recreation time</w:t>
            </w:r>
          </w:p>
        </w:tc>
        <w:tc>
          <w:tcPr>
            <w:tcW w:w="2130" w:type="dxa"/>
            <w:shd w:val="clear" w:color="auto" w:fill="6E3894" w:themeFill="accent2"/>
            <w:vAlign w:val="center"/>
          </w:tcPr>
          <w:p w14:paraId="0C63B8ED" w14:textId="698757AC" w:rsidR="009E4C42" w:rsidRPr="009E4C42" w:rsidRDefault="00604EF2" w:rsidP="009E4C42">
            <w:pPr>
              <w:pStyle w:val="Tablebody"/>
            </w:pPr>
            <w:r w:rsidRPr="00604EF2">
              <w:rPr>
                <w:color w:val="FFFFFF" w:themeColor="background1"/>
              </w:rPr>
              <w:t>Journaling / Therapy dog visit on alternative weeks</w:t>
            </w:r>
          </w:p>
        </w:tc>
        <w:tc>
          <w:tcPr>
            <w:tcW w:w="1871" w:type="dxa"/>
            <w:shd w:val="clear" w:color="auto" w:fill="3D2262" w:themeFill="accent1"/>
            <w:vAlign w:val="center"/>
          </w:tcPr>
          <w:p w14:paraId="68BA0455" w14:textId="687FE552" w:rsidR="009E4C42" w:rsidRPr="00604EF2" w:rsidRDefault="00604EF2" w:rsidP="009E4C42">
            <w:pPr>
              <w:pStyle w:val="Tablebody"/>
              <w:rPr>
                <w:color w:val="FFFFFF" w:themeColor="background1"/>
              </w:rPr>
            </w:pPr>
            <w:r w:rsidRPr="00604EF2">
              <w:rPr>
                <w:color w:val="FFFFFF" w:themeColor="background1"/>
              </w:rPr>
              <w:t>Recreation</w:t>
            </w:r>
          </w:p>
        </w:tc>
        <w:tc>
          <w:tcPr>
            <w:tcW w:w="1871" w:type="dxa"/>
            <w:shd w:val="clear" w:color="auto" w:fill="3D2262" w:themeFill="accent1"/>
            <w:vAlign w:val="center"/>
          </w:tcPr>
          <w:p w14:paraId="43451F79" w14:textId="4BA8C0B8" w:rsidR="009E4C42" w:rsidRPr="00604EF2" w:rsidRDefault="00604EF2" w:rsidP="009E4C42">
            <w:pPr>
              <w:pStyle w:val="Tablebody"/>
              <w:rPr>
                <w:color w:val="FFFFFF" w:themeColor="background1"/>
              </w:rPr>
            </w:pPr>
            <w:r w:rsidRPr="00604EF2">
              <w:rPr>
                <w:color w:val="FFFFFF" w:themeColor="background1"/>
              </w:rPr>
              <w:t>Recreation</w:t>
            </w:r>
          </w:p>
        </w:tc>
        <w:tc>
          <w:tcPr>
            <w:tcW w:w="1871" w:type="dxa"/>
            <w:shd w:val="clear" w:color="auto" w:fill="3D2262" w:themeFill="accent1"/>
            <w:vAlign w:val="center"/>
          </w:tcPr>
          <w:p w14:paraId="4DD542B1" w14:textId="29E1EB20" w:rsidR="009E4C42" w:rsidRPr="00604EF2" w:rsidRDefault="00604EF2" w:rsidP="009E4C42">
            <w:pPr>
              <w:pStyle w:val="Tablebody"/>
              <w:rPr>
                <w:color w:val="FFFFFF" w:themeColor="background1"/>
              </w:rPr>
            </w:pPr>
            <w:r w:rsidRPr="00604EF2">
              <w:rPr>
                <w:color w:val="FFFFFF" w:themeColor="background1"/>
              </w:rPr>
              <w:t>Craft (AHA)</w:t>
            </w:r>
          </w:p>
        </w:tc>
      </w:tr>
      <w:tr w:rsidR="00604EF2" w:rsidRPr="00604EF2" w14:paraId="353005F8"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0FAA07BD" w14:textId="6017F81D" w:rsidR="00604EF2" w:rsidRPr="00604EF2" w:rsidRDefault="00604EF2" w:rsidP="00604EF2">
            <w:pPr>
              <w:pStyle w:val="Tablebody"/>
            </w:pPr>
            <w:r w:rsidRPr="00604EF2">
              <w:t>16:30 - 17:00</w:t>
            </w:r>
          </w:p>
        </w:tc>
        <w:tc>
          <w:tcPr>
            <w:tcW w:w="1984" w:type="dxa"/>
            <w:shd w:val="clear" w:color="auto" w:fill="9AF8A7"/>
            <w:vAlign w:val="center"/>
          </w:tcPr>
          <w:p w14:paraId="1F0DBA17" w14:textId="77777777" w:rsidR="00604EF2" w:rsidRDefault="00604EF2" w:rsidP="00604EF2">
            <w:pPr>
              <w:pStyle w:val="Tablebody"/>
            </w:pPr>
            <w:r w:rsidRPr="00604EF2">
              <w:t>Reflection/</w:t>
            </w:r>
          </w:p>
          <w:p w14:paraId="08F78F7E" w14:textId="7A40B286" w:rsidR="00604EF2" w:rsidRPr="00604EF2" w:rsidRDefault="00604EF2" w:rsidP="00604EF2">
            <w:pPr>
              <w:pStyle w:val="Tablebody"/>
            </w:pPr>
            <w:r w:rsidRPr="00604EF2">
              <w:t>Homework</w:t>
            </w:r>
          </w:p>
        </w:tc>
        <w:tc>
          <w:tcPr>
            <w:tcW w:w="1843" w:type="dxa"/>
            <w:shd w:val="clear" w:color="auto" w:fill="9AF8A7"/>
            <w:vAlign w:val="center"/>
          </w:tcPr>
          <w:p w14:paraId="2092AD31" w14:textId="77777777" w:rsidR="00604EF2" w:rsidRDefault="00604EF2" w:rsidP="00604EF2">
            <w:pPr>
              <w:pStyle w:val="Tablebody"/>
            </w:pPr>
            <w:r w:rsidRPr="00604EF2">
              <w:t>Reflection/</w:t>
            </w:r>
          </w:p>
          <w:p w14:paraId="1C48803C" w14:textId="6CA8BE1F" w:rsidR="00604EF2" w:rsidRPr="00604EF2" w:rsidRDefault="00604EF2" w:rsidP="00604EF2">
            <w:pPr>
              <w:pStyle w:val="Tablebody"/>
            </w:pPr>
            <w:r w:rsidRPr="00604EF2">
              <w:t>Homework</w:t>
            </w:r>
          </w:p>
        </w:tc>
        <w:tc>
          <w:tcPr>
            <w:tcW w:w="1985" w:type="dxa"/>
            <w:shd w:val="clear" w:color="auto" w:fill="9AF8A7"/>
            <w:vAlign w:val="center"/>
          </w:tcPr>
          <w:p w14:paraId="5AB64B88" w14:textId="77777777" w:rsidR="00604EF2" w:rsidRDefault="00604EF2" w:rsidP="00604EF2">
            <w:pPr>
              <w:pStyle w:val="Tablebody"/>
            </w:pPr>
            <w:r w:rsidRPr="00604EF2">
              <w:t>Reflection/</w:t>
            </w:r>
          </w:p>
          <w:p w14:paraId="246C3EC3" w14:textId="360AE314" w:rsidR="00604EF2" w:rsidRPr="00604EF2" w:rsidRDefault="00604EF2" w:rsidP="00604EF2">
            <w:pPr>
              <w:pStyle w:val="Tablebody"/>
            </w:pPr>
            <w:r w:rsidRPr="00604EF2">
              <w:t>Homework</w:t>
            </w:r>
          </w:p>
        </w:tc>
        <w:tc>
          <w:tcPr>
            <w:tcW w:w="2130" w:type="dxa"/>
            <w:shd w:val="clear" w:color="auto" w:fill="9AF8A7"/>
            <w:vAlign w:val="center"/>
          </w:tcPr>
          <w:p w14:paraId="2C7B25BE" w14:textId="77777777" w:rsidR="00604EF2" w:rsidRDefault="00604EF2" w:rsidP="00604EF2">
            <w:pPr>
              <w:pStyle w:val="Tablebody"/>
            </w:pPr>
            <w:r w:rsidRPr="00604EF2">
              <w:t>Reflection/</w:t>
            </w:r>
          </w:p>
          <w:p w14:paraId="67B084D2" w14:textId="1E7C955F" w:rsidR="00604EF2" w:rsidRPr="00604EF2" w:rsidRDefault="00604EF2" w:rsidP="00604EF2">
            <w:pPr>
              <w:pStyle w:val="Tablebody"/>
            </w:pPr>
            <w:r w:rsidRPr="00604EF2">
              <w:t>Homework</w:t>
            </w:r>
          </w:p>
        </w:tc>
        <w:tc>
          <w:tcPr>
            <w:tcW w:w="1871" w:type="dxa"/>
            <w:shd w:val="clear" w:color="auto" w:fill="9AF8A7"/>
            <w:vAlign w:val="center"/>
          </w:tcPr>
          <w:p w14:paraId="0DF3403C" w14:textId="77777777" w:rsidR="00604EF2" w:rsidRDefault="00604EF2" w:rsidP="00604EF2">
            <w:pPr>
              <w:pStyle w:val="Tablebody"/>
            </w:pPr>
            <w:r w:rsidRPr="00604EF2">
              <w:t>Reflection/</w:t>
            </w:r>
          </w:p>
          <w:p w14:paraId="79E45F27" w14:textId="0B63C7C3" w:rsidR="00604EF2" w:rsidRPr="00604EF2" w:rsidRDefault="00604EF2" w:rsidP="00604EF2">
            <w:pPr>
              <w:pStyle w:val="Tablebody"/>
            </w:pPr>
            <w:r w:rsidRPr="00604EF2">
              <w:t>Homework</w:t>
            </w:r>
          </w:p>
        </w:tc>
        <w:tc>
          <w:tcPr>
            <w:tcW w:w="1871" w:type="dxa"/>
            <w:shd w:val="clear" w:color="auto" w:fill="9AF8A7"/>
            <w:vAlign w:val="center"/>
          </w:tcPr>
          <w:p w14:paraId="76CC0175" w14:textId="77777777" w:rsidR="00604EF2" w:rsidRDefault="00604EF2" w:rsidP="00604EF2">
            <w:pPr>
              <w:pStyle w:val="Tablebody"/>
            </w:pPr>
            <w:r w:rsidRPr="00604EF2">
              <w:t>Reflection/</w:t>
            </w:r>
          </w:p>
          <w:p w14:paraId="49234677" w14:textId="47F400B5" w:rsidR="00604EF2" w:rsidRPr="00604EF2" w:rsidRDefault="00604EF2" w:rsidP="00604EF2">
            <w:pPr>
              <w:pStyle w:val="Tablebody"/>
            </w:pPr>
            <w:r w:rsidRPr="00604EF2">
              <w:t>Homework</w:t>
            </w:r>
          </w:p>
        </w:tc>
        <w:tc>
          <w:tcPr>
            <w:tcW w:w="1871" w:type="dxa"/>
            <w:shd w:val="clear" w:color="auto" w:fill="9AF8A7"/>
            <w:vAlign w:val="center"/>
          </w:tcPr>
          <w:p w14:paraId="1E8A2BD1" w14:textId="77777777" w:rsidR="00604EF2" w:rsidRDefault="00604EF2" w:rsidP="00604EF2">
            <w:pPr>
              <w:pStyle w:val="Tablebody"/>
            </w:pPr>
            <w:r w:rsidRPr="00604EF2">
              <w:t>Reflection/</w:t>
            </w:r>
          </w:p>
          <w:p w14:paraId="69532143" w14:textId="0B60E051" w:rsidR="00604EF2" w:rsidRPr="00604EF2" w:rsidRDefault="00604EF2" w:rsidP="00604EF2">
            <w:pPr>
              <w:pStyle w:val="Tablebody"/>
            </w:pPr>
            <w:r w:rsidRPr="00604EF2">
              <w:t>Homework</w:t>
            </w:r>
          </w:p>
        </w:tc>
      </w:tr>
      <w:tr w:rsidR="00E120F2" w:rsidRPr="00604EF2" w14:paraId="37F5CAB8"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2840A570" w14:textId="66C10377" w:rsidR="00604EF2" w:rsidRPr="00604EF2" w:rsidRDefault="00604EF2" w:rsidP="00604EF2">
            <w:pPr>
              <w:pStyle w:val="Tablebody"/>
            </w:pPr>
            <w:r w:rsidRPr="00604EF2">
              <w:t>17:00 -17:20</w:t>
            </w:r>
          </w:p>
        </w:tc>
        <w:tc>
          <w:tcPr>
            <w:tcW w:w="1984" w:type="dxa"/>
            <w:shd w:val="clear" w:color="auto" w:fill="FFFFFF" w:themeFill="background1"/>
            <w:vAlign w:val="center"/>
          </w:tcPr>
          <w:p w14:paraId="5317709C" w14:textId="4D696CD1" w:rsidR="00604EF2" w:rsidRPr="00604EF2" w:rsidRDefault="00604EF2" w:rsidP="00604EF2">
            <w:pPr>
              <w:pStyle w:val="Tablebody"/>
            </w:pPr>
            <w:r w:rsidRPr="00604EF2">
              <w:t>Meal Portioning and Plating</w:t>
            </w:r>
          </w:p>
        </w:tc>
        <w:tc>
          <w:tcPr>
            <w:tcW w:w="1843" w:type="dxa"/>
            <w:shd w:val="clear" w:color="auto" w:fill="FFFFFF" w:themeFill="background1"/>
            <w:vAlign w:val="center"/>
          </w:tcPr>
          <w:p w14:paraId="4547EFFB" w14:textId="1FAB10F3" w:rsidR="00604EF2" w:rsidRPr="00604EF2" w:rsidRDefault="00604EF2" w:rsidP="00604EF2">
            <w:pPr>
              <w:pStyle w:val="Tablebody"/>
            </w:pPr>
            <w:r w:rsidRPr="00604EF2">
              <w:t>Meal Portioning and Plating</w:t>
            </w:r>
          </w:p>
        </w:tc>
        <w:tc>
          <w:tcPr>
            <w:tcW w:w="1985" w:type="dxa"/>
            <w:shd w:val="clear" w:color="auto" w:fill="FFFFFF" w:themeFill="background1"/>
            <w:vAlign w:val="center"/>
          </w:tcPr>
          <w:p w14:paraId="73CE4BD1" w14:textId="00B5F447" w:rsidR="00604EF2" w:rsidRPr="00604EF2" w:rsidRDefault="00604EF2" w:rsidP="00604EF2">
            <w:pPr>
              <w:pStyle w:val="Tablebody"/>
            </w:pPr>
            <w:r w:rsidRPr="00604EF2">
              <w:t>Meal Portioning and Plating</w:t>
            </w:r>
          </w:p>
        </w:tc>
        <w:tc>
          <w:tcPr>
            <w:tcW w:w="2130" w:type="dxa"/>
            <w:shd w:val="clear" w:color="auto" w:fill="FFFFFF" w:themeFill="background1"/>
            <w:vAlign w:val="center"/>
          </w:tcPr>
          <w:p w14:paraId="4C3F96BF" w14:textId="5F68EB88" w:rsidR="00604EF2" w:rsidRPr="00604EF2" w:rsidRDefault="00604EF2" w:rsidP="00604EF2">
            <w:pPr>
              <w:pStyle w:val="Tablebody"/>
            </w:pPr>
            <w:r w:rsidRPr="00604EF2">
              <w:t>Meal Portioning and Plating</w:t>
            </w:r>
          </w:p>
        </w:tc>
        <w:tc>
          <w:tcPr>
            <w:tcW w:w="1871" w:type="dxa"/>
            <w:shd w:val="clear" w:color="auto" w:fill="FFFFFF" w:themeFill="background1"/>
            <w:vAlign w:val="center"/>
          </w:tcPr>
          <w:p w14:paraId="3E87071C" w14:textId="5720B2E6" w:rsidR="00604EF2" w:rsidRPr="00604EF2" w:rsidRDefault="00604EF2" w:rsidP="00604EF2">
            <w:pPr>
              <w:pStyle w:val="Tablebody"/>
            </w:pPr>
            <w:r w:rsidRPr="00604EF2">
              <w:t>Meal Portioning and Plating</w:t>
            </w:r>
          </w:p>
        </w:tc>
        <w:tc>
          <w:tcPr>
            <w:tcW w:w="1871" w:type="dxa"/>
            <w:shd w:val="clear" w:color="auto" w:fill="FFFFFF" w:themeFill="background1"/>
            <w:vAlign w:val="center"/>
          </w:tcPr>
          <w:p w14:paraId="5D28A253" w14:textId="1C7BF57A" w:rsidR="00604EF2" w:rsidRPr="00604EF2" w:rsidRDefault="00604EF2" w:rsidP="00604EF2">
            <w:pPr>
              <w:pStyle w:val="Tablebody"/>
            </w:pPr>
            <w:r w:rsidRPr="00604EF2">
              <w:t>Meal Portioning and Plating</w:t>
            </w:r>
          </w:p>
        </w:tc>
        <w:tc>
          <w:tcPr>
            <w:tcW w:w="1871" w:type="dxa"/>
            <w:shd w:val="clear" w:color="auto" w:fill="FFFFFF" w:themeFill="background1"/>
            <w:vAlign w:val="center"/>
          </w:tcPr>
          <w:p w14:paraId="7AE82C3B" w14:textId="5A850D94" w:rsidR="00604EF2" w:rsidRPr="00604EF2" w:rsidRDefault="00604EF2" w:rsidP="00604EF2">
            <w:pPr>
              <w:pStyle w:val="Tablebody"/>
            </w:pPr>
            <w:r w:rsidRPr="00604EF2">
              <w:t>Meal Portioning and Plating</w:t>
            </w:r>
          </w:p>
        </w:tc>
      </w:tr>
      <w:tr w:rsidR="00604EF2" w:rsidRPr="00604EF2" w14:paraId="3BB42DE1"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05942B54" w14:textId="6FC5D729" w:rsidR="00604EF2" w:rsidRPr="00604EF2" w:rsidRDefault="00604EF2" w:rsidP="00604EF2">
            <w:pPr>
              <w:pStyle w:val="Tablebody"/>
            </w:pPr>
            <w:r w:rsidRPr="00604EF2">
              <w:t>17:20 - 18.00</w:t>
            </w:r>
          </w:p>
        </w:tc>
        <w:tc>
          <w:tcPr>
            <w:tcW w:w="1984" w:type="dxa"/>
            <w:shd w:val="clear" w:color="auto" w:fill="F172A4" w:themeFill="accent5"/>
            <w:vAlign w:val="center"/>
          </w:tcPr>
          <w:p w14:paraId="204EEDA4" w14:textId="080CBEAE" w:rsidR="00604EF2" w:rsidRPr="00604EF2" w:rsidRDefault="00604EF2" w:rsidP="00604EF2">
            <w:pPr>
              <w:pStyle w:val="Tablebody"/>
            </w:pPr>
            <w:r w:rsidRPr="00604EF2">
              <w:t>Dinner (including bolus ONS time)</w:t>
            </w:r>
          </w:p>
        </w:tc>
        <w:tc>
          <w:tcPr>
            <w:tcW w:w="1843" w:type="dxa"/>
            <w:shd w:val="clear" w:color="auto" w:fill="F172A4" w:themeFill="accent5"/>
            <w:vAlign w:val="center"/>
          </w:tcPr>
          <w:p w14:paraId="0EFF61EE" w14:textId="0844CCC8" w:rsidR="00604EF2" w:rsidRPr="00604EF2" w:rsidRDefault="00604EF2" w:rsidP="00604EF2">
            <w:pPr>
              <w:pStyle w:val="Tablebody"/>
            </w:pPr>
            <w:r w:rsidRPr="00604EF2">
              <w:t>Dinner (including bolus ONS time)</w:t>
            </w:r>
          </w:p>
        </w:tc>
        <w:tc>
          <w:tcPr>
            <w:tcW w:w="1985" w:type="dxa"/>
            <w:shd w:val="clear" w:color="auto" w:fill="F172A4" w:themeFill="accent5"/>
            <w:vAlign w:val="center"/>
          </w:tcPr>
          <w:p w14:paraId="765CA786" w14:textId="5270D58B" w:rsidR="00604EF2" w:rsidRPr="00604EF2" w:rsidRDefault="00604EF2" w:rsidP="00604EF2">
            <w:pPr>
              <w:pStyle w:val="Tablebody"/>
            </w:pPr>
            <w:r w:rsidRPr="00604EF2">
              <w:t>Dinner (including bolus ONS time)</w:t>
            </w:r>
          </w:p>
        </w:tc>
        <w:tc>
          <w:tcPr>
            <w:tcW w:w="2130" w:type="dxa"/>
            <w:shd w:val="clear" w:color="auto" w:fill="F172A4" w:themeFill="accent5"/>
            <w:vAlign w:val="center"/>
          </w:tcPr>
          <w:p w14:paraId="5B93A522" w14:textId="4DBD1AE0" w:rsidR="00604EF2" w:rsidRPr="00604EF2" w:rsidRDefault="00604EF2" w:rsidP="00604EF2">
            <w:pPr>
              <w:pStyle w:val="Tablebody"/>
            </w:pPr>
            <w:r w:rsidRPr="00604EF2">
              <w:t>Dinner (including bolus ONS time)</w:t>
            </w:r>
          </w:p>
        </w:tc>
        <w:tc>
          <w:tcPr>
            <w:tcW w:w="1871" w:type="dxa"/>
            <w:shd w:val="clear" w:color="auto" w:fill="F172A4" w:themeFill="accent5"/>
            <w:vAlign w:val="center"/>
          </w:tcPr>
          <w:p w14:paraId="4A32E118" w14:textId="6ABCD3FF" w:rsidR="00604EF2" w:rsidRPr="00604EF2" w:rsidRDefault="00604EF2" w:rsidP="00604EF2">
            <w:pPr>
              <w:pStyle w:val="Tablebody"/>
            </w:pPr>
            <w:r w:rsidRPr="00604EF2">
              <w:t>Dinner (including bolus ONS time)</w:t>
            </w:r>
          </w:p>
        </w:tc>
        <w:tc>
          <w:tcPr>
            <w:tcW w:w="1871" w:type="dxa"/>
            <w:shd w:val="clear" w:color="auto" w:fill="F172A4" w:themeFill="accent5"/>
            <w:vAlign w:val="center"/>
          </w:tcPr>
          <w:p w14:paraId="1CF22419" w14:textId="691DC88F" w:rsidR="00604EF2" w:rsidRPr="00604EF2" w:rsidRDefault="00604EF2" w:rsidP="00604EF2">
            <w:pPr>
              <w:pStyle w:val="Tablebody"/>
            </w:pPr>
            <w:r w:rsidRPr="00604EF2">
              <w:t>Dinner (including bolus ONS time)</w:t>
            </w:r>
          </w:p>
        </w:tc>
        <w:tc>
          <w:tcPr>
            <w:tcW w:w="1871" w:type="dxa"/>
            <w:shd w:val="clear" w:color="auto" w:fill="F172A4" w:themeFill="accent5"/>
            <w:vAlign w:val="center"/>
          </w:tcPr>
          <w:p w14:paraId="105F8669" w14:textId="36A3F782" w:rsidR="00604EF2" w:rsidRPr="00604EF2" w:rsidRDefault="00604EF2" w:rsidP="00604EF2">
            <w:pPr>
              <w:pStyle w:val="Tablebody"/>
            </w:pPr>
            <w:r w:rsidRPr="00604EF2">
              <w:t>Dinner (including bolus ONS time)</w:t>
            </w:r>
          </w:p>
        </w:tc>
      </w:tr>
      <w:tr w:rsidR="00604EF2" w:rsidRPr="00604EF2" w14:paraId="74A7EE89"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100C867B" w14:textId="48CE238F" w:rsidR="00604EF2" w:rsidRPr="00604EF2" w:rsidRDefault="00604EF2" w:rsidP="00604EF2">
            <w:pPr>
              <w:pStyle w:val="Tablebody"/>
            </w:pPr>
            <w:r w:rsidRPr="00604EF2">
              <w:t>18:00 - 1930</w:t>
            </w:r>
          </w:p>
        </w:tc>
        <w:tc>
          <w:tcPr>
            <w:tcW w:w="1984" w:type="dxa"/>
            <w:shd w:val="clear" w:color="auto" w:fill="FFFFFF" w:themeFill="background1"/>
            <w:vAlign w:val="center"/>
          </w:tcPr>
          <w:p w14:paraId="4B8FD062" w14:textId="77777777" w:rsidR="00604EF2" w:rsidRPr="00604EF2" w:rsidRDefault="00604EF2" w:rsidP="00604EF2">
            <w:pPr>
              <w:pStyle w:val="Tablebody"/>
            </w:pPr>
          </w:p>
        </w:tc>
        <w:tc>
          <w:tcPr>
            <w:tcW w:w="1843" w:type="dxa"/>
            <w:shd w:val="clear" w:color="auto" w:fill="00B5A5" w:themeFill="accent3"/>
            <w:vAlign w:val="center"/>
          </w:tcPr>
          <w:p w14:paraId="673A262D" w14:textId="77BC426A" w:rsidR="00604EF2" w:rsidRPr="00604EF2" w:rsidRDefault="00604EF2" w:rsidP="00604EF2">
            <w:pPr>
              <w:pStyle w:val="Tablebody"/>
            </w:pPr>
            <w:r w:rsidRPr="00604EF2">
              <w:t>Family/Friends Visit</w:t>
            </w:r>
          </w:p>
        </w:tc>
        <w:tc>
          <w:tcPr>
            <w:tcW w:w="1985" w:type="dxa"/>
            <w:shd w:val="clear" w:color="auto" w:fill="FFFFFF" w:themeFill="background1"/>
            <w:vAlign w:val="center"/>
          </w:tcPr>
          <w:p w14:paraId="3CD77FBD" w14:textId="77777777" w:rsidR="00604EF2" w:rsidRPr="00604EF2" w:rsidRDefault="00604EF2" w:rsidP="00604EF2">
            <w:pPr>
              <w:pStyle w:val="Tablebody"/>
            </w:pPr>
          </w:p>
        </w:tc>
        <w:tc>
          <w:tcPr>
            <w:tcW w:w="2130" w:type="dxa"/>
            <w:shd w:val="clear" w:color="auto" w:fill="00B5A5" w:themeFill="accent3"/>
            <w:vAlign w:val="center"/>
          </w:tcPr>
          <w:p w14:paraId="324C4503" w14:textId="0C4CE52E" w:rsidR="00604EF2" w:rsidRPr="00604EF2" w:rsidRDefault="00604EF2" w:rsidP="00604EF2">
            <w:pPr>
              <w:pStyle w:val="Tablebody"/>
            </w:pPr>
            <w:r w:rsidRPr="00604EF2">
              <w:t>Family/Friends Visit</w:t>
            </w:r>
          </w:p>
        </w:tc>
        <w:tc>
          <w:tcPr>
            <w:tcW w:w="1871" w:type="dxa"/>
            <w:shd w:val="clear" w:color="auto" w:fill="FFFFFF" w:themeFill="background1"/>
            <w:vAlign w:val="center"/>
          </w:tcPr>
          <w:p w14:paraId="33004547" w14:textId="77777777" w:rsidR="00604EF2" w:rsidRPr="00604EF2" w:rsidRDefault="00604EF2" w:rsidP="00604EF2">
            <w:pPr>
              <w:pStyle w:val="Tablebody"/>
            </w:pPr>
          </w:p>
        </w:tc>
        <w:tc>
          <w:tcPr>
            <w:tcW w:w="1871" w:type="dxa"/>
            <w:shd w:val="clear" w:color="auto" w:fill="FFFFFF" w:themeFill="background1"/>
            <w:vAlign w:val="center"/>
          </w:tcPr>
          <w:p w14:paraId="2C6E8FAF" w14:textId="77777777" w:rsidR="00604EF2" w:rsidRPr="00604EF2" w:rsidRDefault="00604EF2" w:rsidP="00604EF2">
            <w:pPr>
              <w:pStyle w:val="Tablebody"/>
            </w:pPr>
          </w:p>
        </w:tc>
        <w:tc>
          <w:tcPr>
            <w:tcW w:w="1871" w:type="dxa"/>
            <w:shd w:val="clear" w:color="auto" w:fill="FFFFFF" w:themeFill="background1"/>
            <w:vAlign w:val="center"/>
          </w:tcPr>
          <w:p w14:paraId="288AECB7" w14:textId="77777777" w:rsidR="00604EF2" w:rsidRPr="00604EF2" w:rsidRDefault="00604EF2" w:rsidP="00604EF2">
            <w:pPr>
              <w:pStyle w:val="Tablebody"/>
            </w:pPr>
          </w:p>
        </w:tc>
      </w:tr>
      <w:tr w:rsidR="00604EF2" w:rsidRPr="00604EF2" w14:paraId="0D435595"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1BBA6F45" w14:textId="5D2B34F0" w:rsidR="00604EF2" w:rsidRPr="00604EF2" w:rsidRDefault="00604EF2" w:rsidP="00604EF2">
            <w:pPr>
              <w:pStyle w:val="Tablebody"/>
            </w:pPr>
            <w:r w:rsidRPr="00604EF2">
              <w:t>1930-19:40</w:t>
            </w:r>
          </w:p>
        </w:tc>
        <w:tc>
          <w:tcPr>
            <w:tcW w:w="1984" w:type="dxa"/>
            <w:shd w:val="clear" w:color="auto" w:fill="FFFFFF" w:themeFill="background1"/>
            <w:vAlign w:val="center"/>
          </w:tcPr>
          <w:p w14:paraId="5A4B5FB7" w14:textId="44000538" w:rsidR="00604EF2" w:rsidRPr="00604EF2" w:rsidRDefault="00604EF2" w:rsidP="00604EF2">
            <w:pPr>
              <w:pStyle w:val="Tablebody"/>
            </w:pPr>
            <w:r w:rsidRPr="00604EF2">
              <w:t xml:space="preserve">Snack Portioning and Plating </w:t>
            </w:r>
          </w:p>
        </w:tc>
        <w:tc>
          <w:tcPr>
            <w:tcW w:w="1843" w:type="dxa"/>
            <w:shd w:val="clear" w:color="auto" w:fill="FFFFFF" w:themeFill="background1"/>
            <w:vAlign w:val="center"/>
          </w:tcPr>
          <w:p w14:paraId="18A3CB6C" w14:textId="4FD50A50" w:rsidR="00604EF2" w:rsidRPr="00604EF2" w:rsidRDefault="00604EF2" w:rsidP="00604EF2">
            <w:pPr>
              <w:pStyle w:val="Tablebody"/>
            </w:pPr>
            <w:r w:rsidRPr="00604EF2">
              <w:t>Snack Portioning and Plating</w:t>
            </w:r>
          </w:p>
        </w:tc>
        <w:tc>
          <w:tcPr>
            <w:tcW w:w="1985" w:type="dxa"/>
            <w:shd w:val="clear" w:color="auto" w:fill="FFFFFF" w:themeFill="background1"/>
            <w:vAlign w:val="center"/>
          </w:tcPr>
          <w:p w14:paraId="5EBF9CD7" w14:textId="3AF97827" w:rsidR="00604EF2" w:rsidRPr="00604EF2" w:rsidRDefault="00604EF2" w:rsidP="00604EF2">
            <w:pPr>
              <w:pStyle w:val="Tablebody"/>
            </w:pPr>
            <w:r w:rsidRPr="00604EF2">
              <w:t>Snack Portioning and Plating</w:t>
            </w:r>
          </w:p>
        </w:tc>
        <w:tc>
          <w:tcPr>
            <w:tcW w:w="2130" w:type="dxa"/>
            <w:shd w:val="clear" w:color="auto" w:fill="FFFFFF" w:themeFill="background1"/>
            <w:vAlign w:val="center"/>
          </w:tcPr>
          <w:p w14:paraId="77F0BD31" w14:textId="0F8348E3" w:rsidR="00604EF2" w:rsidRPr="00604EF2" w:rsidRDefault="00604EF2" w:rsidP="00604EF2">
            <w:pPr>
              <w:pStyle w:val="Tablebody"/>
            </w:pPr>
            <w:r w:rsidRPr="00604EF2">
              <w:t>Snack Portioning and Plating</w:t>
            </w:r>
          </w:p>
        </w:tc>
        <w:tc>
          <w:tcPr>
            <w:tcW w:w="1871" w:type="dxa"/>
            <w:shd w:val="clear" w:color="auto" w:fill="FFFFFF" w:themeFill="background1"/>
            <w:vAlign w:val="center"/>
          </w:tcPr>
          <w:p w14:paraId="6996FFE0" w14:textId="3A8FE257" w:rsidR="00604EF2" w:rsidRPr="00604EF2" w:rsidRDefault="00604EF2" w:rsidP="00604EF2">
            <w:pPr>
              <w:pStyle w:val="Tablebody"/>
            </w:pPr>
            <w:r w:rsidRPr="00604EF2">
              <w:t>Snack Portioning and Plating</w:t>
            </w:r>
          </w:p>
        </w:tc>
        <w:tc>
          <w:tcPr>
            <w:tcW w:w="1871" w:type="dxa"/>
            <w:shd w:val="clear" w:color="auto" w:fill="FFFFFF" w:themeFill="background1"/>
            <w:vAlign w:val="center"/>
          </w:tcPr>
          <w:p w14:paraId="60E336F9" w14:textId="3CEAEE16" w:rsidR="00604EF2" w:rsidRPr="00604EF2" w:rsidRDefault="00604EF2" w:rsidP="00604EF2">
            <w:pPr>
              <w:pStyle w:val="Tablebody"/>
            </w:pPr>
            <w:r w:rsidRPr="00604EF2">
              <w:t>Snack Portioning and Plating</w:t>
            </w:r>
          </w:p>
        </w:tc>
        <w:tc>
          <w:tcPr>
            <w:tcW w:w="1871" w:type="dxa"/>
            <w:shd w:val="clear" w:color="auto" w:fill="FFFFFF" w:themeFill="background1"/>
            <w:vAlign w:val="center"/>
          </w:tcPr>
          <w:p w14:paraId="07C0DF4E" w14:textId="1BBC8A9A" w:rsidR="00604EF2" w:rsidRPr="00604EF2" w:rsidRDefault="00604EF2" w:rsidP="00604EF2">
            <w:pPr>
              <w:pStyle w:val="Tablebody"/>
            </w:pPr>
            <w:r w:rsidRPr="00604EF2">
              <w:t>Snack Portioning and Plating</w:t>
            </w:r>
          </w:p>
        </w:tc>
      </w:tr>
      <w:tr w:rsidR="00604EF2" w:rsidRPr="00604EF2" w14:paraId="43408AAC" w14:textId="77777777" w:rsidTr="00E120F2">
        <w:tc>
          <w:tcPr>
            <w:tcW w:w="1413" w:type="dxa"/>
            <w:tcBorders>
              <w:top w:val="single" w:sz="6" w:space="0" w:color="000000"/>
              <w:left w:val="single" w:sz="6" w:space="0" w:color="000000"/>
              <w:bottom w:val="single" w:sz="6" w:space="0" w:color="000000"/>
              <w:right w:val="single" w:sz="6" w:space="0" w:color="000000"/>
            </w:tcBorders>
          </w:tcPr>
          <w:p w14:paraId="479E130C" w14:textId="36FFB951" w:rsidR="00604EF2" w:rsidRPr="00604EF2" w:rsidRDefault="00604EF2" w:rsidP="00604EF2">
            <w:pPr>
              <w:pStyle w:val="Tablebody"/>
            </w:pPr>
            <w:r w:rsidRPr="00604EF2">
              <w:t>19:40-20:00</w:t>
            </w:r>
          </w:p>
        </w:tc>
        <w:tc>
          <w:tcPr>
            <w:tcW w:w="1984" w:type="dxa"/>
            <w:shd w:val="clear" w:color="auto" w:fill="DDDDDD" w:themeFill="text2" w:themeFillTint="33"/>
            <w:vAlign w:val="center"/>
          </w:tcPr>
          <w:p w14:paraId="164D9BBD" w14:textId="3E5B75CD" w:rsidR="00604EF2" w:rsidRPr="00604EF2" w:rsidRDefault="00604EF2" w:rsidP="00604EF2">
            <w:pPr>
              <w:pStyle w:val="Tablebody"/>
            </w:pPr>
            <w:r w:rsidRPr="00604EF2">
              <w:t>Supper (including bolus ONS time)</w:t>
            </w:r>
          </w:p>
        </w:tc>
        <w:tc>
          <w:tcPr>
            <w:tcW w:w="1843" w:type="dxa"/>
            <w:shd w:val="clear" w:color="auto" w:fill="DDDDDD" w:themeFill="text2" w:themeFillTint="33"/>
            <w:vAlign w:val="center"/>
          </w:tcPr>
          <w:p w14:paraId="3A5C561C" w14:textId="10A0BBBA" w:rsidR="00604EF2" w:rsidRPr="00604EF2" w:rsidRDefault="00604EF2" w:rsidP="00604EF2">
            <w:pPr>
              <w:pStyle w:val="Tablebody"/>
            </w:pPr>
            <w:r w:rsidRPr="00604EF2">
              <w:t>Supper (including bolus ONS time)</w:t>
            </w:r>
          </w:p>
        </w:tc>
        <w:tc>
          <w:tcPr>
            <w:tcW w:w="1985" w:type="dxa"/>
            <w:shd w:val="clear" w:color="auto" w:fill="DDDDDD" w:themeFill="text2" w:themeFillTint="33"/>
            <w:vAlign w:val="center"/>
          </w:tcPr>
          <w:p w14:paraId="03604FB6" w14:textId="014E88B8" w:rsidR="00604EF2" w:rsidRPr="00604EF2" w:rsidRDefault="00604EF2" w:rsidP="00604EF2">
            <w:pPr>
              <w:pStyle w:val="Tablebody"/>
            </w:pPr>
            <w:r w:rsidRPr="00604EF2">
              <w:t>Supper (including bolus ONS time)</w:t>
            </w:r>
          </w:p>
        </w:tc>
        <w:tc>
          <w:tcPr>
            <w:tcW w:w="2130" w:type="dxa"/>
            <w:shd w:val="clear" w:color="auto" w:fill="DDDDDD" w:themeFill="text2" w:themeFillTint="33"/>
            <w:vAlign w:val="center"/>
          </w:tcPr>
          <w:p w14:paraId="20DE9CEF" w14:textId="3CDFAC86" w:rsidR="00604EF2" w:rsidRPr="00604EF2" w:rsidRDefault="00604EF2" w:rsidP="00604EF2">
            <w:pPr>
              <w:pStyle w:val="Tablebody"/>
            </w:pPr>
            <w:r w:rsidRPr="00604EF2">
              <w:t>Supper (including bolus ONS time)</w:t>
            </w:r>
          </w:p>
        </w:tc>
        <w:tc>
          <w:tcPr>
            <w:tcW w:w="1871" w:type="dxa"/>
            <w:shd w:val="clear" w:color="auto" w:fill="DDDDDD" w:themeFill="text2" w:themeFillTint="33"/>
            <w:vAlign w:val="center"/>
          </w:tcPr>
          <w:p w14:paraId="17374FEC" w14:textId="6BEA5490" w:rsidR="00604EF2" w:rsidRPr="00604EF2" w:rsidRDefault="00604EF2" w:rsidP="00604EF2">
            <w:pPr>
              <w:pStyle w:val="Tablebody"/>
            </w:pPr>
            <w:r w:rsidRPr="00604EF2">
              <w:t>Supper (including bolus ONS time)</w:t>
            </w:r>
          </w:p>
        </w:tc>
        <w:tc>
          <w:tcPr>
            <w:tcW w:w="1871" w:type="dxa"/>
            <w:shd w:val="clear" w:color="auto" w:fill="DDDDDD" w:themeFill="text2" w:themeFillTint="33"/>
            <w:vAlign w:val="center"/>
          </w:tcPr>
          <w:p w14:paraId="4001D512" w14:textId="17BB1359" w:rsidR="00604EF2" w:rsidRPr="00604EF2" w:rsidRDefault="00604EF2" w:rsidP="00604EF2">
            <w:pPr>
              <w:pStyle w:val="Tablebody"/>
            </w:pPr>
            <w:r w:rsidRPr="00604EF2">
              <w:t>Supper (including bolus ONS time)</w:t>
            </w:r>
          </w:p>
        </w:tc>
        <w:tc>
          <w:tcPr>
            <w:tcW w:w="1871" w:type="dxa"/>
            <w:shd w:val="clear" w:color="auto" w:fill="DDDDDD" w:themeFill="text2" w:themeFillTint="33"/>
            <w:vAlign w:val="center"/>
          </w:tcPr>
          <w:p w14:paraId="2157E031" w14:textId="7EE1FAB2" w:rsidR="00604EF2" w:rsidRPr="00604EF2" w:rsidRDefault="00604EF2" w:rsidP="00604EF2">
            <w:pPr>
              <w:pStyle w:val="Tablebody"/>
            </w:pPr>
            <w:r w:rsidRPr="00604EF2">
              <w:t>Supper (including bolus ONS time)</w:t>
            </w:r>
          </w:p>
        </w:tc>
      </w:tr>
    </w:tbl>
    <w:p w14:paraId="436F094D" w14:textId="77777777" w:rsidR="00473AA0" w:rsidRDefault="00473AA0" w:rsidP="00201AF6">
      <w:pPr>
        <w:pStyle w:val="BodyCopy"/>
      </w:pPr>
    </w:p>
    <w:p w14:paraId="32840374" w14:textId="77777777" w:rsidR="00EC76EA" w:rsidRDefault="00EC76EA" w:rsidP="00201AF6">
      <w:pPr>
        <w:pStyle w:val="BodyCopy"/>
      </w:pPr>
    </w:p>
    <w:sectPr w:rsidR="00EC76EA" w:rsidSect="004D75E2">
      <w:pgSz w:w="16838" w:h="11906" w:orient="landscape" w:code="9"/>
      <w:pgMar w:top="851" w:right="970" w:bottom="1134" w:left="1134" w:header="284"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FEFE" w14:textId="77777777" w:rsidR="006F6224" w:rsidRDefault="006F6224" w:rsidP="00225769">
      <w:pPr>
        <w:spacing w:after="0" w:line="240" w:lineRule="auto"/>
      </w:pPr>
      <w:r>
        <w:separator/>
      </w:r>
    </w:p>
    <w:p w14:paraId="3FEC0840" w14:textId="77777777" w:rsidR="006F6224" w:rsidRDefault="006F6224"/>
    <w:p w14:paraId="5D055F02" w14:textId="77777777" w:rsidR="006F6224" w:rsidRDefault="006F6224"/>
    <w:p w14:paraId="321AAED0" w14:textId="77777777" w:rsidR="006F6224" w:rsidRDefault="006F6224"/>
    <w:p w14:paraId="44B1284B" w14:textId="77777777" w:rsidR="006F6224" w:rsidRDefault="006F6224"/>
    <w:p w14:paraId="5B63B111" w14:textId="77777777" w:rsidR="006F6224" w:rsidRDefault="006F6224"/>
    <w:p w14:paraId="1A8CC1A1" w14:textId="77777777" w:rsidR="006F6224" w:rsidRDefault="006F6224"/>
  </w:endnote>
  <w:endnote w:type="continuationSeparator" w:id="0">
    <w:p w14:paraId="3215B7B2" w14:textId="77777777" w:rsidR="006F6224" w:rsidRDefault="006F6224" w:rsidP="00225769">
      <w:pPr>
        <w:spacing w:after="0" w:line="240" w:lineRule="auto"/>
      </w:pPr>
      <w:r>
        <w:continuationSeparator/>
      </w:r>
    </w:p>
    <w:p w14:paraId="0634F239" w14:textId="77777777" w:rsidR="006F6224" w:rsidRDefault="006F6224"/>
    <w:p w14:paraId="383D1DEB" w14:textId="77777777" w:rsidR="006F6224" w:rsidRDefault="006F6224"/>
    <w:p w14:paraId="1BB19677" w14:textId="77777777" w:rsidR="006F6224" w:rsidRDefault="006F6224"/>
    <w:p w14:paraId="06E621C2" w14:textId="77777777" w:rsidR="006F6224" w:rsidRDefault="006F6224"/>
    <w:p w14:paraId="45A9D0BD" w14:textId="77777777" w:rsidR="006F6224" w:rsidRDefault="006F6224"/>
    <w:p w14:paraId="1EB9C485" w14:textId="77777777" w:rsidR="006F6224" w:rsidRDefault="006F6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F07FAC6" w14:textId="77777777" w:rsidTr="003B0E72">
      <w:trPr>
        <w:jc w:val="center"/>
      </w:trPr>
      <w:tc>
        <w:tcPr>
          <w:tcW w:w="1515" w:type="dxa"/>
        </w:tcPr>
        <w:p w14:paraId="764A5CA4"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1DD10135"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76280B05"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93BA49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025424B"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306CF537"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B909C1" w:rsidRPr="006B62B4" w14:paraId="6C45441F" w14:textId="77777777" w:rsidTr="003B0E72">
      <w:trPr>
        <w:jc w:val="center"/>
      </w:trPr>
      <w:tc>
        <w:tcPr>
          <w:tcW w:w="1515" w:type="dxa"/>
        </w:tcPr>
        <w:p w14:paraId="502C6435" w14:textId="60BE9AFE" w:rsidR="00B909C1" w:rsidRPr="00954F7B" w:rsidRDefault="00B909C1" w:rsidP="00B909C1">
          <w:pPr>
            <w:pStyle w:val="Footer"/>
            <w:jc w:val="center"/>
            <w:rPr>
              <w:bCs/>
              <w:iCs/>
              <w:sz w:val="20"/>
              <w:szCs w:val="20"/>
            </w:rPr>
          </w:pPr>
          <w:r>
            <w:rPr>
              <w:bCs/>
              <w:iCs/>
              <w:sz w:val="20"/>
              <w:szCs w:val="20"/>
            </w:rPr>
            <w:t>CHS25/215</w:t>
          </w:r>
        </w:p>
      </w:tc>
      <w:tc>
        <w:tcPr>
          <w:tcW w:w="965" w:type="dxa"/>
        </w:tcPr>
        <w:p w14:paraId="520D1CC5" w14:textId="201DA545" w:rsidR="00B909C1" w:rsidRPr="00954F7B" w:rsidRDefault="00B909C1" w:rsidP="00B909C1">
          <w:pPr>
            <w:pStyle w:val="Footer"/>
            <w:jc w:val="center"/>
            <w:rPr>
              <w:bCs/>
              <w:iCs/>
              <w:sz w:val="20"/>
              <w:szCs w:val="20"/>
            </w:rPr>
          </w:pPr>
          <w:r>
            <w:rPr>
              <w:bCs/>
              <w:iCs/>
              <w:sz w:val="20"/>
              <w:szCs w:val="20"/>
            </w:rPr>
            <w:t>1</w:t>
          </w:r>
        </w:p>
      </w:tc>
      <w:tc>
        <w:tcPr>
          <w:tcW w:w="1552" w:type="dxa"/>
        </w:tcPr>
        <w:p w14:paraId="5C159166" w14:textId="12983ABB" w:rsidR="00B909C1" w:rsidRPr="00954F7B" w:rsidRDefault="00B909C1" w:rsidP="00B909C1">
          <w:pPr>
            <w:pStyle w:val="Footer"/>
            <w:jc w:val="center"/>
            <w:rPr>
              <w:bCs/>
              <w:iCs/>
              <w:sz w:val="20"/>
              <w:szCs w:val="20"/>
            </w:rPr>
          </w:pPr>
          <w:r>
            <w:rPr>
              <w:bCs/>
              <w:iCs/>
              <w:sz w:val="20"/>
              <w:szCs w:val="20"/>
            </w:rPr>
            <w:t>20/06/2025</w:t>
          </w:r>
        </w:p>
      </w:tc>
      <w:tc>
        <w:tcPr>
          <w:tcW w:w="1456" w:type="dxa"/>
        </w:tcPr>
        <w:p w14:paraId="4277DC1B" w14:textId="4A334499" w:rsidR="00B909C1" w:rsidRPr="00954F7B" w:rsidRDefault="00B909C1" w:rsidP="00B909C1">
          <w:pPr>
            <w:pStyle w:val="Footer"/>
            <w:jc w:val="center"/>
            <w:rPr>
              <w:bCs/>
              <w:iCs/>
              <w:sz w:val="20"/>
              <w:szCs w:val="20"/>
            </w:rPr>
          </w:pPr>
          <w:r>
            <w:rPr>
              <w:bCs/>
              <w:iCs/>
              <w:sz w:val="20"/>
              <w:szCs w:val="20"/>
            </w:rPr>
            <w:t>01/07/2028</w:t>
          </w:r>
        </w:p>
      </w:tc>
      <w:tc>
        <w:tcPr>
          <w:tcW w:w="1746" w:type="dxa"/>
        </w:tcPr>
        <w:p w14:paraId="0B43E0C9" w14:textId="1BB38B96" w:rsidR="00B909C1" w:rsidRPr="00954F7B" w:rsidRDefault="00B909C1" w:rsidP="00B909C1">
          <w:pPr>
            <w:pStyle w:val="Footer"/>
            <w:jc w:val="center"/>
            <w:rPr>
              <w:bCs/>
              <w:iCs/>
              <w:sz w:val="20"/>
              <w:szCs w:val="20"/>
            </w:rPr>
          </w:pPr>
          <w:r>
            <w:rPr>
              <w:bCs/>
              <w:iCs/>
              <w:sz w:val="20"/>
              <w:szCs w:val="20"/>
            </w:rPr>
            <w:t>MHJHADS</w:t>
          </w:r>
        </w:p>
      </w:tc>
      <w:tc>
        <w:tcPr>
          <w:tcW w:w="1836" w:type="dxa"/>
        </w:tcPr>
        <w:p w14:paraId="461344DA" w14:textId="77777777" w:rsidR="00B909C1" w:rsidRPr="00954F7B" w:rsidRDefault="00B909C1" w:rsidP="00B909C1">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8534CCD"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15DE225" w14:textId="77777777" w:rsidTr="008E1ED9">
      <w:trPr>
        <w:jc w:val="center"/>
      </w:trPr>
      <w:tc>
        <w:tcPr>
          <w:tcW w:w="1515" w:type="dxa"/>
        </w:tcPr>
        <w:p w14:paraId="5E2F6CA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5C678381"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0A2CC0FC"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1F44435"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42E99C17"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1715FB7F"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06EBDB2E" w14:textId="77777777" w:rsidTr="008E1ED9">
      <w:trPr>
        <w:jc w:val="center"/>
      </w:trPr>
      <w:tc>
        <w:tcPr>
          <w:tcW w:w="1515" w:type="dxa"/>
        </w:tcPr>
        <w:p w14:paraId="49B98952" w14:textId="40EB3AE0" w:rsidR="008A3DD8" w:rsidRPr="00954F7B" w:rsidRDefault="0033513A" w:rsidP="008A3DD8">
          <w:pPr>
            <w:pStyle w:val="Footer"/>
            <w:jc w:val="center"/>
            <w:rPr>
              <w:bCs/>
              <w:iCs/>
              <w:sz w:val="20"/>
              <w:szCs w:val="20"/>
            </w:rPr>
          </w:pPr>
          <w:r>
            <w:rPr>
              <w:bCs/>
              <w:iCs/>
              <w:sz w:val="20"/>
              <w:szCs w:val="20"/>
            </w:rPr>
            <w:t>CHS2</w:t>
          </w:r>
          <w:r w:rsidR="00B909C1">
            <w:rPr>
              <w:bCs/>
              <w:iCs/>
              <w:sz w:val="20"/>
              <w:szCs w:val="20"/>
            </w:rPr>
            <w:t>5/215</w:t>
          </w:r>
        </w:p>
      </w:tc>
      <w:tc>
        <w:tcPr>
          <w:tcW w:w="965" w:type="dxa"/>
        </w:tcPr>
        <w:p w14:paraId="6DD5ED7F" w14:textId="10FDF555" w:rsidR="008A3DD8" w:rsidRPr="00954F7B" w:rsidRDefault="0033513A" w:rsidP="008A3DD8">
          <w:pPr>
            <w:pStyle w:val="Footer"/>
            <w:jc w:val="center"/>
            <w:rPr>
              <w:bCs/>
              <w:iCs/>
              <w:sz w:val="20"/>
              <w:szCs w:val="20"/>
            </w:rPr>
          </w:pPr>
          <w:r>
            <w:rPr>
              <w:bCs/>
              <w:iCs/>
              <w:sz w:val="20"/>
              <w:szCs w:val="20"/>
            </w:rPr>
            <w:t>1</w:t>
          </w:r>
        </w:p>
      </w:tc>
      <w:tc>
        <w:tcPr>
          <w:tcW w:w="1552" w:type="dxa"/>
        </w:tcPr>
        <w:p w14:paraId="430511C1" w14:textId="7CD02951" w:rsidR="008A3DD8" w:rsidRPr="00954F7B" w:rsidRDefault="00B909C1" w:rsidP="008A3DD8">
          <w:pPr>
            <w:pStyle w:val="Footer"/>
            <w:jc w:val="center"/>
            <w:rPr>
              <w:bCs/>
              <w:iCs/>
              <w:sz w:val="20"/>
              <w:szCs w:val="20"/>
            </w:rPr>
          </w:pPr>
          <w:r>
            <w:rPr>
              <w:bCs/>
              <w:iCs/>
              <w:sz w:val="20"/>
              <w:szCs w:val="20"/>
            </w:rPr>
            <w:t>20/06/2025</w:t>
          </w:r>
        </w:p>
      </w:tc>
      <w:tc>
        <w:tcPr>
          <w:tcW w:w="1456" w:type="dxa"/>
        </w:tcPr>
        <w:p w14:paraId="3486F341" w14:textId="5998D4F2" w:rsidR="008A3DD8" w:rsidRPr="00954F7B" w:rsidRDefault="0033513A" w:rsidP="008A3DD8">
          <w:pPr>
            <w:pStyle w:val="Footer"/>
            <w:jc w:val="center"/>
            <w:rPr>
              <w:bCs/>
              <w:iCs/>
              <w:sz w:val="20"/>
              <w:szCs w:val="20"/>
            </w:rPr>
          </w:pPr>
          <w:r>
            <w:rPr>
              <w:bCs/>
              <w:iCs/>
              <w:sz w:val="20"/>
              <w:szCs w:val="20"/>
            </w:rPr>
            <w:t>01/0</w:t>
          </w:r>
          <w:r w:rsidR="00B909C1">
            <w:rPr>
              <w:bCs/>
              <w:iCs/>
              <w:sz w:val="20"/>
              <w:szCs w:val="20"/>
            </w:rPr>
            <w:t>7</w:t>
          </w:r>
          <w:r>
            <w:rPr>
              <w:bCs/>
              <w:iCs/>
              <w:sz w:val="20"/>
              <w:szCs w:val="20"/>
            </w:rPr>
            <w:t>/202</w:t>
          </w:r>
          <w:r w:rsidR="00B909C1">
            <w:rPr>
              <w:bCs/>
              <w:iCs/>
              <w:sz w:val="20"/>
              <w:szCs w:val="20"/>
            </w:rPr>
            <w:t>8</w:t>
          </w:r>
        </w:p>
      </w:tc>
      <w:tc>
        <w:tcPr>
          <w:tcW w:w="1746" w:type="dxa"/>
        </w:tcPr>
        <w:p w14:paraId="382ECBCC" w14:textId="6EE8B3BF" w:rsidR="008A3DD8" w:rsidRPr="00954F7B" w:rsidRDefault="0033513A" w:rsidP="008A3DD8">
          <w:pPr>
            <w:pStyle w:val="Footer"/>
            <w:jc w:val="center"/>
            <w:rPr>
              <w:bCs/>
              <w:iCs/>
              <w:sz w:val="20"/>
              <w:szCs w:val="20"/>
            </w:rPr>
          </w:pPr>
          <w:r>
            <w:rPr>
              <w:bCs/>
              <w:iCs/>
              <w:sz w:val="20"/>
              <w:szCs w:val="20"/>
            </w:rPr>
            <w:t>MHJHADS</w:t>
          </w:r>
        </w:p>
      </w:tc>
      <w:tc>
        <w:tcPr>
          <w:tcW w:w="1836" w:type="dxa"/>
        </w:tcPr>
        <w:p w14:paraId="764D1A03"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21443161"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FE61" w14:textId="77777777" w:rsidR="006F6224" w:rsidRDefault="006F6224" w:rsidP="009D493B">
      <w:pPr>
        <w:spacing w:after="0" w:line="240" w:lineRule="auto"/>
      </w:pPr>
      <w:r>
        <w:separator/>
      </w:r>
    </w:p>
  </w:footnote>
  <w:footnote w:type="continuationSeparator" w:id="0">
    <w:p w14:paraId="31B2B683" w14:textId="77777777" w:rsidR="006F6224" w:rsidRDefault="006F6224" w:rsidP="00A9080B">
      <w:pPr>
        <w:spacing w:after="0" w:line="240" w:lineRule="auto"/>
      </w:pPr>
      <w:r>
        <w:continuationSeparator/>
      </w:r>
    </w:p>
    <w:p w14:paraId="30109516" w14:textId="77777777" w:rsidR="006F6224" w:rsidRDefault="006F6224"/>
    <w:p w14:paraId="07342A23" w14:textId="77777777" w:rsidR="006F6224" w:rsidRDefault="006F6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7E86" w14:textId="77777777" w:rsidR="008A3DD8" w:rsidRDefault="008A3DD8">
    <w:pPr>
      <w:pStyle w:val="Header"/>
    </w:pPr>
    <w:r w:rsidRPr="00324CF9">
      <w:rPr>
        <w:noProof/>
      </w:rPr>
      <w:drawing>
        <wp:inline distT="0" distB="0" distL="0" distR="0" wp14:anchorId="083A1B1E" wp14:editId="382F0712">
          <wp:extent cx="3360385" cy="972000"/>
          <wp:effectExtent l="0" t="0" r="0" b="0"/>
          <wp:docPr id="2119005557" name="Picture 2119005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2CA"/>
    <w:multiLevelType w:val="multilevel"/>
    <w:tmpl w:val="8DBA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C9263F6"/>
    <w:multiLevelType w:val="multilevel"/>
    <w:tmpl w:val="288A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C4F69"/>
    <w:multiLevelType w:val="multilevel"/>
    <w:tmpl w:val="731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90758"/>
    <w:multiLevelType w:val="multilevel"/>
    <w:tmpl w:val="D24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0206D"/>
    <w:multiLevelType w:val="multilevel"/>
    <w:tmpl w:val="7DF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9" w15:restartNumberingAfterBreak="0">
    <w:nsid w:val="18EF44F7"/>
    <w:multiLevelType w:val="multilevel"/>
    <w:tmpl w:val="EC7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44B90"/>
    <w:multiLevelType w:val="hybridMultilevel"/>
    <w:tmpl w:val="6590C96E"/>
    <w:lvl w:ilvl="0" w:tplc="39EEB2B0">
      <w:start w:val="1"/>
      <w:numFmt w:val="bullet"/>
      <w:lvlText w:val="-"/>
      <w:lvlJc w:val="left"/>
      <w:pPr>
        <w:ind w:left="720" w:hanging="360"/>
      </w:pPr>
      <w:rPr>
        <w:rFonts w:ascii="Calibri" w:hAnsi="Calibri" w:hint="default"/>
      </w:rPr>
    </w:lvl>
    <w:lvl w:ilvl="1" w:tplc="87C625B0">
      <w:start w:val="1"/>
      <w:numFmt w:val="bullet"/>
      <w:lvlText w:val="o"/>
      <w:lvlJc w:val="left"/>
      <w:pPr>
        <w:ind w:left="1440" w:hanging="360"/>
      </w:pPr>
      <w:rPr>
        <w:rFonts w:ascii="Courier New" w:hAnsi="Courier New" w:hint="default"/>
      </w:rPr>
    </w:lvl>
    <w:lvl w:ilvl="2" w:tplc="5D4A4FDE">
      <w:start w:val="1"/>
      <w:numFmt w:val="bullet"/>
      <w:lvlText w:val=""/>
      <w:lvlJc w:val="left"/>
      <w:pPr>
        <w:ind w:left="2160" w:hanging="360"/>
      </w:pPr>
      <w:rPr>
        <w:rFonts w:ascii="Wingdings" w:hAnsi="Wingdings" w:hint="default"/>
      </w:rPr>
    </w:lvl>
    <w:lvl w:ilvl="3" w:tplc="766ECF9E">
      <w:start w:val="1"/>
      <w:numFmt w:val="bullet"/>
      <w:lvlText w:val=""/>
      <w:lvlJc w:val="left"/>
      <w:pPr>
        <w:ind w:left="2880" w:hanging="360"/>
      </w:pPr>
      <w:rPr>
        <w:rFonts w:ascii="Symbol" w:hAnsi="Symbol" w:hint="default"/>
      </w:rPr>
    </w:lvl>
    <w:lvl w:ilvl="4" w:tplc="930E1CE8">
      <w:start w:val="1"/>
      <w:numFmt w:val="bullet"/>
      <w:lvlText w:val="o"/>
      <w:lvlJc w:val="left"/>
      <w:pPr>
        <w:ind w:left="3600" w:hanging="360"/>
      </w:pPr>
      <w:rPr>
        <w:rFonts w:ascii="Courier New" w:hAnsi="Courier New" w:hint="default"/>
      </w:rPr>
    </w:lvl>
    <w:lvl w:ilvl="5" w:tplc="6A2EE5C8">
      <w:start w:val="1"/>
      <w:numFmt w:val="bullet"/>
      <w:lvlText w:val=""/>
      <w:lvlJc w:val="left"/>
      <w:pPr>
        <w:ind w:left="4320" w:hanging="360"/>
      </w:pPr>
      <w:rPr>
        <w:rFonts w:ascii="Wingdings" w:hAnsi="Wingdings" w:hint="default"/>
      </w:rPr>
    </w:lvl>
    <w:lvl w:ilvl="6" w:tplc="DF066870">
      <w:start w:val="1"/>
      <w:numFmt w:val="bullet"/>
      <w:lvlText w:val=""/>
      <w:lvlJc w:val="left"/>
      <w:pPr>
        <w:ind w:left="5040" w:hanging="360"/>
      </w:pPr>
      <w:rPr>
        <w:rFonts w:ascii="Symbol" w:hAnsi="Symbol" w:hint="default"/>
      </w:rPr>
    </w:lvl>
    <w:lvl w:ilvl="7" w:tplc="1D6650A0">
      <w:start w:val="1"/>
      <w:numFmt w:val="bullet"/>
      <w:lvlText w:val="o"/>
      <w:lvlJc w:val="left"/>
      <w:pPr>
        <w:ind w:left="5760" w:hanging="360"/>
      </w:pPr>
      <w:rPr>
        <w:rFonts w:ascii="Courier New" w:hAnsi="Courier New" w:hint="default"/>
      </w:rPr>
    </w:lvl>
    <w:lvl w:ilvl="8" w:tplc="6E24D41A">
      <w:start w:val="1"/>
      <w:numFmt w:val="bullet"/>
      <w:lvlText w:val=""/>
      <w:lvlJc w:val="left"/>
      <w:pPr>
        <w:ind w:left="6480" w:hanging="360"/>
      </w:pPr>
      <w:rPr>
        <w:rFonts w:ascii="Wingdings" w:hAnsi="Wingdings" w:hint="default"/>
      </w:rPr>
    </w:lvl>
  </w:abstractNum>
  <w:abstractNum w:abstractNumId="11" w15:restartNumberingAfterBreak="0">
    <w:nsid w:val="1E2110B0"/>
    <w:multiLevelType w:val="multilevel"/>
    <w:tmpl w:val="C26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B134FF"/>
    <w:multiLevelType w:val="multilevel"/>
    <w:tmpl w:val="B80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202226"/>
    <w:multiLevelType w:val="hybridMultilevel"/>
    <w:tmpl w:val="EA64A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A16CF2"/>
    <w:multiLevelType w:val="multilevel"/>
    <w:tmpl w:val="A324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7B26FC"/>
    <w:multiLevelType w:val="hybridMultilevel"/>
    <w:tmpl w:val="90B4E2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235962A4"/>
    <w:multiLevelType w:val="hybridMultilevel"/>
    <w:tmpl w:val="D31204B6"/>
    <w:lvl w:ilvl="0" w:tplc="001A48DC">
      <w:start w:val="1"/>
      <w:numFmt w:val="bullet"/>
      <w:lvlText w:val="-"/>
      <w:lvlJc w:val="left"/>
      <w:pPr>
        <w:ind w:left="720" w:hanging="360"/>
      </w:pPr>
      <w:rPr>
        <w:rFonts w:ascii="Calibri" w:hAnsi="Calibri" w:hint="default"/>
      </w:rPr>
    </w:lvl>
    <w:lvl w:ilvl="1" w:tplc="ADDC59CA">
      <w:start w:val="1"/>
      <w:numFmt w:val="bullet"/>
      <w:lvlText w:val="o"/>
      <w:lvlJc w:val="left"/>
      <w:pPr>
        <w:ind w:left="1440" w:hanging="360"/>
      </w:pPr>
      <w:rPr>
        <w:rFonts w:ascii="Courier New" w:hAnsi="Courier New" w:hint="default"/>
      </w:rPr>
    </w:lvl>
    <w:lvl w:ilvl="2" w:tplc="209C57A8">
      <w:start w:val="1"/>
      <w:numFmt w:val="bullet"/>
      <w:lvlText w:val=""/>
      <w:lvlJc w:val="left"/>
      <w:pPr>
        <w:ind w:left="2160" w:hanging="360"/>
      </w:pPr>
      <w:rPr>
        <w:rFonts w:ascii="Wingdings" w:hAnsi="Wingdings" w:hint="default"/>
      </w:rPr>
    </w:lvl>
    <w:lvl w:ilvl="3" w:tplc="3314DF76">
      <w:start w:val="1"/>
      <w:numFmt w:val="bullet"/>
      <w:lvlText w:val=""/>
      <w:lvlJc w:val="left"/>
      <w:pPr>
        <w:ind w:left="2880" w:hanging="360"/>
      </w:pPr>
      <w:rPr>
        <w:rFonts w:ascii="Symbol" w:hAnsi="Symbol" w:hint="default"/>
      </w:rPr>
    </w:lvl>
    <w:lvl w:ilvl="4" w:tplc="3E8283AA">
      <w:start w:val="1"/>
      <w:numFmt w:val="bullet"/>
      <w:lvlText w:val="o"/>
      <w:lvlJc w:val="left"/>
      <w:pPr>
        <w:ind w:left="3600" w:hanging="360"/>
      </w:pPr>
      <w:rPr>
        <w:rFonts w:ascii="Courier New" w:hAnsi="Courier New" w:hint="default"/>
      </w:rPr>
    </w:lvl>
    <w:lvl w:ilvl="5" w:tplc="A0B2472C">
      <w:start w:val="1"/>
      <w:numFmt w:val="bullet"/>
      <w:lvlText w:val=""/>
      <w:lvlJc w:val="left"/>
      <w:pPr>
        <w:ind w:left="4320" w:hanging="360"/>
      </w:pPr>
      <w:rPr>
        <w:rFonts w:ascii="Wingdings" w:hAnsi="Wingdings" w:hint="default"/>
      </w:rPr>
    </w:lvl>
    <w:lvl w:ilvl="6" w:tplc="BDD08EBC">
      <w:start w:val="1"/>
      <w:numFmt w:val="bullet"/>
      <w:lvlText w:val=""/>
      <w:lvlJc w:val="left"/>
      <w:pPr>
        <w:ind w:left="5040" w:hanging="360"/>
      </w:pPr>
      <w:rPr>
        <w:rFonts w:ascii="Symbol" w:hAnsi="Symbol" w:hint="default"/>
      </w:rPr>
    </w:lvl>
    <w:lvl w:ilvl="7" w:tplc="4DC4ED8C">
      <w:start w:val="1"/>
      <w:numFmt w:val="bullet"/>
      <w:lvlText w:val="o"/>
      <w:lvlJc w:val="left"/>
      <w:pPr>
        <w:ind w:left="5760" w:hanging="360"/>
      </w:pPr>
      <w:rPr>
        <w:rFonts w:ascii="Courier New" w:hAnsi="Courier New" w:hint="default"/>
      </w:rPr>
    </w:lvl>
    <w:lvl w:ilvl="8" w:tplc="C81C7CE8">
      <w:start w:val="1"/>
      <w:numFmt w:val="bullet"/>
      <w:lvlText w:val=""/>
      <w:lvlJc w:val="left"/>
      <w:pPr>
        <w:ind w:left="6480" w:hanging="360"/>
      </w:pPr>
      <w:rPr>
        <w:rFonts w:ascii="Wingdings" w:hAnsi="Wingdings" w:hint="default"/>
      </w:rPr>
    </w:lvl>
  </w:abstractNum>
  <w:abstractNum w:abstractNumId="18" w15:restartNumberingAfterBreak="0">
    <w:nsid w:val="28520B2F"/>
    <w:multiLevelType w:val="multilevel"/>
    <w:tmpl w:val="63A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BD49D3"/>
    <w:multiLevelType w:val="multilevel"/>
    <w:tmpl w:val="E7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3236D0"/>
    <w:multiLevelType w:val="multilevel"/>
    <w:tmpl w:val="EE9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4767E"/>
    <w:multiLevelType w:val="multilevel"/>
    <w:tmpl w:val="0C0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D2D06"/>
    <w:multiLevelType w:val="hybridMultilevel"/>
    <w:tmpl w:val="254054C8"/>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5F03CA"/>
    <w:multiLevelType w:val="multilevel"/>
    <w:tmpl w:val="FC2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F665E7"/>
    <w:multiLevelType w:val="multilevel"/>
    <w:tmpl w:val="280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3D0EB5"/>
    <w:multiLevelType w:val="hybridMultilevel"/>
    <w:tmpl w:val="CB9A8EAC"/>
    <w:lvl w:ilvl="0" w:tplc="06322292">
      <w:start w:val="1"/>
      <w:numFmt w:val="bullet"/>
      <w:lvlText w:val=""/>
      <w:lvlJc w:val="left"/>
      <w:pPr>
        <w:ind w:left="720" w:hanging="360"/>
      </w:pPr>
      <w:rPr>
        <w:rFonts w:ascii="Symbol" w:hAnsi="Symbol"/>
      </w:rPr>
    </w:lvl>
    <w:lvl w:ilvl="1" w:tplc="ABA218F6">
      <w:start w:val="1"/>
      <w:numFmt w:val="bullet"/>
      <w:lvlText w:val=""/>
      <w:lvlJc w:val="left"/>
      <w:pPr>
        <w:ind w:left="720" w:hanging="360"/>
      </w:pPr>
      <w:rPr>
        <w:rFonts w:ascii="Symbol" w:hAnsi="Symbol"/>
      </w:rPr>
    </w:lvl>
    <w:lvl w:ilvl="2" w:tplc="1750BE8A">
      <w:start w:val="1"/>
      <w:numFmt w:val="bullet"/>
      <w:lvlText w:val=""/>
      <w:lvlJc w:val="left"/>
      <w:pPr>
        <w:ind w:left="720" w:hanging="360"/>
      </w:pPr>
      <w:rPr>
        <w:rFonts w:ascii="Symbol" w:hAnsi="Symbol"/>
      </w:rPr>
    </w:lvl>
    <w:lvl w:ilvl="3" w:tplc="3BB614CC">
      <w:start w:val="1"/>
      <w:numFmt w:val="bullet"/>
      <w:lvlText w:val=""/>
      <w:lvlJc w:val="left"/>
      <w:pPr>
        <w:ind w:left="720" w:hanging="360"/>
      </w:pPr>
      <w:rPr>
        <w:rFonts w:ascii="Symbol" w:hAnsi="Symbol"/>
      </w:rPr>
    </w:lvl>
    <w:lvl w:ilvl="4" w:tplc="344824A6">
      <w:start w:val="1"/>
      <w:numFmt w:val="bullet"/>
      <w:lvlText w:val=""/>
      <w:lvlJc w:val="left"/>
      <w:pPr>
        <w:ind w:left="720" w:hanging="360"/>
      </w:pPr>
      <w:rPr>
        <w:rFonts w:ascii="Symbol" w:hAnsi="Symbol"/>
      </w:rPr>
    </w:lvl>
    <w:lvl w:ilvl="5" w:tplc="5366D8F6">
      <w:start w:val="1"/>
      <w:numFmt w:val="bullet"/>
      <w:lvlText w:val=""/>
      <w:lvlJc w:val="left"/>
      <w:pPr>
        <w:ind w:left="720" w:hanging="360"/>
      </w:pPr>
      <w:rPr>
        <w:rFonts w:ascii="Symbol" w:hAnsi="Symbol"/>
      </w:rPr>
    </w:lvl>
    <w:lvl w:ilvl="6" w:tplc="D23CDDAA">
      <w:start w:val="1"/>
      <w:numFmt w:val="bullet"/>
      <w:lvlText w:val=""/>
      <w:lvlJc w:val="left"/>
      <w:pPr>
        <w:ind w:left="720" w:hanging="360"/>
      </w:pPr>
      <w:rPr>
        <w:rFonts w:ascii="Symbol" w:hAnsi="Symbol"/>
      </w:rPr>
    </w:lvl>
    <w:lvl w:ilvl="7" w:tplc="3D624DAA">
      <w:start w:val="1"/>
      <w:numFmt w:val="bullet"/>
      <w:lvlText w:val=""/>
      <w:lvlJc w:val="left"/>
      <w:pPr>
        <w:ind w:left="720" w:hanging="360"/>
      </w:pPr>
      <w:rPr>
        <w:rFonts w:ascii="Symbol" w:hAnsi="Symbol"/>
      </w:rPr>
    </w:lvl>
    <w:lvl w:ilvl="8" w:tplc="FE8E2E3A">
      <w:start w:val="1"/>
      <w:numFmt w:val="bullet"/>
      <w:lvlText w:val=""/>
      <w:lvlJc w:val="left"/>
      <w:pPr>
        <w:ind w:left="720" w:hanging="360"/>
      </w:pPr>
      <w:rPr>
        <w:rFonts w:ascii="Symbol" w:hAnsi="Symbol"/>
      </w:rPr>
    </w:lvl>
  </w:abstractNum>
  <w:abstractNum w:abstractNumId="26"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195016"/>
    <w:multiLevelType w:val="hybridMultilevel"/>
    <w:tmpl w:val="EAA42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74673B"/>
    <w:multiLevelType w:val="multilevel"/>
    <w:tmpl w:val="0B2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2" w15:restartNumberingAfterBreak="0">
    <w:nsid w:val="4511579C"/>
    <w:multiLevelType w:val="multilevel"/>
    <w:tmpl w:val="AD8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5" w15:restartNumberingAfterBreak="0">
    <w:nsid w:val="495A53D2"/>
    <w:multiLevelType w:val="hybridMultilevel"/>
    <w:tmpl w:val="C7BC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D53D4D"/>
    <w:multiLevelType w:val="multilevel"/>
    <w:tmpl w:val="F81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8A3BA5"/>
    <w:multiLevelType w:val="multilevel"/>
    <w:tmpl w:val="D42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D27A4B"/>
    <w:multiLevelType w:val="multilevel"/>
    <w:tmpl w:val="D00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0" w15:restartNumberingAfterBreak="0">
    <w:nsid w:val="66CA2DFA"/>
    <w:multiLevelType w:val="multilevel"/>
    <w:tmpl w:val="19CC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BB1944"/>
    <w:multiLevelType w:val="hybridMultilevel"/>
    <w:tmpl w:val="235C0646"/>
    <w:lvl w:ilvl="0" w:tplc="0C09000F">
      <w:start w:val="1"/>
      <w:numFmt w:val="decimal"/>
      <w:lvlText w:val="%1."/>
      <w:lvlJc w:val="left"/>
      <w:pPr>
        <w:ind w:left="72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42" w15:restartNumberingAfterBreak="0">
    <w:nsid w:val="690D6A41"/>
    <w:multiLevelType w:val="multilevel"/>
    <w:tmpl w:val="1AF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001449"/>
    <w:multiLevelType w:val="hybridMultilevel"/>
    <w:tmpl w:val="CDF49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6705DF"/>
    <w:multiLevelType w:val="hybridMultilevel"/>
    <w:tmpl w:val="E042C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D70A72"/>
    <w:multiLevelType w:val="hybridMultilevel"/>
    <w:tmpl w:val="48A8C4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035CB1"/>
    <w:multiLevelType w:val="hybridMultilevel"/>
    <w:tmpl w:val="7D3E550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8431774">
    <w:abstractNumId w:val="16"/>
  </w:num>
  <w:num w:numId="2" w16cid:durableId="842209657">
    <w:abstractNumId w:val="8"/>
  </w:num>
  <w:num w:numId="3" w16cid:durableId="660542573">
    <w:abstractNumId w:val="39"/>
  </w:num>
  <w:num w:numId="4" w16cid:durableId="1971085616">
    <w:abstractNumId w:val="28"/>
  </w:num>
  <w:num w:numId="5" w16cid:durableId="252517802">
    <w:abstractNumId w:val="29"/>
  </w:num>
  <w:num w:numId="6" w16cid:durableId="420297118">
    <w:abstractNumId w:val="34"/>
  </w:num>
  <w:num w:numId="7" w16cid:durableId="3533880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28"/>
    <w:lvlOverride w:ilvl="0">
      <w:startOverride w:val="1"/>
    </w:lvlOverride>
  </w:num>
  <w:num w:numId="9" w16cid:durableId="1747920389">
    <w:abstractNumId w:val="29"/>
    <w:lvlOverride w:ilvl="0">
      <w:startOverride w:val="1"/>
    </w:lvlOverride>
  </w:num>
  <w:num w:numId="10" w16cid:durableId="1001813381">
    <w:abstractNumId w:val="28"/>
    <w:lvlOverride w:ilvl="0">
      <w:startOverride w:val="1"/>
    </w:lvlOverride>
  </w:num>
  <w:num w:numId="11" w16cid:durableId="1103450744">
    <w:abstractNumId w:val="29"/>
    <w:lvlOverride w:ilvl="0">
      <w:startOverride w:val="1"/>
    </w:lvlOverride>
  </w:num>
  <w:num w:numId="12" w16cid:durableId="1549294228">
    <w:abstractNumId w:val="28"/>
    <w:lvlOverride w:ilvl="0">
      <w:startOverride w:val="1"/>
    </w:lvlOverride>
  </w:num>
  <w:num w:numId="13" w16cid:durableId="8758549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29"/>
    <w:lvlOverride w:ilvl="0">
      <w:startOverride w:val="1"/>
    </w:lvlOverride>
  </w:num>
  <w:num w:numId="15" w16cid:durableId="12464539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39"/>
  </w:num>
  <w:num w:numId="17" w16cid:durableId="434129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22"/>
  </w:num>
  <w:num w:numId="19" w16cid:durableId="836698820">
    <w:abstractNumId w:val="31"/>
  </w:num>
  <w:num w:numId="20" w16cid:durableId="4028038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33"/>
  </w:num>
  <w:num w:numId="22" w16cid:durableId="200242115">
    <w:abstractNumId w:val="1"/>
  </w:num>
  <w:num w:numId="23" w16cid:durableId="585068731">
    <w:abstractNumId w:val="7"/>
  </w:num>
  <w:num w:numId="24" w16cid:durableId="1431437445">
    <w:abstractNumId w:val="6"/>
  </w:num>
  <w:num w:numId="25" w16cid:durableId="507214046">
    <w:abstractNumId w:val="26"/>
  </w:num>
  <w:num w:numId="26" w16cid:durableId="913591473">
    <w:abstractNumId w:val="16"/>
  </w:num>
  <w:num w:numId="27" w16cid:durableId="214892975">
    <w:abstractNumId w:val="35"/>
  </w:num>
  <w:num w:numId="28" w16cid:durableId="341251040">
    <w:abstractNumId w:val="17"/>
  </w:num>
  <w:num w:numId="29" w16cid:durableId="947011213">
    <w:abstractNumId w:val="10"/>
  </w:num>
  <w:num w:numId="30" w16cid:durableId="985166271">
    <w:abstractNumId w:val="13"/>
  </w:num>
  <w:num w:numId="31" w16cid:durableId="1781491428">
    <w:abstractNumId w:val="41"/>
  </w:num>
  <w:num w:numId="32" w16cid:durableId="191454040">
    <w:abstractNumId w:val="44"/>
  </w:num>
  <w:num w:numId="33" w16cid:durableId="1448816409">
    <w:abstractNumId w:val="15"/>
  </w:num>
  <w:num w:numId="34" w16cid:durableId="1896693208">
    <w:abstractNumId w:val="25"/>
  </w:num>
  <w:num w:numId="35" w16cid:durableId="673411105">
    <w:abstractNumId w:val="42"/>
  </w:num>
  <w:num w:numId="36" w16cid:durableId="1236160571">
    <w:abstractNumId w:val="37"/>
  </w:num>
  <w:num w:numId="37" w16cid:durableId="37703836">
    <w:abstractNumId w:val="11"/>
  </w:num>
  <w:num w:numId="38" w16cid:durableId="381098870">
    <w:abstractNumId w:val="9"/>
  </w:num>
  <w:num w:numId="39" w16cid:durableId="1293949912">
    <w:abstractNumId w:val="32"/>
  </w:num>
  <w:num w:numId="40" w16cid:durableId="269093563">
    <w:abstractNumId w:val="21"/>
  </w:num>
  <w:num w:numId="41" w16cid:durableId="56973529">
    <w:abstractNumId w:val="5"/>
  </w:num>
  <w:num w:numId="42" w16cid:durableId="1318143622">
    <w:abstractNumId w:val="20"/>
  </w:num>
  <w:num w:numId="43" w16cid:durableId="1118182526">
    <w:abstractNumId w:val="14"/>
  </w:num>
  <w:num w:numId="44" w16cid:durableId="193152680">
    <w:abstractNumId w:val="19"/>
  </w:num>
  <w:num w:numId="45" w16cid:durableId="112985871">
    <w:abstractNumId w:val="16"/>
  </w:num>
  <w:num w:numId="46" w16cid:durableId="1396810">
    <w:abstractNumId w:val="16"/>
  </w:num>
  <w:num w:numId="47" w16cid:durableId="452335608">
    <w:abstractNumId w:val="16"/>
  </w:num>
  <w:num w:numId="48" w16cid:durableId="1031876513">
    <w:abstractNumId w:val="43"/>
  </w:num>
  <w:num w:numId="49" w16cid:durableId="469396587">
    <w:abstractNumId w:val="4"/>
  </w:num>
  <w:num w:numId="50" w16cid:durableId="1610433210">
    <w:abstractNumId w:val="24"/>
  </w:num>
  <w:num w:numId="51" w16cid:durableId="466358508">
    <w:abstractNumId w:val="23"/>
  </w:num>
  <w:num w:numId="52" w16cid:durableId="1994529319">
    <w:abstractNumId w:val="12"/>
  </w:num>
  <w:num w:numId="53" w16cid:durableId="431782047">
    <w:abstractNumId w:val="18"/>
  </w:num>
  <w:num w:numId="54" w16cid:durableId="945163522">
    <w:abstractNumId w:val="30"/>
  </w:num>
  <w:num w:numId="55" w16cid:durableId="1099329526">
    <w:abstractNumId w:val="2"/>
  </w:num>
  <w:num w:numId="56" w16cid:durableId="723649404">
    <w:abstractNumId w:val="36"/>
  </w:num>
  <w:num w:numId="57" w16cid:durableId="1636711661">
    <w:abstractNumId w:val="3"/>
  </w:num>
  <w:num w:numId="58" w16cid:durableId="1219167500">
    <w:abstractNumId w:val="38"/>
  </w:num>
  <w:num w:numId="59" w16cid:durableId="1542087294">
    <w:abstractNumId w:val="0"/>
  </w:num>
  <w:num w:numId="60" w16cid:durableId="615019908">
    <w:abstractNumId w:val="40"/>
  </w:num>
  <w:num w:numId="61" w16cid:durableId="1383602198">
    <w:abstractNumId w:val="27"/>
  </w:num>
  <w:num w:numId="62" w16cid:durableId="1076561105">
    <w:abstractNumId w:val="45"/>
  </w:num>
  <w:num w:numId="63" w16cid:durableId="1828669818">
    <w:abstractNumId w:val="46"/>
  </w:num>
  <w:num w:numId="64" w16cid:durableId="1717197503">
    <w:abstractNumId w:val="16"/>
  </w:num>
  <w:num w:numId="65" w16cid:durableId="1159690465">
    <w:abstractNumId w:val="22"/>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F2"/>
    <w:rsid w:val="00000822"/>
    <w:rsid w:val="00003728"/>
    <w:rsid w:val="00004B91"/>
    <w:rsid w:val="00004C9F"/>
    <w:rsid w:val="00006344"/>
    <w:rsid w:val="000068B9"/>
    <w:rsid w:val="00007399"/>
    <w:rsid w:val="000115AB"/>
    <w:rsid w:val="00012DA7"/>
    <w:rsid w:val="00014646"/>
    <w:rsid w:val="0001473F"/>
    <w:rsid w:val="00014D0A"/>
    <w:rsid w:val="00015018"/>
    <w:rsid w:val="00020BDA"/>
    <w:rsid w:val="000246D6"/>
    <w:rsid w:val="00024AE0"/>
    <w:rsid w:val="00025C12"/>
    <w:rsid w:val="0003309B"/>
    <w:rsid w:val="000347FB"/>
    <w:rsid w:val="00034A46"/>
    <w:rsid w:val="00035A11"/>
    <w:rsid w:val="00036249"/>
    <w:rsid w:val="00037E57"/>
    <w:rsid w:val="00040797"/>
    <w:rsid w:val="00041D05"/>
    <w:rsid w:val="00042268"/>
    <w:rsid w:val="00043534"/>
    <w:rsid w:val="0004664B"/>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402"/>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66CB"/>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385B"/>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47EEE"/>
    <w:rsid w:val="00154D8C"/>
    <w:rsid w:val="0015662C"/>
    <w:rsid w:val="001575C5"/>
    <w:rsid w:val="001600FA"/>
    <w:rsid w:val="001616DD"/>
    <w:rsid w:val="00161AE4"/>
    <w:rsid w:val="00161FDC"/>
    <w:rsid w:val="00164AA5"/>
    <w:rsid w:val="00166052"/>
    <w:rsid w:val="001660FE"/>
    <w:rsid w:val="00167C17"/>
    <w:rsid w:val="0017051B"/>
    <w:rsid w:val="00171CD2"/>
    <w:rsid w:val="00172B2E"/>
    <w:rsid w:val="00173EDD"/>
    <w:rsid w:val="00174ECE"/>
    <w:rsid w:val="00175212"/>
    <w:rsid w:val="00175FF8"/>
    <w:rsid w:val="001767CA"/>
    <w:rsid w:val="00181504"/>
    <w:rsid w:val="00181729"/>
    <w:rsid w:val="001819E4"/>
    <w:rsid w:val="00182B36"/>
    <w:rsid w:val="00183C7B"/>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A58C6"/>
    <w:rsid w:val="001A78B3"/>
    <w:rsid w:val="001B0DC3"/>
    <w:rsid w:val="001B1A6A"/>
    <w:rsid w:val="001B3430"/>
    <w:rsid w:val="001C0F5C"/>
    <w:rsid w:val="001C108E"/>
    <w:rsid w:val="001C223C"/>
    <w:rsid w:val="001C24A7"/>
    <w:rsid w:val="001C263F"/>
    <w:rsid w:val="001C2869"/>
    <w:rsid w:val="001C2E73"/>
    <w:rsid w:val="001C5958"/>
    <w:rsid w:val="001D12A9"/>
    <w:rsid w:val="001D140D"/>
    <w:rsid w:val="001D150B"/>
    <w:rsid w:val="001D195F"/>
    <w:rsid w:val="001D5292"/>
    <w:rsid w:val="001D780B"/>
    <w:rsid w:val="001D7907"/>
    <w:rsid w:val="001E0BEA"/>
    <w:rsid w:val="001E0BED"/>
    <w:rsid w:val="001E17A2"/>
    <w:rsid w:val="001E1881"/>
    <w:rsid w:val="001E2C6F"/>
    <w:rsid w:val="001E30A5"/>
    <w:rsid w:val="001E3D5B"/>
    <w:rsid w:val="001E4A13"/>
    <w:rsid w:val="001E4EF9"/>
    <w:rsid w:val="001E579B"/>
    <w:rsid w:val="001E5FF2"/>
    <w:rsid w:val="001E626E"/>
    <w:rsid w:val="001E7077"/>
    <w:rsid w:val="001E7A17"/>
    <w:rsid w:val="001F0765"/>
    <w:rsid w:val="001F099A"/>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19B3"/>
    <w:rsid w:val="002221AE"/>
    <w:rsid w:val="00222489"/>
    <w:rsid w:val="00225769"/>
    <w:rsid w:val="00225E3B"/>
    <w:rsid w:val="00227104"/>
    <w:rsid w:val="00230054"/>
    <w:rsid w:val="0023402D"/>
    <w:rsid w:val="0023668B"/>
    <w:rsid w:val="00240DC9"/>
    <w:rsid w:val="00241A68"/>
    <w:rsid w:val="00242601"/>
    <w:rsid w:val="002427B0"/>
    <w:rsid w:val="00244149"/>
    <w:rsid w:val="00244C22"/>
    <w:rsid w:val="00245BF4"/>
    <w:rsid w:val="00246EDC"/>
    <w:rsid w:val="00247BAF"/>
    <w:rsid w:val="00251D96"/>
    <w:rsid w:val="00253A48"/>
    <w:rsid w:val="00253EC8"/>
    <w:rsid w:val="0025483C"/>
    <w:rsid w:val="00256701"/>
    <w:rsid w:val="0026085A"/>
    <w:rsid w:val="0026399F"/>
    <w:rsid w:val="002645E9"/>
    <w:rsid w:val="002700D3"/>
    <w:rsid w:val="0027262B"/>
    <w:rsid w:val="00274308"/>
    <w:rsid w:val="00280051"/>
    <w:rsid w:val="00280C5D"/>
    <w:rsid w:val="00281798"/>
    <w:rsid w:val="00281830"/>
    <w:rsid w:val="002827C4"/>
    <w:rsid w:val="00284D13"/>
    <w:rsid w:val="00285CF8"/>
    <w:rsid w:val="00292A6B"/>
    <w:rsid w:val="00293B6B"/>
    <w:rsid w:val="00294B76"/>
    <w:rsid w:val="00294F1A"/>
    <w:rsid w:val="00295D79"/>
    <w:rsid w:val="00295EF4"/>
    <w:rsid w:val="0029655B"/>
    <w:rsid w:val="002A0163"/>
    <w:rsid w:val="002A295E"/>
    <w:rsid w:val="002A3216"/>
    <w:rsid w:val="002B2713"/>
    <w:rsid w:val="002B3511"/>
    <w:rsid w:val="002B3D19"/>
    <w:rsid w:val="002B3F13"/>
    <w:rsid w:val="002B434C"/>
    <w:rsid w:val="002B5D29"/>
    <w:rsid w:val="002C39F9"/>
    <w:rsid w:val="002C58B8"/>
    <w:rsid w:val="002C7500"/>
    <w:rsid w:val="002C75BC"/>
    <w:rsid w:val="002D1CA0"/>
    <w:rsid w:val="002D22CF"/>
    <w:rsid w:val="002D38E8"/>
    <w:rsid w:val="002D4BB3"/>
    <w:rsid w:val="002D56A1"/>
    <w:rsid w:val="002D59A9"/>
    <w:rsid w:val="002D5A00"/>
    <w:rsid w:val="002D7682"/>
    <w:rsid w:val="002D77D6"/>
    <w:rsid w:val="002E1E63"/>
    <w:rsid w:val="002E1F59"/>
    <w:rsid w:val="002E1FA1"/>
    <w:rsid w:val="002E63E1"/>
    <w:rsid w:val="002E6515"/>
    <w:rsid w:val="002E6517"/>
    <w:rsid w:val="002E6687"/>
    <w:rsid w:val="002F298C"/>
    <w:rsid w:val="002F2A26"/>
    <w:rsid w:val="002F52BD"/>
    <w:rsid w:val="002F6957"/>
    <w:rsid w:val="002F6CB3"/>
    <w:rsid w:val="002F7DE5"/>
    <w:rsid w:val="002F7DF1"/>
    <w:rsid w:val="003007EA"/>
    <w:rsid w:val="0030172C"/>
    <w:rsid w:val="003027B6"/>
    <w:rsid w:val="00306981"/>
    <w:rsid w:val="00307FDA"/>
    <w:rsid w:val="00310C63"/>
    <w:rsid w:val="0031196F"/>
    <w:rsid w:val="00312B51"/>
    <w:rsid w:val="00312C39"/>
    <w:rsid w:val="00313C14"/>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13A"/>
    <w:rsid w:val="003352BA"/>
    <w:rsid w:val="003366C8"/>
    <w:rsid w:val="003375B1"/>
    <w:rsid w:val="0033770B"/>
    <w:rsid w:val="0034072B"/>
    <w:rsid w:val="003412E9"/>
    <w:rsid w:val="00342839"/>
    <w:rsid w:val="00343A44"/>
    <w:rsid w:val="003444DC"/>
    <w:rsid w:val="003466E5"/>
    <w:rsid w:val="00350211"/>
    <w:rsid w:val="003518BF"/>
    <w:rsid w:val="00352DA1"/>
    <w:rsid w:val="0035392C"/>
    <w:rsid w:val="00354558"/>
    <w:rsid w:val="0036188C"/>
    <w:rsid w:val="00362A22"/>
    <w:rsid w:val="00362DA9"/>
    <w:rsid w:val="00363564"/>
    <w:rsid w:val="00363D8C"/>
    <w:rsid w:val="0036465D"/>
    <w:rsid w:val="00372477"/>
    <w:rsid w:val="00372544"/>
    <w:rsid w:val="0037341B"/>
    <w:rsid w:val="003754E4"/>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1E93"/>
    <w:rsid w:val="003B28A5"/>
    <w:rsid w:val="003B3F9A"/>
    <w:rsid w:val="003B57A1"/>
    <w:rsid w:val="003B661D"/>
    <w:rsid w:val="003B720D"/>
    <w:rsid w:val="003B760C"/>
    <w:rsid w:val="003C218A"/>
    <w:rsid w:val="003C4430"/>
    <w:rsid w:val="003C5F3E"/>
    <w:rsid w:val="003C66FD"/>
    <w:rsid w:val="003C7810"/>
    <w:rsid w:val="003D10DD"/>
    <w:rsid w:val="003D1C0C"/>
    <w:rsid w:val="003D3B16"/>
    <w:rsid w:val="003D5217"/>
    <w:rsid w:val="003D60E0"/>
    <w:rsid w:val="003D6505"/>
    <w:rsid w:val="003D709B"/>
    <w:rsid w:val="003D7463"/>
    <w:rsid w:val="003E0103"/>
    <w:rsid w:val="003E0A22"/>
    <w:rsid w:val="003E0BAC"/>
    <w:rsid w:val="003E727F"/>
    <w:rsid w:val="003E7D3D"/>
    <w:rsid w:val="003F01DF"/>
    <w:rsid w:val="003F2C18"/>
    <w:rsid w:val="003F3D3E"/>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46D87"/>
    <w:rsid w:val="00451FD0"/>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66302"/>
    <w:rsid w:val="00473AA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2509"/>
    <w:rsid w:val="004B474F"/>
    <w:rsid w:val="004C221A"/>
    <w:rsid w:val="004C320B"/>
    <w:rsid w:val="004C39F8"/>
    <w:rsid w:val="004C416A"/>
    <w:rsid w:val="004C55B7"/>
    <w:rsid w:val="004C5D35"/>
    <w:rsid w:val="004C7CC9"/>
    <w:rsid w:val="004D0A68"/>
    <w:rsid w:val="004D20BF"/>
    <w:rsid w:val="004D2C70"/>
    <w:rsid w:val="004D31D0"/>
    <w:rsid w:val="004D31F1"/>
    <w:rsid w:val="004D4286"/>
    <w:rsid w:val="004D4733"/>
    <w:rsid w:val="004D4B45"/>
    <w:rsid w:val="004D6C3E"/>
    <w:rsid w:val="004D75E2"/>
    <w:rsid w:val="004D7B29"/>
    <w:rsid w:val="004D7BF2"/>
    <w:rsid w:val="004E14DE"/>
    <w:rsid w:val="004E2562"/>
    <w:rsid w:val="004E2E2F"/>
    <w:rsid w:val="004E7CE8"/>
    <w:rsid w:val="004F02ED"/>
    <w:rsid w:val="004F1BEF"/>
    <w:rsid w:val="004F2430"/>
    <w:rsid w:val="004F2B91"/>
    <w:rsid w:val="004F3034"/>
    <w:rsid w:val="004F435E"/>
    <w:rsid w:val="00506D24"/>
    <w:rsid w:val="005077D2"/>
    <w:rsid w:val="00510C98"/>
    <w:rsid w:val="005118F6"/>
    <w:rsid w:val="0051350A"/>
    <w:rsid w:val="00517604"/>
    <w:rsid w:val="00517DA5"/>
    <w:rsid w:val="00517FA4"/>
    <w:rsid w:val="005216E4"/>
    <w:rsid w:val="00525801"/>
    <w:rsid w:val="00530642"/>
    <w:rsid w:val="00530C9A"/>
    <w:rsid w:val="00530F88"/>
    <w:rsid w:val="00532B1C"/>
    <w:rsid w:val="00532EB9"/>
    <w:rsid w:val="00533388"/>
    <w:rsid w:val="00534E1F"/>
    <w:rsid w:val="00537269"/>
    <w:rsid w:val="00540982"/>
    <w:rsid w:val="005412CE"/>
    <w:rsid w:val="005443C8"/>
    <w:rsid w:val="0054590C"/>
    <w:rsid w:val="00545B86"/>
    <w:rsid w:val="0054683B"/>
    <w:rsid w:val="00552527"/>
    <w:rsid w:val="0055366C"/>
    <w:rsid w:val="005541EF"/>
    <w:rsid w:val="005558E1"/>
    <w:rsid w:val="005564A4"/>
    <w:rsid w:val="0055674C"/>
    <w:rsid w:val="005606CB"/>
    <w:rsid w:val="005630BD"/>
    <w:rsid w:val="00563265"/>
    <w:rsid w:val="00563FD8"/>
    <w:rsid w:val="00564817"/>
    <w:rsid w:val="0056512E"/>
    <w:rsid w:val="0056561D"/>
    <w:rsid w:val="005706E9"/>
    <w:rsid w:val="00570849"/>
    <w:rsid w:val="0057158C"/>
    <w:rsid w:val="0057473B"/>
    <w:rsid w:val="005756B3"/>
    <w:rsid w:val="00576416"/>
    <w:rsid w:val="005778BD"/>
    <w:rsid w:val="00577C65"/>
    <w:rsid w:val="00581121"/>
    <w:rsid w:val="005834D8"/>
    <w:rsid w:val="005840B8"/>
    <w:rsid w:val="005867DF"/>
    <w:rsid w:val="005900D8"/>
    <w:rsid w:val="005916F1"/>
    <w:rsid w:val="00591B1E"/>
    <w:rsid w:val="00592081"/>
    <w:rsid w:val="00594A60"/>
    <w:rsid w:val="005958E6"/>
    <w:rsid w:val="00596DAA"/>
    <w:rsid w:val="005A0348"/>
    <w:rsid w:val="005A1FA3"/>
    <w:rsid w:val="005A27C0"/>
    <w:rsid w:val="005A4691"/>
    <w:rsid w:val="005A6CB8"/>
    <w:rsid w:val="005A74FF"/>
    <w:rsid w:val="005A7C67"/>
    <w:rsid w:val="005B194A"/>
    <w:rsid w:val="005B234E"/>
    <w:rsid w:val="005B2707"/>
    <w:rsid w:val="005B3D8A"/>
    <w:rsid w:val="005B3EC2"/>
    <w:rsid w:val="005C1D68"/>
    <w:rsid w:val="005C58FA"/>
    <w:rsid w:val="005C5F49"/>
    <w:rsid w:val="005C71BC"/>
    <w:rsid w:val="005D2629"/>
    <w:rsid w:val="005D4A78"/>
    <w:rsid w:val="005D54F1"/>
    <w:rsid w:val="005D5820"/>
    <w:rsid w:val="005E03EB"/>
    <w:rsid w:val="005E3D07"/>
    <w:rsid w:val="005E4BD4"/>
    <w:rsid w:val="005E6B49"/>
    <w:rsid w:val="005E7252"/>
    <w:rsid w:val="005E771D"/>
    <w:rsid w:val="005E7AA8"/>
    <w:rsid w:val="005E7BAC"/>
    <w:rsid w:val="005F02C2"/>
    <w:rsid w:val="005F70F7"/>
    <w:rsid w:val="005F797F"/>
    <w:rsid w:val="006046D3"/>
    <w:rsid w:val="00604EF2"/>
    <w:rsid w:val="00605E3B"/>
    <w:rsid w:val="006065E8"/>
    <w:rsid w:val="00607B4C"/>
    <w:rsid w:val="00610940"/>
    <w:rsid w:val="006120DD"/>
    <w:rsid w:val="006155F0"/>
    <w:rsid w:val="00616766"/>
    <w:rsid w:val="00620386"/>
    <w:rsid w:val="006253B6"/>
    <w:rsid w:val="00625A15"/>
    <w:rsid w:val="00627BD8"/>
    <w:rsid w:val="006315B1"/>
    <w:rsid w:val="0063178C"/>
    <w:rsid w:val="00632E9A"/>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64694"/>
    <w:rsid w:val="0067005A"/>
    <w:rsid w:val="00674727"/>
    <w:rsid w:val="00680130"/>
    <w:rsid w:val="006824E0"/>
    <w:rsid w:val="00684A68"/>
    <w:rsid w:val="00685883"/>
    <w:rsid w:val="00686FBD"/>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682C"/>
    <w:rsid w:val="006C69D9"/>
    <w:rsid w:val="006C7001"/>
    <w:rsid w:val="006C7362"/>
    <w:rsid w:val="006C7D5A"/>
    <w:rsid w:val="006D11DF"/>
    <w:rsid w:val="006D2547"/>
    <w:rsid w:val="006D3EF5"/>
    <w:rsid w:val="006D47A7"/>
    <w:rsid w:val="006E0951"/>
    <w:rsid w:val="006E10A6"/>
    <w:rsid w:val="006E39D7"/>
    <w:rsid w:val="006E4456"/>
    <w:rsid w:val="006E462E"/>
    <w:rsid w:val="006E5856"/>
    <w:rsid w:val="006E71A5"/>
    <w:rsid w:val="006E73F9"/>
    <w:rsid w:val="006F0585"/>
    <w:rsid w:val="006F0E2A"/>
    <w:rsid w:val="006F20E9"/>
    <w:rsid w:val="006F47AA"/>
    <w:rsid w:val="006F6224"/>
    <w:rsid w:val="006F7396"/>
    <w:rsid w:val="006F73C8"/>
    <w:rsid w:val="00700549"/>
    <w:rsid w:val="00700964"/>
    <w:rsid w:val="00700B1E"/>
    <w:rsid w:val="00700B46"/>
    <w:rsid w:val="00702088"/>
    <w:rsid w:val="00702564"/>
    <w:rsid w:val="00702BD7"/>
    <w:rsid w:val="007033DE"/>
    <w:rsid w:val="00703CCF"/>
    <w:rsid w:val="00705460"/>
    <w:rsid w:val="00706857"/>
    <w:rsid w:val="00712F00"/>
    <w:rsid w:val="007148C4"/>
    <w:rsid w:val="00721B04"/>
    <w:rsid w:val="00721E2A"/>
    <w:rsid w:val="00724D61"/>
    <w:rsid w:val="007277AF"/>
    <w:rsid w:val="007327E4"/>
    <w:rsid w:val="00735CAA"/>
    <w:rsid w:val="0073719C"/>
    <w:rsid w:val="00741FF7"/>
    <w:rsid w:val="007421B1"/>
    <w:rsid w:val="00742E09"/>
    <w:rsid w:val="00745452"/>
    <w:rsid w:val="00745956"/>
    <w:rsid w:val="00746818"/>
    <w:rsid w:val="00747FC4"/>
    <w:rsid w:val="0075168F"/>
    <w:rsid w:val="007517BC"/>
    <w:rsid w:val="007518ED"/>
    <w:rsid w:val="00752457"/>
    <w:rsid w:val="0075311C"/>
    <w:rsid w:val="0075415F"/>
    <w:rsid w:val="00754898"/>
    <w:rsid w:val="00754A51"/>
    <w:rsid w:val="007575FE"/>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85DF3"/>
    <w:rsid w:val="00794435"/>
    <w:rsid w:val="00794ACF"/>
    <w:rsid w:val="00795F35"/>
    <w:rsid w:val="007A1603"/>
    <w:rsid w:val="007A5AD4"/>
    <w:rsid w:val="007A682A"/>
    <w:rsid w:val="007A7F29"/>
    <w:rsid w:val="007B03DA"/>
    <w:rsid w:val="007B0A34"/>
    <w:rsid w:val="007B1A7B"/>
    <w:rsid w:val="007B3138"/>
    <w:rsid w:val="007B40DC"/>
    <w:rsid w:val="007B547A"/>
    <w:rsid w:val="007B5FF2"/>
    <w:rsid w:val="007B6F78"/>
    <w:rsid w:val="007B75F4"/>
    <w:rsid w:val="007C10BA"/>
    <w:rsid w:val="007C2324"/>
    <w:rsid w:val="007C2806"/>
    <w:rsid w:val="007C5C1B"/>
    <w:rsid w:val="007D3448"/>
    <w:rsid w:val="007E04CD"/>
    <w:rsid w:val="007E13CB"/>
    <w:rsid w:val="007E2D21"/>
    <w:rsid w:val="007E4957"/>
    <w:rsid w:val="007E4E9A"/>
    <w:rsid w:val="007E6EE6"/>
    <w:rsid w:val="007E7B5C"/>
    <w:rsid w:val="007F29F8"/>
    <w:rsid w:val="007F2D82"/>
    <w:rsid w:val="007F43F2"/>
    <w:rsid w:val="007F48B2"/>
    <w:rsid w:val="007F4EF0"/>
    <w:rsid w:val="007F5CFF"/>
    <w:rsid w:val="0080115F"/>
    <w:rsid w:val="0081013E"/>
    <w:rsid w:val="00810C0D"/>
    <w:rsid w:val="008113B4"/>
    <w:rsid w:val="008114F0"/>
    <w:rsid w:val="00811E3E"/>
    <w:rsid w:val="00811EE5"/>
    <w:rsid w:val="00814D74"/>
    <w:rsid w:val="00814DE5"/>
    <w:rsid w:val="00815ECB"/>
    <w:rsid w:val="00816C3C"/>
    <w:rsid w:val="00820942"/>
    <w:rsid w:val="008248D1"/>
    <w:rsid w:val="0082586A"/>
    <w:rsid w:val="008261B4"/>
    <w:rsid w:val="00827EDE"/>
    <w:rsid w:val="0082E87D"/>
    <w:rsid w:val="00832EAB"/>
    <w:rsid w:val="00834719"/>
    <w:rsid w:val="008358B4"/>
    <w:rsid w:val="00842EF4"/>
    <w:rsid w:val="00843792"/>
    <w:rsid w:val="00843D15"/>
    <w:rsid w:val="00845AA0"/>
    <w:rsid w:val="008510FF"/>
    <w:rsid w:val="008530BE"/>
    <w:rsid w:val="008540FA"/>
    <w:rsid w:val="00857A2D"/>
    <w:rsid w:val="008606A0"/>
    <w:rsid w:val="00860CE2"/>
    <w:rsid w:val="00861E1B"/>
    <w:rsid w:val="00863446"/>
    <w:rsid w:val="00863E4E"/>
    <w:rsid w:val="00864104"/>
    <w:rsid w:val="00867895"/>
    <w:rsid w:val="00875E8A"/>
    <w:rsid w:val="00875FE9"/>
    <w:rsid w:val="0087684F"/>
    <w:rsid w:val="00876CAC"/>
    <w:rsid w:val="008801B9"/>
    <w:rsid w:val="008837E3"/>
    <w:rsid w:val="00885A76"/>
    <w:rsid w:val="00886079"/>
    <w:rsid w:val="0089134A"/>
    <w:rsid w:val="00891F34"/>
    <w:rsid w:val="00895C04"/>
    <w:rsid w:val="008970B7"/>
    <w:rsid w:val="008A04A7"/>
    <w:rsid w:val="008A0530"/>
    <w:rsid w:val="008A1B21"/>
    <w:rsid w:val="008A2677"/>
    <w:rsid w:val="008A3AEE"/>
    <w:rsid w:val="008A3DD8"/>
    <w:rsid w:val="008A3F85"/>
    <w:rsid w:val="008A47BD"/>
    <w:rsid w:val="008A51E8"/>
    <w:rsid w:val="008A6603"/>
    <w:rsid w:val="008A75FA"/>
    <w:rsid w:val="008B0AC9"/>
    <w:rsid w:val="008B0F37"/>
    <w:rsid w:val="008B55D2"/>
    <w:rsid w:val="008B5C21"/>
    <w:rsid w:val="008B791D"/>
    <w:rsid w:val="008C1C7C"/>
    <w:rsid w:val="008C208A"/>
    <w:rsid w:val="008C6668"/>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55A1"/>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302"/>
    <w:rsid w:val="0092077F"/>
    <w:rsid w:val="00920EF6"/>
    <w:rsid w:val="00921C0B"/>
    <w:rsid w:val="00921FF8"/>
    <w:rsid w:val="00922A50"/>
    <w:rsid w:val="00923EC8"/>
    <w:rsid w:val="00925F13"/>
    <w:rsid w:val="00926417"/>
    <w:rsid w:val="009277AD"/>
    <w:rsid w:val="009306ED"/>
    <w:rsid w:val="00930EB0"/>
    <w:rsid w:val="00931649"/>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323B"/>
    <w:rsid w:val="00995B1B"/>
    <w:rsid w:val="009A1396"/>
    <w:rsid w:val="009A1635"/>
    <w:rsid w:val="009A2981"/>
    <w:rsid w:val="009A336D"/>
    <w:rsid w:val="009A5010"/>
    <w:rsid w:val="009A63B5"/>
    <w:rsid w:val="009A7037"/>
    <w:rsid w:val="009C11CF"/>
    <w:rsid w:val="009C13FA"/>
    <w:rsid w:val="009C2AED"/>
    <w:rsid w:val="009C3022"/>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3844"/>
    <w:rsid w:val="009E4C42"/>
    <w:rsid w:val="009E53F4"/>
    <w:rsid w:val="009E59FA"/>
    <w:rsid w:val="009E5A24"/>
    <w:rsid w:val="009F72C8"/>
    <w:rsid w:val="00A002F6"/>
    <w:rsid w:val="00A006D5"/>
    <w:rsid w:val="00A01509"/>
    <w:rsid w:val="00A02651"/>
    <w:rsid w:val="00A0337B"/>
    <w:rsid w:val="00A035E4"/>
    <w:rsid w:val="00A03809"/>
    <w:rsid w:val="00A0459A"/>
    <w:rsid w:val="00A04707"/>
    <w:rsid w:val="00A07C43"/>
    <w:rsid w:val="00A116EA"/>
    <w:rsid w:val="00A11739"/>
    <w:rsid w:val="00A14311"/>
    <w:rsid w:val="00A1449F"/>
    <w:rsid w:val="00A1579B"/>
    <w:rsid w:val="00A20CEA"/>
    <w:rsid w:val="00A24220"/>
    <w:rsid w:val="00A24C42"/>
    <w:rsid w:val="00A2629A"/>
    <w:rsid w:val="00A26F1E"/>
    <w:rsid w:val="00A272D4"/>
    <w:rsid w:val="00A2737A"/>
    <w:rsid w:val="00A27ADA"/>
    <w:rsid w:val="00A303C6"/>
    <w:rsid w:val="00A31E06"/>
    <w:rsid w:val="00A32873"/>
    <w:rsid w:val="00A32B6F"/>
    <w:rsid w:val="00A333F2"/>
    <w:rsid w:val="00A34EAB"/>
    <w:rsid w:val="00A41E01"/>
    <w:rsid w:val="00A435C8"/>
    <w:rsid w:val="00A44785"/>
    <w:rsid w:val="00A45D6C"/>
    <w:rsid w:val="00A470E3"/>
    <w:rsid w:val="00A513AA"/>
    <w:rsid w:val="00A52854"/>
    <w:rsid w:val="00A6051F"/>
    <w:rsid w:val="00A60EED"/>
    <w:rsid w:val="00A621FE"/>
    <w:rsid w:val="00A6232E"/>
    <w:rsid w:val="00A64430"/>
    <w:rsid w:val="00A65C0A"/>
    <w:rsid w:val="00A66966"/>
    <w:rsid w:val="00A6763D"/>
    <w:rsid w:val="00A721C0"/>
    <w:rsid w:val="00A7294C"/>
    <w:rsid w:val="00A731B8"/>
    <w:rsid w:val="00A7452D"/>
    <w:rsid w:val="00A7517C"/>
    <w:rsid w:val="00A767C0"/>
    <w:rsid w:val="00A774B1"/>
    <w:rsid w:val="00A775B8"/>
    <w:rsid w:val="00A80C30"/>
    <w:rsid w:val="00A84003"/>
    <w:rsid w:val="00A84013"/>
    <w:rsid w:val="00A84E3E"/>
    <w:rsid w:val="00A856B1"/>
    <w:rsid w:val="00A86197"/>
    <w:rsid w:val="00A875F3"/>
    <w:rsid w:val="00A90758"/>
    <w:rsid w:val="00A9080B"/>
    <w:rsid w:val="00A90E16"/>
    <w:rsid w:val="00A94E61"/>
    <w:rsid w:val="00A94E99"/>
    <w:rsid w:val="00A957B0"/>
    <w:rsid w:val="00A96564"/>
    <w:rsid w:val="00A96CD8"/>
    <w:rsid w:val="00A979FD"/>
    <w:rsid w:val="00AA15EB"/>
    <w:rsid w:val="00AA2D7A"/>
    <w:rsid w:val="00AA2E86"/>
    <w:rsid w:val="00AA3549"/>
    <w:rsid w:val="00AA5307"/>
    <w:rsid w:val="00AB179A"/>
    <w:rsid w:val="00AB3BAC"/>
    <w:rsid w:val="00AB3DCA"/>
    <w:rsid w:val="00AB4AD3"/>
    <w:rsid w:val="00AC0797"/>
    <w:rsid w:val="00AC2D3D"/>
    <w:rsid w:val="00AC2EDE"/>
    <w:rsid w:val="00AC53AF"/>
    <w:rsid w:val="00AC61E9"/>
    <w:rsid w:val="00AD4C25"/>
    <w:rsid w:val="00AD4F9D"/>
    <w:rsid w:val="00AD615E"/>
    <w:rsid w:val="00AD628A"/>
    <w:rsid w:val="00AE05E1"/>
    <w:rsid w:val="00AE0AC0"/>
    <w:rsid w:val="00AE2123"/>
    <w:rsid w:val="00AE27BB"/>
    <w:rsid w:val="00AE486F"/>
    <w:rsid w:val="00AE59E5"/>
    <w:rsid w:val="00AE629D"/>
    <w:rsid w:val="00AE6938"/>
    <w:rsid w:val="00AE6DBC"/>
    <w:rsid w:val="00AE74CB"/>
    <w:rsid w:val="00AE79FA"/>
    <w:rsid w:val="00AF0A65"/>
    <w:rsid w:val="00AF223D"/>
    <w:rsid w:val="00AF22E7"/>
    <w:rsid w:val="00AF3F61"/>
    <w:rsid w:val="00AF532B"/>
    <w:rsid w:val="00AF5C4F"/>
    <w:rsid w:val="00AF62FB"/>
    <w:rsid w:val="00AF67A9"/>
    <w:rsid w:val="00B0162F"/>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4B87"/>
    <w:rsid w:val="00B450AD"/>
    <w:rsid w:val="00B47F44"/>
    <w:rsid w:val="00B500E8"/>
    <w:rsid w:val="00B506B5"/>
    <w:rsid w:val="00B52163"/>
    <w:rsid w:val="00B55EF6"/>
    <w:rsid w:val="00B61582"/>
    <w:rsid w:val="00B6217E"/>
    <w:rsid w:val="00B625F2"/>
    <w:rsid w:val="00B627C5"/>
    <w:rsid w:val="00B63BD0"/>
    <w:rsid w:val="00B64367"/>
    <w:rsid w:val="00B64C8C"/>
    <w:rsid w:val="00B65F91"/>
    <w:rsid w:val="00B662BF"/>
    <w:rsid w:val="00B6769D"/>
    <w:rsid w:val="00B6772A"/>
    <w:rsid w:val="00B83559"/>
    <w:rsid w:val="00B853F1"/>
    <w:rsid w:val="00B86A43"/>
    <w:rsid w:val="00B90479"/>
    <w:rsid w:val="00B908A6"/>
    <w:rsid w:val="00B909C1"/>
    <w:rsid w:val="00B91976"/>
    <w:rsid w:val="00B92CED"/>
    <w:rsid w:val="00B94117"/>
    <w:rsid w:val="00B968C2"/>
    <w:rsid w:val="00BA028D"/>
    <w:rsid w:val="00BA1722"/>
    <w:rsid w:val="00BA3E7C"/>
    <w:rsid w:val="00BA62AA"/>
    <w:rsid w:val="00BA6C5D"/>
    <w:rsid w:val="00BA6DD4"/>
    <w:rsid w:val="00BB0207"/>
    <w:rsid w:val="00BB1636"/>
    <w:rsid w:val="00BB1B98"/>
    <w:rsid w:val="00BB1C3C"/>
    <w:rsid w:val="00BB5BAF"/>
    <w:rsid w:val="00BB6801"/>
    <w:rsid w:val="00BB7B1F"/>
    <w:rsid w:val="00BC12C5"/>
    <w:rsid w:val="00BC4D26"/>
    <w:rsid w:val="00BC5518"/>
    <w:rsid w:val="00BD054F"/>
    <w:rsid w:val="00BD078D"/>
    <w:rsid w:val="00BD429D"/>
    <w:rsid w:val="00BD44A9"/>
    <w:rsid w:val="00BD6D69"/>
    <w:rsid w:val="00BE1539"/>
    <w:rsid w:val="00BE200E"/>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4EAA"/>
    <w:rsid w:val="00C15F4D"/>
    <w:rsid w:val="00C202F8"/>
    <w:rsid w:val="00C20D92"/>
    <w:rsid w:val="00C221C1"/>
    <w:rsid w:val="00C24670"/>
    <w:rsid w:val="00C247EA"/>
    <w:rsid w:val="00C25557"/>
    <w:rsid w:val="00C25BC5"/>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67CCF"/>
    <w:rsid w:val="00C704CF"/>
    <w:rsid w:val="00C70CC5"/>
    <w:rsid w:val="00C710EB"/>
    <w:rsid w:val="00C7171D"/>
    <w:rsid w:val="00C7181B"/>
    <w:rsid w:val="00C724D0"/>
    <w:rsid w:val="00C72507"/>
    <w:rsid w:val="00C74397"/>
    <w:rsid w:val="00C74A04"/>
    <w:rsid w:val="00C76E2D"/>
    <w:rsid w:val="00C76FFF"/>
    <w:rsid w:val="00C77386"/>
    <w:rsid w:val="00C80421"/>
    <w:rsid w:val="00C808B0"/>
    <w:rsid w:val="00C80BB6"/>
    <w:rsid w:val="00C818BB"/>
    <w:rsid w:val="00C81DFC"/>
    <w:rsid w:val="00C82214"/>
    <w:rsid w:val="00C824E4"/>
    <w:rsid w:val="00C84E28"/>
    <w:rsid w:val="00C84F08"/>
    <w:rsid w:val="00C85E16"/>
    <w:rsid w:val="00C90077"/>
    <w:rsid w:val="00C90647"/>
    <w:rsid w:val="00C91310"/>
    <w:rsid w:val="00CA0192"/>
    <w:rsid w:val="00CA43F1"/>
    <w:rsid w:val="00CA4FDE"/>
    <w:rsid w:val="00CA6785"/>
    <w:rsid w:val="00CA70E7"/>
    <w:rsid w:val="00CB228A"/>
    <w:rsid w:val="00CB2E17"/>
    <w:rsid w:val="00CB3056"/>
    <w:rsid w:val="00CB3987"/>
    <w:rsid w:val="00CB5328"/>
    <w:rsid w:val="00CB7E08"/>
    <w:rsid w:val="00CC20F0"/>
    <w:rsid w:val="00CC4681"/>
    <w:rsid w:val="00CC4F4F"/>
    <w:rsid w:val="00CC5AD8"/>
    <w:rsid w:val="00CD434F"/>
    <w:rsid w:val="00CE1D90"/>
    <w:rsid w:val="00CE2446"/>
    <w:rsid w:val="00CE4112"/>
    <w:rsid w:val="00CE5F47"/>
    <w:rsid w:val="00CE6986"/>
    <w:rsid w:val="00CE78F5"/>
    <w:rsid w:val="00CF24D4"/>
    <w:rsid w:val="00CF3925"/>
    <w:rsid w:val="00D011CF"/>
    <w:rsid w:val="00D01536"/>
    <w:rsid w:val="00D027B9"/>
    <w:rsid w:val="00D02AFD"/>
    <w:rsid w:val="00D0489B"/>
    <w:rsid w:val="00D052B4"/>
    <w:rsid w:val="00D07A8B"/>
    <w:rsid w:val="00D10E64"/>
    <w:rsid w:val="00D10F72"/>
    <w:rsid w:val="00D17891"/>
    <w:rsid w:val="00D206E0"/>
    <w:rsid w:val="00D223CA"/>
    <w:rsid w:val="00D228B8"/>
    <w:rsid w:val="00D25E0F"/>
    <w:rsid w:val="00D26382"/>
    <w:rsid w:val="00D275FC"/>
    <w:rsid w:val="00D27637"/>
    <w:rsid w:val="00D30343"/>
    <w:rsid w:val="00D3635A"/>
    <w:rsid w:val="00D36920"/>
    <w:rsid w:val="00D36B09"/>
    <w:rsid w:val="00D434D3"/>
    <w:rsid w:val="00D4358F"/>
    <w:rsid w:val="00D44089"/>
    <w:rsid w:val="00D443D7"/>
    <w:rsid w:val="00D5037E"/>
    <w:rsid w:val="00D5188B"/>
    <w:rsid w:val="00D520E7"/>
    <w:rsid w:val="00D53C66"/>
    <w:rsid w:val="00D56DA0"/>
    <w:rsid w:val="00D609A1"/>
    <w:rsid w:val="00D62793"/>
    <w:rsid w:val="00D627BE"/>
    <w:rsid w:val="00D6578B"/>
    <w:rsid w:val="00D65905"/>
    <w:rsid w:val="00D66212"/>
    <w:rsid w:val="00D67E6B"/>
    <w:rsid w:val="00D71B35"/>
    <w:rsid w:val="00D74DFD"/>
    <w:rsid w:val="00D7551A"/>
    <w:rsid w:val="00D770C8"/>
    <w:rsid w:val="00D80302"/>
    <w:rsid w:val="00D81A2D"/>
    <w:rsid w:val="00D81CB0"/>
    <w:rsid w:val="00D82211"/>
    <w:rsid w:val="00D8365B"/>
    <w:rsid w:val="00D8559E"/>
    <w:rsid w:val="00D863DB"/>
    <w:rsid w:val="00D87671"/>
    <w:rsid w:val="00D90346"/>
    <w:rsid w:val="00D9081B"/>
    <w:rsid w:val="00D92132"/>
    <w:rsid w:val="00D92CE7"/>
    <w:rsid w:val="00D931B6"/>
    <w:rsid w:val="00D95849"/>
    <w:rsid w:val="00D9595A"/>
    <w:rsid w:val="00D967DA"/>
    <w:rsid w:val="00D96A05"/>
    <w:rsid w:val="00D96ACC"/>
    <w:rsid w:val="00D974FB"/>
    <w:rsid w:val="00DA031B"/>
    <w:rsid w:val="00DA3017"/>
    <w:rsid w:val="00DA48F8"/>
    <w:rsid w:val="00DA5524"/>
    <w:rsid w:val="00DA60A4"/>
    <w:rsid w:val="00DB0295"/>
    <w:rsid w:val="00DB207B"/>
    <w:rsid w:val="00DB3285"/>
    <w:rsid w:val="00DB5138"/>
    <w:rsid w:val="00DB51A8"/>
    <w:rsid w:val="00DB6108"/>
    <w:rsid w:val="00DC008F"/>
    <w:rsid w:val="00DD4464"/>
    <w:rsid w:val="00DD6074"/>
    <w:rsid w:val="00DD693A"/>
    <w:rsid w:val="00DE125D"/>
    <w:rsid w:val="00DE5620"/>
    <w:rsid w:val="00DE5C6B"/>
    <w:rsid w:val="00DE6056"/>
    <w:rsid w:val="00DE6090"/>
    <w:rsid w:val="00DF1CBC"/>
    <w:rsid w:val="00DF3EFE"/>
    <w:rsid w:val="00E02685"/>
    <w:rsid w:val="00E03BDD"/>
    <w:rsid w:val="00E044B6"/>
    <w:rsid w:val="00E0642F"/>
    <w:rsid w:val="00E0676F"/>
    <w:rsid w:val="00E104DF"/>
    <w:rsid w:val="00E11C04"/>
    <w:rsid w:val="00E120F2"/>
    <w:rsid w:val="00E17DC5"/>
    <w:rsid w:val="00E210B0"/>
    <w:rsid w:val="00E21634"/>
    <w:rsid w:val="00E25BA6"/>
    <w:rsid w:val="00E27141"/>
    <w:rsid w:val="00E272E4"/>
    <w:rsid w:val="00E2732F"/>
    <w:rsid w:val="00E31382"/>
    <w:rsid w:val="00E31596"/>
    <w:rsid w:val="00E33D89"/>
    <w:rsid w:val="00E3510F"/>
    <w:rsid w:val="00E3663A"/>
    <w:rsid w:val="00E367AD"/>
    <w:rsid w:val="00E3733D"/>
    <w:rsid w:val="00E40792"/>
    <w:rsid w:val="00E41BFA"/>
    <w:rsid w:val="00E43C59"/>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3F0D"/>
    <w:rsid w:val="00E76C52"/>
    <w:rsid w:val="00E80B1C"/>
    <w:rsid w:val="00E870E4"/>
    <w:rsid w:val="00E8796B"/>
    <w:rsid w:val="00E90C07"/>
    <w:rsid w:val="00E93AB6"/>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C76EA"/>
    <w:rsid w:val="00ED2843"/>
    <w:rsid w:val="00ED2DE6"/>
    <w:rsid w:val="00ED4AAB"/>
    <w:rsid w:val="00ED7D5D"/>
    <w:rsid w:val="00EE0C5F"/>
    <w:rsid w:val="00EE285A"/>
    <w:rsid w:val="00EE3372"/>
    <w:rsid w:val="00EE5549"/>
    <w:rsid w:val="00EE5A45"/>
    <w:rsid w:val="00EE6F7A"/>
    <w:rsid w:val="00EF1F94"/>
    <w:rsid w:val="00EF273A"/>
    <w:rsid w:val="00EF2A08"/>
    <w:rsid w:val="00EF46D9"/>
    <w:rsid w:val="00EF553D"/>
    <w:rsid w:val="00EF5540"/>
    <w:rsid w:val="00EF6148"/>
    <w:rsid w:val="00EF667D"/>
    <w:rsid w:val="00EF7876"/>
    <w:rsid w:val="00EF7E3E"/>
    <w:rsid w:val="00F01B8A"/>
    <w:rsid w:val="00F02F0B"/>
    <w:rsid w:val="00F03A6B"/>
    <w:rsid w:val="00F04F4D"/>
    <w:rsid w:val="00F06FAB"/>
    <w:rsid w:val="00F071B9"/>
    <w:rsid w:val="00F07604"/>
    <w:rsid w:val="00F07F2F"/>
    <w:rsid w:val="00F10223"/>
    <w:rsid w:val="00F109DA"/>
    <w:rsid w:val="00F122F6"/>
    <w:rsid w:val="00F14625"/>
    <w:rsid w:val="00F14771"/>
    <w:rsid w:val="00F15189"/>
    <w:rsid w:val="00F1598A"/>
    <w:rsid w:val="00F17948"/>
    <w:rsid w:val="00F20F66"/>
    <w:rsid w:val="00F212F6"/>
    <w:rsid w:val="00F213F9"/>
    <w:rsid w:val="00F21E51"/>
    <w:rsid w:val="00F22B11"/>
    <w:rsid w:val="00F2468F"/>
    <w:rsid w:val="00F25056"/>
    <w:rsid w:val="00F26716"/>
    <w:rsid w:val="00F26C97"/>
    <w:rsid w:val="00F30FA6"/>
    <w:rsid w:val="00F3287A"/>
    <w:rsid w:val="00F34BCF"/>
    <w:rsid w:val="00F351DC"/>
    <w:rsid w:val="00F3576A"/>
    <w:rsid w:val="00F35EB0"/>
    <w:rsid w:val="00F373D8"/>
    <w:rsid w:val="00F41308"/>
    <w:rsid w:val="00F41387"/>
    <w:rsid w:val="00F41C6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3789"/>
    <w:rsid w:val="00F658A9"/>
    <w:rsid w:val="00F71307"/>
    <w:rsid w:val="00F71652"/>
    <w:rsid w:val="00F74407"/>
    <w:rsid w:val="00F764BE"/>
    <w:rsid w:val="00F77117"/>
    <w:rsid w:val="00F826D8"/>
    <w:rsid w:val="00F84AF1"/>
    <w:rsid w:val="00F86E9A"/>
    <w:rsid w:val="00F879C4"/>
    <w:rsid w:val="00F87D53"/>
    <w:rsid w:val="00F9196B"/>
    <w:rsid w:val="00F93C1D"/>
    <w:rsid w:val="00F942C6"/>
    <w:rsid w:val="00F94318"/>
    <w:rsid w:val="00F94451"/>
    <w:rsid w:val="00F9448A"/>
    <w:rsid w:val="00F947D6"/>
    <w:rsid w:val="00F94CDC"/>
    <w:rsid w:val="00F94F83"/>
    <w:rsid w:val="00F9579E"/>
    <w:rsid w:val="00F961BE"/>
    <w:rsid w:val="00FA029F"/>
    <w:rsid w:val="00FA16AF"/>
    <w:rsid w:val="00FA4E6F"/>
    <w:rsid w:val="00FA5C1A"/>
    <w:rsid w:val="00FA6EFF"/>
    <w:rsid w:val="00FB0F2E"/>
    <w:rsid w:val="00FB1B1E"/>
    <w:rsid w:val="00FB3E04"/>
    <w:rsid w:val="00FB4C84"/>
    <w:rsid w:val="00FB4F23"/>
    <w:rsid w:val="00FB7092"/>
    <w:rsid w:val="00FC1860"/>
    <w:rsid w:val="00FC1B7F"/>
    <w:rsid w:val="00FC1F3B"/>
    <w:rsid w:val="00FC2AFE"/>
    <w:rsid w:val="00FC4A8E"/>
    <w:rsid w:val="00FC5688"/>
    <w:rsid w:val="00FC670F"/>
    <w:rsid w:val="00FC6A97"/>
    <w:rsid w:val="00FD13BC"/>
    <w:rsid w:val="00FD3169"/>
    <w:rsid w:val="00FD4961"/>
    <w:rsid w:val="00FD6801"/>
    <w:rsid w:val="00FD7976"/>
    <w:rsid w:val="00FE0286"/>
    <w:rsid w:val="00FE0686"/>
    <w:rsid w:val="00FE1595"/>
    <w:rsid w:val="00FE21E5"/>
    <w:rsid w:val="00FE46F1"/>
    <w:rsid w:val="00FE5081"/>
    <w:rsid w:val="00FE70A6"/>
    <w:rsid w:val="00FE7FF1"/>
    <w:rsid w:val="00FF0FE9"/>
    <w:rsid w:val="00FF248A"/>
    <w:rsid w:val="00FF3F96"/>
    <w:rsid w:val="00FF4B2C"/>
    <w:rsid w:val="00FF55B2"/>
    <w:rsid w:val="00FF674A"/>
    <w:rsid w:val="00FF680D"/>
    <w:rsid w:val="02259EDA"/>
    <w:rsid w:val="03536391"/>
    <w:rsid w:val="039293AD"/>
    <w:rsid w:val="08137E38"/>
    <w:rsid w:val="0BD53264"/>
    <w:rsid w:val="0FA5EE2F"/>
    <w:rsid w:val="127F2774"/>
    <w:rsid w:val="14F64F36"/>
    <w:rsid w:val="16E0DD87"/>
    <w:rsid w:val="17FC7505"/>
    <w:rsid w:val="1BF1AFA6"/>
    <w:rsid w:val="1C1E6A3A"/>
    <w:rsid w:val="1EC84C09"/>
    <w:rsid w:val="29B0E156"/>
    <w:rsid w:val="2A71DE68"/>
    <w:rsid w:val="2EAF5E01"/>
    <w:rsid w:val="2F1138A9"/>
    <w:rsid w:val="354E96F6"/>
    <w:rsid w:val="38D13D7D"/>
    <w:rsid w:val="38F01CA0"/>
    <w:rsid w:val="3B69D979"/>
    <w:rsid w:val="3DF7A2C1"/>
    <w:rsid w:val="3F5C38D9"/>
    <w:rsid w:val="4360E6D9"/>
    <w:rsid w:val="443942EC"/>
    <w:rsid w:val="45BC762F"/>
    <w:rsid w:val="466DFE9B"/>
    <w:rsid w:val="46A58E32"/>
    <w:rsid w:val="46FE8A1D"/>
    <w:rsid w:val="53A7D3CD"/>
    <w:rsid w:val="548B5CF4"/>
    <w:rsid w:val="5593C1B8"/>
    <w:rsid w:val="5E049B5B"/>
    <w:rsid w:val="5FBF21D3"/>
    <w:rsid w:val="5FCAA09F"/>
    <w:rsid w:val="62376261"/>
    <w:rsid w:val="628F447E"/>
    <w:rsid w:val="6804FF82"/>
    <w:rsid w:val="6964B2AB"/>
    <w:rsid w:val="6B4E8886"/>
    <w:rsid w:val="6CB42D98"/>
    <w:rsid w:val="6DA6CFAB"/>
    <w:rsid w:val="7096E5FC"/>
    <w:rsid w:val="72CFA4F9"/>
    <w:rsid w:val="732F52E2"/>
    <w:rsid w:val="73FD4658"/>
    <w:rsid w:val="77F3AEB8"/>
    <w:rsid w:val="7D7DF347"/>
    <w:rsid w:val="7F6CD657"/>
    <w:rsid w:val="7F94576F"/>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A47F0F0"/>
  <w15:docId w15:val="{53B9E879-6013-447A-9435-0E4060DD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uiPriority w:val="99"/>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character" w:customStyle="1" w:styleId="normaltextrun">
    <w:name w:val="normaltextrun"/>
    <w:basedOn w:val="DefaultParagraphFont"/>
    <w:rsid w:val="00F06FAB"/>
  </w:style>
  <w:style w:type="character" w:customStyle="1" w:styleId="eop">
    <w:name w:val="eop"/>
    <w:basedOn w:val="DefaultParagraphFont"/>
    <w:rsid w:val="00F06FAB"/>
  </w:style>
  <w:style w:type="table" w:customStyle="1" w:styleId="TableGrid1">
    <w:name w:val="Table Grid1"/>
    <w:basedOn w:val="TableNormal"/>
    <w:next w:val="TableGrid"/>
    <w:uiPriority w:val="39"/>
    <w:rsid w:val="00674727"/>
    <w:pPr>
      <w:spacing w:before="120"/>
    </w:pPr>
    <w:rPr>
      <w:rFonts w:ascii="Calibri" w:eastAsia="Times New Roman" w:hAnsi="Calibri" w:cs="Times New Roma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310C63"/>
    <w:pPr>
      <w:ind w:left="720"/>
      <w:contextualSpacing/>
    </w:pPr>
  </w:style>
  <w:style w:type="table" w:customStyle="1" w:styleId="TableGrid0">
    <w:name w:val="TableGrid"/>
    <w:rsid w:val="00FF4B2C"/>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183C7B"/>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2525">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580872799">
      <w:bodyDiv w:val="1"/>
      <w:marLeft w:val="0"/>
      <w:marRight w:val="0"/>
      <w:marTop w:val="0"/>
      <w:marBottom w:val="0"/>
      <w:divBdr>
        <w:top w:val="none" w:sz="0" w:space="0" w:color="auto"/>
        <w:left w:val="none" w:sz="0" w:space="0" w:color="auto"/>
        <w:bottom w:val="none" w:sz="0" w:space="0" w:color="auto"/>
        <w:right w:val="none" w:sz="0" w:space="0" w:color="auto"/>
      </w:divBdr>
    </w:div>
    <w:div w:id="1090081261">
      <w:bodyDiv w:val="1"/>
      <w:marLeft w:val="0"/>
      <w:marRight w:val="0"/>
      <w:marTop w:val="0"/>
      <w:marBottom w:val="0"/>
      <w:divBdr>
        <w:top w:val="none" w:sz="0" w:space="0" w:color="auto"/>
        <w:left w:val="none" w:sz="0" w:space="0" w:color="auto"/>
        <w:bottom w:val="none" w:sz="0" w:space="0" w:color="auto"/>
        <w:right w:val="none" w:sz="0" w:space="0" w:color="auto"/>
      </w:divBdr>
    </w:div>
    <w:div w:id="1221749325">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786458784">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324/9780367192280" TargetMode="External"/><Relationship Id="rId18" Type="http://schemas.openxmlformats.org/officeDocument/2006/relationships/hyperlink" Target="https://www.canberrahealthservices.act.gov.au/accessibil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ctgovernment.sharepoint.com/teams/CHSServiceandTransformation/Shared%20Documents/General/EDRTC/MHJHADS%20Recognition%20and%20Escalation%20Pathways%20for%20Physiological%20Deterioration%20for%20Bedded%20Services%20Remote%20to%20Canberra%20Hospital,%20University%20of%20Canberra%20Hospital%20and%20North%20Canberra%20Hospital.DOC"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government.sharepoint.com/teams/CHSServiceandTransformation/Shared%20Documents/General/EDRTC/MHJHADS%20Recognition%20and%20Escalation%20Pathways%20for%20Physiological%20Deterioration%20for%20Bedded%20Services%20Remote%20to%20Canberra%20Hospital,%20University%20of%20Canberra%20Hospital%20and%20North%20Canberra%20Hospital.DOC"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actgovernment.sharepoint.com/teams/CHSServiceandTransformation/Shared%20Documents/General/EDRTC/MHJHADS%20Recognition%20and%20Escalation%20Pathways%20for%20Physiological%20Deterioration%20for%20Bedded%20Services%20Remote%20to%20Canberra%20Hospital,%20University%20of%20Canberra%20Hospital%20and%20North%20Canberra%20Hospital.DOC"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91F16745D45FE9B8A2AF1850F9B25"/>
        <w:category>
          <w:name w:val="General"/>
          <w:gallery w:val="placeholder"/>
        </w:category>
        <w:types>
          <w:type w:val="bbPlcHdr"/>
        </w:types>
        <w:behaviors>
          <w:behavior w:val="content"/>
        </w:behaviors>
        <w:guid w:val="{325CD18C-5E33-4643-9E35-7EC34EA0283E}"/>
      </w:docPartPr>
      <w:docPartBody>
        <w:p w:rsidR="004C2EAF" w:rsidRDefault="004C2EAF">
          <w:pPr>
            <w:pStyle w:val="A4D91F16745D45FE9B8A2AF1850F9B25"/>
          </w:pPr>
          <w:r>
            <w:rPr>
              <w:noProof/>
              <w:sz w:val="20"/>
              <w:szCs w:val="20"/>
            </w:rPr>
            <w:drawing>
              <wp:inline distT="0" distB="0" distL="0" distR="0" wp14:anchorId="43A92877" wp14:editId="43A92878">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45A854D0A38D42E5965732E447457D72"/>
        <w:category>
          <w:name w:val="General"/>
          <w:gallery w:val="placeholder"/>
        </w:category>
        <w:types>
          <w:type w:val="bbPlcHdr"/>
        </w:types>
        <w:behaviors>
          <w:behavior w:val="content"/>
        </w:behaviors>
        <w:guid w:val="{9A0E4A59-6FBE-4468-87D3-B49EF7D96265}"/>
      </w:docPartPr>
      <w:docPartBody>
        <w:p w:rsidR="004C2EAF" w:rsidRDefault="004C2EAF">
          <w:pPr>
            <w:pStyle w:val="45A854D0A38D42E5965732E447457D72"/>
          </w:pPr>
          <w:r w:rsidRPr="00EE29F8">
            <w:rPr>
              <w:rStyle w:val="PlaceholderText"/>
            </w:rPr>
            <w:t>Choose an item.</w:t>
          </w:r>
        </w:p>
      </w:docPartBody>
    </w:docPart>
    <w:docPart>
      <w:docPartPr>
        <w:name w:val="60CEB34D2FBA454AA87FFA5E3E4B9E56"/>
        <w:category>
          <w:name w:val="General"/>
          <w:gallery w:val="placeholder"/>
        </w:category>
        <w:types>
          <w:type w:val="bbPlcHdr"/>
        </w:types>
        <w:behaviors>
          <w:behavior w:val="content"/>
        </w:behaviors>
        <w:guid w:val="{26992886-ACC1-4419-9869-70B1374FAA41}"/>
      </w:docPartPr>
      <w:docPartBody>
        <w:p w:rsidR="004C2EAF" w:rsidRPr="00F26C97" w:rsidRDefault="004C2EAF" w:rsidP="003B0E72">
          <w:pPr>
            <w:pStyle w:val="Bottomblocktext"/>
            <w:rPr>
              <w:b/>
              <w:bCs w:val="0"/>
              <w:sz w:val="20"/>
              <w:szCs w:val="20"/>
            </w:rPr>
          </w:pPr>
          <w:r>
            <w:rPr>
              <w:b/>
              <w:bCs w:val="0"/>
              <w:noProof/>
              <w:sz w:val="20"/>
              <w:szCs w:val="20"/>
            </w:rPr>
            <w:drawing>
              <wp:inline distT="0" distB="0" distL="0" distR="0" wp14:anchorId="43A92879" wp14:editId="43A9287A">
                <wp:extent cx="338275" cy="331065"/>
                <wp:effectExtent l="0" t="0" r="5080" b="0"/>
                <wp:docPr id="143728163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3A9287B" wp14:editId="43A9287C">
                <wp:extent cx="143919" cy="139700"/>
                <wp:effectExtent l="0" t="0" r="8890" b="0"/>
                <wp:docPr id="1896221880"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4C2EAF" w:rsidRPr="00F26C97" w:rsidRDefault="004C2EAF" w:rsidP="003B0E72">
          <w:pPr>
            <w:pStyle w:val="Bottomblocktext"/>
            <w:rPr>
              <w:b/>
              <w:bCs w:val="0"/>
              <w:sz w:val="20"/>
              <w:szCs w:val="20"/>
            </w:rPr>
          </w:pPr>
          <w:r>
            <w:rPr>
              <w:b/>
              <w:bCs w:val="0"/>
              <w:noProof/>
              <w:sz w:val="20"/>
              <w:szCs w:val="20"/>
            </w:rPr>
            <w:drawing>
              <wp:inline distT="0" distB="0" distL="0" distR="0" wp14:anchorId="43A9287D" wp14:editId="43A9287E">
                <wp:extent cx="326104" cy="323850"/>
                <wp:effectExtent l="0" t="0" r="0" b="0"/>
                <wp:docPr id="789610086"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3A9287F" wp14:editId="43A92880">
                <wp:extent cx="143919" cy="139700"/>
                <wp:effectExtent l="0" t="0" r="8890" b="0"/>
                <wp:docPr id="809842584"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4C2EAF" w:rsidRDefault="004C2EAF" w:rsidP="003B0E72">
          <w:pPr>
            <w:pStyle w:val="Bottomblocktext"/>
            <w:rPr>
              <w:sz w:val="20"/>
              <w:szCs w:val="20"/>
            </w:rPr>
          </w:pPr>
          <w:hyperlink r:id="rId8" w:history="1">
            <w:r w:rsidRPr="00350211">
              <w:rPr>
                <w:rStyle w:val="Hyperlink"/>
                <w:sz w:val="20"/>
                <w:szCs w:val="20"/>
              </w:rPr>
              <w:t>canberrahealthservices.act.gov.au/accessibility</w:t>
            </w:r>
          </w:hyperlink>
        </w:p>
        <w:p w:rsidR="004C2EAF" w:rsidRDefault="004C2EAF">
          <w:pPr>
            <w:pStyle w:val="60CEB34D2FBA454AA87FFA5E3E4B9E56"/>
          </w:pPr>
          <w:r>
            <w:rPr>
              <w:b/>
              <w:bCs/>
              <w:noProof/>
            </w:rPr>
            <w:drawing>
              <wp:inline distT="0" distB="0" distL="0" distR="0" wp14:anchorId="43A92881" wp14:editId="43A92882">
                <wp:extent cx="1323833" cy="309418"/>
                <wp:effectExtent l="0" t="0" r="0" b="0"/>
                <wp:docPr id="1295646095"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AF"/>
    <w:rsid w:val="000A7661"/>
    <w:rsid w:val="001E17A2"/>
    <w:rsid w:val="003566D9"/>
    <w:rsid w:val="004C2EAF"/>
    <w:rsid w:val="004D7BF2"/>
    <w:rsid w:val="0050279D"/>
    <w:rsid w:val="005D0171"/>
    <w:rsid w:val="00702BD7"/>
    <w:rsid w:val="007517BC"/>
    <w:rsid w:val="007518ED"/>
    <w:rsid w:val="007B116C"/>
    <w:rsid w:val="0092077F"/>
    <w:rsid w:val="00A24220"/>
    <w:rsid w:val="00B15E56"/>
    <w:rsid w:val="00B54F87"/>
    <w:rsid w:val="00C02214"/>
    <w:rsid w:val="00C14976"/>
    <w:rsid w:val="00C7171D"/>
    <w:rsid w:val="00C90077"/>
    <w:rsid w:val="00CC20F0"/>
    <w:rsid w:val="00D02AFD"/>
    <w:rsid w:val="00F63789"/>
    <w:rsid w:val="00FE21E5"/>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91F16745D45FE9B8A2AF1850F9B25">
    <w:name w:val="A4D91F16745D45FE9B8A2AF1850F9B25"/>
    <w:rPr>
      <w:rFonts w:cs="Arial Unicode MS"/>
    </w:rPr>
  </w:style>
  <w:style w:type="character" w:styleId="PlaceholderText">
    <w:name w:val="Placeholder Text"/>
    <w:basedOn w:val="DefaultParagraphFont"/>
    <w:uiPriority w:val="99"/>
    <w:semiHidden/>
    <w:rPr>
      <w:color w:val="808080"/>
    </w:rPr>
  </w:style>
  <w:style w:type="paragraph" w:customStyle="1" w:styleId="45A854D0A38D42E5965732E447457D72">
    <w:name w:val="45A854D0A38D42E5965732E447457D72"/>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60CEB34D2FBA454AA87FFA5E3E4B9E56">
    <w:name w:val="60CEB34D2FBA454AA87FFA5E3E4B9E56"/>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5008ED5589E499BFBF5C12C9F2EFF" ma:contentTypeVersion="13" ma:contentTypeDescription="Create a new document." ma:contentTypeScope="" ma:versionID="677e64d0dcccff9c5eb80c7b200338d5">
  <xsd:schema xmlns:xsd="http://www.w3.org/2001/XMLSchema" xmlns:xs="http://www.w3.org/2001/XMLSchema" xmlns:p="http://schemas.microsoft.com/office/2006/metadata/properties" xmlns:ns2="9efdaaef-4910-4cb9-b178-6d98af107710" xmlns:ns3="723f0dcc-2fad-4b84-933f-79ac5f6522e3" targetNamespace="http://schemas.microsoft.com/office/2006/metadata/properties" ma:root="true" ma:fieldsID="07deb5750d2bf62f46cfb609411ce181" ns2:_="" ns3:_="">
    <xsd:import namespace="9efdaaef-4910-4cb9-b178-6d98af107710"/>
    <xsd:import namespace="723f0dcc-2fad-4b84-933f-79ac5f652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daaef-4910-4cb9-b178-6d98af10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f0dcc-2fad-4b84-933f-79ac5f652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d5dbc7-6674-4f45-8a7a-3979c806c9f3}" ma:internalName="TaxCatchAll" ma:showField="CatchAllData" ma:web="723f0dcc-2fad-4b84-933f-79ac5f652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D60A6-9394-479D-A8C7-9D14F190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daaef-4910-4cb9-b178-6d98af107710"/>
    <ds:schemaRef ds:uri="723f0dcc-2fad-4b84-933f-79ac5f652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15013</Words>
  <Characters>85577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Canberra Health Services</Company>
  <LinksUpToDate>false</LinksUpToDate>
  <CharactersWithSpaces>100390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Raichel (Health)</dc:creator>
  <cp:lastModifiedBy>Rusanov, Zoia</cp:lastModifiedBy>
  <cp:revision>12</cp:revision>
  <cp:lastPrinted>2017-05-22T07:29:00Z</cp:lastPrinted>
  <dcterms:created xsi:type="dcterms:W3CDTF">2025-06-04T05:27:00Z</dcterms:created>
  <dcterms:modified xsi:type="dcterms:W3CDTF">2025-06-20T05:23:00Z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0x0101001A25008ED5589E499BFBF5C12C9F2EFF</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{"FileActivityType":"6","FileActivityTimeStamp":"2025-04-30T07:06:45.290Z","FileActivityUsersOnPage":[{"DisplayName":"Ingwersen, Judith","Id":"judith.ingwersen@act.gov.au"}],"FileActivityNavigationId":null}</vt:lpwstr>
  </property>
  <property fmtid="{D5CDD505-2E9C-101B-9397-08002B2CF9AE}" pid="14" name="TriggerFlowInfo">
    <vt:lpwstr/>
  </property>
  <property fmtid="{D5CDD505-2E9C-101B-9397-08002B2CF9AE}" pid="15" name="lcf76f155ced4ddcb4097134ff3c332f">
    <vt:lpwstr/>
  </property>
  <property fmtid="{D5CDD505-2E9C-101B-9397-08002B2CF9AE}" pid="16" name="TaxCatchAll">
    <vt:lpwstr/>
  </property>
</Properties>
</file>