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1704A" w14:textId="77777777" w:rsidR="00197F2E" w:rsidRPr="0007270D" w:rsidRDefault="008606A0" w:rsidP="00241A68">
      <w:pPr>
        <w:pStyle w:val="Heading1"/>
      </w:pPr>
      <w:bookmarkStart w:id="0" w:name="_top"/>
      <w:bookmarkEnd w:id="0"/>
      <w:r w:rsidRPr="0007270D">
        <w:t xml:space="preserve">Guideline </w:t>
      </w:r>
      <w:r w:rsidRPr="00241A68">
        <w:rPr>
          <w:b w:val="0"/>
          <w:bCs w:val="0"/>
        </w:rPr>
        <w:t xml:space="preserve">| </w:t>
      </w:r>
      <w:r w:rsidR="00481A6C" w:rsidRPr="00241A68">
        <w:rPr>
          <w:b w:val="0"/>
          <w:bCs w:val="0"/>
        </w:rPr>
        <w:t>Canberra Health Services</w:t>
      </w:r>
    </w:p>
    <w:p w14:paraId="0EDD9DF4" w14:textId="3FC167A4" w:rsidR="00197F2E" w:rsidRDefault="002C200B" w:rsidP="00197F2E">
      <w:pPr>
        <w:pStyle w:val="Heading2"/>
      </w:pPr>
      <w:r w:rsidRPr="7647A88E">
        <w:rPr>
          <w:rFonts w:asciiTheme="minorHAnsi" w:hAnsiTheme="minorHAnsi"/>
        </w:rPr>
        <w:t>End of Life</w:t>
      </w:r>
      <w:r w:rsidR="00282847" w:rsidRPr="7647A88E">
        <w:rPr>
          <w:rFonts w:asciiTheme="minorHAnsi" w:hAnsiTheme="minorHAnsi"/>
        </w:rPr>
        <w:t>,</w:t>
      </w:r>
      <w:r w:rsidRPr="7647A88E">
        <w:rPr>
          <w:rFonts w:asciiTheme="minorHAnsi" w:hAnsiTheme="minorHAnsi"/>
        </w:rPr>
        <w:t xml:space="preserve"> Palliative Care</w:t>
      </w:r>
      <w:r w:rsidR="00282847" w:rsidRPr="7647A88E">
        <w:rPr>
          <w:rFonts w:asciiTheme="minorHAnsi" w:hAnsiTheme="minorHAnsi"/>
        </w:rPr>
        <w:t xml:space="preserve"> and Voluntary Assisted Dying</w:t>
      </w:r>
      <w:r w:rsidRPr="7647A88E">
        <w:rPr>
          <w:rFonts w:asciiTheme="minorHAnsi" w:hAnsiTheme="minorHAnsi"/>
        </w:rPr>
        <w:t xml:space="preserve"> for Clients at </w:t>
      </w:r>
      <w:r w:rsidR="00E23608">
        <w:rPr>
          <w:rFonts w:asciiTheme="minorHAnsi" w:hAnsiTheme="minorHAnsi"/>
        </w:rPr>
        <w:t>the Alexander Maconochie Centre (</w:t>
      </w:r>
      <w:r w:rsidRPr="7647A88E">
        <w:rPr>
          <w:rFonts w:asciiTheme="minorHAnsi" w:hAnsiTheme="minorHAnsi"/>
        </w:rPr>
        <w:t>AMC</w:t>
      </w:r>
      <w:r w:rsidR="00E23608">
        <w:rPr>
          <w:rFonts w:asciiTheme="minorHAnsi" w:hAnsiTheme="minorHAnsi"/>
        </w:rPr>
        <w:t>)</w:t>
      </w:r>
    </w:p>
    <w:p w14:paraId="67014FA9" w14:textId="5D72C78E" w:rsidR="00CA4FDE" w:rsidRPr="00C34A10" w:rsidRDefault="00E31596" w:rsidP="00C34A10">
      <w:pPr>
        <w:pStyle w:val="BodyCopy"/>
        <w:spacing w:before="0" w:line="240" w:lineRule="auto"/>
        <w:rPr>
          <w:color w:val="575757" w:themeColor="text2"/>
        </w:rPr>
      </w:pPr>
      <w:r w:rsidRPr="00197F2E">
        <w:t>CHS</w:t>
      </w:r>
      <w:r w:rsidR="00CB6172">
        <w:t>25/186</w:t>
      </w:r>
      <w:bookmarkStart w:id="1" w:name="_Hlk157074578"/>
    </w:p>
    <w:sdt>
      <w:sdtPr>
        <w:rPr>
          <w:sz w:val="32"/>
          <w:szCs w:val="32"/>
        </w:rPr>
        <w:id w:val="-1206019646"/>
        <w:docPartObj>
          <w:docPartGallery w:val="Table of Contents"/>
          <w:docPartUnique/>
        </w:docPartObj>
      </w:sdtPr>
      <w:sdtEndPr/>
      <w:sdtContent>
        <w:p w14:paraId="385A052D" w14:textId="77777777" w:rsidR="00A731B8" w:rsidRPr="000E7683" w:rsidRDefault="00A731B8">
          <w:pPr>
            <w:pStyle w:val="TOCHeading"/>
            <w:rPr>
              <w:rStyle w:val="Heading3Char"/>
              <w:b/>
              <w:bCs w:val="0"/>
            </w:rPr>
          </w:pPr>
          <w:r w:rsidRPr="007B1A7B">
            <w:rPr>
              <w:rStyle w:val="Heading3Char"/>
              <w:b/>
              <w:bCs w:val="0"/>
            </w:rPr>
            <w:t>Contents</w:t>
          </w:r>
        </w:p>
        <w:p w14:paraId="3F3F8DB5" w14:textId="69C8274B" w:rsidR="00480517" w:rsidRDefault="00A621FE">
          <w:pPr>
            <w:pStyle w:val="TOC1"/>
            <w:rPr>
              <w:rFonts w:asciiTheme="minorHAnsi" w:eastAsiaTheme="minorEastAsia" w:hAnsiTheme="minorHAnsi" w:cstheme="minorBidi"/>
              <w:color w:val="auto"/>
              <w:kern w:val="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198277141" w:history="1">
            <w:r w:rsidR="00480517" w:rsidRPr="00EE2477">
              <w:rPr>
                <w:rStyle w:val="Hyperlink"/>
              </w:rPr>
              <w:t>Guideline statement</w:t>
            </w:r>
            <w:r w:rsidR="00480517">
              <w:rPr>
                <w:webHidden/>
              </w:rPr>
              <w:tab/>
            </w:r>
            <w:r w:rsidR="00480517">
              <w:rPr>
                <w:webHidden/>
              </w:rPr>
              <w:fldChar w:fldCharType="begin"/>
            </w:r>
            <w:r w:rsidR="00480517">
              <w:rPr>
                <w:webHidden/>
              </w:rPr>
              <w:instrText xml:space="preserve"> PAGEREF _Toc198277141 \h </w:instrText>
            </w:r>
            <w:r w:rsidR="00480517">
              <w:rPr>
                <w:webHidden/>
              </w:rPr>
            </w:r>
            <w:r w:rsidR="00480517">
              <w:rPr>
                <w:webHidden/>
              </w:rPr>
              <w:fldChar w:fldCharType="separate"/>
            </w:r>
            <w:r w:rsidR="00480517">
              <w:rPr>
                <w:webHidden/>
              </w:rPr>
              <w:t>2</w:t>
            </w:r>
            <w:r w:rsidR="00480517">
              <w:rPr>
                <w:webHidden/>
              </w:rPr>
              <w:fldChar w:fldCharType="end"/>
            </w:r>
          </w:hyperlink>
        </w:p>
        <w:p w14:paraId="042C2E1A" w14:textId="3F9E80B4" w:rsidR="00480517" w:rsidRDefault="00480517">
          <w:pPr>
            <w:pStyle w:val="TOC1"/>
            <w:rPr>
              <w:rFonts w:asciiTheme="minorHAnsi" w:eastAsiaTheme="minorEastAsia" w:hAnsiTheme="minorHAnsi" w:cstheme="minorBidi"/>
              <w:color w:val="auto"/>
              <w:kern w:val="2"/>
              <w14:ligatures w14:val="standardContextual"/>
            </w:rPr>
          </w:pPr>
          <w:hyperlink w:anchor="_Toc198277142" w:history="1">
            <w:r w:rsidRPr="00EE2477">
              <w:rPr>
                <w:rStyle w:val="Hyperlink"/>
              </w:rPr>
              <w:t>Scope</w:t>
            </w:r>
            <w:r>
              <w:rPr>
                <w:webHidden/>
              </w:rPr>
              <w:tab/>
            </w:r>
            <w:r>
              <w:rPr>
                <w:webHidden/>
              </w:rPr>
              <w:fldChar w:fldCharType="begin"/>
            </w:r>
            <w:r>
              <w:rPr>
                <w:webHidden/>
              </w:rPr>
              <w:instrText xml:space="preserve"> PAGEREF _Toc198277142 \h </w:instrText>
            </w:r>
            <w:r>
              <w:rPr>
                <w:webHidden/>
              </w:rPr>
            </w:r>
            <w:r>
              <w:rPr>
                <w:webHidden/>
              </w:rPr>
              <w:fldChar w:fldCharType="separate"/>
            </w:r>
            <w:r>
              <w:rPr>
                <w:webHidden/>
              </w:rPr>
              <w:t>4</w:t>
            </w:r>
            <w:r>
              <w:rPr>
                <w:webHidden/>
              </w:rPr>
              <w:fldChar w:fldCharType="end"/>
            </w:r>
          </w:hyperlink>
        </w:p>
        <w:p w14:paraId="2DF14AA7" w14:textId="1E10E4E4" w:rsidR="00480517" w:rsidRDefault="00480517">
          <w:pPr>
            <w:pStyle w:val="TOC1"/>
            <w:rPr>
              <w:rFonts w:asciiTheme="minorHAnsi" w:eastAsiaTheme="minorEastAsia" w:hAnsiTheme="minorHAnsi" w:cstheme="minorBidi"/>
              <w:color w:val="auto"/>
              <w:kern w:val="2"/>
              <w14:ligatures w14:val="standardContextual"/>
            </w:rPr>
          </w:pPr>
          <w:hyperlink w:anchor="_Toc198277143" w:history="1">
            <w:r w:rsidRPr="00EE2477">
              <w:rPr>
                <w:rStyle w:val="Hyperlink"/>
              </w:rPr>
              <w:t>Section 1 – Recognition of End of Life and Terminal Phase</w:t>
            </w:r>
            <w:r>
              <w:rPr>
                <w:webHidden/>
              </w:rPr>
              <w:tab/>
            </w:r>
            <w:r>
              <w:rPr>
                <w:webHidden/>
              </w:rPr>
              <w:fldChar w:fldCharType="begin"/>
            </w:r>
            <w:r>
              <w:rPr>
                <w:webHidden/>
              </w:rPr>
              <w:instrText xml:space="preserve"> PAGEREF _Toc198277143 \h </w:instrText>
            </w:r>
            <w:r>
              <w:rPr>
                <w:webHidden/>
              </w:rPr>
            </w:r>
            <w:r>
              <w:rPr>
                <w:webHidden/>
              </w:rPr>
              <w:fldChar w:fldCharType="separate"/>
            </w:r>
            <w:r>
              <w:rPr>
                <w:webHidden/>
              </w:rPr>
              <w:t>4</w:t>
            </w:r>
            <w:r>
              <w:rPr>
                <w:webHidden/>
              </w:rPr>
              <w:fldChar w:fldCharType="end"/>
            </w:r>
          </w:hyperlink>
        </w:p>
        <w:p w14:paraId="1CC9ACC8" w14:textId="4A4A3384" w:rsidR="00480517" w:rsidRDefault="00480517">
          <w:pPr>
            <w:pStyle w:val="TOC1"/>
            <w:rPr>
              <w:rFonts w:asciiTheme="minorHAnsi" w:eastAsiaTheme="minorEastAsia" w:hAnsiTheme="minorHAnsi" w:cstheme="minorBidi"/>
              <w:color w:val="auto"/>
              <w:kern w:val="2"/>
              <w14:ligatures w14:val="standardContextual"/>
            </w:rPr>
          </w:pPr>
          <w:hyperlink w:anchor="_Toc198277144" w:history="1">
            <w:r w:rsidRPr="00EE2477">
              <w:rPr>
                <w:rStyle w:val="Hyperlink"/>
              </w:rPr>
              <w:t>Section 2 – Goals of Patient Care at End of Life</w:t>
            </w:r>
            <w:r>
              <w:rPr>
                <w:webHidden/>
              </w:rPr>
              <w:tab/>
            </w:r>
            <w:r>
              <w:rPr>
                <w:webHidden/>
              </w:rPr>
              <w:fldChar w:fldCharType="begin"/>
            </w:r>
            <w:r>
              <w:rPr>
                <w:webHidden/>
              </w:rPr>
              <w:instrText xml:space="preserve"> PAGEREF _Toc198277144 \h </w:instrText>
            </w:r>
            <w:r>
              <w:rPr>
                <w:webHidden/>
              </w:rPr>
            </w:r>
            <w:r>
              <w:rPr>
                <w:webHidden/>
              </w:rPr>
              <w:fldChar w:fldCharType="separate"/>
            </w:r>
            <w:r>
              <w:rPr>
                <w:webHidden/>
              </w:rPr>
              <w:t>7</w:t>
            </w:r>
            <w:r>
              <w:rPr>
                <w:webHidden/>
              </w:rPr>
              <w:fldChar w:fldCharType="end"/>
            </w:r>
          </w:hyperlink>
        </w:p>
        <w:p w14:paraId="7FF62C66" w14:textId="18CC1D2B" w:rsidR="00480517" w:rsidRDefault="00480517">
          <w:pPr>
            <w:pStyle w:val="TOC1"/>
            <w:rPr>
              <w:rFonts w:asciiTheme="minorHAnsi" w:eastAsiaTheme="minorEastAsia" w:hAnsiTheme="minorHAnsi" w:cstheme="minorBidi"/>
              <w:color w:val="auto"/>
              <w:kern w:val="2"/>
              <w14:ligatures w14:val="standardContextual"/>
            </w:rPr>
          </w:pPr>
          <w:hyperlink w:anchor="_Toc198277145" w:history="1">
            <w:r w:rsidRPr="00EE2477">
              <w:rPr>
                <w:rStyle w:val="Hyperlink"/>
              </w:rPr>
              <w:t>Section 3 – Implementing a Palliative Care Approach</w:t>
            </w:r>
            <w:r>
              <w:rPr>
                <w:webHidden/>
              </w:rPr>
              <w:tab/>
            </w:r>
            <w:r>
              <w:rPr>
                <w:webHidden/>
              </w:rPr>
              <w:fldChar w:fldCharType="begin"/>
            </w:r>
            <w:r>
              <w:rPr>
                <w:webHidden/>
              </w:rPr>
              <w:instrText xml:space="preserve"> PAGEREF _Toc198277145 \h </w:instrText>
            </w:r>
            <w:r>
              <w:rPr>
                <w:webHidden/>
              </w:rPr>
            </w:r>
            <w:r>
              <w:rPr>
                <w:webHidden/>
              </w:rPr>
              <w:fldChar w:fldCharType="separate"/>
            </w:r>
            <w:r>
              <w:rPr>
                <w:webHidden/>
              </w:rPr>
              <w:t>8</w:t>
            </w:r>
            <w:r>
              <w:rPr>
                <w:webHidden/>
              </w:rPr>
              <w:fldChar w:fldCharType="end"/>
            </w:r>
          </w:hyperlink>
        </w:p>
        <w:p w14:paraId="22124AA7" w14:textId="26C019E2" w:rsidR="00480517" w:rsidRDefault="00480517">
          <w:pPr>
            <w:pStyle w:val="TOC1"/>
            <w:rPr>
              <w:rFonts w:asciiTheme="minorHAnsi" w:eastAsiaTheme="minorEastAsia" w:hAnsiTheme="minorHAnsi" w:cstheme="minorBidi"/>
              <w:color w:val="auto"/>
              <w:kern w:val="2"/>
              <w14:ligatures w14:val="standardContextual"/>
            </w:rPr>
          </w:pPr>
          <w:hyperlink w:anchor="_Toc198277146" w:history="1">
            <w:r w:rsidRPr="00EE2477">
              <w:rPr>
                <w:rStyle w:val="Hyperlink"/>
              </w:rPr>
              <w:t>Section 4 – End of Life and Palliative Care Pathways</w:t>
            </w:r>
            <w:r>
              <w:rPr>
                <w:webHidden/>
              </w:rPr>
              <w:tab/>
            </w:r>
            <w:r>
              <w:rPr>
                <w:webHidden/>
              </w:rPr>
              <w:fldChar w:fldCharType="begin"/>
            </w:r>
            <w:r>
              <w:rPr>
                <w:webHidden/>
              </w:rPr>
              <w:instrText xml:space="preserve"> PAGEREF _Toc198277146 \h </w:instrText>
            </w:r>
            <w:r>
              <w:rPr>
                <w:webHidden/>
              </w:rPr>
            </w:r>
            <w:r>
              <w:rPr>
                <w:webHidden/>
              </w:rPr>
              <w:fldChar w:fldCharType="separate"/>
            </w:r>
            <w:r>
              <w:rPr>
                <w:webHidden/>
              </w:rPr>
              <w:t>10</w:t>
            </w:r>
            <w:r>
              <w:rPr>
                <w:webHidden/>
              </w:rPr>
              <w:fldChar w:fldCharType="end"/>
            </w:r>
          </w:hyperlink>
        </w:p>
        <w:p w14:paraId="32C6BD6A" w14:textId="44F77DEA" w:rsidR="00480517" w:rsidRDefault="00480517">
          <w:pPr>
            <w:pStyle w:val="TOC1"/>
            <w:rPr>
              <w:rFonts w:asciiTheme="minorHAnsi" w:eastAsiaTheme="minorEastAsia" w:hAnsiTheme="minorHAnsi" w:cstheme="minorBidi"/>
              <w:color w:val="auto"/>
              <w:kern w:val="2"/>
              <w14:ligatures w14:val="standardContextual"/>
            </w:rPr>
          </w:pPr>
          <w:hyperlink w:anchor="_Toc198277147" w:history="1">
            <w:r w:rsidRPr="00EE2477">
              <w:rPr>
                <w:rStyle w:val="Hyperlink"/>
              </w:rPr>
              <w:t>Section 5 – Roles and Responsibilities</w:t>
            </w:r>
            <w:r>
              <w:rPr>
                <w:webHidden/>
              </w:rPr>
              <w:tab/>
            </w:r>
            <w:r>
              <w:rPr>
                <w:webHidden/>
              </w:rPr>
              <w:fldChar w:fldCharType="begin"/>
            </w:r>
            <w:r>
              <w:rPr>
                <w:webHidden/>
              </w:rPr>
              <w:instrText xml:space="preserve"> PAGEREF _Toc198277147 \h </w:instrText>
            </w:r>
            <w:r>
              <w:rPr>
                <w:webHidden/>
              </w:rPr>
            </w:r>
            <w:r>
              <w:rPr>
                <w:webHidden/>
              </w:rPr>
              <w:fldChar w:fldCharType="separate"/>
            </w:r>
            <w:r>
              <w:rPr>
                <w:webHidden/>
              </w:rPr>
              <w:t>13</w:t>
            </w:r>
            <w:r>
              <w:rPr>
                <w:webHidden/>
              </w:rPr>
              <w:fldChar w:fldCharType="end"/>
            </w:r>
          </w:hyperlink>
        </w:p>
        <w:p w14:paraId="0D5D4FB2" w14:textId="34E4585B" w:rsidR="00480517" w:rsidRDefault="00480517">
          <w:pPr>
            <w:pStyle w:val="TOC1"/>
            <w:rPr>
              <w:rFonts w:asciiTheme="minorHAnsi" w:eastAsiaTheme="minorEastAsia" w:hAnsiTheme="minorHAnsi" w:cstheme="minorBidi"/>
              <w:color w:val="auto"/>
              <w:kern w:val="2"/>
              <w14:ligatures w14:val="standardContextual"/>
            </w:rPr>
          </w:pPr>
          <w:hyperlink w:anchor="_Toc198277148" w:history="1">
            <w:r w:rsidRPr="00EE2477">
              <w:rPr>
                <w:rStyle w:val="Hyperlink"/>
              </w:rPr>
              <w:t>Section 6 - Implementing Comfort Care</w:t>
            </w:r>
            <w:r>
              <w:rPr>
                <w:webHidden/>
              </w:rPr>
              <w:tab/>
            </w:r>
            <w:r>
              <w:rPr>
                <w:webHidden/>
              </w:rPr>
              <w:fldChar w:fldCharType="begin"/>
            </w:r>
            <w:r>
              <w:rPr>
                <w:webHidden/>
              </w:rPr>
              <w:instrText xml:space="preserve"> PAGEREF _Toc198277148 \h </w:instrText>
            </w:r>
            <w:r>
              <w:rPr>
                <w:webHidden/>
              </w:rPr>
            </w:r>
            <w:r>
              <w:rPr>
                <w:webHidden/>
              </w:rPr>
              <w:fldChar w:fldCharType="separate"/>
            </w:r>
            <w:r>
              <w:rPr>
                <w:webHidden/>
              </w:rPr>
              <w:t>15</w:t>
            </w:r>
            <w:r>
              <w:rPr>
                <w:webHidden/>
              </w:rPr>
              <w:fldChar w:fldCharType="end"/>
            </w:r>
          </w:hyperlink>
        </w:p>
        <w:p w14:paraId="4FC71E61" w14:textId="46AD3BE2" w:rsidR="00480517" w:rsidRDefault="00480517">
          <w:pPr>
            <w:pStyle w:val="TOC1"/>
            <w:rPr>
              <w:rFonts w:asciiTheme="minorHAnsi" w:eastAsiaTheme="minorEastAsia" w:hAnsiTheme="minorHAnsi" w:cstheme="minorBidi"/>
              <w:color w:val="auto"/>
              <w:kern w:val="2"/>
              <w14:ligatures w14:val="standardContextual"/>
            </w:rPr>
          </w:pPr>
          <w:hyperlink w:anchor="_Toc198277149" w:history="1">
            <w:r w:rsidRPr="00EE2477">
              <w:rPr>
                <w:rStyle w:val="Hyperlink"/>
              </w:rPr>
              <w:t>Section 7 – Supportive Care Interventions</w:t>
            </w:r>
            <w:r>
              <w:rPr>
                <w:webHidden/>
              </w:rPr>
              <w:tab/>
            </w:r>
            <w:r>
              <w:rPr>
                <w:webHidden/>
              </w:rPr>
              <w:fldChar w:fldCharType="begin"/>
            </w:r>
            <w:r>
              <w:rPr>
                <w:webHidden/>
              </w:rPr>
              <w:instrText xml:space="preserve"> PAGEREF _Toc198277149 \h </w:instrText>
            </w:r>
            <w:r>
              <w:rPr>
                <w:webHidden/>
              </w:rPr>
            </w:r>
            <w:r>
              <w:rPr>
                <w:webHidden/>
              </w:rPr>
              <w:fldChar w:fldCharType="separate"/>
            </w:r>
            <w:r>
              <w:rPr>
                <w:webHidden/>
              </w:rPr>
              <w:t>16</w:t>
            </w:r>
            <w:r>
              <w:rPr>
                <w:webHidden/>
              </w:rPr>
              <w:fldChar w:fldCharType="end"/>
            </w:r>
          </w:hyperlink>
        </w:p>
        <w:p w14:paraId="24E54A5A" w14:textId="091A6A51" w:rsidR="00480517" w:rsidRDefault="00480517">
          <w:pPr>
            <w:pStyle w:val="TOC1"/>
            <w:rPr>
              <w:rFonts w:asciiTheme="minorHAnsi" w:eastAsiaTheme="minorEastAsia" w:hAnsiTheme="minorHAnsi" w:cstheme="minorBidi"/>
              <w:color w:val="auto"/>
              <w:kern w:val="2"/>
              <w14:ligatures w14:val="standardContextual"/>
            </w:rPr>
          </w:pPr>
          <w:hyperlink w:anchor="_Toc198277150" w:history="1">
            <w:r w:rsidRPr="00EE2477">
              <w:rPr>
                <w:rStyle w:val="Hyperlink"/>
              </w:rPr>
              <w:t>Section 8– Talking with a Client and their Family about End-of-Life Care</w:t>
            </w:r>
            <w:r>
              <w:rPr>
                <w:webHidden/>
              </w:rPr>
              <w:tab/>
            </w:r>
            <w:r>
              <w:rPr>
                <w:webHidden/>
              </w:rPr>
              <w:fldChar w:fldCharType="begin"/>
            </w:r>
            <w:r>
              <w:rPr>
                <w:webHidden/>
              </w:rPr>
              <w:instrText xml:space="preserve"> PAGEREF _Toc198277150 \h </w:instrText>
            </w:r>
            <w:r>
              <w:rPr>
                <w:webHidden/>
              </w:rPr>
            </w:r>
            <w:r>
              <w:rPr>
                <w:webHidden/>
              </w:rPr>
              <w:fldChar w:fldCharType="separate"/>
            </w:r>
            <w:r>
              <w:rPr>
                <w:webHidden/>
              </w:rPr>
              <w:t>17</w:t>
            </w:r>
            <w:r>
              <w:rPr>
                <w:webHidden/>
              </w:rPr>
              <w:fldChar w:fldCharType="end"/>
            </w:r>
          </w:hyperlink>
        </w:p>
        <w:p w14:paraId="0B6233BE" w14:textId="29E4C12B" w:rsidR="00480517" w:rsidRDefault="00480517">
          <w:pPr>
            <w:pStyle w:val="TOC1"/>
            <w:rPr>
              <w:rFonts w:asciiTheme="minorHAnsi" w:eastAsiaTheme="minorEastAsia" w:hAnsiTheme="minorHAnsi" w:cstheme="minorBidi"/>
              <w:color w:val="auto"/>
              <w:kern w:val="2"/>
              <w14:ligatures w14:val="standardContextual"/>
            </w:rPr>
          </w:pPr>
          <w:hyperlink w:anchor="_Toc198277151" w:history="1">
            <w:r w:rsidRPr="00EE2477">
              <w:rPr>
                <w:rStyle w:val="Hyperlink"/>
              </w:rPr>
              <w:t>Section 9 – Dying and Bereavement</w:t>
            </w:r>
            <w:r>
              <w:rPr>
                <w:webHidden/>
              </w:rPr>
              <w:tab/>
            </w:r>
            <w:r>
              <w:rPr>
                <w:webHidden/>
              </w:rPr>
              <w:fldChar w:fldCharType="begin"/>
            </w:r>
            <w:r>
              <w:rPr>
                <w:webHidden/>
              </w:rPr>
              <w:instrText xml:space="preserve"> PAGEREF _Toc198277151 \h </w:instrText>
            </w:r>
            <w:r>
              <w:rPr>
                <w:webHidden/>
              </w:rPr>
            </w:r>
            <w:r>
              <w:rPr>
                <w:webHidden/>
              </w:rPr>
              <w:fldChar w:fldCharType="separate"/>
            </w:r>
            <w:r>
              <w:rPr>
                <w:webHidden/>
              </w:rPr>
              <w:t>17</w:t>
            </w:r>
            <w:r>
              <w:rPr>
                <w:webHidden/>
              </w:rPr>
              <w:fldChar w:fldCharType="end"/>
            </w:r>
          </w:hyperlink>
        </w:p>
        <w:p w14:paraId="5167B9B8" w14:textId="3479DE15" w:rsidR="00480517" w:rsidRDefault="00480517">
          <w:pPr>
            <w:pStyle w:val="TOC1"/>
            <w:rPr>
              <w:rFonts w:asciiTheme="minorHAnsi" w:eastAsiaTheme="minorEastAsia" w:hAnsiTheme="minorHAnsi" w:cstheme="minorBidi"/>
              <w:color w:val="auto"/>
              <w:kern w:val="2"/>
              <w14:ligatures w14:val="standardContextual"/>
            </w:rPr>
          </w:pPr>
          <w:hyperlink w:anchor="_Toc198277152" w:history="1">
            <w:r w:rsidRPr="00EE2477">
              <w:rPr>
                <w:rStyle w:val="Hyperlink"/>
              </w:rPr>
              <w:t>Section 10 – When Death Occurs</w:t>
            </w:r>
            <w:r>
              <w:rPr>
                <w:webHidden/>
              </w:rPr>
              <w:tab/>
            </w:r>
            <w:r>
              <w:rPr>
                <w:webHidden/>
              </w:rPr>
              <w:fldChar w:fldCharType="begin"/>
            </w:r>
            <w:r>
              <w:rPr>
                <w:webHidden/>
              </w:rPr>
              <w:instrText xml:space="preserve"> PAGEREF _Toc198277152 \h </w:instrText>
            </w:r>
            <w:r>
              <w:rPr>
                <w:webHidden/>
              </w:rPr>
            </w:r>
            <w:r>
              <w:rPr>
                <w:webHidden/>
              </w:rPr>
              <w:fldChar w:fldCharType="separate"/>
            </w:r>
            <w:r>
              <w:rPr>
                <w:webHidden/>
              </w:rPr>
              <w:t>18</w:t>
            </w:r>
            <w:r>
              <w:rPr>
                <w:webHidden/>
              </w:rPr>
              <w:fldChar w:fldCharType="end"/>
            </w:r>
          </w:hyperlink>
        </w:p>
        <w:p w14:paraId="134C9C71" w14:textId="1B06A3DD" w:rsidR="00480517" w:rsidRDefault="00480517">
          <w:pPr>
            <w:pStyle w:val="TOC1"/>
            <w:rPr>
              <w:rFonts w:asciiTheme="minorHAnsi" w:eastAsiaTheme="minorEastAsia" w:hAnsiTheme="minorHAnsi" w:cstheme="minorBidi"/>
              <w:color w:val="auto"/>
              <w:kern w:val="2"/>
              <w14:ligatures w14:val="standardContextual"/>
            </w:rPr>
          </w:pPr>
          <w:hyperlink w:anchor="_Toc198277153" w:history="1">
            <w:r w:rsidRPr="00EE2477">
              <w:rPr>
                <w:rStyle w:val="Hyperlink"/>
              </w:rPr>
              <w:t>Section 11 – When a client is released at end of sentence</w:t>
            </w:r>
            <w:r>
              <w:rPr>
                <w:webHidden/>
              </w:rPr>
              <w:tab/>
            </w:r>
            <w:r>
              <w:rPr>
                <w:webHidden/>
              </w:rPr>
              <w:fldChar w:fldCharType="begin"/>
            </w:r>
            <w:r>
              <w:rPr>
                <w:webHidden/>
              </w:rPr>
              <w:instrText xml:space="preserve"> PAGEREF _Toc198277153 \h </w:instrText>
            </w:r>
            <w:r>
              <w:rPr>
                <w:webHidden/>
              </w:rPr>
            </w:r>
            <w:r>
              <w:rPr>
                <w:webHidden/>
              </w:rPr>
              <w:fldChar w:fldCharType="separate"/>
            </w:r>
            <w:r>
              <w:rPr>
                <w:webHidden/>
              </w:rPr>
              <w:t>19</w:t>
            </w:r>
            <w:r>
              <w:rPr>
                <w:webHidden/>
              </w:rPr>
              <w:fldChar w:fldCharType="end"/>
            </w:r>
          </w:hyperlink>
        </w:p>
        <w:p w14:paraId="7D1A514C" w14:textId="5F632AC4" w:rsidR="00480517" w:rsidRDefault="00480517">
          <w:pPr>
            <w:pStyle w:val="TOC1"/>
            <w:rPr>
              <w:rFonts w:asciiTheme="minorHAnsi" w:eastAsiaTheme="minorEastAsia" w:hAnsiTheme="minorHAnsi" w:cstheme="minorBidi"/>
              <w:color w:val="auto"/>
              <w:kern w:val="2"/>
              <w14:ligatures w14:val="standardContextual"/>
            </w:rPr>
          </w:pPr>
          <w:hyperlink w:anchor="_Toc198277154" w:history="1">
            <w:r w:rsidRPr="00EE2477">
              <w:rPr>
                <w:rStyle w:val="Hyperlink"/>
              </w:rPr>
              <w:t>Section 12– Staff Training and Support</w:t>
            </w:r>
            <w:r>
              <w:rPr>
                <w:webHidden/>
              </w:rPr>
              <w:tab/>
            </w:r>
            <w:r>
              <w:rPr>
                <w:webHidden/>
              </w:rPr>
              <w:fldChar w:fldCharType="begin"/>
            </w:r>
            <w:r>
              <w:rPr>
                <w:webHidden/>
              </w:rPr>
              <w:instrText xml:space="preserve"> PAGEREF _Toc198277154 \h </w:instrText>
            </w:r>
            <w:r>
              <w:rPr>
                <w:webHidden/>
              </w:rPr>
            </w:r>
            <w:r>
              <w:rPr>
                <w:webHidden/>
              </w:rPr>
              <w:fldChar w:fldCharType="separate"/>
            </w:r>
            <w:r>
              <w:rPr>
                <w:webHidden/>
              </w:rPr>
              <w:t>19</w:t>
            </w:r>
            <w:r>
              <w:rPr>
                <w:webHidden/>
              </w:rPr>
              <w:fldChar w:fldCharType="end"/>
            </w:r>
          </w:hyperlink>
        </w:p>
        <w:p w14:paraId="75ADBDED" w14:textId="3D603F72" w:rsidR="00480517" w:rsidRDefault="00480517">
          <w:pPr>
            <w:pStyle w:val="TOC1"/>
            <w:rPr>
              <w:rFonts w:asciiTheme="minorHAnsi" w:eastAsiaTheme="minorEastAsia" w:hAnsiTheme="minorHAnsi" w:cstheme="minorBidi"/>
              <w:color w:val="auto"/>
              <w:kern w:val="2"/>
              <w14:ligatures w14:val="standardContextual"/>
            </w:rPr>
          </w:pPr>
          <w:hyperlink w:anchor="_Toc198277155" w:history="1">
            <w:r w:rsidRPr="00EE2477">
              <w:rPr>
                <w:rStyle w:val="Hyperlink"/>
              </w:rPr>
              <w:t>Evaluation</w:t>
            </w:r>
            <w:r>
              <w:rPr>
                <w:webHidden/>
              </w:rPr>
              <w:tab/>
            </w:r>
            <w:r>
              <w:rPr>
                <w:webHidden/>
              </w:rPr>
              <w:fldChar w:fldCharType="begin"/>
            </w:r>
            <w:r>
              <w:rPr>
                <w:webHidden/>
              </w:rPr>
              <w:instrText xml:space="preserve"> PAGEREF _Toc198277155 \h </w:instrText>
            </w:r>
            <w:r>
              <w:rPr>
                <w:webHidden/>
              </w:rPr>
            </w:r>
            <w:r>
              <w:rPr>
                <w:webHidden/>
              </w:rPr>
              <w:fldChar w:fldCharType="separate"/>
            </w:r>
            <w:r>
              <w:rPr>
                <w:webHidden/>
              </w:rPr>
              <w:t>20</w:t>
            </w:r>
            <w:r>
              <w:rPr>
                <w:webHidden/>
              </w:rPr>
              <w:fldChar w:fldCharType="end"/>
            </w:r>
          </w:hyperlink>
        </w:p>
        <w:p w14:paraId="255C2DE7" w14:textId="7F21D0FA" w:rsidR="00480517" w:rsidRDefault="00480517">
          <w:pPr>
            <w:pStyle w:val="TOC1"/>
            <w:rPr>
              <w:rFonts w:asciiTheme="minorHAnsi" w:eastAsiaTheme="minorEastAsia" w:hAnsiTheme="minorHAnsi" w:cstheme="minorBidi"/>
              <w:color w:val="auto"/>
              <w:kern w:val="2"/>
              <w14:ligatures w14:val="standardContextual"/>
            </w:rPr>
          </w:pPr>
          <w:hyperlink w:anchor="_Toc198277156" w:history="1">
            <w:r w:rsidRPr="00EE2477">
              <w:rPr>
                <w:rStyle w:val="Hyperlink"/>
              </w:rPr>
              <w:t>Related policies, procedures, guidelines and legislation</w:t>
            </w:r>
            <w:r>
              <w:rPr>
                <w:webHidden/>
              </w:rPr>
              <w:tab/>
            </w:r>
            <w:r>
              <w:rPr>
                <w:webHidden/>
              </w:rPr>
              <w:fldChar w:fldCharType="begin"/>
            </w:r>
            <w:r>
              <w:rPr>
                <w:webHidden/>
              </w:rPr>
              <w:instrText xml:space="preserve"> PAGEREF _Toc198277156 \h </w:instrText>
            </w:r>
            <w:r>
              <w:rPr>
                <w:webHidden/>
              </w:rPr>
            </w:r>
            <w:r>
              <w:rPr>
                <w:webHidden/>
              </w:rPr>
              <w:fldChar w:fldCharType="separate"/>
            </w:r>
            <w:r>
              <w:rPr>
                <w:webHidden/>
              </w:rPr>
              <w:t>21</w:t>
            </w:r>
            <w:r>
              <w:rPr>
                <w:webHidden/>
              </w:rPr>
              <w:fldChar w:fldCharType="end"/>
            </w:r>
          </w:hyperlink>
        </w:p>
        <w:p w14:paraId="5C59B3AF" w14:textId="6CD4CBCD" w:rsidR="00480517" w:rsidRDefault="00480517">
          <w:pPr>
            <w:pStyle w:val="TOC1"/>
            <w:rPr>
              <w:rFonts w:asciiTheme="minorHAnsi" w:eastAsiaTheme="minorEastAsia" w:hAnsiTheme="minorHAnsi" w:cstheme="minorBidi"/>
              <w:color w:val="auto"/>
              <w:kern w:val="2"/>
              <w14:ligatures w14:val="standardContextual"/>
            </w:rPr>
          </w:pPr>
          <w:hyperlink w:anchor="_Toc198277157" w:history="1">
            <w:r w:rsidRPr="00EE2477">
              <w:rPr>
                <w:rStyle w:val="Hyperlink"/>
              </w:rPr>
              <w:t>References</w:t>
            </w:r>
            <w:r>
              <w:rPr>
                <w:webHidden/>
              </w:rPr>
              <w:tab/>
            </w:r>
            <w:r>
              <w:rPr>
                <w:webHidden/>
              </w:rPr>
              <w:fldChar w:fldCharType="begin"/>
            </w:r>
            <w:r>
              <w:rPr>
                <w:webHidden/>
              </w:rPr>
              <w:instrText xml:space="preserve"> PAGEREF _Toc198277157 \h </w:instrText>
            </w:r>
            <w:r>
              <w:rPr>
                <w:webHidden/>
              </w:rPr>
            </w:r>
            <w:r>
              <w:rPr>
                <w:webHidden/>
              </w:rPr>
              <w:fldChar w:fldCharType="separate"/>
            </w:r>
            <w:r>
              <w:rPr>
                <w:webHidden/>
              </w:rPr>
              <w:t>21</w:t>
            </w:r>
            <w:r>
              <w:rPr>
                <w:webHidden/>
              </w:rPr>
              <w:fldChar w:fldCharType="end"/>
            </w:r>
          </w:hyperlink>
        </w:p>
        <w:p w14:paraId="784F2653" w14:textId="66089A43" w:rsidR="00480517" w:rsidRDefault="00480517">
          <w:pPr>
            <w:pStyle w:val="TOC1"/>
            <w:rPr>
              <w:rFonts w:asciiTheme="minorHAnsi" w:eastAsiaTheme="minorEastAsia" w:hAnsiTheme="minorHAnsi" w:cstheme="minorBidi"/>
              <w:color w:val="auto"/>
              <w:kern w:val="2"/>
              <w14:ligatures w14:val="standardContextual"/>
            </w:rPr>
          </w:pPr>
          <w:hyperlink w:anchor="_Toc198277158" w:history="1">
            <w:r w:rsidRPr="00EE2477">
              <w:rPr>
                <w:rStyle w:val="Hyperlink"/>
              </w:rPr>
              <w:t>Definition of terms</w:t>
            </w:r>
            <w:r>
              <w:rPr>
                <w:webHidden/>
              </w:rPr>
              <w:tab/>
            </w:r>
            <w:r>
              <w:rPr>
                <w:webHidden/>
              </w:rPr>
              <w:fldChar w:fldCharType="begin"/>
            </w:r>
            <w:r>
              <w:rPr>
                <w:webHidden/>
              </w:rPr>
              <w:instrText xml:space="preserve"> PAGEREF _Toc198277158 \h </w:instrText>
            </w:r>
            <w:r>
              <w:rPr>
                <w:webHidden/>
              </w:rPr>
            </w:r>
            <w:r>
              <w:rPr>
                <w:webHidden/>
              </w:rPr>
              <w:fldChar w:fldCharType="separate"/>
            </w:r>
            <w:r>
              <w:rPr>
                <w:webHidden/>
              </w:rPr>
              <w:t>22</w:t>
            </w:r>
            <w:r>
              <w:rPr>
                <w:webHidden/>
              </w:rPr>
              <w:fldChar w:fldCharType="end"/>
            </w:r>
          </w:hyperlink>
        </w:p>
        <w:p w14:paraId="0F7E319F" w14:textId="3E2AE055" w:rsidR="00480517" w:rsidRDefault="00480517">
          <w:pPr>
            <w:pStyle w:val="TOC1"/>
            <w:rPr>
              <w:rFonts w:asciiTheme="minorHAnsi" w:eastAsiaTheme="minorEastAsia" w:hAnsiTheme="minorHAnsi" w:cstheme="minorBidi"/>
              <w:color w:val="auto"/>
              <w:kern w:val="2"/>
              <w14:ligatures w14:val="standardContextual"/>
            </w:rPr>
          </w:pPr>
          <w:hyperlink w:anchor="_Toc198277159" w:history="1">
            <w:r w:rsidRPr="00EE2477">
              <w:rPr>
                <w:rStyle w:val="Hyperlink"/>
              </w:rPr>
              <w:t>Search terms</w:t>
            </w:r>
            <w:r>
              <w:rPr>
                <w:webHidden/>
              </w:rPr>
              <w:tab/>
            </w:r>
            <w:r>
              <w:rPr>
                <w:webHidden/>
              </w:rPr>
              <w:fldChar w:fldCharType="begin"/>
            </w:r>
            <w:r>
              <w:rPr>
                <w:webHidden/>
              </w:rPr>
              <w:instrText xml:space="preserve"> PAGEREF _Toc198277159 \h </w:instrText>
            </w:r>
            <w:r>
              <w:rPr>
                <w:webHidden/>
              </w:rPr>
            </w:r>
            <w:r>
              <w:rPr>
                <w:webHidden/>
              </w:rPr>
              <w:fldChar w:fldCharType="separate"/>
            </w:r>
            <w:r>
              <w:rPr>
                <w:webHidden/>
              </w:rPr>
              <w:t>23</w:t>
            </w:r>
            <w:r>
              <w:rPr>
                <w:webHidden/>
              </w:rPr>
              <w:fldChar w:fldCharType="end"/>
            </w:r>
          </w:hyperlink>
        </w:p>
        <w:p w14:paraId="774250CA" w14:textId="748625E0" w:rsidR="00480517" w:rsidRDefault="00480517">
          <w:pPr>
            <w:pStyle w:val="TOC1"/>
            <w:rPr>
              <w:rFonts w:asciiTheme="minorHAnsi" w:eastAsiaTheme="minorEastAsia" w:hAnsiTheme="minorHAnsi" w:cstheme="minorBidi"/>
              <w:color w:val="auto"/>
              <w:kern w:val="2"/>
              <w14:ligatures w14:val="standardContextual"/>
            </w:rPr>
          </w:pPr>
          <w:hyperlink w:anchor="_Toc198277160" w:history="1">
            <w:r w:rsidRPr="00EE2477">
              <w:rPr>
                <w:rStyle w:val="Hyperlink"/>
              </w:rPr>
              <w:t>Attachments</w:t>
            </w:r>
            <w:r>
              <w:rPr>
                <w:webHidden/>
              </w:rPr>
              <w:tab/>
            </w:r>
            <w:r>
              <w:rPr>
                <w:webHidden/>
              </w:rPr>
              <w:fldChar w:fldCharType="begin"/>
            </w:r>
            <w:r>
              <w:rPr>
                <w:webHidden/>
              </w:rPr>
              <w:instrText xml:space="preserve"> PAGEREF _Toc198277160 \h </w:instrText>
            </w:r>
            <w:r>
              <w:rPr>
                <w:webHidden/>
              </w:rPr>
            </w:r>
            <w:r>
              <w:rPr>
                <w:webHidden/>
              </w:rPr>
              <w:fldChar w:fldCharType="separate"/>
            </w:r>
            <w:r>
              <w:rPr>
                <w:webHidden/>
              </w:rPr>
              <w:t>23</w:t>
            </w:r>
            <w:r>
              <w:rPr>
                <w:webHidden/>
              </w:rPr>
              <w:fldChar w:fldCharType="end"/>
            </w:r>
          </w:hyperlink>
        </w:p>
        <w:p w14:paraId="46223FC8" w14:textId="5FBC26A3" w:rsidR="00480517" w:rsidRDefault="00480517">
          <w:pPr>
            <w:pStyle w:val="TOC1"/>
            <w:rPr>
              <w:rFonts w:asciiTheme="minorHAnsi" w:eastAsiaTheme="minorEastAsia" w:hAnsiTheme="minorHAnsi" w:cstheme="minorBidi"/>
              <w:color w:val="auto"/>
              <w:kern w:val="2"/>
              <w14:ligatures w14:val="standardContextual"/>
            </w:rPr>
          </w:pPr>
          <w:hyperlink w:anchor="_Toc198277161" w:history="1">
            <w:r w:rsidRPr="00EE2477">
              <w:rPr>
                <w:rStyle w:val="Hyperlink"/>
              </w:rPr>
              <w:t>Attachment A: Supportive and Palliative Care Indicators Tool (SPICT™)</w:t>
            </w:r>
            <w:r>
              <w:rPr>
                <w:webHidden/>
              </w:rPr>
              <w:tab/>
            </w:r>
            <w:r>
              <w:rPr>
                <w:webHidden/>
              </w:rPr>
              <w:fldChar w:fldCharType="begin"/>
            </w:r>
            <w:r>
              <w:rPr>
                <w:webHidden/>
              </w:rPr>
              <w:instrText xml:space="preserve"> PAGEREF _Toc198277161 \h </w:instrText>
            </w:r>
            <w:r>
              <w:rPr>
                <w:webHidden/>
              </w:rPr>
            </w:r>
            <w:r>
              <w:rPr>
                <w:webHidden/>
              </w:rPr>
              <w:fldChar w:fldCharType="separate"/>
            </w:r>
            <w:r>
              <w:rPr>
                <w:webHidden/>
              </w:rPr>
              <w:t>25</w:t>
            </w:r>
            <w:r>
              <w:rPr>
                <w:webHidden/>
              </w:rPr>
              <w:fldChar w:fldCharType="end"/>
            </w:r>
          </w:hyperlink>
        </w:p>
        <w:p w14:paraId="2AF5B2CD" w14:textId="5E1FBC47" w:rsidR="00480517" w:rsidRDefault="00480517">
          <w:pPr>
            <w:pStyle w:val="TOC1"/>
            <w:rPr>
              <w:rFonts w:asciiTheme="minorHAnsi" w:eastAsiaTheme="minorEastAsia" w:hAnsiTheme="minorHAnsi" w:cstheme="minorBidi"/>
              <w:color w:val="auto"/>
              <w:kern w:val="2"/>
              <w14:ligatures w14:val="standardContextual"/>
            </w:rPr>
          </w:pPr>
          <w:hyperlink w:anchor="_Toc198277162" w:history="1">
            <w:r w:rsidRPr="00EE2477">
              <w:rPr>
                <w:rStyle w:val="Hyperlink"/>
              </w:rPr>
              <w:t>Attachment B:  Palliative Care Trajectories Framework for Clients in Custody at Alexander Maconochie Centre</w:t>
            </w:r>
            <w:r>
              <w:rPr>
                <w:webHidden/>
              </w:rPr>
              <w:tab/>
            </w:r>
            <w:r>
              <w:rPr>
                <w:webHidden/>
              </w:rPr>
              <w:fldChar w:fldCharType="begin"/>
            </w:r>
            <w:r>
              <w:rPr>
                <w:webHidden/>
              </w:rPr>
              <w:instrText xml:space="preserve"> PAGEREF _Toc198277162 \h </w:instrText>
            </w:r>
            <w:r>
              <w:rPr>
                <w:webHidden/>
              </w:rPr>
            </w:r>
            <w:r>
              <w:rPr>
                <w:webHidden/>
              </w:rPr>
              <w:fldChar w:fldCharType="separate"/>
            </w:r>
            <w:r>
              <w:rPr>
                <w:webHidden/>
              </w:rPr>
              <w:t>26</w:t>
            </w:r>
            <w:r>
              <w:rPr>
                <w:webHidden/>
              </w:rPr>
              <w:fldChar w:fldCharType="end"/>
            </w:r>
          </w:hyperlink>
        </w:p>
        <w:p w14:paraId="2ED91F77" w14:textId="30FF92F4" w:rsidR="00480517" w:rsidRDefault="00480517">
          <w:pPr>
            <w:pStyle w:val="TOC1"/>
            <w:rPr>
              <w:rFonts w:asciiTheme="minorHAnsi" w:eastAsiaTheme="minorEastAsia" w:hAnsiTheme="minorHAnsi" w:cstheme="minorBidi"/>
              <w:color w:val="auto"/>
              <w:kern w:val="2"/>
              <w14:ligatures w14:val="standardContextual"/>
            </w:rPr>
          </w:pPr>
          <w:hyperlink w:anchor="_Toc198277163" w:history="1">
            <w:r w:rsidRPr="00EE2477">
              <w:rPr>
                <w:rStyle w:val="Hyperlink"/>
              </w:rPr>
              <w:t>Attachment C: Modified Bereavement Risk Index for Client in Custody</w:t>
            </w:r>
            <w:r>
              <w:rPr>
                <w:webHidden/>
              </w:rPr>
              <w:tab/>
            </w:r>
            <w:r>
              <w:rPr>
                <w:webHidden/>
              </w:rPr>
              <w:fldChar w:fldCharType="begin"/>
            </w:r>
            <w:r>
              <w:rPr>
                <w:webHidden/>
              </w:rPr>
              <w:instrText xml:space="preserve"> PAGEREF _Toc198277163 \h </w:instrText>
            </w:r>
            <w:r>
              <w:rPr>
                <w:webHidden/>
              </w:rPr>
            </w:r>
            <w:r>
              <w:rPr>
                <w:webHidden/>
              </w:rPr>
              <w:fldChar w:fldCharType="separate"/>
            </w:r>
            <w:r>
              <w:rPr>
                <w:webHidden/>
              </w:rPr>
              <w:t>27</w:t>
            </w:r>
            <w:r>
              <w:rPr>
                <w:webHidden/>
              </w:rPr>
              <w:fldChar w:fldCharType="end"/>
            </w:r>
          </w:hyperlink>
        </w:p>
        <w:p w14:paraId="7F396587" w14:textId="5A98EC86" w:rsidR="00481A6C" w:rsidRDefault="00A621FE" w:rsidP="00481A6C">
          <w:pPr>
            <w:pStyle w:val="TOCHeading2"/>
          </w:pPr>
          <w:r>
            <w:rPr>
              <w:rFonts w:eastAsia="Calibri" w:cs="Times New Roman"/>
              <w:b w:val="0"/>
              <w:noProof/>
              <w:color w:val="000000" w:themeColor="text1"/>
              <w:sz w:val="24"/>
              <w:szCs w:val="24"/>
              <w:lang w:eastAsia="en-AU"/>
            </w:rPr>
            <w:fldChar w:fldCharType="end"/>
          </w:r>
        </w:p>
      </w:sdtContent>
    </w:sdt>
    <w:p w14:paraId="57F8F503" w14:textId="77777777" w:rsidR="00FE46F1" w:rsidRDefault="00FE46F1">
      <w:pPr>
        <w:spacing w:before="0" w:after="0" w:line="240" w:lineRule="auto"/>
        <w:rPr>
          <w:rFonts w:eastAsia="Times New Roman"/>
          <w:b/>
          <w:color w:val="FFFFFF" w:themeColor="background1"/>
          <w:szCs w:val="80"/>
          <w:lang w:eastAsia="en-US"/>
        </w:rPr>
      </w:pPr>
    </w:p>
    <w:p w14:paraId="12DFF28D" w14:textId="21A6AE5E" w:rsidR="0078367D" w:rsidRPr="00036249" w:rsidRDefault="0078367D" w:rsidP="00036249">
      <w:pPr>
        <w:pStyle w:val="Heading4"/>
      </w:pPr>
      <w:bookmarkStart w:id="2" w:name="_Toc198277141"/>
      <w:r w:rsidRPr="00036249">
        <w:t>Guideline statement</w:t>
      </w:r>
      <w:bookmarkEnd w:id="2"/>
      <w:r w:rsidR="009746B1" w:rsidRPr="00036249">
        <w:t xml:space="preserve"> </w:t>
      </w:r>
    </w:p>
    <w:p w14:paraId="51DC6C40" w14:textId="6ABF88B8" w:rsidR="007B75F7" w:rsidRDefault="004527A1" w:rsidP="00036249">
      <w:pPr>
        <w:pStyle w:val="BodyCopy"/>
      </w:pPr>
      <w:r>
        <w:t xml:space="preserve">The purpose of this </w:t>
      </w:r>
      <w:r w:rsidR="00767448">
        <w:t>document</w:t>
      </w:r>
      <w:r>
        <w:t xml:space="preserve"> is to provide guidance to Justice Health Services (JHS) staff </w:t>
      </w:r>
      <w:r w:rsidR="00E1267B">
        <w:t>to</w:t>
      </w:r>
      <w:r w:rsidR="00CE74E4">
        <w:t xml:space="preserve"> </w:t>
      </w:r>
      <w:r w:rsidR="00E1267B">
        <w:t>assess</w:t>
      </w:r>
      <w:r w:rsidR="00CE74E4">
        <w:t>, plan and</w:t>
      </w:r>
      <w:r w:rsidR="00431713">
        <w:t xml:space="preserve"> provide end of life and palliative care </w:t>
      </w:r>
      <w:r w:rsidR="005217C0">
        <w:t>to</w:t>
      </w:r>
      <w:r w:rsidR="00431713">
        <w:t xml:space="preserve"> detainees </w:t>
      </w:r>
      <w:r w:rsidR="00227596">
        <w:t xml:space="preserve">in custody </w:t>
      </w:r>
      <w:r w:rsidR="00431713">
        <w:t>at the A</w:t>
      </w:r>
      <w:r w:rsidR="00E524D8">
        <w:t xml:space="preserve">lexander </w:t>
      </w:r>
      <w:r w:rsidR="00431713">
        <w:t>M</w:t>
      </w:r>
      <w:r w:rsidR="00E524D8">
        <w:t xml:space="preserve">aconochie </w:t>
      </w:r>
      <w:r w:rsidR="00431713">
        <w:t>C</w:t>
      </w:r>
      <w:r w:rsidR="00E524D8">
        <w:t>entre (AMC)</w:t>
      </w:r>
      <w:r w:rsidR="00227596">
        <w:t xml:space="preserve"> and </w:t>
      </w:r>
      <w:r w:rsidR="00767448">
        <w:t>C</w:t>
      </w:r>
      <w:r w:rsidR="00E524D8">
        <w:t xml:space="preserve">anberra </w:t>
      </w:r>
      <w:r w:rsidR="00767448">
        <w:t>H</w:t>
      </w:r>
      <w:r w:rsidR="00E524D8">
        <w:t xml:space="preserve">ealth </w:t>
      </w:r>
      <w:r w:rsidR="00767448">
        <w:t>S</w:t>
      </w:r>
      <w:r w:rsidR="00E524D8">
        <w:t>ervices (CHS)</w:t>
      </w:r>
      <w:r w:rsidR="00767448">
        <w:t xml:space="preserve"> facilities</w:t>
      </w:r>
      <w:r w:rsidR="00431713">
        <w:t xml:space="preserve">. </w:t>
      </w:r>
    </w:p>
    <w:p w14:paraId="020888F3" w14:textId="71DBBB93" w:rsidR="004C5A00" w:rsidRPr="004C5A00" w:rsidRDefault="004C5A00" w:rsidP="004C5A00">
      <w:pPr>
        <w:pStyle w:val="Heading5"/>
        <w:rPr>
          <w:rStyle w:val="Heading5Char"/>
          <w:b/>
          <w:bCs/>
          <w:iCs/>
        </w:rPr>
      </w:pPr>
      <w:r w:rsidRPr="004C5A00">
        <w:rPr>
          <w:rStyle w:val="Heading5Char"/>
          <w:b/>
          <w:bCs/>
          <w:iCs/>
        </w:rPr>
        <w:t>Definition</w:t>
      </w:r>
      <w:r>
        <w:rPr>
          <w:rStyle w:val="Heading5Char"/>
          <w:b/>
          <w:bCs/>
          <w:iCs/>
        </w:rPr>
        <w:t>s</w:t>
      </w:r>
    </w:p>
    <w:p w14:paraId="7C022CE8" w14:textId="4245D9C2" w:rsidR="004C5A00" w:rsidRPr="008C3DD2" w:rsidRDefault="004C5A00" w:rsidP="004C5A00">
      <w:pPr>
        <w:autoSpaceDE w:val="0"/>
        <w:autoSpaceDN w:val="0"/>
        <w:adjustRightInd w:val="0"/>
      </w:pPr>
      <w:r w:rsidRPr="008C3DD2">
        <w:rPr>
          <w:color w:val="101010"/>
        </w:rPr>
        <w:t xml:space="preserve">“Palliative care is an approach that improves quality of life of </w:t>
      </w:r>
      <w:r>
        <w:rPr>
          <w:color w:val="101010"/>
        </w:rPr>
        <w:t>client</w:t>
      </w:r>
      <w:r w:rsidRPr="008C3DD2">
        <w:rPr>
          <w:color w:val="101010"/>
        </w:rPr>
        <w:t>s and their families facing the problem associated with life-threatening illness, through the prevention of suffering by early identification and impeccable assessment and treatment of pain and other problems, physical, psychological and spiritual." (</w:t>
      </w:r>
      <w:r w:rsidRPr="008C3DD2">
        <w:rPr>
          <w:color w:val="101010"/>
          <w:bdr w:val="none" w:sz="0" w:space="0" w:color="auto" w:frame="1"/>
        </w:rPr>
        <w:t>World Health Organisation)</w:t>
      </w:r>
      <w:r w:rsidR="00466F76">
        <w:rPr>
          <w:color w:val="101010"/>
          <w:bdr w:val="none" w:sz="0" w:space="0" w:color="auto" w:frame="1"/>
        </w:rPr>
        <w:t>.</w:t>
      </w:r>
      <w:r w:rsidRPr="008C3DD2">
        <w:t xml:space="preserve"> </w:t>
      </w:r>
    </w:p>
    <w:p w14:paraId="683D5B52" w14:textId="77777777" w:rsidR="00BE00D1" w:rsidRDefault="004C5A00" w:rsidP="004C5A00">
      <w:r>
        <w:t>End of life care refers to the care that a client</w:t>
      </w:r>
      <w:r w:rsidRPr="00D9627C">
        <w:t xml:space="preserve"> </w:t>
      </w:r>
      <w:r>
        <w:t xml:space="preserve">receives once it is expected that they are within </w:t>
      </w:r>
      <w:r w:rsidRPr="00D9627C">
        <w:t>12 months</w:t>
      </w:r>
      <w:r>
        <w:t xml:space="preserve"> of dying</w:t>
      </w:r>
      <w:r w:rsidRPr="00D9627C">
        <w:t xml:space="preserve">. </w:t>
      </w:r>
    </w:p>
    <w:p w14:paraId="7A81BB29" w14:textId="539AD632" w:rsidR="004C5A00" w:rsidRPr="00D9627C" w:rsidRDefault="00BE00D1" w:rsidP="004C5A00">
      <w:r>
        <w:t xml:space="preserve">Voluntary assisted dying (available from 3 November 2025) allows an eligible person the option to end their life by administering an approved substance at a time of their choosing. </w:t>
      </w:r>
      <w:r w:rsidR="004C5A00">
        <w:t xml:space="preserve"> </w:t>
      </w:r>
    </w:p>
    <w:p w14:paraId="307CF54E" w14:textId="77777777" w:rsidR="00A6051F" w:rsidRDefault="00A6051F" w:rsidP="00DA5524">
      <w:pPr>
        <w:pStyle w:val="Heading5"/>
        <w:rPr>
          <w:rStyle w:val="Heading5Char"/>
          <w:b/>
          <w:bCs/>
          <w:iCs/>
        </w:rPr>
      </w:pPr>
      <w:r w:rsidRPr="00A6051F">
        <w:rPr>
          <w:rStyle w:val="Heading5Char"/>
          <w:b/>
          <w:bCs/>
          <w:iCs/>
        </w:rPr>
        <w:t>Backgro</w:t>
      </w:r>
      <w:r>
        <w:rPr>
          <w:rStyle w:val="Heading5Char"/>
          <w:b/>
          <w:bCs/>
          <w:iCs/>
        </w:rPr>
        <w:t>und</w:t>
      </w:r>
    </w:p>
    <w:p w14:paraId="0DC5E6F6" w14:textId="36D487DB" w:rsidR="0093046A" w:rsidRPr="0093046A" w:rsidRDefault="0093046A" w:rsidP="0093046A">
      <w:pPr>
        <w:pStyle w:val="BodyCopy"/>
        <w:rPr>
          <w:rFonts w:eastAsiaTheme="majorEastAsia"/>
        </w:rPr>
      </w:pPr>
      <w:r w:rsidRPr="0093046A">
        <w:rPr>
          <w:rFonts w:eastAsiaTheme="majorEastAsia"/>
        </w:rPr>
        <w:t>Dying is a normal part of the human experience</w:t>
      </w:r>
      <w:r w:rsidR="001F5D04">
        <w:rPr>
          <w:rFonts w:eastAsiaTheme="majorEastAsia"/>
        </w:rPr>
        <w:t xml:space="preserve">. </w:t>
      </w:r>
      <w:r w:rsidR="00E815EF">
        <w:rPr>
          <w:rFonts w:eastAsiaTheme="majorEastAsia"/>
        </w:rPr>
        <w:t>E</w:t>
      </w:r>
      <w:r w:rsidRPr="0093046A">
        <w:rPr>
          <w:rFonts w:eastAsiaTheme="majorEastAsia"/>
        </w:rPr>
        <w:t xml:space="preserve">nd of life </w:t>
      </w:r>
      <w:r w:rsidR="00E815EF">
        <w:rPr>
          <w:rFonts w:eastAsiaTheme="majorEastAsia"/>
        </w:rPr>
        <w:t xml:space="preserve">is </w:t>
      </w:r>
      <w:r w:rsidRPr="0093046A">
        <w:rPr>
          <w:rFonts w:eastAsiaTheme="majorEastAsia"/>
        </w:rPr>
        <w:t>a time in which a client must be e</w:t>
      </w:r>
      <w:r w:rsidR="00154103">
        <w:rPr>
          <w:rFonts w:eastAsiaTheme="majorEastAsia"/>
        </w:rPr>
        <w:t>mpowered</w:t>
      </w:r>
      <w:r w:rsidRPr="0093046A">
        <w:rPr>
          <w:rFonts w:eastAsiaTheme="majorEastAsia"/>
        </w:rPr>
        <w:t xml:space="preserve"> to direct their own care where possible. </w:t>
      </w:r>
    </w:p>
    <w:p w14:paraId="5C0BDE28" w14:textId="294B3B47" w:rsidR="0093046A" w:rsidRPr="0093046A" w:rsidRDefault="0093046A" w:rsidP="0093046A">
      <w:pPr>
        <w:pStyle w:val="BodyCopy"/>
        <w:rPr>
          <w:rFonts w:eastAsiaTheme="majorEastAsia"/>
        </w:rPr>
      </w:pPr>
      <w:r w:rsidRPr="0093046A">
        <w:rPr>
          <w:rFonts w:eastAsiaTheme="majorEastAsia"/>
        </w:rPr>
        <w:t xml:space="preserve">People in custody at end of life are likely to suffer from complex and advanced illness and to have multiple co-morbidities with limited treatment options. It is often difficult to identify signs that precede dying. Recognising that end of life is approaching is important in the provision of appropriate, compassionate and timely care. </w:t>
      </w:r>
    </w:p>
    <w:p w14:paraId="6AF5293F" w14:textId="77777777" w:rsidR="0093046A" w:rsidRPr="0093046A" w:rsidRDefault="0093046A" w:rsidP="0093046A">
      <w:pPr>
        <w:pStyle w:val="BodyCopy"/>
        <w:rPr>
          <w:rFonts w:eastAsiaTheme="majorEastAsia"/>
        </w:rPr>
      </w:pPr>
      <w:r w:rsidRPr="0093046A">
        <w:rPr>
          <w:rFonts w:eastAsiaTheme="majorEastAsia"/>
        </w:rPr>
        <w:t>Palliative care is an approach that is client and family-centred and sits within best practice end of life care. Palliative care provides safe and high-quality care for cultural, spiritual and psychosocial needs alongside the client’s medical needs. Achieving this requires staff to explore the values, needs and preferences of a client and their family. It also requires engagement of other health professionals to provide appropriate multidisciplinary care. Identifying supportive and palliative care needs early enhances the quality of care at the end of life.</w:t>
      </w:r>
    </w:p>
    <w:p w14:paraId="5DC3E1A2" w14:textId="411590A2" w:rsidR="0093046A" w:rsidRPr="0093046A" w:rsidRDefault="0093046A" w:rsidP="0093046A">
      <w:pPr>
        <w:pStyle w:val="BodyCopy"/>
        <w:rPr>
          <w:rFonts w:eastAsiaTheme="majorEastAsia"/>
        </w:rPr>
      </w:pPr>
      <w:r w:rsidRPr="0093046A">
        <w:rPr>
          <w:rFonts w:eastAsiaTheme="majorEastAsia"/>
        </w:rPr>
        <w:t xml:space="preserve">It is important that clinicians become skilled in recognising end of life, the terminal phase of life and implementing a palliative approach. If impending death is not identified, it can lead to uncontrolled symptoms, inappropriate medical interventions, and a failure to meet spiritual, psychological and cultural needs of a client and their family </w:t>
      </w:r>
      <w:r w:rsidR="008A3959">
        <w:rPr>
          <w:rFonts w:eastAsiaTheme="majorEastAsia"/>
        </w:rPr>
        <w:t>contributing</w:t>
      </w:r>
      <w:r w:rsidRPr="0093046A">
        <w:rPr>
          <w:rFonts w:eastAsiaTheme="majorEastAsia"/>
        </w:rPr>
        <w:t xml:space="preserve"> to complex grief and bereavement. </w:t>
      </w:r>
      <w:r w:rsidR="00F169A0">
        <w:rPr>
          <w:rFonts w:eastAsiaTheme="majorEastAsia"/>
        </w:rPr>
        <w:t xml:space="preserve">A palliative approach should be implemented as soon as there is no curative treatment available or accepted by the client. </w:t>
      </w:r>
    </w:p>
    <w:p w14:paraId="3EB3E5C9" w14:textId="397F634A" w:rsidR="0093046A" w:rsidRPr="0093046A" w:rsidRDefault="0093046A" w:rsidP="0093046A">
      <w:pPr>
        <w:pStyle w:val="BodyCopy"/>
        <w:rPr>
          <w:rFonts w:eastAsiaTheme="majorEastAsia"/>
        </w:rPr>
      </w:pPr>
      <w:r w:rsidRPr="0093046A">
        <w:rPr>
          <w:rFonts w:eastAsiaTheme="majorEastAsia"/>
        </w:rPr>
        <w:lastRenderedPageBreak/>
        <w:t xml:space="preserve">It is important to recognise that many people detained in </w:t>
      </w:r>
      <w:r w:rsidR="00E815EF">
        <w:rPr>
          <w:rFonts w:eastAsiaTheme="majorEastAsia"/>
        </w:rPr>
        <w:t>the</w:t>
      </w:r>
      <w:r w:rsidR="00E524D8">
        <w:rPr>
          <w:rFonts w:eastAsiaTheme="majorEastAsia"/>
        </w:rPr>
        <w:t xml:space="preserve"> </w:t>
      </w:r>
      <w:r w:rsidRPr="0093046A">
        <w:rPr>
          <w:rFonts w:eastAsiaTheme="majorEastAsia"/>
        </w:rPr>
        <w:t xml:space="preserve">AMC have histories of trauma ranging from childhood abuse, intergenerational trauma, trauma from a refugee experience, or traumatisation of previous incarceration. Any palliative care approach in the AMC will be trauma informed and work to identify and reduce triggers for re-traumatisation. </w:t>
      </w:r>
    </w:p>
    <w:p w14:paraId="3D7CF60A" w14:textId="5A92548D" w:rsidR="0093046A" w:rsidRDefault="0093046A" w:rsidP="0093046A">
      <w:pPr>
        <w:pStyle w:val="BodyCopy"/>
        <w:rPr>
          <w:rFonts w:eastAsiaTheme="majorEastAsia"/>
        </w:rPr>
      </w:pPr>
      <w:r w:rsidRPr="0093046A">
        <w:rPr>
          <w:rFonts w:eastAsiaTheme="majorEastAsia"/>
        </w:rPr>
        <w:t xml:space="preserve">The provision of health services to people in custody at the AMC including end of life and palliative care are governed by the </w:t>
      </w:r>
      <w:r w:rsidRPr="0093046A">
        <w:rPr>
          <w:rFonts w:eastAsiaTheme="majorEastAsia"/>
          <w:i/>
        </w:rPr>
        <w:t>Corrections Management Act 2007</w:t>
      </w:r>
      <w:r w:rsidRPr="0093046A">
        <w:rPr>
          <w:rFonts w:eastAsiaTheme="majorEastAsia"/>
        </w:rPr>
        <w:t xml:space="preserve">. The responsibility for health service provision in AMC is exercised by the doctor appointed under Section 21 and by </w:t>
      </w:r>
      <w:r w:rsidR="00E524D8">
        <w:rPr>
          <w:rFonts w:eastAsiaTheme="majorEastAsia"/>
        </w:rPr>
        <w:t>JHS</w:t>
      </w:r>
      <w:r w:rsidRPr="0093046A">
        <w:rPr>
          <w:rFonts w:eastAsiaTheme="majorEastAsia"/>
        </w:rPr>
        <w:t xml:space="preserve"> as part of CHS. </w:t>
      </w:r>
      <w:r w:rsidRPr="0093046A">
        <w:rPr>
          <w:rFonts w:eastAsiaTheme="majorEastAsia"/>
          <w:lang w:val="en"/>
        </w:rPr>
        <w:t>Winnunga Nimmityjah Aboriginal Health and Community Services (WNAHCS)</w:t>
      </w:r>
      <w:r w:rsidRPr="0093046A">
        <w:rPr>
          <w:rFonts w:eastAsiaTheme="majorEastAsia"/>
        </w:rPr>
        <w:t xml:space="preserve"> provide health services in accordance with a tripartite agreement between CHS, WNAHCS and ACT Corrective Services (ACTCS). The care provided by WNAHCS is provided in accordance with the Memorandum of Understanding.  JHS will provide consultation and support as required to ensure people receive appropriate end of life care.</w:t>
      </w:r>
    </w:p>
    <w:p w14:paraId="0C1094CC" w14:textId="6996BC58" w:rsidR="00B11F74" w:rsidRPr="0093046A" w:rsidRDefault="00B11F74" w:rsidP="0093046A">
      <w:pPr>
        <w:pStyle w:val="BodyCopy"/>
        <w:rPr>
          <w:rFonts w:eastAsiaTheme="majorEastAsia"/>
        </w:rPr>
      </w:pPr>
      <w:r>
        <w:t>F</w:t>
      </w:r>
      <w:r w:rsidRPr="009F3546">
        <w:t>rom 3 November 2025</w:t>
      </w:r>
      <w:r>
        <w:t>, ACT residents will have a</w:t>
      </w:r>
      <w:r w:rsidRPr="009F3546">
        <w:t xml:space="preserve">nother </w:t>
      </w:r>
      <w:r w:rsidR="00DB33F4">
        <w:t>option for</w:t>
      </w:r>
      <w:r w:rsidRPr="009F3546">
        <w:t xml:space="preserve"> end of life care </w:t>
      </w:r>
      <w:r>
        <w:t xml:space="preserve">through </w:t>
      </w:r>
      <w:r w:rsidRPr="009F3546">
        <w:t xml:space="preserve">access to voluntary assisted dying. </w:t>
      </w:r>
      <w:r w:rsidR="001E3C8B" w:rsidRPr="009F3546">
        <w:t>Th</w:t>
      </w:r>
      <w:r w:rsidR="001E3C8B">
        <w:t>e</w:t>
      </w:r>
      <w:r w:rsidR="001E3C8B" w:rsidRPr="009F3546">
        <w:t xml:space="preserve"> </w:t>
      </w:r>
      <w:r w:rsidR="001E3C8B" w:rsidRPr="00B11F74">
        <w:rPr>
          <w:i/>
          <w:iCs w:val="0"/>
        </w:rPr>
        <w:t>Voluntary Assisted Dying Act</w:t>
      </w:r>
      <w:r w:rsidR="001E3C8B" w:rsidRPr="009F3546">
        <w:t xml:space="preserve"> 2024</w:t>
      </w:r>
      <w:r w:rsidRPr="009F3546">
        <w:t xml:space="preserve"> has been developed and passed to support a person</w:t>
      </w:r>
      <w:r w:rsidR="00115A57">
        <w:t>’</w:t>
      </w:r>
      <w:r w:rsidRPr="009F3546">
        <w:t>s end of life choice aligning with their rights, preferences and values. For a person to be found eligible they must meet strict criteria through a legislated assessment process. This process can work within a palliative approach to ensure a person has continual access to pain and symptom management at end of life.</w:t>
      </w:r>
    </w:p>
    <w:p w14:paraId="344C1C78" w14:textId="77777777" w:rsidR="00DA5524" w:rsidRDefault="00DA5524" w:rsidP="00DA5524">
      <w:pPr>
        <w:pStyle w:val="Heading5"/>
        <w:rPr>
          <w:rStyle w:val="Heading5Char"/>
          <w:b/>
          <w:bCs/>
          <w:iCs/>
        </w:rPr>
      </w:pPr>
      <w:r>
        <w:rPr>
          <w:rStyle w:val="Heading5Char"/>
          <w:b/>
          <w:bCs/>
          <w:iCs/>
        </w:rPr>
        <w:t>Key Objective</w:t>
      </w:r>
    </w:p>
    <w:p w14:paraId="26F53E85" w14:textId="5388280F" w:rsidR="00AA52DB" w:rsidRDefault="00DB7E21" w:rsidP="00DB7E21">
      <w:pPr>
        <w:pStyle w:val="BodyCopy"/>
        <w:rPr>
          <w:rFonts w:eastAsiaTheme="majorEastAsia"/>
        </w:rPr>
      </w:pPr>
      <w:r w:rsidRPr="00011A77">
        <w:rPr>
          <w:rFonts w:eastAsiaTheme="majorEastAsia"/>
        </w:rPr>
        <w:t>This guideline outlines the provision of an evidence-based, best practice</w:t>
      </w:r>
      <w:r w:rsidR="00AA52DB">
        <w:rPr>
          <w:rFonts w:eastAsiaTheme="majorEastAsia"/>
        </w:rPr>
        <w:t xml:space="preserve"> approach to:</w:t>
      </w:r>
    </w:p>
    <w:p w14:paraId="1EF00353" w14:textId="343DE8F8" w:rsidR="00AA52DB" w:rsidRPr="003714F5" w:rsidRDefault="00DB7E21" w:rsidP="00F529FE">
      <w:pPr>
        <w:pStyle w:val="Bullet"/>
        <w:numPr>
          <w:ilvl w:val="0"/>
          <w:numId w:val="8"/>
        </w:numPr>
      </w:pPr>
      <w:r w:rsidRPr="003714F5">
        <w:t xml:space="preserve">palliative </w:t>
      </w:r>
      <w:r w:rsidR="00AA52DB" w:rsidRPr="003714F5">
        <w:t>care for</w:t>
      </w:r>
      <w:r w:rsidR="00011A77" w:rsidRPr="003714F5">
        <w:t xml:space="preserve"> someone where the primary goal of care is not a cure</w:t>
      </w:r>
    </w:p>
    <w:p w14:paraId="7034FD66" w14:textId="755DEA3D" w:rsidR="00AA52DB" w:rsidRPr="003714F5" w:rsidRDefault="00853B5C" w:rsidP="00F529FE">
      <w:pPr>
        <w:pStyle w:val="Bullet"/>
        <w:numPr>
          <w:ilvl w:val="0"/>
          <w:numId w:val="8"/>
        </w:numPr>
      </w:pPr>
      <w:r w:rsidRPr="003714F5">
        <w:t xml:space="preserve">end of life </w:t>
      </w:r>
      <w:r w:rsidR="00DB7E21" w:rsidRPr="003714F5">
        <w:t xml:space="preserve">care in the last 12 months to days of a client’s life. </w:t>
      </w:r>
    </w:p>
    <w:p w14:paraId="3000551C" w14:textId="77DC1B81" w:rsidR="00DB7E21" w:rsidRPr="00DB7E21" w:rsidRDefault="00DB7E21" w:rsidP="00AA52DB">
      <w:pPr>
        <w:pStyle w:val="BodyCopy"/>
        <w:rPr>
          <w:rFonts w:eastAsiaTheme="majorEastAsia"/>
        </w:rPr>
      </w:pPr>
      <w:r w:rsidRPr="00011A77">
        <w:rPr>
          <w:rFonts w:eastAsiaTheme="majorEastAsia"/>
        </w:rPr>
        <w:t>It</w:t>
      </w:r>
      <w:r w:rsidRPr="00DB7E21">
        <w:rPr>
          <w:rFonts w:eastAsiaTheme="majorEastAsia"/>
        </w:rPr>
        <w:t xml:space="preserve"> i</w:t>
      </w:r>
      <w:r w:rsidR="003714F5">
        <w:rPr>
          <w:rFonts w:eastAsiaTheme="majorEastAsia"/>
        </w:rPr>
        <w:t xml:space="preserve">s </w:t>
      </w:r>
      <w:r w:rsidRPr="00DB7E21">
        <w:rPr>
          <w:rFonts w:eastAsiaTheme="majorEastAsia"/>
        </w:rPr>
        <w:t>a guide for all health staff at AMC to facilitate the identification and provision of end of life and palliative care to clients in the end stages of their life.</w:t>
      </w:r>
    </w:p>
    <w:p w14:paraId="2E488665" w14:textId="77777777" w:rsidR="00DA5524" w:rsidRPr="00DA5524" w:rsidRDefault="00DA5524" w:rsidP="00DA5524">
      <w:pPr>
        <w:pStyle w:val="Heading5"/>
      </w:pPr>
      <w:r w:rsidRPr="00DA5524">
        <w:t>Alerts</w:t>
      </w:r>
    </w:p>
    <w:p w14:paraId="62711E5D" w14:textId="77777777" w:rsidR="007143DA" w:rsidRPr="007143DA" w:rsidRDefault="007143DA" w:rsidP="007143DA">
      <w:pPr>
        <w:pStyle w:val="BodyCopy"/>
      </w:pPr>
      <w:r w:rsidRPr="007143DA">
        <w:t>It is essential that all end of life and palliative care practices remain client and family centred. Considerations for practice include:</w:t>
      </w:r>
    </w:p>
    <w:p w14:paraId="28A6B146" w14:textId="77777777" w:rsidR="007143DA" w:rsidRPr="007143DA" w:rsidRDefault="007143DA" w:rsidP="00F529FE">
      <w:pPr>
        <w:pStyle w:val="Bullet"/>
        <w:numPr>
          <w:ilvl w:val="0"/>
          <w:numId w:val="8"/>
        </w:numPr>
      </w:pPr>
      <w:r w:rsidRPr="007143DA">
        <w:t>providing the client and their family with an opportunity to reflect, and tell you what brings meaning to their life, what they value, and how they wish care to be undertaken</w:t>
      </w:r>
    </w:p>
    <w:p w14:paraId="1DEB9BF4" w14:textId="77777777" w:rsidR="007143DA" w:rsidRPr="007143DA" w:rsidRDefault="007143DA" w:rsidP="00F529FE">
      <w:pPr>
        <w:pStyle w:val="Bullet"/>
        <w:numPr>
          <w:ilvl w:val="0"/>
          <w:numId w:val="8"/>
        </w:numPr>
        <w:rPr>
          <w:bCs/>
          <w:iCs/>
        </w:rPr>
      </w:pPr>
      <w:r w:rsidRPr="007143DA">
        <w:t>regularly reassessing goals and priorities to ensure that the client, their family, JHS multidisciplinary team, WNAHCS and ACTCS are working together to maximise the client’s comfort</w:t>
      </w:r>
      <w:r w:rsidRPr="007143DA">
        <w:rPr>
          <w:bCs/>
          <w:iCs/>
        </w:rPr>
        <w:t xml:space="preserve"> and dignity in the last days of life.</w:t>
      </w:r>
    </w:p>
    <w:p w14:paraId="64128E2F" w14:textId="4A016363" w:rsidR="007143DA" w:rsidRPr="00F55ABB" w:rsidRDefault="00F55ABB" w:rsidP="007143DA">
      <w:pPr>
        <w:pStyle w:val="BodyCopy"/>
      </w:pPr>
      <w:r>
        <w:t>All care must be d</w:t>
      </w:r>
      <w:r w:rsidR="007143DA" w:rsidRPr="00F55ABB">
        <w:t>ocument</w:t>
      </w:r>
      <w:r>
        <w:t xml:space="preserve">ed </w:t>
      </w:r>
      <w:r w:rsidR="00535A7E">
        <w:t>in the</w:t>
      </w:r>
      <w:r w:rsidR="007143DA" w:rsidRPr="00F55ABB">
        <w:t xml:space="preserve"> client</w:t>
      </w:r>
      <w:r w:rsidR="00535A7E">
        <w:t xml:space="preserve">’s </w:t>
      </w:r>
      <w:r w:rsidR="007143DA" w:rsidRPr="00F55ABB">
        <w:t xml:space="preserve">Digital Health Record (DHR). </w:t>
      </w:r>
    </w:p>
    <w:p w14:paraId="72DBAB64" w14:textId="6BCF105D" w:rsidR="00481A6C" w:rsidRDefault="00481A6C" w:rsidP="00481A6C">
      <w:pPr>
        <w:pStyle w:val="BodyCopy"/>
        <w:rPr>
          <w:rStyle w:val="Hyperlink"/>
          <w:iCs w:val="0"/>
        </w:rPr>
      </w:pPr>
      <w:hyperlink w:anchor="_top" w:history="1">
        <w:r w:rsidRPr="00481A6C">
          <w:rPr>
            <w:rStyle w:val="Hyperlink"/>
            <w:iCs w:val="0"/>
          </w:rPr>
          <w:t>Back to Contents</w:t>
        </w:r>
      </w:hyperlink>
    </w:p>
    <w:p w14:paraId="704B1F93" w14:textId="77777777" w:rsidR="0078367D" w:rsidRPr="00AC2EDE" w:rsidRDefault="0078367D" w:rsidP="00197F2E">
      <w:pPr>
        <w:pStyle w:val="Heading4"/>
      </w:pPr>
      <w:bookmarkStart w:id="3" w:name="_Toc198277142"/>
      <w:r w:rsidRPr="00AC2EDE">
        <w:rPr>
          <w:rStyle w:val="Hyperlink"/>
          <w:color w:val="FFFFFF" w:themeColor="background1"/>
          <w:u w:val="none"/>
        </w:rPr>
        <w:t>Scope</w:t>
      </w:r>
      <w:bookmarkEnd w:id="3"/>
    </w:p>
    <w:p w14:paraId="5C6B3553" w14:textId="77777777" w:rsidR="00487C36" w:rsidRDefault="00487C36" w:rsidP="00F63F6C">
      <w:pPr>
        <w:pStyle w:val="BodyCopy"/>
      </w:pPr>
      <w:r w:rsidRPr="008A579A">
        <w:t>Th</w:t>
      </w:r>
      <w:r>
        <w:t>is guidelin</w:t>
      </w:r>
      <w:r w:rsidRPr="008A579A">
        <w:t xml:space="preserve">e applies to </w:t>
      </w:r>
      <w:r>
        <w:t xml:space="preserve">CHS staff providing care for people held in custody at AMC. This includes Nursing, Medical and Allied Health staff in the Division of Mental Health, Justice Health, Alcohol and Drug Services (MHJHADS), working within their scope of practice. </w:t>
      </w:r>
    </w:p>
    <w:p w14:paraId="17E9A764" w14:textId="391024B5" w:rsidR="00487C36" w:rsidRDefault="00487C36" w:rsidP="00F63F6C">
      <w:pPr>
        <w:pStyle w:val="BodyCopy"/>
      </w:pPr>
      <w:r>
        <w:t xml:space="preserve">This document also applies to supervised students on placement and staff of other CHS services such as the Advance Care Planning </w:t>
      </w:r>
      <w:r w:rsidR="00DB1651">
        <w:t xml:space="preserve">(ACP) </w:t>
      </w:r>
      <w:r>
        <w:t xml:space="preserve">team who may go into </w:t>
      </w:r>
      <w:r w:rsidR="006C5F2F">
        <w:t>AMC</w:t>
      </w:r>
      <w:r>
        <w:t xml:space="preserve"> to provide care.</w:t>
      </w:r>
    </w:p>
    <w:p w14:paraId="7390F8DD" w14:textId="3553CA09" w:rsidR="00487C36" w:rsidRPr="008A579A" w:rsidRDefault="00487C36" w:rsidP="00F63F6C">
      <w:pPr>
        <w:pStyle w:val="BodyCopy"/>
      </w:pPr>
      <w:r>
        <w:t xml:space="preserve">For the purposes of this document, the term ‘client’ refers to a person </w:t>
      </w:r>
      <w:bookmarkStart w:id="4" w:name="_Hlk32224658"/>
      <w:r>
        <w:t>held in custody at AMC</w:t>
      </w:r>
      <w:r w:rsidR="002B5A7D">
        <w:t>, C</w:t>
      </w:r>
      <w:r w:rsidR="00051A05">
        <w:t xml:space="preserve">lare Holland House, (CHH) </w:t>
      </w:r>
      <w:r w:rsidR="002B5A7D">
        <w:t>or Canberra Hospital</w:t>
      </w:r>
      <w:r>
        <w:t>.</w:t>
      </w:r>
      <w:bookmarkEnd w:id="4"/>
    </w:p>
    <w:p w14:paraId="1BC9D2FE" w14:textId="3347A7EA" w:rsidR="00487C36" w:rsidRDefault="00487C36" w:rsidP="00F63F6C">
      <w:pPr>
        <w:pStyle w:val="BodyCopy"/>
      </w:pPr>
      <w:r>
        <w:t xml:space="preserve">A client may be under the care of JHS or WNAHCS. </w:t>
      </w:r>
      <w:r w:rsidR="00DB1651">
        <w:t>This</w:t>
      </w:r>
      <w:r>
        <w:t xml:space="preserve"> guideline provides governance for CHS staff only, end of life care may be provided in collaboration with </w:t>
      </w:r>
      <w:r w:rsidR="00C266FB">
        <w:t>ACTCS</w:t>
      </w:r>
      <w:r>
        <w:t xml:space="preserve">, WNAHCS, and/or other CHS services. </w:t>
      </w:r>
    </w:p>
    <w:p w14:paraId="0684DF7C" w14:textId="77777777" w:rsidR="00487C36" w:rsidRPr="000106D7" w:rsidRDefault="00487C36" w:rsidP="00487C36">
      <w:pPr>
        <w:pStyle w:val="ListBullet"/>
        <w:numPr>
          <w:ilvl w:val="0"/>
          <w:numId w:val="0"/>
        </w:numPr>
        <w:pBdr>
          <w:top w:val="single" w:sz="4" w:space="1" w:color="auto"/>
          <w:left w:val="single" w:sz="4" w:space="4" w:color="auto"/>
          <w:bottom w:val="single" w:sz="4" w:space="1" w:color="auto"/>
          <w:right w:val="single" w:sz="4" w:space="4" w:color="auto"/>
        </w:pBdr>
        <w:rPr>
          <w:rFonts w:asciiTheme="majorHAnsi" w:hAnsiTheme="majorHAnsi" w:cstheme="majorHAnsi"/>
          <w:szCs w:val="24"/>
        </w:rPr>
      </w:pPr>
      <w:r w:rsidRPr="000106D7">
        <w:rPr>
          <w:rFonts w:asciiTheme="majorHAnsi" w:hAnsiTheme="majorHAnsi" w:cstheme="majorHAnsi"/>
          <w:b/>
          <w:bCs/>
          <w:szCs w:val="24"/>
        </w:rPr>
        <w:t>ALERT</w:t>
      </w:r>
      <w:r w:rsidRPr="001E3C8B">
        <w:rPr>
          <w:rFonts w:ascii="Arial" w:hAnsi="Arial" w:cs="Arial"/>
          <w:bCs/>
          <w:iCs/>
          <w:color w:val="000000" w:themeColor="text1"/>
          <w:szCs w:val="24"/>
          <w:lang w:eastAsia="en-AU"/>
        </w:rPr>
        <w:t>: Palliative or end of life care services for a client at AMC may be led by JHS (CHS) or WNAHCS (primary care) teams. JHS will collaborate with WNAHCS, ACTCS, and other CHS services when needed.</w:t>
      </w:r>
      <w:r w:rsidRPr="000106D7">
        <w:rPr>
          <w:rFonts w:asciiTheme="majorHAnsi" w:hAnsiTheme="majorHAnsi" w:cstheme="majorHAnsi"/>
          <w:szCs w:val="24"/>
        </w:rPr>
        <w:t xml:space="preserve"> </w:t>
      </w:r>
    </w:p>
    <w:p w14:paraId="090B966F" w14:textId="36E32ACA" w:rsidR="00481A6C" w:rsidRDefault="00481A6C" w:rsidP="00481A6C">
      <w:pPr>
        <w:pStyle w:val="BodyCopy"/>
        <w:rPr>
          <w:iCs w:val="0"/>
        </w:rPr>
      </w:pPr>
      <w:hyperlink w:anchor="_top" w:history="1">
        <w:r w:rsidRPr="00481A6C">
          <w:rPr>
            <w:rStyle w:val="Hyperlink"/>
            <w:iCs w:val="0"/>
          </w:rPr>
          <w:t>Back to Contents</w:t>
        </w:r>
      </w:hyperlink>
    </w:p>
    <w:p w14:paraId="1C96DB25" w14:textId="3A514327" w:rsidR="0078367D" w:rsidRDefault="0078367D" w:rsidP="00197F2E">
      <w:pPr>
        <w:pStyle w:val="Heading4"/>
      </w:pPr>
      <w:bookmarkStart w:id="5" w:name="_Toc198277143"/>
      <w:r>
        <w:t xml:space="preserve">Section 1 </w:t>
      </w:r>
      <w:r w:rsidR="007D4395" w:rsidRPr="007D4395">
        <w:t>– Recognition of End of Life and Terminal Phase</w:t>
      </w:r>
      <w:bookmarkEnd w:id="5"/>
    </w:p>
    <w:p w14:paraId="4171552B" w14:textId="1A62336F" w:rsidR="00CC48E6" w:rsidRPr="00CC48E6" w:rsidRDefault="00CC48E6" w:rsidP="00CC48E6">
      <w:pPr>
        <w:pStyle w:val="BodyCopy"/>
        <w:spacing w:before="240"/>
      </w:pPr>
      <w:r w:rsidRPr="00CC48E6">
        <w:t>It is essential that all members of the health team are familiar with and recognise the signs</w:t>
      </w:r>
      <w:r w:rsidR="003C1538">
        <w:t xml:space="preserve"> </w:t>
      </w:r>
      <w:r w:rsidRPr="00CC48E6">
        <w:t xml:space="preserve">and symptoms indicating that a client may be approaching their end of life and/or when they are dying. This will ensure that the right information, care and support are provided to the client and their family at the right time. </w:t>
      </w:r>
    </w:p>
    <w:p w14:paraId="33DD2B30" w14:textId="77777777" w:rsidR="00CC48E6" w:rsidRPr="00CC48E6" w:rsidRDefault="00CC48E6" w:rsidP="00CC48E6">
      <w:pPr>
        <w:pStyle w:val="Heading5"/>
      </w:pPr>
      <w:r w:rsidRPr="00CC48E6">
        <w:t xml:space="preserve">Identifying clients approaching their end of life </w:t>
      </w:r>
    </w:p>
    <w:p w14:paraId="46CE9EBD" w14:textId="0B501F3C" w:rsidR="00CC48E6" w:rsidRPr="00CC48E6" w:rsidRDefault="00CC48E6" w:rsidP="00CC48E6">
      <w:pPr>
        <w:pStyle w:val="BodyCopy"/>
        <w:spacing w:before="240"/>
      </w:pPr>
      <w:r w:rsidRPr="00CC48E6">
        <w:t xml:space="preserve">People </w:t>
      </w:r>
      <w:r w:rsidR="001E3C8B" w:rsidRPr="00CC48E6">
        <w:t>are</w:t>
      </w:r>
      <w:r w:rsidRPr="00CC48E6">
        <w:t xml:space="preserve"> approaching the end of life when they are likely to die within the next 12 months. This includes those with:</w:t>
      </w:r>
    </w:p>
    <w:p w14:paraId="7FAC8B61" w14:textId="77777777" w:rsidR="00CC48E6" w:rsidRPr="00CC48E6" w:rsidRDefault="00CC48E6" w:rsidP="00F529FE">
      <w:pPr>
        <w:pStyle w:val="Bullet"/>
        <w:numPr>
          <w:ilvl w:val="0"/>
          <w:numId w:val="8"/>
        </w:numPr>
      </w:pPr>
      <w:r w:rsidRPr="00CC48E6">
        <w:t>advanced, progressive and incurable conditions</w:t>
      </w:r>
    </w:p>
    <w:p w14:paraId="196BF676" w14:textId="77777777" w:rsidR="00CC48E6" w:rsidRPr="00CC48E6" w:rsidRDefault="00CC48E6" w:rsidP="00F529FE">
      <w:pPr>
        <w:pStyle w:val="Bullet"/>
        <w:numPr>
          <w:ilvl w:val="0"/>
          <w:numId w:val="8"/>
        </w:numPr>
      </w:pPr>
      <w:r w:rsidRPr="00CC48E6">
        <w:t>frailty and co-existing conditions where they are expected to die within 12 months</w:t>
      </w:r>
    </w:p>
    <w:p w14:paraId="5DDAC7D6" w14:textId="77777777" w:rsidR="00CC48E6" w:rsidRPr="00CC48E6" w:rsidRDefault="00CC48E6" w:rsidP="00F529FE">
      <w:pPr>
        <w:pStyle w:val="Bullet"/>
        <w:numPr>
          <w:ilvl w:val="0"/>
          <w:numId w:val="8"/>
        </w:numPr>
      </w:pPr>
      <w:r w:rsidRPr="00CC48E6">
        <w:t>existing conditions, if at risk of dying from a sudden acute crisis from this condition</w:t>
      </w:r>
    </w:p>
    <w:p w14:paraId="2D3134B6" w14:textId="77777777" w:rsidR="00CC48E6" w:rsidRPr="00CC48E6" w:rsidRDefault="00CC48E6" w:rsidP="00F529FE">
      <w:pPr>
        <w:pStyle w:val="Bullet"/>
        <w:numPr>
          <w:ilvl w:val="0"/>
          <w:numId w:val="8"/>
        </w:numPr>
        <w:rPr>
          <w:bCs/>
          <w:iCs/>
        </w:rPr>
      </w:pPr>
      <w:r w:rsidRPr="00CC48E6">
        <w:t>life-threatening</w:t>
      </w:r>
      <w:r w:rsidRPr="00CC48E6">
        <w:rPr>
          <w:bCs/>
          <w:iCs/>
        </w:rPr>
        <w:t xml:space="preserve"> acute conditions caused by sudden catastrophic events. (Australian Commission for Safety and Quality in Health Care (ACSQHC), 2015)</w:t>
      </w:r>
    </w:p>
    <w:p w14:paraId="040F1199" w14:textId="77777777" w:rsidR="00CC48E6" w:rsidRPr="00CC48E6" w:rsidRDefault="00CC48E6" w:rsidP="00CC48E6">
      <w:pPr>
        <w:pStyle w:val="BodyCopy"/>
        <w:spacing w:before="240"/>
      </w:pPr>
      <w:r w:rsidRPr="00CC48E6">
        <w:t xml:space="preserve">A client approaching their end of life is likely in greater need of a palliative focus to their care. People approaching end of life can be identified through: </w:t>
      </w:r>
    </w:p>
    <w:p w14:paraId="5122DF71" w14:textId="346036B6" w:rsidR="00CC48E6" w:rsidRPr="00CC48E6" w:rsidRDefault="00CC48E6" w:rsidP="00F529FE">
      <w:pPr>
        <w:pStyle w:val="Bullet"/>
        <w:numPr>
          <w:ilvl w:val="0"/>
          <w:numId w:val="8"/>
        </w:numPr>
      </w:pPr>
      <w:r>
        <w:lastRenderedPageBreak/>
        <w:t xml:space="preserve">the </w:t>
      </w:r>
      <w:r w:rsidR="00F300B7">
        <w:t>‘</w:t>
      </w:r>
      <w:r>
        <w:t>surprise question</w:t>
      </w:r>
      <w:r w:rsidR="00F300B7">
        <w:t>’</w:t>
      </w:r>
      <w:r w:rsidR="00ED60FD">
        <w:t xml:space="preserve"> screening </w:t>
      </w:r>
      <w:r w:rsidR="007B0389">
        <w:t>mechanism</w:t>
      </w:r>
      <w:r w:rsidR="232FBCC3">
        <w:t xml:space="preserve"> </w:t>
      </w:r>
    </w:p>
    <w:p w14:paraId="41E2C91E" w14:textId="77777777" w:rsidR="00CC48E6" w:rsidRPr="00CC48E6" w:rsidRDefault="00CC48E6" w:rsidP="00F529FE">
      <w:pPr>
        <w:pStyle w:val="Bullet"/>
        <w:numPr>
          <w:ilvl w:val="0"/>
          <w:numId w:val="8"/>
        </w:numPr>
        <w:rPr>
          <w:bCs/>
          <w:iCs/>
        </w:rPr>
      </w:pPr>
      <w:r w:rsidRPr="00CC48E6">
        <w:t>Supportive</w:t>
      </w:r>
      <w:r w:rsidRPr="00CC48E6">
        <w:rPr>
          <w:bCs/>
          <w:iCs/>
        </w:rPr>
        <w:t xml:space="preserve"> and Palliative Care Indicators Tool (SPICT™) (Attachment 2).</w:t>
      </w:r>
    </w:p>
    <w:p w14:paraId="245CA8F0" w14:textId="6B041CE6" w:rsidR="00CC48E6" w:rsidRPr="00CC48E6" w:rsidRDefault="00CC48E6" w:rsidP="00CC48E6">
      <w:pPr>
        <w:pStyle w:val="Heading5"/>
      </w:pPr>
      <w:r>
        <w:t>The surprise question</w:t>
      </w:r>
      <w:r w:rsidR="00ED60FD">
        <w:t xml:space="preserve"> screening mechanism </w:t>
      </w:r>
    </w:p>
    <w:p w14:paraId="11C9BF8E" w14:textId="5B5A791E" w:rsidR="00CC48E6" w:rsidRPr="00CC48E6" w:rsidRDefault="00CC48E6" w:rsidP="00CC48E6">
      <w:pPr>
        <w:pStyle w:val="BodyCopy"/>
        <w:spacing w:before="240"/>
      </w:pPr>
      <w:r w:rsidRPr="00CC48E6">
        <w:t xml:space="preserve">The surprise question should be used by clinicians as a screening mechanism at the </w:t>
      </w:r>
      <w:r w:rsidR="007B0389" w:rsidRPr="00CC48E6">
        <w:t>7-day</w:t>
      </w:r>
      <w:r w:rsidRPr="00CC48E6">
        <w:t xml:space="preserve"> health review following induction into custody, and/or after a change in health status to recognise a client who could benefit from end of life care interventions. Clinicians should ask themselves:</w:t>
      </w:r>
    </w:p>
    <w:p w14:paraId="03C65F31" w14:textId="77777777" w:rsidR="00CC48E6" w:rsidRPr="00CC48E6" w:rsidRDefault="00CC48E6" w:rsidP="00F529FE">
      <w:pPr>
        <w:pStyle w:val="Bullet"/>
        <w:numPr>
          <w:ilvl w:val="0"/>
          <w:numId w:val="8"/>
        </w:numPr>
      </w:pPr>
      <w:r w:rsidRPr="00CC48E6">
        <w:t>Would you be surprised if this client died in the next 12 months?</w:t>
      </w:r>
    </w:p>
    <w:p w14:paraId="6C3E7B8B" w14:textId="77777777" w:rsidR="00CC48E6" w:rsidRPr="00CC48E6" w:rsidRDefault="00CC48E6" w:rsidP="00F529FE">
      <w:pPr>
        <w:pStyle w:val="Bullet"/>
        <w:numPr>
          <w:ilvl w:val="0"/>
          <w:numId w:val="8"/>
        </w:numPr>
        <w:rPr>
          <w:bCs/>
          <w:iCs/>
        </w:rPr>
      </w:pPr>
      <w:r w:rsidRPr="00CC48E6">
        <w:t>Would you</w:t>
      </w:r>
      <w:r w:rsidRPr="00CC48E6">
        <w:rPr>
          <w:bCs/>
          <w:iCs/>
        </w:rPr>
        <w:t xml:space="preserve"> be surprised if this client died in the next days or weeks?</w:t>
      </w:r>
    </w:p>
    <w:p w14:paraId="34166BCC" w14:textId="77777777" w:rsidR="00CC48E6" w:rsidRPr="00CC48E6" w:rsidRDefault="00CC48E6" w:rsidP="00CC48E6">
      <w:pPr>
        <w:pStyle w:val="BodyCopy"/>
        <w:spacing w:before="240"/>
      </w:pPr>
      <w:r w:rsidRPr="00CC48E6">
        <w:t>A response of “No” to the above questions should prompt consideration from the medical officer of implementing a palliative approach to the client’s care with the key aspects of this influenced by how close dying is thought to be.</w:t>
      </w:r>
    </w:p>
    <w:p w14:paraId="328C284C" w14:textId="77777777" w:rsidR="00CC48E6" w:rsidRPr="00CC48E6" w:rsidRDefault="00CC48E6" w:rsidP="00CC48E6">
      <w:pPr>
        <w:pStyle w:val="Heading5"/>
      </w:pPr>
      <w:r w:rsidRPr="00CC48E6">
        <w:t>Supportive and Palliative Care Indicators Tool (SPICT™)</w:t>
      </w:r>
    </w:p>
    <w:p w14:paraId="45F2B56A" w14:textId="77777777" w:rsidR="00CC48E6" w:rsidRPr="00CC48E6" w:rsidRDefault="00CC48E6" w:rsidP="00CC48E6">
      <w:pPr>
        <w:pStyle w:val="BodyCopy"/>
        <w:spacing w:before="240"/>
      </w:pPr>
      <w:r w:rsidRPr="00CC48E6">
        <w:t xml:space="preserve">SPICT™ (see Attachment A) is a tool which describes clinical signs that can help identify people who are at risk of deteriorating and dying from one or more advanced conditions (www.spict.org.uk). SPICT™ combines indicators of advanced conditions with general indicators of deteriorating health. </w:t>
      </w:r>
    </w:p>
    <w:p w14:paraId="5E27F690" w14:textId="77777777" w:rsidR="00CC48E6" w:rsidRPr="00CC48E6" w:rsidRDefault="00CC48E6" w:rsidP="00CC48E6">
      <w:pPr>
        <w:pStyle w:val="BodyCopy"/>
        <w:spacing w:before="240"/>
      </w:pPr>
      <w:r w:rsidRPr="00CC48E6">
        <w:t xml:space="preserve">The SPICT™ is a useful guide for clinicians to: </w:t>
      </w:r>
    </w:p>
    <w:p w14:paraId="3E2AE374" w14:textId="77777777" w:rsidR="00CC48E6" w:rsidRPr="00CC48E6" w:rsidRDefault="00CC48E6" w:rsidP="00F529FE">
      <w:pPr>
        <w:pStyle w:val="Bullet"/>
        <w:numPr>
          <w:ilvl w:val="0"/>
          <w:numId w:val="8"/>
        </w:numPr>
      </w:pPr>
      <w:r w:rsidRPr="00CC48E6">
        <w:t xml:space="preserve">prompt consistent recognition of clients who are at risk of dying within 12 months </w:t>
      </w:r>
    </w:p>
    <w:p w14:paraId="0E64BD9F" w14:textId="77777777" w:rsidR="00CC48E6" w:rsidRPr="00CC48E6" w:rsidRDefault="00CC48E6" w:rsidP="00F529FE">
      <w:pPr>
        <w:pStyle w:val="Bullet"/>
        <w:numPr>
          <w:ilvl w:val="0"/>
          <w:numId w:val="8"/>
        </w:numPr>
      </w:pPr>
      <w:r w:rsidRPr="00CC48E6">
        <w:t xml:space="preserve">trigger a review of a client with advanced conditions, multiple comorbidities or general frailty, especially if they have had multiple hospital admissions </w:t>
      </w:r>
    </w:p>
    <w:p w14:paraId="49CB467E" w14:textId="77777777" w:rsidR="00CC48E6" w:rsidRPr="00CC48E6" w:rsidRDefault="00CC48E6" w:rsidP="00F529FE">
      <w:pPr>
        <w:pStyle w:val="Bullet"/>
        <w:numPr>
          <w:ilvl w:val="0"/>
          <w:numId w:val="8"/>
        </w:numPr>
      </w:pPr>
      <w:r w:rsidRPr="00CC48E6">
        <w:t xml:space="preserve">trigger a conversation with a client and their family about goals of care, their priorities and values at this time of life, and to assess and plan supportive and palliative care needs </w:t>
      </w:r>
    </w:p>
    <w:p w14:paraId="165C1F6D" w14:textId="77777777" w:rsidR="00CC48E6" w:rsidRPr="00CC48E6" w:rsidRDefault="00CC48E6" w:rsidP="00F529FE">
      <w:pPr>
        <w:pStyle w:val="Bullet"/>
        <w:numPr>
          <w:ilvl w:val="0"/>
          <w:numId w:val="8"/>
        </w:numPr>
      </w:pPr>
      <w:r w:rsidRPr="00CC48E6">
        <w:t xml:space="preserve">identify people for whom decisions about the treatment of an acute illness with limited reversibility are required, and whose medical treatments might be limited to what is available in AMC. </w:t>
      </w:r>
    </w:p>
    <w:p w14:paraId="672E4F4B" w14:textId="77777777" w:rsidR="00CC48E6" w:rsidRPr="00CC48E6" w:rsidRDefault="00CC48E6" w:rsidP="00F529FE">
      <w:pPr>
        <w:pStyle w:val="Bullet"/>
        <w:numPr>
          <w:ilvl w:val="0"/>
          <w:numId w:val="8"/>
        </w:numPr>
      </w:pPr>
      <w:r w:rsidRPr="00CC48E6">
        <w:t>identify people for whom a cardiopulmonary resuscitation (CPR) attempt would not be beneficial</w:t>
      </w:r>
    </w:p>
    <w:p w14:paraId="76A4E103" w14:textId="77777777" w:rsidR="00CC48E6" w:rsidRPr="00CC48E6" w:rsidRDefault="00CC48E6" w:rsidP="00F529FE">
      <w:pPr>
        <w:pStyle w:val="Bullet"/>
        <w:numPr>
          <w:ilvl w:val="0"/>
          <w:numId w:val="8"/>
        </w:numPr>
      </w:pPr>
      <w:r w:rsidRPr="00CC48E6">
        <w:t xml:space="preserve">identify people who have complex needs and require extra supports including specialist palliative care assessment. (The Department of Health and Aging, Government of South Australia (2016) </w:t>
      </w:r>
    </w:p>
    <w:p w14:paraId="2E591817" w14:textId="77777777" w:rsidR="00CC48E6" w:rsidRPr="00CC48E6" w:rsidRDefault="00CC48E6" w:rsidP="0020643A">
      <w:pPr>
        <w:pStyle w:val="BodyCopy"/>
        <w:spacing w:before="240"/>
      </w:pPr>
      <w:r w:rsidRPr="00CC48E6">
        <w:t xml:space="preserve">SPICT™ criteria are met when there are at least two indicators of deteriorating health and at least one indicator of an advanced condition. </w:t>
      </w:r>
    </w:p>
    <w:p w14:paraId="6EA03C13" w14:textId="79554586" w:rsidR="00CC48E6" w:rsidRPr="00CC48E6" w:rsidRDefault="00CC48E6" w:rsidP="00CC48E6">
      <w:pPr>
        <w:pStyle w:val="BodyCopy"/>
        <w:spacing w:before="240"/>
      </w:pPr>
      <w:r w:rsidRPr="00CC48E6">
        <w:lastRenderedPageBreak/>
        <w:t xml:space="preserve">Consideration that a client is suitable for end of life or palliative care is to be made by the JHS health team in conjunction with a specialist </w:t>
      </w:r>
      <w:r w:rsidR="00A8547D" w:rsidRPr="00CC48E6">
        <w:t>in</w:t>
      </w:r>
      <w:r w:rsidRPr="00CC48E6">
        <w:t xml:space="preserve"> the presenting disease. A discussion with the client needs to be frank about their diagnosis, the options for care available as well as the limitations due to the environment. </w:t>
      </w:r>
    </w:p>
    <w:p w14:paraId="33832CD2" w14:textId="77777777" w:rsidR="00CC48E6" w:rsidRPr="00CC48E6" w:rsidRDefault="00CC48E6" w:rsidP="00CC48E6">
      <w:pPr>
        <w:pStyle w:val="BodyCopy"/>
        <w:spacing w:before="240"/>
      </w:pPr>
      <w:r w:rsidRPr="00CC48E6">
        <w:t xml:space="preserve">It is recommended that a referral for psychosocial follow up from the CHH Social Work Service be offered to the client after the discussion to ensure the client can access appropriate emotional support. </w:t>
      </w:r>
    </w:p>
    <w:p w14:paraId="6B95C4CB" w14:textId="77777777" w:rsidR="00BB45A0" w:rsidRDefault="00CC48E6" w:rsidP="00CC48E6">
      <w:pPr>
        <w:pStyle w:val="BodyCopy"/>
        <w:spacing w:before="240"/>
      </w:pPr>
      <w:r w:rsidRPr="00CC48E6">
        <w:t>All parties including the client at end of life must agree to</w:t>
      </w:r>
      <w:r w:rsidR="00BB45A0">
        <w:t>:</w:t>
      </w:r>
    </w:p>
    <w:p w14:paraId="6F4095E4" w14:textId="77777777" w:rsidR="00BB45A0" w:rsidRPr="00480517" w:rsidRDefault="00CC48E6" w:rsidP="00F529FE">
      <w:pPr>
        <w:pStyle w:val="Bullet"/>
        <w:numPr>
          <w:ilvl w:val="0"/>
          <w:numId w:val="16"/>
        </w:numPr>
      </w:pPr>
      <w:r w:rsidRPr="00480517">
        <w:t xml:space="preserve">a Goals of Patient Care Plan for Optimal Comfort Care, or </w:t>
      </w:r>
    </w:p>
    <w:p w14:paraId="2C1AF9BE" w14:textId="77777777" w:rsidR="00BB45A0" w:rsidRDefault="00CC48E6" w:rsidP="00F529FE">
      <w:pPr>
        <w:pStyle w:val="Bullet"/>
        <w:numPr>
          <w:ilvl w:val="0"/>
          <w:numId w:val="16"/>
        </w:numPr>
      </w:pPr>
      <w:r w:rsidRPr="00480517">
        <w:t xml:space="preserve">Ward </w:t>
      </w:r>
      <w:r w:rsidRPr="00CC48E6">
        <w:t xml:space="preserve">Based Management with a Focus on Comfort, </w:t>
      </w:r>
    </w:p>
    <w:p w14:paraId="27D4A793" w14:textId="552B5F2C" w:rsidR="00CC48E6" w:rsidRPr="00CC48E6" w:rsidRDefault="00CC48E6" w:rsidP="002062E3">
      <w:pPr>
        <w:pStyle w:val="BodyCopy"/>
        <w:spacing w:before="240"/>
      </w:pPr>
      <w:r>
        <w:t xml:space="preserve">If there is consideration or determination that a client may </w:t>
      </w:r>
      <w:r w:rsidR="007B0389">
        <w:t>require comfort</w:t>
      </w:r>
      <w:r>
        <w:t xml:space="preserve"> care</w:t>
      </w:r>
      <w:r w:rsidR="00AE23D6">
        <w:t xml:space="preserve">, staff should commence the Comfort Care Pathway observations and care plan on </w:t>
      </w:r>
      <w:r w:rsidR="003B05B6">
        <w:t>DHR and</w:t>
      </w:r>
      <w:r w:rsidR="00AE23D6">
        <w:t xml:space="preserve"> regularl</w:t>
      </w:r>
      <w:r w:rsidR="003B05B6">
        <w:t>y</w:t>
      </w:r>
      <w:r>
        <w:t xml:space="preserve"> review </w:t>
      </w:r>
      <w:r w:rsidR="003B05B6">
        <w:t>the</w:t>
      </w:r>
      <w:r>
        <w:t xml:space="preserve"> client’s condition. The comfort care pathway can be discontinued if the client’s condition improves.</w:t>
      </w:r>
    </w:p>
    <w:p w14:paraId="7D5F5242" w14:textId="77777777" w:rsidR="00CC48E6" w:rsidRPr="00CC48E6" w:rsidRDefault="00CC48E6" w:rsidP="00CC48E6">
      <w:pPr>
        <w:pStyle w:val="Heading5"/>
      </w:pPr>
      <w:r w:rsidRPr="00CC48E6">
        <w:t>Identifying dying or the terminal phase</w:t>
      </w:r>
    </w:p>
    <w:p w14:paraId="4CE3B6A5" w14:textId="77777777" w:rsidR="00CC48E6" w:rsidRPr="00CC48E6" w:rsidRDefault="00CC48E6" w:rsidP="00CC48E6">
      <w:pPr>
        <w:pStyle w:val="BodyCopy"/>
        <w:spacing w:before="240"/>
      </w:pPr>
      <w:r w:rsidRPr="00CC48E6">
        <w:t xml:space="preserve">Many diseases have a natural history of progression and exacerbations which make the transition to the terminal phase difficult to identify. </w:t>
      </w:r>
    </w:p>
    <w:p w14:paraId="539702A3" w14:textId="77777777" w:rsidR="00CC48E6" w:rsidRDefault="00CC48E6" w:rsidP="00CC48E6">
      <w:pPr>
        <w:pStyle w:val="BodyCopy"/>
        <w:spacing w:before="240"/>
      </w:pPr>
      <w:r w:rsidRPr="00CC48E6">
        <w:t>The experience of dying is different for each client. A client may tell you that they feel they are dying. They may also have the following symptoms common to a client entering the terminal phase. Having three or more of these signs makes it more likely that a client is approaching their last days:</w:t>
      </w:r>
    </w:p>
    <w:p w14:paraId="7E6AE5AA" w14:textId="77777777" w:rsidR="002659D9" w:rsidRDefault="002659D9" w:rsidP="00F529FE">
      <w:pPr>
        <w:pStyle w:val="BodyCopy"/>
        <w:numPr>
          <w:ilvl w:val="0"/>
          <w:numId w:val="15"/>
        </w:numPr>
        <w:spacing w:before="240"/>
      </w:pPr>
      <w:r>
        <w:t>getting worse day by day or hour by hour</w:t>
      </w:r>
    </w:p>
    <w:p w14:paraId="65F9AACF" w14:textId="77777777" w:rsidR="002659D9" w:rsidRDefault="002659D9" w:rsidP="00F529FE">
      <w:pPr>
        <w:pStyle w:val="BodyCopy"/>
        <w:numPr>
          <w:ilvl w:val="0"/>
          <w:numId w:val="15"/>
        </w:numPr>
        <w:spacing w:before="240"/>
      </w:pPr>
      <w:r>
        <w:t>reduced mobility, or becoming bed-bound</w:t>
      </w:r>
    </w:p>
    <w:p w14:paraId="361AB160" w14:textId="77777777" w:rsidR="002659D9" w:rsidRDefault="002659D9" w:rsidP="00F529FE">
      <w:pPr>
        <w:pStyle w:val="BodyCopy"/>
        <w:numPr>
          <w:ilvl w:val="0"/>
          <w:numId w:val="15"/>
        </w:numPr>
        <w:spacing w:before="240"/>
      </w:pPr>
      <w:r>
        <w:t>extreme tiredness and weakness</w:t>
      </w:r>
    </w:p>
    <w:p w14:paraId="3913721D" w14:textId="77777777" w:rsidR="002659D9" w:rsidRDefault="002659D9" w:rsidP="00F529FE">
      <w:pPr>
        <w:pStyle w:val="BodyCopy"/>
        <w:numPr>
          <w:ilvl w:val="0"/>
          <w:numId w:val="15"/>
        </w:numPr>
        <w:spacing w:before="240"/>
      </w:pPr>
      <w:r>
        <w:t>needing assistance with all personal care</w:t>
      </w:r>
    </w:p>
    <w:p w14:paraId="3A0D8BE4" w14:textId="77777777" w:rsidR="002659D9" w:rsidRDefault="002659D9" w:rsidP="00F529FE">
      <w:pPr>
        <w:pStyle w:val="BodyCopy"/>
        <w:numPr>
          <w:ilvl w:val="0"/>
          <w:numId w:val="15"/>
        </w:numPr>
        <w:spacing w:before="240"/>
      </w:pPr>
      <w:r>
        <w:t>little interest in getting out of bed</w:t>
      </w:r>
    </w:p>
    <w:p w14:paraId="34BC7D00" w14:textId="77777777" w:rsidR="002659D9" w:rsidRDefault="002659D9" w:rsidP="00F529FE">
      <w:pPr>
        <w:pStyle w:val="BodyCopy"/>
        <w:numPr>
          <w:ilvl w:val="0"/>
          <w:numId w:val="15"/>
        </w:numPr>
        <w:spacing w:before="240"/>
      </w:pPr>
      <w:r>
        <w:t>little interest in food or drink</w:t>
      </w:r>
    </w:p>
    <w:p w14:paraId="3E14344E" w14:textId="77777777" w:rsidR="002659D9" w:rsidRDefault="002659D9" w:rsidP="00F529FE">
      <w:pPr>
        <w:pStyle w:val="BodyCopy"/>
        <w:numPr>
          <w:ilvl w:val="0"/>
          <w:numId w:val="15"/>
        </w:numPr>
        <w:spacing w:before="240"/>
      </w:pPr>
      <w:r>
        <w:t>noisy chest secretions</w:t>
      </w:r>
    </w:p>
    <w:p w14:paraId="49421F5B" w14:textId="28275CDE" w:rsidR="002659D9" w:rsidRDefault="002659D9" w:rsidP="00F529FE">
      <w:pPr>
        <w:pStyle w:val="BodyCopy"/>
        <w:numPr>
          <w:ilvl w:val="0"/>
          <w:numId w:val="15"/>
        </w:numPr>
        <w:spacing w:before="240"/>
      </w:pPr>
      <w:r>
        <w:t>mottled skin and feeling cold to the touch</w:t>
      </w:r>
    </w:p>
    <w:p w14:paraId="6E28AAEB" w14:textId="77777777" w:rsidR="002659D9" w:rsidRDefault="002659D9" w:rsidP="00F529FE">
      <w:pPr>
        <w:pStyle w:val="BodyCopy"/>
        <w:numPr>
          <w:ilvl w:val="0"/>
          <w:numId w:val="15"/>
        </w:numPr>
        <w:spacing w:before="240"/>
      </w:pPr>
      <w:r>
        <w:t>difficulty swallowing oral medication</w:t>
      </w:r>
    </w:p>
    <w:p w14:paraId="2931F3BB" w14:textId="77777777" w:rsidR="002659D9" w:rsidRDefault="002659D9" w:rsidP="00F529FE">
      <w:pPr>
        <w:pStyle w:val="BodyCopy"/>
        <w:numPr>
          <w:ilvl w:val="0"/>
          <w:numId w:val="15"/>
        </w:numPr>
        <w:spacing w:before="240"/>
      </w:pPr>
      <w:r>
        <w:t>being less able to communicate</w:t>
      </w:r>
    </w:p>
    <w:p w14:paraId="7C60183C" w14:textId="77777777" w:rsidR="002659D9" w:rsidRDefault="002659D9" w:rsidP="00F529FE">
      <w:pPr>
        <w:pStyle w:val="BodyCopy"/>
        <w:numPr>
          <w:ilvl w:val="0"/>
          <w:numId w:val="15"/>
        </w:numPr>
        <w:spacing w:before="240"/>
      </w:pPr>
      <w:r>
        <w:lastRenderedPageBreak/>
        <w:t>not wanting to socialise</w:t>
      </w:r>
    </w:p>
    <w:p w14:paraId="0D8EA4B2" w14:textId="77777777" w:rsidR="002659D9" w:rsidRDefault="002659D9" w:rsidP="00F529FE">
      <w:pPr>
        <w:pStyle w:val="BodyCopy"/>
        <w:numPr>
          <w:ilvl w:val="0"/>
          <w:numId w:val="15"/>
        </w:numPr>
        <w:spacing w:before="240"/>
      </w:pPr>
      <w:r>
        <w:t>sleepiness and drowsiness</w:t>
      </w:r>
    </w:p>
    <w:p w14:paraId="3450ED8C" w14:textId="77777777" w:rsidR="002659D9" w:rsidRDefault="002659D9" w:rsidP="00F529FE">
      <w:pPr>
        <w:pStyle w:val="BodyCopy"/>
        <w:numPr>
          <w:ilvl w:val="0"/>
          <w:numId w:val="15"/>
        </w:numPr>
        <w:spacing w:before="240"/>
      </w:pPr>
      <w:r>
        <w:t>reduced urine output</w:t>
      </w:r>
    </w:p>
    <w:p w14:paraId="1FB5E622" w14:textId="77777777" w:rsidR="002659D9" w:rsidRDefault="002659D9" w:rsidP="00F529FE">
      <w:pPr>
        <w:pStyle w:val="BodyCopy"/>
        <w:numPr>
          <w:ilvl w:val="0"/>
          <w:numId w:val="15"/>
        </w:numPr>
        <w:spacing w:before="240"/>
      </w:pPr>
      <w:r>
        <w:t>new incontinence</w:t>
      </w:r>
    </w:p>
    <w:p w14:paraId="204A6AC3" w14:textId="77777777" w:rsidR="002659D9" w:rsidRDefault="002659D9" w:rsidP="00F529FE">
      <w:pPr>
        <w:pStyle w:val="BodyCopy"/>
        <w:numPr>
          <w:ilvl w:val="0"/>
          <w:numId w:val="15"/>
        </w:numPr>
        <w:spacing w:before="240"/>
      </w:pPr>
      <w:r>
        <w:t>increased restlessness, confusion and agitation</w:t>
      </w:r>
    </w:p>
    <w:p w14:paraId="61EE8E75" w14:textId="77777777" w:rsidR="002659D9" w:rsidRDefault="002659D9" w:rsidP="00F529FE">
      <w:pPr>
        <w:pStyle w:val="BodyCopy"/>
        <w:numPr>
          <w:ilvl w:val="0"/>
          <w:numId w:val="15"/>
        </w:numPr>
        <w:spacing w:before="240"/>
      </w:pPr>
      <w:r>
        <w:t>changes in their normal breathing pattern</w:t>
      </w:r>
    </w:p>
    <w:p w14:paraId="79F363B5" w14:textId="4CD4125A" w:rsidR="00CC48E6" w:rsidRPr="00CC48E6" w:rsidRDefault="00CC48E6" w:rsidP="00CC48E6">
      <w:pPr>
        <w:pStyle w:val="BodyCopy"/>
        <w:spacing w:before="240"/>
      </w:pPr>
      <w:r w:rsidRPr="00CC48E6">
        <w:t>Where it is recognised</w:t>
      </w:r>
      <w:r>
        <w:t xml:space="preserve"> that</w:t>
      </w:r>
      <w:r w:rsidRPr="00CC48E6">
        <w:t xml:space="preserve"> a client is actively dying or in a terminal phase, optimal comfort care measures are to be </w:t>
      </w:r>
      <w:r w:rsidR="0076039A" w:rsidRPr="00CC48E6">
        <w:t>implemented,</w:t>
      </w:r>
      <w:r w:rsidRPr="00CC48E6">
        <w:t xml:space="preserve"> and all active treatment ceased. </w:t>
      </w:r>
    </w:p>
    <w:p w14:paraId="36D151E4" w14:textId="77777777" w:rsidR="00CC48E6" w:rsidRPr="00CC48E6" w:rsidRDefault="00CC48E6" w:rsidP="00CC48E6">
      <w:pPr>
        <w:pStyle w:val="BodyCopy"/>
        <w:spacing w:before="240"/>
      </w:pPr>
      <w:r w:rsidRPr="00CC48E6">
        <w:t>See Section 7 – Implementing Comfort Care.</w:t>
      </w:r>
    </w:p>
    <w:p w14:paraId="651E7812" w14:textId="77777777" w:rsidR="00481A6C" w:rsidRPr="00481A6C" w:rsidRDefault="00481A6C" w:rsidP="005C5F49">
      <w:pPr>
        <w:pStyle w:val="BodyCopy"/>
        <w:spacing w:before="240"/>
      </w:pPr>
      <w:hyperlink w:anchor="_top" w:history="1">
        <w:r w:rsidRPr="00481A6C">
          <w:rPr>
            <w:rStyle w:val="Hyperlink"/>
            <w:iCs w:val="0"/>
          </w:rPr>
          <w:t>Back to Contents</w:t>
        </w:r>
      </w:hyperlink>
    </w:p>
    <w:p w14:paraId="5CF133D0" w14:textId="4FCE8586" w:rsidR="0078367D" w:rsidRDefault="0078367D" w:rsidP="00A6051F">
      <w:pPr>
        <w:pStyle w:val="Heading4"/>
      </w:pPr>
      <w:bookmarkStart w:id="6" w:name="_Toc198277144"/>
      <w:r>
        <w:t xml:space="preserve">Section 2 </w:t>
      </w:r>
      <w:r w:rsidR="00B52B08" w:rsidRPr="00C76688">
        <w:t>–</w:t>
      </w:r>
      <w:r w:rsidR="00B52B08">
        <w:t xml:space="preserve"> Goals of Patient Care at End of Life</w:t>
      </w:r>
      <w:bookmarkEnd w:id="6"/>
    </w:p>
    <w:p w14:paraId="12808B95" w14:textId="4A1DF7A9" w:rsidR="0098177F" w:rsidRPr="0098177F" w:rsidRDefault="0098177F" w:rsidP="0098177F">
      <w:pPr>
        <w:pStyle w:val="BodyCopy"/>
      </w:pPr>
      <w:r w:rsidRPr="0098177F">
        <w:t xml:space="preserve">All clients who are given a diagnosis of a life limiting illness should have a Goals of Patient Care discussion instigated by the treating clinician responsible for care as soon as possible after diagnosis. Goals of Patient Care conversations </w:t>
      </w:r>
      <w:r w:rsidR="00100651">
        <w:t>should be</w:t>
      </w:r>
      <w:r w:rsidRPr="0098177F">
        <w:t xml:space="preserve"> had in a timely manner </w:t>
      </w:r>
      <w:r w:rsidR="00100651">
        <w:t>to</w:t>
      </w:r>
      <w:r w:rsidRPr="0098177F">
        <w:t xml:space="preserve"> allow for good planning and</w:t>
      </w:r>
      <w:r w:rsidR="00100651">
        <w:t xml:space="preserve"> </w:t>
      </w:r>
      <w:r w:rsidRPr="0098177F">
        <w:t>appropriate treatment (See Section 9 ‘Talking with a Person and their Family about End of Life and Palliative Care’ for further information).</w:t>
      </w:r>
    </w:p>
    <w:p w14:paraId="471D6BFB" w14:textId="6C50DE04" w:rsidR="00DD023D" w:rsidRDefault="0098177F" w:rsidP="0098177F">
      <w:pPr>
        <w:pStyle w:val="BodyCopy"/>
      </w:pPr>
      <w:bookmarkStart w:id="7" w:name="_Hlk184715528"/>
      <w:r>
        <w:t xml:space="preserve">Important issues </w:t>
      </w:r>
      <w:r w:rsidR="00D506DA">
        <w:t>for discussion with the client (if possible) and their substitute or supported decision maker</w:t>
      </w:r>
      <w:r w:rsidR="00CC316F">
        <w:t xml:space="preserve"> </w:t>
      </w:r>
      <w:r w:rsidR="00DD023D">
        <w:t>include:</w:t>
      </w:r>
    </w:p>
    <w:p w14:paraId="02675EA9" w14:textId="113D77BF" w:rsidR="00DD023D" w:rsidRDefault="0098177F" w:rsidP="00F529FE">
      <w:pPr>
        <w:pStyle w:val="BodyCopy"/>
        <w:numPr>
          <w:ilvl w:val="0"/>
          <w:numId w:val="12"/>
        </w:numPr>
      </w:pPr>
      <w:r>
        <w:t xml:space="preserve"> preference for place of care at end of life, </w:t>
      </w:r>
    </w:p>
    <w:p w14:paraId="648680E5" w14:textId="77777777" w:rsidR="00DD023D" w:rsidRDefault="0098177F" w:rsidP="00F529FE">
      <w:pPr>
        <w:pStyle w:val="BodyCopy"/>
        <w:numPr>
          <w:ilvl w:val="0"/>
          <w:numId w:val="12"/>
        </w:numPr>
      </w:pPr>
      <w:r>
        <w:t xml:space="preserve">the place of cardiopulmonary resuscitation, </w:t>
      </w:r>
    </w:p>
    <w:p w14:paraId="417ADB14" w14:textId="77777777" w:rsidR="00D506DA" w:rsidRDefault="0098177F" w:rsidP="00F529FE">
      <w:pPr>
        <w:pStyle w:val="BodyCopy"/>
        <w:numPr>
          <w:ilvl w:val="0"/>
          <w:numId w:val="12"/>
        </w:numPr>
      </w:pPr>
      <w:r>
        <w:t xml:space="preserve">limitations on care that can and cannot be provided such as use of syringe drivers, </w:t>
      </w:r>
    </w:p>
    <w:p w14:paraId="2A444974" w14:textId="590F85D9" w:rsidR="00CC316F" w:rsidRDefault="0098177F" w:rsidP="00F529FE">
      <w:pPr>
        <w:pStyle w:val="BodyCopy"/>
        <w:numPr>
          <w:ilvl w:val="0"/>
          <w:numId w:val="12"/>
        </w:numPr>
      </w:pPr>
      <w:r>
        <w:t>administration of artificial hydration and intravenous antibiotics</w:t>
      </w:r>
      <w:r w:rsidR="00CC316F">
        <w:t>.</w:t>
      </w:r>
      <w:r>
        <w:t xml:space="preserve"> </w:t>
      </w:r>
    </w:p>
    <w:p w14:paraId="4DE3A96D" w14:textId="76E0D47A" w:rsidR="0098177F" w:rsidRPr="0098177F" w:rsidRDefault="0098177F" w:rsidP="00CC316F">
      <w:pPr>
        <w:pStyle w:val="BodyCopy"/>
      </w:pPr>
      <w:r>
        <w:t xml:space="preserve">See </w:t>
      </w:r>
      <w:r w:rsidRPr="7647A88E">
        <w:rPr>
          <w:i/>
        </w:rPr>
        <w:t>Consent for Healthcare Treatment</w:t>
      </w:r>
      <w:r>
        <w:t xml:space="preserve"> for detail on substitute or supported decision makers. The client retains the right to make decisions around their healthcar</w:t>
      </w:r>
      <w:r w:rsidR="001263B6">
        <w:t>e</w:t>
      </w:r>
      <w:r>
        <w:t>.</w:t>
      </w:r>
      <w:r w:rsidR="00017C81">
        <w:t xml:space="preserve"> Patient autonomy must be respected, even though it may not be possible to re</w:t>
      </w:r>
      <w:r w:rsidR="00064186">
        <w:t>ceive</w:t>
      </w:r>
      <w:r w:rsidR="00017C81">
        <w:t xml:space="preserve"> their preferred care</w:t>
      </w:r>
      <w:r w:rsidR="00064186">
        <w:t xml:space="preserve"> in the way sought. A client has the right to refuse care. </w:t>
      </w:r>
      <w:r>
        <w:t>These discussions, and the preferences of the client, are informed by the</w:t>
      </w:r>
      <w:r w:rsidR="00484D9B">
        <w:t xml:space="preserve"> safe and appropriate</w:t>
      </w:r>
      <w:r>
        <w:t xml:space="preserve"> limits and access determined by ACT Corrective Services and the health carers involved.</w:t>
      </w:r>
    </w:p>
    <w:bookmarkEnd w:id="7"/>
    <w:p w14:paraId="1D950E96" w14:textId="1B837E38" w:rsidR="0098177F" w:rsidRPr="0098177F" w:rsidRDefault="0098177F" w:rsidP="0098177F">
      <w:pPr>
        <w:pStyle w:val="BodyCopy"/>
      </w:pPr>
      <w:r w:rsidRPr="0098177F">
        <w:lastRenderedPageBreak/>
        <w:t>An Enduring Power of Attorney (EPA), Advance Care Plan (ACP) and Health Direction which outlines the client’s wishes may assist with the conversation about appropriate Goals of Care. For clients under the care of JHS, these documents are to be uploaded by JHS staff to the client’s record on DHR. The information contained in the ACP and Health Direction is to be provided to ACTCS via the Primary Health Notification Form to provide advice to ACTCS on how to manage the palliative care needs of the client.</w:t>
      </w:r>
    </w:p>
    <w:p w14:paraId="6658DA86" w14:textId="7EA8D266" w:rsidR="0098177F" w:rsidRPr="0098177F" w:rsidRDefault="0098177F" w:rsidP="0098177F">
      <w:pPr>
        <w:pStyle w:val="BodyCopy"/>
      </w:pPr>
      <w:r w:rsidRPr="0098177F">
        <w:t xml:space="preserve">Invite the client to revisit their ACP and Health Direction regularly. Where there is no ACP or Health Direction on file, a conversation on Goals of Care should be considered in a timely manner, and an invitation to the client to participate in process of advance care planning, with referral to the Advance Care Planning Team if required. Where the </w:t>
      </w:r>
      <w:r w:rsidR="000218FE">
        <w:t>c</w:t>
      </w:r>
      <w:r w:rsidRPr="0098177F">
        <w:t>lient identifies as Aboriginal and Torres Strait Islander, they should also be offered a referral to the MHJHADS Cultural Specialist Service to assist with ACP discussions</w:t>
      </w:r>
    </w:p>
    <w:p w14:paraId="76A44304" w14:textId="3799D455" w:rsidR="0098177F" w:rsidRPr="0098177F" w:rsidRDefault="00976AF4" w:rsidP="0098177F">
      <w:pPr>
        <w:pStyle w:val="BodyCopy"/>
      </w:pPr>
      <w:r>
        <w:t xml:space="preserve">The ACP team will work with </w:t>
      </w:r>
      <w:r w:rsidR="0098177F" w:rsidRPr="0098177F">
        <w:t>JHS staff at AMC to complete ACPs</w:t>
      </w:r>
      <w:r>
        <w:t>.</w:t>
      </w:r>
    </w:p>
    <w:p w14:paraId="5CD4B36F" w14:textId="0E854662" w:rsidR="0098177F" w:rsidRPr="0098177F" w:rsidRDefault="0098177F" w:rsidP="0098177F">
      <w:pPr>
        <w:pStyle w:val="BodyCopy"/>
      </w:pPr>
      <w:r w:rsidRPr="0098177F">
        <w:t xml:space="preserve">A client and their family may be challenged or confronted by changes in medication and treatment. Clear communication explaining the reasons for the changes and revisiting the goals of care are </w:t>
      </w:r>
      <w:r w:rsidR="00921EED" w:rsidRPr="0098177F">
        <w:t>important</w:t>
      </w:r>
      <w:r w:rsidRPr="0098177F">
        <w:t xml:space="preserve">, particularly as different phases of </w:t>
      </w:r>
      <w:r w:rsidR="0076039A" w:rsidRPr="0098177F">
        <w:t>end-of-life</w:t>
      </w:r>
      <w:r w:rsidRPr="0098177F">
        <w:t xml:space="preserve"> care are transitioned. </w:t>
      </w:r>
    </w:p>
    <w:p w14:paraId="4D8F5179" w14:textId="2D9C8C84" w:rsidR="0098177F" w:rsidRPr="0098177F" w:rsidRDefault="000A736D" w:rsidP="0098177F">
      <w:pPr>
        <w:pStyle w:val="BodyCopy"/>
      </w:pPr>
      <w:r>
        <w:t>Refer to</w:t>
      </w:r>
      <w:r w:rsidRPr="0098177F">
        <w:t xml:space="preserve"> </w:t>
      </w:r>
      <w:r w:rsidR="0098177F" w:rsidRPr="0098177F">
        <w:t>Section:</w:t>
      </w:r>
    </w:p>
    <w:p w14:paraId="0E3566C7" w14:textId="438EB165" w:rsidR="0098177F" w:rsidRPr="0098177F" w:rsidRDefault="0098177F" w:rsidP="00F529FE">
      <w:pPr>
        <w:pStyle w:val="Bullet"/>
        <w:numPr>
          <w:ilvl w:val="0"/>
          <w:numId w:val="8"/>
        </w:numPr>
      </w:pPr>
      <w:r w:rsidRPr="0098177F">
        <w:t>4 for information on End of Life and Palliative Care Pathways</w:t>
      </w:r>
    </w:p>
    <w:p w14:paraId="31B48F46" w14:textId="5438482E" w:rsidR="0098177F" w:rsidRPr="0098177F" w:rsidRDefault="0098177F" w:rsidP="00F529FE">
      <w:pPr>
        <w:pStyle w:val="Bullet"/>
        <w:numPr>
          <w:ilvl w:val="0"/>
          <w:numId w:val="8"/>
        </w:numPr>
      </w:pPr>
      <w:r w:rsidRPr="0098177F">
        <w:t>7 for information on Implementing Comfort Care</w:t>
      </w:r>
    </w:p>
    <w:p w14:paraId="76E945FF" w14:textId="77777777" w:rsidR="0098177F" w:rsidRPr="0098177F" w:rsidRDefault="0098177F" w:rsidP="00F529FE">
      <w:pPr>
        <w:pStyle w:val="Bullet"/>
        <w:numPr>
          <w:ilvl w:val="0"/>
          <w:numId w:val="8"/>
        </w:numPr>
      </w:pPr>
      <w:r w:rsidRPr="0098177F">
        <w:t xml:space="preserve">13 for information on staff training in Advanced Care Planning. </w:t>
      </w:r>
    </w:p>
    <w:p w14:paraId="23A23A5C" w14:textId="77777777" w:rsidR="0098177F" w:rsidRPr="0098177F" w:rsidRDefault="0098177F" w:rsidP="0098177F">
      <w:pPr>
        <w:pStyle w:val="BodyCopy"/>
      </w:pPr>
      <w:r w:rsidRPr="0098177F">
        <w:t>See Attachment B for Palliative Approach Trajectories Flowchart for Clients at AMC.</w:t>
      </w:r>
    </w:p>
    <w:p w14:paraId="1D0DEF83" w14:textId="77777777" w:rsidR="00481A6C" w:rsidRDefault="00481A6C" w:rsidP="0091462B">
      <w:pPr>
        <w:pStyle w:val="BodyCopy"/>
      </w:pPr>
      <w:hyperlink w:anchor="_top" w:history="1">
        <w:r w:rsidRPr="00481A6C">
          <w:rPr>
            <w:rStyle w:val="Hyperlink"/>
            <w:iCs w:val="0"/>
          </w:rPr>
          <w:t>Back to Contents</w:t>
        </w:r>
      </w:hyperlink>
    </w:p>
    <w:p w14:paraId="3AAA4344" w14:textId="3E933FCE" w:rsidR="0078367D" w:rsidRDefault="0078367D" w:rsidP="00A6051F">
      <w:pPr>
        <w:pStyle w:val="Heading4"/>
      </w:pPr>
      <w:bookmarkStart w:id="8" w:name="_Toc198277145"/>
      <w:r w:rsidRPr="0078367D">
        <w:t xml:space="preserve">Section </w:t>
      </w:r>
      <w:r w:rsidR="00AB5A6A">
        <w:t xml:space="preserve">3 </w:t>
      </w:r>
      <w:r w:rsidR="00AB5A6A" w:rsidRPr="00C76688">
        <w:t>–</w:t>
      </w:r>
      <w:r w:rsidR="00AB5A6A">
        <w:t xml:space="preserve"> </w:t>
      </w:r>
      <w:r w:rsidR="00AB5A6A" w:rsidRPr="00A74FB8">
        <w:t xml:space="preserve">Implementing a </w:t>
      </w:r>
      <w:r w:rsidR="00AB5A6A">
        <w:t>P</w:t>
      </w:r>
      <w:r w:rsidR="00AB5A6A" w:rsidRPr="00A74FB8">
        <w:t>a</w:t>
      </w:r>
      <w:r w:rsidR="00AB5A6A">
        <w:t>lliative Care A</w:t>
      </w:r>
      <w:r w:rsidR="00AB5A6A" w:rsidRPr="00A74FB8">
        <w:t>pproach</w:t>
      </w:r>
      <w:bookmarkEnd w:id="8"/>
    </w:p>
    <w:p w14:paraId="5B065322" w14:textId="524A887E" w:rsidR="006C08C1" w:rsidRPr="00AD63DD" w:rsidRDefault="006C08C1" w:rsidP="006C08C1">
      <w:r w:rsidRPr="00AD63DD">
        <w:t xml:space="preserve">Using a palliative approach for </w:t>
      </w:r>
      <w:r>
        <w:t>client</w:t>
      </w:r>
      <w:r w:rsidRPr="00AD63DD">
        <w:t>s</w:t>
      </w:r>
      <w:r w:rsidR="00B15249">
        <w:t xml:space="preserve"> with life limiting illness or</w:t>
      </w:r>
      <w:r w:rsidRPr="00AD63DD">
        <w:t xml:space="preserve"> at end of life </w:t>
      </w:r>
      <w:r>
        <w:t xml:space="preserve">is intended to </w:t>
      </w:r>
      <w:r w:rsidRPr="00AD63DD">
        <w:t>improve</w:t>
      </w:r>
      <w:r>
        <w:t xml:space="preserve"> </w:t>
      </w:r>
      <w:r w:rsidRPr="00AD63DD">
        <w:t xml:space="preserve">the </w:t>
      </w:r>
      <w:r>
        <w:t>client</w:t>
      </w:r>
      <w:r w:rsidRPr="00AD63DD">
        <w:t>’s quality of life by:</w:t>
      </w:r>
    </w:p>
    <w:p w14:paraId="2A86E131" w14:textId="45020E4E" w:rsidR="006C08C1" w:rsidRPr="00BD484C" w:rsidRDefault="006C08C1" w:rsidP="00F529FE">
      <w:pPr>
        <w:pStyle w:val="Bullet"/>
        <w:numPr>
          <w:ilvl w:val="0"/>
          <w:numId w:val="8"/>
        </w:numPr>
      </w:pPr>
      <w:r>
        <w:t>e</w:t>
      </w:r>
      <w:r w:rsidRPr="00AD63DD">
        <w:t>ncouraging open and early discussions about advance care planning as well as death and dying which</w:t>
      </w:r>
      <w:r w:rsidR="006F3454">
        <w:t xml:space="preserve"> </w:t>
      </w:r>
      <w:r w:rsidRPr="00BD484C">
        <w:t xml:space="preserve">assists the </w:t>
      </w:r>
      <w:r>
        <w:t>client</w:t>
      </w:r>
      <w:r w:rsidRPr="00BD484C">
        <w:t xml:space="preserve"> and their family to understand and accept the implications of disease progression</w:t>
      </w:r>
    </w:p>
    <w:p w14:paraId="1379D1A5" w14:textId="0DD4E761" w:rsidR="006C08C1" w:rsidRPr="00BD484C" w:rsidRDefault="006C08C1" w:rsidP="00F529FE">
      <w:pPr>
        <w:pStyle w:val="Bullet"/>
        <w:numPr>
          <w:ilvl w:val="0"/>
          <w:numId w:val="8"/>
        </w:numPr>
      </w:pPr>
      <w:r w:rsidRPr="00BD484C">
        <w:t>involv</w:t>
      </w:r>
      <w:r w:rsidR="009E77D8">
        <w:t>ing</w:t>
      </w:r>
      <w:r w:rsidRPr="00BD484C">
        <w:t xml:space="preserve"> the </w:t>
      </w:r>
      <w:r>
        <w:t>client</w:t>
      </w:r>
      <w:r w:rsidRPr="00BD484C">
        <w:t xml:space="preserve"> and their family in care planning and decision-making.</w:t>
      </w:r>
    </w:p>
    <w:p w14:paraId="436C6D4D" w14:textId="77777777" w:rsidR="006C08C1" w:rsidRPr="00AD63DD" w:rsidRDefault="006C08C1" w:rsidP="00F529FE">
      <w:pPr>
        <w:pStyle w:val="Bullet"/>
        <w:numPr>
          <w:ilvl w:val="0"/>
          <w:numId w:val="8"/>
        </w:numPr>
      </w:pPr>
      <w:r>
        <w:t>f</w:t>
      </w:r>
      <w:r w:rsidRPr="00AD63DD">
        <w:t xml:space="preserve">acilitating the early identification of changes in the </w:t>
      </w:r>
      <w:r>
        <w:t>client</w:t>
      </w:r>
      <w:r w:rsidRPr="00AD63DD">
        <w:t>’s condition and the prompt management of emerging symptoms which provides opportunities for improved control of pain and other symptoms</w:t>
      </w:r>
    </w:p>
    <w:p w14:paraId="31A9EBF4" w14:textId="77777777" w:rsidR="006C08C1" w:rsidRPr="00AD63DD" w:rsidRDefault="006C08C1" w:rsidP="00F529FE">
      <w:pPr>
        <w:pStyle w:val="Bullet"/>
        <w:numPr>
          <w:ilvl w:val="0"/>
          <w:numId w:val="8"/>
        </w:numPr>
      </w:pPr>
      <w:r>
        <w:lastRenderedPageBreak/>
        <w:t>r</w:t>
      </w:r>
      <w:r w:rsidRPr="00AD63DD">
        <w:t xml:space="preserve">educing unnecessary transfers to hospital </w:t>
      </w:r>
      <w:r>
        <w:t xml:space="preserve">through the development of the </w:t>
      </w:r>
      <w:r w:rsidRPr="00AD63DD">
        <w:t xml:space="preserve">knowledge and skills </w:t>
      </w:r>
      <w:r>
        <w:t xml:space="preserve">of AMC staff and buddy carers </w:t>
      </w:r>
      <w:r w:rsidRPr="00AD63DD">
        <w:t xml:space="preserve">to successfully manage the palliative care needs of </w:t>
      </w:r>
      <w:r>
        <w:t xml:space="preserve">people </w:t>
      </w:r>
      <w:r w:rsidRPr="00AD63DD">
        <w:t>which</w:t>
      </w:r>
      <w:r>
        <w:t xml:space="preserve"> may</w:t>
      </w:r>
      <w:r w:rsidRPr="00AD63DD">
        <w:t>:</w:t>
      </w:r>
    </w:p>
    <w:p w14:paraId="5ECDC655" w14:textId="77777777" w:rsidR="006C08C1" w:rsidRPr="00AD63DD" w:rsidRDefault="006C08C1" w:rsidP="00F529FE">
      <w:pPr>
        <w:pStyle w:val="Bullet"/>
        <w:numPr>
          <w:ilvl w:val="1"/>
          <w:numId w:val="8"/>
        </w:numPr>
      </w:pPr>
      <w:r>
        <w:t>e</w:t>
      </w:r>
      <w:r w:rsidRPr="00AD63DD">
        <w:t xml:space="preserve">nable the </w:t>
      </w:r>
      <w:r>
        <w:t>client</w:t>
      </w:r>
      <w:r w:rsidRPr="00AD63DD">
        <w:t xml:space="preserve"> to be cared for by familiar staff with whom they have a close relationship</w:t>
      </w:r>
    </w:p>
    <w:p w14:paraId="173E8ACA" w14:textId="77777777" w:rsidR="006C08C1" w:rsidRPr="00AD63DD" w:rsidRDefault="006C08C1" w:rsidP="00F529FE">
      <w:pPr>
        <w:pStyle w:val="Bullet"/>
        <w:numPr>
          <w:ilvl w:val="1"/>
          <w:numId w:val="8"/>
        </w:numPr>
      </w:pPr>
      <w:r>
        <w:t>e</w:t>
      </w:r>
      <w:r w:rsidRPr="00AD63DD">
        <w:t xml:space="preserve">nable the </w:t>
      </w:r>
      <w:r>
        <w:t>client</w:t>
      </w:r>
      <w:r w:rsidRPr="00AD63DD">
        <w:t xml:space="preserve"> to die in a safe and preferred place where possible.</w:t>
      </w:r>
    </w:p>
    <w:p w14:paraId="3F761A7D" w14:textId="77777777" w:rsidR="006C08C1" w:rsidRDefault="006C08C1" w:rsidP="006C08C1">
      <w:r w:rsidRPr="00AD63DD">
        <w:t xml:space="preserve">There is no fixed ‘best time’ to commence a palliative approach. </w:t>
      </w:r>
      <w:r>
        <w:t>B</w:t>
      </w:r>
      <w:r w:rsidRPr="003A24AB">
        <w:t xml:space="preserve">est practice </w:t>
      </w:r>
      <w:r>
        <w:t xml:space="preserve">is to implement a </w:t>
      </w:r>
      <w:r w:rsidRPr="003A24AB">
        <w:t>palliative approach alongside treatment for a life-limiting illness</w:t>
      </w:r>
      <w:r>
        <w:t>.  The latest a</w:t>
      </w:r>
      <w:r w:rsidRPr="00AD63DD">
        <w:t xml:space="preserve"> palliative approach</w:t>
      </w:r>
      <w:r>
        <w:t xml:space="preserve"> should be</w:t>
      </w:r>
      <w:r w:rsidRPr="00AD63DD">
        <w:t xml:space="preserve"> started </w:t>
      </w:r>
      <w:r>
        <w:t xml:space="preserve">is </w:t>
      </w:r>
      <w:r w:rsidRPr="00AD63DD">
        <w:t xml:space="preserve">when aggressive curative treatments are no longer appropriate for the </w:t>
      </w:r>
      <w:r>
        <w:t>client</w:t>
      </w:r>
      <w:r w:rsidRPr="00AD63DD">
        <w:t xml:space="preserve"> and the focus of care is on symptom management, quality of life and comfort. </w:t>
      </w:r>
    </w:p>
    <w:p w14:paraId="5905A783" w14:textId="23245BD0" w:rsidR="00BC49AE" w:rsidRDefault="006C08C1" w:rsidP="001E3C8B">
      <w:r w:rsidRPr="000B3D44">
        <w:t xml:space="preserve">The Revised Palliative Approach Trajectories Framework </w:t>
      </w:r>
      <w:r w:rsidRPr="002952E5">
        <w:t>(</w:t>
      </w:r>
      <w:r w:rsidRPr="002C3C0F">
        <w:t>See Attachment C</w:t>
      </w:r>
      <w:r w:rsidRPr="002952E5">
        <w:t>)</w:t>
      </w:r>
      <w:r w:rsidRPr="000B3D44">
        <w:t xml:space="preserve"> underpinning these guidelines uses a </w:t>
      </w:r>
      <w:r>
        <w:t>client</w:t>
      </w:r>
      <w:r w:rsidRPr="000B3D44">
        <w:t>’s estimated prognosis to trigger three key processes</w:t>
      </w:r>
      <w:r>
        <w:t xml:space="preserve">. These </w:t>
      </w:r>
      <w:r w:rsidRPr="00AD63DD">
        <w:t xml:space="preserve">are central to the successful implementation of a palliative approach: </w:t>
      </w:r>
    </w:p>
    <w:p w14:paraId="5D54AB8A" w14:textId="77777777" w:rsidR="006B2030" w:rsidRDefault="006C08C1" w:rsidP="00F529FE">
      <w:pPr>
        <w:pStyle w:val="Bullet"/>
        <w:numPr>
          <w:ilvl w:val="0"/>
          <w:numId w:val="13"/>
        </w:numPr>
      </w:pPr>
      <w:r w:rsidRPr="00AD63DD">
        <w:t xml:space="preserve">advance care planning, </w:t>
      </w:r>
    </w:p>
    <w:p w14:paraId="53F5D993" w14:textId="69C7685C" w:rsidR="006B2030" w:rsidRDefault="006C08C1" w:rsidP="00F529FE">
      <w:pPr>
        <w:pStyle w:val="Bullet"/>
        <w:numPr>
          <w:ilvl w:val="0"/>
          <w:numId w:val="13"/>
        </w:numPr>
      </w:pPr>
      <w:r>
        <w:t xml:space="preserve">a palliative care needs round as part of the </w:t>
      </w:r>
      <w:r w:rsidRPr="00480B39">
        <w:t>Complex Care Meeting</w:t>
      </w:r>
      <w:r w:rsidRPr="00AD63DD">
        <w:t xml:space="preserve"> </w:t>
      </w:r>
    </w:p>
    <w:p w14:paraId="0DA8D5CF" w14:textId="7882FB76" w:rsidR="006C08C1" w:rsidRPr="00AD63DD" w:rsidRDefault="006C08C1" w:rsidP="00F529FE">
      <w:pPr>
        <w:pStyle w:val="Bullet"/>
        <w:numPr>
          <w:ilvl w:val="0"/>
          <w:numId w:val="13"/>
        </w:numPr>
      </w:pPr>
      <w:r w:rsidRPr="00AD63DD">
        <w:t xml:space="preserve">use of an </w:t>
      </w:r>
      <w:r w:rsidR="00FF47FD" w:rsidRPr="00AD63DD">
        <w:t>end-of-life</w:t>
      </w:r>
      <w:r>
        <w:t xml:space="preserve"> care and comfort care pathway as required</w:t>
      </w:r>
      <w:r w:rsidRPr="00AD63DD">
        <w:t>.</w:t>
      </w:r>
    </w:p>
    <w:p w14:paraId="41EC4ABA" w14:textId="31D2799F" w:rsidR="006C08C1" w:rsidRPr="00AD63DD" w:rsidRDefault="008D2388" w:rsidP="006C08C1">
      <w:pPr>
        <w:rPr>
          <w:bCs/>
        </w:rPr>
      </w:pPr>
      <w:r>
        <w:rPr>
          <w:bCs/>
        </w:rPr>
        <w:t>A</w:t>
      </w:r>
      <w:r w:rsidR="006C08C1" w:rsidRPr="000B3D44">
        <w:rPr>
          <w:bCs/>
        </w:rPr>
        <w:t xml:space="preserve">ll </w:t>
      </w:r>
      <w:r w:rsidR="006C08C1" w:rsidRPr="00AD63DD">
        <w:rPr>
          <w:bCs/>
        </w:rPr>
        <w:t xml:space="preserve">new and existing </w:t>
      </w:r>
      <w:r w:rsidR="006C08C1">
        <w:rPr>
          <w:bCs/>
        </w:rPr>
        <w:t xml:space="preserve">clients </w:t>
      </w:r>
      <w:r w:rsidR="006C08C1" w:rsidRPr="00AD63DD">
        <w:rPr>
          <w:bCs/>
        </w:rPr>
        <w:t>requiring a palliative approach are assigned to one of three trajectories</w:t>
      </w:r>
      <w:r>
        <w:rPr>
          <w:bCs/>
        </w:rPr>
        <w:t xml:space="preserve"> </w:t>
      </w:r>
      <w:r w:rsidR="00CB137A">
        <w:rPr>
          <w:bCs/>
        </w:rPr>
        <w:t>based on the</w:t>
      </w:r>
      <w:r w:rsidR="006C08C1" w:rsidRPr="00AD63DD">
        <w:rPr>
          <w:bCs/>
        </w:rPr>
        <w:t xml:space="preserve"> </w:t>
      </w:r>
      <w:r w:rsidRPr="000B3D44">
        <w:rPr>
          <w:bCs/>
        </w:rPr>
        <w:t xml:space="preserve">revised Palliative Approach Trajectories Framework </w:t>
      </w:r>
      <w:r w:rsidR="00CB137A">
        <w:rPr>
          <w:bCs/>
        </w:rPr>
        <w:t xml:space="preserve">and </w:t>
      </w:r>
      <w:r w:rsidR="006C08C1" w:rsidRPr="00AD63DD">
        <w:rPr>
          <w:bCs/>
        </w:rPr>
        <w:t xml:space="preserve">their estimated prognosis: Trajectory A, Trajectory B or Trajectory C. Each trajectory triggers specific processes and actions intended to meet the care and related needs of the </w:t>
      </w:r>
      <w:r w:rsidR="006C08C1">
        <w:rPr>
          <w:bCs/>
        </w:rPr>
        <w:t>client</w:t>
      </w:r>
      <w:r w:rsidR="006C08C1" w:rsidRPr="00AD63DD">
        <w:rPr>
          <w:bCs/>
        </w:rPr>
        <w:t>.</w:t>
      </w:r>
    </w:p>
    <w:p w14:paraId="6DB431C4" w14:textId="77777777" w:rsidR="006C08C1" w:rsidRDefault="006C08C1" w:rsidP="006C08C1">
      <w:pPr>
        <w:rPr>
          <w:bCs/>
        </w:rPr>
      </w:pPr>
      <w:r w:rsidRPr="00AD63DD">
        <w:rPr>
          <w:bCs/>
        </w:rPr>
        <w:t xml:space="preserve">Estimated prognosis refers to a prediction made by a suitably qualified health professional about how long a </w:t>
      </w:r>
      <w:r>
        <w:rPr>
          <w:bCs/>
        </w:rPr>
        <w:t>client</w:t>
      </w:r>
      <w:r w:rsidRPr="00AD63DD">
        <w:rPr>
          <w:bCs/>
        </w:rPr>
        <w:t xml:space="preserve"> has to live based on expert knowledge and clinical judgement about the </w:t>
      </w:r>
      <w:r>
        <w:rPr>
          <w:bCs/>
        </w:rPr>
        <w:t>client</w:t>
      </w:r>
      <w:r w:rsidRPr="00AD63DD">
        <w:rPr>
          <w:bCs/>
        </w:rPr>
        <w:t>’s condition and specific disease process(es).</w:t>
      </w:r>
    </w:p>
    <w:p w14:paraId="79C18BE0" w14:textId="77777777" w:rsidR="006C08C1" w:rsidRPr="00AD63DD" w:rsidRDefault="006C08C1" w:rsidP="006C08C1">
      <w:pPr>
        <w:rPr>
          <w:bCs/>
        </w:rPr>
      </w:pPr>
      <w:r w:rsidRPr="00AD63DD">
        <w:rPr>
          <w:bCs/>
        </w:rPr>
        <w:t>Prognostication is often imprecise. For this reason</w:t>
      </w:r>
      <w:r>
        <w:rPr>
          <w:bCs/>
        </w:rPr>
        <w:t>,</w:t>
      </w:r>
      <w:r w:rsidRPr="00AD63DD">
        <w:rPr>
          <w:bCs/>
        </w:rPr>
        <w:t xml:space="preserve"> </w:t>
      </w:r>
      <w:r>
        <w:rPr>
          <w:bCs/>
        </w:rPr>
        <w:t>client</w:t>
      </w:r>
      <w:r w:rsidRPr="00AD63DD">
        <w:rPr>
          <w:bCs/>
        </w:rPr>
        <w:t xml:space="preserve">s should be reviewed frequently by the </w:t>
      </w:r>
      <w:r>
        <w:rPr>
          <w:bCs/>
        </w:rPr>
        <w:t>JHS</w:t>
      </w:r>
      <w:r w:rsidRPr="00AD63DD">
        <w:rPr>
          <w:bCs/>
        </w:rPr>
        <w:t xml:space="preserve"> medical team for changes in their clinical condition.</w:t>
      </w:r>
    </w:p>
    <w:p w14:paraId="145A0469" w14:textId="77777777" w:rsidR="006C08C1" w:rsidRPr="00AD63DD" w:rsidRDefault="006C08C1" w:rsidP="006C08C1">
      <w:pPr>
        <w:rPr>
          <w:bCs/>
        </w:rPr>
      </w:pPr>
      <w:r w:rsidRPr="00AD63DD">
        <w:rPr>
          <w:bCs/>
        </w:rPr>
        <w:t xml:space="preserve">Whenever a </w:t>
      </w:r>
      <w:r>
        <w:rPr>
          <w:bCs/>
        </w:rPr>
        <w:t>client</w:t>
      </w:r>
      <w:r w:rsidRPr="00AD63DD">
        <w:rPr>
          <w:bCs/>
        </w:rPr>
        <w:t xml:space="preserve"> experiences an acute event or illness they </w:t>
      </w:r>
      <w:r>
        <w:rPr>
          <w:bCs/>
        </w:rPr>
        <w:t xml:space="preserve">are to </w:t>
      </w:r>
      <w:r w:rsidRPr="00AD63DD">
        <w:rPr>
          <w:bCs/>
        </w:rPr>
        <w:t>be re</w:t>
      </w:r>
      <w:r>
        <w:rPr>
          <w:bCs/>
        </w:rPr>
        <w:t>assessed</w:t>
      </w:r>
      <w:r w:rsidRPr="00AD63DD">
        <w:rPr>
          <w:bCs/>
        </w:rPr>
        <w:t>. In the</w:t>
      </w:r>
      <w:r>
        <w:rPr>
          <w:bCs/>
        </w:rPr>
        <w:t xml:space="preserve"> </w:t>
      </w:r>
      <w:r w:rsidRPr="00AD63DD">
        <w:rPr>
          <w:bCs/>
        </w:rPr>
        <w:t xml:space="preserve">absence of any acute changes in the </w:t>
      </w:r>
      <w:r>
        <w:rPr>
          <w:bCs/>
        </w:rPr>
        <w:t>client</w:t>
      </w:r>
      <w:r w:rsidRPr="00AD63DD">
        <w:rPr>
          <w:bCs/>
        </w:rPr>
        <w:t>’s condition:</w:t>
      </w:r>
    </w:p>
    <w:p w14:paraId="5C67FC6C" w14:textId="77777777" w:rsidR="006C08C1" w:rsidRPr="00AD63DD" w:rsidRDefault="006C08C1" w:rsidP="00F529FE">
      <w:pPr>
        <w:pStyle w:val="Bullet"/>
        <w:numPr>
          <w:ilvl w:val="0"/>
          <w:numId w:val="8"/>
        </w:numPr>
      </w:pPr>
      <w:r>
        <w:t>A client</w:t>
      </w:r>
      <w:r w:rsidRPr="00AD63DD">
        <w:t xml:space="preserve"> assigned to Trajectory A should be reviewed every six months.</w:t>
      </w:r>
    </w:p>
    <w:p w14:paraId="1C4B91A1" w14:textId="77777777" w:rsidR="006C08C1" w:rsidRPr="00AD63DD" w:rsidRDefault="006C08C1" w:rsidP="00F529FE">
      <w:pPr>
        <w:pStyle w:val="Bullet"/>
        <w:numPr>
          <w:ilvl w:val="0"/>
          <w:numId w:val="8"/>
        </w:numPr>
      </w:pPr>
      <w:r>
        <w:t>A client</w:t>
      </w:r>
      <w:r w:rsidRPr="00AD63DD">
        <w:t xml:space="preserve"> assigned to Trajectory B should be reviewed monthly.</w:t>
      </w:r>
    </w:p>
    <w:p w14:paraId="1A1E9187" w14:textId="77777777" w:rsidR="006C08C1" w:rsidRPr="00AD63DD" w:rsidRDefault="006C08C1" w:rsidP="00F529FE">
      <w:pPr>
        <w:pStyle w:val="Bullet"/>
        <w:numPr>
          <w:ilvl w:val="0"/>
          <w:numId w:val="8"/>
        </w:numPr>
      </w:pPr>
      <w:r>
        <w:t>A client</w:t>
      </w:r>
      <w:r w:rsidRPr="00AD63DD">
        <w:t xml:space="preserve"> assigned to Trajectory C should be reviewed daily.</w:t>
      </w:r>
    </w:p>
    <w:p w14:paraId="1B1093A6" w14:textId="77777777" w:rsidR="006C08C1" w:rsidRPr="008648A0" w:rsidRDefault="006C08C1" w:rsidP="006C08C1">
      <w:r w:rsidRPr="008648A0">
        <w:t xml:space="preserve">The decision to commence end of life and palliative care must be supported by the </w:t>
      </w:r>
      <w:r w:rsidRPr="00480B39">
        <w:t xml:space="preserve">JHS </w:t>
      </w:r>
      <w:r w:rsidRPr="008648A0">
        <w:t xml:space="preserve">multidisciplinary team in consultation with the </w:t>
      </w:r>
      <w:r>
        <w:t>client</w:t>
      </w:r>
      <w:r w:rsidRPr="008648A0">
        <w:t>, their family</w:t>
      </w:r>
      <w:r>
        <w:t>,</w:t>
      </w:r>
      <w:r w:rsidRPr="008648A0">
        <w:t xml:space="preserve"> the </w:t>
      </w:r>
      <w:r>
        <w:t>client</w:t>
      </w:r>
      <w:r w:rsidRPr="008648A0">
        <w:t xml:space="preserve">’s </w:t>
      </w:r>
      <w:r>
        <w:t>supported</w:t>
      </w:r>
      <w:r w:rsidRPr="008648A0">
        <w:t xml:space="preserve"> decision maker</w:t>
      </w:r>
      <w:r>
        <w:t xml:space="preserve"> and WNAHCS where required</w:t>
      </w:r>
      <w:r w:rsidRPr="008648A0">
        <w:t xml:space="preserve">. </w:t>
      </w:r>
    </w:p>
    <w:p w14:paraId="30E356E7" w14:textId="5517D75D" w:rsidR="00481A6C" w:rsidRPr="004271C3" w:rsidRDefault="006C08C1" w:rsidP="004271C3">
      <w:pPr>
        <w:rPr>
          <w:iCs/>
        </w:rPr>
      </w:pPr>
      <w:r w:rsidRPr="002C3C0F">
        <w:rPr>
          <w:iCs/>
        </w:rPr>
        <w:lastRenderedPageBreak/>
        <w:t>See Section 13 for information on staff training on implementing a palliative approach</w:t>
      </w:r>
      <w:r>
        <w:rPr>
          <w:iCs/>
        </w:rPr>
        <w:t>.</w:t>
      </w:r>
    </w:p>
    <w:p w14:paraId="1C89B589" w14:textId="77777777" w:rsidR="00481A6C" w:rsidRDefault="00481A6C" w:rsidP="0091462B">
      <w:pPr>
        <w:pStyle w:val="BodyCopy"/>
      </w:pPr>
      <w:hyperlink w:anchor="_top" w:history="1">
        <w:r w:rsidRPr="00481A6C">
          <w:rPr>
            <w:rStyle w:val="Hyperlink"/>
            <w:iCs w:val="0"/>
          </w:rPr>
          <w:t>Back to Contents</w:t>
        </w:r>
      </w:hyperlink>
    </w:p>
    <w:p w14:paraId="487BA1DD" w14:textId="67EAD734" w:rsidR="00026693" w:rsidRDefault="00C6623D" w:rsidP="00026693">
      <w:pPr>
        <w:pStyle w:val="Heading4"/>
      </w:pPr>
      <w:bookmarkStart w:id="9" w:name="_Toc52973596"/>
      <w:bookmarkStart w:id="10" w:name="_Toc198277146"/>
      <w:r w:rsidRPr="00A47065">
        <w:t xml:space="preserve">Section </w:t>
      </w:r>
      <w:r w:rsidR="00936859">
        <w:t>4</w:t>
      </w:r>
      <w:r w:rsidRPr="00A47065">
        <w:t xml:space="preserve"> – End of Life and Palliative Care Pathways</w:t>
      </w:r>
      <w:bookmarkEnd w:id="9"/>
      <w:bookmarkEnd w:id="10"/>
    </w:p>
    <w:p w14:paraId="1128FD62" w14:textId="453B82DD" w:rsidR="00BF3025" w:rsidRPr="00BF3025" w:rsidRDefault="00894344" w:rsidP="00BF3025">
      <w:pPr>
        <w:pStyle w:val="Heading5"/>
      </w:pPr>
      <w:r>
        <w:t>Early release under exceptional circumstances</w:t>
      </w:r>
      <w:r w:rsidR="00BF3025" w:rsidRPr="00AF6B02">
        <w:t xml:space="preserve"> for Palliative Care</w:t>
      </w:r>
    </w:p>
    <w:p w14:paraId="6C8D4508" w14:textId="119667E7" w:rsidR="00BF3025" w:rsidRPr="00BF3025" w:rsidRDefault="00BF3025" w:rsidP="00BF3025">
      <w:r>
        <w:t xml:space="preserve">The ACT Government </w:t>
      </w:r>
      <w:r w:rsidR="00806B35">
        <w:t>uses the principles of the Human</w:t>
      </w:r>
      <w:r>
        <w:t xml:space="preserve"> Rights Framework </w:t>
      </w:r>
      <w:r w:rsidR="00702C9F">
        <w:t xml:space="preserve">which </w:t>
      </w:r>
      <w:r>
        <w:t xml:space="preserve">identify that the care of those who are dying within a custodial environment should align to a humanitarian care approach to allow a client access to appropriate and better palliative care than can be provided in a custodial environment. </w:t>
      </w:r>
      <w:r w:rsidR="00881627">
        <w:t>The o</w:t>
      </w:r>
      <w:r>
        <w:t xml:space="preserve">ption of </w:t>
      </w:r>
      <w:r w:rsidR="00B01587">
        <w:t>early release under exceptional circumstances</w:t>
      </w:r>
      <w:r>
        <w:t xml:space="preserve"> should be considered where a client is identified to be at end of life, to enable an individual to spend as much time as possible in a more suitable environment with their family members. </w:t>
      </w:r>
    </w:p>
    <w:p w14:paraId="0B012ADC" w14:textId="36F539C3" w:rsidR="00BF3025" w:rsidRPr="00BF3025" w:rsidRDefault="00B01587" w:rsidP="00BF3025">
      <w:r>
        <w:rPr>
          <w:szCs w:val="22"/>
        </w:rPr>
        <w:t>Early release under exceptional circumstances</w:t>
      </w:r>
      <w:r w:rsidRPr="00BF3025">
        <w:t xml:space="preserve"> </w:t>
      </w:r>
      <w:r w:rsidR="00BF3025" w:rsidRPr="00BF3025">
        <w:t xml:space="preserve">is to be considered when a client is </w:t>
      </w:r>
      <w:r w:rsidR="00516226">
        <w:t>expected to die within the next few weeks,</w:t>
      </w:r>
      <w:r w:rsidR="00BF3025" w:rsidRPr="00BF3025">
        <w:t xml:space="preserve"> and appropriate care is unable to be provided within the scope of Justice Health. </w:t>
      </w:r>
    </w:p>
    <w:p w14:paraId="16BC7956" w14:textId="379F93DE" w:rsidR="00BF3025" w:rsidRDefault="00BF3025" w:rsidP="00BF3025">
      <w:r w:rsidRPr="00BF3025">
        <w:t xml:space="preserve">The decision to recommend a client for </w:t>
      </w:r>
      <w:r w:rsidR="00B01587">
        <w:rPr>
          <w:szCs w:val="22"/>
        </w:rPr>
        <w:t>early release under exceptional circumstances</w:t>
      </w:r>
      <w:r w:rsidR="00B01587" w:rsidRPr="00BF3025">
        <w:t xml:space="preserve"> </w:t>
      </w:r>
      <w:r w:rsidRPr="00BF3025">
        <w:t xml:space="preserve">is to be made in conjunction with the JHS or WNAHCS Medical Team, Specialist doctors involved in treating the life-limiting illness, and Specialist Palliative Care </w:t>
      </w:r>
      <w:r w:rsidR="00DD453D">
        <w:t>Practitioners</w:t>
      </w:r>
      <w:r w:rsidRPr="00BF3025">
        <w:t xml:space="preserve">. </w:t>
      </w:r>
      <w:r w:rsidR="006508EB" w:rsidRPr="006508EB">
        <w:t xml:space="preserve">The </w:t>
      </w:r>
      <w:hyperlink r:id="rId11" w:history="1">
        <w:r w:rsidR="006508EB" w:rsidRPr="006508EB">
          <w:rPr>
            <w:rStyle w:val="Hyperlink"/>
          </w:rPr>
          <w:t>Corrections Management (Support for Detainees and Offenders with Additional Needs) Policy 2022</w:t>
        </w:r>
      </w:hyperlink>
      <w:r w:rsidR="006508EB" w:rsidRPr="006508EB">
        <w:t xml:space="preserve"> outlines how ACTCS considers leave, early release or parole on compassionate grounds.</w:t>
      </w:r>
      <w:r w:rsidR="006508EB">
        <w:t xml:space="preserve"> The decision is made by the </w:t>
      </w:r>
      <w:r w:rsidRPr="00342EB9">
        <w:t xml:space="preserve">Clinical Director, Justice Health Services through the </w:t>
      </w:r>
      <w:r w:rsidR="006508EB">
        <w:t>General Manager</w:t>
      </w:r>
      <w:r w:rsidRPr="00342EB9">
        <w:t xml:space="preserve"> MHJHADS Division, CHS to the </w:t>
      </w:r>
      <w:r w:rsidR="00D00374">
        <w:t>Commissioner</w:t>
      </w:r>
      <w:r w:rsidRPr="00342EB9">
        <w:t xml:space="preserve">, ACT Corrective Services.  </w:t>
      </w:r>
    </w:p>
    <w:p w14:paraId="004937A0" w14:textId="6FD2C4D9" w:rsidR="00C0707B" w:rsidRDefault="00C0707B" w:rsidP="00BF3025">
      <w:r w:rsidRPr="00C0707B">
        <w:t>Furthermore, consideration is to be given to dying on country for clients who are Aboriginal and Torres Strait Islander. Consultation with MHJHADS Cultural Specialist Service, and referral</w:t>
      </w:r>
      <w:r w:rsidR="00B05865">
        <w:t xml:space="preserve"> made</w:t>
      </w:r>
      <w:r w:rsidRPr="00C0707B">
        <w:t xml:space="preserve"> to the service for the client </w:t>
      </w:r>
      <w:r w:rsidR="00B05865">
        <w:t>(with</w:t>
      </w:r>
      <w:r w:rsidRPr="00C0707B">
        <w:t xml:space="preserve"> consent</w:t>
      </w:r>
      <w:r w:rsidR="00B05865">
        <w:t>).</w:t>
      </w:r>
      <w:r w:rsidRPr="00C0707B">
        <w:t> </w:t>
      </w:r>
    </w:p>
    <w:p w14:paraId="08DC42EE" w14:textId="2BFE7517" w:rsidR="00BF3025" w:rsidRPr="00BF3025" w:rsidRDefault="00BF3025" w:rsidP="00BF3025">
      <w:r w:rsidRPr="00BF3025">
        <w:t>This decision to release will be made by ACT Corrective Services</w:t>
      </w:r>
      <w:r w:rsidR="005B7E48">
        <w:t>, the Court</w:t>
      </w:r>
      <w:r w:rsidR="00D20337">
        <w:t xml:space="preserve">, ACT Sentence Administration Board </w:t>
      </w:r>
      <w:r w:rsidRPr="00BF3025">
        <w:t xml:space="preserve">or the Attorney General’s Department and will take into account the clients preferred place of death prognostication, the nature of the offense and community acceptance of the decision for </w:t>
      </w:r>
      <w:r w:rsidR="00B01587">
        <w:t>early release under exceptional circumstances</w:t>
      </w:r>
      <w:r w:rsidRPr="00BF3025">
        <w:t xml:space="preserve"> on medical grounds.  </w:t>
      </w:r>
    </w:p>
    <w:p w14:paraId="78C1A94A" w14:textId="77777777" w:rsidR="00BF3025" w:rsidRPr="00BF3025" w:rsidRDefault="00BF3025" w:rsidP="00BF3025">
      <w:pPr>
        <w:pStyle w:val="Heading5"/>
      </w:pPr>
      <w:r w:rsidRPr="00AF6B02">
        <w:t>End of Life and Palliative Care In-Reach Services</w:t>
      </w:r>
    </w:p>
    <w:p w14:paraId="388868E7" w14:textId="77777777" w:rsidR="00BF3025" w:rsidRPr="000C7D48" w:rsidRDefault="00BF3025" w:rsidP="000C7D48">
      <w:r w:rsidRPr="000C7D48">
        <w:t xml:space="preserve">The ACT Human Rights framework states that a client must have access to community equivalent care.  Access to end of life and palliative care services will be available for a client who has been identified as having palliative needs, has a prognosis of less than 12 months to live, and/or requests a palliative focus to their care. </w:t>
      </w:r>
    </w:p>
    <w:p w14:paraId="389D3402" w14:textId="767C9538" w:rsidR="00BF3025" w:rsidRPr="000C7D48" w:rsidRDefault="002A3A6C" w:rsidP="000C7D48">
      <w:r>
        <w:lastRenderedPageBreak/>
        <w:t xml:space="preserve">The </w:t>
      </w:r>
      <w:r w:rsidR="00BF3025" w:rsidRPr="000C7D48">
        <w:t>JHS multidisciplinary health team will provide all end of life or palliative care in consultation with ACT Specialist Palliative Care Services excepting those under the care of WNAHCS. Specialist Palliative Care staff will attend/participate by teleconference in the JHS Complex Care Meeting on a regular basis or as requested.</w:t>
      </w:r>
    </w:p>
    <w:p w14:paraId="31E36866" w14:textId="475A3D58" w:rsidR="00BF3025" w:rsidRPr="000C7D48" w:rsidRDefault="00BF3025" w:rsidP="000C7D48">
      <w:r w:rsidRPr="000C7D48">
        <w:t xml:space="preserve">People whose end of life or palliative care is provided by WNAHCS will require JHS consultation with WNAHCS and </w:t>
      </w:r>
      <w:r w:rsidR="00DA5318">
        <w:t xml:space="preserve">be </w:t>
      </w:r>
      <w:r w:rsidRPr="000C7D48">
        <w:t xml:space="preserve">brought to a Complex Care Meeting for specialist palliative care review. </w:t>
      </w:r>
    </w:p>
    <w:p w14:paraId="490D38C3" w14:textId="77777777" w:rsidR="00BF3025" w:rsidRPr="000C7D48" w:rsidRDefault="00BF3025" w:rsidP="00BF3025">
      <w:r w:rsidRPr="000C7D48">
        <w:t xml:space="preserve">Indicators to identify clients to be brought to the JHS Complex Care Meeting for specialist palliative care review include: </w:t>
      </w:r>
    </w:p>
    <w:p w14:paraId="1B47716D" w14:textId="77777777" w:rsidR="00BF3025" w:rsidRPr="00E12462" w:rsidRDefault="00BF3025" w:rsidP="00F529FE">
      <w:pPr>
        <w:pStyle w:val="Bullet"/>
        <w:numPr>
          <w:ilvl w:val="0"/>
          <w:numId w:val="8"/>
        </w:numPr>
      </w:pPr>
      <w:r w:rsidRPr="00E12462">
        <w:t>little surprise if the client died in the next 6 months</w:t>
      </w:r>
    </w:p>
    <w:p w14:paraId="1ED71B3F" w14:textId="77777777" w:rsidR="00BF3025" w:rsidRPr="00E12462" w:rsidRDefault="00BF3025" w:rsidP="00F529FE">
      <w:pPr>
        <w:pStyle w:val="Bullet"/>
        <w:numPr>
          <w:ilvl w:val="0"/>
          <w:numId w:val="8"/>
        </w:numPr>
      </w:pPr>
      <w:r w:rsidRPr="00E12462">
        <w:t>physical and cognitive decline or exacerbation of symptoms in the last month</w:t>
      </w:r>
    </w:p>
    <w:p w14:paraId="3D3CFFA7" w14:textId="28120863" w:rsidR="00BF3025" w:rsidRPr="00E12462" w:rsidRDefault="00BF3025" w:rsidP="00F529FE">
      <w:pPr>
        <w:pStyle w:val="Bullet"/>
        <w:numPr>
          <w:ilvl w:val="0"/>
          <w:numId w:val="8"/>
        </w:numPr>
      </w:pPr>
      <w:r w:rsidRPr="00E12462">
        <w:t xml:space="preserve">a need for specific specialist palliative care interventions e.g. </w:t>
      </w:r>
      <w:r w:rsidR="004153DA">
        <w:t>complex pain and symptom management</w:t>
      </w:r>
      <w:r w:rsidRPr="00E12462">
        <w:t xml:space="preserve">, transfer to </w:t>
      </w:r>
      <w:r w:rsidR="004D277F">
        <w:t>CHH</w:t>
      </w:r>
      <w:r w:rsidR="00863E5A">
        <w:t xml:space="preserve"> for </w:t>
      </w:r>
      <w:r w:rsidR="00DF56AF">
        <w:t>end-of-life</w:t>
      </w:r>
      <w:r w:rsidR="00863E5A">
        <w:t xml:space="preserve"> care</w:t>
      </w:r>
    </w:p>
    <w:p w14:paraId="6828733F" w14:textId="0B9AEFB4" w:rsidR="00BF3025" w:rsidRPr="00E12462" w:rsidRDefault="00BF3025" w:rsidP="00F529FE">
      <w:pPr>
        <w:pStyle w:val="Bullet"/>
        <w:numPr>
          <w:ilvl w:val="0"/>
          <w:numId w:val="8"/>
        </w:numPr>
      </w:pPr>
      <w:r w:rsidRPr="00E12462">
        <w:t>buddy carer (another detainee responsible for caring for a client who is unwell or has physical disabilities) or staff providing care</w:t>
      </w:r>
      <w:r w:rsidR="007967DF">
        <w:t xml:space="preserve"> are unable to continue to provide care</w:t>
      </w:r>
      <w:r w:rsidRPr="00E12462">
        <w:t>.</w:t>
      </w:r>
    </w:p>
    <w:p w14:paraId="350905AC" w14:textId="40BC77FA" w:rsidR="00BF3025" w:rsidRPr="00E12462" w:rsidRDefault="00BF3025" w:rsidP="00E12462">
      <w:r w:rsidRPr="00E12462">
        <w:t>During the Complex Care Meeting, identified clients will be discussed and Specialist Palliative Care staff will work with the medical team to develop a care plan based on the needs of the client</w:t>
      </w:r>
      <w:r w:rsidR="0030409E">
        <w:t xml:space="preserve"> </w:t>
      </w:r>
      <w:r w:rsidR="00081BBE">
        <w:t xml:space="preserve">and discussions with </w:t>
      </w:r>
      <w:r w:rsidR="0030409E">
        <w:t xml:space="preserve">family and </w:t>
      </w:r>
      <w:r w:rsidR="00BC2008">
        <w:t>carers</w:t>
      </w:r>
      <w:r w:rsidRPr="00E12462">
        <w:t xml:space="preserve">. </w:t>
      </w:r>
    </w:p>
    <w:p w14:paraId="393A6AC2" w14:textId="41405383" w:rsidR="00BF3025" w:rsidRPr="00E12462" w:rsidRDefault="00BF3025" w:rsidP="00E12462">
      <w:r w:rsidRPr="00E12462">
        <w:t xml:space="preserve">To inform the Complex Care Meeting, a Palliative Care Needs form (see Attachment C) will be completed to ensure appropriate information </w:t>
      </w:r>
      <w:r w:rsidR="00A7104F" w:rsidRPr="00E12462">
        <w:t xml:space="preserve">regarding the client’s needs and goals of care </w:t>
      </w:r>
      <w:r w:rsidRPr="00E12462">
        <w:t xml:space="preserve">is available to those in the Complex Needs Round.  </w:t>
      </w:r>
    </w:p>
    <w:p w14:paraId="58949E6C" w14:textId="77777777" w:rsidR="00BF3025" w:rsidRPr="00E12462" w:rsidRDefault="00BF3025" w:rsidP="00E12462">
      <w:r w:rsidRPr="00E12462">
        <w:t xml:space="preserve">Following the Complex Care Meeting, the JHS medical team will implement the care plan, in consultation with WNAHCS where required. Specialist Palliative Care staff will be available for follow up and ongoing consultation with staff via video conferencing or AMC Clinic as required. </w:t>
      </w:r>
    </w:p>
    <w:p w14:paraId="6DEE5F0D" w14:textId="10B8FC7C" w:rsidR="00BF3025" w:rsidRPr="00E12462" w:rsidRDefault="00BF3025" w:rsidP="00E12462">
      <w:r w:rsidRPr="00E12462">
        <w:t xml:space="preserve">It is important that a decision to implement an end of life and palliative care plan is made in conjunction with the client and their family. A referral to the MHJHADS Cultural Specialist Service may be offered to the client </w:t>
      </w:r>
      <w:r w:rsidR="00D43C43">
        <w:t>as</w:t>
      </w:r>
      <w:r w:rsidRPr="00E12462">
        <w:t xml:space="preserve"> appropriate.</w:t>
      </w:r>
    </w:p>
    <w:p w14:paraId="52BF2EE6" w14:textId="365F9EBD" w:rsidR="00BF3025" w:rsidRPr="00E12462" w:rsidRDefault="00BF3025" w:rsidP="00BF3025">
      <w:r w:rsidRPr="00E12462">
        <w:t xml:space="preserve">Specialist palliative care advice </w:t>
      </w:r>
      <w:r w:rsidR="00806B35" w:rsidRPr="00E12462">
        <w:t>is always available</w:t>
      </w:r>
      <w:r w:rsidRPr="00E12462">
        <w:t xml:space="preserve"> by calling Canberra Hospital Switchboard </w:t>
      </w:r>
      <w:r w:rsidR="00112772">
        <w:t>p</w:t>
      </w:r>
      <w:r w:rsidRPr="00E12462">
        <w:t>h</w:t>
      </w:r>
      <w:r w:rsidR="00191EBC">
        <w:t>one</w:t>
      </w:r>
      <w:r w:rsidRPr="00E12462">
        <w:t xml:space="preserve"> 5124 0000 and requesting to speak to the </w:t>
      </w:r>
      <w:r w:rsidR="00D43C43" w:rsidRPr="00E12462">
        <w:t>on-call</w:t>
      </w:r>
      <w:r w:rsidRPr="00E12462">
        <w:t xml:space="preserve"> Specialist Palliative Care Consultant.</w:t>
      </w:r>
    </w:p>
    <w:p w14:paraId="7143B546" w14:textId="77777777" w:rsidR="00BF3025" w:rsidRPr="00BF3025" w:rsidRDefault="00BF3025" w:rsidP="00BF3025">
      <w:pPr>
        <w:pStyle w:val="Heading5"/>
      </w:pPr>
      <w:r w:rsidRPr="00AF6B02">
        <w:t>Palliative Care where palliative needs are outside of scope of AMC services</w:t>
      </w:r>
    </w:p>
    <w:p w14:paraId="4D8E2FA5" w14:textId="77777777" w:rsidR="00BF3025" w:rsidRPr="00E12462" w:rsidRDefault="00BF3025" w:rsidP="00BF3025">
      <w:r w:rsidRPr="00E12462">
        <w:t xml:space="preserve">Palliative care needs of a client may be determined to be outside the scope of AMC services such as when pain and/or distress is not able to be controlled by the means available in AMC. </w:t>
      </w:r>
    </w:p>
    <w:p w14:paraId="7C9F79CE" w14:textId="77777777" w:rsidR="00BF3025" w:rsidRPr="00E12462" w:rsidRDefault="00BF3025" w:rsidP="00BF3025">
      <w:r w:rsidRPr="00E12462">
        <w:lastRenderedPageBreak/>
        <w:t xml:space="preserve">The decision that palliative care needs are outside the scope of AMC services will be jointly made by JHS, a Specialist Palliative Care Consultant and ACT Corrective Services. </w:t>
      </w:r>
    </w:p>
    <w:p w14:paraId="578CAD6F" w14:textId="30895538" w:rsidR="00BF3025" w:rsidRPr="00E12462" w:rsidRDefault="00BF3025" w:rsidP="00BF3025">
      <w:r w:rsidRPr="00E12462">
        <w:t xml:space="preserve">Where multiple and complex health care needs are no longer able to be provided by JHS, the client will either be provided accommodation outside AMC or will be considered for </w:t>
      </w:r>
      <w:r w:rsidR="00A46214">
        <w:t>early</w:t>
      </w:r>
      <w:r w:rsidRPr="00E12462">
        <w:t xml:space="preserve"> release</w:t>
      </w:r>
      <w:r w:rsidR="00A46214">
        <w:t xml:space="preserve"> under exceptional circumstances</w:t>
      </w:r>
      <w:r w:rsidRPr="00E12462">
        <w:t>.</w:t>
      </w:r>
    </w:p>
    <w:p w14:paraId="023B53FA" w14:textId="2F6ADE47" w:rsidR="00BF3025" w:rsidRPr="00E12462" w:rsidRDefault="00BF3025" w:rsidP="00BF3025">
      <w:r w:rsidRPr="00E12462">
        <w:t xml:space="preserve">Where there is no acute medical episode, a referral will be made to CHH for the admission of a client under constant guard if the client’s needs can be met in that context. Referrals to CHH are triaged according to priority of care needs. Where a referral is provided to CHH, advice will be given by CHH on the availability of a bed and any wait time that may be required. </w:t>
      </w:r>
    </w:p>
    <w:p w14:paraId="34CD9938" w14:textId="40A7BC5D" w:rsidR="00422609" w:rsidRDefault="00422609" w:rsidP="001E3C8B">
      <w:pPr>
        <w:pBdr>
          <w:top w:val="single" w:sz="4" w:space="1" w:color="auto"/>
          <w:left w:val="single" w:sz="4" w:space="4" w:color="auto"/>
          <w:bottom w:val="single" w:sz="4" w:space="1" w:color="auto"/>
          <w:right w:val="single" w:sz="4" w:space="4" w:color="auto"/>
        </w:pBdr>
        <w:spacing w:after="160"/>
        <w:contextualSpacing/>
      </w:pPr>
      <w:r w:rsidRPr="00E524D8">
        <w:rPr>
          <w:rFonts w:asciiTheme="minorHAnsi" w:hAnsiTheme="minorHAnsi" w:cstheme="minorHAnsi"/>
          <w:b/>
          <w:bCs/>
        </w:rPr>
        <w:t>Note:</w:t>
      </w:r>
      <w:r>
        <w:rPr>
          <w:rFonts w:asciiTheme="minorHAnsi" w:hAnsiTheme="minorHAnsi" w:cstheme="minorHAnsi"/>
        </w:rPr>
        <w:t xml:space="preserve"> Case by Case consultation must be had with CHH regarding client requirements and any security detail </w:t>
      </w:r>
      <w:r w:rsidRPr="00E82114">
        <w:rPr>
          <w:rFonts w:asciiTheme="minorHAnsi" w:hAnsiTheme="minorHAnsi" w:cstheme="minorHAnsi"/>
        </w:rPr>
        <w:t>prior to attending CHH</w:t>
      </w:r>
      <w:r>
        <w:rPr>
          <w:rFonts w:asciiTheme="minorHAnsi" w:hAnsiTheme="minorHAnsi" w:cstheme="minorHAnsi"/>
        </w:rPr>
        <w:t>.</w:t>
      </w:r>
      <w:r w:rsidRPr="00473C15">
        <w:t xml:space="preserve"> </w:t>
      </w:r>
    </w:p>
    <w:p w14:paraId="4E7BC732" w14:textId="77777777" w:rsidR="00422609" w:rsidRDefault="00422609" w:rsidP="001E3C8B">
      <w:pPr>
        <w:pBdr>
          <w:top w:val="single" w:sz="4" w:space="1" w:color="auto"/>
          <w:left w:val="single" w:sz="4" w:space="4" w:color="auto"/>
          <w:bottom w:val="single" w:sz="4" w:space="1" w:color="auto"/>
          <w:right w:val="single" w:sz="4" w:space="4" w:color="auto"/>
        </w:pBdr>
        <w:spacing w:after="160"/>
        <w:contextualSpacing/>
      </w:pPr>
    </w:p>
    <w:p w14:paraId="7D95986F" w14:textId="2254F59A" w:rsidR="00422609" w:rsidRPr="00342EB9" w:rsidRDefault="00422609" w:rsidP="001E3C8B">
      <w:pPr>
        <w:pBdr>
          <w:top w:val="single" w:sz="4" w:space="1" w:color="auto"/>
          <w:left w:val="single" w:sz="4" w:space="4" w:color="auto"/>
          <w:bottom w:val="single" w:sz="4" w:space="1" w:color="auto"/>
          <w:right w:val="single" w:sz="4" w:space="4" w:color="auto"/>
        </w:pBdr>
        <w:spacing w:after="160"/>
        <w:contextualSpacing/>
        <w:rPr>
          <w:rFonts w:asciiTheme="minorHAnsi" w:hAnsiTheme="minorHAnsi" w:cstheme="minorHAnsi"/>
        </w:rPr>
      </w:pPr>
      <w:r>
        <w:t xml:space="preserve">All visitors to the client whilst at CHH will continue to come through the Visitor Desk at AMC for approval to visit. CHH will require </w:t>
      </w:r>
      <w:r w:rsidR="00806B35">
        <w:t>advice from</w:t>
      </w:r>
      <w:r w:rsidR="00C04A98">
        <w:t xml:space="preserve"> ACTCS </w:t>
      </w:r>
      <w:r>
        <w:t xml:space="preserve">if there are visitors that may likely be of concern to other patients and families. </w:t>
      </w:r>
    </w:p>
    <w:p w14:paraId="66C7D509" w14:textId="2DA664C5" w:rsidR="00BF3025" w:rsidRPr="00E12462" w:rsidRDefault="00BF3025" w:rsidP="00480517">
      <w:pPr>
        <w:pStyle w:val="BodyCopy"/>
      </w:pPr>
      <w:r w:rsidRPr="00E12462">
        <w:t xml:space="preserve">Where there is an acute medical episode, a client is to be referred to the Canberra Hospital for admission under the appropriate team. See </w:t>
      </w:r>
      <w:r w:rsidRPr="001E3C8B">
        <w:rPr>
          <w:i/>
        </w:rPr>
        <w:t>Persons in Custody as Inpatients Procedure</w:t>
      </w:r>
      <w:r w:rsidRPr="00E12462">
        <w:t xml:space="preserve"> for further information on communication, transfer of a client to Canberra Hospital and </w:t>
      </w:r>
      <w:r w:rsidR="004D277F">
        <w:t>CHH</w:t>
      </w:r>
      <w:r w:rsidRPr="00E12462">
        <w:t xml:space="preserve">, and role of Correctional Officers. </w:t>
      </w:r>
    </w:p>
    <w:p w14:paraId="6C28DB2D" w14:textId="70955900" w:rsidR="00650946" w:rsidRPr="00342EB9" w:rsidRDefault="00650946" w:rsidP="00650946">
      <w:pPr>
        <w:rPr>
          <w:rFonts w:asciiTheme="minorHAnsi" w:hAnsiTheme="minorHAnsi" w:cstheme="minorHAnsi"/>
        </w:rPr>
      </w:pPr>
      <w:bookmarkStart w:id="11" w:name="_Hlk188367849"/>
      <w:r w:rsidRPr="00342EB9">
        <w:rPr>
          <w:rFonts w:asciiTheme="minorHAnsi" w:hAnsiTheme="minorHAnsi" w:cstheme="minorHAnsi"/>
        </w:rPr>
        <w:t xml:space="preserve">Consideration is to be given to ACT Corrective Services staff </w:t>
      </w:r>
      <w:r>
        <w:rPr>
          <w:rFonts w:asciiTheme="minorHAnsi" w:hAnsiTheme="minorHAnsi" w:cstheme="minorHAnsi"/>
        </w:rPr>
        <w:t>wearing plain clothing instead of custodial uniforms</w:t>
      </w:r>
      <w:r w:rsidRPr="00342EB9">
        <w:rPr>
          <w:rFonts w:asciiTheme="minorHAnsi" w:hAnsiTheme="minorHAnsi" w:cstheme="minorHAnsi"/>
        </w:rPr>
        <w:t xml:space="preserve"> when palliative </w:t>
      </w:r>
      <w:r>
        <w:rPr>
          <w:rFonts w:asciiTheme="minorHAnsi" w:hAnsiTheme="minorHAnsi" w:cstheme="minorHAnsi"/>
        </w:rPr>
        <w:t>care clients</w:t>
      </w:r>
      <w:r w:rsidRPr="00342EB9">
        <w:rPr>
          <w:rFonts w:asciiTheme="minorHAnsi" w:hAnsiTheme="minorHAnsi" w:cstheme="minorHAnsi"/>
        </w:rPr>
        <w:t xml:space="preserve"> </w:t>
      </w:r>
      <w:r w:rsidR="003608B7">
        <w:rPr>
          <w:rFonts w:asciiTheme="minorHAnsi" w:hAnsiTheme="minorHAnsi" w:cstheme="minorHAnsi"/>
        </w:rPr>
        <w:t xml:space="preserve">are </w:t>
      </w:r>
      <w:r w:rsidRPr="00342EB9">
        <w:rPr>
          <w:rFonts w:asciiTheme="minorHAnsi" w:hAnsiTheme="minorHAnsi" w:cstheme="minorHAnsi"/>
        </w:rPr>
        <w:t xml:space="preserve">in both </w:t>
      </w:r>
      <w:r w:rsidR="004D277F">
        <w:rPr>
          <w:rFonts w:asciiTheme="minorHAnsi" w:hAnsiTheme="minorHAnsi" w:cstheme="minorHAnsi"/>
        </w:rPr>
        <w:t>CHH</w:t>
      </w:r>
      <w:r w:rsidRPr="00342EB9">
        <w:rPr>
          <w:rFonts w:asciiTheme="minorHAnsi" w:hAnsiTheme="minorHAnsi" w:cstheme="minorHAnsi"/>
        </w:rPr>
        <w:t xml:space="preserve"> and </w:t>
      </w:r>
      <w:r>
        <w:rPr>
          <w:rFonts w:asciiTheme="minorHAnsi" w:hAnsiTheme="minorHAnsi" w:cstheme="minorHAnsi"/>
        </w:rPr>
        <w:t>C</w:t>
      </w:r>
      <w:r w:rsidR="0043194F">
        <w:rPr>
          <w:rFonts w:asciiTheme="minorHAnsi" w:hAnsiTheme="minorHAnsi" w:cstheme="minorHAnsi"/>
        </w:rPr>
        <w:t xml:space="preserve">anberra </w:t>
      </w:r>
      <w:r>
        <w:rPr>
          <w:rFonts w:asciiTheme="minorHAnsi" w:hAnsiTheme="minorHAnsi" w:cstheme="minorHAnsi"/>
        </w:rPr>
        <w:t>H</w:t>
      </w:r>
      <w:r w:rsidR="0043194F">
        <w:rPr>
          <w:rFonts w:asciiTheme="minorHAnsi" w:hAnsiTheme="minorHAnsi" w:cstheme="minorHAnsi"/>
        </w:rPr>
        <w:t>ospital</w:t>
      </w:r>
      <w:r w:rsidRPr="00342EB9">
        <w:rPr>
          <w:rFonts w:asciiTheme="minorHAnsi" w:hAnsiTheme="minorHAnsi" w:cstheme="minorHAnsi"/>
        </w:rPr>
        <w:t xml:space="preserve"> </w:t>
      </w:r>
      <w:r>
        <w:rPr>
          <w:rFonts w:asciiTheme="minorHAnsi" w:hAnsiTheme="minorHAnsi" w:cstheme="minorHAnsi"/>
        </w:rPr>
        <w:t>to support</w:t>
      </w:r>
      <w:r w:rsidRPr="00342EB9">
        <w:rPr>
          <w:rFonts w:asciiTheme="minorHAnsi" w:hAnsiTheme="minorHAnsi" w:cstheme="minorHAnsi"/>
        </w:rPr>
        <w:t xml:space="preserve"> the comfort of both the </w:t>
      </w:r>
      <w:r>
        <w:rPr>
          <w:rFonts w:asciiTheme="minorHAnsi" w:hAnsiTheme="minorHAnsi" w:cstheme="minorHAnsi"/>
        </w:rPr>
        <w:t>client</w:t>
      </w:r>
      <w:r w:rsidRPr="00342EB9">
        <w:rPr>
          <w:rFonts w:asciiTheme="minorHAnsi" w:hAnsiTheme="minorHAnsi" w:cstheme="minorHAnsi"/>
        </w:rPr>
        <w:t xml:space="preserve"> and those </w:t>
      </w:r>
      <w:r>
        <w:rPr>
          <w:rFonts w:asciiTheme="minorHAnsi" w:hAnsiTheme="minorHAnsi" w:cstheme="minorHAnsi"/>
        </w:rPr>
        <w:t>around them</w:t>
      </w:r>
      <w:r w:rsidRPr="00342EB9">
        <w:rPr>
          <w:rFonts w:asciiTheme="minorHAnsi" w:hAnsiTheme="minorHAnsi" w:cstheme="minorHAnsi"/>
        </w:rPr>
        <w:t xml:space="preserve">. </w:t>
      </w:r>
    </w:p>
    <w:p w14:paraId="5531A66C" w14:textId="77777777" w:rsidR="00650946" w:rsidRDefault="00650946" w:rsidP="00650946">
      <w:pPr>
        <w:rPr>
          <w:rFonts w:asciiTheme="minorHAnsi" w:hAnsiTheme="minorHAnsi" w:cstheme="minorHAnsi"/>
        </w:rPr>
      </w:pPr>
      <w:r w:rsidRPr="00342EB9">
        <w:rPr>
          <w:rFonts w:asciiTheme="minorHAnsi" w:hAnsiTheme="minorHAnsi" w:cstheme="minorHAnsi"/>
        </w:rPr>
        <w:t>During the terminal phase</w:t>
      </w:r>
      <w:r>
        <w:rPr>
          <w:rFonts w:asciiTheme="minorHAnsi" w:hAnsiTheme="minorHAnsi" w:cstheme="minorHAnsi"/>
        </w:rPr>
        <w:t>,</w:t>
      </w:r>
      <w:r w:rsidRPr="00342EB9">
        <w:rPr>
          <w:rFonts w:asciiTheme="minorHAnsi" w:hAnsiTheme="minorHAnsi" w:cstheme="minorHAnsi"/>
        </w:rPr>
        <w:t xml:space="preserve"> Correctional officers </w:t>
      </w:r>
      <w:r>
        <w:rPr>
          <w:rFonts w:asciiTheme="minorHAnsi" w:hAnsiTheme="minorHAnsi" w:cstheme="minorHAnsi"/>
        </w:rPr>
        <w:t xml:space="preserve">may be asked by medical or nursing staff </w:t>
      </w:r>
      <w:r w:rsidRPr="00342EB9">
        <w:rPr>
          <w:rFonts w:asciiTheme="minorHAnsi" w:hAnsiTheme="minorHAnsi" w:cstheme="minorHAnsi"/>
        </w:rPr>
        <w:t xml:space="preserve">to leave the </w:t>
      </w:r>
      <w:r>
        <w:rPr>
          <w:rFonts w:asciiTheme="minorHAnsi" w:hAnsiTheme="minorHAnsi" w:cstheme="minorHAnsi"/>
        </w:rPr>
        <w:t>in</w:t>
      </w:r>
      <w:r w:rsidRPr="00342EB9">
        <w:rPr>
          <w:rFonts w:asciiTheme="minorHAnsi" w:hAnsiTheme="minorHAnsi" w:cstheme="minorHAnsi"/>
        </w:rPr>
        <w:t>patient room</w:t>
      </w:r>
      <w:r>
        <w:rPr>
          <w:rFonts w:asciiTheme="minorHAnsi" w:hAnsiTheme="minorHAnsi" w:cstheme="minorHAnsi"/>
        </w:rPr>
        <w:t>. In such cases, officers should position themselves in a way that maintains</w:t>
      </w:r>
      <w:r w:rsidRPr="00342EB9">
        <w:rPr>
          <w:rFonts w:asciiTheme="minorHAnsi" w:hAnsiTheme="minorHAnsi" w:cstheme="minorHAnsi"/>
        </w:rPr>
        <w:t xml:space="preserve"> visual contact or to impede a route of escape.  </w:t>
      </w:r>
    </w:p>
    <w:p w14:paraId="7B8821ED" w14:textId="1F5D3951" w:rsidR="00936859" w:rsidRPr="007D0BDA" w:rsidRDefault="00936859" w:rsidP="007D0BDA">
      <w:pPr>
        <w:pStyle w:val="Heading5"/>
      </w:pPr>
      <w:r w:rsidRPr="00936859">
        <w:t>Voluntary Assisted Dying</w:t>
      </w:r>
    </w:p>
    <w:p w14:paraId="308A869F" w14:textId="73641220" w:rsidR="00936859" w:rsidRPr="00333AE3" w:rsidRDefault="00936859" w:rsidP="00936859">
      <w:pPr>
        <w:rPr>
          <w:szCs w:val="22"/>
        </w:rPr>
      </w:pPr>
      <w:r w:rsidRPr="00333AE3">
        <w:rPr>
          <w:szCs w:val="22"/>
        </w:rPr>
        <w:t xml:space="preserve">If a client is known to have a life limiting illness and enquires about voluntary assisted dying, they should be directed to have a formal appointment with the JHS team to discuss this as soon as possible. </w:t>
      </w:r>
      <w:r>
        <w:rPr>
          <w:szCs w:val="22"/>
        </w:rPr>
        <w:t>Un</w:t>
      </w:r>
      <w:r w:rsidRPr="00333AE3">
        <w:rPr>
          <w:szCs w:val="22"/>
        </w:rPr>
        <w:t xml:space="preserve">der legislation </w:t>
      </w:r>
      <w:r>
        <w:rPr>
          <w:szCs w:val="22"/>
        </w:rPr>
        <w:t>t</w:t>
      </w:r>
      <w:r w:rsidRPr="00333AE3">
        <w:rPr>
          <w:szCs w:val="22"/>
        </w:rPr>
        <w:t xml:space="preserve">his must occur even if the person who takes the first request is a conscientious objector. </w:t>
      </w:r>
    </w:p>
    <w:p w14:paraId="5BF0D250" w14:textId="77777777" w:rsidR="00AA2C2F" w:rsidRDefault="00936859" w:rsidP="00936859">
      <w:pPr>
        <w:rPr>
          <w:szCs w:val="22"/>
        </w:rPr>
      </w:pPr>
      <w:r w:rsidRPr="00333AE3">
        <w:rPr>
          <w:szCs w:val="22"/>
        </w:rPr>
        <w:t xml:space="preserve">The client will then require a formal first assessment by an authorised voluntary assisted dying practitioner. If the client is found eligible at their first assessment, all efforts should be made to ensure they can attend the legislated further assessment appointments. The client can decide to stop the process </w:t>
      </w:r>
      <w:r w:rsidR="00FE5312" w:rsidRPr="00333AE3">
        <w:rPr>
          <w:szCs w:val="22"/>
        </w:rPr>
        <w:t xml:space="preserve">at any time </w:t>
      </w:r>
      <w:r w:rsidRPr="00333AE3">
        <w:rPr>
          <w:szCs w:val="22"/>
        </w:rPr>
        <w:t xml:space="preserve">and must retain medical decision-making capacity throughout the process. It does not fall within the capacity of AMC to provide for the administration of the voluntary assisted dying </w:t>
      </w:r>
      <w:r w:rsidRPr="00333AE3">
        <w:rPr>
          <w:szCs w:val="22"/>
        </w:rPr>
        <w:lastRenderedPageBreak/>
        <w:t>substance and the client, if not eligible for compassionate early release, will require transfer to a Canberra Health Service inpatient facility.</w:t>
      </w:r>
    </w:p>
    <w:p w14:paraId="60C2352A" w14:textId="01D77610" w:rsidR="00936859" w:rsidRPr="008F2D28" w:rsidRDefault="008F2D28" w:rsidP="008F2D28">
      <w:pPr>
        <w:pStyle w:val="BodyCopy"/>
        <w:rPr>
          <w:rStyle w:val="Hyperlink"/>
          <w:color w:val="000000" w:themeColor="text1"/>
          <w:u w:val="none"/>
        </w:rPr>
      </w:pPr>
      <w:r>
        <w:t xml:space="preserve">For further guidance to staff on voluntary assisted dying, please refer to the CHS </w:t>
      </w:r>
      <w:r w:rsidRPr="007958E8">
        <w:rPr>
          <w:i/>
        </w:rPr>
        <w:t>Voluntary Assisted Dying procedure</w:t>
      </w:r>
      <w:r>
        <w:t xml:space="preserve"> available from the Policy and Guidance Document register.</w:t>
      </w:r>
      <w:r w:rsidR="00936859" w:rsidRPr="00333AE3">
        <w:rPr>
          <w:szCs w:val="22"/>
        </w:rPr>
        <w:t xml:space="preserve"> </w:t>
      </w:r>
    </w:p>
    <w:p w14:paraId="01339712" w14:textId="77777777" w:rsidR="00BF3025" w:rsidRPr="00BF3025" w:rsidRDefault="00BF3025" w:rsidP="00BF3025">
      <w:pPr>
        <w:pStyle w:val="Heading5"/>
      </w:pPr>
      <w:r>
        <w:t>Transportation</w:t>
      </w:r>
    </w:p>
    <w:p w14:paraId="33374BF5" w14:textId="391B875F" w:rsidR="00BF3025" w:rsidRDefault="00BF3025" w:rsidP="00BF3025">
      <w:r>
        <w:t xml:space="preserve">JHS are to advise ACT Corrective Services where a client is to be transported to </w:t>
      </w:r>
      <w:r w:rsidR="00806B35">
        <w:t>CHH or</w:t>
      </w:r>
      <w:r>
        <w:t xml:space="preserve"> requires acute care in relation to their life-limiting illness and needs to attend Canberra Hospital. JHS will advise the mode of transportation required based on the client’s physical and security requirements as per the above guidelines. Transportation will be arranged by ACT Corrective Services dependent on the client’s physical and security requirements.</w:t>
      </w:r>
    </w:p>
    <w:p w14:paraId="515AFC8D" w14:textId="2252151D" w:rsidR="00BF3025" w:rsidRDefault="00BF3025" w:rsidP="00BF3025">
      <w:r>
        <w:t xml:space="preserve">Clients being transferred to CHH or Canberra Hospital </w:t>
      </w:r>
      <w:r w:rsidR="00C43C11">
        <w:t>who</w:t>
      </w:r>
      <w:r>
        <w:t xml:space="preserve"> are ambulant and not receiving active treatment may be transported via a Corrections Service Van to ensure arrival at their destination in a timely manner. Where a client is not ambulant and there is no concern for deterioration during transport, a non-emergency patient transport (NEPT) booking can be organised by phoning the NEPT booking number </w:t>
      </w:r>
      <w:r>
        <w:rPr>
          <w:sz w:val="22"/>
          <w:szCs w:val="22"/>
        </w:rPr>
        <w:t>62004126</w:t>
      </w:r>
      <w:r>
        <w:t>.  If the client’s condition may likely deteriorate during transportation and require comfort care, it is advised to book an Emergency Ambulance via the booking number 62004126. JHS will be required to contact the ACT</w:t>
      </w:r>
      <w:r w:rsidR="00D8242E">
        <w:t xml:space="preserve"> Ambulance Service (ACT</w:t>
      </w:r>
      <w:r>
        <w:t>AS</w:t>
      </w:r>
      <w:r w:rsidR="00D8242E">
        <w:t>)</w:t>
      </w:r>
      <w:r>
        <w:t xml:space="preserve"> Consumer Liaison Officer via </w:t>
      </w:r>
      <w:hyperlink r:id="rId12" w:history="1">
        <w:r>
          <w:rPr>
            <w:rStyle w:val="Hyperlink"/>
          </w:rPr>
          <w:t>ambulanceCLO@act.gov.au</w:t>
        </w:r>
      </w:hyperlink>
      <w:r>
        <w:t xml:space="preserve"> to develop an Individual Management Plan for any clients using Emergency Ambulance.</w:t>
      </w:r>
    </w:p>
    <w:bookmarkEnd w:id="11"/>
    <w:p w14:paraId="1C26F6EE" w14:textId="77777777" w:rsidR="00026693" w:rsidRDefault="00026693" w:rsidP="00026693">
      <w:pPr>
        <w:pStyle w:val="BodyCopy"/>
      </w:pPr>
      <w:r>
        <w:fldChar w:fldCharType="begin"/>
      </w:r>
      <w:r>
        <w:instrText>HYPERLINK \l "_top"</w:instrText>
      </w:r>
      <w:r>
        <w:fldChar w:fldCharType="separate"/>
      </w:r>
      <w:r w:rsidRPr="00481A6C">
        <w:rPr>
          <w:rStyle w:val="Hyperlink"/>
          <w:iCs w:val="0"/>
        </w:rPr>
        <w:t>Back to Contents</w:t>
      </w:r>
      <w:r>
        <w:rPr>
          <w:rStyle w:val="Hyperlink"/>
          <w:iCs w:val="0"/>
        </w:rPr>
        <w:fldChar w:fldCharType="end"/>
      </w:r>
    </w:p>
    <w:p w14:paraId="095D29A7" w14:textId="0C871372" w:rsidR="00026693" w:rsidRDefault="00026693" w:rsidP="00026693">
      <w:pPr>
        <w:pStyle w:val="Heading4"/>
      </w:pPr>
      <w:bookmarkStart w:id="12" w:name="_Toc198277147"/>
      <w:r w:rsidRPr="0078367D">
        <w:t xml:space="preserve">Section </w:t>
      </w:r>
      <w:r w:rsidR="00B01587">
        <w:t>5</w:t>
      </w:r>
      <w:r w:rsidRPr="0078367D">
        <w:t xml:space="preserve"> </w:t>
      </w:r>
      <w:r w:rsidR="00C545B2" w:rsidRPr="00C76688">
        <w:t xml:space="preserve">– </w:t>
      </w:r>
      <w:r w:rsidR="00C545B2">
        <w:t>Roles and Responsibilities</w:t>
      </w:r>
      <w:bookmarkEnd w:id="12"/>
    </w:p>
    <w:p w14:paraId="65D9D400" w14:textId="77777777" w:rsidR="00A04197" w:rsidRPr="00A04197" w:rsidRDefault="00A04197" w:rsidP="00A04197">
      <w:pPr>
        <w:pStyle w:val="Heading5"/>
      </w:pPr>
      <w:r w:rsidRPr="00A04197">
        <w:t xml:space="preserve">Justice Health Services </w:t>
      </w:r>
    </w:p>
    <w:p w14:paraId="70A6F032" w14:textId="1BD22D09" w:rsidR="00A04197" w:rsidRPr="00A04197" w:rsidRDefault="00A04197" w:rsidP="00A04197">
      <w:pPr>
        <w:pStyle w:val="BodyCopy"/>
      </w:pPr>
      <w:r w:rsidRPr="00A04197">
        <w:t xml:space="preserve">JHS nursing staff are onsite at AMC seven days a week from 07:00 to 21:30 hours. JHS medical officers are onsite Monday to Friday during business hours. A JHS doctor is on call after hours for general care requirements with escalation to Specialist Palliative Care </w:t>
      </w:r>
      <w:r w:rsidR="006B6FC3">
        <w:t xml:space="preserve">Practitioners as </w:t>
      </w:r>
      <w:r w:rsidRPr="00A04197">
        <w:t xml:space="preserve">necessary. A referral to CHH Social Work Service multidisciplinary team and/or the MHJHADS Cultural Specialist Service can be given for psychosocial support to a client and their family members in AMC who are assessed as having distress. </w:t>
      </w:r>
    </w:p>
    <w:p w14:paraId="3A6CCCF8" w14:textId="77777777" w:rsidR="00A04197" w:rsidRPr="00A04197" w:rsidRDefault="00A04197" w:rsidP="00A04197">
      <w:pPr>
        <w:pStyle w:val="BodyCopy"/>
      </w:pPr>
      <w:r w:rsidRPr="00A04197">
        <w:t>On recognition of end of life, JHS will review all current medications and interventions. All non-essential and unnecessary medications and interventions are to be discontinued.</w:t>
      </w:r>
    </w:p>
    <w:p w14:paraId="50657385" w14:textId="77777777" w:rsidR="00A04197" w:rsidRPr="00A04197" w:rsidRDefault="00A04197" w:rsidP="00A04197">
      <w:pPr>
        <w:pStyle w:val="BodyCopy"/>
      </w:pPr>
      <w:r w:rsidRPr="00A04197">
        <w:t>Symptoms such as pain, breathlessness and restlessness occur with increasing prevalence as death approaches. JHS pre-emptively order medication(s) to manage these and any other symptoms that the client may experience.</w:t>
      </w:r>
    </w:p>
    <w:p w14:paraId="268FFF53" w14:textId="7FEDD787" w:rsidR="00A04197" w:rsidRPr="00A04197" w:rsidRDefault="00A04197" w:rsidP="00A04197">
      <w:pPr>
        <w:pStyle w:val="BodyCopy"/>
      </w:pPr>
      <w:r w:rsidRPr="00A04197">
        <w:lastRenderedPageBreak/>
        <w:t xml:space="preserve">When a prisoner is dying and receiving terminal care, medication </w:t>
      </w:r>
      <w:r w:rsidR="001F74E7">
        <w:t>may</w:t>
      </w:r>
      <w:r w:rsidRPr="00A04197">
        <w:t xml:space="preserve"> be provided subcutaneously by JHS. Medication provided will be long acting to cover overnight where possible. </w:t>
      </w:r>
    </w:p>
    <w:p w14:paraId="0A31AD78" w14:textId="0B8419D6" w:rsidR="00A04197" w:rsidRPr="00A04197" w:rsidRDefault="00A04197" w:rsidP="00A04197">
      <w:pPr>
        <w:pStyle w:val="BodyCopy"/>
      </w:pPr>
      <w:r w:rsidRPr="00A04197">
        <w:t xml:space="preserve">Where required, medication provision after hours will be negotiated on a </w:t>
      </w:r>
      <w:r w:rsidR="00B77B9C" w:rsidRPr="00A04197">
        <w:t>case-by-case</w:t>
      </w:r>
      <w:r w:rsidRPr="00A04197">
        <w:t xml:space="preserve"> basis by JHS and the Community Nursing Link team noting the opening of the cell after hours will need clearance in advance by the Commissioner.</w:t>
      </w:r>
      <w:r w:rsidRPr="00A04197">
        <w:rPr>
          <w:b/>
        </w:rPr>
        <w:t xml:space="preserve"> </w:t>
      </w:r>
    </w:p>
    <w:p w14:paraId="2ED88393" w14:textId="77777777" w:rsidR="00A04197" w:rsidRPr="00A04197" w:rsidRDefault="00A04197" w:rsidP="00A04197">
      <w:pPr>
        <w:pStyle w:val="Heading5"/>
        <w:rPr>
          <w:rFonts w:eastAsia="Times New Roman"/>
        </w:rPr>
      </w:pPr>
      <w:r w:rsidRPr="00A04197">
        <w:rPr>
          <w:rFonts w:eastAsia="Times New Roman"/>
        </w:rPr>
        <w:t>Corrective Services Staff</w:t>
      </w:r>
    </w:p>
    <w:p w14:paraId="433C73F8" w14:textId="256EEA88" w:rsidR="00A04197" w:rsidRPr="00A04197" w:rsidRDefault="00283F66" w:rsidP="00A04197">
      <w:pPr>
        <w:pStyle w:val="BodyCopy"/>
      </w:pPr>
      <w:r>
        <w:t>If a</w:t>
      </w:r>
      <w:r w:rsidR="00A04197">
        <w:t xml:space="preserve"> client </w:t>
      </w:r>
      <w:r w:rsidR="00845B9F">
        <w:t>experiences</w:t>
      </w:r>
      <w:r w:rsidR="00A04197">
        <w:t xml:space="preserve"> unpredictable pain overnight and requires more medication, ACT Corrective Services staff may be requested</w:t>
      </w:r>
      <w:r w:rsidR="001D7C7D">
        <w:t xml:space="preserve"> to open the cell for </w:t>
      </w:r>
      <w:proofErr w:type="spellStart"/>
      <w:r w:rsidR="001D7C7D">
        <w:t>after</w:t>
      </w:r>
      <w:r w:rsidR="00774073">
        <w:t xml:space="preserve"> </w:t>
      </w:r>
      <w:r w:rsidR="001D7C7D">
        <w:t>hours</w:t>
      </w:r>
      <w:proofErr w:type="spellEnd"/>
      <w:r w:rsidR="001D7C7D">
        <w:t xml:space="preserve"> medication delivery by an external agency. This is done </w:t>
      </w:r>
      <w:r w:rsidR="00A04197">
        <w:t>following telephone consultation with JHS staff or specialist palliative care services.</w:t>
      </w:r>
    </w:p>
    <w:p w14:paraId="0139DB92" w14:textId="77777777" w:rsidR="00A04197" w:rsidRPr="00A04197" w:rsidRDefault="00A04197" w:rsidP="00A04197">
      <w:pPr>
        <w:pStyle w:val="Heading5"/>
        <w:rPr>
          <w:rFonts w:eastAsia="Times New Roman"/>
        </w:rPr>
      </w:pPr>
      <w:r w:rsidRPr="00A04197">
        <w:rPr>
          <w:rFonts w:eastAsia="Times New Roman"/>
        </w:rPr>
        <w:t xml:space="preserve">Specialist Palliative Care </w:t>
      </w:r>
    </w:p>
    <w:p w14:paraId="23A927CA" w14:textId="77777777" w:rsidR="00A04197" w:rsidRPr="00A04197" w:rsidRDefault="00A04197" w:rsidP="00A04197">
      <w:pPr>
        <w:pStyle w:val="BodyCopy"/>
      </w:pPr>
      <w:r w:rsidRPr="00A04197">
        <w:t xml:space="preserve">The Specialist Palliative Care Service based at CHH will provide consultation to JHS in relation to any client who is identified as being at the end of life and/or having palliative needs. </w:t>
      </w:r>
    </w:p>
    <w:p w14:paraId="560382C8" w14:textId="3DBFDB38" w:rsidR="00A04197" w:rsidRPr="00A04197" w:rsidRDefault="00A04197" w:rsidP="00A04197">
      <w:pPr>
        <w:pStyle w:val="BodyCopy"/>
      </w:pPr>
      <w:r w:rsidRPr="00A04197">
        <w:t xml:space="preserve">Input into care through case discussions can be provided by </w:t>
      </w:r>
      <w:r w:rsidR="00845B9F">
        <w:t xml:space="preserve">Specialist Palliative Care Practitioners </w:t>
      </w:r>
      <w:r w:rsidRPr="00A04197">
        <w:t xml:space="preserve">either face to face or by teleconference to the JHS Complex Care Meetings, or as required by Justice Health medical staff. </w:t>
      </w:r>
    </w:p>
    <w:p w14:paraId="763CDBBF" w14:textId="5948AC92" w:rsidR="00A04197" w:rsidRDefault="00A04197" w:rsidP="00A04197">
      <w:pPr>
        <w:pStyle w:val="BodyCopy"/>
      </w:pPr>
      <w:r w:rsidRPr="00A04197">
        <w:t xml:space="preserve">Where a client has a life limiting illness and requires treatment or appointments at Canberra Hospital, efforts will be made for them to be seen concurrently by specialist palliative care staff </w:t>
      </w:r>
      <w:r w:rsidR="00050393">
        <w:t>as needed</w:t>
      </w:r>
      <w:r w:rsidRPr="00A04197">
        <w:t>.</w:t>
      </w:r>
    </w:p>
    <w:p w14:paraId="09D2D964" w14:textId="2B282FD6" w:rsidR="009040BC" w:rsidRPr="009040BC" w:rsidRDefault="009040BC" w:rsidP="009040BC">
      <w:pPr>
        <w:pStyle w:val="BodyCopy"/>
      </w:pPr>
      <w:r w:rsidRPr="009040BC">
        <w:t>The Specialist Palliative Care Service can provide phone advice to JHS or WNAHCS multidisciplinary team 24</w:t>
      </w:r>
      <w:r w:rsidR="00276C0F">
        <w:t xml:space="preserve"> hours a day </w:t>
      </w:r>
      <w:r w:rsidRPr="009040BC">
        <w:t>7</w:t>
      </w:r>
      <w:r w:rsidR="00276C0F">
        <w:t xml:space="preserve"> days a week</w:t>
      </w:r>
      <w:r w:rsidRPr="009040BC">
        <w:t xml:space="preserve"> as required.   </w:t>
      </w:r>
    </w:p>
    <w:p w14:paraId="55E4BC4E" w14:textId="3EF96B38" w:rsidR="009040BC" w:rsidRPr="009040BC" w:rsidRDefault="00050393" w:rsidP="009040BC">
      <w:pPr>
        <w:pStyle w:val="BodyCopy"/>
      </w:pPr>
      <w:r>
        <w:t>If</w:t>
      </w:r>
      <w:r w:rsidR="009040BC" w:rsidRPr="009040BC">
        <w:t xml:space="preserve"> specialist staff need to engage with the client face to face, and the client is ambulant, referral </w:t>
      </w:r>
      <w:r w:rsidR="006F49A0">
        <w:t xml:space="preserve">should be made </w:t>
      </w:r>
      <w:r w:rsidR="009040BC" w:rsidRPr="009040BC">
        <w:t>to the Specialist Palliative Care Outpatients Clinic at CHH or Canberra Hospital. If they are not ambulant, consultation with a Specialist Palliative Care practitioner should be arranged through CHH and facilitated through JHS for visitation during work hours</w:t>
      </w:r>
      <w:r w:rsidR="00237597">
        <w:t>.</w:t>
      </w:r>
    </w:p>
    <w:p w14:paraId="1666FABE" w14:textId="3327E051" w:rsidR="00A04197" w:rsidRPr="00A04197" w:rsidRDefault="00A04197" w:rsidP="00A04197">
      <w:pPr>
        <w:pStyle w:val="Heading5"/>
        <w:rPr>
          <w:rFonts w:eastAsia="Times New Roman"/>
        </w:rPr>
      </w:pPr>
      <w:r w:rsidRPr="00A04197">
        <w:rPr>
          <w:rFonts w:eastAsia="Times New Roman"/>
        </w:rPr>
        <w:t>After hours</w:t>
      </w:r>
    </w:p>
    <w:p w14:paraId="07AE10EF" w14:textId="4B399110" w:rsidR="00A04197" w:rsidRPr="00A04197" w:rsidRDefault="00A04197" w:rsidP="00A04197">
      <w:pPr>
        <w:pStyle w:val="BodyCopy"/>
      </w:pPr>
      <w:r w:rsidRPr="00A04197">
        <w:t>Care is to be taken</w:t>
      </w:r>
      <w:r w:rsidR="006F49A0">
        <w:t xml:space="preserve"> by JHS</w:t>
      </w:r>
      <w:r w:rsidRPr="00A04197">
        <w:t xml:space="preserve"> to provide medication to meet necessary pain and distress levels 24 hours a day 7 days a week.</w:t>
      </w:r>
    </w:p>
    <w:p w14:paraId="2B7FA07B" w14:textId="77777777" w:rsidR="00A04197" w:rsidRPr="00A04197" w:rsidRDefault="00A04197" w:rsidP="00A04197">
      <w:pPr>
        <w:pStyle w:val="BodyCopy"/>
      </w:pPr>
      <w:r w:rsidRPr="00A04197">
        <w:t xml:space="preserve">If required, and following negotiation with JHS, after hours medical/nursing consultation is available through Community Nursing Link team or escalated by the Link team to the on-call consultant.  </w:t>
      </w:r>
    </w:p>
    <w:p w14:paraId="555589F8" w14:textId="47343EA4" w:rsidR="00A04197" w:rsidRPr="00A04197" w:rsidRDefault="00A04197" w:rsidP="00A04197">
      <w:pPr>
        <w:pStyle w:val="BodyCopy"/>
      </w:pPr>
      <w:r w:rsidRPr="00A04197">
        <w:t xml:space="preserve">Where it is deemed necessary for after-hours provision of medical care e.g. unpredictable pain, the ACT Corrective Service Manager must be contacted by the </w:t>
      </w:r>
      <w:r w:rsidRPr="00A04197">
        <w:lastRenderedPageBreak/>
        <w:t xml:space="preserve">Medical Officer on call for JHS for approval for attendance. </w:t>
      </w:r>
      <w:r w:rsidR="00237597" w:rsidRPr="00237597">
        <w:t xml:space="preserve">If further Specialist Palliative Care advice is required after hours, advice can be sought through the Palliative Care Practitioner on call through Canberra Hospital switch board.  </w:t>
      </w:r>
    </w:p>
    <w:p w14:paraId="4D9ADC7D" w14:textId="77777777" w:rsidR="00A04197" w:rsidRPr="00A04197" w:rsidRDefault="00A04197" w:rsidP="00A04197">
      <w:pPr>
        <w:pStyle w:val="Heading5"/>
        <w:rPr>
          <w:rFonts w:eastAsia="Times New Roman"/>
        </w:rPr>
      </w:pPr>
      <w:r w:rsidRPr="00A04197">
        <w:rPr>
          <w:rFonts w:eastAsia="Times New Roman"/>
        </w:rPr>
        <w:t>Supportive Care</w:t>
      </w:r>
    </w:p>
    <w:p w14:paraId="490988BE" w14:textId="133B45EC" w:rsidR="00A04197" w:rsidRPr="00A04197" w:rsidRDefault="00A04197" w:rsidP="00A04197">
      <w:pPr>
        <w:pStyle w:val="BodyCopy"/>
      </w:pPr>
      <w:r w:rsidRPr="00A04197">
        <w:t xml:space="preserve">A referral to the </w:t>
      </w:r>
      <w:r w:rsidR="005643E6">
        <w:t>ACT</w:t>
      </w:r>
      <w:r w:rsidRPr="00A04197">
        <w:t xml:space="preserve">CS Supports and Intervention Unit (SIU) may be considered for assistance with supportive care planning. Peer assistance through a buddy carer is currently available in AMC for a client that may have difficulty with activities of daily living (ADLs).  Training in a palliative approach will be provided to the designated buddy carer by the Practical Experience in a Palliative Approach (PEPA) educator. </w:t>
      </w:r>
    </w:p>
    <w:p w14:paraId="74F8A530" w14:textId="77777777" w:rsidR="00A04197" w:rsidRPr="00A04197" w:rsidRDefault="00A04197" w:rsidP="00A04197">
      <w:pPr>
        <w:pStyle w:val="Heading5"/>
        <w:rPr>
          <w:rFonts w:eastAsia="Times New Roman"/>
        </w:rPr>
      </w:pPr>
      <w:r w:rsidRPr="00A04197">
        <w:rPr>
          <w:rFonts w:eastAsia="Times New Roman"/>
        </w:rPr>
        <w:t>Multidisciplinary Communication</w:t>
      </w:r>
    </w:p>
    <w:p w14:paraId="56139806" w14:textId="00D7BEE3" w:rsidR="00026693" w:rsidRPr="00481A6C" w:rsidRDefault="00A04197" w:rsidP="00026693">
      <w:pPr>
        <w:pStyle w:val="BodyCopy"/>
      </w:pPr>
      <w:r w:rsidRPr="00A04197">
        <w:t xml:space="preserve">The client’s DHR is to be used by all members of the multidisciplinary care team, including specialist palliative care staff. </w:t>
      </w:r>
      <w:r w:rsidR="00E90DAE">
        <w:t>Documentation</w:t>
      </w:r>
      <w:r w:rsidR="00D925E3">
        <w:t xml:space="preserve"> </w:t>
      </w:r>
      <w:r w:rsidR="00E90DAE">
        <w:t>should include i</w:t>
      </w:r>
      <w:r w:rsidRPr="00A04197">
        <w:t>nformation about changes in the client’s condition, concerns expressed by family members and/or it may be used as a method of communication between care team members about any issues relating to the client and their family.</w:t>
      </w:r>
    </w:p>
    <w:p w14:paraId="48BC0C66" w14:textId="77777777" w:rsidR="00026693" w:rsidRDefault="00026693" w:rsidP="00026693">
      <w:pPr>
        <w:pStyle w:val="BodyCopy"/>
      </w:pPr>
      <w:hyperlink w:anchor="_top" w:history="1">
        <w:r w:rsidRPr="00481A6C">
          <w:rPr>
            <w:rStyle w:val="Hyperlink"/>
            <w:iCs w:val="0"/>
          </w:rPr>
          <w:t>Back to Contents</w:t>
        </w:r>
      </w:hyperlink>
    </w:p>
    <w:p w14:paraId="1FA3CAF4" w14:textId="18309393" w:rsidR="00026693" w:rsidRDefault="00026693" w:rsidP="00026693">
      <w:pPr>
        <w:pStyle w:val="Heading4"/>
      </w:pPr>
      <w:bookmarkStart w:id="13" w:name="_Toc198277148"/>
      <w:r w:rsidRPr="0078367D">
        <w:t xml:space="preserve">Section </w:t>
      </w:r>
      <w:r w:rsidR="004D4203">
        <w:t>6</w:t>
      </w:r>
      <w:r w:rsidR="002E5BDE">
        <w:t xml:space="preserve"> </w:t>
      </w:r>
      <w:r w:rsidRPr="0078367D">
        <w:t xml:space="preserve">- </w:t>
      </w:r>
      <w:bookmarkStart w:id="14" w:name="_Hlk193361934"/>
      <w:r w:rsidR="002E5BDE">
        <w:t>Implementing Comfort Care</w:t>
      </w:r>
      <w:bookmarkEnd w:id="14"/>
      <w:bookmarkEnd w:id="13"/>
    </w:p>
    <w:p w14:paraId="0AF65D95" w14:textId="602097E9" w:rsidR="00B514B4" w:rsidRPr="00B514B4" w:rsidRDefault="00B514B4" w:rsidP="00B514B4">
      <w:pPr>
        <w:pStyle w:val="BodyCopy"/>
      </w:pPr>
      <w:r w:rsidRPr="00B514B4">
        <w:t xml:space="preserve">Comfort care refers to care provided to a client who is at end of life whereby all active treatment, including cardiopulmonary resuscitation, is no longer provided. This is in line with best practice palliative care provision in any setting and should be discussed as part of a client’s Goals of Care conversation and reflected in the client’s DHR. </w:t>
      </w:r>
      <w:r w:rsidR="002A0FE2">
        <w:t xml:space="preserve">This should prompt a discussion about </w:t>
      </w:r>
      <w:r w:rsidR="00DE2331">
        <w:t xml:space="preserve">transfer to CHH or consideration of </w:t>
      </w:r>
      <w:r w:rsidR="00894344">
        <w:t>early release under exceptional circumstances</w:t>
      </w:r>
      <w:r w:rsidR="00DE2331">
        <w:t xml:space="preserve">. </w:t>
      </w:r>
      <w:r w:rsidRPr="00B514B4">
        <w:t xml:space="preserve"> </w:t>
      </w:r>
    </w:p>
    <w:p w14:paraId="0A743242" w14:textId="77777777" w:rsidR="00B514B4" w:rsidRPr="00B514B4" w:rsidRDefault="00B514B4" w:rsidP="00B514B4">
      <w:pPr>
        <w:pStyle w:val="Heading5"/>
        <w:rPr>
          <w:rFonts w:eastAsia="Times New Roman"/>
        </w:rPr>
      </w:pPr>
      <w:r w:rsidRPr="00B514B4">
        <w:rPr>
          <w:rFonts w:eastAsia="Times New Roman"/>
        </w:rPr>
        <w:t>Comfort Care Measures</w:t>
      </w:r>
    </w:p>
    <w:p w14:paraId="26B8B5E1" w14:textId="5F1C85F7" w:rsidR="00B514B4" w:rsidRPr="00B514B4" w:rsidRDefault="00B514B4" w:rsidP="00B514B4">
      <w:pPr>
        <w:pStyle w:val="BodyCopy"/>
      </w:pPr>
      <w:r w:rsidRPr="00B514B4">
        <w:t xml:space="preserve">Assessing the client’s comfort needs and initiating strategies to enhance comfort is </w:t>
      </w:r>
      <w:r w:rsidR="003D5CED">
        <w:t>essential</w:t>
      </w:r>
      <w:r w:rsidRPr="00B514B4">
        <w:t xml:space="preserve"> as a client nears the terminal phase.</w:t>
      </w:r>
    </w:p>
    <w:p w14:paraId="446BF634" w14:textId="77777777" w:rsidR="008C5A77" w:rsidRDefault="00B514B4" w:rsidP="00B514B4">
      <w:pPr>
        <w:pStyle w:val="BodyCopy"/>
      </w:pPr>
      <w:r w:rsidRPr="00B514B4">
        <w:t>Physical problems that must be anticipated and proactively addressed for the comfort of the dying client include</w:t>
      </w:r>
      <w:r w:rsidR="008C5A77">
        <w:t>:</w:t>
      </w:r>
    </w:p>
    <w:p w14:paraId="0CC68D44" w14:textId="3FBFE2B5" w:rsidR="00353825" w:rsidRDefault="00B514B4" w:rsidP="00F529FE">
      <w:pPr>
        <w:pStyle w:val="Bullet"/>
        <w:numPr>
          <w:ilvl w:val="0"/>
          <w:numId w:val="14"/>
        </w:numPr>
      </w:pPr>
      <w:r w:rsidRPr="00B514B4">
        <w:t xml:space="preserve">pain, </w:t>
      </w:r>
    </w:p>
    <w:p w14:paraId="47995AB6" w14:textId="77777777" w:rsidR="00353825" w:rsidRDefault="00B514B4" w:rsidP="00F529FE">
      <w:pPr>
        <w:pStyle w:val="Bullet"/>
        <w:numPr>
          <w:ilvl w:val="0"/>
          <w:numId w:val="14"/>
        </w:numPr>
      </w:pPr>
      <w:r w:rsidRPr="00B514B4">
        <w:t xml:space="preserve">delirium/agitation, </w:t>
      </w:r>
    </w:p>
    <w:p w14:paraId="5D95DBEE" w14:textId="77777777" w:rsidR="00353825" w:rsidRDefault="00B514B4" w:rsidP="00F529FE">
      <w:pPr>
        <w:pStyle w:val="Bullet"/>
        <w:numPr>
          <w:ilvl w:val="0"/>
          <w:numId w:val="14"/>
        </w:numPr>
      </w:pPr>
      <w:r w:rsidRPr="00B514B4">
        <w:t xml:space="preserve">dyspnoea, </w:t>
      </w:r>
    </w:p>
    <w:p w14:paraId="0EA69D1A" w14:textId="77777777" w:rsidR="00353825" w:rsidRDefault="00B514B4" w:rsidP="00F529FE">
      <w:pPr>
        <w:pStyle w:val="Bullet"/>
        <w:numPr>
          <w:ilvl w:val="0"/>
          <w:numId w:val="14"/>
        </w:numPr>
      </w:pPr>
      <w:r w:rsidRPr="00B514B4">
        <w:t xml:space="preserve">respiratory secretions, </w:t>
      </w:r>
    </w:p>
    <w:p w14:paraId="2A8CA129" w14:textId="77777777" w:rsidR="00353825" w:rsidRDefault="00B514B4" w:rsidP="00F529FE">
      <w:pPr>
        <w:pStyle w:val="Bullet"/>
        <w:numPr>
          <w:ilvl w:val="0"/>
          <w:numId w:val="14"/>
        </w:numPr>
      </w:pPr>
      <w:r w:rsidRPr="00B514B4">
        <w:t xml:space="preserve">mouth and skin care, </w:t>
      </w:r>
    </w:p>
    <w:p w14:paraId="17253A43" w14:textId="3F691BE9" w:rsidR="00353825" w:rsidRDefault="00B514B4" w:rsidP="00F529FE">
      <w:pPr>
        <w:pStyle w:val="Bullet"/>
        <w:numPr>
          <w:ilvl w:val="0"/>
          <w:numId w:val="14"/>
        </w:numPr>
      </w:pPr>
      <w:r w:rsidRPr="00B514B4">
        <w:t>bladder and bowel care,</w:t>
      </w:r>
    </w:p>
    <w:p w14:paraId="2FC42CD9" w14:textId="64A7DF0F" w:rsidR="00B514B4" w:rsidRPr="00B514B4" w:rsidRDefault="00B514B4" w:rsidP="00F529FE">
      <w:pPr>
        <w:pStyle w:val="Bullet"/>
        <w:numPr>
          <w:ilvl w:val="0"/>
          <w:numId w:val="14"/>
        </w:numPr>
      </w:pPr>
      <w:r w:rsidRPr="00B514B4">
        <w:t xml:space="preserve">nausea and vomiting. </w:t>
      </w:r>
    </w:p>
    <w:p w14:paraId="5B6DEFE4" w14:textId="77777777" w:rsidR="00B514B4" w:rsidRPr="00B514B4" w:rsidRDefault="00B514B4" w:rsidP="00B514B4">
      <w:pPr>
        <w:pStyle w:val="BodyCopy"/>
      </w:pPr>
      <w:r w:rsidRPr="00B514B4">
        <w:lastRenderedPageBreak/>
        <w:t>Burdensome interventions which do not improve the dying client’s comfort should also be ceased whenever possible.</w:t>
      </w:r>
    </w:p>
    <w:p w14:paraId="3A4A34AC" w14:textId="151B1B94" w:rsidR="00B514B4" w:rsidRPr="00B514B4" w:rsidRDefault="00B514B4" w:rsidP="00B514B4">
      <w:pPr>
        <w:pStyle w:val="BodyCopy"/>
      </w:pPr>
      <w:r w:rsidRPr="00B514B4">
        <w:t xml:space="preserve">A Comfort Care Chart requires all care staff to document symptom assessment and care provided to the client. A new chart is commenced each day. </w:t>
      </w:r>
    </w:p>
    <w:p w14:paraId="0D9669AC" w14:textId="77777777" w:rsidR="00B514B4" w:rsidRPr="00B514B4" w:rsidRDefault="00B514B4" w:rsidP="00B514B4">
      <w:pPr>
        <w:pStyle w:val="BodyCopy"/>
      </w:pPr>
      <w:r w:rsidRPr="00B514B4">
        <w:t>The effectiveness of all further actions should be monitored and documented. Some further actions such as repositioning a client for comfort can be assessed and documented immediately. Other actions will require some time to monitor effectiveness, e.g. the administration of analgesic medications.</w:t>
      </w:r>
    </w:p>
    <w:p w14:paraId="3B1E1C48" w14:textId="77777777" w:rsidR="00B514B4" w:rsidRPr="00B514B4" w:rsidRDefault="00B514B4" w:rsidP="00B514B4">
      <w:pPr>
        <w:pStyle w:val="Heading5"/>
        <w:rPr>
          <w:rFonts w:eastAsia="Times New Roman"/>
        </w:rPr>
      </w:pPr>
      <w:r w:rsidRPr="00B514B4">
        <w:rPr>
          <w:rFonts w:eastAsia="Times New Roman"/>
        </w:rPr>
        <w:t>Assessment of symptoms and delivery of routine care</w:t>
      </w:r>
    </w:p>
    <w:p w14:paraId="0D2FD026" w14:textId="77777777" w:rsidR="00B514B4" w:rsidRPr="00B514B4" w:rsidRDefault="00B514B4" w:rsidP="00B514B4">
      <w:pPr>
        <w:pStyle w:val="BodyCopy"/>
      </w:pPr>
      <w:r w:rsidRPr="00B514B4">
        <w:t>When a client is receiving comfort care, symptom assessment and delivery of physical care should be attended to at least every eight hours by the JHS medical team during working hours. Psychosocial care should be addressed at least twice during the day.</w:t>
      </w:r>
    </w:p>
    <w:p w14:paraId="69ADA36B" w14:textId="3008AF0C" w:rsidR="00026693" w:rsidRPr="00481A6C" w:rsidRDefault="00B514B4" w:rsidP="00026693">
      <w:pPr>
        <w:pStyle w:val="BodyCopy"/>
      </w:pPr>
      <w:r w:rsidRPr="00B514B4">
        <w:t>All interventions delivered should be evaluated in a timely manner to check their effectiveness.</w:t>
      </w:r>
    </w:p>
    <w:p w14:paraId="4563233A" w14:textId="77777777" w:rsidR="00026693" w:rsidRDefault="00026693" w:rsidP="00026693">
      <w:pPr>
        <w:pStyle w:val="BodyCopy"/>
      </w:pPr>
      <w:hyperlink w:anchor="_top" w:history="1">
        <w:r w:rsidRPr="00481A6C">
          <w:rPr>
            <w:rStyle w:val="Hyperlink"/>
            <w:iCs w:val="0"/>
          </w:rPr>
          <w:t>Back to Contents</w:t>
        </w:r>
      </w:hyperlink>
    </w:p>
    <w:p w14:paraId="58870865" w14:textId="4AB31AAA" w:rsidR="00026693" w:rsidRDefault="00026693" w:rsidP="00026693">
      <w:pPr>
        <w:pStyle w:val="Heading4"/>
      </w:pPr>
      <w:bookmarkStart w:id="15" w:name="_Toc198277149"/>
      <w:r w:rsidRPr="0078367D">
        <w:t>Section</w:t>
      </w:r>
      <w:r w:rsidR="004D4203">
        <w:t xml:space="preserve"> </w:t>
      </w:r>
      <w:r w:rsidR="005960F6">
        <w:t>7</w:t>
      </w:r>
      <w:r w:rsidR="005960F6" w:rsidRPr="0078367D">
        <w:t xml:space="preserve"> –</w:t>
      </w:r>
      <w:r w:rsidR="008555B4" w:rsidRPr="003D2D06">
        <w:t xml:space="preserve"> </w:t>
      </w:r>
      <w:r w:rsidR="008555B4">
        <w:t>Supportive Care Interventions</w:t>
      </w:r>
      <w:bookmarkEnd w:id="15"/>
      <w:r w:rsidR="008555B4" w:rsidRPr="0078367D">
        <w:t xml:space="preserve"> </w:t>
      </w:r>
    </w:p>
    <w:p w14:paraId="6B8A7BD5" w14:textId="38442571" w:rsidR="009B07FA" w:rsidRPr="009B07FA" w:rsidRDefault="009B07FA" w:rsidP="009B07FA">
      <w:pPr>
        <w:pStyle w:val="BodyCopy"/>
      </w:pPr>
      <w:bookmarkStart w:id="16" w:name="_Hlk184715690"/>
      <w:r w:rsidRPr="009B07FA">
        <w:t>JHS multidisciplinary staff will discuss with the client and/or their family any spiritual, religious and cultural needs and provide referral to appropriate services.</w:t>
      </w:r>
      <w:bookmarkEnd w:id="16"/>
    </w:p>
    <w:p w14:paraId="3ABD8A9F" w14:textId="77777777" w:rsidR="009B07FA" w:rsidRPr="009B07FA" w:rsidRDefault="009B07FA" w:rsidP="009B07FA">
      <w:pPr>
        <w:pStyle w:val="Heading5"/>
        <w:rPr>
          <w:rFonts w:eastAsia="Times New Roman"/>
        </w:rPr>
      </w:pPr>
      <w:r w:rsidRPr="009B07FA">
        <w:rPr>
          <w:rFonts w:eastAsia="Times New Roman"/>
        </w:rPr>
        <w:t>Accommodation</w:t>
      </w:r>
    </w:p>
    <w:p w14:paraId="147BD380" w14:textId="455B2422" w:rsidR="009B07FA" w:rsidRPr="009B07FA" w:rsidRDefault="009B07FA" w:rsidP="009B07FA">
      <w:pPr>
        <w:pStyle w:val="BodyCopy"/>
      </w:pPr>
      <w:r w:rsidRPr="009B07FA">
        <w:t xml:space="preserve">As </w:t>
      </w:r>
      <w:r w:rsidR="003D5CED" w:rsidRPr="009B07FA">
        <w:t>end-of-life</w:t>
      </w:r>
      <w:r w:rsidRPr="009B07FA">
        <w:t xml:space="preserve"> progresses, a client’s physical and medical condition will deteriorate, and their needs will increase.  Consideration will be given to housing a client in a special cell that can allow access to mobilisation aids and other equipment as well as a buddy carer where appropriate. Access to ensuite bathroom facilities as well as a family room can also improve the experience for </w:t>
      </w:r>
      <w:r w:rsidR="003608B7">
        <w:t>detainees</w:t>
      </w:r>
      <w:r w:rsidRPr="009B07FA">
        <w:t>, family members, and staff.</w:t>
      </w:r>
    </w:p>
    <w:p w14:paraId="1F82C11B" w14:textId="77777777" w:rsidR="009B07FA" w:rsidRPr="009B07FA" w:rsidRDefault="009B07FA" w:rsidP="009B07FA">
      <w:pPr>
        <w:pStyle w:val="BodyCopy"/>
      </w:pPr>
      <w:r w:rsidRPr="009B07FA">
        <w:t xml:space="preserve">Consideration needs to be given for easy access to showers, clean bedding and clothing due to physical health needs including incontinence related to end of life. </w:t>
      </w:r>
    </w:p>
    <w:p w14:paraId="79FC57F2" w14:textId="77777777" w:rsidR="00F14657" w:rsidRDefault="003D5CED" w:rsidP="009B07FA">
      <w:pPr>
        <w:pStyle w:val="BodyCopy"/>
      </w:pPr>
      <w:r>
        <w:t>Often</w:t>
      </w:r>
      <w:r w:rsidR="009B07FA" w:rsidRPr="009B07FA">
        <w:t xml:space="preserve"> people who are dying require subcutaneous medication delivered through a syringe driver</w:t>
      </w:r>
      <w:r>
        <w:t xml:space="preserve"> as their ability to swallow becomes compromised</w:t>
      </w:r>
      <w:r w:rsidR="00327F21">
        <w:t>.</w:t>
      </w:r>
      <w:r w:rsidR="009B07FA" w:rsidRPr="009B07FA">
        <w:t xml:space="preserve"> </w:t>
      </w:r>
    </w:p>
    <w:p w14:paraId="7CAB94DE" w14:textId="5D7B0195" w:rsidR="008E5AA1" w:rsidRDefault="009B07FA" w:rsidP="008E5AA1">
      <w:pPr>
        <w:pStyle w:val="BodyCopy"/>
      </w:pPr>
      <w:r w:rsidRPr="009B07FA">
        <w:t xml:space="preserve">This method of providing medication may also be needed for months prior to a client’s death to meet their palliative needs. Requiring a syringe driver does not automatically mean that a client meets the criteria for admission into a specialist palliative care inpatient service </w:t>
      </w:r>
      <w:r w:rsidR="00327F21">
        <w:t>such as CHH</w:t>
      </w:r>
      <w:r w:rsidRPr="009B07FA">
        <w:t xml:space="preserve">. Consideration will be given to the level of restriction placed on the client to enable provision of a syringe driver required as </w:t>
      </w:r>
      <w:r w:rsidRPr="009B07FA">
        <w:lastRenderedPageBreak/>
        <w:t xml:space="preserve">part of </w:t>
      </w:r>
      <w:r w:rsidR="00327F21" w:rsidRPr="009B07FA">
        <w:t>end-of-life</w:t>
      </w:r>
      <w:r w:rsidRPr="009B07FA">
        <w:t xml:space="preserve"> care medication.  It is recognised that segregation will not always be appropriate</w:t>
      </w:r>
      <w:r w:rsidR="008E5AA1">
        <w:t>.</w:t>
      </w:r>
      <w:r w:rsidR="008E5AA1" w:rsidRPr="008E5AA1">
        <w:t xml:space="preserve"> </w:t>
      </w:r>
    </w:p>
    <w:p w14:paraId="32DE607C" w14:textId="0D0ECFD0" w:rsidR="009B07FA" w:rsidRPr="009B07FA" w:rsidRDefault="008E5AA1" w:rsidP="009B07FA">
      <w:pPr>
        <w:pStyle w:val="BodyCopy"/>
      </w:pPr>
      <w:r>
        <w:t xml:space="preserve">A client who needs a syringe driver overnight cannot be cared for at AMC. </w:t>
      </w:r>
    </w:p>
    <w:p w14:paraId="5B1CC685" w14:textId="77777777" w:rsidR="009B07FA" w:rsidRPr="009B07FA" w:rsidRDefault="009B07FA" w:rsidP="009B07FA">
      <w:pPr>
        <w:pStyle w:val="BodyCopy"/>
      </w:pPr>
      <w:r w:rsidRPr="009B07FA">
        <w:t>Transitional accommodation at AMC may be utilised for a client who is palliative and their buddy carer. Transitional accommodation is unsuitable for someone who may require regular care from the health clinic.</w:t>
      </w:r>
    </w:p>
    <w:p w14:paraId="495E6786" w14:textId="77777777" w:rsidR="00026693" w:rsidRDefault="00026693" w:rsidP="00026693">
      <w:pPr>
        <w:pStyle w:val="BodyCopy"/>
      </w:pPr>
      <w:hyperlink w:anchor="_top" w:history="1">
        <w:r w:rsidRPr="00481A6C">
          <w:rPr>
            <w:rStyle w:val="Hyperlink"/>
            <w:iCs w:val="0"/>
          </w:rPr>
          <w:t>Back to Contents</w:t>
        </w:r>
      </w:hyperlink>
    </w:p>
    <w:p w14:paraId="1F0FFF90" w14:textId="5863D422" w:rsidR="00026693" w:rsidRDefault="00026693" w:rsidP="00026693">
      <w:pPr>
        <w:pStyle w:val="Heading4"/>
      </w:pPr>
      <w:bookmarkStart w:id="17" w:name="_Toc198277150"/>
      <w:r w:rsidRPr="0078367D">
        <w:t xml:space="preserve">Section </w:t>
      </w:r>
      <w:r w:rsidR="004D4203">
        <w:t>8</w:t>
      </w:r>
      <w:r w:rsidR="00205EE6" w:rsidRPr="003D2D06">
        <w:t xml:space="preserve">– </w:t>
      </w:r>
      <w:r w:rsidR="00205EE6">
        <w:t xml:space="preserve">Talking with a Client and their Family about </w:t>
      </w:r>
      <w:r w:rsidR="007A6FAB">
        <w:t>End-of-Life</w:t>
      </w:r>
      <w:r w:rsidR="00205EE6">
        <w:t xml:space="preserve"> Care</w:t>
      </w:r>
      <w:bookmarkEnd w:id="17"/>
      <w:r w:rsidR="00205EE6" w:rsidRPr="0078367D">
        <w:t xml:space="preserve"> </w:t>
      </w:r>
    </w:p>
    <w:p w14:paraId="3BF3EBB0" w14:textId="3F8EE0BC" w:rsidR="00C256F7" w:rsidRPr="00C256F7" w:rsidRDefault="00C256F7" w:rsidP="00C256F7">
      <w:pPr>
        <w:pStyle w:val="BodyCopy"/>
      </w:pPr>
      <w:r w:rsidRPr="00C256F7">
        <w:t>Ongoing communication with the client, their family, substitute or supported decision maker is essential to ensure that they are aware of changes in the client’s condition and that they understand and support care and treatment strategies.</w:t>
      </w:r>
    </w:p>
    <w:p w14:paraId="4589EB7C" w14:textId="74FABBDB" w:rsidR="00C256F7" w:rsidRPr="00C256F7" w:rsidRDefault="00D137FA" w:rsidP="00C256F7">
      <w:pPr>
        <w:pStyle w:val="BodyCopy"/>
      </w:pPr>
      <w:r>
        <w:t>E</w:t>
      </w:r>
      <w:r w:rsidR="00C256F7" w:rsidRPr="00C256F7">
        <w:t>nsure family contact details are up to date.</w:t>
      </w:r>
    </w:p>
    <w:p w14:paraId="60041727" w14:textId="3E6E45CD" w:rsidR="00C256F7" w:rsidRPr="00C256F7" w:rsidRDefault="00C256F7" w:rsidP="00C256F7">
      <w:pPr>
        <w:pStyle w:val="BodyCopy"/>
      </w:pPr>
      <w:r w:rsidRPr="00C256F7">
        <w:t xml:space="preserve">Consider provision of additional special family visits to support the client who is dying and allow the appropriate and natural grieving process for family members. Offering a referral to MHJHADS Cultural Specialist Service is to be considered for those identifying as Aboriginal and Torres Strait Islander at this time if they are not already involved. </w:t>
      </w:r>
    </w:p>
    <w:p w14:paraId="4C2F2C76" w14:textId="261AC046" w:rsidR="00C256F7" w:rsidRPr="00C256F7" w:rsidRDefault="00C256F7" w:rsidP="00C256F7">
      <w:pPr>
        <w:pStyle w:val="BodyCopy"/>
      </w:pPr>
      <w:r w:rsidRPr="00C256F7">
        <w:t xml:space="preserve">Loss and grief issues need to be broached by the JHS multidisciplinary team at the time a comfort care plan is implemented. Bereavement information is to be given to the client (if appropriate) and to family members, both those in the community and detained at AMC. </w:t>
      </w:r>
    </w:p>
    <w:p w14:paraId="48C99125" w14:textId="6DF0E4E6" w:rsidR="00C256F7" w:rsidRPr="00C256F7" w:rsidRDefault="00C256F7" w:rsidP="00C256F7">
      <w:pPr>
        <w:pStyle w:val="BodyCopy"/>
      </w:pPr>
      <w:r w:rsidRPr="00C256F7">
        <w:t>Wherever the death is expected to occur</w:t>
      </w:r>
      <w:r w:rsidR="00696796">
        <w:t>,</w:t>
      </w:r>
      <w:r w:rsidRPr="00C256F7">
        <w:t xml:space="preserve"> </w:t>
      </w:r>
      <w:r w:rsidR="00E12F86">
        <w:t xml:space="preserve">the service caring for the client and their </w:t>
      </w:r>
      <w:r w:rsidRPr="00C256F7">
        <w:t xml:space="preserve">family should be informed beforehand that the death will be considered a death in custody, and all </w:t>
      </w:r>
      <w:r w:rsidR="00B17C10">
        <w:t xml:space="preserve">made </w:t>
      </w:r>
      <w:r w:rsidRPr="00C256F7">
        <w:t xml:space="preserve">aware of the required process. </w:t>
      </w:r>
      <w:r w:rsidR="00B17C10">
        <w:t>The service in which the client is being cared for is responsible for notifying JHS a</w:t>
      </w:r>
      <w:r w:rsidR="001E5639">
        <w:t xml:space="preserve">nd </w:t>
      </w:r>
      <w:r w:rsidR="009917F4">
        <w:t>A</w:t>
      </w:r>
      <w:r w:rsidR="009917F4" w:rsidRPr="009917F4">
        <w:t>CT</w:t>
      </w:r>
      <w:r w:rsidRPr="009917F4">
        <w:t>CS</w:t>
      </w:r>
      <w:r w:rsidRPr="00C256F7">
        <w:t xml:space="preserve"> </w:t>
      </w:r>
      <w:r w:rsidR="001E5639">
        <w:t xml:space="preserve">of the death. It is </w:t>
      </w:r>
      <w:r w:rsidR="009917F4" w:rsidRPr="009917F4">
        <w:t>ACT</w:t>
      </w:r>
      <w:r w:rsidR="001E5639" w:rsidRPr="009917F4">
        <w:t>CS</w:t>
      </w:r>
      <w:r w:rsidR="001E5639">
        <w:t xml:space="preserve"> </w:t>
      </w:r>
      <w:r w:rsidRPr="00C256F7">
        <w:t xml:space="preserve">responsibility to inform the family of the death. </w:t>
      </w:r>
    </w:p>
    <w:p w14:paraId="0CB6E3DC" w14:textId="3E609189" w:rsidR="00C256F7" w:rsidRPr="00C256F7" w:rsidRDefault="00C256F7" w:rsidP="00C256F7">
      <w:pPr>
        <w:pStyle w:val="BodyCopy"/>
      </w:pPr>
      <w:r w:rsidRPr="00C256F7">
        <w:t xml:space="preserve">See Section </w:t>
      </w:r>
      <w:r w:rsidR="00437DAF">
        <w:t>9</w:t>
      </w:r>
      <w:r w:rsidRPr="00C256F7">
        <w:t xml:space="preserve"> Dying and Bereavement for information on bereavement needs of families. </w:t>
      </w:r>
    </w:p>
    <w:p w14:paraId="03F7B6A8" w14:textId="77777777" w:rsidR="00026693" w:rsidRDefault="00026693" w:rsidP="00026693">
      <w:pPr>
        <w:pStyle w:val="BodyCopy"/>
        <w:rPr>
          <w:rStyle w:val="Hyperlink"/>
          <w:iCs w:val="0"/>
        </w:rPr>
      </w:pPr>
      <w:hyperlink w:anchor="_top" w:history="1">
        <w:r w:rsidRPr="00481A6C">
          <w:rPr>
            <w:rStyle w:val="Hyperlink"/>
            <w:iCs w:val="0"/>
          </w:rPr>
          <w:t>Back to Contents</w:t>
        </w:r>
      </w:hyperlink>
    </w:p>
    <w:p w14:paraId="32381FB6" w14:textId="49E8CF35" w:rsidR="004652A8" w:rsidRDefault="004652A8" w:rsidP="004652A8">
      <w:pPr>
        <w:pStyle w:val="Heading4"/>
      </w:pPr>
      <w:bookmarkStart w:id="18" w:name="_Toc198277151"/>
      <w:r w:rsidRPr="0078367D">
        <w:t xml:space="preserve">Section </w:t>
      </w:r>
      <w:r w:rsidR="00404F9A">
        <w:t>9</w:t>
      </w:r>
      <w:r w:rsidR="00E12F86">
        <w:t xml:space="preserve"> </w:t>
      </w:r>
      <w:r w:rsidR="00E12F86" w:rsidRPr="0078367D">
        <w:t>–</w:t>
      </w:r>
      <w:r w:rsidR="00A053C8" w:rsidRPr="003D2D06">
        <w:t xml:space="preserve"> </w:t>
      </w:r>
      <w:r w:rsidR="00A053C8">
        <w:t>Dying and Bereavement</w:t>
      </w:r>
      <w:bookmarkEnd w:id="18"/>
    </w:p>
    <w:p w14:paraId="360940FD" w14:textId="411A5BAB" w:rsidR="009B5F81" w:rsidRPr="009B5F81" w:rsidRDefault="009B5F81" w:rsidP="009B5F81">
      <w:pPr>
        <w:pStyle w:val="BodyCopy"/>
      </w:pPr>
      <w:r w:rsidRPr="009B5F81">
        <w:t xml:space="preserve">Consideration is to be given to dying on country for clients who are Aboriginal and Torres Strait Islander. </w:t>
      </w:r>
      <w:r w:rsidR="00EB294B">
        <w:t xml:space="preserve">When </w:t>
      </w:r>
      <w:r w:rsidR="00EB294B" w:rsidRPr="009B5F81">
        <w:t>consent is provided</w:t>
      </w:r>
      <w:r w:rsidR="00EB294B">
        <w:t xml:space="preserve"> by the client,</w:t>
      </w:r>
      <w:r w:rsidR="00EB294B" w:rsidRPr="009B5F81">
        <w:t xml:space="preserve"> </w:t>
      </w:r>
      <w:r w:rsidR="00EB294B">
        <w:t>c</w:t>
      </w:r>
      <w:r w:rsidRPr="009B5F81">
        <w:t>onsul</w:t>
      </w:r>
      <w:r w:rsidR="001271F0">
        <w:t xml:space="preserve">t </w:t>
      </w:r>
      <w:r w:rsidR="002936ED">
        <w:t xml:space="preserve">with </w:t>
      </w:r>
      <w:r w:rsidR="001271F0">
        <w:t xml:space="preserve">and refer </w:t>
      </w:r>
      <w:r w:rsidR="00EB294B">
        <w:t xml:space="preserve">the client </w:t>
      </w:r>
      <w:r w:rsidR="001271F0">
        <w:t>to the</w:t>
      </w:r>
      <w:r w:rsidRPr="009B5F81">
        <w:t xml:space="preserve"> MHJHADS Cultural Specialist </w:t>
      </w:r>
      <w:r w:rsidR="00F95554" w:rsidRPr="009B5F81">
        <w:t>Service</w:t>
      </w:r>
      <w:r w:rsidR="00F95554">
        <w:t>.</w:t>
      </w:r>
    </w:p>
    <w:p w14:paraId="06F00FD9" w14:textId="77777777" w:rsidR="009B5F81" w:rsidRPr="009B5F81" w:rsidRDefault="009B5F81" w:rsidP="009B5F81">
      <w:pPr>
        <w:pStyle w:val="BodyCopy"/>
      </w:pPr>
      <w:r w:rsidRPr="009B5F81">
        <w:lastRenderedPageBreak/>
        <w:t xml:space="preserve">Cultural rituals are to be undertaken in preparation for dying and following death in accordance with existing policies and procedures at AMC.  </w:t>
      </w:r>
    </w:p>
    <w:p w14:paraId="105EDC1F" w14:textId="77777777" w:rsidR="009B5F81" w:rsidRPr="009B5F81" w:rsidRDefault="009B5F81" w:rsidP="009B5F81">
      <w:pPr>
        <w:pStyle w:val="BodyCopy"/>
      </w:pPr>
      <w:r w:rsidRPr="009B5F81">
        <w:t xml:space="preserve">Most families appreciate and benefit from bereavement support. It is important to ensure that the relatives and friends of the dying client are offered information about loss and grief. </w:t>
      </w:r>
    </w:p>
    <w:p w14:paraId="0E1E8DCA" w14:textId="77777777" w:rsidR="009B5F81" w:rsidRPr="009B5F81" w:rsidRDefault="009B5F81" w:rsidP="009B5F81">
      <w:pPr>
        <w:pStyle w:val="BodyCopy"/>
      </w:pPr>
      <w:r w:rsidRPr="009B5F81">
        <w:t>Loss and grief issues are to be followed up by the JHS multidisciplinary team and bereavement information given to family members both in AMC and in the community. It is important to identify risk of complicated grief and offer a referral to appropriate services.</w:t>
      </w:r>
    </w:p>
    <w:p w14:paraId="2FA74E01" w14:textId="77777777" w:rsidR="009B5F81" w:rsidRPr="009B5F81" w:rsidRDefault="009B5F81" w:rsidP="009B5F81">
      <w:pPr>
        <w:pStyle w:val="BodyCopy"/>
      </w:pPr>
      <w:r w:rsidRPr="009B5F81">
        <w:t xml:space="preserve">Bereavement support to family members inside of AMC will be arranged by JHS in consultation with CHH Social Work Services and any other services that are engaged in care.   A referral to CHH Social Work Service for psychosocial support is to be offered to family members where there are complex grief issues presenting. </w:t>
      </w:r>
    </w:p>
    <w:p w14:paraId="7A7B6031" w14:textId="26FB8A69" w:rsidR="009B5F81" w:rsidRPr="009B5F81" w:rsidRDefault="009B5F81" w:rsidP="009B5F81">
      <w:pPr>
        <w:pStyle w:val="BodyCopy"/>
      </w:pPr>
      <w:r w:rsidRPr="009B5F81">
        <w:t>Bereavement support is available for family members in the community. A referral can be made JHS through DHR, or by the family member, or Complex Care Service by phoning CHH</w:t>
      </w:r>
      <w:r w:rsidR="00661492">
        <w:t xml:space="preserve"> </w:t>
      </w:r>
      <w:r w:rsidRPr="009B5F81">
        <w:t xml:space="preserve">as required. Where a family member in the community identifies as Aboriginal and Torres Strait Islander, a referral will be offered by JHS to both the CHH Social Work Service, and MHJHADS Cultural Specialist Service for ongoing support. </w:t>
      </w:r>
    </w:p>
    <w:p w14:paraId="58AC5FC2" w14:textId="66C2378F" w:rsidR="009B5F81" w:rsidRPr="009B5F81" w:rsidRDefault="009B5F81" w:rsidP="009B5F81">
      <w:pPr>
        <w:pStyle w:val="BodyCopy"/>
      </w:pPr>
      <w:r w:rsidRPr="009B5F81">
        <w:t xml:space="preserve">Buddy carers and other people in custody may be impacted by the death of a client, as are other family and carers who have looked after a </w:t>
      </w:r>
      <w:r w:rsidR="00661492">
        <w:t xml:space="preserve">dying </w:t>
      </w:r>
      <w:r w:rsidRPr="009B5F81">
        <w:t xml:space="preserve">client. Bereavement support to other clients in custody will be provided by the JHS multidisciplinary team. Where a buddy carer or other client in custody is a client of WNAHCS, consultation with WNAHCS around provision of bereavement support is to be held. </w:t>
      </w:r>
    </w:p>
    <w:p w14:paraId="78E8B926" w14:textId="77777777" w:rsidR="009B5F81" w:rsidRPr="009B5F81" w:rsidRDefault="009B5F81" w:rsidP="009B5F81">
      <w:pPr>
        <w:pStyle w:val="BodyCopy"/>
      </w:pPr>
      <w:r w:rsidRPr="009B5F81">
        <w:t>CHH Social Work Service will provide palliative psychosocial consultancy to JHS multidisciplinary staff to respond to family members or buddy carers as required.</w:t>
      </w:r>
    </w:p>
    <w:p w14:paraId="5ECA874D" w14:textId="79BB7F47" w:rsidR="004652A8" w:rsidRDefault="004652A8" w:rsidP="004652A8">
      <w:pPr>
        <w:pStyle w:val="BodyCopy"/>
      </w:pPr>
      <w:hyperlink w:anchor="_top" w:history="1">
        <w:r w:rsidRPr="00481A6C">
          <w:rPr>
            <w:rStyle w:val="Hyperlink"/>
            <w:iCs w:val="0"/>
          </w:rPr>
          <w:t>Back to Contents</w:t>
        </w:r>
      </w:hyperlink>
    </w:p>
    <w:p w14:paraId="7275AF53" w14:textId="62F2FE27" w:rsidR="004652A8" w:rsidRDefault="004652A8" w:rsidP="004652A8">
      <w:pPr>
        <w:pStyle w:val="Heading4"/>
      </w:pPr>
      <w:bookmarkStart w:id="19" w:name="_Toc198277152"/>
      <w:r w:rsidRPr="0078367D">
        <w:t xml:space="preserve">Section </w:t>
      </w:r>
      <w:r w:rsidR="00AF510F">
        <w:t>1</w:t>
      </w:r>
      <w:r w:rsidR="00404F9A">
        <w:t>0</w:t>
      </w:r>
      <w:r w:rsidRPr="0078367D">
        <w:t xml:space="preserve"> </w:t>
      </w:r>
      <w:r w:rsidRPr="003D2D06">
        <w:t xml:space="preserve">– </w:t>
      </w:r>
      <w:r w:rsidR="00AF510F">
        <w:t>When Death Occurs</w:t>
      </w:r>
      <w:bookmarkEnd w:id="19"/>
    </w:p>
    <w:p w14:paraId="7CDB1E22" w14:textId="1FD74C10" w:rsidR="00FB50A7" w:rsidRPr="00FB50A7" w:rsidRDefault="00FB50A7" w:rsidP="00FB50A7">
      <w:pPr>
        <w:pStyle w:val="BodyCopy"/>
      </w:pPr>
      <w:r w:rsidRPr="00FB50A7">
        <w:t>When a client dies it is important to ensure family/carer know what will happen next and provid</w:t>
      </w:r>
      <w:r w:rsidR="0056251A">
        <w:t>e</w:t>
      </w:r>
      <w:r w:rsidRPr="00FB50A7">
        <w:t xml:space="preserve"> a referral for any support that may be required.  </w:t>
      </w:r>
      <w:r w:rsidR="001E0873">
        <w:t>T</w:t>
      </w:r>
      <w:r w:rsidRPr="00FB50A7">
        <w:t xml:space="preserve">he ‘When someone dies’ booklet </w:t>
      </w:r>
      <w:r w:rsidR="001E0873">
        <w:t xml:space="preserve">is a helpful resource for </w:t>
      </w:r>
      <w:r w:rsidRPr="00FB50A7">
        <w:t>family/carer</w:t>
      </w:r>
      <w:r w:rsidR="001E0873">
        <w:t>s</w:t>
      </w:r>
      <w:r w:rsidRPr="00FB50A7">
        <w:t xml:space="preserve"> to assist in post death planning.</w:t>
      </w:r>
    </w:p>
    <w:p w14:paraId="4F921E0A" w14:textId="0ABCD7C1" w:rsidR="00FB50A7" w:rsidRPr="00FB50A7" w:rsidRDefault="00FB50A7" w:rsidP="00FB50A7">
      <w:pPr>
        <w:pStyle w:val="BodyCopy"/>
      </w:pPr>
      <w:r w:rsidRPr="00FB50A7">
        <w:t>An overview of tasks to be completed, and all relevant people to be informed of the client’s death, is provided in the below documents</w:t>
      </w:r>
      <w:r w:rsidR="00683DFB">
        <w:t>:</w:t>
      </w:r>
    </w:p>
    <w:p w14:paraId="33974338" w14:textId="77777777" w:rsidR="00FB50A7" w:rsidRPr="00FB50A7" w:rsidRDefault="00FB50A7" w:rsidP="00F529FE">
      <w:pPr>
        <w:pStyle w:val="Bullet"/>
        <w:numPr>
          <w:ilvl w:val="0"/>
          <w:numId w:val="8"/>
        </w:numPr>
      </w:pPr>
      <w:r w:rsidRPr="00FB50A7">
        <w:t xml:space="preserve">Death at AMC or Canberra Health Service: </w:t>
      </w:r>
      <w:r w:rsidRPr="00FB50A7">
        <w:rPr>
          <w:i/>
          <w:iCs/>
        </w:rPr>
        <w:t>Providing Care After Death</w:t>
      </w:r>
      <w:r w:rsidRPr="00FB50A7">
        <w:t xml:space="preserve"> Procedure </w:t>
      </w:r>
    </w:p>
    <w:p w14:paraId="4CFA902A" w14:textId="0CBC8A83" w:rsidR="00FB50A7" w:rsidRPr="00FB50A7" w:rsidRDefault="001E0873" w:rsidP="00F529FE">
      <w:pPr>
        <w:pStyle w:val="Bullet"/>
        <w:numPr>
          <w:ilvl w:val="0"/>
          <w:numId w:val="8"/>
        </w:numPr>
        <w:rPr>
          <w:bCs/>
          <w:iCs/>
        </w:rPr>
      </w:pPr>
      <w:r>
        <w:lastRenderedPageBreak/>
        <w:t>When a</w:t>
      </w:r>
      <w:r w:rsidR="00FB50A7" w:rsidRPr="00FB50A7">
        <w:t xml:space="preserve"> </w:t>
      </w:r>
      <w:r w:rsidR="003E3A48">
        <w:t xml:space="preserve">person in </w:t>
      </w:r>
      <w:r w:rsidR="00F95554">
        <w:t xml:space="preserve">custody </w:t>
      </w:r>
      <w:r w:rsidR="00F95554" w:rsidRPr="00FB50A7">
        <w:t>dies</w:t>
      </w:r>
      <w:r w:rsidR="00FB50A7" w:rsidRPr="00FB50A7">
        <w:t xml:space="preserve"> at AMC</w:t>
      </w:r>
      <w:r w:rsidR="003E3A48">
        <w:t>,</w:t>
      </w:r>
      <w:r w:rsidR="00FB50A7" w:rsidRPr="00FB50A7">
        <w:t xml:space="preserve"> </w:t>
      </w:r>
      <w:r w:rsidR="00680A15">
        <w:t xml:space="preserve">or </w:t>
      </w:r>
      <w:r w:rsidR="00FB50A7" w:rsidRPr="00FB50A7">
        <w:t>whilst a patient at Canberra Hospital or C</w:t>
      </w:r>
      <w:r w:rsidR="001C757D">
        <w:t>HH</w:t>
      </w:r>
      <w:r w:rsidR="00FB50A7" w:rsidRPr="00FB50A7">
        <w:t xml:space="preserve"> the incident will be subject to the </w:t>
      </w:r>
      <w:r w:rsidR="00FB50A7" w:rsidRPr="001E3C8B">
        <w:rPr>
          <w:i/>
          <w:iCs/>
        </w:rPr>
        <w:t>Coroners Act 1997</w:t>
      </w:r>
      <w:r w:rsidR="00FB50A7" w:rsidRPr="00FB50A7">
        <w:t xml:space="preserve"> </w:t>
      </w:r>
      <w:r w:rsidR="00604378">
        <w:t xml:space="preserve">and the </w:t>
      </w:r>
      <w:r>
        <w:t>body</w:t>
      </w:r>
      <w:r w:rsidR="00604378">
        <w:t xml:space="preserve"> must be released to police.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FB50A7" w:rsidRPr="00FB50A7" w14:paraId="6862DFEE" w14:textId="77777777" w:rsidTr="007877AF">
        <w:tc>
          <w:tcPr>
            <w:tcW w:w="9060" w:type="dxa"/>
          </w:tcPr>
          <w:p w14:paraId="235AAB1B" w14:textId="77777777" w:rsidR="00FB50A7" w:rsidRPr="00FB50A7" w:rsidRDefault="00FB50A7" w:rsidP="00FB50A7">
            <w:pPr>
              <w:pStyle w:val="BodyCopy"/>
            </w:pPr>
            <w:r w:rsidRPr="00FB50A7">
              <w:rPr>
                <w:b/>
              </w:rPr>
              <w:t>Note:</w:t>
            </w:r>
            <w:r w:rsidRPr="00FB50A7">
              <w:t xml:space="preserve"> All deaths of a detainee of AMC are considered “death in custody” and as such are subject to investigation by the Coroner.</w:t>
            </w:r>
          </w:p>
        </w:tc>
      </w:tr>
    </w:tbl>
    <w:p w14:paraId="27D40A7A" w14:textId="14BBB2B0" w:rsidR="004652A8" w:rsidRDefault="004652A8" w:rsidP="004652A8">
      <w:pPr>
        <w:pStyle w:val="BodyCopy"/>
      </w:pPr>
      <w:hyperlink w:anchor="_top" w:history="1">
        <w:r w:rsidRPr="00481A6C">
          <w:rPr>
            <w:rStyle w:val="Hyperlink"/>
            <w:iCs w:val="0"/>
          </w:rPr>
          <w:t>Back to Contents</w:t>
        </w:r>
      </w:hyperlink>
    </w:p>
    <w:p w14:paraId="0EED3574" w14:textId="546A1EA8" w:rsidR="004652A8" w:rsidRDefault="004652A8" w:rsidP="004652A8">
      <w:pPr>
        <w:pStyle w:val="Heading4"/>
      </w:pPr>
      <w:bookmarkStart w:id="20" w:name="_Toc198277153"/>
      <w:r w:rsidRPr="0078367D">
        <w:t xml:space="preserve">Section </w:t>
      </w:r>
      <w:r w:rsidR="00430AB7">
        <w:t>1</w:t>
      </w:r>
      <w:r w:rsidR="00404F9A">
        <w:t>1</w:t>
      </w:r>
      <w:r w:rsidRPr="0078367D">
        <w:t xml:space="preserve"> </w:t>
      </w:r>
      <w:r w:rsidRPr="003D2D06">
        <w:t xml:space="preserve">– </w:t>
      </w:r>
      <w:r w:rsidR="00430AB7">
        <w:t>When a client is released at end of sentence</w:t>
      </w:r>
      <w:bookmarkEnd w:id="20"/>
    </w:p>
    <w:p w14:paraId="74A83AB3" w14:textId="2E2EE915" w:rsidR="00CE6170" w:rsidRPr="00CE6170" w:rsidRDefault="00CE6170" w:rsidP="00CE6170">
      <w:pPr>
        <w:pStyle w:val="BodyCopy"/>
      </w:pPr>
      <w:r w:rsidRPr="00CE6170">
        <w:t xml:space="preserve">A client may be identified </w:t>
      </w:r>
      <w:r w:rsidR="009C0089">
        <w:t>as being</w:t>
      </w:r>
      <w:r w:rsidRPr="00CE6170">
        <w:t xml:space="preserve"> at end of life or palliative either prior </w:t>
      </w:r>
      <w:r w:rsidR="001464B8">
        <w:t xml:space="preserve">to </w:t>
      </w:r>
      <w:r w:rsidRPr="00CE6170">
        <w:t xml:space="preserve">or during a custodial sentence. Where a client is at end of life and/or palliative and is to be released, </w:t>
      </w:r>
      <w:r w:rsidR="00115BB4" w:rsidRPr="00CE6170">
        <w:t xml:space="preserve">prior to release </w:t>
      </w:r>
      <w:r w:rsidRPr="00CE6170">
        <w:t xml:space="preserve">a discussion on the Goals of Care following release is to </w:t>
      </w:r>
      <w:r w:rsidR="00F95554">
        <w:t>occur.</w:t>
      </w:r>
      <w:r w:rsidRPr="00CE6170">
        <w:t xml:space="preserve"> This discussion </w:t>
      </w:r>
      <w:r w:rsidR="00C95428">
        <w:t>should include</w:t>
      </w:r>
      <w:r w:rsidRPr="00CE6170">
        <w:t xml:space="preserve"> the client</w:t>
      </w:r>
      <w:r w:rsidR="00C95428">
        <w:t xml:space="preserve"> and</w:t>
      </w:r>
      <w:r w:rsidRPr="00CE6170">
        <w:t xml:space="preserve"> JHS</w:t>
      </w:r>
      <w:r w:rsidR="00633E67">
        <w:t>,</w:t>
      </w:r>
      <w:r w:rsidRPr="00CE6170">
        <w:t xml:space="preserve"> WNAHCS where the client is a patient of WNAHCS</w:t>
      </w:r>
      <w:r w:rsidR="00633E67">
        <w:t>,</w:t>
      </w:r>
      <w:r w:rsidRPr="00CE6170">
        <w:t xml:space="preserve"> with input from specialist palliative care services as required to determine appropriate palliative care service provision post release.  </w:t>
      </w:r>
    </w:p>
    <w:p w14:paraId="73E08D81" w14:textId="5296B896" w:rsidR="00CE6170" w:rsidRDefault="00633E67" w:rsidP="00CE6170">
      <w:pPr>
        <w:pStyle w:val="BodyCopy"/>
      </w:pPr>
      <w:r>
        <w:t>R</w:t>
      </w:r>
      <w:r w:rsidR="00CE6170" w:rsidRPr="00CE6170">
        <w:t>eferral</w:t>
      </w:r>
      <w:r>
        <w:t>s</w:t>
      </w:r>
      <w:r w:rsidR="00CE6170" w:rsidRPr="00CE6170">
        <w:t xml:space="preserve"> to </w:t>
      </w:r>
      <w:r>
        <w:t xml:space="preserve">other </w:t>
      </w:r>
      <w:r w:rsidR="00CE6170" w:rsidRPr="00CE6170">
        <w:t>service</w:t>
      </w:r>
      <w:r>
        <w:t xml:space="preserve">s are </w:t>
      </w:r>
      <w:r w:rsidR="00CE6170" w:rsidRPr="00CE6170">
        <w:t>to be completed at least two weeks prior to release to optimise service planning for seamless care post release. Where sudden release is granted, discussion on release date must occur with any supporting agencies to confirm necessary care requirements. This includes having home-based support in place prior to the client being released.</w:t>
      </w:r>
    </w:p>
    <w:p w14:paraId="6A12DC69" w14:textId="23A7A431" w:rsidR="00225F24" w:rsidRPr="00CE6170" w:rsidRDefault="00225F24" w:rsidP="00CE6170">
      <w:pPr>
        <w:pStyle w:val="BodyCopy"/>
      </w:pPr>
      <w:r w:rsidRPr="00225F24">
        <w:t>In addition to palliative care services, if an eligible client is wanting to commence or continue a voluntary assisted dying process, this must be facilitated prior to release to ensure that the client has appropriate follow up consultations in place</w:t>
      </w:r>
      <w:r>
        <w:t>.</w:t>
      </w:r>
    </w:p>
    <w:p w14:paraId="3D28671A" w14:textId="4437670E" w:rsidR="004652A8" w:rsidRDefault="004652A8" w:rsidP="004652A8">
      <w:pPr>
        <w:pStyle w:val="BodyCopy"/>
      </w:pPr>
      <w:hyperlink w:anchor="_top" w:history="1">
        <w:r w:rsidRPr="00481A6C">
          <w:rPr>
            <w:rStyle w:val="Hyperlink"/>
            <w:iCs w:val="0"/>
          </w:rPr>
          <w:t>Back to Contents</w:t>
        </w:r>
      </w:hyperlink>
    </w:p>
    <w:p w14:paraId="6E15ACDE" w14:textId="2250AB09" w:rsidR="004652A8" w:rsidRDefault="00B95278" w:rsidP="004652A8">
      <w:pPr>
        <w:pStyle w:val="Heading4"/>
      </w:pPr>
      <w:bookmarkStart w:id="21" w:name="_Toc198277154"/>
      <w:r w:rsidRPr="0078367D">
        <w:t>Section 1</w:t>
      </w:r>
      <w:r w:rsidR="00404F9A">
        <w:t>2</w:t>
      </w:r>
      <w:r w:rsidR="004652A8" w:rsidRPr="003D2D06">
        <w:t xml:space="preserve">– </w:t>
      </w:r>
      <w:r>
        <w:t>Staff Training and Support</w:t>
      </w:r>
      <w:bookmarkEnd w:id="21"/>
    </w:p>
    <w:p w14:paraId="656C9E09" w14:textId="029E77C9" w:rsidR="00F97001" w:rsidRPr="00F97001" w:rsidRDefault="00F97001" w:rsidP="00F97001">
      <w:pPr>
        <w:pStyle w:val="BodyCopy"/>
      </w:pPr>
      <w:r w:rsidRPr="00F97001">
        <w:t xml:space="preserve">Training and support </w:t>
      </w:r>
      <w:r w:rsidR="003F44EB" w:rsidRPr="00F97001">
        <w:t>are</w:t>
      </w:r>
      <w:r w:rsidRPr="00F97001">
        <w:t xml:space="preserve"> </w:t>
      </w:r>
      <w:r w:rsidR="00366812">
        <w:t>provided</w:t>
      </w:r>
      <w:r w:rsidRPr="00F97001">
        <w:t xml:space="preserve"> for custodial officers and health staff expected to care for a client who is dying. </w:t>
      </w:r>
    </w:p>
    <w:p w14:paraId="4223A881" w14:textId="77777777" w:rsidR="00F97001" w:rsidRPr="00F97001" w:rsidRDefault="00F97001" w:rsidP="00F97001">
      <w:pPr>
        <w:pStyle w:val="Heading5"/>
        <w:rPr>
          <w:rFonts w:eastAsia="Times New Roman"/>
        </w:rPr>
      </w:pPr>
      <w:r w:rsidRPr="00F97001">
        <w:rPr>
          <w:rFonts w:eastAsia="Times New Roman"/>
        </w:rPr>
        <w:t>Medical, Nursing and Allied Health staff</w:t>
      </w:r>
    </w:p>
    <w:p w14:paraId="6D042A90" w14:textId="568E5F6D" w:rsidR="00F97001" w:rsidRPr="00F97001" w:rsidRDefault="00366812" w:rsidP="00F97001">
      <w:pPr>
        <w:pStyle w:val="BodyCopy"/>
      </w:pPr>
      <w:r>
        <w:t>E</w:t>
      </w:r>
      <w:r w:rsidR="00F97001" w:rsidRPr="00F97001">
        <w:t xml:space="preserve">ducation </w:t>
      </w:r>
      <w:r>
        <w:t xml:space="preserve">is </w:t>
      </w:r>
      <w:r w:rsidR="00F97001" w:rsidRPr="00F97001">
        <w:t>provided in the complex care meetings</w:t>
      </w:r>
      <w:r>
        <w:t xml:space="preserve">. If a client </w:t>
      </w:r>
      <w:r w:rsidR="00F97001" w:rsidRPr="00F97001">
        <w:t>is identified to be palliative, ACT PEPA will provide joint hour training sessions on end of life and palliative care by request to Medical, Nursing and Allied Health staff working for JHS. Sessions will be organised by ACT PEPA in conjunction with the Nurse Manager</w:t>
      </w:r>
    </w:p>
    <w:p w14:paraId="164361EB" w14:textId="77777777" w:rsidR="00F97001" w:rsidRPr="00F97001" w:rsidRDefault="00F97001" w:rsidP="00F97001">
      <w:pPr>
        <w:pStyle w:val="Heading5"/>
        <w:rPr>
          <w:rFonts w:eastAsia="Times New Roman"/>
        </w:rPr>
      </w:pPr>
      <w:r w:rsidRPr="00F97001">
        <w:rPr>
          <w:rFonts w:eastAsia="Times New Roman"/>
        </w:rPr>
        <w:t>Staff Supportive Care</w:t>
      </w:r>
    </w:p>
    <w:p w14:paraId="32102C45" w14:textId="7F47A486" w:rsidR="00F97001" w:rsidRPr="00F97001" w:rsidRDefault="00F97001" w:rsidP="00F97001">
      <w:pPr>
        <w:pStyle w:val="BodyCopy"/>
      </w:pPr>
      <w:r w:rsidRPr="00F97001">
        <w:t xml:space="preserve">Most custodial officers do not expect to be working with terminal illness and death when they commence work in a custodial setting. Their role with a client who is dying may feel more like that within an aged care rather than custodial setting. This can be </w:t>
      </w:r>
      <w:r w:rsidRPr="00F97001">
        <w:lastRenderedPageBreak/>
        <w:t xml:space="preserve">confronting for staff and requires regular communication on the impact of working </w:t>
      </w:r>
      <w:r w:rsidR="00B6634F">
        <w:t xml:space="preserve">closely with those who are at end of </w:t>
      </w:r>
      <w:r w:rsidR="00882202">
        <w:t>life</w:t>
      </w:r>
      <w:r w:rsidR="00B6634F">
        <w:t xml:space="preserve"> or die while in custodial care. </w:t>
      </w:r>
    </w:p>
    <w:p w14:paraId="741072CD" w14:textId="391668F3" w:rsidR="00F97001" w:rsidRPr="00F97001" w:rsidRDefault="002A604A" w:rsidP="00F97001">
      <w:pPr>
        <w:pStyle w:val="BodyCopy"/>
      </w:pPr>
      <w:r w:rsidRPr="002A604A">
        <w:t>This can be made more complicated by the custodial environment, community attitudes, and the professional relationship with a client that develop. Regular debriefing focussed on end-of-life care should be included in staff schedules where a client is at end of life in AMC.</w:t>
      </w:r>
    </w:p>
    <w:p w14:paraId="361106CD" w14:textId="77777777" w:rsidR="00F97001" w:rsidRPr="00F97001" w:rsidRDefault="00F97001" w:rsidP="00F97001">
      <w:pPr>
        <w:pStyle w:val="Heading5"/>
        <w:rPr>
          <w:rFonts w:eastAsia="Times New Roman"/>
        </w:rPr>
      </w:pPr>
      <w:r w:rsidRPr="00F97001">
        <w:rPr>
          <w:rFonts w:eastAsia="Times New Roman"/>
        </w:rPr>
        <w:t>Implementing care from a palliative approach</w:t>
      </w:r>
    </w:p>
    <w:p w14:paraId="463EC8B4" w14:textId="54205A53" w:rsidR="00F97001" w:rsidRPr="00F97001" w:rsidRDefault="00F97001" w:rsidP="00F97001">
      <w:pPr>
        <w:pStyle w:val="BodyCopy"/>
      </w:pPr>
      <w:r w:rsidRPr="00F97001">
        <w:t xml:space="preserve">Training in providing care from a palliative approach is recommended and is available online for JHS, WNACHS and ACT Corrective Services Staff through HRIMS </w:t>
      </w:r>
      <w:r w:rsidRPr="00F97001">
        <w:rPr>
          <w:i/>
        </w:rPr>
        <w:t>end of life care</w:t>
      </w:r>
      <w:r w:rsidRPr="00F97001">
        <w:t xml:space="preserve"> program. This training can be supported by the ACT PEPA Program on request. </w:t>
      </w:r>
    </w:p>
    <w:p w14:paraId="71A6803F" w14:textId="77777777" w:rsidR="00F97001" w:rsidRPr="00F97001" w:rsidRDefault="00F97001" w:rsidP="00F97001">
      <w:pPr>
        <w:pStyle w:val="Heading5"/>
        <w:rPr>
          <w:rFonts w:eastAsia="Times New Roman"/>
        </w:rPr>
      </w:pPr>
      <w:r w:rsidRPr="00F97001">
        <w:rPr>
          <w:rFonts w:eastAsia="Times New Roman"/>
        </w:rPr>
        <w:t>Advance Care Planning</w:t>
      </w:r>
    </w:p>
    <w:p w14:paraId="51509935" w14:textId="1D1D39C1" w:rsidR="00F97001" w:rsidRPr="00F97001" w:rsidRDefault="006B13E5" w:rsidP="00F97001">
      <w:pPr>
        <w:pStyle w:val="BodyCopy"/>
      </w:pPr>
      <w:r>
        <w:t>JHS nursing</w:t>
      </w:r>
      <w:r w:rsidR="00F97001" w:rsidRPr="00F97001">
        <w:t xml:space="preserve"> staff at AMC will undertake training in Advance Care Planning through the HRIMS online </w:t>
      </w:r>
      <w:r w:rsidR="00F97001" w:rsidRPr="00F97001">
        <w:rPr>
          <w:i/>
        </w:rPr>
        <w:t xml:space="preserve">Advance Care Planning </w:t>
      </w:r>
      <w:r w:rsidR="00F97001" w:rsidRPr="00F97001">
        <w:t>course. Following completion of the online training</w:t>
      </w:r>
      <w:r w:rsidR="00986EEE">
        <w:t xml:space="preserve"> the</w:t>
      </w:r>
      <w:r w:rsidR="00F97001" w:rsidRPr="00F97001">
        <w:t xml:space="preserve"> CHS ACP Team will provide a session to Practice Nurses and General Practitioners on the use of ACT specific forms if required.</w:t>
      </w:r>
    </w:p>
    <w:p w14:paraId="0A253190" w14:textId="16E248C8" w:rsidR="00F97001" w:rsidRPr="00F97001" w:rsidRDefault="00986EEE" w:rsidP="00F97001">
      <w:pPr>
        <w:pStyle w:val="BodyCopy"/>
      </w:pPr>
      <w:r>
        <w:t xml:space="preserve">The </w:t>
      </w:r>
      <w:r w:rsidR="00684086" w:rsidRPr="00F97001">
        <w:t>CHS ACP Team</w:t>
      </w:r>
      <w:r w:rsidR="00684086">
        <w:t xml:space="preserve"> work with n</w:t>
      </w:r>
      <w:r w:rsidR="00F97001" w:rsidRPr="00F97001">
        <w:t xml:space="preserve">ursing and </w:t>
      </w:r>
      <w:r w:rsidR="00684086">
        <w:t>m</w:t>
      </w:r>
      <w:r w:rsidR="00F97001" w:rsidRPr="00F97001">
        <w:t>edical staff at AMC to complete Advance Care Plans.</w:t>
      </w:r>
    </w:p>
    <w:p w14:paraId="0AA00301" w14:textId="77777777" w:rsidR="00F97001" w:rsidRPr="00F97001" w:rsidRDefault="00F97001" w:rsidP="00F97001">
      <w:pPr>
        <w:pStyle w:val="BodyCopy"/>
      </w:pPr>
      <w:r w:rsidRPr="00F97001">
        <w:t>All JHS multidisciplinary team along with ACT Corrective Services staff can contribute to the effective implementation of the end of life and palliative care pathway by being aware of their specific care and documentation responsibilities in relation to it. These are summarised as:</w:t>
      </w:r>
    </w:p>
    <w:p w14:paraId="379FF124" w14:textId="122E9024" w:rsidR="00F97001" w:rsidRPr="00F97001" w:rsidRDefault="00F97001" w:rsidP="00F529FE">
      <w:pPr>
        <w:pStyle w:val="Bullet"/>
        <w:numPr>
          <w:ilvl w:val="0"/>
          <w:numId w:val="8"/>
        </w:numPr>
      </w:pPr>
      <w:r w:rsidRPr="00F97001">
        <w:t xml:space="preserve">continuing to build their knowledge and skills related to the delivery of </w:t>
      </w:r>
      <w:r w:rsidR="00260A4C" w:rsidRPr="00F97001">
        <w:t>high-quality</w:t>
      </w:r>
      <w:r w:rsidRPr="00F97001">
        <w:t xml:space="preserve"> end of life care through completion of online and face to face training in end of life and palliative care </w:t>
      </w:r>
    </w:p>
    <w:p w14:paraId="0DF2B943" w14:textId="360FEDAD" w:rsidR="00F97001" w:rsidRPr="00F97001" w:rsidRDefault="00F97001" w:rsidP="00F529FE">
      <w:pPr>
        <w:pStyle w:val="Bullet"/>
        <w:numPr>
          <w:ilvl w:val="0"/>
          <w:numId w:val="8"/>
        </w:numPr>
      </w:pPr>
      <w:r w:rsidRPr="00F97001">
        <w:t xml:space="preserve">supporting and mentoring less experienced staff about how to implement the delivery of </w:t>
      </w:r>
      <w:r w:rsidR="00260A4C" w:rsidRPr="00F97001">
        <w:t>high-quality</w:t>
      </w:r>
      <w:r w:rsidRPr="00F97001">
        <w:t xml:space="preserve"> end of life care</w:t>
      </w:r>
    </w:p>
    <w:p w14:paraId="33BA083F" w14:textId="3D1622E9" w:rsidR="00F97001" w:rsidRPr="00F97001" w:rsidRDefault="00F97001" w:rsidP="00F529FE">
      <w:pPr>
        <w:pStyle w:val="Bullet"/>
        <w:numPr>
          <w:ilvl w:val="0"/>
          <w:numId w:val="8"/>
        </w:numPr>
        <w:rPr>
          <w:bCs/>
          <w:iCs/>
        </w:rPr>
      </w:pPr>
      <w:r w:rsidRPr="00F97001">
        <w:t xml:space="preserve">reflecting on their </w:t>
      </w:r>
      <w:r w:rsidR="00260A4C" w:rsidRPr="00F97001">
        <w:t>end-of-life</w:t>
      </w:r>
      <w:r w:rsidRPr="00F97001">
        <w:t xml:space="preserve"> care practices and participating in audit processes as an ongoing quality</w:t>
      </w:r>
      <w:r w:rsidRPr="00F97001">
        <w:rPr>
          <w:bCs/>
          <w:iCs/>
        </w:rPr>
        <w:t xml:space="preserve"> improvement process within AMC.</w:t>
      </w:r>
    </w:p>
    <w:p w14:paraId="2CB1CCB4" w14:textId="77777777" w:rsidR="00F97001" w:rsidRPr="00F97001" w:rsidRDefault="00F97001" w:rsidP="00F97001">
      <w:pPr>
        <w:pStyle w:val="Heading5"/>
        <w:rPr>
          <w:rFonts w:eastAsia="Times New Roman"/>
        </w:rPr>
      </w:pPr>
      <w:r w:rsidRPr="00F97001">
        <w:rPr>
          <w:rFonts w:eastAsia="Times New Roman"/>
        </w:rPr>
        <w:t>Clare Holland House</w:t>
      </w:r>
    </w:p>
    <w:p w14:paraId="3C06DBAD" w14:textId="77777777" w:rsidR="00F97001" w:rsidRPr="00F97001" w:rsidRDefault="00F97001" w:rsidP="00F97001">
      <w:pPr>
        <w:pStyle w:val="BodyCopy"/>
      </w:pPr>
      <w:r w:rsidRPr="00F97001">
        <w:t xml:space="preserve">JHS staff will be available to conduct training for CHH staff on caring for clients of AMC JHS prior to a client being admitted into CHH. </w:t>
      </w:r>
    </w:p>
    <w:p w14:paraId="5095ACB2" w14:textId="0668D956" w:rsidR="004652A8" w:rsidRDefault="004652A8" w:rsidP="004652A8">
      <w:pPr>
        <w:pStyle w:val="BodyCopy"/>
      </w:pPr>
      <w:hyperlink w:anchor="_top" w:history="1">
        <w:r w:rsidRPr="00481A6C">
          <w:rPr>
            <w:rStyle w:val="Hyperlink"/>
            <w:iCs w:val="0"/>
          </w:rPr>
          <w:t>Back to Contents</w:t>
        </w:r>
      </w:hyperlink>
    </w:p>
    <w:p w14:paraId="6A060589" w14:textId="77777777" w:rsidR="0078367D" w:rsidRDefault="0078367D" w:rsidP="00A6051F">
      <w:pPr>
        <w:pStyle w:val="Heading4"/>
      </w:pPr>
      <w:bookmarkStart w:id="22" w:name="_Toc176348490"/>
      <w:bookmarkStart w:id="23" w:name="_Toc198277155"/>
      <w:r>
        <w:t>Evaluation</w:t>
      </w:r>
      <w:bookmarkStart w:id="24" w:name="_Hlk43366294"/>
      <w:bookmarkEnd w:id="22"/>
      <w:bookmarkEnd w:id="23"/>
    </w:p>
    <w:p w14:paraId="6D7F27BA" w14:textId="77777777" w:rsidR="00481A6C" w:rsidRDefault="00481A6C" w:rsidP="00C34A10">
      <w:pPr>
        <w:pStyle w:val="Heading5"/>
      </w:pPr>
      <w:bookmarkStart w:id="25" w:name="_Hlk170467190"/>
      <w:bookmarkEnd w:id="24"/>
      <w:r w:rsidRPr="00C34A10">
        <w:lastRenderedPageBreak/>
        <w:t>Outcome</w:t>
      </w:r>
    </w:p>
    <w:p w14:paraId="68BCCA71" w14:textId="1E1EB226" w:rsidR="004B2D97" w:rsidRPr="004B2D97" w:rsidRDefault="004B2D97" w:rsidP="004B2D97">
      <w:pPr>
        <w:pStyle w:val="Bullet"/>
      </w:pPr>
      <w:bookmarkStart w:id="26" w:name="_Hlk170467240"/>
      <w:bookmarkEnd w:id="25"/>
      <w:r w:rsidRPr="004B2D97">
        <w:t xml:space="preserve">Detainees of AMC identified as requiring </w:t>
      </w:r>
      <w:r w:rsidR="00C015C3">
        <w:t xml:space="preserve">palliative or </w:t>
      </w:r>
      <w:r w:rsidRPr="004B2D97">
        <w:t>end of life care, receive care as per this guideline.</w:t>
      </w:r>
    </w:p>
    <w:p w14:paraId="561AFAA4" w14:textId="030DDFBD" w:rsidR="00481A6C" w:rsidRPr="00C34A10" w:rsidRDefault="00C34A10" w:rsidP="00C34A10">
      <w:pPr>
        <w:pStyle w:val="Heading5"/>
      </w:pPr>
      <w:r>
        <w:t>Measures</w:t>
      </w:r>
    </w:p>
    <w:bookmarkEnd w:id="26"/>
    <w:p w14:paraId="206B79CB" w14:textId="18BEB369" w:rsidR="00481A6C" w:rsidRPr="00C34A10" w:rsidRDefault="00956C80" w:rsidP="00956C80">
      <w:pPr>
        <w:pStyle w:val="Bullet"/>
      </w:pPr>
      <w:r>
        <w:t>A</w:t>
      </w:r>
      <w:r w:rsidRPr="00956C80">
        <w:t xml:space="preserve">nnual audit of clinical records of detainees of AMC who received </w:t>
      </w:r>
      <w:r w:rsidR="00C015C3">
        <w:t xml:space="preserve">palliative or </w:t>
      </w:r>
      <w:r w:rsidRPr="00956C80">
        <w:t xml:space="preserve">end of life care to ensure compliance with this guideline.  </w:t>
      </w:r>
    </w:p>
    <w:p w14:paraId="562C32B7" w14:textId="77777777" w:rsidR="00481A6C" w:rsidRDefault="00481A6C" w:rsidP="002D7682">
      <w:pPr>
        <w:pStyle w:val="BodyCopy"/>
        <w:spacing w:after="120"/>
        <w:rPr>
          <w:rStyle w:val="Hyperlink"/>
          <w:iCs w:val="0"/>
        </w:rPr>
      </w:pPr>
      <w:hyperlink w:anchor="_top" w:history="1">
        <w:r w:rsidRPr="00481A6C">
          <w:rPr>
            <w:rStyle w:val="Hyperlink"/>
            <w:iCs w:val="0"/>
          </w:rPr>
          <w:t>Back to Contents</w:t>
        </w:r>
      </w:hyperlink>
    </w:p>
    <w:p w14:paraId="78A28BBD" w14:textId="77777777" w:rsidR="00A6051F" w:rsidRDefault="00A6051F" w:rsidP="00A6051F">
      <w:pPr>
        <w:pStyle w:val="Heading4"/>
      </w:pPr>
      <w:bookmarkStart w:id="27" w:name="_Toc198277156"/>
      <w:r>
        <w:t>Related policies, procedures, guidelines and legislation</w:t>
      </w:r>
      <w:bookmarkEnd w:id="27"/>
    </w:p>
    <w:p w14:paraId="0ED7DC22" w14:textId="780DEE4C" w:rsidR="00481A6C" w:rsidRDefault="00481A6C" w:rsidP="00481A6C">
      <w:pPr>
        <w:rPr>
          <w:lang w:eastAsia="en-US"/>
        </w:rPr>
      </w:pPr>
      <w:r>
        <w:rPr>
          <w:lang w:eastAsia="en-US"/>
        </w:rPr>
        <w:t>CHS policies/procedures/guidelines and ACT legislation related to this body of work</w:t>
      </w:r>
      <w:r w:rsidR="00C015C3">
        <w:rPr>
          <w:lang w:eastAsia="en-US"/>
        </w:rPr>
        <w:t>:</w:t>
      </w:r>
    </w:p>
    <w:p w14:paraId="0A24AB3E" w14:textId="77777777" w:rsidR="00481A6C" w:rsidRPr="00A66966" w:rsidRDefault="00481A6C" w:rsidP="00A6051F">
      <w:pPr>
        <w:pStyle w:val="Heading5"/>
      </w:pPr>
      <w:r w:rsidRPr="00A66966">
        <w:t>Policies</w:t>
      </w:r>
    </w:p>
    <w:p w14:paraId="3BCA276A" w14:textId="77777777" w:rsidR="00997834" w:rsidRDefault="00997834" w:rsidP="00F529FE">
      <w:pPr>
        <w:pStyle w:val="Bullet"/>
        <w:numPr>
          <w:ilvl w:val="0"/>
          <w:numId w:val="8"/>
        </w:numPr>
      </w:pPr>
      <w:r>
        <w:t>Nursing and Midwifery Board of Australia (NMBA) Requirements for Practice</w:t>
      </w:r>
    </w:p>
    <w:p w14:paraId="126B7380" w14:textId="77777777" w:rsidR="009E525F" w:rsidRPr="00B61F35" w:rsidRDefault="009E525F" w:rsidP="00F529FE">
      <w:pPr>
        <w:pStyle w:val="Bullet"/>
        <w:numPr>
          <w:ilvl w:val="0"/>
          <w:numId w:val="8"/>
        </w:numPr>
      </w:pPr>
      <w:r w:rsidRPr="00265D14">
        <w:t>Medication Handling Polic</w:t>
      </w:r>
      <w:r>
        <w:t xml:space="preserve">y </w:t>
      </w:r>
    </w:p>
    <w:p w14:paraId="5556E8B2" w14:textId="154983FD" w:rsidR="00481A6C" w:rsidRDefault="00F95554" w:rsidP="00A6051F">
      <w:pPr>
        <w:pStyle w:val="Heading5"/>
      </w:pPr>
      <w:r>
        <w:t xml:space="preserve">CHS </w:t>
      </w:r>
      <w:r w:rsidR="00481A6C">
        <w:t>Procedures</w:t>
      </w:r>
    </w:p>
    <w:p w14:paraId="4E537084" w14:textId="77777777" w:rsidR="00227CA5" w:rsidRDefault="00227CA5" w:rsidP="00F529FE">
      <w:pPr>
        <w:pStyle w:val="Bullet"/>
        <w:numPr>
          <w:ilvl w:val="0"/>
          <w:numId w:val="8"/>
        </w:numPr>
      </w:pPr>
      <w:r>
        <w:t>Infection Prevention and Control Procedure</w:t>
      </w:r>
    </w:p>
    <w:p w14:paraId="72105DA1" w14:textId="77777777" w:rsidR="00227CA5" w:rsidRDefault="00227CA5" w:rsidP="00F529FE">
      <w:pPr>
        <w:pStyle w:val="Bullet"/>
        <w:numPr>
          <w:ilvl w:val="0"/>
          <w:numId w:val="8"/>
        </w:numPr>
      </w:pPr>
      <w:r>
        <w:t xml:space="preserve">Providing care after Death Procedure </w:t>
      </w:r>
    </w:p>
    <w:p w14:paraId="0A914D8E" w14:textId="77777777" w:rsidR="00F95554" w:rsidRDefault="00605A27" w:rsidP="00F529FE">
      <w:pPr>
        <w:pStyle w:val="Bullet"/>
        <w:numPr>
          <w:ilvl w:val="0"/>
          <w:numId w:val="8"/>
        </w:numPr>
      </w:pPr>
      <w:r>
        <w:t>Advance Care Planning</w:t>
      </w:r>
    </w:p>
    <w:p w14:paraId="59645CF2" w14:textId="58B09D59" w:rsidR="00493A52" w:rsidRDefault="00493A52" w:rsidP="00F529FE">
      <w:pPr>
        <w:pStyle w:val="Bullet"/>
        <w:numPr>
          <w:ilvl w:val="0"/>
          <w:numId w:val="8"/>
        </w:numPr>
      </w:pPr>
      <w:r w:rsidRPr="00493A52">
        <w:t>Person/s in Custody as Inpatients</w:t>
      </w:r>
    </w:p>
    <w:p w14:paraId="0A378317" w14:textId="187222B2" w:rsidR="00DC4211" w:rsidRDefault="00DC4211" w:rsidP="00F529FE">
      <w:pPr>
        <w:pStyle w:val="Bullet"/>
        <w:numPr>
          <w:ilvl w:val="0"/>
          <w:numId w:val="8"/>
        </w:numPr>
      </w:pPr>
      <w:r>
        <w:t>Voluntary Assisted Dying</w:t>
      </w:r>
    </w:p>
    <w:p w14:paraId="7B55EBFD" w14:textId="329D021B" w:rsidR="00481A6C" w:rsidRDefault="00F95554" w:rsidP="00493A52">
      <w:pPr>
        <w:pStyle w:val="Heading5"/>
      </w:pPr>
      <w:r>
        <w:t xml:space="preserve">CHS </w:t>
      </w:r>
      <w:r w:rsidR="00481A6C">
        <w:t xml:space="preserve">Guidelines </w:t>
      </w:r>
    </w:p>
    <w:p w14:paraId="2A4B3901" w14:textId="77777777" w:rsidR="009746B1" w:rsidRDefault="009746B1" w:rsidP="00F529FE">
      <w:pPr>
        <w:pStyle w:val="Bullet"/>
        <w:numPr>
          <w:ilvl w:val="0"/>
          <w:numId w:val="8"/>
        </w:numPr>
      </w:pPr>
      <w:r>
        <w:t>Consent for Healthcare Treatment</w:t>
      </w:r>
    </w:p>
    <w:p w14:paraId="1F064D25" w14:textId="77777777" w:rsidR="00B8173D" w:rsidRDefault="00B8173D" w:rsidP="00F529FE">
      <w:pPr>
        <w:pStyle w:val="Bullet"/>
        <w:numPr>
          <w:ilvl w:val="0"/>
          <w:numId w:val="8"/>
        </w:numPr>
      </w:pPr>
      <w:r>
        <w:t>Comfort Care Guidelines</w:t>
      </w:r>
    </w:p>
    <w:p w14:paraId="22D6AB04" w14:textId="77777777" w:rsidR="00481A6C" w:rsidRDefault="00481A6C" w:rsidP="00A6051F">
      <w:pPr>
        <w:pStyle w:val="Heading5"/>
      </w:pPr>
      <w:r>
        <w:t>Legislation</w:t>
      </w:r>
    </w:p>
    <w:p w14:paraId="206B6F27" w14:textId="77777777" w:rsidR="00481A6C" w:rsidRPr="000E7683" w:rsidRDefault="00481A6C" w:rsidP="000E7683">
      <w:pPr>
        <w:pStyle w:val="Bullet"/>
      </w:pPr>
      <w:r w:rsidRPr="00FE46F1">
        <w:rPr>
          <w:i/>
          <w:iCs/>
        </w:rPr>
        <w:t>Health Records (Privacy and Access) Act</w:t>
      </w:r>
      <w:r w:rsidRPr="000E7683">
        <w:t xml:space="preserve"> 1997</w:t>
      </w:r>
    </w:p>
    <w:p w14:paraId="5493F592" w14:textId="77777777" w:rsidR="00481A6C" w:rsidRPr="000E7683" w:rsidRDefault="00481A6C" w:rsidP="000E7683">
      <w:pPr>
        <w:pStyle w:val="Bullet"/>
      </w:pPr>
      <w:r w:rsidRPr="00FE46F1">
        <w:rPr>
          <w:i/>
          <w:iCs/>
        </w:rPr>
        <w:t>Human Rights Act</w:t>
      </w:r>
      <w:r w:rsidRPr="000E7683">
        <w:t xml:space="preserve"> 2004</w:t>
      </w:r>
    </w:p>
    <w:p w14:paraId="4B40CA0A" w14:textId="77777777" w:rsidR="00481A6C" w:rsidRDefault="00481A6C" w:rsidP="000E7683">
      <w:pPr>
        <w:pStyle w:val="Bullet"/>
      </w:pPr>
      <w:r w:rsidRPr="00FE46F1">
        <w:rPr>
          <w:i/>
          <w:iCs/>
        </w:rPr>
        <w:t>Work Health and Safety Act</w:t>
      </w:r>
      <w:r w:rsidRPr="000E7683">
        <w:t xml:space="preserve"> 2011</w:t>
      </w:r>
    </w:p>
    <w:p w14:paraId="3EA6E817" w14:textId="77777777" w:rsidR="00767AB7" w:rsidRPr="003907A1" w:rsidRDefault="00767AB7" w:rsidP="00767AB7">
      <w:pPr>
        <w:pStyle w:val="Bullet"/>
        <w:rPr>
          <w:szCs w:val="22"/>
        </w:rPr>
      </w:pPr>
      <w:r w:rsidRPr="00767AB7">
        <w:rPr>
          <w:i/>
          <w:iCs/>
        </w:rPr>
        <w:t>Corrections Management Act</w:t>
      </w:r>
      <w:r w:rsidRPr="3EC8B848">
        <w:t xml:space="preserve"> 2007</w:t>
      </w:r>
    </w:p>
    <w:p w14:paraId="2422836A" w14:textId="77777777" w:rsidR="00767AB7" w:rsidRPr="003907A1" w:rsidRDefault="00767AB7" w:rsidP="00767AB7">
      <w:pPr>
        <w:pStyle w:val="Bullet"/>
        <w:rPr>
          <w:szCs w:val="22"/>
        </w:rPr>
      </w:pPr>
      <w:r w:rsidRPr="00767AB7">
        <w:rPr>
          <w:i/>
          <w:iCs/>
        </w:rPr>
        <w:t>Coroners Act</w:t>
      </w:r>
      <w:r w:rsidRPr="3EC8B848">
        <w:t xml:space="preserve"> 1997</w:t>
      </w:r>
    </w:p>
    <w:p w14:paraId="0F93BFF9" w14:textId="77777777" w:rsidR="00481A6C" w:rsidRPr="000E7683" w:rsidRDefault="00481A6C" w:rsidP="000E7683">
      <w:pPr>
        <w:pStyle w:val="Bullet"/>
      </w:pPr>
      <w:r w:rsidRPr="00FE46F1">
        <w:rPr>
          <w:i/>
          <w:iCs/>
        </w:rPr>
        <w:t>Carers Recognition Act</w:t>
      </w:r>
      <w:r w:rsidRPr="000E7683">
        <w:t xml:space="preserve"> 2021</w:t>
      </w:r>
    </w:p>
    <w:p w14:paraId="32385ADF" w14:textId="77777777" w:rsidR="00481A6C" w:rsidRDefault="00481A6C" w:rsidP="00A6051F">
      <w:pPr>
        <w:pStyle w:val="Heading5"/>
      </w:pPr>
      <w:r>
        <w:t>Other</w:t>
      </w:r>
    </w:p>
    <w:p w14:paraId="3702E552" w14:textId="77777777" w:rsidR="000E7683" w:rsidRDefault="00481A6C" w:rsidP="00F529FE">
      <w:pPr>
        <w:pStyle w:val="Bullet"/>
        <w:numPr>
          <w:ilvl w:val="0"/>
          <w:numId w:val="8"/>
        </w:numPr>
      </w:pPr>
      <w:r w:rsidRPr="00A66966">
        <w:t>Australian</w:t>
      </w:r>
      <w:r w:rsidRPr="000E7683">
        <w:t xml:space="preserve"> Charter of Healthcare Right</w:t>
      </w:r>
      <w:r w:rsidR="00280C5D" w:rsidRPr="000E7683">
        <w:t>s</w:t>
      </w:r>
    </w:p>
    <w:p w14:paraId="38D30E73" w14:textId="77777777" w:rsidR="000403C4" w:rsidRDefault="000403C4" w:rsidP="00F529FE">
      <w:pPr>
        <w:pStyle w:val="Bullet"/>
        <w:numPr>
          <w:ilvl w:val="0"/>
          <w:numId w:val="8"/>
        </w:numPr>
      </w:pPr>
      <w:r w:rsidRPr="00783AB5">
        <w:t>Coronial Business in ACT Health management – Framework</w:t>
      </w:r>
    </w:p>
    <w:p w14:paraId="05243922" w14:textId="77777777" w:rsidR="000E7683" w:rsidRPr="000E7683" w:rsidRDefault="000E7683" w:rsidP="002D7682">
      <w:pPr>
        <w:pStyle w:val="BodyCopy"/>
      </w:pPr>
      <w:hyperlink w:anchor="_top" w:history="1">
        <w:r w:rsidRPr="004A7A7F">
          <w:rPr>
            <w:rStyle w:val="Hyperlink"/>
          </w:rPr>
          <w:t>Back to Contents</w:t>
        </w:r>
      </w:hyperlink>
    </w:p>
    <w:p w14:paraId="59B0859F" w14:textId="77777777" w:rsidR="0078367D" w:rsidRPr="0078367D" w:rsidRDefault="0078367D" w:rsidP="00A6051F">
      <w:pPr>
        <w:pStyle w:val="Heading4"/>
      </w:pPr>
      <w:bookmarkStart w:id="28" w:name="_Toc198277157"/>
      <w:r w:rsidRPr="0078367D">
        <w:lastRenderedPageBreak/>
        <w:t>References</w:t>
      </w:r>
      <w:bookmarkEnd w:id="28"/>
    </w:p>
    <w:p w14:paraId="712A0428" w14:textId="77777777" w:rsidR="00D7174F" w:rsidRPr="00D7174F" w:rsidRDefault="00D7174F" w:rsidP="00F529FE">
      <w:pPr>
        <w:pStyle w:val="Bullet"/>
        <w:numPr>
          <w:ilvl w:val="0"/>
          <w:numId w:val="9"/>
        </w:numPr>
        <w:spacing w:after="240"/>
        <w:rPr>
          <w:iCs/>
          <w:lang w:eastAsia="en-US"/>
        </w:rPr>
      </w:pPr>
      <w:proofErr w:type="spellStart"/>
      <w:r w:rsidRPr="00D7174F">
        <w:rPr>
          <w:iCs/>
          <w:lang w:eastAsia="en-US"/>
        </w:rPr>
        <w:t>Caresearch</w:t>
      </w:r>
      <w:proofErr w:type="spellEnd"/>
      <w:r w:rsidRPr="00D7174F">
        <w:rPr>
          <w:iCs/>
          <w:lang w:eastAsia="en-US"/>
        </w:rPr>
        <w:t xml:space="preserve"> (2018) End of Life Care pathways </w:t>
      </w:r>
      <w:hyperlink r:id="rId13" w:history="1">
        <w:r w:rsidRPr="00D7174F">
          <w:rPr>
            <w:rStyle w:val="Hyperlink"/>
            <w:iCs/>
            <w:lang w:eastAsia="en-US"/>
          </w:rPr>
          <w:t>http://www.caresearch.com.au/caresearch/tabid/1469/Default.aspx</w:t>
        </w:r>
      </w:hyperlink>
    </w:p>
    <w:p w14:paraId="3BF181EE" w14:textId="0AB79634" w:rsidR="00A368AF" w:rsidRDefault="00A368AF" w:rsidP="00F529FE">
      <w:pPr>
        <w:pStyle w:val="Bullet"/>
        <w:numPr>
          <w:ilvl w:val="0"/>
          <w:numId w:val="9"/>
        </w:numPr>
        <w:spacing w:after="240"/>
        <w:rPr>
          <w:iCs/>
          <w:lang w:eastAsia="en-US"/>
        </w:rPr>
      </w:pPr>
      <w:r>
        <w:rPr>
          <w:iCs/>
          <w:lang w:eastAsia="en-US"/>
        </w:rPr>
        <w:t xml:space="preserve">Palliative Care Australia, National Palliative Care Standards, available at  </w:t>
      </w:r>
      <w:hyperlink r:id="rId14" w:history="1">
        <w:r w:rsidR="001420F9" w:rsidRPr="00DB1E70">
          <w:rPr>
            <w:rStyle w:val="Hyperlink"/>
            <w:iCs/>
            <w:lang w:eastAsia="en-US"/>
          </w:rPr>
          <w:t>https://palliativecare.org.au/national-palliative-care-standards/</w:t>
        </w:r>
      </w:hyperlink>
    </w:p>
    <w:p w14:paraId="73EE6FBC" w14:textId="181EAFEE" w:rsidR="00D7174F" w:rsidRPr="000A6874" w:rsidRDefault="001420F9" w:rsidP="00F529FE">
      <w:pPr>
        <w:pStyle w:val="Bullet"/>
        <w:numPr>
          <w:ilvl w:val="0"/>
          <w:numId w:val="9"/>
        </w:numPr>
        <w:spacing w:after="240"/>
        <w:rPr>
          <w:iCs/>
          <w:lang w:eastAsia="en-US"/>
        </w:rPr>
      </w:pPr>
      <w:r>
        <w:rPr>
          <w:iCs/>
          <w:lang w:eastAsia="en-US"/>
        </w:rPr>
        <w:t xml:space="preserve">RACGP </w:t>
      </w:r>
      <w:r w:rsidR="0071384E">
        <w:rPr>
          <w:iCs/>
          <w:lang w:eastAsia="en-US"/>
        </w:rPr>
        <w:t xml:space="preserve">aged care clinical guide (Silver book) Palliative and end of life care, </w:t>
      </w:r>
      <w:r w:rsidR="00F94B56" w:rsidRPr="00F94B56">
        <w:rPr>
          <w:iCs/>
          <w:lang w:eastAsia="en-US"/>
        </w:rPr>
        <w:t>https://www.racgp.org.au/clinical-resources/clinical-guidelines/key-racgp-guidelines/view-all-racgp-guidelines/silver-book/part-a/palliative-care</w:t>
      </w:r>
    </w:p>
    <w:p w14:paraId="2EC91AED" w14:textId="3CD2944D" w:rsidR="00D7174F" w:rsidRPr="000A6874" w:rsidRDefault="00D7174F" w:rsidP="00F529FE">
      <w:pPr>
        <w:pStyle w:val="Bullet"/>
        <w:numPr>
          <w:ilvl w:val="0"/>
          <w:numId w:val="9"/>
        </w:numPr>
        <w:spacing w:after="240"/>
        <w:rPr>
          <w:iCs/>
          <w:lang w:eastAsia="en-US"/>
        </w:rPr>
      </w:pPr>
      <w:r w:rsidRPr="00D7174F">
        <w:rPr>
          <w:iCs/>
          <w:lang w:eastAsia="en-US"/>
        </w:rPr>
        <w:t xml:space="preserve">Brisbane South Palliative Care Collaborative (2013) Learning Guide for the Residential Aged Care End of Life Care Pathway (RAC </w:t>
      </w:r>
      <w:proofErr w:type="spellStart"/>
      <w:r w:rsidRPr="00D7174F">
        <w:rPr>
          <w:iCs/>
          <w:lang w:eastAsia="en-US"/>
        </w:rPr>
        <w:t>EoLCP</w:t>
      </w:r>
      <w:proofErr w:type="spellEnd"/>
      <w:r w:rsidRPr="00D7174F">
        <w:rPr>
          <w:iCs/>
          <w:lang w:eastAsia="en-US"/>
        </w:rPr>
        <w:t>) Training Video, Brisbane: State of Queensland (Queensland Health)</w:t>
      </w:r>
    </w:p>
    <w:p w14:paraId="741AB1AA" w14:textId="77777777" w:rsidR="00D7174F" w:rsidRPr="00D7174F" w:rsidRDefault="00D7174F" w:rsidP="00F529FE">
      <w:pPr>
        <w:pStyle w:val="Bullet"/>
        <w:numPr>
          <w:ilvl w:val="0"/>
          <w:numId w:val="9"/>
        </w:numPr>
        <w:spacing w:after="240"/>
        <w:rPr>
          <w:iCs/>
          <w:lang w:eastAsia="en-US"/>
        </w:rPr>
      </w:pPr>
      <w:r w:rsidRPr="00D7174F">
        <w:rPr>
          <w:iCs/>
          <w:lang w:eastAsia="en-US"/>
        </w:rPr>
        <w:t xml:space="preserve">University of Edinburgh (2018) Supportive and Palliative Care Indicators Tool. http://www.spict.org.uk </w:t>
      </w:r>
    </w:p>
    <w:p w14:paraId="3F1EB01B" w14:textId="77777777" w:rsidR="00D7174F" w:rsidRPr="00D7174F" w:rsidRDefault="00D7174F" w:rsidP="00F529FE">
      <w:pPr>
        <w:pStyle w:val="Bullet"/>
        <w:numPr>
          <w:ilvl w:val="0"/>
          <w:numId w:val="9"/>
        </w:numPr>
        <w:spacing w:after="240"/>
        <w:rPr>
          <w:iCs/>
          <w:lang w:eastAsia="en-US"/>
        </w:rPr>
      </w:pPr>
      <w:r w:rsidRPr="00D7174F">
        <w:rPr>
          <w:iCs/>
          <w:lang w:eastAsia="en-US"/>
        </w:rPr>
        <w:t>Department of Health and Aging, Government of South Australia (2016) Using the SPICT™ Tool (March 2015 version) as a trigger for resuscitation planning.</w:t>
      </w:r>
    </w:p>
    <w:p w14:paraId="1756E4A3" w14:textId="77777777" w:rsidR="00D7174F" w:rsidRPr="00D7174F" w:rsidRDefault="00D7174F" w:rsidP="00F529FE">
      <w:pPr>
        <w:pStyle w:val="Bullet"/>
        <w:numPr>
          <w:ilvl w:val="0"/>
          <w:numId w:val="9"/>
        </w:numPr>
        <w:spacing w:after="240"/>
        <w:rPr>
          <w:iCs/>
          <w:lang w:eastAsia="en-US"/>
        </w:rPr>
      </w:pPr>
      <w:proofErr w:type="spellStart"/>
      <w:r w:rsidRPr="00D7174F">
        <w:rPr>
          <w:iCs/>
          <w:lang w:eastAsia="en-US"/>
        </w:rPr>
        <w:t>Forbat</w:t>
      </w:r>
      <w:proofErr w:type="spellEnd"/>
      <w:r w:rsidRPr="00D7174F">
        <w:rPr>
          <w:iCs/>
          <w:lang w:eastAsia="en-US"/>
        </w:rPr>
        <w:t xml:space="preserve"> et al (forthcoming) Improving specialist palliative care in residential care for older people: a checklist to guide practice. BMJ Supportive and Palliative Care</w:t>
      </w:r>
    </w:p>
    <w:p w14:paraId="7B8DF91C" w14:textId="37C137D0" w:rsidR="00D7174F" w:rsidRPr="00D7174F" w:rsidRDefault="00D7174F" w:rsidP="00F529FE">
      <w:pPr>
        <w:pStyle w:val="Bullet"/>
        <w:numPr>
          <w:ilvl w:val="0"/>
          <w:numId w:val="9"/>
        </w:numPr>
        <w:spacing w:after="240"/>
        <w:rPr>
          <w:iCs/>
          <w:lang w:eastAsia="en-US"/>
        </w:rPr>
      </w:pPr>
      <w:r w:rsidRPr="00D7174F">
        <w:rPr>
          <w:iCs/>
          <w:lang w:eastAsia="en-US"/>
        </w:rPr>
        <w:t xml:space="preserve">Australian Commission on Safety and Quality in Health Care. </w:t>
      </w:r>
      <w:r w:rsidR="00FA34B1">
        <w:rPr>
          <w:iCs/>
          <w:lang w:eastAsia="en-US"/>
        </w:rPr>
        <w:t>Comprehensive Care Standard</w:t>
      </w:r>
      <w:r w:rsidR="00A052F6">
        <w:rPr>
          <w:iCs/>
          <w:lang w:eastAsia="en-US"/>
        </w:rPr>
        <w:t xml:space="preserve"> End-of-life </w:t>
      </w:r>
      <w:r w:rsidR="000A6874">
        <w:rPr>
          <w:iCs/>
          <w:lang w:eastAsia="en-US"/>
        </w:rPr>
        <w:t>care:</w:t>
      </w:r>
      <w:r w:rsidR="00A052F6">
        <w:rPr>
          <w:iCs/>
          <w:lang w:eastAsia="en-US"/>
        </w:rPr>
        <w:t xml:space="preserve"> clinical basics</w:t>
      </w:r>
      <w:r w:rsidRPr="00D7174F">
        <w:rPr>
          <w:iCs/>
          <w:lang w:eastAsia="en-US"/>
        </w:rPr>
        <w:t>. Sydney: ACSQHC; 2015. Available from:</w:t>
      </w:r>
      <w:r w:rsidR="004A3DE5">
        <w:rPr>
          <w:iCs/>
          <w:lang w:eastAsia="en-US"/>
        </w:rPr>
        <w:t xml:space="preserve"> </w:t>
      </w:r>
      <w:r w:rsidR="00ED4A0D" w:rsidRPr="00ED4A0D">
        <w:rPr>
          <w:iCs/>
          <w:lang w:eastAsia="en-US"/>
        </w:rPr>
        <w:t>https://www.safetyandquality.gov.au/standards/nsqhs-standards/comprehensive-care-standard</w:t>
      </w:r>
    </w:p>
    <w:p w14:paraId="6399A6E4" w14:textId="77777777" w:rsidR="00D7174F" w:rsidRPr="00D7174F" w:rsidRDefault="00D7174F" w:rsidP="00F529FE">
      <w:pPr>
        <w:pStyle w:val="Bullet"/>
        <w:numPr>
          <w:ilvl w:val="0"/>
          <w:numId w:val="9"/>
        </w:numPr>
        <w:spacing w:after="240"/>
        <w:rPr>
          <w:iCs/>
          <w:lang w:eastAsia="en-US"/>
        </w:rPr>
      </w:pPr>
      <w:r w:rsidRPr="00D7174F">
        <w:rPr>
          <w:iCs/>
          <w:lang w:eastAsia="en-US"/>
        </w:rPr>
        <w:t xml:space="preserve">Maschi T, Richter M. (2017) Human Rights and Dignity Behind Bars: A Reflection on Death and Dying in World Prisons. Journal of Correctional Health Care, 23(1), 76-82. </w:t>
      </w:r>
      <w:hyperlink r:id="rId15" w:history="1">
        <w:r w:rsidRPr="00D7174F">
          <w:rPr>
            <w:rStyle w:val="Hyperlink"/>
            <w:lang w:eastAsia="en-US"/>
          </w:rPr>
          <w:t>https://doi.org/10.1177/1078345816685116</w:t>
        </w:r>
      </w:hyperlink>
    </w:p>
    <w:p w14:paraId="18A456DE" w14:textId="4126613A" w:rsidR="00D7174F" w:rsidRDefault="00D7174F" w:rsidP="00F529FE">
      <w:pPr>
        <w:pStyle w:val="Bullet"/>
        <w:numPr>
          <w:ilvl w:val="0"/>
          <w:numId w:val="9"/>
        </w:numPr>
        <w:spacing w:after="240"/>
        <w:rPr>
          <w:iCs/>
          <w:lang w:eastAsia="en-US"/>
        </w:rPr>
      </w:pPr>
      <w:r w:rsidRPr="00D7174F">
        <w:rPr>
          <w:iCs/>
          <w:lang w:eastAsia="en-US"/>
        </w:rPr>
        <w:t xml:space="preserve">Turner, M., &amp; Peacock, M. (2017). Palliative Care in UK Prisons: Practical and Emotional Challenges for Staff and Fellow Prisoners. Journal of Correctional Health Care, 23(1), 56–65. </w:t>
      </w:r>
      <w:hyperlink r:id="rId16" w:history="1">
        <w:r w:rsidR="00B4736B" w:rsidRPr="00DB1E70">
          <w:rPr>
            <w:rStyle w:val="Hyperlink"/>
            <w:iCs/>
            <w:lang w:eastAsia="en-US"/>
          </w:rPr>
          <w:t>https://doi.org/10.1177/1078345816684847</w:t>
        </w:r>
      </w:hyperlink>
    </w:p>
    <w:p w14:paraId="61BB5998" w14:textId="37CE8C82" w:rsidR="00B4736B" w:rsidRDefault="007D3DFC" w:rsidP="00F529FE">
      <w:pPr>
        <w:pStyle w:val="Bullet"/>
        <w:numPr>
          <w:ilvl w:val="0"/>
          <w:numId w:val="9"/>
        </w:numPr>
        <w:spacing w:after="240"/>
        <w:rPr>
          <w:iCs/>
          <w:lang w:eastAsia="en-US"/>
        </w:rPr>
      </w:pPr>
      <w:r>
        <w:rPr>
          <w:iCs/>
          <w:lang w:eastAsia="en-US"/>
        </w:rPr>
        <w:t>Agency for Clinical Innovation, Palliative care for patients in correctional facilities</w:t>
      </w:r>
      <w:r w:rsidR="00293ACC">
        <w:rPr>
          <w:iCs/>
          <w:lang w:eastAsia="en-US"/>
        </w:rPr>
        <w:t xml:space="preserve">, Justice health and Forensic mental health network, </w:t>
      </w:r>
      <w:r w:rsidR="006C09B2">
        <w:rPr>
          <w:iCs/>
          <w:lang w:eastAsia="en-US"/>
        </w:rPr>
        <w:t xml:space="preserve">May 2023 </w:t>
      </w:r>
      <w:hyperlink r:id="rId17" w:history="1">
        <w:r w:rsidR="006C09B2" w:rsidRPr="00DB1E70">
          <w:rPr>
            <w:rStyle w:val="Hyperlink"/>
            <w:iCs/>
            <w:lang w:eastAsia="en-US"/>
          </w:rPr>
          <w:t>https://aci.health.nsw.gov.au/palliative-care/guideline/implementation/multidisciplinary-approach-correctional-facilities</w:t>
        </w:r>
      </w:hyperlink>
    </w:p>
    <w:p w14:paraId="3D5DCFC5" w14:textId="2AA9A0A7" w:rsidR="0078367D" w:rsidRDefault="0078367D" w:rsidP="00A6051F">
      <w:pPr>
        <w:pStyle w:val="Heading4"/>
      </w:pPr>
      <w:bookmarkStart w:id="29" w:name="_Toc198277158"/>
      <w:r>
        <w:t>Definition of terms</w:t>
      </w:r>
      <w:bookmarkEnd w:id="29"/>
      <w:r>
        <w:t xml:space="preserve"> </w:t>
      </w:r>
    </w:p>
    <w:p w14:paraId="599C63F5" w14:textId="77777777" w:rsidR="006343BE" w:rsidRPr="006343BE" w:rsidRDefault="006343BE" w:rsidP="006343BE">
      <w:pPr>
        <w:pStyle w:val="Heading5"/>
      </w:pPr>
      <w:r w:rsidRPr="006343BE">
        <w:t>Buddy Carer</w:t>
      </w:r>
    </w:p>
    <w:p w14:paraId="5FB3A537" w14:textId="77777777" w:rsidR="006343BE" w:rsidRPr="006343BE" w:rsidRDefault="006343BE" w:rsidP="006343BE">
      <w:pPr>
        <w:pStyle w:val="BodyCopy"/>
      </w:pPr>
      <w:r w:rsidRPr="006343BE">
        <w:t xml:space="preserve">A client’s peer who agrees to assist with activities of daily living needs whilst in custody. </w:t>
      </w:r>
    </w:p>
    <w:p w14:paraId="730ED29B" w14:textId="77777777" w:rsidR="006343BE" w:rsidRPr="006343BE" w:rsidRDefault="006343BE" w:rsidP="006343BE">
      <w:pPr>
        <w:pStyle w:val="Heading5"/>
      </w:pPr>
      <w:r w:rsidRPr="006343BE">
        <w:t>End of Life Care</w:t>
      </w:r>
    </w:p>
    <w:p w14:paraId="1AB2724E" w14:textId="3F6AFAF1" w:rsidR="006343BE" w:rsidRPr="006343BE" w:rsidRDefault="006343BE" w:rsidP="006343BE">
      <w:pPr>
        <w:pStyle w:val="BodyCopy"/>
      </w:pPr>
      <w:r w:rsidRPr="006343BE">
        <w:t xml:space="preserve">End of life care refers to the health care that people receive in the last years, months and weeks of their lives that can assist to minimise the distress and grief associated </w:t>
      </w:r>
      <w:r w:rsidRPr="006343BE">
        <w:lastRenderedPageBreak/>
        <w:t>with dying for the client, their family, friends and carers. End of life care is synonymous with primary or generalist palliative care, however, is a term the Australian Commission in Safety and Quality in Health Care has adopted and is gaining traction with the implementation of the Second Edition of the National Safety and Quality in Health Services Standards.</w:t>
      </w:r>
    </w:p>
    <w:p w14:paraId="57B9CB4C" w14:textId="77777777" w:rsidR="006343BE" w:rsidRPr="006343BE" w:rsidRDefault="006343BE" w:rsidP="006343BE">
      <w:pPr>
        <w:pStyle w:val="Heading5"/>
      </w:pPr>
      <w:r w:rsidRPr="006343BE">
        <w:t>Palliative Care</w:t>
      </w:r>
    </w:p>
    <w:p w14:paraId="0DB908E4" w14:textId="77777777" w:rsidR="006343BE" w:rsidRPr="006343BE" w:rsidRDefault="006343BE" w:rsidP="006343BE">
      <w:pPr>
        <w:pStyle w:val="BodyCopy"/>
      </w:pPr>
      <w:r w:rsidRPr="006343BE">
        <w:t xml:space="preserve">Palliative care is client and family-centred care provided for a client with an active, progressive, advanced disease, who has little or no prospect of cure and who is expected to die, and for whom the primary treatment goal is to optimise the quality of life. </w:t>
      </w:r>
    </w:p>
    <w:p w14:paraId="48E95404" w14:textId="77777777" w:rsidR="006343BE" w:rsidRPr="006343BE" w:rsidRDefault="006343BE" w:rsidP="006343BE">
      <w:pPr>
        <w:pStyle w:val="Heading5"/>
      </w:pPr>
      <w:r w:rsidRPr="006343BE">
        <w:t>Specialist Palliative Care</w:t>
      </w:r>
    </w:p>
    <w:p w14:paraId="3A490382" w14:textId="77777777" w:rsidR="006343BE" w:rsidRPr="006343BE" w:rsidRDefault="006343BE" w:rsidP="006343BE">
      <w:pPr>
        <w:pStyle w:val="BodyCopy"/>
      </w:pPr>
      <w:r w:rsidRPr="006343BE">
        <w:t xml:space="preserve">Specialist Palliative Care services provide care to people with more complex needs through multidisciplinary teams who have specialised palliative care competencies, skills, and experience. </w:t>
      </w:r>
    </w:p>
    <w:p w14:paraId="267B81F1" w14:textId="77777777" w:rsidR="006343BE" w:rsidRPr="006343BE" w:rsidRDefault="006343BE" w:rsidP="006343BE">
      <w:pPr>
        <w:pStyle w:val="Heading5"/>
      </w:pPr>
      <w:r w:rsidRPr="006343BE">
        <w:t>Substitute or Supported Decision Maker</w:t>
      </w:r>
    </w:p>
    <w:p w14:paraId="6B34B91D" w14:textId="15C10DD9" w:rsidR="006343BE" w:rsidRPr="006343BE" w:rsidRDefault="006343BE" w:rsidP="006343BE">
      <w:pPr>
        <w:pStyle w:val="BodyCopy"/>
      </w:pPr>
      <w:r w:rsidRPr="006343BE">
        <w:t xml:space="preserve">Adults are encouraged to appoint a </w:t>
      </w:r>
      <w:r w:rsidR="00D300E3">
        <w:t>person</w:t>
      </w:r>
      <w:r w:rsidRPr="006343BE">
        <w:t xml:space="preserve"> of their choice, while they are competent, to become their substitute decision maker </w:t>
      </w:r>
      <w:r w:rsidR="00FA16E8" w:rsidRPr="006343BE">
        <w:t>if</w:t>
      </w:r>
      <w:r w:rsidRPr="006343BE">
        <w:t xml:space="preserve"> they become unable to make their own decisions. This might be because of an accident, illness, injury, dementia or mental illness. See </w:t>
      </w:r>
      <w:r w:rsidRPr="006343BE">
        <w:rPr>
          <w:i/>
        </w:rPr>
        <w:t>Consent for Healthcare Treatment</w:t>
      </w:r>
      <w:r w:rsidR="00C56BA5">
        <w:rPr>
          <w:i/>
        </w:rPr>
        <w:t xml:space="preserve"> Guideline</w:t>
      </w:r>
      <w:r w:rsidRPr="006343BE">
        <w:rPr>
          <w:i/>
        </w:rPr>
        <w:t>.</w:t>
      </w:r>
      <w:r w:rsidRPr="006343BE">
        <w:t xml:space="preserve"> </w:t>
      </w:r>
    </w:p>
    <w:p w14:paraId="219A9357" w14:textId="77777777" w:rsidR="006343BE" w:rsidRPr="006343BE" w:rsidRDefault="006343BE" w:rsidP="006343BE">
      <w:pPr>
        <w:pStyle w:val="Heading5"/>
      </w:pPr>
      <w:r w:rsidRPr="006343BE">
        <w:t xml:space="preserve">Terminal Phase/Actively dying  </w:t>
      </w:r>
    </w:p>
    <w:p w14:paraId="4213377D" w14:textId="77777777" w:rsidR="006343BE" w:rsidRDefault="006343BE" w:rsidP="006343BE">
      <w:pPr>
        <w:pStyle w:val="BodyCopy"/>
        <w:rPr>
          <w:lang w:val="en"/>
        </w:rPr>
      </w:pPr>
      <w:r w:rsidRPr="006343BE">
        <w:rPr>
          <w:lang w:val="en"/>
        </w:rPr>
        <w:t xml:space="preserve">The last days or hours of a client’s life when a client is irreversibly dying is often called the terminal phase or dying phase. </w:t>
      </w:r>
    </w:p>
    <w:p w14:paraId="25578818" w14:textId="1117FF8A" w:rsidR="00396CCD" w:rsidRPr="000F0AAB" w:rsidRDefault="00396CCD" w:rsidP="000F0AAB">
      <w:pPr>
        <w:pStyle w:val="Heading5"/>
      </w:pPr>
      <w:r w:rsidRPr="000F0AAB">
        <w:t xml:space="preserve">Voluntary assisted dying </w:t>
      </w:r>
      <w:r w:rsidR="000F0AAB">
        <w:t>(VAD)</w:t>
      </w:r>
    </w:p>
    <w:p w14:paraId="0F87EB92" w14:textId="2825D804" w:rsidR="00396CCD" w:rsidRPr="006343BE" w:rsidRDefault="00396CCD" w:rsidP="006343BE">
      <w:pPr>
        <w:pStyle w:val="BodyCopy"/>
      </w:pPr>
      <w:r w:rsidRPr="242669EB">
        <w:rPr>
          <w:lang w:val="en-US"/>
        </w:rPr>
        <w:t xml:space="preserve">Voluntary assisted dying </w:t>
      </w:r>
      <w:r w:rsidR="00440B9E" w:rsidRPr="242669EB">
        <w:rPr>
          <w:lang w:val="en-US"/>
        </w:rPr>
        <w:t xml:space="preserve">is an </w:t>
      </w:r>
      <w:r w:rsidR="000F0AAB" w:rsidRPr="242669EB">
        <w:rPr>
          <w:lang w:val="en-US"/>
        </w:rPr>
        <w:t>end-of-life</w:t>
      </w:r>
      <w:r w:rsidR="00440B9E" w:rsidRPr="242669EB">
        <w:rPr>
          <w:lang w:val="en-US"/>
        </w:rPr>
        <w:t xml:space="preserve"> option which can </w:t>
      </w:r>
      <w:r w:rsidR="000F0AAB" w:rsidRPr="242669EB">
        <w:rPr>
          <w:lang w:val="en-US"/>
        </w:rPr>
        <w:t>b</w:t>
      </w:r>
      <w:r w:rsidR="00440B9E" w:rsidRPr="242669EB">
        <w:rPr>
          <w:lang w:val="en-US"/>
        </w:rPr>
        <w:t>e lawfully accessed by people in the ACT f</w:t>
      </w:r>
      <w:r w:rsidR="000F0AAB" w:rsidRPr="242669EB">
        <w:rPr>
          <w:lang w:val="en-US"/>
        </w:rPr>
        <w:t>ro</w:t>
      </w:r>
      <w:r w:rsidR="00440B9E" w:rsidRPr="242669EB">
        <w:rPr>
          <w:lang w:val="en-US"/>
        </w:rPr>
        <w:t>m 3 November 2025. It gives an eligible person an option to end their life by administering an approved substance at a time of their choosin</w:t>
      </w:r>
      <w:r w:rsidR="000F0AAB" w:rsidRPr="242669EB">
        <w:rPr>
          <w:lang w:val="en-US"/>
        </w:rPr>
        <w:t xml:space="preserve">g. A person requesting access to VAD must meet all eligibility requirements and follow every step in the process. </w:t>
      </w:r>
      <w:r w:rsidR="00932FBA">
        <w:rPr>
          <w:lang w:val="en-US"/>
        </w:rPr>
        <w:t>See VAD Procedure.</w:t>
      </w:r>
    </w:p>
    <w:p w14:paraId="22ED8A49" w14:textId="4B954890" w:rsidR="00280C5D" w:rsidRDefault="00280C5D" w:rsidP="002D7682">
      <w:pPr>
        <w:pStyle w:val="BodyCopy"/>
      </w:pPr>
      <w:hyperlink w:anchor="_top" w:history="1">
        <w:r w:rsidRPr="00481A6C">
          <w:rPr>
            <w:rStyle w:val="Hyperlink"/>
            <w:iCs w:val="0"/>
          </w:rPr>
          <w:t>Back to Contents</w:t>
        </w:r>
      </w:hyperlink>
    </w:p>
    <w:p w14:paraId="0DDEDD87" w14:textId="77777777" w:rsidR="0078367D" w:rsidRDefault="0078367D" w:rsidP="00A6051F">
      <w:pPr>
        <w:pStyle w:val="Heading4"/>
      </w:pPr>
      <w:bookmarkStart w:id="30" w:name="_Toc198277159"/>
      <w:r>
        <w:t>Search terms</w:t>
      </w:r>
      <w:bookmarkEnd w:id="30"/>
    </w:p>
    <w:p w14:paraId="6884A973" w14:textId="2911FC7D" w:rsidR="00622842" w:rsidRPr="00622842" w:rsidRDefault="00622842" w:rsidP="00622842">
      <w:pPr>
        <w:pStyle w:val="BodyCopy"/>
        <w:rPr>
          <w:lang w:val="en"/>
        </w:rPr>
      </w:pPr>
      <w:r w:rsidRPr="00622842">
        <w:rPr>
          <w:lang w:val="en"/>
        </w:rPr>
        <w:t>End of life, palliative care, Alexander Maconochie Centre, AMC, client, prisoner, death, dying, terminal, comfort care</w:t>
      </w:r>
      <w:r w:rsidR="00861DF2">
        <w:rPr>
          <w:lang w:val="en"/>
        </w:rPr>
        <w:t xml:space="preserve">, Voluntary assisted dying, </w:t>
      </w:r>
      <w:r w:rsidR="000845DD">
        <w:rPr>
          <w:lang w:val="en"/>
        </w:rPr>
        <w:t xml:space="preserve">VAD, </w:t>
      </w:r>
      <w:r w:rsidR="00861DF2">
        <w:rPr>
          <w:lang w:val="en"/>
        </w:rPr>
        <w:t xml:space="preserve">custody, </w:t>
      </w:r>
    </w:p>
    <w:p w14:paraId="288A26C2" w14:textId="3039DBA0" w:rsidR="00280C5D" w:rsidRDefault="00280C5D" w:rsidP="002D7682">
      <w:pPr>
        <w:pStyle w:val="Bullet"/>
        <w:spacing w:after="240"/>
      </w:pPr>
      <w:hyperlink w:anchor="_top" w:history="1">
        <w:r w:rsidRPr="00481A6C">
          <w:rPr>
            <w:rStyle w:val="Hyperlink"/>
          </w:rPr>
          <w:t>Back to Contents</w:t>
        </w:r>
      </w:hyperlink>
    </w:p>
    <w:p w14:paraId="56FDB140" w14:textId="4A1B8B05" w:rsidR="0078367D" w:rsidRPr="009A5010" w:rsidRDefault="0078367D" w:rsidP="00A6051F">
      <w:pPr>
        <w:pStyle w:val="Heading4"/>
      </w:pPr>
      <w:bookmarkStart w:id="31" w:name="_Toc198277160"/>
      <w:r>
        <w:t>Attachments</w:t>
      </w:r>
      <w:bookmarkEnd w:id="31"/>
      <w:r w:rsidR="009746B1">
        <w:t xml:space="preserve"> </w:t>
      </w:r>
    </w:p>
    <w:p w14:paraId="63CA9A38" w14:textId="77777777" w:rsidR="00113A52" w:rsidRPr="00113A52" w:rsidRDefault="00113A52" w:rsidP="00113A52">
      <w:pPr>
        <w:pStyle w:val="Heading7"/>
        <w:spacing w:after="240"/>
      </w:pPr>
      <w:r w:rsidRPr="00113A52">
        <w:lastRenderedPageBreak/>
        <w:t>Attachment A: Supportive and Palliative Care Indicators Tool (SPICT)</w:t>
      </w:r>
    </w:p>
    <w:p w14:paraId="6E8B484F" w14:textId="77777777" w:rsidR="00113A52" w:rsidRPr="00113A52" w:rsidRDefault="00113A52" w:rsidP="00113A52">
      <w:pPr>
        <w:pStyle w:val="Heading7"/>
        <w:spacing w:after="240"/>
      </w:pPr>
      <w:r w:rsidRPr="00113A52">
        <w:t xml:space="preserve">Attachment B: Revised Palliative Care Trajectories Framework </w:t>
      </w:r>
    </w:p>
    <w:p w14:paraId="7061E31A" w14:textId="77777777" w:rsidR="00113A52" w:rsidRPr="00113A52" w:rsidRDefault="00113A52" w:rsidP="00113A52">
      <w:pPr>
        <w:pStyle w:val="Heading7"/>
        <w:spacing w:after="240"/>
      </w:pPr>
      <w:r w:rsidRPr="00113A52">
        <w:t>Attachment C: Modified Bereavement risk index</w:t>
      </w:r>
    </w:p>
    <w:p w14:paraId="36D02E2F" w14:textId="77777777" w:rsidR="007B1A7B" w:rsidRDefault="002D7682" w:rsidP="002D7682">
      <w:pPr>
        <w:pStyle w:val="Bullet"/>
        <w:spacing w:after="240"/>
      </w:pPr>
      <w:hyperlink w:anchor="_top" w:history="1">
        <w:r w:rsidRPr="00481A6C">
          <w:rPr>
            <w:rStyle w:val="Hyperlink"/>
          </w:rPr>
          <w:t>Back to Contents</w:t>
        </w:r>
      </w:hyperlink>
    </w:p>
    <w:p w14:paraId="6332B943" w14:textId="77777777" w:rsidR="00054BF2" w:rsidRPr="00045370" w:rsidRDefault="00054BF2" w:rsidP="00054BF2">
      <w:pPr>
        <w:spacing w:before="0" w:after="0" w:line="240" w:lineRule="auto"/>
        <w:rPr>
          <w:color w:val="auto"/>
          <w:sz w:val="18"/>
          <w:szCs w:val="18"/>
          <w:u w:val="single"/>
        </w:rPr>
      </w:pPr>
    </w:p>
    <w:p w14:paraId="2BFA1D27" w14:textId="77777777" w:rsidR="00054BF2" w:rsidRPr="001F3ED6" w:rsidRDefault="00054BF2" w:rsidP="00054BF2">
      <w:pPr>
        <w:pStyle w:val="BodyCopy"/>
        <w:rPr>
          <w:rStyle w:val="Bold"/>
        </w:rPr>
      </w:pPr>
      <w:r w:rsidRPr="001F3ED6">
        <w:rPr>
          <w:rStyle w:val="Bold"/>
        </w:rPr>
        <w:t>For Policy Team to complete:</w:t>
      </w:r>
    </w:p>
    <w:tbl>
      <w:tblPr>
        <w:tblStyle w:val="CHSTable"/>
        <w:tblW w:w="0" w:type="auto"/>
        <w:tblLook w:val="0420" w:firstRow="1" w:lastRow="0" w:firstColumn="0" w:lastColumn="0" w:noHBand="0" w:noVBand="1"/>
      </w:tblPr>
      <w:tblGrid>
        <w:gridCol w:w="2269"/>
        <w:gridCol w:w="2267"/>
        <w:gridCol w:w="2321"/>
        <w:gridCol w:w="2203"/>
      </w:tblGrid>
      <w:tr w:rsidR="00054BF2" w14:paraId="06D2E6A3" w14:textId="77777777" w:rsidTr="00D57DE6">
        <w:trPr>
          <w:cnfStyle w:val="100000000000" w:firstRow="1" w:lastRow="0" w:firstColumn="0" w:lastColumn="0" w:oddVBand="0" w:evenVBand="0" w:oddHBand="0" w:evenHBand="0" w:firstRowFirstColumn="0" w:firstRowLastColumn="0" w:lastRowFirstColumn="0" w:lastRowLastColumn="0"/>
        </w:trPr>
        <w:tc>
          <w:tcPr>
            <w:tcW w:w="2476" w:type="dxa"/>
          </w:tcPr>
          <w:p w14:paraId="353D2488" w14:textId="77777777" w:rsidR="00054BF2" w:rsidRDefault="00054BF2" w:rsidP="00D57DE6">
            <w:pPr>
              <w:pStyle w:val="Tableheader"/>
            </w:pPr>
            <w:r>
              <w:t>Date amended</w:t>
            </w:r>
          </w:p>
        </w:tc>
        <w:tc>
          <w:tcPr>
            <w:tcW w:w="2477" w:type="dxa"/>
          </w:tcPr>
          <w:p w14:paraId="05AF3433" w14:textId="77777777" w:rsidR="00054BF2" w:rsidRDefault="00054BF2" w:rsidP="00D57DE6">
            <w:pPr>
              <w:pStyle w:val="Tableheader"/>
            </w:pPr>
            <w:r>
              <w:t>Section amended</w:t>
            </w:r>
          </w:p>
        </w:tc>
        <w:tc>
          <w:tcPr>
            <w:tcW w:w="2555" w:type="dxa"/>
          </w:tcPr>
          <w:p w14:paraId="2D72443F" w14:textId="77777777" w:rsidR="00054BF2" w:rsidRDefault="00054BF2" w:rsidP="00D57DE6">
            <w:pPr>
              <w:pStyle w:val="Tableheader"/>
            </w:pPr>
            <w:r>
              <w:t>Divisional approval</w:t>
            </w:r>
          </w:p>
        </w:tc>
        <w:tc>
          <w:tcPr>
            <w:tcW w:w="2403" w:type="dxa"/>
          </w:tcPr>
          <w:p w14:paraId="13B0F5D0" w14:textId="77777777" w:rsidR="00054BF2" w:rsidRDefault="00054BF2" w:rsidP="00D57DE6">
            <w:pPr>
              <w:pStyle w:val="Tableheader"/>
            </w:pPr>
            <w:r>
              <w:t>Final approval</w:t>
            </w:r>
          </w:p>
        </w:tc>
      </w:tr>
      <w:tr w:rsidR="00054BF2" w14:paraId="3F0FB61B" w14:textId="77777777" w:rsidTr="00D57DE6">
        <w:tc>
          <w:tcPr>
            <w:tcW w:w="2476" w:type="dxa"/>
          </w:tcPr>
          <w:p w14:paraId="63E6A5EC" w14:textId="25F5A8A7" w:rsidR="00054BF2" w:rsidRDefault="00480517" w:rsidP="00D57DE6">
            <w:pPr>
              <w:pStyle w:val="Tablebody"/>
              <w:rPr>
                <w:lang w:eastAsia="en-US"/>
              </w:rPr>
            </w:pPr>
            <w:r>
              <w:rPr>
                <w:lang w:eastAsia="en-US"/>
              </w:rPr>
              <w:t>16/05/2025</w:t>
            </w:r>
          </w:p>
        </w:tc>
        <w:tc>
          <w:tcPr>
            <w:tcW w:w="2477" w:type="dxa"/>
          </w:tcPr>
          <w:p w14:paraId="22783D1B" w14:textId="1DF903B8" w:rsidR="00054BF2" w:rsidRDefault="00480517" w:rsidP="00D57DE6">
            <w:pPr>
              <w:pStyle w:val="Tablebody"/>
              <w:rPr>
                <w:lang w:eastAsia="en-US"/>
              </w:rPr>
            </w:pPr>
            <w:r>
              <w:rPr>
                <w:lang w:eastAsia="en-US"/>
              </w:rPr>
              <w:t>New document</w:t>
            </w:r>
          </w:p>
        </w:tc>
        <w:tc>
          <w:tcPr>
            <w:tcW w:w="2555" w:type="dxa"/>
          </w:tcPr>
          <w:p w14:paraId="79CCFDA3" w14:textId="1A622EBB" w:rsidR="00054BF2" w:rsidRDefault="00480517" w:rsidP="00D57DE6">
            <w:pPr>
              <w:pStyle w:val="Tablebody"/>
              <w:rPr>
                <w:lang w:eastAsia="en-US"/>
              </w:rPr>
            </w:pPr>
            <w:r>
              <w:rPr>
                <w:lang w:eastAsia="en-US"/>
              </w:rPr>
              <w:t>Bruno Aloisi ED MHJHADS</w:t>
            </w:r>
          </w:p>
        </w:tc>
        <w:tc>
          <w:tcPr>
            <w:tcW w:w="2403" w:type="dxa"/>
          </w:tcPr>
          <w:p w14:paraId="482B4555" w14:textId="6A280098" w:rsidR="00054BF2" w:rsidRDefault="00480517" w:rsidP="00D57DE6">
            <w:pPr>
              <w:pStyle w:val="Tablebody"/>
              <w:rPr>
                <w:lang w:eastAsia="en-US"/>
              </w:rPr>
            </w:pPr>
            <w:r>
              <w:rPr>
                <w:lang w:eastAsia="en-US"/>
              </w:rPr>
              <w:t>Policy Document Review Panel</w:t>
            </w:r>
          </w:p>
        </w:tc>
      </w:tr>
      <w:tr w:rsidR="00054BF2" w14:paraId="41C78863" w14:textId="77777777" w:rsidTr="00D57DE6">
        <w:tc>
          <w:tcPr>
            <w:tcW w:w="2476" w:type="dxa"/>
          </w:tcPr>
          <w:p w14:paraId="58C9F6AF" w14:textId="74BCE60D" w:rsidR="00054BF2" w:rsidRDefault="00E7769F" w:rsidP="00D57DE6">
            <w:pPr>
              <w:pStyle w:val="Tablebody"/>
              <w:rPr>
                <w:lang w:eastAsia="en-US"/>
              </w:rPr>
            </w:pPr>
            <w:r>
              <w:rPr>
                <w:lang w:eastAsia="en-US"/>
              </w:rPr>
              <w:t>18 September 2025</w:t>
            </w:r>
          </w:p>
        </w:tc>
        <w:tc>
          <w:tcPr>
            <w:tcW w:w="2477" w:type="dxa"/>
          </w:tcPr>
          <w:p w14:paraId="57097F59" w14:textId="00F474B7" w:rsidR="00054BF2" w:rsidRDefault="00E7769F" w:rsidP="00D57DE6">
            <w:pPr>
              <w:pStyle w:val="Tablebody"/>
              <w:rPr>
                <w:lang w:eastAsia="en-US"/>
              </w:rPr>
            </w:pPr>
            <w:r>
              <w:rPr>
                <w:lang w:eastAsia="en-US"/>
              </w:rPr>
              <w:t xml:space="preserve">Document amended to include information on the Voluntary Assisted Dying </w:t>
            </w:r>
            <w:r w:rsidR="006E13DE">
              <w:rPr>
                <w:lang w:eastAsia="en-US"/>
              </w:rPr>
              <w:t>Procedure</w:t>
            </w:r>
            <w:r>
              <w:rPr>
                <w:lang w:eastAsia="en-US"/>
              </w:rPr>
              <w:t>.</w:t>
            </w:r>
          </w:p>
        </w:tc>
        <w:tc>
          <w:tcPr>
            <w:tcW w:w="2555" w:type="dxa"/>
          </w:tcPr>
          <w:p w14:paraId="22676921" w14:textId="301A43B2" w:rsidR="00054BF2" w:rsidRDefault="006E13DE" w:rsidP="00D57DE6">
            <w:pPr>
              <w:pStyle w:val="Tablebody"/>
              <w:rPr>
                <w:lang w:eastAsia="en-US"/>
              </w:rPr>
            </w:pPr>
            <w:r>
              <w:rPr>
                <w:lang w:eastAsia="en-US"/>
              </w:rPr>
              <w:t>Melissa O’Brien, ED CAS</w:t>
            </w:r>
          </w:p>
        </w:tc>
        <w:tc>
          <w:tcPr>
            <w:tcW w:w="2403" w:type="dxa"/>
          </w:tcPr>
          <w:p w14:paraId="7438CAC3" w14:textId="5AA8A25D" w:rsidR="00054BF2" w:rsidRDefault="006E13DE" w:rsidP="00D57DE6">
            <w:pPr>
              <w:pStyle w:val="Tablebody"/>
              <w:rPr>
                <w:lang w:eastAsia="en-US"/>
              </w:rPr>
            </w:pPr>
            <w:r>
              <w:rPr>
                <w:lang w:eastAsia="en-US"/>
              </w:rPr>
              <w:t>Imran Hassan, Project and Policy Support Officer, MHJHADS</w:t>
            </w:r>
          </w:p>
        </w:tc>
      </w:tr>
    </w:tbl>
    <w:p w14:paraId="1EC80706" w14:textId="77777777" w:rsidR="00054BF2" w:rsidRDefault="00054BF2" w:rsidP="00054BF2">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054BF2" w14:paraId="26B27548" w14:textId="77777777" w:rsidTr="00D57DE6">
        <w:trPr>
          <w:cnfStyle w:val="100000000000" w:firstRow="1" w:lastRow="0" w:firstColumn="0" w:lastColumn="0" w:oddVBand="0" w:evenVBand="0" w:oddHBand="0" w:evenHBand="0" w:firstRowFirstColumn="0" w:firstRowLastColumn="0" w:lastRowFirstColumn="0" w:lastRowLastColumn="0"/>
        </w:trPr>
        <w:tc>
          <w:tcPr>
            <w:tcW w:w="2548" w:type="dxa"/>
          </w:tcPr>
          <w:p w14:paraId="7AC22879" w14:textId="77777777" w:rsidR="00054BF2" w:rsidRDefault="00054BF2" w:rsidP="00D57DE6">
            <w:pPr>
              <w:pStyle w:val="Tableheader"/>
            </w:pPr>
            <w:r>
              <w:t>Document number</w:t>
            </w:r>
          </w:p>
        </w:tc>
        <w:tc>
          <w:tcPr>
            <w:tcW w:w="7653" w:type="dxa"/>
          </w:tcPr>
          <w:p w14:paraId="0597AC1D" w14:textId="77777777" w:rsidR="00054BF2" w:rsidRDefault="00054BF2" w:rsidP="00D57DE6">
            <w:pPr>
              <w:pStyle w:val="Tableheader"/>
            </w:pPr>
            <w:r>
              <w:t>Document name</w:t>
            </w:r>
          </w:p>
        </w:tc>
      </w:tr>
      <w:tr w:rsidR="00054BF2" w14:paraId="17DEE8F8" w14:textId="77777777" w:rsidTr="00D57DE6">
        <w:tc>
          <w:tcPr>
            <w:tcW w:w="2548" w:type="dxa"/>
          </w:tcPr>
          <w:p w14:paraId="274A0D18" w14:textId="76EFC474" w:rsidR="00054BF2" w:rsidRDefault="00480517" w:rsidP="00D57DE6">
            <w:pPr>
              <w:pStyle w:val="Tablebody"/>
              <w:rPr>
                <w:lang w:eastAsia="en-US"/>
              </w:rPr>
            </w:pPr>
            <w:r>
              <w:rPr>
                <w:lang w:eastAsia="en-US"/>
              </w:rPr>
              <w:t>CHS 25/093</w:t>
            </w:r>
          </w:p>
        </w:tc>
        <w:tc>
          <w:tcPr>
            <w:tcW w:w="7653" w:type="dxa"/>
          </w:tcPr>
          <w:p w14:paraId="5EE52590" w14:textId="534CEB5D" w:rsidR="00054BF2" w:rsidRDefault="00480517" w:rsidP="00D57DE6">
            <w:pPr>
              <w:pStyle w:val="Tablebody"/>
              <w:rPr>
                <w:lang w:eastAsia="en-US"/>
              </w:rPr>
            </w:pPr>
            <w:r>
              <w:rPr>
                <w:lang w:eastAsia="en-US"/>
              </w:rPr>
              <w:t>End of life care at Alexander Maconochie Centre</w:t>
            </w:r>
          </w:p>
        </w:tc>
      </w:tr>
      <w:tr w:rsidR="00054BF2" w14:paraId="5D1019EC" w14:textId="77777777" w:rsidTr="00D57DE6">
        <w:tc>
          <w:tcPr>
            <w:tcW w:w="2548" w:type="dxa"/>
          </w:tcPr>
          <w:p w14:paraId="5D9C3BE6" w14:textId="77777777" w:rsidR="00054BF2" w:rsidRDefault="00054BF2" w:rsidP="00D57DE6">
            <w:pPr>
              <w:pStyle w:val="Tablebody"/>
              <w:rPr>
                <w:lang w:eastAsia="en-US"/>
              </w:rPr>
            </w:pPr>
          </w:p>
        </w:tc>
        <w:tc>
          <w:tcPr>
            <w:tcW w:w="7653" w:type="dxa"/>
          </w:tcPr>
          <w:p w14:paraId="4DB2BD2C" w14:textId="77777777" w:rsidR="00054BF2" w:rsidRDefault="00054BF2" w:rsidP="00D57DE6">
            <w:pPr>
              <w:pStyle w:val="Tablebody"/>
              <w:rPr>
                <w:lang w:eastAsia="en-US"/>
              </w:rPr>
            </w:pPr>
          </w:p>
        </w:tc>
      </w:tr>
    </w:tbl>
    <w:p w14:paraId="4DBF63E0" w14:textId="77777777" w:rsidR="00054BF2" w:rsidRPr="001F3ED6" w:rsidRDefault="00054BF2" w:rsidP="00054BF2">
      <w:pPr>
        <w:pStyle w:val="BodyCopy"/>
        <w:rPr>
          <w:rStyle w:val="Bold"/>
        </w:rPr>
      </w:pPr>
      <w:r w:rsidRPr="001F3ED6">
        <w:rPr>
          <w:rStyle w:val="Bold"/>
        </w:rPr>
        <w:t>Disclaimer</w:t>
      </w:r>
    </w:p>
    <w:p w14:paraId="42676CDB" w14:textId="77777777" w:rsidR="00054BF2" w:rsidRDefault="00054BF2" w:rsidP="00054BF2">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14C7D74A" w14:textId="77777777" w:rsidR="00054BF2" w:rsidRDefault="00054BF2" w:rsidP="00054BF2">
      <w:pPr>
        <w:pStyle w:val="Bullet"/>
        <w:rPr>
          <w:rStyle w:val="Hyperlink"/>
        </w:rPr>
      </w:pPr>
      <w:hyperlink w:anchor="_top" w:history="1">
        <w:r w:rsidRPr="00481A6C">
          <w:rPr>
            <w:rStyle w:val="Hyperlink"/>
          </w:rPr>
          <w:t>Back to Contents</w:t>
        </w:r>
      </w:hyperlink>
    </w:p>
    <w:p w14:paraId="519B0188" w14:textId="77777777" w:rsidR="00054BF2" w:rsidRDefault="00054BF2" w:rsidP="00054BF2">
      <w:pPr>
        <w:pStyle w:val="Bullet"/>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4468"/>
        <w:gridCol w:w="4602"/>
      </w:tblGrid>
      <w:tr w:rsidR="00054BF2" w14:paraId="1B682745" w14:textId="77777777" w:rsidTr="00D57DE6">
        <w:tc>
          <w:tcPr>
            <w:tcW w:w="5529" w:type="dxa"/>
            <w:shd w:val="clear" w:color="auto" w:fill="F4F3EE"/>
            <w:tcMar>
              <w:top w:w="142" w:type="dxa"/>
              <w:left w:w="170" w:type="dxa"/>
              <w:bottom w:w="142" w:type="dxa"/>
              <w:right w:w="170" w:type="dxa"/>
            </w:tcMar>
          </w:tcPr>
          <w:sdt>
            <w:sdtPr>
              <w:rPr>
                <w:color w:val="auto"/>
                <w:u w:val="single"/>
              </w:rPr>
              <w:id w:val="160905677"/>
              <w:placeholder>
                <w:docPart w:val="6E607145AA3D458FBDB755EF4ED4F06A"/>
              </w:placeholder>
            </w:sdtPr>
            <w:sdtEndPr>
              <w:rPr>
                <w:color w:val="000000" w:themeColor="text1"/>
                <w:u w:val="none"/>
              </w:rPr>
            </w:sdtEndPr>
            <w:sdtContent>
              <w:p w14:paraId="42969B78" w14:textId="77777777" w:rsidR="00054BF2" w:rsidRPr="00350211" w:rsidRDefault="00054BF2" w:rsidP="00D57DE6">
                <w:pPr>
                  <w:pStyle w:val="Bottomblocktext"/>
                  <w:rPr>
                    <w:b/>
                    <w:bCs w:val="0"/>
                    <w:sz w:val="20"/>
                    <w:szCs w:val="20"/>
                  </w:rPr>
                </w:pPr>
                <w:r>
                  <w:rPr>
                    <w:noProof/>
                    <w:sz w:val="20"/>
                    <w:szCs w:val="20"/>
                  </w:rPr>
                  <w:drawing>
                    <wp:inline distT="0" distB="0" distL="0" distR="0" wp14:anchorId="62EC7761" wp14:editId="24ACB917">
                      <wp:extent cx="282575" cy="285750"/>
                      <wp:effectExtent l="0" t="0" r="3175" b="0"/>
                      <wp:docPr id="1445904371" name="Picture 144590437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8"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26D71500" w14:textId="77777777" w:rsidR="00054BF2" w:rsidRDefault="00054BF2" w:rsidP="00D57DE6">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244D62A4" w14:textId="77777777" w:rsidR="00054BF2" w:rsidRPr="00350211" w:rsidRDefault="00054BF2" w:rsidP="00D57DE6">
                <w:pPr>
                  <w:pStyle w:val="Bottomblocktext"/>
                </w:pPr>
                <w:r w:rsidRPr="00AF532B">
                  <w:t>© Australian Capital Territory, C</w:t>
                </w:r>
                <w:r w:rsidRPr="003F6C0E">
                  <w:t>anberra 20</w:t>
                </w:r>
                <w:sdt>
                  <w:sdtPr>
                    <w:alias w:val="Year selector"/>
                    <w:tag w:val="Year selector"/>
                    <w:id w:val="-1226529439"/>
                    <w:placeholder>
                      <w:docPart w:val="C18A1C3004EE4576910196C648765267"/>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725761750"/>
            <w:placeholder>
              <w:docPart w:val="D4696125BF204D69B4B6D9B24F11BFE8"/>
            </w:placeholder>
            <w:showingPlcHdr/>
          </w:sdtPr>
          <w:sdtEndPr/>
          <w:sdtContent>
            <w:tc>
              <w:tcPr>
                <w:tcW w:w="4665" w:type="dxa"/>
                <w:shd w:val="clear" w:color="auto" w:fill="F4F3EE"/>
                <w:tcMar>
                  <w:top w:w="142" w:type="dxa"/>
                  <w:left w:w="170" w:type="dxa"/>
                  <w:bottom w:w="142" w:type="dxa"/>
                  <w:right w:w="170" w:type="dxa"/>
                </w:tcMar>
              </w:tcPr>
              <w:p w14:paraId="47CDE58D" w14:textId="77777777" w:rsidR="00054BF2" w:rsidRPr="00F26C97" w:rsidRDefault="00054BF2" w:rsidP="00D57DE6">
                <w:pPr>
                  <w:pStyle w:val="Bottomblocktext"/>
                  <w:rPr>
                    <w:b/>
                    <w:bCs w:val="0"/>
                    <w:sz w:val="20"/>
                    <w:szCs w:val="20"/>
                  </w:rPr>
                </w:pPr>
                <w:r>
                  <w:rPr>
                    <w:b/>
                    <w:bCs w:val="0"/>
                    <w:noProof/>
                    <w:sz w:val="20"/>
                    <w:szCs w:val="20"/>
                  </w:rPr>
                  <w:drawing>
                    <wp:inline distT="0" distB="0" distL="0" distR="0" wp14:anchorId="11457848" wp14:editId="31241C3A">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9"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515BAE24" wp14:editId="45348973">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20"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40EC2000" w14:textId="77777777" w:rsidR="00054BF2" w:rsidRPr="00F26C97" w:rsidRDefault="00054BF2" w:rsidP="00D57DE6">
                <w:pPr>
                  <w:pStyle w:val="Bottomblocktext"/>
                  <w:rPr>
                    <w:b/>
                    <w:bCs w:val="0"/>
                    <w:sz w:val="20"/>
                    <w:szCs w:val="20"/>
                  </w:rPr>
                </w:pPr>
                <w:r>
                  <w:rPr>
                    <w:b/>
                    <w:bCs w:val="0"/>
                    <w:noProof/>
                    <w:sz w:val="20"/>
                    <w:szCs w:val="20"/>
                  </w:rPr>
                  <w:drawing>
                    <wp:inline distT="0" distB="0" distL="0" distR="0" wp14:anchorId="0B89C99C" wp14:editId="40082E6D">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21"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14E9F3C0" wp14:editId="6E38D2A8">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20"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3D94684E" w14:textId="77777777" w:rsidR="00054BF2" w:rsidRDefault="00054BF2" w:rsidP="00D57DE6">
                <w:pPr>
                  <w:pStyle w:val="Bottomblocktext"/>
                  <w:rPr>
                    <w:sz w:val="20"/>
                    <w:szCs w:val="20"/>
                  </w:rPr>
                </w:pPr>
                <w:hyperlink r:id="rId22" w:history="1">
                  <w:r w:rsidRPr="00350211">
                    <w:rPr>
                      <w:rStyle w:val="Hyperlink"/>
                      <w:sz w:val="20"/>
                      <w:szCs w:val="20"/>
                    </w:rPr>
                    <w:t>canberrahealthservices.act.gov.au/accessibility</w:t>
                  </w:r>
                </w:hyperlink>
              </w:p>
              <w:p w14:paraId="01725D0B" w14:textId="77777777" w:rsidR="00054BF2" w:rsidRDefault="00054BF2" w:rsidP="00D57DE6">
                <w:pPr>
                  <w:pStyle w:val="Bottomblocktext"/>
                </w:pPr>
                <w:r>
                  <w:rPr>
                    <w:b/>
                    <w:bCs w:val="0"/>
                    <w:noProof/>
                  </w:rPr>
                  <w:drawing>
                    <wp:inline distT="0" distB="0" distL="0" distR="0" wp14:anchorId="14F662EE" wp14:editId="4B3E0D84">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3"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tbl>
    <w:p w14:paraId="6B584CBD" w14:textId="1BABB7D7" w:rsidR="00480517" w:rsidRDefault="00480517">
      <w:pPr>
        <w:spacing w:before="0" w:after="0" w:line="240" w:lineRule="auto"/>
        <w:rPr>
          <w:rStyle w:val="Hyperlink"/>
          <w:rFonts w:eastAsia="Times New Roman"/>
        </w:rPr>
      </w:pPr>
      <w:r>
        <w:rPr>
          <w:rStyle w:val="Hyperlink"/>
        </w:rPr>
        <w:br w:type="page"/>
      </w:r>
    </w:p>
    <w:p w14:paraId="56375F6E" w14:textId="77777777" w:rsidR="00891834" w:rsidRPr="00BD484C" w:rsidRDefault="00891834" w:rsidP="001E3C8B">
      <w:pPr>
        <w:pStyle w:val="Heading4"/>
      </w:pPr>
      <w:bookmarkStart w:id="32" w:name="_Toc52973611"/>
      <w:bookmarkStart w:id="33" w:name="_Toc198277161"/>
      <w:r w:rsidRPr="00BD484C">
        <w:lastRenderedPageBreak/>
        <w:t>Attachment A: Supportive and Palliative Care Indicators Tool (SPICT™)</w:t>
      </w:r>
      <w:bookmarkEnd w:id="32"/>
      <w:bookmarkEnd w:id="33"/>
    </w:p>
    <w:p w14:paraId="3625D380" w14:textId="77777777" w:rsidR="00ED5998" w:rsidRDefault="00891834" w:rsidP="00891834">
      <w:pPr>
        <w:sectPr w:rsidR="00ED5998" w:rsidSect="001E3C8B">
          <w:footerReference w:type="default" r:id="rId24"/>
          <w:headerReference w:type="first" r:id="rId25"/>
          <w:footerReference w:type="first" r:id="rId26"/>
          <w:pgSz w:w="11906" w:h="16838"/>
          <w:pgMar w:top="663" w:right="1418" w:bottom="1440" w:left="1418" w:header="357" w:footer="306" w:gutter="0"/>
          <w:cols w:space="708"/>
          <w:titlePg/>
          <w:docGrid w:linePitch="360"/>
        </w:sectPr>
      </w:pPr>
      <w:r>
        <w:rPr>
          <w:noProof/>
        </w:rPr>
        <w:drawing>
          <wp:inline distT="0" distB="0" distL="0" distR="0" wp14:anchorId="624D466B" wp14:editId="6A0A38D7">
            <wp:extent cx="6069376" cy="8577740"/>
            <wp:effectExtent l="0" t="0" r="7620" b="0"/>
            <wp:docPr id="6" name="Picture 6" descr="SPICT™ is a tool which describes clinical signs that can help identify people who are at risk of deteriorating and dying from one or more advanced conditions. The tool combines indicators of advanced conditions with general indicators of deteriorating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PICT™ is a tool which describes clinical signs that can help identify people who are at risk of deteriorating and dying from one or more advanced conditions. The tool combines indicators of advanced conditions with general indicators of deteriorating health.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84537" cy="8599167"/>
                    </a:xfrm>
                    <a:prstGeom prst="rect">
                      <a:avLst/>
                    </a:prstGeom>
                    <a:noFill/>
                    <a:ln>
                      <a:noFill/>
                    </a:ln>
                  </pic:spPr>
                </pic:pic>
              </a:graphicData>
            </a:graphic>
          </wp:inline>
        </w:drawing>
      </w:r>
    </w:p>
    <w:p w14:paraId="2CDBDDC7" w14:textId="77777777" w:rsidR="00893249" w:rsidRPr="00893249" w:rsidRDefault="00893249" w:rsidP="001E3C8B">
      <w:pPr>
        <w:pStyle w:val="Heading4"/>
      </w:pPr>
      <w:bookmarkStart w:id="34" w:name="_Toc52973612"/>
      <w:bookmarkStart w:id="35" w:name="_Toc198277162"/>
      <w:r w:rsidRPr="00893249">
        <w:lastRenderedPageBreak/>
        <w:t>Attachment B:  Palliative Care Trajectories Framework for Clients in Custody at Alexander Maconochie Centre</w:t>
      </w:r>
      <w:bookmarkEnd w:id="34"/>
      <w:bookmarkEnd w:id="35"/>
    </w:p>
    <w:p w14:paraId="39FB6C85" w14:textId="7AA40185" w:rsidR="00893249" w:rsidRPr="00893249" w:rsidRDefault="00AC415B" w:rsidP="00893249">
      <w:pPr>
        <w:rPr>
          <w:b/>
        </w:rPr>
      </w:pPr>
      <w:r w:rsidRPr="00893249">
        <w:object w:dxaOrig="14686" w:dyaOrig="9361" w14:anchorId="4195DA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of trajectories for clients in custody at AMC. Trajectory A details the frequency of review at the complex care meeting including advance care planning for expected prognosis of greater than six months. Trajectory B details the frequency of review at the complex care meeting with input from specialist palliative care including review of advance care planning and assessment and management of palliative symptoms for expected prognosis of six months or less. Trajectory C is expected prognisos of less than one week and person expected to remain at AMC, comfort care is provided with daily review until terminal phase." style="width:627.75pt;height:399.75pt" o:ole="">
            <v:imagedata r:id="rId28" o:title=""/>
          </v:shape>
          <o:OLEObject Type="Embed" ProgID="Visio.Drawing.15" ShapeID="_x0000_i1025" DrawAspect="Content" ObjectID="_1823079797" r:id="rId29"/>
        </w:object>
      </w:r>
    </w:p>
    <w:p w14:paraId="3C9BB8D3" w14:textId="77777777" w:rsidR="00891834" w:rsidRDefault="00891834" w:rsidP="00891834">
      <w:pPr>
        <w:pStyle w:val="Heading1"/>
        <w:sectPr w:rsidR="00891834" w:rsidSect="00ED5998">
          <w:pgSz w:w="16838" w:h="11906" w:orient="landscape"/>
          <w:pgMar w:top="1418" w:right="663" w:bottom="1418" w:left="1440" w:header="357" w:footer="306" w:gutter="0"/>
          <w:cols w:space="708"/>
          <w:docGrid w:linePitch="360"/>
        </w:sectPr>
      </w:pPr>
    </w:p>
    <w:p w14:paraId="2C229487" w14:textId="77777777" w:rsidR="00045370" w:rsidRPr="00045370" w:rsidRDefault="00045370" w:rsidP="001E3C8B">
      <w:pPr>
        <w:pStyle w:val="Heading4"/>
      </w:pPr>
      <w:bookmarkStart w:id="36" w:name="_Toc52973615"/>
      <w:bookmarkStart w:id="37" w:name="_Toc198277163"/>
      <w:r w:rsidRPr="00045370">
        <w:lastRenderedPageBreak/>
        <w:t>Attachment C: Modified Bereavement Risk Index for Client in Custody</w:t>
      </w:r>
      <w:bookmarkEnd w:id="36"/>
      <w:bookmarkEnd w:id="37"/>
    </w:p>
    <w:p w14:paraId="79364C0A" w14:textId="77777777" w:rsidR="00045370" w:rsidRPr="00045370" w:rsidRDefault="00045370" w:rsidP="00045370">
      <w:pPr>
        <w:spacing w:before="0" w:after="0" w:line="240" w:lineRule="auto"/>
        <w:rPr>
          <w:rFonts w:asciiTheme="minorHAnsi" w:hAnsiTheme="minorHAnsi" w:cstheme="minorHAnsi"/>
          <w:b/>
          <w:color w:val="auto"/>
        </w:rPr>
      </w:pPr>
      <w:r w:rsidRPr="00045370">
        <w:rPr>
          <w:rFonts w:asciiTheme="minorHAnsi" w:hAnsiTheme="minorHAnsi" w:cstheme="minorHAnsi"/>
          <w:b/>
          <w:color w:val="auto"/>
        </w:rPr>
        <w:t xml:space="preserve">Name of Client </w:t>
      </w:r>
      <w:r w:rsidRPr="00045370">
        <w:rPr>
          <w:rFonts w:asciiTheme="minorHAnsi" w:hAnsiTheme="minorHAnsi" w:cstheme="minorHAnsi"/>
          <w:color w:val="auto"/>
        </w:rPr>
        <w:t>____________________________________________</w:t>
      </w:r>
    </w:p>
    <w:p w14:paraId="331009EE" w14:textId="77777777" w:rsidR="00045370" w:rsidRPr="00045370" w:rsidRDefault="00045370" w:rsidP="00045370">
      <w:pPr>
        <w:spacing w:before="0" w:after="0" w:line="240" w:lineRule="auto"/>
        <w:rPr>
          <w:rFonts w:asciiTheme="minorHAnsi" w:hAnsiTheme="minorHAnsi" w:cstheme="minorHAnsi"/>
          <w:color w:val="auto"/>
        </w:rPr>
      </w:pPr>
      <w:r w:rsidRPr="00045370">
        <w:rPr>
          <w:rFonts w:asciiTheme="minorHAnsi" w:hAnsiTheme="minorHAnsi" w:cstheme="minorHAnsi"/>
          <w:b/>
          <w:color w:val="auto"/>
        </w:rPr>
        <w:t xml:space="preserve">Name of Buddy Carer/ Family member   </w:t>
      </w:r>
      <w:r w:rsidRPr="00045370">
        <w:rPr>
          <w:rFonts w:asciiTheme="minorHAnsi" w:hAnsiTheme="minorHAnsi" w:cstheme="minorHAnsi"/>
          <w:color w:val="auto"/>
        </w:rPr>
        <w:t>__________________________</w:t>
      </w:r>
    </w:p>
    <w:p w14:paraId="0959B154" w14:textId="77777777" w:rsidR="00045370" w:rsidRPr="00045370" w:rsidRDefault="00045370" w:rsidP="00045370">
      <w:pPr>
        <w:spacing w:before="0" w:after="0" w:line="240" w:lineRule="auto"/>
        <w:rPr>
          <w:rFonts w:asciiTheme="minorHAnsi" w:hAnsiTheme="minorHAnsi" w:cstheme="minorHAnsi"/>
          <w:color w:val="auto"/>
        </w:rPr>
      </w:pPr>
      <w:r w:rsidRPr="00045370">
        <w:rPr>
          <w:rFonts w:asciiTheme="minorHAnsi" w:hAnsiTheme="minorHAnsi" w:cstheme="minorHAnsi"/>
          <w:color w:val="auto"/>
        </w:rPr>
        <w:t xml:space="preserve">If family carer: </w:t>
      </w:r>
    </w:p>
    <w:p w14:paraId="50F48A07" w14:textId="77777777" w:rsidR="00045370" w:rsidRPr="00045370" w:rsidRDefault="00045370" w:rsidP="00045370">
      <w:pPr>
        <w:spacing w:before="0" w:after="0" w:line="240" w:lineRule="auto"/>
        <w:rPr>
          <w:rFonts w:asciiTheme="minorHAnsi" w:hAnsiTheme="minorHAnsi" w:cstheme="minorHAnsi"/>
          <w:color w:val="auto"/>
        </w:rPr>
      </w:pPr>
      <w:r w:rsidRPr="00045370">
        <w:rPr>
          <w:rFonts w:asciiTheme="minorHAnsi" w:hAnsiTheme="minorHAnsi" w:cstheme="minorHAnsi"/>
          <w:color w:val="auto"/>
        </w:rPr>
        <w:t xml:space="preserve">          Relationship to a client ___________________________________</w:t>
      </w:r>
    </w:p>
    <w:p w14:paraId="50601651" w14:textId="77777777" w:rsidR="00045370" w:rsidRPr="00045370" w:rsidRDefault="00045370" w:rsidP="00045370">
      <w:pPr>
        <w:spacing w:before="0" w:after="0" w:line="240" w:lineRule="auto"/>
        <w:rPr>
          <w:rFonts w:asciiTheme="minorHAnsi" w:hAnsiTheme="minorHAnsi" w:cstheme="minorHAnsi"/>
          <w:color w:val="auto"/>
        </w:rPr>
      </w:pPr>
      <w:r w:rsidRPr="00045370">
        <w:rPr>
          <w:rFonts w:asciiTheme="minorHAnsi" w:hAnsiTheme="minorHAnsi" w:cstheme="minorHAnsi"/>
          <w:color w:val="auto"/>
        </w:rPr>
        <w:t xml:space="preserve">          Phone contact details of family carer _________________________</w:t>
      </w:r>
    </w:p>
    <w:p w14:paraId="21B26B7C" w14:textId="77777777" w:rsidR="00045370" w:rsidRPr="00045370" w:rsidRDefault="00045370" w:rsidP="00471A16">
      <w:pPr>
        <w:pStyle w:val="BodyCopy"/>
        <w:spacing w:after="120" w:line="240" w:lineRule="auto"/>
        <w:rPr>
          <w:rFonts w:asciiTheme="minorHAnsi" w:hAnsiTheme="minorHAnsi" w:cstheme="minorBidi"/>
          <w:lang w:val="en-US"/>
        </w:rPr>
      </w:pPr>
      <w:r w:rsidRPr="750BDE59">
        <w:rPr>
          <w:rFonts w:asciiTheme="minorHAnsi" w:hAnsiTheme="minorHAnsi" w:cstheme="minorBidi"/>
          <w:lang w:val="en-US"/>
        </w:rPr>
        <w:t xml:space="preserve">Instructions:  Circle score for identified symptoms. Total all circled scores.  </w:t>
      </w:r>
    </w:p>
    <w:p w14:paraId="54D23B3A" w14:textId="77777777" w:rsidR="00045370" w:rsidRPr="00045370" w:rsidRDefault="00045370" w:rsidP="00471A16">
      <w:pPr>
        <w:pStyle w:val="BodyCopy"/>
        <w:spacing w:after="120" w:line="240" w:lineRule="auto"/>
        <w:rPr>
          <w:rFonts w:asciiTheme="minorHAnsi" w:hAnsiTheme="minorHAnsi" w:cstheme="minorBidi"/>
          <w:lang w:val="en-US"/>
        </w:rPr>
      </w:pPr>
      <w:r w:rsidRPr="750BDE59">
        <w:rPr>
          <w:rFonts w:asciiTheme="minorHAnsi" w:hAnsiTheme="minorHAnsi" w:cstheme="minorBidi"/>
          <w:lang w:val="en-US"/>
        </w:rPr>
        <w:t>Using total score identify appropriate bereavement response from below.</w:t>
      </w:r>
    </w:p>
    <w:tbl>
      <w:tblPr>
        <w:tblStyle w:val="TableGrid1"/>
        <w:tblW w:w="10065" w:type="dxa"/>
        <w:tblInd w:w="-431" w:type="dxa"/>
        <w:tblLook w:val="04A0" w:firstRow="1" w:lastRow="0" w:firstColumn="1" w:lastColumn="0" w:noHBand="0" w:noVBand="1"/>
      </w:tblPr>
      <w:tblGrid>
        <w:gridCol w:w="962"/>
        <w:gridCol w:w="1951"/>
        <w:gridCol w:w="6446"/>
        <w:gridCol w:w="706"/>
      </w:tblGrid>
      <w:tr w:rsidR="0069275B" w:rsidRPr="0069275B" w14:paraId="7D169065" w14:textId="77777777" w:rsidTr="007A414D">
        <w:tc>
          <w:tcPr>
            <w:tcW w:w="962" w:type="dxa"/>
            <w:tcBorders>
              <w:bottom w:val="single" w:sz="4" w:space="0" w:color="auto"/>
            </w:tcBorders>
          </w:tcPr>
          <w:p w14:paraId="20370F57" w14:textId="77777777" w:rsidR="0069275B" w:rsidRPr="0069275B" w:rsidRDefault="0069275B" w:rsidP="0069275B">
            <w:pPr>
              <w:tabs>
                <w:tab w:val="left" w:pos="9069"/>
              </w:tabs>
              <w:spacing w:before="0" w:after="0" w:line="240" w:lineRule="auto"/>
              <w:jc w:val="both"/>
              <w:rPr>
                <w:rFonts w:ascii="Calibri" w:hAnsi="Calibri"/>
                <w:b/>
              </w:rPr>
            </w:pPr>
          </w:p>
        </w:tc>
        <w:tc>
          <w:tcPr>
            <w:tcW w:w="1951" w:type="dxa"/>
            <w:tcBorders>
              <w:bottom w:val="single" w:sz="4" w:space="0" w:color="auto"/>
            </w:tcBorders>
          </w:tcPr>
          <w:p w14:paraId="7B544C53" w14:textId="77777777" w:rsidR="0069275B" w:rsidRPr="0069275B" w:rsidRDefault="0069275B" w:rsidP="0069275B">
            <w:pPr>
              <w:tabs>
                <w:tab w:val="left" w:pos="9069"/>
              </w:tabs>
              <w:spacing w:before="0" w:after="0" w:line="240" w:lineRule="auto"/>
              <w:rPr>
                <w:rFonts w:ascii="Calibri" w:hAnsi="Calibri"/>
                <w:b/>
              </w:rPr>
            </w:pPr>
            <w:r w:rsidRPr="0069275B">
              <w:rPr>
                <w:rFonts w:ascii="Calibri" w:hAnsi="Calibri"/>
                <w:b/>
              </w:rPr>
              <w:t>Risk Factor</w:t>
            </w:r>
          </w:p>
        </w:tc>
        <w:tc>
          <w:tcPr>
            <w:tcW w:w="6446" w:type="dxa"/>
          </w:tcPr>
          <w:p w14:paraId="6C01168B" w14:textId="77777777" w:rsidR="0069275B" w:rsidRPr="0069275B" w:rsidRDefault="0069275B" w:rsidP="0069275B">
            <w:pPr>
              <w:tabs>
                <w:tab w:val="left" w:pos="9069"/>
              </w:tabs>
              <w:spacing w:before="0" w:after="0" w:line="240" w:lineRule="auto"/>
              <w:jc w:val="both"/>
              <w:rPr>
                <w:rFonts w:ascii="Calibri" w:hAnsi="Calibri"/>
                <w:b/>
              </w:rPr>
            </w:pPr>
            <w:r w:rsidRPr="0069275B">
              <w:rPr>
                <w:rFonts w:ascii="Calibri" w:hAnsi="Calibri"/>
                <w:b/>
              </w:rPr>
              <w:t>Symptoms</w:t>
            </w:r>
          </w:p>
        </w:tc>
        <w:tc>
          <w:tcPr>
            <w:tcW w:w="706" w:type="dxa"/>
          </w:tcPr>
          <w:p w14:paraId="00CABF39" w14:textId="77777777" w:rsidR="0069275B" w:rsidRPr="0069275B" w:rsidRDefault="0069275B" w:rsidP="0069275B">
            <w:pPr>
              <w:tabs>
                <w:tab w:val="left" w:pos="9069"/>
              </w:tabs>
              <w:spacing w:before="0" w:after="0" w:line="240" w:lineRule="auto"/>
              <w:jc w:val="center"/>
              <w:rPr>
                <w:rFonts w:ascii="Calibri" w:hAnsi="Calibri"/>
                <w:b/>
              </w:rPr>
            </w:pPr>
            <w:r w:rsidRPr="0069275B">
              <w:rPr>
                <w:rFonts w:ascii="Calibri" w:hAnsi="Calibri"/>
                <w:b/>
              </w:rPr>
              <w:t>Score</w:t>
            </w:r>
          </w:p>
        </w:tc>
      </w:tr>
      <w:tr w:rsidR="0069275B" w:rsidRPr="0069275B" w14:paraId="69132570" w14:textId="77777777" w:rsidTr="007A414D">
        <w:trPr>
          <w:trHeight w:val="96"/>
        </w:trPr>
        <w:tc>
          <w:tcPr>
            <w:tcW w:w="962" w:type="dxa"/>
            <w:tcBorders>
              <w:top w:val="single" w:sz="4" w:space="0" w:color="auto"/>
              <w:left w:val="single" w:sz="4" w:space="0" w:color="auto"/>
              <w:bottom w:val="nil"/>
              <w:right w:val="single" w:sz="4" w:space="0" w:color="auto"/>
            </w:tcBorders>
            <w:shd w:val="clear" w:color="auto" w:fill="EAF1DD"/>
          </w:tcPr>
          <w:p w14:paraId="65AE76B7" w14:textId="77777777" w:rsidR="0069275B" w:rsidRPr="0069275B" w:rsidRDefault="0069275B" w:rsidP="0069275B">
            <w:pPr>
              <w:tabs>
                <w:tab w:val="left" w:pos="9069"/>
              </w:tabs>
              <w:spacing w:before="0" w:after="0" w:line="240" w:lineRule="auto"/>
              <w:jc w:val="both"/>
              <w:rPr>
                <w:rFonts w:ascii="Calibri" w:hAnsi="Calibri"/>
              </w:rPr>
            </w:pPr>
            <w:r w:rsidRPr="0069275B">
              <w:rPr>
                <w:rFonts w:ascii="Calibri" w:hAnsi="Calibri"/>
              </w:rPr>
              <w:t>1</w:t>
            </w:r>
          </w:p>
        </w:tc>
        <w:tc>
          <w:tcPr>
            <w:tcW w:w="1951" w:type="dxa"/>
            <w:tcBorders>
              <w:top w:val="single" w:sz="4" w:space="0" w:color="auto"/>
              <w:left w:val="single" w:sz="4" w:space="0" w:color="auto"/>
              <w:bottom w:val="nil"/>
              <w:right w:val="single" w:sz="4" w:space="0" w:color="auto"/>
            </w:tcBorders>
            <w:shd w:val="clear" w:color="auto" w:fill="EAF1DD"/>
          </w:tcPr>
          <w:p w14:paraId="710D31CE" w14:textId="77777777" w:rsidR="0069275B" w:rsidRPr="0069275B" w:rsidRDefault="0069275B" w:rsidP="0069275B">
            <w:pPr>
              <w:tabs>
                <w:tab w:val="left" w:pos="9069"/>
              </w:tabs>
              <w:spacing w:before="0" w:after="0" w:line="240" w:lineRule="auto"/>
              <w:rPr>
                <w:rFonts w:ascii="Calibri" w:hAnsi="Calibri"/>
              </w:rPr>
            </w:pPr>
            <w:r w:rsidRPr="0069275B">
              <w:rPr>
                <w:rFonts w:ascii="Calibri" w:hAnsi="Calibri"/>
              </w:rPr>
              <w:t>Anger</w:t>
            </w:r>
          </w:p>
        </w:tc>
        <w:tc>
          <w:tcPr>
            <w:tcW w:w="6446" w:type="dxa"/>
            <w:tcBorders>
              <w:left w:val="single" w:sz="4" w:space="0" w:color="auto"/>
            </w:tcBorders>
            <w:shd w:val="clear" w:color="auto" w:fill="EAF1DD"/>
          </w:tcPr>
          <w:p w14:paraId="223C982F" w14:textId="77777777" w:rsidR="0069275B" w:rsidRPr="0069275B" w:rsidRDefault="0069275B" w:rsidP="0069275B">
            <w:pPr>
              <w:tabs>
                <w:tab w:val="left" w:pos="9069"/>
              </w:tabs>
              <w:spacing w:before="0" w:after="0" w:line="240" w:lineRule="auto"/>
              <w:jc w:val="both"/>
              <w:rPr>
                <w:rFonts w:ascii="Calibri" w:hAnsi="Calibri"/>
              </w:rPr>
            </w:pPr>
            <w:r w:rsidRPr="0069275B">
              <w:rPr>
                <w:rFonts w:ascii="Calibri" w:hAnsi="Calibri"/>
              </w:rPr>
              <w:t>None</w:t>
            </w:r>
          </w:p>
        </w:tc>
        <w:tc>
          <w:tcPr>
            <w:tcW w:w="706" w:type="dxa"/>
            <w:shd w:val="clear" w:color="auto" w:fill="EAF1DD"/>
          </w:tcPr>
          <w:p w14:paraId="09A70FBB" w14:textId="77777777" w:rsidR="0069275B" w:rsidRPr="0069275B" w:rsidRDefault="0069275B" w:rsidP="0069275B">
            <w:pPr>
              <w:tabs>
                <w:tab w:val="left" w:pos="9069"/>
              </w:tabs>
              <w:spacing w:before="0" w:after="0" w:line="240" w:lineRule="auto"/>
              <w:jc w:val="center"/>
              <w:rPr>
                <w:rFonts w:ascii="Calibri" w:hAnsi="Calibri"/>
              </w:rPr>
            </w:pPr>
            <w:r w:rsidRPr="0069275B">
              <w:rPr>
                <w:rFonts w:ascii="Calibri" w:hAnsi="Calibri"/>
              </w:rPr>
              <w:t>1</w:t>
            </w:r>
          </w:p>
        </w:tc>
      </w:tr>
      <w:tr w:rsidR="0069275B" w:rsidRPr="0069275B" w14:paraId="43F0DFEA" w14:textId="77777777" w:rsidTr="007A414D">
        <w:trPr>
          <w:trHeight w:val="96"/>
        </w:trPr>
        <w:tc>
          <w:tcPr>
            <w:tcW w:w="962" w:type="dxa"/>
            <w:tcBorders>
              <w:top w:val="nil"/>
              <w:left w:val="single" w:sz="4" w:space="0" w:color="auto"/>
              <w:bottom w:val="nil"/>
              <w:right w:val="single" w:sz="4" w:space="0" w:color="auto"/>
            </w:tcBorders>
            <w:shd w:val="clear" w:color="auto" w:fill="EAF1DD"/>
          </w:tcPr>
          <w:p w14:paraId="1E9035D9" w14:textId="77777777" w:rsidR="0069275B" w:rsidRPr="0069275B" w:rsidRDefault="0069275B" w:rsidP="0069275B">
            <w:pPr>
              <w:tabs>
                <w:tab w:val="left" w:pos="9069"/>
              </w:tabs>
              <w:spacing w:before="0" w:after="0" w:line="240" w:lineRule="auto"/>
              <w:jc w:val="both"/>
              <w:rPr>
                <w:rFonts w:ascii="Calibri" w:hAnsi="Calibri"/>
              </w:rPr>
            </w:pPr>
          </w:p>
        </w:tc>
        <w:tc>
          <w:tcPr>
            <w:tcW w:w="1951" w:type="dxa"/>
            <w:tcBorders>
              <w:top w:val="nil"/>
              <w:left w:val="single" w:sz="4" w:space="0" w:color="auto"/>
              <w:bottom w:val="nil"/>
              <w:right w:val="single" w:sz="4" w:space="0" w:color="auto"/>
            </w:tcBorders>
            <w:shd w:val="clear" w:color="auto" w:fill="EAF1DD"/>
          </w:tcPr>
          <w:p w14:paraId="1D6E787C" w14:textId="77777777" w:rsidR="0069275B" w:rsidRPr="0069275B" w:rsidRDefault="0069275B" w:rsidP="0069275B">
            <w:pPr>
              <w:tabs>
                <w:tab w:val="left" w:pos="9069"/>
              </w:tabs>
              <w:spacing w:before="0" w:after="0" w:line="240" w:lineRule="auto"/>
              <w:rPr>
                <w:rFonts w:ascii="Calibri" w:hAnsi="Calibri"/>
              </w:rPr>
            </w:pPr>
          </w:p>
        </w:tc>
        <w:tc>
          <w:tcPr>
            <w:tcW w:w="6446" w:type="dxa"/>
            <w:tcBorders>
              <w:left w:val="single" w:sz="4" w:space="0" w:color="auto"/>
            </w:tcBorders>
            <w:shd w:val="clear" w:color="auto" w:fill="EAF1DD"/>
          </w:tcPr>
          <w:p w14:paraId="3210FECB" w14:textId="77777777" w:rsidR="0069275B" w:rsidRPr="0069275B" w:rsidRDefault="0069275B" w:rsidP="0069275B">
            <w:pPr>
              <w:tabs>
                <w:tab w:val="left" w:pos="9069"/>
              </w:tabs>
              <w:spacing w:before="0" w:after="0" w:line="240" w:lineRule="auto"/>
              <w:jc w:val="both"/>
              <w:rPr>
                <w:rFonts w:ascii="Calibri" w:hAnsi="Calibri"/>
              </w:rPr>
            </w:pPr>
            <w:r w:rsidRPr="0069275B">
              <w:rPr>
                <w:rFonts w:ascii="Calibri" w:hAnsi="Calibri"/>
              </w:rPr>
              <w:t>Mild</w:t>
            </w:r>
          </w:p>
        </w:tc>
        <w:tc>
          <w:tcPr>
            <w:tcW w:w="706" w:type="dxa"/>
            <w:shd w:val="clear" w:color="auto" w:fill="EAF1DD"/>
          </w:tcPr>
          <w:p w14:paraId="510B921A" w14:textId="77777777" w:rsidR="0069275B" w:rsidRPr="0069275B" w:rsidRDefault="0069275B" w:rsidP="0069275B">
            <w:pPr>
              <w:tabs>
                <w:tab w:val="left" w:pos="9069"/>
              </w:tabs>
              <w:spacing w:before="0" w:after="0" w:line="240" w:lineRule="auto"/>
              <w:jc w:val="center"/>
              <w:rPr>
                <w:rFonts w:ascii="Calibri" w:hAnsi="Calibri"/>
              </w:rPr>
            </w:pPr>
            <w:r w:rsidRPr="0069275B">
              <w:rPr>
                <w:rFonts w:ascii="Calibri" w:hAnsi="Calibri"/>
              </w:rPr>
              <w:t>2</w:t>
            </w:r>
          </w:p>
        </w:tc>
      </w:tr>
      <w:tr w:rsidR="0069275B" w:rsidRPr="0069275B" w14:paraId="5858D768" w14:textId="77777777" w:rsidTr="007A414D">
        <w:trPr>
          <w:trHeight w:val="96"/>
        </w:trPr>
        <w:tc>
          <w:tcPr>
            <w:tcW w:w="962" w:type="dxa"/>
            <w:tcBorders>
              <w:top w:val="nil"/>
              <w:left w:val="single" w:sz="4" w:space="0" w:color="auto"/>
              <w:bottom w:val="nil"/>
              <w:right w:val="single" w:sz="4" w:space="0" w:color="auto"/>
            </w:tcBorders>
            <w:shd w:val="clear" w:color="auto" w:fill="EAF1DD"/>
          </w:tcPr>
          <w:p w14:paraId="0ACAE023" w14:textId="77777777" w:rsidR="0069275B" w:rsidRPr="0069275B" w:rsidRDefault="0069275B" w:rsidP="0069275B">
            <w:pPr>
              <w:tabs>
                <w:tab w:val="left" w:pos="9069"/>
              </w:tabs>
              <w:spacing w:before="0" w:after="0" w:line="240" w:lineRule="auto"/>
              <w:jc w:val="both"/>
              <w:rPr>
                <w:rFonts w:ascii="Calibri" w:hAnsi="Calibri"/>
              </w:rPr>
            </w:pPr>
          </w:p>
        </w:tc>
        <w:tc>
          <w:tcPr>
            <w:tcW w:w="1951" w:type="dxa"/>
            <w:tcBorders>
              <w:top w:val="nil"/>
              <w:left w:val="single" w:sz="4" w:space="0" w:color="auto"/>
              <w:bottom w:val="nil"/>
              <w:right w:val="single" w:sz="4" w:space="0" w:color="auto"/>
            </w:tcBorders>
            <w:shd w:val="clear" w:color="auto" w:fill="EAF1DD"/>
          </w:tcPr>
          <w:p w14:paraId="2405672C" w14:textId="77777777" w:rsidR="0069275B" w:rsidRPr="0069275B" w:rsidRDefault="0069275B" w:rsidP="0069275B">
            <w:pPr>
              <w:tabs>
                <w:tab w:val="left" w:pos="9069"/>
              </w:tabs>
              <w:spacing w:before="0" w:after="0" w:line="240" w:lineRule="auto"/>
              <w:rPr>
                <w:rFonts w:ascii="Calibri" w:hAnsi="Calibri"/>
              </w:rPr>
            </w:pPr>
          </w:p>
        </w:tc>
        <w:tc>
          <w:tcPr>
            <w:tcW w:w="6446" w:type="dxa"/>
            <w:tcBorders>
              <w:left w:val="single" w:sz="4" w:space="0" w:color="auto"/>
            </w:tcBorders>
            <w:shd w:val="clear" w:color="auto" w:fill="EAF1DD"/>
          </w:tcPr>
          <w:p w14:paraId="7E53CF42" w14:textId="77777777" w:rsidR="0069275B" w:rsidRPr="0069275B" w:rsidRDefault="0069275B" w:rsidP="0069275B">
            <w:pPr>
              <w:tabs>
                <w:tab w:val="left" w:pos="9069"/>
              </w:tabs>
              <w:spacing w:before="0" w:after="0" w:line="240" w:lineRule="auto"/>
              <w:jc w:val="both"/>
              <w:rPr>
                <w:rFonts w:ascii="Calibri" w:hAnsi="Calibri"/>
              </w:rPr>
            </w:pPr>
            <w:r w:rsidRPr="0069275B">
              <w:rPr>
                <w:rFonts w:ascii="Calibri" w:hAnsi="Calibri"/>
              </w:rPr>
              <w:t>Moderate (occasional outbursts)</w:t>
            </w:r>
          </w:p>
        </w:tc>
        <w:tc>
          <w:tcPr>
            <w:tcW w:w="706" w:type="dxa"/>
            <w:shd w:val="clear" w:color="auto" w:fill="EAF1DD"/>
          </w:tcPr>
          <w:p w14:paraId="704313BB" w14:textId="77777777" w:rsidR="0069275B" w:rsidRPr="0069275B" w:rsidRDefault="0069275B" w:rsidP="0069275B">
            <w:pPr>
              <w:tabs>
                <w:tab w:val="left" w:pos="9069"/>
              </w:tabs>
              <w:spacing w:before="0" w:after="0" w:line="240" w:lineRule="auto"/>
              <w:jc w:val="center"/>
              <w:rPr>
                <w:rFonts w:ascii="Calibri" w:hAnsi="Calibri"/>
              </w:rPr>
            </w:pPr>
            <w:r w:rsidRPr="0069275B">
              <w:rPr>
                <w:rFonts w:ascii="Calibri" w:hAnsi="Calibri"/>
              </w:rPr>
              <w:t>3</w:t>
            </w:r>
          </w:p>
        </w:tc>
      </w:tr>
      <w:tr w:rsidR="0069275B" w:rsidRPr="0069275B" w14:paraId="09683EE9" w14:textId="77777777" w:rsidTr="007A414D">
        <w:trPr>
          <w:trHeight w:val="96"/>
        </w:trPr>
        <w:tc>
          <w:tcPr>
            <w:tcW w:w="962" w:type="dxa"/>
            <w:tcBorders>
              <w:top w:val="nil"/>
              <w:left w:val="single" w:sz="4" w:space="0" w:color="auto"/>
              <w:bottom w:val="nil"/>
              <w:right w:val="single" w:sz="4" w:space="0" w:color="auto"/>
            </w:tcBorders>
            <w:shd w:val="clear" w:color="auto" w:fill="EAF1DD"/>
          </w:tcPr>
          <w:p w14:paraId="634C8EF7" w14:textId="77777777" w:rsidR="0069275B" w:rsidRPr="0069275B" w:rsidRDefault="0069275B" w:rsidP="0069275B">
            <w:pPr>
              <w:tabs>
                <w:tab w:val="left" w:pos="9069"/>
              </w:tabs>
              <w:spacing w:before="0" w:after="0" w:line="240" w:lineRule="auto"/>
              <w:jc w:val="both"/>
              <w:rPr>
                <w:rFonts w:ascii="Calibri" w:hAnsi="Calibri"/>
              </w:rPr>
            </w:pPr>
          </w:p>
        </w:tc>
        <w:tc>
          <w:tcPr>
            <w:tcW w:w="1951" w:type="dxa"/>
            <w:tcBorders>
              <w:top w:val="nil"/>
              <w:left w:val="single" w:sz="4" w:space="0" w:color="auto"/>
              <w:bottom w:val="nil"/>
              <w:right w:val="single" w:sz="4" w:space="0" w:color="auto"/>
            </w:tcBorders>
            <w:shd w:val="clear" w:color="auto" w:fill="EAF1DD"/>
          </w:tcPr>
          <w:p w14:paraId="0B157FF0" w14:textId="77777777" w:rsidR="0069275B" w:rsidRPr="0069275B" w:rsidRDefault="0069275B" w:rsidP="0069275B">
            <w:pPr>
              <w:tabs>
                <w:tab w:val="left" w:pos="9069"/>
              </w:tabs>
              <w:spacing w:before="0" w:after="0" w:line="240" w:lineRule="auto"/>
              <w:rPr>
                <w:rFonts w:ascii="Calibri" w:hAnsi="Calibri"/>
              </w:rPr>
            </w:pPr>
          </w:p>
        </w:tc>
        <w:tc>
          <w:tcPr>
            <w:tcW w:w="6446" w:type="dxa"/>
            <w:tcBorders>
              <w:left w:val="single" w:sz="4" w:space="0" w:color="auto"/>
            </w:tcBorders>
            <w:shd w:val="clear" w:color="auto" w:fill="EAF1DD"/>
          </w:tcPr>
          <w:p w14:paraId="52D9C45F" w14:textId="77777777" w:rsidR="0069275B" w:rsidRPr="0069275B" w:rsidRDefault="0069275B" w:rsidP="0069275B">
            <w:pPr>
              <w:tabs>
                <w:tab w:val="left" w:pos="9069"/>
              </w:tabs>
              <w:spacing w:before="0" w:after="0" w:line="240" w:lineRule="auto"/>
              <w:jc w:val="both"/>
              <w:rPr>
                <w:rFonts w:ascii="Calibri" w:hAnsi="Calibri"/>
              </w:rPr>
            </w:pPr>
            <w:r w:rsidRPr="0069275B">
              <w:rPr>
                <w:rFonts w:ascii="Calibri" w:hAnsi="Calibri"/>
              </w:rPr>
              <w:t>Severe (spoiling relationships)</w:t>
            </w:r>
          </w:p>
        </w:tc>
        <w:tc>
          <w:tcPr>
            <w:tcW w:w="706" w:type="dxa"/>
            <w:shd w:val="clear" w:color="auto" w:fill="EAF1DD"/>
          </w:tcPr>
          <w:p w14:paraId="074F5478" w14:textId="77777777" w:rsidR="0069275B" w:rsidRPr="0069275B" w:rsidRDefault="0069275B" w:rsidP="0069275B">
            <w:pPr>
              <w:tabs>
                <w:tab w:val="left" w:pos="9069"/>
              </w:tabs>
              <w:spacing w:before="0" w:after="0" w:line="240" w:lineRule="auto"/>
              <w:jc w:val="center"/>
              <w:rPr>
                <w:rFonts w:ascii="Calibri" w:hAnsi="Calibri"/>
              </w:rPr>
            </w:pPr>
            <w:r w:rsidRPr="0069275B">
              <w:rPr>
                <w:rFonts w:ascii="Calibri" w:hAnsi="Calibri"/>
              </w:rPr>
              <w:t>4</w:t>
            </w:r>
          </w:p>
        </w:tc>
      </w:tr>
      <w:tr w:rsidR="0069275B" w:rsidRPr="0069275B" w14:paraId="7DF429C6" w14:textId="77777777" w:rsidTr="007A414D">
        <w:trPr>
          <w:trHeight w:val="96"/>
        </w:trPr>
        <w:tc>
          <w:tcPr>
            <w:tcW w:w="962" w:type="dxa"/>
            <w:tcBorders>
              <w:top w:val="nil"/>
              <w:left w:val="single" w:sz="4" w:space="0" w:color="auto"/>
              <w:bottom w:val="single" w:sz="4" w:space="0" w:color="auto"/>
              <w:right w:val="single" w:sz="4" w:space="0" w:color="auto"/>
            </w:tcBorders>
            <w:shd w:val="clear" w:color="auto" w:fill="EAF1DD"/>
          </w:tcPr>
          <w:p w14:paraId="7F4236C6" w14:textId="77777777" w:rsidR="0069275B" w:rsidRPr="0069275B" w:rsidRDefault="0069275B" w:rsidP="0069275B">
            <w:pPr>
              <w:tabs>
                <w:tab w:val="left" w:pos="9069"/>
              </w:tabs>
              <w:spacing w:before="0" w:after="0" w:line="240" w:lineRule="auto"/>
              <w:jc w:val="both"/>
              <w:rPr>
                <w:rFonts w:ascii="Calibri" w:hAnsi="Calibri"/>
              </w:rPr>
            </w:pPr>
          </w:p>
        </w:tc>
        <w:tc>
          <w:tcPr>
            <w:tcW w:w="1951" w:type="dxa"/>
            <w:tcBorders>
              <w:top w:val="nil"/>
              <w:left w:val="single" w:sz="4" w:space="0" w:color="auto"/>
              <w:bottom w:val="single" w:sz="4" w:space="0" w:color="auto"/>
              <w:right w:val="single" w:sz="4" w:space="0" w:color="auto"/>
            </w:tcBorders>
            <w:shd w:val="clear" w:color="auto" w:fill="EAF1DD"/>
          </w:tcPr>
          <w:p w14:paraId="2A3C4ABC" w14:textId="77777777" w:rsidR="0069275B" w:rsidRPr="0069275B" w:rsidRDefault="0069275B" w:rsidP="0069275B">
            <w:pPr>
              <w:tabs>
                <w:tab w:val="left" w:pos="9069"/>
              </w:tabs>
              <w:spacing w:before="0" w:after="0" w:line="240" w:lineRule="auto"/>
              <w:rPr>
                <w:rFonts w:ascii="Calibri" w:hAnsi="Calibri"/>
              </w:rPr>
            </w:pPr>
          </w:p>
        </w:tc>
        <w:tc>
          <w:tcPr>
            <w:tcW w:w="6446" w:type="dxa"/>
            <w:tcBorders>
              <w:left w:val="single" w:sz="4" w:space="0" w:color="auto"/>
            </w:tcBorders>
            <w:shd w:val="clear" w:color="auto" w:fill="EAF1DD"/>
          </w:tcPr>
          <w:p w14:paraId="660BCB10" w14:textId="77777777" w:rsidR="0069275B" w:rsidRPr="0069275B" w:rsidRDefault="0069275B" w:rsidP="0069275B">
            <w:pPr>
              <w:tabs>
                <w:tab w:val="left" w:pos="9069"/>
              </w:tabs>
              <w:spacing w:before="0" w:after="0" w:line="240" w:lineRule="auto"/>
              <w:jc w:val="both"/>
              <w:rPr>
                <w:rFonts w:ascii="Calibri" w:hAnsi="Calibri"/>
              </w:rPr>
            </w:pPr>
            <w:r w:rsidRPr="0069275B">
              <w:rPr>
                <w:rFonts w:ascii="Calibri" w:hAnsi="Calibri"/>
              </w:rPr>
              <w:t>Extreme (always bitter)</w:t>
            </w:r>
          </w:p>
        </w:tc>
        <w:tc>
          <w:tcPr>
            <w:tcW w:w="706" w:type="dxa"/>
            <w:shd w:val="clear" w:color="auto" w:fill="EAF1DD"/>
          </w:tcPr>
          <w:p w14:paraId="6D7A0A90" w14:textId="77777777" w:rsidR="0069275B" w:rsidRPr="0069275B" w:rsidRDefault="0069275B" w:rsidP="0069275B">
            <w:pPr>
              <w:tabs>
                <w:tab w:val="left" w:pos="9069"/>
              </w:tabs>
              <w:spacing w:before="0" w:after="0" w:line="240" w:lineRule="auto"/>
              <w:jc w:val="center"/>
              <w:rPr>
                <w:rFonts w:ascii="Calibri" w:hAnsi="Calibri"/>
              </w:rPr>
            </w:pPr>
            <w:r w:rsidRPr="0069275B">
              <w:rPr>
                <w:rFonts w:ascii="Calibri" w:hAnsi="Calibri"/>
              </w:rPr>
              <w:t>5</w:t>
            </w:r>
          </w:p>
        </w:tc>
      </w:tr>
      <w:tr w:rsidR="0069275B" w:rsidRPr="0069275B" w14:paraId="583816C2" w14:textId="77777777" w:rsidTr="007A414D">
        <w:trPr>
          <w:trHeight w:val="293"/>
        </w:trPr>
        <w:tc>
          <w:tcPr>
            <w:tcW w:w="962" w:type="dxa"/>
            <w:tcBorders>
              <w:top w:val="single" w:sz="4" w:space="0" w:color="auto"/>
              <w:left w:val="single" w:sz="4" w:space="0" w:color="auto"/>
              <w:bottom w:val="nil"/>
              <w:right w:val="single" w:sz="4" w:space="0" w:color="auto"/>
            </w:tcBorders>
            <w:shd w:val="clear" w:color="auto" w:fill="DBE5F1"/>
          </w:tcPr>
          <w:p w14:paraId="1AF38DB0" w14:textId="77777777" w:rsidR="0069275B" w:rsidRPr="0069275B" w:rsidRDefault="0069275B" w:rsidP="0069275B">
            <w:pPr>
              <w:tabs>
                <w:tab w:val="left" w:pos="9069"/>
              </w:tabs>
              <w:spacing w:before="0" w:after="0" w:line="240" w:lineRule="auto"/>
              <w:jc w:val="both"/>
              <w:rPr>
                <w:rFonts w:ascii="Calibri" w:hAnsi="Calibri"/>
              </w:rPr>
            </w:pPr>
            <w:r w:rsidRPr="0069275B">
              <w:rPr>
                <w:rFonts w:ascii="Calibri" w:hAnsi="Calibri"/>
              </w:rPr>
              <w:t>2</w:t>
            </w:r>
          </w:p>
        </w:tc>
        <w:tc>
          <w:tcPr>
            <w:tcW w:w="1951" w:type="dxa"/>
            <w:tcBorders>
              <w:top w:val="single" w:sz="4" w:space="0" w:color="auto"/>
              <w:left w:val="single" w:sz="4" w:space="0" w:color="auto"/>
              <w:bottom w:val="nil"/>
              <w:right w:val="single" w:sz="4" w:space="0" w:color="auto"/>
            </w:tcBorders>
            <w:shd w:val="clear" w:color="auto" w:fill="DBE5F1"/>
          </w:tcPr>
          <w:p w14:paraId="0C8F5D0D" w14:textId="77777777" w:rsidR="0069275B" w:rsidRPr="0069275B" w:rsidRDefault="0069275B" w:rsidP="0069275B">
            <w:pPr>
              <w:tabs>
                <w:tab w:val="left" w:pos="9069"/>
              </w:tabs>
              <w:spacing w:before="0" w:after="0" w:line="240" w:lineRule="auto"/>
              <w:rPr>
                <w:rFonts w:ascii="Calibri" w:hAnsi="Calibri"/>
              </w:rPr>
            </w:pPr>
            <w:r w:rsidRPr="0069275B">
              <w:rPr>
                <w:rFonts w:ascii="Calibri" w:hAnsi="Calibri"/>
              </w:rPr>
              <w:t>Self-Reproach (self-blame/guilt, feeling bad and/or responsible for something)</w:t>
            </w:r>
          </w:p>
        </w:tc>
        <w:tc>
          <w:tcPr>
            <w:tcW w:w="6446" w:type="dxa"/>
            <w:tcBorders>
              <w:left w:val="single" w:sz="4" w:space="0" w:color="auto"/>
            </w:tcBorders>
            <w:shd w:val="clear" w:color="auto" w:fill="DBE5F1"/>
          </w:tcPr>
          <w:p w14:paraId="72F17377" w14:textId="77777777" w:rsidR="0069275B" w:rsidRPr="0069275B" w:rsidRDefault="0069275B" w:rsidP="0069275B">
            <w:pPr>
              <w:tabs>
                <w:tab w:val="left" w:pos="9069"/>
              </w:tabs>
              <w:spacing w:before="0" w:after="0" w:line="240" w:lineRule="auto"/>
              <w:jc w:val="both"/>
              <w:rPr>
                <w:rFonts w:ascii="Calibri" w:hAnsi="Calibri"/>
              </w:rPr>
            </w:pPr>
            <w:r w:rsidRPr="0069275B">
              <w:rPr>
                <w:rFonts w:ascii="Calibri" w:hAnsi="Calibri"/>
              </w:rPr>
              <w:t>None</w:t>
            </w:r>
          </w:p>
        </w:tc>
        <w:tc>
          <w:tcPr>
            <w:tcW w:w="706" w:type="dxa"/>
            <w:shd w:val="clear" w:color="auto" w:fill="DBE5F1"/>
          </w:tcPr>
          <w:p w14:paraId="33E7A1D4" w14:textId="77777777" w:rsidR="0069275B" w:rsidRPr="0069275B" w:rsidRDefault="0069275B" w:rsidP="0069275B">
            <w:pPr>
              <w:tabs>
                <w:tab w:val="left" w:pos="9069"/>
              </w:tabs>
              <w:spacing w:before="0" w:after="0" w:line="240" w:lineRule="auto"/>
              <w:jc w:val="center"/>
              <w:rPr>
                <w:rFonts w:ascii="Calibri" w:hAnsi="Calibri"/>
              </w:rPr>
            </w:pPr>
            <w:r w:rsidRPr="0069275B">
              <w:rPr>
                <w:rFonts w:ascii="Calibri" w:hAnsi="Calibri"/>
              </w:rPr>
              <w:t>1</w:t>
            </w:r>
          </w:p>
        </w:tc>
      </w:tr>
      <w:tr w:rsidR="0069275B" w:rsidRPr="0069275B" w14:paraId="7AB93700" w14:textId="77777777" w:rsidTr="007A414D">
        <w:trPr>
          <w:trHeight w:val="291"/>
        </w:trPr>
        <w:tc>
          <w:tcPr>
            <w:tcW w:w="962" w:type="dxa"/>
            <w:tcBorders>
              <w:top w:val="nil"/>
              <w:left w:val="single" w:sz="4" w:space="0" w:color="auto"/>
              <w:bottom w:val="nil"/>
              <w:right w:val="single" w:sz="4" w:space="0" w:color="auto"/>
            </w:tcBorders>
            <w:shd w:val="clear" w:color="auto" w:fill="DBE5F1"/>
          </w:tcPr>
          <w:p w14:paraId="7ACDFB05" w14:textId="77777777" w:rsidR="0069275B" w:rsidRPr="0069275B" w:rsidRDefault="0069275B" w:rsidP="0069275B">
            <w:pPr>
              <w:tabs>
                <w:tab w:val="left" w:pos="9069"/>
              </w:tabs>
              <w:spacing w:before="0" w:after="0" w:line="240" w:lineRule="auto"/>
              <w:jc w:val="both"/>
              <w:rPr>
                <w:rFonts w:ascii="Calibri" w:hAnsi="Calibri"/>
              </w:rPr>
            </w:pPr>
          </w:p>
        </w:tc>
        <w:tc>
          <w:tcPr>
            <w:tcW w:w="1951" w:type="dxa"/>
            <w:tcBorders>
              <w:top w:val="nil"/>
              <w:left w:val="single" w:sz="4" w:space="0" w:color="auto"/>
              <w:bottom w:val="nil"/>
              <w:right w:val="single" w:sz="4" w:space="0" w:color="auto"/>
            </w:tcBorders>
            <w:shd w:val="clear" w:color="auto" w:fill="DBE5F1"/>
          </w:tcPr>
          <w:p w14:paraId="4B23FA42" w14:textId="77777777" w:rsidR="0069275B" w:rsidRPr="0069275B" w:rsidRDefault="0069275B" w:rsidP="0069275B">
            <w:pPr>
              <w:tabs>
                <w:tab w:val="left" w:pos="9069"/>
              </w:tabs>
              <w:spacing w:before="0" w:after="0" w:line="240" w:lineRule="auto"/>
              <w:rPr>
                <w:rFonts w:ascii="Calibri" w:hAnsi="Calibri"/>
              </w:rPr>
            </w:pPr>
          </w:p>
        </w:tc>
        <w:tc>
          <w:tcPr>
            <w:tcW w:w="6446" w:type="dxa"/>
            <w:tcBorders>
              <w:left w:val="single" w:sz="4" w:space="0" w:color="auto"/>
            </w:tcBorders>
            <w:shd w:val="clear" w:color="auto" w:fill="DBE5F1"/>
          </w:tcPr>
          <w:p w14:paraId="3E44912A" w14:textId="77777777" w:rsidR="0069275B" w:rsidRPr="0069275B" w:rsidRDefault="0069275B" w:rsidP="0069275B">
            <w:pPr>
              <w:tabs>
                <w:tab w:val="left" w:pos="9069"/>
              </w:tabs>
              <w:spacing w:before="0" w:after="0" w:line="240" w:lineRule="auto"/>
              <w:jc w:val="both"/>
              <w:rPr>
                <w:rFonts w:ascii="Calibri" w:hAnsi="Calibri"/>
              </w:rPr>
            </w:pPr>
            <w:r w:rsidRPr="0069275B">
              <w:rPr>
                <w:rFonts w:ascii="Calibri" w:hAnsi="Calibri"/>
              </w:rPr>
              <w:t>Mild (vague and general)</w:t>
            </w:r>
          </w:p>
        </w:tc>
        <w:tc>
          <w:tcPr>
            <w:tcW w:w="706" w:type="dxa"/>
            <w:shd w:val="clear" w:color="auto" w:fill="DBE5F1"/>
          </w:tcPr>
          <w:p w14:paraId="6781D445" w14:textId="77777777" w:rsidR="0069275B" w:rsidRPr="0069275B" w:rsidRDefault="0069275B" w:rsidP="0069275B">
            <w:pPr>
              <w:tabs>
                <w:tab w:val="left" w:pos="9069"/>
              </w:tabs>
              <w:spacing w:before="0" w:after="0" w:line="240" w:lineRule="auto"/>
              <w:jc w:val="center"/>
              <w:rPr>
                <w:rFonts w:ascii="Calibri" w:hAnsi="Calibri"/>
              </w:rPr>
            </w:pPr>
            <w:r w:rsidRPr="0069275B">
              <w:rPr>
                <w:rFonts w:ascii="Calibri" w:hAnsi="Calibri"/>
              </w:rPr>
              <w:t>2</w:t>
            </w:r>
          </w:p>
        </w:tc>
      </w:tr>
      <w:tr w:rsidR="0069275B" w:rsidRPr="0069275B" w14:paraId="4D2A0150" w14:textId="77777777" w:rsidTr="007A414D">
        <w:trPr>
          <w:trHeight w:val="291"/>
        </w:trPr>
        <w:tc>
          <w:tcPr>
            <w:tcW w:w="962" w:type="dxa"/>
            <w:tcBorders>
              <w:top w:val="nil"/>
              <w:left w:val="single" w:sz="4" w:space="0" w:color="auto"/>
              <w:bottom w:val="nil"/>
              <w:right w:val="single" w:sz="4" w:space="0" w:color="auto"/>
            </w:tcBorders>
            <w:shd w:val="clear" w:color="auto" w:fill="DBE5F1"/>
          </w:tcPr>
          <w:p w14:paraId="2E7FF655" w14:textId="77777777" w:rsidR="0069275B" w:rsidRPr="0069275B" w:rsidRDefault="0069275B" w:rsidP="0069275B">
            <w:pPr>
              <w:tabs>
                <w:tab w:val="left" w:pos="9069"/>
              </w:tabs>
              <w:spacing w:before="0" w:after="0" w:line="240" w:lineRule="auto"/>
              <w:jc w:val="both"/>
              <w:rPr>
                <w:rFonts w:ascii="Calibri" w:hAnsi="Calibri"/>
              </w:rPr>
            </w:pPr>
          </w:p>
        </w:tc>
        <w:tc>
          <w:tcPr>
            <w:tcW w:w="1951" w:type="dxa"/>
            <w:tcBorders>
              <w:top w:val="nil"/>
              <w:left w:val="single" w:sz="4" w:space="0" w:color="auto"/>
              <w:bottom w:val="nil"/>
              <w:right w:val="single" w:sz="4" w:space="0" w:color="auto"/>
            </w:tcBorders>
            <w:shd w:val="clear" w:color="auto" w:fill="DBE5F1"/>
          </w:tcPr>
          <w:p w14:paraId="7E19F41D" w14:textId="77777777" w:rsidR="0069275B" w:rsidRPr="0069275B" w:rsidRDefault="0069275B" w:rsidP="0069275B">
            <w:pPr>
              <w:tabs>
                <w:tab w:val="left" w:pos="9069"/>
              </w:tabs>
              <w:spacing w:before="0" w:after="0" w:line="240" w:lineRule="auto"/>
              <w:rPr>
                <w:rFonts w:ascii="Calibri" w:hAnsi="Calibri"/>
              </w:rPr>
            </w:pPr>
          </w:p>
        </w:tc>
        <w:tc>
          <w:tcPr>
            <w:tcW w:w="6446" w:type="dxa"/>
            <w:tcBorders>
              <w:left w:val="single" w:sz="4" w:space="0" w:color="auto"/>
            </w:tcBorders>
            <w:shd w:val="clear" w:color="auto" w:fill="DBE5F1"/>
          </w:tcPr>
          <w:p w14:paraId="44B7098D" w14:textId="77777777" w:rsidR="0069275B" w:rsidRPr="0069275B" w:rsidRDefault="0069275B" w:rsidP="0069275B">
            <w:pPr>
              <w:tabs>
                <w:tab w:val="left" w:pos="9069"/>
              </w:tabs>
              <w:spacing w:before="0" w:after="0" w:line="240" w:lineRule="auto"/>
              <w:jc w:val="both"/>
              <w:rPr>
                <w:rFonts w:ascii="Calibri" w:hAnsi="Calibri"/>
              </w:rPr>
            </w:pPr>
            <w:r w:rsidRPr="0069275B">
              <w:rPr>
                <w:rFonts w:ascii="Calibri" w:hAnsi="Calibri"/>
              </w:rPr>
              <w:t>Moderate (some clear self-reproach)</w:t>
            </w:r>
          </w:p>
        </w:tc>
        <w:tc>
          <w:tcPr>
            <w:tcW w:w="706" w:type="dxa"/>
            <w:shd w:val="clear" w:color="auto" w:fill="DBE5F1"/>
          </w:tcPr>
          <w:p w14:paraId="3CF63A5E" w14:textId="77777777" w:rsidR="0069275B" w:rsidRPr="0069275B" w:rsidRDefault="0069275B" w:rsidP="0069275B">
            <w:pPr>
              <w:tabs>
                <w:tab w:val="left" w:pos="9069"/>
              </w:tabs>
              <w:spacing w:before="0" w:after="0" w:line="240" w:lineRule="auto"/>
              <w:jc w:val="center"/>
              <w:rPr>
                <w:rFonts w:ascii="Calibri" w:hAnsi="Calibri"/>
              </w:rPr>
            </w:pPr>
            <w:r w:rsidRPr="0069275B">
              <w:rPr>
                <w:rFonts w:ascii="Calibri" w:hAnsi="Calibri"/>
              </w:rPr>
              <w:t>3</w:t>
            </w:r>
          </w:p>
        </w:tc>
      </w:tr>
      <w:tr w:rsidR="0069275B" w:rsidRPr="0069275B" w14:paraId="32161DF1" w14:textId="77777777" w:rsidTr="007A414D">
        <w:trPr>
          <w:trHeight w:val="291"/>
        </w:trPr>
        <w:tc>
          <w:tcPr>
            <w:tcW w:w="962" w:type="dxa"/>
            <w:tcBorders>
              <w:top w:val="nil"/>
              <w:left w:val="single" w:sz="4" w:space="0" w:color="auto"/>
              <w:bottom w:val="nil"/>
              <w:right w:val="single" w:sz="4" w:space="0" w:color="auto"/>
            </w:tcBorders>
            <w:shd w:val="clear" w:color="auto" w:fill="DBE5F1"/>
          </w:tcPr>
          <w:p w14:paraId="5F8139BF" w14:textId="77777777" w:rsidR="0069275B" w:rsidRPr="0069275B" w:rsidRDefault="0069275B" w:rsidP="0069275B">
            <w:pPr>
              <w:tabs>
                <w:tab w:val="left" w:pos="9069"/>
              </w:tabs>
              <w:spacing w:before="0" w:after="0" w:line="240" w:lineRule="auto"/>
              <w:jc w:val="both"/>
              <w:rPr>
                <w:rFonts w:ascii="Calibri" w:hAnsi="Calibri"/>
              </w:rPr>
            </w:pPr>
          </w:p>
        </w:tc>
        <w:tc>
          <w:tcPr>
            <w:tcW w:w="1951" w:type="dxa"/>
            <w:tcBorders>
              <w:top w:val="nil"/>
              <w:left w:val="single" w:sz="4" w:space="0" w:color="auto"/>
              <w:bottom w:val="nil"/>
              <w:right w:val="single" w:sz="4" w:space="0" w:color="auto"/>
            </w:tcBorders>
            <w:shd w:val="clear" w:color="auto" w:fill="DBE5F1"/>
          </w:tcPr>
          <w:p w14:paraId="7B912C80" w14:textId="77777777" w:rsidR="0069275B" w:rsidRPr="0069275B" w:rsidRDefault="0069275B" w:rsidP="0069275B">
            <w:pPr>
              <w:tabs>
                <w:tab w:val="left" w:pos="9069"/>
              </w:tabs>
              <w:spacing w:before="0" w:after="0" w:line="240" w:lineRule="auto"/>
              <w:rPr>
                <w:rFonts w:ascii="Calibri" w:hAnsi="Calibri"/>
              </w:rPr>
            </w:pPr>
          </w:p>
        </w:tc>
        <w:tc>
          <w:tcPr>
            <w:tcW w:w="6446" w:type="dxa"/>
            <w:tcBorders>
              <w:left w:val="single" w:sz="4" w:space="0" w:color="auto"/>
            </w:tcBorders>
            <w:shd w:val="clear" w:color="auto" w:fill="DBE5F1"/>
          </w:tcPr>
          <w:p w14:paraId="0B651BB8" w14:textId="77777777" w:rsidR="0069275B" w:rsidRPr="0069275B" w:rsidRDefault="0069275B" w:rsidP="0069275B">
            <w:pPr>
              <w:tabs>
                <w:tab w:val="left" w:pos="9069"/>
              </w:tabs>
              <w:spacing w:before="0" w:after="0" w:line="240" w:lineRule="auto"/>
              <w:jc w:val="both"/>
              <w:rPr>
                <w:rFonts w:ascii="Calibri" w:hAnsi="Calibri"/>
              </w:rPr>
            </w:pPr>
            <w:r w:rsidRPr="0069275B">
              <w:rPr>
                <w:rFonts w:ascii="Calibri" w:hAnsi="Calibri"/>
              </w:rPr>
              <w:t>Severe (preoccupied with self-blame)</w:t>
            </w:r>
          </w:p>
        </w:tc>
        <w:tc>
          <w:tcPr>
            <w:tcW w:w="706" w:type="dxa"/>
            <w:shd w:val="clear" w:color="auto" w:fill="DBE5F1"/>
          </w:tcPr>
          <w:p w14:paraId="40E52701" w14:textId="77777777" w:rsidR="0069275B" w:rsidRPr="0069275B" w:rsidRDefault="0069275B" w:rsidP="0069275B">
            <w:pPr>
              <w:tabs>
                <w:tab w:val="left" w:pos="9069"/>
              </w:tabs>
              <w:spacing w:before="0" w:after="0" w:line="240" w:lineRule="auto"/>
              <w:jc w:val="center"/>
              <w:rPr>
                <w:rFonts w:ascii="Calibri" w:hAnsi="Calibri"/>
              </w:rPr>
            </w:pPr>
            <w:r w:rsidRPr="0069275B">
              <w:rPr>
                <w:rFonts w:ascii="Calibri" w:hAnsi="Calibri"/>
              </w:rPr>
              <w:t>4</w:t>
            </w:r>
          </w:p>
        </w:tc>
      </w:tr>
      <w:tr w:rsidR="0069275B" w:rsidRPr="0069275B" w14:paraId="063FE1B6" w14:textId="77777777" w:rsidTr="007A414D">
        <w:trPr>
          <w:trHeight w:val="291"/>
        </w:trPr>
        <w:tc>
          <w:tcPr>
            <w:tcW w:w="962" w:type="dxa"/>
            <w:tcBorders>
              <w:top w:val="nil"/>
              <w:left w:val="single" w:sz="4" w:space="0" w:color="auto"/>
              <w:bottom w:val="single" w:sz="4" w:space="0" w:color="auto"/>
              <w:right w:val="single" w:sz="4" w:space="0" w:color="auto"/>
            </w:tcBorders>
            <w:shd w:val="clear" w:color="auto" w:fill="DBE5F1"/>
          </w:tcPr>
          <w:p w14:paraId="15877275" w14:textId="77777777" w:rsidR="0069275B" w:rsidRPr="0069275B" w:rsidRDefault="0069275B" w:rsidP="0069275B">
            <w:pPr>
              <w:tabs>
                <w:tab w:val="left" w:pos="9069"/>
              </w:tabs>
              <w:spacing w:before="0" w:after="0" w:line="240" w:lineRule="auto"/>
              <w:jc w:val="both"/>
              <w:rPr>
                <w:rFonts w:ascii="Calibri" w:hAnsi="Calibri"/>
              </w:rPr>
            </w:pPr>
          </w:p>
        </w:tc>
        <w:tc>
          <w:tcPr>
            <w:tcW w:w="1951" w:type="dxa"/>
            <w:tcBorders>
              <w:top w:val="nil"/>
              <w:left w:val="single" w:sz="4" w:space="0" w:color="auto"/>
              <w:bottom w:val="single" w:sz="4" w:space="0" w:color="auto"/>
              <w:right w:val="single" w:sz="4" w:space="0" w:color="auto"/>
            </w:tcBorders>
            <w:shd w:val="clear" w:color="auto" w:fill="DBE5F1"/>
          </w:tcPr>
          <w:p w14:paraId="083EA60F" w14:textId="77777777" w:rsidR="0069275B" w:rsidRPr="0069275B" w:rsidRDefault="0069275B" w:rsidP="0069275B">
            <w:pPr>
              <w:tabs>
                <w:tab w:val="left" w:pos="9069"/>
              </w:tabs>
              <w:spacing w:before="0" w:after="0" w:line="240" w:lineRule="auto"/>
              <w:rPr>
                <w:rFonts w:ascii="Calibri" w:hAnsi="Calibri"/>
              </w:rPr>
            </w:pPr>
          </w:p>
        </w:tc>
        <w:tc>
          <w:tcPr>
            <w:tcW w:w="6446" w:type="dxa"/>
            <w:tcBorders>
              <w:left w:val="single" w:sz="4" w:space="0" w:color="auto"/>
            </w:tcBorders>
            <w:shd w:val="clear" w:color="auto" w:fill="DBE5F1"/>
          </w:tcPr>
          <w:p w14:paraId="66753FB9" w14:textId="77777777" w:rsidR="0069275B" w:rsidRPr="0069275B" w:rsidRDefault="0069275B" w:rsidP="0069275B">
            <w:pPr>
              <w:tabs>
                <w:tab w:val="left" w:pos="9069"/>
              </w:tabs>
              <w:spacing w:before="0" w:after="0" w:line="240" w:lineRule="auto"/>
              <w:jc w:val="both"/>
              <w:rPr>
                <w:rFonts w:ascii="Calibri" w:hAnsi="Calibri"/>
              </w:rPr>
            </w:pPr>
            <w:r w:rsidRPr="0069275B">
              <w:rPr>
                <w:rFonts w:ascii="Calibri" w:hAnsi="Calibri"/>
              </w:rPr>
              <w:t>Extreme (major problem)</w:t>
            </w:r>
          </w:p>
        </w:tc>
        <w:tc>
          <w:tcPr>
            <w:tcW w:w="706" w:type="dxa"/>
            <w:shd w:val="clear" w:color="auto" w:fill="DBE5F1"/>
          </w:tcPr>
          <w:p w14:paraId="3B1A97D7" w14:textId="77777777" w:rsidR="0069275B" w:rsidRPr="0069275B" w:rsidRDefault="0069275B" w:rsidP="0069275B">
            <w:pPr>
              <w:tabs>
                <w:tab w:val="left" w:pos="9069"/>
              </w:tabs>
              <w:spacing w:before="0" w:after="0" w:line="240" w:lineRule="auto"/>
              <w:jc w:val="center"/>
              <w:rPr>
                <w:rFonts w:ascii="Calibri" w:hAnsi="Calibri"/>
              </w:rPr>
            </w:pPr>
            <w:r w:rsidRPr="0069275B">
              <w:rPr>
                <w:rFonts w:ascii="Calibri" w:hAnsi="Calibri"/>
              </w:rPr>
              <w:t>5</w:t>
            </w:r>
          </w:p>
        </w:tc>
      </w:tr>
      <w:tr w:rsidR="0069275B" w:rsidRPr="0069275B" w14:paraId="2B1CD514" w14:textId="77777777" w:rsidTr="007A414D">
        <w:trPr>
          <w:trHeight w:val="96"/>
        </w:trPr>
        <w:tc>
          <w:tcPr>
            <w:tcW w:w="962" w:type="dxa"/>
            <w:tcBorders>
              <w:top w:val="single" w:sz="4" w:space="0" w:color="auto"/>
              <w:left w:val="single" w:sz="4" w:space="0" w:color="auto"/>
              <w:bottom w:val="nil"/>
              <w:right w:val="single" w:sz="4" w:space="0" w:color="auto"/>
            </w:tcBorders>
            <w:shd w:val="clear" w:color="auto" w:fill="FDE9D9"/>
          </w:tcPr>
          <w:p w14:paraId="5BC2A4FC" w14:textId="77777777" w:rsidR="0069275B" w:rsidRPr="0069275B" w:rsidRDefault="0069275B" w:rsidP="0069275B">
            <w:pPr>
              <w:tabs>
                <w:tab w:val="left" w:pos="9069"/>
              </w:tabs>
              <w:spacing w:before="0" w:after="0" w:line="240" w:lineRule="auto"/>
              <w:jc w:val="both"/>
              <w:rPr>
                <w:rFonts w:ascii="Calibri" w:hAnsi="Calibri"/>
              </w:rPr>
            </w:pPr>
            <w:r w:rsidRPr="0069275B">
              <w:rPr>
                <w:rFonts w:ascii="Calibri" w:hAnsi="Calibri"/>
              </w:rPr>
              <w:t>3</w:t>
            </w:r>
          </w:p>
        </w:tc>
        <w:tc>
          <w:tcPr>
            <w:tcW w:w="1951" w:type="dxa"/>
            <w:tcBorders>
              <w:top w:val="single" w:sz="4" w:space="0" w:color="auto"/>
              <w:left w:val="single" w:sz="4" w:space="0" w:color="auto"/>
              <w:bottom w:val="nil"/>
              <w:right w:val="single" w:sz="4" w:space="0" w:color="auto"/>
            </w:tcBorders>
            <w:shd w:val="clear" w:color="auto" w:fill="FDE9D9"/>
          </w:tcPr>
          <w:p w14:paraId="55403548" w14:textId="77777777" w:rsidR="0069275B" w:rsidRPr="0069275B" w:rsidRDefault="0069275B" w:rsidP="0069275B">
            <w:pPr>
              <w:tabs>
                <w:tab w:val="left" w:pos="9069"/>
              </w:tabs>
              <w:spacing w:before="0" w:after="0" w:line="240" w:lineRule="auto"/>
              <w:rPr>
                <w:rFonts w:ascii="Calibri" w:hAnsi="Calibri"/>
              </w:rPr>
            </w:pPr>
            <w:r w:rsidRPr="0069275B">
              <w:rPr>
                <w:rFonts w:ascii="Calibri" w:hAnsi="Calibri"/>
              </w:rPr>
              <w:t>Current relationships of client</w:t>
            </w:r>
          </w:p>
        </w:tc>
        <w:tc>
          <w:tcPr>
            <w:tcW w:w="6446" w:type="dxa"/>
            <w:tcBorders>
              <w:left w:val="single" w:sz="4" w:space="0" w:color="auto"/>
            </w:tcBorders>
            <w:shd w:val="clear" w:color="auto" w:fill="FDE9D9"/>
          </w:tcPr>
          <w:p w14:paraId="1B48EDEA" w14:textId="77777777" w:rsidR="0069275B" w:rsidRPr="0069275B" w:rsidRDefault="0069275B" w:rsidP="0069275B">
            <w:pPr>
              <w:tabs>
                <w:tab w:val="left" w:pos="9069"/>
              </w:tabs>
              <w:spacing w:before="0" w:after="0" w:line="240" w:lineRule="auto"/>
              <w:jc w:val="both"/>
              <w:rPr>
                <w:rFonts w:ascii="Calibri" w:hAnsi="Calibri"/>
              </w:rPr>
            </w:pPr>
            <w:r w:rsidRPr="0069275B">
              <w:rPr>
                <w:rFonts w:ascii="Calibri" w:hAnsi="Calibri"/>
              </w:rPr>
              <w:t xml:space="preserve">Close relationship with a partner </w:t>
            </w:r>
          </w:p>
        </w:tc>
        <w:tc>
          <w:tcPr>
            <w:tcW w:w="706" w:type="dxa"/>
            <w:shd w:val="clear" w:color="auto" w:fill="FDE9D9"/>
          </w:tcPr>
          <w:p w14:paraId="57DBECEB" w14:textId="77777777" w:rsidR="0069275B" w:rsidRPr="0069275B" w:rsidRDefault="0069275B" w:rsidP="0069275B">
            <w:pPr>
              <w:tabs>
                <w:tab w:val="left" w:pos="9069"/>
              </w:tabs>
              <w:spacing w:before="0" w:after="0" w:line="240" w:lineRule="auto"/>
              <w:jc w:val="center"/>
              <w:rPr>
                <w:rFonts w:ascii="Calibri" w:hAnsi="Calibri"/>
              </w:rPr>
            </w:pPr>
            <w:r w:rsidRPr="0069275B">
              <w:rPr>
                <w:rFonts w:ascii="Calibri" w:hAnsi="Calibri"/>
              </w:rPr>
              <w:t>1</w:t>
            </w:r>
          </w:p>
        </w:tc>
      </w:tr>
      <w:tr w:rsidR="0069275B" w:rsidRPr="0069275B" w14:paraId="505F092C" w14:textId="77777777" w:rsidTr="007A414D">
        <w:trPr>
          <w:trHeight w:val="96"/>
        </w:trPr>
        <w:tc>
          <w:tcPr>
            <w:tcW w:w="962" w:type="dxa"/>
            <w:tcBorders>
              <w:top w:val="nil"/>
              <w:left w:val="single" w:sz="4" w:space="0" w:color="auto"/>
              <w:bottom w:val="nil"/>
              <w:right w:val="single" w:sz="4" w:space="0" w:color="auto"/>
            </w:tcBorders>
            <w:shd w:val="clear" w:color="auto" w:fill="FDE9D9"/>
          </w:tcPr>
          <w:p w14:paraId="0C2734B7" w14:textId="77777777" w:rsidR="0069275B" w:rsidRPr="0069275B" w:rsidRDefault="0069275B" w:rsidP="0069275B">
            <w:pPr>
              <w:tabs>
                <w:tab w:val="left" w:pos="9069"/>
              </w:tabs>
              <w:spacing w:before="0" w:after="0" w:line="240" w:lineRule="auto"/>
              <w:jc w:val="both"/>
              <w:rPr>
                <w:rFonts w:ascii="Calibri" w:hAnsi="Calibri"/>
              </w:rPr>
            </w:pPr>
          </w:p>
        </w:tc>
        <w:tc>
          <w:tcPr>
            <w:tcW w:w="1951" w:type="dxa"/>
            <w:tcBorders>
              <w:top w:val="nil"/>
              <w:left w:val="single" w:sz="4" w:space="0" w:color="auto"/>
              <w:bottom w:val="nil"/>
              <w:right w:val="single" w:sz="4" w:space="0" w:color="auto"/>
            </w:tcBorders>
            <w:shd w:val="clear" w:color="auto" w:fill="FDE9D9"/>
          </w:tcPr>
          <w:p w14:paraId="571DF8CA" w14:textId="77777777" w:rsidR="0069275B" w:rsidRPr="0069275B" w:rsidRDefault="0069275B" w:rsidP="0069275B">
            <w:pPr>
              <w:tabs>
                <w:tab w:val="left" w:pos="9069"/>
              </w:tabs>
              <w:spacing w:before="0" w:after="0" w:line="240" w:lineRule="auto"/>
              <w:rPr>
                <w:rFonts w:ascii="Calibri" w:hAnsi="Calibri"/>
              </w:rPr>
            </w:pPr>
          </w:p>
        </w:tc>
        <w:tc>
          <w:tcPr>
            <w:tcW w:w="6446" w:type="dxa"/>
            <w:tcBorders>
              <w:left w:val="single" w:sz="4" w:space="0" w:color="auto"/>
            </w:tcBorders>
            <w:shd w:val="clear" w:color="auto" w:fill="FDE9D9"/>
          </w:tcPr>
          <w:p w14:paraId="33DE52F2" w14:textId="56F3FA55" w:rsidR="0069275B" w:rsidRPr="0069275B" w:rsidRDefault="0069275B" w:rsidP="0069275B">
            <w:pPr>
              <w:tabs>
                <w:tab w:val="left" w:pos="9069"/>
              </w:tabs>
              <w:spacing w:before="0" w:after="0" w:line="240" w:lineRule="auto"/>
              <w:jc w:val="both"/>
              <w:rPr>
                <w:rFonts w:ascii="Calibri" w:hAnsi="Calibri"/>
              </w:rPr>
            </w:pPr>
            <w:r w:rsidRPr="0069275B">
              <w:rPr>
                <w:rFonts w:ascii="Calibri" w:hAnsi="Calibri"/>
              </w:rPr>
              <w:t xml:space="preserve">Supportive family who </w:t>
            </w:r>
            <w:r w:rsidR="00614A20" w:rsidRPr="0069275B">
              <w:rPr>
                <w:rFonts w:ascii="Calibri" w:hAnsi="Calibri"/>
              </w:rPr>
              <w:t>visits</w:t>
            </w:r>
            <w:r w:rsidRPr="0069275B">
              <w:rPr>
                <w:rFonts w:ascii="Calibri" w:hAnsi="Calibri"/>
              </w:rPr>
              <w:t xml:space="preserve"> regularly</w:t>
            </w:r>
          </w:p>
        </w:tc>
        <w:tc>
          <w:tcPr>
            <w:tcW w:w="706" w:type="dxa"/>
            <w:shd w:val="clear" w:color="auto" w:fill="FDE9D9"/>
          </w:tcPr>
          <w:p w14:paraId="7320E787" w14:textId="77777777" w:rsidR="0069275B" w:rsidRPr="0069275B" w:rsidRDefault="0069275B" w:rsidP="0069275B">
            <w:pPr>
              <w:tabs>
                <w:tab w:val="left" w:pos="9069"/>
              </w:tabs>
              <w:spacing w:before="0" w:after="0" w:line="240" w:lineRule="auto"/>
              <w:jc w:val="center"/>
              <w:rPr>
                <w:rFonts w:ascii="Calibri" w:hAnsi="Calibri"/>
              </w:rPr>
            </w:pPr>
            <w:r w:rsidRPr="0069275B">
              <w:rPr>
                <w:rFonts w:ascii="Calibri" w:hAnsi="Calibri"/>
              </w:rPr>
              <w:t>2</w:t>
            </w:r>
          </w:p>
        </w:tc>
      </w:tr>
      <w:tr w:rsidR="0069275B" w:rsidRPr="0069275B" w14:paraId="6EFE10FF" w14:textId="77777777" w:rsidTr="007A414D">
        <w:trPr>
          <w:trHeight w:val="96"/>
        </w:trPr>
        <w:tc>
          <w:tcPr>
            <w:tcW w:w="962" w:type="dxa"/>
            <w:tcBorders>
              <w:top w:val="nil"/>
              <w:left w:val="single" w:sz="4" w:space="0" w:color="auto"/>
              <w:bottom w:val="nil"/>
              <w:right w:val="single" w:sz="4" w:space="0" w:color="auto"/>
            </w:tcBorders>
            <w:shd w:val="clear" w:color="auto" w:fill="FDE9D9"/>
          </w:tcPr>
          <w:p w14:paraId="68EFC2CF" w14:textId="77777777" w:rsidR="0069275B" w:rsidRPr="0069275B" w:rsidRDefault="0069275B" w:rsidP="0069275B">
            <w:pPr>
              <w:tabs>
                <w:tab w:val="left" w:pos="9069"/>
              </w:tabs>
              <w:spacing w:before="0" w:after="0" w:line="240" w:lineRule="auto"/>
              <w:jc w:val="both"/>
              <w:rPr>
                <w:rFonts w:ascii="Calibri" w:hAnsi="Calibri"/>
              </w:rPr>
            </w:pPr>
          </w:p>
        </w:tc>
        <w:tc>
          <w:tcPr>
            <w:tcW w:w="1951" w:type="dxa"/>
            <w:tcBorders>
              <w:top w:val="nil"/>
              <w:left w:val="single" w:sz="4" w:space="0" w:color="auto"/>
              <w:bottom w:val="nil"/>
              <w:right w:val="single" w:sz="4" w:space="0" w:color="auto"/>
            </w:tcBorders>
            <w:shd w:val="clear" w:color="auto" w:fill="FDE9D9"/>
          </w:tcPr>
          <w:p w14:paraId="511179A2" w14:textId="77777777" w:rsidR="0069275B" w:rsidRPr="0069275B" w:rsidRDefault="0069275B" w:rsidP="0069275B">
            <w:pPr>
              <w:tabs>
                <w:tab w:val="left" w:pos="9069"/>
              </w:tabs>
              <w:spacing w:before="0" w:after="0" w:line="240" w:lineRule="auto"/>
              <w:rPr>
                <w:rFonts w:ascii="Calibri" w:hAnsi="Calibri"/>
              </w:rPr>
            </w:pPr>
          </w:p>
        </w:tc>
        <w:tc>
          <w:tcPr>
            <w:tcW w:w="6446" w:type="dxa"/>
            <w:tcBorders>
              <w:left w:val="single" w:sz="4" w:space="0" w:color="auto"/>
            </w:tcBorders>
            <w:shd w:val="clear" w:color="auto" w:fill="FDE9D9"/>
          </w:tcPr>
          <w:p w14:paraId="26740E0D" w14:textId="77777777" w:rsidR="0069275B" w:rsidRPr="0069275B" w:rsidRDefault="0069275B" w:rsidP="0069275B">
            <w:pPr>
              <w:tabs>
                <w:tab w:val="left" w:pos="9069"/>
              </w:tabs>
              <w:spacing w:before="0" w:after="0" w:line="240" w:lineRule="auto"/>
              <w:jc w:val="both"/>
              <w:rPr>
                <w:rFonts w:ascii="Calibri" w:hAnsi="Calibri"/>
              </w:rPr>
            </w:pPr>
            <w:r w:rsidRPr="0069275B">
              <w:rPr>
                <w:rFonts w:ascii="Calibri" w:hAnsi="Calibri"/>
              </w:rPr>
              <w:t>Family supportive but live at a distance</w:t>
            </w:r>
          </w:p>
        </w:tc>
        <w:tc>
          <w:tcPr>
            <w:tcW w:w="706" w:type="dxa"/>
            <w:shd w:val="clear" w:color="auto" w:fill="FDE9D9"/>
          </w:tcPr>
          <w:p w14:paraId="4D4BC62A" w14:textId="77777777" w:rsidR="0069275B" w:rsidRPr="0069275B" w:rsidRDefault="0069275B" w:rsidP="0069275B">
            <w:pPr>
              <w:tabs>
                <w:tab w:val="left" w:pos="9069"/>
              </w:tabs>
              <w:spacing w:before="0" w:after="0" w:line="240" w:lineRule="auto"/>
              <w:jc w:val="center"/>
              <w:rPr>
                <w:rFonts w:ascii="Calibri" w:hAnsi="Calibri"/>
              </w:rPr>
            </w:pPr>
            <w:r w:rsidRPr="0069275B">
              <w:rPr>
                <w:rFonts w:ascii="Calibri" w:hAnsi="Calibri"/>
              </w:rPr>
              <w:t>3</w:t>
            </w:r>
          </w:p>
        </w:tc>
      </w:tr>
      <w:tr w:rsidR="0069275B" w:rsidRPr="0069275B" w14:paraId="24014E2D" w14:textId="77777777" w:rsidTr="007A414D">
        <w:trPr>
          <w:trHeight w:val="96"/>
        </w:trPr>
        <w:tc>
          <w:tcPr>
            <w:tcW w:w="962" w:type="dxa"/>
            <w:tcBorders>
              <w:top w:val="nil"/>
              <w:left w:val="single" w:sz="4" w:space="0" w:color="auto"/>
              <w:bottom w:val="nil"/>
              <w:right w:val="single" w:sz="4" w:space="0" w:color="auto"/>
            </w:tcBorders>
            <w:shd w:val="clear" w:color="auto" w:fill="FDE9D9"/>
          </w:tcPr>
          <w:p w14:paraId="23DEFB61" w14:textId="77777777" w:rsidR="0069275B" w:rsidRPr="0069275B" w:rsidRDefault="0069275B" w:rsidP="0069275B">
            <w:pPr>
              <w:tabs>
                <w:tab w:val="left" w:pos="9069"/>
              </w:tabs>
              <w:spacing w:before="0" w:after="0" w:line="240" w:lineRule="auto"/>
              <w:jc w:val="both"/>
              <w:rPr>
                <w:rFonts w:ascii="Calibri" w:hAnsi="Calibri"/>
              </w:rPr>
            </w:pPr>
          </w:p>
        </w:tc>
        <w:tc>
          <w:tcPr>
            <w:tcW w:w="1951" w:type="dxa"/>
            <w:tcBorders>
              <w:top w:val="nil"/>
              <w:left w:val="single" w:sz="4" w:space="0" w:color="auto"/>
              <w:bottom w:val="nil"/>
              <w:right w:val="single" w:sz="4" w:space="0" w:color="auto"/>
            </w:tcBorders>
            <w:shd w:val="clear" w:color="auto" w:fill="FDE9D9"/>
          </w:tcPr>
          <w:p w14:paraId="3C5E6BB7" w14:textId="77777777" w:rsidR="0069275B" w:rsidRPr="0069275B" w:rsidRDefault="0069275B" w:rsidP="0069275B">
            <w:pPr>
              <w:tabs>
                <w:tab w:val="left" w:pos="9069"/>
              </w:tabs>
              <w:spacing w:before="0" w:after="0" w:line="240" w:lineRule="auto"/>
              <w:rPr>
                <w:rFonts w:ascii="Calibri" w:hAnsi="Calibri"/>
              </w:rPr>
            </w:pPr>
          </w:p>
        </w:tc>
        <w:tc>
          <w:tcPr>
            <w:tcW w:w="6446" w:type="dxa"/>
            <w:tcBorders>
              <w:left w:val="single" w:sz="4" w:space="0" w:color="auto"/>
            </w:tcBorders>
            <w:shd w:val="clear" w:color="auto" w:fill="FDE9D9"/>
          </w:tcPr>
          <w:p w14:paraId="0D571D28" w14:textId="77777777" w:rsidR="0069275B" w:rsidRPr="0069275B" w:rsidRDefault="0069275B" w:rsidP="0069275B">
            <w:pPr>
              <w:tabs>
                <w:tab w:val="left" w:pos="9069"/>
              </w:tabs>
              <w:spacing w:before="0" w:after="0" w:line="240" w:lineRule="auto"/>
              <w:jc w:val="both"/>
              <w:rPr>
                <w:rFonts w:ascii="Calibri" w:hAnsi="Calibri"/>
              </w:rPr>
            </w:pPr>
            <w:r w:rsidRPr="0069275B">
              <w:rPr>
                <w:rFonts w:ascii="Calibri" w:hAnsi="Calibri"/>
              </w:rPr>
              <w:t>Doubtful (client unsure if family are supportive or not</w:t>
            </w:r>
          </w:p>
        </w:tc>
        <w:tc>
          <w:tcPr>
            <w:tcW w:w="706" w:type="dxa"/>
            <w:shd w:val="clear" w:color="auto" w:fill="FDE9D9"/>
          </w:tcPr>
          <w:p w14:paraId="62063A8E" w14:textId="77777777" w:rsidR="0069275B" w:rsidRPr="0069275B" w:rsidRDefault="0069275B" w:rsidP="0069275B">
            <w:pPr>
              <w:tabs>
                <w:tab w:val="left" w:pos="9069"/>
              </w:tabs>
              <w:spacing w:before="0" w:after="0" w:line="240" w:lineRule="auto"/>
              <w:jc w:val="center"/>
              <w:rPr>
                <w:rFonts w:ascii="Calibri" w:hAnsi="Calibri"/>
              </w:rPr>
            </w:pPr>
            <w:r w:rsidRPr="0069275B">
              <w:rPr>
                <w:rFonts w:ascii="Calibri" w:hAnsi="Calibri"/>
              </w:rPr>
              <w:t>4</w:t>
            </w:r>
          </w:p>
        </w:tc>
      </w:tr>
      <w:tr w:rsidR="0069275B" w:rsidRPr="0069275B" w14:paraId="2BEDEA84" w14:textId="77777777" w:rsidTr="007A414D">
        <w:trPr>
          <w:trHeight w:val="96"/>
        </w:trPr>
        <w:tc>
          <w:tcPr>
            <w:tcW w:w="962" w:type="dxa"/>
            <w:tcBorders>
              <w:top w:val="nil"/>
              <w:left w:val="single" w:sz="4" w:space="0" w:color="auto"/>
              <w:bottom w:val="single" w:sz="4" w:space="0" w:color="auto"/>
              <w:right w:val="single" w:sz="4" w:space="0" w:color="auto"/>
            </w:tcBorders>
            <w:shd w:val="clear" w:color="auto" w:fill="FDE9D9"/>
          </w:tcPr>
          <w:p w14:paraId="6120E019" w14:textId="77777777" w:rsidR="0069275B" w:rsidRPr="0069275B" w:rsidRDefault="0069275B" w:rsidP="0069275B">
            <w:pPr>
              <w:tabs>
                <w:tab w:val="left" w:pos="9069"/>
              </w:tabs>
              <w:spacing w:before="0" w:after="0" w:line="240" w:lineRule="auto"/>
              <w:jc w:val="both"/>
              <w:rPr>
                <w:rFonts w:ascii="Calibri" w:hAnsi="Calibri"/>
              </w:rPr>
            </w:pPr>
          </w:p>
        </w:tc>
        <w:tc>
          <w:tcPr>
            <w:tcW w:w="1951" w:type="dxa"/>
            <w:tcBorders>
              <w:top w:val="nil"/>
              <w:left w:val="single" w:sz="4" w:space="0" w:color="auto"/>
              <w:bottom w:val="single" w:sz="4" w:space="0" w:color="auto"/>
              <w:right w:val="single" w:sz="4" w:space="0" w:color="auto"/>
            </w:tcBorders>
            <w:shd w:val="clear" w:color="auto" w:fill="FDE9D9"/>
          </w:tcPr>
          <w:p w14:paraId="4542116C" w14:textId="77777777" w:rsidR="0069275B" w:rsidRPr="0069275B" w:rsidRDefault="0069275B" w:rsidP="0069275B">
            <w:pPr>
              <w:tabs>
                <w:tab w:val="left" w:pos="9069"/>
              </w:tabs>
              <w:spacing w:before="0" w:after="0" w:line="240" w:lineRule="auto"/>
              <w:rPr>
                <w:rFonts w:ascii="Calibri" w:hAnsi="Calibri"/>
              </w:rPr>
            </w:pPr>
          </w:p>
        </w:tc>
        <w:tc>
          <w:tcPr>
            <w:tcW w:w="6446" w:type="dxa"/>
            <w:tcBorders>
              <w:left w:val="single" w:sz="4" w:space="0" w:color="auto"/>
            </w:tcBorders>
            <w:shd w:val="clear" w:color="auto" w:fill="FDE9D9"/>
          </w:tcPr>
          <w:p w14:paraId="12A33D1F" w14:textId="77777777" w:rsidR="0069275B" w:rsidRPr="0069275B" w:rsidRDefault="0069275B" w:rsidP="0069275B">
            <w:pPr>
              <w:tabs>
                <w:tab w:val="left" w:pos="9069"/>
              </w:tabs>
              <w:spacing w:before="0" w:after="0" w:line="240" w:lineRule="auto"/>
              <w:jc w:val="both"/>
              <w:rPr>
                <w:rFonts w:ascii="Calibri" w:hAnsi="Calibri"/>
              </w:rPr>
            </w:pPr>
            <w:r w:rsidRPr="0069275B">
              <w:rPr>
                <w:rFonts w:ascii="Calibri" w:hAnsi="Calibri"/>
              </w:rPr>
              <w:t>Unsupportive</w:t>
            </w:r>
          </w:p>
        </w:tc>
        <w:tc>
          <w:tcPr>
            <w:tcW w:w="706" w:type="dxa"/>
            <w:shd w:val="clear" w:color="auto" w:fill="FDE9D9"/>
          </w:tcPr>
          <w:p w14:paraId="1B6C7C6C" w14:textId="77777777" w:rsidR="0069275B" w:rsidRPr="0069275B" w:rsidRDefault="0069275B" w:rsidP="0069275B">
            <w:pPr>
              <w:tabs>
                <w:tab w:val="left" w:pos="9069"/>
              </w:tabs>
              <w:spacing w:before="0" w:after="0" w:line="240" w:lineRule="auto"/>
              <w:jc w:val="center"/>
              <w:rPr>
                <w:rFonts w:ascii="Calibri" w:hAnsi="Calibri"/>
              </w:rPr>
            </w:pPr>
            <w:r w:rsidRPr="0069275B">
              <w:rPr>
                <w:rFonts w:ascii="Calibri" w:hAnsi="Calibri"/>
              </w:rPr>
              <w:t>5</w:t>
            </w:r>
          </w:p>
        </w:tc>
      </w:tr>
      <w:tr w:rsidR="0069275B" w:rsidRPr="0069275B" w14:paraId="6344F8BC" w14:textId="77777777" w:rsidTr="007A414D">
        <w:trPr>
          <w:trHeight w:val="96"/>
        </w:trPr>
        <w:tc>
          <w:tcPr>
            <w:tcW w:w="962" w:type="dxa"/>
            <w:tcBorders>
              <w:top w:val="single" w:sz="4" w:space="0" w:color="auto"/>
              <w:left w:val="single" w:sz="4" w:space="0" w:color="auto"/>
              <w:bottom w:val="nil"/>
              <w:right w:val="single" w:sz="4" w:space="0" w:color="auto"/>
            </w:tcBorders>
            <w:shd w:val="clear" w:color="auto" w:fill="F2DBDB"/>
          </w:tcPr>
          <w:p w14:paraId="614A9508" w14:textId="77777777" w:rsidR="0069275B" w:rsidRPr="0069275B" w:rsidRDefault="0069275B" w:rsidP="0069275B">
            <w:pPr>
              <w:tabs>
                <w:tab w:val="left" w:pos="9069"/>
              </w:tabs>
              <w:spacing w:before="0" w:after="0" w:line="240" w:lineRule="auto"/>
              <w:jc w:val="both"/>
              <w:rPr>
                <w:rFonts w:ascii="Calibri" w:hAnsi="Calibri"/>
              </w:rPr>
            </w:pPr>
            <w:r w:rsidRPr="0069275B">
              <w:rPr>
                <w:rFonts w:ascii="Calibri" w:hAnsi="Calibri"/>
              </w:rPr>
              <w:t>4</w:t>
            </w:r>
          </w:p>
        </w:tc>
        <w:tc>
          <w:tcPr>
            <w:tcW w:w="1951" w:type="dxa"/>
            <w:tcBorders>
              <w:top w:val="single" w:sz="4" w:space="0" w:color="auto"/>
              <w:left w:val="single" w:sz="4" w:space="0" w:color="auto"/>
              <w:bottom w:val="nil"/>
              <w:right w:val="single" w:sz="4" w:space="0" w:color="auto"/>
            </w:tcBorders>
            <w:shd w:val="clear" w:color="auto" w:fill="F2DBDB"/>
          </w:tcPr>
          <w:p w14:paraId="05442DE6" w14:textId="77777777" w:rsidR="0069275B" w:rsidRPr="0069275B" w:rsidRDefault="0069275B" w:rsidP="0069275B">
            <w:pPr>
              <w:tabs>
                <w:tab w:val="left" w:pos="9069"/>
              </w:tabs>
              <w:spacing w:before="0" w:after="0" w:line="240" w:lineRule="auto"/>
              <w:rPr>
                <w:rFonts w:ascii="Calibri" w:hAnsi="Calibri"/>
              </w:rPr>
            </w:pPr>
            <w:r w:rsidRPr="0069275B">
              <w:rPr>
                <w:rFonts w:ascii="Calibri" w:hAnsi="Calibri"/>
              </w:rPr>
              <w:t>How will key client cope</w:t>
            </w:r>
          </w:p>
        </w:tc>
        <w:tc>
          <w:tcPr>
            <w:tcW w:w="6446" w:type="dxa"/>
            <w:tcBorders>
              <w:left w:val="single" w:sz="4" w:space="0" w:color="auto"/>
            </w:tcBorders>
            <w:shd w:val="clear" w:color="auto" w:fill="F2DBDB"/>
          </w:tcPr>
          <w:p w14:paraId="23A189CD" w14:textId="77777777" w:rsidR="0069275B" w:rsidRPr="0069275B" w:rsidRDefault="0069275B" w:rsidP="0069275B">
            <w:pPr>
              <w:tabs>
                <w:tab w:val="left" w:pos="9069"/>
              </w:tabs>
              <w:spacing w:before="0" w:after="0" w:line="240" w:lineRule="auto"/>
              <w:jc w:val="both"/>
              <w:rPr>
                <w:rFonts w:ascii="Calibri" w:hAnsi="Calibri"/>
              </w:rPr>
            </w:pPr>
            <w:r w:rsidRPr="0069275B">
              <w:rPr>
                <w:rFonts w:ascii="Calibri" w:hAnsi="Calibri"/>
              </w:rPr>
              <w:t>Well (normal grief and recovery without help)</w:t>
            </w:r>
          </w:p>
        </w:tc>
        <w:tc>
          <w:tcPr>
            <w:tcW w:w="706" w:type="dxa"/>
            <w:shd w:val="clear" w:color="auto" w:fill="F2DBDB"/>
          </w:tcPr>
          <w:p w14:paraId="07304EA0" w14:textId="77777777" w:rsidR="0069275B" w:rsidRPr="0069275B" w:rsidRDefault="0069275B" w:rsidP="0069275B">
            <w:pPr>
              <w:tabs>
                <w:tab w:val="left" w:pos="9069"/>
              </w:tabs>
              <w:spacing w:before="0" w:after="0" w:line="240" w:lineRule="auto"/>
              <w:jc w:val="center"/>
              <w:rPr>
                <w:rFonts w:ascii="Calibri" w:hAnsi="Calibri"/>
              </w:rPr>
            </w:pPr>
            <w:r w:rsidRPr="0069275B">
              <w:rPr>
                <w:rFonts w:ascii="Calibri" w:hAnsi="Calibri"/>
              </w:rPr>
              <w:t>1</w:t>
            </w:r>
          </w:p>
        </w:tc>
      </w:tr>
      <w:tr w:rsidR="0069275B" w:rsidRPr="0069275B" w14:paraId="7DA85D03" w14:textId="77777777" w:rsidTr="007A414D">
        <w:trPr>
          <w:trHeight w:val="96"/>
        </w:trPr>
        <w:tc>
          <w:tcPr>
            <w:tcW w:w="962" w:type="dxa"/>
            <w:tcBorders>
              <w:top w:val="nil"/>
              <w:left w:val="single" w:sz="4" w:space="0" w:color="auto"/>
              <w:bottom w:val="nil"/>
              <w:right w:val="single" w:sz="4" w:space="0" w:color="auto"/>
            </w:tcBorders>
            <w:shd w:val="clear" w:color="auto" w:fill="F2DBDB"/>
          </w:tcPr>
          <w:p w14:paraId="68072F5E" w14:textId="77777777" w:rsidR="0069275B" w:rsidRPr="0069275B" w:rsidRDefault="0069275B" w:rsidP="0069275B">
            <w:pPr>
              <w:tabs>
                <w:tab w:val="left" w:pos="9069"/>
              </w:tabs>
              <w:spacing w:before="0" w:after="0" w:line="240" w:lineRule="auto"/>
              <w:jc w:val="both"/>
              <w:rPr>
                <w:rFonts w:ascii="Calibri" w:hAnsi="Calibri"/>
              </w:rPr>
            </w:pPr>
          </w:p>
        </w:tc>
        <w:tc>
          <w:tcPr>
            <w:tcW w:w="1951" w:type="dxa"/>
            <w:tcBorders>
              <w:top w:val="nil"/>
              <w:left w:val="single" w:sz="4" w:space="0" w:color="auto"/>
              <w:bottom w:val="nil"/>
              <w:right w:val="single" w:sz="4" w:space="0" w:color="auto"/>
            </w:tcBorders>
            <w:shd w:val="clear" w:color="auto" w:fill="F2DBDB"/>
          </w:tcPr>
          <w:p w14:paraId="76B118A4" w14:textId="77777777" w:rsidR="0069275B" w:rsidRPr="0069275B" w:rsidRDefault="0069275B" w:rsidP="0069275B">
            <w:pPr>
              <w:tabs>
                <w:tab w:val="left" w:pos="9069"/>
              </w:tabs>
              <w:spacing w:before="0" w:after="0" w:line="240" w:lineRule="auto"/>
              <w:rPr>
                <w:rFonts w:ascii="Calibri" w:hAnsi="Calibri"/>
              </w:rPr>
            </w:pPr>
          </w:p>
        </w:tc>
        <w:tc>
          <w:tcPr>
            <w:tcW w:w="6446" w:type="dxa"/>
            <w:tcBorders>
              <w:left w:val="single" w:sz="4" w:space="0" w:color="auto"/>
            </w:tcBorders>
            <w:shd w:val="clear" w:color="auto" w:fill="F2DBDB"/>
          </w:tcPr>
          <w:p w14:paraId="030B3036" w14:textId="77777777" w:rsidR="0069275B" w:rsidRPr="0069275B" w:rsidRDefault="0069275B" w:rsidP="0069275B">
            <w:pPr>
              <w:tabs>
                <w:tab w:val="left" w:pos="9069"/>
              </w:tabs>
              <w:spacing w:before="0" w:after="0" w:line="240" w:lineRule="auto"/>
              <w:jc w:val="both"/>
              <w:rPr>
                <w:rFonts w:ascii="Calibri" w:hAnsi="Calibri"/>
              </w:rPr>
            </w:pPr>
            <w:r w:rsidRPr="0069275B">
              <w:rPr>
                <w:rFonts w:ascii="Calibri" w:hAnsi="Calibri"/>
              </w:rPr>
              <w:t>Fair (probably get by without specialist help)</w:t>
            </w:r>
          </w:p>
        </w:tc>
        <w:tc>
          <w:tcPr>
            <w:tcW w:w="706" w:type="dxa"/>
            <w:shd w:val="clear" w:color="auto" w:fill="F2DBDB"/>
          </w:tcPr>
          <w:p w14:paraId="5F4538FE" w14:textId="77777777" w:rsidR="0069275B" w:rsidRPr="0069275B" w:rsidRDefault="0069275B" w:rsidP="0069275B">
            <w:pPr>
              <w:tabs>
                <w:tab w:val="left" w:pos="9069"/>
              </w:tabs>
              <w:spacing w:before="0" w:after="0" w:line="240" w:lineRule="auto"/>
              <w:jc w:val="center"/>
              <w:rPr>
                <w:rFonts w:ascii="Calibri" w:hAnsi="Calibri"/>
              </w:rPr>
            </w:pPr>
            <w:r w:rsidRPr="0069275B">
              <w:rPr>
                <w:rFonts w:ascii="Calibri" w:hAnsi="Calibri"/>
              </w:rPr>
              <w:t>2</w:t>
            </w:r>
          </w:p>
        </w:tc>
      </w:tr>
      <w:tr w:rsidR="0069275B" w:rsidRPr="0069275B" w14:paraId="09AE8FA0" w14:textId="77777777" w:rsidTr="007A414D">
        <w:trPr>
          <w:trHeight w:val="96"/>
        </w:trPr>
        <w:tc>
          <w:tcPr>
            <w:tcW w:w="962" w:type="dxa"/>
            <w:tcBorders>
              <w:top w:val="nil"/>
              <w:left w:val="single" w:sz="4" w:space="0" w:color="auto"/>
              <w:bottom w:val="nil"/>
              <w:right w:val="single" w:sz="4" w:space="0" w:color="auto"/>
            </w:tcBorders>
            <w:shd w:val="clear" w:color="auto" w:fill="F2DBDB"/>
          </w:tcPr>
          <w:p w14:paraId="3F052CC8" w14:textId="77777777" w:rsidR="0069275B" w:rsidRPr="0069275B" w:rsidRDefault="0069275B" w:rsidP="0069275B">
            <w:pPr>
              <w:tabs>
                <w:tab w:val="left" w:pos="9069"/>
              </w:tabs>
              <w:spacing w:before="0" w:after="0" w:line="240" w:lineRule="auto"/>
              <w:jc w:val="both"/>
              <w:rPr>
                <w:rFonts w:ascii="Calibri" w:hAnsi="Calibri"/>
              </w:rPr>
            </w:pPr>
          </w:p>
        </w:tc>
        <w:tc>
          <w:tcPr>
            <w:tcW w:w="1951" w:type="dxa"/>
            <w:tcBorders>
              <w:top w:val="nil"/>
              <w:left w:val="single" w:sz="4" w:space="0" w:color="auto"/>
              <w:bottom w:val="nil"/>
              <w:right w:val="single" w:sz="4" w:space="0" w:color="auto"/>
            </w:tcBorders>
            <w:shd w:val="clear" w:color="auto" w:fill="F2DBDB"/>
          </w:tcPr>
          <w:p w14:paraId="4493D5B0" w14:textId="77777777" w:rsidR="0069275B" w:rsidRPr="0069275B" w:rsidRDefault="0069275B" w:rsidP="0069275B">
            <w:pPr>
              <w:tabs>
                <w:tab w:val="left" w:pos="9069"/>
              </w:tabs>
              <w:spacing w:before="0" w:after="0" w:line="240" w:lineRule="auto"/>
              <w:rPr>
                <w:rFonts w:ascii="Calibri" w:hAnsi="Calibri"/>
              </w:rPr>
            </w:pPr>
          </w:p>
        </w:tc>
        <w:tc>
          <w:tcPr>
            <w:tcW w:w="6446" w:type="dxa"/>
            <w:tcBorders>
              <w:left w:val="single" w:sz="4" w:space="0" w:color="auto"/>
            </w:tcBorders>
            <w:shd w:val="clear" w:color="auto" w:fill="F2DBDB"/>
          </w:tcPr>
          <w:p w14:paraId="7679A364" w14:textId="77777777" w:rsidR="0069275B" w:rsidRPr="0069275B" w:rsidRDefault="0069275B" w:rsidP="0069275B">
            <w:pPr>
              <w:tabs>
                <w:tab w:val="left" w:pos="9069"/>
              </w:tabs>
              <w:spacing w:before="0" w:after="0" w:line="240" w:lineRule="auto"/>
              <w:jc w:val="both"/>
              <w:rPr>
                <w:rFonts w:ascii="Calibri" w:hAnsi="Calibri"/>
              </w:rPr>
            </w:pPr>
            <w:r w:rsidRPr="0069275B">
              <w:rPr>
                <w:rFonts w:ascii="Calibri" w:hAnsi="Calibri"/>
              </w:rPr>
              <w:t>Doubtful (may need specialist help)</w:t>
            </w:r>
          </w:p>
        </w:tc>
        <w:tc>
          <w:tcPr>
            <w:tcW w:w="706" w:type="dxa"/>
            <w:shd w:val="clear" w:color="auto" w:fill="F2DBDB"/>
          </w:tcPr>
          <w:p w14:paraId="337E2718" w14:textId="77777777" w:rsidR="0069275B" w:rsidRPr="0069275B" w:rsidRDefault="0069275B" w:rsidP="0069275B">
            <w:pPr>
              <w:tabs>
                <w:tab w:val="left" w:pos="9069"/>
              </w:tabs>
              <w:spacing w:before="0" w:after="0" w:line="240" w:lineRule="auto"/>
              <w:jc w:val="center"/>
              <w:rPr>
                <w:rFonts w:ascii="Calibri" w:hAnsi="Calibri"/>
              </w:rPr>
            </w:pPr>
            <w:r w:rsidRPr="0069275B">
              <w:rPr>
                <w:rFonts w:ascii="Calibri" w:hAnsi="Calibri"/>
              </w:rPr>
              <w:t>3</w:t>
            </w:r>
          </w:p>
        </w:tc>
      </w:tr>
      <w:tr w:rsidR="0069275B" w:rsidRPr="0069275B" w14:paraId="5B9E39CB" w14:textId="77777777" w:rsidTr="007A414D">
        <w:trPr>
          <w:trHeight w:val="144"/>
        </w:trPr>
        <w:tc>
          <w:tcPr>
            <w:tcW w:w="962" w:type="dxa"/>
            <w:tcBorders>
              <w:top w:val="nil"/>
              <w:left w:val="single" w:sz="4" w:space="0" w:color="auto"/>
              <w:bottom w:val="nil"/>
              <w:right w:val="single" w:sz="4" w:space="0" w:color="auto"/>
            </w:tcBorders>
            <w:shd w:val="clear" w:color="auto" w:fill="F2DBDB"/>
          </w:tcPr>
          <w:p w14:paraId="08C8A0AE" w14:textId="77777777" w:rsidR="0069275B" w:rsidRPr="0069275B" w:rsidRDefault="0069275B" w:rsidP="0069275B">
            <w:pPr>
              <w:tabs>
                <w:tab w:val="left" w:pos="9069"/>
              </w:tabs>
              <w:spacing w:before="0" w:after="0" w:line="240" w:lineRule="auto"/>
              <w:jc w:val="both"/>
              <w:rPr>
                <w:rFonts w:ascii="Calibri" w:hAnsi="Calibri"/>
              </w:rPr>
            </w:pPr>
          </w:p>
        </w:tc>
        <w:tc>
          <w:tcPr>
            <w:tcW w:w="1951" w:type="dxa"/>
            <w:tcBorders>
              <w:top w:val="nil"/>
              <w:left w:val="single" w:sz="4" w:space="0" w:color="auto"/>
              <w:bottom w:val="nil"/>
              <w:right w:val="single" w:sz="4" w:space="0" w:color="auto"/>
            </w:tcBorders>
            <w:shd w:val="clear" w:color="auto" w:fill="F2DBDB"/>
          </w:tcPr>
          <w:p w14:paraId="13C8E57E" w14:textId="77777777" w:rsidR="0069275B" w:rsidRPr="0069275B" w:rsidRDefault="0069275B" w:rsidP="0069275B">
            <w:pPr>
              <w:tabs>
                <w:tab w:val="left" w:pos="9069"/>
              </w:tabs>
              <w:spacing w:before="0" w:after="0" w:line="240" w:lineRule="auto"/>
              <w:rPr>
                <w:rFonts w:ascii="Calibri" w:hAnsi="Calibri"/>
              </w:rPr>
            </w:pPr>
          </w:p>
        </w:tc>
        <w:tc>
          <w:tcPr>
            <w:tcW w:w="6446" w:type="dxa"/>
            <w:tcBorders>
              <w:left w:val="single" w:sz="4" w:space="0" w:color="auto"/>
            </w:tcBorders>
            <w:shd w:val="clear" w:color="auto" w:fill="F2DBDB"/>
          </w:tcPr>
          <w:p w14:paraId="1D18C1AE" w14:textId="35F0EF0E" w:rsidR="0069275B" w:rsidRPr="0069275B" w:rsidRDefault="0069275B" w:rsidP="0069275B">
            <w:pPr>
              <w:tabs>
                <w:tab w:val="left" w:pos="9069"/>
              </w:tabs>
              <w:spacing w:before="0" w:after="0" w:line="240" w:lineRule="auto"/>
              <w:jc w:val="both"/>
              <w:rPr>
                <w:rFonts w:ascii="Calibri" w:hAnsi="Calibri"/>
              </w:rPr>
            </w:pPr>
            <w:r w:rsidRPr="0069275B">
              <w:rPr>
                <w:rFonts w:ascii="Calibri" w:hAnsi="Calibri"/>
              </w:rPr>
              <w:t xml:space="preserve">Badly (requires specialist </w:t>
            </w:r>
            <w:r w:rsidR="00614A20" w:rsidRPr="0069275B">
              <w:rPr>
                <w:rFonts w:ascii="Calibri" w:hAnsi="Calibri"/>
              </w:rPr>
              <w:t>help) *</w:t>
            </w:r>
          </w:p>
        </w:tc>
        <w:tc>
          <w:tcPr>
            <w:tcW w:w="706" w:type="dxa"/>
            <w:shd w:val="clear" w:color="auto" w:fill="F2DBDB"/>
          </w:tcPr>
          <w:p w14:paraId="59CAFECF" w14:textId="77777777" w:rsidR="0069275B" w:rsidRPr="0069275B" w:rsidRDefault="0069275B" w:rsidP="0069275B">
            <w:pPr>
              <w:tabs>
                <w:tab w:val="left" w:pos="9069"/>
              </w:tabs>
              <w:spacing w:before="0" w:after="0" w:line="240" w:lineRule="auto"/>
              <w:jc w:val="center"/>
              <w:rPr>
                <w:rFonts w:ascii="Calibri" w:hAnsi="Calibri"/>
              </w:rPr>
            </w:pPr>
            <w:r w:rsidRPr="0069275B">
              <w:rPr>
                <w:rFonts w:ascii="Calibri" w:hAnsi="Calibri"/>
              </w:rPr>
              <w:t>4</w:t>
            </w:r>
          </w:p>
        </w:tc>
      </w:tr>
      <w:tr w:rsidR="0069275B" w:rsidRPr="0069275B" w14:paraId="5F69FC58" w14:textId="77777777" w:rsidTr="007A414D">
        <w:trPr>
          <w:trHeight w:val="96"/>
        </w:trPr>
        <w:tc>
          <w:tcPr>
            <w:tcW w:w="962" w:type="dxa"/>
            <w:tcBorders>
              <w:top w:val="nil"/>
              <w:left w:val="single" w:sz="4" w:space="0" w:color="auto"/>
              <w:bottom w:val="single" w:sz="4" w:space="0" w:color="auto"/>
              <w:right w:val="single" w:sz="4" w:space="0" w:color="auto"/>
            </w:tcBorders>
            <w:shd w:val="clear" w:color="auto" w:fill="F2DBDB"/>
          </w:tcPr>
          <w:p w14:paraId="601BFE7B" w14:textId="77777777" w:rsidR="0069275B" w:rsidRPr="0069275B" w:rsidRDefault="0069275B" w:rsidP="0069275B">
            <w:pPr>
              <w:tabs>
                <w:tab w:val="left" w:pos="9069"/>
              </w:tabs>
              <w:spacing w:before="0" w:after="0" w:line="240" w:lineRule="auto"/>
              <w:jc w:val="both"/>
              <w:rPr>
                <w:rFonts w:ascii="Calibri" w:hAnsi="Calibri"/>
              </w:rPr>
            </w:pPr>
          </w:p>
        </w:tc>
        <w:tc>
          <w:tcPr>
            <w:tcW w:w="1951" w:type="dxa"/>
            <w:tcBorders>
              <w:top w:val="nil"/>
              <w:left w:val="single" w:sz="4" w:space="0" w:color="auto"/>
              <w:bottom w:val="single" w:sz="4" w:space="0" w:color="auto"/>
              <w:right w:val="single" w:sz="4" w:space="0" w:color="auto"/>
            </w:tcBorders>
            <w:shd w:val="clear" w:color="auto" w:fill="F2DBDB"/>
          </w:tcPr>
          <w:p w14:paraId="2CFE9771" w14:textId="77777777" w:rsidR="0069275B" w:rsidRPr="0069275B" w:rsidRDefault="0069275B" w:rsidP="0069275B">
            <w:pPr>
              <w:tabs>
                <w:tab w:val="left" w:pos="9069"/>
              </w:tabs>
              <w:spacing w:before="0" w:after="0" w:line="240" w:lineRule="auto"/>
              <w:rPr>
                <w:rFonts w:ascii="Calibri" w:hAnsi="Calibri"/>
              </w:rPr>
            </w:pPr>
          </w:p>
        </w:tc>
        <w:tc>
          <w:tcPr>
            <w:tcW w:w="6446" w:type="dxa"/>
            <w:tcBorders>
              <w:left w:val="single" w:sz="4" w:space="0" w:color="auto"/>
            </w:tcBorders>
            <w:shd w:val="clear" w:color="auto" w:fill="F2DBDB"/>
          </w:tcPr>
          <w:p w14:paraId="3E048CF6" w14:textId="742B8FFC" w:rsidR="0069275B" w:rsidRPr="0069275B" w:rsidRDefault="0069275B" w:rsidP="0069275B">
            <w:pPr>
              <w:tabs>
                <w:tab w:val="left" w:pos="9069"/>
              </w:tabs>
              <w:spacing w:before="0" w:after="0" w:line="240" w:lineRule="auto"/>
              <w:jc w:val="both"/>
              <w:rPr>
                <w:rFonts w:ascii="Calibri" w:hAnsi="Calibri"/>
              </w:rPr>
            </w:pPr>
            <w:r w:rsidRPr="0069275B">
              <w:rPr>
                <w:rFonts w:ascii="Calibri" w:hAnsi="Calibri"/>
              </w:rPr>
              <w:t xml:space="preserve">Very badly (requires urgent </w:t>
            </w:r>
            <w:r w:rsidR="00614A20" w:rsidRPr="0069275B">
              <w:rPr>
                <w:rFonts w:ascii="Calibri" w:hAnsi="Calibri"/>
              </w:rPr>
              <w:t>help) *</w:t>
            </w:r>
          </w:p>
        </w:tc>
        <w:tc>
          <w:tcPr>
            <w:tcW w:w="706" w:type="dxa"/>
            <w:shd w:val="clear" w:color="auto" w:fill="F2DBDB"/>
          </w:tcPr>
          <w:p w14:paraId="4FA09B13" w14:textId="77777777" w:rsidR="0069275B" w:rsidRPr="0069275B" w:rsidRDefault="0069275B" w:rsidP="0069275B">
            <w:pPr>
              <w:tabs>
                <w:tab w:val="left" w:pos="9069"/>
              </w:tabs>
              <w:spacing w:before="0" w:after="0" w:line="240" w:lineRule="auto"/>
              <w:jc w:val="center"/>
              <w:rPr>
                <w:rFonts w:ascii="Calibri" w:hAnsi="Calibri"/>
              </w:rPr>
            </w:pPr>
            <w:r w:rsidRPr="0069275B">
              <w:rPr>
                <w:rFonts w:ascii="Calibri" w:hAnsi="Calibri"/>
              </w:rPr>
              <w:t>5</w:t>
            </w:r>
          </w:p>
        </w:tc>
      </w:tr>
      <w:tr w:rsidR="007A414D" w:rsidRPr="0069275B" w14:paraId="6EBF25B6" w14:textId="77777777" w:rsidTr="007A414D">
        <w:tc>
          <w:tcPr>
            <w:tcW w:w="962" w:type="dxa"/>
          </w:tcPr>
          <w:p w14:paraId="687EF68A" w14:textId="451D74E1" w:rsidR="007A414D" w:rsidRPr="0069275B" w:rsidRDefault="007A414D" w:rsidP="0069275B">
            <w:pPr>
              <w:tabs>
                <w:tab w:val="left" w:pos="9069"/>
              </w:tabs>
              <w:spacing w:before="0" w:after="0" w:line="240" w:lineRule="auto"/>
              <w:rPr>
                <w:rFonts w:ascii="Calibri" w:hAnsi="Calibri"/>
              </w:rPr>
            </w:pPr>
            <w:r w:rsidRPr="0069275B">
              <w:rPr>
                <w:rFonts w:ascii="Calibri" w:hAnsi="Calibri"/>
              </w:rPr>
              <w:t xml:space="preserve">                   </w:t>
            </w:r>
          </w:p>
        </w:tc>
        <w:tc>
          <w:tcPr>
            <w:tcW w:w="1951" w:type="dxa"/>
          </w:tcPr>
          <w:p w14:paraId="69C4F1E2" w14:textId="77777777" w:rsidR="007A414D" w:rsidRPr="0069275B" w:rsidRDefault="007A414D" w:rsidP="0069275B">
            <w:pPr>
              <w:tabs>
                <w:tab w:val="left" w:pos="9069"/>
              </w:tabs>
              <w:spacing w:before="0" w:after="0" w:line="240" w:lineRule="auto"/>
              <w:rPr>
                <w:rFonts w:ascii="Calibri" w:hAnsi="Calibri"/>
              </w:rPr>
            </w:pPr>
          </w:p>
        </w:tc>
        <w:tc>
          <w:tcPr>
            <w:tcW w:w="6446" w:type="dxa"/>
          </w:tcPr>
          <w:p w14:paraId="0002B103" w14:textId="485A6DC4" w:rsidR="007A414D" w:rsidRPr="0069275B" w:rsidRDefault="007A414D" w:rsidP="007A414D">
            <w:pPr>
              <w:tabs>
                <w:tab w:val="left" w:pos="9069"/>
              </w:tabs>
              <w:spacing w:before="0" w:after="0" w:line="240" w:lineRule="auto"/>
              <w:rPr>
                <w:rFonts w:ascii="Calibri" w:hAnsi="Calibri"/>
              </w:rPr>
            </w:pPr>
            <w:r w:rsidRPr="0069275B">
              <w:rPr>
                <w:rFonts w:ascii="Calibri" w:hAnsi="Calibri"/>
              </w:rPr>
              <w:t xml:space="preserve">*Will be automatically referred to specialist palliative care service for bereavement support   </w:t>
            </w:r>
            <w:r>
              <w:rPr>
                <w:rFonts w:ascii="Calibri" w:hAnsi="Calibri"/>
              </w:rPr>
              <w:t xml:space="preserve">                                                                                   </w:t>
            </w:r>
            <w:r w:rsidRPr="0069275B">
              <w:rPr>
                <w:rFonts w:ascii="Calibri" w:hAnsi="Calibri"/>
                <w:b/>
              </w:rPr>
              <w:t>TOTAL</w:t>
            </w:r>
          </w:p>
        </w:tc>
        <w:tc>
          <w:tcPr>
            <w:tcW w:w="706" w:type="dxa"/>
          </w:tcPr>
          <w:p w14:paraId="024D68EE" w14:textId="77777777" w:rsidR="007A414D" w:rsidRPr="0069275B" w:rsidRDefault="007A414D" w:rsidP="0069275B">
            <w:pPr>
              <w:tabs>
                <w:tab w:val="left" w:pos="9069"/>
              </w:tabs>
              <w:spacing w:before="0" w:after="0" w:line="240" w:lineRule="auto"/>
              <w:jc w:val="center"/>
              <w:rPr>
                <w:rFonts w:ascii="Calibri" w:hAnsi="Calibri"/>
              </w:rPr>
            </w:pPr>
          </w:p>
        </w:tc>
      </w:tr>
    </w:tbl>
    <w:p w14:paraId="1E3B13E9" w14:textId="6B4DF745" w:rsidR="00045370" w:rsidRPr="00045370" w:rsidRDefault="00045370" w:rsidP="0069275B">
      <w:pPr>
        <w:rPr>
          <w:b/>
          <w:bCs/>
          <w:lang w:eastAsia="en-US"/>
        </w:rPr>
      </w:pPr>
      <w:r w:rsidRPr="00045370">
        <w:rPr>
          <w:b/>
          <w:bCs/>
          <w:lang w:eastAsia="en-US"/>
        </w:rPr>
        <w:t>Low risk score (less than 7)</w:t>
      </w:r>
    </w:p>
    <w:p w14:paraId="5B7782CC" w14:textId="77777777" w:rsidR="00045370" w:rsidRPr="00362327" w:rsidRDefault="00045370" w:rsidP="007A414D">
      <w:pPr>
        <w:pStyle w:val="Bullet"/>
        <w:numPr>
          <w:ilvl w:val="0"/>
          <w:numId w:val="17"/>
        </w:numPr>
      </w:pPr>
      <w:r w:rsidRPr="00362327">
        <w:t>Provide written information on understanding grief</w:t>
      </w:r>
    </w:p>
    <w:p w14:paraId="768E229A" w14:textId="77777777" w:rsidR="00045370" w:rsidRPr="00045370" w:rsidRDefault="00045370" w:rsidP="0069275B">
      <w:pPr>
        <w:rPr>
          <w:rFonts w:asciiTheme="minorHAnsi" w:hAnsiTheme="minorHAnsi" w:cstheme="minorHAnsi"/>
          <w:b/>
          <w:bCs/>
          <w:lang w:eastAsia="en-US"/>
        </w:rPr>
      </w:pPr>
      <w:r w:rsidRPr="00045370">
        <w:rPr>
          <w:rFonts w:asciiTheme="minorHAnsi" w:hAnsiTheme="minorHAnsi" w:cstheme="minorHAnsi"/>
          <w:b/>
          <w:bCs/>
          <w:lang w:eastAsia="en-US"/>
        </w:rPr>
        <w:t>Moderate risk score (7 – 10)</w:t>
      </w:r>
    </w:p>
    <w:p w14:paraId="45D256EB" w14:textId="77777777" w:rsidR="00045370" w:rsidRPr="00362327" w:rsidRDefault="00045370" w:rsidP="00F529FE">
      <w:pPr>
        <w:pStyle w:val="ListParagraph"/>
        <w:numPr>
          <w:ilvl w:val="0"/>
          <w:numId w:val="10"/>
        </w:numPr>
        <w:rPr>
          <w:rFonts w:asciiTheme="minorHAnsi" w:hAnsiTheme="minorHAnsi" w:cstheme="minorHAnsi"/>
        </w:rPr>
      </w:pPr>
      <w:r w:rsidRPr="00362327">
        <w:rPr>
          <w:rFonts w:asciiTheme="minorHAnsi" w:hAnsiTheme="minorHAnsi" w:cstheme="minorHAnsi"/>
        </w:rPr>
        <w:t>Provide written information on understanding grief</w:t>
      </w:r>
    </w:p>
    <w:p w14:paraId="315D61A5" w14:textId="77777777" w:rsidR="00045370" w:rsidRPr="00362327" w:rsidRDefault="00045370" w:rsidP="00F529FE">
      <w:pPr>
        <w:pStyle w:val="ListParagraph"/>
        <w:numPr>
          <w:ilvl w:val="0"/>
          <w:numId w:val="10"/>
        </w:numPr>
        <w:rPr>
          <w:rFonts w:asciiTheme="minorHAnsi" w:hAnsiTheme="minorHAnsi" w:cstheme="minorHAnsi"/>
        </w:rPr>
      </w:pPr>
      <w:r w:rsidRPr="00362327">
        <w:rPr>
          <w:rFonts w:asciiTheme="minorHAnsi" w:hAnsiTheme="minorHAnsi" w:cstheme="minorHAnsi"/>
        </w:rPr>
        <w:t>Offer referral to Justice Health multidisciplinary team for support</w:t>
      </w:r>
    </w:p>
    <w:p w14:paraId="1A865D61" w14:textId="77777777" w:rsidR="00045370" w:rsidRPr="00045370" w:rsidRDefault="00045370" w:rsidP="0069275B">
      <w:pPr>
        <w:rPr>
          <w:rFonts w:asciiTheme="minorHAnsi" w:hAnsiTheme="minorHAnsi" w:cstheme="minorHAnsi"/>
          <w:b/>
          <w:bCs/>
          <w:lang w:eastAsia="en-US"/>
        </w:rPr>
      </w:pPr>
      <w:r w:rsidRPr="00045370">
        <w:rPr>
          <w:rFonts w:asciiTheme="minorHAnsi" w:hAnsiTheme="minorHAnsi" w:cstheme="minorHAnsi"/>
          <w:b/>
          <w:bCs/>
          <w:lang w:eastAsia="en-US"/>
        </w:rPr>
        <w:t>High risk score (10 or more)</w:t>
      </w:r>
    </w:p>
    <w:p w14:paraId="2FB90989" w14:textId="77777777" w:rsidR="00045370" w:rsidRPr="00362327" w:rsidRDefault="00045370" w:rsidP="00F529FE">
      <w:pPr>
        <w:pStyle w:val="ListParagraph"/>
        <w:numPr>
          <w:ilvl w:val="0"/>
          <w:numId w:val="11"/>
        </w:numPr>
        <w:rPr>
          <w:rFonts w:asciiTheme="minorHAnsi" w:hAnsiTheme="minorHAnsi" w:cstheme="minorHAnsi"/>
        </w:rPr>
      </w:pPr>
      <w:r w:rsidRPr="00362327">
        <w:rPr>
          <w:rFonts w:asciiTheme="minorHAnsi" w:hAnsiTheme="minorHAnsi" w:cstheme="minorHAnsi"/>
        </w:rPr>
        <w:lastRenderedPageBreak/>
        <w:t>Provide written information on understanding grief</w:t>
      </w:r>
    </w:p>
    <w:p w14:paraId="68AFA88E" w14:textId="77777777" w:rsidR="00045370" w:rsidRPr="00362327" w:rsidRDefault="00045370" w:rsidP="00F529FE">
      <w:pPr>
        <w:pStyle w:val="ListParagraph"/>
        <w:numPr>
          <w:ilvl w:val="0"/>
          <w:numId w:val="11"/>
        </w:numPr>
        <w:rPr>
          <w:rFonts w:asciiTheme="minorHAnsi" w:hAnsiTheme="minorHAnsi" w:cstheme="minorHAnsi"/>
        </w:rPr>
      </w:pPr>
      <w:r w:rsidRPr="00362327">
        <w:rPr>
          <w:rFonts w:asciiTheme="minorHAnsi" w:hAnsiTheme="minorHAnsi" w:cstheme="minorHAnsi"/>
        </w:rPr>
        <w:t>Offer referral to Justice Health multidisciplinary team for support</w:t>
      </w:r>
    </w:p>
    <w:p w14:paraId="35E23CFB" w14:textId="77777777" w:rsidR="00045370" w:rsidRPr="00362327" w:rsidRDefault="00045370" w:rsidP="00F529FE">
      <w:pPr>
        <w:pStyle w:val="ListParagraph"/>
        <w:numPr>
          <w:ilvl w:val="0"/>
          <w:numId w:val="11"/>
        </w:numPr>
        <w:rPr>
          <w:rFonts w:asciiTheme="minorHAnsi" w:hAnsiTheme="minorHAnsi" w:cstheme="minorHAnsi"/>
        </w:rPr>
      </w:pPr>
      <w:r w:rsidRPr="00362327">
        <w:rPr>
          <w:rFonts w:asciiTheme="minorHAnsi" w:hAnsiTheme="minorHAnsi" w:cstheme="minorHAnsi"/>
        </w:rPr>
        <w:t>Seek consultation with specialist palliative care service</w:t>
      </w:r>
    </w:p>
    <w:p w14:paraId="141981EC" w14:textId="20B33C95" w:rsidR="00045370" w:rsidRDefault="00045370" w:rsidP="00045370">
      <w:pPr>
        <w:spacing w:before="0" w:after="0" w:line="240" w:lineRule="auto"/>
        <w:rPr>
          <w:i/>
          <w:color w:val="auto"/>
          <w:sz w:val="18"/>
          <w:szCs w:val="18"/>
          <w:u w:val="single"/>
        </w:rPr>
      </w:pPr>
      <w:r w:rsidRPr="00045370">
        <w:rPr>
          <w:i/>
          <w:color w:val="auto"/>
          <w:sz w:val="18"/>
          <w:szCs w:val="18"/>
          <w:u w:val="single"/>
        </w:rPr>
        <w:t xml:space="preserve">Adapted from </w:t>
      </w:r>
      <w:hyperlink r:id="rId30" w:history="1">
        <w:r w:rsidR="00614A20" w:rsidRPr="00045370">
          <w:rPr>
            <w:rStyle w:val="Hyperlink"/>
            <w:i/>
            <w:sz w:val="18"/>
            <w:szCs w:val="18"/>
          </w:rPr>
          <w:t>https://www.caresearch.com.au/Caresearch/Portals/0/PA-Tookit/Form%206%20Modified%20Risk%20Bereavement%20Risk%20Index.pdf</w:t>
        </w:r>
      </w:hyperlink>
    </w:p>
    <w:bookmarkEnd w:id="1"/>
    <w:p w14:paraId="4E08A2BD" w14:textId="1DEA80D1" w:rsidR="00480517" w:rsidRDefault="00480517" w:rsidP="00480517">
      <w:pPr>
        <w:pStyle w:val="Bullet"/>
        <w:tabs>
          <w:tab w:val="left" w:pos="5976"/>
        </w:tabs>
        <w:rPr>
          <w:rStyle w:val="Hyperlink"/>
        </w:rPr>
      </w:pPr>
      <w:r>
        <w:fldChar w:fldCharType="begin"/>
      </w:r>
      <w:r>
        <w:instrText>HYPERLINK \l "_top"</w:instrText>
      </w:r>
      <w:r>
        <w:fldChar w:fldCharType="separate"/>
      </w:r>
      <w:r w:rsidRPr="00481A6C">
        <w:rPr>
          <w:rStyle w:val="Hyperlink"/>
        </w:rPr>
        <w:t>Back to Contents</w:t>
      </w:r>
      <w:r>
        <w:fldChar w:fldCharType="end"/>
      </w:r>
      <w:r>
        <w:tab/>
      </w:r>
    </w:p>
    <w:sectPr w:rsidR="00480517" w:rsidSect="0007270D">
      <w:footerReference w:type="default" r:id="rId31"/>
      <w:headerReference w:type="first" r:id="rId32"/>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CF506" w14:textId="77777777" w:rsidR="001D74DA" w:rsidRDefault="001D74DA" w:rsidP="00225769">
      <w:pPr>
        <w:spacing w:after="0" w:line="240" w:lineRule="auto"/>
      </w:pPr>
      <w:r>
        <w:separator/>
      </w:r>
    </w:p>
    <w:p w14:paraId="2E609F01" w14:textId="77777777" w:rsidR="001D74DA" w:rsidRDefault="001D74DA"/>
    <w:p w14:paraId="4BC0A934" w14:textId="77777777" w:rsidR="001D74DA" w:rsidRDefault="001D74DA"/>
    <w:p w14:paraId="39280070" w14:textId="77777777" w:rsidR="001D74DA" w:rsidRDefault="001D74DA"/>
    <w:p w14:paraId="4EA5ACA4" w14:textId="77777777" w:rsidR="001D74DA" w:rsidRDefault="001D74DA"/>
    <w:p w14:paraId="44DCF541" w14:textId="77777777" w:rsidR="001D74DA" w:rsidRDefault="001D74DA"/>
    <w:p w14:paraId="6BB9AB1B" w14:textId="77777777" w:rsidR="001D74DA" w:rsidRDefault="001D74DA"/>
  </w:endnote>
  <w:endnote w:type="continuationSeparator" w:id="0">
    <w:p w14:paraId="3523E2CE" w14:textId="77777777" w:rsidR="001D74DA" w:rsidRDefault="001D74DA" w:rsidP="00225769">
      <w:pPr>
        <w:spacing w:after="0" w:line="240" w:lineRule="auto"/>
      </w:pPr>
      <w:r>
        <w:continuationSeparator/>
      </w:r>
    </w:p>
    <w:p w14:paraId="3CC0B83A" w14:textId="77777777" w:rsidR="001D74DA" w:rsidRDefault="001D74DA"/>
    <w:p w14:paraId="4868562C" w14:textId="77777777" w:rsidR="001D74DA" w:rsidRDefault="001D74DA"/>
    <w:p w14:paraId="65BEAC4D" w14:textId="77777777" w:rsidR="001D74DA" w:rsidRDefault="001D74DA"/>
    <w:p w14:paraId="5EE4E967" w14:textId="77777777" w:rsidR="001D74DA" w:rsidRDefault="001D74DA"/>
    <w:p w14:paraId="0EDAEFAF" w14:textId="77777777" w:rsidR="001D74DA" w:rsidRDefault="001D74DA"/>
    <w:p w14:paraId="0029C932" w14:textId="77777777" w:rsidR="001D74DA" w:rsidRDefault="001D74DA"/>
  </w:endnote>
  <w:endnote w:type="continuationNotice" w:id="1">
    <w:p w14:paraId="61A766BE" w14:textId="77777777" w:rsidR="001D74DA" w:rsidRDefault="001D74D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CB6172" w:rsidRPr="00CB6172" w14:paraId="21C69740" w14:textId="77777777" w:rsidTr="00CB6172">
      <w:trPr>
        <w:jc w:val="center"/>
      </w:trPr>
      <w:tc>
        <w:tcPr>
          <w:tcW w:w="1515" w:type="dxa"/>
          <w:tcBorders>
            <w:top w:val="nil"/>
            <w:left w:val="nil"/>
            <w:bottom w:val="single" w:sz="4" w:space="0" w:color="auto"/>
            <w:right w:val="nil"/>
          </w:tcBorders>
          <w:hideMark/>
        </w:tcPr>
        <w:p w14:paraId="24C26108" w14:textId="77777777" w:rsidR="00CB6172" w:rsidRPr="00CB6172" w:rsidRDefault="00CB6172" w:rsidP="00CB6172">
          <w:pPr>
            <w:pStyle w:val="Footer"/>
            <w:rPr>
              <w:b/>
              <w:bCs/>
              <w:iCs/>
            </w:rPr>
          </w:pPr>
          <w:r w:rsidRPr="00CB6172">
            <w:rPr>
              <w:b/>
              <w:bCs/>
              <w:iCs/>
            </w:rPr>
            <w:t>Doc Number</w:t>
          </w:r>
        </w:p>
      </w:tc>
      <w:tc>
        <w:tcPr>
          <w:tcW w:w="965" w:type="dxa"/>
          <w:tcBorders>
            <w:top w:val="nil"/>
            <w:left w:val="nil"/>
            <w:bottom w:val="single" w:sz="4" w:space="0" w:color="auto"/>
            <w:right w:val="nil"/>
          </w:tcBorders>
          <w:hideMark/>
        </w:tcPr>
        <w:p w14:paraId="50112960" w14:textId="77777777" w:rsidR="00CB6172" w:rsidRPr="00CB6172" w:rsidRDefault="00CB6172" w:rsidP="00CB6172">
          <w:pPr>
            <w:pStyle w:val="Footer"/>
            <w:rPr>
              <w:b/>
              <w:bCs/>
              <w:iCs/>
            </w:rPr>
          </w:pPr>
          <w:r w:rsidRPr="00CB6172">
            <w:rPr>
              <w:b/>
              <w:bCs/>
              <w:iCs/>
            </w:rPr>
            <w:t>Version</w:t>
          </w:r>
        </w:p>
      </w:tc>
      <w:tc>
        <w:tcPr>
          <w:tcW w:w="1552" w:type="dxa"/>
          <w:tcBorders>
            <w:top w:val="nil"/>
            <w:left w:val="nil"/>
            <w:bottom w:val="single" w:sz="4" w:space="0" w:color="auto"/>
            <w:right w:val="nil"/>
          </w:tcBorders>
          <w:hideMark/>
        </w:tcPr>
        <w:p w14:paraId="3D6D2DEE" w14:textId="77777777" w:rsidR="00CB6172" w:rsidRPr="00CB6172" w:rsidRDefault="00CB6172" w:rsidP="00CB6172">
          <w:pPr>
            <w:pStyle w:val="Footer"/>
            <w:rPr>
              <w:b/>
              <w:bCs/>
              <w:iCs/>
            </w:rPr>
          </w:pPr>
          <w:r w:rsidRPr="00CB6172">
            <w:rPr>
              <w:b/>
              <w:bCs/>
              <w:iCs/>
            </w:rPr>
            <w:t>Issued</w:t>
          </w:r>
        </w:p>
      </w:tc>
      <w:tc>
        <w:tcPr>
          <w:tcW w:w="1456" w:type="dxa"/>
          <w:tcBorders>
            <w:top w:val="nil"/>
            <w:left w:val="nil"/>
            <w:bottom w:val="single" w:sz="4" w:space="0" w:color="auto"/>
            <w:right w:val="nil"/>
          </w:tcBorders>
          <w:hideMark/>
        </w:tcPr>
        <w:p w14:paraId="2087C613" w14:textId="77777777" w:rsidR="00CB6172" w:rsidRPr="00CB6172" w:rsidRDefault="00CB6172" w:rsidP="00CB6172">
          <w:pPr>
            <w:pStyle w:val="Footer"/>
            <w:rPr>
              <w:b/>
              <w:bCs/>
              <w:iCs/>
            </w:rPr>
          </w:pPr>
          <w:r w:rsidRPr="00CB6172">
            <w:rPr>
              <w:b/>
              <w:bCs/>
              <w:iCs/>
            </w:rPr>
            <w:t>Review Date</w:t>
          </w:r>
        </w:p>
      </w:tc>
      <w:tc>
        <w:tcPr>
          <w:tcW w:w="1746" w:type="dxa"/>
          <w:tcBorders>
            <w:top w:val="nil"/>
            <w:left w:val="nil"/>
            <w:bottom w:val="single" w:sz="4" w:space="0" w:color="auto"/>
            <w:right w:val="nil"/>
          </w:tcBorders>
          <w:hideMark/>
        </w:tcPr>
        <w:p w14:paraId="13C68CBD" w14:textId="77777777" w:rsidR="00CB6172" w:rsidRPr="00CB6172" w:rsidRDefault="00CB6172" w:rsidP="00CB6172">
          <w:pPr>
            <w:pStyle w:val="Footer"/>
            <w:rPr>
              <w:b/>
              <w:bCs/>
              <w:iCs/>
            </w:rPr>
          </w:pPr>
          <w:r w:rsidRPr="00CB6172">
            <w:rPr>
              <w:b/>
              <w:bCs/>
              <w:iCs/>
            </w:rPr>
            <w:t xml:space="preserve">Area </w:t>
          </w:r>
        </w:p>
      </w:tc>
      <w:tc>
        <w:tcPr>
          <w:tcW w:w="1836" w:type="dxa"/>
          <w:tcBorders>
            <w:top w:val="nil"/>
            <w:left w:val="nil"/>
            <w:bottom w:val="single" w:sz="4" w:space="0" w:color="auto"/>
            <w:right w:val="nil"/>
          </w:tcBorders>
          <w:hideMark/>
        </w:tcPr>
        <w:p w14:paraId="4311ED3A" w14:textId="77777777" w:rsidR="00CB6172" w:rsidRPr="00CB6172" w:rsidRDefault="00CB6172" w:rsidP="00CB6172">
          <w:pPr>
            <w:pStyle w:val="Footer"/>
            <w:rPr>
              <w:b/>
              <w:bCs/>
              <w:iCs/>
            </w:rPr>
          </w:pPr>
          <w:r w:rsidRPr="00CB6172">
            <w:rPr>
              <w:b/>
              <w:bCs/>
              <w:iCs/>
            </w:rPr>
            <w:t>Page</w:t>
          </w:r>
        </w:p>
      </w:tc>
    </w:tr>
    <w:tr w:rsidR="00CB6172" w:rsidRPr="00CB6172" w14:paraId="23F75E84" w14:textId="77777777" w:rsidTr="00CB6172">
      <w:trPr>
        <w:jc w:val="center"/>
      </w:trPr>
      <w:tc>
        <w:tcPr>
          <w:tcW w:w="1515" w:type="dxa"/>
          <w:tcBorders>
            <w:top w:val="single" w:sz="4" w:space="0" w:color="auto"/>
            <w:left w:val="nil"/>
            <w:bottom w:val="nil"/>
            <w:right w:val="nil"/>
          </w:tcBorders>
          <w:hideMark/>
        </w:tcPr>
        <w:p w14:paraId="5AA5292C" w14:textId="57631087" w:rsidR="00CB6172" w:rsidRPr="00CB6172" w:rsidRDefault="00CB6172" w:rsidP="00CB6172">
          <w:pPr>
            <w:pStyle w:val="Footer"/>
            <w:rPr>
              <w:bCs/>
              <w:iCs/>
            </w:rPr>
          </w:pPr>
          <w:r>
            <w:rPr>
              <w:bCs/>
              <w:iCs/>
            </w:rPr>
            <w:t>CHS25/186</w:t>
          </w:r>
        </w:p>
      </w:tc>
      <w:tc>
        <w:tcPr>
          <w:tcW w:w="965" w:type="dxa"/>
          <w:tcBorders>
            <w:top w:val="single" w:sz="4" w:space="0" w:color="auto"/>
            <w:left w:val="nil"/>
            <w:bottom w:val="nil"/>
            <w:right w:val="nil"/>
          </w:tcBorders>
          <w:hideMark/>
        </w:tcPr>
        <w:p w14:paraId="0D295C4C" w14:textId="12ADB6A4" w:rsidR="00CB6172" w:rsidRPr="00CB6172" w:rsidRDefault="00CB6172" w:rsidP="00CB6172">
          <w:pPr>
            <w:pStyle w:val="Footer"/>
            <w:rPr>
              <w:bCs/>
              <w:iCs/>
            </w:rPr>
          </w:pPr>
          <w:r>
            <w:rPr>
              <w:bCs/>
              <w:iCs/>
            </w:rPr>
            <w:t>1</w:t>
          </w:r>
        </w:p>
      </w:tc>
      <w:tc>
        <w:tcPr>
          <w:tcW w:w="1552" w:type="dxa"/>
          <w:tcBorders>
            <w:top w:val="single" w:sz="4" w:space="0" w:color="auto"/>
            <w:left w:val="nil"/>
            <w:bottom w:val="nil"/>
            <w:right w:val="nil"/>
          </w:tcBorders>
          <w:hideMark/>
        </w:tcPr>
        <w:p w14:paraId="06C684E3" w14:textId="56591A09" w:rsidR="00CB6172" w:rsidRPr="00CB6172" w:rsidRDefault="00CB6172" w:rsidP="00CB6172">
          <w:pPr>
            <w:pStyle w:val="Footer"/>
            <w:rPr>
              <w:bCs/>
              <w:iCs/>
            </w:rPr>
          </w:pPr>
          <w:r>
            <w:rPr>
              <w:bCs/>
              <w:iCs/>
            </w:rPr>
            <w:t>16/05/2025</w:t>
          </w:r>
        </w:p>
      </w:tc>
      <w:tc>
        <w:tcPr>
          <w:tcW w:w="1456" w:type="dxa"/>
          <w:tcBorders>
            <w:top w:val="single" w:sz="4" w:space="0" w:color="auto"/>
            <w:left w:val="nil"/>
            <w:bottom w:val="nil"/>
            <w:right w:val="nil"/>
          </w:tcBorders>
          <w:hideMark/>
        </w:tcPr>
        <w:p w14:paraId="08E4B190" w14:textId="3915A67D" w:rsidR="00CB6172" w:rsidRPr="00CB6172" w:rsidRDefault="00CB6172" w:rsidP="00CB6172">
          <w:pPr>
            <w:pStyle w:val="Footer"/>
            <w:rPr>
              <w:bCs/>
              <w:iCs/>
            </w:rPr>
          </w:pPr>
          <w:r>
            <w:rPr>
              <w:bCs/>
              <w:iCs/>
            </w:rPr>
            <w:t>01/05/2028</w:t>
          </w:r>
        </w:p>
      </w:tc>
      <w:tc>
        <w:tcPr>
          <w:tcW w:w="1746" w:type="dxa"/>
          <w:tcBorders>
            <w:top w:val="single" w:sz="4" w:space="0" w:color="auto"/>
            <w:left w:val="nil"/>
            <w:bottom w:val="nil"/>
            <w:right w:val="nil"/>
          </w:tcBorders>
          <w:hideMark/>
        </w:tcPr>
        <w:p w14:paraId="487CA486" w14:textId="61822C1D" w:rsidR="00CB6172" w:rsidRPr="00CB6172" w:rsidRDefault="00CB6172" w:rsidP="00CB6172">
          <w:pPr>
            <w:pStyle w:val="Footer"/>
            <w:rPr>
              <w:bCs/>
              <w:iCs/>
            </w:rPr>
          </w:pPr>
          <w:r>
            <w:rPr>
              <w:bCs/>
              <w:iCs/>
            </w:rPr>
            <w:t>MHJHADS</w:t>
          </w:r>
        </w:p>
      </w:tc>
      <w:tc>
        <w:tcPr>
          <w:tcW w:w="1836" w:type="dxa"/>
          <w:tcBorders>
            <w:top w:val="single" w:sz="4" w:space="0" w:color="auto"/>
            <w:left w:val="nil"/>
            <w:bottom w:val="nil"/>
            <w:right w:val="nil"/>
          </w:tcBorders>
          <w:hideMark/>
        </w:tcPr>
        <w:p w14:paraId="70C07FE5" w14:textId="77777777" w:rsidR="00CB6172" w:rsidRPr="00CB6172" w:rsidRDefault="00CB6172" w:rsidP="00CB6172">
          <w:pPr>
            <w:pStyle w:val="Footer"/>
            <w:rPr>
              <w:bCs/>
              <w:iCs/>
            </w:rPr>
          </w:pPr>
          <w:r w:rsidRPr="00CB6172">
            <w:rPr>
              <w:bCs/>
              <w:iCs/>
            </w:rPr>
            <w:fldChar w:fldCharType="begin"/>
          </w:r>
          <w:r w:rsidRPr="00CB6172">
            <w:rPr>
              <w:bCs/>
              <w:iCs/>
            </w:rPr>
            <w:instrText xml:space="preserve"> PAGE </w:instrText>
          </w:r>
          <w:r w:rsidRPr="00CB6172">
            <w:rPr>
              <w:bCs/>
              <w:iCs/>
            </w:rPr>
            <w:fldChar w:fldCharType="separate"/>
          </w:r>
          <w:r w:rsidRPr="00CB6172">
            <w:rPr>
              <w:bCs/>
              <w:iCs/>
            </w:rPr>
            <w:t>2</w:t>
          </w:r>
          <w:r w:rsidRPr="00CB6172">
            <w:fldChar w:fldCharType="end"/>
          </w:r>
          <w:r w:rsidRPr="00CB6172">
            <w:rPr>
              <w:bCs/>
              <w:iCs/>
            </w:rPr>
            <w:t xml:space="preserve"> of </w:t>
          </w:r>
          <w:r w:rsidRPr="00CB6172">
            <w:rPr>
              <w:bCs/>
              <w:iCs/>
            </w:rPr>
            <w:fldChar w:fldCharType="begin"/>
          </w:r>
          <w:r w:rsidRPr="00CB6172">
            <w:rPr>
              <w:bCs/>
              <w:iCs/>
            </w:rPr>
            <w:instrText xml:space="preserve"> NUMPAGES </w:instrText>
          </w:r>
          <w:r w:rsidRPr="00CB6172">
            <w:rPr>
              <w:bCs/>
              <w:iCs/>
            </w:rPr>
            <w:fldChar w:fldCharType="separate"/>
          </w:r>
          <w:r w:rsidRPr="00CB6172">
            <w:rPr>
              <w:bCs/>
              <w:iCs/>
            </w:rPr>
            <w:t>3</w:t>
          </w:r>
          <w:r w:rsidRPr="00CB6172">
            <w:fldChar w:fldCharType="end"/>
          </w:r>
        </w:p>
      </w:tc>
    </w:tr>
  </w:tbl>
  <w:p w14:paraId="37B12CF9" w14:textId="07517D5E" w:rsidR="00CB6172" w:rsidRDefault="00CB6172">
    <w:pPr>
      <w:pStyle w:val="Footer"/>
    </w:pPr>
    <w:r>
      <w:rPr>
        <w:iCs/>
        <w:sz w:val="16"/>
        <w:szCs w:val="16"/>
      </w:rPr>
      <w:t>Do not refer to a paper-based copy of this policy document. The most current version can be found on the CHS Policy Register.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CB6172" w:rsidRPr="00CB6172" w14:paraId="429F49A8" w14:textId="77777777" w:rsidTr="00CB6172">
      <w:trPr>
        <w:jc w:val="center"/>
      </w:trPr>
      <w:tc>
        <w:tcPr>
          <w:tcW w:w="1515" w:type="dxa"/>
          <w:tcBorders>
            <w:top w:val="nil"/>
            <w:left w:val="nil"/>
            <w:bottom w:val="single" w:sz="4" w:space="0" w:color="auto"/>
            <w:right w:val="nil"/>
          </w:tcBorders>
          <w:hideMark/>
        </w:tcPr>
        <w:p w14:paraId="334A75FF" w14:textId="77777777" w:rsidR="00CB6172" w:rsidRPr="00CB6172" w:rsidRDefault="00CB6172" w:rsidP="00CB6172">
          <w:pPr>
            <w:pStyle w:val="Footer"/>
            <w:rPr>
              <w:b/>
              <w:bCs/>
              <w:iCs/>
            </w:rPr>
          </w:pPr>
          <w:r w:rsidRPr="00CB6172">
            <w:rPr>
              <w:b/>
              <w:bCs/>
              <w:iCs/>
            </w:rPr>
            <w:t>Doc Number</w:t>
          </w:r>
        </w:p>
      </w:tc>
      <w:tc>
        <w:tcPr>
          <w:tcW w:w="965" w:type="dxa"/>
          <w:tcBorders>
            <w:top w:val="nil"/>
            <w:left w:val="nil"/>
            <w:bottom w:val="single" w:sz="4" w:space="0" w:color="auto"/>
            <w:right w:val="nil"/>
          </w:tcBorders>
          <w:hideMark/>
        </w:tcPr>
        <w:p w14:paraId="4A9D8CE8" w14:textId="77777777" w:rsidR="00CB6172" w:rsidRPr="00CB6172" w:rsidRDefault="00CB6172" w:rsidP="00CB6172">
          <w:pPr>
            <w:pStyle w:val="Footer"/>
            <w:rPr>
              <w:b/>
              <w:bCs/>
              <w:iCs/>
            </w:rPr>
          </w:pPr>
          <w:r w:rsidRPr="00CB6172">
            <w:rPr>
              <w:b/>
              <w:bCs/>
              <w:iCs/>
            </w:rPr>
            <w:t>Version</w:t>
          </w:r>
        </w:p>
      </w:tc>
      <w:tc>
        <w:tcPr>
          <w:tcW w:w="1552" w:type="dxa"/>
          <w:tcBorders>
            <w:top w:val="nil"/>
            <w:left w:val="nil"/>
            <w:bottom w:val="single" w:sz="4" w:space="0" w:color="auto"/>
            <w:right w:val="nil"/>
          </w:tcBorders>
          <w:hideMark/>
        </w:tcPr>
        <w:p w14:paraId="19336EE2" w14:textId="77777777" w:rsidR="00CB6172" w:rsidRPr="00CB6172" w:rsidRDefault="00CB6172" w:rsidP="00CB6172">
          <w:pPr>
            <w:pStyle w:val="Footer"/>
            <w:rPr>
              <w:b/>
              <w:bCs/>
              <w:iCs/>
            </w:rPr>
          </w:pPr>
          <w:r w:rsidRPr="00CB6172">
            <w:rPr>
              <w:b/>
              <w:bCs/>
              <w:iCs/>
            </w:rPr>
            <w:t>Issued</w:t>
          </w:r>
        </w:p>
      </w:tc>
      <w:tc>
        <w:tcPr>
          <w:tcW w:w="1456" w:type="dxa"/>
          <w:tcBorders>
            <w:top w:val="nil"/>
            <w:left w:val="nil"/>
            <w:bottom w:val="single" w:sz="4" w:space="0" w:color="auto"/>
            <w:right w:val="nil"/>
          </w:tcBorders>
          <w:hideMark/>
        </w:tcPr>
        <w:p w14:paraId="65319C55" w14:textId="77777777" w:rsidR="00CB6172" w:rsidRPr="00CB6172" w:rsidRDefault="00CB6172" w:rsidP="00CB6172">
          <w:pPr>
            <w:pStyle w:val="Footer"/>
            <w:rPr>
              <w:b/>
              <w:bCs/>
              <w:iCs/>
            </w:rPr>
          </w:pPr>
          <w:r w:rsidRPr="00CB6172">
            <w:rPr>
              <w:b/>
              <w:bCs/>
              <w:iCs/>
            </w:rPr>
            <w:t>Review Date</w:t>
          </w:r>
        </w:p>
      </w:tc>
      <w:tc>
        <w:tcPr>
          <w:tcW w:w="1746" w:type="dxa"/>
          <w:tcBorders>
            <w:top w:val="nil"/>
            <w:left w:val="nil"/>
            <w:bottom w:val="single" w:sz="4" w:space="0" w:color="auto"/>
            <w:right w:val="nil"/>
          </w:tcBorders>
          <w:hideMark/>
        </w:tcPr>
        <w:p w14:paraId="3B47469D" w14:textId="77777777" w:rsidR="00CB6172" w:rsidRPr="00CB6172" w:rsidRDefault="00CB6172" w:rsidP="00CB6172">
          <w:pPr>
            <w:pStyle w:val="Footer"/>
            <w:rPr>
              <w:b/>
              <w:bCs/>
              <w:iCs/>
            </w:rPr>
          </w:pPr>
          <w:r w:rsidRPr="00CB6172">
            <w:rPr>
              <w:b/>
              <w:bCs/>
              <w:iCs/>
            </w:rPr>
            <w:t xml:space="preserve">Area </w:t>
          </w:r>
        </w:p>
      </w:tc>
      <w:tc>
        <w:tcPr>
          <w:tcW w:w="1836" w:type="dxa"/>
          <w:tcBorders>
            <w:top w:val="nil"/>
            <w:left w:val="nil"/>
            <w:bottom w:val="single" w:sz="4" w:space="0" w:color="auto"/>
            <w:right w:val="nil"/>
          </w:tcBorders>
          <w:hideMark/>
        </w:tcPr>
        <w:p w14:paraId="386CD7CB" w14:textId="77777777" w:rsidR="00CB6172" w:rsidRPr="00CB6172" w:rsidRDefault="00CB6172" w:rsidP="00CB6172">
          <w:pPr>
            <w:pStyle w:val="Footer"/>
            <w:rPr>
              <w:b/>
              <w:bCs/>
              <w:iCs/>
            </w:rPr>
          </w:pPr>
          <w:r w:rsidRPr="00CB6172">
            <w:rPr>
              <w:b/>
              <w:bCs/>
              <w:iCs/>
            </w:rPr>
            <w:t>Page</w:t>
          </w:r>
        </w:p>
      </w:tc>
    </w:tr>
    <w:tr w:rsidR="00CB6172" w:rsidRPr="00CB6172" w14:paraId="2201D8D1" w14:textId="77777777" w:rsidTr="00CB6172">
      <w:trPr>
        <w:jc w:val="center"/>
      </w:trPr>
      <w:tc>
        <w:tcPr>
          <w:tcW w:w="1515" w:type="dxa"/>
          <w:tcBorders>
            <w:top w:val="single" w:sz="4" w:space="0" w:color="auto"/>
            <w:left w:val="nil"/>
            <w:bottom w:val="nil"/>
            <w:right w:val="nil"/>
          </w:tcBorders>
          <w:hideMark/>
        </w:tcPr>
        <w:p w14:paraId="73D993BC" w14:textId="4A7116D4" w:rsidR="00CB6172" w:rsidRPr="00CB6172" w:rsidRDefault="00CB6172" w:rsidP="00CB6172">
          <w:pPr>
            <w:pStyle w:val="Footer"/>
            <w:rPr>
              <w:bCs/>
              <w:iCs/>
            </w:rPr>
          </w:pPr>
          <w:r>
            <w:rPr>
              <w:bCs/>
              <w:iCs/>
            </w:rPr>
            <w:t>CHS25/186</w:t>
          </w:r>
        </w:p>
      </w:tc>
      <w:tc>
        <w:tcPr>
          <w:tcW w:w="965" w:type="dxa"/>
          <w:tcBorders>
            <w:top w:val="single" w:sz="4" w:space="0" w:color="auto"/>
            <w:left w:val="nil"/>
            <w:bottom w:val="nil"/>
            <w:right w:val="nil"/>
          </w:tcBorders>
          <w:hideMark/>
        </w:tcPr>
        <w:p w14:paraId="7D058E1A" w14:textId="7360D4EB" w:rsidR="00CB6172" w:rsidRPr="00CB6172" w:rsidRDefault="00CB6172" w:rsidP="00CB6172">
          <w:pPr>
            <w:pStyle w:val="Footer"/>
            <w:rPr>
              <w:bCs/>
              <w:iCs/>
            </w:rPr>
          </w:pPr>
          <w:r>
            <w:rPr>
              <w:bCs/>
              <w:iCs/>
            </w:rPr>
            <w:t>1</w:t>
          </w:r>
        </w:p>
      </w:tc>
      <w:tc>
        <w:tcPr>
          <w:tcW w:w="1552" w:type="dxa"/>
          <w:tcBorders>
            <w:top w:val="single" w:sz="4" w:space="0" w:color="auto"/>
            <w:left w:val="nil"/>
            <w:bottom w:val="nil"/>
            <w:right w:val="nil"/>
          </w:tcBorders>
          <w:hideMark/>
        </w:tcPr>
        <w:p w14:paraId="5929708F" w14:textId="317F9F21" w:rsidR="00CB6172" w:rsidRPr="00CB6172" w:rsidRDefault="00CB6172" w:rsidP="00CB6172">
          <w:pPr>
            <w:pStyle w:val="Footer"/>
            <w:rPr>
              <w:bCs/>
              <w:iCs/>
            </w:rPr>
          </w:pPr>
          <w:r>
            <w:rPr>
              <w:bCs/>
              <w:iCs/>
            </w:rPr>
            <w:t>16/05/2025</w:t>
          </w:r>
        </w:p>
      </w:tc>
      <w:tc>
        <w:tcPr>
          <w:tcW w:w="1456" w:type="dxa"/>
          <w:tcBorders>
            <w:top w:val="single" w:sz="4" w:space="0" w:color="auto"/>
            <w:left w:val="nil"/>
            <w:bottom w:val="nil"/>
            <w:right w:val="nil"/>
          </w:tcBorders>
          <w:hideMark/>
        </w:tcPr>
        <w:p w14:paraId="25CFF432" w14:textId="5694A463" w:rsidR="00CB6172" w:rsidRPr="00CB6172" w:rsidRDefault="00CB6172" w:rsidP="00CB6172">
          <w:pPr>
            <w:pStyle w:val="Footer"/>
            <w:rPr>
              <w:bCs/>
              <w:iCs/>
            </w:rPr>
          </w:pPr>
          <w:r>
            <w:rPr>
              <w:bCs/>
              <w:iCs/>
            </w:rPr>
            <w:t>01/05/2028</w:t>
          </w:r>
        </w:p>
      </w:tc>
      <w:tc>
        <w:tcPr>
          <w:tcW w:w="1746" w:type="dxa"/>
          <w:tcBorders>
            <w:top w:val="single" w:sz="4" w:space="0" w:color="auto"/>
            <w:left w:val="nil"/>
            <w:bottom w:val="nil"/>
            <w:right w:val="nil"/>
          </w:tcBorders>
          <w:hideMark/>
        </w:tcPr>
        <w:p w14:paraId="35D7D843" w14:textId="0F939BDD" w:rsidR="00CB6172" w:rsidRPr="00CB6172" w:rsidRDefault="00CB6172" w:rsidP="00CB6172">
          <w:pPr>
            <w:pStyle w:val="Footer"/>
            <w:rPr>
              <w:bCs/>
              <w:iCs/>
            </w:rPr>
          </w:pPr>
          <w:r>
            <w:rPr>
              <w:bCs/>
              <w:iCs/>
            </w:rPr>
            <w:t>MHJHADS</w:t>
          </w:r>
        </w:p>
      </w:tc>
      <w:tc>
        <w:tcPr>
          <w:tcW w:w="1836" w:type="dxa"/>
          <w:tcBorders>
            <w:top w:val="single" w:sz="4" w:space="0" w:color="auto"/>
            <w:left w:val="nil"/>
            <w:bottom w:val="nil"/>
            <w:right w:val="nil"/>
          </w:tcBorders>
          <w:hideMark/>
        </w:tcPr>
        <w:p w14:paraId="349061B9" w14:textId="77777777" w:rsidR="00CB6172" w:rsidRPr="00CB6172" w:rsidRDefault="00CB6172" w:rsidP="00CB6172">
          <w:pPr>
            <w:pStyle w:val="Footer"/>
            <w:rPr>
              <w:bCs/>
              <w:iCs/>
            </w:rPr>
          </w:pPr>
          <w:r w:rsidRPr="00CB6172">
            <w:rPr>
              <w:bCs/>
              <w:iCs/>
            </w:rPr>
            <w:fldChar w:fldCharType="begin"/>
          </w:r>
          <w:r w:rsidRPr="00CB6172">
            <w:rPr>
              <w:bCs/>
              <w:iCs/>
            </w:rPr>
            <w:instrText xml:space="preserve"> PAGE </w:instrText>
          </w:r>
          <w:r w:rsidRPr="00CB6172">
            <w:rPr>
              <w:bCs/>
              <w:iCs/>
            </w:rPr>
            <w:fldChar w:fldCharType="separate"/>
          </w:r>
          <w:r w:rsidRPr="00CB6172">
            <w:rPr>
              <w:bCs/>
              <w:iCs/>
            </w:rPr>
            <w:t>2</w:t>
          </w:r>
          <w:r w:rsidRPr="00CB6172">
            <w:fldChar w:fldCharType="end"/>
          </w:r>
          <w:r w:rsidRPr="00CB6172">
            <w:rPr>
              <w:bCs/>
              <w:iCs/>
            </w:rPr>
            <w:t xml:space="preserve"> of </w:t>
          </w:r>
          <w:r w:rsidRPr="00CB6172">
            <w:rPr>
              <w:bCs/>
              <w:iCs/>
            </w:rPr>
            <w:fldChar w:fldCharType="begin"/>
          </w:r>
          <w:r w:rsidRPr="00CB6172">
            <w:rPr>
              <w:bCs/>
              <w:iCs/>
            </w:rPr>
            <w:instrText xml:space="preserve"> NUMPAGES </w:instrText>
          </w:r>
          <w:r w:rsidRPr="00CB6172">
            <w:rPr>
              <w:bCs/>
              <w:iCs/>
            </w:rPr>
            <w:fldChar w:fldCharType="separate"/>
          </w:r>
          <w:r w:rsidRPr="00CB6172">
            <w:rPr>
              <w:bCs/>
              <w:iCs/>
            </w:rPr>
            <w:t>3</w:t>
          </w:r>
          <w:r w:rsidRPr="00CB6172">
            <w:fldChar w:fldCharType="end"/>
          </w:r>
        </w:p>
      </w:tc>
    </w:tr>
  </w:tbl>
  <w:p w14:paraId="4D4223EB" w14:textId="213BF246" w:rsidR="00CB6172" w:rsidRPr="00CB6172" w:rsidRDefault="00CB6172" w:rsidP="00CB6172">
    <w:pPr>
      <w:pStyle w:val="Footer"/>
      <w:rPr>
        <w:sz w:val="16"/>
        <w:szCs w:val="16"/>
      </w:rPr>
    </w:pPr>
    <w:r w:rsidRPr="00CB6172">
      <w:rPr>
        <w:iCs/>
        <w:sz w:val="16"/>
        <w:szCs w:val="16"/>
      </w:rPr>
      <w:t>Do not refer to a paper-based copy of this policy document. The most current version can be found on the CHS Policy Register.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11D8446C" w14:textId="77777777" w:rsidTr="003B0E72">
      <w:trPr>
        <w:jc w:val="center"/>
      </w:trPr>
      <w:tc>
        <w:tcPr>
          <w:tcW w:w="1515" w:type="dxa"/>
        </w:tcPr>
        <w:p w14:paraId="3EACF17F"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0BB9714D"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643C5A7B"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7A6813C5"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05CB6CC6"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68189350"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481A6C" w:rsidRPr="006B62B4" w14:paraId="009B4EAB" w14:textId="77777777" w:rsidTr="003B0E72">
      <w:trPr>
        <w:jc w:val="center"/>
      </w:trPr>
      <w:tc>
        <w:tcPr>
          <w:tcW w:w="1515" w:type="dxa"/>
        </w:tcPr>
        <w:p w14:paraId="30C5AD57" w14:textId="77777777" w:rsidR="00481A6C" w:rsidRPr="00954F7B" w:rsidRDefault="00481A6C" w:rsidP="00481A6C">
          <w:pPr>
            <w:pStyle w:val="Footer"/>
            <w:jc w:val="center"/>
            <w:rPr>
              <w:bCs/>
              <w:iCs/>
              <w:sz w:val="20"/>
              <w:szCs w:val="20"/>
            </w:rPr>
          </w:pPr>
          <w:r w:rsidRPr="00954F7B">
            <w:rPr>
              <w:bCs/>
              <w:iCs/>
              <w:sz w:val="20"/>
              <w:szCs w:val="20"/>
            </w:rPr>
            <w:t>&lt;xxxx/xxx&gt;</w:t>
          </w:r>
        </w:p>
      </w:tc>
      <w:tc>
        <w:tcPr>
          <w:tcW w:w="965" w:type="dxa"/>
        </w:tcPr>
        <w:p w14:paraId="2A97AEBC" w14:textId="77777777" w:rsidR="00481A6C" w:rsidRPr="00954F7B" w:rsidRDefault="00481A6C" w:rsidP="00481A6C">
          <w:pPr>
            <w:pStyle w:val="Footer"/>
            <w:jc w:val="center"/>
            <w:rPr>
              <w:bCs/>
              <w:iCs/>
              <w:sz w:val="20"/>
              <w:szCs w:val="20"/>
            </w:rPr>
          </w:pPr>
          <w:r w:rsidRPr="00954F7B">
            <w:rPr>
              <w:bCs/>
              <w:iCs/>
              <w:sz w:val="20"/>
              <w:szCs w:val="20"/>
            </w:rPr>
            <w:t>x</w:t>
          </w:r>
        </w:p>
      </w:tc>
      <w:tc>
        <w:tcPr>
          <w:tcW w:w="1552" w:type="dxa"/>
        </w:tcPr>
        <w:p w14:paraId="18172AC1" w14:textId="77777777" w:rsidR="00481A6C" w:rsidRPr="00954F7B" w:rsidRDefault="00481A6C" w:rsidP="00481A6C">
          <w:pPr>
            <w:pStyle w:val="Footer"/>
            <w:jc w:val="center"/>
            <w:rPr>
              <w:bCs/>
              <w:iCs/>
              <w:sz w:val="20"/>
              <w:szCs w:val="20"/>
            </w:rPr>
          </w:pPr>
          <w:r w:rsidRPr="00954F7B">
            <w:rPr>
              <w:bCs/>
              <w:iCs/>
              <w:sz w:val="20"/>
              <w:szCs w:val="20"/>
            </w:rPr>
            <w:t>&lt;xx/xx/xxxx&gt;</w:t>
          </w:r>
        </w:p>
      </w:tc>
      <w:tc>
        <w:tcPr>
          <w:tcW w:w="1456" w:type="dxa"/>
        </w:tcPr>
        <w:p w14:paraId="4BCFFA64" w14:textId="77777777" w:rsidR="00481A6C" w:rsidRPr="00954F7B" w:rsidRDefault="00481A6C" w:rsidP="00481A6C">
          <w:pPr>
            <w:pStyle w:val="Footer"/>
            <w:jc w:val="center"/>
            <w:rPr>
              <w:bCs/>
              <w:iCs/>
              <w:sz w:val="20"/>
              <w:szCs w:val="20"/>
            </w:rPr>
          </w:pPr>
          <w:r w:rsidRPr="00954F7B">
            <w:rPr>
              <w:bCs/>
              <w:iCs/>
              <w:sz w:val="20"/>
              <w:szCs w:val="20"/>
            </w:rPr>
            <w:t>&lt;xx/xx/xxxx&gt;</w:t>
          </w:r>
        </w:p>
      </w:tc>
      <w:tc>
        <w:tcPr>
          <w:tcW w:w="1746" w:type="dxa"/>
        </w:tcPr>
        <w:p w14:paraId="04C5A4B9" w14:textId="77777777" w:rsidR="00481A6C" w:rsidRPr="00954F7B" w:rsidRDefault="00481A6C" w:rsidP="00481A6C">
          <w:pPr>
            <w:pStyle w:val="Footer"/>
            <w:jc w:val="center"/>
            <w:rPr>
              <w:bCs/>
              <w:iCs/>
              <w:sz w:val="20"/>
              <w:szCs w:val="20"/>
            </w:rPr>
          </w:pPr>
          <w:r w:rsidRPr="00954F7B">
            <w:rPr>
              <w:bCs/>
              <w:iCs/>
              <w:sz w:val="20"/>
              <w:szCs w:val="20"/>
            </w:rPr>
            <w:t>xxx</w:t>
          </w:r>
        </w:p>
      </w:tc>
      <w:tc>
        <w:tcPr>
          <w:tcW w:w="1836" w:type="dxa"/>
        </w:tcPr>
        <w:p w14:paraId="2D4D113E" w14:textId="77777777" w:rsidR="00481A6C" w:rsidRPr="00954F7B" w:rsidRDefault="00481A6C" w:rsidP="00481A6C">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6125B31C"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C8443" w14:textId="77777777" w:rsidR="001D74DA" w:rsidRDefault="001D74DA" w:rsidP="009D493B">
      <w:pPr>
        <w:spacing w:after="0" w:line="240" w:lineRule="auto"/>
      </w:pPr>
      <w:r>
        <w:separator/>
      </w:r>
    </w:p>
  </w:footnote>
  <w:footnote w:type="continuationSeparator" w:id="0">
    <w:p w14:paraId="55240906" w14:textId="77777777" w:rsidR="001D74DA" w:rsidRDefault="001D74DA" w:rsidP="00A9080B">
      <w:pPr>
        <w:spacing w:after="0" w:line="240" w:lineRule="auto"/>
      </w:pPr>
      <w:r>
        <w:continuationSeparator/>
      </w:r>
    </w:p>
    <w:p w14:paraId="627B0983" w14:textId="77777777" w:rsidR="001D74DA" w:rsidRDefault="001D74DA"/>
    <w:p w14:paraId="2528DABB" w14:textId="77777777" w:rsidR="001D74DA" w:rsidRDefault="001D74DA"/>
  </w:footnote>
  <w:footnote w:type="continuationNotice" w:id="1">
    <w:p w14:paraId="038208DE" w14:textId="77777777" w:rsidR="001D74DA" w:rsidRDefault="001D74D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44DC" w14:textId="3A0DE103" w:rsidR="002A64C5" w:rsidRDefault="002A64C5">
    <w:pPr>
      <w:pStyle w:val="Header"/>
    </w:pPr>
    <w:r>
      <w:rPr>
        <w:noProof/>
      </w:rPr>
      <w:drawing>
        <wp:inline distT="0" distB="0" distL="0" distR="0" wp14:anchorId="417E152B" wp14:editId="384D36A3">
          <wp:extent cx="3308400" cy="1008000"/>
          <wp:effectExtent l="0" t="0" r="0" b="190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6187" t="15189" r="-4464" b="-582"/>
                  <a:stretch/>
                </pic:blipFill>
                <pic:spPr bwMode="auto">
                  <a:xfrm>
                    <a:off x="0" y="0"/>
                    <a:ext cx="3308400"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3E95" w14:textId="77777777" w:rsidR="008A3DD8" w:rsidRDefault="008A3DD8">
    <w:pPr>
      <w:pStyle w:val="Header"/>
    </w:pPr>
    <w:r w:rsidRPr="00324CF9">
      <w:rPr>
        <w:noProof/>
      </w:rPr>
      <w:drawing>
        <wp:inline distT="0" distB="0" distL="0" distR="0" wp14:anchorId="6F820BB1" wp14:editId="6B077CA9">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49CF62E"/>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127B3521"/>
    <w:multiLevelType w:val="hybridMultilevel"/>
    <w:tmpl w:val="DCC62DD0"/>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2" w15:restartNumberingAfterBreak="0">
    <w:nsid w:val="15812401"/>
    <w:multiLevelType w:val="hybridMultilevel"/>
    <w:tmpl w:val="ED6015D6"/>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3"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4" w15:restartNumberingAfterBreak="0">
    <w:nsid w:val="1D0E4EDC"/>
    <w:multiLevelType w:val="hybridMultilevel"/>
    <w:tmpl w:val="01B4C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FC1872"/>
    <w:multiLevelType w:val="hybridMultilevel"/>
    <w:tmpl w:val="13F63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25515"/>
    <w:multiLevelType w:val="hybridMultilevel"/>
    <w:tmpl w:val="9D36A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69681D"/>
    <w:multiLevelType w:val="hybridMultilevel"/>
    <w:tmpl w:val="020E4A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2" w15:restartNumberingAfterBreak="0">
    <w:nsid w:val="5FAA361F"/>
    <w:multiLevelType w:val="hybridMultilevel"/>
    <w:tmpl w:val="DF101C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4" w15:restartNumberingAfterBreak="0">
    <w:nsid w:val="6C7C20C2"/>
    <w:multiLevelType w:val="hybridMultilevel"/>
    <w:tmpl w:val="B79214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B9D1C4E"/>
    <w:multiLevelType w:val="hybridMultilevel"/>
    <w:tmpl w:val="804A3302"/>
    <w:lvl w:ilvl="0" w:tplc="2DE87BEA">
      <w:start w:val="1"/>
      <w:numFmt w:val="decimal"/>
      <w:lvlText w:val="%1."/>
      <w:lvlJc w:val="left"/>
      <w:pPr>
        <w:ind w:left="360" w:hanging="360"/>
      </w:pPr>
      <w:rPr>
        <w:i w:val="0"/>
        <w:i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EE3288A"/>
    <w:multiLevelType w:val="hybridMultilevel"/>
    <w:tmpl w:val="C8667D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42209657">
    <w:abstractNumId w:val="3"/>
  </w:num>
  <w:num w:numId="2" w16cid:durableId="1971085616">
    <w:abstractNumId w:val="9"/>
  </w:num>
  <w:num w:numId="3" w16cid:durableId="252517802">
    <w:abstractNumId w:val="10"/>
  </w:num>
  <w:num w:numId="4" w16cid:durableId="258952063">
    <w:abstractNumId w:val="13"/>
  </w:num>
  <w:num w:numId="5" w16cid:durableId="681904122">
    <w:abstractNumId w:val="7"/>
  </w:num>
  <w:num w:numId="6" w16cid:durableId="836698820">
    <w:abstractNumId w:val="11"/>
  </w:num>
  <w:num w:numId="7" w16cid:durableId="1200825275">
    <w:abstractNumId w:val="0"/>
  </w:num>
  <w:num w:numId="8" w16cid:durableId="1072385223">
    <w:abstractNumId w:val="8"/>
  </w:num>
  <w:num w:numId="9" w16cid:durableId="1493060895">
    <w:abstractNumId w:val="15"/>
  </w:num>
  <w:num w:numId="10" w16cid:durableId="1069814583">
    <w:abstractNumId w:val="12"/>
  </w:num>
  <w:num w:numId="11" w16cid:durableId="1593539331">
    <w:abstractNumId w:val="16"/>
  </w:num>
  <w:num w:numId="12" w16cid:durableId="2142114427">
    <w:abstractNumId w:val="5"/>
  </w:num>
  <w:num w:numId="13" w16cid:durableId="561406215">
    <w:abstractNumId w:val="1"/>
  </w:num>
  <w:num w:numId="14" w16cid:durableId="369309399">
    <w:abstractNumId w:val="2"/>
  </w:num>
  <w:num w:numId="15" w16cid:durableId="101416104">
    <w:abstractNumId w:val="4"/>
  </w:num>
  <w:num w:numId="16" w16cid:durableId="244733027">
    <w:abstractNumId w:val="6"/>
  </w:num>
  <w:num w:numId="17" w16cid:durableId="3462384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1" style="mso-width-relative:margin;mso-height-relative:margin"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08"/>
    <w:rsid w:val="00000822"/>
    <w:rsid w:val="00003728"/>
    <w:rsid w:val="00003A56"/>
    <w:rsid w:val="00004B91"/>
    <w:rsid w:val="00006344"/>
    <w:rsid w:val="000068B9"/>
    <w:rsid w:val="000106D7"/>
    <w:rsid w:val="000115AB"/>
    <w:rsid w:val="00011A77"/>
    <w:rsid w:val="00012DA7"/>
    <w:rsid w:val="00014646"/>
    <w:rsid w:val="0001473F"/>
    <w:rsid w:val="00014D0A"/>
    <w:rsid w:val="00015018"/>
    <w:rsid w:val="00017C81"/>
    <w:rsid w:val="000218FE"/>
    <w:rsid w:val="000246D6"/>
    <w:rsid w:val="00025C12"/>
    <w:rsid w:val="00026693"/>
    <w:rsid w:val="000347FB"/>
    <w:rsid w:val="00035A11"/>
    <w:rsid w:val="00036249"/>
    <w:rsid w:val="000403C4"/>
    <w:rsid w:val="00041D05"/>
    <w:rsid w:val="00042268"/>
    <w:rsid w:val="00043534"/>
    <w:rsid w:val="00045370"/>
    <w:rsid w:val="00046D4C"/>
    <w:rsid w:val="00047707"/>
    <w:rsid w:val="00050393"/>
    <w:rsid w:val="00050A6B"/>
    <w:rsid w:val="000513FD"/>
    <w:rsid w:val="00051A05"/>
    <w:rsid w:val="00052D11"/>
    <w:rsid w:val="00053BD7"/>
    <w:rsid w:val="00053CC3"/>
    <w:rsid w:val="00053D2F"/>
    <w:rsid w:val="0005461D"/>
    <w:rsid w:val="00054BF2"/>
    <w:rsid w:val="0005626F"/>
    <w:rsid w:val="0005685E"/>
    <w:rsid w:val="000570A6"/>
    <w:rsid w:val="00061582"/>
    <w:rsid w:val="00064186"/>
    <w:rsid w:val="00066260"/>
    <w:rsid w:val="000707E9"/>
    <w:rsid w:val="00070945"/>
    <w:rsid w:val="000717BA"/>
    <w:rsid w:val="0007270D"/>
    <w:rsid w:val="00075506"/>
    <w:rsid w:val="00080F06"/>
    <w:rsid w:val="00080FC2"/>
    <w:rsid w:val="00081BBE"/>
    <w:rsid w:val="000825CF"/>
    <w:rsid w:val="00082C60"/>
    <w:rsid w:val="00082EB1"/>
    <w:rsid w:val="00083D66"/>
    <w:rsid w:val="000845DD"/>
    <w:rsid w:val="000848B6"/>
    <w:rsid w:val="000858DB"/>
    <w:rsid w:val="000905E4"/>
    <w:rsid w:val="0009157D"/>
    <w:rsid w:val="00096D01"/>
    <w:rsid w:val="00097067"/>
    <w:rsid w:val="00097F70"/>
    <w:rsid w:val="000A0C18"/>
    <w:rsid w:val="000A3AA0"/>
    <w:rsid w:val="000A3F9B"/>
    <w:rsid w:val="000A4C7E"/>
    <w:rsid w:val="000A6268"/>
    <w:rsid w:val="000A6874"/>
    <w:rsid w:val="000A736D"/>
    <w:rsid w:val="000B04DE"/>
    <w:rsid w:val="000B4346"/>
    <w:rsid w:val="000B4DF9"/>
    <w:rsid w:val="000B6A88"/>
    <w:rsid w:val="000C36A3"/>
    <w:rsid w:val="000C3973"/>
    <w:rsid w:val="000C48B1"/>
    <w:rsid w:val="000C57C6"/>
    <w:rsid w:val="000C76AA"/>
    <w:rsid w:val="000C7D48"/>
    <w:rsid w:val="000D0A42"/>
    <w:rsid w:val="000D713F"/>
    <w:rsid w:val="000D742A"/>
    <w:rsid w:val="000E058F"/>
    <w:rsid w:val="000E07C3"/>
    <w:rsid w:val="000E1D08"/>
    <w:rsid w:val="000E5739"/>
    <w:rsid w:val="000E7683"/>
    <w:rsid w:val="000E77F0"/>
    <w:rsid w:val="000F0AAB"/>
    <w:rsid w:val="000F1EB3"/>
    <w:rsid w:val="000F288B"/>
    <w:rsid w:val="000F300A"/>
    <w:rsid w:val="000F3A4B"/>
    <w:rsid w:val="000F5C20"/>
    <w:rsid w:val="000F79EA"/>
    <w:rsid w:val="00100651"/>
    <w:rsid w:val="0010164B"/>
    <w:rsid w:val="00106C0A"/>
    <w:rsid w:val="00107118"/>
    <w:rsid w:val="00110D97"/>
    <w:rsid w:val="00112772"/>
    <w:rsid w:val="00112DAD"/>
    <w:rsid w:val="00113A52"/>
    <w:rsid w:val="00115A57"/>
    <w:rsid w:val="00115BB4"/>
    <w:rsid w:val="001171E4"/>
    <w:rsid w:val="0012007C"/>
    <w:rsid w:val="00120E2E"/>
    <w:rsid w:val="00121181"/>
    <w:rsid w:val="00122329"/>
    <w:rsid w:val="001232C3"/>
    <w:rsid w:val="0012392A"/>
    <w:rsid w:val="00124971"/>
    <w:rsid w:val="00124B00"/>
    <w:rsid w:val="001263B6"/>
    <w:rsid w:val="00126471"/>
    <w:rsid w:val="00126ADF"/>
    <w:rsid w:val="00126BEE"/>
    <w:rsid w:val="001271F0"/>
    <w:rsid w:val="00127D91"/>
    <w:rsid w:val="001324A3"/>
    <w:rsid w:val="00135191"/>
    <w:rsid w:val="00135EF0"/>
    <w:rsid w:val="0013675B"/>
    <w:rsid w:val="00136C50"/>
    <w:rsid w:val="00137347"/>
    <w:rsid w:val="001420F9"/>
    <w:rsid w:val="00143C66"/>
    <w:rsid w:val="00144A90"/>
    <w:rsid w:val="00145B46"/>
    <w:rsid w:val="001464B8"/>
    <w:rsid w:val="00154103"/>
    <w:rsid w:val="00154D8C"/>
    <w:rsid w:val="001575C5"/>
    <w:rsid w:val="001600FA"/>
    <w:rsid w:val="001616DD"/>
    <w:rsid w:val="00161AE4"/>
    <w:rsid w:val="00161FDC"/>
    <w:rsid w:val="00164201"/>
    <w:rsid w:val="00164AA5"/>
    <w:rsid w:val="00165F5E"/>
    <w:rsid w:val="00166052"/>
    <w:rsid w:val="001660FE"/>
    <w:rsid w:val="00167C17"/>
    <w:rsid w:val="0017051B"/>
    <w:rsid w:val="00173EDD"/>
    <w:rsid w:val="00174ECE"/>
    <w:rsid w:val="00175212"/>
    <w:rsid w:val="00175FF8"/>
    <w:rsid w:val="001767CA"/>
    <w:rsid w:val="0017774B"/>
    <w:rsid w:val="00181504"/>
    <w:rsid w:val="00181729"/>
    <w:rsid w:val="001819E4"/>
    <w:rsid w:val="00183E97"/>
    <w:rsid w:val="00184284"/>
    <w:rsid w:val="00184480"/>
    <w:rsid w:val="00184D6D"/>
    <w:rsid w:val="00184F59"/>
    <w:rsid w:val="00185C37"/>
    <w:rsid w:val="00186FB7"/>
    <w:rsid w:val="00187537"/>
    <w:rsid w:val="00191413"/>
    <w:rsid w:val="0019193E"/>
    <w:rsid w:val="00191EBC"/>
    <w:rsid w:val="00192C70"/>
    <w:rsid w:val="001935B4"/>
    <w:rsid w:val="00193907"/>
    <w:rsid w:val="00195EFB"/>
    <w:rsid w:val="0019655B"/>
    <w:rsid w:val="00197F2E"/>
    <w:rsid w:val="001A0124"/>
    <w:rsid w:val="001A1D0A"/>
    <w:rsid w:val="001A1DD6"/>
    <w:rsid w:val="001A2273"/>
    <w:rsid w:val="001B0391"/>
    <w:rsid w:val="001B0DC3"/>
    <w:rsid w:val="001B1A6A"/>
    <w:rsid w:val="001B3430"/>
    <w:rsid w:val="001B443F"/>
    <w:rsid w:val="001C0F5C"/>
    <w:rsid w:val="001C108E"/>
    <w:rsid w:val="001C223C"/>
    <w:rsid w:val="001C24A7"/>
    <w:rsid w:val="001C263F"/>
    <w:rsid w:val="001C5958"/>
    <w:rsid w:val="001C757D"/>
    <w:rsid w:val="001D12A9"/>
    <w:rsid w:val="001D140D"/>
    <w:rsid w:val="001D150B"/>
    <w:rsid w:val="001D195F"/>
    <w:rsid w:val="001D503E"/>
    <w:rsid w:val="001D71DF"/>
    <w:rsid w:val="001D74DA"/>
    <w:rsid w:val="001D780B"/>
    <w:rsid w:val="001D7907"/>
    <w:rsid w:val="001D7C7D"/>
    <w:rsid w:val="001E0873"/>
    <w:rsid w:val="001E0BEA"/>
    <w:rsid w:val="001E0BED"/>
    <w:rsid w:val="001E2C6F"/>
    <w:rsid w:val="001E30A5"/>
    <w:rsid w:val="001E3C8B"/>
    <w:rsid w:val="001E3D5B"/>
    <w:rsid w:val="001E4A13"/>
    <w:rsid w:val="001E4EF9"/>
    <w:rsid w:val="001E5639"/>
    <w:rsid w:val="001E579B"/>
    <w:rsid w:val="001E5FF2"/>
    <w:rsid w:val="001E626E"/>
    <w:rsid w:val="001E7077"/>
    <w:rsid w:val="001E7A17"/>
    <w:rsid w:val="001F0765"/>
    <w:rsid w:val="001F26B1"/>
    <w:rsid w:val="001F29F4"/>
    <w:rsid w:val="001F3ED6"/>
    <w:rsid w:val="001F4369"/>
    <w:rsid w:val="001F49DF"/>
    <w:rsid w:val="001F5AE3"/>
    <w:rsid w:val="001F5D04"/>
    <w:rsid w:val="001F656A"/>
    <w:rsid w:val="001F68D1"/>
    <w:rsid w:val="001F6D1A"/>
    <w:rsid w:val="001F6E03"/>
    <w:rsid w:val="001F74E7"/>
    <w:rsid w:val="002012D2"/>
    <w:rsid w:val="00201AF6"/>
    <w:rsid w:val="0020360D"/>
    <w:rsid w:val="00205EE6"/>
    <w:rsid w:val="0020612C"/>
    <w:rsid w:val="002062E3"/>
    <w:rsid w:val="0020643A"/>
    <w:rsid w:val="00211BFA"/>
    <w:rsid w:val="00212F1D"/>
    <w:rsid w:val="002140AE"/>
    <w:rsid w:val="0022138F"/>
    <w:rsid w:val="00225769"/>
    <w:rsid w:val="00225E3B"/>
    <w:rsid w:val="00225F24"/>
    <w:rsid w:val="00226341"/>
    <w:rsid w:val="00227104"/>
    <w:rsid w:val="00227540"/>
    <w:rsid w:val="00227596"/>
    <w:rsid w:val="00227CA5"/>
    <w:rsid w:val="00230054"/>
    <w:rsid w:val="0023668B"/>
    <w:rsid w:val="00237597"/>
    <w:rsid w:val="00240DC9"/>
    <w:rsid w:val="00241A68"/>
    <w:rsid w:val="00242601"/>
    <w:rsid w:val="002427B0"/>
    <w:rsid w:val="00244149"/>
    <w:rsid w:val="00245BF4"/>
    <w:rsid w:val="00246EDC"/>
    <w:rsid w:val="00247BAF"/>
    <w:rsid w:val="00251D96"/>
    <w:rsid w:val="00253A48"/>
    <w:rsid w:val="00253EC8"/>
    <w:rsid w:val="0025483C"/>
    <w:rsid w:val="00256701"/>
    <w:rsid w:val="0026085A"/>
    <w:rsid w:val="00260A4C"/>
    <w:rsid w:val="002659D9"/>
    <w:rsid w:val="002700D3"/>
    <w:rsid w:val="0027262B"/>
    <w:rsid w:val="00274308"/>
    <w:rsid w:val="0027677C"/>
    <w:rsid w:val="00276C0F"/>
    <w:rsid w:val="00280051"/>
    <w:rsid w:val="00280C5D"/>
    <w:rsid w:val="00281798"/>
    <w:rsid w:val="00281830"/>
    <w:rsid w:val="002827C4"/>
    <w:rsid w:val="00282847"/>
    <w:rsid w:val="00283F66"/>
    <w:rsid w:val="00284D13"/>
    <w:rsid w:val="00292A6B"/>
    <w:rsid w:val="002936ED"/>
    <w:rsid w:val="00293ACC"/>
    <w:rsid w:val="00293B6B"/>
    <w:rsid w:val="00294B76"/>
    <w:rsid w:val="00294F1A"/>
    <w:rsid w:val="00295D79"/>
    <w:rsid w:val="0029655B"/>
    <w:rsid w:val="002A0163"/>
    <w:rsid w:val="002A0FE2"/>
    <w:rsid w:val="002A295E"/>
    <w:rsid w:val="002A3A6C"/>
    <w:rsid w:val="002A604A"/>
    <w:rsid w:val="002A64C5"/>
    <w:rsid w:val="002B2713"/>
    <w:rsid w:val="002B3511"/>
    <w:rsid w:val="002B3D19"/>
    <w:rsid w:val="002B3F13"/>
    <w:rsid w:val="002B434C"/>
    <w:rsid w:val="002B5A7D"/>
    <w:rsid w:val="002B5BF2"/>
    <w:rsid w:val="002B5D29"/>
    <w:rsid w:val="002C200B"/>
    <w:rsid w:val="002C39F9"/>
    <w:rsid w:val="002C58B8"/>
    <w:rsid w:val="002C7500"/>
    <w:rsid w:val="002C75BC"/>
    <w:rsid w:val="002D1CA0"/>
    <w:rsid w:val="002D1D7B"/>
    <w:rsid w:val="002D22CF"/>
    <w:rsid w:val="002D4BB3"/>
    <w:rsid w:val="002D56A1"/>
    <w:rsid w:val="002D59A9"/>
    <w:rsid w:val="002D5A00"/>
    <w:rsid w:val="002D7682"/>
    <w:rsid w:val="002E1E63"/>
    <w:rsid w:val="002E1FA1"/>
    <w:rsid w:val="002E5BDE"/>
    <w:rsid w:val="002E63E1"/>
    <w:rsid w:val="002E6515"/>
    <w:rsid w:val="002E6517"/>
    <w:rsid w:val="002E6687"/>
    <w:rsid w:val="002F2A26"/>
    <w:rsid w:val="002F3C40"/>
    <w:rsid w:val="002F6957"/>
    <w:rsid w:val="002F6CB3"/>
    <w:rsid w:val="002F7DE5"/>
    <w:rsid w:val="002F7DF1"/>
    <w:rsid w:val="003007EA"/>
    <w:rsid w:val="003027B6"/>
    <w:rsid w:val="0030409E"/>
    <w:rsid w:val="00306981"/>
    <w:rsid w:val="00307FDA"/>
    <w:rsid w:val="0031196F"/>
    <w:rsid w:val="00312B51"/>
    <w:rsid w:val="00312C39"/>
    <w:rsid w:val="00314716"/>
    <w:rsid w:val="00316881"/>
    <w:rsid w:val="00317020"/>
    <w:rsid w:val="00317101"/>
    <w:rsid w:val="003172CB"/>
    <w:rsid w:val="00317F10"/>
    <w:rsid w:val="003217E1"/>
    <w:rsid w:val="003218C1"/>
    <w:rsid w:val="0032423A"/>
    <w:rsid w:val="003247E9"/>
    <w:rsid w:val="00327A1C"/>
    <w:rsid w:val="00327F21"/>
    <w:rsid w:val="00330349"/>
    <w:rsid w:val="003303F9"/>
    <w:rsid w:val="00330A1E"/>
    <w:rsid w:val="00331E2B"/>
    <w:rsid w:val="003321DE"/>
    <w:rsid w:val="00333A73"/>
    <w:rsid w:val="00334700"/>
    <w:rsid w:val="003352BA"/>
    <w:rsid w:val="003366C8"/>
    <w:rsid w:val="0033770B"/>
    <w:rsid w:val="0034072B"/>
    <w:rsid w:val="003412E9"/>
    <w:rsid w:val="00342839"/>
    <w:rsid w:val="00343A44"/>
    <w:rsid w:val="003444DC"/>
    <w:rsid w:val="00346C7A"/>
    <w:rsid w:val="00350211"/>
    <w:rsid w:val="003518BF"/>
    <w:rsid w:val="00352DA1"/>
    <w:rsid w:val="00353825"/>
    <w:rsid w:val="0035392C"/>
    <w:rsid w:val="00354558"/>
    <w:rsid w:val="003608B7"/>
    <w:rsid w:val="00362327"/>
    <w:rsid w:val="00362575"/>
    <w:rsid w:val="00363564"/>
    <w:rsid w:val="0036465D"/>
    <w:rsid w:val="00366812"/>
    <w:rsid w:val="003714F5"/>
    <w:rsid w:val="00372477"/>
    <w:rsid w:val="00372544"/>
    <w:rsid w:val="0037341B"/>
    <w:rsid w:val="00376B5F"/>
    <w:rsid w:val="00377AD9"/>
    <w:rsid w:val="00380288"/>
    <w:rsid w:val="003817A2"/>
    <w:rsid w:val="00385359"/>
    <w:rsid w:val="00385468"/>
    <w:rsid w:val="003908EE"/>
    <w:rsid w:val="00390CE7"/>
    <w:rsid w:val="00390DAE"/>
    <w:rsid w:val="00393C61"/>
    <w:rsid w:val="00393FF3"/>
    <w:rsid w:val="0039618C"/>
    <w:rsid w:val="0039633A"/>
    <w:rsid w:val="00396B90"/>
    <w:rsid w:val="00396CCD"/>
    <w:rsid w:val="003A0BC9"/>
    <w:rsid w:val="003A0D26"/>
    <w:rsid w:val="003A21CD"/>
    <w:rsid w:val="003A2A9E"/>
    <w:rsid w:val="003A40A7"/>
    <w:rsid w:val="003A55FF"/>
    <w:rsid w:val="003A5ADA"/>
    <w:rsid w:val="003A6511"/>
    <w:rsid w:val="003B05B6"/>
    <w:rsid w:val="003B28A5"/>
    <w:rsid w:val="003B3F9A"/>
    <w:rsid w:val="003B57A1"/>
    <w:rsid w:val="003B661D"/>
    <w:rsid w:val="003B720D"/>
    <w:rsid w:val="003B760C"/>
    <w:rsid w:val="003C1538"/>
    <w:rsid w:val="003C218A"/>
    <w:rsid w:val="003C4430"/>
    <w:rsid w:val="003C5F3E"/>
    <w:rsid w:val="003C7810"/>
    <w:rsid w:val="003D10DD"/>
    <w:rsid w:val="003D1C0C"/>
    <w:rsid w:val="003D3B16"/>
    <w:rsid w:val="003D5CED"/>
    <w:rsid w:val="003D60E0"/>
    <w:rsid w:val="003D709B"/>
    <w:rsid w:val="003D7463"/>
    <w:rsid w:val="003E0103"/>
    <w:rsid w:val="003E0A22"/>
    <w:rsid w:val="003E3A48"/>
    <w:rsid w:val="003E727F"/>
    <w:rsid w:val="003E7D3D"/>
    <w:rsid w:val="003F01DF"/>
    <w:rsid w:val="003F2C18"/>
    <w:rsid w:val="003F44EB"/>
    <w:rsid w:val="003F6C0E"/>
    <w:rsid w:val="00404F9A"/>
    <w:rsid w:val="00407C75"/>
    <w:rsid w:val="00411B14"/>
    <w:rsid w:val="00412C91"/>
    <w:rsid w:val="004132C5"/>
    <w:rsid w:val="00414064"/>
    <w:rsid w:val="004153DA"/>
    <w:rsid w:val="00415DFF"/>
    <w:rsid w:val="00416ABC"/>
    <w:rsid w:val="00417745"/>
    <w:rsid w:val="0042229E"/>
    <w:rsid w:val="00422609"/>
    <w:rsid w:val="00423CA6"/>
    <w:rsid w:val="004271C3"/>
    <w:rsid w:val="00430454"/>
    <w:rsid w:val="00430AB7"/>
    <w:rsid w:val="00431713"/>
    <w:rsid w:val="0043194F"/>
    <w:rsid w:val="004326A8"/>
    <w:rsid w:val="004327CD"/>
    <w:rsid w:val="004328A4"/>
    <w:rsid w:val="00436B86"/>
    <w:rsid w:val="0043706A"/>
    <w:rsid w:val="00437DAF"/>
    <w:rsid w:val="004401B0"/>
    <w:rsid w:val="00440B9E"/>
    <w:rsid w:val="00441154"/>
    <w:rsid w:val="00441D90"/>
    <w:rsid w:val="00442224"/>
    <w:rsid w:val="004444EE"/>
    <w:rsid w:val="0044611A"/>
    <w:rsid w:val="004524CF"/>
    <w:rsid w:val="00452582"/>
    <w:rsid w:val="004527A1"/>
    <w:rsid w:val="00454812"/>
    <w:rsid w:val="004549FE"/>
    <w:rsid w:val="00454D38"/>
    <w:rsid w:val="00455C81"/>
    <w:rsid w:val="00457272"/>
    <w:rsid w:val="00457DCC"/>
    <w:rsid w:val="00461A18"/>
    <w:rsid w:val="00462060"/>
    <w:rsid w:val="00463C1A"/>
    <w:rsid w:val="00463EEC"/>
    <w:rsid w:val="004640FF"/>
    <w:rsid w:val="004652A8"/>
    <w:rsid w:val="00465490"/>
    <w:rsid w:val="00466F76"/>
    <w:rsid w:val="00471A16"/>
    <w:rsid w:val="00473FD3"/>
    <w:rsid w:val="00474574"/>
    <w:rsid w:val="00474746"/>
    <w:rsid w:val="00474A6A"/>
    <w:rsid w:val="00475AAB"/>
    <w:rsid w:val="00477432"/>
    <w:rsid w:val="00480517"/>
    <w:rsid w:val="00480537"/>
    <w:rsid w:val="00480DA2"/>
    <w:rsid w:val="00481A6C"/>
    <w:rsid w:val="0048389D"/>
    <w:rsid w:val="00484D9B"/>
    <w:rsid w:val="00486165"/>
    <w:rsid w:val="00487C36"/>
    <w:rsid w:val="0049014C"/>
    <w:rsid w:val="00492356"/>
    <w:rsid w:val="00493061"/>
    <w:rsid w:val="00493512"/>
    <w:rsid w:val="00493A52"/>
    <w:rsid w:val="004957A2"/>
    <w:rsid w:val="004A0201"/>
    <w:rsid w:val="004A178D"/>
    <w:rsid w:val="004A1C33"/>
    <w:rsid w:val="004A3DE5"/>
    <w:rsid w:val="004A7A7F"/>
    <w:rsid w:val="004B031B"/>
    <w:rsid w:val="004B2D97"/>
    <w:rsid w:val="004B474F"/>
    <w:rsid w:val="004C221A"/>
    <w:rsid w:val="004C39F8"/>
    <w:rsid w:val="004C416A"/>
    <w:rsid w:val="004C55B7"/>
    <w:rsid w:val="004C5A00"/>
    <w:rsid w:val="004C5D35"/>
    <w:rsid w:val="004D0A68"/>
    <w:rsid w:val="004D20BF"/>
    <w:rsid w:val="004D277F"/>
    <w:rsid w:val="004D2C70"/>
    <w:rsid w:val="004D31D0"/>
    <w:rsid w:val="004D31F1"/>
    <w:rsid w:val="004D4203"/>
    <w:rsid w:val="004D4286"/>
    <w:rsid w:val="004D4733"/>
    <w:rsid w:val="004D4B45"/>
    <w:rsid w:val="004D6C3E"/>
    <w:rsid w:val="004D7B29"/>
    <w:rsid w:val="004E14DE"/>
    <w:rsid w:val="004E2562"/>
    <w:rsid w:val="004E2E2F"/>
    <w:rsid w:val="004E49EA"/>
    <w:rsid w:val="004E7CE8"/>
    <w:rsid w:val="004F1BEF"/>
    <w:rsid w:val="004F2430"/>
    <w:rsid w:val="004F2B91"/>
    <w:rsid w:val="004F3034"/>
    <w:rsid w:val="004F435E"/>
    <w:rsid w:val="00506D24"/>
    <w:rsid w:val="005077D2"/>
    <w:rsid w:val="005118F6"/>
    <w:rsid w:val="0051350A"/>
    <w:rsid w:val="00516226"/>
    <w:rsid w:val="00517604"/>
    <w:rsid w:val="00517DA5"/>
    <w:rsid w:val="00517FA4"/>
    <w:rsid w:val="005216E4"/>
    <w:rsid w:val="005217C0"/>
    <w:rsid w:val="00524DA0"/>
    <w:rsid w:val="00525801"/>
    <w:rsid w:val="00530642"/>
    <w:rsid w:val="00530F88"/>
    <w:rsid w:val="00532B1C"/>
    <w:rsid w:val="00532EB9"/>
    <w:rsid w:val="00533388"/>
    <w:rsid w:val="00534E1F"/>
    <w:rsid w:val="00535A7E"/>
    <w:rsid w:val="00537269"/>
    <w:rsid w:val="005412CE"/>
    <w:rsid w:val="005443C8"/>
    <w:rsid w:val="005450F5"/>
    <w:rsid w:val="0054683B"/>
    <w:rsid w:val="00552527"/>
    <w:rsid w:val="005558E1"/>
    <w:rsid w:val="005564A4"/>
    <w:rsid w:val="0055674C"/>
    <w:rsid w:val="005606CB"/>
    <w:rsid w:val="0056251A"/>
    <w:rsid w:val="00563265"/>
    <w:rsid w:val="00563FD8"/>
    <w:rsid w:val="005643E6"/>
    <w:rsid w:val="00564817"/>
    <w:rsid w:val="0056512E"/>
    <w:rsid w:val="0056561D"/>
    <w:rsid w:val="00567B5C"/>
    <w:rsid w:val="005706E9"/>
    <w:rsid w:val="00570849"/>
    <w:rsid w:val="0057158C"/>
    <w:rsid w:val="005715BA"/>
    <w:rsid w:val="00575FF1"/>
    <w:rsid w:val="00576416"/>
    <w:rsid w:val="005778BD"/>
    <w:rsid w:val="00577C65"/>
    <w:rsid w:val="00581121"/>
    <w:rsid w:val="005819AA"/>
    <w:rsid w:val="005840B8"/>
    <w:rsid w:val="005867DF"/>
    <w:rsid w:val="005900D8"/>
    <w:rsid w:val="005916F1"/>
    <w:rsid w:val="00592081"/>
    <w:rsid w:val="00595D42"/>
    <w:rsid w:val="005960F6"/>
    <w:rsid w:val="005A0348"/>
    <w:rsid w:val="005A1FA3"/>
    <w:rsid w:val="005A27C0"/>
    <w:rsid w:val="005A4691"/>
    <w:rsid w:val="005A74FF"/>
    <w:rsid w:val="005A7C67"/>
    <w:rsid w:val="005B144C"/>
    <w:rsid w:val="005B194A"/>
    <w:rsid w:val="005B234E"/>
    <w:rsid w:val="005B3D8A"/>
    <w:rsid w:val="005B3EC2"/>
    <w:rsid w:val="005B5ABB"/>
    <w:rsid w:val="005B7E48"/>
    <w:rsid w:val="005C1D68"/>
    <w:rsid w:val="005C58FA"/>
    <w:rsid w:val="005C5F49"/>
    <w:rsid w:val="005C71BC"/>
    <w:rsid w:val="005D2629"/>
    <w:rsid w:val="005D4A78"/>
    <w:rsid w:val="005D54F1"/>
    <w:rsid w:val="005D5820"/>
    <w:rsid w:val="005E03EB"/>
    <w:rsid w:val="005E03F3"/>
    <w:rsid w:val="005E29EB"/>
    <w:rsid w:val="005E2B65"/>
    <w:rsid w:val="005E3D07"/>
    <w:rsid w:val="005E6B49"/>
    <w:rsid w:val="005E7252"/>
    <w:rsid w:val="005E7AA8"/>
    <w:rsid w:val="005F02C2"/>
    <w:rsid w:val="005F70F7"/>
    <w:rsid w:val="005F797F"/>
    <w:rsid w:val="006040AF"/>
    <w:rsid w:val="00604378"/>
    <w:rsid w:val="006046D3"/>
    <w:rsid w:val="00605A27"/>
    <w:rsid w:val="00605E3B"/>
    <w:rsid w:val="006065E8"/>
    <w:rsid w:val="00607B4C"/>
    <w:rsid w:val="00610940"/>
    <w:rsid w:val="006133DF"/>
    <w:rsid w:val="00614A20"/>
    <w:rsid w:val="006155F0"/>
    <w:rsid w:val="00616766"/>
    <w:rsid w:val="00620386"/>
    <w:rsid w:val="00622842"/>
    <w:rsid w:val="006253B6"/>
    <w:rsid w:val="00625981"/>
    <w:rsid w:val="00625A15"/>
    <w:rsid w:val="00627BD8"/>
    <w:rsid w:val="0063178C"/>
    <w:rsid w:val="00631E28"/>
    <w:rsid w:val="00633C80"/>
    <w:rsid w:val="00633E67"/>
    <w:rsid w:val="006343BE"/>
    <w:rsid w:val="006349C4"/>
    <w:rsid w:val="00635114"/>
    <w:rsid w:val="00636177"/>
    <w:rsid w:val="006361D0"/>
    <w:rsid w:val="00637BE8"/>
    <w:rsid w:val="00637C90"/>
    <w:rsid w:val="00637D76"/>
    <w:rsid w:val="006408BF"/>
    <w:rsid w:val="00640A07"/>
    <w:rsid w:val="0064271E"/>
    <w:rsid w:val="006431FF"/>
    <w:rsid w:val="0064333A"/>
    <w:rsid w:val="00644F89"/>
    <w:rsid w:val="006508EB"/>
    <w:rsid w:val="00650946"/>
    <w:rsid w:val="00650C0E"/>
    <w:rsid w:val="006553EC"/>
    <w:rsid w:val="00655674"/>
    <w:rsid w:val="00656027"/>
    <w:rsid w:val="00656746"/>
    <w:rsid w:val="00661492"/>
    <w:rsid w:val="006623D2"/>
    <w:rsid w:val="006660E4"/>
    <w:rsid w:val="0067005A"/>
    <w:rsid w:val="006770A7"/>
    <w:rsid w:val="00680130"/>
    <w:rsid w:val="00680A15"/>
    <w:rsid w:val="006824E0"/>
    <w:rsid w:val="00683DFB"/>
    <w:rsid w:val="00684086"/>
    <w:rsid w:val="0068482E"/>
    <w:rsid w:val="00684A68"/>
    <w:rsid w:val="00685883"/>
    <w:rsid w:val="00691C90"/>
    <w:rsid w:val="00692458"/>
    <w:rsid w:val="0069275B"/>
    <w:rsid w:val="0069388D"/>
    <w:rsid w:val="00696796"/>
    <w:rsid w:val="00696ED4"/>
    <w:rsid w:val="006A0160"/>
    <w:rsid w:val="006A19EC"/>
    <w:rsid w:val="006A31AB"/>
    <w:rsid w:val="006A5215"/>
    <w:rsid w:val="006B13E5"/>
    <w:rsid w:val="006B18B2"/>
    <w:rsid w:val="006B2030"/>
    <w:rsid w:val="006B3640"/>
    <w:rsid w:val="006B61AC"/>
    <w:rsid w:val="006B6C90"/>
    <w:rsid w:val="006B6FC3"/>
    <w:rsid w:val="006B7CA7"/>
    <w:rsid w:val="006C08C1"/>
    <w:rsid w:val="006C09B2"/>
    <w:rsid w:val="006C1521"/>
    <w:rsid w:val="006C39B7"/>
    <w:rsid w:val="006C3C89"/>
    <w:rsid w:val="006C4E7E"/>
    <w:rsid w:val="006C5F2F"/>
    <w:rsid w:val="006C7001"/>
    <w:rsid w:val="006C7362"/>
    <w:rsid w:val="006D11DF"/>
    <w:rsid w:val="006D2547"/>
    <w:rsid w:val="006D3EF5"/>
    <w:rsid w:val="006D47A7"/>
    <w:rsid w:val="006E0951"/>
    <w:rsid w:val="006E10A6"/>
    <w:rsid w:val="006E13DE"/>
    <w:rsid w:val="006E2A59"/>
    <w:rsid w:val="006E4456"/>
    <w:rsid w:val="006E462E"/>
    <w:rsid w:val="006E5856"/>
    <w:rsid w:val="006E6E67"/>
    <w:rsid w:val="006E71A5"/>
    <w:rsid w:val="006E73F9"/>
    <w:rsid w:val="006F0585"/>
    <w:rsid w:val="006F3454"/>
    <w:rsid w:val="006F47AA"/>
    <w:rsid w:val="006F49A0"/>
    <w:rsid w:val="006F73C8"/>
    <w:rsid w:val="00700549"/>
    <w:rsid w:val="00700B1E"/>
    <w:rsid w:val="00700B46"/>
    <w:rsid w:val="007010D8"/>
    <w:rsid w:val="00702088"/>
    <w:rsid w:val="00702564"/>
    <w:rsid w:val="00702C9F"/>
    <w:rsid w:val="007033DE"/>
    <w:rsid w:val="00703CCF"/>
    <w:rsid w:val="00705460"/>
    <w:rsid w:val="00712F00"/>
    <w:rsid w:val="0071384E"/>
    <w:rsid w:val="007143DA"/>
    <w:rsid w:val="00721B04"/>
    <w:rsid w:val="00721E2A"/>
    <w:rsid w:val="00724D61"/>
    <w:rsid w:val="007277AF"/>
    <w:rsid w:val="00731299"/>
    <w:rsid w:val="00735CAA"/>
    <w:rsid w:val="0073719C"/>
    <w:rsid w:val="00740AC4"/>
    <w:rsid w:val="00742E09"/>
    <w:rsid w:val="00745452"/>
    <w:rsid w:val="00745956"/>
    <w:rsid w:val="00746818"/>
    <w:rsid w:val="00747FC4"/>
    <w:rsid w:val="00752457"/>
    <w:rsid w:val="0075311C"/>
    <w:rsid w:val="0075415F"/>
    <w:rsid w:val="00754898"/>
    <w:rsid w:val="00754A51"/>
    <w:rsid w:val="00760169"/>
    <w:rsid w:val="0076039A"/>
    <w:rsid w:val="007606B4"/>
    <w:rsid w:val="00760845"/>
    <w:rsid w:val="007640E0"/>
    <w:rsid w:val="00766E67"/>
    <w:rsid w:val="00767448"/>
    <w:rsid w:val="007678AC"/>
    <w:rsid w:val="00767AB7"/>
    <w:rsid w:val="00770769"/>
    <w:rsid w:val="0077225F"/>
    <w:rsid w:val="00774042"/>
    <w:rsid w:val="00774073"/>
    <w:rsid w:val="007741B9"/>
    <w:rsid w:val="00774FDE"/>
    <w:rsid w:val="00775D89"/>
    <w:rsid w:val="00777EE3"/>
    <w:rsid w:val="007812CF"/>
    <w:rsid w:val="0078367D"/>
    <w:rsid w:val="00784D38"/>
    <w:rsid w:val="00785234"/>
    <w:rsid w:val="007877AF"/>
    <w:rsid w:val="00794435"/>
    <w:rsid w:val="00794ACF"/>
    <w:rsid w:val="007967DF"/>
    <w:rsid w:val="007975E6"/>
    <w:rsid w:val="007A1603"/>
    <w:rsid w:val="007A414D"/>
    <w:rsid w:val="007A682A"/>
    <w:rsid w:val="007A6FAB"/>
    <w:rsid w:val="007A7F29"/>
    <w:rsid w:val="007B0389"/>
    <w:rsid w:val="007B03DA"/>
    <w:rsid w:val="007B1A7B"/>
    <w:rsid w:val="007B3138"/>
    <w:rsid w:val="007B40DC"/>
    <w:rsid w:val="007B6F78"/>
    <w:rsid w:val="007B75F4"/>
    <w:rsid w:val="007B75F7"/>
    <w:rsid w:val="007C10BA"/>
    <w:rsid w:val="007C2324"/>
    <w:rsid w:val="007C2806"/>
    <w:rsid w:val="007C5C1B"/>
    <w:rsid w:val="007D0BDA"/>
    <w:rsid w:val="007D3448"/>
    <w:rsid w:val="007D3DFC"/>
    <w:rsid w:val="007D4395"/>
    <w:rsid w:val="007D57EC"/>
    <w:rsid w:val="007E04CD"/>
    <w:rsid w:val="007E4E9A"/>
    <w:rsid w:val="007E6EE6"/>
    <w:rsid w:val="007E7F70"/>
    <w:rsid w:val="007F0EB3"/>
    <w:rsid w:val="007F29F8"/>
    <w:rsid w:val="007F2D82"/>
    <w:rsid w:val="007F43F2"/>
    <w:rsid w:val="007F48B2"/>
    <w:rsid w:val="007F4EF0"/>
    <w:rsid w:val="007F5CFF"/>
    <w:rsid w:val="00806B35"/>
    <w:rsid w:val="0080724A"/>
    <w:rsid w:val="0081013E"/>
    <w:rsid w:val="00810C0D"/>
    <w:rsid w:val="008113B4"/>
    <w:rsid w:val="008114F0"/>
    <w:rsid w:val="008143C9"/>
    <w:rsid w:val="00814D74"/>
    <w:rsid w:val="00814DE5"/>
    <w:rsid w:val="00820942"/>
    <w:rsid w:val="008248D1"/>
    <w:rsid w:val="0082586A"/>
    <w:rsid w:val="008261B4"/>
    <w:rsid w:val="00827EDE"/>
    <w:rsid w:val="00832A16"/>
    <w:rsid w:val="00832EAB"/>
    <w:rsid w:val="008358B4"/>
    <w:rsid w:val="00836E33"/>
    <w:rsid w:val="00842EF4"/>
    <w:rsid w:val="00843D15"/>
    <w:rsid w:val="00845AA0"/>
    <w:rsid w:val="00845B9F"/>
    <w:rsid w:val="008510FF"/>
    <w:rsid w:val="008530BE"/>
    <w:rsid w:val="00853B5C"/>
    <w:rsid w:val="008540FA"/>
    <w:rsid w:val="008555B4"/>
    <w:rsid w:val="008606A0"/>
    <w:rsid w:val="008610EB"/>
    <w:rsid w:val="00861DF2"/>
    <w:rsid w:val="00861E1B"/>
    <w:rsid w:val="00863446"/>
    <w:rsid w:val="00863E4E"/>
    <w:rsid w:val="00863E5A"/>
    <w:rsid w:val="00867895"/>
    <w:rsid w:val="00875FE9"/>
    <w:rsid w:val="0087684F"/>
    <w:rsid w:val="00876CAC"/>
    <w:rsid w:val="00881627"/>
    <w:rsid w:val="0088175E"/>
    <w:rsid w:val="00882202"/>
    <w:rsid w:val="00885A76"/>
    <w:rsid w:val="00886079"/>
    <w:rsid w:val="00891834"/>
    <w:rsid w:val="00891F34"/>
    <w:rsid w:val="00893249"/>
    <w:rsid w:val="00894344"/>
    <w:rsid w:val="00895C04"/>
    <w:rsid w:val="008970B7"/>
    <w:rsid w:val="008A0530"/>
    <w:rsid w:val="008A1B21"/>
    <w:rsid w:val="008A3959"/>
    <w:rsid w:val="008A3DD8"/>
    <w:rsid w:val="008A3F85"/>
    <w:rsid w:val="008A47BD"/>
    <w:rsid w:val="008A51E8"/>
    <w:rsid w:val="008B0AC9"/>
    <w:rsid w:val="008B0F37"/>
    <w:rsid w:val="008B55D2"/>
    <w:rsid w:val="008B5C21"/>
    <w:rsid w:val="008B791D"/>
    <w:rsid w:val="008C1C7C"/>
    <w:rsid w:val="008C208A"/>
    <w:rsid w:val="008C5773"/>
    <w:rsid w:val="008C5A77"/>
    <w:rsid w:val="008D0538"/>
    <w:rsid w:val="008D0D9A"/>
    <w:rsid w:val="008D2388"/>
    <w:rsid w:val="008D2CA8"/>
    <w:rsid w:val="008D4AA6"/>
    <w:rsid w:val="008D730E"/>
    <w:rsid w:val="008E0CD4"/>
    <w:rsid w:val="008E2267"/>
    <w:rsid w:val="008E5AA1"/>
    <w:rsid w:val="008E6827"/>
    <w:rsid w:val="008F0F03"/>
    <w:rsid w:val="008F1341"/>
    <w:rsid w:val="008F2CF5"/>
    <w:rsid w:val="008F2D28"/>
    <w:rsid w:val="008F3034"/>
    <w:rsid w:val="008F3194"/>
    <w:rsid w:val="008F5E84"/>
    <w:rsid w:val="008F65FF"/>
    <w:rsid w:val="008F78BC"/>
    <w:rsid w:val="00901E01"/>
    <w:rsid w:val="009040BC"/>
    <w:rsid w:val="00904BC8"/>
    <w:rsid w:val="00906B93"/>
    <w:rsid w:val="00906D5B"/>
    <w:rsid w:val="00907133"/>
    <w:rsid w:val="009071E8"/>
    <w:rsid w:val="009118F6"/>
    <w:rsid w:val="00911EB8"/>
    <w:rsid w:val="00912168"/>
    <w:rsid w:val="009139C7"/>
    <w:rsid w:val="00913CAC"/>
    <w:rsid w:val="0091437D"/>
    <w:rsid w:val="0091462B"/>
    <w:rsid w:val="009149B8"/>
    <w:rsid w:val="0091550B"/>
    <w:rsid w:val="0091658D"/>
    <w:rsid w:val="00917142"/>
    <w:rsid w:val="00920EF6"/>
    <w:rsid w:val="00921C0B"/>
    <w:rsid w:val="00921EED"/>
    <w:rsid w:val="00921FF8"/>
    <w:rsid w:val="00922A50"/>
    <w:rsid w:val="00923EC8"/>
    <w:rsid w:val="00925F13"/>
    <w:rsid w:val="00926417"/>
    <w:rsid w:val="009277AD"/>
    <w:rsid w:val="0093046A"/>
    <w:rsid w:val="009306ED"/>
    <w:rsid w:val="00932D30"/>
    <w:rsid w:val="00932FBA"/>
    <w:rsid w:val="00933BFA"/>
    <w:rsid w:val="00936859"/>
    <w:rsid w:val="009369C2"/>
    <w:rsid w:val="00936C28"/>
    <w:rsid w:val="00936DC9"/>
    <w:rsid w:val="00936E45"/>
    <w:rsid w:val="00936F4C"/>
    <w:rsid w:val="0093796A"/>
    <w:rsid w:val="00940816"/>
    <w:rsid w:val="00942585"/>
    <w:rsid w:val="0094333E"/>
    <w:rsid w:val="009448F7"/>
    <w:rsid w:val="00945A1D"/>
    <w:rsid w:val="00945CC4"/>
    <w:rsid w:val="00946533"/>
    <w:rsid w:val="00947A11"/>
    <w:rsid w:val="0095050A"/>
    <w:rsid w:val="009516B1"/>
    <w:rsid w:val="0095266F"/>
    <w:rsid w:val="00953E59"/>
    <w:rsid w:val="0095533A"/>
    <w:rsid w:val="0095646B"/>
    <w:rsid w:val="00956C80"/>
    <w:rsid w:val="00957565"/>
    <w:rsid w:val="00957A99"/>
    <w:rsid w:val="00964D8D"/>
    <w:rsid w:val="00964EDA"/>
    <w:rsid w:val="00965A01"/>
    <w:rsid w:val="00965EA8"/>
    <w:rsid w:val="0096731B"/>
    <w:rsid w:val="0096785D"/>
    <w:rsid w:val="00970842"/>
    <w:rsid w:val="00971125"/>
    <w:rsid w:val="00971F4F"/>
    <w:rsid w:val="00972D70"/>
    <w:rsid w:val="0097363B"/>
    <w:rsid w:val="009746B1"/>
    <w:rsid w:val="00975A13"/>
    <w:rsid w:val="00976AF4"/>
    <w:rsid w:val="00977BFB"/>
    <w:rsid w:val="0098177F"/>
    <w:rsid w:val="00982385"/>
    <w:rsid w:val="00982810"/>
    <w:rsid w:val="00986EEE"/>
    <w:rsid w:val="009903CC"/>
    <w:rsid w:val="009917F4"/>
    <w:rsid w:val="00995B1B"/>
    <w:rsid w:val="00997834"/>
    <w:rsid w:val="009A1396"/>
    <w:rsid w:val="009A2981"/>
    <w:rsid w:val="009A336D"/>
    <w:rsid w:val="009A5010"/>
    <w:rsid w:val="009A63B5"/>
    <w:rsid w:val="009A7037"/>
    <w:rsid w:val="009B07FA"/>
    <w:rsid w:val="009B5F81"/>
    <w:rsid w:val="009C0089"/>
    <w:rsid w:val="009C11CF"/>
    <w:rsid w:val="009C13FA"/>
    <w:rsid w:val="009C2AED"/>
    <w:rsid w:val="009C3490"/>
    <w:rsid w:val="009C3BB0"/>
    <w:rsid w:val="009C575D"/>
    <w:rsid w:val="009C72D3"/>
    <w:rsid w:val="009D1FC0"/>
    <w:rsid w:val="009D2863"/>
    <w:rsid w:val="009D3F78"/>
    <w:rsid w:val="009D4238"/>
    <w:rsid w:val="009D493B"/>
    <w:rsid w:val="009D5E09"/>
    <w:rsid w:val="009D5EE5"/>
    <w:rsid w:val="009D5F1E"/>
    <w:rsid w:val="009D7580"/>
    <w:rsid w:val="009E00C4"/>
    <w:rsid w:val="009E0C7A"/>
    <w:rsid w:val="009E0E38"/>
    <w:rsid w:val="009E31CD"/>
    <w:rsid w:val="009E525F"/>
    <w:rsid w:val="009E53F4"/>
    <w:rsid w:val="009E59FA"/>
    <w:rsid w:val="009E77D8"/>
    <w:rsid w:val="009F681F"/>
    <w:rsid w:val="009F72C8"/>
    <w:rsid w:val="00A006D5"/>
    <w:rsid w:val="00A01509"/>
    <w:rsid w:val="00A02651"/>
    <w:rsid w:val="00A0337B"/>
    <w:rsid w:val="00A035E4"/>
    <w:rsid w:val="00A03809"/>
    <w:rsid w:val="00A04197"/>
    <w:rsid w:val="00A0459A"/>
    <w:rsid w:val="00A052F6"/>
    <w:rsid w:val="00A053C8"/>
    <w:rsid w:val="00A066AA"/>
    <w:rsid w:val="00A07C43"/>
    <w:rsid w:val="00A116EA"/>
    <w:rsid w:val="00A11739"/>
    <w:rsid w:val="00A14311"/>
    <w:rsid w:val="00A1579B"/>
    <w:rsid w:val="00A206FC"/>
    <w:rsid w:val="00A20CEA"/>
    <w:rsid w:val="00A2360D"/>
    <w:rsid w:val="00A24C42"/>
    <w:rsid w:val="00A2629A"/>
    <w:rsid w:val="00A26F1E"/>
    <w:rsid w:val="00A27166"/>
    <w:rsid w:val="00A272D4"/>
    <w:rsid w:val="00A272F1"/>
    <w:rsid w:val="00A2737A"/>
    <w:rsid w:val="00A303C6"/>
    <w:rsid w:val="00A31E06"/>
    <w:rsid w:val="00A32873"/>
    <w:rsid w:val="00A32B6F"/>
    <w:rsid w:val="00A333F2"/>
    <w:rsid w:val="00A34EAB"/>
    <w:rsid w:val="00A368AF"/>
    <w:rsid w:val="00A41E01"/>
    <w:rsid w:val="00A435C8"/>
    <w:rsid w:val="00A45D6C"/>
    <w:rsid w:val="00A46214"/>
    <w:rsid w:val="00A470E3"/>
    <w:rsid w:val="00A513AA"/>
    <w:rsid w:val="00A6051F"/>
    <w:rsid w:val="00A60EED"/>
    <w:rsid w:val="00A61B6D"/>
    <w:rsid w:val="00A621FE"/>
    <w:rsid w:val="00A6232E"/>
    <w:rsid w:val="00A627FC"/>
    <w:rsid w:val="00A64430"/>
    <w:rsid w:val="00A656BD"/>
    <w:rsid w:val="00A65C0A"/>
    <w:rsid w:val="00A65C17"/>
    <w:rsid w:val="00A66966"/>
    <w:rsid w:val="00A7104F"/>
    <w:rsid w:val="00A721C0"/>
    <w:rsid w:val="00A7294C"/>
    <w:rsid w:val="00A731B8"/>
    <w:rsid w:val="00A7517C"/>
    <w:rsid w:val="00A774B1"/>
    <w:rsid w:val="00A84013"/>
    <w:rsid w:val="00A84E3E"/>
    <w:rsid w:val="00A8547D"/>
    <w:rsid w:val="00A856B1"/>
    <w:rsid w:val="00A8574B"/>
    <w:rsid w:val="00A875F3"/>
    <w:rsid w:val="00A9080B"/>
    <w:rsid w:val="00A90E16"/>
    <w:rsid w:val="00A94E61"/>
    <w:rsid w:val="00A957B0"/>
    <w:rsid w:val="00A96564"/>
    <w:rsid w:val="00A96CD8"/>
    <w:rsid w:val="00A979FD"/>
    <w:rsid w:val="00AA0A57"/>
    <w:rsid w:val="00AA0F17"/>
    <w:rsid w:val="00AA15EB"/>
    <w:rsid w:val="00AA2C2F"/>
    <w:rsid w:val="00AA2D7A"/>
    <w:rsid w:val="00AA2E86"/>
    <w:rsid w:val="00AA3549"/>
    <w:rsid w:val="00AA52DB"/>
    <w:rsid w:val="00AA5307"/>
    <w:rsid w:val="00AA7008"/>
    <w:rsid w:val="00AB26F6"/>
    <w:rsid w:val="00AB3BAC"/>
    <w:rsid w:val="00AB4AD3"/>
    <w:rsid w:val="00AB5A6A"/>
    <w:rsid w:val="00AC0797"/>
    <w:rsid w:val="00AC2EDE"/>
    <w:rsid w:val="00AC415B"/>
    <w:rsid w:val="00AC44C6"/>
    <w:rsid w:val="00AC53AF"/>
    <w:rsid w:val="00AD4F9D"/>
    <w:rsid w:val="00AD628A"/>
    <w:rsid w:val="00AE05E1"/>
    <w:rsid w:val="00AE0AC0"/>
    <w:rsid w:val="00AE11DB"/>
    <w:rsid w:val="00AE2123"/>
    <w:rsid w:val="00AE23D6"/>
    <w:rsid w:val="00AE486F"/>
    <w:rsid w:val="00AE4F7C"/>
    <w:rsid w:val="00AE59E5"/>
    <w:rsid w:val="00AE629D"/>
    <w:rsid w:val="00AE6938"/>
    <w:rsid w:val="00AE6DBC"/>
    <w:rsid w:val="00AF0A65"/>
    <w:rsid w:val="00AF223D"/>
    <w:rsid w:val="00AF22E7"/>
    <w:rsid w:val="00AF356D"/>
    <w:rsid w:val="00AF3F61"/>
    <w:rsid w:val="00AF510F"/>
    <w:rsid w:val="00AF532B"/>
    <w:rsid w:val="00AF5C4F"/>
    <w:rsid w:val="00AF62FB"/>
    <w:rsid w:val="00AF67A9"/>
    <w:rsid w:val="00AF7F09"/>
    <w:rsid w:val="00B01587"/>
    <w:rsid w:val="00B024D9"/>
    <w:rsid w:val="00B03FFF"/>
    <w:rsid w:val="00B0502D"/>
    <w:rsid w:val="00B05865"/>
    <w:rsid w:val="00B058EF"/>
    <w:rsid w:val="00B0619B"/>
    <w:rsid w:val="00B07F75"/>
    <w:rsid w:val="00B10AB7"/>
    <w:rsid w:val="00B1151B"/>
    <w:rsid w:val="00B11F74"/>
    <w:rsid w:val="00B125E4"/>
    <w:rsid w:val="00B15249"/>
    <w:rsid w:val="00B170A2"/>
    <w:rsid w:val="00B17C10"/>
    <w:rsid w:val="00B17F72"/>
    <w:rsid w:val="00B203FF"/>
    <w:rsid w:val="00B22277"/>
    <w:rsid w:val="00B22944"/>
    <w:rsid w:val="00B2758D"/>
    <w:rsid w:val="00B30482"/>
    <w:rsid w:val="00B31526"/>
    <w:rsid w:val="00B3226B"/>
    <w:rsid w:val="00B326A7"/>
    <w:rsid w:val="00B33322"/>
    <w:rsid w:val="00B33F30"/>
    <w:rsid w:val="00B33FA0"/>
    <w:rsid w:val="00B34124"/>
    <w:rsid w:val="00B3418C"/>
    <w:rsid w:val="00B34980"/>
    <w:rsid w:val="00B36C89"/>
    <w:rsid w:val="00B41CEE"/>
    <w:rsid w:val="00B420B6"/>
    <w:rsid w:val="00B42495"/>
    <w:rsid w:val="00B450AD"/>
    <w:rsid w:val="00B4519A"/>
    <w:rsid w:val="00B451C2"/>
    <w:rsid w:val="00B4736B"/>
    <w:rsid w:val="00B47F44"/>
    <w:rsid w:val="00B500E8"/>
    <w:rsid w:val="00B506B5"/>
    <w:rsid w:val="00B514B4"/>
    <w:rsid w:val="00B52163"/>
    <w:rsid w:val="00B52B08"/>
    <w:rsid w:val="00B55EF6"/>
    <w:rsid w:val="00B61582"/>
    <w:rsid w:val="00B6217E"/>
    <w:rsid w:val="00B625F2"/>
    <w:rsid w:val="00B627C5"/>
    <w:rsid w:val="00B62F63"/>
    <w:rsid w:val="00B64367"/>
    <w:rsid w:val="00B64C8C"/>
    <w:rsid w:val="00B65F91"/>
    <w:rsid w:val="00B6634F"/>
    <w:rsid w:val="00B6769D"/>
    <w:rsid w:val="00B6772A"/>
    <w:rsid w:val="00B77B9C"/>
    <w:rsid w:val="00B8173D"/>
    <w:rsid w:val="00B83559"/>
    <w:rsid w:val="00B853F1"/>
    <w:rsid w:val="00B86A43"/>
    <w:rsid w:val="00B91976"/>
    <w:rsid w:val="00B92CED"/>
    <w:rsid w:val="00B94117"/>
    <w:rsid w:val="00B95278"/>
    <w:rsid w:val="00B968C2"/>
    <w:rsid w:val="00BA028D"/>
    <w:rsid w:val="00BA1722"/>
    <w:rsid w:val="00BA3E7C"/>
    <w:rsid w:val="00BA62AA"/>
    <w:rsid w:val="00BA6C5D"/>
    <w:rsid w:val="00BA6DD4"/>
    <w:rsid w:val="00BB1636"/>
    <w:rsid w:val="00BB1B98"/>
    <w:rsid w:val="00BB45A0"/>
    <w:rsid w:val="00BB5BAF"/>
    <w:rsid w:val="00BB6801"/>
    <w:rsid w:val="00BB7B1F"/>
    <w:rsid w:val="00BC12C5"/>
    <w:rsid w:val="00BC2008"/>
    <w:rsid w:val="00BC49AE"/>
    <w:rsid w:val="00BC4D26"/>
    <w:rsid w:val="00BC5518"/>
    <w:rsid w:val="00BC6751"/>
    <w:rsid w:val="00BD054F"/>
    <w:rsid w:val="00BD078D"/>
    <w:rsid w:val="00BD429D"/>
    <w:rsid w:val="00BD44A9"/>
    <w:rsid w:val="00BD6D69"/>
    <w:rsid w:val="00BE00D1"/>
    <w:rsid w:val="00BE1539"/>
    <w:rsid w:val="00BE4744"/>
    <w:rsid w:val="00BE4EDA"/>
    <w:rsid w:val="00BF27FA"/>
    <w:rsid w:val="00BF3025"/>
    <w:rsid w:val="00BF35EB"/>
    <w:rsid w:val="00BF36A0"/>
    <w:rsid w:val="00BF3884"/>
    <w:rsid w:val="00BF52DE"/>
    <w:rsid w:val="00BF6116"/>
    <w:rsid w:val="00C00318"/>
    <w:rsid w:val="00C015C3"/>
    <w:rsid w:val="00C01BE9"/>
    <w:rsid w:val="00C034D3"/>
    <w:rsid w:val="00C049CA"/>
    <w:rsid w:val="00C04A98"/>
    <w:rsid w:val="00C055ED"/>
    <w:rsid w:val="00C0707B"/>
    <w:rsid w:val="00C07276"/>
    <w:rsid w:val="00C11030"/>
    <w:rsid w:val="00C111B1"/>
    <w:rsid w:val="00C11E48"/>
    <w:rsid w:val="00C12554"/>
    <w:rsid w:val="00C12996"/>
    <w:rsid w:val="00C15F4D"/>
    <w:rsid w:val="00C202F8"/>
    <w:rsid w:val="00C20D92"/>
    <w:rsid w:val="00C221C1"/>
    <w:rsid w:val="00C24670"/>
    <w:rsid w:val="00C247EA"/>
    <w:rsid w:val="00C25057"/>
    <w:rsid w:val="00C25557"/>
    <w:rsid w:val="00C256F7"/>
    <w:rsid w:val="00C266FB"/>
    <w:rsid w:val="00C326E9"/>
    <w:rsid w:val="00C32FD3"/>
    <w:rsid w:val="00C3347F"/>
    <w:rsid w:val="00C338D7"/>
    <w:rsid w:val="00C33B14"/>
    <w:rsid w:val="00C34A10"/>
    <w:rsid w:val="00C34F92"/>
    <w:rsid w:val="00C36B93"/>
    <w:rsid w:val="00C36F3E"/>
    <w:rsid w:val="00C37A4C"/>
    <w:rsid w:val="00C40538"/>
    <w:rsid w:val="00C43C11"/>
    <w:rsid w:val="00C43EF4"/>
    <w:rsid w:val="00C4612C"/>
    <w:rsid w:val="00C47732"/>
    <w:rsid w:val="00C50963"/>
    <w:rsid w:val="00C50BD6"/>
    <w:rsid w:val="00C50FA2"/>
    <w:rsid w:val="00C51E26"/>
    <w:rsid w:val="00C52980"/>
    <w:rsid w:val="00C545B2"/>
    <w:rsid w:val="00C54D16"/>
    <w:rsid w:val="00C55135"/>
    <w:rsid w:val="00C5544B"/>
    <w:rsid w:val="00C56BA5"/>
    <w:rsid w:val="00C57A55"/>
    <w:rsid w:val="00C62A0C"/>
    <w:rsid w:val="00C635E2"/>
    <w:rsid w:val="00C6623D"/>
    <w:rsid w:val="00C704CF"/>
    <w:rsid w:val="00C724D0"/>
    <w:rsid w:val="00C72507"/>
    <w:rsid w:val="00C74397"/>
    <w:rsid w:val="00C74A04"/>
    <w:rsid w:val="00C76E2D"/>
    <w:rsid w:val="00C76FFF"/>
    <w:rsid w:val="00C77386"/>
    <w:rsid w:val="00C80421"/>
    <w:rsid w:val="00C818BB"/>
    <w:rsid w:val="00C81DFC"/>
    <w:rsid w:val="00C82214"/>
    <w:rsid w:val="00C84E28"/>
    <w:rsid w:val="00C84F08"/>
    <w:rsid w:val="00C90647"/>
    <w:rsid w:val="00C91310"/>
    <w:rsid w:val="00C95428"/>
    <w:rsid w:val="00CA0192"/>
    <w:rsid w:val="00CA43F1"/>
    <w:rsid w:val="00CA4FDE"/>
    <w:rsid w:val="00CA70E7"/>
    <w:rsid w:val="00CB137A"/>
    <w:rsid w:val="00CB228A"/>
    <w:rsid w:val="00CB2E17"/>
    <w:rsid w:val="00CB3056"/>
    <w:rsid w:val="00CB3987"/>
    <w:rsid w:val="00CB6172"/>
    <w:rsid w:val="00CB7E08"/>
    <w:rsid w:val="00CC316F"/>
    <w:rsid w:val="00CC48E6"/>
    <w:rsid w:val="00CC4F4F"/>
    <w:rsid w:val="00CC5AD8"/>
    <w:rsid w:val="00CD434F"/>
    <w:rsid w:val="00CE1D90"/>
    <w:rsid w:val="00CE2446"/>
    <w:rsid w:val="00CE5F47"/>
    <w:rsid w:val="00CE6170"/>
    <w:rsid w:val="00CE6986"/>
    <w:rsid w:val="00CE74E4"/>
    <w:rsid w:val="00CE78F5"/>
    <w:rsid w:val="00CF1330"/>
    <w:rsid w:val="00CF1FBD"/>
    <w:rsid w:val="00CF24D4"/>
    <w:rsid w:val="00CF3925"/>
    <w:rsid w:val="00D00374"/>
    <w:rsid w:val="00D01536"/>
    <w:rsid w:val="00D027B9"/>
    <w:rsid w:val="00D0489B"/>
    <w:rsid w:val="00D052B4"/>
    <w:rsid w:val="00D07A8B"/>
    <w:rsid w:val="00D10F72"/>
    <w:rsid w:val="00D137FA"/>
    <w:rsid w:val="00D17891"/>
    <w:rsid w:val="00D20337"/>
    <w:rsid w:val="00D206E0"/>
    <w:rsid w:val="00D223CA"/>
    <w:rsid w:val="00D228B8"/>
    <w:rsid w:val="00D25260"/>
    <w:rsid w:val="00D25E0F"/>
    <w:rsid w:val="00D27637"/>
    <w:rsid w:val="00D300E3"/>
    <w:rsid w:val="00D30343"/>
    <w:rsid w:val="00D3635A"/>
    <w:rsid w:val="00D36920"/>
    <w:rsid w:val="00D36B09"/>
    <w:rsid w:val="00D434D3"/>
    <w:rsid w:val="00D4358F"/>
    <w:rsid w:val="00D43C43"/>
    <w:rsid w:val="00D443D7"/>
    <w:rsid w:val="00D506DA"/>
    <w:rsid w:val="00D5188B"/>
    <w:rsid w:val="00D520E7"/>
    <w:rsid w:val="00D53C66"/>
    <w:rsid w:val="00D56DA0"/>
    <w:rsid w:val="00D608BE"/>
    <w:rsid w:val="00D62054"/>
    <w:rsid w:val="00D62793"/>
    <w:rsid w:val="00D627BE"/>
    <w:rsid w:val="00D64E6E"/>
    <w:rsid w:val="00D6578B"/>
    <w:rsid w:val="00D65905"/>
    <w:rsid w:val="00D67E6B"/>
    <w:rsid w:val="00D7174F"/>
    <w:rsid w:val="00D71B35"/>
    <w:rsid w:val="00D74DFD"/>
    <w:rsid w:val="00D770C8"/>
    <w:rsid w:val="00D80302"/>
    <w:rsid w:val="00D81A2D"/>
    <w:rsid w:val="00D81CB0"/>
    <w:rsid w:val="00D82211"/>
    <w:rsid w:val="00D8242E"/>
    <w:rsid w:val="00D8365B"/>
    <w:rsid w:val="00D8559E"/>
    <w:rsid w:val="00D863DB"/>
    <w:rsid w:val="00D87671"/>
    <w:rsid w:val="00D90346"/>
    <w:rsid w:val="00D92132"/>
    <w:rsid w:val="00D925E3"/>
    <w:rsid w:val="00D92CE7"/>
    <w:rsid w:val="00D931B6"/>
    <w:rsid w:val="00D95849"/>
    <w:rsid w:val="00D9595A"/>
    <w:rsid w:val="00D967DA"/>
    <w:rsid w:val="00D96A05"/>
    <w:rsid w:val="00D96ACC"/>
    <w:rsid w:val="00D974FB"/>
    <w:rsid w:val="00DA031B"/>
    <w:rsid w:val="00DA48F8"/>
    <w:rsid w:val="00DA5318"/>
    <w:rsid w:val="00DA5524"/>
    <w:rsid w:val="00DA60A4"/>
    <w:rsid w:val="00DB0295"/>
    <w:rsid w:val="00DB1651"/>
    <w:rsid w:val="00DB207B"/>
    <w:rsid w:val="00DB3285"/>
    <w:rsid w:val="00DB33F4"/>
    <w:rsid w:val="00DB5138"/>
    <w:rsid w:val="00DB6108"/>
    <w:rsid w:val="00DB7E21"/>
    <w:rsid w:val="00DC008F"/>
    <w:rsid w:val="00DC4211"/>
    <w:rsid w:val="00DD023D"/>
    <w:rsid w:val="00DD284C"/>
    <w:rsid w:val="00DD4464"/>
    <w:rsid w:val="00DD453D"/>
    <w:rsid w:val="00DD6074"/>
    <w:rsid w:val="00DD693A"/>
    <w:rsid w:val="00DE125D"/>
    <w:rsid w:val="00DE2331"/>
    <w:rsid w:val="00DE5620"/>
    <w:rsid w:val="00DE5C6B"/>
    <w:rsid w:val="00DE6056"/>
    <w:rsid w:val="00DE6090"/>
    <w:rsid w:val="00DF1CBC"/>
    <w:rsid w:val="00DF3EFE"/>
    <w:rsid w:val="00DF56AF"/>
    <w:rsid w:val="00E02685"/>
    <w:rsid w:val="00E043F0"/>
    <w:rsid w:val="00E0642F"/>
    <w:rsid w:val="00E104DF"/>
    <w:rsid w:val="00E12462"/>
    <w:rsid w:val="00E1267B"/>
    <w:rsid w:val="00E127D6"/>
    <w:rsid w:val="00E12F86"/>
    <w:rsid w:val="00E17DC5"/>
    <w:rsid w:val="00E21634"/>
    <w:rsid w:val="00E23608"/>
    <w:rsid w:val="00E25BA6"/>
    <w:rsid w:val="00E27141"/>
    <w:rsid w:val="00E272E4"/>
    <w:rsid w:val="00E31382"/>
    <w:rsid w:val="00E31596"/>
    <w:rsid w:val="00E3510F"/>
    <w:rsid w:val="00E3663A"/>
    <w:rsid w:val="00E367AD"/>
    <w:rsid w:val="00E3733D"/>
    <w:rsid w:val="00E40792"/>
    <w:rsid w:val="00E41BFA"/>
    <w:rsid w:val="00E43DCB"/>
    <w:rsid w:val="00E45226"/>
    <w:rsid w:val="00E45436"/>
    <w:rsid w:val="00E47EAF"/>
    <w:rsid w:val="00E524D8"/>
    <w:rsid w:val="00E55664"/>
    <w:rsid w:val="00E563D9"/>
    <w:rsid w:val="00E56F2D"/>
    <w:rsid w:val="00E5710E"/>
    <w:rsid w:val="00E63F4F"/>
    <w:rsid w:val="00E64DA3"/>
    <w:rsid w:val="00E679E2"/>
    <w:rsid w:val="00E679F9"/>
    <w:rsid w:val="00E7101C"/>
    <w:rsid w:val="00E710F2"/>
    <w:rsid w:val="00E72731"/>
    <w:rsid w:val="00E73A87"/>
    <w:rsid w:val="00E747C1"/>
    <w:rsid w:val="00E76C52"/>
    <w:rsid w:val="00E7769F"/>
    <w:rsid w:val="00E80B1C"/>
    <w:rsid w:val="00E815EF"/>
    <w:rsid w:val="00E870E4"/>
    <w:rsid w:val="00E8796B"/>
    <w:rsid w:val="00E90C07"/>
    <w:rsid w:val="00E90DAE"/>
    <w:rsid w:val="00E93F27"/>
    <w:rsid w:val="00E94350"/>
    <w:rsid w:val="00E97B77"/>
    <w:rsid w:val="00EA060C"/>
    <w:rsid w:val="00EA4041"/>
    <w:rsid w:val="00EA4C6B"/>
    <w:rsid w:val="00EA7109"/>
    <w:rsid w:val="00EB103A"/>
    <w:rsid w:val="00EB256E"/>
    <w:rsid w:val="00EB26B6"/>
    <w:rsid w:val="00EB294B"/>
    <w:rsid w:val="00EB44CD"/>
    <w:rsid w:val="00EB70EE"/>
    <w:rsid w:val="00EC0190"/>
    <w:rsid w:val="00EC3146"/>
    <w:rsid w:val="00EC4BB0"/>
    <w:rsid w:val="00EC4C64"/>
    <w:rsid w:val="00EC7202"/>
    <w:rsid w:val="00ED2843"/>
    <w:rsid w:val="00ED2DE6"/>
    <w:rsid w:val="00ED4A0D"/>
    <w:rsid w:val="00ED4AAB"/>
    <w:rsid w:val="00ED4DF0"/>
    <w:rsid w:val="00ED5998"/>
    <w:rsid w:val="00ED60FD"/>
    <w:rsid w:val="00EE285A"/>
    <w:rsid w:val="00EE3372"/>
    <w:rsid w:val="00EE5549"/>
    <w:rsid w:val="00EE5A45"/>
    <w:rsid w:val="00EE6F7A"/>
    <w:rsid w:val="00EF1F94"/>
    <w:rsid w:val="00EF273A"/>
    <w:rsid w:val="00EF46D9"/>
    <w:rsid w:val="00EF6148"/>
    <w:rsid w:val="00EF7E3E"/>
    <w:rsid w:val="00F03A6B"/>
    <w:rsid w:val="00F04F4D"/>
    <w:rsid w:val="00F071B9"/>
    <w:rsid w:val="00F07604"/>
    <w:rsid w:val="00F109DA"/>
    <w:rsid w:val="00F122F6"/>
    <w:rsid w:val="00F14625"/>
    <w:rsid w:val="00F14657"/>
    <w:rsid w:val="00F15189"/>
    <w:rsid w:val="00F1598A"/>
    <w:rsid w:val="00F169A0"/>
    <w:rsid w:val="00F20F66"/>
    <w:rsid w:val="00F21E51"/>
    <w:rsid w:val="00F25056"/>
    <w:rsid w:val="00F26716"/>
    <w:rsid w:val="00F26C97"/>
    <w:rsid w:val="00F300B7"/>
    <w:rsid w:val="00F30FA6"/>
    <w:rsid w:val="00F32051"/>
    <w:rsid w:val="00F3287A"/>
    <w:rsid w:val="00F34BCF"/>
    <w:rsid w:val="00F351DC"/>
    <w:rsid w:val="00F3576A"/>
    <w:rsid w:val="00F35EB0"/>
    <w:rsid w:val="00F373D8"/>
    <w:rsid w:val="00F41308"/>
    <w:rsid w:val="00F41387"/>
    <w:rsid w:val="00F4308C"/>
    <w:rsid w:val="00F43818"/>
    <w:rsid w:val="00F43B50"/>
    <w:rsid w:val="00F44AAE"/>
    <w:rsid w:val="00F4545C"/>
    <w:rsid w:val="00F529FE"/>
    <w:rsid w:val="00F53EE8"/>
    <w:rsid w:val="00F545A8"/>
    <w:rsid w:val="00F5475F"/>
    <w:rsid w:val="00F54857"/>
    <w:rsid w:val="00F55ABB"/>
    <w:rsid w:val="00F5666F"/>
    <w:rsid w:val="00F56E41"/>
    <w:rsid w:val="00F571EC"/>
    <w:rsid w:val="00F57ABE"/>
    <w:rsid w:val="00F60B1B"/>
    <w:rsid w:val="00F622D7"/>
    <w:rsid w:val="00F63F6C"/>
    <w:rsid w:val="00F658A9"/>
    <w:rsid w:val="00F713A5"/>
    <w:rsid w:val="00F71652"/>
    <w:rsid w:val="00F74407"/>
    <w:rsid w:val="00F764BE"/>
    <w:rsid w:val="00F77117"/>
    <w:rsid w:val="00F826D8"/>
    <w:rsid w:val="00F84AF1"/>
    <w:rsid w:val="00F86E9A"/>
    <w:rsid w:val="00F879C4"/>
    <w:rsid w:val="00F87D53"/>
    <w:rsid w:val="00F9196B"/>
    <w:rsid w:val="00F942C6"/>
    <w:rsid w:val="00F94451"/>
    <w:rsid w:val="00F9448A"/>
    <w:rsid w:val="00F947D6"/>
    <w:rsid w:val="00F94B56"/>
    <w:rsid w:val="00F94CDC"/>
    <w:rsid w:val="00F95554"/>
    <w:rsid w:val="00F9579E"/>
    <w:rsid w:val="00F961BE"/>
    <w:rsid w:val="00F97001"/>
    <w:rsid w:val="00FA029F"/>
    <w:rsid w:val="00FA16AF"/>
    <w:rsid w:val="00FA16E8"/>
    <w:rsid w:val="00FA34B1"/>
    <w:rsid w:val="00FA4E6F"/>
    <w:rsid w:val="00FA5C1A"/>
    <w:rsid w:val="00FA6EFF"/>
    <w:rsid w:val="00FB0F2E"/>
    <w:rsid w:val="00FB3E04"/>
    <w:rsid w:val="00FB4F23"/>
    <w:rsid w:val="00FB50A7"/>
    <w:rsid w:val="00FB7092"/>
    <w:rsid w:val="00FC1860"/>
    <w:rsid w:val="00FC1B7F"/>
    <w:rsid w:val="00FC1F3B"/>
    <w:rsid w:val="00FC4A8E"/>
    <w:rsid w:val="00FC5688"/>
    <w:rsid w:val="00FD13BC"/>
    <w:rsid w:val="00FD3169"/>
    <w:rsid w:val="00FD4961"/>
    <w:rsid w:val="00FD7976"/>
    <w:rsid w:val="00FE0686"/>
    <w:rsid w:val="00FE4691"/>
    <w:rsid w:val="00FE46F1"/>
    <w:rsid w:val="00FE5081"/>
    <w:rsid w:val="00FE5312"/>
    <w:rsid w:val="00FE70A6"/>
    <w:rsid w:val="00FE7FF1"/>
    <w:rsid w:val="00FF0FE9"/>
    <w:rsid w:val="00FF248A"/>
    <w:rsid w:val="00FF3F96"/>
    <w:rsid w:val="00FF47FD"/>
    <w:rsid w:val="00FF55B2"/>
    <w:rsid w:val="00FF674A"/>
    <w:rsid w:val="00FF680D"/>
    <w:rsid w:val="02BDEEA8"/>
    <w:rsid w:val="187D9C74"/>
    <w:rsid w:val="1926840E"/>
    <w:rsid w:val="232FBCC3"/>
    <w:rsid w:val="2390918D"/>
    <w:rsid w:val="242669EB"/>
    <w:rsid w:val="3ADB8117"/>
    <w:rsid w:val="3FB0A064"/>
    <w:rsid w:val="531C0B87"/>
    <w:rsid w:val="750BDE59"/>
    <w:rsid w:val="7647A8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style="mso-width-relative:margin;mso-height-relative:margin" fill="f" fillcolor="white" stroke="f">
      <v:fill color="white" on="f"/>
      <v:stroke on="f"/>
    </o:shapedefaults>
    <o:shapelayout v:ext="edit">
      <o:idmap v:ext="edit" data="2"/>
    </o:shapelayout>
  </w:shapeDefaults>
  <w:decimalSymbol w:val="."/>
  <w:listSeparator w:val=","/>
  <w14:docId w14:val="3819AD02"/>
  <w15:docId w15:val="{F3758F25-87C5-488A-A8C9-F891DF02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C34A10"/>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5"/>
    <w:qFormat/>
    <w:rsid w:val="0095646B"/>
    <w:p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1"/>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C34A10"/>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5"/>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4"/>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6"/>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2"/>
      </w:numPr>
    </w:pPr>
    <w:rPr>
      <w:color w:val="000000"/>
    </w:rPr>
  </w:style>
  <w:style w:type="paragraph" w:customStyle="1" w:styleId="Romanlist">
    <w:name w:val="Roman list"/>
    <w:basedOn w:val="AlphaList"/>
    <w:uiPriority w:val="3"/>
    <w:qFormat/>
    <w:rsid w:val="00BA6DD4"/>
    <w:pPr>
      <w:numPr>
        <w:numId w:val="3"/>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Bullet">
    <w:name w:val="List Bullet"/>
    <w:basedOn w:val="Normal"/>
    <w:uiPriority w:val="99"/>
    <w:qFormat/>
    <w:rsid w:val="00487C36"/>
    <w:pPr>
      <w:numPr>
        <w:numId w:val="7"/>
      </w:numPr>
      <w:spacing w:before="0" w:after="0" w:line="240" w:lineRule="auto"/>
    </w:pPr>
    <w:rPr>
      <w:rFonts w:ascii="Calibri" w:eastAsia="Times New Roman" w:hAnsi="Calibri" w:cs="Times New Roman"/>
      <w:color w:val="auto"/>
      <w:szCs w:val="20"/>
      <w:lang w:eastAsia="en-US"/>
    </w:rPr>
  </w:style>
  <w:style w:type="paragraph" w:styleId="ListParagraph">
    <w:name w:val="List Paragraph"/>
    <w:basedOn w:val="Normal"/>
    <w:uiPriority w:val="34"/>
    <w:qFormat/>
    <w:locked/>
    <w:rsid w:val="006C08C1"/>
    <w:pPr>
      <w:spacing w:before="0" w:after="0" w:line="240" w:lineRule="auto"/>
      <w:ind w:left="720"/>
      <w:contextualSpacing/>
    </w:pPr>
    <w:rPr>
      <w:rFonts w:ascii="Calibri" w:eastAsia="Times New Roman" w:hAnsi="Calibri" w:cs="Times New Roman"/>
      <w:color w:val="auto"/>
      <w:szCs w:val="20"/>
      <w:lang w:eastAsia="en-US"/>
    </w:rPr>
  </w:style>
  <w:style w:type="table" w:customStyle="1" w:styleId="TableGrid1">
    <w:name w:val="Table Grid1"/>
    <w:basedOn w:val="TableNormal"/>
    <w:next w:val="TableGrid"/>
    <w:uiPriority w:val="59"/>
    <w:rsid w:val="0069275B"/>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8389">
      <w:bodyDiv w:val="1"/>
      <w:marLeft w:val="0"/>
      <w:marRight w:val="0"/>
      <w:marTop w:val="0"/>
      <w:marBottom w:val="0"/>
      <w:divBdr>
        <w:top w:val="none" w:sz="0" w:space="0" w:color="auto"/>
        <w:left w:val="none" w:sz="0" w:space="0" w:color="auto"/>
        <w:bottom w:val="none" w:sz="0" w:space="0" w:color="auto"/>
        <w:right w:val="none" w:sz="0" w:space="0" w:color="auto"/>
      </w:divBdr>
    </w:div>
    <w:div w:id="264504011">
      <w:bodyDiv w:val="1"/>
      <w:marLeft w:val="0"/>
      <w:marRight w:val="0"/>
      <w:marTop w:val="0"/>
      <w:marBottom w:val="0"/>
      <w:divBdr>
        <w:top w:val="none" w:sz="0" w:space="0" w:color="auto"/>
        <w:left w:val="none" w:sz="0" w:space="0" w:color="auto"/>
        <w:bottom w:val="none" w:sz="0" w:space="0" w:color="auto"/>
        <w:right w:val="none" w:sz="0" w:space="0" w:color="auto"/>
      </w:divBdr>
      <w:divsChild>
        <w:div w:id="929434399">
          <w:marLeft w:val="0"/>
          <w:marRight w:val="0"/>
          <w:marTop w:val="0"/>
          <w:marBottom w:val="0"/>
          <w:divBdr>
            <w:top w:val="none" w:sz="0" w:space="0" w:color="auto"/>
            <w:left w:val="none" w:sz="0" w:space="0" w:color="auto"/>
            <w:bottom w:val="none" w:sz="0" w:space="0" w:color="auto"/>
            <w:right w:val="none" w:sz="0" w:space="0" w:color="auto"/>
          </w:divBdr>
        </w:div>
        <w:div w:id="666590120">
          <w:marLeft w:val="0"/>
          <w:marRight w:val="0"/>
          <w:marTop w:val="0"/>
          <w:marBottom w:val="0"/>
          <w:divBdr>
            <w:top w:val="none" w:sz="0" w:space="0" w:color="auto"/>
            <w:left w:val="none" w:sz="0" w:space="0" w:color="auto"/>
            <w:bottom w:val="none" w:sz="0" w:space="0" w:color="auto"/>
            <w:right w:val="none" w:sz="0" w:space="0" w:color="auto"/>
          </w:divBdr>
        </w:div>
        <w:div w:id="1857622388">
          <w:marLeft w:val="0"/>
          <w:marRight w:val="0"/>
          <w:marTop w:val="0"/>
          <w:marBottom w:val="0"/>
          <w:divBdr>
            <w:top w:val="none" w:sz="0" w:space="0" w:color="auto"/>
            <w:left w:val="none" w:sz="0" w:space="0" w:color="auto"/>
            <w:bottom w:val="none" w:sz="0" w:space="0" w:color="auto"/>
            <w:right w:val="none" w:sz="0" w:space="0" w:color="auto"/>
          </w:divBdr>
        </w:div>
      </w:divsChild>
    </w:div>
    <w:div w:id="317418532">
      <w:bodyDiv w:val="1"/>
      <w:marLeft w:val="0"/>
      <w:marRight w:val="0"/>
      <w:marTop w:val="0"/>
      <w:marBottom w:val="0"/>
      <w:divBdr>
        <w:top w:val="none" w:sz="0" w:space="0" w:color="auto"/>
        <w:left w:val="none" w:sz="0" w:space="0" w:color="auto"/>
        <w:bottom w:val="none" w:sz="0" w:space="0" w:color="auto"/>
        <w:right w:val="none" w:sz="0" w:space="0" w:color="auto"/>
      </w:divBdr>
      <w:divsChild>
        <w:div w:id="862668654">
          <w:marLeft w:val="0"/>
          <w:marRight w:val="0"/>
          <w:marTop w:val="0"/>
          <w:marBottom w:val="0"/>
          <w:divBdr>
            <w:top w:val="none" w:sz="0" w:space="0" w:color="auto"/>
            <w:left w:val="none" w:sz="0" w:space="0" w:color="auto"/>
            <w:bottom w:val="none" w:sz="0" w:space="0" w:color="auto"/>
            <w:right w:val="none" w:sz="0" w:space="0" w:color="auto"/>
          </w:divBdr>
        </w:div>
        <w:div w:id="1455247214">
          <w:marLeft w:val="0"/>
          <w:marRight w:val="0"/>
          <w:marTop w:val="0"/>
          <w:marBottom w:val="0"/>
          <w:divBdr>
            <w:top w:val="none" w:sz="0" w:space="0" w:color="auto"/>
            <w:left w:val="none" w:sz="0" w:space="0" w:color="auto"/>
            <w:bottom w:val="none" w:sz="0" w:space="0" w:color="auto"/>
            <w:right w:val="none" w:sz="0" w:space="0" w:color="auto"/>
          </w:divBdr>
        </w:div>
        <w:div w:id="1549489832">
          <w:marLeft w:val="0"/>
          <w:marRight w:val="0"/>
          <w:marTop w:val="0"/>
          <w:marBottom w:val="0"/>
          <w:divBdr>
            <w:top w:val="none" w:sz="0" w:space="0" w:color="auto"/>
            <w:left w:val="none" w:sz="0" w:space="0" w:color="auto"/>
            <w:bottom w:val="none" w:sz="0" w:space="0" w:color="auto"/>
            <w:right w:val="none" w:sz="0" w:space="0" w:color="auto"/>
          </w:divBdr>
        </w:div>
      </w:divsChild>
    </w:div>
    <w:div w:id="440074505">
      <w:bodyDiv w:val="1"/>
      <w:marLeft w:val="0"/>
      <w:marRight w:val="0"/>
      <w:marTop w:val="0"/>
      <w:marBottom w:val="0"/>
      <w:divBdr>
        <w:top w:val="none" w:sz="0" w:space="0" w:color="auto"/>
        <w:left w:val="none" w:sz="0" w:space="0" w:color="auto"/>
        <w:bottom w:val="none" w:sz="0" w:space="0" w:color="auto"/>
        <w:right w:val="none" w:sz="0" w:space="0" w:color="auto"/>
      </w:divBdr>
    </w:div>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344891060">
      <w:bodyDiv w:val="1"/>
      <w:marLeft w:val="0"/>
      <w:marRight w:val="0"/>
      <w:marTop w:val="0"/>
      <w:marBottom w:val="0"/>
      <w:divBdr>
        <w:top w:val="none" w:sz="0" w:space="0" w:color="auto"/>
        <w:left w:val="none" w:sz="0" w:space="0" w:color="auto"/>
        <w:bottom w:val="none" w:sz="0" w:space="0" w:color="auto"/>
        <w:right w:val="none" w:sz="0" w:space="0" w:color="auto"/>
      </w:divBdr>
    </w:div>
    <w:div w:id="1545554967">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05879888">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aresearch.com.au/caresearch/tabid/1469/Default.aspx" TargetMode="External"/><Relationship Id="rId18" Type="http://schemas.openxmlformats.org/officeDocument/2006/relationships/image" Target="media/image1.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ambulanceCLO@act.gov.au" TargetMode="External"/><Relationship Id="rId17" Type="http://schemas.openxmlformats.org/officeDocument/2006/relationships/hyperlink" Target="https://aci.health.nsw.gov.au/palliative-care/guideline/implementation/multidisciplinary-approach-correctional-facilities"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177/1078345816684847" TargetMode="External"/><Relationship Id="rId20" Type="http://schemas.openxmlformats.org/officeDocument/2006/relationships/image" Target="media/image3.png"/><Relationship Id="rId29"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act.gov.au/ni/2022-146/" TargetMode="External"/><Relationship Id="rId24" Type="http://schemas.openxmlformats.org/officeDocument/2006/relationships/footer" Target="footer1.xm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doi.org/10.1177%2F1078345816685116" TargetMode="External"/><Relationship Id="rId23" Type="http://schemas.openxmlformats.org/officeDocument/2006/relationships/image" Target="media/image5.png"/><Relationship Id="rId28" Type="http://schemas.openxmlformats.org/officeDocument/2006/relationships/image" Target="media/image8.emf"/><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lliativecare.org.au/national-palliative-care-standards/" TargetMode="External"/><Relationship Id="rId22" Type="http://schemas.openxmlformats.org/officeDocument/2006/relationships/hyperlink" Target="https://www.canberrahealthservices.act.gov.au/accessibility" TargetMode="External"/><Relationship Id="rId27" Type="http://schemas.openxmlformats.org/officeDocument/2006/relationships/image" Target="media/image7.png"/><Relationship Id="rId30" Type="http://schemas.openxmlformats.org/officeDocument/2006/relationships/hyperlink" Target="https://www.caresearch.com.au/Caresearch/Portals/0/PA-Tookit/Form%206%20Modified%20Risk%20Bereavement%20Risk%20Index.pdf"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ith%20ingwersen\AppData\Local\Microsoft\Windows\INetCache\Content.Outlook\KDT5GNOJ\CHS%20Guideline%20Template%20(2).dotx" TargetMode="External"/></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1.png"/><Relationship Id="rId5" Type="http://schemas.openxmlformats.org/officeDocument/2006/relationships/image" Target="../media/image10.png"/><Relationship Id="rId10" Type="http://schemas.openxmlformats.org/officeDocument/2006/relationships/fontTable" Target="fontTable.xml"/><Relationship Id="rId4" Type="http://schemas.openxmlformats.org/officeDocument/2006/relationships/image" Target="../media/image9.png"/><Relationship Id="rId9" Type="http://schemas.openxmlformats.org/officeDocument/2006/relationships/image" Target="../media/image13.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607145AA3D458FBDB755EF4ED4F06A"/>
        <w:category>
          <w:name w:val="General"/>
          <w:gallery w:val="placeholder"/>
        </w:category>
        <w:types>
          <w:type w:val="bbPlcHdr"/>
        </w:types>
        <w:behaviors>
          <w:behavior w:val="content"/>
        </w:behaviors>
        <w:guid w:val="{5B976D3F-7DA3-4919-8172-C6C23420542B}"/>
      </w:docPartPr>
      <w:docPartBody>
        <w:p w:rsidR="00736EF6" w:rsidRDefault="00736EF6" w:rsidP="00736EF6">
          <w:pPr>
            <w:pStyle w:val="6E607145AA3D458FBDB755EF4ED4F06A"/>
          </w:pPr>
          <w:r>
            <w:rPr>
              <w:noProof/>
              <w:sz w:val="20"/>
              <w:szCs w:val="20"/>
            </w:rPr>
            <w:drawing>
              <wp:inline distT="0" distB="0" distL="0" distR="0" wp14:anchorId="58E0C9CE" wp14:editId="58E0C9CF">
                <wp:extent cx="282575" cy="285750"/>
                <wp:effectExtent l="0" t="0" r="3175" b="0"/>
                <wp:docPr id="464048234"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C18A1C3004EE4576910196C648765267"/>
        <w:category>
          <w:name w:val="General"/>
          <w:gallery w:val="placeholder"/>
        </w:category>
        <w:types>
          <w:type w:val="bbPlcHdr"/>
        </w:types>
        <w:behaviors>
          <w:behavior w:val="content"/>
        </w:behaviors>
        <w:guid w:val="{2B371DB2-4A68-437D-86BA-55B222AEF7B7}"/>
      </w:docPartPr>
      <w:docPartBody>
        <w:p w:rsidR="00736EF6" w:rsidRDefault="00736EF6" w:rsidP="00736EF6">
          <w:pPr>
            <w:pStyle w:val="C18A1C3004EE4576910196C648765267"/>
          </w:pPr>
          <w:r w:rsidRPr="00EE29F8">
            <w:rPr>
              <w:rStyle w:val="PlaceholderText"/>
            </w:rPr>
            <w:t>Choose an item.</w:t>
          </w:r>
        </w:p>
      </w:docPartBody>
    </w:docPart>
    <w:docPart>
      <w:docPartPr>
        <w:name w:val="D4696125BF204D69B4B6D9B24F11BFE8"/>
        <w:category>
          <w:name w:val="General"/>
          <w:gallery w:val="placeholder"/>
        </w:category>
        <w:types>
          <w:type w:val="bbPlcHdr"/>
        </w:types>
        <w:behaviors>
          <w:behavior w:val="content"/>
        </w:behaviors>
        <w:guid w:val="{F6729EDF-5E57-44F5-A040-AE54AD939C40}"/>
      </w:docPartPr>
      <w:docPartBody>
        <w:p w:rsidR="00736EF6" w:rsidRPr="00F26C97" w:rsidRDefault="00736EF6" w:rsidP="003B0E72">
          <w:pPr>
            <w:pStyle w:val="Bottomblocktext"/>
            <w:rPr>
              <w:b/>
              <w:bCs w:val="0"/>
              <w:sz w:val="20"/>
              <w:szCs w:val="20"/>
            </w:rPr>
          </w:pPr>
          <w:r>
            <w:rPr>
              <w:b/>
              <w:bCs w:val="0"/>
              <w:noProof/>
              <w:sz w:val="20"/>
              <w:szCs w:val="20"/>
            </w:rPr>
            <w:drawing>
              <wp:inline distT="0" distB="0" distL="0" distR="0" wp14:anchorId="58E0C9D0" wp14:editId="58E0C9D1">
                <wp:extent cx="338275" cy="331065"/>
                <wp:effectExtent l="0" t="0" r="5080" b="0"/>
                <wp:docPr id="360572941"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58E0C9D2" wp14:editId="58E0C9D3">
                <wp:extent cx="143919" cy="139700"/>
                <wp:effectExtent l="0" t="0" r="8890" b="0"/>
                <wp:docPr id="1171283554"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736EF6" w:rsidRPr="00F26C97" w:rsidRDefault="00736EF6" w:rsidP="003B0E72">
          <w:pPr>
            <w:pStyle w:val="Bottomblocktext"/>
            <w:rPr>
              <w:b/>
              <w:bCs w:val="0"/>
              <w:sz w:val="20"/>
              <w:szCs w:val="20"/>
            </w:rPr>
          </w:pPr>
          <w:r>
            <w:rPr>
              <w:b/>
              <w:bCs w:val="0"/>
              <w:noProof/>
              <w:sz w:val="20"/>
              <w:szCs w:val="20"/>
            </w:rPr>
            <w:drawing>
              <wp:inline distT="0" distB="0" distL="0" distR="0" wp14:anchorId="58E0C9D4" wp14:editId="58E0C9D5">
                <wp:extent cx="326104" cy="323850"/>
                <wp:effectExtent l="0" t="0" r="0" b="0"/>
                <wp:docPr id="475839572"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58E0C9D6" wp14:editId="58E0C9D7">
                <wp:extent cx="143919" cy="139700"/>
                <wp:effectExtent l="0" t="0" r="8890" b="0"/>
                <wp:docPr id="849597038"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736EF6" w:rsidRDefault="00736EF6" w:rsidP="003B0E72">
          <w:pPr>
            <w:pStyle w:val="Bottomblocktext"/>
            <w:rPr>
              <w:sz w:val="20"/>
              <w:szCs w:val="20"/>
            </w:rPr>
          </w:pPr>
          <w:hyperlink r:id="rId8" w:history="1">
            <w:r w:rsidRPr="00350211">
              <w:rPr>
                <w:rStyle w:val="Hyperlink"/>
                <w:sz w:val="20"/>
                <w:szCs w:val="20"/>
              </w:rPr>
              <w:t>canberrahealthservices.act.gov.au/accessibility</w:t>
            </w:r>
          </w:hyperlink>
        </w:p>
        <w:p w:rsidR="00736EF6" w:rsidRDefault="00736EF6" w:rsidP="00736EF6">
          <w:pPr>
            <w:pStyle w:val="D4696125BF204D69B4B6D9B24F11BFE8"/>
          </w:pPr>
          <w:r>
            <w:rPr>
              <w:b/>
              <w:bCs/>
              <w:noProof/>
            </w:rPr>
            <w:drawing>
              <wp:inline distT="0" distB="0" distL="0" distR="0" wp14:anchorId="58E0C9D8" wp14:editId="58E0C9D9">
                <wp:extent cx="1323833" cy="309418"/>
                <wp:effectExtent l="0" t="0" r="0" b="0"/>
                <wp:docPr id="2122099514"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B46"/>
    <w:rsid w:val="00165F5E"/>
    <w:rsid w:val="001B443F"/>
    <w:rsid w:val="001D503E"/>
    <w:rsid w:val="00277B46"/>
    <w:rsid w:val="00462690"/>
    <w:rsid w:val="00470D12"/>
    <w:rsid w:val="005819AA"/>
    <w:rsid w:val="00596607"/>
    <w:rsid w:val="00613C52"/>
    <w:rsid w:val="00631E28"/>
    <w:rsid w:val="006A19EC"/>
    <w:rsid w:val="006F7488"/>
    <w:rsid w:val="00736EF6"/>
    <w:rsid w:val="00752C34"/>
    <w:rsid w:val="007975E6"/>
    <w:rsid w:val="00834E14"/>
    <w:rsid w:val="008D79E7"/>
    <w:rsid w:val="009C386D"/>
    <w:rsid w:val="00A65C17"/>
    <w:rsid w:val="00AA0A57"/>
    <w:rsid w:val="00AA0F17"/>
    <w:rsid w:val="00C25057"/>
    <w:rsid w:val="00C95F15"/>
    <w:rsid w:val="00CF0944"/>
    <w:rsid w:val="00DD284C"/>
    <w:rsid w:val="00DF315B"/>
    <w:rsid w:val="00E043F0"/>
    <w:rsid w:val="00E747C1"/>
    <w:rsid w:val="00FF7D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EF6"/>
    <w:rPr>
      <w:color w:val="808080"/>
    </w:rPr>
  </w:style>
  <w:style w:type="character" w:styleId="Hyperlink">
    <w:name w:val="Hyperlink"/>
    <w:uiPriority w:val="99"/>
    <w:rsid w:val="00736EF6"/>
    <w:rPr>
      <w:color w:val="auto"/>
      <w:u w:val="single"/>
    </w:rPr>
  </w:style>
  <w:style w:type="paragraph" w:customStyle="1" w:styleId="Bottomblocktext">
    <w:name w:val="Bottom block text"/>
    <w:basedOn w:val="Normal"/>
    <w:uiPriority w:val="99"/>
    <w:rsid w:val="00736EF6"/>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6E607145AA3D458FBDB755EF4ED4F06A">
    <w:name w:val="6E607145AA3D458FBDB755EF4ED4F06A"/>
    <w:rsid w:val="00736EF6"/>
  </w:style>
  <w:style w:type="paragraph" w:customStyle="1" w:styleId="C18A1C3004EE4576910196C648765267">
    <w:name w:val="C18A1C3004EE4576910196C648765267"/>
    <w:rsid w:val="00736EF6"/>
  </w:style>
  <w:style w:type="paragraph" w:customStyle="1" w:styleId="D4696125BF204D69B4B6D9B24F11BFE8">
    <w:name w:val="D4696125BF204D69B4B6D9B24F11BFE8"/>
    <w:rsid w:val="00736E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a85ca2a71eb48d3bbf240e90b0ab54da">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b66b2be4ec89f51385ddf3da80aee9b7"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0239a80-7f07-4ed7-82c3-24ad7d76ada5">
      <Value>436</Value>
      <Value>417</Value>
      <Value>416</Value>
      <Value>415</Value>
      <Value>444</Value>
      <Value>460</Value>
    </TaxCatchAll>
    <Progress xmlns="690b2128-8961-48af-a473-22c34a9accba" xsi:nil="true"/>
    <Approval_x0020_Date xmlns="690b2128-8961-48af-a473-22c34a9accba">2025-04-22T14:00:00+00:00</Approval_x0020_Date>
    <Review_x0020_Date xmlns="690b2128-8961-48af-a473-22c34a9accba">2028-04-30T14:00:00+00:00</Review_x0020_Date>
    <Version_x0020_Number xmlns="690b2128-8961-48af-a473-22c34a9accba">1</Version_x0020_Number>
    <Notes0 xmlns="690b2128-8961-48af-a473-22c34a9accba" xsi:nil="true"/>
    <Key_x0020_Words xmlns="690b2128-8961-48af-a473-22c34a9accba">End of life, palliative care, Alexander Maconochie Centre, AMC, client, prisoner, death, dying, terminal, comfort care, Voluntary assisted dying, VAD, custody, </Key_x0020_Words>
    <Type_x0020_of_x0020_Document xmlns="690b2128-8961-48af-a473-22c34a9accba">Guideline</Type_x0020_of_x0020_Document>
    <Approval_x0020_Name_x007c_Committee xmlns="690b2128-8961-48af-a473-22c34a9accba">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CHS25/093</Replaces_x003a_>
    <ISD_x0020_Submitted xmlns="690b2128-8961-48af-a473-22c34a9accba">Yes</ISD_x0020_Submitted>
    <Risk_x0020_Rating xmlns="690b2128-8961-48af-a473-22c34a9accba">High</Risk_x0020_Rating>
    <Description0 xmlns="690b2128-8961-48af-a473-22c34a9accba">Provide guidance to Justice Health Services (JHS) staff to assess, plan and provide end of life and palliative care to detainees in custody at the Alexander Maconochie Centre (AMC) and Canberra Health Services (CHS) facilities</Description0>
    <Display_x0020_on_x0020_Internet xmlns="690b2128-8961-48af-a473-22c34a9accba">true</Display_x0020_on_x0020_Internet>
    <Related_x0020_Documents xmlns="690b2128-8961-48af-a473-22c34a9accba" xsi:nil="true"/>
    <Decision_x0020_Number xmlns="690b2128-8961-48af-a473-22c34a9accba">CHS25/186</Decision_x0020_Number>
    <RelatedPolicies_x002c_ProceduresGuidelines xmlns="690b2128-8961-48af-a473-22c34a9accba">
      <Value>17800</Value>
      <Value>16471</Value>
      <Value>17468</Value>
      <Value>17692</Value>
      <Value>17681</Value>
      <Value>15980</Value>
      <Value>17246</Value>
      <Value>16353</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Corrections Management Act 2007 (Territory)</TermName>
          <TermId xmlns="http://schemas.microsoft.com/office/infopath/2007/PartnerControls">56fb4dd2-9564-4d81-9cf8-aded72a4b7f9</TermId>
        </TermInfo>
        <TermInfo xmlns="http://schemas.microsoft.com/office/infopath/2007/PartnerControls">
          <TermName xmlns="http://schemas.microsoft.com/office/infopath/2007/PartnerControls">Coroners Act 1997 (Territory)</TermName>
          <TermId xmlns="http://schemas.microsoft.com/office/infopath/2007/PartnerControls">1553e02c-d66a-4c00-87f4-08d1fbdf545b</TermId>
        </TermInfo>
        <TermInfo xmlns="http://schemas.microsoft.com/office/infopath/2007/PartnerControls">
          <TermName xmlns="http://schemas.microsoft.com/office/infopath/2007/PartnerControls">Carer Recognition Act 2010 (Cth)</TermName>
          <TermId xmlns="http://schemas.microsoft.com/office/infopath/2007/PartnerControls">7e399963-a120-4fa2-8773-c52cd2bc7b82</TermId>
        </TermInfo>
      </Terms>
    </k0794e393e1f41c2810d090eedba34a0>
    <New_x0020_Owner xmlns="690b2128-8961-48af-a473-22c34a9accba">Mental Health, Justice Health and Alcohol and Drug Services (MHJHADS)</New_x0020_Owner>
  </documentManagement>
</p:properties>
</file>

<file path=customXml/itemProps1.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2.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3.xml><?xml version="1.0" encoding="utf-8"?>
<ds:datastoreItem xmlns:ds="http://schemas.openxmlformats.org/officeDocument/2006/customXml" ds:itemID="{87CC426B-E5B5-4458-8534-92B8497D7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F479F7-317B-462B-AD66-D0950C922A81}">
  <ds:schemaRefs>
    <ds:schemaRef ds:uri="690b2128-8961-48af-a473-22c34a9accba"/>
    <ds:schemaRef ds:uri="http://purl.org/dc/terms/"/>
    <ds:schemaRef ds:uri="http://purl.org/dc/dcmitype/"/>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c0239a80-7f07-4ed7-82c3-24ad7d76ada5"/>
  </ds:schemaRefs>
</ds:datastoreItem>
</file>

<file path=docProps/app.xml><?xml version="1.0" encoding="utf-8"?>
<Properties xmlns="http://schemas.openxmlformats.org/officeDocument/2006/extended-properties" xmlns:vt="http://schemas.openxmlformats.org/officeDocument/2006/docPropsVTypes">
  <Template>CHS Guideline Template (2)</Template>
  <TotalTime>58</TotalTime>
  <Pages>29</Pages>
  <Words>8567</Words>
  <Characters>48835</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End of Life Palliative Care and Voluntary Assisted Dying for Detainees at Alexander Maconochie Centre</vt:lpstr>
    </vt:vector>
  </TitlesOfParts>
  <Company>Canberra Health Services</Company>
  <LinksUpToDate>false</LinksUpToDate>
  <CharactersWithSpaces>57288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Life Palliative Care and Voluntary Assisted Dying for Detainees at Alexander Maconochie Centre</dc:title>
  <dc:creator>Ingwersen, Judith (Health)</dc:creator>
  <cp:lastModifiedBy>Rusanov, Zoia</cp:lastModifiedBy>
  <cp:revision>26</cp:revision>
  <cp:lastPrinted>2017-05-22T07:29:00Z</cp:lastPrinted>
  <dcterms:created xsi:type="dcterms:W3CDTF">2025-05-05T04:21:00Z</dcterms:created>
  <dcterms:modified xsi:type="dcterms:W3CDTF">2025-10-27T03:17:00Z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MediaServiceImageTags">
    <vt:lpwstr/>
  </property>
  <property fmtid="{D5CDD505-2E9C-101B-9397-08002B2CF9AE}" pid="11" name="Related Legislation &amp; Guidelines">
    <vt:lpwstr>415;#Health Records (Privacy and Access) Act 1997 (Territory)|d07d1347-0355-417c-badf-2bae9c7c0e3b;#416;#Human Rights Act 2004 (Territory)|bbb6fb4a-2117-4ff9-8364-021a762deae2;#417;#Work Health and Safety Act 2011 (Territory)|ff017976-c7e7-4dc1-b890-63352415bc5e;#444;#Corrections Management Act 2007 (Territory)|56fb4dd2-9564-4d81-9cf8-aded72a4b7f9;#460;#Coroners Act 1997 (Territory)|1553e02c-d66a-4c00-87f4-08d1fbdf545b;#436;#Carer Recognition Act 2010 (Cth)|7e399963-a120-4fa2-8773-c52cd2bc7b82</vt:lpwstr>
  </property>
  <property fmtid="{D5CDD505-2E9C-101B-9397-08002B2CF9AE}" pid="12" name="Related_x0020_Legislation_x0020__x0026__x0020_Guidelines">
    <vt:lpwstr>415;#Health Records (Privacy and Access) Act 1997 (Territory)|d07d1347-0355-417c-badf-2bae9c7c0e3b;#416;#Human Rights Act 2004 (Territory)|bbb6fb4a-2117-4ff9-8364-021a762deae2;#417;#Work Health and Safety Act 2011 (Territory)|ff017976-c7e7-4dc1-b890-63352415bc5e;#444;#Corrections Management Act 2007 (Territory)|56fb4dd2-9564-4d81-9cf8-aded72a4b7f9;#460;#Coroners Act 1997 (Territory)|1553e02c-d66a-4c00-87f4-08d1fbdf545b;#436;#Carer Recognition Act 2010 (Cth)|7e399963-a120-4fa2-8773-c52cd2bc7b82</vt:lpwstr>
  </property>
</Properties>
</file>