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BF92" w14:textId="0E7FCFF5" w:rsidR="7D41BAF7" w:rsidRDefault="7D41BAF7" w:rsidP="7D41BAF7">
      <w:pPr>
        <w:rPr>
          <w:rFonts w:cs="Arial"/>
          <w:b/>
          <w:bCs/>
          <w:sz w:val="40"/>
          <w:szCs w:val="40"/>
        </w:rPr>
      </w:pPr>
    </w:p>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0A9E3FCE" w:rsidR="009A534C" w:rsidRPr="00B541FD" w:rsidRDefault="00E8716A" w:rsidP="009A534C">
      <w:pPr>
        <w:rPr>
          <w:rFonts w:cs="Arial"/>
          <w:b/>
          <w:iCs/>
          <w:sz w:val="28"/>
          <w:szCs w:val="28"/>
        </w:rPr>
      </w:pPr>
      <w:r w:rsidRPr="00B541FD">
        <w:rPr>
          <w:rFonts w:cs="Arial"/>
          <w:b/>
          <w:iCs/>
          <w:sz w:val="36"/>
          <w:szCs w:val="36"/>
        </w:rPr>
        <w:t>Criteria Led Discharge - Adults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43E359EC" w:rsidR="009A534C" w:rsidRPr="00CD1C0E" w:rsidRDefault="009A534C" w:rsidP="00B10F87">
            <w:pPr>
              <w:pStyle w:val="Heading1"/>
            </w:pPr>
            <w:bookmarkStart w:id="0" w:name="_Toc389473273"/>
            <w:bookmarkStart w:id="1" w:name="_Toc393203330"/>
            <w:bookmarkStart w:id="2" w:name="Contents"/>
            <w:bookmarkStart w:id="3" w:name="_Toc135385862"/>
            <w:r w:rsidRPr="00CD1C0E">
              <w:t>Contents</w:t>
            </w:r>
            <w:bookmarkEnd w:id="0"/>
            <w:bookmarkEnd w:id="1"/>
            <w:bookmarkEnd w:id="2"/>
            <w:bookmarkEnd w:id="3"/>
          </w:p>
        </w:tc>
      </w:tr>
    </w:tbl>
    <w:p w14:paraId="086829D5" w14:textId="77777777" w:rsidR="009A534C" w:rsidRDefault="009A534C" w:rsidP="00C13D33"/>
    <w:p w14:paraId="2175D27A" w14:textId="149BCCAC" w:rsidR="001D2EDE" w:rsidRDefault="001D2EDE">
      <w:pPr>
        <w:pStyle w:val="TOC1"/>
        <w:tabs>
          <w:tab w:val="right" w:leader="dot" w:pos="9060"/>
        </w:tabs>
        <w:rPr>
          <w:rFonts w:eastAsiaTheme="minorEastAsia" w:cstheme="minorBidi"/>
          <w:noProof/>
          <w:sz w:val="22"/>
          <w:szCs w:val="22"/>
          <w:lang w:eastAsia="en-AU"/>
        </w:rPr>
      </w:pPr>
      <w:r>
        <w:rPr>
          <w:rFonts w:cs="Arial"/>
          <w:b/>
          <w:color w:val="2B579A"/>
          <w:sz w:val="36"/>
          <w:szCs w:val="36"/>
          <w:shd w:val="clear" w:color="auto" w:fill="E6E6E6"/>
        </w:rPr>
        <w:fldChar w:fldCharType="begin"/>
      </w:r>
      <w:r>
        <w:rPr>
          <w:rFonts w:cs="Arial"/>
          <w:b/>
          <w:sz w:val="36"/>
          <w:szCs w:val="36"/>
        </w:rPr>
        <w:instrText xml:space="preserve"> TOC \o "1-2" \h \z \u </w:instrText>
      </w:r>
      <w:r>
        <w:rPr>
          <w:rFonts w:cs="Arial"/>
          <w:b/>
          <w:color w:val="2B579A"/>
          <w:sz w:val="36"/>
          <w:szCs w:val="36"/>
          <w:shd w:val="clear" w:color="auto" w:fill="E6E6E6"/>
        </w:rPr>
        <w:fldChar w:fldCharType="separate"/>
      </w:r>
      <w:hyperlink w:anchor="_Toc135385862" w:history="1">
        <w:r w:rsidRPr="000E7202">
          <w:rPr>
            <w:rStyle w:val="Hyperlink"/>
            <w:noProof/>
          </w:rPr>
          <w:t>Contents</w:t>
        </w:r>
        <w:r>
          <w:rPr>
            <w:noProof/>
            <w:webHidden/>
          </w:rPr>
          <w:tab/>
        </w:r>
        <w:r>
          <w:rPr>
            <w:noProof/>
            <w:webHidden/>
            <w:color w:val="2B579A"/>
            <w:shd w:val="clear" w:color="auto" w:fill="E6E6E6"/>
          </w:rPr>
          <w:fldChar w:fldCharType="begin"/>
        </w:r>
        <w:r>
          <w:rPr>
            <w:noProof/>
            <w:webHidden/>
          </w:rPr>
          <w:instrText xml:space="preserve"> PAGEREF _Toc135385862 \h </w:instrText>
        </w:r>
        <w:r>
          <w:rPr>
            <w:noProof/>
            <w:webHidden/>
            <w:color w:val="2B579A"/>
            <w:shd w:val="clear" w:color="auto" w:fill="E6E6E6"/>
          </w:rPr>
        </w:r>
        <w:r>
          <w:rPr>
            <w:noProof/>
            <w:webHidden/>
            <w:color w:val="2B579A"/>
            <w:shd w:val="clear" w:color="auto" w:fill="E6E6E6"/>
          </w:rPr>
          <w:fldChar w:fldCharType="separate"/>
        </w:r>
        <w:r w:rsidR="009E3C1E">
          <w:rPr>
            <w:noProof/>
            <w:webHidden/>
          </w:rPr>
          <w:t>1</w:t>
        </w:r>
        <w:r>
          <w:rPr>
            <w:noProof/>
            <w:webHidden/>
            <w:color w:val="2B579A"/>
            <w:shd w:val="clear" w:color="auto" w:fill="E6E6E6"/>
          </w:rPr>
          <w:fldChar w:fldCharType="end"/>
        </w:r>
      </w:hyperlink>
    </w:p>
    <w:p w14:paraId="40184E1D" w14:textId="6BC91F27" w:rsidR="001D2EDE" w:rsidRDefault="0094517C">
      <w:pPr>
        <w:pStyle w:val="TOC1"/>
        <w:tabs>
          <w:tab w:val="right" w:leader="dot" w:pos="9060"/>
        </w:tabs>
        <w:rPr>
          <w:rFonts w:eastAsiaTheme="minorEastAsia" w:cstheme="minorBidi"/>
          <w:noProof/>
          <w:sz w:val="22"/>
          <w:szCs w:val="22"/>
          <w:lang w:eastAsia="en-AU"/>
        </w:rPr>
      </w:pPr>
      <w:hyperlink w:anchor="_Toc135385863" w:history="1">
        <w:r w:rsidR="001D2EDE" w:rsidRPr="000E7202">
          <w:rPr>
            <w:rStyle w:val="Hyperlink"/>
            <w:noProof/>
          </w:rPr>
          <w:t>Guideline Statement</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_Toc135385863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2</w:t>
        </w:r>
        <w:r w:rsidR="001D2EDE">
          <w:rPr>
            <w:noProof/>
            <w:webHidden/>
            <w:color w:val="2B579A"/>
            <w:shd w:val="clear" w:color="auto" w:fill="E6E6E6"/>
          </w:rPr>
          <w:fldChar w:fldCharType="end"/>
        </w:r>
      </w:hyperlink>
    </w:p>
    <w:p w14:paraId="7F79866C" w14:textId="7B2059A2" w:rsidR="001D2EDE" w:rsidRDefault="0094517C">
      <w:pPr>
        <w:pStyle w:val="TOC1"/>
        <w:tabs>
          <w:tab w:val="right" w:leader="dot" w:pos="9060"/>
        </w:tabs>
        <w:rPr>
          <w:rFonts w:eastAsiaTheme="minorEastAsia" w:cstheme="minorBidi"/>
          <w:noProof/>
          <w:sz w:val="22"/>
          <w:szCs w:val="22"/>
          <w:lang w:eastAsia="en-AU"/>
        </w:rPr>
      </w:pPr>
      <w:hyperlink w:anchor="_Toc135385864" w:history="1">
        <w:r w:rsidR="001D2EDE" w:rsidRPr="000E7202">
          <w:rPr>
            <w:rStyle w:val="Hyperlink"/>
            <w:noProof/>
          </w:rPr>
          <w:t>Scope</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_Toc135385864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2</w:t>
        </w:r>
        <w:r w:rsidR="001D2EDE">
          <w:rPr>
            <w:noProof/>
            <w:webHidden/>
            <w:color w:val="2B579A"/>
            <w:shd w:val="clear" w:color="auto" w:fill="E6E6E6"/>
          </w:rPr>
          <w:fldChar w:fldCharType="end"/>
        </w:r>
      </w:hyperlink>
    </w:p>
    <w:p w14:paraId="7426DFE8" w14:textId="762D2C2C" w:rsidR="001D2EDE" w:rsidRDefault="0094517C">
      <w:pPr>
        <w:pStyle w:val="TOC1"/>
        <w:tabs>
          <w:tab w:val="right" w:leader="dot" w:pos="9060"/>
        </w:tabs>
        <w:rPr>
          <w:rFonts w:eastAsiaTheme="minorEastAsia" w:cstheme="minorBidi"/>
          <w:noProof/>
          <w:sz w:val="22"/>
          <w:szCs w:val="22"/>
          <w:lang w:eastAsia="en-AU"/>
        </w:rPr>
      </w:pPr>
      <w:hyperlink w:anchor="_Toc135385865" w:history="1">
        <w:r w:rsidR="001D2EDE" w:rsidRPr="000E7202">
          <w:rPr>
            <w:rStyle w:val="Hyperlink"/>
            <w:noProof/>
          </w:rPr>
          <w:t>Section 1 - Responsibilities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_Toc135385865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3</w:t>
        </w:r>
        <w:r w:rsidR="001D2EDE">
          <w:rPr>
            <w:noProof/>
            <w:webHidden/>
            <w:color w:val="2B579A"/>
            <w:shd w:val="clear" w:color="auto" w:fill="E6E6E6"/>
          </w:rPr>
          <w:fldChar w:fldCharType="end"/>
        </w:r>
      </w:hyperlink>
    </w:p>
    <w:p w14:paraId="1268BF18" w14:textId="4D770CA2" w:rsidR="001D2EDE" w:rsidRDefault="0094517C">
      <w:pPr>
        <w:pStyle w:val="TOC1"/>
        <w:tabs>
          <w:tab w:val="right" w:leader="dot" w:pos="9060"/>
        </w:tabs>
        <w:rPr>
          <w:rFonts w:eastAsiaTheme="minorEastAsia" w:cstheme="minorBidi"/>
          <w:noProof/>
          <w:sz w:val="22"/>
          <w:szCs w:val="22"/>
          <w:lang w:eastAsia="en-AU"/>
        </w:rPr>
      </w:pPr>
      <w:hyperlink w:anchor="_Toc135385866" w:history="1">
        <w:r w:rsidR="001D2EDE" w:rsidRPr="000E7202">
          <w:rPr>
            <w:rStyle w:val="Hyperlink"/>
            <w:noProof/>
          </w:rPr>
          <w:t>Section 2 – Indications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_Toc135385866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3</w:t>
        </w:r>
        <w:r w:rsidR="001D2EDE">
          <w:rPr>
            <w:noProof/>
            <w:webHidden/>
            <w:color w:val="2B579A"/>
            <w:shd w:val="clear" w:color="auto" w:fill="E6E6E6"/>
          </w:rPr>
          <w:fldChar w:fldCharType="end"/>
        </w:r>
      </w:hyperlink>
    </w:p>
    <w:p w14:paraId="5777C047" w14:textId="26FFE9B9" w:rsidR="001D2EDE" w:rsidRDefault="0094517C">
      <w:pPr>
        <w:pStyle w:val="TOC1"/>
        <w:tabs>
          <w:tab w:val="right" w:leader="dot" w:pos="9060"/>
        </w:tabs>
        <w:rPr>
          <w:rFonts w:eastAsiaTheme="minorEastAsia" w:cstheme="minorBidi"/>
          <w:noProof/>
          <w:sz w:val="22"/>
          <w:szCs w:val="22"/>
          <w:lang w:eastAsia="en-AU"/>
        </w:rPr>
      </w:pPr>
      <w:hyperlink w:anchor="_Toc135385867" w:history="1">
        <w:r w:rsidR="001D2EDE" w:rsidRPr="000E7202">
          <w:rPr>
            <w:rStyle w:val="Hyperlink"/>
            <w:noProof/>
          </w:rPr>
          <w:t>Section 3 – Criteria</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_Toc135385867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3</w:t>
        </w:r>
        <w:r w:rsidR="001D2EDE">
          <w:rPr>
            <w:noProof/>
            <w:webHidden/>
            <w:color w:val="2B579A"/>
            <w:shd w:val="clear" w:color="auto" w:fill="E6E6E6"/>
          </w:rPr>
          <w:fldChar w:fldCharType="end"/>
        </w:r>
      </w:hyperlink>
    </w:p>
    <w:p w14:paraId="2818455A" w14:textId="5EDF6C16" w:rsidR="001D2EDE" w:rsidRDefault="0094517C">
      <w:pPr>
        <w:pStyle w:val="TOC1"/>
        <w:tabs>
          <w:tab w:val="right" w:leader="dot" w:pos="9060"/>
        </w:tabs>
        <w:rPr>
          <w:rFonts w:eastAsiaTheme="minorEastAsia" w:cstheme="minorBidi"/>
          <w:noProof/>
          <w:sz w:val="22"/>
          <w:szCs w:val="22"/>
          <w:lang w:eastAsia="en-AU"/>
        </w:rPr>
      </w:pPr>
      <w:hyperlink w:anchor="_Toc135385868" w:history="1">
        <w:r w:rsidR="001D2EDE" w:rsidRPr="000E7202">
          <w:rPr>
            <w:rStyle w:val="Hyperlink"/>
            <w:noProof/>
          </w:rPr>
          <w:t>Section 4 – Training and credentialling requirements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_Toc135385868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4</w:t>
        </w:r>
        <w:r w:rsidR="001D2EDE">
          <w:rPr>
            <w:noProof/>
            <w:webHidden/>
            <w:color w:val="2B579A"/>
            <w:shd w:val="clear" w:color="auto" w:fill="E6E6E6"/>
          </w:rPr>
          <w:fldChar w:fldCharType="end"/>
        </w:r>
      </w:hyperlink>
    </w:p>
    <w:p w14:paraId="46295434" w14:textId="5ECEBF14" w:rsidR="001D2EDE" w:rsidRDefault="0094517C">
      <w:pPr>
        <w:pStyle w:val="TOC1"/>
        <w:tabs>
          <w:tab w:val="right" w:leader="dot" w:pos="9060"/>
        </w:tabs>
        <w:rPr>
          <w:rFonts w:eastAsiaTheme="minorEastAsia" w:cstheme="minorBidi"/>
          <w:noProof/>
          <w:sz w:val="22"/>
          <w:szCs w:val="22"/>
          <w:lang w:eastAsia="en-AU"/>
        </w:rPr>
      </w:pPr>
      <w:hyperlink w:anchor="_Toc135385869" w:history="1">
        <w:r w:rsidR="001D2EDE" w:rsidRPr="000E7202">
          <w:rPr>
            <w:rStyle w:val="Hyperlink"/>
            <w:noProof/>
          </w:rPr>
          <w:t>Section 5 – Recommended CLD process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_Toc135385869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4</w:t>
        </w:r>
        <w:r w:rsidR="001D2EDE">
          <w:rPr>
            <w:noProof/>
            <w:webHidden/>
            <w:color w:val="2B579A"/>
            <w:shd w:val="clear" w:color="auto" w:fill="E6E6E6"/>
          </w:rPr>
          <w:fldChar w:fldCharType="end"/>
        </w:r>
      </w:hyperlink>
    </w:p>
    <w:p w14:paraId="3A9025CF" w14:textId="5E656938" w:rsidR="001D2EDE" w:rsidRDefault="0094517C">
      <w:pPr>
        <w:pStyle w:val="TOC1"/>
        <w:tabs>
          <w:tab w:val="right" w:leader="dot" w:pos="9060"/>
        </w:tabs>
        <w:rPr>
          <w:rFonts w:eastAsiaTheme="minorEastAsia" w:cstheme="minorBidi"/>
          <w:noProof/>
          <w:sz w:val="22"/>
          <w:szCs w:val="22"/>
          <w:lang w:eastAsia="en-AU"/>
        </w:rPr>
      </w:pPr>
      <w:hyperlink w:anchor="_Toc135385870" w:history="1">
        <w:r w:rsidR="001D2EDE" w:rsidRPr="000E7202">
          <w:rPr>
            <w:rStyle w:val="Hyperlink"/>
            <w:noProof/>
          </w:rPr>
          <w:t>Evaluation</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_Toc135385870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5</w:t>
        </w:r>
        <w:r w:rsidR="001D2EDE">
          <w:rPr>
            <w:noProof/>
            <w:webHidden/>
            <w:color w:val="2B579A"/>
            <w:shd w:val="clear" w:color="auto" w:fill="E6E6E6"/>
          </w:rPr>
          <w:fldChar w:fldCharType="end"/>
        </w:r>
      </w:hyperlink>
    </w:p>
    <w:p w14:paraId="470744A6" w14:textId="70962088" w:rsidR="001D2EDE" w:rsidRDefault="0094517C">
      <w:pPr>
        <w:pStyle w:val="TOC1"/>
        <w:tabs>
          <w:tab w:val="right" w:leader="dot" w:pos="9060"/>
        </w:tabs>
        <w:rPr>
          <w:rFonts w:eastAsiaTheme="minorEastAsia" w:cstheme="minorBidi"/>
          <w:noProof/>
          <w:sz w:val="22"/>
          <w:szCs w:val="22"/>
          <w:lang w:eastAsia="en-AU"/>
        </w:rPr>
      </w:pPr>
      <w:hyperlink w:anchor="_Toc135385871" w:history="1">
        <w:r w:rsidR="001D2EDE" w:rsidRPr="000E7202">
          <w:rPr>
            <w:rStyle w:val="Hyperlink"/>
            <w:noProof/>
          </w:rPr>
          <w:t>Related Policies, Procedures, Guidelines and Legislation</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_Toc135385871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5</w:t>
        </w:r>
        <w:r w:rsidR="001D2EDE">
          <w:rPr>
            <w:noProof/>
            <w:webHidden/>
            <w:color w:val="2B579A"/>
            <w:shd w:val="clear" w:color="auto" w:fill="E6E6E6"/>
          </w:rPr>
          <w:fldChar w:fldCharType="end"/>
        </w:r>
      </w:hyperlink>
    </w:p>
    <w:p w14:paraId="7CE174F5" w14:textId="0304B3A2" w:rsidR="001D2EDE" w:rsidRDefault="0094517C">
      <w:pPr>
        <w:pStyle w:val="TOC1"/>
        <w:tabs>
          <w:tab w:val="right" w:leader="dot" w:pos="9060"/>
        </w:tabs>
        <w:rPr>
          <w:rFonts w:eastAsiaTheme="minorEastAsia" w:cstheme="minorBidi"/>
          <w:noProof/>
          <w:sz w:val="22"/>
          <w:szCs w:val="22"/>
          <w:lang w:eastAsia="en-AU"/>
        </w:rPr>
      </w:pPr>
      <w:hyperlink w:anchor="_Toc135385872" w:history="1">
        <w:r w:rsidR="001D2EDE" w:rsidRPr="000E7202">
          <w:rPr>
            <w:rStyle w:val="Hyperlink"/>
            <w:noProof/>
          </w:rPr>
          <w:t>References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_Toc135385872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6</w:t>
        </w:r>
        <w:r w:rsidR="001D2EDE">
          <w:rPr>
            <w:noProof/>
            <w:webHidden/>
            <w:color w:val="2B579A"/>
            <w:shd w:val="clear" w:color="auto" w:fill="E6E6E6"/>
          </w:rPr>
          <w:fldChar w:fldCharType="end"/>
        </w:r>
      </w:hyperlink>
    </w:p>
    <w:p w14:paraId="7050E758" w14:textId="59E8D4C4" w:rsidR="001D2EDE" w:rsidRDefault="0094517C">
      <w:pPr>
        <w:pStyle w:val="TOC1"/>
        <w:tabs>
          <w:tab w:val="right" w:leader="dot" w:pos="9060"/>
        </w:tabs>
        <w:rPr>
          <w:rFonts w:eastAsiaTheme="minorEastAsia" w:cstheme="minorBidi"/>
          <w:noProof/>
          <w:sz w:val="22"/>
          <w:szCs w:val="22"/>
          <w:lang w:eastAsia="en-AU"/>
        </w:rPr>
      </w:pPr>
      <w:hyperlink w:anchor="_Toc135385873" w:history="1">
        <w:r w:rsidR="001D2EDE" w:rsidRPr="000E7202">
          <w:rPr>
            <w:rStyle w:val="Hyperlink"/>
            <w:noProof/>
          </w:rPr>
          <w:t>Definition of Terms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_Toc135385873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6</w:t>
        </w:r>
        <w:r w:rsidR="001D2EDE">
          <w:rPr>
            <w:noProof/>
            <w:webHidden/>
            <w:color w:val="2B579A"/>
            <w:shd w:val="clear" w:color="auto" w:fill="E6E6E6"/>
          </w:rPr>
          <w:fldChar w:fldCharType="end"/>
        </w:r>
      </w:hyperlink>
    </w:p>
    <w:p w14:paraId="6AC7FD0C" w14:textId="65DD2449" w:rsidR="001D2EDE" w:rsidRDefault="0094517C">
      <w:pPr>
        <w:pStyle w:val="TOC1"/>
        <w:tabs>
          <w:tab w:val="right" w:leader="dot" w:pos="9060"/>
        </w:tabs>
        <w:rPr>
          <w:rFonts w:eastAsiaTheme="minorEastAsia" w:cstheme="minorBidi"/>
          <w:noProof/>
          <w:sz w:val="22"/>
          <w:szCs w:val="22"/>
          <w:lang w:eastAsia="en-AU"/>
        </w:rPr>
      </w:pPr>
      <w:hyperlink w:anchor="_Toc135385874" w:history="1">
        <w:r w:rsidR="001D2EDE" w:rsidRPr="000E7202">
          <w:rPr>
            <w:rStyle w:val="Hyperlink"/>
            <w:noProof/>
          </w:rPr>
          <w:t>Search Terms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_Toc135385874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7</w:t>
        </w:r>
        <w:r w:rsidR="001D2EDE">
          <w:rPr>
            <w:noProof/>
            <w:webHidden/>
            <w:color w:val="2B579A"/>
            <w:shd w:val="clear" w:color="auto" w:fill="E6E6E6"/>
          </w:rPr>
          <w:fldChar w:fldCharType="end"/>
        </w:r>
      </w:hyperlink>
    </w:p>
    <w:p w14:paraId="1543ACB9" w14:textId="1AAA3F24" w:rsidR="001D2EDE" w:rsidRDefault="0094517C">
      <w:pPr>
        <w:pStyle w:val="TOC1"/>
        <w:tabs>
          <w:tab w:val="right" w:leader="dot" w:pos="9060"/>
        </w:tabs>
        <w:rPr>
          <w:rFonts w:eastAsiaTheme="minorEastAsia" w:cstheme="minorBidi"/>
          <w:noProof/>
          <w:sz w:val="22"/>
          <w:szCs w:val="22"/>
          <w:lang w:eastAsia="en-AU"/>
        </w:rPr>
      </w:pPr>
      <w:hyperlink w:anchor="_Toc135385875" w:history="1">
        <w:r w:rsidR="001D2EDE" w:rsidRPr="000E7202">
          <w:rPr>
            <w:rStyle w:val="Hyperlink"/>
            <w:noProof/>
          </w:rPr>
          <w:t>Attachments</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_Toc135385875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7</w:t>
        </w:r>
        <w:r w:rsidR="001D2EDE">
          <w:rPr>
            <w:noProof/>
            <w:webHidden/>
            <w:color w:val="2B579A"/>
            <w:shd w:val="clear" w:color="auto" w:fill="E6E6E6"/>
          </w:rPr>
          <w:fldChar w:fldCharType="end"/>
        </w:r>
      </w:hyperlink>
    </w:p>
    <w:p w14:paraId="6045F651" w14:textId="40938CA9" w:rsidR="001D2EDE" w:rsidRDefault="0094517C">
      <w:pPr>
        <w:pStyle w:val="TOC2"/>
        <w:tabs>
          <w:tab w:val="right" w:leader="dot" w:pos="9060"/>
        </w:tabs>
        <w:rPr>
          <w:rFonts w:eastAsiaTheme="minorEastAsia" w:cstheme="minorBidi"/>
          <w:noProof/>
          <w:sz w:val="22"/>
          <w:szCs w:val="22"/>
          <w:lang w:eastAsia="en-AU"/>
        </w:rPr>
      </w:pPr>
      <w:hyperlink w:anchor="_Toc135385876" w:history="1">
        <w:r w:rsidR="001D2EDE" w:rsidRPr="000E7202">
          <w:rPr>
            <w:rStyle w:val="Hyperlink"/>
            <w:noProof/>
          </w:rPr>
          <w:t>Criteria Led Discharge (CLD) Staff Information Sheet</w:t>
        </w:r>
        <w:r w:rsidR="001D2EDE">
          <w:rPr>
            <w:noProof/>
            <w:webHidden/>
          </w:rPr>
          <w:tab/>
        </w:r>
        <w:r w:rsidR="001D2EDE">
          <w:rPr>
            <w:noProof/>
            <w:webHidden/>
            <w:color w:val="2B579A"/>
            <w:shd w:val="clear" w:color="auto" w:fill="E6E6E6"/>
          </w:rPr>
          <w:fldChar w:fldCharType="begin"/>
        </w:r>
        <w:r w:rsidR="001D2EDE">
          <w:rPr>
            <w:noProof/>
            <w:webHidden/>
          </w:rPr>
          <w:instrText xml:space="preserve"> PAGEREF _Toc135385876 \h </w:instrText>
        </w:r>
        <w:r w:rsidR="001D2EDE">
          <w:rPr>
            <w:noProof/>
            <w:webHidden/>
            <w:color w:val="2B579A"/>
            <w:shd w:val="clear" w:color="auto" w:fill="E6E6E6"/>
          </w:rPr>
        </w:r>
        <w:r w:rsidR="001D2EDE">
          <w:rPr>
            <w:noProof/>
            <w:webHidden/>
            <w:color w:val="2B579A"/>
            <w:shd w:val="clear" w:color="auto" w:fill="E6E6E6"/>
          </w:rPr>
          <w:fldChar w:fldCharType="separate"/>
        </w:r>
        <w:r w:rsidR="009E3C1E">
          <w:rPr>
            <w:noProof/>
            <w:webHidden/>
          </w:rPr>
          <w:t>8</w:t>
        </w:r>
        <w:r w:rsidR="001D2EDE">
          <w:rPr>
            <w:noProof/>
            <w:webHidden/>
            <w:color w:val="2B579A"/>
            <w:shd w:val="clear" w:color="auto" w:fill="E6E6E6"/>
          </w:rPr>
          <w:fldChar w:fldCharType="end"/>
        </w:r>
      </w:hyperlink>
    </w:p>
    <w:p w14:paraId="086829E2" w14:textId="77077BB5" w:rsidR="009A534C" w:rsidRDefault="001D2EDE" w:rsidP="006743DB">
      <w:r>
        <w:rPr>
          <w:rFonts w:asciiTheme="minorHAnsi" w:hAnsiTheme="minorHAnsi" w:cs="Arial"/>
          <w:b/>
          <w:color w:val="2B579A"/>
          <w:sz w:val="36"/>
          <w:szCs w:val="36"/>
          <w:shd w:val="clear" w:color="auto" w:fill="E6E6E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35385863"/>
            <w:r>
              <w:lastRenderedPageBreak/>
              <w:t>Guideline Statement</w:t>
            </w:r>
            <w:bookmarkEnd w:id="4"/>
          </w:p>
        </w:tc>
      </w:tr>
    </w:tbl>
    <w:p w14:paraId="086829E6" w14:textId="77777777" w:rsidR="009A534C" w:rsidRDefault="009A534C" w:rsidP="00C13D33">
      <w:pPr>
        <w:rPr>
          <w:rFonts w:cs="Arial"/>
          <w:b/>
          <w:szCs w:val="24"/>
        </w:rPr>
      </w:pPr>
    </w:p>
    <w:p w14:paraId="086829E8" w14:textId="1A720420" w:rsidR="00B10F87" w:rsidRDefault="00701C03" w:rsidP="00941B38">
      <w:r>
        <w:t>Th</w:t>
      </w:r>
      <w:r w:rsidR="00AF14BE">
        <w:t>is</w:t>
      </w:r>
      <w:r>
        <w:t xml:space="preserve"> guideline provides</w:t>
      </w:r>
      <w:r w:rsidR="00AF14BE">
        <w:t xml:space="preserve"> </w:t>
      </w:r>
      <w:r>
        <w:t xml:space="preserve">recommendations regarding best practice for Criteria Led Discharge (CLD). </w:t>
      </w:r>
    </w:p>
    <w:p w14:paraId="478EC49D" w14:textId="77777777" w:rsidR="008346D7" w:rsidRPr="00701C03" w:rsidRDefault="008346D7" w:rsidP="00941B38"/>
    <w:p w14:paraId="086829E9" w14:textId="2368E09A" w:rsidR="00010E74" w:rsidRDefault="00010E74" w:rsidP="00941B38">
      <w:pPr>
        <w:rPr>
          <w:b/>
          <w:bCs/>
        </w:rPr>
      </w:pPr>
      <w:r w:rsidRPr="00941B38">
        <w:rPr>
          <w:b/>
          <w:bCs/>
        </w:rPr>
        <w:t>Background</w:t>
      </w:r>
    </w:p>
    <w:p w14:paraId="097D34FD" w14:textId="59DB7DBF" w:rsidR="00E14D9F" w:rsidRDefault="00E14D9F" w:rsidP="00941B38">
      <w:pPr>
        <w:rPr>
          <w:b/>
          <w:bCs/>
        </w:rPr>
      </w:pPr>
    </w:p>
    <w:p w14:paraId="576992E8" w14:textId="031CF799" w:rsidR="00E14D9F" w:rsidRPr="00B51B20" w:rsidRDefault="00E14D9F" w:rsidP="00E14D9F">
      <w:pPr>
        <w:rPr>
          <w:lang w:eastAsia="en-AU"/>
        </w:rPr>
      </w:pPr>
      <w:r w:rsidRPr="00B51B20">
        <w:rPr>
          <w:lang w:eastAsia="en-AU"/>
        </w:rPr>
        <w:t>While there are many components that contribute to effective bed utilisation,</w:t>
      </w:r>
      <w:r w:rsidR="006E0FF0">
        <w:rPr>
          <w:lang w:eastAsia="en-AU"/>
        </w:rPr>
        <w:t xml:space="preserve"> </w:t>
      </w:r>
      <w:r w:rsidR="00B03E7D">
        <w:rPr>
          <w:lang w:eastAsia="en-AU"/>
        </w:rPr>
        <w:t>the</w:t>
      </w:r>
      <w:r w:rsidR="00B03E7D" w:rsidRPr="00B51B20">
        <w:rPr>
          <w:lang w:eastAsia="en-AU"/>
        </w:rPr>
        <w:t xml:space="preserve"> implementation</w:t>
      </w:r>
      <w:r w:rsidRPr="00B51B20">
        <w:rPr>
          <w:lang w:eastAsia="en-AU"/>
        </w:rPr>
        <w:t xml:space="preserve"> of appropriate discharge processes is key to facilitating optimal patient flow. The use of CLD facilitates effective discharge practice by enabling clinicians, aside from Medical Specialists, with the necessary knowledge, skills and experience to review patients and initiate discharge in line with criteria, policies and procedures which have multi-disciplinary agreement.</w:t>
      </w:r>
    </w:p>
    <w:p w14:paraId="5474007F" w14:textId="77777777" w:rsidR="00E14D9F" w:rsidRPr="00941B38" w:rsidRDefault="00E14D9F" w:rsidP="00941B38">
      <w:pPr>
        <w:rPr>
          <w:b/>
          <w:bCs/>
        </w:rPr>
      </w:pPr>
    </w:p>
    <w:p w14:paraId="086829EB" w14:textId="108E1A7B" w:rsidR="00010E74" w:rsidRDefault="006D4001" w:rsidP="00941B38">
      <w:r>
        <w:t xml:space="preserve">The </w:t>
      </w:r>
      <w:r w:rsidR="00AD632D">
        <w:t>CLD</w:t>
      </w:r>
      <w:r w:rsidR="005A3F0E">
        <w:t xml:space="preserve"> process</w:t>
      </w:r>
      <w:r>
        <w:t xml:space="preserve"> </w:t>
      </w:r>
      <w:r w:rsidR="00AD632D">
        <w:t>provide</w:t>
      </w:r>
      <w:r>
        <w:t>s</w:t>
      </w:r>
      <w:r w:rsidR="00AD632D">
        <w:t xml:space="preserve"> </w:t>
      </w:r>
      <w:r w:rsidR="008B2450">
        <w:t xml:space="preserve">a </w:t>
      </w:r>
      <w:r w:rsidR="00284538">
        <w:t xml:space="preserve"> </w:t>
      </w:r>
      <w:r w:rsidR="000723F7">
        <w:t xml:space="preserve">multidisciplinary </w:t>
      </w:r>
      <w:r w:rsidR="00701C03">
        <w:t>disciplinary team (</w:t>
      </w:r>
      <w:r w:rsidR="00284538">
        <w:t>M</w:t>
      </w:r>
      <w:r w:rsidR="00701C03">
        <w:t xml:space="preserve">DT) decision making approach </w:t>
      </w:r>
      <w:r w:rsidR="005E2E94">
        <w:t xml:space="preserve">to </w:t>
      </w:r>
      <w:r w:rsidR="00701C03">
        <w:t>decid</w:t>
      </w:r>
      <w:r w:rsidR="00372414">
        <w:t>e</w:t>
      </w:r>
      <w:r w:rsidR="00701C03">
        <w:t xml:space="preserve"> when a patient is </w:t>
      </w:r>
      <w:r w:rsidR="0061022E">
        <w:t xml:space="preserve">suitable </w:t>
      </w:r>
      <w:r w:rsidR="00701C03">
        <w:t xml:space="preserve">for discharge. Discharge delays are avoided by a competent Senior Nurse or Junior Medical Officer monitoring criteria set by the </w:t>
      </w:r>
      <w:r w:rsidR="004F2B9D" w:rsidRPr="004F2B9D">
        <w:t xml:space="preserve">Medical Officer from the </w:t>
      </w:r>
      <w:r w:rsidR="004F2B9D" w:rsidRPr="004F2B9D">
        <w:rPr>
          <w:rFonts w:cs="Arial"/>
        </w:rPr>
        <w:t>primary treating team</w:t>
      </w:r>
      <w:r w:rsidR="004F2B9D" w:rsidRPr="004F2B9D" w:rsidDel="004F2B9D">
        <w:rPr>
          <w:rFonts w:cs="Arial"/>
        </w:rPr>
        <w:t xml:space="preserve"> </w:t>
      </w:r>
      <w:r w:rsidR="00284538">
        <w:rPr>
          <w:rFonts w:cs="Arial"/>
        </w:rPr>
        <w:t xml:space="preserve">in collaboration with the </w:t>
      </w:r>
      <w:r w:rsidR="00701C03">
        <w:t xml:space="preserve">multidisciplinary </w:t>
      </w:r>
      <w:r w:rsidR="006502D6">
        <w:t>team.</w:t>
      </w:r>
    </w:p>
    <w:p w14:paraId="28ADE383" w14:textId="7D541237" w:rsidR="00D53076" w:rsidRDefault="00D53076" w:rsidP="00941B38"/>
    <w:p w14:paraId="37C4ABC5" w14:textId="77777777" w:rsidR="00D53076" w:rsidRPr="00E14D9F" w:rsidRDefault="00D53076" w:rsidP="00D53076">
      <w:r w:rsidRPr="00E14D9F">
        <w:t>Improvements associated with the implementation of CLD have been identified as:</w:t>
      </w:r>
    </w:p>
    <w:p w14:paraId="023E7628" w14:textId="77777777" w:rsidR="003637A2" w:rsidRDefault="00D53076" w:rsidP="00D53076">
      <w:pPr>
        <w:pStyle w:val="ListBullet"/>
      </w:pPr>
      <w:r>
        <w:t>i</w:t>
      </w:r>
      <w:r w:rsidRPr="00B51B20">
        <w:t>ncreased patient and staff satisfaction</w:t>
      </w:r>
      <w:r w:rsidR="00BB2225">
        <w:t xml:space="preserve"> </w:t>
      </w:r>
    </w:p>
    <w:p w14:paraId="0EFE811B" w14:textId="0534F694" w:rsidR="00D53076" w:rsidRPr="00B51B20" w:rsidRDefault="00BB2225" w:rsidP="00D53076">
      <w:pPr>
        <w:pStyle w:val="ListBullet"/>
      </w:pPr>
      <w:r>
        <w:t>improve</w:t>
      </w:r>
      <w:r w:rsidR="003637A2">
        <w:t>d</w:t>
      </w:r>
      <w:r>
        <w:t xml:space="preserve"> communication with </w:t>
      </w:r>
      <w:r w:rsidR="003637A2">
        <w:t>patient</w:t>
      </w:r>
    </w:p>
    <w:p w14:paraId="54ABA8CC" w14:textId="5F0B8B94" w:rsidR="00D53076" w:rsidRPr="00B51B20" w:rsidRDefault="00D53076" w:rsidP="00D53076">
      <w:pPr>
        <w:pStyle w:val="ListBullet"/>
      </w:pPr>
      <w:r>
        <w:t>r</w:t>
      </w:r>
      <w:r w:rsidRPr="00B51B20">
        <w:t>educed length of stay</w:t>
      </w:r>
    </w:p>
    <w:p w14:paraId="58777898" w14:textId="076A72E5" w:rsidR="00D53076" w:rsidRPr="00B51B20" w:rsidRDefault="00D53076" w:rsidP="00D53076">
      <w:pPr>
        <w:pStyle w:val="ListBullet"/>
      </w:pPr>
      <w:r>
        <w:t>i</w:t>
      </w:r>
      <w:r w:rsidRPr="00B51B20">
        <w:t>ncreased percentage of discharges that occur before new admissions arrive</w:t>
      </w:r>
    </w:p>
    <w:p w14:paraId="7A5A3AEE" w14:textId="47F6D6CC" w:rsidR="00D53076" w:rsidRPr="00B51B20" w:rsidRDefault="00D53076" w:rsidP="00D53076">
      <w:pPr>
        <w:pStyle w:val="ListBullet"/>
      </w:pPr>
      <w:r>
        <w:t>i</w:t>
      </w:r>
      <w:r w:rsidRPr="00B51B20">
        <w:t>ncreased weekend discharges</w:t>
      </w:r>
    </w:p>
    <w:p w14:paraId="7293A2E3" w14:textId="086B62B1" w:rsidR="00D53076" w:rsidRPr="00B51B20" w:rsidRDefault="00D53076" w:rsidP="00D53076">
      <w:pPr>
        <w:pStyle w:val="ListBullet"/>
      </w:pPr>
      <w:r>
        <w:t>c</w:t>
      </w:r>
      <w:r w:rsidRPr="00B51B20">
        <w:t>oordinated safe discharge planning, hence improved patient care</w:t>
      </w:r>
    </w:p>
    <w:p w14:paraId="63F3A370" w14:textId="2CA00C67" w:rsidR="00E96E85" w:rsidRDefault="00D53076" w:rsidP="00B77BF9">
      <w:pPr>
        <w:pStyle w:val="ListBullet"/>
      </w:pPr>
      <w:r>
        <w:t>b</w:t>
      </w:r>
      <w:r w:rsidRPr="00B51B20">
        <w:t>etter use of medical specialist time.</w:t>
      </w:r>
    </w:p>
    <w:p w14:paraId="771A0860" w14:textId="77777777" w:rsidR="001E5659" w:rsidRDefault="001E5659" w:rsidP="00941B38"/>
    <w:p w14:paraId="26ABBBF0" w14:textId="314A8754" w:rsidR="00E96E85" w:rsidRPr="00D53076" w:rsidRDefault="00E96E85" w:rsidP="00941B38">
      <w:pPr>
        <w:rPr>
          <w:color w:val="000000" w:themeColor="text1"/>
        </w:rPr>
      </w:pPr>
      <w:r w:rsidRPr="00D53076">
        <w:rPr>
          <w:color w:val="000000" w:themeColor="text1"/>
        </w:rPr>
        <w:t>The Canberra Health Services (CHS) time for discharge is 10:00am. CLD is a strategy</w:t>
      </w:r>
      <w:r w:rsidR="00636F80">
        <w:rPr>
          <w:color w:val="000000" w:themeColor="text1"/>
        </w:rPr>
        <w:t xml:space="preserve"> used</w:t>
      </w:r>
      <w:r w:rsidRPr="00D53076">
        <w:rPr>
          <w:color w:val="000000" w:themeColor="text1"/>
        </w:rPr>
        <w:t xml:space="preserve"> to enable the organisation to meet </w:t>
      </w:r>
      <w:r w:rsidR="00636F80">
        <w:rPr>
          <w:color w:val="000000" w:themeColor="text1"/>
        </w:rPr>
        <w:t>its</w:t>
      </w:r>
      <w:r w:rsidRPr="00D53076">
        <w:rPr>
          <w:color w:val="000000" w:themeColor="text1"/>
        </w:rPr>
        <w:t xml:space="preserve"> Key Performance Index (KPI)</w:t>
      </w:r>
      <w:r w:rsidR="00B03E7D">
        <w:rPr>
          <w:color w:val="000000" w:themeColor="text1"/>
        </w:rPr>
        <w:t xml:space="preserve"> of two patients discharged before ten on each ward.  </w:t>
      </w:r>
    </w:p>
    <w:p w14:paraId="6CCF33B3" w14:textId="63FF5DE6" w:rsidR="00B51B20" w:rsidRDefault="00B51B20" w:rsidP="00941B38"/>
    <w:p w14:paraId="5B091EE5" w14:textId="77777777" w:rsidR="00941B38" w:rsidRPr="00B51B20" w:rsidRDefault="00941B38" w:rsidP="00941B38">
      <w:pPr>
        <w:rPr>
          <w:lang w:eastAsia="en-AU"/>
        </w:rPr>
      </w:pPr>
    </w:p>
    <w:p w14:paraId="086829EC" w14:textId="77777777" w:rsidR="00010E74" w:rsidRPr="00941B38" w:rsidRDefault="00010E74" w:rsidP="00941B38">
      <w:pPr>
        <w:rPr>
          <w:b/>
          <w:bCs/>
        </w:rPr>
      </w:pPr>
      <w:r w:rsidRPr="00941B38">
        <w:rPr>
          <w:b/>
          <w:bCs/>
        </w:rPr>
        <w:t>Key Objective</w:t>
      </w:r>
    </w:p>
    <w:p w14:paraId="086829EE" w14:textId="26E12E17" w:rsidR="00010E74" w:rsidRDefault="00701C03" w:rsidP="00941B38">
      <w:r>
        <w:t>The purpose of this guideline is to support CHS to improve discharge processes, promote efficient service delivery and support patient safety.</w:t>
      </w:r>
    </w:p>
    <w:p w14:paraId="00384189" w14:textId="77777777" w:rsidR="00701C03" w:rsidRPr="00010E74" w:rsidRDefault="00701C03" w:rsidP="00C13D33"/>
    <w:bookmarkStart w:id="5" w:name="_Hlk133924563"/>
    <w:p w14:paraId="086829F2" w14:textId="77777777" w:rsidR="0098579F" w:rsidRDefault="008769D4" w:rsidP="00C13D33">
      <w:pPr>
        <w:jc w:val="right"/>
      </w:pPr>
      <w:r>
        <w:rPr>
          <w:color w:val="2B579A"/>
          <w:shd w:val="clear" w:color="auto" w:fill="E6E6E6"/>
        </w:rPr>
        <w:fldChar w:fldCharType="begin"/>
      </w:r>
      <w:r>
        <w:instrText>HYPERLINK \l "Contents"</w:instrText>
      </w:r>
      <w:r>
        <w:rPr>
          <w:color w:val="2B579A"/>
          <w:shd w:val="clear" w:color="auto" w:fill="E6E6E6"/>
        </w:rPr>
      </w:r>
      <w:r>
        <w:rPr>
          <w:color w:val="2B579A"/>
          <w:shd w:val="clear" w:color="auto" w:fill="E6E6E6"/>
        </w:rPr>
        <w:fldChar w:fldCharType="separate"/>
      </w:r>
      <w:r w:rsidR="009A534C" w:rsidRPr="00C91F3F">
        <w:rPr>
          <w:rStyle w:val="Hyperlink"/>
          <w:rFonts w:eastAsiaTheme="majorEastAsia" w:cs="Arial"/>
          <w:i/>
          <w:szCs w:val="24"/>
        </w:rPr>
        <w:t>Back to Table of Contents</w:t>
      </w:r>
      <w:r>
        <w:rPr>
          <w:rStyle w:val="Hyperlink"/>
          <w:rFonts w:eastAsiaTheme="majorEastAsia"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135385864"/>
            <w:bookmarkEnd w:id="5"/>
            <w:r>
              <w:t>Scope</w:t>
            </w:r>
            <w:bookmarkEnd w:id="6"/>
          </w:p>
        </w:tc>
      </w:tr>
    </w:tbl>
    <w:p w14:paraId="086829F7" w14:textId="77777777" w:rsidR="00010E74" w:rsidRDefault="00010E74" w:rsidP="0098579F">
      <w:pPr>
        <w:rPr>
          <w:rFonts w:cs="Arial"/>
          <w:i/>
          <w:szCs w:val="24"/>
        </w:rPr>
      </w:pPr>
    </w:p>
    <w:p w14:paraId="5E0E902F" w14:textId="7F0416A0" w:rsidR="00F90842" w:rsidRDefault="008C36D6" w:rsidP="1D2C03ED">
      <w:pPr>
        <w:rPr>
          <w:rFonts w:cs="Arial"/>
          <w:iCs/>
        </w:rPr>
      </w:pPr>
      <w:r w:rsidRPr="00A3037B">
        <w:rPr>
          <w:rFonts w:cs="Arial"/>
          <w:iCs/>
        </w:rPr>
        <w:t>The</w:t>
      </w:r>
      <w:r>
        <w:rPr>
          <w:rFonts w:cs="Arial"/>
          <w:iCs/>
        </w:rPr>
        <w:t xml:space="preserve"> Criteria</w:t>
      </w:r>
      <w:r w:rsidR="002F2EC1">
        <w:rPr>
          <w:rFonts w:cs="Arial"/>
          <w:iCs/>
        </w:rPr>
        <w:t xml:space="preserve"> Led Discharge</w:t>
      </w:r>
      <w:r w:rsidR="000910C9">
        <w:rPr>
          <w:rFonts w:cs="Arial"/>
          <w:iCs/>
        </w:rPr>
        <w:t xml:space="preserve"> </w:t>
      </w:r>
      <w:r w:rsidR="003B26F3">
        <w:rPr>
          <w:rFonts w:cs="Arial"/>
          <w:iCs/>
        </w:rPr>
        <w:t>-</w:t>
      </w:r>
      <w:r w:rsidR="000910C9">
        <w:rPr>
          <w:rFonts w:cs="Arial"/>
          <w:iCs/>
        </w:rPr>
        <w:t xml:space="preserve"> </w:t>
      </w:r>
      <w:r w:rsidR="003B26F3">
        <w:rPr>
          <w:rFonts w:cs="Arial"/>
          <w:iCs/>
        </w:rPr>
        <w:t>Adults</w:t>
      </w:r>
      <w:r w:rsidR="00010E74" w:rsidRPr="00A3037B">
        <w:rPr>
          <w:rFonts w:cs="Arial"/>
          <w:iCs/>
        </w:rPr>
        <w:t xml:space="preserve"> </w:t>
      </w:r>
      <w:r w:rsidR="003B26F3">
        <w:rPr>
          <w:rFonts w:cs="Arial"/>
          <w:iCs/>
        </w:rPr>
        <w:t xml:space="preserve">guideline </w:t>
      </w:r>
      <w:r w:rsidR="002F2EC1">
        <w:rPr>
          <w:rFonts w:cs="Arial"/>
          <w:iCs/>
        </w:rPr>
        <w:t xml:space="preserve">is applicable to </w:t>
      </w:r>
      <w:r w:rsidR="00C2481F">
        <w:rPr>
          <w:rFonts w:cs="Arial"/>
          <w:iCs/>
        </w:rPr>
        <w:t>adult</w:t>
      </w:r>
      <w:r w:rsidR="002F2EC1">
        <w:rPr>
          <w:rFonts w:cs="Arial"/>
          <w:iCs/>
        </w:rPr>
        <w:t xml:space="preserve"> </w:t>
      </w:r>
      <w:r w:rsidR="00E12CB4">
        <w:rPr>
          <w:rFonts w:cs="Arial"/>
          <w:iCs/>
        </w:rPr>
        <w:t xml:space="preserve">patients </w:t>
      </w:r>
      <w:r w:rsidR="002F2EC1">
        <w:rPr>
          <w:rFonts w:cs="Arial"/>
          <w:iCs/>
        </w:rPr>
        <w:t>only</w:t>
      </w:r>
      <w:r w:rsidR="000910C9">
        <w:rPr>
          <w:rFonts w:cs="Arial"/>
          <w:iCs/>
        </w:rPr>
        <w:t xml:space="preserve"> on the acute inpatient wards.</w:t>
      </w:r>
    </w:p>
    <w:p w14:paraId="07DF1FB9" w14:textId="77777777" w:rsidR="00F90842" w:rsidRDefault="00F90842" w:rsidP="1D2C03ED">
      <w:pPr>
        <w:rPr>
          <w:rFonts w:cs="Arial"/>
          <w:iCs/>
        </w:rPr>
      </w:pPr>
    </w:p>
    <w:p w14:paraId="086829F9" w14:textId="2491E3EA" w:rsidR="00010E74" w:rsidRPr="00A3037B" w:rsidRDefault="00F90842" w:rsidP="1D2C03ED">
      <w:pPr>
        <w:rPr>
          <w:rFonts w:cs="Arial"/>
          <w:iCs/>
        </w:rPr>
      </w:pPr>
      <w:r>
        <w:rPr>
          <w:rFonts w:cs="Arial"/>
          <w:iCs/>
        </w:rPr>
        <w:t xml:space="preserve">This guideline </w:t>
      </w:r>
      <w:r w:rsidR="00010E74" w:rsidRPr="00A3037B">
        <w:rPr>
          <w:rFonts w:cs="Arial"/>
          <w:iCs/>
        </w:rPr>
        <w:t xml:space="preserve">applies to </w:t>
      </w:r>
      <w:r w:rsidR="00941B38">
        <w:rPr>
          <w:rFonts w:cs="Arial"/>
          <w:iCs/>
        </w:rPr>
        <w:t xml:space="preserve">the following </w:t>
      </w:r>
      <w:r w:rsidR="00010E74" w:rsidRPr="00A3037B">
        <w:rPr>
          <w:rFonts w:cs="Arial"/>
          <w:iCs/>
        </w:rPr>
        <w:t xml:space="preserve">staff </w:t>
      </w:r>
      <w:r w:rsidR="00AF14BE">
        <w:rPr>
          <w:rFonts w:cs="Arial"/>
          <w:iCs/>
        </w:rPr>
        <w:t xml:space="preserve">working within their scope of practice </w:t>
      </w:r>
      <w:r w:rsidR="00010E74" w:rsidRPr="00A3037B">
        <w:rPr>
          <w:rFonts w:cs="Arial"/>
          <w:iCs/>
        </w:rPr>
        <w:t>under the clinical governance of the CHS</w:t>
      </w:r>
      <w:r w:rsidR="00941B38">
        <w:rPr>
          <w:rFonts w:cs="Arial"/>
          <w:iCs/>
        </w:rPr>
        <w:t>:</w:t>
      </w:r>
    </w:p>
    <w:p w14:paraId="4328009F" w14:textId="1A834EB7" w:rsidR="0088422F" w:rsidRDefault="0088422F" w:rsidP="00941B38">
      <w:pPr>
        <w:pStyle w:val="ListBullet"/>
      </w:pPr>
      <w:r>
        <w:t>Medical officer</w:t>
      </w:r>
      <w:r w:rsidR="00F90842">
        <w:t>s</w:t>
      </w:r>
    </w:p>
    <w:p w14:paraId="432F5B93" w14:textId="45DBF37B" w:rsidR="0088422F" w:rsidRDefault="0088422F" w:rsidP="00941B38">
      <w:pPr>
        <w:pStyle w:val="ListBullet"/>
      </w:pPr>
      <w:r>
        <w:t xml:space="preserve">Registered </w:t>
      </w:r>
      <w:r w:rsidR="00636F80">
        <w:t xml:space="preserve">Nurses </w:t>
      </w:r>
      <w:r>
        <w:t>and Enrolled Nurses</w:t>
      </w:r>
    </w:p>
    <w:p w14:paraId="4B438939" w14:textId="2761D1E0" w:rsidR="00694FC6" w:rsidRDefault="0088422F" w:rsidP="00694FC6">
      <w:pPr>
        <w:pStyle w:val="ListBullet"/>
      </w:pPr>
      <w:r>
        <w:t>Allied Health</w:t>
      </w:r>
      <w:r w:rsidR="00F90842">
        <w:t xml:space="preserve"> Professionals</w:t>
      </w:r>
    </w:p>
    <w:p w14:paraId="32BCD35C" w14:textId="77777777" w:rsidR="00941B38" w:rsidRPr="00DE06B1" w:rsidRDefault="00941B38" w:rsidP="00941B38"/>
    <w:p w14:paraId="086829FF" w14:textId="299A9A72" w:rsidR="00C13D33" w:rsidRDefault="0094517C" w:rsidP="009A534C">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54AD0" w:rsidRPr="00C76688" w14:paraId="2CC2D0D5" w14:textId="77777777" w:rsidTr="00923B59">
        <w:trPr>
          <w:cantSplit/>
          <w:trHeight w:val="285"/>
        </w:trPr>
        <w:tc>
          <w:tcPr>
            <w:tcW w:w="9158" w:type="dxa"/>
            <w:shd w:val="clear" w:color="auto" w:fill="D9D9D9" w:themeFill="background1" w:themeFillShade="D9"/>
          </w:tcPr>
          <w:p w14:paraId="3840E5F6" w14:textId="29D6E4D3" w:rsidR="00B54AD0" w:rsidRPr="00C76688" w:rsidRDefault="00AF14BE" w:rsidP="00923B59">
            <w:pPr>
              <w:pStyle w:val="Heading1"/>
            </w:pPr>
            <w:bookmarkStart w:id="7" w:name="_Hlk133923917"/>
            <w:bookmarkStart w:id="8" w:name="_Toc135121067"/>
            <w:bookmarkStart w:id="9" w:name="_Toc135385865"/>
            <w:r>
              <w:t xml:space="preserve">Section 1 - </w:t>
            </w:r>
            <w:r w:rsidR="00B54AD0">
              <w:t>Responsibilities</w:t>
            </w:r>
            <w:bookmarkEnd w:id="7"/>
            <w:bookmarkEnd w:id="8"/>
            <w:bookmarkEnd w:id="9"/>
          </w:p>
        </w:tc>
      </w:tr>
    </w:tbl>
    <w:p w14:paraId="28E5E2C4" w14:textId="77777777" w:rsidR="006502D6" w:rsidRDefault="006502D6" w:rsidP="00B54AD0">
      <w:pPr>
        <w:rPr>
          <w:rStyle w:val="CommentReference"/>
        </w:rPr>
      </w:pPr>
    </w:p>
    <w:p w14:paraId="4305F19A" w14:textId="7849238D" w:rsidR="00B54AD0" w:rsidRPr="0016069D" w:rsidRDefault="00B54AD0" w:rsidP="00B54AD0">
      <w:pPr>
        <w:rPr>
          <w:rFonts w:cs="Arial"/>
          <w:b/>
          <w:bCs/>
          <w:iCs/>
          <w:szCs w:val="24"/>
        </w:rPr>
      </w:pPr>
      <w:r w:rsidRPr="0016069D">
        <w:rPr>
          <w:rFonts w:cs="Arial"/>
          <w:b/>
          <w:bCs/>
          <w:iCs/>
          <w:szCs w:val="24"/>
        </w:rPr>
        <w:t xml:space="preserve">Director of Nursing </w:t>
      </w:r>
    </w:p>
    <w:p w14:paraId="56126D5F" w14:textId="1CA5CCCD" w:rsidR="00B54AD0" w:rsidRPr="002F2EC1" w:rsidRDefault="00B54AD0" w:rsidP="00B54AD0">
      <w:pPr>
        <w:pStyle w:val="ListBullet"/>
      </w:pPr>
      <w:r w:rsidRPr="002F2EC1">
        <w:t xml:space="preserve"> Executive and authorising sponsor</w:t>
      </w:r>
      <w:r>
        <w:t>.</w:t>
      </w:r>
    </w:p>
    <w:p w14:paraId="1BFAB9D8" w14:textId="77777777" w:rsidR="00B54AD0" w:rsidRDefault="00B54AD0" w:rsidP="00B54AD0">
      <w:pPr>
        <w:rPr>
          <w:rFonts w:cs="Arial"/>
          <w:iCs/>
          <w:szCs w:val="24"/>
        </w:rPr>
      </w:pPr>
    </w:p>
    <w:p w14:paraId="7CB84F42" w14:textId="77777777" w:rsidR="00B54AD0" w:rsidRPr="0016069D" w:rsidRDefault="00B54AD0" w:rsidP="00B54AD0">
      <w:pPr>
        <w:rPr>
          <w:rFonts w:cs="Arial"/>
          <w:b/>
          <w:bCs/>
          <w:iCs/>
          <w:szCs w:val="24"/>
        </w:rPr>
      </w:pPr>
      <w:r w:rsidRPr="0016069D">
        <w:rPr>
          <w:rFonts w:cs="Arial"/>
          <w:b/>
          <w:bCs/>
          <w:iCs/>
          <w:szCs w:val="24"/>
        </w:rPr>
        <w:t>Lead Medical Consultants</w:t>
      </w:r>
    </w:p>
    <w:p w14:paraId="48D2F2CD" w14:textId="7B2A73CA" w:rsidR="00F90842" w:rsidRPr="000875A1" w:rsidRDefault="00B54AD0" w:rsidP="000875A1">
      <w:pPr>
        <w:pStyle w:val="ListParagraph"/>
        <w:numPr>
          <w:ilvl w:val="0"/>
          <w:numId w:val="25"/>
        </w:numPr>
        <w:rPr>
          <w:rFonts w:cs="Arial"/>
          <w:iCs/>
          <w:szCs w:val="24"/>
        </w:rPr>
      </w:pPr>
      <w:r w:rsidRPr="000875A1">
        <w:rPr>
          <w:rFonts w:cs="Arial"/>
          <w:iCs/>
          <w:szCs w:val="24"/>
        </w:rPr>
        <w:t xml:space="preserve">Ensure all medical staff are aware </w:t>
      </w:r>
      <w:r w:rsidR="00AF14BE" w:rsidRPr="000875A1">
        <w:rPr>
          <w:rFonts w:cs="Arial"/>
          <w:iCs/>
          <w:szCs w:val="24"/>
        </w:rPr>
        <w:t xml:space="preserve">of </w:t>
      </w:r>
      <w:r w:rsidRPr="000875A1">
        <w:rPr>
          <w:rFonts w:cs="Arial"/>
          <w:iCs/>
          <w:szCs w:val="24"/>
        </w:rPr>
        <w:t>and understand CLD</w:t>
      </w:r>
      <w:r w:rsidR="008B2450">
        <w:rPr>
          <w:rFonts w:cs="Arial"/>
          <w:iCs/>
          <w:szCs w:val="24"/>
        </w:rPr>
        <w:t xml:space="preserve"> process</w:t>
      </w:r>
      <w:r w:rsidRPr="000875A1">
        <w:rPr>
          <w:rFonts w:cs="Arial"/>
          <w:iCs/>
          <w:szCs w:val="24"/>
        </w:rPr>
        <w:t xml:space="preserve"> and</w:t>
      </w:r>
      <w:r w:rsidR="00F90842" w:rsidRPr="000875A1">
        <w:rPr>
          <w:rFonts w:cs="Arial"/>
          <w:iCs/>
          <w:szCs w:val="24"/>
        </w:rPr>
        <w:t xml:space="preserve"> the expectations.</w:t>
      </w:r>
    </w:p>
    <w:p w14:paraId="14DA7BF8" w14:textId="77777777" w:rsidR="00F90842" w:rsidRDefault="00F90842" w:rsidP="000844C7">
      <w:pPr>
        <w:rPr>
          <w:rFonts w:cs="Arial"/>
          <w:iCs/>
          <w:szCs w:val="24"/>
        </w:rPr>
      </w:pPr>
    </w:p>
    <w:p w14:paraId="47FAD4D2" w14:textId="22E3B66F" w:rsidR="00B54AD0" w:rsidRPr="00F90842" w:rsidRDefault="00B54AD0" w:rsidP="000844C7">
      <w:pPr>
        <w:rPr>
          <w:rFonts w:cs="Arial"/>
          <w:b/>
          <w:bCs/>
          <w:iCs/>
          <w:szCs w:val="24"/>
        </w:rPr>
      </w:pPr>
      <w:r w:rsidRPr="00F90842">
        <w:rPr>
          <w:rFonts w:cs="Arial"/>
          <w:b/>
          <w:bCs/>
          <w:iCs/>
          <w:szCs w:val="24"/>
        </w:rPr>
        <w:t>Nurse Manager/Allied Health Team Lead</w:t>
      </w:r>
    </w:p>
    <w:p w14:paraId="7CC354B3" w14:textId="21997D09" w:rsidR="00B54AD0" w:rsidRPr="002F2EC1" w:rsidRDefault="00B54AD0" w:rsidP="00B54AD0">
      <w:pPr>
        <w:pStyle w:val="ListBullet"/>
      </w:pPr>
      <w:r w:rsidRPr="002F2EC1">
        <w:t xml:space="preserve">Ensure all nursing and allied health staff are aware </w:t>
      </w:r>
      <w:r w:rsidR="00AF14BE">
        <w:t xml:space="preserve">of </w:t>
      </w:r>
      <w:r w:rsidRPr="002F2EC1">
        <w:t>and understand the CLD</w:t>
      </w:r>
      <w:r w:rsidR="008B2450">
        <w:t xml:space="preserve"> process</w:t>
      </w:r>
      <w:r w:rsidRPr="002F2EC1">
        <w:t xml:space="preserve"> and the expectations</w:t>
      </w:r>
      <w:r>
        <w:t>.</w:t>
      </w:r>
    </w:p>
    <w:p w14:paraId="6C95641D" w14:textId="6088A8EB" w:rsidR="00B54AD0" w:rsidRPr="002F2EC1" w:rsidRDefault="00B54AD0" w:rsidP="00B54AD0">
      <w:pPr>
        <w:pStyle w:val="ListBullet"/>
      </w:pPr>
      <w:r w:rsidRPr="002F2EC1">
        <w:t>Ensure staff roles (</w:t>
      </w:r>
      <w:r w:rsidR="00C2269A" w:rsidRPr="002F2EC1">
        <w:t>e.g.,</w:t>
      </w:r>
      <w:r w:rsidRPr="002F2EC1">
        <w:t xml:space="preserve"> </w:t>
      </w:r>
      <w:r>
        <w:t>C</w:t>
      </w:r>
      <w:r w:rsidR="00CE178E">
        <w:t xml:space="preserve">linical </w:t>
      </w:r>
      <w:r>
        <w:t>N</w:t>
      </w:r>
      <w:r w:rsidR="00CE178E">
        <w:t xml:space="preserve">urse </w:t>
      </w:r>
      <w:r>
        <w:t>C</w:t>
      </w:r>
      <w:r w:rsidR="00CE178E">
        <w:t>onsultant</w:t>
      </w:r>
      <w:r w:rsidRPr="002F2EC1">
        <w:t xml:space="preserve">, </w:t>
      </w:r>
      <w:r>
        <w:t>C</w:t>
      </w:r>
      <w:r w:rsidR="00CE178E">
        <w:t xml:space="preserve">linical </w:t>
      </w:r>
      <w:r>
        <w:t>C</w:t>
      </w:r>
      <w:r w:rsidR="00CE178E">
        <w:t xml:space="preserve">are </w:t>
      </w:r>
      <w:r>
        <w:t>C</w:t>
      </w:r>
      <w:r w:rsidR="00CE178E">
        <w:t>oordinator</w:t>
      </w:r>
      <w:r>
        <w:t xml:space="preserve">, </w:t>
      </w:r>
      <w:r w:rsidRPr="002F2EC1">
        <w:t xml:space="preserve">Clinical </w:t>
      </w:r>
      <w:r>
        <w:t>Development Nurse</w:t>
      </w:r>
      <w:r w:rsidRPr="002F2EC1">
        <w:t xml:space="preserve"> and Allied health</w:t>
      </w:r>
      <w:r w:rsidR="00F21D65">
        <w:t>)</w:t>
      </w:r>
      <w:r w:rsidRPr="002F2EC1">
        <w:t xml:space="preserve"> are deemed competent in CLD</w:t>
      </w:r>
      <w:r w:rsidR="008B2450">
        <w:t xml:space="preserve"> process</w:t>
      </w:r>
      <w:r>
        <w:t>.</w:t>
      </w:r>
      <w:r w:rsidRPr="002F2EC1">
        <w:t xml:space="preserve"> </w:t>
      </w:r>
    </w:p>
    <w:p w14:paraId="3A2EADF0" w14:textId="6F3F9A88" w:rsidR="00B54AD0" w:rsidRDefault="00B54AD0" w:rsidP="00B54AD0">
      <w:pPr>
        <w:pStyle w:val="ListBullet"/>
      </w:pPr>
      <w:r w:rsidRPr="002F2EC1">
        <w:t xml:space="preserve">Ensure CLD </w:t>
      </w:r>
      <w:r w:rsidR="00636F80">
        <w:t>guideline</w:t>
      </w:r>
      <w:r w:rsidRPr="002F2EC1">
        <w:t xml:space="preserve"> is adhered to.</w:t>
      </w:r>
    </w:p>
    <w:p w14:paraId="2BD39E57" w14:textId="77777777" w:rsidR="00B54AD0" w:rsidRPr="002F2EC1" w:rsidRDefault="00B54AD0" w:rsidP="00B54AD0"/>
    <w:p w14:paraId="706E3463" w14:textId="797FE692" w:rsidR="00B54AD0" w:rsidRPr="0016069D" w:rsidRDefault="00B54AD0" w:rsidP="00B54AD0">
      <w:pPr>
        <w:rPr>
          <w:rFonts w:cs="Arial"/>
          <w:b/>
          <w:bCs/>
          <w:iCs/>
          <w:szCs w:val="24"/>
        </w:rPr>
      </w:pPr>
      <w:r w:rsidRPr="0016069D">
        <w:rPr>
          <w:rFonts w:cs="Arial"/>
          <w:b/>
          <w:bCs/>
          <w:iCs/>
          <w:szCs w:val="24"/>
        </w:rPr>
        <w:t>N</w:t>
      </w:r>
      <w:r>
        <w:rPr>
          <w:rFonts w:cs="Arial"/>
          <w:b/>
          <w:bCs/>
          <w:iCs/>
          <w:szCs w:val="24"/>
        </w:rPr>
        <w:t xml:space="preserve">urse </w:t>
      </w:r>
      <w:r w:rsidRPr="0016069D">
        <w:rPr>
          <w:rFonts w:cs="Arial"/>
          <w:b/>
          <w:bCs/>
          <w:iCs/>
          <w:szCs w:val="24"/>
        </w:rPr>
        <w:t>U</w:t>
      </w:r>
      <w:r>
        <w:rPr>
          <w:rFonts w:cs="Arial"/>
          <w:b/>
          <w:bCs/>
          <w:iCs/>
          <w:szCs w:val="24"/>
        </w:rPr>
        <w:t xml:space="preserve">nit </w:t>
      </w:r>
      <w:r w:rsidRPr="0016069D">
        <w:rPr>
          <w:rFonts w:cs="Arial"/>
          <w:b/>
          <w:bCs/>
          <w:iCs/>
          <w:szCs w:val="24"/>
        </w:rPr>
        <w:t>M</w:t>
      </w:r>
      <w:r>
        <w:rPr>
          <w:rFonts w:cs="Arial"/>
          <w:b/>
          <w:bCs/>
          <w:iCs/>
          <w:szCs w:val="24"/>
        </w:rPr>
        <w:t>anager</w:t>
      </w:r>
      <w:r w:rsidRPr="0016069D">
        <w:rPr>
          <w:rFonts w:cs="Arial"/>
          <w:b/>
          <w:bCs/>
          <w:iCs/>
          <w:szCs w:val="24"/>
        </w:rPr>
        <w:t>/</w:t>
      </w:r>
      <w:r>
        <w:rPr>
          <w:rFonts w:cs="Arial"/>
          <w:b/>
          <w:bCs/>
          <w:iCs/>
          <w:szCs w:val="24"/>
        </w:rPr>
        <w:t xml:space="preserve">Clinical Nurse Educator </w:t>
      </w:r>
      <w:r w:rsidRPr="0016069D">
        <w:rPr>
          <w:rFonts w:cs="Arial"/>
          <w:b/>
          <w:bCs/>
          <w:iCs/>
          <w:szCs w:val="24"/>
        </w:rPr>
        <w:t>/</w:t>
      </w:r>
      <w:r>
        <w:rPr>
          <w:rFonts w:cs="Arial"/>
          <w:b/>
          <w:bCs/>
          <w:iCs/>
          <w:szCs w:val="24"/>
        </w:rPr>
        <w:t>Clinical Nurse Specialist /</w:t>
      </w:r>
      <w:r w:rsidRPr="0016069D">
        <w:rPr>
          <w:rFonts w:cs="Arial"/>
          <w:b/>
          <w:bCs/>
          <w:iCs/>
          <w:szCs w:val="24"/>
        </w:rPr>
        <w:t xml:space="preserve">Allied Health Staff </w:t>
      </w:r>
    </w:p>
    <w:p w14:paraId="0369262F" w14:textId="5037C03D" w:rsidR="00B54AD0" w:rsidRPr="002F2EC1" w:rsidRDefault="00B54AD0" w:rsidP="00B54AD0">
      <w:pPr>
        <w:pStyle w:val="ListBullet"/>
      </w:pPr>
      <w:r w:rsidRPr="002F2EC1">
        <w:t xml:space="preserve">Engage all disciplines in CLD during </w:t>
      </w:r>
      <w:r w:rsidR="00344D08">
        <w:t>multidisciplinary</w:t>
      </w:r>
      <w:r w:rsidR="00344D08" w:rsidRPr="002F2EC1">
        <w:t xml:space="preserve"> </w:t>
      </w:r>
      <w:r w:rsidRPr="002F2EC1">
        <w:t>rounds</w:t>
      </w:r>
      <w:r>
        <w:t>.</w:t>
      </w:r>
    </w:p>
    <w:p w14:paraId="73EA91B8" w14:textId="77777777" w:rsidR="00B54AD0" w:rsidRDefault="00B54AD0" w:rsidP="00B54AD0"/>
    <w:p w14:paraId="08E525FA" w14:textId="77777777" w:rsidR="00B54AD0" w:rsidRPr="0016069D" w:rsidRDefault="00B54AD0" w:rsidP="00B54AD0">
      <w:pPr>
        <w:rPr>
          <w:rFonts w:cs="Arial"/>
          <w:b/>
          <w:bCs/>
          <w:iCs/>
          <w:szCs w:val="24"/>
        </w:rPr>
      </w:pPr>
      <w:r w:rsidRPr="0016069D">
        <w:rPr>
          <w:rFonts w:cs="Arial"/>
          <w:b/>
          <w:bCs/>
          <w:iCs/>
          <w:szCs w:val="24"/>
        </w:rPr>
        <w:t>Staff</w:t>
      </w:r>
    </w:p>
    <w:p w14:paraId="44BD5506" w14:textId="64F34CDF" w:rsidR="00CE178E" w:rsidRDefault="00B54AD0" w:rsidP="00B54AD0">
      <w:pPr>
        <w:pStyle w:val="ListBullet"/>
      </w:pPr>
      <w:r w:rsidRPr="002F2EC1">
        <w:t xml:space="preserve">Ensure </w:t>
      </w:r>
      <w:r w:rsidR="008C36D6">
        <w:t xml:space="preserve">they are familiarised with this guideline and adhere to same </w:t>
      </w:r>
    </w:p>
    <w:p w14:paraId="59EE8B1C" w14:textId="102B47E6" w:rsidR="00B54AD0" w:rsidRPr="002F2EC1" w:rsidRDefault="006E6302" w:rsidP="00B54AD0">
      <w:pPr>
        <w:pStyle w:val="ListBullet"/>
      </w:pPr>
      <w:r>
        <w:t xml:space="preserve"> </w:t>
      </w:r>
      <w:r w:rsidR="003B26F3">
        <w:t>W</w:t>
      </w:r>
      <w:r>
        <w:t>ork within their scope of practice.</w:t>
      </w:r>
    </w:p>
    <w:p w14:paraId="2F5BA038" w14:textId="77777777" w:rsidR="00B54AD0" w:rsidRDefault="00B54AD0" w:rsidP="00B54AD0">
      <w:pPr>
        <w:pStyle w:val="Heading2"/>
      </w:pPr>
    </w:p>
    <w:p w14:paraId="1885FC05" w14:textId="4869F849" w:rsidR="00B54AD0" w:rsidRPr="00B54AD0" w:rsidRDefault="0094517C" w:rsidP="00C2481F">
      <w:pPr>
        <w:jc w:val="right"/>
        <w:rPr>
          <w:rFonts w:cs="Arial"/>
          <w:iCs/>
          <w:szCs w:val="24"/>
        </w:rPr>
      </w:pPr>
      <w:hyperlink w:anchor="Contents" w:history="1">
        <w:r w:rsidR="00B54AD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2BE2E076" w:rsidR="009A534C" w:rsidRPr="00C76688" w:rsidRDefault="009A534C" w:rsidP="00B10F87">
            <w:pPr>
              <w:pStyle w:val="Heading1"/>
            </w:pPr>
            <w:bookmarkStart w:id="10" w:name="_Toc389473278"/>
            <w:bookmarkStart w:id="11" w:name="_Toc393203334"/>
            <w:bookmarkStart w:id="12" w:name="_Toc135385866"/>
            <w:r w:rsidRPr="00C76688">
              <w:t xml:space="preserve">Section </w:t>
            </w:r>
            <w:r w:rsidR="00AF14BE">
              <w:t>2</w:t>
            </w:r>
            <w:r w:rsidRPr="00C76688">
              <w:t xml:space="preserve"> –</w:t>
            </w:r>
            <w:r>
              <w:t xml:space="preserve"> </w:t>
            </w:r>
            <w:bookmarkEnd w:id="10"/>
            <w:bookmarkEnd w:id="11"/>
            <w:r w:rsidR="002F2EC1">
              <w:t>Indications</w:t>
            </w:r>
            <w:bookmarkEnd w:id="12"/>
          </w:p>
        </w:tc>
      </w:tr>
    </w:tbl>
    <w:p w14:paraId="08682A02" w14:textId="77777777" w:rsidR="009A534C" w:rsidRDefault="009A534C" w:rsidP="009A534C">
      <w:pPr>
        <w:outlineLvl w:val="0"/>
        <w:rPr>
          <w:szCs w:val="24"/>
        </w:rPr>
      </w:pPr>
    </w:p>
    <w:p w14:paraId="481CBECF" w14:textId="12711FC5" w:rsidR="00344D08" w:rsidRDefault="00344D08" w:rsidP="009A534C">
      <w:r>
        <w:t xml:space="preserve">The indication for CLD is when there are clear objective discharge criteria that can be identified by the medical </w:t>
      </w:r>
      <w:r w:rsidR="00B541FD">
        <w:t xml:space="preserve">team </w:t>
      </w:r>
      <w:r w:rsidR="00525F6D">
        <w:t xml:space="preserve">in collaboration with the </w:t>
      </w:r>
      <w:r w:rsidR="00B541FD">
        <w:t>MDT</w:t>
      </w:r>
      <w:r w:rsidR="00525F6D">
        <w:t xml:space="preserve"> and patient</w:t>
      </w:r>
      <w:r w:rsidR="00004DC3">
        <w:t>. The discharge criteria should be</w:t>
      </w:r>
      <w:r>
        <w:t xml:space="preserve"> clearly documented </w:t>
      </w:r>
      <w:r w:rsidR="0052358C">
        <w:t xml:space="preserve">in the clinical record </w:t>
      </w:r>
      <w:r>
        <w:t>by the</w:t>
      </w:r>
      <w:r w:rsidR="00290364">
        <w:t xml:space="preserve"> </w:t>
      </w:r>
      <w:r w:rsidR="00290364" w:rsidRPr="004F2B9D">
        <w:t>Medical Officer</w:t>
      </w:r>
      <w:r w:rsidR="000910C9">
        <w:t xml:space="preserve"> (MO)</w:t>
      </w:r>
      <w:r w:rsidR="00290364" w:rsidRPr="004F2B9D">
        <w:t xml:space="preserve"> from the </w:t>
      </w:r>
      <w:r w:rsidR="00290364" w:rsidRPr="004F2B9D">
        <w:rPr>
          <w:rFonts w:cs="Arial"/>
        </w:rPr>
        <w:t>p</w:t>
      </w:r>
      <w:r w:rsidR="006502D6" w:rsidRPr="004F2B9D">
        <w:rPr>
          <w:rFonts w:cs="Arial"/>
        </w:rPr>
        <w:t xml:space="preserve">rimary </w:t>
      </w:r>
      <w:r w:rsidR="00290364" w:rsidRPr="004F2B9D">
        <w:rPr>
          <w:rFonts w:cs="Arial"/>
        </w:rPr>
        <w:t>t</w:t>
      </w:r>
      <w:r w:rsidR="006502D6" w:rsidRPr="004F2B9D">
        <w:rPr>
          <w:rFonts w:cs="Arial"/>
        </w:rPr>
        <w:t xml:space="preserve">reating </w:t>
      </w:r>
      <w:r w:rsidR="00290364" w:rsidRPr="004F2B9D">
        <w:rPr>
          <w:rFonts w:cs="Arial"/>
        </w:rPr>
        <w:t>team</w:t>
      </w:r>
      <w:r w:rsidR="00004DC3">
        <w:rPr>
          <w:rFonts w:cs="Arial"/>
        </w:rPr>
        <w:t>,</w:t>
      </w:r>
      <w:r>
        <w:t xml:space="preserve"> which can then be assessed </w:t>
      </w:r>
      <w:r w:rsidR="00AC1955">
        <w:t xml:space="preserve">through CLD </w:t>
      </w:r>
      <w:r w:rsidR="001A566C">
        <w:t>process</w:t>
      </w:r>
      <w:r w:rsidR="00AC1955">
        <w:t xml:space="preserve"> </w:t>
      </w:r>
      <w:r>
        <w:t xml:space="preserve">and implemented by nursing </w:t>
      </w:r>
      <w:r w:rsidR="00525F6D">
        <w:t xml:space="preserve">or junior medical </w:t>
      </w:r>
      <w:r>
        <w:t xml:space="preserve">staff. </w:t>
      </w:r>
    </w:p>
    <w:p w14:paraId="48DC19FB" w14:textId="77777777" w:rsidR="00AF14BE" w:rsidRDefault="00AF14BE" w:rsidP="009A534C">
      <w:pPr>
        <w:rPr>
          <w:rFonts w:cs="Arial"/>
          <w:i/>
          <w:szCs w:val="24"/>
        </w:rPr>
      </w:pPr>
    </w:p>
    <w:p w14:paraId="08682A07" w14:textId="77777777" w:rsidR="009A534C" w:rsidRPr="00DA3910" w:rsidRDefault="0094517C"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10396D37" w:rsidR="009A534C" w:rsidRPr="00C76688" w:rsidRDefault="009A534C" w:rsidP="00010E74">
            <w:pPr>
              <w:pStyle w:val="Heading1"/>
            </w:pPr>
            <w:bookmarkStart w:id="13" w:name="_Toc389473281"/>
            <w:bookmarkStart w:id="14" w:name="_Toc393203337"/>
            <w:bookmarkStart w:id="15" w:name="_Toc135385867"/>
            <w:bookmarkStart w:id="16" w:name="_Hlk130289687"/>
            <w:r w:rsidRPr="00C76688">
              <w:lastRenderedPageBreak/>
              <w:t xml:space="preserve">Section </w:t>
            </w:r>
            <w:r w:rsidR="00AF14BE">
              <w:t>3</w:t>
            </w:r>
            <w:r w:rsidRPr="00C76688">
              <w:t xml:space="preserve"> – </w:t>
            </w:r>
            <w:r w:rsidR="002F2EC1">
              <w:t>Criteria</w:t>
            </w:r>
            <w:bookmarkEnd w:id="13"/>
            <w:bookmarkEnd w:id="14"/>
            <w:bookmarkEnd w:id="15"/>
          </w:p>
        </w:tc>
      </w:tr>
      <w:bookmarkEnd w:id="16"/>
    </w:tbl>
    <w:p w14:paraId="08682A0B" w14:textId="77777777" w:rsidR="008E74FD" w:rsidRDefault="008E74FD" w:rsidP="00D54ED5">
      <w:pPr>
        <w:rPr>
          <w:rFonts w:cs="Arial"/>
          <w:i/>
          <w:szCs w:val="24"/>
        </w:rPr>
      </w:pPr>
    </w:p>
    <w:p w14:paraId="08682A0D" w14:textId="055CA7A5" w:rsidR="00C13D33" w:rsidRDefault="002F2EC1" w:rsidP="00D54ED5">
      <w:pPr>
        <w:rPr>
          <w:rFonts w:cs="Arial"/>
          <w:i/>
          <w:szCs w:val="24"/>
        </w:rPr>
      </w:pPr>
      <w:r>
        <w:t xml:space="preserve">The criteria for discharge will be determined by each </w:t>
      </w:r>
      <w:r w:rsidR="00004DC3">
        <w:t>p</w:t>
      </w:r>
      <w:r w:rsidR="008C36D6">
        <w:t xml:space="preserve">rimary </w:t>
      </w:r>
      <w:r w:rsidR="00004DC3">
        <w:t>t</w:t>
      </w:r>
      <w:r w:rsidR="008C36D6">
        <w:t xml:space="preserve">reating </w:t>
      </w:r>
      <w:r w:rsidR="00004DC3">
        <w:t>m</w:t>
      </w:r>
      <w:r w:rsidR="008C36D6">
        <w:t xml:space="preserve">edical </w:t>
      </w:r>
      <w:r w:rsidR="00004DC3">
        <w:t>t</w:t>
      </w:r>
      <w:r w:rsidR="008C36D6">
        <w:t>eam</w:t>
      </w:r>
      <w:r>
        <w:t xml:space="preserve"> and approved</w:t>
      </w:r>
      <w:r w:rsidR="008068AA">
        <w:t xml:space="preserve"> </w:t>
      </w:r>
      <w:r w:rsidR="00147E87">
        <w:t xml:space="preserve">with </w:t>
      </w:r>
      <w:r w:rsidR="00DF2B58">
        <w:t xml:space="preserve">documentation </w:t>
      </w:r>
      <w:r w:rsidR="008068AA">
        <w:t>in patient clinical record</w:t>
      </w:r>
      <w:r w:rsidR="006502D6">
        <w:t xml:space="preserve">. </w:t>
      </w:r>
      <w:r>
        <w:t>These may be pre-</w:t>
      </w:r>
      <w:r w:rsidR="00046604">
        <w:t>determined</w:t>
      </w:r>
      <w:r w:rsidR="00831128">
        <w:t xml:space="preserve"> criteria</w:t>
      </w:r>
      <w:r w:rsidR="00004DC3">
        <w:t xml:space="preserve"> (e.g., </w:t>
      </w:r>
      <w:r w:rsidR="00831128">
        <w:t>some patients admitted for cardiology procedures</w:t>
      </w:r>
      <w:r w:rsidR="00004DC3">
        <w:t>)</w:t>
      </w:r>
      <w:r w:rsidR="00046604">
        <w:t xml:space="preserve"> and</w:t>
      </w:r>
      <w:r>
        <w:t>/or individualised for each patient.</w:t>
      </w:r>
    </w:p>
    <w:p w14:paraId="08682A0F" w14:textId="77777777" w:rsidR="009A534C" w:rsidRDefault="009A534C" w:rsidP="009A534C">
      <w:pPr>
        <w:rPr>
          <w:rFonts w:cs="Arial"/>
          <w:b/>
          <w:szCs w:val="24"/>
        </w:rPr>
      </w:pPr>
    </w:p>
    <w:p w14:paraId="08682A10" w14:textId="17E1D444" w:rsidR="009A534C" w:rsidRDefault="0094517C"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03E7D" w:rsidRPr="00C76688" w14:paraId="6264FEDB" w14:textId="77777777" w:rsidTr="001F62D8">
        <w:trPr>
          <w:cantSplit/>
          <w:trHeight w:val="285"/>
        </w:trPr>
        <w:tc>
          <w:tcPr>
            <w:tcW w:w="9158" w:type="dxa"/>
            <w:shd w:val="clear" w:color="auto" w:fill="D9D9D9" w:themeFill="background1" w:themeFillShade="D9"/>
          </w:tcPr>
          <w:p w14:paraId="0EC2CDFC" w14:textId="6DD5C8A5" w:rsidR="00B03E7D" w:rsidRPr="00C76688" w:rsidRDefault="00B03E7D" w:rsidP="001F62D8">
            <w:pPr>
              <w:pStyle w:val="Heading1"/>
            </w:pPr>
            <w:r w:rsidRPr="00C76688">
              <w:t xml:space="preserve">Section </w:t>
            </w:r>
            <w:r>
              <w:t>4</w:t>
            </w:r>
            <w:r w:rsidRPr="00C76688">
              <w:t xml:space="preserve"> – </w:t>
            </w:r>
            <w:r>
              <w:t>Recommended CLD process</w:t>
            </w:r>
          </w:p>
        </w:tc>
      </w:tr>
    </w:tbl>
    <w:p w14:paraId="57920E3E" w14:textId="77777777" w:rsidR="00B03E7D" w:rsidRPr="00DF277C" w:rsidRDefault="00B03E7D" w:rsidP="00B03E7D">
      <w:pPr>
        <w:rPr>
          <w:rFonts w:cs="Arial"/>
          <w:iCs/>
          <w:szCs w:val="24"/>
        </w:rPr>
      </w:pPr>
    </w:p>
    <w:p w14:paraId="193955F0" w14:textId="6A56DB78" w:rsidR="00B03E7D" w:rsidRPr="00DF277C" w:rsidRDefault="00B03E7D" w:rsidP="00B03E7D">
      <w:pPr>
        <w:contextualSpacing/>
        <w:rPr>
          <w:i/>
          <w:iCs/>
        </w:rPr>
      </w:pPr>
      <w:r w:rsidRPr="00DF277C">
        <w:rPr>
          <w:rFonts w:asciiTheme="minorHAnsi" w:hAnsiTheme="minorHAnsi"/>
          <w:szCs w:val="24"/>
        </w:rPr>
        <w:t xml:space="preserve">The setting of </w:t>
      </w:r>
      <w:r>
        <w:rPr>
          <w:rFonts w:asciiTheme="minorHAnsi" w:hAnsiTheme="minorHAnsi"/>
          <w:szCs w:val="24"/>
        </w:rPr>
        <w:t xml:space="preserve">the </w:t>
      </w:r>
      <w:r w:rsidRPr="00DF277C">
        <w:rPr>
          <w:rFonts w:asciiTheme="minorHAnsi" w:hAnsiTheme="minorHAnsi"/>
          <w:szCs w:val="24"/>
        </w:rPr>
        <w:t>predetermined patient specific criteria are developed in agreement with the MDT as part of the</w:t>
      </w:r>
      <w:r>
        <w:rPr>
          <w:rFonts w:asciiTheme="minorHAnsi" w:hAnsiTheme="minorHAnsi"/>
          <w:szCs w:val="24"/>
        </w:rPr>
        <w:t>ir</w:t>
      </w:r>
      <w:r w:rsidRPr="00DF277C">
        <w:rPr>
          <w:rFonts w:asciiTheme="minorHAnsi" w:hAnsiTheme="minorHAnsi"/>
          <w:szCs w:val="24"/>
        </w:rPr>
        <w:t xml:space="preserve"> initial assessment </w:t>
      </w:r>
      <w:r>
        <w:rPr>
          <w:rFonts w:asciiTheme="minorHAnsi" w:hAnsiTheme="minorHAnsi"/>
          <w:szCs w:val="24"/>
        </w:rPr>
        <w:t xml:space="preserve">and discussion </w:t>
      </w:r>
      <w:r w:rsidRPr="00DF277C">
        <w:rPr>
          <w:rFonts w:asciiTheme="minorHAnsi" w:hAnsiTheme="minorHAnsi"/>
          <w:szCs w:val="24"/>
        </w:rPr>
        <w:t>of the patient. This occurs simultaneously when setting the patient’s estimated date of discharge (EDD)</w:t>
      </w:r>
      <w:r w:rsidR="00AA392B">
        <w:rPr>
          <w:rFonts w:asciiTheme="minorHAnsi" w:hAnsiTheme="minorHAnsi"/>
          <w:szCs w:val="24"/>
        </w:rPr>
        <w:t xml:space="preserve"> and documented in the clinical record. </w:t>
      </w:r>
      <w:r w:rsidRPr="00DF277C">
        <w:rPr>
          <w:rFonts w:asciiTheme="minorHAnsi" w:hAnsiTheme="minorHAnsi"/>
          <w:szCs w:val="24"/>
        </w:rPr>
        <w:t xml:space="preserve"> </w:t>
      </w:r>
    </w:p>
    <w:p w14:paraId="47A2A3DD" w14:textId="77777777" w:rsidR="00B03E7D" w:rsidRDefault="00B03E7D" w:rsidP="00B03E7D">
      <w:pPr>
        <w:rPr>
          <w:rFonts w:cs="Arial"/>
        </w:rPr>
      </w:pPr>
    </w:p>
    <w:p w14:paraId="457540A8" w14:textId="77777777" w:rsidR="00B03E7D" w:rsidRDefault="00B03E7D" w:rsidP="00B03E7D">
      <w:pPr>
        <w:rPr>
          <w:rFonts w:cs="Arial"/>
        </w:rPr>
      </w:pPr>
      <w:r>
        <w:rPr>
          <w:rFonts w:cs="Arial"/>
        </w:rPr>
        <w:t>Once the treating medical team determine that a patient has clear, objective discharge criteria that can be documented and followed by nursing or allied health, it is then suitable to pursue the pathway of discharge using CLD process. T</w:t>
      </w:r>
      <w:r w:rsidRPr="7D41BAF7">
        <w:rPr>
          <w:rFonts w:cs="Arial"/>
        </w:rPr>
        <w:t xml:space="preserve">he </w:t>
      </w:r>
      <w:r w:rsidRPr="004F2B9D">
        <w:rPr>
          <w:rFonts w:cs="Arial"/>
        </w:rPr>
        <w:t>Medical Officer from the primary treating team</w:t>
      </w:r>
      <w:r w:rsidRPr="7D41BAF7">
        <w:rPr>
          <w:rFonts w:cs="Arial"/>
        </w:rPr>
        <w:t xml:space="preserve"> </w:t>
      </w:r>
      <w:r>
        <w:rPr>
          <w:rFonts w:cs="Arial"/>
        </w:rPr>
        <w:t>should</w:t>
      </w:r>
      <w:r w:rsidRPr="7D41BAF7">
        <w:rPr>
          <w:rFonts w:cs="Arial"/>
        </w:rPr>
        <w:t xml:space="preserve"> </w:t>
      </w:r>
      <w:r>
        <w:rPr>
          <w:rFonts w:cs="Arial"/>
        </w:rPr>
        <w:t>document in the clinical record the patient’s suitability</w:t>
      </w:r>
      <w:r w:rsidRPr="7D41BAF7">
        <w:rPr>
          <w:rFonts w:cs="Arial"/>
        </w:rPr>
        <w:t xml:space="preserve"> </w:t>
      </w:r>
      <w:r>
        <w:rPr>
          <w:rFonts w:cs="Arial"/>
        </w:rPr>
        <w:t>for CLD and what criteria is required</w:t>
      </w:r>
      <w:r w:rsidRPr="7D41BAF7">
        <w:rPr>
          <w:rFonts w:cs="Arial"/>
        </w:rPr>
        <w:t>.</w:t>
      </w:r>
      <w:r>
        <w:rPr>
          <w:rFonts w:cs="Arial"/>
        </w:rPr>
        <w:t xml:space="preserve">  This documentation should include any physical, psychological, environmental, and social requirements. The process should remain flexible to allow for criteria to be amended during the patient journey, as appropriate to their condition. </w:t>
      </w:r>
    </w:p>
    <w:p w14:paraId="3E3E5209" w14:textId="77777777" w:rsidR="00B03E7D" w:rsidRDefault="00B03E7D" w:rsidP="00B03E7D">
      <w:pPr>
        <w:rPr>
          <w:rFonts w:cs="Arial"/>
        </w:rPr>
      </w:pPr>
    </w:p>
    <w:tbl>
      <w:tblPr>
        <w:tblStyle w:val="TableGrid"/>
        <w:tblW w:w="0" w:type="auto"/>
        <w:tblLook w:val="04A0" w:firstRow="1" w:lastRow="0" w:firstColumn="1" w:lastColumn="0" w:noHBand="0" w:noVBand="1"/>
      </w:tblPr>
      <w:tblGrid>
        <w:gridCol w:w="9060"/>
      </w:tblGrid>
      <w:tr w:rsidR="00B03E7D" w14:paraId="196976AD" w14:textId="77777777" w:rsidTr="001F62D8">
        <w:tc>
          <w:tcPr>
            <w:tcW w:w="9060" w:type="dxa"/>
          </w:tcPr>
          <w:p w14:paraId="77DDF769" w14:textId="086E2723" w:rsidR="00B03E7D" w:rsidRPr="001F62D8" w:rsidRDefault="00B03E7D" w:rsidP="001F62D8">
            <w:pPr>
              <w:rPr>
                <w:rFonts w:cs="Arial"/>
                <w:b/>
                <w:bCs/>
              </w:rPr>
            </w:pPr>
            <w:r w:rsidRPr="001F62D8">
              <w:rPr>
                <w:rFonts w:cs="Arial"/>
                <w:b/>
                <w:bCs/>
              </w:rPr>
              <w:t>Note:</w:t>
            </w:r>
            <w:r>
              <w:rPr>
                <w:rFonts w:cs="Arial"/>
                <w:b/>
                <w:bCs/>
              </w:rPr>
              <w:t xml:space="preserve"> </w:t>
            </w:r>
            <w:r>
              <w:rPr>
                <w:rFonts w:cs="Arial"/>
              </w:rPr>
              <w:t>CLD can be documented in the Digital Health Record</w:t>
            </w:r>
            <w:r w:rsidR="00556176">
              <w:rPr>
                <w:rFonts w:cs="Arial"/>
              </w:rPr>
              <w:t xml:space="preserve"> (DHR)</w:t>
            </w:r>
            <w:r>
              <w:rPr>
                <w:rFonts w:cs="Arial"/>
              </w:rPr>
              <w:t xml:space="preserve"> system by typing a note using a ‘smart phrase’. Medical teams can develop their own or utilise one available to all staff by typing in .CRITERIALEDDISCHARGE in the note section</w:t>
            </w:r>
          </w:p>
        </w:tc>
      </w:tr>
    </w:tbl>
    <w:p w14:paraId="7DFA8450" w14:textId="77777777" w:rsidR="00B03E7D" w:rsidRDefault="00B03E7D" w:rsidP="00B03E7D">
      <w:pPr>
        <w:rPr>
          <w:rFonts w:cs="Arial"/>
          <w:iCs/>
          <w:szCs w:val="24"/>
        </w:rPr>
      </w:pPr>
    </w:p>
    <w:p w14:paraId="0EB2FD7B" w14:textId="60A38BEB" w:rsidR="00B03E7D" w:rsidRPr="00DE31D2" w:rsidRDefault="00B03E7D" w:rsidP="00B03E7D">
      <w:pPr>
        <w:rPr>
          <w:rFonts w:cs="Arial"/>
          <w:iCs/>
          <w:szCs w:val="24"/>
        </w:rPr>
      </w:pPr>
      <w:r>
        <w:rPr>
          <w:rFonts w:cs="Arial"/>
        </w:rPr>
        <w:t xml:space="preserve">The </w:t>
      </w:r>
      <w:r w:rsidRPr="004F2B9D">
        <w:rPr>
          <w:rFonts w:cs="Arial"/>
        </w:rPr>
        <w:t>Medical Officer</w:t>
      </w:r>
      <w:r w:rsidRPr="004F2B9D">
        <w:rPr>
          <w:rFonts w:cs="Arial"/>
          <w:iCs/>
          <w:szCs w:val="24"/>
        </w:rPr>
        <w:t xml:space="preserve"> from the primary treating team</w:t>
      </w:r>
      <w:r>
        <w:rPr>
          <w:rFonts w:cs="Arial"/>
          <w:iCs/>
          <w:szCs w:val="24"/>
        </w:rPr>
        <w:t xml:space="preserve"> </w:t>
      </w:r>
      <w:r w:rsidRPr="00DE31D2">
        <w:rPr>
          <w:rFonts w:cs="Arial"/>
          <w:iCs/>
          <w:szCs w:val="24"/>
        </w:rPr>
        <w:t xml:space="preserve">will </w:t>
      </w:r>
      <w:r>
        <w:rPr>
          <w:rFonts w:cs="Arial"/>
          <w:iCs/>
          <w:szCs w:val="24"/>
        </w:rPr>
        <w:t>maintain clinical governance and remain accountable for the care of the patient during the admission</w:t>
      </w:r>
      <w:r w:rsidRPr="00DE31D2">
        <w:rPr>
          <w:rFonts w:cs="Arial"/>
          <w:iCs/>
          <w:szCs w:val="24"/>
        </w:rPr>
        <w:t>. They are responsible for approving the decision for a patient to be discharged via CLD</w:t>
      </w:r>
      <w:r>
        <w:rPr>
          <w:rFonts w:cs="Arial"/>
          <w:iCs/>
          <w:szCs w:val="24"/>
        </w:rPr>
        <w:t xml:space="preserve"> process</w:t>
      </w:r>
      <w:r w:rsidRPr="00DE31D2">
        <w:rPr>
          <w:rFonts w:cs="Arial"/>
          <w:iCs/>
          <w:szCs w:val="24"/>
        </w:rPr>
        <w:t xml:space="preserve"> and for approving</w:t>
      </w:r>
      <w:r>
        <w:rPr>
          <w:rFonts w:cs="Arial"/>
          <w:iCs/>
          <w:szCs w:val="24"/>
        </w:rPr>
        <w:t xml:space="preserve"> and documenting</w:t>
      </w:r>
      <w:r w:rsidRPr="00DE31D2">
        <w:rPr>
          <w:rFonts w:cs="Arial"/>
          <w:iCs/>
          <w:szCs w:val="24"/>
        </w:rPr>
        <w:t xml:space="preserve"> the predetermined list of discharge criteria</w:t>
      </w:r>
      <w:r>
        <w:rPr>
          <w:rFonts w:cs="Arial"/>
          <w:iCs/>
          <w:szCs w:val="24"/>
        </w:rPr>
        <w:t xml:space="preserve"> for  patients</w:t>
      </w:r>
      <w:r w:rsidRPr="00DE31D2">
        <w:rPr>
          <w:rFonts w:cs="Arial"/>
          <w:iCs/>
          <w:szCs w:val="24"/>
        </w:rPr>
        <w:t>.</w:t>
      </w:r>
      <w:r>
        <w:rPr>
          <w:rFonts w:cs="Arial"/>
          <w:iCs/>
          <w:szCs w:val="24"/>
        </w:rPr>
        <w:t xml:space="preserve"> The Medical Officer should also communicate the CLD requirements to the nursing and allied health teams to facilitate timely discharge planning and provide clear communication processes. </w:t>
      </w:r>
    </w:p>
    <w:p w14:paraId="03B31A73" w14:textId="77777777" w:rsidR="00B03E7D" w:rsidRDefault="00B03E7D" w:rsidP="00B03E7D">
      <w:pPr>
        <w:rPr>
          <w:rFonts w:cs="Arial"/>
          <w:iCs/>
          <w:szCs w:val="24"/>
        </w:rPr>
      </w:pPr>
    </w:p>
    <w:p w14:paraId="090A5B30" w14:textId="77777777" w:rsidR="00B03E7D" w:rsidRPr="00DE31D2" w:rsidRDefault="00B03E7D" w:rsidP="00B03E7D">
      <w:pPr>
        <w:pBdr>
          <w:top w:val="single" w:sz="4" w:space="1" w:color="auto"/>
          <w:left w:val="single" w:sz="4" w:space="4" w:color="auto"/>
          <w:bottom w:val="single" w:sz="4" w:space="1" w:color="auto"/>
          <w:right w:val="single" w:sz="4" w:space="4" w:color="auto"/>
        </w:pBdr>
        <w:rPr>
          <w:rFonts w:cs="Arial"/>
          <w:iCs/>
          <w:szCs w:val="24"/>
        </w:rPr>
      </w:pPr>
      <w:r w:rsidRPr="00DB1ABC">
        <w:rPr>
          <w:rFonts w:cs="Arial"/>
          <w:b/>
          <w:bCs/>
          <w:iCs/>
          <w:szCs w:val="24"/>
        </w:rPr>
        <w:t>Note:</w:t>
      </w:r>
      <w:r w:rsidRPr="00DE31D2">
        <w:rPr>
          <w:rFonts w:cs="Arial"/>
          <w:iCs/>
          <w:szCs w:val="24"/>
        </w:rPr>
        <w:t xml:space="preserve"> </w:t>
      </w:r>
      <w:r>
        <w:rPr>
          <w:rFonts w:cs="Arial"/>
          <w:iCs/>
          <w:szCs w:val="24"/>
        </w:rPr>
        <w:t>T</w:t>
      </w:r>
      <w:r w:rsidRPr="00DE31D2">
        <w:rPr>
          <w:rFonts w:cs="Arial"/>
          <w:iCs/>
          <w:szCs w:val="24"/>
        </w:rPr>
        <w:t xml:space="preserve">he use of CLD does not replace discharge planning and ongoing clinical monitoring of the patient. The use of CLD is a part of discharge planning. Issues such as </w:t>
      </w:r>
      <w:r>
        <w:rPr>
          <w:rFonts w:cs="Arial"/>
          <w:iCs/>
          <w:szCs w:val="24"/>
        </w:rPr>
        <w:t xml:space="preserve">post discharge </w:t>
      </w:r>
      <w:r w:rsidRPr="00DE31D2">
        <w:rPr>
          <w:rFonts w:cs="Arial"/>
          <w:iCs/>
          <w:szCs w:val="24"/>
        </w:rPr>
        <w:t xml:space="preserve">follow up requirements should be part of the discharge plan and </w:t>
      </w:r>
      <w:r>
        <w:rPr>
          <w:rFonts w:cs="Arial"/>
          <w:iCs/>
          <w:szCs w:val="24"/>
        </w:rPr>
        <w:t xml:space="preserve">are </w:t>
      </w:r>
      <w:r w:rsidRPr="00DE31D2">
        <w:rPr>
          <w:rFonts w:cs="Arial"/>
          <w:iCs/>
          <w:szCs w:val="24"/>
        </w:rPr>
        <w:t>not affected by the decision to use CLD</w:t>
      </w:r>
      <w:r>
        <w:rPr>
          <w:rFonts w:cs="Arial"/>
          <w:iCs/>
          <w:szCs w:val="24"/>
        </w:rPr>
        <w:t xml:space="preserve"> process</w:t>
      </w:r>
      <w:r w:rsidRPr="00DE31D2">
        <w:rPr>
          <w:rFonts w:cs="Arial"/>
          <w:iCs/>
          <w:szCs w:val="24"/>
        </w:rPr>
        <w:t>.</w:t>
      </w:r>
      <w:r>
        <w:rPr>
          <w:rFonts w:cs="Arial"/>
          <w:iCs/>
          <w:szCs w:val="24"/>
        </w:rPr>
        <w:t xml:space="preserve">  The EDD should be documented in the clinical record and updated if a change in the patient’s condition occurs.  The patient should be informed of their EDD.</w:t>
      </w:r>
    </w:p>
    <w:p w14:paraId="6D58F6C2" w14:textId="77777777" w:rsidR="00B03E7D" w:rsidRDefault="00B03E7D" w:rsidP="00B03E7D">
      <w:pPr>
        <w:rPr>
          <w:rFonts w:cs="Arial"/>
          <w:iCs/>
          <w:szCs w:val="24"/>
        </w:rPr>
      </w:pPr>
    </w:p>
    <w:p w14:paraId="08FF64C5" w14:textId="77777777" w:rsidR="00B03E7D" w:rsidRDefault="00B03E7D" w:rsidP="00B03E7D">
      <w:pPr>
        <w:rPr>
          <w:rFonts w:cs="Arial"/>
          <w:iCs/>
          <w:szCs w:val="24"/>
        </w:rPr>
      </w:pPr>
      <w:r>
        <w:rPr>
          <w:rFonts w:cs="Arial"/>
          <w:iCs/>
          <w:szCs w:val="24"/>
        </w:rPr>
        <w:lastRenderedPageBreak/>
        <w:t xml:space="preserve">Prior to discharging a patient using CLD, </w:t>
      </w:r>
      <w:r w:rsidRPr="00DE31D2">
        <w:rPr>
          <w:rFonts w:cs="Arial"/>
          <w:iCs/>
          <w:szCs w:val="24"/>
        </w:rPr>
        <w:t>the discharging clinician sh</w:t>
      </w:r>
      <w:r>
        <w:rPr>
          <w:rFonts w:cs="Arial"/>
          <w:iCs/>
          <w:szCs w:val="24"/>
        </w:rPr>
        <w:t>ould</w:t>
      </w:r>
      <w:r w:rsidRPr="00DE31D2">
        <w:rPr>
          <w:rFonts w:cs="Arial"/>
          <w:iCs/>
          <w:szCs w:val="24"/>
        </w:rPr>
        <w:t xml:space="preserve"> conduct a comprehensive patient assessment to ensure that all </w:t>
      </w:r>
      <w:r>
        <w:rPr>
          <w:rFonts w:cs="Arial"/>
          <w:iCs/>
          <w:szCs w:val="24"/>
        </w:rPr>
        <w:t xml:space="preserve">documented </w:t>
      </w:r>
      <w:r w:rsidRPr="00DE31D2">
        <w:rPr>
          <w:rFonts w:cs="Arial"/>
          <w:iCs/>
          <w:szCs w:val="24"/>
        </w:rPr>
        <w:t>discharge criteria</w:t>
      </w:r>
      <w:r>
        <w:rPr>
          <w:rFonts w:cs="Arial"/>
          <w:iCs/>
          <w:szCs w:val="24"/>
        </w:rPr>
        <w:t xml:space="preserve"> determined by primary treating medical team</w:t>
      </w:r>
      <w:r w:rsidRPr="00DE31D2">
        <w:rPr>
          <w:rFonts w:cs="Arial"/>
          <w:iCs/>
          <w:szCs w:val="24"/>
        </w:rPr>
        <w:t xml:space="preserve"> have been met.</w:t>
      </w:r>
    </w:p>
    <w:p w14:paraId="48C98972" w14:textId="77777777" w:rsidR="00B03E7D" w:rsidRPr="00DE31D2" w:rsidRDefault="00B03E7D" w:rsidP="00B03E7D">
      <w:pPr>
        <w:rPr>
          <w:rFonts w:cs="Arial"/>
          <w:iCs/>
          <w:szCs w:val="24"/>
        </w:rPr>
      </w:pPr>
    </w:p>
    <w:p w14:paraId="76AAB6DF" w14:textId="77777777" w:rsidR="00B03E7D" w:rsidRPr="00DE31D2" w:rsidRDefault="00B03E7D" w:rsidP="00B03E7D">
      <w:pPr>
        <w:rPr>
          <w:rFonts w:cs="Arial"/>
        </w:rPr>
      </w:pPr>
      <w:r w:rsidRPr="4D0E56CB">
        <w:rPr>
          <w:rFonts w:cs="Arial"/>
        </w:rPr>
        <w:t>If there are any changes in the patient’s condition</w:t>
      </w:r>
      <w:r>
        <w:rPr>
          <w:rFonts w:cs="Arial"/>
        </w:rPr>
        <w:t>, observations not within their normal limits, or if the patient has had a Medical Emergency Team (MET) call in the last 24 hours</w:t>
      </w:r>
      <w:r w:rsidRPr="4D0E56CB">
        <w:rPr>
          <w:rFonts w:cs="Arial"/>
        </w:rPr>
        <w:t xml:space="preserve">, then the patient must be reviewed by </w:t>
      </w:r>
      <w:r>
        <w:rPr>
          <w:rFonts w:cs="Arial"/>
        </w:rPr>
        <w:t xml:space="preserve">a Medical Officer from the primary treating team. It is the Medical Officer’s responsibility to assess whether the patient is still </w:t>
      </w:r>
      <w:r w:rsidRPr="4D0E56CB">
        <w:rPr>
          <w:rFonts w:cs="Arial"/>
        </w:rPr>
        <w:t>suitable for CLD. Variances</w:t>
      </w:r>
      <w:r>
        <w:rPr>
          <w:rFonts w:cs="Arial"/>
        </w:rPr>
        <w:t xml:space="preserve"> (of CLD criteria set by primary treating medical team)</w:t>
      </w:r>
      <w:r w:rsidRPr="4D0E56CB">
        <w:rPr>
          <w:rFonts w:cs="Arial"/>
        </w:rPr>
        <w:t xml:space="preserve"> must be documented in the patient’s </w:t>
      </w:r>
      <w:r>
        <w:rPr>
          <w:rFonts w:cs="Arial"/>
        </w:rPr>
        <w:t>clinical record</w:t>
      </w:r>
      <w:r w:rsidRPr="4D0E56CB">
        <w:rPr>
          <w:rFonts w:cs="Arial"/>
        </w:rPr>
        <w:t>.</w:t>
      </w:r>
    </w:p>
    <w:p w14:paraId="0E368EC3" w14:textId="77777777" w:rsidR="00B03E7D" w:rsidRPr="00DE31D2" w:rsidRDefault="00B03E7D" w:rsidP="00B03E7D">
      <w:pPr>
        <w:rPr>
          <w:rFonts w:cs="Arial"/>
          <w:iCs/>
          <w:szCs w:val="24"/>
        </w:rPr>
      </w:pPr>
    </w:p>
    <w:p w14:paraId="5E0F8B28" w14:textId="77777777" w:rsidR="00B03E7D" w:rsidRDefault="00B03E7D" w:rsidP="00B03E7D">
      <w:pPr>
        <w:rPr>
          <w:rFonts w:cs="Arial"/>
        </w:rPr>
      </w:pPr>
      <w:r w:rsidRPr="7D41BAF7">
        <w:rPr>
          <w:rFonts w:cs="Arial"/>
        </w:rPr>
        <w:t xml:space="preserve">Once the patient has been discharged, the discharging clinician </w:t>
      </w:r>
      <w:r>
        <w:rPr>
          <w:rFonts w:cs="Arial"/>
        </w:rPr>
        <w:t xml:space="preserve">must </w:t>
      </w:r>
      <w:r w:rsidRPr="7D41BAF7">
        <w:rPr>
          <w:rFonts w:cs="Arial"/>
        </w:rPr>
        <w:t>ensure that all the discharge requirements have been completed and documented in accordance with local policy and procedures</w:t>
      </w:r>
      <w:r>
        <w:rPr>
          <w:rFonts w:cs="Arial"/>
        </w:rPr>
        <w:t>, including documenting in clinical record.</w:t>
      </w:r>
    </w:p>
    <w:p w14:paraId="155A5FD7" w14:textId="77777777" w:rsidR="00B03E7D" w:rsidRDefault="00B03E7D" w:rsidP="00B03E7D">
      <w:pPr>
        <w:rPr>
          <w:rFonts w:cs="Arial"/>
        </w:rPr>
      </w:pPr>
    </w:p>
    <w:tbl>
      <w:tblPr>
        <w:tblStyle w:val="TableGrid"/>
        <w:tblW w:w="0" w:type="auto"/>
        <w:tblLook w:val="04A0" w:firstRow="1" w:lastRow="0" w:firstColumn="1" w:lastColumn="0" w:noHBand="0" w:noVBand="1"/>
      </w:tblPr>
      <w:tblGrid>
        <w:gridCol w:w="9060"/>
      </w:tblGrid>
      <w:tr w:rsidR="00B03E7D" w14:paraId="043A071D" w14:textId="77777777" w:rsidTr="001F62D8">
        <w:tc>
          <w:tcPr>
            <w:tcW w:w="9060" w:type="dxa"/>
          </w:tcPr>
          <w:p w14:paraId="471B7A92" w14:textId="04E024EA" w:rsidR="00B03E7D" w:rsidRPr="008E6882" w:rsidRDefault="00B03E7D" w:rsidP="001F62D8">
            <w:pPr>
              <w:rPr>
                <w:sz w:val="22"/>
              </w:rPr>
            </w:pPr>
            <w:r>
              <w:rPr>
                <w:b/>
                <w:bCs/>
              </w:rPr>
              <w:t xml:space="preserve">Note: </w:t>
            </w:r>
            <w:r>
              <w:t xml:space="preserve">Discharging Clinician – Medical, Nursing or Allied Health staff </w:t>
            </w:r>
            <w:r w:rsidRPr="008E6882">
              <w:t xml:space="preserve">with </w:t>
            </w:r>
            <w:r>
              <w:t xml:space="preserve">deemed </w:t>
            </w:r>
            <w:r w:rsidRPr="008E6882">
              <w:t>suitable</w:t>
            </w:r>
            <w:r>
              <w:t xml:space="preserve"> knowledge,</w:t>
            </w:r>
            <w:r w:rsidRPr="008E6882">
              <w:t xml:space="preserve"> skills and experience</w:t>
            </w:r>
            <w:r>
              <w:t xml:space="preserve"> in CLD process </w:t>
            </w:r>
            <w:r w:rsidRPr="008E6882">
              <w:t xml:space="preserve">by the nurse in charge or Allied Health lead </w:t>
            </w:r>
            <w:r>
              <w:t xml:space="preserve">(working within their scope of practice) can act as a ‘discharging clinician’ </w:t>
            </w:r>
            <w:r>
              <w:rPr>
                <w:b/>
                <w:bCs/>
              </w:rPr>
              <w:t xml:space="preserve">only </w:t>
            </w:r>
            <w:r>
              <w:t>if a patient has documented criteria by the MO for CLD, which has been  achieved.</w:t>
            </w:r>
          </w:p>
        </w:tc>
      </w:tr>
    </w:tbl>
    <w:p w14:paraId="761F8BA3" w14:textId="77777777" w:rsidR="006502D6" w:rsidRDefault="006502D6" w:rsidP="00BE0586">
      <w:pPr>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8346D7" w:rsidRPr="00C76688" w14:paraId="5F33B3D8" w14:textId="77777777" w:rsidTr="006B29E6">
        <w:trPr>
          <w:cantSplit/>
          <w:trHeight w:val="285"/>
        </w:trPr>
        <w:tc>
          <w:tcPr>
            <w:tcW w:w="9158" w:type="dxa"/>
            <w:shd w:val="clear" w:color="auto" w:fill="D9D9D9" w:themeFill="background1" w:themeFillShade="D9"/>
          </w:tcPr>
          <w:p w14:paraId="012ABA24" w14:textId="3A3C4016" w:rsidR="008346D7" w:rsidRPr="00C76688" w:rsidRDefault="008346D7" w:rsidP="006B29E6">
            <w:pPr>
              <w:pStyle w:val="Heading1"/>
            </w:pPr>
            <w:bookmarkStart w:id="17" w:name="_Toc135385868"/>
            <w:r w:rsidRPr="00C76688">
              <w:t xml:space="preserve">Section </w:t>
            </w:r>
            <w:r w:rsidR="00556176">
              <w:t>5</w:t>
            </w:r>
            <w:r w:rsidRPr="00C76688">
              <w:t xml:space="preserve"> – </w:t>
            </w:r>
            <w:r>
              <w:t>Training and credentialling requirements</w:t>
            </w:r>
            <w:bookmarkEnd w:id="17"/>
          </w:p>
        </w:tc>
      </w:tr>
    </w:tbl>
    <w:p w14:paraId="04CF029C" w14:textId="418ED8C4" w:rsidR="008346D7" w:rsidRDefault="008346D7" w:rsidP="00941B38"/>
    <w:p w14:paraId="312B09CC" w14:textId="77777777" w:rsidR="003B26F3" w:rsidRDefault="003B26F3" w:rsidP="00941B38"/>
    <w:p w14:paraId="3F4F41EB" w14:textId="7F30D1D6" w:rsidR="008346D7" w:rsidRDefault="0007301D" w:rsidP="00941B38">
      <w:r>
        <w:t xml:space="preserve">Medical officers, </w:t>
      </w:r>
      <w:r w:rsidR="00351779">
        <w:t>Registered N</w:t>
      </w:r>
      <w:r w:rsidR="008346D7">
        <w:t>urses</w:t>
      </w:r>
      <w:r>
        <w:t xml:space="preserve"> and</w:t>
      </w:r>
      <w:r w:rsidR="001C6DF8">
        <w:t xml:space="preserve"> </w:t>
      </w:r>
      <w:r w:rsidR="008346D7">
        <w:t>Allied Health</w:t>
      </w:r>
      <w:r w:rsidR="00BE0586">
        <w:t xml:space="preserve"> professionals</w:t>
      </w:r>
      <w:r w:rsidR="008346D7">
        <w:t xml:space="preserve"> are to </w:t>
      </w:r>
      <w:r>
        <w:t xml:space="preserve">be familiar with the </w:t>
      </w:r>
      <w:r w:rsidR="00F94A3F">
        <w:t>Criteria Led Discharge (</w:t>
      </w:r>
      <w:r w:rsidR="00BF26A7">
        <w:t>CLD</w:t>
      </w:r>
      <w:r w:rsidR="00F94A3F">
        <w:t>) Staff I</w:t>
      </w:r>
      <w:r w:rsidR="00BF26A7">
        <w:t xml:space="preserve">nformation </w:t>
      </w:r>
      <w:r w:rsidR="00F94A3F">
        <w:t>S</w:t>
      </w:r>
      <w:r w:rsidR="00BF26A7">
        <w:t>heet</w:t>
      </w:r>
      <w:r w:rsidR="00F94A3F">
        <w:t xml:space="preserve"> (see Attachment 1) </w:t>
      </w:r>
      <w:r w:rsidR="00BF26A7">
        <w:t xml:space="preserve">and </w:t>
      </w:r>
      <w:r w:rsidR="009E1478">
        <w:t>this guideline</w:t>
      </w:r>
      <w:r>
        <w:t>, prior to initiating and implementing CLD</w:t>
      </w:r>
      <w:r w:rsidR="0072352E">
        <w:t xml:space="preserve"> process</w:t>
      </w:r>
      <w:r w:rsidR="00BF26A7">
        <w:t>.</w:t>
      </w:r>
    </w:p>
    <w:p w14:paraId="13A4E051" w14:textId="77777777" w:rsidR="00941B38" w:rsidRDefault="00941B38" w:rsidP="00941B38">
      <w:pPr>
        <w:jc w:val="right"/>
      </w:pPr>
    </w:p>
    <w:p w14:paraId="2771CB6A" w14:textId="77777777" w:rsidR="008E6882" w:rsidRPr="00DE31D2" w:rsidRDefault="008E6882" w:rsidP="00DE31D2">
      <w:pPr>
        <w:rPr>
          <w:rFonts w:cs="Arial"/>
          <w:iCs/>
          <w:szCs w:val="24"/>
        </w:rPr>
      </w:pPr>
      <w:bookmarkStart w:id="18" w:name="_Hlk137029912"/>
    </w:p>
    <w:bookmarkEnd w:id="18"/>
    <w:p w14:paraId="1B356354" w14:textId="77777777" w:rsidR="005E2398" w:rsidRDefault="00E5628A" w:rsidP="005E2398">
      <w:pPr>
        <w:jc w:val="right"/>
      </w:pPr>
      <w:r>
        <w:fldChar w:fldCharType="begin"/>
      </w:r>
      <w:r>
        <w:instrText>HYPERLINK \l "Contents"</w:instrText>
      </w:r>
      <w:r>
        <w:fldChar w:fldCharType="separate"/>
      </w:r>
      <w:r w:rsidR="005E2398" w:rsidRPr="00C91F3F">
        <w:rPr>
          <w:rStyle w:val="Hyperlink"/>
          <w:rFonts w:eastAsiaTheme="majorEastAsia" w:cs="Arial"/>
          <w:i/>
          <w:szCs w:val="24"/>
        </w:rPr>
        <w:t>Back to Table of Contents</w:t>
      </w:r>
      <w:r>
        <w:rPr>
          <w:rStyle w:val="Hyperlink"/>
          <w:rFonts w:eastAsiaTheme="majorEastAsia"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17A25FFA" w:rsidR="009A534C" w:rsidRPr="00CD1C0E" w:rsidRDefault="009A534C" w:rsidP="00B10F87">
            <w:pPr>
              <w:pStyle w:val="Heading1"/>
            </w:pPr>
            <w:r>
              <w:rPr>
                <w:i/>
                <w:szCs w:val="24"/>
              </w:rPr>
              <w:t xml:space="preserve"> </w:t>
            </w:r>
            <w:bookmarkStart w:id="19" w:name="_Toc135385870"/>
            <w:r w:rsidR="002B478A">
              <w:t>Evaluation</w:t>
            </w:r>
            <w:bookmarkEnd w:id="19"/>
            <w:r>
              <w:t xml:space="preserve"> </w:t>
            </w:r>
          </w:p>
        </w:tc>
      </w:tr>
    </w:tbl>
    <w:p w14:paraId="61082B88" w14:textId="77777777" w:rsidR="00D006EF" w:rsidRDefault="00D006EF" w:rsidP="00D006EF">
      <w:pPr>
        <w:pStyle w:val="Default"/>
        <w:rPr>
          <w:rFonts w:ascii="Calibri" w:hAnsi="Calibri"/>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117EB6DF" w14:textId="70901EA8" w:rsidR="008D0CBA" w:rsidRPr="00BF26A7" w:rsidRDefault="00BF26A7" w:rsidP="008D0CBA">
      <w:pPr>
        <w:numPr>
          <w:ilvl w:val="0"/>
          <w:numId w:val="11"/>
        </w:numPr>
        <w:rPr>
          <w:szCs w:val="24"/>
        </w:rPr>
      </w:pPr>
      <w:r>
        <w:rPr>
          <w:szCs w:val="24"/>
        </w:rPr>
        <w:t>Improved communication around discharge planning</w:t>
      </w:r>
      <w:r w:rsidR="00AF14BE">
        <w:rPr>
          <w:szCs w:val="24"/>
        </w:rPr>
        <w:t>.</w:t>
      </w:r>
    </w:p>
    <w:p w14:paraId="453A4F5F" w14:textId="15E92213" w:rsidR="008D0CBA" w:rsidRPr="00BF26A7" w:rsidRDefault="00BF26A7" w:rsidP="008D0CBA">
      <w:pPr>
        <w:numPr>
          <w:ilvl w:val="0"/>
          <w:numId w:val="11"/>
        </w:numPr>
        <w:rPr>
          <w:szCs w:val="24"/>
        </w:rPr>
      </w:pPr>
      <w:r>
        <w:rPr>
          <w:szCs w:val="24"/>
        </w:rPr>
        <w:t>Decreased Length of Stay</w:t>
      </w:r>
      <w:r w:rsidR="00AF14BE">
        <w:rPr>
          <w:szCs w:val="24"/>
        </w:rPr>
        <w:t>.</w:t>
      </w:r>
    </w:p>
    <w:p w14:paraId="42E81A80" w14:textId="77777777" w:rsidR="00D006EF" w:rsidRDefault="00D006EF" w:rsidP="00D006EF">
      <w:pPr>
        <w:pStyle w:val="Default"/>
        <w:rPr>
          <w:rFonts w:ascii="Calibri" w:hAnsi="Calibri" w:cs="Arial"/>
          <w:b/>
          <w:bCs/>
          <w:iCs/>
          <w:color w:val="auto"/>
          <w:lang w:eastAsia="en-US"/>
        </w:rPr>
      </w:pPr>
    </w:p>
    <w:p w14:paraId="5D4D6CB3" w14:textId="77777777"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6744284F" w14:textId="6E69EC03" w:rsidR="008D0CBA" w:rsidRPr="00BF26A7" w:rsidRDefault="008D0CBA" w:rsidP="008D0CBA">
      <w:pPr>
        <w:numPr>
          <w:ilvl w:val="0"/>
          <w:numId w:val="12"/>
        </w:numPr>
        <w:rPr>
          <w:szCs w:val="24"/>
        </w:rPr>
      </w:pPr>
      <w:r w:rsidRPr="00BF26A7">
        <w:rPr>
          <w:szCs w:val="24"/>
        </w:rPr>
        <w:t xml:space="preserve">Regular review </w:t>
      </w:r>
      <w:r w:rsidR="00BF26A7">
        <w:rPr>
          <w:szCs w:val="24"/>
        </w:rPr>
        <w:t>of CLD processes by</w:t>
      </w:r>
      <w:r w:rsidRPr="00BF26A7">
        <w:rPr>
          <w:szCs w:val="24"/>
        </w:rPr>
        <w:t xml:space="preserve"> relevant managers of </w:t>
      </w:r>
      <w:r w:rsidRPr="00BF26A7">
        <w:t xml:space="preserve">clinical activity, </w:t>
      </w:r>
      <w:r w:rsidR="00BF26A7">
        <w:t>number of patients CLD is utilised for</w:t>
      </w:r>
      <w:r w:rsidR="00AF14BE">
        <w:t>.</w:t>
      </w:r>
    </w:p>
    <w:p w14:paraId="3CCB5563" w14:textId="5FC4088C" w:rsidR="008D0CBA" w:rsidRPr="00BF26A7" w:rsidRDefault="008D0CBA" w:rsidP="008D0CBA">
      <w:pPr>
        <w:numPr>
          <w:ilvl w:val="0"/>
          <w:numId w:val="12"/>
        </w:numPr>
        <w:rPr>
          <w:szCs w:val="24"/>
        </w:rPr>
      </w:pPr>
      <w:r w:rsidRPr="00BF26A7">
        <w:rPr>
          <w:szCs w:val="24"/>
        </w:rPr>
        <w:t>Clinical and quality outcomes are evaluated through patient</w:t>
      </w:r>
      <w:r w:rsidR="00BF26A7">
        <w:rPr>
          <w:szCs w:val="24"/>
        </w:rPr>
        <w:t xml:space="preserve"> and </w:t>
      </w:r>
      <w:r w:rsidR="00B54AD0">
        <w:rPr>
          <w:szCs w:val="24"/>
        </w:rPr>
        <w:t xml:space="preserve">staff </w:t>
      </w:r>
      <w:r w:rsidR="00B54AD0" w:rsidRPr="00BF26A7">
        <w:rPr>
          <w:szCs w:val="24"/>
        </w:rPr>
        <w:t>experience</w:t>
      </w:r>
      <w:r w:rsidRPr="00BF26A7">
        <w:rPr>
          <w:szCs w:val="24"/>
        </w:rPr>
        <w:t xml:space="preserve"> questionnaires and consumer feedback data</w:t>
      </w:r>
      <w:r w:rsidR="00657B32">
        <w:rPr>
          <w:szCs w:val="24"/>
        </w:rPr>
        <w:t>.</w:t>
      </w:r>
    </w:p>
    <w:p w14:paraId="31E75C2B" w14:textId="77777777" w:rsidR="008D0CBA" w:rsidRDefault="008D0CBA" w:rsidP="008D0CBA">
      <w:pPr>
        <w:ind w:left="360"/>
        <w:rPr>
          <w:i/>
          <w:iCs/>
          <w:szCs w:val="24"/>
        </w:rPr>
      </w:pPr>
    </w:p>
    <w:p w14:paraId="5ED58E15" w14:textId="77777777" w:rsidR="00D006EF" w:rsidRDefault="0094517C" w:rsidP="00D006EF">
      <w:pPr>
        <w:jc w:val="right"/>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0" w:name="_Toc389473287"/>
            <w:bookmarkStart w:id="21" w:name="_Toc393203347"/>
            <w:bookmarkStart w:id="22" w:name="_Toc135385871"/>
            <w:r>
              <w:lastRenderedPageBreak/>
              <w:t>Related Policies, Procedures</w:t>
            </w:r>
            <w:bookmarkEnd w:id="20"/>
            <w:r>
              <w:t>, Guidelines and Legislation</w:t>
            </w:r>
            <w:bookmarkEnd w:id="21"/>
            <w:bookmarkEnd w:id="22"/>
          </w:p>
        </w:tc>
      </w:tr>
    </w:tbl>
    <w:p w14:paraId="08682A23" w14:textId="77777777" w:rsidR="00D16211" w:rsidRDefault="00D16211" w:rsidP="006743DB"/>
    <w:p w14:paraId="08682A24" w14:textId="77777777" w:rsidR="00B61F35" w:rsidRPr="006743DB" w:rsidRDefault="00B61F35" w:rsidP="006743DB">
      <w:pPr>
        <w:rPr>
          <w:b/>
        </w:rPr>
      </w:pPr>
      <w:r w:rsidRPr="006743DB">
        <w:rPr>
          <w:b/>
        </w:rPr>
        <w:t>Policies</w:t>
      </w:r>
    </w:p>
    <w:p w14:paraId="0C84FEE5" w14:textId="38BE5758" w:rsidR="00BF26A7" w:rsidRPr="00B77BF9" w:rsidRDefault="00B61F35" w:rsidP="00054115">
      <w:pPr>
        <w:pStyle w:val="ListBullet"/>
        <w:tabs>
          <w:tab w:val="clear" w:pos="785"/>
          <w:tab w:val="num" w:pos="360"/>
        </w:tabs>
        <w:ind w:left="360"/>
      </w:pPr>
      <w:r>
        <w:t xml:space="preserve">Nursing and Midwifery </w:t>
      </w:r>
      <w:r w:rsidR="0060059B" w:rsidRPr="00DD1823">
        <w:rPr>
          <w:rFonts w:asciiTheme="minorHAnsi" w:hAnsiTheme="minorHAnsi" w:cstheme="minorHAnsi"/>
        </w:rPr>
        <w:t>Board of Australia (NMBA) Requirements for Practice</w:t>
      </w:r>
    </w:p>
    <w:p w14:paraId="673183DD" w14:textId="26FA1408" w:rsidR="00265FDD" w:rsidRPr="00B77BF9" w:rsidRDefault="00265FDD" w:rsidP="00054115">
      <w:pPr>
        <w:pStyle w:val="ListBullet"/>
        <w:tabs>
          <w:tab w:val="clear" w:pos="785"/>
          <w:tab w:val="num" w:pos="360"/>
        </w:tabs>
        <w:ind w:left="360"/>
      </w:pPr>
      <w:r>
        <w:rPr>
          <w:rFonts w:asciiTheme="minorHAnsi" w:hAnsiTheme="minorHAnsi" w:cstheme="minorHAnsi"/>
        </w:rPr>
        <w:t>Communicating for safety</w:t>
      </w:r>
    </w:p>
    <w:p w14:paraId="3DDA2017" w14:textId="5DFC48A4" w:rsidR="00265FDD" w:rsidRPr="00B77BF9" w:rsidRDefault="00265FDD" w:rsidP="00054115">
      <w:pPr>
        <w:pStyle w:val="ListBullet"/>
        <w:tabs>
          <w:tab w:val="clear" w:pos="785"/>
          <w:tab w:val="num" w:pos="360"/>
        </w:tabs>
        <w:ind w:left="360"/>
      </w:pPr>
      <w:r>
        <w:rPr>
          <w:rFonts w:asciiTheme="minorHAnsi" w:hAnsiTheme="minorHAnsi" w:cstheme="minorHAnsi"/>
        </w:rPr>
        <w:t>Comprehensive care</w:t>
      </w:r>
    </w:p>
    <w:p w14:paraId="794A7984" w14:textId="77777777" w:rsidR="00265FDD" w:rsidRDefault="00265FDD" w:rsidP="00B77BF9">
      <w:pPr>
        <w:pStyle w:val="ListBullet"/>
        <w:numPr>
          <w:ilvl w:val="0"/>
          <w:numId w:val="0"/>
        </w:numPr>
        <w:ind w:left="785"/>
      </w:pPr>
    </w:p>
    <w:p w14:paraId="08682A28" w14:textId="65335B00" w:rsidR="00B61F35" w:rsidRPr="006743DB" w:rsidRDefault="00B61F35" w:rsidP="006743DB">
      <w:pPr>
        <w:rPr>
          <w:b/>
        </w:rPr>
      </w:pPr>
      <w:r w:rsidRPr="006743DB">
        <w:rPr>
          <w:b/>
        </w:rPr>
        <w:t>Procedures</w:t>
      </w:r>
    </w:p>
    <w:p w14:paraId="7117B089" w14:textId="4CB2CD43" w:rsidR="00BF26A7" w:rsidRPr="00BF26A7" w:rsidRDefault="00BF26A7" w:rsidP="00054115">
      <w:pPr>
        <w:pStyle w:val="ListBullet"/>
        <w:tabs>
          <w:tab w:val="clear" w:pos="785"/>
          <w:tab w:val="num" w:pos="360"/>
        </w:tabs>
        <w:ind w:left="360"/>
        <w:rPr>
          <w:szCs w:val="24"/>
        </w:rPr>
      </w:pPr>
      <w:r w:rsidRPr="00BF26A7">
        <w:rPr>
          <w:color w:val="000000"/>
          <w:szCs w:val="24"/>
        </w:rPr>
        <w:t>Admission to Discharge</w:t>
      </w:r>
    </w:p>
    <w:p w14:paraId="74D78E66" w14:textId="40DE6A40" w:rsidR="0060059B" w:rsidRDefault="00B61F35" w:rsidP="00054115">
      <w:pPr>
        <w:pStyle w:val="ListBullet"/>
        <w:tabs>
          <w:tab w:val="clear" w:pos="785"/>
          <w:tab w:val="num" w:pos="360"/>
        </w:tabs>
        <w:ind w:left="360"/>
      </w:pPr>
      <w:r>
        <w:t>Patient Identification and Procedure Matching</w:t>
      </w:r>
    </w:p>
    <w:p w14:paraId="2F9EF616" w14:textId="768C5A68" w:rsidR="0060059B" w:rsidRPr="00B61F35" w:rsidRDefault="0060059B" w:rsidP="00054115">
      <w:pPr>
        <w:pStyle w:val="ListBullet"/>
        <w:tabs>
          <w:tab w:val="clear" w:pos="785"/>
          <w:tab w:val="num" w:pos="360"/>
        </w:tabs>
        <w:ind w:left="360"/>
      </w:pPr>
      <w:r>
        <w:t>Discharge Summary Completion - Inpatients</w:t>
      </w:r>
    </w:p>
    <w:p w14:paraId="08682A2E" w14:textId="77777777" w:rsidR="00B61F35" w:rsidRPr="00B61F35" w:rsidRDefault="00B61F35" w:rsidP="00B61F35"/>
    <w:p w14:paraId="08682A2F" w14:textId="77777777" w:rsidR="00B61F35" w:rsidRPr="006743DB" w:rsidRDefault="00B61F35" w:rsidP="006743DB">
      <w:pPr>
        <w:rPr>
          <w:b/>
        </w:rPr>
      </w:pPr>
      <w:r w:rsidRPr="006743DB">
        <w:rPr>
          <w:b/>
        </w:rPr>
        <w:t>Legislation</w:t>
      </w:r>
    </w:p>
    <w:p w14:paraId="06634355" w14:textId="77777777" w:rsidR="0060059B" w:rsidRPr="00DD1823" w:rsidRDefault="0060059B" w:rsidP="0060059B">
      <w:pPr>
        <w:pStyle w:val="ListParagraph"/>
        <w:numPr>
          <w:ilvl w:val="0"/>
          <w:numId w:val="11"/>
        </w:numPr>
        <w:rPr>
          <w:rFonts w:asciiTheme="minorHAnsi" w:hAnsiTheme="minorHAnsi" w:cstheme="minorHAnsi"/>
        </w:rPr>
      </w:pPr>
      <w:r w:rsidRPr="00DD1823">
        <w:rPr>
          <w:rFonts w:asciiTheme="minorHAnsi" w:hAnsiTheme="minorHAnsi" w:cstheme="minorHAnsi"/>
          <w:i/>
          <w:iCs/>
        </w:rPr>
        <w:t xml:space="preserve">Human Rights Act </w:t>
      </w:r>
      <w:r w:rsidRPr="00DD1823">
        <w:rPr>
          <w:rFonts w:asciiTheme="minorHAnsi" w:hAnsiTheme="minorHAnsi" w:cstheme="minorHAnsi"/>
        </w:rPr>
        <w:t>(ACT) 2004</w:t>
      </w:r>
    </w:p>
    <w:p w14:paraId="291AD72B" w14:textId="77777777" w:rsidR="0060059B" w:rsidRPr="00DD1823" w:rsidRDefault="0060059B" w:rsidP="0060059B">
      <w:pPr>
        <w:pStyle w:val="ListParagraph"/>
        <w:numPr>
          <w:ilvl w:val="0"/>
          <w:numId w:val="11"/>
        </w:numPr>
        <w:rPr>
          <w:rFonts w:asciiTheme="minorHAnsi" w:hAnsiTheme="minorHAnsi" w:cstheme="minorHAnsi"/>
          <w:i/>
          <w:iCs/>
        </w:rPr>
      </w:pPr>
      <w:r w:rsidRPr="00DD1823">
        <w:rPr>
          <w:rFonts w:asciiTheme="minorHAnsi" w:hAnsiTheme="minorHAnsi" w:cstheme="minorHAnsi"/>
          <w:i/>
          <w:iCs/>
        </w:rPr>
        <w:t xml:space="preserve">Health Records (Privacy and Access) Act </w:t>
      </w:r>
      <w:r w:rsidRPr="00DD1823">
        <w:rPr>
          <w:rFonts w:asciiTheme="minorHAnsi" w:hAnsiTheme="minorHAnsi" w:cstheme="minorHAnsi"/>
        </w:rPr>
        <w:t>(ACT) 1997</w:t>
      </w:r>
    </w:p>
    <w:p w14:paraId="05BD4472" w14:textId="77777777" w:rsidR="0060059B" w:rsidRPr="00DD1823" w:rsidRDefault="0060059B" w:rsidP="0060059B">
      <w:pPr>
        <w:pStyle w:val="ListParagraph"/>
        <w:numPr>
          <w:ilvl w:val="0"/>
          <w:numId w:val="11"/>
        </w:numPr>
        <w:rPr>
          <w:rFonts w:asciiTheme="minorHAnsi" w:hAnsiTheme="minorHAnsi" w:cstheme="minorHAnsi"/>
          <w:i/>
          <w:iCs/>
        </w:rPr>
      </w:pPr>
      <w:r w:rsidRPr="00DD1823">
        <w:rPr>
          <w:rFonts w:asciiTheme="minorHAnsi" w:hAnsiTheme="minorHAnsi" w:cstheme="minorHAnsi"/>
          <w:i/>
          <w:iCs/>
        </w:rPr>
        <w:t xml:space="preserve">Work Health and Safety Act </w:t>
      </w:r>
      <w:r w:rsidRPr="00DD1823">
        <w:rPr>
          <w:rFonts w:asciiTheme="minorHAnsi" w:hAnsiTheme="minorHAnsi" w:cstheme="minorHAnsi"/>
        </w:rPr>
        <w:t>(ACT) 2011</w:t>
      </w:r>
    </w:p>
    <w:p w14:paraId="48F78941" w14:textId="77777777" w:rsidR="0060059B" w:rsidRPr="00DD1823" w:rsidRDefault="0060059B" w:rsidP="0060059B">
      <w:pPr>
        <w:pStyle w:val="ListParagraph"/>
        <w:numPr>
          <w:ilvl w:val="0"/>
          <w:numId w:val="11"/>
        </w:numPr>
        <w:rPr>
          <w:rFonts w:asciiTheme="minorHAnsi" w:hAnsiTheme="minorHAnsi" w:cstheme="minorHAnsi"/>
          <w:i/>
          <w:iCs/>
        </w:rPr>
      </w:pPr>
      <w:r w:rsidRPr="00DD1823">
        <w:rPr>
          <w:rFonts w:asciiTheme="minorHAnsi" w:hAnsiTheme="minorHAnsi" w:cstheme="minorHAnsi"/>
          <w:i/>
          <w:iCs/>
        </w:rPr>
        <w:t xml:space="preserve">Carers Recognition Act </w:t>
      </w:r>
      <w:r w:rsidRPr="00DD1823">
        <w:rPr>
          <w:rFonts w:asciiTheme="minorHAnsi" w:hAnsiTheme="minorHAnsi" w:cstheme="minorHAnsi"/>
        </w:rPr>
        <w:t>(ACT) 2021</w:t>
      </w:r>
    </w:p>
    <w:p w14:paraId="08682A33" w14:textId="0F91509A" w:rsidR="009A534C" w:rsidRDefault="009A534C" w:rsidP="009A534C">
      <w:pPr>
        <w:ind w:left="720"/>
        <w:rPr>
          <w:rFonts w:cs="Arial"/>
          <w:i/>
          <w:szCs w:val="24"/>
        </w:rPr>
      </w:pPr>
    </w:p>
    <w:p w14:paraId="54CDE8A7" w14:textId="49AA0D4E" w:rsidR="00752315" w:rsidRDefault="00752315" w:rsidP="00752315">
      <w:pPr>
        <w:rPr>
          <w:b/>
        </w:rPr>
      </w:pPr>
      <w:r w:rsidRPr="00752315">
        <w:rPr>
          <w:b/>
        </w:rPr>
        <w:t>Other</w:t>
      </w:r>
    </w:p>
    <w:p w14:paraId="1BCD4D38" w14:textId="40C9981C" w:rsidR="00DD0346" w:rsidRPr="00DD0346" w:rsidRDefault="00DD0346" w:rsidP="00DD0346">
      <w:r w:rsidRPr="00DD0346">
        <w:rPr>
          <w:b/>
        </w:rPr>
        <w:t>•</w:t>
      </w:r>
      <w:r>
        <w:rPr>
          <w:b/>
        </w:rPr>
        <w:t xml:space="preserve">      </w:t>
      </w:r>
      <w:r w:rsidRPr="00DD0346">
        <w:t>Australian Charter of Healthcare Rights</w:t>
      </w:r>
    </w:p>
    <w:p w14:paraId="08682A34" w14:textId="77777777" w:rsidR="009A534C" w:rsidRPr="00DA3910" w:rsidRDefault="0094517C"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3" w:name="_Toc135385872"/>
            <w:bookmarkStart w:id="24" w:name="_Hlk135379990"/>
            <w:r>
              <w:rPr>
                <w:szCs w:val="24"/>
              </w:rPr>
              <w:t>References</w:t>
            </w:r>
            <w:bookmarkEnd w:id="23"/>
          </w:p>
        </w:tc>
      </w:tr>
      <w:bookmarkEnd w:id="24"/>
    </w:tbl>
    <w:p w14:paraId="08682A37" w14:textId="77777777" w:rsidR="009A534C" w:rsidRDefault="009A534C" w:rsidP="009A534C">
      <w:pPr>
        <w:jc w:val="both"/>
        <w:rPr>
          <w:rFonts w:cs="Arial"/>
          <w:b/>
          <w:szCs w:val="24"/>
        </w:rPr>
      </w:pPr>
    </w:p>
    <w:p w14:paraId="2EA8ADA8" w14:textId="5275CA42" w:rsidR="0036426A" w:rsidRDefault="0036426A" w:rsidP="0036426A">
      <w:pPr>
        <w:pStyle w:val="NormalWeb"/>
        <w:numPr>
          <w:ilvl w:val="0"/>
          <w:numId w:val="18"/>
        </w:numPr>
        <w:spacing w:before="0" w:beforeAutospacing="0" w:after="0" w:afterAutospacing="0"/>
      </w:pPr>
      <w:r w:rsidRPr="00B93B2C">
        <w:rPr>
          <w:rFonts w:asciiTheme="minorHAnsi" w:hAnsiTheme="minorHAnsi" w:cstheme="minorHAnsi"/>
        </w:rPr>
        <w:t xml:space="preserve">NSW Agency for Clinical Innovation. (2016). </w:t>
      </w:r>
      <w:r w:rsidRPr="00B93B2C">
        <w:rPr>
          <w:rFonts w:asciiTheme="minorHAnsi" w:hAnsiTheme="minorHAnsi" w:cstheme="minorHAnsi"/>
          <w:i/>
          <w:iCs/>
        </w:rPr>
        <w:t>Criteria Led Discharge A resource to support the implementation of CLD ACI Acute Care Taskforce TOOLKIT</w:t>
      </w:r>
      <w:r w:rsidRPr="00B93B2C">
        <w:rPr>
          <w:rFonts w:asciiTheme="minorHAnsi" w:hAnsiTheme="minorHAnsi" w:cstheme="minorHAnsi"/>
        </w:rPr>
        <w:t>.</w:t>
      </w:r>
      <w:r>
        <w:t xml:space="preserve"> </w:t>
      </w:r>
      <w:hyperlink r:id="rId12" w:history="1">
        <w:r w:rsidR="00C2269A" w:rsidRPr="007230DD">
          <w:rPr>
            <w:rStyle w:val="Hyperlink"/>
          </w:rPr>
          <w:t>https://aci.health.nsw.gov.au/__data/assets/pdf_file/0011/329555/CriteriaLedDischarge_Toolkit.pdf</w:t>
        </w:r>
      </w:hyperlink>
    </w:p>
    <w:p w14:paraId="356E099A" w14:textId="3A5B1976" w:rsidR="00C2269A" w:rsidRDefault="00C2269A" w:rsidP="0036426A">
      <w:pPr>
        <w:pStyle w:val="NormalWeb"/>
        <w:numPr>
          <w:ilvl w:val="0"/>
          <w:numId w:val="18"/>
        </w:numPr>
        <w:spacing w:before="0" w:beforeAutospacing="0" w:after="0" w:afterAutospacing="0"/>
      </w:pPr>
      <w:r w:rsidRPr="00B93B2C">
        <w:rPr>
          <w:rFonts w:asciiTheme="minorHAnsi" w:hAnsiTheme="minorHAnsi" w:cstheme="minorHAnsi"/>
        </w:rPr>
        <w:t xml:space="preserve">Queensland Health (2023, March 7). Criteria Led Discharge. </w:t>
      </w:r>
      <w:r w:rsidR="00BF272D">
        <w:rPr>
          <w:rFonts w:asciiTheme="minorHAnsi" w:hAnsiTheme="minorHAnsi" w:cstheme="minorHAnsi"/>
        </w:rPr>
        <w:t>w</w:t>
      </w:r>
      <w:r w:rsidRPr="00B93B2C">
        <w:rPr>
          <w:rFonts w:asciiTheme="minorHAnsi" w:hAnsiTheme="minorHAnsi" w:cstheme="minorHAnsi"/>
        </w:rPr>
        <w:t>ww.health.qld.gov.au.</w:t>
      </w:r>
      <w:r w:rsidRPr="00C2269A">
        <w:t xml:space="preserve"> </w:t>
      </w:r>
      <w:hyperlink r:id="rId13" w:history="1">
        <w:r w:rsidRPr="007230DD">
          <w:rPr>
            <w:rStyle w:val="Hyperlink"/>
          </w:rPr>
          <w:t>https://www.health.qld.gov.au/system-governance/policies-standards/guidelines/criteria-led-discharge</w:t>
        </w:r>
      </w:hyperlink>
    </w:p>
    <w:p w14:paraId="1374EA67" w14:textId="77777777" w:rsidR="00C2269A" w:rsidRDefault="00C2269A" w:rsidP="00C2269A">
      <w:pPr>
        <w:pStyle w:val="NormalWeb"/>
        <w:spacing w:before="0" w:beforeAutospacing="0" w:after="0" w:afterAutospacing="0"/>
        <w:ind w:left="360"/>
      </w:pPr>
    </w:p>
    <w:p w14:paraId="4649E198" w14:textId="77777777" w:rsidR="0036426A" w:rsidRDefault="0036426A" w:rsidP="00D42B85">
      <w:pPr>
        <w:pStyle w:val="ListParagraph"/>
        <w:ind w:left="0"/>
        <w:rPr>
          <w:rFonts w:eastAsia="Calibri" w:cs="Calibri"/>
          <w:i/>
          <w:szCs w:val="24"/>
        </w:rPr>
      </w:pPr>
    </w:p>
    <w:p w14:paraId="693CAE1B" w14:textId="3EB2755B" w:rsidR="00274CAF" w:rsidRDefault="0094517C" w:rsidP="00274CAF">
      <w:pPr>
        <w:pStyle w:val="ListParagraph"/>
        <w:ind w:left="6120" w:firstLine="360"/>
        <w:jc w:val="center"/>
        <w:rPr>
          <w:rStyle w:val="Hyperlink"/>
          <w:rFonts w:eastAsiaTheme="majorEastAsia" w:cs="Arial"/>
          <w:i/>
          <w:szCs w:val="24"/>
        </w:rPr>
      </w:pPr>
      <w:hyperlink w:anchor="Contents" w:history="1">
        <w:r w:rsidR="00274CAF" w:rsidRPr="00274CA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31B34" w:rsidRPr="000F1F60" w14:paraId="02FB2FCF" w14:textId="77777777" w:rsidTr="00186C47">
        <w:trPr>
          <w:cantSplit/>
          <w:trHeight w:val="285"/>
        </w:trPr>
        <w:tc>
          <w:tcPr>
            <w:tcW w:w="9158" w:type="dxa"/>
            <w:shd w:val="clear" w:color="auto" w:fill="A6A6A6" w:themeFill="background1" w:themeFillShade="A6"/>
          </w:tcPr>
          <w:p w14:paraId="27C67174" w14:textId="73C8093C" w:rsidR="00531B34" w:rsidRPr="000F1F60" w:rsidRDefault="00531B34" w:rsidP="00186C47">
            <w:pPr>
              <w:pStyle w:val="Heading1"/>
            </w:pPr>
            <w:bookmarkStart w:id="25" w:name="_Toc135385873"/>
            <w:bookmarkStart w:id="26" w:name="_Toc43903674"/>
            <w:r>
              <w:t>Definition of Terms</w:t>
            </w:r>
            <w:bookmarkEnd w:id="25"/>
            <w:r>
              <w:t xml:space="preserve"> </w:t>
            </w:r>
            <w:bookmarkEnd w:id="26"/>
          </w:p>
        </w:tc>
      </w:tr>
    </w:tbl>
    <w:p w14:paraId="7965C24E" w14:textId="77777777" w:rsidR="00531B34" w:rsidRDefault="00531B34" w:rsidP="00531B34">
      <w:pPr>
        <w:rPr>
          <w:rFonts w:cs="Arial"/>
          <w:szCs w:val="24"/>
        </w:rPr>
      </w:pPr>
    </w:p>
    <w:p w14:paraId="4CD19360" w14:textId="088EA8E5" w:rsidR="00531B34" w:rsidRDefault="00BF272D" w:rsidP="00054115">
      <w:pPr>
        <w:pStyle w:val="ListParagraph"/>
        <w:numPr>
          <w:ilvl w:val="0"/>
          <w:numId w:val="22"/>
        </w:numPr>
        <w:ind w:left="360"/>
      </w:pPr>
      <w:r>
        <w:t xml:space="preserve">Medical Officer from the primary treating team- </w:t>
      </w:r>
      <w:r w:rsidRPr="00502997">
        <w:t>Any medical officer that is part of the  treating team. CLD can be documented in DHR by any medical officer after consultation with the Primary Treating Consultant, this includes interns, residents and registrars</w:t>
      </w:r>
      <w:r>
        <w:t>.</w:t>
      </w:r>
    </w:p>
    <w:p w14:paraId="308E307D" w14:textId="7DD0A309" w:rsidR="00BF272D" w:rsidRDefault="00BF272D" w:rsidP="00054115"/>
    <w:p w14:paraId="480B9292" w14:textId="11335ED7" w:rsidR="00BF272D" w:rsidRDefault="00BF272D" w:rsidP="00054115">
      <w:pPr>
        <w:pStyle w:val="ListParagraph"/>
        <w:numPr>
          <w:ilvl w:val="0"/>
          <w:numId w:val="22"/>
        </w:numPr>
        <w:ind w:left="360"/>
      </w:pPr>
      <w:r w:rsidRPr="002B25BF">
        <w:t>Clinician</w:t>
      </w:r>
      <w:r>
        <w:t>-</w:t>
      </w:r>
      <w:r w:rsidRPr="00BF272D">
        <w:t xml:space="preserve"> </w:t>
      </w:r>
      <w:r w:rsidRPr="002B25BF">
        <w:t>A health professional including, Medical Officers, Allied Health professionals, Midwives and Nurses involved in clinical practice</w:t>
      </w:r>
      <w:r>
        <w:t>.</w:t>
      </w:r>
    </w:p>
    <w:p w14:paraId="7ACA0A76" w14:textId="07FBCE2B" w:rsidR="00BF272D" w:rsidRDefault="00BF272D" w:rsidP="00054115"/>
    <w:p w14:paraId="7A69167E" w14:textId="17D5B0DD" w:rsidR="000F7ED5" w:rsidRDefault="00BF272D" w:rsidP="00054115">
      <w:pPr>
        <w:pStyle w:val="ListParagraph"/>
        <w:numPr>
          <w:ilvl w:val="0"/>
          <w:numId w:val="22"/>
        </w:numPr>
        <w:ind w:left="360"/>
      </w:pPr>
      <w:r w:rsidRPr="002B25BF">
        <w:t>Criteria Led Discharge (CLD)</w:t>
      </w:r>
      <w:r>
        <w:t>-</w:t>
      </w:r>
      <w:r w:rsidRPr="00BF272D">
        <w:t xml:space="preserve"> </w:t>
      </w:r>
      <w:r w:rsidRPr="002B25BF">
        <w:t>The discharge of patients by nursing, allied health and junior medical staff who have the necessary knowledge, skills and competencies to review patients and initiate inpatient discharge. The process is supported by predetermined criteria which are</w:t>
      </w:r>
      <w:r>
        <w:t xml:space="preserve"> </w:t>
      </w:r>
      <w:r w:rsidRPr="002B25BF">
        <w:t>developed with multi-disciplinary agreement and approved by the senior doctor who has the ultimate clinical responsibility for the patient.</w:t>
      </w:r>
    </w:p>
    <w:p w14:paraId="4214772A" w14:textId="4DFF22C4" w:rsidR="00BF272D" w:rsidRDefault="00BF272D" w:rsidP="00054115"/>
    <w:p w14:paraId="4FE58E2C" w14:textId="4A792B3F" w:rsidR="00BF272D" w:rsidRDefault="00BF272D" w:rsidP="00054115">
      <w:pPr>
        <w:pStyle w:val="ListParagraph"/>
        <w:numPr>
          <w:ilvl w:val="0"/>
          <w:numId w:val="22"/>
        </w:numPr>
        <w:ind w:left="360"/>
      </w:pPr>
      <w:r w:rsidRPr="00BF272D">
        <w:rPr>
          <w:rFonts w:cs="Arial"/>
          <w:szCs w:val="24"/>
        </w:rPr>
        <w:t>Discharge Criteria-</w:t>
      </w:r>
      <w:r w:rsidRPr="00BF272D">
        <w:t xml:space="preserve"> </w:t>
      </w:r>
      <w:r w:rsidRPr="002B25BF">
        <w:t>A set of criteria that needs to be met in order for the patient to be deemed ready, safe and appropriate for discharge.</w:t>
      </w:r>
    </w:p>
    <w:p w14:paraId="179C7FAE" w14:textId="77777777" w:rsidR="00BF272D" w:rsidRDefault="00BF272D" w:rsidP="00BF272D">
      <w:pPr>
        <w:rPr>
          <w:rFonts w:cs="Arial"/>
          <w:szCs w:val="24"/>
        </w:rPr>
      </w:pPr>
    </w:p>
    <w:p w14:paraId="63E07AC2" w14:textId="77777777" w:rsidR="00BF272D" w:rsidRDefault="00BF272D" w:rsidP="00531B34">
      <w:pPr>
        <w:rPr>
          <w:rFonts w:cs="Arial"/>
          <w:szCs w:val="24"/>
        </w:rPr>
      </w:pPr>
    </w:p>
    <w:p w14:paraId="211386DE" w14:textId="041FF167" w:rsidR="00BF272D" w:rsidRDefault="00BF272D" w:rsidP="00531B34">
      <w:pPr>
        <w:rPr>
          <w:rFonts w:cs="Arial"/>
          <w:szCs w:val="24"/>
        </w:rPr>
      </w:pPr>
    </w:p>
    <w:p w14:paraId="1F0FACEF" w14:textId="77777777" w:rsidR="00531B34" w:rsidRDefault="0094517C" w:rsidP="00531B34">
      <w:pPr>
        <w:jc w:val="right"/>
        <w:rPr>
          <w:rFonts w:cs="Calibri,Bold"/>
          <w:bCs/>
          <w:i/>
          <w:szCs w:val="24"/>
          <w:lang w:eastAsia="en-AU"/>
        </w:rPr>
      </w:pPr>
      <w:hyperlink w:anchor="Contents" w:history="1">
        <w:r w:rsidR="00531B3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31B34" w:rsidRPr="00CD1C0E" w14:paraId="7958131B" w14:textId="77777777" w:rsidTr="00186C47">
        <w:trPr>
          <w:cantSplit/>
          <w:trHeight w:val="285"/>
        </w:trPr>
        <w:tc>
          <w:tcPr>
            <w:tcW w:w="9158" w:type="dxa"/>
            <w:shd w:val="clear" w:color="auto" w:fill="A6A6A6" w:themeFill="background1" w:themeFillShade="A6"/>
          </w:tcPr>
          <w:p w14:paraId="376A053F" w14:textId="77777777" w:rsidR="00531B34" w:rsidRPr="00CD1C0E" w:rsidRDefault="00531B34" w:rsidP="00186C47">
            <w:pPr>
              <w:pStyle w:val="Heading1"/>
            </w:pPr>
            <w:bookmarkStart w:id="27" w:name="_Toc43903675"/>
            <w:bookmarkStart w:id="28" w:name="_Toc135385874"/>
            <w:r>
              <w:t>Search Terms</w:t>
            </w:r>
            <w:bookmarkEnd w:id="27"/>
            <w:bookmarkEnd w:id="28"/>
            <w:r>
              <w:t xml:space="preserve"> </w:t>
            </w:r>
          </w:p>
        </w:tc>
      </w:tr>
    </w:tbl>
    <w:p w14:paraId="42E1EF1D" w14:textId="77777777" w:rsidR="00531B34" w:rsidRDefault="00531B34" w:rsidP="00531B34">
      <w:pPr>
        <w:rPr>
          <w:rFonts w:cs="Calibri,Bold"/>
          <w:bCs/>
          <w:i/>
          <w:szCs w:val="24"/>
          <w:lang w:eastAsia="en-AU"/>
        </w:rPr>
      </w:pPr>
    </w:p>
    <w:p w14:paraId="2C4BBDFD" w14:textId="77777777" w:rsidR="00531B34" w:rsidRPr="002B25BF" w:rsidRDefault="00531B34" w:rsidP="00531B34">
      <w:pPr>
        <w:rPr>
          <w:rFonts w:cs="Calibri,Bold"/>
          <w:bCs/>
          <w:iCs/>
          <w:szCs w:val="24"/>
          <w:lang w:eastAsia="en-AU"/>
        </w:rPr>
      </w:pPr>
      <w:r>
        <w:rPr>
          <w:rFonts w:cs="Calibri,Bold"/>
          <w:bCs/>
          <w:iCs/>
          <w:szCs w:val="24"/>
          <w:lang w:eastAsia="en-AU"/>
        </w:rPr>
        <w:t>Criteria Led Discharge, CLD, Discharge, Nurse-Led</w:t>
      </w:r>
    </w:p>
    <w:p w14:paraId="2197EECA" w14:textId="77777777" w:rsidR="00531B34" w:rsidRPr="00901883" w:rsidRDefault="00531B34" w:rsidP="00531B34">
      <w:pPr>
        <w:jc w:val="both"/>
        <w:rPr>
          <w:rFonts w:asciiTheme="minorHAnsi" w:hAnsiTheme="minorHAnsi" w:cs="Arial"/>
          <w:b/>
          <w:i/>
          <w:sz w:val="22"/>
          <w:szCs w:val="22"/>
        </w:rPr>
      </w:pPr>
    </w:p>
    <w:p w14:paraId="5CB07227" w14:textId="77777777" w:rsidR="00531B34" w:rsidRPr="00AC7025" w:rsidRDefault="0094517C" w:rsidP="00531B34">
      <w:pPr>
        <w:jc w:val="right"/>
        <w:rPr>
          <w:rFonts w:cs="Calibri,Bold"/>
          <w:bCs/>
          <w:i/>
          <w:szCs w:val="24"/>
          <w:lang w:eastAsia="en-AU"/>
        </w:rPr>
      </w:pPr>
      <w:hyperlink w:anchor="Contents" w:history="1">
        <w:r w:rsidR="00531B3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F5830" w:rsidRPr="000F1F60" w14:paraId="63AC47D0" w14:textId="77777777" w:rsidTr="00186C47">
        <w:trPr>
          <w:cantSplit/>
          <w:trHeight w:val="285"/>
        </w:trPr>
        <w:tc>
          <w:tcPr>
            <w:tcW w:w="9158" w:type="dxa"/>
            <w:shd w:val="clear" w:color="auto" w:fill="A6A6A6" w:themeFill="background1" w:themeFillShade="A6"/>
          </w:tcPr>
          <w:p w14:paraId="33A53342" w14:textId="77777777" w:rsidR="003F5830" w:rsidRPr="000F1F60" w:rsidRDefault="003F5830" w:rsidP="00186C47">
            <w:pPr>
              <w:pStyle w:val="Heading1"/>
            </w:pPr>
            <w:bookmarkStart w:id="29" w:name="_Toc43903676"/>
            <w:bookmarkStart w:id="30" w:name="_Toc135385875"/>
            <w:r>
              <w:t>Attachments</w:t>
            </w:r>
            <w:bookmarkEnd w:id="29"/>
            <w:bookmarkEnd w:id="30"/>
          </w:p>
        </w:tc>
      </w:tr>
    </w:tbl>
    <w:p w14:paraId="302B0F7C" w14:textId="0A28BEBA" w:rsidR="00C72DEF" w:rsidRDefault="00C72DEF" w:rsidP="009A534C">
      <w:pPr>
        <w:rPr>
          <w:rFonts w:cs="Arial"/>
          <w:iCs/>
          <w:sz w:val="20"/>
        </w:rPr>
      </w:pPr>
    </w:p>
    <w:p w14:paraId="102438F4" w14:textId="77777777" w:rsidR="003F5830" w:rsidRPr="003F5830" w:rsidRDefault="003F5830" w:rsidP="003F5830">
      <w:r w:rsidRPr="003F5830">
        <w:t xml:space="preserve">Attachment 1 – Criteria Led Discharge (CLD) Staff Information Sheet </w:t>
      </w:r>
    </w:p>
    <w:p w14:paraId="7C0DF121" w14:textId="77777777" w:rsidR="003F5830" w:rsidRDefault="003F5830" w:rsidP="00153FB3">
      <w:pPr>
        <w:rPr>
          <w:rFonts w:cs="Arial"/>
          <w:b/>
          <w:sz w:val="20"/>
        </w:rPr>
      </w:pPr>
    </w:p>
    <w:p w14:paraId="1BC8E819" w14:textId="77777777" w:rsidR="003F5830" w:rsidRDefault="003F5830" w:rsidP="00153FB3">
      <w:pPr>
        <w:rPr>
          <w:rFonts w:cs="Arial"/>
          <w:b/>
          <w:sz w:val="20"/>
        </w:rPr>
      </w:pPr>
    </w:p>
    <w:p w14:paraId="08682A50" w14:textId="3DE881D0"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476AB8DE" w:rsidR="00153FB3" w:rsidRPr="003E167B" w:rsidRDefault="0094517C" w:rsidP="005B3A1A">
            <w:pPr>
              <w:rPr>
                <w:i/>
                <w:sz w:val="20"/>
              </w:rPr>
            </w:pPr>
            <w:r>
              <w:rPr>
                <w:i/>
                <w:sz w:val="20"/>
              </w:rPr>
              <w:t>30/10/2024</w:t>
            </w:r>
          </w:p>
        </w:tc>
        <w:tc>
          <w:tcPr>
            <w:tcW w:w="2265" w:type="dxa"/>
          </w:tcPr>
          <w:p w14:paraId="08682A59" w14:textId="4D5DFBBA" w:rsidR="00153FB3" w:rsidRPr="003E167B" w:rsidRDefault="0094517C" w:rsidP="005B3A1A">
            <w:pPr>
              <w:rPr>
                <w:i/>
                <w:sz w:val="20"/>
              </w:rPr>
            </w:pPr>
            <w:r>
              <w:rPr>
                <w:i/>
                <w:sz w:val="20"/>
              </w:rPr>
              <w:t>New Document Added</w:t>
            </w:r>
          </w:p>
        </w:tc>
        <w:tc>
          <w:tcPr>
            <w:tcW w:w="2265" w:type="dxa"/>
          </w:tcPr>
          <w:p w14:paraId="08682A5A" w14:textId="7C139588" w:rsidR="00153FB3" w:rsidRPr="003E167B" w:rsidRDefault="0094517C" w:rsidP="005B3A1A">
            <w:pPr>
              <w:rPr>
                <w:i/>
                <w:sz w:val="20"/>
              </w:rPr>
            </w:pPr>
            <w:proofErr w:type="spellStart"/>
            <w:r w:rsidRPr="0094517C">
              <w:rPr>
                <w:i/>
                <w:sz w:val="20"/>
              </w:rPr>
              <w:t>Bendan</w:t>
            </w:r>
            <w:proofErr w:type="spellEnd"/>
            <w:r w:rsidRPr="0094517C">
              <w:rPr>
                <w:i/>
                <w:sz w:val="20"/>
              </w:rPr>
              <w:t xml:space="preserve"> Docherty</w:t>
            </w:r>
            <w:r>
              <w:rPr>
                <w:i/>
                <w:sz w:val="20"/>
              </w:rPr>
              <w:t>, ED, Medicine</w:t>
            </w:r>
          </w:p>
        </w:tc>
        <w:tc>
          <w:tcPr>
            <w:tcW w:w="2265" w:type="dxa"/>
          </w:tcPr>
          <w:p w14:paraId="08682A5B" w14:textId="36A0C633" w:rsidR="00153FB3" w:rsidRPr="003E167B" w:rsidRDefault="0094517C" w:rsidP="005B3A1A">
            <w:pPr>
              <w:rPr>
                <w:i/>
                <w:sz w:val="20"/>
              </w:rPr>
            </w:pPr>
            <w:r>
              <w:rPr>
                <w:i/>
                <w:sz w:val="20"/>
              </w:rPr>
              <w:t>CHS Policy Team</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0A7790A7" w:rsidR="00010E74" w:rsidRDefault="00010E74" w:rsidP="00153FB3">
      <w:pPr>
        <w:rPr>
          <w:i/>
          <w:sz w:val="20"/>
          <w:szCs w:val="24"/>
        </w:rPr>
      </w:pPr>
    </w:p>
    <w:p w14:paraId="0F135022" w14:textId="6673DB39" w:rsidR="003F5830" w:rsidRDefault="003F5830">
      <w:pPr>
        <w:spacing w:after="200" w:line="276" w:lineRule="auto"/>
        <w:rPr>
          <w:i/>
          <w:sz w:val="20"/>
          <w:szCs w:val="24"/>
        </w:rPr>
      </w:pPr>
      <w:r>
        <w:rPr>
          <w:i/>
          <w:sz w:val="20"/>
          <w:szCs w:val="24"/>
        </w:rPr>
        <w:br w:type="page"/>
      </w:r>
    </w:p>
    <w:p w14:paraId="05AE0109" w14:textId="77777777" w:rsidR="00657B32" w:rsidRDefault="00657B32" w:rsidP="003F5830">
      <w:pPr>
        <w:pStyle w:val="Heading2"/>
      </w:pPr>
    </w:p>
    <w:p w14:paraId="4E732D7F" w14:textId="7ADC09E0" w:rsidR="003F5830" w:rsidRDefault="003F5830" w:rsidP="003F5830">
      <w:pPr>
        <w:pStyle w:val="Heading2"/>
      </w:pPr>
      <w:bookmarkStart w:id="31" w:name="_Toc135385876"/>
      <w:r>
        <w:t>Criteria Led Discharge (CLD) Staff Information Sheet</w:t>
      </w:r>
      <w:bookmarkEnd w:id="31"/>
    </w:p>
    <w:p w14:paraId="6082DD35" w14:textId="41FAB279" w:rsidR="00657B32" w:rsidRPr="00010E74" w:rsidRDefault="002372B0" w:rsidP="00153FB3">
      <w:pPr>
        <w:rPr>
          <w:i/>
          <w:sz w:val="20"/>
          <w:szCs w:val="24"/>
        </w:rPr>
      </w:pPr>
      <w:r>
        <w:rPr>
          <w:noProof/>
          <w:color w:val="2B579A"/>
          <w:shd w:val="clear" w:color="auto" w:fill="E6E6E6"/>
        </w:rPr>
        <w:drawing>
          <wp:inline distT="0" distB="0" distL="0" distR="0" wp14:anchorId="499DA186" wp14:editId="3F4A7C27">
            <wp:extent cx="5619750" cy="778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9750" cy="7781925"/>
                    </a:xfrm>
                    <a:prstGeom prst="rect">
                      <a:avLst/>
                    </a:prstGeom>
                  </pic:spPr>
                </pic:pic>
              </a:graphicData>
            </a:graphic>
          </wp:inline>
        </w:drawing>
      </w:r>
    </w:p>
    <w:sectPr w:rsidR="00657B32" w:rsidRPr="00010E74" w:rsidSect="00AF435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50DE" w14:textId="77777777" w:rsidR="00AF4353" w:rsidRDefault="00AF4353" w:rsidP="00F66CB0">
      <w:r>
        <w:separator/>
      </w:r>
    </w:p>
  </w:endnote>
  <w:endnote w:type="continuationSeparator" w:id="0">
    <w:p w14:paraId="29B19912" w14:textId="77777777" w:rsidR="00AF4353" w:rsidRDefault="00AF4353" w:rsidP="00F66CB0">
      <w:r>
        <w:continuationSeparator/>
      </w:r>
    </w:p>
  </w:endnote>
  <w:endnote w:type="continuationNotice" w:id="1">
    <w:p w14:paraId="3B9F8992" w14:textId="77777777" w:rsidR="00AF4353" w:rsidRDefault="00AF4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3B6E3F58" w:rsidR="001670BB" w:rsidRPr="00542EE6" w:rsidRDefault="0094517C" w:rsidP="00B10F87">
          <w:pPr>
            <w:pStyle w:val="Footer"/>
            <w:rPr>
              <w:rFonts w:cs="Arial"/>
              <w:b/>
              <w:bCs/>
              <w:sz w:val="20"/>
            </w:rPr>
          </w:pPr>
          <w:r>
            <w:rPr>
              <w:b/>
              <w:sz w:val="20"/>
            </w:rPr>
            <w:t>CHS24</w:t>
          </w:r>
          <w:r w:rsidR="001670BB">
            <w:rPr>
              <w:b/>
              <w:sz w:val="20"/>
            </w:rPr>
            <w:t>/</w:t>
          </w:r>
          <w:r>
            <w:rPr>
              <w:b/>
              <w:sz w:val="20"/>
            </w:rPr>
            <w:t>531</w:t>
          </w:r>
        </w:p>
      </w:tc>
      <w:tc>
        <w:tcPr>
          <w:tcW w:w="965" w:type="dxa"/>
        </w:tcPr>
        <w:p w14:paraId="08682A7E" w14:textId="604BAFE5" w:rsidR="001670BB" w:rsidRPr="00B3752F" w:rsidRDefault="0094517C" w:rsidP="00B10F87">
          <w:pPr>
            <w:pStyle w:val="Footer"/>
            <w:rPr>
              <w:rFonts w:cs="Arial"/>
              <w:b/>
              <w:bCs/>
              <w:sz w:val="20"/>
            </w:rPr>
          </w:pPr>
          <w:r>
            <w:rPr>
              <w:rFonts w:cs="Arial"/>
              <w:b/>
              <w:bCs/>
              <w:sz w:val="20"/>
            </w:rPr>
            <w:t>1</w:t>
          </w:r>
        </w:p>
      </w:tc>
      <w:tc>
        <w:tcPr>
          <w:tcW w:w="1552" w:type="dxa"/>
        </w:tcPr>
        <w:p w14:paraId="08682A7F" w14:textId="2459CE1E" w:rsidR="001670BB" w:rsidRPr="00B3752F" w:rsidRDefault="0094517C" w:rsidP="00B10F87">
          <w:pPr>
            <w:pStyle w:val="Footer"/>
            <w:rPr>
              <w:rFonts w:cs="Arial"/>
              <w:b/>
              <w:bCs/>
              <w:sz w:val="20"/>
            </w:rPr>
          </w:pPr>
          <w:r>
            <w:rPr>
              <w:rFonts w:cs="Arial"/>
              <w:b/>
              <w:bCs/>
              <w:sz w:val="20"/>
            </w:rPr>
            <w:t>30</w:t>
          </w:r>
          <w:r w:rsidR="001670BB">
            <w:rPr>
              <w:rFonts w:cs="Arial"/>
              <w:b/>
              <w:bCs/>
              <w:sz w:val="20"/>
            </w:rPr>
            <w:t>/</w:t>
          </w:r>
          <w:r>
            <w:rPr>
              <w:rFonts w:cs="Arial"/>
              <w:b/>
              <w:bCs/>
              <w:sz w:val="20"/>
            </w:rPr>
            <w:t>10</w:t>
          </w:r>
          <w:r w:rsidR="001670BB">
            <w:rPr>
              <w:rFonts w:cs="Arial"/>
              <w:b/>
              <w:bCs/>
              <w:sz w:val="20"/>
            </w:rPr>
            <w:t>/</w:t>
          </w:r>
          <w:r>
            <w:rPr>
              <w:rFonts w:cs="Arial"/>
              <w:b/>
              <w:bCs/>
              <w:sz w:val="20"/>
            </w:rPr>
            <w:t>2024</w:t>
          </w:r>
        </w:p>
      </w:tc>
      <w:tc>
        <w:tcPr>
          <w:tcW w:w="1456" w:type="dxa"/>
        </w:tcPr>
        <w:p w14:paraId="08682A80" w14:textId="08FACA0B" w:rsidR="001670BB" w:rsidRPr="00B3752F" w:rsidRDefault="0094517C" w:rsidP="00470E63">
          <w:pPr>
            <w:pStyle w:val="Footer"/>
            <w:rPr>
              <w:rFonts w:cs="Arial"/>
              <w:b/>
              <w:bCs/>
              <w:sz w:val="20"/>
            </w:rPr>
          </w:pPr>
          <w:r>
            <w:rPr>
              <w:rFonts w:cs="Arial"/>
              <w:b/>
              <w:bCs/>
              <w:sz w:val="20"/>
            </w:rPr>
            <w:t>01</w:t>
          </w:r>
          <w:r w:rsidR="00470E63">
            <w:rPr>
              <w:rFonts w:cs="Arial"/>
              <w:b/>
              <w:bCs/>
              <w:sz w:val="20"/>
            </w:rPr>
            <w:t>/</w:t>
          </w:r>
          <w:r>
            <w:rPr>
              <w:rFonts w:cs="Arial"/>
              <w:b/>
              <w:bCs/>
              <w:sz w:val="20"/>
            </w:rPr>
            <w:t>07</w:t>
          </w:r>
          <w:r w:rsidR="00470E63">
            <w:rPr>
              <w:rFonts w:cs="Arial"/>
              <w:b/>
              <w:bCs/>
              <w:sz w:val="20"/>
            </w:rPr>
            <w:t>/</w:t>
          </w:r>
          <w:r>
            <w:rPr>
              <w:rFonts w:cs="Arial"/>
              <w:b/>
              <w:bCs/>
              <w:sz w:val="20"/>
            </w:rPr>
            <w:t>2025</w:t>
          </w:r>
        </w:p>
      </w:tc>
      <w:tc>
        <w:tcPr>
          <w:tcW w:w="1746" w:type="dxa"/>
        </w:tcPr>
        <w:p w14:paraId="08682A81" w14:textId="628693E5" w:rsidR="001670BB" w:rsidRPr="00B3752F" w:rsidRDefault="0094517C" w:rsidP="00B10F87">
          <w:pPr>
            <w:pStyle w:val="Footer"/>
            <w:rPr>
              <w:rFonts w:cs="Arial"/>
              <w:b/>
              <w:bCs/>
              <w:sz w:val="20"/>
            </w:rPr>
          </w:pPr>
          <w:r>
            <w:rPr>
              <w:rFonts w:cs="Arial"/>
              <w:b/>
              <w:bCs/>
              <w:sz w:val="20"/>
            </w:rPr>
            <w:t>Medicine</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12D6960E" w:rsidR="008E7509" w:rsidRPr="002C1428" w:rsidRDefault="008E7509" w:rsidP="008E7509">
          <w:pPr>
            <w:pStyle w:val="Footer"/>
            <w:jc w:val="center"/>
            <w:rPr>
              <w:rStyle w:val="PageNumber"/>
              <w:sz w:val="16"/>
              <w:szCs w:val="16"/>
            </w:rPr>
          </w:pPr>
          <w:r w:rsidRPr="002C1428">
            <w:rPr>
              <w:sz w:val="16"/>
              <w:szCs w:val="16"/>
            </w:rPr>
            <w:t xml:space="preserve">Do not refer to a </w:t>
          </w:r>
          <w:r w:rsidR="00B54AD0" w:rsidRPr="002C1428">
            <w:rPr>
              <w:sz w:val="16"/>
              <w:szCs w:val="16"/>
            </w:rPr>
            <w:t>paper-based</w:t>
          </w:r>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8A45E" w14:textId="77777777" w:rsidR="00AF4353" w:rsidRDefault="00AF4353" w:rsidP="00F66CB0">
      <w:r>
        <w:separator/>
      </w:r>
    </w:p>
  </w:footnote>
  <w:footnote w:type="continuationSeparator" w:id="0">
    <w:p w14:paraId="51339E1C" w14:textId="77777777" w:rsidR="00AF4353" w:rsidRDefault="00AF4353" w:rsidP="00F66CB0">
      <w:r>
        <w:continuationSeparator/>
      </w:r>
    </w:p>
  </w:footnote>
  <w:footnote w:type="continuationNotice" w:id="1">
    <w:p w14:paraId="359B8120" w14:textId="77777777" w:rsidR="00AF4353" w:rsidRDefault="00AF4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color w:val="2B579A"/>
              <w:sz w:val="20"/>
              <w:shd w:val="clear" w:color="auto" w:fill="E6E6E6"/>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2E578457" w:rsidR="00A939DF" w:rsidRDefault="00A939DF" w:rsidP="00A939DF">
          <w:pPr>
            <w:pStyle w:val="Header"/>
            <w:tabs>
              <w:tab w:val="left" w:pos="720"/>
            </w:tabs>
            <w:jc w:val="right"/>
            <w:rPr>
              <w:sz w:val="20"/>
            </w:rPr>
          </w:pPr>
          <w:bookmarkStart w:id="32" w:name="_top"/>
          <w:bookmarkEnd w:id="32"/>
          <w:r>
            <w:rPr>
              <w:sz w:val="20"/>
            </w:rPr>
            <w:t>CHS</w:t>
          </w:r>
          <w:r w:rsidR="0094517C">
            <w:rPr>
              <w:sz w:val="20"/>
            </w:rPr>
            <w:t>24</w:t>
          </w:r>
          <w:r>
            <w:rPr>
              <w:sz w:val="20"/>
            </w:rPr>
            <w:t>/</w:t>
          </w:r>
          <w:r w:rsidR="0094517C">
            <w:rPr>
              <w:sz w:val="20"/>
            </w:rPr>
            <w:t>531</w:t>
          </w:r>
        </w:p>
      </w:tc>
    </w:tr>
  </w:tbl>
  <w:p w14:paraId="08682A75" w14:textId="31D399C0"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784158"/>
    <w:lvl w:ilvl="0">
      <w:start w:val="1"/>
      <w:numFmt w:val="bullet"/>
      <w:pStyle w:val="ListBullet"/>
      <w:lvlText w:val=""/>
      <w:lvlJc w:val="left"/>
      <w:pPr>
        <w:tabs>
          <w:tab w:val="num" w:pos="785"/>
        </w:tabs>
        <w:ind w:left="785"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5595F11"/>
    <w:multiLevelType w:val="hybridMultilevel"/>
    <w:tmpl w:val="07128E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10B636D1"/>
    <w:multiLevelType w:val="hybridMultilevel"/>
    <w:tmpl w:val="BD48F590"/>
    <w:lvl w:ilvl="0" w:tplc="005299EE">
      <w:start w:val="1"/>
      <w:numFmt w:val="decimal"/>
      <w:lvlText w:val="%1."/>
      <w:lvlJc w:val="left"/>
      <w:pPr>
        <w:ind w:left="720" w:hanging="360"/>
      </w:pPr>
      <w:rPr>
        <w:rFonts w:asciiTheme="minorHAnsi" w:hAnsiTheme="minorHAnsi" w:hint="default"/>
        <w:i w:val="0"/>
        <w:iCs/>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D64B2"/>
    <w:multiLevelType w:val="hybridMultilevel"/>
    <w:tmpl w:val="8064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6951403"/>
    <w:multiLevelType w:val="hybridMultilevel"/>
    <w:tmpl w:val="BC5C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705F08"/>
    <w:multiLevelType w:val="hybridMultilevel"/>
    <w:tmpl w:val="FDFAF6C6"/>
    <w:lvl w:ilvl="0" w:tplc="F7263306">
      <w:start w:val="1"/>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02C7E"/>
    <w:multiLevelType w:val="hybridMultilevel"/>
    <w:tmpl w:val="1136B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B51665"/>
    <w:multiLevelType w:val="multilevel"/>
    <w:tmpl w:val="BAD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119C4"/>
    <w:multiLevelType w:val="hybridMultilevel"/>
    <w:tmpl w:val="908A9A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7" w15:restartNumberingAfterBreak="0">
    <w:nsid w:val="59B07039"/>
    <w:multiLevelType w:val="hybridMultilevel"/>
    <w:tmpl w:val="F362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2F2D71"/>
    <w:multiLevelType w:val="hybridMultilevel"/>
    <w:tmpl w:val="FA80B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01C6D6A"/>
    <w:multiLevelType w:val="hybridMultilevel"/>
    <w:tmpl w:val="77E03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CB5D34"/>
    <w:multiLevelType w:val="hybridMultilevel"/>
    <w:tmpl w:val="A81A9AC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72DF38AA"/>
    <w:multiLevelType w:val="hybridMultilevel"/>
    <w:tmpl w:val="469C4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1051130">
    <w:abstractNumId w:val="0"/>
  </w:num>
  <w:num w:numId="2" w16cid:durableId="1212159563">
    <w:abstractNumId w:val="2"/>
  </w:num>
  <w:num w:numId="3" w16cid:durableId="318575877">
    <w:abstractNumId w:val="22"/>
  </w:num>
  <w:num w:numId="4" w16cid:durableId="1003624122">
    <w:abstractNumId w:val="6"/>
  </w:num>
  <w:num w:numId="5" w16cid:durableId="437020165">
    <w:abstractNumId w:val="11"/>
  </w:num>
  <w:num w:numId="6" w16cid:durableId="104546323">
    <w:abstractNumId w:val="4"/>
  </w:num>
  <w:num w:numId="7" w16cid:durableId="96147756">
    <w:abstractNumId w:val="23"/>
  </w:num>
  <w:num w:numId="8" w16cid:durableId="625235700">
    <w:abstractNumId w:val="16"/>
  </w:num>
  <w:num w:numId="9" w16cid:durableId="1046024623">
    <w:abstractNumId w:val="15"/>
  </w:num>
  <w:num w:numId="10" w16cid:durableId="172380549">
    <w:abstractNumId w:val="15"/>
  </w:num>
  <w:num w:numId="11" w16cid:durableId="1356155824">
    <w:abstractNumId w:val="1"/>
  </w:num>
  <w:num w:numId="12" w16cid:durableId="887686474">
    <w:abstractNumId w:val="8"/>
  </w:num>
  <w:num w:numId="13" w16cid:durableId="182400340">
    <w:abstractNumId w:val="9"/>
  </w:num>
  <w:num w:numId="14" w16cid:durableId="891649175">
    <w:abstractNumId w:val="3"/>
  </w:num>
  <w:num w:numId="15" w16cid:durableId="740103464">
    <w:abstractNumId w:val="17"/>
  </w:num>
  <w:num w:numId="16" w16cid:durableId="502627790">
    <w:abstractNumId w:val="7"/>
  </w:num>
  <w:num w:numId="17" w16cid:durableId="449277741">
    <w:abstractNumId w:val="13"/>
  </w:num>
  <w:num w:numId="18" w16cid:durableId="330261835">
    <w:abstractNumId w:val="14"/>
  </w:num>
  <w:num w:numId="19" w16cid:durableId="215825067">
    <w:abstractNumId w:val="19"/>
  </w:num>
  <w:num w:numId="20" w16cid:durableId="1571236205">
    <w:abstractNumId w:val="10"/>
  </w:num>
  <w:num w:numId="21" w16cid:durableId="1559779998">
    <w:abstractNumId w:val="12"/>
  </w:num>
  <w:num w:numId="22" w16cid:durableId="1712194032">
    <w:abstractNumId w:val="21"/>
  </w:num>
  <w:num w:numId="23" w16cid:durableId="933826763">
    <w:abstractNumId w:val="18"/>
  </w:num>
  <w:num w:numId="24" w16cid:durableId="1095712091">
    <w:abstractNumId w:val="5"/>
  </w:num>
  <w:num w:numId="25" w16cid:durableId="1266769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DC3"/>
    <w:rsid w:val="00010E74"/>
    <w:rsid w:val="000121C3"/>
    <w:rsid w:val="00015B90"/>
    <w:rsid w:val="0001607A"/>
    <w:rsid w:val="0001790C"/>
    <w:rsid w:val="00046604"/>
    <w:rsid w:val="00054115"/>
    <w:rsid w:val="000723F7"/>
    <w:rsid w:val="000728F3"/>
    <w:rsid w:val="0007301D"/>
    <w:rsid w:val="00076C87"/>
    <w:rsid w:val="00083FD9"/>
    <w:rsid w:val="000875A1"/>
    <w:rsid w:val="000910C9"/>
    <w:rsid w:val="00093B4B"/>
    <w:rsid w:val="000A3D5E"/>
    <w:rsid w:val="000A4126"/>
    <w:rsid w:val="000B5C8C"/>
    <w:rsid w:val="000B75DC"/>
    <w:rsid w:val="000C59E2"/>
    <w:rsid w:val="000C79A7"/>
    <w:rsid w:val="000C7B2D"/>
    <w:rsid w:val="000F174F"/>
    <w:rsid w:val="000F7B7E"/>
    <w:rsid w:val="000F7ED5"/>
    <w:rsid w:val="0010015B"/>
    <w:rsid w:val="00103EEA"/>
    <w:rsid w:val="00132390"/>
    <w:rsid w:val="00141601"/>
    <w:rsid w:val="00147E87"/>
    <w:rsid w:val="00153FB3"/>
    <w:rsid w:val="0016069D"/>
    <w:rsid w:val="00164811"/>
    <w:rsid w:val="00164B0C"/>
    <w:rsid w:val="001670BB"/>
    <w:rsid w:val="0017114E"/>
    <w:rsid w:val="0018239D"/>
    <w:rsid w:val="00191109"/>
    <w:rsid w:val="00191A79"/>
    <w:rsid w:val="001A0053"/>
    <w:rsid w:val="001A33C1"/>
    <w:rsid w:val="001A566C"/>
    <w:rsid w:val="001B2465"/>
    <w:rsid w:val="001C6DF8"/>
    <w:rsid w:val="001D2EDE"/>
    <w:rsid w:val="001D6566"/>
    <w:rsid w:val="001E5659"/>
    <w:rsid w:val="001E64DB"/>
    <w:rsid w:val="001F2829"/>
    <w:rsid w:val="001F2C50"/>
    <w:rsid w:val="001F43AE"/>
    <w:rsid w:val="001F6D2D"/>
    <w:rsid w:val="00205AF9"/>
    <w:rsid w:val="002255D7"/>
    <w:rsid w:val="00230DBB"/>
    <w:rsid w:val="0023369E"/>
    <w:rsid w:val="002372B0"/>
    <w:rsid w:val="00240B97"/>
    <w:rsid w:val="0025382D"/>
    <w:rsid w:val="00253F5A"/>
    <w:rsid w:val="00254309"/>
    <w:rsid w:val="00256FD6"/>
    <w:rsid w:val="00263BA6"/>
    <w:rsid w:val="00265FDD"/>
    <w:rsid w:val="00266379"/>
    <w:rsid w:val="0026690C"/>
    <w:rsid w:val="00267948"/>
    <w:rsid w:val="0027264D"/>
    <w:rsid w:val="00274CAF"/>
    <w:rsid w:val="00284538"/>
    <w:rsid w:val="00290364"/>
    <w:rsid w:val="00293E43"/>
    <w:rsid w:val="002A71A3"/>
    <w:rsid w:val="002B25BF"/>
    <w:rsid w:val="002B3D4A"/>
    <w:rsid w:val="002B478A"/>
    <w:rsid w:val="002B5F43"/>
    <w:rsid w:val="002C05A8"/>
    <w:rsid w:val="002D1BE6"/>
    <w:rsid w:val="002F2EC1"/>
    <w:rsid w:val="002F7AFC"/>
    <w:rsid w:val="0030012B"/>
    <w:rsid w:val="00313707"/>
    <w:rsid w:val="00344D08"/>
    <w:rsid w:val="00351779"/>
    <w:rsid w:val="00356743"/>
    <w:rsid w:val="003637A2"/>
    <w:rsid w:val="0036426A"/>
    <w:rsid w:val="00367A7B"/>
    <w:rsid w:val="00372414"/>
    <w:rsid w:val="00376A6D"/>
    <w:rsid w:val="00380B98"/>
    <w:rsid w:val="00396023"/>
    <w:rsid w:val="00396F11"/>
    <w:rsid w:val="003A7071"/>
    <w:rsid w:val="003B26F3"/>
    <w:rsid w:val="003C4BB5"/>
    <w:rsid w:val="003E167B"/>
    <w:rsid w:val="003E4CC0"/>
    <w:rsid w:val="003F272F"/>
    <w:rsid w:val="003F3D8F"/>
    <w:rsid w:val="003F5830"/>
    <w:rsid w:val="00402180"/>
    <w:rsid w:val="00412CED"/>
    <w:rsid w:val="00427139"/>
    <w:rsid w:val="00427976"/>
    <w:rsid w:val="004358E9"/>
    <w:rsid w:val="00436E21"/>
    <w:rsid w:val="00447B55"/>
    <w:rsid w:val="00465C91"/>
    <w:rsid w:val="00470E63"/>
    <w:rsid w:val="00487DD5"/>
    <w:rsid w:val="00491F55"/>
    <w:rsid w:val="004A2E02"/>
    <w:rsid w:val="004A6A76"/>
    <w:rsid w:val="004B7C43"/>
    <w:rsid w:val="004C2B20"/>
    <w:rsid w:val="004C7A2F"/>
    <w:rsid w:val="004D4DA5"/>
    <w:rsid w:val="004D7295"/>
    <w:rsid w:val="004E28AD"/>
    <w:rsid w:val="004F1D05"/>
    <w:rsid w:val="004F2B9D"/>
    <w:rsid w:val="0050147B"/>
    <w:rsid w:val="00502997"/>
    <w:rsid w:val="0050308F"/>
    <w:rsid w:val="00503F75"/>
    <w:rsid w:val="00512F41"/>
    <w:rsid w:val="0052358C"/>
    <w:rsid w:val="0052443C"/>
    <w:rsid w:val="00525F6D"/>
    <w:rsid w:val="0052775E"/>
    <w:rsid w:val="00531B34"/>
    <w:rsid w:val="00542514"/>
    <w:rsid w:val="00546AED"/>
    <w:rsid w:val="00555DD7"/>
    <w:rsid w:val="00556176"/>
    <w:rsid w:val="005621E4"/>
    <w:rsid w:val="005736DB"/>
    <w:rsid w:val="005743AC"/>
    <w:rsid w:val="005927B2"/>
    <w:rsid w:val="00596FD7"/>
    <w:rsid w:val="005A3625"/>
    <w:rsid w:val="005A3F0E"/>
    <w:rsid w:val="005B46CB"/>
    <w:rsid w:val="005B4738"/>
    <w:rsid w:val="005C212D"/>
    <w:rsid w:val="005C3CB0"/>
    <w:rsid w:val="005D5B4A"/>
    <w:rsid w:val="005E2398"/>
    <w:rsid w:val="005E2E94"/>
    <w:rsid w:val="005E3E5C"/>
    <w:rsid w:val="005F519D"/>
    <w:rsid w:val="0060059B"/>
    <w:rsid w:val="006009D1"/>
    <w:rsid w:val="006061BA"/>
    <w:rsid w:val="0061022E"/>
    <w:rsid w:val="00612231"/>
    <w:rsid w:val="00614380"/>
    <w:rsid w:val="00633540"/>
    <w:rsid w:val="00633C8D"/>
    <w:rsid w:val="00634CD5"/>
    <w:rsid w:val="0063578A"/>
    <w:rsid w:val="00635EB1"/>
    <w:rsid w:val="00636F80"/>
    <w:rsid w:val="00645510"/>
    <w:rsid w:val="006473BB"/>
    <w:rsid w:val="006502D6"/>
    <w:rsid w:val="0065246A"/>
    <w:rsid w:val="00657B32"/>
    <w:rsid w:val="00664740"/>
    <w:rsid w:val="0066495D"/>
    <w:rsid w:val="00671C80"/>
    <w:rsid w:val="006743DB"/>
    <w:rsid w:val="00694FC6"/>
    <w:rsid w:val="00695EB6"/>
    <w:rsid w:val="006A4D46"/>
    <w:rsid w:val="006A6024"/>
    <w:rsid w:val="006C31FF"/>
    <w:rsid w:val="006C5F9E"/>
    <w:rsid w:val="006C6B6C"/>
    <w:rsid w:val="006C704D"/>
    <w:rsid w:val="006D4001"/>
    <w:rsid w:val="006D6F01"/>
    <w:rsid w:val="006D7749"/>
    <w:rsid w:val="006E0FF0"/>
    <w:rsid w:val="006E6302"/>
    <w:rsid w:val="00701C03"/>
    <w:rsid w:val="0070331D"/>
    <w:rsid w:val="0072352E"/>
    <w:rsid w:val="00733BA8"/>
    <w:rsid w:val="00741B43"/>
    <w:rsid w:val="00752315"/>
    <w:rsid w:val="00756537"/>
    <w:rsid w:val="00775280"/>
    <w:rsid w:val="00777214"/>
    <w:rsid w:val="0079704B"/>
    <w:rsid w:val="007A0EBC"/>
    <w:rsid w:val="007A5A6E"/>
    <w:rsid w:val="007B4ABB"/>
    <w:rsid w:val="007B6904"/>
    <w:rsid w:val="007D279A"/>
    <w:rsid w:val="007E3F7F"/>
    <w:rsid w:val="007E59FC"/>
    <w:rsid w:val="008068AA"/>
    <w:rsid w:val="008077E5"/>
    <w:rsid w:val="00816782"/>
    <w:rsid w:val="0082141D"/>
    <w:rsid w:val="00827A01"/>
    <w:rsid w:val="00827F24"/>
    <w:rsid w:val="00831128"/>
    <w:rsid w:val="008346D7"/>
    <w:rsid w:val="00841D67"/>
    <w:rsid w:val="00855DA8"/>
    <w:rsid w:val="00865480"/>
    <w:rsid w:val="008732E4"/>
    <w:rsid w:val="008769D4"/>
    <w:rsid w:val="0088422F"/>
    <w:rsid w:val="00884B31"/>
    <w:rsid w:val="00886399"/>
    <w:rsid w:val="00886952"/>
    <w:rsid w:val="00890DBA"/>
    <w:rsid w:val="00894A29"/>
    <w:rsid w:val="008974CA"/>
    <w:rsid w:val="008A27B5"/>
    <w:rsid w:val="008B2450"/>
    <w:rsid w:val="008C36D6"/>
    <w:rsid w:val="008D0CBA"/>
    <w:rsid w:val="008D7BBC"/>
    <w:rsid w:val="008E1F7F"/>
    <w:rsid w:val="008E3427"/>
    <w:rsid w:val="008E6882"/>
    <w:rsid w:val="008E74FD"/>
    <w:rsid w:val="008E7509"/>
    <w:rsid w:val="008F00E8"/>
    <w:rsid w:val="008F6921"/>
    <w:rsid w:val="00931321"/>
    <w:rsid w:val="00933EED"/>
    <w:rsid w:val="00940CDE"/>
    <w:rsid w:val="00941B38"/>
    <w:rsid w:val="0094517C"/>
    <w:rsid w:val="00966A38"/>
    <w:rsid w:val="0097742A"/>
    <w:rsid w:val="00980AE7"/>
    <w:rsid w:val="00980EED"/>
    <w:rsid w:val="0098312B"/>
    <w:rsid w:val="0098579F"/>
    <w:rsid w:val="009860E8"/>
    <w:rsid w:val="00991670"/>
    <w:rsid w:val="009A534C"/>
    <w:rsid w:val="009A6F1F"/>
    <w:rsid w:val="009B0E44"/>
    <w:rsid w:val="009B4A8F"/>
    <w:rsid w:val="009B6C8C"/>
    <w:rsid w:val="009B6F42"/>
    <w:rsid w:val="009C0FCA"/>
    <w:rsid w:val="009C3963"/>
    <w:rsid w:val="009D1CFC"/>
    <w:rsid w:val="009D323C"/>
    <w:rsid w:val="009E047B"/>
    <w:rsid w:val="009E1478"/>
    <w:rsid w:val="009E1C94"/>
    <w:rsid w:val="009E3C1E"/>
    <w:rsid w:val="00A00EFC"/>
    <w:rsid w:val="00A063FE"/>
    <w:rsid w:val="00A13087"/>
    <w:rsid w:val="00A21F21"/>
    <w:rsid w:val="00A3037B"/>
    <w:rsid w:val="00A3469C"/>
    <w:rsid w:val="00A350E5"/>
    <w:rsid w:val="00A35E2D"/>
    <w:rsid w:val="00A60B5E"/>
    <w:rsid w:val="00A74B8A"/>
    <w:rsid w:val="00A82D83"/>
    <w:rsid w:val="00A85F61"/>
    <w:rsid w:val="00A86A9D"/>
    <w:rsid w:val="00A86DB3"/>
    <w:rsid w:val="00A90509"/>
    <w:rsid w:val="00A939DF"/>
    <w:rsid w:val="00AA25DC"/>
    <w:rsid w:val="00AA392B"/>
    <w:rsid w:val="00AA4BA9"/>
    <w:rsid w:val="00AC1955"/>
    <w:rsid w:val="00AC3186"/>
    <w:rsid w:val="00AC7E2B"/>
    <w:rsid w:val="00AD3DDC"/>
    <w:rsid w:val="00AD632D"/>
    <w:rsid w:val="00AE1E5E"/>
    <w:rsid w:val="00AE7453"/>
    <w:rsid w:val="00AF14BE"/>
    <w:rsid w:val="00AF4353"/>
    <w:rsid w:val="00B03E7D"/>
    <w:rsid w:val="00B10F87"/>
    <w:rsid w:val="00B11471"/>
    <w:rsid w:val="00B17115"/>
    <w:rsid w:val="00B21043"/>
    <w:rsid w:val="00B21917"/>
    <w:rsid w:val="00B30DA2"/>
    <w:rsid w:val="00B332F9"/>
    <w:rsid w:val="00B34B33"/>
    <w:rsid w:val="00B41E63"/>
    <w:rsid w:val="00B44CAC"/>
    <w:rsid w:val="00B453FC"/>
    <w:rsid w:val="00B462EF"/>
    <w:rsid w:val="00B51B20"/>
    <w:rsid w:val="00B541FD"/>
    <w:rsid w:val="00B54AD0"/>
    <w:rsid w:val="00B573D6"/>
    <w:rsid w:val="00B61F35"/>
    <w:rsid w:val="00B62468"/>
    <w:rsid w:val="00B634F1"/>
    <w:rsid w:val="00B724CC"/>
    <w:rsid w:val="00B77BF9"/>
    <w:rsid w:val="00B81455"/>
    <w:rsid w:val="00B93B2C"/>
    <w:rsid w:val="00B9627F"/>
    <w:rsid w:val="00B96533"/>
    <w:rsid w:val="00BA0A1B"/>
    <w:rsid w:val="00BA2415"/>
    <w:rsid w:val="00BA3659"/>
    <w:rsid w:val="00BA4F95"/>
    <w:rsid w:val="00BA5B60"/>
    <w:rsid w:val="00BB2225"/>
    <w:rsid w:val="00BB33F9"/>
    <w:rsid w:val="00BB45FF"/>
    <w:rsid w:val="00BC3CE6"/>
    <w:rsid w:val="00BD03DB"/>
    <w:rsid w:val="00BE0586"/>
    <w:rsid w:val="00BE5E41"/>
    <w:rsid w:val="00BF1AFB"/>
    <w:rsid w:val="00BF26A7"/>
    <w:rsid w:val="00BF272D"/>
    <w:rsid w:val="00BF2C5F"/>
    <w:rsid w:val="00BF5C8F"/>
    <w:rsid w:val="00C06021"/>
    <w:rsid w:val="00C13D33"/>
    <w:rsid w:val="00C2269A"/>
    <w:rsid w:val="00C2481F"/>
    <w:rsid w:val="00C24EDC"/>
    <w:rsid w:val="00C25A76"/>
    <w:rsid w:val="00C31BD5"/>
    <w:rsid w:val="00C32206"/>
    <w:rsid w:val="00C343EE"/>
    <w:rsid w:val="00C40663"/>
    <w:rsid w:val="00C4336D"/>
    <w:rsid w:val="00C45B40"/>
    <w:rsid w:val="00C45C67"/>
    <w:rsid w:val="00C523FF"/>
    <w:rsid w:val="00C532D4"/>
    <w:rsid w:val="00C606F3"/>
    <w:rsid w:val="00C71C3C"/>
    <w:rsid w:val="00C7214C"/>
    <w:rsid w:val="00C72568"/>
    <w:rsid w:val="00C72DEF"/>
    <w:rsid w:val="00C816B2"/>
    <w:rsid w:val="00C902F0"/>
    <w:rsid w:val="00C9490E"/>
    <w:rsid w:val="00C96AE1"/>
    <w:rsid w:val="00CA593D"/>
    <w:rsid w:val="00CA5D21"/>
    <w:rsid w:val="00CB0F4E"/>
    <w:rsid w:val="00CE12CB"/>
    <w:rsid w:val="00CE178E"/>
    <w:rsid w:val="00D006EF"/>
    <w:rsid w:val="00D06786"/>
    <w:rsid w:val="00D14007"/>
    <w:rsid w:val="00D16211"/>
    <w:rsid w:val="00D21780"/>
    <w:rsid w:val="00D23346"/>
    <w:rsid w:val="00D243B8"/>
    <w:rsid w:val="00D34794"/>
    <w:rsid w:val="00D42B85"/>
    <w:rsid w:val="00D4502D"/>
    <w:rsid w:val="00D4549F"/>
    <w:rsid w:val="00D53076"/>
    <w:rsid w:val="00D530CE"/>
    <w:rsid w:val="00D53E3C"/>
    <w:rsid w:val="00D54ED5"/>
    <w:rsid w:val="00D74A61"/>
    <w:rsid w:val="00D7517E"/>
    <w:rsid w:val="00D770E5"/>
    <w:rsid w:val="00D77950"/>
    <w:rsid w:val="00D8394E"/>
    <w:rsid w:val="00D913A7"/>
    <w:rsid w:val="00DA42CB"/>
    <w:rsid w:val="00DB1ABC"/>
    <w:rsid w:val="00DC3762"/>
    <w:rsid w:val="00DC739E"/>
    <w:rsid w:val="00DD0346"/>
    <w:rsid w:val="00DD4978"/>
    <w:rsid w:val="00DD616A"/>
    <w:rsid w:val="00DE0465"/>
    <w:rsid w:val="00DE06B1"/>
    <w:rsid w:val="00DE1D8F"/>
    <w:rsid w:val="00DE31D2"/>
    <w:rsid w:val="00DE66FC"/>
    <w:rsid w:val="00DF2366"/>
    <w:rsid w:val="00DF277C"/>
    <w:rsid w:val="00DF2B58"/>
    <w:rsid w:val="00E03A66"/>
    <w:rsid w:val="00E049ED"/>
    <w:rsid w:val="00E12CB4"/>
    <w:rsid w:val="00E138C9"/>
    <w:rsid w:val="00E14D9F"/>
    <w:rsid w:val="00E166C2"/>
    <w:rsid w:val="00E34E6D"/>
    <w:rsid w:val="00E362E5"/>
    <w:rsid w:val="00E37CD4"/>
    <w:rsid w:val="00E41A47"/>
    <w:rsid w:val="00E519F5"/>
    <w:rsid w:val="00E53B9C"/>
    <w:rsid w:val="00E55AD8"/>
    <w:rsid w:val="00E5628A"/>
    <w:rsid w:val="00E57848"/>
    <w:rsid w:val="00E82D6F"/>
    <w:rsid w:val="00E8716A"/>
    <w:rsid w:val="00E96E85"/>
    <w:rsid w:val="00EA1A1E"/>
    <w:rsid w:val="00EC193C"/>
    <w:rsid w:val="00EC26CE"/>
    <w:rsid w:val="00EC5736"/>
    <w:rsid w:val="00ED21C3"/>
    <w:rsid w:val="00ED388C"/>
    <w:rsid w:val="00EF02B0"/>
    <w:rsid w:val="00F01B61"/>
    <w:rsid w:val="00F13DD8"/>
    <w:rsid w:val="00F149FD"/>
    <w:rsid w:val="00F14F10"/>
    <w:rsid w:val="00F21D65"/>
    <w:rsid w:val="00F21E5C"/>
    <w:rsid w:val="00F4262F"/>
    <w:rsid w:val="00F536A3"/>
    <w:rsid w:val="00F53719"/>
    <w:rsid w:val="00F565DA"/>
    <w:rsid w:val="00F57291"/>
    <w:rsid w:val="00F66CB0"/>
    <w:rsid w:val="00F72D0E"/>
    <w:rsid w:val="00F76C89"/>
    <w:rsid w:val="00F83FBF"/>
    <w:rsid w:val="00F90842"/>
    <w:rsid w:val="00F93B72"/>
    <w:rsid w:val="00F94A3F"/>
    <w:rsid w:val="00FA29B8"/>
    <w:rsid w:val="00FB728C"/>
    <w:rsid w:val="00FD3D92"/>
    <w:rsid w:val="00FF389E"/>
    <w:rsid w:val="00FF56DD"/>
    <w:rsid w:val="030AE94E"/>
    <w:rsid w:val="05F161A4"/>
    <w:rsid w:val="0BBFB8F7"/>
    <w:rsid w:val="0C644D5C"/>
    <w:rsid w:val="10135607"/>
    <w:rsid w:val="11907C3D"/>
    <w:rsid w:val="15A7D63B"/>
    <w:rsid w:val="1D2C03ED"/>
    <w:rsid w:val="20361674"/>
    <w:rsid w:val="23059541"/>
    <w:rsid w:val="27980138"/>
    <w:rsid w:val="2B17EE5F"/>
    <w:rsid w:val="2C2C644C"/>
    <w:rsid w:val="2CADF6A7"/>
    <w:rsid w:val="31534A6A"/>
    <w:rsid w:val="36F3F582"/>
    <w:rsid w:val="3E15AB9E"/>
    <w:rsid w:val="43B0BA8E"/>
    <w:rsid w:val="4B4DDC0B"/>
    <w:rsid w:val="4D0E56CB"/>
    <w:rsid w:val="54AA203F"/>
    <w:rsid w:val="54C0415F"/>
    <w:rsid w:val="5ADD4099"/>
    <w:rsid w:val="5C4CDFEF"/>
    <w:rsid w:val="5D95540B"/>
    <w:rsid w:val="668BF592"/>
    <w:rsid w:val="70EC54DF"/>
    <w:rsid w:val="78C15533"/>
    <w:rsid w:val="7C7B12CE"/>
    <w:rsid w:val="7D41BAF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semiHidden/>
    <w:unhideWhenUsed/>
    <w:rsid w:val="00C72DEF"/>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941B38"/>
    <w:pPr>
      <w:spacing w:after="0" w:line="240" w:lineRule="auto"/>
    </w:pPr>
    <w:rPr>
      <w:rFonts w:ascii="Calibri" w:eastAsia="Times New Roman" w:hAnsi="Calibri" w:cs="Times New Roman"/>
      <w:sz w:val="24"/>
      <w:szCs w:val="2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8C36D6"/>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8C36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454">
      <w:bodyDiv w:val="1"/>
      <w:marLeft w:val="0"/>
      <w:marRight w:val="0"/>
      <w:marTop w:val="0"/>
      <w:marBottom w:val="0"/>
      <w:divBdr>
        <w:top w:val="none" w:sz="0" w:space="0" w:color="auto"/>
        <w:left w:val="none" w:sz="0" w:space="0" w:color="auto"/>
        <w:bottom w:val="none" w:sz="0" w:space="0" w:color="auto"/>
        <w:right w:val="none" w:sz="0" w:space="0" w:color="auto"/>
      </w:divBdr>
    </w:div>
    <w:div w:id="280767559">
      <w:bodyDiv w:val="1"/>
      <w:marLeft w:val="0"/>
      <w:marRight w:val="0"/>
      <w:marTop w:val="0"/>
      <w:marBottom w:val="0"/>
      <w:divBdr>
        <w:top w:val="none" w:sz="0" w:space="0" w:color="auto"/>
        <w:left w:val="none" w:sz="0" w:space="0" w:color="auto"/>
        <w:bottom w:val="none" w:sz="0" w:space="0" w:color="auto"/>
        <w:right w:val="none" w:sz="0" w:space="0" w:color="auto"/>
      </w:divBdr>
      <w:divsChild>
        <w:div w:id="1709331502">
          <w:marLeft w:val="0"/>
          <w:marRight w:val="0"/>
          <w:marTop w:val="0"/>
          <w:marBottom w:val="0"/>
          <w:divBdr>
            <w:top w:val="none" w:sz="0" w:space="0" w:color="auto"/>
            <w:left w:val="none" w:sz="0" w:space="0" w:color="auto"/>
            <w:bottom w:val="none" w:sz="0" w:space="0" w:color="auto"/>
            <w:right w:val="none" w:sz="0" w:space="0" w:color="auto"/>
          </w:divBdr>
        </w:div>
      </w:divsChild>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937908309">
      <w:bodyDiv w:val="1"/>
      <w:marLeft w:val="0"/>
      <w:marRight w:val="0"/>
      <w:marTop w:val="0"/>
      <w:marBottom w:val="0"/>
      <w:divBdr>
        <w:top w:val="none" w:sz="0" w:space="0" w:color="auto"/>
        <w:left w:val="none" w:sz="0" w:space="0" w:color="auto"/>
        <w:bottom w:val="none" w:sz="0" w:space="0" w:color="auto"/>
        <w:right w:val="none" w:sz="0" w:space="0" w:color="auto"/>
      </w:divBdr>
    </w:div>
    <w:div w:id="950477596">
      <w:bodyDiv w:val="1"/>
      <w:marLeft w:val="0"/>
      <w:marRight w:val="0"/>
      <w:marTop w:val="0"/>
      <w:marBottom w:val="0"/>
      <w:divBdr>
        <w:top w:val="none" w:sz="0" w:space="0" w:color="auto"/>
        <w:left w:val="none" w:sz="0" w:space="0" w:color="auto"/>
        <w:bottom w:val="none" w:sz="0" w:space="0" w:color="auto"/>
        <w:right w:val="none" w:sz="0" w:space="0" w:color="auto"/>
      </w:divBdr>
    </w:div>
    <w:div w:id="956058607">
      <w:bodyDiv w:val="1"/>
      <w:marLeft w:val="0"/>
      <w:marRight w:val="0"/>
      <w:marTop w:val="0"/>
      <w:marBottom w:val="0"/>
      <w:divBdr>
        <w:top w:val="none" w:sz="0" w:space="0" w:color="auto"/>
        <w:left w:val="none" w:sz="0" w:space="0" w:color="auto"/>
        <w:bottom w:val="none" w:sz="0" w:space="0" w:color="auto"/>
        <w:right w:val="none" w:sz="0" w:space="0" w:color="auto"/>
      </w:divBdr>
    </w:div>
    <w:div w:id="1147749656">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 w:id="1954285577">
      <w:bodyDiv w:val="1"/>
      <w:marLeft w:val="0"/>
      <w:marRight w:val="0"/>
      <w:marTop w:val="0"/>
      <w:marBottom w:val="0"/>
      <w:divBdr>
        <w:top w:val="none" w:sz="0" w:space="0" w:color="auto"/>
        <w:left w:val="none" w:sz="0" w:space="0" w:color="auto"/>
        <w:bottom w:val="none" w:sz="0" w:space="0" w:color="auto"/>
        <w:right w:val="none" w:sz="0" w:space="0" w:color="auto"/>
      </w:divBdr>
      <w:divsChild>
        <w:div w:id="856162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qld.gov.au/system-governance/policies-standards/guidelines/criteria-led-dischar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i.health.nsw.gov.au/__data/assets/pdf_file/0011/329555/CriteriaLedDischarge_Toolki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EA7D38C8-B902-460B-B649-AD07274F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Mathew, Jerrin</cp:lastModifiedBy>
  <cp:revision>4</cp:revision>
  <cp:lastPrinted>2023-10-09T22:50:00Z</cp:lastPrinted>
  <dcterms:created xsi:type="dcterms:W3CDTF">2024-10-16T23:00:00Z</dcterms:created>
  <dcterms:modified xsi:type="dcterms:W3CDTF">2024-10-30T05:35:00Z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0x0101008CF42CE7937AD647A0B45B4D5544D171</vt:lpwstr>
  </property>
  <property fmtid="{D5CDD505-2E9C-101B-9397-08002B2CF9AE}" pid="3" name="MSIP_Label_69af8531-eb46-4968-8cb3-105d2f5ea87e_Enabled">
    <vt:lpwstr>true</vt:lpwstr>
  </property>
  <property fmtid="{D5CDD505-2E9C-101B-9397-08002B2CF9AE}" pid="4" name="MSIP_Label_69af8531-eb46-4968-8cb3-105d2f5ea87e_SetDate">
    <vt:lpwstr>2024-05-23T06:31:39Z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9897003f-ad28-49d2-98b8-3a1b3b285c7a</vt:lpwstr>
  </property>
  <property fmtid="{D5CDD505-2E9C-101B-9397-08002B2CF9AE}" pid="9" name="MSIP_Label_69af8531-eb46-4968-8cb3-105d2f5ea87e_ContentBits">
    <vt:lpwstr>0</vt:lpwstr>
  </property>
</Properties>
</file>