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A84E" w14:textId="267635CF" w:rsidR="00EF02B0" w:rsidRPr="00EF02B0" w:rsidRDefault="00EF02B0" w:rsidP="00E73B9B">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2F51A84F" w14:textId="4D7238DE" w:rsidR="00EF02B0" w:rsidRPr="00931B93" w:rsidRDefault="00EF02B0" w:rsidP="00E73B9B">
      <w:pPr>
        <w:rPr>
          <w:rFonts w:cs="Arial"/>
          <w:b/>
          <w:i/>
          <w:sz w:val="28"/>
          <w:szCs w:val="44"/>
        </w:rPr>
      </w:pPr>
      <w:r w:rsidRPr="00EF02B0">
        <w:rPr>
          <w:rFonts w:cs="Arial"/>
          <w:b/>
          <w:sz w:val="44"/>
          <w:szCs w:val="44"/>
        </w:rPr>
        <w:t>Procedure</w:t>
      </w:r>
      <w:r w:rsidR="00931B93">
        <w:rPr>
          <w:rFonts w:cs="Arial"/>
          <w:b/>
          <w:sz w:val="44"/>
          <w:szCs w:val="44"/>
        </w:rPr>
        <w:t xml:space="preserve"> </w:t>
      </w:r>
    </w:p>
    <w:p w14:paraId="2F51A850" w14:textId="217D5770" w:rsidR="007B6904" w:rsidRPr="006A3770" w:rsidRDefault="002E6B51" w:rsidP="00E73B9B">
      <w:pPr>
        <w:rPr>
          <w:rFonts w:cs="Arial"/>
          <w:b/>
          <w:i/>
          <w:sz w:val="36"/>
          <w:szCs w:val="36"/>
        </w:rPr>
      </w:pPr>
      <w:r>
        <w:rPr>
          <w:rFonts w:cs="Arial"/>
          <w:b/>
          <w:sz w:val="36"/>
          <w:szCs w:val="36"/>
        </w:rPr>
        <w:t>North Canberra Hospital (NCH) – Iron Infusion (Adults only)</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E73B9B">
            <w:pPr>
              <w:pStyle w:val="Heading1"/>
            </w:pPr>
            <w:bookmarkStart w:id="5" w:name="_Toc389473273"/>
            <w:bookmarkStart w:id="6" w:name="Contents"/>
            <w:bookmarkStart w:id="7" w:name="_Toc158726118"/>
            <w:r w:rsidRPr="00CD1C0E">
              <w:t>Contents</w:t>
            </w:r>
            <w:bookmarkEnd w:id="5"/>
            <w:bookmarkEnd w:id="6"/>
            <w:bookmarkEnd w:id="7"/>
          </w:p>
        </w:tc>
      </w:tr>
    </w:tbl>
    <w:p w14:paraId="2F51A853" w14:textId="77777777" w:rsidR="007B6904" w:rsidRDefault="007B6904" w:rsidP="00E73B9B"/>
    <w:p w14:paraId="5A8B4E63" w14:textId="3C2418C9" w:rsidR="00F14B3E" w:rsidRDefault="007B7628" w:rsidP="00E73B9B">
      <w:pPr>
        <w:pStyle w:val="TOC1"/>
        <w:rPr>
          <w:rFonts w:eastAsiaTheme="minorEastAsia" w:cstheme="minorBidi"/>
          <w:noProof/>
          <w:kern w:val="2"/>
          <w:sz w:val="22"/>
          <w:szCs w:val="22"/>
          <w:lang w:eastAsia="en-AU"/>
          <w14:ligatures w14:val="standardContextual"/>
        </w:rPr>
      </w:pPr>
      <w:r>
        <w:fldChar w:fldCharType="begin"/>
      </w:r>
      <w:r w:rsidR="007052B1">
        <w:instrText xml:space="preserve"> TOC \h \z \t "Heading 1,1" </w:instrText>
      </w:r>
      <w:r>
        <w:fldChar w:fldCharType="separate"/>
      </w:r>
      <w:hyperlink w:anchor="_Toc158726118" w:history="1">
        <w:r w:rsidR="00F14B3E" w:rsidRPr="00B63070">
          <w:rPr>
            <w:rStyle w:val="Hyperlink"/>
            <w:noProof/>
          </w:rPr>
          <w:t>Contents</w:t>
        </w:r>
        <w:r w:rsidR="00F14B3E">
          <w:rPr>
            <w:noProof/>
            <w:webHidden/>
          </w:rPr>
          <w:tab/>
        </w:r>
        <w:r w:rsidR="00F14B3E">
          <w:rPr>
            <w:noProof/>
            <w:webHidden/>
          </w:rPr>
          <w:fldChar w:fldCharType="begin"/>
        </w:r>
        <w:r w:rsidR="00F14B3E">
          <w:rPr>
            <w:noProof/>
            <w:webHidden/>
          </w:rPr>
          <w:instrText xml:space="preserve"> PAGEREF _Toc158726118 \h </w:instrText>
        </w:r>
        <w:r w:rsidR="00F14B3E">
          <w:rPr>
            <w:noProof/>
            <w:webHidden/>
          </w:rPr>
        </w:r>
        <w:r w:rsidR="00F14B3E">
          <w:rPr>
            <w:noProof/>
            <w:webHidden/>
          </w:rPr>
          <w:fldChar w:fldCharType="separate"/>
        </w:r>
        <w:r w:rsidR="00930167">
          <w:rPr>
            <w:noProof/>
            <w:webHidden/>
          </w:rPr>
          <w:t>1</w:t>
        </w:r>
        <w:r w:rsidR="00F14B3E">
          <w:rPr>
            <w:noProof/>
            <w:webHidden/>
          </w:rPr>
          <w:fldChar w:fldCharType="end"/>
        </w:r>
      </w:hyperlink>
    </w:p>
    <w:p w14:paraId="2D4B17B7" w14:textId="1F2A6ACC" w:rsidR="00F14B3E" w:rsidRDefault="00545420" w:rsidP="00E73B9B">
      <w:pPr>
        <w:pStyle w:val="TOC1"/>
        <w:rPr>
          <w:rFonts w:eastAsiaTheme="minorEastAsia" w:cstheme="minorBidi"/>
          <w:noProof/>
          <w:kern w:val="2"/>
          <w:sz w:val="22"/>
          <w:szCs w:val="22"/>
          <w:lang w:eastAsia="en-AU"/>
          <w14:ligatures w14:val="standardContextual"/>
        </w:rPr>
      </w:pPr>
      <w:hyperlink w:anchor="_Toc158726119" w:history="1">
        <w:r w:rsidR="00F14B3E" w:rsidRPr="00B63070">
          <w:rPr>
            <w:rStyle w:val="Hyperlink"/>
            <w:noProof/>
          </w:rPr>
          <w:t>Purpose</w:t>
        </w:r>
        <w:r w:rsidR="00F14B3E">
          <w:rPr>
            <w:noProof/>
            <w:webHidden/>
          </w:rPr>
          <w:tab/>
        </w:r>
        <w:r w:rsidR="00F14B3E">
          <w:rPr>
            <w:noProof/>
            <w:webHidden/>
          </w:rPr>
          <w:fldChar w:fldCharType="begin"/>
        </w:r>
        <w:r w:rsidR="00F14B3E">
          <w:rPr>
            <w:noProof/>
            <w:webHidden/>
          </w:rPr>
          <w:instrText xml:space="preserve"> PAGEREF _Toc158726119 \h </w:instrText>
        </w:r>
        <w:r w:rsidR="00F14B3E">
          <w:rPr>
            <w:noProof/>
            <w:webHidden/>
          </w:rPr>
        </w:r>
        <w:r w:rsidR="00F14B3E">
          <w:rPr>
            <w:noProof/>
            <w:webHidden/>
          </w:rPr>
          <w:fldChar w:fldCharType="separate"/>
        </w:r>
        <w:r w:rsidR="00930167">
          <w:rPr>
            <w:noProof/>
            <w:webHidden/>
          </w:rPr>
          <w:t>3</w:t>
        </w:r>
        <w:r w:rsidR="00F14B3E">
          <w:rPr>
            <w:noProof/>
            <w:webHidden/>
          </w:rPr>
          <w:fldChar w:fldCharType="end"/>
        </w:r>
      </w:hyperlink>
    </w:p>
    <w:p w14:paraId="34D9829A" w14:textId="463DE4EE" w:rsidR="00F14B3E" w:rsidRDefault="00545420" w:rsidP="00E73B9B">
      <w:pPr>
        <w:pStyle w:val="TOC1"/>
        <w:rPr>
          <w:rFonts w:eastAsiaTheme="minorEastAsia" w:cstheme="minorBidi"/>
          <w:noProof/>
          <w:kern w:val="2"/>
          <w:sz w:val="22"/>
          <w:szCs w:val="22"/>
          <w:lang w:eastAsia="en-AU"/>
          <w14:ligatures w14:val="standardContextual"/>
        </w:rPr>
      </w:pPr>
      <w:hyperlink w:anchor="_Toc158726120" w:history="1">
        <w:r w:rsidR="00F14B3E" w:rsidRPr="00B63070">
          <w:rPr>
            <w:rStyle w:val="Hyperlink"/>
            <w:noProof/>
          </w:rPr>
          <w:t>Alerts</w:t>
        </w:r>
        <w:r w:rsidR="00F14B3E">
          <w:rPr>
            <w:noProof/>
            <w:webHidden/>
          </w:rPr>
          <w:tab/>
        </w:r>
        <w:r w:rsidR="00F14B3E">
          <w:rPr>
            <w:noProof/>
            <w:webHidden/>
          </w:rPr>
          <w:fldChar w:fldCharType="begin"/>
        </w:r>
        <w:r w:rsidR="00F14B3E">
          <w:rPr>
            <w:noProof/>
            <w:webHidden/>
          </w:rPr>
          <w:instrText xml:space="preserve"> PAGEREF _Toc158726120 \h </w:instrText>
        </w:r>
        <w:r w:rsidR="00F14B3E">
          <w:rPr>
            <w:noProof/>
            <w:webHidden/>
          </w:rPr>
        </w:r>
        <w:r w:rsidR="00F14B3E">
          <w:rPr>
            <w:noProof/>
            <w:webHidden/>
          </w:rPr>
          <w:fldChar w:fldCharType="separate"/>
        </w:r>
        <w:r w:rsidR="00930167">
          <w:rPr>
            <w:noProof/>
            <w:webHidden/>
          </w:rPr>
          <w:t>3</w:t>
        </w:r>
        <w:r w:rsidR="00F14B3E">
          <w:rPr>
            <w:noProof/>
            <w:webHidden/>
          </w:rPr>
          <w:fldChar w:fldCharType="end"/>
        </w:r>
      </w:hyperlink>
    </w:p>
    <w:p w14:paraId="17740D7D" w14:textId="22537E1F" w:rsidR="00F14B3E" w:rsidRDefault="00545420" w:rsidP="00E73B9B">
      <w:pPr>
        <w:pStyle w:val="TOC1"/>
        <w:rPr>
          <w:rFonts w:eastAsiaTheme="minorEastAsia" w:cstheme="minorBidi"/>
          <w:noProof/>
          <w:kern w:val="2"/>
          <w:sz w:val="22"/>
          <w:szCs w:val="22"/>
          <w:lang w:eastAsia="en-AU"/>
          <w14:ligatures w14:val="standardContextual"/>
        </w:rPr>
      </w:pPr>
      <w:hyperlink w:anchor="_Toc158726121" w:history="1">
        <w:r w:rsidR="00F14B3E" w:rsidRPr="00B63070">
          <w:rPr>
            <w:rStyle w:val="Hyperlink"/>
            <w:noProof/>
          </w:rPr>
          <w:t>Scope</w:t>
        </w:r>
        <w:r w:rsidR="00F14B3E">
          <w:rPr>
            <w:noProof/>
            <w:webHidden/>
          </w:rPr>
          <w:tab/>
        </w:r>
        <w:r w:rsidR="00F14B3E">
          <w:rPr>
            <w:noProof/>
            <w:webHidden/>
          </w:rPr>
          <w:fldChar w:fldCharType="begin"/>
        </w:r>
        <w:r w:rsidR="00F14B3E">
          <w:rPr>
            <w:noProof/>
            <w:webHidden/>
          </w:rPr>
          <w:instrText xml:space="preserve"> PAGEREF _Toc158726121 \h </w:instrText>
        </w:r>
        <w:r w:rsidR="00F14B3E">
          <w:rPr>
            <w:noProof/>
            <w:webHidden/>
          </w:rPr>
        </w:r>
        <w:r w:rsidR="00F14B3E">
          <w:rPr>
            <w:noProof/>
            <w:webHidden/>
          </w:rPr>
          <w:fldChar w:fldCharType="separate"/>
        </w:r>
        <w:r w:rsidR="00930167">
          <w:rPr>
            <w:noProof/>
            <w:webHidden/>
          </w:rPr>
          <w:t>3</w:t>
        </w:r>
        <w:r w:rsidR="00F14B3E">
          <w:rPr>
            <w:noProof/>
            <w:webHidden/>
          </w:rPr>
          <w:fldChar w:fldCharType="end"/>
        </w:r>
      </w:hyperlink>
    </w:p>
    <w:p w14:paraId="5A362915" w14:textId="2110BCAF" w:rsidR="00F14B3E" w:rsidRDefault="00545420" w:rsidP="00E73B9B">
      <w:pPr>
        <w:pStyle w:val="TOC1"/>
        <w:rPr>
          <w:rFonts w:eastAsiaTheme="minorEastAsia" w:cstheme="minorBidi"/>
          <w:noProof/>
          <w:kern w:val="2"/>
          <w:sz w:val="22"/>
          <w:szCs w:val="22"/>
          <w:lang w:eastAsia="en-AU"/>
          <w14:ligatures w14:val="standardContextual"/>
        </w:rPr>
      </w:pPr>
      <w:hyperlink w:anchor="_Toc158726122" w:history="1">
        <w:r w:rsidR="00F14B3E" w:rsidRPr="00B63070">
          <w:rPr>
            <w:rStyle w:val="Hyperlink"/>
            <w:noProof/>
          </w:rPr>
          <w:t>Section 1 – Background</w:t>
        </w:r>
        <w:r w:rsidR="00F14B3E">
          <w:rPr>
            <w:noProof/>
            <w:webHidden/>
          </w:rPr>
          <w:tab/>
        </w:r>
        <w:r w:rsidR="00F14B3E">
          <w:rPr>
            <w:noProof/>
            <w:webHidden/>
          </w:rPr>
          <w:fldChar w:fldCharType="begin"/>
        </w:r>
        <w:r w:rsidR="00F14B3E">
          <w:rPr>
            <w:noProof/>
            <w:webHidden/>
          </w:rPr>
          <w:instrText xml:space="preserve"> PAGEREF _Toc158726122 \h </w:instrText>
        </w:r>
        <w:r w:rsidR="00F14B3E">
          <w:rPr>
            <w:noProof/>
            <w:webHidden/>
          </w:rPr>
        </w:r>
        <w:r w:rsidR="00F14B3E">
          <w:rPr>
            <w:noProof/>
            <w:webHidden/>
          </w:rPr>
          <w:fldChar w:fldCharType="separate"/>
        </w:r>
        <w:r w:rsidR="00930167">
          <w:rPr>
            <w:noProof/>
            <w:webHidden/>
          </w:rPr>
          <w:t>4</w:t>
        </w:r>
        <w:r w:rsidR="00F14B3E">
          <w:rPr>
            <w:noProof/>
            <w:webHidden/>
          </w:rPr>
          <w:fldChar w:fldCharType="end"/>
        </w:r>
      </w:hyperlink>
    </w:p>
    <w:p w14:paraId="6AD2FF11" w14:textId="54B7F4BD" w:rsidR="00F14B3E" w:rsidRDefault="00545420" w:rsidP="00E73B9B">
      <w:pPr>
        <w:pStyle w:val="TOC1"/>
        <w:rPr>
          <w:rFonts w:eastAsiaTheme="minorEastAsia" w:cstheme="minorBidi"/>
          <w:noProof/>
          <w:kern w:val="2"/>
          <w:sz w:val="22"/>
          <w:szCs w:val="22"/>
          <w:lang w:eastAsia="en-AU"/>
          <w14:ligatures w14:val="standardContextual"/>
        </w:rPr>
      </w:pPr>
      <w:hyperlink w:anchor="_Toc158726123" w:history="1">
        <w:r w:rsidR="00F14B3E" w:rsidRPr="00B63070">
          <w:rPr>
            <w:rStyle w:val="Hyperlink"/>
            <w:noProof/>
          </w:rPr>
          <w:t>Section 2 – Formulations</w:t>
        </w:r>
        <w:r w:rsidR="00F14B3E">
          <w:rPr>
            <w:noProof/>
            <w:webHidden/>
          </w:rPr>
          <w:tab/>
        </w:r>
        <w:r w:rsidR="00F14B3E">
          <w:rPr>
            <w:noProof/>
            <w:webHidden/>
          </w:rPr>
          <w:fldChar w:fldCharType="begin"/>
        </w:r>
        <w:r w:rsidR="00F14B3E">
          <w:rPr>
            <w:noProof/>
            <w:webHidden/>
          </w:rPr>
          <w:instrText xml:space="preserve"> PAGEREF _Toc158726123 \h </w:instrText>
        </w:r>
        <w:r w:rsidR="00F14B3E">
          <w:rPr>
            <w:noProof/>
            <w:webHidden/>
          </w:rPr>
        </w:r>
        <w:r w:rsidR="00F14B3E">
          <w:rPr>
            <w:noProof/>
            <w:webHidden/>
          </w:rPr>
          <w:fldChar w:fldCharType="separate"/>
        </w:r>
        <w:r w:rsidR="00930167">
          <w:rPr>
            <w:noProof/>
            <w:webHidden/>
          </w:rPr>
          <w:t>4</w:t>
        </w:r>
        <w:r w:rsidR="00F14B3E">
          <w:rPr>
            <w:noProof/>
            <w:webHidden/>
          </w:rPr>
          <w:fldChar w:fldCharType="end"/>
        </w:r>
      </w:hyperlink>
    </w:p>
    <w:p w14:paraId="3B90135B" w14:textId="75E1C827" w:rsidR="00F14B3E" w:rsidRDefault="00545420" w:rsidP="00E73B9B">
      <w:pPr>
        <w:pStyle w:val="TOC1"/>
        <w:rPr>
          <w:rFonts w:eastAsiaTheme="minorEastAsia" w:cstheme="minorBidi"/>
          <w:noProof/>
          <w:kern w:val="2"/>
          <w:sz w:val="22"/>
          <w:szCs w:val="22"/>
          <w:lang w:eastAsia="en-AU"/>
          <w14:ligatures w14:val="standardContextual"/>
        </w:rPr>
      </w:pPr>
      <w:hyperlink w:anchor="_Toc158726124" w:history="1">
        <w:r w:rsidR="00F14B3E" w:rsidRPr="00B63070">
          <w:rPr>
            <w:rStyle w:val="Hyperlink"/>
            <w:noProof/>
          </w:rPr>
          <w:t>Section 3 – Clinical Indications</w:t>
        </w:r>
        <w:r w:rsidR="00F14B3E">
          <w:rPr>
            <w:noProof/>
            <w:webHidden/>
          </w:rPr>
          <w:tab/>
        </w:r>
        <w:r w:rsidR="00F14B3E">
          <w:rPr>
            <w:noProof/>
            <w:webHidden/>
          </w:rPr>
          <w:fldChar w:fldCharType="begin"/>
        </w:r>
        <w:r w:rsidR="00F14B3E">
          <w:rPr>
            <w:noProof/>
            <w:webHidden/>
          </w:rPr>
          <w:instrText xml:space="preserve"> PAGEREF _Toc158726124 \h </w:instrText>
        </w:r>
        <w:r w:rsidR="00F14B3E">
          <w:rPr>
            <w:noProof/>
            <w:webHidden/>
          </w:rPr>
        </w:r>
        <w:r w:rsidR="00F14B3E">
          <w:rPr>
            <w:noProof/>
            <w:webHidden/>
          </w:rPr>
          <w:fldChar w:fldCharType="separate"/>
        </w:r>
        <w:r w:rsidR="00930167">
          <w:rPr>
            <w:noProof/>
            <w:webHidden/>
          </w:rPr>
          <w:t>4</w:t>
        </w:r>
        <w:r w:rsidR="00F14B3E">
          <w:rPr>
            <w:noProof/>
            <w:webHidden/>
          </w:rPr>
          <w:fldChar w:fldCharType="end"/>
        </w:r>
      </w:hyperlink>
    </w:p>
    <w:p w14:paraId="21435E5B" w14:textId="3014BABF" w:rsidR="00F14B3E" w:rsidRDefault="00545420" w:rsidP="00E73B9B">
      <w:pPr>
        <w:pStyle w:val="TOC1"/>
        <w:rPr>
          <w:rFonts w:eastAsiaTheme="minorEastAsia" w:cstheme="minorBidi"/>
          <w:noProof/>
          <w:kern w:val="2"/>
          <w:sz w:val="22"/>
          <w:szCs w:val="22"/>
          <w:lang w:eastAsia="en-AU"/>
          <w14:ligatures w14:val="standardContextual"/>
        </w:rPr>
      </w:pPr>
      <w:hyperlink w:anchor="_Toc158726125" w:history="1">
        <w:r w:rsidR="00F14B3E" w:rsidRPr="00B63070">
          <w:rPr>
            <w:rStyle w:val="Hyperlink"/>
            <w:noProof/>
          </w:rPr>
          <w:t>Section 4 – Contraindications</w:t>
        </w:r>
        <w:r w:rsidR="00F14B3E">
          <w:rPr>
            <w:noProof/>
            <w:webHidden/>
          </w:rPr>
          <w:tab/>
        </w:r>
        <w:r w:rsidR="00F14B3E">
          <w:rPr>
            <w:noProof/>
            <w:webHidden/>
          </w:rPr>
          <w:fldChar w:fldCharType="begin"/>
        </w:r>
        <w:r w:rsidR="00F14B3E">
          <w:rPr>
            <w:noProof/>
            <w:webHidden/>
          </w:rPr>
          <w:instrText xml:space="preserve"> PAGEREF _Toc158726125 \h </w:instrText>
        </w:r>
        <w:r w:rsidR="00F14B3E">
          <w:rPr>
            <w:noProof/>
            <w:webHidden/>
          </w:rPr>
        </w:r>
        <w:r w:rsidR="00F14B3E">
          <w:rPr>
            <w:noProof/>
            <w:webHidden/>
          </w:rPr>
          <w:fldChar w:fldCharType="separate"/>
        </w:r>
        <w:r w:rsidR="00930167">
          <w:rPr>
            <w:noProof/>
            <w:webHidden/>
          </w:rPr>
          <w:t>5</w:t>
        </w:r>
        <w:r w:rsidR="00F14B3E">
          <w:rPr>
            <w:noProof/>
            <w:webHidden/>
          </w:rPr>
          <w:fldChar w:fldCharType="end"/>
        </w:r>
      </w:hyperlink>
    </w:p>
    <w:p w14:paraId="308789CC" w14:textId="756C7976" w:rsidR="00F14B3E" w:rsidRDefault="00545420" w:rsidP="00E73B9B">
      <w:pPr>
        <w:pStyle w:val="TOC1"/>
        <w:rPr>
          <w:rFonts w:eastAsiaTheme="minorEastAsia" w:cstheme="minorBidi"/>
          <w:noProof/>
          <w:kern w:val="2"/>
          <w:sz w:val="22"/>
          <w:szCs w:val="22"/>
          <w:lang w:eastAsia="en-AU"/>
          <w14:ligatures w14:val="standardContextual"/>
        </w:rPr>
      </w:pPr>
      <w:hyperlink w:anchor="_Toc158726126" w:history="1">
        <w:r w:rsidR="00F14B3E" w:rsidRPr="00B63070">
          <w:rPr>
            <w:rStyle w:val="Hyperlink"/>
            <w:noProof/>
          </w:rPr>
          <w:t>Section 6 – Drug Interactions</w:t>
        </w:r>
        <w:r w:rsidR="00F14B3E">
          <w:rPr>
            <w:noProof/>
            <w:webHidden/>
          </w:rPr>
          <w:tab/>
        </w:r>
        <w:r w:rsidR="00F14B3E">
          <w:rPr>
            <w:noProof/>
            <w:webHidden/>
          </w:rPr>
          <w:fldChar w:fldCharType="begin"/>
        </w:r>
        <w:r w:rsidR="00F14B3E">
          <w:rPr>
            <w:noProof/>
            <w:webHidden/>
          </w:rPr>
          <w:instrText xml:space="preserve"> PAGEREF _Toc158726126 \h </w:instrText>
        </w:r>
        <w:r w:rsidR="00F14B3E">
          <w:rPr>
            <w:noProof/>
            <w:webHidden/>
          </w:rPr>
        </w:r>
        <w:r w:rsidR="00F14B3E">
          <w:rPr>
            <w:noProof/>
            <w:webHidden/>
          </w:rPr>
          <w:fldChar w:fldCharType="separate"/>
        </w:r>
        <w:r w:rsidR="00930167">
          <w:rPr>
            <w:noProof/>
            <w:webHidden/>
          </w:rPr>
          <w:t>5</w:t>
        </w:r>
        <w:r w:rsidR="00F14B3E">
          <w:rPr>
            <w:noProof/>
            <w:webHidden/>
          </w:rPr>
          <w:fldChar w:fldCharType="end"/>
        </w:r>
      </w:hyperlink>
    </w:p>
    <w:p w14:paraId="5ABE2E8D" w14:textId="1255D0CA" w:rsidR="00F14B3E" w:rsidRDefault="00545420" w:rsidP="00E73B9B">
      <w:pPr>
        <w:pStyle w:val="TOC1"/>
        <w:rPr>
          <w:rFonts w:eastAsiaTheme="minorEastAsia" w:cstheme="minorBidi"/>
          <w:noProof/>
          <w:kern w:val="2"/>
          <w:sz w:val="22"/>
          <w:szCs w:val="22"/>
          <w:lang w:eastAsia="en-AU"/>
          <w14:ligatures w14:val="standardContextual"/>
        </w:rPr>
      </w:pPr>
      <w:hyperlink w:anchor="_Toc158726127" w:history="1">
        <w:r w:rsidR="00F14B3E" w:rsidRPr="00B63070">
          <w:rPr>
            <w:rStyle w:val="Hyperlink"/>
            <w:noProof/>
          </w:rPr>
          <w:t>Section 7 – Premedication</w:t>
        </w:r>
        <w:r w:rsidR="00F14B3E">
          <w:rPr>
            <w:noProof/>
            <w:webHidden/>
          </w:rPr>
          <w:tab/>
        </w:r>
        <w:r w:rsidR="00F14B3E">
          <w:rPr>
            <w:noProof/>
            <w:webHidden/>
          </w:rPr>
          <w:fldChar w:fldCharType="begin"/>
        </w:r>
        <w:r w:rsidR="00F14B3E">
          <w:rPr>
            <w:noProof/>
            <w:webHidden/>
          </w:rPr>
          <w:instrText xml:space="preserve"> PAGEREF _Toc158726127 \h </w:instrText>
        </w:r>
        <w:r w:rsidR="00F14B3E">
          <w:rPr>
            <w:noProof/>
            <w:webHidden/>
          </w:rPr>
        </w:r>
        <w:r w:rsidR="00F14B3E">
          <w:rPr>
            <w:noProof/>
            <w:webHidden/>
          </w:rPr>
          <w:fldChar w:fldCharType="separate"/>
        </w:r>
        <w:r w:rsidR="00930167">
          <w:rPr>
            <w:noProof/>
            <w:webHidden/>
          </w:rPr>
          <w:t>5</w:t>
        </w:r>
        <w:r w:rsidR="00F14B3E">
          <w:rPr>
            <w:noProof/>
            <w:webHidden/>
          </w:rPr>
          <w:fldChar w:fldCharType="end"/>
        </w:r>
      </w:hyperlink>
    </w:p>
    <w:p w14:paraId="4D0CB016" w14:textId="4A31159A" w:rsidR="00F14B3E" w:rsidRDefault="00545420" w:rsidP="00E73B9B">
      <w:pPr>
        <w:pStyle w:val="TOC1"/>
        <w:rPr>
          <w:rFonts w:eastAsiaTheme="minorEastAsia" w:cstheme="minorBidi"/>
          <w:noProof/>
          <w:kern w:val="2"/>
          <w:sz w:val="22"/>
          <w:szCs w:val="22"/>
          <w:lang w:eastAsia="en-AU"/>
          <w14:ligatures w14:val="standardContextual"/>
        </w:rPr>
      </w:pPr>
      <w:hyperlink w:anchor="_Toc158726128" w:history="1">
        <w:r w:rsidR="00F14B3E" w:rsidRPr="00B63070">
          <w:rPr>
            <w:rStyle w:val="Hyperlink"/>
            <w:noProof/>
          </w:rPr>
          <w:t>Section 8 – Patient Education</w:t>
        </w:r>
        <w:r w:rsidR="00F14B3E">
          <w:rPr>
            <w:noProof/>
            <w:webHidden/>
          </w:rPr>
          <w:tab/>
        </w:r>
        <w:r w:rsidR="00F14B3E">
          <w:rPr>
            <w:noProof/>
            <w:webHidden/>
          </w:rPr>
          <w:fldChar w:fldCharType="begin"/>
        </w:r>
        <w:r w:rsidR="00F14B3E">
          <w:rPr>
            <w:noProof/>
            <w:webHidden/>
          </w:rPr>
          <w:instrText xml:space="preserve"> PAGEREF _Toc158726128 \h </w:instrText>
        </w:r>
        <w:r w:rsidR="00F14B3E">
          <w:rPr>
            <w:noProof/>
            <w:webHidden/>
          </w:rPr>
        </w:r>
        <w:r w:rsidR="00F14B3E">
          <w:rPr>
            <w:noProof/>
            <w:webHidden/>
          </w:rPr>
          <w:fldChar w:fldCharType="separate"/>
        </w:r>
        <w:r w:rsidR="00930167">
          <w:rPr>
            <w:noProof/>
            <w:webHidden/>
          </w:rPr>
          <w:t>5</w:t>
        </w:r>
        <w:r w:rsidR="00F14B3E">
          <w:rPr>
            <w:noProof/>
            <w:webHidden/>
          </w:rPr>
          <w:fldChar w:fldCharType="end"/>
        </w:r>
      </w:hyperlink>
    </w:p>
    <w:p w14:paraId="7ACC262A" w14:textId="76451D13" w:rsidR="00F14B3E" w:rsidRDefault="00545420" w:rsidP="00E73B9B">
      <w:pPr>
        <w:pStyle w:val="TOC1"/>
        <w:rPr>
          <w:rFonts w:eastAsiaTheme="minorEastAsia" w:cstheme="minorBidi"/>
          <w:noProof/>
          <w:kern w:val="2"/>
          <w:sz w:val="22"/>
          <w:szCs w:val="22"/>
          <w:lang w:eastAsia="en-AU"/>
          <w14:ligatures w14:val="standardContextual"/>
        </w:rPr>
      </w:pPr>
      <w:hyperlink w:anchor="_Toc158726129" w:history="1">
        <w:r w:rsidR="00F14B3E" w:rsidRPr="00B63070">
          <w:rPr>
            <w:rStyle w:val="Hyperlink"/>
            <w:noProof/>
          </w:rPr>
          <w:t>Section 9 – Iron Polymaltose</w:t>
        </w:r>
        <w:r w:rsidR="00F14B3E">
          <w:rPr>
            <w:noProof/>
            <w:webHidden/>
          </w:rPr>
          <w:tab/>
        </w:r>
        <w:r w:rsidR="00F14B3E">
          <w:rPr>
            <w:noProof/>
            <w:webHidden/>
          </w:rPr>
          <w:fldChar w:fldCharType="begin"/>
        </w:r>
        <w:r w:rsidR="00F14B3E">
          <w:rPr>
            <w:noProof/>
            <w:webHidden/>
          </w:rPr>
          <w:instrText xml:space="preserve"> PAGEREF _Toc158726129 \h </w:instrText>
        </w:r>
        <w:r w:rsidR="00F14B3E">
          <w:rPr>
            <w:noProof/>
            <w:webHidden/>
          </w:rPr>
        </w:r>
        <w:r w:rsidR="00F14B3E">
          <w:rPr>
            <w:noProof/>
            <w:webHidden/>
          </w:rPr>
          <w:fldChar w:fldCharType="separate"/>
        </w:r>
        <w:r w:rsidR="00930167">
          <w:rPr>
            <w:noProof/>
            <w:webHidden/>
          </w:rPr>
          <w:t>6</w:t>
        </w:r>
        <w:r w:rsidR="00F14B3E">
          <w:rPr>
            <w:noProof/>
            <w:webHidden/>
          </w:rPr>
          <w:fldChar w:fldCharType="end"/>
        </w:r>
      </w:hyperlink>
    </w:p>
    <w:p w14:paraId="04E101DD" w14:textId="4B8267EC" w:rsidR="00F14B3E" w:rsidRDefault="00545420" w:rsidP="00E73B9B">
      <w:pPr>
        <w:pStyle w:val="TOC1"/>
        <w:rPr>
          <w:rFonts w:eastAsiaTheme="minorEastAsia" w:cstheme="minorBidi"/>
          <w:noProof/>
          <w:kern w:val="2"/>
          <w:sz w:val="22"/>
          <w:szCs w:val="22"/>
          <w:lang w:eastAsia="en-AU"/>
          <w14:ligatures w14:val="standardContextual"/>
        </w:rPr>
      </w:pPr>
      <w:hyperlink w:anchor="_Toc158726130" w:history="1">
        <w:r w:rsidR="00F14B3E" w:rsidRPr="00B63070">
          <w:rPr>
            <w:rStyle w:val="Hyperlink"/>
            <w:noProof/>
          </w:rPr>
          <w:t>Section 10 – Preparation and Storage</w:t>
        </w:r>
        <w:r w:rsidR="00F14B3E">
          <w:rPr>
            <w:noProof/>
            <w:webHidden/>
          </w:rPr>
          <w:tab/>
        </w:r>
        <w:r w:rsidR="00F14B3E">
          <w:rPr>
            <w:noProof/>
            <w:webHidden/>
          </w:rPr>
          <w:fldChar w:fldCharType="begin"/>
        </w:r>
        <w:r w:rsidR="00F14B3E">
          <w:rPr>
            <w:noProof/>
            <w:webHidden/>
          </w:rPr>
          <w:instrText xml:space="preserve"> PAGEREF _Toc158726130 \h </w:instrText>
        </w:r>
        <w:r w:rsidR="00F14B3E">
          <w:rPr>
            <w:noProof/>
            <w:webHidden/>
          </w:rPr>
        </w:r>
        <w:r w:rsidR="00F14B3E">
          <w:rPr>
            <w:noProof/>
            <w:webHidden/>
          </w:rPr>
          <w:fldChar w:fldCharType="separate"/>
        </w:r>
        <w:r w:rsidR="00930167">
          <w:rPr>
            <w:noProof/>
            <w:webHidden/>
          </w:rPr>
          <w:t>6</w:t>
        </w:r>
        <w:r w:rsidR="00F14B3E">
          <w:rPr>
            <w:noProof/>
            <w:webHidden/>
          </w:rPr>
          <w:fldChar w:fldCharType="end"/>
        </w:r>
      </w:hyperlink>
    </w:p>
    <w:p w14:paraId="47111E47" w14:textId="0E3B7C30" w:rsidR="00F14B3E" w:rsidRDefault="00545420" w:rsidP="00E73B9B">
      <w:pPr>
        <w:pStyle w:val="TOC1"/>
        <w:rPr>
          <w:rFonts w:eastAsiaTheme="minorEastAsia" w:cstheme="minorBidi"/>
          <w:noProof/>
          <w:kern w:val="2"/>
          <w:sz w:val="22"/>
          <w:szCs w:val="22"/>
          <w:lang w:eastAsia="en-AU"/>
          <w14:ligatures w14:val="standardContextual"/>
        </w:rPr>
      </w:pPr>
      <w:hyperlink w:anchor="_Toc158726131" w:history="1">
        <w:r w:rsidR="00F14B3E" w:rsidRPr="00B63070">
          <w:rPr>
            <w:rStyle w:val="Hyperlink"/>
            <w:noProof/>
          </w:rPr>
          <w:t>Section 11 – Administration and Monitoring</w:t>
        </w:r>
        <w:r w:rsidR="00F14B3E">
          <w:rPr>
            <w:noProof/>
            <w:webHidden/>
          </w:rPr>
          <w:tab/>
        </w:r>
        <w:r w:rsidR="00F14B3E">
          <w:rPr>
            <w:noProof/>
            <w:webHidden/>
          </w:rPr>
          <w:fldChar w:fldCharType="begin"/>
        </w:r>
        <w:r w:rsidR="00F14B3E">
          <w:rPr>
            <w:noProof/>
            <w:webHidden/>
          </w:rPr>
          <w:instrText xml:space="preserve"> PAGEREF _Toc158726131 \h </w:instrText>
        </w:r>
        <w:r w:rsidR="00F14B3E">
          <w:rPr>
            <w:noProof/>
            <w:webHidden/>
          </w:rPr>
        </w:r>
        <w:r w:rsidR="00F14B3E">
          <w:rPr>
            <w:noProof/>
            <w:webHidden/>
          </w:rPr>
          <w:fldChar w:fldCharType="separate"/>
        </w:r>
        <w:r w:rsidR="00930167">
          <w:rPr>
            <w:noProof/>
            <w:webHidden/>
          </w:rPr>
          <w:t>7</w:t>
        </w:r>
        <w:r w:rsidR="00F14B3E">
          <w:rPr>
            <w:noProof/>
            <w:webHidden/>
          </w:rPr>
          <w:fldChar w:fldCharType="end"/>
        </w:r>
      </w:hyperlink>
    </w:p>
    <w:p w14:paraId="76C35CF6" w14:textId="005CB45D" w:rsidR="00F14B3E" w:rsidRDefault="00545420" w:rsidP="00E73B9B">
      <w:pPr>
        <w:pStyle w:val="TOC1"/>
        <w:rPr>
          <w:rFonts w:eastAsiaTheme="minorEastAsia" w:cstheme="minorBidi"/>
          <w:noProof/>
          <w:kern w:val="2"/>
          <w:sz w:val="22"/>
          <w:szCs w:val="22"/>
          <w:lang w:eastAsia="en-AU"/>
          <w14:ligatures w14:val="standardContextual"/>
        </w:rPr>
      </w:pPr>
      <w:hyperlink w:anchor="_Toc158726132" w:history="1">
        <w:r w:rsidR="00F14B3E" w:rsidRPr="00B63070">
          <w:rPr>
            <w:rStyle w:val="Hyperlink"/>
            <w:noProof/>
          </w:rPr>
          <w:t>Section 12 – Ferric Carboxymaltose – Dose</w:t>
        </w:r>
        <w:r w:rsidR="00F14B3E">
          <w:rPr>
            <w:noProof/>
            <w:webHidden/>
          </w:rPr>
          <w:tab/>
        </w:r>
        <w:r w:rsidR="00F14B3E">
          <w:rPr>
            <w:noProof/>
            <w:webHidden/>
          </w:rPr>
          <w:fldChar w:fldCharType="begin"/>
        </w:r>
        <w:r w:rsidR="00F14B3E">
          <w:rPr>
            <w:noProof/>
            <w:webHidden/>
          </w:rPr>
          <w:instrText xml:space="preserve"> PAGEREF _Toc158726132 \h </w:instrText>
        </w:r>
        <w:r w:rsidR="00F14B3E">
          <w:rPr>
            <w:noProof/>
            <w:webHidden/>
          </w:rPr>
        </w:r>
        <w:r w:rsidR="00F14B3E">
          <w:rPr>
            <w:noProof/>
            <w:webHidden/>
          </w:rPr>
          <w:fldChar w:fldCharType="separate"/>
        </w:r>
        <w:r w:rsidR="00930167">
          <w:rPr>
            <w:noProof/>
            <w:webHidden/>
          </w:rPr>
          <w:t>9</w:t>
        </w:r>
        <w:r w:rsidR="00F14B3E">
          <w:rPr>
            <w:noProof/>
            <w:webHidden/>
          </w:rPr>
          <w:fldChar w:fldCharType="end"/>
        </w:r>
      </w:hyperlink>
    </w:p>
    <w:p w14:paraId="3FD23B09" w14:textId="6FD9AD89" w:rsidR="00F14B3E" w:rsidRDefault="00545420" w:rsidP="00E73B9B">
      <w:pPr>
        <w:pStyle w:val="TOC1"/>
        <w:rPr>
          <w:rFonts w:eastAsiaTheme="minorEastAsia" w:cstheme="minorBidi"/>
          <w:noProof/>
          <w:kern w:val="2"/>
          <w:sz w:val="22"/>
          <w:szCs w:val="22"/>
          <w:lang w:eastAsia="en-AU"/>
          <w14:ligatures w14:val="standardContextual"/>
        </w:rPr>
      </w:pPr>
      <w:hyperlink w:anchor="_Toc158726133" w:history="1">
        <w:r w:rsidR="00F14B3E" w:rsidRPr="00B63070">
          <w:rPr>
            <w:rStyle w:val="Hyperlink"/>
            <w:noProof/>
          </w:rPr>
          <w:t>Section 13 – Ferric Carboxymaltose – Preparation and Storage</w:t>
        </w:r>
        <w:r w:rsidR="00F14B3E">
          <w:rPr>
            <w:noProof/>
            <w:webHidden/>
          </w:rPr>
          <w:tab/>
        </w:r>
        <w:r w:rsidR="00F14B3E">
          <w:rPr>
            <w:noProof/>
            <w:webHidden/>
          </w:rPr>
          <w:fldChar w:fldCharType="begin"/>
        </w:r>
        <w:r w:rsidR="00F14B3E">
          <w:rPr>
            <w:noProof/>
            <w:webHidden/>
          </w:rPr>
          <w:instrText xml:space="preserve"> PAGEREF _Toc158726133 \h </w:instrText>
        </w:r>
        <w:r w:rsidR="00F14B3E">
          <w:rPr>
            <w:noProof/>
            <w:webHidden/>
          </w:rPr>
        </w:r>
        <w:r w:rsidR="00F14B3E">
          <w:rPr>
            <w:noProof/>
            <w:webHidden/>
          </w:rPr>
          <w:fldChar w:fldCharType="separate"/>
        </w:r>
        <w:r w:rsidR="00930167">
          <w:rPr>
            <w:noProof/>
            <w:webHidden/>
          </w:rPr>
          <w:t>9</w:t>
        </w:r>
        <w:r w:rsidR="00F14B3E">
          <w:rPr>
            <w:noProof/>
            <w:webHidden/>
          </w:rPr>
          <w:fldChar w:fldCharType="end"/>
        </w:r>
      </w:hyperlink>
    </w:p>
    <w:p w14:paraId="7F2F90DF" w14:textId="057736F9" w:rsidR="00F14B3E" w:rsidRDefault="00545420" w:rsidP="00E73B9B">
      <w:pPr>
        <w:pStyle w:val="TOC1"/>
        <w:rPr>
          <w:rFonts w:eastAsiaTheme="minorEastAsia" w:cstheme="minorBidi"/>
          <w:noProof/>
          <w:kern w:val="2"/>
          <w:sz w:val="22"/>
          <w:szCs w:val="22"/>
          <w:lang w:eastAsia="en-AU"/>
          <w14:ligatures w14:val="standardContextual"/>
        </w:rPr>
      </w:pPr>
      <w:hyperlink w:anchor="_Toc158726134" w:history="1">
        <w:r w:rsidR="00F14B3E" w:rsidRPr="00B63070">
          <w:rPr>
            <w:rStyle w:val="Hyperlink"/>
            <w:noProof/>
          </w:rPr>
          <w:t>Section 14 – Ferric Carboxymaltose – Administration and Monitoring</w:t>
        </w:r>
        <w:r w:rsidR="00F14B3E">
          <w:rPr>
            <w:noProof/>
            <w:webHidden/>
          </w:rPr>
          <w:tab/>
        </w:r>
        <w:r w:rsidR="00F14B3E">
          <w:rPr>
            <w:noProof/>
            <w:webHidden/>
          </w:rPr>
          <w:fldChar w:fldCharType="begin"/>
        </w:r>
        <w:r w:rsidR="00F14B3E">
          <w:rPr>
            <w:noProof/>
            <w:webHidden/>
          </w:rPr>
          <w:instrText xml:space="preserve"> PAGEREF _Toc158726134 \h </w:instrText>
        </w:r>
        <w:r w:rsidR="00F14B3E">
          <w:rPr>
            <w:noProof/>
            <w:webHidden/>
          </w:rPr>
        </w:r>
        <w:r w:rsidR="00F14B3E">
          <w:rPr>
            <w:noProof/>
            <w:webHidden/>
          </w:rPr>
          <w:fldChar w:fldCharType="separate"/>
        </w:r>
        <w:r w:rsidR="00930167">
          <w:rPr>
            <w:noProof/>
            <w:webHidden/>
          </w:rPr>
          <w:t>10</w:t>
        </w:r>
        <w:r w:rsidR="00F14B3E">
          <w:rPr>
            <w:noProof/>
            <w:webHidden/>
          </w:rPr>
          <w:fldChar w:fldCharType="end"/>
        </w:r>
      </w:hyperlink>
    </w:p>
    <w:p w14:paraId="5ED5BB96" w14:textId="00423FA1" w:rsidR="00F14B3E" w:rsidRDefault="00545420" w:rsidP="00E73B9B">
      <w:pPr>
        <w:pStyle w:val="TOC1"/>
        <w:rPr>
          <w:rFonts w:eastAsiaTheme="minorEastAsia" w:cstheme="minorBidi"/>
          <w:noProof/>
          <w:kern w:val="2"/>
          <w:sz w:val="22"/>
          <w:szCs w:val="22"/>
          <w:lang w:eastAsia="en-AU"/>
          <w14:ligatures w14:val="standardContextual"/>
        </w:rPr>
      </w:pPr>
      <w:hyperlink w:anchor="_Toc158726135" w:history="1">
        <w:r w:rsidR="00F14B3E" w:rsidRPr="00B63070">
          <w:rPr>
            <w:rStyle w:val="Hyperlink"/>
            <w:noProof/>
          </w:rPr>
          <w:t>Section 15 – Additional Considerations in Special Populations – Pregnancy</w:t>
        </w:r>
        <w:r w:rsidR="00F14B3E">
          <w:rPr>
            <w:noProof/>
            <w:webHidden/>
          </w:rPr>
          <w:tab/>
        </w:r>
        <w:r w:rsidR="00F14B3E">
          <w:rPr>
            <w:noProof/>
            <w:webHidden/>
          </w:rPr>
          <w:fldChar w:fldCharType="begin"/>
        </w:r>
        <w:r w:rsidR="00F14B3E">
          <w:rPr>
            <w:noProof/>
            <w:webHidden/>
          </w:rPr>
          <w:instrText xml:space="preserve"> PAGEREF _Toc158726135 \h </w:instrText>
        </w:r>
        <w:r w:rsidR="00F14B3E">
          <w:rPr>
            <w:noProof/>
            <w:webHidden/>
          </w:rPr>
        </w:r>
        <w:r w:rsidR="00F14B3E">
          <w:rPr>
            <w:noProof/>
            <w:webHidden/>
          </w:rPr>
          <w:fldChar w:fldCharType="separate"/>
        </w:r>
        <w:r w:rsidR="00930167">
          <w:rPr>
            <w:noProof/>
            <w:webHidden/>
          </w:rPr>
          <w:t>12</w:t>
        </w:r>
        <w:r w:rsidR="00F14B3E">
          <w:rPr>
            <w:noProof/>
            <w:webHidden/>
          </w:rPr>
          <w:fldChar w:fldCharType="end"/>
        </w:r>
      </w:hyperlink>
    </w:p>
    <w:p w14:paraId="488A5E01" w14:textId="0CF7CD12" w:rsidR="00F14B3E" w:rsidRDefault="00545420" w:rsidP="00E73B9B">
      <w:pPr>
        <w:pStyle w:val="TOC1"/>
        <w:rPr>
          <w:rFonts w:eastAsiaTheme="minorEastAsia" w:cstheme="minorBidi"/>
          <w:noProof/>
          <w:kern w:val="2"/>
          <w:sz w:val="22"/>
          <w:szCs w:val="22"/>
          <w:lang w:eastAsia="en-AU"/>
          <w14:ligatures w14:val="standardContextual"/>
        </w:rPr>
      </w:pPr>
      <w:hyperlink w:anchor="_Toc158726136" w:history="1">
        <w:r w:rsidR="00F14B3E" w:rsidRPr="00B63070">
          <w:rPr>
            <w:rStyle w:val="Hyperlink"/>
            <w:noProof/>
          </w:rPr>
          <w:t>Section 16 – Additional Considerations in Special Populations – Chronic Kidney Disease</w:t>
        </w:r>
        <w:r w:rsidR="00F14B3E">
          <w:rPr>
            <w:noProof/>
            <w:webHidden/>
          </w:rPr>
          <w:tab/>
        </w:r>
        <w:r w:rsidR="00F14B3E">
          <w:rPr>
            <w:noProof/>
            <w:webHidden/>
          </w:rPr>
          <w:fldChar w:fldCharType="begin"/>
        </w:r>
        <w:r w:rsidR="00F14B3E">
          <w:rPr>
            <w:noProof/>
            <w:webHidden/>
          </w:rPr>
          <w:instrText xml:space="preserve"> PAGEREF _Toc158726136 \h </w:instrText>
        </w:r>
        <w:r w:rsidR="00F14B3E">
          <w:rPr>
            <w:noProof/>
            <w:webHidden/>
          </w:rPr>
        </w:r>
        <w:r w:rsidR="00F14B3E">
          <w:rPr>
            <w:noProof/>
            <w:webHidden/>
          </w:rPr>
          <w:fldChar w:fldCharType="separate"/>
        </w:r>
        <w:r w:rsidR="00930167">
          <w:rPr>
            <w:noProof/>
            <w:webHidden/>
          </w:rPr>
          <w:t>13</w:t>
        </w:r>
        <w:r w:rsidR="00F14B3E">
          <w:rPr>
            <w:noProof/>
            <w:webHidden/>
          </w:rPr>
          <w:fldChar w:fldCharType="end"/>
        </w:r>
      </w:hyperlink>
    </w:p>
    <w:p w14:paraId="7F453782" w14:textId="4D44AB8C" w:rsidR="00F14B3E" w:rsidRDefault="00545420" w:rsidP="00E73B9B">
      <w:pPr>
        <w:pStyle w:val="TOC1"/>
        <w:rPr>
          <w:rFonts w:eastAsiaTheme="minorEastAsia" w:cstheme="minorBidi"/>
          <w:noProof/>
          <w:kern w:val="2"/>
          <w:sz w:val="22"/>
          <w:szCs w:val="22"/>
          <w:lang w:eastAsia="en-AU"/>
          <w14:ligatures w14:val="standardContextual"/>
        </w:rPr>
      </w:pPr>
      <w:hyperlink w:anchor="_Toc158726137" w:history="1">
        <w:r w:rsidR="00F14B3E" w:rsidRPr="00B63070">
          <w:rPr>
            <w:rStyle w:val="Hyperlink"/>
            <w:noProof/>
          </w:rPr>
          <w:t>Section 17 – Additional Considerations in Special Populations – Heart Failure</w:t>
        </w:r>
        <w:r w:rsidR="00F14B3E">
          <w:rPr>
            <w:noProof/>
            <w:webHidden/>
          </w:rPr>
          <w:tab/>
        </w:r>
        <w:r w:rsidR="00F14B3E">
          <w:rPr>
            <w:noProof/>
            <w:webHidden/>
          </w:rPr>
          <w:fldChar w:fldCharType="begin"/>
        </w:r>
        <w:r w:rsidR="00F14B3E">
          <w:rPr>
            <w:noProof/>
            <w:webHidden/>
          </w:rPr>
          <w:instrText xml:space="preserve"> PAGEREF _Toc158726137 \h </w:instrText>
        </w:r>
        <w:r w:rsidR="00F14B3E">
          <w:rPr>
            <w:noProof/>
            <w:webHidden/>
          </w:rPr>
        </w:r>
        <w:r w:rsidR="00F14B3E">
          <w:rPr>
            <w:noProof/>
            <w:webHidden/>
          </w:rPr>
          <w:fldChar w:fldCharType="separate"/>
        </w:r>
        <w:r w:rsidR="00930167">
          <w:rPr>
            <w:noProof/>
            <w:webHidden/>
          </w:rPr>
          <w:t>14</w:t>
        </w:r>
        <w:r w:rsidR="00F14B3E">
          <w:rPr>
            <w:noProof/>
            <w:webHidden/>
          </w:rPr>
          <w:fldChar w:fldCharType="end"/>
        </w:r>
      </w:hyperlink>
    </w:p>
    <w:p w14:paraId="1D6F6CB1" w14:textId="6C0D82FA" w:rsidR="00F14B3E" w:rsidRDefault="00545420" w:rsidP="00E73B9B">
      <w:pPr>
        <w:pStyle w:val="TOC1"/>
        <w:rPr>
          <w:rFonts w:eastAsiaTheme="minorEastAsia" w:cstheme="minorBidi"/>
          <w:noProof/>
          <w:kern w:val="2"/>
          <w:sz w:val="22"/>
          <w:szCs w:val="22"/>
          <w:lang w:eastAsia="en-AU"/>
          <w14:ligatures w14:val="standardContextual"/>
        </w:rPr>
      </w:pPr>
      <w:hyperlink w:anchor="_Toc158726138" w:history="1">
        <w:r w:rsidR="00F14B3E" w:rsidRPr="00B63070">
          <w:rPr>
            <w:rStyle w:val="Hyperlink"/>
            <w:noProof/>
          </w:rPr>
          <w:t>Section 18 – Additional Considerations in Special Populations – Peri operative</w:t>
        </w:r>
        <w:r w:rsidR="00F14B3E">
          <w:rPr>
            <w:noProof/>
            <w:webHidden/>
          </w:rPr>
          <w:tab/>
        </w:r>
        <w:r w:rsidR="00F14B3E">
          <w:rPr>
            <w:noProof/>
            <w:webHidden/>
          </w:rPr>
          <w:fldChar w:fldCharType="begin"/>
        </w:r>
        <w:r w:rsidR="00F14B3E">
          <w:rPr>
            <w:noProof/>
            <w:webHidden/>
          </w:rPr>
          <w:instrText xml:space="preserve"> PAGEREF _Toc158726138 \h </w:instrText>
        </w:r>
        <w:r w:rsidR="00F14B3E">
          <w:rPr>
            <w:noProof/>
            <w:webHidden/>
          </w:rPr>
        </w:r>
        <w:r w:rsidR="00F14B3E">
          <w:rPr>
            <w:noProof/>
            <w:webHidden/>
          </w:rPr>
          <w:fldChar w:fldCharType="separate"/>
        </w:r>
        <w:r w:rsidR="00930167">
          <w:rPr>
            <w:noProof/>
            <w:webHidden/>
          </w:rPr>
          <w:t>14</w:t>
        </w:r>
        <w:r w:rsidR="00F14B3E">
          <w:rPr>
            <w:noProof/>
            <w:webHidden/>
          </w:rPr>
          <w:fldChar w:fldCharType="end"/>
        </w:r>
      </w:hyperlink>
    </w:p>
    <w:p w14:paraId="56A97C85" w14:textId="43BF71AC" w:rsidR="00F14B3E" w:rsidRDefault="00545420" w:rsidP="00E73B9B">
      <w:pPr>
        <w:pStyle w:val="TOC1"/>
        <w:rPr>
          <w:rFonts w:eastAsiaTheme="minorEastAsia" w:cstheme="minorBidi"/>
          <w:noProof/>
          <w:kern w:val="2"/>
          <w:sz w:val="22"/>
          <w:szCs w:val="22"/>
          <w:lang w:eastAsia="en-AU"/>
          <w14:ligatures w14:val="standardContextual"/>
        </w:rPr>
      </w:pPr>
      <w:hyperlink w:anchor="_Toc158726139" w:history="1">
        <w:r w:rsidR="00F14B3E" w:rsidRPr="00B63070">
          <w:rPr>
            <w:rStyle w:val="Hyperlink"/>
            <w:noProof/>
          </w:rPr>
          <w:t>Section 19 – Adverse Reactions</w:t>
        </w:r>
        <w:r w:rsidR="00F14B3E">
          <w:rPr>
            <w:noProof/>
            <w:webHidden/>
          </w:rPr>
          <w:tab/>
        </w:r>
        <w:r w:rsidR="00F14B3E">
          <w:rPr>
            <w:noProof/>
            <w:webHidden/>
          </w:rPr>
          <w:fldChar w:fldCharType="begin"/>
        </w:r>
        <w:r w:rsidR="00F14B3E">
          <w:rPr>
            <w:noProof/>
            <w:webHidden/>
          </w:rPr>
          <w:instrText xml:space="preserve"> PAGEREF _Toc158726139 \h </w:instrText>
        </w:r>
        <w:r w:rsidR="00F14B3E">
          <w:rPr>
            <w:noProof/>
            <w:webHidden/>
          </w:rPr>
        </w:r>
        <w:r w:rsidR="00F14B3E">
          <w:rPr>
            <w:noProof/>
            <w:webHidden/>
          </w:rPr>
          <w:fldChar w:fldCharType="separate"/>
        </w:r>
        <w:r w:rsidR="00930167">
          <w:rPr>
            <w:noProof/>
            <w:webHidden/>
          </w:rPr>
          <w:t>15</w:t>
        </w:r>
        <w:r w:rsidR="00F14B3E">
          <w:rPr>
            <w:noProof/>
            <w:webHidden/>
          </w:rPr>
          <w:fldChar w:fldCharType="end"/>
        </w:r>
      </w:hyperlink>
    </w:p>
    <w:p w14:paraId="3F1AD953" w14:textId="0C8F6474" w:rsidR="00F14B3E" w:rsidRDefault="00545420" w:rsidP="00E73B9B">
      <w:pPr>
        <w:pStyle w:val="TOC1"/>
        <w:rPr>
          <w:rFonts w:eastAsiaTheme="minorEastAsia" w:cstheme="minorBidi"/>
          <w:noProof/>
          <w:kern w:val="2"/>
          <w:sz w:val="22"/>
          <w:szCs w:val="22"/>
          <w:lang w:eastAsia="en-AU"/>
          <w14:ligatures w14:val="standardContextual"/>
        </w:rPr>
      </w:pPr>
      <w:hyperlink w:anchor="_Toc158726140" w:history="1">
        <w:r w:rsidR="00F14B3E" w:rsidRPr="00B63070">
          <w:rPr>
            <w:rStyle w:val="Hyperlink"/>
            <w:noProof/>
          </w:rPr>
          <w:t>Section 20 – Management of Mild to Moderate Reactions</w:t>
        </w:r>
        <w:r w:rsidR="00F14B3E">
          <w:rPr>
            <w:noProof/>
            <w:webHidden/>
          </w:rPr>
          <w:tab/>
        </w:r>
        <w:r w:rsidR="00F14B3E">
          <w:rPr>
            <w:noProof/>
            <w:webHidden/>
          </w:rPr>
          <w:fldChar w:fldCharType="begin"/>
        </w:r>
        <w:r w:rsidR="00F14B3E">
          <w:rPr>
            <w:noProof/>
            <w:webHidden/>
          </w:rPr>
          <w:instrText xml:space="preserve"> PAGEREF _Toc158726140 \h </w:instrText>
        </w:r>
        <w:r w:rsidR="00F14B3E">
          <w:rPr>
            <w:noProof/>
            <w:webHidden/>
          </w:rPr>
        </w:r>
        <w:r w:rsidR="00F14B3E">
          <w:rPr>
            <w:noProof/>
            <w:webHidden/>
          </w:rPr>
          <w:fldChar w:fldCharType="separate"/>
        </w:r>
        <w:r w:rsidR="00930167">
          <w:rPr>
            <w:noProof/>
            <w:webHidden/>
          </w:rPr>
          <w:t>15</w:t>
        </w:r>
        <w:r w:rsidR="00F14B3E">
          <w:rPr>
            <w:noProof/>
            <w:webHidden/>
          </w:rPr>
          <w:fldChar w:fldCharType="end"/>
        </w:r>
      </w:hyperlink>
    </w:p>
    <w:p w14:paraId="04102B49" w14:textId="43ECA94D" w:rsidR="00F14B3E" w:rsidRDefault="00545420" w:rsidP="00E73B9B">
      <w:pPr>
        <w:pStyle w:val="TOC1"/>
        <w:rPr>
          <w:rFonts w:eastAsiaTheme="minorEastAsia" w:cstheme="minorBidi"/>
          <w:noProof/>
          <w:kern w:val="2"/>
          <w:sz w:val="22"/>
          <w:szCs w:val="22"/>
          <w:lang w:eastAsia="en-AU"/>
          <w14:ligatures w14:val="standardContextual"/>
        </w:rPr>
      </w:pPr>
      <w:hyperlink w:anchor="_Toc158726141" w:history="1">
        <w:r w:rsidR="00F14B3E" w:rsidRPr="00B63070">
          <w:rPr>
            <w:rStyle w:val="Hyperlink"/>
            <w:noProof/>
          </w:rPr>
          <w:t>Section 21 – Management of Severe Reactions</w:t>
        </w:r>
        <w:r w:rsidR="00F14B3E">
          <w:rPr>
            <w:noProof/>
            <w:webHidden/>
          </w:rPr>
          <w:tab/>
        </w:r>
        <w:r w:rsidR="00F14B3E">
          <w:rPr>
            <w:noProof/>
            <w:webHidden/>
          </w:rPr>
          <w:fldChar w:fldCharType="begin"/>
        </w:r>
        <w:r w:rsidR="00F14B3E">
          <w:rPr>
            <w:noProof/>
            <w:webHidden/>
          </w:rPr>
          <w:instrText xml:space="preserve"> PAGEREF _Toc158726141 \h </w:instrText>
        </w:r>
        <w:r w:rsidR="00F14B3E">
          <w:rPr>
            <w:noProof/>
            <w:webHidden/>
          </w:rPr>
        </w:r>
        <w:r w:rsidR="00F14B3E">
          <w:rPr>
            <w:noProof/>
            <w:webHidden/>
          </w:rPr>
          <w:fldChar w:fldCharType="separate"/>
        </w:r>
        <w:r w:rsidR="00930167">
          <w:rPr>
            <w:noProof/>
            <w:webHidden/>
          </w:rPr>
          <w:t>16</w:t>
        </w:r>
        <w:r w:rsidR="00F14B3E">
          <w:rPr>
            <w:noProof/>
            <w:webHidden/>
          </w:rPr>
          <w:fldChar w:fldCharType="end"/>
        </w:r>
      </w:hyperlink>
    </w:p>
    <w:p w14:paraId="7B5932BC" w14:textId="34E57588" w:rsidR="00F14B3E" w:rsidRDefault="00545420" w:rsidP="00E73B9B">
      <w:pPr>
        <w:pStyle w:val="TOC1"/>
        <w:rPr>
          <w:rFonts w:eastAsiaTheme="minorEastAsia" w:cstheme="minorBidi"/>
          <w:noProof/>
          <w:kern w:val="2"/>
          <w:sz w:val="22"/>
          <w:szCs w:val="22"/>
          <w:lang w:eastAsia="en-AU"/>
          <w14:ligatures w14:val="standardContextual"/>
        </w:rPr>
      </w:pPr>
      <w:hyperlink w:anchor="_Toc158726142" w:history="1">
        <w:r w:rsidR="00F14B3E" w:rsidRPr="00B63070">
          <w:rPr>
            <w:rStyle w:val="Hyperlink"/>
            <w:noProof/>
          </w:rPr>
          <w:t>Section 22 – Management of Extravasation and Tissue Infiltration</w:t>
        </w:r>
        <w:r w:rsidR="00F14B3E">
          <w:rPr>
            <w:noProof/>
            <w:webHidden/>
          </w:rPr>
          <w:tab/>
        </w:r>
        <w:r w:rsidR="00F14B3E">
          <w:rPr>
            <w:noProof/>
            <w:webHidden/>
          </w:rPr>
          <w:fldChar w:fldCharType="begin"/>
        </w:r>
        <w:r w:rsidR="00F14B3E">
          <w:rPr>
            <w:noProof/>
            <w:webHidden/>
          </w:rPr>
          <w:instrText xml:space="preserve"> PAGEREF _Toc158726142 \h </w:instrText>
        </w:r>
        <w:r w:rsidR="00F14B3E">
          <w:rPr>
            <w:noProof/>
            <w:webHidden/>
          </w:rPr>
        </w:r>
        <w:r w:rsidR="00F14B3E">
          <w:rPr>
            <w:noProof/>
            <w:webHidden/>
          </w:rPr>
          <w:fldChar w:fldCharType="separate"/>
        </w:r>
        <w:r w:rsidR="00930167">
          <w:rPr>
            <w:noProof/>
            <w:webHidden/>
          </w:rPr>
          <w:t>16</w:t>
        </w:r>
        <w:r w:rsidR="00F14B3E">
          <w:rPr>
            <w:noProof/>
            <w:webHidden/>
          </w:rPr>
          <w:fldChar w:fldCharType="end"/>
        </w:r>
      </w:hyperlink>
    </w:p>
    <w:p w14:paraId="27FC3E60" w14:textId="1CB72E1E" w:rsidR="00F14B3E" w:rsidRDefault="00545420" w:rsidP="00E73B9B">
      <w:pPr>
        <w:pStyle w:val="TOC1"/>
        <w:rPr>
          <w:rFonts w:eastAsiaTheme="minorEastAsia" w:cstheme="minorBidi"/>
          <w:noProof/>
          <w:kern w:val="2"/>
          <w:sz w:val="22"/>
          <w:szCs w:val="22"/>
          <w:lang w:eastAsia="en-AU"/>
          <w14:ligatures w14:val="standardContextual"/>
        </w:rPr>
      </w:pPr>
      <w:hyperlink w:anchor="_Toc158726143" w:history="1">
        <w:r w:rsidR="00F14B3E" w:rsidRPr="00B63070">
          <w:rPr>
            <w:rStyle w:val="Hyperlink"/>
            <w:noProof/>
          </w:rPr>
          <w:t>Section 23 – Methods of Calculating Intravenous Iron Dose</w:t>
        </w:r>
        <w:r w:rsidR="00F14B3E">
          <w:rPr>
            <w:noProof/>
            <w:webHidden/>
          </w:rPr>
          <w:tab/>
        </w:r>
        <w:r w:rsidR="00F14B3E">
          <w:rPr>
            <w:noProof/>
            <w:webHidden/>
          </w:rPr>
          <w:fldChar w:fldCharType="begin"/>
        </w:r>
        <w:r w:rsidR="00F14B3E">
          <w:rPr>
            <w:noProof/>
            <w:webHidden/>
          </w:rPr>
          <w:instrText xml:space="preserve"> PAGEREF _Toc158726143 \h </w:instrText>
        </w:r>
        <w:r w:rsidR="00F14B3E">
          <w:rPr>
            <w:noProof/>
            <w:webHidden/>
          </w:rPr>
        </w:r>
        <w:r w:rsidR="00F14B3E">
          <w:rPr>
            <w:noProof/>
            <w:webHidden/>
          </w:rPr>
          <w:fldChar w:fldCharType="separate"/>
        </w:r>
        <w:r w:rsidR="00930167">
          <w:rPr>
            <w:noProof/>
            <w:webHidden/>
          </w:rPr>
          <w:t>17</w:t>
        </w:r>
        <w:r w:rsidR="00F14B3E">
          <w:rPr>
            <w:noProof/>
            <w:webHidden/>
          </w:rPr>
          <w:fldChar w:fldCharType="end"/>
        </w:r>
      </w:hyperlink>
    </w:p>
    <w:p w14:paraId="12F1A7E5" w14:textId="19B4AF5C" w:rsidR="00F14B3E" w:rsidRDefault="00545420" w:rsidP="00E73B9B">
      <w:pPr>
        <w:pStyle w:val="TOC1"/>
        <w:rPr>
          <w:rFonts w:eastAsiaTheme="minorEastAsia" w:cstheme="minorBidi"/>
          <w:noProof/>
          <w:kern w:val="2"/>
          <w:sz w:val="22"/>
          <w:szCs w:val="22"/>
          <w:lang w:eastAsia="en-AU"/>
          <w14:ligatures w14:val="standardContextual"/>
        </w:rPr>
      </w:pPr>
      <w:hyperlink w:anchor="_Toc158726144" w:history="1">
        <w:r w:rsidR="00F14B3E" w:rsidRPr="00B63070">
          <w:rPr>
            <w:rStyle w:val="Hyperlink"/>
            <w:noProof/>
          </w:rPr>
          <w:t>Section 24 – Iron Polymaltose Alternative Infusion Protocol</w:t>
        </w:r>
        <w:r w:rsidR="00F14B3E">
          <w:rPr>
            <w:noProof/>
            <w:webHidden/>
          </w:rPr>
          <w:tab/>
        </w:r>
        <w:r w:rsidR="00F14B3E">
          <w:rPr>
            <w:noProof/>
            <w:webHidden/>
          </w:rPr>
          <w:fldChar w:fldCharType="begin"/>
        </w:r>
        <w:r w:rsidR="00F14B3E">
          <w:rPr>
            <w:noProof/>
            <w:webHidden/>
          </w:rPr>
          <w:instrText xml:space="preserve"> PAGEREF _Toc158726144 \h </w:instrText>
        </w:r>
        <w:r w:rsidR="00F14B3E">
          <w:rPr>
            <w:noProof/>
            <w:webHidden/>
          </w:rPr>
        </w:r>
        <w:r w:rsidR="00F14B3E">
          <w:rPr>
            <w:noProof/>
            <w:webHidden/>
          </w:rPr>
          <w:fldChar w:fldCharType="separate"/>
        </w:r>
        <w:r w:rsidR="00930167">
          <w:rPr>
            <w:noProof/>
            <w:webHidden/>
          </w:rPr>
          <w:t>18</w:t>
        </w:r>
        <w:r w:rsidR="00F14B3E">
          <w:rPr>
            <w:noProof/>
            <w:webHidden/>
          </w:rPr>
          <w:fldChar w:fldCharType="end"/>
        </w:r>
      </w:hyperlink>
    </w:p>
    <w:p w14:paraId="5BC2A673" w14:textId="0774BA29" w:rsidR="00F14B3E" w:rsidRDefault="00545420" w:rsidP="00E73B9B">
      <w:pPr>
        <w:pStyle w:val="TOC1"/>
        <w:rPr>
          <w:rFonts w:eastAsiaTheme="minorEastAsia" w:cstheme="minorBidi"/>
          <w:noProof/>
          <w:kern w:val="2"/>
          <w:sz w:val="22"/>
          <w:szCs w:val="22"/>
          <w:lang w:eastAsia="en-AU"/>
          <w14:ligatures w14:val="standardContextual"/>
        </w:rPr>
      </w:pPr>
      <w:hyperlink w:anchor="_Toc158726145" w:history="1">
        <w:r w:rsidR="00F14B3E" w:rsidRPr="00B63070">
          <w:rPr>
            <w:rStyle w:val="Hyperlink"/>
            <w:noProof/>
          </w:rPr>
          <w:t>Related Policies, Procedures, Guidelines and Legislation</w:t>
        </w:r>
        <w:r w:rsidR="00F14B3E">
          <w:rPr>
            <w:noProof/>
            <w:webHidden/>
          </w:rPr>
          <w:tab/>
        </w:r>
        <w:r w:rsidR="00F14B3E">
          <w:rPr>
            <w:noProof/>
            <w:webHidden/>
          </w:rPr>
          <w:fldChar w:fldCharType="begin"/>
        </w:r>
        <w:r w:rsidR="00F14B3E">
          <w:rPr>
            <w:noProof/>
            <w:webHidden/>
          </w:rPr>
          <w:instrText xml:space="preserve"> PAGEREF _Toc158726145 \h </w:instrText>
        </w:r>
        <w:r w:rsidR="00F14B3E">
          <w:rPr>
            <w:noProof/>
            <w:webHidden/>
          </w:rPr>
        </w:r>
        <w:r w:rsidR="00F14B3E">
          <w:rPr>
            <w:noProof/>
            <w:webHidden/>
          </w:rPr>
          <w:fldChar w:fldCharType="separate"/>
        </w:r>
        <w:r w:rsidR="00930167">
          <w:rPr>
            <w:noProof/>
            <w:webHidden/>
          </w:rPr>
          <w:t>19</w:t>
        </w:r>
        <w:r w:rsidR="00F14B3E">
          <w:rPr>
            <w:noProof/>
            <w:webHidden/>
          </w:rPr>
          <w:fldChar w:fldCharType="end"/>
        </w:r>
      </w:hyperlink>
    </w:p>
    <w:p w14:paraId="557874B3" w14:textId="0C883E57" w:rsidR="00F14B3E" w:rsidRDefault="00545420" w:rsidP="00E73B9B">
      <w:pPr>
        <w:pStyle w:val="TOC1"/>
        <w:rPr>
          <w:rFonts w:eastAsiaTheme="minorEastAsia" w:cstheme="minorBidi"/>
          <w:noProof/>
          <w:kern w:val="2"/>
          <w:sz w:val="22"/>
          <w:szCs w:val="22"/>
          <w:lang w:eastAsia="en-AU"/>
          <w14:ligatures w14:val="standardContextual"/>
        </w:rPr>
      </w:pPr>
      <w:hyperlink w:anchor="_Toc158726146" w:history="1">
        <w:r w:rsidR="00F14B3E" w:rsidRPr="00B63070">
          <w:rPr>
            <w:rStyle w:val="Hyperlink"/>
            <w:noProof/>
          </w:rPr>
          <w:t>References</w:t>
        </w:r>
        <w:r w:rsidR="00F14B3E">
          <w:rPr>
            <w:noProof/>
            <w:webHidden/>
          </w:rPr>
          <w:tab/>
        </w:r>
        <w:r w:rsidR="00F14B3E">
          <w:rPr>
            <w:noProof/>
            <w:webHidden/>
          </w:rPr>
          <w:fldChar w:fldCharType="begin"/>
        </w:r>
        <w:r w:rsidR="00F14B3E">
          <w:rPr>
            <w:noProof/>
            <w:webHidden/>
          </w:rPr>
          <w:instrText xml:space="preserve"> PAGEREF _Toc158726146 \h </w:instrText>
        </w:r>
        <w:r w:rsidR="00F14B3E">
          <w:rPr>
            <w:noProof/>
            <w:webHidden/>
          </w:rPr>
        </w:r>
        <w:r w:rsidR="00F14B3E">
          <w:rPr>
            <w:noProof/>
            <w:webHidden/>
          </w:rPr>
          <w:fldChar w:fldCharType="separate"/>
        </w:r>
        <w:r w:rsidR="00930167">
          <w:rPr>
            <w:noProof/>
            <w:webHidden/>
          </w:rPr>
          <w:t>20</w:t>
        </w:r>
        <w:r w:rsidR="00F14B3E">
          <w:rPr>
            <w:noProof/>
            <w:webHidden/>
          </w:rPr>
          <w:fldChar w:fldCharType="end"/>
        </w:r>
      </w:hyperlink>
    </w:p>
    <w:p w14:paraId="0921D896" w14:textId="7527C36F" w:rsidR="00F14B3E" w:rsidRDefault="00545420" w:rsidP="00E73B9B">
      <w:pPr>
        <w:pStyle w:val="TOC1"/>
        <w:rPr>
          <w:rFonts w:eastAsiaTheme="minorEastAsia" w:cstheme="minorBidi"/>
          <w:noProof/>
          <w:kern w:val="2"/>
          <w:sz w:val="22"/>
          <w:szCs w:val="22"/>
          <w:lang w:eastAsia="en-AU"/>
          <w14:ligatures w14:val="standardContextual"/>
        </w:rPr>
      </w:pPr>
      <w:hyperlink w:anchor="_Toc158726147" w:history="1">
        <w:r w:rsidR="00F14B3E" w:rsidRPr="00B63070">
          <w:rPr>
            <w:rStyle w:val="Hyperlink"/>
            <w:noProof/>
          </w:rPr>
          <w:t>Search Terms</w:t>
        </w:r>
        <w:r w:rsidR="00F14B3E">
          <w:rPr>
            <w:noProof/>
            <w:webHidden/>
          </w:rPr>
          <w:tab/>
        </w:r>
        <w:r w:rsidR="00F14B3E">
          <w:rPr>
            <w:noProof/>
            <w:webHidden/>
          </w:rPr>
          <w:fldChar w:fldCharType="begin"/>
        </w:r>
        <w:r w:rsidR="00F14B3E">
          <w:rPr>
            <w:noProof/>
            <w:webHidden/>
          </w:rPr>
          <w:instrText xml:space="preserve"> PAGEREF _Toc158726147 \h </w:instrText>
        </w:r>
        <w:r w:rsidR="00F14B3E">
          <w:rPr>
            <w:noProof/>
            <w:webHidden/>
          </w:rPr>
        </w:r>
        <w:r w:rsidR="00F14B3E">
          <w:rPr>
            <w:noProof/>
            <w:webHidden/>
          </w:rPr>
          <w:fldChar w:fldCharType="separate"/>
        </w:r>
        <w:r w:rsidR="00930167">
          <w:rPr>
            <w:noProof/>
            <w:webHidden/>
          </w:rPr>
          <w:t>21</w:t>
        </w:r>
        <w:r w:rsidR="00F14B3E">
          <w:rPr>
            <w:noProof/>
            <w:webHidden/>
          </w:rPr>
          <w:fldChar w:fldCharType="end"/>
        </w:r>
      </w:hyperlink>
    </w:p>
    <w:p w14:paraId="2F51A861" w14:textId="727EB8FF" w:rsidR="007052B1" w:rsidRDefault="007B7628" w:rsidP="00E73B9B">
      <w:pPr>
        <w:rPr>
          <w:rFonts w:asciiTheme="minorHAnsi" w:hAnsiTheme="minorHAnsi"/>
        </w:rPr>
      </w:pPr>
      <w:r>
        <w:rPr>
          <w:rFonts w:asciiTheme="minorHAnsi" w:hAnsiTheme="minorHAnsi"/>
        </w:rPr>
        <w:fldChar w:fldCharType="end"/>
      </w:r>
    </w:p>
    <w:p w14:paraId="2F51A862" w14:textId="7D2A841C" w:rsidR="007052B1" w:rsidRDefault="007052B1" w:rsidP="00E73B9B">
      <w:pPr>
        <w:spacing w:after="200"/>
        <w:rPr>
          <w:rFonts w:asciiTheme="minorHAnsi" w:hAnsiTheme="minorHAnsi"/>
        </w:rPr>
      </w:pPr>
    </w:p>
    <w:p w14:paraId="2F51A863" w14:textId="00024F13" w:rsidR="00727E8C" w:rsidRDefault="00727E8C" w:rsidP="00E73B9B">
      <w:pPr>
        <w:spacing w:after="200"/>
      </w:pPr>
      <w: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E73B9B">
            <w:pPr>
              <w:pStyle w:val="Heading1"/>
            </w:pPr>
            <w:bookmarkStart w:id="8" w:name="_Toc389473274"/>
            <w:bookmarkStart w:id="9" w:name="_Toc158726119"/>
            <w:r w:rsidRPr="00CD1C0E">
              <w:lastRenderedPageBreak/>
              <w:t>Purpose</w:t>
            </w:r>
            <w:bookmarkEnd w:id="8"/>
            <w:bookmarkEnd w:id="9"/>
          </w:p>
        </w:tc>
      </w:tr>
    </w:tbl>
    <w:p w14:paraId="2F51A866" w14:textId="77777777" w:rsidR="00931B93" w:rsidRDefault="00931B93" w:rsidP="00E73B9B">
      <w:pPr>
        <w:rPr>
          <w:rFonts w:cs="Arial"/>
          <w:i/>
          <w:szCs w:val="24"/>
        </w:rPr>
      </w:pPr>
    </w:p>
    <w:p w14:paraId="01BEF59B" w14:textId="326D7E80" w:rsidR="002E6B51" w:rsidRPr="002E6B51" w:rsidRDefault="00BF078E" w:rsidP="00E73B9B">
      <w:pPr>
        <w:rPr>
          <w:b/>
          <w:bCs/>
          <w:iCs/>
        </w:rPr>
      </w:pPr>
      <w:r w:rsidRPr="002E6B51">
        <w:rPr>
          <w:iCs/>
        </w:rPr>
        <w:t xml:space="preserve">The purpose of this </w:t>
      </w:r>
      <w:r w:rsidR="002E6B51" w:rsidRPr="002E6B51">
        <w:rPr>
          <w:iCs/>
        </w:rPr>
        <w:t>document</w:t>
      </w:r>
      <w:r w:rsidRPr="002E6B51">
        <w:rPr>
          <w:iCs/>
        </w:rPr>
        <w:t xml:space="preserve"> is to provide</w:t>
      </w:r>
      <w:r w:rsidR="002E6B51" w:rsidRPr="002E6B51">
        <w:rPr>
          <w:iCs/>
        </w:rPr>
        <w:t xml:space="preserve"> best practice procedures for the safe prescribing, preparation, administration and monitoring of intravenous</w:t>
      </w:r>
      <w:r w:rsidR="00727E8C">
        <w:rPr>
          <w:iCs/>
        </w:rPr>
        <w:t xml:space="preserve"> </w:t>
      </w:r>
      <w:r w:rsidR="00D909E4">
        <w:rPr>
          <w:iCs/>
        </w:rPr>
        <w:t>(</w:t>
      </w:r>
      <w:r w:rsidR="00727E8C">
        <w:rPr>
          <w:iCs/>
        </w:rPr>
        <w:t>IV)</w:t>
      </w:r>
      <w:r w:rsidR="002E6B51" w:rsidRPr="002E6B51">
        <w:rPr>
          <w:iCs/>
        </w:rPr>
        <w:t xml:space="preserve"> iron administered to adult patients.</w:t>
      </w:r>
    </w:p>
    <w:p w14:paraId="2F51A86F" w14:textId="67C5C5BA" w:rsidR="007B6904" w:rsidRDefault="00BF078E" w:rsidP="00E73B9B">
      <w:pPr>
        <w:rPr>
          <w:rFonts w:cs="Arial"/>
          <w:szCs w:val="24"/>
        </w:rPr>
      </w:pPr>
      <w:r w:rsidRPr="00BF078E">
        <w:rPr>
          <w:i/>
        </w:rPr>
        <w:t xml:space="preserve"> </w:t>
      </w:r>
    </w:p>
    <w:p w14:paraId="2F51A870" w14:textId="77777777" w:rsidR="009E70F4" w:rsidRPr="00CD1C0E" w:rsidRDefault="00545420" w:rsidP="00E73B9B">
      <w:pPr>
        <w:jc w:val="right"/>
        <w:rPr>
          <w:rFonts w:cs="Arial"/>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4223E" w:rsidRPr="00CD1C0E" w14:paraId="2F51A872" w14:textId="77777777" w:rsidTr="00F1354A">
        <w:trPr>
          <w:cantSplit/>
          <w:trHeight w:val="285"/>
        </w:trPr>
        <w:tc>
          <w:tcPr>
            <w:tcW w:w="9158" w:type="dxa"/>
            <w:shd w:val="clear" w:color="auto" w:fill="A6A6A6" w:themeFill="background1" w:themeFillShade="A6"/>
          </w:tcPr>
          <w:p w14:paraId="2F51A871" w14:textId="15C3E8BD" w:rsidR="0074223E" w:rsidRPr="00CD1C0E" w:rsidRDefault="0074223E" w:rsidP="00E73B9B">
            <w:pPr>
              <w:pStyle w:val="Heading1"/>
            </w:pPr>
            <w:bookmarkStart w:id="10" w:name="_Toc389473276"/>
            <w:bookmarkStart w:id="11" w:name="_Toc158726120"/>
            <w:r>
              <w:t>Alerts</w:t>
            </w:r>
            <w:bookmarkEnd w:id="10"/>
            <w:bookmarkEnd w:id="11"/>
            <w:r w:rsidR="00AB50DD">
              <w:t xml:space="preserve"> </w:t>
            </w:r>
          </w:p>
        </w:tc>
      </w:tr>
    </w:tbl>
    <w:p w14:paraId="2F51A873" w14:textId="77777777" w:rsidR="007B6904" w:rsidRDefault="007B6904" w:rsidP="00E73B9B">
      <w:pPr>
        <w:rPr>
          <w:rFonts w:cs="Arial"/>
          <w:b/>
          <w:szCs w:val="24"/>
        </w:rPr>
      </w:pPr>
    </w:p>
    <w:p w14:paraId="6882BEA6" w14:textId="1012FA76" w:rsidR="00727E8C" w:rsidRDefault="00727E8C" w:rsidP="00E73B9B">
      <w:pPr>
        <w:pStyle w:val="ListParagraph"/>
        <w:numPr>
          <w:ilvl w:val="0"/>
          <w:numId w:val="7"/>
        </w:numPr>
      </w:pPr>
      <w:r w:rsidRPr="6410ECE0">
        <w:rPr>
          <w:b/>
          <w:bCs/>
        </w:rPr>
        <w:t xml:space="preserve">Subcutaneous leakage of iron - </w:t>
      </w:r>
      <w:r>
        <w:t xml:space="preserve">iron infusions that leak under the skin result in permanent discolouration of the skin and can happen in the absence of patient reports of discomfort. Refer to Section </w:t>
      </w:r>
      <w:r w:rsidR="00376405">
        <w:t>22</w:t>
      </w:r>
      <w:r>
        <w:t xml:space="preserve"> </w:t>
      </w:r>
      <w:r w:rsidR="00930167">
        <w:t xml:space="preserve">of this procedure </w:t>
      </w:r>
      <w:r>
        <w:t>for management</w:t>
      </w:r>
      <w:r w:rsidR="00930167">
        <w:t>.</w:t>
      </w:r>
    </w:p>
    <w:p w14:paraId="604A4872" w14:textId="77777777" w:rsidR="00930167" w:rsidRDefault="00930167" w:rsidP="00E73B9B">
      <w:pPr>
        <w:pStyle w:val="ListParagraph"/>
        <w:ind w:left="360"/>
      </w:pPr>
    </w:p>
    <w:p w14:paraId="7AD8C5D6" w14:textId="77777777" w:rsidR="00727E8C" w:rsidRPr="00930167" w:rsidRDefault="00727E8C" w:rsidP="00E73B9B">
      <w:pPr>
        <w:pStyle w:val="ListParagraph"/>
        <w:numPr>
          <w:ilvl w:val="0"/>
          <w:numId w:val="7"/>
        </w:numPr>
      </w:pPr>
      <w:r>
        <w:rPr>
          <w:rFonts w:asciiTheme="minorHAnsi" w:hAnsiTheme="minorHAnsi" w:cstheme="minorHAnsi"/>
          <w:iCs/>
          <w:szCs w:val="24"/>
        </w:rPr>
        <w:t>Infusion rates</w:t>
      </w:r>
      <w:r w:rsidRPr="00832DC9">
        <w:rPr>
          <w:rFonts w:asciiTheme="minorHAnsi" w:hAnsiTheme="minorHAnsi" w:cstheme="minorHAnsi"/>
          <w:iCs/>
          <w:szCs w:val="24"/>
        </w:rPr>
        <w:t xml:space="preserve">, </w:t>
      </w:r>
      <w:r>
        <w:rPr>
          <w:rFonts w:asciiTheme="minorHAnsi" w:hAnsiTheme="minorHAnsi" w:cstheme="minorHAnsi"/>
          <w:iCs/>
          <w:szCs w:val="24"/>
        </w:rPr>
        <w:t>maximum doses</w:t>
      </w:r>
      <w:r w:rsidRPr="00832DC9">
        <w:rPr>
          <w:rFonts w:asciiTheme="minorHAnsi" w:hAnsiTheme="minorHAnsi" w:cstheme="minorHAnsi"/>
          <w:iCs/>
          <w:szCs w:val="24"/>
        </w:rPr>
        <w:t xml:space="preserve"> and </w:t>
      </w:r>
      <w:r>
        <w:rPr>
          <w:rFonts w:asciiTheme="minorHAnsi" w:hAnsiTheme="minorHAnsi" w:cstheme="minorHAnsi"/>
          <w:iCs/>
          <w:szCs w:val="24"/>
        </w:rPr>
        <w:t>dilutions</w:t>
      </w:r>
      <w:r w:rsidRPr="00832DC9">
        <w:rPr>
          <w:rFonts w:asciiTheme="minorHAnsi" w:hAnsiTheme="minorHAnsi" w:cstheme="minorHAnsi"/>
          <w:iCs/>
          <w:szCs w:val="24"/>
        </w:rPr>
        <w:t xml:space="preserve"> are not interchangeable between </w:t>
      </w:r>
      <w:r>
        <w:rPr>
          <w:rFonts w:asciiTheme="minorHAnsi" w:hAnsiTheme="minorHAnsi" w:cstheme="minorHAnsi"/>
          <w:iCs/>
          <w:szCs w:val="24"/>
        </w:rPr>
        <w:t xml:space="preserve">intravenous </w:t>
      </w:r>
      <w:r w:rsidRPr="00832DC9">
        <w:rPr>
          <w:rFonts w:asciiTheme="minorHAnsi" w:hAnsiTheme="minorHAnsi" w:cstheme="minorHAnsi"/>
          <w:iCs/>
          <w:szCs w:val="24"/>
        </w:rPr>
        <w:t>iron preparations</w:t>
      </w:r>
      <w:r>
        <w:rPr>
          <w:rFonts w:asciiTheme="minorHAnsi" w:hAnsiTheme="minorHAnsi" w:cstheme="minorHAnsi"/>
          <w:iCs/>
          <w:szCs w:val="24"/>
        </w:rPr>
        <w:t>.</w:t>
      </w:r>
    </w:p>
    <w:p w14:paraId="14041B16" w14:textId="77777777" w:rsidR="00930167" w:rsidRPr="003D1FD5" w:rsidRDefault="00930167" w:rsidP="00E73B9B"/>
    <w:p w14:paraId="692A9348" w14:textId="77777777" w:rsidR="00727E8C" w:rsidRPr="00930167" w:rsidRDefault="00727E8C" w:rsidP="00E73B9B">
      <w:pPr>
        <w:pStyle w:val="ListParagraph"/>
        <w:numPr>
          <w:ilvl w:val="0"/>
          <w:numId w:val="7"/>
        </w:numPr>
        <w:rPr>
          <w:i/>
          <w:u w:val="single"/>
        </w:rPr>
      </w:pPr>
      <w:r w:rsidRPr="004A7A08">
        <w:t>Oral iron supplements should not be given together with parenteral iron</w:t>
      </w:r>
      <w:r>
        <w:t>.</w:t>
      </w:r>
    </w:p>
    <w:p w14:paraId="7FC2614C" w14:textId="77777777" w:rsidR="00930167" w:rsidRPr="00930167" w:rsidRDefault="00930167" w:rsidP="00E73B9B">
      <w:pPr>
        <w:rPr>
          <w:i/>
          <w:u w:val="single"/>
        </w:rPr>
      </w:pPr>
    </w:p>
    <w:p w14:paraId="21612AC4" w14:textId="77777777" w:rsidR="00727E8C" w:rsidRPr="00930167" w:rsidRDefault="00727E8C" w:rsidP="00E73B9B">
      <w:pPr>
        <w:pStyle w:val="ListParagraph"/>
        <w:numPr>
          <w:ilvl w:val="0"/>
          <w:numId w:val="7"/>
        </w:numPr>
        <w:rPr>
          <w:i/>
          <w:u w:val="single"/>
        </w:rPr>
      </w:pPr>
      <w:r>
        <w:t>Anaphylactoid reactions</w:t>
      </w:r>
      <w:r w:rsidRPr="004A7A08">
        <w:t xml:space="preserve"> may occur with intravenous iron so an emergency trolley, and facilities for cardiopulmonary resuscitation must be readily accessible should a hypersensitivity reaction occur</w:t>
      </w:r>
      <w:r>
        <w:t>.</w:t>
      </w:r>
    </w:p>
    <w:p w14:paraId="7E163DC4" w14:textId="77777777" w:rsidR="00930167" w:rsidRPr="00930167" w:rsidRDefault="00930167" w:rsidP="00E73B9B">
      <w:pPr>
        <w:rPr>
          <w:i/>
          <w:u w:val="single"/>
        </w:rPr>
      </w:pPr>
    </w:p>
    <w:p w14:paraId="27B2737A" w14:textId="77777777" w:rsidR="00727E8C" w:rsidRPr="00B8146E" w:rsidRDefault="00727E8C" w:rsidP="00E73B9B">
      <w:pPr>
        <w:pStyle w:val="ListParagraph"/>
        <w:numPr>
          <w:ilvl w:val="0"/>
          <w:numId w:val="7"/>
        </w:numPr>
        <w:rPr>
          <w:i/>
          <w:iCs/>
          <w:u w:val="single"/>
        </w:rPr>
      </w:pPr>
      <w:r>
        <w:t>Red cell transfusion is inappropriate therapy for Iron deficiency anaemia unless an immediate increase in oxygen delivery is required, such as when the patient is experiencing end-organ compromise (e.g., angina pectoris or cardiac failure), or if iron deficiency anaemia is complicated by serious, acute ongoing bleeding.</w:t>
      </w:r>
    </w:p>
    <w:p w14:paraId="2F51A878" w14:textId="77777777" w:rsidR="00DE4E25" w:rsidRDefault="00DE4E25" w:rsidP="00E73B9B">
      <w:pPr>
        <w:rPr>
          <w:rFonts w:cs="Arial"/>
          <w:b/>
          <w:szCs w:val="24"/>
        </w:rPr>
      </w:pPr>
    </w:p>
    <w:p w14:paraId="2F51A879" w14:textId="77777777" w:rsidR="009E70F4" w:rsidRPr="009121F9" w:rsidRDefault="00545420" w:rsidP="00E73B9B">
      <w:pPr>
        <w:jc w:val="right"/>
        <w:rPr>
          <w:rFonts w:cs="Arial"/>
          <w:b/>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7B" w14:textId="77777777" w:rsidTr="0074223E">
        <w:trPr>
          <w:cantSplit/>
          <w:trHeight w:val="285"/>
        </w:trPr>
        <w:tc>
          <w:tcPr>
            <w:tcW w:w="9158" w:type="dxa"/>
            <w:shd w:val="clear" w:color="auto" w:fill="A6A6A6" w:themeFill="background1" w:themeFillShade="A6"/>
          </w:tcPr>
          <w:p w14:paraId="2F51A87A" w14:textId="77777777" w:rsidR="007B6904" w:rsidRPr="003D2D06" w:rsidRDefault="007B6904" w:rsidP="00E73B9B">
            <w:pPr>
              <w:pStyle w:val="Heading1"/>
            </w:pPr>
            <w:bookmarkStart w:id="12" w:name="_Toc389473277"/>
            <w:bookmarkStart w:id="13" w:name="_Toc158726121"/>
            <w:r w:rsidRPr="003D2D06">
              <w:t>Scope</w:t>
            </w:r>
            <w:bookmarkEnd w:id="12"/>
            <w:bookmarkEnd w:id="13"/>
          </w:p>
        </w:tc>
      </w:tr>
    </w:tbl>
    <w:p w14:paraId="2F51A881" w14:textId="77777777" w:rsidR="00BF078E" w:rsidRPr="00BF078E" w:rsidRDefault="00BF078E" w:rsidP="00E73B9B">
      <w:pPr>
        <w:outlineLvl w:val="0"/>
        <w:rPr>
          <w:rFonts w:cs="Arial"/>
          <w:i/>
          <w:szCs w:val="24"/>
        </w:rPr>
      </w:pPr>
    </w:p>
    <w:p w14:paraId="2F51A882" w14:textId="34F81876" w:rsidR="00BF078E" w:rsidRPr="00742D0B" w:rsidRDefault="00BF078E" w:rsidP="00E73B9B">
      <w:pPr>
        <w:outlineLvl w:val="0"/>
        <w:rPr>
          <w:rFonts w:cs="Arial"/>
          <w:iCs/>
          <w:szCs w:val="24"/>
        </w:rPr>
      </w:pPr>
      <w:r w:rsidRPr="00742D0B">
        <w:rPr>
          <w:rFonts w:cs="Arial"/>
          <w:iCs/>
          <w:szCs w:val="24"/>
        </w:rPr>
        <w:t>This document applies to</w:t>
      </w:r>
      <w:r w:rsidR="00366924" w:rsidRPr="00742D0B">
        <w:rPr>
          <w:rFonts w:cs="Arial"/>
          <w:iCs/>
          <w:szCs w:val="24"/>
        </w:rPr>
        <w:t xml:space="preserve"> the following </w:t>
      </w:r>
      <w:r w:rsidR="002E6B51" w:rsidRPr="00742D0B">
        <w:rPr>
          <w:rFonts w:cs="Arial"/>
          <w:iCs/>
          <w:szCs w:val="24"/>
        </w:rPr>
        <w:t>team members</w:t>
      </w:r>
      <w:r w:rsidR="00366924" w:rsidRPr="00742D0B">
        <w:rPr>
          <w:rFonts w:cs="Arial"/>
          <w:iCs/>
          <w:szCs w:val="24"/>
        </w:rPr>
        <w:t xml:space="preserve"> working within their scope of practice</w:t>
      </w:r>
      <w:r w:rsidR="00727E8C">
        <w:rPr>
          <w:rFonts w:cs="Arial"/>
          <w:iCs/>
          <w:szCs w:val="24"/>
        </w:rPr>
        <w:t xml:space="preserve"> at North Canberra Hospital (NCH)</w:t>
      </w:r>
      <w:r w:rsidRPr="00742D0B">
        <w:rPr>
          <w:rFonts w:cs="Arial"/>
          <w:iCs/>
          <w:szCs w:val="24"/>
        </w:rPr>
        <w:t>:</w:t>
      </w:r>
    </w:p>
    <w:p w14:paraId="2F51A883" w14:textId="77777777" w:rsidR="00BF078E" w:rsidRPr="00F14EC1" w:rsidRDefault="00BF078E" w:rsidP="00E73B9B">
      <w:pPr>
        <w:pStyle w:val="ListBullet"/>
        <w:tabs>
          <w:tab w:val="clear" w:pos="1080"/>
        </w:tabs>
        <w:ind w:left="426" w:hanging="426"/>
      </w:pPr>
      <w:r w:rsidRPr="00F14EC1">
        <w:t>Medical Officers</w:t>
      </w:r>
    </w:p>
    <w:p w14:paraId="2F51A884" w14:textId="22125D32" w:rsidR="00BF078E" w:rsidRDefault="00BF078E" w:rsidP="00E73B9B">
      <w:pPr>
        <w:pStyle w:val="ListBullet"/>
        <w:tabs>
          <w:tab w:val="clear" w:pos="1080"/>
        </w:tabs>
        <w:ind w:left="426" w:hanging="426"/>
      </w:pPr>
      <w:r w:rsidRPr="00F14EC1">
        <w:t xml:space="preserve">Nurses and Midwives  </w:t>
      </w:r>
    </w:p>
    <w:p w14:paraId="0D818AB3" w14:textId="2A667E06" w:rsidR="002E6B51" w:rsidRPr="00F14EC1" w:rsidRDefault="002E6B51" w:rsidP="00E73B9B">
      <w:pPr>
        <w:pStyle w:val="ListBullet"/>
        <w:tabs>
          <w:tab w:val="clear" w:pos="1080"/>
        </w:tabs>
        <w:ind w:left="426" w:hanging="426"/>
      </w:pPr>
      <w:r>
        <w:t>Pharmacy team members</w:t>
      </w:r>
      <w:r w:rsidR="00727E8C">
        <w:t>.</w:t>
      </w:r>
    </w:p>
    <w:p w14:paraId="2F51A886" w14:textId="77777777" w:rsidR="001F2A9B" w:rsidRDefault="001F2A9B" w:rsidP="00E73B9B"/>
    <w:p w14:paraId="1DCC154B" w14:textId="7C036FB0" w:rsidR="00930167" w:rsidRPr="00E73B9B" w:rsidRDefault="00545420" w:rsidP="00E73B9B">
      <w:pPr>
        <w:jc w:val="right"/>
        <w:rPr>
          <w:rFonts w:cs="Arial"/>
          <w:i/>
          <w:color w:val="0000FF"/>
          <w:szCs w:val="24"/>
          <w:u w:val="single"/>
        </w:rPr>
      </w:pPr>
      <w:hyperlink w:anchor="Contents" w:history="1">
        <w:r w:rsidR="009E70F4" w:rsidRPr="00590902">
          <w:rPr>
            <w:rStyle w:val="Hyperlink"/>
            <w:rFonts w:cs="Arial"/>
            <w:i/>
            <w:szCs w:val="24"/>
          </w:rPr>
          <w:t>Back to Table of Contents</w:t>
        </w:r>
      </w:hyperlink>
    </w:p>
    <w:p w14:paraId="2F51A894" w14:textId="77777777" w:rsidR="007B6904" w:rsidRDefault="007B6904" w:rsidP="00E73B9B">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96" w14:textId="77777777" w:rsidTr="0074223E">
        <w:trPr>
          <w:cantSplit/>
          <w:trHeight w:val="285"/>
        </w:trPr>
        <w:tc>
          <w:tcPr>
            <w:tcW w:w="9158" w:type="dxa"/>
            <w:shd w:val="clear" w:color="auto" w:fill="A6A6A6" w:themeFill="background1" w:themeFillShade="A6"/>
          </w:tcPr>
          <w:p w14:paraId="2F51A895" w14:textId="6EA9DAE7" w:rsidR="007B6904" w:rsidRPr="00C76688" w:rsidRDefault="007B6904" w:rsidP="00E73B9B">
            <w:pPr>
              <w:pStyle w:val="Heading1"/>
            </w:pPr>
            <w:bookmarkStart w:id="14" w:name="_Toc389473281"/>
            <w:bookmarkStart w:id="15" w:name="_Toc158726122"/>
            <w:r w:rsidRPr="00C76688">
              <w:t xml:space="preserve">Section </w:t>
            </w:r>
            <w:r w:rsidR="00727E8C">
              <w:t>1</w:t>
            </w:r>
            <w:r w:rsidRPr="00C76688">
              <w:t xml:space="preserve"> – </w:t>
            </w:r>
            <w:bookmarkEnd w:id="14"/>
            <w:r w:rsidR="00742D0B">
              <w:t>Background</w:t>
            </w:r>
            <w:bookmarkEnd w:id="15"/>
          </w:p>
        </w:tc>
      </w:tr>
    </w:tbl>
    <w:p w14:paraId="2F51A89A" w14:textId="77777777" w:rsidR="00201FB6" w:rsidRDefault="00201FB6" w:rsidP="00E73B9B"/>
    <w:p w14:paraId="225144F2" w14:textId="053FC6FC" w:rsidR="001C117E" w:rsidRPr="00EA5DA0" w:rsidRDefault="001C117E" w:rsidP="00E73B9B">
      <w:pPr>
        <w:pStyle w:val="ListParagraph"/>
        <w:numPr>
          <w:ilvl w:val="0"/>
          <w:numId w:val="11"/>
        </w:numPr>
        <w:ind w:left="360"/>
        <w:rPr>
          <w:iCs/>
        </w:rPr>
      </w:pPr>
      <w:r w:rsidRPr="00EA5DA0">
        <w:rPr>
          <w:iCs/>
        </w:rPr>
        <w:t xml:space="preserve">Anaemia is defined as haemoglobin (Hb) less than 130 g/L in men, less than 120 g/L in non-pregnant women and less than 110 g/L in pregnant women1. Patients with suspected iron deficiency should have iron studies performed and the results correlated with red cell indices. </w:t>
      </w:r>
    </w:p>
    <w:p w14:paraId="22CEBAC1" w14:textId="7CC53B68" w:rsidR="001C117E" w:rsidRPr="00EA5DA0" w:rsidRDefault="001C117E" w:rsidP="00E73B9B">
      <w:pPr>
        <w:pStyle w:val="ListParagraph"/>
        <w:numPr>
          <w:ilvl w:val="0"/>
          <w:numId w:val="11"/>
        </w:numPr>
        <w:ind w:left="360"/>
        <w:rPr>
          <w:iCs/>
        </w:rPr>
      </w:pPr>
      <w:r w:rsidRPr="00EA5DA0">
        <w:rPr>
          <w:iCs/>
        </w:rPr>
        <w:t xml:space="preserve">Serum ferritin levels correlate with total body iron stores and is used to diagnose iron deficiency. Levels less than 30 </w:t>
      </w:r>
      <w:r w:rsidRPr="007B4DC5">
        <w:rPr>
          <w:rFonts w:ascii="Symbol" w:eastAsia="Symbol" w:hAnsi="Symbol" w:cs="Symbol"/>
        </w:rPr>
        <w:t></w:t>
      </w:r>
      <w:r w:rsidRPr="00EA5DA0">
        <w:rPr>
          <w:iCs/>
        </w:rPr>
        <w:t>g/L are considered diagnostic of iron deficienc</w:t>
      </w:r>
      <w:r w:rsidR="00727E8C" w:rsidRPr="00EA5DA0">
        <w:rPr>
          <w:iCs/>
        </w:rPr>
        <w:t>y</w:t>
      </w:r>
      <w:r w:rsidRPr="00EA5DA0">
        <w:rPr>
          <w:iCs/>
        </w:rPr>
        <w:t xml:space="preserve">. However, ferritin is also an acute phase reactant and may be elevated in co-existing inflammatory states in the context of iron deficiency. </w:t>
      </w:r>
    </w:p>
    <w:p w14:paraId="6FDF327C" w14:textId="2479B55C" w:rsidR="001C117E" w:rsidRPr="00EA5DA0" w:rsidRDefault="001C117E" w:rsidP="00E73B9B">
      <w:pPr>
        <w:pStyle w:val="ListParagraph"/>
        <w:numPr>
          <w:ilvl w:val="0"/>
          <w:numId w:val="11"/>
        </w:numPr>
        <w:ind w:left="360"/>
        <w:rPr>
          <w:iCs/>
        </w:rPr>
      </w:pPr>
      <w:r w:rsidRPr="00EA5DA0">
        <w:rPr>
          <w:iCs/>
        </w:rPr>
        <w:t xml:space="preserve">Transferrin saturation reflects total iron binding and transportation capacity. Levels less than 16 % can indicate insufficient iron supply to support normal erythropoiesis. </w:t>
      </w:r>
    </w:p>
    <w:p w14:paraId="1CF81344" w14:textId="77777777" w:rsidR="001C117E" w:rsidRDefault="001C117E" w:rsidP="00E73B9B"/>
    <w:p w14:paraId="1851E05D" w14:textId="77777777" w:rsidR="001C117E" w:rsidRDefault="00545420" w:rsidP="00E73B9B">
      <w:pPr>
        <w:jc w:val="right"/>
        <w:rPr>
          <w:rFonts w:cs="Arial"/>
          <w:i/>
          <w:szCs w:val="24"/>
        </w:rPr>
      </w:pPr>
      <w:hyperlink w:anchor="Contents" w:history="1">
        <w:r w:rsidR="001C117E" w:rsidRPr="00590902">
          <w:rPr>
            <w:rStyle w:val="Hyperlink"/>
            <w:rFonts w:cs="Arial"/>
            <w:i/>
            <w:szCs w:val="24"/>
          </w:rPr>
          <w:t>Back to Table of Contents</w:t>
        </w:r>
      </w:hyperlink>
      <w:r w:rsidR="001C117E">
        <w:rPr>
          <w:rFonts w:cs="Arial"/>
          <w:i/>
          <w:szCs w:val="24"/>
        </w:rPr>
        <w:t xml:space="preserve"> </w:t>
      </w:r>
    </w:p>
    <w:p w14:paraId="6F61636E" w14:textId="77777777" w:rsidR="001C117E" w:rsidRDefault="001C117E" w:rsidP="00E73B9B">
      <w:pPr>
        <w:jc w:val="right"/>
        <w:rPr>
          <w:rFonts w:cs="Arial"/>
          <w:i/>
          <w:szCs w:val="24"/>
        </w:rPr>
      </w:pPr>
    </w:p>
    <w:p w14:paraId="06306DFF" w14:textId="77777777" w:rsidR="001C117E" w:rsidRDefault="001C117E" w:rsidP="00E73B9B">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1C117E" w:rsidRPr="00CD1C0E" w14:paraId="7C463022" w14:textId="77777777" w:rsidTr="008F138D">
        <w:trPr>
          <w:cantSplit/>
          <w:trHeight w:val="285"/>
        </w:trPr>
        <w:tc>
          <w:tcPr>
            <w:tcW w:w="9158" w:type="dxa"/>
            <w:shd w:val="clear" w:color="auto" w:fill="A6A6A6" w:themeFill="background1" w:themeFillShade="A6"/>
          </w:tcPr>
          <w:p w14:paraId="0AF88D02" w14:textId="3559F89C" w:rsidR="001C117E" w:rsidRPr="00C76688" w:rsidRDefault="001C117E" w:rsidP="00E73B9B">
            <w:pPr>
              <w:pStyle w:val="Heading1"/>
            </w:pPr>
            <w:bookmarkStart w:id="16" w:name="_Toc158726123"/>
            <w:r w:rsidRPr="00C76688">
              <w:t xml:space="preserve">Section </w:t>
            </w:r>
            <w:r w:rsidR="00727E8C">
              <w:t>2</w:t>
            </w:r>
            <w:r w:rsidRPr="00C76688">
              <w:t xml:space="preserve"> – </w:t>
            </w:r>
            <w:r>
              <w:t>Formulations</w:t>
            </w:r>
            <w:bookmarkEnd w:id="16"/>
          </w:p>
        </w:tc>
      </w:tr>
    </w:tbl>
    <w:p w14:paraId="64D58BCF" w14:textId="77777777" w:rsidR="001C117E" w:rsidRDefault="001C117E" w:rsidP="00E73B9B"/>
    <w:p w14:paraId="1B23A3B5" w14:textId="0AA4DA41" w:rsidR="001C117E" w:rsidRPr="00444B20" w:rsidRDefault="001C117E" w:rsidP="00E73B9B">
      <w:pPr>
        <w:pStyle w:val="ListParagraph"/>
        <w:numPr>
          <w:ilvl w:val="0"/>
          <w:numId w:val="12"/>
        </w:numPr>
        <w:ind w:left="360"/>
      </w:pPr>
      <w:r w:rsidRPr="00444B20">
        <w:t>Iron polymaltose (</w:t>
      </w:r>
      <w:proofErr w:type="spellStart"/>
      <w:r w:rsidRPr="00444B20">
        <w:t>Ferrosig</w:t>
      </w:r>
      <w:proofErr w:type="spellEnd"/>
      <w:r w:rsidRPr="00066F8A">
        <w:rPr>
          <w:rFonts w:ascii="Symbol" w:eastAsia="Symbol" w:hAnsi="Symbol" w:cs="Symbol"/>
          <w:vertAlign w:val="superscript"/>
        </w:rPr>
        <w:t></w:t>
      </w:r>
      <w:r>
        <w:t xml:space="preserve">, </w:t>
      </w:r>
      <w:proofErr w:type="spellStart"/>
      <w:r>
        <w:t>Ferrum</w:t>
      </w:r>
      <w:proofErr w:type="spellEnd"/>
      <w:r>
        <w:t xml:space="preserve"> H</w:t>
      </w:r>
      <w:r w:rsidRPr="00066F8A">
        <w:rPr>
          <w:rFonts w:ascii="Symbol" w:eastAsia="Symbol" w:hAnsi="Symbol" w:cs="Symbol"/>
          <w:vertAlign w:val="superscript"/>
        </w:rPr>
        <w:t></w:t>
      </w:r>
      <w:r w:rsidRPr="00444B20">
        <w:t xml:space="preserve">) and </w:t>
      </w:r>
      <w:r>
        <w:t>f</w:t>
      </w:r>
      <w:r w:rsidRPr="00444B20">
        <w:t xml:space="preserve">erric </w:t>
      </w:r>
      <w:proofErr w:type="spellStart"/>
      <w:r w:rsidRPr="00444B20">
        <w:t>carboxymaltose</w:t>
      </w:r>
      <w:proofErr w:type="spellEnd"/>
      <w:r w:rsidRPr="00444B20">
        <w:t xml:space="preserve"> (</w:t>
      </w:r>
      <w:proofErr w:type="spellStart"/>
      <w:r w:rsidRPr="00444B20">
        <w:t>Ferinject</w:t>
      </w:r>
      <w:proofErr w:type="spellEnd"/>
      <w:r w:rsidRPr="00066F8A">
        <w:rPr>
          <w:rFonts w:ascii="Symbol" w:eastAsia="Symbol" w:hAnsi="Symbol" w:cs="Symbol"/>
          <w:vertAlign w:val="superscript"/>
        </w:rPr>
        <w:t></w:t>
      </w:r>
      <w:r w:rsidRPr="00444B20">
        <w:t xml:space="preserve">) are the </w:t>
      </w:r>
      <w:r>
        <w:t xml:space="preserve">intravenous (IV) </w:t>
      </w:r>
      <w:r w:rsidRPr="00444B20">
        <w:t xml:space="preserve">iron formulations available </w:t>
      </w:r>
      <w:r>
        <w:t>at NCH.</w:t>
      </w:r>
    </w:p>
    <w:p w14:paraId="316C865B" w14:textId="77777777" w:rsidR="00A930A9" w:rsidRDefault="001C117E" w:rsidP="00E73B9B">
      <w:pPr>
        <w:pStyle w:val="ListParagraph"/>
        <w:numPr>
          <w:ilvl w:val="0"/>
          <w:numId w:val="12"/>
        </w:numPr>
        <w:ind w:left="360"/>
      </w:pPr>
      <w:r w:rsidRPr="00444B20">
        <w:t xml:space="preserve">Iron polymaltose is the </w:t>
      </w:r>
      <w:r>
        <w:t>treatment of choice at NCH.</w:t>
      </w:r>
    </w:p>
    <w:p w14:paraId="414C15E2" w14:textId="497C09AD" w:rsidR="001C117E" w:rsidRDefault="001C117E" w:rsidP="00E73B9B">
      <w:pPr>
        <w:pStyle w:val="ListParagraph"/>
        <w:numPr>
          <w:ilvl w:val="0"/>
          <w:numId w:val="12"/>
        </w:numPr>
        <w:ind w:left="360"/>
      </w:pPr>
      <w:r w:rsidRPr="00444B20">
        <w:t xml:space="preserve">Ferric </w:t>
      </w:r>
      <w:proofErr w:type="spellStart"/>
      <w:r w:rsidRPr="00444B20">
        <w:t>carboxymaltose</w:t>
      </w:r>
      <w:proofErr w:type="spellEnd"/>
      <w:r w:rsidRPr="00444B20">
        <w:t xml:space="preserve"> is restricted at </w:t>
      </w:r>
      <w:r>
        <w:t xml:space="preserve">NCH and </w:t>
      </w:r>
      <w:r w:rsidRPr="0054504C">
        <w:t xml:space="preserve">may </w:t>
      </w:r>
      <w:r>
        <w:t xml:space="preserve">only </w:t>
      </w:r>
      <w:r w:rsidRPr="0054504C">
        <w:t xml:space="preserve">be prescribed in patients who meet the </w:t>
      </w:r>
      <w:r>
        <w:t xml:space="preserve">criteria </w:t>
      </w:r>
      <w:r w:rsidRPr="0054504C">
        <w:t xml:space="preserve">listed </w:t>
      </w:r>
      <w:r>
        <w:t>o</w:t>
      </w:r>
      <w:r w:rsidRPr="0054504C">
        <w:t xml:space="preserve">n the </w:t>
      </w:r>
      <w:r>
        <w:t xml:space="preserve">NCH </w:t>
      </w:r>
      <w:r w:rsidRPr="0054504C">
        <w:t xml:space="preserve">formulary. Prescribing restrictions apply due to the higher cost compared to </w:t>
      </w:r>
      <w:r>
        <w:t>i</w:t>
      </w:r>
      <w:r w:rsidRPr="0054504C">
        <w:t>ron polymaltose</w:t>
      </w:r>
      <w:r>
        <w:t xml:space="preserve">. </w:t>
      </w:r>
    </w:p>
    <w:p w14:paraId="3740CC4F" w14:textId="77777777" w:rsidR="001C117E" w:rsidRDefault="001C117E" w:rsidP="00E73B9B"/>
    <w:p w14:paraId="127E74C2" w14:textId="77777777" w:rsidR="001C117E" w:rsidRDefault="00545420" w:rsidP="00E73B9B">
      <w:pPr>
        <w:jc w:val="right"/>
        <w:rPr>
          <w:rFonts w:cs="Arial"/>
          <w:i/>
          <w:szCs w:val="24"/>
        </w:rPr>
      </w:pPr>
      <w:hyperlink w:anchor="Contents" w:history="1">
        <w:r w:rsidR="001C117E" w:rsidRPr="00590902">
          <w:rPr>
            <w:rStyle w:val="Hyperlink"/>
            <w:rFonts w:cs="Arial"/>
            <w:i/>
            <w:szCs w:val="24"/>
          </w:rPr>
          <w:t>Back to Table of Contents</w:t>
        </w:r>
      </w:hyperlink>
      <w:r w:rsidR="001C117E">
        <w:rPr>
          <w:rFonts w:cs="Arial"/>
          <w:i/>
          <w:szCs w:val="24"/>
        </w:rPr>
        <w:t xml:space="preserve"> </w:t>
      </w:r>
    </w:p>
    <w:p w14:paraId="43B4DB9B" w14:textId="77777777" w:rsidR="001C117E" w:rsidRDefault="001C117E" w:rsidP="00E73B9B">
      <w:pPr>
        <w:jc w:val="right"/>
        <w:rPr>
          <w:rFonts w:cs="Arial"/>
          <w:i/>
          <w:szCs w:val="24"/>
        </w:rPr>
      </w:pPr>
    </w:p>
    <w:p w14:paraId="0C59A792" w14:textId="77777777" w:rsidR="001C117E" w:rsidRDefault="001C117E" w:rsidP="00E73B9B">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1C117E" w:rsidRPr="00CD1C0E" w14:paraId="173D1B43" w14:textId="77777777" w:rsidTr="008F138D">
        <w:trPr>
          <w:cantSplit/>
          <w:trHeight w:val="285"/>
        </w:trPr>
        <w:tc>
          <w:tcPr>
            <w:tcW w:w="9158" w:type="dxa"/>
            <w:shd w:val="clear" w:color="auto" w:fill="A6A6A6" w:themeFill="background1" w:themeFillShade="A6"/>
          </w:tcPr>
          <w:p w14:paraId="667E52D8" w14:textId="2C51436A" w:rsidR="001C117E" w:rsidRPr="00C76688" w:rsidRDefault="001C117E" w:rsidP="00E73B9B">
            <w:pPr>
              <w:pStyle w:val="Heading1"/>
            </w:pPr>
            <w:bookmarkStart w:id="17" w:name="_Toc158726124"/>
            <w:r w:rsidRPr="00C76688">
              <w:t xml:space="preserve">Section </w:t>
            </w:r>
            <w:r w:rsidR="00727E8C">
              <w:t>3</w:t>
            </w:r>
            <w:r w:rsidRPr="00C76688">
              <w:t xml:space="preserve"> – </w:t>
            </w:r>
            <w:r>
              <w:t>Clinical Indications</w:t>
            </w:r>
            <w:bookmarkEnd w:id="17"/>
          </w:p>
        </w:tc>
      </w:tr>
    </w:tbl>
    <w:p w14:paraId="44145D89" w14:textId="77777777" w:rsidR="00C259B2" w:rsidRDefault="00C259B2" w:rsidP="00E73B9B">
      <w:pPr>
        <w:rPr>
          <w:b/>
          <w:bCs/>
        </w:rPr>
      </w:pPr>
    </w:p>
    <w:p w14:paraId="02E0762A" w14:textId="3AA345FD" w:rsidR="001C117E" w:rsidRDefault="001C117E" w:rsidP="00E73B9B">
      <w:r>
        <w:t xml:space="preserve">IV iron is indicated in patients with </w:t>
      </w:r>
      <w:r w:rsidR="00EA5DA0" w:rsidRPr="00D07D65">
        <w:rPr>
          <w:szCs w:val="24"/>
        </w:rPr>
        <w:t>Iron deficiency anaemia (IDA)</w:t>
      </w:r>
      <w:r>
        <w:t xml:space="preserve"> and one or more of the following: </w:t>
      </w:r>
    </w:p>
    <w:p w14:paraId="7821CE58" w14:textId="77777777" w:rsidR="001C117E" w:rsidRDefault="001C117E" w:rsidP="00E73B9B">
      <w:pPr>
        <w:pStyle w:val="ListBullet"/>
        <w:tabs>
          <w:tab w:val="clear" w:pos="1080"/>
        </w:tabs>
        <w:ind w:left="426" w:hanging="426"/>
      </w:pPr>
      <w:r>
        <w:t>Demonstrated intolerance, non-compliance, or lack of efficacy with oral iron</w:t>
      </w:r>
    </w:p>
    <w:p w14:paraId="43F602CD" w14:textId="77777777" w:rsidR="001C117E" w:rsidRDefault="001C117E" w:rsidP="00E73B9B">
      <w:pPr>
        <w:pStyle w:val="ListBullet"/>
        <w:tabs>
          <w:tab w:val="clear" w:pos="1080"/>
        </w:tabs>
        <w:ind w:left="426" w:hanging="426"/>
      </w:pPr>
      <w:r>
        <w:t>Pregnancy (beyond the first trimester) and post-partum, for the above reasons or to avoid imminent blood transfusion (E.g. severe anaemia)</w:t>
      </w:r>
    </w:p>
    <w:p w14:paraId="4FD6548E" w14:textId="77777777" w:rsidR="001C117E" w:rsidRDefault="001C117E" w:rsidP="00E73B9B">
      <w:pPr>
        <w:pStyle w:val="ListBullet"/>
        <w:tabs>
          <w:tab w:val="clear" w:pos="1080"/>
        </w:tabs>
        <w:ind w:left="426" w:hanging="426"/>
      </w:pPr>
      <w:r>
        <w:t xml:space="preserve">Intestinal malabsorption (E.g. inflammatory bowel disease) </w:t>
      </w:r>
    </w:p>
    <w:p w14:paraId="6C769C82" w14:textId="77777777" w:rsidR="001C117E" w:rsidRDefault="001C117E" w:rsidP="00E73B9B">
      <w:pPr>
        <w:pStyle w:val="ListBullet"/>
        <w:tabs>
          <w:tab w:val="clear" w:pos="1080"/>
        </w:tabs>
        <w:ind w:left="426" w:hanging="426"/>
      </w:pPr>
      <w:r>
        <w:t xml:space="preserve">Chronic renal impairment receiving erythropoiesis-stimulating agents </w:t>
      </w:r>
    </w:p>
    <w:p w14:paraId="1D5F07A9" w14:textId="77777777" w:rsidR="001C117E" w:rsidRDefault="001C117E" w:rsidP="00E73B9B">
      <w:pPr>
        <w:pStyle w:val="ListBullet"/>
        <w:tabs>
          <w:tab w:val="clear" w:pos="1080"/>
        </w:tabs>
        <w:ind w:left="426" w:hanging="426"/>
      </w:pPr>
      <w:r w:rsidRPr="00C62193">
        <w:t>P</w:t>
      </w:r>
      <w:r>
        <w:t>eri</w:t>
      </w:r>
      <w:r w:rsidRPr="00C62193">
        <w:t xml:space="preserve">-operative where oral iron </w:t>
      </w:r>
      <w:r>
        <w:t>is</w:t>
      </w:r>
      <w:r w:rsidRPr="00C62193">
        <w:t xml:space="preserve"> not expected to provide adequate repletion </w:t>
      </w:r>
    </w:p>
    <w:p w14:paraId="6407DF32" w14:textId="77777777" w:rsidR="00727E8C" w:rsidRDefault="00727E8C" w:rsidP="00E73B9B"/>
    <w:p w14:paraId="61B5AF8A" w14:textId="0A8323FA" w:rsidR="001C117E" w:rsidRDefault="001C117E" w:rsidP="00E73B9B">
      <w:pPr>
        <w:rPr>
          <w:b/>
        </w:rPr>
      </w:pPr>
      <w:r>
        <w:t xml:space="preserve">IV iron should also be considered in patients with heart failure with reduced ejection fraction who are iron deficient, independent of the presence or absence of anaemia. </w:t>
      </w:r>
    </w:p>
    <w:p w14:paraId="497802C0" w14:textId="77777777" w:rsidR="001C117E" w:rsidRDefault="001C117E" w:rsidP="00E73B9B">
      <w:pPr>
        <w:rPr>
          <w:b/>
        </w:rPr>
      </w:pPr>
    </w:p>
    <w:p w14:paraId="72253371" w14:textId="558315D3" w:rsidR="0005751B" w:rsidRDefault="00545420" w:rsidP="00E73B9B">
      <w:pPr>
        <w:jc w:val="right"/>
        <w:rPr>
          <w:rFonts w:cs="Arial"/>
          <w:i/>
          <w:szCs w:val="24"/>
        </w:rPr>
      </w:pPr>
      <w:hyperlink w:anchor="Contents" w:history="1">
        <w:r w:rsidR="001C117E" w:rsidRPr="00590902">
          <w:rPr>
            <w:rStyle w:val="Hyperlink"/>
            <w:rFonts w:cs="Arial"/>
            <w:i/>
            <w:szCs w:val="24"/>
          </w:rPr>
          <w:t>Back to Table of Contents</w:t>
        </w:r>
      </w:hyperlink>
      <w:r w:rsidR="001C117E">
        <w:rPr>
          <w:rFonts w:cs="Arial"/>
          <w:i/>
          <w:szCs w:val="24"/>
        </w:rPr>
        <w:t xml:space="preserve"> </w:t>
      </w:r>
    </w:p>
    <w:p w14:paraId="2A24C134" w14:textId="77777777" w:rsidR="00E73B9B" w:rsidRDefault="00E73B9B" w:rsidP="00E73B9B">
      <w:pPr>
        <w:jc w:val="right"/>
        <w:rPr>
          <w:rFonts w:cs="Arial"/>
          <w:i/>
          <w:szCs w:val="24"/>
        </w:rPr>
      </w:pPr>
    </w:p>
    <w:p w14:paraId="5CE98D78" w14:textId="77777777" w:rsidR="001C117E" w:rsidRDefault="001C117E" w:rsidP="00E73B9B">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1C117E" w:rsidRPr="00CD1C0E" w14:paraId="1E3EF4CA" w14:textId="77777777" w:rsidTr="6410ECE0">
        <w:trPr>
          <w:cantSplit/>
          <w:trHeight w:val="285"/>
        </w:trPr>
        <w:tc>
          <w:tcPr>
            <w:tcW w:w="9158" w:type="dxa"/>
            <w:shd w:val="clear" w:color="auto" w:fill="A6A6A6" w:themeFill="background1" w:themeFillShade="A6"/>
          </w:tcPr>
          <w:p w14:paraId="06E51ABA" w14:textId="7DDCC457" w:rsidR="001C117E" w:rsidRPr="00C76688" w:rsidRDefault="001C117E" w:rsidP="00E73B9B">
            <w:pPr>
              <w:pStyle w:val="Heading1"/>
            </w:pPr>
            <w:bookmarkStart w:id="18" w:name="_Toc158726125"/>
            <w:r>
              <w:t xml:space="preserve">Section </w:t>
            </w:r>
            <w:r w:rsidR="00727E8C">
              <w:t>4</w:t>
            </w:r>
            <w:r>
              <w:t xml:space="preserve"> – Contraindications</w:t>
            </w:r>
            <w:bookmarkEnd w:id="18"/>
          </w:p>
        </w:tc>
      </w:tr>
    </w:tbl>
    <w:p w14:paraId="30A4A3E4" w14:textId="77777777" w:rsidR="00C259B2" w:rsidRDefault="00C259B2" w:rsidP="00E73B9B">
      <w:pPr>
        <w:rPr>
          <w:b/>
          <w:bCs/>
        </w:rPr>
      </w:pPr>
    </w:p>
    <w:p w14:paraId="5F6284AA" w14:textId="21D0D4B1" w:rsidR="001C117E" w:rsidRDefault="001C117E" w:rsidP="00E73B9B">
      <w:r>
        <w:t>I</w:t>
      </w:r>
      <w:r w:rsidR="00A930A9">
        <w:t>ntravenous (IV)</w:t>
      </w:r>
      <w:r>
        <w:t xml:space="preserve"> iron should not be given to patients with any of the fo</w:t>
      </w:r>
      <w:r w:rsidRPr="00A930A9">
        <w:t>llowing condition</w:t>
      </w:r>
      <w:r w:rsidR="00727E8C">
        <w:t>s</w:t>
      </w:r>
      <w:r w:rsidRPr="00A930A9">
        <w:t>:</w:t>
      </w:r>
      <w:r>
        <w:t xml:space="preserve"> </w:t>
      </w:r>
    </w:p>
    <w:p w14:paraId="61885D40" w14:textId="77777777" w:rsidR="001C117E" w:rsidRPr="00E7477D" w:rsidRDefault="001C117E" w:rsidP="00E73B9B">
      <w:pPr>
        <w:pStyle w:val="ListBullet"/>
        <w:tabs>
          <w:tab w:val="clear" w:pos="1080"/>
        </w:tabs>
        <w:ind w:left="426" w:hanging="426"/>
      </w:pPr>
      <w:r>
        <w:t>Known allergy or hypersensitivity to iron polymaltose or f</w:t>
      </w:r>
      <w:r w:rsidRPr="00E7477D">
        <w:t xml:space="preserve">erric </w:t>
      </w:r>
      <w:proofErr w:type="spellStart"/>
      <w:r w:rsidRPr="00E7477D">
        <w:t>carboxymaltose</w:t>
      </w:r>
      <w:proofErr w:type="spellEnd"/>
    </w:p>
    <w:p w14:paraId="476E44E1" w14:textId="77777777" w:rsidR="001C117E" w:rsidRPr="00E7477D" w:rsidRDefault="001C117E" w:rsidP="00E73B9B">
      <w:pPr>
        <w:pStyle w:val="ListBullet"/>
        <w:tabs>
          <w:tab w:val="clear" w:pos="1080"/>
        </w:tabs>
        <w:ind w:left="426" w:hanging="426"/>
      </w:pPr>
      <w:r w:rsidRPr="00E7477D">
        <w:t xml:space="preserve">Anaemia </w:t>
      </w:r>
      <w:r>
        <w:t xml:space="preserve">due to causes other than iron deficiency </w:t>
      </w:r>
    </w:p>
    <w:p w14:paraId="6C554367" w14:textId="77777777" w:rsidR="001C117E" w:rsidRPr="00E7477D" w:rsidRDefault="001C117E" w:rsidP="00E73B9B">
      <w:pPr>
        <w:pStyle w:val="ListBullet"/>
        <w:tabs>
          <w:tab w:val="clear" w:pos="1080"/>
        </w:tabs>
        <w:ind w:left="426" w:hanging="426"/>
      </w:pPr>
      <w:r w:rsidRPr="00E7477D">
        <w:t>Iron overload</w:t>
      </w:r>
      <w:r>
        <w:t xml:space="preserve"> – E.</w:t>
      </w:r>
      <w:r w:rsidRPr="00E7477D">
        <w:t>g. haemochromatosis</w:t>
      </w:r>
      <w:r>
        <w:t xml:space="preserve">, </w:t>
      </w:r>
      <w:proofErr w:type="spellStart"/>
      <w:r>
        <w:t>haemosiderosis</w:t>
      </w:r>
      <w:proofErr w:type="spellEnd"/>
    </w:p>
    <w:p w14:paraId="1E07B431" w14:textId="5A5A72E1" w:rsidR="001C117E" w:rsidRPr="00E7477D" w:rsidRDefault="001C117E" w:rsidP="00E73B9B">
      <w:pPr>
        <w:pStyle w:val="ListBullet"/>
        <w:tabs>
          <w:tab w:val="clear" w:pos="1080"/>
        </w:tabs>
        <w:ind w:left="426" w:hanging="426"/>
      </w:pPr>
      <w:r w:rsidRPr="00E7477D">
        <w:t>Acute systemic infection (</w:t>
      </w:r>
      <w:r>
        <w:t>E</w:t>
      </w:r>
      <w:r w:rsidRPr="00E7477D">
        <w:t xml:space="preserve">.g. sepsis) – </w:t>
      </w:r>
      <w:r>
        <w:t>Though clinical data is limited, consider delaying due to potential risk of promoting bacterial growth</w:t>
      </w:r>
    </w:p>
    <w:p w14:paraId="28987353" w14:textId="5AF61979" w:rsidR="001C117E" w:rsidRPr="00E7477D" w:rsidRDefault="001C117E" w:rsidP="00E73B9B">
      <w:pPr>
        <w:pStyle w:val="ListBullet"/>
        <w:tabs>
          <w:tab w:val="clear" w:pos="1080"/>
        </w:tabs>
        <w:ind w:left="426" w:hanging="426"/>
      </w:pPr>
      <w:r>
        <w:t>Infectious hepatitis – Avoid due to tendency of elemental iron to accumulate in inflamed tissue</w:t>
      </w:r>
    </w:p>
    <w:p w14:paraId="227648AB" w14:textId="196532CC" w:rsidR="001C117E" w:rsidRDefault="001C117E" w:rsidP="00E73B9B">
      <w:pPr>
        <w:pStyle w:val="ListBullet"/>
        <w:tabs>
          <w:tab w:val="clear" w:pos="1080"/>
        </w:tabs>
        <w:ind w:left="426" w:hanging="426"/>
      </w:pPr>
      <w:r w:rsidRPr="00E7477D">
        <w:t>Decompensated hepatic cirrhosis</w:t>
      </w:r>
      <w:r w:rsidR="00727E8C">
        <w:t>.</w:t>
      </w:r>
      <w:r w:rsidRPr="00E7477D">
        <w:t xml:space="preserve"> </w:t>
      </w:r>
    </w:p>
    <w:p w14:paraId="7B89BDA0" w14:textId="07F20D17" w:rsidR="00727E8C" w:rsidRDefault="00545420" w:rsidP="00E73B9B">
      <w:pPr>
        <w:jc w:val="right"/>
        <w:rPr>
          <w:rFonts w:cs="Arial"/>
          <w:i/>
          <w:szCs w:val="24"/>
        </w:rPr>
      </w:pPr>
      <w:hyperlink w:anchor="Contents" w:history="1">
        <w:r w:rsidR="001C117E" w:rsidRPr="00590902">
          <w:rPr>
            <w:rStyle w:val="Hyperlink"/>
            <w:rFonts w:cs="Arial"/>
            <w:i/>
            <w:szCs w:val="24"/>
          </w:rPr>
          <w:t>Back to Table of Contents</w:t>
        </w:r>
      </w:hyperlink>
    </w:p>
    <w:p w14:paraId="182DC8E3" w14:textId="77777777" w:rsidR="001C117E" w:rsidRDefault="001C117E" w:rsidP="00E73B9B">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1C117E" w:rsidRPr="00CD1C0E" w14:paraId="6BD08801" w14:textId="77777777" w:rsidTr="008F138D">
        <w:trPr>
          <w:cantSplit/>
          <w:trHeight w:val="285"/>
        </w:trPr>
        <w:tc>
          <w:tcPr>
            <w:tcW w:w="9158" w:type="dxa"/>
            <w:shd w:val="clear" w:color="auto" w:fill="A6A6A6" w:themeFill="background1" w:themeFillShade="A6"/>
          </w:tcPr>
          <w:p w14:paraId="2F8065DC" w14:textId="67F93894" w:rsidR="001C117E" w:rsidRPr="00C76688" w:rsidRDefault="001C117E" w:rsidP="00E73B9B">
            <w:pPr>
              <w:pStyle w:val="Heading1"/>
            </w:pPr>
            <w:bookmarkStart w:id="19" w:name="_Toc158726126"/>
            <w:r w:rsidRPr="00C76688">
              <w:t xml:space="preserve">Section </w:t>
            </w:r>
            <w:r>
              <w:t>6</w:t>
            </w:r>
            <w:r w:rsidRPr="00C76688">
              <w:t xml:space="preserve"> – </w:t>
            </w:r>
            <w:r>
              <w:t>Drug Interactions</w:t>
            </w:r>
            <w:bookmarkEnd w:id="19"/>
          </w:p>
        </w:tc>
      </w:tr>
    </w:tbl>
    <w:p w14:paraId="446DD6FA" w14:textId="77777777" w:rsidR="001C117E" w:rsidRPr="00E7477D" w:rsidRDefault="001C117E" w:rsidP="00E73B9B">
      <w:pPr>
        <w:autoSpaceDE w:val="0"/>
        <w:autoSpaceDN w:val="0"/>
        <w:adjustRightInd w:val="0"/>
      </w:pPr>
    </w:p>
    <w:p w14:paraId="75B4CB02" w14:textId="145B2011" w:rsidR="001C117E" w:rsidRDefault="001C117E" w:rsidP="00E73B9B">
      <w:pPr>
        <w:pStyle w:val="ListParagraph"/>
        <w:numPr>
          <w:ilvl w:val="0"/>
          <w:numId w:val="13"/>
        </w:numPr>
      </w:pPr>
      <w:r w:rsidRPr="002C0788">
        <w:t xml:space="preserve">Oral iron therapy </w:t>
      </w:r>
      <w:r w:rsidRPr="001C117E">
        <w:t xml:space="preserve">should be withheld for at </w:t>
      </w:r>
      <w:r w:rsidRPr="00EA5DA0">
        <w:rPr>
          <w:b/>
          <w:bCs/>
        </w:rPr>
        <w:t xml:space="preserve">least five days </w:t>
      </w:r>
      <w:r w:rsidRPr="001C117E">
        <w:t xml:space="preserve">after ferric </w:t>
      </w:r>
      <w:proofErr w:type="spellStart"/>
      <w:r w:rsidRPr="001C117E">
        <w:t>carboxymaltose</w:t>
      </w:r>
      <w:proofErr w:type="spellEnd"/>
      <w:r w:rsidRPr="001C117E">
        <w:t xml:space="preserve"> administration and at </w:t>
      </w:r>
      <w:r w:rsidRPr="00EA5DA0">
        <w:rPr>
          <w:b/>
          <w:bCs/>
        </w:rPr>
        <w:t>least one week</w:t>
      </w:r>
      <w:r w:rsidRPr="00A930A9">
        <w:t xml:space="preserve"> after iron polymaltose administration as the oral absorption of iron is reduced by parenteral iron. Multivitamin</w:t>
      </w:r>
      <w:r>
        <w:t xml:space="preserve"> preparations containing iron may be continued as the absorption of the other minerals and vitamins are not affected. </w:t>
      </w:r>
    </w:p>
    <w:p w14:paraId="78725BC2" w14:textId="77777777" w:rsidR="00EA5DA0" w:rsidRDefault="00EA5DA0" w:rsidP="00E73B9B">
      <w:pPr>
        <w:pStyle w:val="ListParagraph"/>
        <w:ind w:left="360"/>
      </w:pPr>
    </w:p>
    <w:bookmarkStart w:id="20" w:name="_Toc83908330"/>
    <w:bookmarkStart w:id="21" w:name="_Toc83908620"/>
    <w:bookmarkStart w:id="22" w:name="_Toc114053729"/>
    <w:p w14:paraId="6DE878F7" w14:textId="7AA69EA2" w:rsidR="001C117E" w:rsidRPr="001C117E" w:rsidRDefault="001C117E" w:rsidP="00E73B9B">
      <w:pPr>
        <w:jc w:val="right"/>
        <w:rPr>
          <w:rFonts w:cs="Arial"/>
          <w:i/>
          <w:szCs w:val="24"/>
        </w:rPr>
      </w:pPr>
      <w:r>
        <w:fldChar w:fldCharType="begin"/>
      </w:r>
      <w:r>
        <w:instrText>HYPERLINK \l "Contents"</w:instrText>
      </w:r>
      <w:r>
        <w:fldChar w:fldCharType="separate"/>
      </w:r>
      <w:r w:rsidRPr="00590902">
        <w:rPr>
          <w:rStyle w:val="Hyperlink"/>
          <w:rFonts w:cs="Arial"/>
          <w:i/>
          <w:szCs w:val="24"/>
        </w:rPr>
        <w:t>Back to Table of Contents</w:t>
      </w:r>
      <w:r>
        <w:rPr>
          <w:rStyle w:val="Hyperlink"/>
          <w:rFonts w:cs="Arial"/>
          <w:i/>
          <w:szCs w:val="24"/>
        </w:rPr>
        <w:fldChar w:fldCharType="end"/>
      </w:r>
      <w:r>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1C117E" w:rsidRPr="00CD1C0E" w14:paraId="385B18BC" w14:textId="77777777" w:rsidTr="008F138D">
        <w:trPr>
          <w:cantSplit/>
          <w:trHeight w:val="285"/>
        </w:trPr>
        <w:tc>
          <w:tcPr>
            <w:tcW w:w="9158" w:type="dxa"/>
            <w:shd w:val="clear" w:color="auto" w:fill="A6A6A6" w:themeFill="background1" w:themeFillShade="A6"/>
          </w:tcPr>
          <w:p w14:paraId="2990F030" w14:textId="06AB5D0B" w:rsidR="001C117E" w:rsidRPr="00C76688" w:rsidRDefault="001C117E" w:rsidP="00E73B9B">
            <w:pPr>
              <w:pStyle w:val="Heading1"/>
            </w:pPr>
            <w:bookmarkStart w:id="23" w:name="_Toc158726127"/>
            <w:r w:rsidRPr="00C76688">
              <w:t xml:space="preserve">Section </w:t>
            </w:r>
            <w:r>
              <w:t>7</w:t>
            </w:r>
            <w:r w:rsidRPr="00C76688">
              <w:t xml:space="preserve"> – </w:t>
            </w:r>
            <w:r>
              <w:t>Premedication</w:t>
            </w:r>
            <w:bookmarkEnd w:id="23"/>
          </w:p>
        </w:tc>
      </w:tr>
    </w:tbl>
    <w:p w14:paraId="5A9EAC28" w14:textId="77777777" w:rsidR="001C117E" w:rsidRDefault="001C117E" w:rsidP="00E73B9B">
      <w:pPr>
        <w:pStyle w:val="Heading4"/>
      </w:pPr>
    </w:p>
    <w:bookmarkEnd w:id="20"/>
    <w:bookmarkEnd w:id="21"/>
    <w:bookmarkEnd w:id="22"/>
    <w:p w14:paraId="3390BD40" w14:textId="74B82E85" w:rsidR="001C117E" w:rsidRDefault="001C117E" w:rsidP="00E73B9B">
      <w:pPr>
        <w:pStyle w:val="ListParagraph"/>
        <w:numPr>
          <w:ilvl w:val="0"/>
          <w:numId w:val="13"/>
        </w:numPr>
      </w:pPr>
      <w:r w:rsidRPr="00A538C0">
        <w:t xml:space="preserve">Premedication is not routinely required and should be reserved for patients </w:t>
      </w:r>
      <w:r>
        <w:t>with a history of adverse reaction to iron infusion</w:t>
      </w:r>
      <w:r w:rsidRPr="00A538C0">
        <w:t xml:space="preserve">. </w:t>
      </w:r>
      <w:r>
        <w:t>A suggested regimen is</w:t>
      </w:r>
      <w:r w:rsidRPr="00A538C0">
        <w:t xml:space="preserve"> IV hydrocortisone 100 mg and an antihistamine (</w:t>
      </w:r>
      <w:r>
        <w:t>PO</w:t>
      </w:r>
      <w:r w:rsidRPr="00A538C0">
        <w:t xml:space="preserve"> loratadine 10 mg or </w:t>
      </w:r>
      <w:r w:rsidRPr="00D750C5">
        <w:t>IV/IM</w:t>
      </w:r>
      <w:r w:rsidRPr="00A538C0">
        <w:t xml:space="preserve"> promethazine </w:t>
      </w:r>
      <w:r>
        <w:t>12.5</w:t>
      </w:r>
      <w:r w:rsidRPr="00A538C0">
        <w:t xml:space="preserve"> mg)</w:t>
      </w:r>
      <w:r>
        <w:t xml:space="preserve">, </w:t>
      </w:r>
      <w:r w:rsidRPr="00A538C0">
        <w:t xml:space="preserve">given at least 30 minutes prior to commencing IV iron administration. </w:t>
      </w:r>
    </w:p>
    <w:p w14:paraId="34EA04D6" w14:textId="77777777" w:rsidR="00EA5DA0" w:rsidRDefault="00EA5DA0" w:rsidP="00E73B9B">
      <w:pPr>
        <w:pStyle w:val="ListParagraph"/>
        <w:ind w:left="360"/>
      </w:pPr>
    </w:p>
    <w:p w14:paraId="5E1605A1" w14:textId="6BECD8E9" w:rsidR="00930167" w:rsidRPr="00EE24BC" w:rsidRDefault="00545420" w:rsidP="00E73B9B">
      <w:pPr>
        <w:jc w:val="right"/>
        <w:rPr>
          <w:rFonts w:cs="Arial"/>
          <w:i/>
          <w:szCs w:val="24"/>
        </w:rPr>
      </w:pPr>
      <w:hyperlink w:anchor="Contents" w:history="1">
        <w:r w:rsidR="001C117E" w:rsidRPr="00590902">
          <w:rPr>
            <w:rStyle w:val="Hyperlink"/>
            <w:rFonts w:cs="Arial"/>
            <w:i/>
            <w:szCs w:val="24"/>
          </w:rPr>
          <w:t>Back to Table of Contents</w:t>
        </w:r>
      </w:hyperlink>
      <w:r w:rsidR="001C117E">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1C117E" w:rsidRPr="00CD1C0E" w14:paraId="02A7F208" w14:textId="77777777" w:rsidTr="008F138D">
        <w:trPr>
          <w:cantSplit/>
          <w:trHeight w:val="285"/>
        </w:trPr>
        <w:tc>
          <w:tcPr>
            <w:tcW w:w="9158" w:type="dxa"/>
            <w:shd w:val="clear" w:color="auto" w:fill="A6A6A6" w:themeFill="background1" w:themeFillShade="A6"/>
          </w:tcPr>
          <w:p w14:paraId="538DD16C" w14:textId="34B93409" w:rsidR="001C117E" w:rsidRPr="00C76688" w:rsidRDefault="001C117E" w:rsidP="00E73B9B">
            <w:pPr>
              <w:pStyle w:val="Heading1"/>
            </w:pPr>
            <w:bookmarkStart w:id="24" w:name="_Toc158726128"/>
            <w:r w:rsidRPr="00C76688">
              <w:t xml:space="preserve">Section </w:t>
            </w:r>
            <w:r>
              <w:t>8</w:t>
            </w:r>
            <w:r w:rsidRPr="00C76688">
              <w:t xml:space="preserve"> – </w:t>
            </w:r>
            <w:r>
              <w:t>Patient Education</w:t>
            </w:r>
            <w:bookmarkEnd w:id="24"/>
          </w:p>
        </w:tc>
      </w:tr>
    </w:tbl>
    <w:p w14:paraId="2363315D" w14:textId="77777777" w:rsidR="00C259B2" w:rsidRDefault="00C259B2" w:rsidP="00E73B9B">
      <w:pPr>
        <w:rPr>
          <w:b/>
          <w:bCs/>
        </w:rPr>
      </w:pPr>
    </w:p>
    <w:p w14:paraId="08CA428B" w14:textId="400E08CC" w:rsidR="001C117E" w:rsidRDefault="001C117E" w:rsidP="00E73B9B">
      <w:pPr>
        <w:pStyle w:val="ListParagraph"/>
        <w:numPr>
          <w:ilvl w:val="0"/>
          <w:numId w:val="13"/>
        </w:numPr>
      </w:pPr>
      <w:r w:rsidRPr="006B7CA2">
        <w:t xml:space="preserve">Obtain patient consent to administer </w:t>
      </w:r>
      <w:r>
        <w:t>IV</w:t>
      </w:r>
      <w:r w:rsidRPr="006B7CA2">
        <w:t xml:space="preserve"> iron </w:t>
      </w:r>
      <w:r>
        <w:t>and e</w:t>
      </w:r>
      <w:r w:rsidRPr="006B7CA2">
        <w:t>nsure patient is well informed of the risks and benefits</w:t>
      </w:r>
      <w:r>
        <w:t xml:space="preserve">, including the possibility of life-threatening allergic reactions, and permanent skin discolouration. </w:t>
      </w:r>
    </w:p>
    <w:p w14:paraId="72014104" w14:textId="70A3C15C" w:rsidR="00EA5DA0" w:rsidRDefault="001C117E" w:rsidP="00E73B9B">
      <w:pPr>
        <w:pStyle w:val="ListParagraph"/>
        <w:numPr>
          <w:ilvl w:val="0"/>
          <w:numId w:val="13"/>
        </w:numPr>
      </w:pPr>
      <w:r>
        <w:t>A patient information sheet addressing some common questions about IV iron is available</w:t>
      </w:r>
      <w:r w:rsidR="00811631">
        <w:t xml:space="preserve"> from SA Health: </w:t>
      </w:r>
      <w:hyperlink r:id="rId11" w:history="1">
        <w:r w:rsidR="00811631">
          <w:rPr>
            <w:rStyle w:val="Hyperlink"/>
          </w:rPr>
          <w:t>SA Health Fact Sheet Template - Red - Double Page</w:t>
        </w:r>
      </w:hyperlink>
      <w:r w:rsidR="00811631">
        <w:t>.</w:t>
      </w:r>
    </w:p>
    <w:p w14:paraId="2ACC68B0" w14:textId="77777777" w:rsidR="00811631" w:rsidRPr="00EE24BC" w:rsidRDefault="00811631" w:rsidP="00E73B9B">
      <w:pPr>
        <w:pStyle w:val="ListParagraph"/>
        <w:ind w:left="360"/>
      </w:pPr>
    </w:p>
    <w:p w14:paraId="631EB8D8" w14:textId="784A4D44" w:rsidR="00EA5DA0" w:rsidRDefault="00545420" w:rsidP="00E73B9B">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A1" w14:textId="77777777" w:rsidR="007B6904" w:rsidRDefault="007B6904" w:rsidP="00E73B9B">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A3" w14:textId="77777777" w:rsidTr="0074223E">
        <w:trPr>
          <w:cantSplit/>
          <w:trHeight w:val="285"/>
        </w:trPr>
        <w:tc>
          <w:tcPr>
            <w:tcW w:w="9158" w:type="dxa"/>
            <w:shd w:val="clear" w:color="auto" w:fill="A6A6A6" w:themeFill="background1" w:themeFillShade="A6"/>
          </w:tcPr>
          <w:p w14:paraId="2F51A8A2" w14:textId="74E09887" w:rsidR="007B6904" w:rsidRPr="003D2D06" w:rsidRDefault="00962C46" w:rsidP="00E73B9B">
            <w:pPr>
              <w:pStyle w:val="Heading1"/>
            </w:pPr>
            <w:bookmarkStart w:id="25" w:name="_Toc389473284"/>
            <w:bookmarkStart w:id="26" w:name="_Toc158726129"/>
            <w:r>
              <w:t xml:space="preserve">Section </w:t>
            </w:r>
            <w:r w:rsidR="001E32F1">
              <w:t>9</w:t>
            </w:r>
            <w:r w:rsidR="007B6904" w:rsidRPr="003D2D06">
              <w:t xml:space="preserve"> – </w:t>
            </w:r>
            <w:bookmarkEnd w:id="25"/>
            <w:r w:rsidR="001E32F1">
              <w:t>Iron Polymaltose</w:t>
            </w:r>
            <w:bookmarkEnd w:id="26"/>
          </w:p>
        </w:tc>
      </w:tr>
    </w:tbl>
    <w:p w14:paraId="063D6ECA" w14:textId="77777777" w:rsidR="00C259B2" w:rsidRDefault="00C259B2" w:rsidP="00E73B9B">
      <w:pPr>
        <w:rPr>
          <w:b/>
        </w:rPr>
      </w:pPr>
    </w:p>
    <w:p w14:paraId="434D9551" w14:textId="53A91124" w:rsidR="001E32F1" w:rsidRDefault="001E32F1" w:rsidP="00E73B9B">
      <w:r>
        <w:t>The dose of iron polymaltose to be given is expressed in milligrams of elemental iron (100 mg of elemental iron is equivalent to 318 mg of iron polymaltose)</w:t>
      </w:r>
      <w:r>
        <w:rPr>
          <w:vertAlign w:val="superscript"/>
        </w:rPr>
        <w:t>5</w:t>
      </w:r>
      <w:r>
        <w:t xml:space="preserve">. </w:t>
      </w:r>
      <w:r w:rsidRPr="00354FDC">
        <w:t>Iron polymaltose can be administered as a ‘total dose’ infusion, whereby iron stores can be replenished as a single treatment</w:t>
      </w:r>
      <w:r>
        <w:rPr>
          <w:vertAlign w:val="superscript"/>
        </w:rPr>
        <w:t>2,4</w:t>
      </w:r>
      <w:r w:rsidRPr="00354FDC">
        <w:t>.</w:t>
      </w:r>
      <w:r>
        <w:t xml:space="preserve"> Dose calculation by the Simplified method is preferred (see </w:t>
      </w:r>
      <w:r>
        <w:fldChar w:fldCharType="begin"/>
      </w:r>
      <w:r>
        <w:instrText xml:space="preserve"> REF _Ref108295298 \h </w:instrText>
      </w:r>
      <w:r w:rsidR="00E73B9B">
        <w:instrText xml:space="preserve"> \* MERGEFORMAT </w:instrText>
      </w:r>
      <w:r>
        <w:fldChar w:fldCharType="separate"/>
      </w:r>
      <w:r>
        <w:t xml:space="preserve">Table </w:t>
      </w:r>
      <w:r>
        <w:rPr>
          <w:noProof/>
        </w:rPr>
        <w:t>1</w:t>
      </w:r>
      <w:r>
        <w:fldChar w:fldCharType="end"/>
      </w:r>
      <w:r>
        <w:t>). An alternative method (</w:t>
      </w:r>
      <w:proofErr w:type="spellStart"/>
      <w:r>
        <w:t>Ganzoni</w:t>
      </w:r>
      <w:proofErr w:type="spellEnd"/>
      <w:r>
        <w:t xml:space="preserve">) is outlined in Appendix </w:t>
      </w:r>
      <w:r>
        <w:fldChar w:fldCharType="begin"/>
      </w:r>
      <w:r>
        <w:instrText xml:space="preserve"> REF _Ref108347070 \r \h </w:instrText>
      </w:r>
      <w:r w:rsidR="00E73B9B">
        <w:instrText xml:space="preserve"> \* MERGEFORMAT </w:instrText>
      </w:r>
      <w:r>
        <w:fldChar w:fldCharType="separate"/>
      </w:r>
      <w:r>
        <w:t>5.6.2</w:t>
      </w:r>
      <w:r>
        <w:fldChar w:fldCharType="end"/>
      </w:r>
      <w:r>
        <w:t>.</w:t>
      </w:r>
    </w:p>
    <w:p w14:paraId="67A5BAC2" w14:textId="77777777" w:rsidR="00D909E4" w:rsidRDefault="00D909E4" w:rsidP="00E73B9B">
      <w:pPr>
        <w:pStyle w:val="Caption"/>
        <w:keepNext/>
        <w:keepLines/>
      </w:pPr>
      <w:bookmarkStart w:id="27" w:name="_Ref108295298"/>
      <w:bookmarkStart w:id="28" w:name="_Ref111287018"/>
    </w:p>
    <w:p w14:paraId="126612CE" w14:textId="426995D4" w:rsidR="001E32F1" w:rsidRPr="00A00E11" w:rsidRDefault="001E32F1" w:rsidP="00E73B9B">
      <w:pPr>
        <w:pStyle w:val="Caption"/>
        <w:keepNext/>
        <w:keepLines/>
      </w:pPr>
      <w:r>
        <w:t xml:space="preserve">Table </w:t>
      </w:r>
      <w:fldSimple w:instr=" SEQ Table \* ARABIC ">
        <w:r>
          <w:rPr>
            <w:noProof/>
          </w:rPr>
          <w:t>1</w:t>
        </w:r>
      </w:fldSimple>
      <w:bookmarkEnd w:id="27"/>
      <w:r>
        <w:t>. Dose recommendations for iron polymaltose – the Simplified method</w:t>
      </w:r>
      <w:r>
        <w:rPr>
          <w:vertAlign w:val="superscript"/>
        </w:rPr>
        <w:t>4</w:t>
      </w:r>
      <w:bookmarkEnd w:id="28"/>
      <w:r>
        <w:t xml:space="preserve"> </w:t>
      </w:r>
    </w:p>
    <w:tbl>
      <w:tblPr>
        <w:tblStyle w:val="TableGrid"/>
        <w:tblW w:w="0" w:type="auto"/>
        <w:jc w:val="center"/>
        <w:tblLook w:val="04A0" w:firstRow="1" w:lastRow="0" w:firstColumn="1" w:lastColumn="0" w:noHBand="0" w:noVBand="1"/>
      </w:tblPr>
      <w:tblGrid>
        <w:gridCol w:w="1771"/>
        <w:gridCol w:w="1772"/>
        <w:gridCol w:w="1772"/>
      </w:tblGrid>
      <w:tr w:rsidR="001E32F1" w:rsidRPr="009305B8" w14:paraId="103FA8C3" w14:textId="77777777" w:rsidTr="008F138D">
        <w:trPr>
          <w:jc w:val="center"/>
        </w:trPr>
        <w:tc>
          <w:tcPr>
            <w:tcW w:w="1771" w:type="dxa"/>
            <w:vMerge w:val="restart"/>
            <w:tcBorders>
              <w:top w:val="single" w:sz="12" w:space="0" w:color="auto"/>
              <w:left w:val="single" w:sz="12" w:space="0" w:color="auto"/>
              <w:right w:val="single" w:sz="12" w:space="0" w:color="auto"/>
            </w:tcBorders>
            <w:vAlign w:val="bottom"/>
          </w:tcPr>
          <w:p w14:paraId="70EC1C29" w14:textId="77777777" w:rsidR="001E32F1" w:rsidRDefault="001E32F1" w:rsidP="00E73B9B">
            <w:pPr>
              <w:pStyle w:val="TableHeading"/>
            </w:pPr>
            <w:r w:rsidRPr="007254CC">
              <w:t>Hb (g/L)</w:t>
            </w:r>
            <w:r>
              <w:t xml:space="preserve"> </w:t>
            </w:r>
          </w:p>
          <w:p w14:paraId="2D013AFF" w14:textId="77777777" w:rsidR="001E32F1" w:rsidRPr="00482A18" w:rsidRDefault="001E32F1" w:rsidP="00E73B9B">
            <w:pPr>
              <w:pStyle w:val="TableHeading"/>
            </w:pPr>
            <w:r w:rsidRPr="00482A18">
              <w:rPr>
                <w:vertAlign w:val="superscript"/>
              </w:rPr>
              <w:t xml:space="preserve">[Note </w:t>
            </w:r>
            <w:r>
              <w:rPr>
                <w:vertAlign w:val="superscript"/>
              </w:rPr>
              <w:t>1</w:t>
            </w:r>
            <w:r w:rsidRPr="00482A18">
              <w:rPr>
                <w:vertAlign w:val="superscript"/>
              </w:rPr>
              <w:t>]</w:t>
            </w:r>
          </w:p>
        </w:tc>
        <w:tc>
          <w:tcPr>
            <w:tcW w:w="3544" w:type="dxa"/>
            <w:gridSpan w:val="2"/>
            <w:tcBorders>
              <w:top w:val="single" w:sz="12" w:space="0" w:color="auto"/>
              <w:left w:val="single" w:sz="12" w:space="0" w:color="auto"/>
              <w:right w:val="single" w:sz="12" w:space="0" w:color="auto"/>
            </w:tcBorders>
            <w:vAlign w:val="center"/>
          </w:tcPr>
          <w:p w14:paraId="234103E8" w14:textId="77777777" w:rsidR="001E32F1" w:rsidRPr="007254CC" w:rsidRDefault="001E32F1" w:rsidP="00E73B9B">
            <w:pPr>
              <w:pStyle w:val="TableHeading"/>
              <w:rPr>
                <w:vertAlign w:val="superscript"/>
              </w:rPr>
            </w:pPr>
            <w:r w:rsidRPr="007254CC">
              <w:t xml:space="preserve">Body weight </w:t>
            </w:r>
            <w:r w:rsidRPr="007254CC">
              <w:rPr>
                <w:vertAlign w:val="superscript"/>
              </w:rPr>
              <w:t xml:space="preserve">[Note </w:t>
            </w:r>
            <w:r>
              <w:rPr>
                <w:vertAlign w:val="superscript"/>
              </w:rPr>
              <w:t>2</w:t>
            </w:r>
            <w:r w:rsidRPr="007254CC">
              <w:rPr>
                <w:vertAlign w:val="superscript"/>
              </w:rPr>
              <w:t>]</w:t>
            </w:r>
          </w:p>
        </w:tc>
      </w:tr>
      <w:tr w:rsidR="001E32F1" w:rsidRPr="009305B8" w14:paraId="5BEBD61F" w14:textId="77777777" w:rsidTr="008F138D">
        <w:trPr>
          <w:jc w:val="center"/>
        </w:trPr>
        <w:tc>
          <w:tcPr>
            <w:tcW w:w="1771" w:type="dxa"/>
            <w:vMerge/>
            <w:tcBorders>
              <w:left w:val="single" w:sz="12" w:space="0" w:color="auto"/>
              <w:bottom w:val="single" w:sz="12" w:space="0" w:color="auto"/>
              <w:right w:val="single" w:sz="12" w:space="0" w:color="auto"/>
            </w:tcBorders>
            <w:vAlign w:val="center"/>
          </w:tcPr>
          <w:p w14:paraId="7539ED45" w14:textId="77777777" w:rsidR="001E32F1" w:rsidRPr="007254CC" w:rsidRDefault="001E32F1" w:rsidP="00E73B9B">
            <w:pPr>
              <w:pStyle w:val="TableHeading"/>
            </w:pPr>
          </w:p>
        </w:tc>
        <w:tc>
          <w:tcPr>
            <w:tcW w:w="1772" w:type="dxa"/>
            <w:tcBorders>
              <w:top w:val="single" w:sz="12" w:space="0" w:color="auto"/>
              <w:left w:val="single" w:sz="12" w:space="0" w:color="auto"/>
              <w:bottom w:val="single" w:sz="12" w:space="0" w:color="auto"/>
              <w:right w:val="single" w:sz="12" w:space="0" w:color="auto"/>
            </w:tcBorders>
            <w:vAlign w:val="center"/>
          </w:tcPr>
          <w:p w14:paraId="4A506541" w14:textId="77777777" w:rsidR="001E32F1" w:rsidRPr="007254CC" w:rsidRDefault="001E32F1" w:rsidP="00E73B9B">
            <w:pPr>
              <w:pStyle w:val="TableHeading"/>
            </w:pPr>
            <w:r>
              <w:t>35 to 70</w:t>
            </w:r>
            <w:r w:rsidRPr="007254CC">
              <w:t xml:space="preserve"> kg</w:t>
            </w:r>
          </w:p>
        </w:tc>
        <w:tc>
          <w:tcPr>
            <w:tcW w:w="1772" w:type="dxa"/>
            <w:tcBorders>
              <w:top w:val="single" w:sz="12" w:space="0" w:color="auto"/>
              <w:left w:val="single" w:sz="12" w:space="0" w:color="auto"/>
              <w:bottom w:val="single" w:sz="12" w:space="0" w:color="auto"/>
              <w:right w:val="single" w:sz="12" w:space="0" w:color="auto"/>
            </w:tcBorders>
            <w:vAlign w:val="center"/>
          </w:tcPr>
          <w:p w14:paraId="09494BC1" w14:textId="77777777" w:rsidR="001E32F1" w:rsidRPr="007254CC" w:rsidRDefault="001E32F1" w:rsidP="00E73B9B">
            <w:pPr>
              <w:pStyle w:val="TableHeading"/>
            </w:pPr>
            <w:r w:rsidRPr="007254CC">
              <w:rPr>
                <w:rFonts w:cs="Calibri"/>
              </w:rPr>
              <w:t>≥</w:t>
            </w:r>
            <w:r w:rsidRPr="007254CC">
              <w:t xml:space="preserve"> 70 kg</w:t>
            </w:r>
          </w:p>
        </w:tc>
      </w:tr>
      <w:tr w:rsidR="001E32F1" w:rsidRPr="009305B8" w14:paraId="6BD4C3E4" w14:textId="77777777" w:rsidTr="008F138D">
        <w:trPr>
          <w:jc w:val="center"/>
        </w:trPr>
        <w:tc>
          <w:tcPr>
            <w:tcW w:w="1771" w:type="dxa"/>
            <w:tcBorders>
              <w:left w:val="single" w:sz="12" w:space="0" w:color="auto"/>
              <w:right w:val="single" w:sz="12" w:space="0" w:color="auto"/>
            </w:tcBorders>
            <w:vAlign w:val="center"/>
          </w:tcPr>
          <w:p w14:paraId="01824725" w14:textId="77777777" w:rsidR="001E32F1" w:rsidRPr="007254CC" w:rsidRDefault="001E32F1" w:rsidP="00E73B9B">
            <w:pPr>
              <w:pStyle w:val="TableHeading"/>
            </w:pPr>
            <w:r>
              <w:t>&lt;</w:t>
            </w:r>
            <w:r w:rsidRPr="007254CC">
              <w:t xml:space="preserve"> 100</w:t>
            </w:r>
            <w:r>
              <w:t xml:space="preserve"> </w:t>
            </w:r>
          </w:p>
        </w:tc>
        <w:tc>
          <w:tcPr>
            <w:tcW w:w="1772" w:type="dxa"/>
            <w:tcBorders>
              <w:left w:val="single" w:sz="12" w:space="0" w:color="auto"/>
              <w:right w:val="single" w:sz="12" w:space="0" w:color="auto"/>
            </w:tcBorders>
            <w:vAlign w:val="center"/>
          </w:tcPr>
          <w:p w14:paraId="7DF00EC9" w14:textId="77777777" w:rsidR="001E32F1" w:rsidRPr="009305B8" w:rsidRDefault="001E32F1" w:rsidP="00E73B9B">
            <w:pPr>
              <w:pStyle w:val="Tablecontent"/>
              <w:keepNext/>
              <w:keepLines/>
            </w:pPr>
            <w:r w:rsidRPr="009305B8">
              <w:t>1500 mg</w:t>
            </w:r>
          </w:p>
        </w:tc>
        <w:tc>
          <w:tcPr>
            <w:tcW w:w="1772" w:type="dxa"/>
            <w:tcBorders>
              <w:left w:val="single" w:sz="12" w:space="0" w:color="auto"/>
              <w:right w:val="single" w:sz="12" w:space="0" w:color="auto"/>
            </w:tcBorders>
            <w:vAlign w:val="center"/>
          </w:tcPr>
          <w:p w14:paraId="7D7425A2" w14:textId="77777777" w:rsidR="001E32F1" w:rsidRPr="009305B8" w:rsidRDefault="001E32F1" w:rsidP="00E73B9B">
            <w:pPr>
              <w:pStyle w:val="Tablecontent"/>
              <w:keepNext/>
              <w:keepLines/>
            </w:pPr>
            <w:r w:rsidRPr="009305B8">
              <w:t>2000 mg</w:t>
            </w:r>
          </w:p>
        </w:tc>
      </w:tr>
      <w:tr w:rsidR="001E32F1" w:rsidRPr="009305B8" w14:paraId="20A3DA86" w14:textId="77777777" w:rsidTr="008F138D">
        <w:trPr>
          <w:jc w:val="center"/>
        </w:trPr>
        <w:tc>
          <w:tcPr>
            <w:tcW w:w="1771" w:type="dxa"/>
            <w:tcBorders>
              <w:left w:val="single" w:sz="12" w:space="0" w:color="auto"/>
              <w:bottom w:val="single" w:sz="12" w:space="0" w:color="auto"/>
              <w:right w:val="single" w:sz="12" w:space="0" w:color="auto"/>
            </w:tcBorders>
            <w:vAlign w:val="center"/>
          </w:tcPr>
          <w:p w14:paraId="5C6BEE66" w14:textId="77777777" w:rsidR="001E32F1" w:rsidRPr="007254CC" w:rsidRDefault="001E32F1" w:rsidP="00E73B9B">
            <w:pPr>
              <w:pStyle w:val="TableHeading"/>
            </w:pPr>
            <w:r w:rsidRPr="007254CC">
              <w:t>≥ 100</w:t>
            </w:r>
          </w:p>
        </w:tc>
        <w:tc>
          <w:tcPr>
            <w:tcW w:w="1772" w:type="dxa"/>
            <w:tcBorders>
              <w:left w:val="single" w:sz="12" w:space="0" w:color="auto"/>
              <w:bottom w:val="single" w:sz="12" w:space="0" w:color="auto"/>
              <w:right w:val="single" w:sz="12" w:space="0" w:color="auto"/>
            </w:tcBorders>
            <w:vAlign w:val="center"/>
          </w:tcPr>
          <w:p w14:paraId="33A5A08A" w14:textId="77777777" w:rsidR="001E32F1" w:rsidRPr="009305B8" w:rsidRDefault="001E32F1" w:rsidP="00E73B9B">
            <w:pPr>
              <w:pStyle w:val="Tablecontent"/>
              <w:keepNext/>
              <w:keepLines/>
            </w:pPr>
            <w:r w:rsidRPr="009305B8">
              <w:t>1000 mg</w:t>
            </w:r>
          </w:p>
        </w:tc>
        <w:tc>
          <w:tcPr>
            <w:tcW w:w="1772" w:type="dxa"/>
            <w:tcBorders>
              <w:left w:val="single" w:sz="12" w:space="0" w:color="auto"/>
              <w:bottom w:val="single" w:sz="12" w:space="0" w:color="auto"/>
              <w:right w:val="single" w:sz="12" w:space="0" w:color="auto"/>
            </w:tcBorders>
            <w:vAlign w:val="center"/>
          </w:tcPr>
          <w:p w14:paraId="740C8DAB" w14:textId="77777777" w:rsidR="001E32F1" w:rsidRPr="009305B8" w:rsidRDefault="001E32F1" w:rsidP="00E73B9B">
            <w:pPr>
              <w:pStyle w:val="Tablecontent"/>
              <w:keepNext/>
              <w:keepLines/>
            </w:pPr>
            <w:r w:rsidRPr="009305B8">
              <w:t>1500 mg</w:t>
            </w:r>
          </w:p>
        </w:tc>
      </w:tr>
    </w:tbl>
    <w:p w14:paraId="427C004C" w14:textId="77777777" w:rsidR="00213192" w:rsidRDefault="00213192" w:rsidP="00E73B9B">
      <w:pPr>
        <w:pStyle w:val="Note"/>
        <w:rPr>
          <w:i w:val="0"/>
          <w:iCs/>
          <w:sz w:val="24"/>
          <w:szCs w:val="24"/>
        </w:rPr>
      </w:pPr>
    </w:p>
    <w:p w14:paraId="490314D4" w14:textId="02D29A3E" w:rsidR="001E32F1" w:rsidRDefault="00213192" w:rsidP="00E73B9B">
      <w:pPr>
        <w:pStyle w:val="Note"/>
        <w:pBdr>
          <w:top w:val="single" w:sz="4" w:space="1" w:color="auto"/>
          <w:left w:val="single" w:sz="4" w:space="4" w:color="auto"/>
          <w:bottom w:val="single" w:sz="4" w:space="1" w:color="auto"/>
          <w:right w:val="single" w:sz="4" w:space="4" w:color="auto"/>
          <w:between w:val="single" w:sz="4" w:space="1" w:color="auto"/>
          <w:bar w:val="single" w:sz="4" w:color="auto"/>
        </w:pBdr>
      </w:pPr>
      <w:r>
        <w:rPr>
          <w:i w:val="0"/>
          <w:iCs/>
          <w:sz w:val="24"/>
          <w:szCs w:val="24"/>
        </w:rPr>
        <w:t>Note:</w:t>
      </w:r>
      <w:r w:rsidR="001E32F1" w:rsidRPr="001E32F1">
        <w:rPr>
          <w:i w:val="0"/>
          <w:iCs/>
          <w:sz w:val="24"/>
          <w:szCs w:val="24"/>
        </w:rPr>
        <w:t xml:space="preserve"> One unit of packed red blood cells (PRBC) contains approximately 200 to 250 mg of iron</w:t>
      </w:r>
      <w:r w:rsidR="001E32F1" w:rsidRPr="001E32F1">
        <w:rPr>
          <w:i w:val="0"/>
          <w:iCs/>
          <w:sz w:val="24"/>
          <w:szCs w:val="24"/>
          <w:vertAlign w:val="superscript"/>
        </w:rPr>
        <w:t>9</w:t>
      </w:r>
      <w:r w:rsidR="001E32F1" w:rsidRPr="001E32F1">
        <w:rPr>
          <w:i w:val="0"/>
          <w:iCs/>
          <w:sz w:val="24"/>
          <w:szCs w:val="24"/>
        </w:rPr>
        <w:t>. Use the post-transfusion haemoglobin to calculate dose</w:t>
      </w:r>
      <w:r w:rsidR="001E32F1">
        <w:t xml:space="preserve">. </w:t>
      </w:r>
    </w:p>
    <w:p w14:paraId="318F95B5" w14:textId="77777777" w:rsidR="00213192" w:rsidRDefault="00213192" w:rsidP="00E73B9B"/>
    <w:p w14:paraId="2F51A8AA" w14:textId="6473E402" w:rsidR="00201FB6" w:rsidRDefault="001E32F1" w:rsidP="00E73B9B">
      <w:pPr>
        <w:pBdr>
          <w:top w:val="single" w:sz="4" w:space="1" w:color="auto"/>
          <w:left w:val="single" w:sz="4" w:space="4" w:color="auto"/>
          <w:bottom w:val="single" w:sz="4" w:space="1" w:color="auto"/>
          <w:right w:val="single" w:sz="4" w:space="4" w:color="auto"/>
          <w:between w:val="single" w:sz="4" w:space="1" w:color="auto"/>
          <w:bar w:val="single" w:sz="4" w:color="auto"/>
        </w:pBdr>
        <w:rPr>
          <w:vertAlign w:val="superscript"/>
        </w:rPr>
      </w:pPr>
      <w:r w:rsidRPr="005220BA">
        <w:t>Note</w:t>
      </w:r>
      <w:r w:rsidR="00213192">
        <w:t xml:space="preserve">: </w:t>
      </w:r>
      <w:r w:rsidRPr="005220BA">
        <w:t xml:space="preserve"> Use actual body weight, except in overweight patients, use ideal body weight</w:t>
      </w:r>
      <w:r>
        <w:rPr>
          <w:vertAlign w:val="superscript"/>
        </w:rPr>
        <w:t>3</w:t>
      </w:r>
    </w:p>
    <w:p w14:paraId="73A4D369" w14:textId="77777777" w:rsidR="001E32F1" w:rsidRDefault="001E32F1" w:rsidP="00E73B9B">
      <w:pPr>
        <w:rPr>
          <w:rFonts w:cs="Arial"/>
          <w:i/>
          <w:szCs w:val="24"/>
        </w:rPr>
      </w:pPr>
    </w:p>
    <w:p w14:paraId="2F51A8AC" w14:textId="0461B4DA" w:rsidR="007B6904" w:rsidRPr="00B56209" w:rsidRDefault="001E32F1" w:rsidP="00E73B9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iCs/>
          <w:szCs w:val="24"/>
        </w:rPr>
      </w:pPr>
      <w:r w:rsidRPr="00EE24BC">
        <w:rPr>
          <w:rFonts w:cs="Arial"/>
          <w:iCs/>
          <w:szCs w:val="24"/>
        </w:rPr>
        <w:t xml:space="preserve">Note: Refer to </w:t>
      </w:r>
      <w:r w:rsidR="00EE24BC" w:rsidRPr="00EE24BC">
        <w:rPr>
          <w:rFonts w:cs="Arial"/>
          <w:iCs/>
          <w:szCs w:val="24"/>
        </w:rPr>
        <w:t>appropriate section</w:t>
      </w:r>
      <w:r w:rsidRPr="00EE24BC">
        <w:rPr>
          <w:rFonts w:cs="Arial"/>
          <w:iCs/>
          <w:szCs w:val="24"/>
        </w:rPr>
        <w:t xml:space="preserve"> for additional considerations</w:t>
      </w:r>
      <w:r w:rsidRPr="001E32F1">
        <w:rPr>
          <w:rFonts w:cs="Arial"/>
          <w:iCs/>
          <w:szCs w:val="24"/>
        </w:rPr>
        <w:t xml:space="preserve"> in special populations: Pregnancy</w:t>
      </w:r>
      <w:r w:rsidR="00EE24BC">
        <w:rPr>
          <w:rFonts w:cs="Arial"/>
          <w:iCs/>
          <w:szCs w:val="24"/>
        </w:rPr>
        <w:t xml:space="preserve"> (Section </w:t>
      </w:r>
      <w:r w:rsidR="00376405">
        <w:rPr>
          <w:rFonts w:cs="Arial"/>
          <w:iCs/>
          <w:szCs w:val="24"/>
        </w:rPr>
        <w:t>15</w:t>
      </w:r>
      <w:r w:rsidR="00EE24BC">
        <w:rPr>
          <w:rFonts w:cs="Arial"/>
          <w:iCs/>
          <w:szCs w:val="24"/>
        </w:rPr>
        <w:t>)</w:t>
      </w:r>
      <w:r w:rsidRPr="001E32F1">
        <w:rPr>
          <w:rFonts w:cs="Arial"/>
          <w:iCs/>
          <w:szCs w:val="24"/>
        </w:rPr>
        <w:t>, Chronic Kidney disease</w:t>
      </w:r>
      <w:r w:rsidR="00EE24BC">
        <w:rPr>
          <w:rFonts w:cs="Arial"/>
          <w:iCs/>
          <w:szCs w:val="24"/>
        </w:rPr>
        <w:t xml:space="preserve"> (Section </w:t>
      </w:r>
      <w:r w:rsidR="00376405">
        <w:rPr>
          <w:rFonts w:cs="Arial"/>
          <w:iCs/>
          <w:szCs w:val="24"/>
        </w:rPr>
        <w:t>16</w:t>
      </w:r>
      <w:r w:rsidR="00EE24BC">
        <w:rPr>
          <w:rFonts w:cs="Arial"/>
          <w:iCs/>
          <w:szCs w:val="24"/>
        </w:rPr>
        <w:t>)</w:t>
      </w:r>
      <w:r w:rsidRPr="001E32F1">
        <w:rPr>
          <w:rFonts w:cs="Arial"/>
          <w:iCs/>
          <w:szCs w:val="24"/>
        </w:rPr>
        <w:t xml:space="preserve">, </w:t>
      </w:r>
      <w:r>
        <w:rPr>
          <w:rFonts w:cs="Arial"/>
          <w:iCs/>
          <w:szCs w:val="24"/>
        </w:rPr>
        <w:t>H</w:t>
      </w:r>
      <w:r w:rsidRPr="001E32F1">
        <w:rPr>
          <w:rFonts w:cs="Arial"/>
          <w:iCs/>
          <w:szCs w:val="24"/>
        </w:rPr>
        <w:t>eart failure</w:t>
      </w:r>
      <w:r w:rsidR="00EE24BC">
        <w:rPr>
          <w:rFonts w:cs="Arial"/>
          <w:iCs/>
          <w:szCs w:val="24"/>
        </w:rPr>
        <w:t xml:space="preserve"> (Section </w:t>
      </w:r>
      <w:r w:rsidR="00376405">
        <w:rPr>
          <w:rFonts w:cs="Arial"/>
          <w:iCs/>
          <w:szCs w:val="24"/>
        </w:rPr>
        <w:t>17</w:t>
      </w:r>
      <w:r w:rsidR="00EE24BC">
        <w:rPr>
          <w:rFonts w:cs="Arial"/>
          <w:iCs/>
          <w:szCs w:val="24"/>
        </w:rPr>
        <w:t>)</w:t>
      </w:r>
      <w:r w:rsidRPr="001E32F1">
        <w:rPr>
          <w:rFonts w:cs="Arial"/>
          <w:iCs/>
          <w:szCs w:val="24"/>
        </w:rPr>
        <w:t xml:space="preserve">, and </w:t>
      </w:r>
      <w:r>
        <w:rPr>
          <w:rFonts w:cs="Arial"/>
          <w:iCs/>
          <w:szCs w:val="24"/>
        </w:rPr>
        <w:t>P</w:t>
      </w:r>
      <w:r w:rsidRPr="001E32F1">
        <w:rPr>
          <w:rFonts w:cs="Arial"/>
          <w:iCs/>
          <w:szCs w:val="24"/>
        </w:rPr>
        <w:t>reoperative</w:t>
      </w:r>
      <w:r w:rsidR="00EE24BC">
        <w:rPr>
          <w:rFonts w:cs="Arial"/>
          <w:iCs/>
          <w:szCs w:val="24"/>
        </w:rPr>
        <w:t xml:space="preserve"> (Section </w:t>
      </w:r>
      <w:r w:rsidR="00376405">
        <w:rPr>
          <w:rFonts w:cs="Arial"/>
          <w:iCs/>
          <w:szCs w:val="24"/>
        </w:rPr>
        <w:t>18</w:t>
      </w:r>
      <w:r w:rsidR="00EE24BC">
        <w:rPr>
          <w:rFonts w:cs="Arial"/>
          <w:iCs/>
          <w:szCs w:val="24"/>
        </w:rPr>
        <w:t>).</w:t>
      </w:r>
    </w:p>
    <w:p w14:paraId="5FC2F161" w14:textId="77777777" w:rsidR="001E32F1" w:rsidRDefault="001E32F1" w:rsidP="00E73B9B">
      <w:pPr>
        <w:rPr>
          <w:rFonts w:cs="Arial"/>
          <w:b/>
          <w:szCs w:val="24"/>
        </w:rPr>
      </w:pPr>
    </w:p>
    <w:p w14:paraId="5FCD4C1D" w14:textId="5F14C0AE" w:rsidR="00930167" w:rsidRDefault="00545420" w:rsidP="00E73B9B">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1E32F1" w:rsidRPr="00CD1C0E" w14:paraId="2C07AC32" w14:textId="77777777" w:rsidTr="008F138D">
        <w:trPr>
          <w:cantSplit/>
          <w:trHeight w:val="285"/>
        </w:trPr>
        <w:tc>
          <w:tcPr>
            <w:tcW w:w="9158" w:type="dxa"/>
            <w:shd w:val="clear" w:color="auto" w:fill="A6A6A6" w:themeFill="background1" w:themeFillShade="A6"/>
          </w:tcPr>
          <w:p w14:paraId="210A87C7" w14:textId="584E3383" w:rsidR="001E32F1" w:rsidRPr="003D2D06" w:rsidRDefault="001E32F1" w:rsidP="00E73B9B">
            <w:pPr>
              <w:pStyle w:val="Heading1"/>
            </w:pPr>
            <w:bookmarkStart w:id="29" w:name="_Toc158726130"/>
            <w:r>
              <w:t xml:space="preserve">Section </w:t>
            </w:r>
            <w:r w:rsidR="00B56209">
              <w:t>10 – Preparation and Storage</w:t>
            </w:r>
            <w:bookmarkEnd w:id="29"/>
            <w:r w:rsidR="00B56209">
              <w:t xml:space="preserve"> </w:t>
            </w:r>
          </w:p>
        </w:tc>
      </w:tr>
    </w:tbl>
    <w:p w14:paraId="41B32730" w14:textId="77777777" w:rsidR="00C259B2" w:rsidRDefault="00C259B2" w:rsidP="00E73B9B">
      <w:pPr>
        <w:rPr>
          <w:b/>
        </w:rPr>
      </w:pPr>
    </w:p>
    <w:p w14:paraId="14AA5E1A" w14:textId="18038146" w:rsidR="00B56209" w:rsidRDefault="00B56209" w:rsidP="00E73B9B">
      <w:pPr>
        <w:pStyle w:val="ListParagraph"/>
        <w:numPr>
          <w:ilvl w:val="0"/>
          <w:numId w:val="14"/>
        </w:numPr>
        <w:ind w:left="360"/>
      </w:pPr>
      <w:r>
        <w:t xml:space="preserve">Iron polymaltose is available from Pharmacy as pre-made infusion bags (see </w:t>
      </w:r>
      <w:r>
        <w:fldChar w:fldCharType="begin"/>
      </w:r>
      <w:r>
        <w:instrText xml:space="preserve"> REF _Ref83378086 \h </w:instrText>
      </w:r>
      <w:r w:rsidR="00E73B9B">
        <w:instrText xml:space="preserve"> \* MERGEFORMAT </w:instrText>
      </w:r>
      <w:r>
        <w:fldChar w:fldCharType="separate"/>
      </w:r>
      <w:r w:rsidRPr="001672B6">
        <w:t xml:space="preserve">Table </w:t>
      </w:r>
      <w:r>
        <w:rPr>
          <w:noProof/>
        </w:rPr>
        <w:t>2</w:t>
      </w:r>
      <w:r>
        <w:fldChar w:fldCharType="end"/>
      </w:r>
      <w:r>
        <w:t xml:space="preserve">). Contact ward pharmacist or pharmacy dispensary to discuss alternative doses or volumes that may be prepared by Pharmacy </w:t>
      </w:r>
      <w:r w:rsidR="004A6E5A">
        <w:t>team members.</w:t>
      </w:r>
    </w:p>
    <w:p w14:paraId="0C1C9927" w14:textId="005ED74B" w:rsidR="001E32F1" w:rsidRDefault="00B56209" w:rsidP="00E73B9B">
      <w:pPr>
        <w:pStyle w:val="ListParagraph"/>
        <w:numPr>
          <w:ilvl w:val="0"/>
          <w:numId w:val="14"/>
        </w:numPr>
        <w:ind w:left="360"/>
      </w:pPr>
      <w:r w:rsidRPr="0037401F">
        <w:t xml:space="preserve">The </w:t>
      </w:r>
      <w:r>
        <w:t xml:space="preserve">pre-made bags </w:t>
      </w:r>
      <w:r w:rsidRPr="0037401F">
        <w:t>should be kept refrigerated (2 to 8</w:t>
      </w:r>
      <w:r w:rsidRPr="00EA5DA0">
        <w:rPr>
          <w:rFonts w:cstheme="minorHAnsi"/>
        </w:rPr>
        <w:t>°</w:t>
      </w:r>
      <w:r w:rsidRPr="0037401F">
        <w:t xml:space="preserve">C) until for administration and </w:t>
      </w:r>
      <w:r w:rsidRPr="00EA5DA0">
        <w:rPr>
          <w:b/>
          <w:bCs/>
        </w:rPr>
        <w:t>do not</w:t>
      </w:r>
      <w:r>
        <w:t xml:space="preserve"> require additional protection from light during storage or administration</w:t>
      </w:r>
      <w:r w:rsidRPr="00EA5DA0">
        <w:rPr>
          <w:vertAlign w:val="superscript"/>
        </w:rPr>
        <w:t>10</w:t>
      </w:r>
      <w:r>
        <w:t xml:space="preserve">. </w:t>
      </w:r>
      <w:r w:rsidRPr="0037401F">
        <w:t xml:space="preserve">If the infusion is removed from refrigeration, the bag may </w:t>
      </w:r>
      <w:r>
        <w:t>be kept</w:t>
      </w:r>
      <w:r w:rsidRPr="0037401F">
        <w:t xml:space="preserve"> at room temperature (below 25</w:t>
      </w:r>
      <w:r w:rsidRPr="00EA5DA0">
        <w:rPr>
          <w:rFonts w:cstheme="minorHAnsi"/>
        </w:rPr>
        <w:t>°</w:t>
      </w:r>
      <w:r w:rsidRPr="0037401F">
        <w:t>C) but must be used within 24 hours of removal from refrigeration.</w:t>
      </w:r>
      <w:r w:rsidRPr="00793504">
        <w:t xml:space="preserve"> </w:t>
      </w:r>
    </w:p>
    <w:p w14:paraId="05D3D97B" w14:textId="77777777" w:rsidR="00930167" w:rsidRDefault="00930167" w:rsidP="00E73B9B">
      <w:pPr>
        <w:jc w:val="right"/>
      </w:pPr>
    </w:p>
    <w:p w14:paraId="55CFD426" w14:textId="38FE10B6" w:rsidR="001E32F1" w:rsidRDefault="00545420" w:rsidP="00E73B9B">
      <w:pPr>
        <w:jc w:val="right"/>
        <w:rPr>
          <w:rFonts w:cs="Arial"/>
          <w:i/>
          <w:szCs w:val="24"/>
        </w:rPr>
      </w:pPr>
      <w:hyperlink w:anchor="Contents" w:history="1">
        <w:r w:rsidR="001E32F1" w:rsidRPr="00590902">
          <w:rPr>
            <w:rStyle w:val="Hyperlink"/>
            <w:rFonts w:cs="Arial"/>
            <w:i/>
            <w:szCs w:val="24"/>
          </w:rPr>
          <w:t>Back to Table of Contents</w:t>
        </w:r>
      </w:hyperlink>
      <w:r w:rsidR="001E32F1">
        <w:rPr>
          <w:rFonts w:cs="Arial"/>
          <w:i/>
          <w:szCs w:val="24"/>
        </w:rPr>
        <w:t xml:space="preserve"> </w:t>
      </w:r>
    </w:p>
    <w:p w14:paraId="79D2ED3A" w14:textId="77777777" w:rsidR="00E73B9B" w:rsidRDefault="00E73B9B" w:rsidP="00E73B9B">
      <w:pPr>
        <w:jc w:val="right"/>
        <w:rPr>
          <w:rFonts w:cs="Arial"/>
          <w:b/>
          <w:szCs w:val="24"/>
        </w:rPr>
      </w:pPr>
    </w:p>
    <w:p w14:paraId="1DD33521" w14:textId="77777777" w:rsidR="00E73B9B" w:rsidRDefault="00E73B9B" w:rsidP="00E73B9B">
      <w:pPr>
        <w:jc w:val="right"/>
        <w:rPr>
          <w:rFonts w:cs="Arial"/>
          <w:b/>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1E32F1" w:rsidRPr="00CD1C0E" w14:paraId="6BEA40BF" w14:textId="77777777" w:rsidTr="008F138D">
        <w:trPr>
          <w:cantSplit/>
          <w:trHeight w:val="285"/>
        </w:trPr>
        <w:tc>
          <w:tcPr>
            <w:tcW w:w="9158" w:type="dxa"/>
            <w:shd w:val="clear" w:color="auto" w:fill="A6A6A6" w:themeFill="background1" w:themeFillShade="A6"/>
          </w:tcPr>
          <w:p w14:paraId="56C558BD" w14:textId="59892EF9" w:rsidR="001E32F1" w:rsidRPr="003D2D06" w:rsidRDefault="001E32F1" w:rsidP="00E73B9B">
            <w:pPr>
              <w:pStyle w:val="Heading1"/>
            </w:pPr>
            <w:bookmarkStart w:id="30" w:name="_Toc158726131"/>
            <w:r>
              <w:lastRenderedPageBreak/>
              <w:t xml:space="preserve">Section </w:t>
            </w:r>
            <w:r w:rsidR="00B56209">
              <w:t>11</w:t>
            </w:r>
            <w:r w:rsidRPr="003D2D06">
              <w:t xml:space="preserve"> – </w:t>
            </w:r>
            <w:r w:rsidR="00B56209">
              <w:t>Administration and Monitoring</w:t>
            </w:r>
            <w:bookmarkEnd w:id="30"/>
          </w:p>
        </w:tc>
      </w:tr>
    </w:tbl>
    <w:p w14:paraId="4905888D" w14:textId="77777777" w:rsidR="00C259B2" w:rsidRDefault="00C259B2" w:rsidP="00E73B9B">
      <w:pPr>
        <w:rPr>
          <w:b/>
        </w:rPr>
      </w:pPr>
    </w:p>
    <w:p w14:paraId="4D0EC34D" w14:textId="714D4043" w:rsidR="00B56209" w:rsidRDefault="00B56209" w:rsidP="00E73B9B">
      <w:pPr>
        <w:pStyle w:val="ListParagraph"/>
        <w:numPr>
          <w:ilvl w:val="0"/>
          <w:numId w:val="15"/>
        </w:numPr>
        <w:rPr>
          <w:iCs/>
        </w:rPr>
      </w:pPr>
      <w:r w:rsidRPr="00EA5DA0">
        <w:rPr>
          <w:iCs/>
        </w:rPr>
        <w:t xml:space="preserve">Iron polymaltose must be administered via an IV infusion pump. An IV cannula (20 to 24 gauge) inserted in the distal veins of the forearm are preferred. Avoid cannulation at sites of flexion (e.g. antecubital fossa, wrist) and back of hand due to the risks associated with </w:t>
      </w:r>
      <w:proofErr w:type="spellStart"/>
      <w:r w:rsidRPr="00EA5DA0">
        <w:rPr>
          <w:iCs/>
        </w:rPr>
        <w:t>extravastation</w:t>
      </w:r>
      <w:proofErr w:type="spellEnd"/>
      <w:r w:rsidRPr="00EA5DA0">
        <w:rPr>
          <w:iCs/>
        </w:rPr>
        <w:t xml:space="preserve"> and tissue infiltration.</w:t>
      </w:r>
    </w:p>
    <w:p w14:paraId="7A1E1C46" w14:textId="77777777" w:rsidR="00EA5DA0" w:rsidRDefault="00B56209" w:rsidP="00E73B9B">
      <w:pPr>
        <w:pStyle w:val="ListParagraph"/>
        <w:numPr>
          <w:ilvl w:val="0"/>
          <w:numId w:val="15"/>
        </w:numPr>
        <w:rPr>
          <w:iCs/>
        </w:rPr>
      </w:pPr>
      <w:r w:rsidRPr="00EA5DA0">
        <w:rPr>
          <w:iCs/>
        </w:rPr>
        <w:t xml:space="preserve">Before commencing the infusion, confirm the patency of the IV cannula by administering 50 mL of sodium chloride 0.9% and noting minimal resistance to infusion and absence of any swelling or pain. Alternatively, demonstration of free aspiration of 10 mL of dark venous blood confirms the cannula as intravascular. </w:t>
      </w:r>
    </w:p>
    <w:p w14:paraId="7C71A0A5" w14:textId="77777777" w:rsidR="00930167" w:rsidRDefault="00B56209" w:rsidP="00E73B9B">
      <w:pPr>
        <w:pStyle w:val="ListParagraph"/>
        <w:numPr>
          <w:ilvl w:val="0"/>
          <w:numId w:val="15"/>
        </w:numPr>
        <w:rPr>
          <w:iCs/>
        </w:rPr>
      </w:pPr>
      <w:r w:rsidRPr="00EA5DA0">
        <w:rPr>
          <w:iCs/>
        </w:rPr>
        <w:t xml:space="preserve">IV fluids running freely under gravity or through a non-alarming infusion pump does not confirm that the cannula is intravascular. </w:t>
      </w:r>
      <w:r w:rsidR="0005751B" w:rsidRPr="00EA5DA0">
        <w:rPr>
          <w:iCs/>
        </w:rPr>
        <w:t xml:space="preserve">At the </w:t>
      </w:r>
      <w:proofErr w:type="gramStart"/>
      <w:r w:rsidR="0005751B" w:rsidRPr="00EA5DA0">
        <w:rPr>
          <w:iCs/>
        </w:rPr>
        <w:t xml:space="preserve">end </w:t>
      </w:r>
      <w:r w:rsidR="00DA028F" w:rsidRPr="00EA5DA0">
        <w:rPr>
          <w:iCs/>
        </w:rPr>
        <w:t xml:space="preserve"> </w:t>
      </w:r>
      <w:r w:rsidR="00727E8C" w:rsidRPr="00EA5DA0">
        <w:rPr>
          <w:iCs/>
        </w:rPr>
        <w:t>of</w:t>
      </w:r>
      <w:proofErr w:type="gramEnd"/>
      <w:r w:rsidR="00727E8C" w:rsidRPr="00EA5DA0">
        <w:rPr>
          <w:iCs/>
        </w:rPr>
        <w:t xml:space="preserve"> the infusion, the IV cannula must be thoroughly flushed to ensure that residual iron within the cannula does not deposit as the cannula is withdrawn.</w:t>
      </w:r>
      <w:bookmarkStart w:id="31" w:name="_Ref83378086"/>
      <w:bookmarkStart w:id="32" w:name="_Ref104458836"/>
    </w:p>
    <w:p w14:paraId="154980D7" w14:textId="77777777" w:rsidR="00930167" w:rsidRDefault="00930167" w:rsidP="00E73B9B">
      <w:pPr>
        <w:ind w:left="360"/>
      </w:pPr>
    </w:p>
    <w:p w14:paraId="6F9FF207" w14:textId="4B584C24" w:rsidR="00D909E4" w:rsidRPr="00E73B9B" w:rsidRDefault="00930167" w:rsidP="00E73B9B">
      <w:r>
        <w:t>The Administration of alternative doses/volumes and by a slow infusion protocol are discussed in Section 24 of this procedure.</w:t>
      </w:r>
    </w:p>
    <w:p w14:paraId="33CD2B86" w14:textId="77777777" w:rsidR="00E73B9B" w:rsidRDefault="00E73B9B" w:rsidP="00E73B9B">
      <w:pPr>
        <w:spacing w:after="200"/>
        <w:rPr>
          <w:i/>
          <w:iCs/>
          <w:sz w:val="22"/>
          <w:szCs w:val="18"/>
        </w:rPr>
      </w:pPr>
      <w:r>
        <w:rPr>
          <w:i/>
          <w:iCs/>
          <w:sz w:val="22"/>
          <w:szCs w:val="18"/>
        </w:rPr>
        <w:br w:type="page"/>
      </w:r>
    </w:p>
    <w:p w14:paraId="1BE1F039" w14:textId="156DE3E9" w:rsidR="00DA028F" w:rsidRDefault="00DA028F" w:rsidP="00E73B9B">
      <w:pPr>
        <w:ind w:left="360"/>
        <w:rPr>
          <w:i/>
          <w:iCs/>
          <w:sz w:val="22"/>
          <w:szCs w:val="18"/>
        </w:rPr>
      </w:pPr>
      <w:r w:rsidRPr="00930167">
        <w:rPr>
          <w:i/>
          <w:iCs/>
          <w:sz w:val="22"/>
          <w:szCs w:val="18"/>
        </w:rPr>
        <w:lastRenderedPageBreak/>
        <w:t xml:space="preserve">Table </w:t>
      </w:r>
      <w:r w:rsidR="00631269" w:rsidRPr="00930167">
        <w:rPr>
          <w:i/>
          <w:iCs/>
          <w:sz w:val="22"/>
          <w:szCs w:val="18"/>
        </w:rPr>
        <w:fldChar w:fldCharType="begin"/>
      </w:r>
      <w:r w:rsidR="00631269" w:rsidRPr="00930167">
        <w:rPr>
          <w:i/>
          <w:iCs/>
          <w:sz w:val="22"/>
          <w:szCs w:val="18"/>
        </w:rPr>
        <w:instrText xml:space="preserve"> SEQ Table \* ARABIC </w:instrText>
      </w:r>
      <w:r w:rsidR="00631269" w:rsidRPr="00930167">
        <w:rPr>
          <w:i/>
          <w:iCs/>
          <w:sz w:val="22"/>
          <w:szCs w:val="18"/>
        </w:rPr>
        <w:fldChar w:fldCharType="separate"/>
      </w:r>
      <w:r w:rsidRPr="00930167">
        <w:rPr>
          <w:i/>
          <w:iCs/>
          <w:noProof/>
          <w:sz w:val="22"/>
          <w:szCs w:val="18"/>
        </w:rPr>
        <w:t>2</w:t>
      </w:r>
      <w:r w:rsidR="00631269" w:rsidRPr="00930167">
        <w:rPr>
          <w:i/>
          <w:iCs/>
          <w:noProof/>
          <w:sz w:val="22"/>
          <w:szCs w:val="18"/>
        </w:rPr>
        <w:fldChar w:fldCharType="end"/>
      </w:r>
      <w:bookmarkEnd w:id="31"/>
      <w:r w:rsidRPr="00930167">
        <w:rPr>
          <w:i/>
          <w:iCs/>
          <w:sz w:val="22"/>
          <w:szCs w:val="18"/>
        </w:rPr>
        <w:t>. Rapid infusion protocol for pre-made iron polymaltose bags</w:t>
      </w:r>
      <w:bookmarkEnd w:id="32"/>
    </w:p>
    <w:p w14:paraId="6FA9F6B3" w14:textId="77777777" w:rsidR="00930167" w:rsidRPr="00930167" w:rsidRDefault="00930167" w:rsidP="00E73B9B">
      <w:pPr>
        <w:rPr>
          <w:i/>
          <w:iCs/>
          <w:sz w:val="22"/>
          <w:szCs w:val="18"/>
        </w:rPr>
      </w:pPr>
    </w:p>
    <w:tbl>
      <w:tblPr>
        <w:tblStyle w:val="TableGrid"/>
        <w:tblpPr w:leftFromText="180" w:rightFromText="180" w:vertAnchor="page" w:horzAnchor="margin" w:tblpY="2206"/>
        <w:tblW w:w="10060" w:type="dxa"/>
        <w:tblLayout w:type="fixed"/>
        <w:tblLook w:val="04A0" w:firstRow="1" w:lastRow="0" w:firstColumn="1" w:lastColumn="0" w:noHBand="0" w:noVBand="1"/>
      </w:tblPr>
      <w:tblGrid>
        <w:gridCol w:w="1545"/>
        <w:gridCol w:w="1275"/>
        <w:gridCol w:w="1276"/>
        <w:gridCol w:w="1276"/>
        <w:gridCol w:w="1559"/>
        <w:gridCol w:w="3129"/>
      </w:tblGrid>
      <w:tr w:rsidR="00930167" w:rsidRPr="00930167" w14:paraId="2C2A22D7" w14:textId="77777777" w:rsidTr="00930167">
        <w:trPr>
          <w:trHeight w:val="1673"/>
        </w:trPr>
        <w:tc>
          <w:tcPr>
            <w:tcW w:w="1545" w:type="dxa"/>
            <w:shd w:val="clear" w:color="auto" w:fill="auto"/>
            <w:vAlign w:val="center"/>
          </w:tcPr>
          <w:p w14:paraId="1BA9AE75" w14:textId="77777777" w:rsidR="00930167" w:rsidRPr="00930167" w:rsidRDefault="00930167" w:rsidP="00E73B9B">
            <w:pPr>
              <w:pStyle w:val="TableHeading"/>
            </w:pPr>
            <w:r w:rsidRPr="00930167">
              <w:t>Iron polymaltose preparation</w:t>
            </w:r>
          </w:p>
        </w:tc>
        <w:tc>
          <w:tcPr>
            <w:tcW w:w="1275" w:type="dxa"/>
            <w:shd w:val="clear" w:color="auto" w:fill="auto"/>
            <w:vAlign w:val="center"/>
          </w:tcPr>
          <w:p w14:paraId="57966F35" w14:textId="77777777" w:rsidR="00930167" w:rsidRPr="00930167" w:rsidRDefault="00930167" w:rsidP="00E73B9B">
            <w:pPr>
              <w:pStyle w:val="TableHeading"/>
            </w:pPr>
            <w:r w:rsidRPr="00930167">
              <w:t>Total volume to be infused</w:t>
            </w:r>
          </w:p>
        </w:tc>
        <w:tc>
          <w:tcPr>
            <w:tcW w:w="1276" w:type="dxa"/>
            <w:shd w:val="clear" w:color="auto" w:fill="auto"/>
            <w:vAlign w:val="center"/>
          </w:tcPr>
          <w:p w14:paraId="413520A4" w14:textId="77777777" w:rsidR="00930167" w:rsidRPr="00930167" w:rsidRDefault="00930167" w:rsidP="00E73B9B">
            <w:pPr>
              <w:pStyle w:val="TableHeading"/>
            </w:pPr>
            <w:r w:rsidRPr="00930167">
              <w:t>Total infusion time (approx.)</w:t>
            </w:r>
          </w:p>
        </w:tc>
        <w:tc>
          <w:tcPr>
            <w:tcW w:w="1276" w:type="dxa"/>
            <w:shd w:val="clear" w:color="auto" w:fill="auto"/>
            <w:vAlign w:val="center"/>
          </w:tcPr>
          <w:p w14:paraId="2E320BFF" w14:textId="77777777" w:rsidR="00930167" w:rsidRPr="00930167" w:rsidRDefault="00930167" w:rsidP="00E73B9B">
            <w:pPr>
              <w:pStyle w:val="TableHeading"/>
            </w:pPr>
            <w:r w:rsidRPr="00930167">
              <w:t>Initial infusion rate</w:t>
            </w:r>
          </w:p>
        </w:tc>
        <w:tc>
          <w:tcPr>
            <w:tcW w:w="1559" w:type="dxa"/>
            <w:shd w:val="clear" w:color="auto" w:fill="auto"/>
            <w:vAlign w:val="center"/>
          </w:tcPr>
          <w:p w14:paraId="5102F600" w14:textId="77777777" w:rsidR="00930167" w:rsidRPr="00930167" w:rsidRDefault="00930167" w:rsidP="00E73B9B">
            <w:pPr>
              <w:pStyle w:val="TableHeading"/>
            </w:pPr>
            <w:r w:rsidRPr="00930167">
              <w:t>If initial infusion is tolerated, increase rate to:</w:t>
            </w:r>
          </w:p>
        </w:tc>
        <w:tc>
          <w:tcPr>
            <w:tcW w:w="3129" w:type="dxa"/>
            <w:shd w:val="clear" w:color="auto" w:fill="auto"/>
            <w:vAlign w:val="center"/>
          </w:tcPr>
          <w:p w14:paraId="79A438F6" w14:textId="77777777" w:rsidR="00930167" w:rsidRPr="00930167" w:rsidRDefault="00930167" w:rsidP="00E73B9B">
            <w:pPr>
              <w:pStyle w:val="TableHeading"/>
            </w:pPr>
            <w:r w:rsidRPr="00930167">
              <w:t>Monitoring</w:t>
            </w:r>
          </w:p>
        </w:tc>
      </w:tr>
      <w:tr w:rsidR="00930167" w:rsidRPr="00930167" w14:paraId="1333BAAA" w14:textId="77777777" w:rsidTr="00930167">
        <w:trPr>
          <w:trHeight w:val="1673"/>
        </w:trPr>
        <w:tc>
          <w:tcPr>
            <w:tcW w:w="1545" w:type="dxa"/>
            <w:shd w:val="clear" w:color="auto" w:fill="auto"/>
            <w:vAlign w:val="center"/>
          </w:tcPr>
          <w:p w14:paraId="6787541D" w14:textId="77777777" w:rsidR="00930167" w:rsidRPr="00930167" w:rsidRDefault="00930167" w:rsidP="00E73B9B">
            <w:pPr>
              <w:pStyle w:val="Tablecontent"/>
            </w:pPr>
            <w:r w:rsidRPr="00930167">
              <w:t>1000 mg in 250 mL sodium chloride 0.9%</w:t>
            </w:r>
          </w:p>
        </w:tc>
        <w:tc>
          <w:tcPr>
            <w:tcW w:w="1275" w:type="dxa"/>
            <w:shd w:val="clear" w:color="auto" w:fill="auto"/>
            <w:vAlign w:val="center"/>
          </w:tcPr>
          <w:p w14:paraId="4DB2DDB6" w14:textId="77777777" w:rsidR="00930167" w:rsidRPr="00930167" w:rsidRDefault="00930167" w:rsidP="00E73B9B">
            <w:pPr>
              <w:pStyle w:val="Tablecontent"/>
            </w:pPr>
            <w:r w:rsidRPr="00930167">
              <w:t>285 mL</w:t>
            </w:r>
          </w:p>
        </w:tc>
        <w:tc>
          <w:tcPr>
            <w:tcW w:w="1276" w:type="dxa"/>
            <w:shd w:val="clear" w:color="auto" w:fill="auto"/>
            <w:vAlign w:val="center"/>
          </w:tcPr>
          <w:p w14:paraId="61F06EA6" w14:textId="77777777" w:rsidR="00930167" w:rsidRPr="00930167" w:rsidRDefault="00930167" w:rsidP="00E73B9B">
            <w:pPr>
              <w:pStyle w:val="Tablecontent"/>
            </w:pPr>
            <w:r w:rsidRPr="00930167">
              <w:t>81 minutes</w:t>
            </w:r>
          </w:p>
        </w:tc>
        <w:tc>
          <w:tcPr>
            <w:tcW w:w="1276" w:type="dxa"/>
            <w:shd w:val="clear" w:color="auto" w:fill="auto"/>
            <w:vAlign w:val="center"/>
          </w:tcPr>
          <w:p w14:paraId="5FD1C6D8" w14:textId="77777777" w:rsidR="00930167" w:rsidRPr="00930167" w:rsidRDefault="00930167" w:rsidP="00E73B9B">
            <w:pPr>
              <w:pStyle w:val="Tablecontent"/>
            </w:pPr>
            <w:r w:rsidRPr="00930167">
              <w:t>40 mL/h</w:t>
            </w:r>
          </w:p>
          <w:p w14:paraId="0DC645EE" w14:textId="77777777" w:rsidR="00930167" w:rsidRPr="00930167" w:rsidRDefault="00930167" w:rsidP="00E73B9B">
            <w:pPr>
              <w:pStyle w:val="Tablecontent"/>
            </w:pPr>
            <w:r w:rsidRPr="00930167">
              <w:t>for 15 minutes</w:t>
            </w:r>
          </w:p>
        </w:tc>
        <w:tc>
          <w:tcPr>
            <w:tcW w:w="1559" w:type="dxa"/>
            <w:shd w:val="clear" w:color="auto" w:fill="auto"/>
            <w:vAlign w:val="center"/>
          </w:tcPr>
          <w:p w14:paraId="0A757FCD" w14:textId="77777777" w:rsidR="00930167" w:rsidRPr="00930167" w:rsidRDefault="00930167" w:rsidP="00E73B9B">
            <w:pPr>
              <w:pStyle w:val="Tablecontent"/>
            </w:pPr>
            <w:r w:rsidRPr="00930167">
              <w:t>250 mL/h</w:t>
            </w:r>
          </w:p>
        </w:tc>
        <w:tc>
          <w:tcPr>
            <w:tcW w:w="3129" w:type="dxa"/>
            <w:vMerge w:val="restart"/>
            <w:shd w:val="clear" w:color="auto" w:fill="auto"/>
            <w:vAlign w:val="center"/>
          </w:tcPr>
          <w:p w14:paraId="58B481C3" w14:textId="40E188EB" w:rsidR="00930167" w:rsidRPr="00930167" w:rsidRDefault="00930167" w:rsidP="00E73B9B">
            <w:pPr>
              <w:pStyle w:val="Tablecontent"/>
            </w:pPr>
            <w:r w:rsidRPr="00930167">
              <w:t xml:space="preserve">Record vital signs at baseline, followed by every 5 minutes during the initial 15 minutes, then every 15 minutes for the remainder of the infusion. Vital signs include blood pressure, heart rate, respiratory rate, oxygen saturation and body temperature. </w:t>
            </w:r>
          </w:p>
          <w:p w14:paraId="1FE2E8B6" w14:textId="77777777" w:rsidR="00930167" w:rsidRPr="00930167" w:rsidRDefault="00930167" w:rsidP="00E73B9B">
            <w:pPr>
              <w:pStyle w:val="Tablecontent"/>
            </w:pPr>
          </w:p>
          <w:p w14:paraId="5F0663E9" w14:textId="77777777" w:rsidR="00930167" w:rsidRPr="00930167" w:rsidRDefault="00930167" w:rsidP="00E73B9B">
            <w:pPr>
              <w:pStyle w:val="Tablecontent"/>
              <w:rPr>
                <w:vertAlign w:val="superscript"/>
              </w:rPr>
            </w:pPr>
            <w:r w:rsidRPr="00930167">
              <w:t>Upon infusion completion, continue to monitor for any adverse reactions for at least 30 minutes or if patient experienced adverse reactions during administration, monitor for at least 60 minutes.</w:t>
            </w:r>
          </w:p>
        </w:tc>
      </w:tr>
      <w:tr w:rsidR="00930167" w:rsidRPr="00930167" w14:paraId="4DE82D60" w14:textId="77777777" w:rsidTr="00930167">
        <w:trPr>
          <w:trHeight w:val="1485"/>
        </w:trPr>
        <w:tc>
          <w:tcPr>
            <w:tcW w:w="1545" w:type="dxa"/>
            <w:shd w:val="clear" w:color="auto" w:fill="auto"/>
            <w:vAlign w:val="center"/>
          </w:tcPr>
          <w:p w14:paraId="428CB724" w14:textId="77777777" w:rsidR="00930167" w:rsidRPr="00930167" w:rsidRDefault="00930167" w:rsidP="00E73B9B">
            <w:pPr>
              <w:pStyle w:val="Tablecontent"/>
            </w:pPr>
            <w:r w:rsidRPr="00930167">
              <w:t>1500 mg in 500 mL sodium chloride 0.9%</w:t>
            </w:r>
          </w:p>
        </w:tc>
        <w:tc>
          <w:tcPr>
            <w:tcW w:w="1275" w:type="dxa"/>
            <w:shd w:val="clear" w:color="auto" w:fill="auto"/>
            <w:vAlign w:val="center"/>
          </w:tcPr>
          <w:p w14:paraId="2B5AC070" w14:textId="77777777" w:rsidR="00930167" w:rsidRPr="00930167" w:rsidRDefault="00930167" w:rsidP="00E73B9B">
            <w:pPr>
              <w:pStyle w:val="Tablecontent"/>
            </w:pPr>
            <w:r w:rsidRPr="00930167">
              <w:t>575 mL</w:t>
            </w:r>
          </w:p>
        </w:tc>
        <w:tc>
          <w:tcPr>
            <w:tcW w:w="1276" w:type="dxa"/>
            <w:shd w:val="clear" w:color="auto" w:fill="auto"/>
            <w:vAlign w:val="center"/>
          </w:tcPr>
          <w:p w14:paraId="539552CA" w14:textId="77777777" w:rsidR="00930167" w:rsidRPr="00930167" w:rsidRDefault="00930167" w:rsidP="00E73B9B">
            <w:pPr>
              <w:pStyle w:val="Tablecontent"/>
            </w:pPr>
            <w:r w:rsidRPr="00930167">
              <w:t>82 minutes</w:t>
            </w:r>
          </w:p>
        </w:tc>
        <w:tc>
          <w:tcPr>
            <w:tcW w:w="1276" w:type="dxa"/>
            <w:shd w:val="clear" w:color="auto" w:fill="auto"/>
            <w:vAlign w:val="center"/>
          </w:tcPr>
          <w:p w14:paraId="229601E0" w14:textId="77777777" w:rsidR="00930167" w:rsidRPr="00930167" w:rsidRDefault="00930167" w:rsidP="00E73B9B">
            <w:pPr>
              <w:pStyle w:val="Tablecontent"/>
            </w:pPr>
            <w:r w:rsidRPr="00930167">
              <w:t>80 mL/h</w:t>
            </w:r>
          </w:p>
          <w:p w14:paraId="6FD2B6D4" w14:textId="77777777" w:rsidR="00930167" w:rsidRPr="00930167" w:rsidRDefault="00930167" w:rsidP="00E73B9B">
            <w:pPr>
              <w:pStyle w:val="Tablecontent"/>
            </w:pPr>
            <w:r w:rsidRPr="00930167">
              <w:t>for 15 minutes</w:t>
            </w:r>
          </w:p>
        </w:tc>
        <w:tc>
          <w:tcPr>
            <w:tcW w:w="1559" w:type="dxa"/>
            <w:shd w:val="clear" w:color="auto" w:fill="auto"/>
            <w:vAlign w:val="center"/>
          </w:tcPr>
          <w:p w14:paraId="01BCD5A9" w14:textId="77777777" w:rsidR="00930167" w:rsidRPr="00930167" w:rsidRDefault="00930167" w:rsidP="00E73B9B">
            <w:pPr>
              <w:pStyle w:val="Tablecontent"/>
            </w:pPr>
            <w:r w:rsidRPr="00930167">
              <w:t>500 mL/h</w:t>
            </w:r>
          </w:p>
        </w:tc>
        <w:tc>
          <w:tcPr>
            <w:tcW w:w="3129" w:type="dxa"/>
            <w:vMerge/>
            <w:shd w:val="clear" w:color="auto" w:fill="auto"/>
          </w:tcPr>
          <w:p w14:paraId="445D6493" w14:textId="77777777" w:rsidR="00930167" w:rsidRPr="00930167" w:rsidRDefault="00930167" w:rsidP="00E73B9B">
            <w:pPr>
              <w:pStyle w:val="Tablecontent"/>
            </w:pPr>
          </w:p>
        </w:tc>
      </w:tr>
      <w:tr w:rsidR="00930167" w:rsidRPr="00930167" w14:paraId="55D36921" w14:textId="77777777" w:rsidTr="00930167">
        <w:trPr>
          <w:trHeight w:val="5574"/>
        </w:trPr>
        <w:tc>
          <w:tcPr>
            <w:tcW w:w="1545" w:type="dxa"/>
            <w:shd w:val="clear" w:color="auto" w:fill="auto"/>
            <w:vAlign w:val="center"/>
          </w:tcPr>
          <w:p w14:paraId="5F21A1C7" w14:textId="77777777" w:rsidR="00930167" w:rsidRPr="00930167" w:rsidRDefault="00930167" w:rsidP="00E73B9B">
            <w:pPr>
              <w:pStyle w:val="Tablecontent"/>
            </w:pPr>
            <w:r w:rsidRPr="00930167">
              <w:t>2000 mg in 500 mL sodium chloride 0.9%</w:t>
            </w:r>
          </w:p>
        </w:tc>
        <w:tc>
          <w:tcPr>
            <w:tcW w:w="1275" w:type="dxa"/>
            <w:shd w:val="clear" w:color="auto" w:fill="auto"/>
            <w:vAlign w:val="center"/>
          </w:tcPr>
          <w:p w14:paraId="28482A55" w14:textId="77777777" w:rsidR="00930167" w:rsidRPr="00930167" w:rsidRDefault="00930167" w:rsidP="00E73B9B">
            <w:pPr>
              <w:pStyle w:val="Tablecontent"/>
            </w:pPr>
            <w:r w:rsidRPr="00930167">
              <w:t>585 mL</w:t>
            </w:r>
          </w:p>
        </w:tc>
        <w:tc>
          <w:tcPr>
            <w:tcW w:w="1276" w:type="dxa"/>
            <w:shd w:val="clear" w:color="auto" w:fill="auto"/>
            <w:vAlign w:val="center"/>
          </w:tcPr>
          <w:p w14:paraId="738CCCF4" w14:textId="77777777" w:rsidR="00930167" w:rsidRPr="00930167" w:rsidRDefault="00930167" w:rsidP="00E73B9B">
            <w:pPr>
              <w:pStyle w:val="Tablecontent"/>
            </w:pPr>
            <w:r w:rsidRPr="00930167">
              <w:t>117 minutes</w:t>
            </w:r>
          </w:p>
        </w:tc>
        <w:tc>
          <w:tcPr>
            <w:tcW w:w="1276" w:type="dxa"/>
            <w:shd w:val="clear" w:color="auto" w:fill="auto"/>
            <w:vAlign w:val="center"/>
          </w:tcPr>
          <w:p w14:paraId="7B9F90D1" w14:textId="77777777" w:rsidR="00930167" w:rsidRPr="00930167" w:rsidRDefault="00930167" w:rsidP="00E73B9B">
            <w:pPr>
              <w:pStyle w:val="Tablecontent"/>
            </w:pPr>
            <w:r w:rsidRPr="00930167">
              <w:t>80 mL/h</w:t>
            </w:r>
          </w:p>
          <w:p w14:paraId="33839C96" w14:textId="77777777" w:rsidR="00930167" w:rsidRPr="00930167" w:rsidRDefault="00930167" w:rsidP="00E73B9B">
            <w:pPr>
              <w:pStyle w:val="Tablecontent"/>
            </w:pPr>
            <w:r w:rsidRPr="00930167">
              <w:t>for 15 minutes</w:t>
            </w:r>
          </w:p>
        </w:tc>
        <w:tc>
          <w:tcPr>
            <w:tcW w:w="1559" w:type="dxa"/>
            <w:shd w:val="clear" w:color="auto" w:fill="auto"/>
            <w:vAlign w:val="center"/>
          </w:tcPr>
          <w:p w14:paraId="5B1AE74E" w14:textId="77777777" w:rsidR="00930167" w:rsidRPr="00930167" w:rsidRDefault="00930167" w:rsidP="00E73B9B">
            <w:pPr>
              <w:pStyle w:val="Tablecontent"/>
            </w:pPr>
            <w:r w:rsidRPr="00930167">
              <w:t>332 mL/h</w:t>
            </w:r>
          </w:p>
        </w:tc>
        <w:tc>
          <w:tcPr>
            <w:tcW w:w="3129" w:type="dxa"/>
            <w:vMerge/>
            <w:shd w:val="clear" w:color="auto" w:fill="auto"/>
          </w:tcPr>
          <w:p w14:paraId="322879BF" w14:textId="77777777" w:rsidR="00930167" w:rsidRPr="00930167" w:rsidRDefault="00930167" w:rsidP="00E73B9B">
            <w:pPr>
              <w:pStyle w:val="Tablecontent"/>
            </w:pPr>
          </w:p>
        </w:tc>
      </w:tr>
    </w:tbl>
    <w:p w14:paraId="48E365CE" w14:textId="2B4B027A" w:rsidR="001E32F1" w:rsidRDefault="00545420" w:rsidP="00E73B9B">
      <w:pPr>
        <w:jc w:val="right"/>
        <w:rPr>
          <w:rFonts w:cs="Arial"/>
          <w:i/>
          <w:szCs w:val="24"/>
        </w:rPr>
      </w:pPr>
      <w:hyperlink w:anchor="Contents" w:history="1">
        <w:r w:rsidR="001E32F1" w:rsidRPr="00590902">
          <w:rPr>
            <w:rStyle w:val="Hyperlink"/>
            <w:rFonts w:cs="Arial"/>
            <w:i/>
            <w:szCs w:val="24"/>
          </w:rPr>
          <w:t>Back to Table of Contents</w:t>
        </w:r>
      </w:hyperlink>
      <w:r w:rsidR="001E32F1">
        <w:rPr>
          <w:rFonts w:cs="Arial"/>
          <w:i/>
          <w:szCs w:val="24"/>
        </w:rPr>
        <w:t xml:space="preserve"> </w:t>
      </w:r>
    </w:p>
    <w:p w14:paraId="4B9A5308" w14:textId="610B9143" w:rsidR="00E73B9B" w:rsidRDefault="00E73B9B" w:rsidP="00E73B9B">
      <w:pPr>
        <w:spacing w:after="200"/>
        <w:rPr>
          <w:rFonts w:cs="Arial"/>
          <w:b/>
          <w:i/>
          <w:szCs w:val="24"/>
        </w:rPr>
      </w:pPr>
      <w:r>
        <w:rPr>
          <w:rFonts w:cs="Arial"/>
          <w:b/>
          <w:i/>
          <w:szCs w:val="24"/>
        </w:rPr>
        <w:br w:type="page"/>
      </w:r>
    </w:p>
    <w:p w14:paraId="13D0B286" w14:textId="77777777" w:rsidR="00930167" w:rsidRDefault="00930167" w:rsidP="00E73B9B">
      <w:pPr>
        <w:rPr>
          <w:rFonts w:cs="Arial"/>
          <w:b/>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1E32F1" w:rsidRPr="00CD1C0E" w14:paraId="32A12249" w14:textId="77777777" w:rsidTr="008F138D">
        <w:trPr>
          <w:cantSplit/>
          <w:trHeight w:val="285"/>
        </w:trPr>
        <w:tc>
          <w:tcPr>
            <w:tcW w:w="9158" w:type="dxa"/>
            <w:shd w:val="clear" w:color="auto" w:fill="A6A6A6" w:themeFill="background1" w:themeFillShade="A6"/>
          </w:tcPr>
          <w:p w14:paraId="5478A00E" w14:textId="2671E2FA" w:rsidR="001E32F1" w:rsidRPr="003D2D06" w:rsidRDefault="001E32F1" w:rsidP="00E73B9B">
            <w:pPr>
              <w:pStyle w:val="Heading1"/>
              <w:spacing w:before="0" w:after="0"/>
            </w:pPr>
            <w:bookmarkStart w:id="33" w:name="_Toc158726132"/>
            <w:r>
              <w:t xml:space="preserve">Section </w:t>
            </w:r>
            <w:r w:rsidR="004124D4">
              <w:t>12</w:t>
            </w:r>
            <w:r w:rsidRPr="003D2D06">
              <w:t xml:space="preserve"> – </w:t>
            </w:r>
            <w:r w:rsidR="004124D4">
              <w:t xml:space="preserve">Ferric </w:t>
            </w:r>
            <w:proofErr w:type="spellStart"/>
            <w:r w:rsidR="004124D4">
              <w:t>Carboxymaltose</w:t>
            </w:r>
            <w:proofErr w:type="spellEnd"/>
            <w:r w:rsidR="004124D4">
              <w:t xml:space="preserve"> </w:t>
            </w:r>
            <w:r w:rsidR="00EA5DA0">
              <w:t>– Dose</w:t>
            </w:r>
            <w:bookmarkEnd w:id="33"/>
            <w:r w:rsidR="00EA5DA0">
              <w:t xml:space="preserve"> </w:t>
            </w:r>
          </w:p>
        </w:tc>
      </w:tr>
    </w:tbl>
    <w:p w14:paraId="79735B3B" w14:textId="77777777" w:rsidR="00C259B2" w:rsidRDefault="00C259B2" w:rsidP="00E73B9B">
      <w:pPr>
        <w:rPr>
          <w:b/>
        </w:rPr>
      </w:pPr>
    </w:p>
    <w:p w14:paraId="56E533E8" w14:textId="4AA55630" w:rsidR="00EA5DA0" w:rsidRDefault="00EA5DA0" w:rsidP="00E73B9B">
      <w:r w:rsidRPr="00444B20">
        <w:t xml:space="preserve">Ferric </w:t>
      </w:r>
      <w:proofErr w:type="spellStart"/>
      <w:r w:rsidRPr="00444B20">
        <w:t>carboxymaltose</w:t>
      </w:r>
      <w:proofErr w:type="spellEnd"/>
      <w:r w:rsidRPr="00444B20">
        <w:t xml:space="preserve"> is restricted at </w:t>
      </w:r>
      <w:r>
        <w:t xml:space="preserve">NCH and </w:t>
      </w:r>
      <w:r w:rsidRPr="0054504C">
        <w:t xml:space="preserve">may </w:t>
      </w:r>
      <w:r>
        <w:t xml:space="preserve">only </w:t>
      </w:r>
      <w:r w:rsidRPr="0054504C">
        <w:t xml:space="preserve">be prescribed in patients who meet the </w:t>
      </w:r>
      <w:r>
        <w:t xml:space="preserve">criteria </w:t>
      </w:r>
      <w:r w:rsidRPr="0054504C">
        <w:t xml:space="preserve">listed </w:t>
      </w:r>
      <w:r>
        <w:t>o</w:t>
      </w:r>
      <w:r w:rsidRPr="0054504C">
        <w:t xml:space="preserve">n the </w:t>
      </w:r>
      <w:r>
        <w:t>NCH</w:t>
      </w:r>
      <w:r w:rsidRPr="0054504C">
        <w:t xml:space="preserve"> </w:t>
      </w:r>
      <w:r w:rsidR="00752EE6">
        <w:t>Hospital F</w:t>
      </w:r>
      <w:r w:rsidRPr="0054504C">
        <w:t>ormulary</w:t>
      </w:r>
      <w:r>
        <w:t xml:space="preserve">. </w:t>
      </w:r>
      <w:r w:rsidR="00752EE6">
        <w:t>Refer to the NCH Hospital F</w:t>
      </w:r>
      <w:r>
        <w:t>ormulary for details</w:t>
      </w:r>
      <w:r w:rsidR="00752EE6">
        <w:t>, accessible from the Clinical and business apps website under the “Health services” section</w:t>
      </w:r>
      <w:r>
        <w:t>.</w:t>
      </w:r>
    </w:p>
    <w:p w14:paraId="6C9A58B6" w14:textId="77777777" w:rsidR="00EA5DA0" w:rsidRDefault="00EA5DA0" w:rsidP="00E73B9B">
      <w:pPr>
        <w:rPr>
          <w:b/>
        </w:rPr>
      </w:pPr>
    </w:p>
    <w:p w14:paraId="4C3663AD" w14:textId="5983232F" w:rsidR="00503CE5" w:rsidRDefault="00503CE5" w:rsidP="00E73B9B">
      <w:r>
        <w:t xml:space="preserve">The dose of ferric </w:t>
      </w:r>
      <w:proofErr w:type="spellStart"/>
      <w:r>
        <w:t>carboxymaltose</w:t>
      </w:r>
      <w:proofErr w:type="spellEnd"/>
      <w:r>
        <w:t xml:space="preserve"> to be given is expressed in milligrams of elemental iron. Dose calculation by the Simplified method is preferred (see </w:t>
      </w:r>
      <w:r>
        <w:fldChar w:fldCharType="begin"/>
      </w:r>
      <w:r>
        <w:instrText xml:space="preserve"> REF _Ref108843289 \h </w:instrText>
      </w:r>
      <w:r w:rsidR="00E73B9B">
        <w:instrText xml:space="preserve"> \* MERGEFORMAT </w:instrText>
      </w:r>
      <w:r>
        <w:fldChar w:fldCharType="separate"/>
      </w:r>
      <w:r>
        <w:t xml:space="preserve">Table </w:t>
      </w:r>
      <w:r>
        <w:rPr>
          <w:noProof/>
        </w:rPr>
        <w:t>3</w:t>
      </w:r>
      <w:r>
        <w:fldChar w:fldCharType="end"/>
      </w:r>
      <w:r>
        <w:t>). An alternative method (</w:t>
      </w:r>
      <w:proofErr w:type="spellStart"/>
      <w:r w:rsidRPr="00EE24BC">
        <w:t>Ganzoni</w:t>
      </w:r>
      <w:proofErr w:type="spellEnd"/>
      <w:r w:rsidRPr="00EE24BC">
        <w:t xml:space="preserve">) is outlined in </w:t>
      </w:r>
      <w:r w:rsidR="00EE24BC" w:rsidRPr="00EE24BC">
        <w:t xml:space="preserve">Section </w:t>
      </w:r>
      <w:r w:rsidR="00376405">
        <w:t>23 of this procedure</w:t>
      </w:r>
      <w:r w:rsidR="00EE24BC" w:rsidRPr="00EE24BC">
        <w:t>.</w:t>
      </w:r>
    </w:p>
    <w:p w14:paraId="022E7B21" w14:textId="77777777" w:rsidR="00503CE5" w:rsidRPr="00201FB6" w:rsidRDefault="00503CE5" w:rsidP="00E73B9B">
      <w:pPr>
        <w:rPr>
          <w:b/>
        </w:rPr>
      </w:pPr>
    </w:p>
    <w:p w14:paraId="2782FC35" w14:textId="486D09FF" w:rsidR="00EE24BC" w:rsidRPr="00B56209" w:rsidRDefault="00EE24BC" w:rsidP="00E73B9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iCs/>
          <w:szCs w:val="24"/>
        </w:rPr>
      </w:pPr>
      <w:r w:rsidRPr="00EE24BC">
        <w:rPr>
          <w:rFonts w:cs="Arial"/>
          <w:b/>
          <w:bCs/>
          <w:iCs/>
          <w:szCs w:val="24"/>
        </w:rPr>
        <w:t>Note</w:t>
      </w:r>
      <w:r w:rsidRPr="00EE24BC">
        <w:rPr>
          <w:rFonts w:cs="Arial"/>
          <w:iCs/>
          <w:szCs w:val="24"/>
        </w:rPr>
        <w:t>: Refer to appropriate section for additional considerations</w:t>
      </w:r>
      <w:r w:rsidRPr="001E32F1">
        <w:rPr>
          <w:rFonts w:cs="Arial"/>
          <w:iCs/>
          <w:szCs w:val="24"/>
        </w:rPr>
        <w:t xml:space="preserve"> in special populations: </w:t>
      </w:r>
      <w:r w:rsidR="00376405" w:rsidRPr="001E32F1">
        <w:rPr>
          <w:rFonts w:cs="Arial"/>
          <w:iCs/>
          <w:szCs w:val="24"/>
        </w:rPr>
        <w:t>Pregnancy</w:t>
      </w:r>
      <w:r w:rsidR="00376405">
        <w:rPr>
          <w:rFonts w:cs="Arial"/>
          <w:iCs/>
          <w:szCs w:val="24"/>
        </w:rPr>
        <w:t xml:space="preserve"> (Section 15)</w:t>
      </w:r>
      <w:r w:rsidR="00376405" w:rsidRPr="001E32F1">
        <w:rPr>
          <w:rFonts w:cs="Arial"/>
          <w:iCs/>
          <w:szCs w:val="24"/>
        </w:rPr>
        <w:t>, Chronic Kidney disease</w:t>
      </w:r>
      <w:r w:rsidR="00376405">
        <w:rPr>
          <w:rFonts w:cs="Arial"/>
          <w:iCs/>
          <w:szCs w:val="24"/>
        </w:rPr>
        <w:t xml:space="preserve"> (Section 16)</w:t>
      </w:r>
      <w:r w:rsidR="00376405" w:rsidRPr="001E32F1">
        <w:rPr>
          <w:rFonts w:cs="Arial"/>
          <w:iCs/>
          <w:szCs w:val="24"/>
        </w:rPr>
        <w:t xml:space="preserve">, </w:t>
      </w:r>
      <w:r w:rsidR="00376405">
        <w:rPr>
          <w:rFonts w:cs="Arial"/>
          <w:iCs/>
          <w:szCs w:val="24"/>
        </w:rPr>
        <w:t>H</w:t>
      </w:r>
      <w:r w:rsidR="00376405" w:rsidRPr="001E32F1">
        <w:rPr>
          <w:rFonts w:cs="Arial"/>
          <w:iCs/>
          <w:szCs w:val="24"/>
        </w:rPr>
        <w:t>eart failure</w:t>
      </w:r>
      <w:r w:rsidR="00376405">
        <w:rPr>
          <w:rFonts w:cs="Arial"/>
          <w:iCs/>
          <w:szCs w:val="24"/>
        </w:rPr>
        <w:t xml:space="preserve"> (Section 17)</w:t>
      </w:r>
      <w:r w:rsidR="00376405" w:rsidRPr="001E32F1">
        <w:rPr>
          <w:rFonts w:cs="Arial"/>
          <w:iCs/>
          <w:szCs w:val="24"/>
        </w:rPr>
        <w:t xml:space="preserve">, and </w:t>
      </w:r>
      <w:r w:rsidR="00376405">
        <w:rPr>
          <w:rFonts w:cs="Arial"/>
          <w:iCs/>
          <w:szCs w:val="24"/>
        </w:rPr>
        <w:t>P</w:t>
      </w:r>
      <w:r w:rsidR="00376405" w:rsidRPr="001E32F1">
        <w:rPr>
          <w:rFonts w:cs="Arial"/>
          <w:iCs/>
          <w:szCs w:val="24"/>
        </w:rPr>
        <w:t>reoperative</w:t>
      </w:r>
      <w:r w:rsidR="00376405">
        <w:rPr>
          <w:rFonts w:cs="Arial"/>
          <w:iCs/>
          <w:szCs w:val="24"/>
        </w:rPr>
        <w:t xml:space="preserve"> (Section 18).</w:t>
      </w:r>
    </w:p>
    <w:p w14:paraId="0D9FB43C" w14:textId="77777777" w:rsidR="00503CE5" w:rsidRDefault="00503CE5" w:rsidP="00E73B9B">
      <w:pPr>
        <w:rPr>
          <w:b/>
        </w:rPr>
      </w:pPr>
    </w:p>
    <w:p w14:paraId="6A749D4F" w14:textId="0348743B" w:rsidR="004124D4" w:rsidRPr="00503CE5" w:rsidRDefault="004124D4" w:rsidP="00E73B9B">
      <w:pPr>
        <w:pBdr>
          <w:top w:val="single" w:sz="4" w:space="1" w:color="auto"/>
          <w:left w:val="single" w:sz="4" w:space="4" w:color="auto"/>
          <w:bottom w:val="single" w:sz="4" w:space="1" w:color="auto"/>
          <w:right w:val="single" w:sz="4" w:space="4" w:color="auto"/>
        </w:pBdr>
        <w:rPr>
          <w:b/>
        </w:rPr>
      </w:pPr>
      <w:r w:rsidRPr="00503CE5">
        <w:rPr>
          <w:b/>
        </w:rPr>
        <w:t xml:space="preserve">A single administration of ferric </w:t>
      </w:r>
      <w:proofErr w:type="spellStart"/>
      <w:r w:rsidRPr="00503CE5">
        <w:rPr>
          <w:b/>
        </w:rPr>
        <w:t>carboxymaltose</w:t>
      </w:r>
      <w:proofErr w:type="spellEnd"/>
      <w:r w:rsidRPr="00503CE5">
        <w:rPr>
          <w:b/>
        </w:rPr>
        <w:t xml:space="preserve"> should not exceed 1000 mg or 20 mg/kg4.</w:t>
      </w:r>
    </w:p>
    <w:p w14:paraId="0EB55C0F" w14:textId="77777777" w:rsidR="00503CE5" w:rsidRDefault="00503CE5" w:rsidP="00E73B9B">
      <w:pPr>
        <w:pBdr>
          <w:top w:val="single" w:sz="4" w:space="1" w:color="auto"/>
          <w:left w:val="single" w:sz="4" w:space="4" w:color="auto"/>
          <w:bottom w:val="single" w:sz="4" w:space="1" w:color="auto"/>
          <w:right w:val="single" w:sz="4" w:space="4" w:color="auto"/>
        </w:pBdr>
        <w:rPr>
          <w:b/>
        </w:rPr>
      </w:pPr>
    </w:p>
    <w:p w14:paraId="16C3E1A1" w14:textId="43E85B8F" w:rsidR="004124D4" w:rsidRPr="00503CE5" w:rsidRDefault="004124D4" w:rsidP="00E73B9B">
      <w:pPr>
        <w:pBdr>
          <w:top w:val="single" w:sz="4" w:space="1" w:color="auto"/>
          <w:left w:val="single" w:sz="4" w:space="4" w:color="auto"/>
          <w:bottom w:val="single" w:sz="4" w:space="1" w:color="auto"/>
          <w:right w:val="single" w:sz="4" w:space="4" w:color="auto"/>
        </w:pBdr>
        <w:rPr>
          <w:bCs/>
        </w:rPr>
      </w:pPr>
      <w:r w:rsidRPr="00503CE5">
        <w:rPr>
          <w:bCs/>
        </w:rPr>
        <w:t>Doses exceeding this maximum should be given as divided doses, at least one-week apart.</w:t>
      </w:r>
    </w:p>
    <w:p w14:paraId="6C3B0E04" w14:textId="77777777" w:rsidR="00EA5DA0" w:rsidRDefault="00EA5DA0" w:rsidP="00E73B9B">
      <w:pPr>
        <w:pStyle w:val="Caption"/>
        <w:keepNext/>
        <w:spacing w:after="0"/>
      </w:pPr>
      <w:bookmarkStart w:id="34" w:name="_Ref108843289"/>
      <w:bookmarkStart w:id="35" w:name="_Ref111287022"/>
    </w:p>
    <w:p w14:paraId="73B38F9D" w14:textId="4E213D57" w:rsidR="004124D4" w:rsidRDefault="004124D4" w:rsidP="00E73B9B">
      <w:pPr>
        <w:pStyle w:val="Caption"/>
        <w:keepNext/>
        <w:spacing w:after="0"/>
      </w:pPr>
      <w:r>
        <w:t xml:space="preserve">Table </w:t>
      </w:r>
      <w:fldSimple w:instr=" SEQ Table \* ARABIC ">
        <w:r>
          <w:rPr>
            <w:noProof/>
          </w:rPr>
          <w:t>3</w:t>
        </w:r>
      </w:fldSimple>
      <w:bookmarkEnd w:id="34"/>
      <w:r>
        <w:t xml:space="preserve">. Dose recommendations for ferric </w:t>
      </w:r>
      <w:proofErr w:type="spellStart"/>
      <w:r>
        <w:t>carboxymaltose</w:t>
      </w:r>
      <w:proofErr w:type="spellEnd"/>
      <w:r>
        <w:t xml:space="preserve"> – the Simplified method</w:t>
      </w:r>
      <w:r w:rsidRPr="00614F19">
        <w:rPr>
          <w:vertAlign w:val="superscript"/>
        </w:rPr>
        <w:t>4</w:t>
      </w:r>
      <w:r>
        <w:t>.</w:t>
      </w:r>
      <w:bookmarkEnd w:id="35"/>
      <w:r>
        <w:t xml:space="preserve"> </w:t>
      </w:r>
    </w:p>
    <w:tbl>
      <w:tblPr>
        <w:tblStyle w:val="TableGrid"/>
        <w:tblW w:w="0" w:type="auto"/>
        <w:jc w:val="center"/>
        <w:tblLook w:val="04A0" w:firstRow="1" w:lastRow="0" w:firstColumn="1" w:lastColumn="0" w:noHBand="0" w:noVBand="1"/>
      </w:tblPr>
      <w:tblGrid>
        <w:gridCol w:w="1771"/>
        <w:gridCol w:w="1701"/>
        <w:gridCol w:w="1573"/>
      </w:tblGrid>
      <w:tr w:rsidR="004124D4" w:rsidRPr="009305B8" w14:paraId="2051E4DC" w14:textId="77777777" w:rsidTr="00EA5DA0">
        <w:trPr>
          <w:jc w:val="center"/>
        </w:trPr>
        <w:tc>
          <w:tcPr>
            <w:tcW w:w="1771" w:type="dxa"/>
            <w:vMerge w:val="restart"/>
            <w:vAlign w:val="bottom"/>
          </w:tcPr>
          <w:p w14:paraId="4A9967BB" w14:textId="77777777" w:rsidR="004124D4" w:rsidRDefault="004124D4" w:rsidP="00E73B9B">
            <w:pPr>
              <w:pStyle w:val="TableHeading"/>
            </w:pPr>
            <w:r w:rsidRPr="00950198">
              <w:t>Hb (g/L)</w:t>
            </w:r>
            <w:r>
              <w:t xml:space="preserve"> </w:t>
            </w:r>
          </w:p>
          <w:p w14:paraId="7A2D47C6" w14:textId="77777777" w:rsidR="004124D4" w:rsidRPr="00950198" w:rsidRDefault="004124D4" w:rsidP="00E73B9B">
            <w:pPr>
              <w:pStyle w:val="TableHeading"/>
            </w:pPr>
            <w:r>
              <w:rPr>
                <w:vertAlign w:val="superscript"/>
              </w:rPr>
              <w:t>[Note 1]</w:t>
            </w:r>
          </w:p>
        </w:tc>
        <w:tc>
          <w:tcPr>
            <w:tcW w:w="3274" w:type="dxa"/>
            <w:gridSpan w:val="2"/>
            <w:vAlign w:val="center"/>
          </w:tcPr>
          <w:p w14:paraId="362764C7" w14:textId="77777777" w:rsidR="004124D4" w:rsidRPr="00950198" w:rsidRDefault="004124D4" w:rsidP="00E73B9B">
            <w:pPr>
              <w:pStyle w:val="TableHeading"/>
              <w:rPr>
                <w:vertAlign w:val="superscript"/>
              </w:rPr>
            </w:pPr>
            <w:r w:rsidRPr="00950198">
              <w:t>Body weight</w:t>
            </w:r>
            <w:r>
              <w:t xml:space="preserve"> </w:t>
            </w:r>
            <w:r>
              <w:rPr>
                <w:vertAlign w:val="superscript"/>
              </w:rPr>
              <w:t>[Note 2]</w:t>
            </w:r>
          </w:p>
        </w:tc>
      </w:tr>
      <w:tr w:rsidR="004124D4" w:rsidRPr="009305B8" w14:paraId="59E1E99B" w14:textId="77777777" w:rsidTr="00EA5DA0">
        <w:trPr>
          <w:jc w:val="center"/>
        </w:trPr>
        <w:tc>
          <w:tcPr>
            <w:tcW w:w="1771" w:type="dxa"/>
            <w:vMerge/>
            <w:vAlign w:val="center"/>
          </w:tcPr>
          <w:p w14:paraId="00C5991A" w14:textId="77777777" w:rsidR="004124D4" w:rsidRPr="00950198" w:rsidRDefault="004124D4" w:rsidP="00E73B9B">
            <w:pPr>
              <w:pStyle w:val="TableHeading"/>
            </w:pPr>
          </w:p>
        </w:tc>
        <w:tc>
          <w:tcPr>
            <w:tcW w:w="1701" w:type="dxa"/>
            <w:vAlign w:val="center"/>
          </w:tcPr>
          <w:p w14:paraId="378F315E" w14:textId="77777777" w:rsidR="004124D4" w:rsidRPr="00950198" w:rsidRDefault="004124D4" w:rsidP="00E73B9B">
            <w:pPr>
              <w:pStyle w:val="TableHeading"/>
            </w:pPr>
            <w:r w:rsidRPr="00950198">
              <w:t>35 to &lt; 70 kg</w:t>
            </w:r>
          </w:p>
        </w:tc>
        <w:tc>
          <w:tcPr>
            <w:tcW w:w="1573" w:type="dxa"/>
            <w:vAlign w:val="center"/>
          </w:tcPr>
          <w:p w14:paraId="0B65C276" w14:textId="77777777" w:rsidR="004124D4" w:rsidRPr="00950198" w:rsidRDefault="004124D4" w:rsidP="00E73B9B">
            <w:pPr>
              <w:pStyle w:val="TableHeading"/>
            </w:pPr>
            <w:r w:rsidRPr="00950198">
              <w:rPr>
                <w:rFonts w:cs="Calibri"/>
              </w:rPr>
              <w:t>≥</w:t>
            </w:r>
            <w:r w:rsidRPr="00950198">
              <w:t xml:space="preserve"> 70 kg</w:t>
            </w:r>
          </w:p>
        </w:tc>
      </w:tr>
      <w:tr w:rsidR="004124D4" w:rsidRPr="009305B8" w14:paraId="6D9582DA" w14:textId="77777777" w:rsidTr="00EA5DA0">
        <w:trPr>
          <w:jc w:val="center"/>
        </w:trPr>
        <w:tc>
          <w:tcPr>
            <w:tcW w:w="1771" w:type="dxa"/>
            <w:vAlign w:val="center"/>
          </w:tcPr>
          <w:p w14:paraId="4ACBB6C0" w14:textId="77777777" w:rsidR="004124D4" w:rsidRPr="00950198" w:rsidRDefault="004124D4" w:rsidP="00E73B9B">
            <w:pPr>
              <w:pStyle w:val="TableHeading"/>
            </w:pPr>
            <w:r w:rsidRPr="00950198">
              <w:t>&lt; 100</w:t>
            </w:r>
          </w:p>
        </w:tc>
        <w:tc>
          <w:tcPr>
            <w:tcW w:w="1701" w:type="dxa"/>
            <w:vAlign w:val="center"/>
          </w:tcPr>
          <w:p w14:paraId="042EBC9E" w14:textId="77777777" w:rsidR="004124D4" w:rsidRPr="00DB211D" w:rsidRDefault="004124D4" w:rsidP="00E73B9B">
            <w:pPr>
              <w:pStyle w:val="Tablecontent"/>
            </w:pPr>
            <w:r>
              <w:t>1500 mg</w:t>
            </w:r>
          </w:p>
        </w:tc>
        <w:tc>
          <w:tcPr>
            <w:tcW w:w="1573" w:type="dxa"/>
            <w:vAlign w:val="center"/>
          </w:tcPr>
          <w:p w14:paraId="1006BD36" w14:textId="77777777" w:rsidR="004124D4" w:rsidRPr="009305B8" w:rsidRDefault="004124D4" w:rsidP="00E73B9B">
            <w:pPr>
              <w:pStyle w:val="Tablecontent"/>
            </w:pPr>
            <w:r>
              <w:t>2000 mg</w:t>
            </w:r>
          </w:p>
        </w:tc>
      </w:tr>
      <w:tr w:rsidR="004124D4" w:rsidRPr="009305B8" w14:paraId="1019E3E1" w14:textId="77777777" w:rsidTr="00EA5DA0">
        <w:trPr>
          <w:jc w:val="center"/>
        </w:trPr>
        <w:tc>
          <w:tcPr>
            <w:tcW w:w="1771" w:type="dxa"/>
            <w:shd w:val="clear" w:color="auto" w:fill="FFFFFF" w:themeFill="background1"/>
            <w:vAlign w:val="center"/>
          </w:tcPr>
          <w:p w14:paraId="1BC9D4EA" w14:textId="77777777" w:rsidR="004124D4" w:rsidRPr="00950198" w:rsidRDefault="004124D4" w:rsidP="00E73B9B">
            <w:pPr>
              <w:pStyle w:val="TableHeading"/>
            </w:pPr>
            <w:r w:rsidRPr="00950198">
              <w:t>100 to &lt; 140</w:t>
            </w:r>
          </w:p>
        </w:tc>
        <w:tc>
          <w:tcPr>
            <w:tcW w:w="1701" w:type="dxa"/>
            <w:shd w:val="clear" w:color="auto" w:fill="FFFFFF" w:themeFill="background1"/>
            <w:vAlign w:val="center"/>
          </w:tcPr>
          <w:p w14:paraId="28F9E841" w14:textId="77777777" w:rsidR="004124D4" w:rsidRPr="009305B8" w:rsidRDefault="004124D4" w:rsidP="00E73B9B">
            <w:pPr>
              <w:pStyle w:val="Tablecontent"/>
            </w:pPr>
            <w:r w:rsidRPr="009305B8">
              <w:t>1</w:t>
            </w:r>
            <w:r>
              <w:t>0</w:t>
            </w:r>
            <w:r w:rsidRPr="009305B8">
              <w:t>00 mg</w:t>
            </w:r>
          </w:p>
        </w:tc>
        <w:tc>
          <w:tcPr>
            <w:tcW w:w="1573" w:type="dxa"/>
            <w:shd w:val="clear" w:color="auto" w:fill="FFFFFF" w:themeFill="background1"/>
            <w:vAlign w:val="center"/>
          </w:tcPr>
          <w:p w14:paraId="164FD7E3" w14:textId="77777777" w:rsidR="004124D4" w:rsidRPr="009305B8" w:rsidRDefault="004124D4" w:rsidP="00E73B9B">
            <w:pPr>
              <w:pStyle w:val="Tablecontent"/>
            </w:pPr>
            <w:r>
              <w:t>15</w:t>
            </w:r>
            <w:r w:rsidRPr="009305B8">
              <w:t>00 mg</w:t>
            </w:r>
          </w:p>
        </w:tc>
      </w:tr>
      <w:tr w:rsidR="004124D4" w:rsidRPr="009305B8" w14:paraId="71E69DFE" w14:textId="77777777" w:rsidTr="00EA5DA0">
        <w:trPr>
          <w:jc w:val="center"/>
        </w:trPr>
        <w:tc>
          <w:tcPr>
            <w:tcW w:w="1771" w:type="dxa"/>
            <w:vAlign w:val="center"/>
          </w:tcPr>
          <w:p w14:paraId="4C47DBFF" w14:textId="77777777" w:rsidR="004124D4" w:rsidRPr="00950198" w:rsidRDefault="004124D4" w:rsidP="00E73B9B">
            <w:pPr>
              <w:pStyle w:val="TableHeading"/>
            </w:pPr>
            <w:r w:rsidRPr="00950198">
              <w:t>≥ 140</w:t>
            </w:r>
          </w:p>
        </w:tc>
        <w:tc>
          <w:tcPr>
            <w:tcW w:w="1701" w:type="dxa"/>
            <w:vAlign w:val="center"/>
          </w:tcPr>
          <w:p w14:paraId="7BCF9462" w14:textId="77777777" w:rsidR="004124D4" w:rsidRPr="009305B8" w:rsidRDefault="004124D4" w:rsidP="00E73B9B">
            <w:pPr>
              <w:pStyle w:val="Tablecontent"/>
            </w:pPr>
            <w:r>
              <w:t>5</w:t>
            </w:r>
            <w:r w:rsidRPr="009305B8">
              <w:t>00 mg</w:t>
            </w:r>
          </w:p>
        </w:tc>
        <w:tc>
          <w:tcPr>
            <w:tcW w:w="1573" w:type="dxa"/>
            <w:vAlign w:val="center"/>
          </w:tcPr>
          <w:p w14:paraId="657C7021" w14:textId="77777777" w:rsidR="004124D4" w:rsidRPr="009305B8" w:rsidRDefault="004124D4" w:rsidP="00E73B9B">
            <w:pPr>
              <w:pStyle w:val="Tablecontent"/>
            </w:pPr>
            <w:r w:rsidRPr="009305B8">
              <w:t>500 mg</w:t>
            </w:r>
          </w:p>
        </w:tc>
      </w:tr>
    </w:tbl>
    <w:p w14:paraId="287E9F57" w14:textId="440D5AE9" w:rsidR="00503CE5" w:rsidRPr="00503CE5" w:rsidRDefault="004124D4" w:rsidP="00E73B9B">
      <w:pPr>
        <w:pStyle w:val="Note"/>
        <w:pBdr>
          <w:top w:val="single" w:sz="4" w:space="1" w:color="auto"/>
          <w:left w:val="single" w:sz="4" w:space="4" w:color="auto"/>
          <w:bottom w:val="single" w:sz="4" w:space="1" w:color="auto"/>
          <w:right w:val="single" w:sz="4" w:space="4" w:color="auto"/>
        </w:pBdr>
        <w:rPr>
          <w:i w:val="0"/>
          <w:iCs/>
          <w:sz w:val="24"/>
          <w:szCs w:val="24"/>
        </w:rPr>
      </w:pPr>
      <w:r w:rsidRPr="00EE24BC">
        <w:rPr>
          <w:b/>
          <w:bCs/>
          <w:i w:val="0"/>
          <w:iCs/>
          <w:sz w:val="24"/>
          <w:szCs w:val="24"/>
        </w:rPr>
        <w:t>Note</w:t>
      </w:r>
      <w:r w:rsidR="00503CE5">
        <w:rPr>
          <w:i w:val="0"/>
          <w:iCs/>
          <w:sz w:val="24"/>
          <w:szCs w:val="24"/>
        </w:rPr>
        <w:t>:</w:t>
      </w:r>
      <w:r w:rsidRPr="00503CE5">
        <w:rPr>
          <w:i w:val="0"/>
          <w:iCs/>
          <w:sz w:val="24"/>
          <w:szCs w:val="24"/>
        </w:rPr>
        <w:t xml:space="preserve"> One unit of packed red blood cells (PRBC) contains approximately 200 to 250 mg of iron. Use the post-transfusion haemoglobin to calculate dose. </w:t>
      </w:r>
    </w:p>
    <w:p w14:paraId="07F307DD" w14:textId="4618DEF6" w:rsidR="001E32F1" w:rsidRPr="00E73B9B" w:rsidRDefault="004124D4" w:rsidP="00E73B9B">
      <w:pPr>
        <w:pStyle w:val="Note"/>
        <w:pBdr>
          <w:top w:val="single" w:sz="4" w:space="1" w:color="auto"/>
          <w:left w:val="single" w:sz="4" w:space="4" w:color="auto"/>
          <w:bottom w:val="single" w:sz="4" w:space="1" w:color="auto"/>
          <w:right w:val="single" w:sz="4" w:space="4" w:color="auto"/>
        </w:pBdr>
        <w:rPr>
          <w:i w:val="0"/>
          <w:iCs/>
          <w:sz w:val="24"/>
          <w:szCs w:val="24"/>
        </w:rPr>
      </w:pPr>
      <w:r w:rsidRPr="00EE24BC">
        <w:rPr>
          <w:b/>
          <w:bCs/>
          <w:i w:val="0"/>
          <w:iCs/>
          <w:sz w:val="24"/>
          <w:szCs w:val="24"/>
        </w:rPr>
        <w:t>Note</w:t>
      </w:r>
      <w:r w:rsidR="00503CE5">
        <w:rPr>
          <w:i w:val="0"/>
          <w:iCs/>
          <w:sz w:val="24"/>
          <w:szCs w:val="24"/>
        </w:rPr>
        <w:t>:</w:t>
      </w:r>
      <w:r w:rsidRPr="00503CE5">
        <w:rPr>
          <w:i w:val="0"/>
          <w:iCs/>
          <w:sz w:val="24"/>
          <w:szCs w:val="24"/>
        </w:rPr>
        <w:t xml:space="preserve"> Use actual body weight, except in overweight patients, use ideal body weight.</w:t>
      </w:r>
    </w:p>
    <w:p w14:paraId="438CCEBD" w14:textId="77777777" w:rsidR="00E73B9B" w:rsidRDefault="00E73B9B" w:rsidP="00E73B9B">
      <w:pPr>
        <w:jc w:val="right"/>
      </w:pPr>
    </w:p>
    <w:p w14:paraId="6C49568E" w14:textId="063893DA" w:rsidR="00930167" w:rsidRPr="00930167" w:rsidRDefault="00545420" w:rsidP="00E73B9B">
      <w:pPr>
        <w:jc w:val="right"/>
        <w:rPr>
          <w:rFonts w:cs="Arial"/>
          <w:i/>
          <w:szCs w:val="24"/>
        </w:rPr>
      </w:pPr>
      <w:hyperlink w:anchor="Contents" w:history="1">
        <w:r w:rsidR="001E32F1" w:rsidRPr="00590902">
          <w:rPr>
            <w:rStyle w:val="Hyperlink"/>
            <w:rFonts w:cs="Arial"/>
            <w:i/>
            <w:szCs w:val="24"/>
          </w:rPr>
          <w:t>Back to Table of Contents</w:t>
        </w:r>
      </w:hyperlink>
      <w:r w:rsidR="001E32F1">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1E32F1" w:rsidRPr="00CD1C0E" w14:paraId="3760514A" w14:textId="77777777" w:rsidTr="008F138D">
        <w:trPr>
          <w:cantSplit/>
          <w:trHeight w:val="285"/>
        </w:trPr>
        <w:tc>
          <w:tcPr>
            <w:tcW w:w="9158" w:type="dxa"/>
            <w:shd w:val="clear" w:color="auto" w:fill="A6A6A6" w:themeFill="background1" w:themeFillShade="A6"/>
          </w:tcPr>
          <w:p w14:paraId="59BCB45E" w14:textId="3A7379BD" w:rsidR="001E32F1" w:rsidRPr="003D2D06" w:rsidRDefault="001E32F1" w:rsidP="00E73B9B">
            <w:pPr>
              <w:pStyle w:val="Heading1"/>
            </w:pPr>
            <w:bookmarkStart w:id="36" w:name="_Toc158726133"/>
            <w:r>
              <w:t xml:space="preserve">Section </w:t>
            </w:r>
            <w:r w:rsidR="00C259B2">
              <w:t>13</w:t>
            </w:r>
            <w:r w:rsidRPr="003D2D06">
              <w:t xml:space="preserve"> – </w:t>
            </w:r>
            <w:r w:rsidR="004124D4">
              <w:t xml:space="preserve">Ferric </w:t>
            </w:r>
            <w:proofErr w:type="spellStart"/>
            <w:r w:rsidR="004124D4">
              <w:t>Carboxymaltose</w:t>
            </w:r>
            <w:proofErr w:type="spellEnd"/>
            <w:r w:rsidR="00EA5DA0">
              <w:t xml:space="preserve"> –</w:t>
            </w:r>
            <w:r w:rsidR="004124D4">
              <w:t xml:space="preserve"> </w:t>
            </w:r>
            <w:r w:rsidR="00503CE5">
              <w:t>Preparation and Storage</w:t>
            </w:r>
            <w:bookmarkEnd w:id="36"/>
          </w:p>
        </w:tc>
      </w:tr>
    </w:tbl>
    <w:p w14:paraId="6C711A95" w14:textId="77777777" w:rsidR="00C259B2" w:rsidRDefault="00C259B2" w:rsidP="00E73B9B">
      <w:pPr>
        <w:rPr>
          <w:b/>
        </w:rPr>
      </w:pPr>
    </w:p>
    <w:p w14:paraId="2F436A8F" w14:textId="191E9A79" w:rsidR="00EA5DA0" w:rsidRDefault="00503CE5" w:rsidP="00E73B9B">
      <w:pPr>
        <w:pStyle w:val="ListParagraph"/>
        <w:numPr>
          <w:ilvl w:val="0"/>
          <w:numId w:val="16"/>
        </w:numPr>
        <w:ind w:left="360"/>
      </w:pPr>
      <w:r>
        <w:t xml:space="preserve">Ferric </w:t>
      </w:r>
      <w:proofErr w:type="spellStart"/>
      <w:r>
        <w:t>carboxymaltose</w:t>
      </w:r>
      <w:proofErr w:type="spellEnd"/>
      <w:r>
        <w:t xml:space="preserve"> is available from Pharmacy as vials for IV administration containing 500mg/10mL of elemental iron. </w:t>
      </w:r>
    </w:p>
    <w:p w14:paraId="4DBBCE18" w14:textId="52BED4FF" w:rsidR="001E32F1" w:rsidRPr="00930167" w:rsidRDefault="00503CE5" w:rsidP="00E73B9B">
      <w:pPr>
        <w:pStyle w:val="ListParagraph"/>
        <w:numPr>
          <w:ilvl w:val="0"/>
          <w:numId w:val="16"/>
        </w:numPr>
        <w:ind w:left="360"/>
      </w:pPr>
      <w:r w:rsidRPr="00792A50">
        <w:t>The vials should be kept at below 30</w:t>
      </w:r>
      <w:r w:rsidRPr="00057BD0">
        <w:rPr>
          <w:rFonts w:cstheme="minorHAnsi"/>
        </w:rPr>
        <w:t>°</w:t>
      </w:r>
      <w:r w:rsidRPr="00792A50">
        <w:t>C</w:t>
      </w:r>
      <w:r>
        <w:t>. T</w:t>
      </w:r>
      <w:r w:rsidRPr="00792A50">
        <w:t>he infusion solution should only be prepared immediately before use. If there are any delays to administration, the infusion solution may be stored at 2 to 8</w:t>
      </w:r>
      <w:r w:rsidRPr="00057BD0">
        <w:rPr>
          <w:rFonts w:cstheme="minorHAnsi"/>
        </w:rPr>
        <w:t>°</w:t>
      </w:r>
      <w:r w:rsidRPr="00792A50">
        <w:t>C for up to 12 hours.</w:t>
      </w:r>
    </w:p>
    <w:p w14:paraId="2A8F6259" w14:textId="72D29C3B" w:rsidR="001E32F1" w:rsidRDefault="00545420" w:rsidP="00E73B9B">
      <w:pPr>
        <w:jc w:val="right"/>
        <w:rPr>
          <w:rFonts w:cs="Arial"/>
          <w:b/>
          <w:szCs w:val="24"/>
        </w:rPr>
      </w:pPr>
      <w:hyperlink w:anchor="Contents" w:history="1">
        <w:r w:rsidR="001E32F1" w:rsidRPr="00590902">
          <w:rPr>
            <w:rStyle w:val="Hyperlink"/>
            <w:rFonts w:cs="Arial"/>
            <w:i/>
            <w:szCs w:val="24"/>
          </w:rPr>
          <w:t>Back to Table of Contents</w:t>
        </w:r>
      </w:hyperlink>
      <w:r w:rsidR="001E32F1">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1E32F1" w:rsidRPr="00CD1C0E" w14:paraId="076C4A87" w14:textId="77777777" w:rsidTr="008F138D">
        <w:trPr>
          <w:cantSplit/>
          <w:trHeight w:val="285"/>
        </w:trPr>
        <w:tc>
          <w:tcPr>
            <w:tcW w:w="9158" w:type="dxa"/>
            <w:shd w:val="clear" w:color="auto" w:fill="A6A6A6" w:themeFill="background1" w:themeFillShade="A6"/>
          </w:tcPr>
          <w:p w14:paraId="3C759F47" w14:textId="7B1220AC" w:rsidR="001E32F1" w:rsidRPr="003D2D06" w:rsidRDefault="001E32F1" w:rsidP="00E73B9B">
            <w:pPr>
              <w:pStyle w:val="Heading1"/>
            </w:pPr>
            <w:bookmarkStart w:id="37" w:name="_Toc158726134"/>
            <w:r>
              <w:lastRenderedPageBreak/>
              <w:t>Section</w:t>
            </w:r>
            <w:r w:rsidR="00C259B2">
              <w:t xml:space="preserve"> 14</w:t>
            </w:r>
            <w:r w:rsidRPr="003D2D06">
              <w:t xml:space="preserve"> – </w:t>
            </w:r>
            <w:r w:rsidR="00C259B2">
              <w:t xml:space="preserve">Ferric </w:t>
            </w:r>
            <w:proofErr w:type="spellStart"/>
            <w:r w:rsidR="00C259B2">
              <w:t>Carboxymaltose</w:t>
            </w:r>
            <w:proofErr w:type="spellEnd"/>
            <w:r w:rsidR="00C259B2">
              <w:t xml:space="preserve"> </w:t>
            </w:r>
            <w:r w:rsidR="00EA5DA0">
              <w:t xml:space="preserve">– </w:t>
            </w:r>
            <w:r w:rsidR="00C259B2">
              <w:t>Administration and Monitoring</w:t>
            </w:r>
            <w:bookmarkEnd w:id="37"/>
          </w:p>
        </w:tc>
      </w:tr>
    </w:tbl>
    <w:p w14:paraId="3DE54DAA" w14:textId="77777777" w:rsidR="001E32F1" w:rsidRDefault="001E32F1" w:rsidP="00E73B9B"/>
    <w:p w14:paraId="2118B2AA" w14:textId="77777777" w:rsidR="00C259B2" w:rsidRDefault="00C259B2" w:rsidP="00E73B9B">
      <w:pPr>
        <w:pStyle w:val="ListParagraph"/>
        <w:numPr>
          <w:ilvl w:val="0"/>
          <w:numId w:val="17"/>
        </w:numPr>
        <w:ind w:left="360"/>
      </w:pPr>
      <w:r>
        <w:t xml:space="preserve">Ferric </w:t>
      </w:r>
      <w:proofErr w:type="spellStart"/>
      <w:r>
        <w:t>carboxymaltose</w:t>
      </w:r>
      <w:proofErr w:type="spellEnd"/>
      <w:r>
        <w:t xml:space="preserve"> may be administered by IV injection as an undiluted solution via an IV syringe pump or diluted with sodium chloride 0.9% and administered via an IV infusion pump. An IV cannula</w:t>
      </w:r>
      <w:r w:rsidRPr="005B3CC1">
        <w:t xml:space="preserve"> (20 to 24 gauge) </w:t>
      </w:r>
      <w:r>
        <w:t xml:space="preserve">inserted </w:t>
      </w:r>
      <w:r w:rsidRPr="005B3CC1">
        <w:t xml:space="preserve">in </w:t>
      </w:r>
      <w:r>
        <w:t xml:space="preserve">the </w:t>
      </w:r>
      <w:r w:rsidRPr="005B3CC1">
        <w:t>distal veins of the forearm are preferred. Avoid</w:t>
      </w:r>
      <w:r>
        <w:t xml:space="preserve"> cannulation at sites of flexion (e.g. antecubital fossa, wrist) and back of hand due to the risks associated with </w:t>
      </w:r>
      <w:proofErr w:type="spellStart"/>
      <w:r>
        <w:t>extravastation</w:t>
      </w:r>
      <w:proofErr w:type="spellEnd"/>
      <w:r>
        <w:t xml:space="preserve"> and tissue infiltration.  </w:t>
      </w:r>
    </w:p>
    <w:p w14:paraId="58430178" w14:textId="77777777" w:rsidR="000E3137" w:rsidRDefault="00C259B2" w:rsidP="00E73B9B">
      <w:pPr>
        <w:pStyle w:val="ListParagraph"/>
        <w:numPr>
          <w:ilvl w:val="0"/>
          <w:numId w:val="17"/>
        </w:numPr>
        <w:ind w:left="360"/>
      </w:pPr>
      <w:r w:rsidRPr="00956937">
        <w:t>Before commencing the infusion, confirm the patency of the IV cannula by administering 50 mL of sodium chloride 0.9%</w:t>
      </w:r>
      <w:r>
        <w:t xml:space="preserve"> and noting minimal resistance to infusion and absence of any swelling or pain.</w:t>
      </w:r>
    </w:p>
    <w:p w14:paraId="66CAAD65" w14:textId="0EAEC253" w:rsidR="000E3137" w:rsidRDefault="00C259B2" w:rsidP="00E73B9B">
      <w:pPr>
        <w:pStyle w:val="ListParagraph"/>
        <w:numPr>
          <w:ilvl w:val="0"/>
          <w:numId w:val="17"/>
        </w:numPr>
        <w:ind w:left="360"/>
      </w:pPr>
      <w:r>
        <w:t xml:space="preserve">This volume may be reduced to 20 mL of sodium chloride 0.9% when ferric </w:t>
      </w:r>
      <w:proofErr w:type="spellStart"/>
      <w:r>
        <w:t>carboxymaltose</w:t>
      </w:r>
      <w:proofErr w:type="spellEnd"/>
      <w:r>
        <w:t xml:space="preserve"> is to be administered as an IV injection</w:t>
      </w:r>
      <w:r w:rsidRPr="00956937">
        <w:t>.</w:t>
      </w:r>
      <w:r w:rsidR="000E3137">
        <w:t xml:space="preserve"> Alternatively, demonstration of free aspiration of 10 mL of dark venous blood confirms the cannula as intravascular. IV fluids running freely under gravity or through a non-alarming infusion pump </w:t>
      </w:r>
      <w:r w:rsidR="000E3137" w:rsidRPr="00057BD0">
        <w:rPr>
          <w:b/>
          <w:bCs/>
        </w:rPr>
        <w:t>does not</w:t>
      </w:r>
      <w:r w:rsidR="000E3137">
        <w:t xml:space="preserve"> confirm that the cannula is intravascular. </w:t>
      </w:r>
    </w:p>
    <w:p w14:paraId="086AD875" w14:textId="77777777" w:rsidR="000E3137" w:rsidRDefault="000E3137" w:rsidP="00E73B9B">
      <w:pPr>
        <w:pStyle w:val="ListParagraph"/>
        <w:numPr>
          <w:ilvl w:val="0"/>
          <w:numId w:val="17"/>
        </w:numPr>
        <w:ind w:left="360"/>
      </w:pPr>
      <w:r>
        <w:t>At the end of the infusion, t</w:t>
      </w:r>
      <w:r w:rsidRPr="00956937">
        <w:t xml:space="preserve">he IV cannula must be thoroughly flushed to ensure that residual iron within the cannula does not deposit as the cannula is withdrawn. </w:t>
      </w:r>
    </w:p>
    <w:p w14:paraId="325A1FDF" w14:textId="77777777" w:rsidR="000E3137" w:rsidRDefault="000E3137" w:rsidP="00E73B9B"/>
    <w:p w14:paraId="325F8D2C" w14:textId="79DACF49" w:rsidR="000E3137" w:rsidRDefault="000E3137" w:rsidP="00E73B9B">
      <w:pPr>
        <w:pBdr>
          <w:top w:val="single" w:sz="4" w:space="1" w:color="auto"/>
          <w:left w:val="single" w:sz="4" w:space="4" w:color="auto"/>
          <w:bottom w:val="single" w:sz="4" w:space="1" w:color="auto"/>
          <w:right w:val="single" w:sz="4" w:space="4" w:color="auto"/>
        </w:pBdr>
      </w:pPr>
      <w:r w:rsidRPr="000E3137">
        <w:rPr>
          <w:b/>
          <w:bCs/>
        </w:rPr>
        <w:t>Note:</w:t>
      </w:r>
      <w:r>
        <w:t xml:space="preserve"> </w:t>
      </w:r>
      <w:r w:rsidRPr="000E3137">
        <w:t xml:space="preserve">In fluid-restricted patients, administer ferric </w:t>
      </w:r>
      <w:proofErr w:type="spellStart"/>
      <w:r w:rsidRPr="000E3137">
        <w:t>carboxymaltose</w:t>
      </w:r>
      <w:proofErr w:type="spellEnd"/>
      <w:r w:rsidRPr="000E3137">
        <w:t xml:space="preserve"> by IV injection as an undiluted solution via an IV syringe pump.</w:t>
      </w:r>
    </w:p>
    <w:p w14:paraId="5E5CA9A8" w14:textId="77777777" w:rsidR="00EA5DA0" w:rsidRPr="00EA5DA0" w:rsidRDefault="00EA5DA0" w:rsidP="00E73B9B">
      <w:bookmarkStart w:id="38" w:name="_Ref84080865"/>
      <w:bookmarkStart w:id="39" w:name="_Ref84080860"/>
    </w:p>
    <w:p w14:paraId="5A24F5F8" w14:textId="2F082E1E" w:rsidR="000E3137" w:rsidRPr="000E3137" w:rsidRDefault="000E3137" w:rsidP="00E73B9B">
      <w:pPr>
        <w:pStyle w:val="Caption"/>
        <w:keepNext/>
        <w:keepLines/>
        <w:rPr>
          <w:i w:val="0"/>
          <w:iCs w:val="0"/>
        </w:rPr>
      </w:pPr>
      <w:r>
        <w:t xml:space="preserve">Table </w:t>
      </w:r>
      <w:fldSimple w:instr=" SEQ Table \* ARABIC ">
        <w:r>
          <w:rPr>
            <w:noProof/>
          </w:rPr>
          <w:t>4</w:t>
        </w:r>
      </w:fldSimple>
      <w:bookmarkEnd w:id="38"/>
      <w:r>
        <w:t xml:space="preserve">. Administration and monitoring for ferric </w:t>
      </w:r>
      <w:proofErr w:type="spellStart"/>
      <w:r>
        <w:t>carboxymaltose</w:t>
      </w:r>
      <w:proofErr w:type="spellEnd"/>
      <w:r>
        <w:t xml:space="preserve"> </w:t>
      </w:r>
      <w:bookmarkEnd w:id="39"/>
    </w:p>
    <w:tbl>
      <w:tblPr>
        <w:tblStyle w:val="TableGrid"/>
        <w:tblW w:w="9199" w:type="dxa"/>
        <w:jc w:val="center"/>
        <w:tblLayout w:type="fixed"/>
        <w:tblLook w:val="04A0" w:firstRow="1" w:lastRow="0" w:firstColumn="1" w:lastColumn="0" w:noHBand="0" w:noVBand="1"/>
      </w:tblPr>
      <w:tblGrid>
        <w:gridCol w:w="1261"/>
        <w:gridCol w:w="992"/>
        <w:gridCol w:w="1418"/>
        <w:gridCol w:w="1276"/>
        <w:gridCol w:w="1275"/>
        <w:gridCol w:w="1276"/>
        <w:gridCol w:w="1701"/>
      </w:tblGrid>
      <w:tr w:rsidR="000E3137" w:rsidRPr="00F14B3E" w14:paraId="19D74754" w14:textId="77777777" w:rsidTr="00EA5DA0">
        <w:trPr>
          <w:trHeight w:val="421"/>
          <w:jc w:val="center"/>
        </w:trPr>
        <w:tc>
          <w:tcPr>
            <w:tcW w:w="1261" w:type="dxa"/>
            <w:shd w:val="clear" w:color="auto" w:fill="auto"/>
            <w:vAlign w:val="center"/>
          </w:tcPr>
          <w:p w14:paraId="56FD1B1C" w14:textId="77777777" w:rsidR="000E3137" w:rsidRPr="00F14B3E" w:rsidRDefault="000E3137" w:rsidP="00E73B9B">
            <w:pPr>
              <w:pStyle w:val="TableHeading"/>
            </w:pPr>
            <w:r w:rsidRPr="00F14B3E">
              <w:t>Method</w:t>
            </w:r>
          </w:p>
        </w:tc>
        <w:tc>
          <w:tcPr>
            <w:tcW w:w="992" w:type="dxa"/>
            <w:shd w:val="clear" w:color="auto" w:fill="auto"/>
            <w:vAlign w:val="center"/>
          </w:tcPr>
          <w:p w14:paraId="4705F037" w14:textId="77777777" w:rsidR="000E3137" w:rsidRPr="00F14B3E" w:rsidRDefault="000E3137" w:rsidP="00E73B9B">
            <w:pPr>
              <w:pStyle w:val="TableHeading"/>
            </w:pPr>
            <w:r w:rsidRPr="00F14B3E">
              <w:t>Dose</w:t>
            </w:r>
          </w:p>
        </w:tc>
        <w:tc>
          <w:tcPr>
            <w:tcW w:w="1418" w:type="dxa"/>
            <w:shd w:val="clear" w:color="auto" w:fill="auto"/>
            <w:vAlign w:val="center"/>
          </w:tcPr>
          <w:p w14:paraId="49DD4F2A" w14:textId="77777777" w:rsidR="000E3137" w:rsidRPr="00F14B3E" w:rsidRDefault="000E3137" w:rsidP="00E73B9B">
            <w:pPr>
              <w:pStyle w:val="TableHeading"/>
            </w:pPr>
            <w:r w:rsidRPr="00F14B3E">
              <w:t xml:space="preserve">Volume of ferric </w:t>
            </w:r>
            <w:proofErr w:type="spellStart"/>
            <w:r w:rsidRPr="00F14B3E">
              <w:t>carboxymaltose</w:t>
            </w:r>
            <w:proofErr w:type="spellEnd"/>
          </w:p>
        </w:tc>
        <w:tc>
          <w:tcPr>
            <w:tcW w:w="1276" w:type="dxa"/>
            <w:shd w:val="clear" w:color="auto" w:fill="auto"/>
            <w:vAlign w:val="center"/>
          </w:tcPr>
          <w:p w14:paraId="4A32C849" w14:textId="77777777" w:rsidR="000E3137" w:rsidRPr="00F14B3E" w:rsidRDefault="000E3137" w:rsidP="00E73B9B">
            <w:pPr>
              <w:pStyle w:val="TableHeading"/>
            </w:pPr>
            <w:r w:rsidRPr="00F14B3E">
              <w:t>Suggested dilution volumes</w:t>
            </w:r>
          </w:p>
        </w:tc>
        <w:tc>
          <w:tcPr>
            <w:tcW w:w="1275" w:type="dxa"/>
            <w:shd w:val="clear" w:color="auto" w:fill="auto"/>
            <w:vAlign w:val="center"/>
          </w:tcPr>
          <w:p w14:paraId="193A840B" w14:textId="77777777" w:rsidR="000E3137" w:rsidRPr="00F14B3E" w:rsidRDefault="000E3137" w:rsidP="00E73B9B">
            <w:pPr>
              <w:pStyle w:val="TableHeading"/>
            </w:pPr>
            <w:r w:rsidRPr="00F14B3E">
              <w:t>Total volume to be administered</w:t>
            </w:r>
          </w:p>
        </w:tc>
        <w:tc>
          <w:tcPr>
            <w:tcW w:w="1276" w:type="dxa"/>
            <w:shd w:val="clear" w:color="auto" w:fill="auto"/>
            <w:vAlign w:val="center"/>
          </w:tcPr>
          <w:p w14:paraId="74E86692" w14:textId="77777777" w:rsidR="000E3137" w:rsidRPr="00F14B3E" w:rsidRDefault="000E3137" w:rsidP="00E73B9B">
            <w:pPr>
              <w:pStyle w:val="TableHeading"/>
            </w:pPr>
            <w:r w:rsidRPr="00F14B3E">
              <w:t>Suggested administration time</w:t>
            </w:r>
          </w:p>
        </w:tc>
        <w:tc>
          <w:tcPr>
            <w:tcW w:w="1701" w:type="dxa"/>
            <w:shd w:val="clear" w:color="auto" w:fill="auto"/>
            <w:vAlign w:val="center"/>
          </w:tcPr>
          <w:p w14:paraId="12B3E14F" w14:textId="77777777" w:rsidR="000E3137" w:rsidRPr="00F14B3E" w:rsidRDefault="000E3137" w:rsidP="00E73B9B">
            <w:pPr>
              <w:pStyle w:val="TableHeading"/>
            </w:pPr>
            <w:r w:rsidRPr="00F14B3E">
              <w:t>Monitoring</w:t>
            </w:r>
          </w:p>
        </w:tc>
      </w:tr>
      <w:tr w:rsidR="00AD0E9A" w:rsidRPr="00F14B3E" w14:paraId="43F3FC45" w14:textId="77777777" w:rsidTr="00EA5DA0">
        <w:trPr>
          <w:trHeight w:val="905"/>
          <w:jc w:val="center"/>
        </w:trPr>
        <w:tc>
          <w:tcPr>
            <w:tcW w:w="1261" w:type="dxa"/>
            <w:vMerge w:val="restart"/>
            <w:shd w:val="clear" w:color="auto" w:fill="auto"/>
            <w:vAlign w:val="center"/>
          </w:tcPr>
          <w:p w14:paraId="72D81AC2" w14:textId="77777777" w:rsidR="000E3137" w:rsidRPr="00F14B3E" w:rsidRDefault="000E3137" w:rsidP="00E73B9B">
            <w:pPr>
              <w:pStyle w:val="Tablecontent"/>
              <w:rPr>
                <w:b/>
                <w:bCs/>
              </w:rPr>
            </w:pPr>
            <w:r w:rsidRPr="00F14B3E">
              <w:rPr>
                <w:b/>
                <w:bCs/>
              </w:rPr>
              <w:t>IV injection</w:t>
            </w:r>
          </w:p>
        </w:tc>
        <w:tc>
          <w:tcPr>
            <w:tcW w:w="992" w:type="dxa"/>
            <w:shd w:val="clear" w:color="auto" w:fill="auto"/>
            <w:vAlign w:val="center"/>
          </w:tcPr>
          <w:p w14:paraId="67877BFC" w14:textId="77777777" w:rsidR="000E3137" w:rsidRPr="00F14B3E" w:rsidRDefault="000E3137" w:rsidP="00E73B9B">
            <w:pPr>
              <w:pStyle w:val="Tablecontent"/>
            </w:pPr>
            <w:r w:rsidRPr="00F14B3E">
              <w:t>500 mg</w:t>
            </w:r>
          </w:p>
        </w:tc>
        <w:tc>
          <w:tcPr>
            <w:tcW w:w="1418" w:type="dxa"/>
            <w:shd w:val="clear" w:color="auto" w:fill="auto"/>
            <w:vAlign w:val="center"/>
          </w:tcPr>
          <w:p w14:paraId="53AC67F5" w14:textId="77777777" w:rsidR="000E3137" w:rsidRPr="00F14B3E" w:rsidRDefault="000E3137" w:rsidP="00E73B9B">
            <w:pPr>
              <w:pStyle w:val="Tablecontent"/>
            </w:pPr>
            <w:r w:rsidRPr="00F14B3E">
              <w:t>10 mL</w:t>
            </w:r>
          </w:p>
        </w:tc>
        <w:tc>
          <w:tcPr>
            <w:tcW w:w="1276" w:type="dxa"/>
            <w:shd w:val="clear" w:color="auto" w:fill="auto"/>
            <w:vAlign w:val="center"/>
          </w:tcPr>
          <w:p w14:paraId="181D140C" w14:textId="77777777" w:rsidR="000E3137" w:rsidRPr="00F14B3E" w:rsidRDefault="000E3137" w:rsidP="00E73B9B">
            <w:pPr>
              <w:pStyle w:val="Tablecontent"/>
            </w:pPr>
            <w:r w:rsidRPr="00F14B3E">
              <w:t>Undiluted</w:t>
            </w:r>
          </w:p>
        </w:tc>
        <w:tc>
          <w:tcPr>
            <w:tcW w:w="1275" w:type="dxa"/>
            <w:shd w:val="clear" w:color="auto" w:fill="auto"/>
            <w:vAlign w:val="center"/>
          </w:tcPr>
          <w:p w14:paraId="2E96D55F" w14:textId="77777777" w:rsidR="000E3137" w:rsidRPr="00F14B3E" w:rsidRDefault="000E3137" w:rsidP="00E73B9B">
            <w:pPr>
              <w:pStyle w:val="Tablecontent"/>
            </w:pPr>
            <w:r w:rsidRPr="00F14B3E">
              <w:t xml:space="preserve">10 mL </w:t>
            </w:r>
          </w:p>
        </w:tc>
        <w:tc>
          <w:tcPr>
            <w:tcW w:w="1276" w:type="dxa"/>
            <w:shd w:val="clear" w:color="auto" w:fill="auto"/>
            <w:vAlign w:val="center"/>
          </w:tcPr>
          <w:p w14:paraId="6B845C26" w14:textId="77777777" w:rsidR="000E3137" w:rsidRPr="00F14B3E" w:rsidRDefault="000E3137" w:rsidP="00E73B9B">
            <w:pPr>
              <w:pStyle w:val="Tablecontent"/>
            </w:pPr>
            <w:r w:rsidRPr="00F14B3E">
              <w:t>5 minutes</w:t>
            </w:r>
          </w:p>
        </w:tc>
        <w:tc>
          <w:tcPr>
            <w:tcW w:w="1701" w:type="dxa"/>
            <w:vMerge w:val="restart"/>
            <w:shd w:val="clear" w:color="auto" w:fill="auto"/>
            <w:vAlign w:val="center"/>
          </w:tcPr>
          <w:p w14:paraId="4FD01850" w14:textId="7F631D19" w:rsidR="000E3137" w:rsidRPr="00F14B3E" w:rsidRDefault="000E3137" w:rsidP="00E73B9B">
            <w:pPr>
              <w:pStyle w:val="Tablecontent"/>
              <w:jc w:val="left"/>
            </w:pPr>
            <w:r w:rsidRPr="00F14B3E">
              <w:t xml:space="preserve">Record vital signs at baseline and at 5 minutes after commencing administration. Vital signs include blood pressure, heart rate, respiratory rate, oxygen saturation and body temperature. </w:t>
            </w:r>
          </w:p>
          <w:p w14:paraId="56FD06A0" w14:textId="77777777" w:rsidR="000E3137" w:rsidRPr="00F14B3E" w:rsidRDefault="000E3137" w:rsidP="00E73B9B">
            <w:pPr>
              <w:pStyle w:val="Tablecontent"/>
              <w:jc w:val="left"/>
            </w:pPr>
            <w:r w:rsidRPr="00F14B3E">
              <w:lastRenderedPageBreak/>
              <w:t>Upon completion of administration, continue to monitor for any adverse reactions for at least 30 minutes or if patient experienced adverse reactions during administration, monitor for at least 60 minutes.</w:t>
            </w:r>
          </w:p>
        </w:tc>
      </w:tr>
      <w:tr w:rsidR="000E3137" w:rsidRPr="00F14B3E" w14:paraId="5B557669" w14:textId="77777777" w:rsidTr="00EA5DA0">
        <w:trPr>
          <w:trHeight w:val="905"/>
          <w:jc w:val="center"/>
        </w:trPr>
        <w:tc>
          <w:tcPr>
            <w:tcW w:w="1261" w:type="dxa"/>
            <w:vMerge/>
            <w:shd w:val="clear" w:color="auto" w:fill="auto"/>
            <w:vAlign w:val="center"/>
          </w:tcPr>
          <w:p w14:paraId="0221BC3C" w14:textId="77777777" w:rsidR="000E3137" w:rsidRPr="00F14B3E" w:rsidRDefault="000E3137" w:rsidP="00E73B9B">
            <w:pPr>
              <w:pStyle w:val="Tablecontent"/>
            </w:pPr>
          </w:p>
        </w:tc>
        <w:tc>
          <w:tcPr>
            <w:tcW w:w="992" w:type="dxa"/>
            <w:shd w:val="clear" w:color="auto" w:fill="auto"/>
            <w:vAlign w:val="center"/>
          </w:tcPr>
          <w:p w14:paraId="633F031D" w14:textId="77777777" w:rsidR="000E3137" w:rsidRPr="00F14B3E" w:rsidRDefault="000E3137" w:rsidP="00E73B9B">
            <w:pPr>
              <w:pStyle w:val="Tablecontent"/>
            </w:pPr>
            <w:r w:rsidRPr="00F14B3E">
              <w:t>1000 mg</w:t>
            </w:r>
          </w:p>
        </w:tc>
        <w:tc>
          <w:tcPr>
            <w:tcW w:w="1418" w:type="dxa"/>
            <w:shd w:val="clear" w:color="auto" w:fill="auto"/>
            <w:vAlign w:val="center"/>
          </w:tcPr>
          <w:p w14:paraId="03676E05" w14:textId="77777777" w:rsidR="000E3137" w:rsidRPr="00F14B3E" w:rsidRDefault="000E3137" w:rsidP="00E73B9B">
            <w:pPr>
              <w:pStyle w:val="Tablecontent"/>
            </w:pPr>
            <w:r w:rsidRPr="00F14B3E">
              <w:t>20 mL</w:t>
            </w:r>
          </w:p>
        </w:tc>
        <w:tc>
          <w:tcPr>
            <w:tcW w:w="1276" w:type="dxa"/>
            <w:shd w:val="clear" w:color="auto" w:fill="auto"/>
            <w:vAlign w:val="center"/>
          </w:tcPr>
          <w:p w14:paraId="31F47150" w14:textId="77777777" w:rsidR="000E3137" w:rsidRPr="00F14B3E" w:rsidRDefault="000E3137" w:rsidP="00E73B9B">
            <w:pPr>
              <w:pStyle w:val="Tablecontent"/>
            </w:pPr>
            <w:r w:rsidRPr="00F14B3E">
              <w:t>Undiluted</w:t>
            </w:r>
          </w:p>
        </w:tc>
        <w:tc>
          <w:tcPr>
            <w:tcW w:w="1275" w:type="dxa"/>
            <w:shd w:val="clear" w:color="auto" w:fill="auto"/>
            <w:vAlign w:val="center"/>
          </w:tcPr>
          <w:p w14:paraId="09ABC615" w14:textId="77777777" w:rsidR="000E3137" w:rsidRPr="00F14B3E" w:rsidRDefault="000E3137" w:rsidP="00E73B9B">
            <w:pPr>
              <w:pStyle w:val="Tablecontent"/>
            </w:pPr>
            <w:r w:rsidRPr="00F14B3E">
              <w:t>20 mL</w:t>
            </w:r>
          </w:p>
        </w:tc>
        <w:tc>
          <w:tcPr>
            <w:tcW w:w="1276" w:type="dxa"/>
            <w:shd w:val="clear" w:color="auto" w:fill="auto"/>
            <w:vAlign w:val="center"/>
          </w:tcPr>
          <w:p w14:paraId="1DDADA10" w14:textId="77777777" w:rsidR="000E3137" w:rsidRPr="00F14B3E" w:rsidRDefault="000E3137" w:rsidP="00E73B9B">
            <w:pPr>
              <w:pStyle w:val="Tablecontent"/>
            </w:pPr>
            <w:r w:rsidRPr="00F14B3E">
              <w:t>15 minutes</w:t>
            </w:r>
          </w:p>
        </w:tc>
        <w:tc>
          <w:tcPr>
            <w:tcW w:w="1701" w:type="dxa"/>
            <w:vMerge/>
            <w:shd w:val="clear" w:color="auto" w:fill="auto"/>
            <w:vAlign w:val="center"/>
          </w:tcPr>
          <w:p w14:paraId="6FEC67C2" w14:textId="77777777" w:rsidR="000E3137" w:rsidRPr="00F14B3E" w:rsidRDefault="000E3137" w:rsidP="00E73B9B">
            <w:pPr>
              <w:pStyle w:val="Tablecontent"/>
            </w:pPr>
          </w:p>
        </w:tc>
      </w:tr>
      <w:tr w:rsidR="00AD0E9A" w:rsidRPr="00F14B3E" w14:paraId="04531D48" w14:textId="77777777" w:rsidTr="00EA5DA0">
        <w:trPr>
          <w:trHeight w:val="905"/>
          <w:jc w:val="center"/>
        </w:trPr>
        <w:tc>
          <w:tcPr>
            <w:tcW w:w="1261" w:type="dxa"/>
            <w:vMerge w:val="restart"/>
            <w:shd w:val="clear" w:color="auto" w:fill="auto"/>
            <w:vAlign w:val="center"/>
          </w:tcPr>
          <w:p w14:paraId="78AC7A93" w14:textId="77777777" w:rsidR="000E3137" w:rsidRPr="00F14B3E" w:rsidRDefault="000E3137" w:rsidP="00E73B9B">
            <w:pPr>
              <w:pStyle w:val="Tablecontent"/>
              <w:rPr>
                <w:b/>
                <w:bCs/>
              </w:rPr>
            </w:pPr>
            <w:r w:rsidRPr="00F14B3E">
              <w:rPr>
                <w:b/>
                <w:bCs/>
              </w:rPr>
              <w:t>IV infusion</w:t>
            </w:r>
          </w:p>
        </w:tc>
        <w:tc>
          <w:tcPr>
            <w:tcW w:w="992" w:type="dxa"/>
            <w:shd w:val="clear" w:color="auto" w:fill="auto"/>
            <w:vAlign w:val="center"/>
          </w:tcPr>
          <w:p w14:paraId="0BE750D7" w14:textId="77777777" w:rsidR="000E3137" w:rsidRPr="00F14B3E" w:rsidRDefault="000E3137" w:rsidP="00E73B9B">
            <w:pPr>
              <w:pStyle w:val="Tablecontent"/>
            </w:pPr>
            <w:r w:rsidRPr="00F14B3E">
              <w:t>500 mg</w:t>
            </w:r>
          </w:p>
        </w:tc>
        <w:tc>
          <w:tcPr>
            <w:tcW w:w="1418" w:type="dxa"/>
            <w:shd w:val="clear" w:color="auto" w:fill="auto"/>
            <w:vAlign w:val="center"/>
          </w:tcPr>
          <w:p w14:paraId="44151043" w14:textId="77777777" w:rsidR="000E3137" w:rsidRPr="00F14B3E" w:rsidRDefault="000E3137" w:rsidP="00E73B9B">
            <w:pPr>
              <w:pStyle w:val="Tablecontent"/>
            </w:pPr>
            <w:r w:rsidRPr="00F14B3E">
              <w:t>10 mL</w:t>
            </w:r>
          </w:p>
        </w:tc>
        <w:tc>
          <w:tcPr>
            <w:tcW w:w="1276" w:type="dxa"/>
            <w:shd w:val="clear" w:color="auto" w:fill="auto"/>
            <w:vAlign w:val="center"/>
          </w:tcPr>
          <w:p w14:paraId="771DB11B" w14:textId="77777777" w:rsidR="000E3137" w:rsidRPr="00F14B3E" w:rsidRDefault="000E3137" w:rsidP="00E73B9B">
            <w:pPr>
              <w:pStyle w:val="Tablecontent"/>
            </w:pPr>
            <w:r w:rsidRPr="00F14B3E">
              <w:t>50 mL or 100 mL</w:t>
            </w:r>
          </w:p>
          <w:p w14:paraId="49203FAF" w14:textId="77777777" w:rsidR="000E3137" w:rsidRPr="00F14B3E" w:rsidRDefault="000E3137" w:rsidP="00E73B9B">
            <w:pPr>
              <w:pStyle w:val="Tablecontent"/>
            </w:pPr>
            <w:r w:rsidRPr="00F14B3E">
              <w:t>sodium chloride 0.9%</w:t>
            </w:r>
          </w:p>
        </w:tc>
        <w:tc>
          <w:tcPr>
            <w:tcW w:w="1275" w:type="dxa"/>
            <w:shd w:val="clear" w:color="auto" w:fill="auto"/>
            <w:vAlign w:val="center"/>
          </w:tcPr>
          <w:p w14:paraId="7538058C" w14:textId="77777777" w:rsidR="000E3137" w:rsidRPr="00F14B3E" w:rsidRDefault="000E3137" w:rsidP="00E73B9B">
            <w:pPr>
              <w:pStyle w:val="Tablecontent"/>
            </w:pPr>
            <w:r w:rsidRPr="00F14B3E">
              <w:t>60 mL /</w:t>
            </w:r>
          </w:p>
          <w:p w14:paraId="0139B80F" w14:textId="77777777" w:rsidR="000E3137" w:rsidRPr="00F14B3E" w:rsidRDefault="000E3137" w:rsidP="00E73B9B">
            <w:pPr>
              <w:pStyle w:val="Tablecontent"/>
            </w:pPr>
            <w:r w:rsidRPr="00F14B3E">
              <w:t>110 mL</w:t>
            </w:r>
          </w:p>
        </w:tc>
        <w:tc>
          <w:tcPr>
            <w:tcW w:w="1276" w:type="dxa"/>
            <w:shd w:val="clear" w:color="auto" w:fill="auto"/>
            <w:vAlign w:val="center"/>
          </w:tcPr>
          <w:p w14:paraId="1E56D604" w14:textId="77777777" w:rsidR="000E3137" w:rsidRPr="00F14B3E" w:rsidRDefault="000E3137" w:rsidP="00E73B9B">
            <w:pPr>
              <w:pStyle w:val="Tablecontent"/>
            </w:pPr>
            <w:r w:rsidRPr="00F14B3E">
              <w:t>6 minutes</w:t>
            </w:r>
          </w:p>
        </w:tc>
        <w:tc>
          <w:tcPr>
            <w:tcW w:w="1701" w:type="dxa"/>
            <w:vMerge/>
            <w:shd w:val="clear" w:color="auto" w:fill="auto"/>
            <w:vAlign w:val="center"/>
          </w:tcPr>
          <w:p w14:paraId="045D24A2" w14:textId="77777777" w:rsidR="000E3137" w:rsidRPr="00F14B3E" w:rsidRDefault="000E3137" w:rsidP="00E73B9B">
            <w:pPr>
              <w:pStyle w:val="Tablecontent"/>
            </w:pPr>
          </w:p>
        </w:tc>
      </w:tr>
      <w:tr w:rsidR="000E3137" w:rsidRPr="00F14B3E" w14:paraId="562D23AE" w14:textId="77777777" w:rsidTr="00EA5DA0">
        <w:trPr>
          <w:trHeight w:val="906"/>
          <w:jc w:val="center"/>
        </w:trPr>
        <w:tc>
          <w:tcPr>
            <w:tcW w:w="1261" w:type="dxa"/>
            <w:vMerge/>
            <w:shd w:val="clear" w:color="auto" w:fill="auto"/>
            <w:vAlign w:val="center"/>
          </w:tcPr>
          <w:p w14:paraId="0396F464" w14:textId="77777777" w:rsidR="000E3137" w:rsidRPr="00F14B3E" w:rsidRDefault="000E3137" w:rsidP="00E73B9B">
            <w:pPr>
              <w:pStyle w:val="Tablecontent"/>
            </w:pPr>
          </w:p>
        </w:tc>
        <w:tc>
          <w:tcPr>
            <w:tcW w:w="992" w:type="dxa"/>
            <w:shd w:val="clear" w:color="auto" w:fill="auto"/>
            <w:vAlign w:val="center"/>
          </w:tcPr>
          <w:p w14:paraId="512A5603" w14:textId="77777777" w:rsidR="000E3137" w:rsidRPr="00F14B3E" w:rsidRDefault="000E3137" w:rsidP="00E73B9B">
            <w:pPr>
              <w:pStyle w:val="Tablecontent"/>
            </w:pPr>
            <w:r w:rsidRPr="00F14B3E">
              <w:t>1000 mg</w:t>
            </w:r>
          </w:p>
        </w:tc>
        <w:tc>
          <w:tcPr>
            <w:tcW w:w="1418" w:type="dxa"/>
            <w:shd w:val="clear" w:color="auto" w:fill="auto"/>
            <w:vAlign w:val="center"/>
          </w:tcPr>
          <w:p w14:paraId="6032A3B1" w14:textId="77777777" w:rsidR="000E3137" w:rsidRPr="00F14B3E" w:rsidRDefault="000E3137" w:rsidP="00E73B9B">
            <w:pPr>
              <w:pStyle w:val="Tablecontent"/>
            </w:pPr>
            <w:r w:rsidRPr="00F14B3E">
              <w:t>20 mL</w:t>
            </w:r>
          </w:p>
        </w:tc>
        <w:tc>
          <w:tcPr>
            <w:tcW w:w="1276" w:type="dxa"/>
            <w:shd w:val="clear" w:color="auto" w:fill="auto"/>
            <w:vAlign w:val="center"/>
          </w:tcPr>
          <w:p w14:paraId="11BEA35B" w14:textId="77777777" w:rsidR="000E3137" w:rsidRPr="00F14B3E" w:rsidRDefault="000E3137" w:rsidP="00E73B9B">
            <w:pPr>
              <w:pStyle w:val="Tablecontent"/>
            </w:pPr>
            <w:r w:rsidRPr="00F14B3E">
              <w:t>100 mL or 250 mL</w:t>
            </w:r>
          </w:p>
          <w:p w14:paraId="598D9CAB" w14:textId="77777777" w:rsidR="000E3137" w:rsidRPr="00F14B3E" w:rsidRDefault="000E3137" w:rsidP="00E73B9B">
            <w:pPr>
              <w:pStyle w:val="Tablecontent"/>
            </w:pPr>
            <w:r w:rsidRPr="00F14B3E">
              <w:lastRenderedPageBreak/>
              <w:t>sodium chloride 0.9%</w:t>
            </w:r>
          </w:p>
        </w:tc>
        <w:tc>
          <w:tcPr>
            <w:tcW w:w="1275" w:type="dxa"/>
            <w:shd w:val="clear" w:color="auto" w:fill="auto"/>
            <w:vAlign w:val="center"/>
          </w:tcPr>
          <w:p w14:paraId="28C03852" w14:textId="77777777" w:rsidR="000E3137" w:rsidRPr="00F14B3E" w:rsidRDefault="000E3137" w:rsidP="00E73B9B">
            <w:pPr>
              <w:pStyle w:val="Tablecontent"/>
            </w:pPr>
            <w:r w:rsidRPr="00F14B3E">
              <w:lastRenderedPageBreak/>
              <w:t>120 mL /</w:t>
            </w:r>
          </w:p>
          <w:p w14:paraId="713D605A" w14:textId="77777777" w:rsidR="000E3137" w:rsidRPr="00F14B3E" w:rsidRDefault="000E3137" w:rsidP="00E73B9B">
            <w:pPr>
              <w:pStyle w:val="Tablecontent"/>
            </w:pPr>
            <w:r w:rsidRPr="00F14B3E">
              <w:t>270 mL</w:t>
            </w:r>
          </w:p>
        </w:tc>
        <w:tc>
          <w:tcPr>
            <w:tcW w:w="1276" w:type="dxa"/>
            <w:shd w:val="clear" w:color="auto" w:fill="auto"/>
            <w:vAlign w:val="center"/>
          </w:tcPr>
          <w:p w14:paraId="5AA6503C" w14:textId="77777777" w:rsidR="000E3137" w:rsidRPr="00F14B3E" w:rsidRDefault="000E3137" w:rsidP="00E73B9B">
            <w:pPr>
              <w:pStyle w:val="Tablecontent"/>
            </w:pPr>
            <w:r w:rsidRPr="00F14B3E">
              <w:t>15 minutes</w:t>
            </w:r>
          </w:p>
        </w:tc>
        <w:tc>
          <w:tcPr>
            <w:tcW w:w="1701" w:type="dxa"/>
            <w:vMerge/>
            <w:shd w:val="clear" w:color="auto" w:fill="auto"/>
            <w:vAlign w:val="center"/>
          </w:tcPr>
          <w:p w14:paraId="3960EB3C" w14:textId="77777777" w:rsidR="000E3137" w:rsidRPr="00F14B3E" w:rsidRDefault="000E3137" w:rsidP="00E73B9B">
            <w:pPr>
              <w:pStyle w:val="Tablecontent"/>
            </w:pPr>
          </w:p>
        </w:tc>
      </w:tr>
    </w:tbl>
    <w:p w14:paraId="5D109565" w14:textId="77777777" w:rsidR="00EA5DA0" w:rsidRDefault="00EA5DA0" w:rsidP="00E73B9B">
      <w:bookmarkStart w:id="40" w:name="_Toc83908634"/>
      <w:r>
        <w:t xml:space="preserve">Ferric </w:t>
      </w:r>
      <w:proofErr w:type="spellStart"/>
      <w:r>
        <w:t>carboxymaltose</w:t>
      </w:r>
      <w:proofErr w:type="spellEnd"/>
      <w:r>
        <w:t xml:space="preserve"> should not be diluted to concentrations less than 2mg/mL and the maximum rate of administration is 100 mg/minute.</w:t>
      </w:r>
    </w:p>
    <w:p w14:paraId="64E82E7F" w14:textId="77777777" w:rsidR="00957957" w:rsidRDefault="00957957" w:rsidP="00E73B9B"/>
    <w:bookmarkEnd w:id="40"/>
    <w:p w14:paraId="4551771B" w14:textId="432E5663" w:rsidR="00D07D65" w:rsidRPr="00E73B9B" w:rsidRDefault="00376405" w:rsidP="00E73B9B">
      <w:pPr>
        <w:jc w:val="right"/>
        <w:rPr>
          <w:rFonts w:cs="Arial"/>
          <w:i/>
          <w:szCs w:val="24"/>
        </w:rPr>
      </w:pPr>
      <w:r>
        <w:fldChar w:fldCharType="begin"/>
      </w:r>
      <w:r>
        <w:instrText>HYPERLINK \l "Contents"</w:instrText>
      </w:r>
      <w:r>
        <w:fldChar w:fldCharType="separate"/>
      </w:r>
      <w:r w:rsidR="00EE24BC" w:rsidRPr="00590902">
        <w:rPr>
          <w:rStyle w:val="Hyperlink"/>
          <w:rFonts w:cs="Arial"/>
          <w:i/>
          <w:szCs w:val="24"/>
        </w:rPr>
        <w:t>Back to Table of Contents</w:t>
      </w:r>
      <w:r>
        <w:rPr>
          <w:rStyle w:val="Hyperlink"/>
          <w:rFonts w:cs="Arial"/>
          <w:i/>
          <w:szCs w:val="24"/>
        </w:rPr>
        <w:fldChar w:fldCharType="end"/>
      </w:r>
      <w:r w:rsidR="00EE24B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D07D65" w:rsidRPr="00CD1C0E" w14:paraId="3281FA75" w14:textId="77777777" w:rsidTr="008F138D">
        <w:trPr>
          <w:cantSplit/>
          <w:trHeight w:val="285"/>
        </w:trPr>
        <w:tc>
          <w:tcPr>
            <w:tcW w:w="9158" w:type="dxa"/>
            <w:shd w:val="clear" w:color="auto" w:fill="A6A6A6" w:themeFill="background1" w:themeFillShade="A6"/>
          </w:tcPr>
          <w:p w14:paraId="269162A4" w14:textId="479C1DB1" w:rsidR="00D07D65" w:rsidRPr="003D2D06" w:rsidRDefault="00D07D65" w:rsidP="00E73B9B">
            <w:pPr>
              <w:pStyle w:val="Heading1"/>
              <w:spacing w:before="0" w:after="0"/>
            </w:pPr>
            <w:bookmarkStart w:id="41" w:name="_Toc158726135"/>
            <w:r>
              <w:t>Section 15</w:t>
            </w:r>
            <w:r w:rsidRPr="003D2D06">
              <w:t xml:space="preserve"> – </w:t>
            </w:r>
            <w:r>
              <w:t>Additional Considerations in Special Populations</w:t>
            </w:r>
            <w:r w:rsidR="00BA3E23">
              <w:t xml:space="preserve"> </w:t>
            </w:r>
            <w:r w:rsidR="00EA5DA0">
              <w:t>–</w:t>
            </w:r>
            <w:r w:rsidR="00BA3E23">
              <w:t xml:space="preserve"> Pregnancy</w:t>
            </w:r>
            <w:bookmarkEnd w:id="41"/>
          </w:p>
        </w:tc>
      </w:tr>
    </w:tbl>
    <w:p w14:paraId="7A337CF6" w14:textId="77777777" w:rsidR="00D07D65" w:rsidRDefault="00D07D65" w:rsidP="00E73B9B">
      <w:pPr>
        <w:rPr>
          <w:b/>
        </w:rPr>
      </w:pPr>
    </w:p>
    <w:p w14:paraId="4D03D134" w14:textId="1244973B" w:rsidR="00D07D65" w:rsidRDefault="00D07D65" w:rsidP="00E73B9B">
      <w:pPr>
        <w:rPr>
          <w:szCs w:val="24"/>
        </w:rPr>
      </w:pPr>
      <w:r w:rsidRPr="00D07D65">
        <w:rPr>
          <w:szCs w:val="24"/>
        </w:rPr>
        <w:t xml:space="preserve">Iron deficiency anaemia (IDA) is the most common cause of anaemia in pregnancy. </w:t>
      </w:r>
    </w:p>
    <w:p w14:paraId="0CBE99BE" w14:textId="77777777" w:rsidR="00EA5DA0" w:rsidRPr="00D07D65" w:rsidRDefault="00EA5DA0" w:rsidP="00E73B9B">
      <w:pPr>
        <w:rPr>
          <w:szCs w:val="24"/>
        </w:rPr>
      </w:pPr>
    </w:p>
    <w:p w14:paraId="267D9374" w14:textId="495007C1" w:rsidR="00D07D65" w:rsidRPr="00D07D65" w:rsidRDefault="00D07D65" w:rsidP="00E73B9B">
      <w:pPr>
        <w:pStyle w:val="Caption"/>
        <w:keepNext/>
        <w:spacing w:after="0"/>
        <w:rPr>
          <w:sz w:val="24"/>
          <w:szCs w:val="24"/>
          <w:vertAlign w:val="superscript"/>
        </w:rPr>
      </w:pPr>
      <w:r w:rsidRPr="00D07D65">
        <w:rPr>
          <w:sz w:val="24"/>
          <w:szCs w:val="24"/>
        </w:rPr>
        <w:t xml:space="preserve">Table </w:t>
      </w:r>
      <w:r w:rsidRPr="00D07D65">
        <w:rPr>
          <w:sz w:val="24"/>
          <w:szCs w:val="24"/>
        </w:rPr>
        <w:fldChar w:fldCharType="begin"/>
      </w:r>
      <w:r w:rsidRPr="00D07D65">
        <w:rPr>
          <w:sz w:val="24"/>
          <w:szCs w:val="24"/>
        </w:rPr>
        <w:instrText xml:space="preserve"> SEQ Table \* ARABIC </w:instrText>
      </w:r>
      <w:r w:rsidRPr="00D07D65">
        <w:rPr>
          <w:sz w:val="24"/>
          <w:szCs w:val="24"/>
        </w:rPr>
        <w:fldChar w:fldCharType="separate"/>
      </w:r>
      <w:r w:rsidRPr="00D07D65">
        <w:rPr>
          <w:noProof/>
          <w:sz w:val="24"/>
          <w:szCs w:val="24"/>
        </w:rPr>
        <w:t>5</w:t>
      </w:r>
      <w:r w:rsidRPr="00D07D65">
        <w:rPr>
          <w:noProof/>
          <w:sz w:val="24"/>
          <w:szCs w:val="24"/>
        </w:rPr>
        <w:fldChar w:fldCharType="end"/>
      </w:r>
      <w:r w:rsidRPr="00D07D65">
        <w:rPr>
          <w:sz w:val="24"/>
          <w:szCs w:val="24"/>
        </w:rPr>
        <w:t>. Definition anaemia in pregnant women</w:t>
      </w:r>
    </w:p>
    <w:tbl>
      <w:tblPr>
        <w:tblStyle w:val="TableGrid"/>
        <w:tblW w:w="0" w:type="auto"/>
        <w:tblInd w:w="720" w:type="dxa"/>
        <w:tblLook w:val="04A0" w:firstRow="1" w:lastRow="0" w:firstColumn="1" w:lastColumn="0" w:noHBand="0" w:noVBand="1"/>
      </w:tblPr>
      <w:tblGrid>
        <w:gridCol w:w="1970"/>
        <w:gridCol w:w="2410"/>
      </w:tblGrid>
      <w:tr w:rsidR="00D07D65" w:rsidRPr="00D07D65" w14:paraId="5D7760EA" w14:textId="77777777" w:rsidTr="00EA5DA0">
        <w:tc>
          <w:tcPr>
            <w:tcW w:w="1970" w:type="dxa"/>
            <w:shd w:val="clear" w:color="auto" w:fill="auto"/>
            <w:vAlign w:val="center"/>
          </w:tcPr>
          <w:p w14:paraId="3A8EA1A2" w14:textId="77777777" w:rsidR="00D07D65" w:rsidRPr="00F14B3E" w:rsidRDefault="00D07D65" w:rsidP="00E73B9B">
            <w:pPr>
              <w:pStyle w:val="TableHeading"/>
            </w:pPr>
          </w:p>
        </w:tc>
        <w:tc>
          <w:tcPr>
            <w:tcW w:w="2410" w:type="dxa"/>
            <w:shd w:val="clear" w:color="auto" w:fill="auto"/>
            <w:vAlign w:val="center"/>
          </w:tcPr>
          <w:p w14:paraId="0CDB8B30" w14:textId="77777777" w:rsidR="00D07D65" w:rsidRPr="00F14B3E" w:rsidRDefault="00D07D65" w:rsidP="00E73B9B">
            <w:pPr>
              <w:pStyle w:val="TableHeading"/>
            </w:pPr>
            <w:r w:rsidRPr="00F14B3E">
              <w:t>Hb concentration (g/L)</w:t>
            </w:r>
          </w:p>
        </w:tc>
      </w:tr>
      <w:tr w:rsidR="00D07D65" w:rsidRPr="00D07D65" w14:paraId="3D82770F" w14:textId="77777777" w:rsidTr="00EA5DA0">
        <w:tc>
          <w:tcPr>
            <w:tcW w:w="1970" w:type="dxa"/>
            <w:shd w:val="clear" w:color="auto" w:fill="auto"/>
            <w:vAlign w:val="center"/>
          </w:tcPr>
          <w:p w14:paraId="47CDDEDA" w14:textId="77777777" w:rsidR="00D07D65" w:rsidRPr="00F14B3E" w:rsidRDefault="00D07D65" w:rsidP="00E73B9B">
            <w:pPr>
              <w:pStyle w:val="TableHeading"/>
            </w:pPr>
            <w:r w:rsidRPr="00F14B3E">
              <w:t>First trimester</w:t>
            </w:r>
          </w:p>
        </w:tc>
        <w:tc>
          <w:tcPr>
            <w:tcW w:w="2410" w:type="dxa"/>
            <w:shd w:val="clear" w:color="auto" w:fill="auto"/>
            <w:vAlign w:val="center"/>
          </w:tcPr>
          <w:p w14:paraId="3FEB35F9" w14:textId="77777777" w:rsidR="00D07D65" w:rsidRPr="00F14B3E" w:rsidRDefault="00D07D65" w:rsidP="00E73B9B">
            <w:pPr>
              <w:pStyle w:val="Tablecontent"/>
            </w:pPr>
            <w:r w:rsidRPr="00F14B3E">
              <w:t>&lt; 110</w:t>
            </w:r>
          </w:p>
        </w:tc>
      </w:tr>
      <w:tr w:rsidR="00D07D65" w:rsidRPr="00D07D65" w14:paraId="72FDE3EB" w14:textId="77777777" w:rsidTr="00EA5DA0">
        <w:tc>
          <w:tcPr>
            <w:tcW w:w="1970" w:type="dxa"/>
            <w:shd w:val="clear" w:color="auto" w:fill="auto"/>
            <w:vAlign w:val="center"/>
          </w:tcPr>
          <w:p w14:paraId="511E5FFA" w14:textId="77777777" w:rsidR="00D07D65" w:rsidRPr="00F14B3E" w:rsidRDefault="00D07D65" w:rsidP="00E73B9B">
            <w:pPr>
              <w:pStyle w:val="TableHeading"/>
            </w:pPr>
            <w:r w:rsidRPr="00F14B3E">
              <w:t>Second trimester</w:t>
            </w:r>
          </w:p>
        </w:tc>
        <w:tc>
          <w:tcPr>
            <w:tcW w:w="2410" w:type="dxa"/>
            <w:shd w:val="clear" w:color="auto" w:fill="auto"/>
            <w:vAlign w:val="center"/>
          </w:tcPr>
          <w:p w14:paraId="1554D862" w14:textId="77777777" w:rsidR="00D07D65" w:rsidRPr="00F14B3E" w:rsidRDefault="00D07D65" w:rsidP="00E73B9B">
            <w:pPr>
              <w:pStyle w:val="Tablecontent"/>
            </w:pPr>
            <w:r w:rsidRPr="00F14B3E">
              <w:t>&lt; 105</w:t>
            </w:r>
          </w:p>
        </w:tc>
      </w:tr>
      <w:tr w:rsidR="00D07D65" w:rsidRPr="00D07D65" w14:paraId="6EF31AEA" w14:textId="77777777" w:rsidTr="00EA5DA0">
        <w:tc>
          <w:tcPr>
            <w:tcW w:w="1970" w:type="dxa"/>
            <w:shd w:val="clear" w:color="auto" w:fill="auto"/>
            <w:vAlign w:val="center"/>
          </w:tcPr>
          <w:p w14:paraId="111D90AE" w14:textId="77777777" w:rsidR="00D07D65" w:rsidRPr="00F14B3E" w:rsidRDefault="00D07D65" w:rsidP="00E73B9B">
            <w:pPr>
              <w:pStyle w:val="TableHeading"/>
            </w:pPr>
            <w:r w:rsidRPr="00F14B3E">
              <w:t>Third trimester</w:t>
            </w:r>
          </w:p>
        </w:tc>
        <w:tc>
          <w:tcPr>
            <w:tcW w:w="2410" w:type="dxa"/>
            <w:shd w:val="clear" w:color="auto" w:fill="auto"/>
            <w:vAlign w:val="center"/>
          </w:tcPr>
          <w:p w14:paraId="364422AD" w14:textId="77777777" w:rsidR="00D07D65" w:rsidRPr="00F14B3E" w:rsidRDefault="00D07D65" w:rsidP="00E73B9B">
            <w:pPr>
              <w:pStyle w:val="Tablecontent"/>
            </w:pPr>
            <w:r w:rsidRPr="00F14B3E">
              <w:t>&lt; 105</w:t>
            </w:r>
          </w:p>
        </w:tc>
      </w:tr>
      <w:tr w:rsidR="00D07D65" w:rsidRPr="00D07D65" w14:paraId="25951F5F" w14:textId="77777777" w:rsidTr="00EA5DA0">
        <w:tc>
          <w:tcPr>
            <w:tcW w:w="1970" w:type="dxa"/>
            <w:shd w:val="clear" w:color="auto" w:fill="auto"/>
            <w:vAlign w:val="center"/>
          </w:tcPr>
          <w:p w14:paraId="7F5C7B90" w14:textId="77777777" w:rsidR="00D07D65" w:rsidRPr="00F14B3E" w:rsidRDefault="00D07D65" w:rsidP="00E73B9B">
            <w:pPr>
              <w:pStyle w:val="TableHeading"/>
            </w:pPr>
            <w:r w:rsidRPr="00F14B3E">
              <w:t>Post-partum</w:t>
            </w:r>
          </w:p>
        </w:tc>
        <w:tc>
          <w:tcPr>
            <w:tcW w:w="2410" w:type="dxa"/>
            <w:shd w:val="clear" w:color="auto" w:fill="auto"/>
            <w:vAlign w:val="center"/>
          </w:tcPr>
          <w:p w14:paraId="19FD4D8F" w14:textId="77777777" w:rsidR="00D07D65" w:rsidRPr="00F14B3E" w:rsidRDefault="00D07D65" w:rsidP="00E73B9B">
            <w:pPr>
              <w:pStyle w:val="Tablecontent"/>
            </w:pPr>
            <w:r w:rsidRPr="00F14B3E">
              <w:t>&lt; 100</w:t>
            </w:r>
          </w:p>
        </w:tc>
      </w:tr>
    </w:tbl>
    <w:p w14:paraId="788AF6E3" w14:textId="77777777" w:rsidR="00EA5DA0" w:rsidRDefault="00EA5DA0" w:rsidP="00E73B9B">
      <w:pPr>
        <w:rPr>
          <w:szCs w:val="24"/>
        </w:rPr>
      </w:pPr>
    </w:p>
    <w:p w14:paraId="5876D59E" w14:textId="63B4F7B1" w:rsidR="00EA5DA0" w:rsidRPr="00D07D65" w:rsidRDefault="00D07D65" w:rsidP="00E73B9B">
      <w:pPr>
        <w:rPr>
          <w:szCs w:val="24"/>
        </w:rPr>
      </w:pPr>
      <w:r w:rsidRPr="00D07D65">
        <w:rPr>
          <w:szCs w:val="24"/>
        </w:rPr>
        <w:t xml:space="preserve">A serum ferritin level &lt; 30 </w:t>
      </w:r>
      <w:r w:rsidRPr="00D07D65">
        <w:rPr>
          <w:rFonts w:ascii="Symbol" w:eastAsia="Symbol" w:hAnsi="Symbol" w:cs="Symbol"/>
          <w:szCs w:val="24"/>
        </w:rPr>
        <w:t></w:t>
      </w:r>
      <w:r w:rsidRPr="00D07D65">
        <w:rPr>
          <w:szCs w:val="24"/>
        </w:rPr>
        <w:t>g/L is indicative of iron deficiency. However, a normal ferritin level does not exclude iron deficiency due to changes in iron utilisation/metabolism and a physiological rise in acute phase reactants in pregnancy.</w:t>
      </w:r>
    </w:p>
    <w:p w14:paraId="32E3123E" w14:textId="7390CDC9" w:rsidR="00D07D65" w:rsidRPr="00D07D65" w:rsidRDefault="00D07D65" w:rsidP="00E73B9B">
      <w:pPr>
        <w:pStyle w:val="NormalunderlineforHeading4"/>
        <w:rPr>
          <w:b/>
          <w:bCs/>
          <w:sz w:val="24"/>
          <w:szCs w:val="24"/>
          <w:u w:val="none"/>
        </w:rPr>
      </w:pPr>
      <w:r w:rsidRPr="00D07D65">
        <w:rPr>
          <w:b/>
          <w:bCs/>
          <w:sz w:val="24"/>
          <w:szCs w:val="24"/>
          <w:u w:val="none"/>
        </w:rPr>
        <w:t>Safety</w:t>
      </w:r>
      <w:r>
        <w:rPr>
          <w:b/>
          <w:bCs/>
          <w:sz w:val="24"/>
          <w:szCs w:val="24"/>
          <w:u w:val="none"/>
        </w:rPr>
        <w:t>:</w:t>
      </w:r>
    </w:p>
    <w:p w14:paraId="4C3F951C" w14:textId="4DA27892" w:rsidR="00D07D65" w:rsidRPr="00EA5DA0" w:rsidRDefault="00D07D65" w:rsidP="00E73B9B">
      <w:pPr>
        <w:pStyle w:val="ListParagraph"/>
        <w:numPr>
          <w:ilvl w:val="0"/>
          <w:numId w:val="9"/>
        </w:numPr>
        <w:rPr>
          <w:szCs w:val="24"/>
        </w:rPr>
      </w:pPr>
      <w:r w:rsidRPr="00EA5DA0">
        <w:rPr>
          <w:b/>
          <w:bCs/>
          <w:szCs w:val="24"/>
        </w:rPr>
        <w:t>First trimester:</w:t>
      </w:r>
      <w:r w:rsidRPr="00EA5DA0">
        <w:rPr>
          <w:szCs w:val="24"/>
        </w:rPr>
        <w:t xml:space="preserve"> Avoid IV iron due to uncertain foetal effects and risk of hypersensitivity reactions</w:t>
      </w:r>
      <w:r w:rsidRPr="00EA5DA0">
        <w:rPr>
          <w:szCs w:val="24"/>
          <w:vertAlign w:val="superscript"/>
        </w:rPr>
        <w:t>4</w:t>
      </w:r>
      <w:r w:rsidRPr="00EA5DA0">
        <w:rPr>
          <w:szCs w:val="24"/>
        </w:rPr>
        <w:t xml:space="preserve">. Consider treating IDA with oral iron supplementation. </w:t>
      </w:r>
    </w:p>
    <w:p w14:paraId="7E2FC69F" w14:textId="5C78C1D0" w:rsidR="00EA5DA0" w:rsidRPr="00E73B9B" w:rsidRDefault="00D07D65" w:rsidP="00E73B9B">
      <w:pPr>
        <w:pStyle w:val="ListParagraph"/>
        <w:numPr>
          <w:ilvl w:val="0"/>
          <w:numId w:val="9"/>
        </w:numPr>
        <w:rPr>
          <w:szCs w:val="24"/>
        </w:rPr>
      </w:pPr>
      <w:r w:rsidRPr="00EA5DA0">
        <w:rPr>
          <w:b/>
          <w:bCs/>
          <w:szCs w:val="24"/>
        </w:rPr>
        <w:t>Second &amp; Third trimester:</w:t>
      </w:r>
      <w:r w:rsidRPr="00EA5DA0">
        <w:rPr>
          <w:szCs w:val="24"/>
        </w:rPr>
        <w:t xml:space="preserve"> IV iron is considered safe to use as it provides a reliable and fast method of replenishing iron stores in patients who may be non-compliant or intolerant of oral iron.</w:t>
      </w:r>
    </w:p>
    <w:p w14:paraId="6FD158B3" w14:textId="67DDFB2E" w:rsidR="00D07D65" w:rsidRDefault="00D07D65" w:rsidP="00E73B9B">
      <w:pPr>
        <w:pStyle w:val="NormalunderlineforHeading4"/>
        <w:rPr>
          <w:b/>
          <w:bCs/>
          <w:sz w:val="24"/>
          <w:szCs w:val="24"/>
          <w:u w:val="none"/>
        </w:rPr>
      </w:pPr>
      <w:r w:rsidRPr="00D07D65">
        <w:rPr>
          <w:b/>
          <w:bCs/>
          <w:sz w:val="24"/>
          <w:szCs w:val="24"/>
          <w:u w:val="none"/>
        </w:rPr>
        <w:t>Dose</w:t>
      </w:r>
      <w:r w:rsidR="00057BD0">
        <w:rPr>
          <w:b/>
          <w:bCs/>
          <w:sz w:val="24"/>
          <w:szCs w:val="24"/>
          <w:u w:val="none"/>
        </w:rPr>
        <w:t>:</w:t>
      </w:r>
    </w:p>
    <w:p w14:paraId="46BB65BB" w14:textId="33E849FE" w:rsidR="00EA5DA0" w:rsidRPr="00EA5DA0" w:rsidRDefault="00D07D65" w:rsidP="00E73B9B">
      <w:pPr>
        <w:pStyle w:val="NormalunderlineforHeading4"/>
        <w:numPr>
          <w:ilvl w:val="0"/>
          <w:numId w:val="18"/>
        </w:numPr>
      </w:pPr>
      <w:r w:rsidRPr="00376405">
        <w:rPr>
          <w:sz w:val="24"/>
          <w:szCs w:val="24"/>
          <w:u w:val="none"/>
        </w:rPr>
        <w:lastRenderedPageBreak/>
        <w:t xml:space="preserve">For iron polymaltose, the IV iron dose can be calculated as per the general population using </w:t>
      </w:r>
      <w:r w:rsidRPr="00376405">
        <w:rPr>
          <w:sz w:val="24"/>
          <w:szCs w:val="24"/>
          <w:u w:val="none"/>
        </w:rPr>
        <w:fldChar w:fldCharType="begin"/>
      </w:r>
      <w:r w:rsidRPr="00376405">
        <w:rPr>
          <w:sz w:val="24"/>
          <w:szCs w:val="24"/>
          <w:u w:val="none"/>
        </w:rPr>
        <w:instrText xml:space="preserve"> REF _Ref108295298 \h  \* MERGEFORMAT </w:instrText>
      </w:r>
      <w:r w:rsidRPr="00376405">
        <w:rPr>
          <w:sz w:val="24"/>
          <w:szCs w:val="24"/>
          <w:u w:val="none"/>
        </w:rPr>
      </w:r>
      <w:r w:rsidRPr="00376405">
        <w:rPr>
          <w:sz w:val="24"/>
          <w:szCs w:val="24"/>
          <w:u w:val="none"/>
        </w:rPr>
        <w:fldChar w:fldCharType="separate"/>
      </w:r>
      <w:r w:rsidRPr="00376405">
        <w:rPr>
          <w:sz w:val="24"/>
          <w:szCs w:val="24"/>
          <w:u w:val="none"/>
        </w:rPr>
        <w:t xml:space="preserve">Table </w:t>
      </w:r>
      <w:r w:rsidRPr="00376405">
        <w:rPr>
          <w:noProof/>
          <w:sz w:val="24"/>
          <w:szCs w:val="24"/>
          <w:u w:val="none"/>
        </w:rPr>
        <w:t>1</w:t>
      </w:r>
      <w:r w:rsidRPr="00376405">
        <w:rPr>
          <w:sz w:val="24"/>
          <w:szCs w:val="24"/>
          <w:u w:val="none"/>
        </w:rPr>
        <w:fldChar w:fldCharType="end"/>
      </w:r>
      <w:r w:rsidRPr="00376405">
        <w:rPr>
          <w:sz w:val="24"/>
          <w:szCs w:val="24"/>
          <w:u w:val="none"/>
        </w:rPr>
        <w:t xml:space="preserve"> (page </w:t>
      </w:r>
      <w:r w:rsidRPr="00376405">
        <w:rPr>
          <w:sz w:val="24"/>
          <w:szCs w:val="24"/>
          <w:u w:val="none"/>
        </w:rPr>
        <w:fldChar w:fldCharType="begin"/>
      </w:r>
      <w:r w:rsidRPr="00376405">
        <w:rPr>
          <w:sz w:val="24"/>
          <w:szCs w:val="24"/>
          <w:u w:val="none"/>
        </w:rPr>
        <w:instrText xml:space="preserve"> PAGEREF _Ref111287018 \h </w:instrText>
      </w:r>
      <w:r w:rsidRPr="00376405">
        <w:rPr>
          <w:sz w:val="24"/>
          <w:szCs w:val="24"/>
          <w:u w:val="none"/>
        </w:rPr>
      </w:r>
      <w:r w:rsidRPr="00376405">
        <w:rPr>
          <w:sz w:val="24"/>
          <w:szCs w:val="24"/>
          <w:u w:val="none"/>
        </w:rPr>
        <w:fldChar w:fldCharType="separate"/>
      </w:r>
      <w:r w:rsidRPr="00376405">
        <w:rPr>
          <w:noProof/>
          <w:sz w:val="24"/>
          <w:szCs w:val="24"/>
          <w:u w:val="none"/>
        </w:rPr>
        <w:t>4</w:t>
      </w:r>
      <w:r w:rsidRPr="00376405">
        <w:rPr>
          <w:sz w:val="24"/>
          <w:szCs w:val="24"/>
          <w:u w:val="none"/>
        </w:rPr>
        <w:fldChar w:fldCharType="end"/>
      </w:r>
      <w:r w:rsidRPr="00376405">
        <w:rPr>
          <w:sz w:val="24"/>
          <w:szCs w:val="24"/>
          <w:u w:val="none"/>
        </w:rPr>
        <w:t xml:space="preserve">). The body weight used for dose calculation should be the patient’s </w:t>
      </w:r>
      <w:r w:rsidRPr="00376405">
        <w:rPr>
          <w:b/>
          <w:bCs/>
          <w:sz w:val="24"/>
          <w:szCs w:val="24"/>
          <w:u w:val="none"/>
        </w:rPr>
        <w:t>pre-pregnancy</w:t>
      </w:r>
      <w:r w:rsidRPr="00376405">
        <w:rPr>
          <w:sz w:val="24"/>
          <w:szCs w:val="24"/>
          <w:u w:val="none"/>
        </w:rPr>
        <w:t xml:space="preserve"> </w:t>
      </w:r>
      <w:r w:rsidRPr="00376405">
        <w:rPr>
          <w:b/>
          <w:bCs/>
          <w:sz w:val="24"/>
          <w:szCs w:val="24"/>
          <w:u w:val="none"/>
        </w:rPr>
        <w:t>weight</w:t>
      </w:r>
      <w:r w:rsidRPr="00376405">
        <w:rPr>
          <w:sz w:val="24"/>
          <w:szCs w:val="24"/>
          <w:u w:val="none"/>
        </w:rPr>
        <w:t>, or if not known, their current weight minus 10% (i.e. current weight x 0.9).</w:t>
      </w:r>
    </w:p>
    <w:p w14:paraId="77DD9058" w14:textId="5AB2D24B" w:rsidR="00D07D65" w:rsidRPr="00D07D65" w:rsidRDefault="00D07D65" w:rsidP="00E73B9B">
      <w:pPr>
        <w:rPr>
          <w:szCs w:val="24"/>
        </w:rPr>
      </w:pPr>
      <w:r w:rsidRPr="00D07D65">
        <w:rPr>
          <w:szCs w:val="24"/>
        </w:rPr>
        <w:t xml:space="preserve">For ferric </w:t>
      </w:r>
      <w:proofErr w:type="spellStart"/>
      <w:r w:rsidRPr="00D07D65">
        <w:rPr>
          <w:szCs w:val="24"/>
        </w:rPr>
        <w:t>carboxymaltose</w:t>
      </w:r>
      <w:proofErr w:type="spellEnd"/>
      <w:r w:rsidRPr="00D07D65">
        <w:rPr>
          <w:szCs w:val="24"/>
        </w:rPr>
        <w:t xml:space="preserve">, refer to </w:t>
      </w:r>
      <w:r w:rsidRPr="00D07D65">
        <w:rPr>
          <w:szCs w:val="24"/>
        </w:rPr>
        <w:fldChar w:fldCharType="begin"/>
      </w:r>
      <w:r w:rsidRPr="00D07D65">
        <w:rPr>
          <w:szCs w:val="24"/>
        </w:rPr>
        <w:instrText xml:space="preserve"> REF _Ref111289310 \h </w:instrText>
      </w:r>
      <w:r>
        <w:rPr>
          <w:szCs w:val="24"/>
        </w:rPr>
        <w:instrText xml:space="preserve"> \* MERGEFORMAT </w:instrText>
      </w:r>
      <w:r w:rsidRPr="00D07D65">
        <w:rPr>
          <w:szCs w:val="24"/>
        </w:rPr>
      </w:r>
      <w:r w:rsidRPr="00D07D65">
        <w:rPr>
          <w:szCs w:val="24"/>
        </w:rPr>
        <w:fldChar w:fldCharType="separate"/>
      </w:r>
      <w:r w:rsidRPr="00D07D65">
        <w:rPr>
          <w:szCs w:val="24"/>
        </w:rPr>
        <w:t xml:space="preserve">Table </w:t>
      </w:r>
      <w:r w:rsidRPr="00D07D65">
        <w:rPr>
          <w:noProof/>
          <w:szCs w:val="24"/>
        </w:rPr>
        <w:t>6</w:t>
      </w:r>
      <w:r w:rsidRPr="00D07D65">
        <w:rPr>
          <w:szCs w:val="24"/>
        </w:rPr>
        <w:fldChar w:fldCharType="end"/>
      </w:r>
      <w:r w:rsidRPr="00D07D65">
        <w:rPr>
          <w:szCs w:val="24"/>
        </w:rPr>
        <w:t xml:space="preserve"> </w:t>
      </w:r>
      <w:r w:rsidRPr="00D07D65">
        <w:rPr>
          <w:szCs w:val="24"/>
        </w:rPr>
        <w:fldChar w:fldCharType="begin"/>
      </w:r>
      <w:r w:rsidRPr="00D07D65">
        <w:rPr>
          <w:szCs w:val="24"/>
        </w:rPr>
        <w:instrText xml:space="preserve"> REF _Ref111289316 \p \h </w:instrText>
      </w:r>
      <w:r>
        <w:rPr>
          <w:szCs w:val="24"/>
        </w:rPr>
        <w:instrText xml:space="preserve"> \* MERGEFORMAT </w:instrText>
      </w:r>
      <w:r w:rsidRPr="00D07D65">
        <w:rPr>
          <w:szCs w:val="24"/>
        </w:rPr>
      </w:r>
      <w:r w:rsidRPr="00D07D65">
        <w:rPr>
          <w:szCs w:val="24"/>
        </w:rPr>
        <w:fldChar w:fldCharType="separate"/>
      </w:r>
      <w:r w:rsidRPr="00D07D65">
        <w:rPr>
          <w:szCs w:val="24"/>
        </w:rPr>
        <w:t>below</w:t>
      </w:r>
      <w:r w:rsidRPr="00D07D65">
        <w:rPr>
          <w:szCs w:val="24"/>
        </w:rPr>
        <w:fldChar w:fldCharType="end"/>
      </w:r>
      <w:r w:rsidRPr="00D07D65">
        <w:rPr>
          <w:szCs w:val="24"/>
        </w:rPr>
        <w:t>.</w:t>
      </w:r>
    </w:p>
    <w:p w14:paraId="09F77982" w14:textId="1E3AA2E8" w:rsidR="00D07D65" w:rsidRPr="00D07D65" w:rsidRDefault="00D07D65" w:rsidP="00E73B9B">
      <w:pPr>
        <w:pStyle w:val="Caption"/>
        <w:keepNext/>
        <w:rPr>
          <w:sz w:val="24"/>
          <w:szCs w:val="24"/>
        </w:rPr>
      </w:pPr>
      <w:bookmarkStart w:id="42" w:name="_Ref111289310"/>
      <w:bookmarkStart w:id="43" w:name="_Ref111289316"/>
      <w:r w:rsidRPr="00D07D65">
        <w:rPr>
          <w:sz w:val="24"/>
          <w:szCs w:val="24"/>
        </w:rPr>
        <w:t xml:space="preserve">Table </w:t>
      </w:r>
      <w:r w:rsidRPr="00D07D65">
        <w:rPr>
          <w:sz w:val="24"/>
          <w:szCs w:val="24"/>
        </w:rPr>
        <w:fldChar w:fldCharType="begin"/>
      </w:r>
      <w:r w:rsidRPr="00D07D65">
        <w:rPr>
          <w:sz w:val="24"/>
          <w:szCs w:val="24"/>
        </w:rPr>
        <w:instrText xml:space="preserve"> SEQ Table \* ARABIC </w:instrText>
      </w:r>
      <w:r w:rsidRPr="00D07D65">
        <w:rPr>
          <w:sz w:val="24"/>
          <w:szCs w:val="24"/>
        </w:rPr>
        <w:fldChar w:fldCharType="separate"/>
      </w:r>
      <w:r w:rsidRPr="00D07D65">
        <w:rPr>
          <w:noProof/>
          <w:sz w:val="24"/>
          <w:szCs w:val="24"/>
        </w:rPr>
        <w:t>6</w:t>
      </w:r>
      <w:r w:rsidRPr="00D07D65">
        <w:rPr>
          <w:noProof/>
          <w:sz w:val="24"/>
          <w:szCs w:val="24"/>
        </w:rPr>
        <w:fldChar w:fldCharType="end"/>
      </w:r>
      <w:bookmarkEnd w:id="42"/>
      <w:r w:rsidRPr="00D07D65">
        <w:rPr>
          <w:sz w:val="24"/>
          <w:szCs w:val="24"/>
        </w:rPr>
        <w:t xml:space="preserve">. Dose recommendations for ferric </w:t>
      </w:r>
      <w:proofErr w:type="spellStart"/>
      <w:r w:rsidRPr="00D07D65">
        <w:rPr>
          <w:sz w:val="24"/>
          <w:szCs w:val="24"/>
        </w:rPr>
        <w:t>carboxymaltose</w:t>
      </w:r>
      <w:proofErr w:type="spellEnd"/>
      <w:r w:rsidRPr="00D07D65">
        <w:rPr>
          <w:sz w:val="24"/>
          <w:szCs w:val="24"/>
        </w:rPr>
        <w:t xml:space="preserve"> in pregnant patients – the Simplified method</w:t>
      </w:r>
      <w:bookmarkEnd w:id="43"/>
    </w:p>
    <w:tbl>
      <w:tblPr>
        <w:tblStyle w:val="TableGrid"/>
        <w:tblW w:w="0" w:type="auto"/>
        <w:jc w:val="center"/>
        <w:tblLook w:val="04A0" w:firstRow="1" w:lastRow="0" w:firstColumn="1" w:lastColumn="0" w:noHBand="0" w:noVBand="1"/>
      </w:tblPr>
      <w:tblGrid>
        <w:gridCol w:w="1771"/>
        <w:gridCol w:w="2042"/>
      </w:tblGrid>
      <w:tr w:rsidR="00D07D65" w:rsidRPr="00F14B3E" w14:paraId="4F6E0E58" w14:textId="77777777" w:rsidTr="00376405">
        <w:trPr>
          <w:trHeight w:val="727"/>
          <w:jc w:val="center"/>
        </w:trPr>
        <w:tc>
          <w:tcPr>
            <w:tcW w:w="1771" w:type="dxa"/>
            <w:shd w:val="clear" w:color="auto" w:fill="auto"/>
            <w:vAlign w:val="center"/>
          </w:tcPr>
          <w:p w14:paraId="75FD1550" w14:textId="77777777" w:rsidR="00D07D65" w:rsidRPr="00F14B3E" w:rsidRDefault="00D07D65" w:rsidP="00E73B9B">
            <w:pPr>
              <w:pStyle w:val="TableHeading"/>
            </w:pPr>
            <w:r w:rsidRPr="00F14B3E">
              <w:t>Hb (g/L)</w:t>
            </w:r>
          </w:p>
        </w:tc>
        <w:tc>
          <w:tcPr>
            <w:tcW w:w="2042" w:type="dxa"/>
            <w:shd w:val="clear" w:color="auto" w:fill="auto"/>
            <w:vAlign w:val="center"/>
          </w:tcPr>
          <w:p w14:paraId="09279AE6" w14:textId="77777777" w:rsidR="00D07D65" w:rsidRPr="00F14B3E" w:rsidRDefault="00D07D65" w:rsidP="00E73B9B">
            <w:pPr>
              <w:pStyle w:val="TableHeading"/>
              <w:rPr>
                <w:vertAlign w:val="superscript"/>
              </w:rPr>
            </w:pPr>
            <w:r w:rsidRPr="00F14B3E">
              <w:t xml:space="preserve">Dose </w:t>
            </w:r>
            <w:r w:rsidRPr="00F14B3E">
              <w:rPr>
                <w:vertAlign w:val="superscript"/>
              </w:rPr>
              <w:t>[Note 3]</w:t>
            </w:r>
          </w:p>
        </w:tc>
      </w:tr>
      <w:tr w:rsidR="00D07D65" w:rsidRPr="00F14B3E" w14:paraId="312CA504" w14:textId="77777777" w:rsidTr="00376405">
        <w:trPr>
          <w:jc w:val="center"/>
        </w:trPr>
        <w:tc>
          <w:tcPr>
            <w:tcW w:w="1771" w:type="dxa"/>
            <w:shd w:val="clear" w:color="auto" w:fill="auto"/>
            <w:vAlign w:val="center"/>
          </w:tcPr>
          <w:p w14:paraId="4C2926ED" w14:textId="77777777" w:rsidR="00D07D65" w:rsidRPr="00F14B3E" w:rsidRDefault="00D07D65" w:rsidP="00E73B9B">
            <w:pPr>
              <w:pStyle w:val="TableHeading"/>
            </w:pPr>
            <w:r w:rsidRPr="00F14B3E">
              <w:t>&lt; 90</w:t>
            </w:r>
          </w:p>
        </w:tc>
        <w:tc>
          <w:tcPr>
            <w:tcW w:w="2042" w:type="dxa"/>
            <w:shd w:val="clear" w:color="auto" w:fill="auto"/>
            <w:vAlign w:val="center"/>
          </w:tcPr>
          <w:p w14:paraId="61C72D95" w14:textId="77777777" w:rsidR="00D07D65" w:rsidRPr="00F14B3E" w:rsidRDefault="00D07D65" w:rsidP="00E73B9B">
            <w:pPr>
              <w:pStyle w:val="Tablecontent"/>
              <w:rPr>
                <w:vertAlign w:val="superscript"/>
              </w:rPr>
            </w:pPr>
            <w:r w:rsidRPr="00F14B3E">
              <w:t xml:space="preserve">1500 mg </w:t>
            </w:r>
          </w:p>
        </w:tc>
      </w:tr>
      <w:tr w:rsidR="00D07D65" w:rsidRPr="00F14B3E" w14:paraId="1E6F3FC1" w14:textId="77777777" w:rsidTr="00376405">
        <w:trPr>
          <w:jc w:val="center"/>
        </w:trPr>
        <w:tc>
          <w:tcPr>
            <w:tcW w:w="1771" w:type="dxa"/>
            <w:shd w:val="clear" w:color="auto" w:fill="auto"/>
            <w:vAlign w:val="center"/>
          </w:tcPr>
          <w:p w14:paraId="18C355E9" w14:textId="77777777" w:rsidR="00D07D65" w:rsidRPr="00F14B3E" w:rsidRDefault="00D07D65" w:rsidP="00E73B9B">
            <w:pPr>
              <w:pStyle w:val="TableHeading"/>
            </w:pPr>
            <w:r w:rsidRPr="00F14B3E">
              <w:t>90 to &lt; 140</w:t>
            </w:r>
          </w:p>
        </w:tc>
        <w:tc>
          <w:tcPr>
            <w:tcW w:w="2042" w:type="dxa"/>
            <w:shd w:val="clear" w:color="auto" w:fill="auto"/>
            <w:vAlign w:val="center"/>
          </w:tcPr>
          <w:p w14:paraId="18C37BC0" w14:textId="77777777" w:rsidR="00D07D65" w:rsidRPr="00F14B3E" w:rsidRDefault="00D07D65" w:rsidP="00E73B9B">
            <w:pPr>
              <w:pStyle w:val="Tablecontent"/>
            </w:pPr>
            <w:r w:rsidRPr="00F14B3E">
              <w:t>1000 mg</w:t>
            </w:r>
          </w:p>
        </w:tc>
      </w:tr>
      <w:tr w:rsidR="00D07D65" w:rsidRPr="00F14B3E" w14:paraId="312EB467" w14:textId="77777777" w:rsidTr="00376405">
        <w:trPr>
          <w:jc w:val="center"/>
        </w:trPr>
        <w:tc>
          <w:tcPr>
            <w:tcW w:w="1771" w:type="dxa"/>
            <w:shd w:val="clear" w:color="auto" w:fill="auto"/>
            <w:vAlign w:val="center"/>
          </w:tcPr>
          <w:p w14:paraId="2CEDA223" w14:textId="77777777" w:rsidR="00D07D65" w:rsidRPr="00F14B3E" w:rsidRDefault="00D07D65" w:rsidP="00E73B9B">
            <w:pPr>
              <w:pStyle w:val="TableHeading"/>
            </w:pPr>
            <w:r w:rsidRPr="00F14B3E">
              <w:t>≥ 140</w:t>
            </w:r>
          </w:p>
        </w:tc>
        <w:tc>
          <w:tcPr>
            <w:tcW w:w="2042" w:type="dxa"/>
            <w:shd w:val="clear" w:color="auto" w:fill="auto"/>
            <w:vAlign w:val="center"/>
          </w:tcPr>
          <w:p w14:paraId="3371D615" w14:textId="77777777" w:rsidR="00D07D65" w:rsidRPr="00F14B3E" w:rsidRDefault="00D07D65" w:rsidP="00E73B9B">
            <w:pPr>
              <w:pStyle w:val="Tablecontent"/>
            </w:pPr>
            <w:r w:rsidRPr="00F14B3E">
              <w:t>500 mg</w:t>
            </w:r>
          </w:p>
        </w:tc>
      </w:tr>
    </w:tbl>
    <w:p w14:paraId="67CBA5E9" w14:textId="27F1B4E9" w:rsidR="00D07D65" w:rsidRPr="00D07D65" w:rsidRDefault="00D07D65" w:rsidP="00E73B9B">
      <w:pPr>
        <w:pStyle w:val="Note"/>
        <w:pBdr>
          <w:top w:val="single" w:sz="4" w:space="1" w:color="auto"/>
          <w:left w:val="single" w:sz="4" w:space="4" w:color="auto"/>
          <w:bottom w:val="single" w:sz="4" w:space="1" w:color="auto"/>
          <w:right w:val="single" w:sz="4" w:space="4" w:color="auto"/>
        </w:pBdr>
        <w:rPr>
          <w:i w:val="0"/>
          <w:iCs/>
          <w:sz w:val="24"/>
          <w:szCs w:val="24"/>
        </w:rPr>
      </w:pPr>
      <w:r w:rsidRPr="00D07D65">
        <w:rPr>
          <w:b/>
          <w:bCs/>
          <w:i w:val="0"/>
          <w:iCs/>
          <w:sz w:val="24"/>
          <w:szCs w:val="24"/>
        </w:rPr>
        <w:t>Note</w:t>
      </w:r>
      <w:r w:rsidR="00752EE6">
        <w:rPr>
          <w:b/>
          <w:bCs/>
          <w:i w:val="0"/>
          <w:iCs/>
          <w:sz w:val="24"/>
          <w:szCs w:val="24"/>
        </w:rPr>
        <w:t>:</w:t>
      </w:r>
      <w:r w:rsidRPr="00D07D65">
        <w:rPr>
          <w:i w:val="0"/>
          <w:iCs/>
          <w:sz w:val="24"/>
          <w:szCs w:val="24"/>
        </w:rPr>
        <w:t xml:space="preserve"> Ferric </w:t>
      </w:r>
      <w:proofErr w:type="spellStart"/>
      <w:r w:rsidRPr="00D07D65">
        <w:rPr>
          <w:i w:val="0"/>
          <w:iCs/>
          <w:sz w:val="24"/>
          <w:szCs w:val="24"/>
        </w:rPr>
        <w:t>carboxymaltose</w:t>
      </w:r>
      <w:proofErr w:type="spellEnd"/>
      <w:r w:rsidRPr="00D07D65">
        <w:rPr>
          <w:i w:val="0"/>
          <w:iCs/>
          <w:sz w:val="24"/>
          <w:szCs w:val="24"/>
        </w:rPr>
        <w:t xml:space="preserve"> doses greater than 1000 mg should be given as divided doses, at least one week apart.  </w:t>
      </w:r>
    </w:p>
    <w:p w14:paraId="3ED91B18" w14:textId="77777777" w:rsidR="00057BD0" w:rsidRDefault="00057BD0" w:rsidP="00E73B9B">
      <w:pPr>
        <w:pStyle w:val="NormalunderlineforHeading4"/>
        <w:rPr>
          <w:b/>
          <w:bCs/>
          <w:sz w:val="24"/>
          <w:szCs w:val="24"/>
          <w:u w:val="none"/>
        </w:rPr>
      </w:pPr>
    </w:p>
    <w:p w14:paraId="0AA8DB53" w14:textId="447B0770" w:rsidR="00D07D65" w:rsidRPr="00D07D65" w:rsidRDefault="00D07D65" w:rsidP="00E73B9B">
      <w:pPr>
        <w:pStyle w:val="NormalunderlineforHeading4"/>
        <w:rPr>
          <w:b/>
          <w:bCs/>
          <w:sz w:val="24"/>
          <w:szCs w:val="24"/>
          <w:u w:val="none"/>
        </w:rPr>
      </w:pPr>
      <w:r w:rsidRPr="00D07D65">
        <w:rPr>
          <w:b/>
          <w:bCs/>
          <w:sz w:val="24"/>
          <w:szCs w:val="24"/>
          <w:u w:val="none"/>
        </w:rPr>
        <w:t>Foetal monitoring and adverse reactions</w:t>
      </w:r>
    </w:p>
    <w:p w14:paraId="0AF2C66A" w14:textId="6AB744C2" w:rsidR="00D07D65" w:rsidRPr="00EA5DA0" w:rsidRDefault="00D07D65" w:rsidP="00E73B9B">
      <w:pPr>
        <w:pStyle w:val="ListParagraph"/>
        <w:numPr>
          <w:ilvl w:val="0"/>
          <w:numId w:val="10"/>
        </w:numPr>
        <w:rPr>
          <w:szCs w:val="24"/>
        </w:rPr>
      </w:pPr>
      <w:r w:rsidRPr="00EA5DA0">
        <w:rPr>
          <w:szCs w:val="24"/>
        </w:rPr>
        <w:t xml:space="preserve">Foetal bradycardia may occur; it is usually transient and a consequence of a maternal hypersensitivity reaction. Monitor foetal heart rate at baseline and at the end of administration (prior to discharge). </w:t>
      </w:r>
    </w:p>
    <w:p w14:paraId="1EB27A05" w14:textId="61A4920B" w:rsidR="00D07D65" w:rsidRPr="00EA5DA0" w:rsidRDefault="00D07D65" w:rsidP="00E73B9B">
      <w:pPr>
        <w:pStyle w:val="ListParagraph"/>
        <w:numPr>
          <w:ilvl w:val="0"/>
          <w:numId w:val="10"/>
        </w:numPr>
        <w:rPr>
          <w:szCs w:val="24"/>
        </w:rPr>
      </w:pPr>
      <w:r w:rsidRPr="00EA5DA0">
        <w:rPr>
          <w:szCs w:val="24"/>
        </w:rPr>
        <w:t>In the event of an adverse reaction, a CTG should be undertaken. For hypotension,</w:t>
      </w:r>
      <w:r w:rsidRPr="00EA5DA0">
        <w:rPr>
          <w:b/>
          <w:szCs w:val="24"/>
        </w:rPr>
        <w:t xml:space="preserve"> </w:t>
      </w:r>
      <w:r w:rsidRPr="00EA5DA0">
        <w:rPr>
          <w:bCs/>
          <w:szCs w:val="24"/>
        </w:rPr>
        <w:t>l</w:t>
      </w:r>
      <w:r w:rsidRPr="00EA5DA0">
        <w:rPr>
          <w:szCs w:val="24"/>
        </w:rPr>
        <w:t>ay the patient in the full left lateral position to relieve possible aortocaval compression and perform foetal heart rate monitoring.</w:t>
      </w:r>
    </w:p>
    <w:p w14:paraId="1B394156" w14:textId="701BDDCA" w:rsidR="00057BD0" w:rsidRPr="00E73B9B" w:rsidRDefault="00545420" w:rsidP="00E73B9B">
      <w:pPr>
        <w:jc w:val="right"/>
        <w:rPr>
          <w:rFonts w:cs="Arial"/>
          <w:i/>
          <w:szCs w:val="24"/>
        </w:rPr>
      </w:pPr>
      <w:hyperlink w:anchor="Contents" w:history="1">
        <w:r w:rsidR="00EE24BC" w:rsidRPr="00590902">
          <w:rPr>
            <w:rStyle w:val="Hyperlink"/>
            <w:rFonts w:cs="Arial"/>
            <w:i/>
            <w:szCs w:val="24"/>
          </w:rPr>
          <w:t>Back to Table of Contents</w:t>
        </w:r>
      </w:hyperlink>
      <w:r w:rsidR="00EE24B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D4465D" w:rsidRPr="00CD1C0E" w14:paraId="43851037" w14:textId="77777777" w:rsidTr="008F138D">
        <w:trPr>
          <w:cantSplit/>
          <w:trHeight w:val="285"/>
        </w:trPr>
        <w:tc>
          <w:tcPr>
            <w:tcW w:w="9158" w:type="dxa"/>
            <w:shd w:val="clear" w:color="auto" w:fill="A6A6A6" w:themeFill="background1" w:themeFillShade="A6"/>
          </w:tcPr>
          <w:p w14:paraId="17A8D877" w14:textId="7045489B" w:rsidR="00D4465D" w:rsidRPr="003D2D06" w:rsidRDefault="00D4465D" w:rsidP="00E73B9B">
            <w:pPr>
              <w:pStyle w:val="Heading1"/>
              <w:spacing w:before="0" w:after="0"/>
            </w:pPr>
            <w:bookmarkStart w:id="44" w:name="_Toc158726136"/>
            <w:r>
              <w:t>Section 16</w:t>
            </w:r>
            <w:r w:rsidRPr="003D2D06">
              <w:t xml:space="preserve"> – </w:t>
            </w:r>
            <w:r>
              <w:t xml:space="preserve">Additional Considerations in Special Populations </w:t>
            </w:r>
            <w:r w:rsidR="00057BD0">
              <w:t>–</w:t>
            </w:r>
            <w:r>
              <w:t xml:space="preserve"> Chronic Kidney Disease</w:t>
            </w:r>
            <w:bookmarkEnd w:id="44"/>
          </w:p>
        </w:tc>
      </w:tr>
    </w:tbl>
    <w:p w14:paraId="042B711F" w14:textId="77777777" w:rsidR="00057BD0" w:rsidRPr="00057BD0" w:rsidRDefault="00057BD0" w:rsidP="00E73B9B">
      <w:pPr>
        <w:pStyle w:val="NormalunderlineforHeading4"/>
        <w:spacing w:before="0" w:after="0"/>
        <w:ind w:left="360"/>
        <w:rPr>
          <w:b/>
          <w:bCs/>
          <w:sz w:val="24"/>
          <w:szCs w:val="24"/>
          <w:u w:val="none"/>
        </w:rPr>
      </w:pPr>
    </w:p>
    <w:p w14:paraId="7E190FE0" w14:textId="5CF74763" w:rsidR="00D07D65" w:rsidRDefault="00D07D65" w:rsidP="00E73B9B">
      <w:pPr>
        <w:pStyle w:val="NormalunderlineforHeading4"/>
        <w:numPr>
          <w:ilvl w:val="0"/>
          <w:numId w:val="19"/>
        </w:numPr>
        <w:spacing w:before="0" w:after="0"/>
        <w:rPr>
          <w:sz w:val="24"/>
          <w:szCs w:val="24"/>
          <w:u w:val="none"/>
        </w:rPr>
      </w:pPr>
      <w:r w:rsidRPr="00BA3E23">
        <w:rPr>
          <w:sz w:val="24"/>
          <w:szCs w:val="24"/>
          <w:u w:val="none"/>
        </w:rPr>
        <w:t xml:space="preserve">Anaemia in patients with chronic kidney disease (CKD) is defined as Hb level &lt; 130 g/L in men and &lt; 120 g/L in women. In patients on erythropoiesis stimulating agents (ESA) (e.g. </w:t>
      </w:r>
      <w:proofErr w:type="spellStart"/>
      <w:r w:rsidRPr="00BA3E23">
        <w:rPr>
          <w:sz w:val="24"/>
          <w:szCs w:val="24"/>
          <w:u w:val="none"/>
        </w:rPr>
        <w:t>darbepoeitin</w:t>
      </w:r>
      <w:proofErr w:type="spellEnd"/>
      <w:r w:rsidRPr="00BA3E23">
        <w:rPr>
          <w:sz w:val="24"/>
          <w:szCs w:val="24"/>
          <w:u w:val="none"/>
        </w:rPr>
        <w:t>), current guidelines suggests that the Hb targets should be between 100 and 120 g/L, with the potential to cause harm if levels above 130 g/L are targeted</w:t>
      </w:r>
    </w:p>
    <w:p w14:paraId="22830BB3" w14:textId="08FDE10E" w:rsidR="00D07D65" w:rsidRDefault="00D07D65" w:rsidP="00E73B9B">
      <w:pPr>
        <w:pStyle w:val="ListParagraph"/>
        <w:numPr>
          <w:ilvl w:val="0"/>
          <w:numId w:val="19"/>
        </w:numPr>
      </w:pPr>
      <w:r>
        <w:t xml:space="preserve">IV iron therapy is suggested if serum ferritin levels </w:t>
      </w:r>
      <w:r>
        <w:rPr>
          <w:rFonts w:ascii="Symbol" w:eastAsia="Symbol" w:hAnsi="Symbol" w:cs="Symbol"/>
        </w:rPr>
        <w:t></w:t>
      </w:r>
      <w:r>
        <w:t xml:space="preserve"> 200 </w:t>
      </w:r>
      <w:r>
        <w:rPr>
          <w:rFonts w:ascii="Symbol" w:eastAsia="Symbol" w:hAnsi="Symbol" w:cs="Symbol"/>
        </w:rPr>
        <w:t></w:t>
      </w:r>
      <w:r>
        <w:t xml:space="preserve">g/L and transferrin saturation </w:t>
      </w:r>
      <w:r>
        <w:rPr>
          <w:rFonts w:ascii="Symbol" w:eastAsia="Symbol" w:hAnsi="Symbol" w:cs="Symbol"/>
        </w:rPr>
        <w:t></w:t>
      </w:r>
      <w:r>
        <w:t xml:space="preserve"> 20%. However, as evidence to support these specific recommendations is limited, this should be carefully considered based on the benefits of avoiding/minimising blood transfusions, ESA therapy and/or anaemia-related symptoms, appropriately outweighing the potential for adverse events. Consult a specialist for further advic</w:t>
      </w:r>
      <w:r w:rsidR="00F14B3E">
        <w:t>e</w:t>
      </w:r>
    </w:p>
    <w:p w14:paraId="1864874E" w14:textId="18165361" w:rsidR="00D07D65" w:rsidRDefault="00D07D65" w:rsidP="00E73B9B">
      <w:pPr>
        <w:pStyle w:val="ListParagraph"/>
        <w:numPr>
          <w:ilvl w:val="0"/>
          <w:numId w:val="19"/>
        </w:numPr>
      </w:pPr>
      <w:r w:rsidRPr="00594197">
        <w:t xml:space="preserve">Intermittent IV iron injections for haemodialysis patients are not covered in this procedure. However, some patients may be referred to </w:t>
      </w:r>
      <w:r w:rsidR="004A6E5A">
        <w:t>NCH</w:t>
      </w:r>
      <w:r w:rsidRPr="00594197">
        <w:t xml:space="preserve"> for monitoring for their initial dose of iron polymaltose. A suggested regimen is 100 mg in</w:t>
      </w:r>
      <w:r>
        <w:t xml:space="preserve"> 100 mL sodium </w:t>
      </w:r>
      <w:r>
        <w:lastRenderedPageBreak/>
        <w:t>chloride 0.9%</w:t>
      </w:r>
      <w:r w:rsidRPr="00594197">
        <w:t xml:space="preserve"> infused at 10 mL/h for 15 minutes and if the initial infusion is toler</w:t>
      </w:r>
      <w:r>
        <w:t>ated, increase rate to 100 mL/h for the remainder of the dose</w:t>
      </w:r>
    </w:p>
    <w:p w14:paraId="63A7746E" w14:textId="0D9A38EE" w:rsidR="00D07D65" w:rsidRPr="009240CC" w:rsidRDefault="00D07D65" w:rsidP="00E73B9B">
      <w:pPr>
        <w:pStyle w:val="ListParagraph"/>
        <w:keepNext/>
        <w:keepLines/>
        <w:numPr>
          <w:ilvl w:val="0"/>
          <w:numId w:val="19"/>
        </w:numPr>
      </w:pPr>
      <w:r w:rsidRPr="00E42C0F">
        <w:t xml:space="preserve">The </w:t>
      </w:r>
      <w:r>
        <w:t xml:space="preserve">calculated </w:t>
      </w:r>
      <w:r w:rsidRPr="00E42C0F">
        <w:t>IV iron dose should</w:t>
      </w:r>
      <w:r>
        <w:t xml:space="preserve"> take into consideration the target Hb of this patient population (as discussed above) and the suggested approach of providing </w:t>
      </w:r>
      <w:r w:rsidRPr="00057BD0">
        <w:rPr>
          <w:b/>
          <w:bCs/>
        </w:rPr>
        <w:t>an initial dose of up to 1000mg</w:t>
      </w:r>
      <w:r>
        <w:t xml:space="preserve"> elemental iron, followed by a repeat dose, only if this initial dose fails to increase Hb level and/or allow a decrease in ESA dose and if serum ferritin remains </w:t>
      </w:r>
      <w:r>
        <w:rPr>
          <w:rFonts w:ascii="Symbol" w:eastAsia="Symbol" w:hAnsi="Symbol" w:cs="Symbol"/>
        </w:rPr>
        <w:t></w:t>
      </w:r>
      <w:r>
        <w:t xml:space="preserve"> 200 </w:t>
      </w:r>
      <w:r>
        <w:rPr>
          <w:rFonts w:ascii="Symbol" w:eastAsia="Symbol" w:hAnsi="Symbol" w:cs="Symbol"/>
        </w:rPr>
        <w:t></w:t>
      </w:r>
      <w:r>
        <w:t xml:space="preserve">g/L and transferrin saturation </w:t>
      </w:r>
      <w:r>
        <w:rPr>
          <w:rFonts w:ascii="Symbol" w:eastAsia="Symbol" w:hAnsi="Symbol" w:cs="Symbol"/>
        </w:rPr>
        <w:t></w:t>
      </w:r>
      <w:r>
        <w:t xml:space="preserve"> 20%. </w:t>
      </w:r>
    </w:p>
    <w:p w14:paraId="0DC2D667" w14:textId="78187256" w:rsidR="00F14B3E" w:rsidRPr="00E73B9B" w:rsidRDefault="00545420" w:rsidP="00E73B9B">
      <w:pPr>
        <w:jc w:val="right"/>
        <w:rPr>
          <w:rFonts w:cs="Arial"/>
          <w:i/>
          <w:szCs w:val="24"/>
        </w:rPr>
      </w:pPr>
      <w:hyperlink w:anchor="Contents" w:history="1">
        <w:r w:rsidR="00EE24BC" w:rsidRPr="00590902">
          <w:rPr>
            <w:rStyle w:val="Hyperlink"/>
            <w:rFonts w:cs="Arial"/>
            <w:i/>
            <w:szCs w:val="24"/>
          </w:rPr>
          <w:t>Back to Table of Contents</w:t>
        </w:r>
      </w:hyperlink>
      <w:r w:rsidR="00EE24B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D4465D" w:rsidRPr="00CD1C0E" w14:paraId="0860DADA" w14:textId="77777777" w:rsidTr="008F138D">
        <w:trPr>
          <w:cantSplit/>
          <w:trHeight w:val="285"/>
        </w:trPr>
        <w:tc>
          <w:tcPr>
            <w:tcW w:w="9158" w:type="dxa"/>
            <w:shd w:val="clear" w:color="auto" w:fill="A6A6A6" w:themeFill="background1" w:themeFillShade="A6"/>
          </w:tcPr>
          <w:p w14:paraId="4C37811C" w14:textId="756AB772" w:rsidR="00D4465D" w:rsidRPr="003D2D06" w:rsidRDefault="00D4465D" w:rsidP="00E73B9B">
            <w:pPr>
              <w:pStyle w:val="Heading1"/>
            </w:pPr>
            <w:bookmarkStart w:id="45" w:name="_Toc158726137"/>
            <w:r>
              <w:t>Section 17</w:t>
            </w:r>
            <w:r w:rsidRPr="003D2D06">
              <w:t xml:space="preserve"> – </w:t>
            </w:r>
            <w:r>
              <w:t xml:space="preserve">Additional Considerations in Special Populations </w:t>
            </w:r>
            <w:r w:rsidR="00057BD0">
              <w:t>–</w:t>
            </w:r>
            <w:r>
              <w:t xml:space="preserve"> Heart Failure</w:t>
            </w:r>
            <w:bookmarkEnd w:id="45"/>
          </w:p>
        </w:tc>
      </w:tr>
    </w:tbl>
    <w:p w14:paraId="4B8AE5EB" w14:textId="78F5D6C2" w:rsidR="00D07D65" w:rsidRPr="00BA3E23" w:rsidRDefault="00D07D65" w:rsidP="00E73B9B">
      <w:pPr>
        <w:rPr>
          <w:b/>
          <w:bCs/>
        </w:rPr>
      </w:pPr>
    </w:p>
    <w:p w14:paraId="35177755" w14:textId="6C406FBC" w:rsidR="00D07D65" w:rsidRDefault="00D07D65" w:rsidP="00E73B9B">
      <w:pPr>
        <w:pStyle w:val="ListParagraph"/>
        <w:numPr>
          <w:ilvl w:val="0"/>
          <w:numId w:val="20"/>
        </w:numPr>
      </w:pPr>
      <w:r>
        <w:t>Iron deficiency, independent of the presence or absence of anaemia, is associated with reduced exercise tolerance, reduced quality of life, and increased risk of hospitalisation and mortality in heart failure patients</w:t>
      </w:r>
    </w:p>
    <w:p w14:paraId="6049CD4C" w14:textId="71DC8D2F" w:rsidR="00D07D65" w:rsidRDefault="00D07D65" w:rsidP="00E73B9B">
      <w:pPr>
        <w:pStyle w:val="ListParagraph"/>
        <w:numPr>
          <w:ilvl w:val="0"/>
          <w:numId w:val="20"/>
        </w:numPr>
      </w:pPr>
      <w:r>
        <w:t>In symptomatic patients with heart failure with reduced ejection fraction (</w:t>
      </w:r>
      <w:proofErr w:type="spellStart"/>
      <w:r>
        <w:t>HFrEF</w:t>
      </w:r>
      <w:proofErr w:type="spellEnd"/>
      <w:r>
        <w:t xml:space="preserve">), IV iron therapy should be considered if patient is iron deficient, defined as serum ferritin level &lt; 100 </w:t>
      </w:r>
      <w:r>
        <w:rPr>
          <w:rFonts w:ascii="Symbol" w:eastAsia="Symbol" w:hAnsi="Symbol" w:cs="Symbol"/>
        </w:rPr>
        <w:t></w:t>
      </w:r>
      <w:r>
        <w:t xml:space="preserve">g/L, or serum ferritin level 100-300 </w:t>
      </w:r>
      <w:r>
        <w:rPr>
          <w:rFonts w:ascii="Symbol" w:eastAsia="Symbol" w:hAnsi="Symbol" w:cs="Symbol"/>
        </w:rPr>
        <w:t></w:t>
      </w:r>
      <w:r>
        <w:t>g/L with transferrin saturation &lt; 20%, with or without presence of anaemia.</w:t>
      </w:r>
    </w:p>
    <w:p w14:paraId="283F53A8" w14:textId="5CE73311" w:rsidR="00057BD0" w:rsidRPr="00E73B9B" w:rsidRDefault="00545420" w:rsidP="00E73B9B">
      <w:pPr>
        <w:jc w:val="right"/>
        <w:rPr>
          <w:rFonts w:cs="Arial"/>
          <w:i/>
          <w:szCs w:val="24"/>
        </w:rPr>
      </w:pPr>
      <w:hyperlink w:anchor="Contents" w:history="1">
        <w:r w:rsidR="00EE24BC" w:rsidRPr="00590902">
          <w:rPr>
            <w:rStyle w:val="Hyperlink"/>
            <w:rFonts w:cs="Arial"/>
            <w:i/>
            <w:szCs w:val="24"/>
          </w:rPr>
          <w:t>Back to Table of Contents</w:t>
        </w:r>
      </w:hyperlink>
      <w:r w:rsidR="00EE24BC">
        <w:rPr>
          <w:rFonts w:cs="Arial"/>
          <w:i/>
          <w:szCs w:val="24"/>
        </w:rPr>
        <w:t xml:space="preserve"> </w:t>
      </w:r>
    </w:p>
    <w:tbl>
      <w:tblPr>
        <w:tblpPr w:leftFromText="180" w:rightFromText="180" w:vertAnchor="text" w:horzAnchor="margin" w:tblpY="181"/>
        <w:tblW w:w="9156" w:type="dxa"/>
        <w:tblLook w:val="0000" w:firstRow="0" w:lastRow="0" w:firstColumn="0" w:lastColumn="0" w:noHBand="0" w:noVBand="0"/>
      </w:tblPr>
      <w:tblGrid>
        <w:gridCol w:w="9156"/>
      </w:tblGrid>
      <w:tr w:rsidR="00D4465D" w:rsidRPr="00CD1C0E" w14:paraId="743389E4" w14:textId="77777777" w:rsidTr="00BB2B38">
        <w:trPr>
          <w:cantSplit/>
          <w:trHeight w:val="285"/>
        </w:trPr>
        <w:tc>
          <w:tcPr>
            <w:tcW w:w="9156" w:type="dxa"/>
            <w:shd w:val="clear" w:color="auto" w:fill="A6A6A6" w:themeFill="background1" w:themeFillShade="A6"/>
          </w:tcPr>
          <w:p w14:paraId="06B8A235" w14:textId="7F0B6259" w:rsidR="00D4465D" w:rsidRPr="003D2D06" w:rsidRDefault="00D4465D" w:rsidP="00E73B9B">
            <w:pPr>
              <w:pStyle w:val="Heading1"/>
            </w:pPr>
            <w:bookmarkStart w:id="46" w:name="_Toc158726138"/>
            <w:r>
              <w:t>Section 18</w:t>
            </w:r>
            <w:r w:rsidRPr="003D2D06">
              <w:t xml:space="preserve"> – </w:t>
            </w:r>
            <w:r>
              <w:t xml:space="preserve">Additional Considerations in Special Populations </w:t>
            </w:r>
            <w:r w:rsidR="00057BD0">
              <w:t>–</w:t>
            </w:r>
            <w:r>
              <w:t xml:space="preserve"> Peri operative</w:t>
            </w:r>
            <w:bookmarkEnd w:id="46"/>
          </w:p>
        </w:tc>
      </w:tr>
    </w:tbl>
    <w:p w14:paraId="48FF8172" w14:textId="77777777" w:rsidR="00D07D65" w:rsidRPr="00D07D65" w:rsidRDefault="00D07D65" w:rsidP="00E73B9B">
      <w:pPr>
        <w:rPr>
          <w:b/>
          <w:bCs/>
        </w:rPr>
      </w:pPr>
    </w:p>
    <w:p w14:paraId="33B34484" w14:textId="7542529B" w:rsidR="00D07D65" w:rsidRPr="00BA3E23" w:rsidRDefault="00D07D65" w:rsidP="00E73B9B">
      <w:pPr>
        <w:rPr>
          <w:b/>
          <w:bCs/>
        </w:rPr>
      </w:pPr>
      <w:r w:rsidRPr="00D07D65">
        <w:rPr>
          <w:b/>
          <w:bCs/>
        </w:rPr>
        <w:t>Pre-operativ</w:t>
      </w:r>
      <w:r w:rsidR="00057BD0">
        <w:rPr>
          <w:b/>
          <w:bCs/>
        </w:rPr>
        <w:t>e</w:t>
      </w:r>
    </w:p>
    <w:p w14:paraId="7F585ACF" w14:textId="77777777" w:rsidR="00D07D65" w:rsidRDefault="00D07D65" w:rsidP="00E73B9B">
      <w:pPr>
        <w:pStyle w:val="ListBullet"/>
        <w:tabs>
          <w:tab w:val="clear" w:pos="1080"/>
          <w:tab w:val="num" w:pos="360"/>
        </w:tabs>
        <w:ind w:left="360"/>
      </w:pPr>
      <w:r w:rsidRPr="003969CF">
        <w:t>Even after allowing for confounding factors, pre-operative anaemia is associated with poorer perioperative outcomes.  Where iron deficiency is suspected or identified, consideration ought to be given to the surgical urgency, the anticipated blood loss and the underlying cause.</w:t>
      </w:r>
    </w:p>
    <w:p w14:paraId="7BA0B5C0" w14:textId="77777777" w:rsidR="00D07D65" w:rsidRDefault="00D07D65" w:rsidP="00E73B9B">
      <w:pPr>
        <w:pStyle w:val="ListBullet"/>
        <w:tabs>
          <w:tab w:val="clear" w:pos="1080"/>
          <w:tab w:val="num" w:pos="360"/>
        </w:tabs>
        <w:ind w:left="360"/>
      </w:pPr>
      <w:r w:rsidRPr="003969CF">
        <w:t>Patients who present wi</w:t>
      </w:r>
      <w:r>
        <w:t>th iron deficient anaemia (IDA)</w:t>
      </w:r>
      <w:r w:rsidRPr="003969CF">
        <w:t xml:space="preserve"> wh</w:t>
      </w:r>
      <w:r>
        <w:t>o’s</w:t>
      </w:r>
      <w:r w:rsidRPr="003969CF">
        <w:t xml:space="preserve"> pathology for which they are having surgery doesn’t explain the IDA, should be referred to the GP for further investigation</w:t>
      </w:r>
      <w:r>
        <w:t>.</w:t>
      </w:r>
      <w:r w:rsidRPr="003969CF">
        <w:t xml:space="preserve"> </w:t>
      </w:r>
    </w:p>
    <w:p w14:paraId="5F697F02" w14:textId="209CF0BF" w:rsidR="00D07D65" w:rsidRPr="003969CF" w:rsidRDefault="00D07D65" w:rsidP="00E73B9B">
      <w:pPr>
        <w:pStyle w:val="ListBullet"/>
        <w:tabs>
          <w:tab w:val="clear" w:pos="1080"/>
          <w:tab w:val="num" w:pos="360"/>
        </w:tabs>
        <w:ind w:left="360"/>
      </w:pPr>
      <w:r w:rsidRPr="003969CF">
        <w:t>Where pre-operative patients are found to be anaemic (Hb &lt; 130g/L) and iron deficient (ferritin &lt; 30mcg/L, or &lt; 100mcg/L in the context of inflammation</w:t>
      </w:r>
      <w:proofErr w:type="gramStart"/>
      <w:r w:rsidRPr="003969CF">
        <w:t>)</w:t>
      </w:r>
      <w:r w:rsidRPr="003969CF">
        <w:rPr>
          <w:vertAlign w:val="superscript"/>
        </w:rPr>
        <w:t xml:space="preserve"> </w:t>
      </w:r>
      <w:r w:rsidRPr="003969CF">
        <w:t>,</w:t>
      </w:r>
      <w:proofErr w:type="gramEnd"/>
      <w:r w:rsidRPr="003969CF">
        <w:t xml:space="preserve"> management will depend on</w:t>
      </w:r>
      <w:r>
        <w:t>:</w:t>
      </w:r>
      <w:r>
        <w:rPr>
          <w:vertAlign w:val="superscript"/>
        </w:rPr>
        <w:t xml:space="preserve"> </w:t>
      </w:r>
    </w:p>
    <w:p w14:paraId="6D3A5E18" w14:textId="45E37E05" w:rsidR="00D07D65" w:rsidRPr="003969CF" w:rsidRDefault="00D07D65" w:rsidP="00E73B9B">
      <w:pPr>
        <w:pStyle w:val="ListBullet"/>
        <w:numPr>
          <w:ilvl w:val="0"/>
          <w:numId w:val="28"/>
        </w:numPr>
      </w:pPr>
      <w:r w:rsidRPr="003969CF">
        <w:t>The size and potential blood loss of the planned surgery</w:t>
      </w:r>
      <w:r w:rsidR="00D4465D">
        <w:t>:</w:t>
      </w:r>
    </w:p>
    <w:p w14:paraId="64EB3C1D" w14:textId="77777777" w:rsidR="00F14B3E" w:rsidRDefault="00D07D65" w:rsidP="00E73B9B">
      <w:pPr>
        <w:pStyle w:val="ListBullet"/>
        <w:numPr>
          <w:ilvl w:val="0"/>
          <w:numId w:val="21"/>
        </w:numPr>
        <w:ind w:left="1440"/>
      </w:pPr>
      <w:r>
        <w:t>F</w:t>
      </w:r>
      <w:r w:rsidRPr="003969CF">
        <w:t>or minor procedure where minimal blood loss is anticipated, patients may be managed as would iron-deficient patients not undergoing surgery</w:t>
      </w:r>
    </w:p>
    <w:p w14:paraId="6074B2C3" w14:textId="07230108" w:rsidR="00D07D65" w:rsidRPr="003969CF" w:rsidRDefault="00D07D65" w:rsidP="00E73B9B">
      <w:pPr>
        <w:pStyle w:val="ListBullet"/>
        <w:numPr>
          <w:ilvl w:val="0"/>
          <w:numId w:val="28"/>
        </w:numPr>
      </w:pPr>
      <w:r w:rsidRPr="003969CF">
        <w:t>The urgency of the surgery</w:t>
      </w:r>
    </w:p>
    <w:p w14:paraId="77FACB10" w14:textId="77777777" w:rsidR="00D07D65" w:rsidRPr="003969CF" w:rsidRDefault="00D07D65" w:rsidP="00E73B9B">
      <w:pPr>
        <w:pStyle w:val="ListParagraph"/>
        <w:numPr>
          <w:ilvl w:val="1"/>
          <w:numId w:val="27"/>
        </w:numPr>
        <w:autoSpaceDE w:val="0"/>
        <w:autoSpaceDN w:val="0"/>
        <w:adjustRightInd w:val="0"/>
        <w:contextualSpacing w:val="0"/>
      </w:pPr>
      <w:r>
        <w:t>F</w:t>
      </w:r>
      <w:r w:rsidRPr="003969CF">
        <w:t>or su</w:t>
      </w:r>
      <w:r>
        <w:t>rger</w:t>
      </w:r>
      <w:r w:rsidRPr="003969CF">
        <w:t>y within 21 days there is no advantage to pre-operative iron infusion versus a post-operative iron infusion.</w:t>
      </w:r>
    </w:p>
    <w:p w14:paraId="6B4D180D" w14:textId="77777777" w:rsidR="00D07D65" w:rsidRPr="003969CF" w:rsidRDefault="00D07D65" w:rsidP="00E73B9B">
      <w:pPr>
        <w:pStyle w:val="ListParagraph"/>
        <w:numPr>
          <w:ilvl w:val="1"/>
          <w:numId w:val="27"/>
        </w:numPr>
        <w:autoSpaceDE w:val="0"/>
        <w:autoSpaceDN w:val="0"/>
        <w:adjustRightInd w:val="0"/>
        <w:contextualSpacing w:val="0"/>
      </w:pPr>
      <w:r>
        <w:t>F</w:t>
      </w:r>
      <w:r w:rsidRPr="003969CF">
        <w:t>or surgery greater than 21 days away, IV iron infusion is likely to produce a faster response than oral iron replacement and may be appropriate.</w:t>
      </w:r>
    </w:p>
    <w:p w14:paraId="1D1A59CA" w14:textId="5F9FD00E" w:rsidR="00D07D65" w:rsidRPr="00057BD0" w:rsidRDefault="00D07D65" w:rsidP="00E73B9B">
      <w:pPr>
        <w:pStyle w:val="ListParagraph"/>
        <w:numPr>
          <w:ilvl w:val="1"/>
          <w:numId w:val="27"/>
        </w:numPr>
        <w:autoSpaceDE w:val="0"/>
        <w:autoSpaceDN w:val="0"/>
        <w:adjustRightInd w:val="0"/>
        <w:contextualSpacing w:val="0"/>
        <w:rPr>
          <w:rFonts w:ascii="Times New Roman" w:hAnsi="Times New Roman"/>
          <w:szCs w:val="24"/>
          <w:lang w:eastAsia="en-GB"/>
        </w:rPr>
      </w:pPr>
      <w:r w:rsidRPr="003969CF">
        <w:rPr>
          <w:rFonts w:cs="Calibri"/>
          <w:iCs/>
          <w:color w:val="000000"/>
          <w:szCs w:val="24"/>
          <w:shd w:val="clear" w:color="auto" w:fill="FFFFFF"/>
          <w:lang w:eastAsia="en-GB"/>
        </w:rPr>
        <w:lastRenderedPageBreak/>
        <w:t>In selected cases with significant iron deficiency and low surgical urgency, it may be reasonable to delay surgery to allow adequate time for a sufficient response to IV iron</w:t>
      </w:r>
      <w:r>
        <w:rPr>
          <w:rFonts w:cs="Calibri"/>
          <w:iCs/>
          <w:color w:val="000000"/>
          <w:szCs w:val="24"/>
          <w:shd w:val="clear" w:color="auto" w:fill="FFFFFF"/>
          <w:lang w:eastAsia="en-GB"/>
        </w:rPr>
        <w:t xml:space="preserve"> therapy.</w:t>
      </w:r>
    </w:p>
    <w:p w14:paraId="061BDDAA" w14:textId="77777777" w:rsidR="00F14B3E" w:rsidRPr="00D4465D" w:rsidRDefault="00F14B3E" w:rsidP="00E73B9B">
      <w:pPr>
        <w:pStyle w:val="ListParagraph"/>
        <w:autoSpaceDE w:val="0"/>
        <w:autoSpaceDN w:val="0"/>
        <w:adjustRightInd w:val="0"/>
        <w:ind w:left="1080"/>
        <w:contextualSpacing w:val="0"/>
        <w:rPr>
          <w:rFonts w:ascii="Times New Roman" w:hAnsi="Times New Roman"/>
          <w:szCs w:val="24"/>
          <w:lang w:eastAsia="en-GB"/>
        </w:rPr>
      </w:pPr>
    </w:p>
    <w:p w14:paraId="1CAD24B7" w14:textId="271EA8B8" w:rsidR="00D07D65" w:rsidRPr="00D4465D" w:rsidRDefault="00D07D65" w:rsidP="00E73B9B">
      <w:pPr>
        <w:rPr>
          <w:b/>
          <w:bCs/>
        </w:rPr>
      </w:pPr>
      <w:r w:rsidRPr="00BA3E23">
        <w:rPr>
          <w:b/>
          <w:bCs/>
        </w:rPr>
        <w:t>Post Operative</w:t>
      </w:r>
    </w:p>
    <w:p w14:paraId="5DA27529" w14:textId="0EE7E79B" w:rsidR="001E32F1" w:rsidRPr="00057BD0" w:rsidRDefault="00D07D65" w:rsidP="00E73B9B">
      <w:pPr>
        <w:pStyle w:val="ListBullet"/>
        <w:tabs>
          <w:tab w:val="clear" w:pos="1080"/>
        </w:tabs>
        <w:ind w:left="426" w:hanging="426"/>
        <w:rPr>
          <w:rFonts w:cs="Arial"/>
          <w:b/>
          <w:szCs w:val="24"/>
        </w:rPr>
      </w:pPr>
      <w:r>
        <w:t>Any patient who has a post-operative IDA, should be considered for intravenous iron prior to discharge as it may enhance recovery and reduce risk of readmission</w:t>
      </w:r>
      <w:r w:rsidR="00057BD0">
        <w:t xml:space="preserve">. </w:t>
      </w:r>
    </w:p>
    <w:p w14:paraId="7FA1CB00" w14:textId="77777777" w:rsidR="00057BD0" w:rsidRDefault="00057BD0" w:rsidP="00E73B9B">
      <w:pPr>
        <w:rPr>
          <w:rFonts w:cs="Arial"/>
          <w:b/>
          <w:szCs w:val="24"/>
        </w:rPr>
      </w:pPr>
    </w:p>
    <w:p w14:paraId="48EA037E" w14:textId="76136825" w:rsidR="00057BD0" w:rsidRPr="00057BD0" w:rsidRDefault="00545420" w:rsidP="00E73B9B">
      <w:pPr>
        <w:jc w:val="right"/>
        <w:rPr>
          <w:rFonts w:cs="Arial"/>
          <w:b/>
          <w:szCs w:val="24"/>
        </w:rPr>
      </w:pPr>
      <w:hyperlink w:anchor="Contents" w:history="1">
        <w:r w:rsidR="00057BD0" w:rsidRPr="00590902">
          <w:rPr>
            <w:rStyle w:val="Hyperlink"/>
            <w:rFonts w:cs="Arial"/>
            <w:i/>
            <w:szCs w:val="24"/>
          </w:rPr>
          <w:t>Back to Table of Contents</w:t>
        </w:r>
      </w:hyperlink>
      <w:r w:rsidR="00057BD0">
        <w:rPr>
          <w:rFonts w:cs="Arial"/>
          <w:i/>
          <w:szCs w:val="24"/>
        </w:rPr>
        <w:t xml:space="preserve"> </w:t>
      </w:r>
      <w:r w:rsidR="00057BD0">
        <w:t xml:space="preserve"> </w:t>
      </w:r>
    </w:p>
    <w:tbl>
      <w:tblPr>
        <w:tblpPr w:leftFromText="180" w:rightFromText="180" w:vertAnchor="text" w:horzAnchor="margin" w:tblpY="181"/>
        <w:tblW w:w="9156" w:type="dxa"/>
        <w:tblLook w:val="0000" w:firstRow="0" w:lastRow="0" w:firstColumn="0" w:lastColumn="0" w:noHBand="0" w:noVBand="0"/>
      </w:tblPr>
      <w:tblGrid>
        <w:gridCol w:w="9156"/>
      </w:tblGrid>
      <w:tr w:rsidR="001E32F1" w:rsidRPr="00CD1C0E" w14:paraId="2EBD5828" w14:textId="77777777" w:rsidTr="00BB2B38">
        <w:trPr>
          <w:cantSplit/>
          <w:trHeight w:val="285"/>
        </w:trPr>
        <w:tc>
          <w:tcPr>
            <w:tcW w:w="9156" w:type="dxa"/>
            <w:shd w:val="clear" w:color="auto" w:fill="A6A6A6" w:themeFill="background1" w:themeFillShade="A6"/>
          </w:tcPr>
          <w:p w14:paraId="344AA589" w14:textId="5E94140A" w:rsidR="001E32F1" w:rsidRPr="003D2D06" w:rsidRDefault="001E32F1" w:rsidP="00E73B9B">
            <w:pPr>
              <w:pStyle w:val="Heading1"/>
            </w:pPr>
            <w:bookmarkStart w:id="47" w:name="_Toc158726139"/>
            <w:r>
              <w:t xml:space="preserve">Section </w:t>
            </w:r>
            <w:r w:rsidR="00A930A9">
              <w:t>19</w:t>
            </w:r>
            <w:r w:rsidRPr="003D2D06">
              <w:t xml:space="preserve"> – </w:t>
            </w:r>
            <w:r w:rsidR="00A930A9">
              <w:t>Adverse Reactions</w:t>
            </w:r>
            <w:bookmarkEnd w:id="47"/>
          </w:p>
        </w:tc>
      </w:tr>
    </w:tbl>
    <w:p w14:paraId="30EBB2C6" w14:textId="77777777" w:rsidR="001E32F1" w:rsidRDefault="001E32F1" w:rsidP="00E73B9B">
      <w:pPr>
        <w:pStyle w:val="Heading2"/>
        <w:tabs>
          <w:tab w:val="left" w:pos="720"/>
          <w:tab w:val="left" w:pos="9072"/>
        </w:tabs>
        <w:ind w:right="1019"/>
      </w:pPr>
    </w:p>
    <w:p w14:paraId="6D7B40CC" w14:textId="22F4B0CA" w:rsidR="00690242" w:rsidRDefault="00690242" w:rsidP="00E73B9B">
      <w:pPr>
        <w:tabs>
          <w:tab w:val="left" w:pos="720"/>
          <w:tab w:val="left" w:pos="9781"/>
        </w:tabs>
        <w:ind w:right="310"/>
      </w:pPr>
      <w:r w:rsidRPr="006B7CA2">
        <w:t>Advers</w:t>
      </w:r>
      <w:r>
        <w:t>e reactions to IV iron are</w:t>
      </w:r>
      <w:r w:rsidRPr="006B7CA2">
        <w:t xml:space="preserve"> infrequent</w:t>
      </w:r>
      <w:r>
        <w:t xml:space="preserve"> and can include:</w:t>
      </w:r>
    </w:p>
    <w:p w14:paraId="2C71CFC4" w14:textId="77777777" w:rsidR="00690242" w:rsidRPr="00690242" w:rsidRDefault="00690242" w:rsidP="00E73B9B">
      <w:pPr>
        <w:pStyle w:val="ListBullet"/>
        <w:tabs>
          <w:tab w:val="clear" w:pos="1080"/>
          <w:tab w:val="left" w:pos="720"/>
          <w:tab w:val="left" w:pos="9781"/>
        </w:tabs>
        <w:ind w:left="426" w:right="310" w:hanging="426"/>
      </w:pPr>
      <w:r w:rsidRPr="006B7CA2">
        <w:t>Anaphylaxis</w:t>
      </w:r>
      <w:r>
        <w:t xml:space="preserve"> </w:t>
      </w:r>
    </w:p>
    <w:p w14:paraId="253C5D35" w14:textId="77777777" w:rsidR="00690242" w:rsidRPr="006B7CA2" w:rsidRDefault="00690242" w:rsidP="00E73B9B">
      <w:pPr>
        <w:pStyle w:val="ListBullet"/>
        <w:tabs>
          <w:tab w:val="clear" w:pos="1080"/>
          <w:tab w:val="left" w:pos="720"/>
          <w:tab w:val="left" w:pos="9781"/>
        </w:tabs>
        <w:ind w:left="426" w:right="310" w:hanging="426"/>
      </w:pPr>
      <w:r>
        <w:t>F</w:t>
      </w:r>
      <w:r w:rsidRPr="006B7CA2">
        <w:t>lushing, sweating, chills</w:t>
      </w:r>
      <w:r>
        <w:t xml:space="preserve"> and fever</w:t>
      </w:r>
    </w:p>
    <w:p w14:paraId="17D08D47" w14:textId="77777777" w:rsidR="00690242" w:rsidRPr="006B7CA2" w:rsidRDefault="00690242" w:rsidP="00E73B9B">
      <w:pPr>
        <w:pStyle w:val="ListBullet"/>
        <w:tabs>
          <w:tab w:val="clear" w:pos="1080"/>
          <w:tab w:val="left" w:pos="720"/>
          <w:tab w:val="left" w:pos="9781"/>
        </w:tabs>
        <w:ind w:left="426" w:right="310" w:hanging="426"/>
      </w:pPr>
      <w:r w:rsidRPr="006B7CA2">
        <w:t>Nausea</w:t>
      </w:r>
      <w:r>
        <w:t xml:space="preserve">, </w:t>
      </w:r>
      <w:r w:rsidRPr="006B7CA2">
        <w:t>vomiting</w:t>
      </w:r>
      <w:r>
        <w:t>, dyspepsia, flatulence, abdominal pain, constipation, diarrhoea</w:t>
      </w:r>
    </w:p>
    <w:p w14:paraId="36C89A29" w14:textId="77777777" w:rsidR="00690242" w:rsidRPr="006B7CA2" w:rsidRDefault="00690242" w:rsidP="00E73B9B">
      <w:pPr>
        <w:pStyle w:val="ListBullet"/>
        <w:tabs>
          <w:tab w:val="clear" w:pos="1080"/>
          <w:tab w:val="left" w:pos="720"/>
          <w:tab w:val="left" w:pos="9781"/>
        </w:tabs>
        <w:ind w:left="426" w:right="310" w:hanging="426"/>
      </w:pPr>
      <w:r w:rsidRPr="006B7CA2">
        <w:t>Headache</w:t>
      </w:r>
      <w:r>
        <w:t>, dizziness</w:t>
      </w:r>
    </w:p>
    <w:p w14:paraId="48CEE7AB" w14:textId="77777777" w:rsidR="00690242" w:rsidRDefault="00690242" w:rsidP="00E73B9B">
      <w:pPr>
        <w:pStyle w:val="ListBullet"/>
        <w:tabs>
          <w:tab w:val="clear" w:pos="1080"/>
          <w:tab w:val="left" w:pos="720"/>
          <w:tab w:val="left" w:pos="9781"/>
        </w:tabs>
        <w:ind w:left="426" w:right="310" w:hanging="426"/>
      </w:pPr>
      <w:r w:rsidRPr="006B7CA2">
        <w:t>Myalgia</w:t>
      </w:r>
      <w:r>
        <w:t>, arthralgia, muscle cramps</w:t>
      </w:r>
    </w:p>
    <w:p w14:paraId="449A5D9E" w14:textId="77777777" w:rsidR="00690242" w:rsidRPr="006B7CA2" w:rsidRDefault="00690242" w:rsidP="00E73B9B">
      <w:pPr>
        <w:pStyle w:val="ListBullet"/>
        <w:tabs>
          <w:tab w:val="clear" w:pos="1080"/>
          <w:tab w:val="left" w:pos="720"/>
          <w:tab w:val="left" w:pos="9781"/>
        </w:tabs>
        <w:ind w:left="426" w:right="310" w:hanging="426"/>
      </w:pPr>
      <w:r>
        <w:t xml:space="preserve">Hypotension, tachycardia, chest pain </w:t>
      </w:r>
    </w:p>
    <w:p w14:paraId="71064FB6" w14:textId="77777777" w:rsidR="00690242" w:rsidRDefault="00690242" w:rsidP="00E73B9B">
      <w:pPr>
        <w:pStyle w:val="ListBullet"/>
        <w:tabs>
          <w:tab w:val="clear" w:pos="1080"/>
          <w:tab w:val="left" w:pos="720"/>
        </w:tabs>
        <w:ind w:left="426" w:right="310" w:hanging="426"/>
      </w:pPr>
      <w:r>
        <w:t>B</w:t>
      </w:r>
      <w:r w:rsidRPr="006B7CA2">
        <w:t>ronchospasm</w:t>
      </w:r>
      <w:r>
        <w:t>, d</w:t>
      </w:r>
      <w:r w:rsidRPr="006B7CA2">
        <w:t>yspnoea</w:t>
      </w:r>
    </w:p>
    <w:p w14:paraId="1A2CE6BD" w14:textId="77777777" w:rsidR="00690242" w:rsidRPr="006B7CA2" w:rsidRDefault="00690242" w:rsidP="00E73B9B">
      <w:pPr>
        <w:pStyle w:val="ListBullet"/>
        <w:tabs>
          <w:tab w:val="clear" w:pos="1080"/>
          <w:tab w:val="left" w:pos="720"/>
          <w:tab w:val="left" w:pos="9781"/>
        </w:tabs>
        <w:ind w:left="426" w:right="310" w:hanging="426"/>
      </w:pPr>
      <w:r>
        <w:t xml:space="preserve">Rash, urticaria </w:t>
      </w:r>
    </w:p>
    <w:p w14:paraId="479CB09C" w14:textId="36AA8DAF" w:rsidR="00690242" w:rsidRPr="006B7CA2" w:rsidRDefault="00690242" w:rsidP="00E73B9B">
      <w:pPr>
        <w:pStyle w:val="ListBullet"/>
        <w:tabs>
          <w:tab w:val="clear" w:pos="1080"/>
          <w:tab w:val="left" w:pos="720"/>
          <w:tab w:val="left" w:pos="9781"/>
        </w:tabs>
        <w:ind w:left="426" w:right="310" w:hanging="426"/>
      </w:pPr>
      <w:r>
        <w:t xml:space="preserve">Injection/infusion site </w:t>
      </w:r>
      <w:r w:rsidRPr="00957957">
        <w:t xml:space="preserve">reactions (See Section </w:t>
      </w:r>
      <w:r w:rsidR="00376405">
        <w:t>22</w:t>
      </w:r>
      <w:r w:rsidR="00930167">
        <w:t xml:space="preserve"> of this procedure</w:t>
      </w:r>
      <w:r w:rsidRPr="00957957">
        <w:t>)</w:t>
      </w:r>
      <w:r>
        <w:t xml:space="preserve"> </w:t>
      </w:r>
    </w:p>
    <w:p w14:paraId="6130233E" w14:textId="202F058F" w:rsidR="00690242" w:rsidRPr="002B2508" w:rsidRDefault="00690242" w:rsidP="00E73B9B">
      <w:pPr>
        <w:pStyle w:val="ListBullet"/>
        <w:tabs>
          <w:tab w:val="clear" w:pos="1080"/>
          <w:tab w:val="left" w:pos="720"/>
        </w:tabs>
        <w:ind w:left="426" w:right="310" w:hanging="426"/>
      </w:pPr>
      <w:proofErr w:type="spellStart"/>
      <w:r w:rsidRPr="002B2508">
        <w:t>Hypophosphataemia</w:t>
      </w:r>
      <w:proofErr w:type="spellEnd"/>
      <w:r w:rsidRPr="002B2508">
        <w:t xml:space="preserve"> (Ferric </w:t>
      </w:r>
      <w:proofErr w:type="spellStart"/>
      <w:r w:rsidRPr="002B2508">
        <w:t>carboxymaltose</w:t>
      </w:r>
      <w:proofErr w:type="spellEnd"/>
      <w:r w:rsidRPr="002B2508">
        <w:t xml:space="preserve"> only)</w:t>
      </w:r>
    </w:p>
    <w:p w14:paraId="5A7324A2" w14:textId="77777777" w:rsidR="00057BD0" w:rsidRDefault="00057BD0" w:rsidP="00E73B9B">
      <w:pPr>
        <w:tabs>
          <w:tab w:val="left" w:pos="720"/>
          <w:tab w:val="left" w:pos="9781"/>
        </w:tabs>
        <w:ind w:right="310"/>
      </w:pPr>
    </w:p>
    <w:p w14:paraId="0EC4E1CF" w14:textId="4983A58E" w:rsidR="00690242" w:rsidRDefault="00690242" w:rsidP="00E73B9B">
      <w:pPr>
        <w:tabs>
          <w:tab w:val="left" w:pos="720"/>
          <w:tab w:val="left" w:pos="9781"/>
        </w:tabs>
        <w:ind w:right="310"/>
      </w:pPr>
      <w:r>
        <w:t>Delayed a</w:t>
      </w:r>
      <w:r w:rsidRPr="00C16D2E">
        <w:t xml:space="preserve">dverse </w:t>
      </w:r>
      <w:r>
        <w:t xml:space="preserve">reactions </w:t>
      </w:r>
      <w:r w:rsidRPr="00C16D2E">
        <w:t xml:space="preserve">may also </w:t>
      </w:r>
      <w:r>
        <w:t xml:space="preserve">occur </w:t>
      </w:r>
      <w:r w:rsidRPr="00C16D2E">
        <w:t xml:space="preserve">one to two days after administration </w:t>
      </w:r>
      <w:r w:rsidRPr="00552838">
        <w:t>and can</w:t>
      </w:r>
      <w:r w:rsidRPr="00C16D2E">
        <w:t xml:space="preserve"> </w:t>
      </w:r>
      <w:r w:rsidRPr="00552838">
        <w:t>include</w:t>
      </w:r>
      <w:r>
        <w:t xml:space="preserve"> </w:t>
      </w:r>
      <w:r w:rsidRPr="00552838">
        <w:t>headache, mild fever,</w:t>
      </w:r>
      <w:r w:rsidRPr="00C16D2E">
        <w:t xml:space="preserve"> nausea,</w:t>
      </w:r>
      <w:r w:rsidRPr="00552838">
        <w:t xml:space="preserve"> </w:t>
      </w:r>
      <w:r>
        <w:t xml:space="preserve">and </w:t>
      </w:r>
      <w:r w:rsidRPr="00552838">
        <w:t>joint and muscle aches</w:t>
      </w:r>
      <w:r>
        <w:t>.</w:t>
      </w:r>
      <w:r w:rsidRPr="00552838">
        <w:t xml:space="preserve"> These adverse </w:t>
      </w:r>
      <w:r>
        <w:t>reactions</w:t>
      </w:r>
      <w:r w:rsidRPr="00552838">
        <w:t xml:space="preserve"> usually resolve </w:t>
      </w:r>
      <w:r w:rsidRPr="00C16D2E">
        <w:t xml:space="preserve">within a week </w:t>
      </w:r>
      <w:r w:rsidRPr="00552838">
        <w:t xml:space="preserve">following </w:t>
      </w:r>
      <w:r>
        <w:t>administration</w:t>
      </w:r>
      <w:r w:rsidRPr="00552838">
        <w:t>.</w:t>
      </w:r>
      <w:r w:rsidRPr="000E343D">
        <w:t xml:space="preserve"> </w:t>
      </w:r>
    </w:p>
    <w:p w14:paraId="795D9446" w14:textId="77777777" w:rsidR="001E32F1" w:rsidRDefault="001E32F1" w:rsidP="00E73B9B">
      <w:pPr>
        <w:rPr>
          <w:rFonts w:cs="Arial"/>
          <w:b/>
          <w:szCs w:val="24"/>
        </w:rPr>
      </w:pPr>
    </w:p>
    <w:p w14:paraId="33BA2941" w14:textId="77777777" w:rsidR="00690242" w:rsidRPr="00690242" w:rsidRDefault="00690242" w:rsidP="00E73B9B">
      <w:pPr>
        <w:pStyle w:val="Quote"/>
        <w:pBdr>
          <w:top w:val="single" w:sz="8" w:space="8" w:color="auto"/>
          <w:left w:val="single" w:sz="8" w:space="4" w:color="auto"/>
          <w:bottom w:val="single" w:sz="8" w:space="8" w:color="auto"/>
          <w:right w:val="single" w:sz="8" w:space="0" w:color="auto"/>
        </w:pBdr>
        <w:ind w:left="0" w:right="26"/>
        <w:rPr>
          <w:i w:val="0"/>
          <w:iCs w:val="0"/>
          <w:sz w:val="24"/>
          <w:szCs w:val="24"/>
        </w:rPr>
      </w:pPr>
      <w:r w:rsidRPr="00690242">
        <w:rPr>
          <w:rFonts w:cs="Arial"/>
          <w:b/>
          <w:i w:val="0"/>
          <w:iCs w:val="0"/>
          <w:sz w:val="24"/>
          <w:szCs w:val="24"/>
        </w:rPr>
        <w:t xml:space="preserve">Note: </w:t>
      </w:r>
      <w:bookmarkStart w:id="48" w:name="_Ref82291912"/>
      <w:bookmarkStart w:id="49" w:name="_Toc83908335"/>
      <w:bookmarkStart w:id="50" w:name="_Toc83908639"/>
      <w:r w:rsidRPr="00690242">
        <w:rPr>
          <w:i w:val="0"/>
          <w:iCs w:val="0"/>
          <w:sz w:val="24"/>
          <w:szCs w:val="24"/>
        </w:rPr>
        <w:t xml:space="preserve">If there are any concerns at any time during the administration of IV iron or an adverse reaction appears likely, stop the infusion, and request for medical support. </w:t>
      </w:r>
    </w:p>
    <w:bookmarkEnd w:id="48"/>
    <w:bookmarkEnd w:id="49"/>
    <w:bookmarkEnd w:id="50"/>
    <w:p w14:paraId="01D50973" w14:textId="07CD70FE" w:rsidR="00690242" w:rsidRDefault="00690242" w:rsidP="00E73B9B">
      <w:pPr>
        <w:rPr>
          <w:rFonts w:cs="Arial"/>
          <w:b/>
          <w:szCs w:val="24"/>
        </w:rPr>
      </w:pPr>
    </w:p>
    <w:p w14:paraId="6169D62F" w14:textId="4EABC447" w:rsidR="001E32F1" w:rsidRDefault="00545420" w:rsidP="00E73B9B">
      <w:pPr>
        <w:jc w:val="right"/>
        <w:rPr>
          <w:rFonts w:cs="Arial"/>
          <w:b/>
          <w:szCs w:val="24"/>
        </w:rPr>
      </w:pPr>
      <w:hyperlink w:anchor="Contents" w:history="1">
        <w:r w:rsidR="00B65936" w:rsidRPr="00590902">
          <w:rPr>
            <w:rStyle w:val="Hyperlink"/>
            <w:rFonts w:cs="Arial"/>
            <w:i/>
            <w:szCs w:val="24"/>
          </w:rPr>
          <w:t>Back to Table of Contents</w:t>
        </w:r>
      </w:hyperlink>
      <w:r w:rsidR="00B65936">
        <w:rPr>
          <w:rFonts w:cs="Arial"/>
          <w:i/>
          <w:szCs w:val="24"/>
        </w:rPr>
        <w:t xml:space="preserve"> </w:t>
      </w:r>
      <w:r w:rsidR="007B4DC5">
        <w:t xml:space="preserve"> </w:t>
      </w:r>
    </w:p>
    <w:tbl>
      <w:tblPr>
        <w:tblpPr w:leftFromText="180" w:rightFromText="180" w:vertAnchor="text" w:horzAnchor="margin" w:tblpY="181"/>
        <w:tblW w:w="9156" w:type="dxa"/>
        <w:tblLook w:val="0000" w:firstRow="0" w:lastRow="0" w:firstColumn="0" w:lastColumn="0" w:noHBand="0" w:noVBand="0"/>
      </w:tblPr>
      <w:tblGrid>
        <w:gridCol w:w="9156"/>
      </w:tblGrid>
      <w:tr w:rsidR="001E32F1" w:rsidRPr="00CD1C0E" w14:paraId="16EC6229" w14:textId="77777777" w:rsidTr="00BB2B38">
        <w:trPr>
          <w:cantSplit/>
          <w:trHeight w:val="285"/>
        </w:trPr>
        <w:tc>
          <w:tcPr>
            <w:tcW w:w="9156" w:type="dxa"/>
            <w:shd w:val="clear" w:color="auto" w:fill="A6A6A6" w:themeFill="background1" w:themeFillShade="A6"/>
          </w:tcPr>
          <w:p w14:paraId="06877DA9" w14:textId="07E7FA54" w:rsidR="001E32F1" w:rsidRPr="003D2D06" w:rsidRDefault="001E32F1" w:rsidP="00E73B9B">
            <w:pPr>
              <w:pStyle w:val="Heading1"/>
            </w:pPr>
            <w:bookmarkStart w:id="51" w:name="_Toc158726140"/>
            <w:r>
              <w:t xml:space="preserve">Section </w:t>
            </w:r>
            <w:r w:rsidR="00690242">
              <w:t>20</w:t>
            </w:r>
            <w:r w:rsidRPr="003D2D06">
              <w:t xml:space="preserve"> – </w:t>
            </w:r>
            <w:r w:rsidR="00690242">
              <w:t>Management of Mild to Moderate Reactions</w:t>
            </w:r>
            <w:bookmarkEnd w:id="51"/>
          </w:p>
        </w:tc>
      </w:tr>
    </w:tbl>
    <w:p w14:paraId="057E875B" w14:textId="77777777" w:rsidR="001E32F1" w:rsidRDefault="001E32F1" w:rsidP="00E73B9B">
      <w:pPr>
        <w:pStyle w:val="Heading2"/>
      </w:pPr>
    </w:p>
    <w:p w14:paraId="380FB9FC" w14:textId="0CD670E4" w:rsidR="00690242" w:rsidRPr="00057BD0" w:rsidRDefault="00690242" w:rsidP="00E73B9B">
      <w:pPr>
        <w:pStyle w:val="ListParagraph"/>
        <w:numPr>
          <w:ilvl w:val="0"/>
          <w:numId w:val="24"/>
        </w:numPr>
        <w:ind w:left="360" w:right="1160"/>
        <w:rPr>
          <w:iCs/>
        </w:rPr>
      </w:pPr>
      <w:r w:rsidRPr="00057BD0">
        <w:rPr>
          <w:iCs/>
        </w:rPr>
        <w:t>Mild to moderate reactions can include headache, nausea, rash, myalgia, and cannula site discomfort</w:t>
      </w:r>
    </w:p>
    <w:p w14:paraId="4E5EC652" w14:textId="773A4251" w:rsidR="00690242" w:rsidRDefault="00690242" w:rsidP="00E73B9B">
      <w:pPr>
        <w:pStyle w:val="ListParagraph"/>
        <w:numPr>
          <w:ilvl w:val="0"/>
          <w:numId w:val="24"/>
        </w:numPr>
        <w:ind w:left="360" w:right="1160"/>
        <w:rPr>
          <w:iCs/>
        </w:rPr>
      </w:pPr>
      <w:r w:rsidRPr="00057BD0">
        <w:rPr>
          <w:iCs/>
        </w:rPr>
        <w:t>Stop infusion and request for a review by a Medical Officer</w:t>
      </w:r>
    </w:p>
    <w:p w14:paraId="24EB2676" w14:textId="728F1C36" w:rsidR="00690242" w:rsidRDefault="00690242" w:rsidP="00E73B9B">
      <w:pPr>
        <w:pStyle w:val="ListParagraph"/>
        <w:numPr>
          <w:ilvl w:val="0"/>
          <w:numId w:val="24"/>
        </w:numPr>
        <w:ind w:left="360" w:right="1160"/>
        <w:rPr>
          <w:iCs/>
        </w:rPr>
      </w:pPr>
      <w:r w:rsidRPr="00057BD0">
        <w:rPr>
          <w:iCs/>
        </w:rPr>
        <w:t>For mild dermatological reactions, consider an antihistamine and/or a corticosteroid (such as PO loratadine 10mg and IV hydrocortisone 100mg)</w:t>
      </w:r>
    </w:p>
    <w:p w14:paraId="6C2F3B35" w14:textId="2B9D7256" w:rsidR="00690242" w:rsidRDefault="00690242" w:rsidP="00E73B9B">
      <w:pPr>
        <w:pStyle w:val="ListParagraph"/>
        <w:numPr>
          <w:ilvl w:val="0"/>
          <w:numId w:val="24"/>
        </w:numPr>
        <w:ind w:left="360" w:right="1160"/>
        <w:rPr>
          <w:iCs/>
        </w:rPr>
      </w:pPr>
      <w:r w:rsidRPr="00057BD0">
        <w:rPr>
          <w:iCs/>
        </w:rPr>
        <w:lastRenderedPageBreak/>
        <w:t>For headaches or general discomfort, consider oral paracetamol 1g</w:t>
      </w:r>
      <w:r w:rsidR="00057BD0">
        <w:rPr>
          <w:iCs/>
        </w:rPr>
        <w:t>ram</w:t>
      </w:r>
    </w:p>
    <w:p w14:paraId="6AFF3EE3" w14:textId="1CA78D79" w:rsidR="00690242" w:rsidRDefault="00690242" w:rsidP="00E73B9B">
      <w:pPr>
        <w:pStyle w:val="ListParagraph"/>
        <w:numPr>
          <w:ilvl w:val="0"/>
          <w:numId w:val="24"/>
        </w:numPr>
        <w:ind w:left="360" w:right="1160"/>
        <w:rPr>
          <w:iCs/>
        </w:rPr>
      </w:pPr>
      <w:r w:rsidRPr="00057BD0">
        <w:rPr>
          <w:iCs/>
        </w:rPr>
        <w:t>For nausea or epigastric upset, consider slowing infusion rate (as suggested below)</w:t>
      </w:r>
    </w:p>
    <w:p w14:paraId="5D1C7430" w14:textId="6365506B" w:rsidR="00690242" w:rsidRPr="00057BD0" w:rsidRDefault="00690242" w:rsidP="00E73B9B">
      <w:pPr>
        <w:pStyle w:val="ListParagraph"/>
        <w:numPr>
          <w:ilvl w:val="0"/>
          <w:numId w:val="24"/>
        </w:numPr>
        <w:ind w:left="360" w:right="1160"/>
        <w:rPr>
          <w:iCs/>
        </w:rPr>
      </w:pPr>
      <w:r w:rsidRPr="00057BD0">
        <w:rPr>
          <w:iCs/>
        </w:rPr>
        <w:t>If reaction resolves within 10 to 15 minutes of pausing infusion, infusion may be restarted at the same rate. It may also be appropriate to recommence at a reduced rate of 60mL/hour.</w:t>
      </w:r>
    </w:p>
    <w:p w14:paraId="7CB3318F" w14:textId="77777777" w:rsidR="001E32F1" w:rsidRDefault="001E32F1" w:rsidP="00E73B9B">
      <w:pPr>
        <w:rPr>
          <w:rFonts w:cs="Arial"/>
          <w:b/>
          <w:szCs w:val="24"/>
        </w:rPr>
      </w:pPr>
    </w:p>
    <w:p w14:paraId="57C269B3" w14:textId="618F5CC6" w:rsidR="00376405" w:rsidRPr="00F14B3E" w:rsidRDefault="00545420" w:rsidP="00E73B9B">
      <w:pPr>
        <w:jc w:val="right"/>
        <w:rPr>
          <w:rFonts w:cs="Arial"/>
          <w:i/>
          <w:szCs w:val="24"/>
        </w:rPr>
      </w:pPr>
      <w:hyperlink w:anchor="Contents" w:history="1">
        <w:r w:rsidR="001E32F1" w:rsidRPr="00590902">
          <w:rPr>
            <w:rStyle w:val="Hyperlink"/>
            <w:rFonts w:cs="Arial"/>
            <w:i/>
            <w:szCs w:val="24"/>
          </w:rPr>
          <w:t>Back to Table of Contents</w:t>
        </w:r>
      </w:hyperlink>
      <w:r w:rsidR="001E32F1">
        <w:rPr>
          <w:rFonts w:cs="Arial"/>
          <w:i/>
          <w:szCs w:val="24"/>
        </w:rPr>
        <w:t xml:space="preserve"> </w:t>
      </w:r>
    </w:p>
    <w:tbl>
      <w:tblPr>
        <w:tblpPr w:leftFromText="180" w:rightFromText="180" w:vertAnchor="text" w:horzAnchor="margin" w:tblpY="181"/>
        <w:tblW w:w="9156" w:type="dxa"/>
        <w:tblLook w:val="0000" w:firstRow="0" w:lastRow="0" w:firstColumn="0" w:lastColumn="0" w:noHBand="0" w:noVBand="0"/>
      </w:tblPr>
      <w:tblGrid>
        <w:gridCol w:w="9156"/>
      </w:tblGrid>
      <w:tr w:rsidR="001E32F1" w:rsidRPr="00CD1C0E" w14:paraId="2C27C75C" w14:textId="77777777" w:rsidTr="00BB2B38">
        <w:trPr>
          <w:cantSplit/>
          <w:trHeight w:val="285"/>
        </w:trPr>
        <w:tc>
          <w:tcPr>
            <w:tcW w:w="9156" w:type="dxa"/>
            <w:shd w:val="clear" w:color="auto" w:fill="A6A6A6" w:themeFill="background1" w:themeFillShade="A6"/>
          </w:tcPr>
          <w:p w14:paraId="1ABBA7F9" w14:textId="5118FDC7" w:rsidR="001E32F1" w:rsidRPr="003D2D06" w:rsidRDefault="001E32F1" w:rsidP="00E73B9B">
            <w:pPr>
              <w:pStyle w:val="Heading1"/>
            </w:pPr>
            <w:bookmarkStart w:id="52" w:name="_Toc158726141"/>
            <w:r>
              <w:t xml:space="preserve">Section </w:t>
            </w:r>
            <w:r w:rsidR="00690242">
              <w:t>21</w:t>
            </w:r>
            <w:r w:rsidRPr="003D2D06">
              <w:t xml:space="preserve"> – </w:t>
            </w:r>
            <w:r w:rsidR="00690242">
              <w:t>Management of Severe Reactions</w:t>
            </w:r>
            <w:bookmarkEnd w:id="52"/>
          </w:p>
        </w:tc>
      </w:tr>
    </w:tbl>
    <w:p w14:paraId="5CF9227A" w14:textId="77777777" w:rsidR="00BB2B38" w:rsidRDefault="00BB2B38" w:rsidP="00E73B9B"/>
    <w:p w14:paraId="089D8FAC" w14:textId="43743A9B" w:rsidR="00690242" w:rsidRDefault="00690242" w:rsidP="00E73B9B">
      <w:r>
        <w:t xml:space="preserve">Severe reactions can include wheezing, dyspnoea, bronchospasm, and anaphylaxis. </w:t>
      </w:r>
    </w:p>
    <w:p w14:paraId="1F9D695E" w14:textId="77777777" w:rsidR="00690242" w:rsidRDefault="00690242" w:rsidP="00E73B9B">
      <w:r w:rsidRPr="006B5FFC">
        <w:t xml:space="preserve">Stop </w:t>
      </w:r>
      <w:r>
        <w:t xml:space="preserve">infusion immediately and request for </w:t>
      </w:r>
      <w:r w:rsidRPr="00690242">
        <w:rPr>
          <w:b/>
          <w:bCs/>
          <w:iCs/>
        </w:rPr>
        <w:t>urgent</w:t>
      </w:r>
      <w:r w:rsidRPr="00690242">
        <w:rPr>
          <w:iCs/>
        </w:rPr>
        <w:t xml:space="preserve"> </w:t>
      </w:r>
      <w:r>
        <w:t xml:space="preserve">Medical Officer review. </w:t>
      </w:r>
    </w:p>
    <w:p w14:paraId="4501BF76" w14:textId="77777777" w:rsidR="00057BD0" w:rsidRPr="000642FF" w:rsidRDefault="00057BD0" w:rsidP="00E73B9B"/>
    <w:p w14:paraId="74DFF13E" w14:textId="66BAD413" w:rsidR="00690242" w:rsidRPr="00707C36" w:rsidRDefault="00690242" w:rsidP="00E73B9B">
      <w:pPr>
        <w:rPr>
          <w:rFonts w:cstheme="minorHAnsi"/>
        </w:rPr>
      </w:pPr>
      <w:r>
        <w:t>If decision is made by a Medical Officer to restart infusion</w:t>
      </w:r>
      <w:r w:rsidR="00057BD0">
        <w:t>:</w:t>
      </w:r>
    </w:p>
    <w:p w14:paraId="4E36DD45" w14:textId="77777777" w:rsidR="00690242" w:rsidRPr="00707C36" w:rsidRDefault="00690242" w:rsidP="00E73B9B">
      <w:pPr>
        <w:pStyle w:val="ListBullet"/>
        <w:tabs>
          <w:tab w:val="clear" w:pos="1080"/>
        </w:tabs>
        <w:ind w:left="426" w:hanging="426"/>
        <w:rPr>
          <w:rFonts w:cstheme="minorHAnsi"/>
        </w:rPr>
      </w:pPr>
      <w:r>
        <w:t xml:space="preserve">Recommence infusion at </w:t>
      </w:r>
      <w:r w:rsidRPr="00C161D3">
        <w:rPr>
          <w:bCs/>
        </w:rPr>
        <w:t>half the rate</w:t>
      </w:r>
      <w:r>
        <w:t xml:space="preserve"> prior to reaction occurring. </w:t>
      </w:r>
    </w:p>
    <w:p w14:paraId="29D382C0" w14:textId="34322F37" w:rsidR="00690242" w:rsidRPr="00AE29E3" w:rsidRDefault="00690242" w:rsidP="00E73B9B">
      <w:pPr>
        <w:pStyle w:val="ListBullet"/>
        <w:tabs>
          <w:tab w:val="clear" w:pos="1080"/>
        </w:tabs>
        <w:ind w:left="426" w:hanging="426"/>
      </w:pPr>
      <w:r w:rsidRPr="00AE29E3">
        <w:t xml:space="preserve">Cardiopulmonary resuscitation facilities </w:t>
      </w:r>
      <w:r w:rsidRPr="00690242">
        <w:rPr>
          <w:b/>
          <w:bCs/>
        </w:rPr>
        <w:t>must</w:t>
      </w:r>
      <w:r w:rsidRPr="00AE29E3">
        <w:t xml:space="preserve"> be </w:t>
      </w:r>
      <w:r>
        <w:t xml:space="preserve">readily </w:t>
      </w:r>
      <w:r w:rsidRPr="00AE29E3">
        <w:t>available and an emergency tray containing the following must be always available at the patient’s bedside:</w:t>
      </w:r>
    </w:p>
    <w:p w14:paraId="324BBBB2" w14:textId="77777777" w:rsidR="00690242" w:rsidRPr="00957957" w:rsidRDefault="00690242" w:rsidP="00E73B9B">
      <w:pPr>
        <w:pStyle w:val="Listparagraphandindented"/>
        <w:numPr>
          <w:ilvl w:val="0"/>
          <w:numId w:val="25"/>
        </w:numPr>
        <w:rPr>
          <w:sz w:val="24"/>
          <w:szCs w:val="24"/>
        </w:rPr>
      </w:pPr>
      <w:r w:rsidRPr="00957957">
        <w:rPr>
          <w:sz w:val="24"/>
          <w:szCs w:val="24"/>
        </w:rPr>
        <w:t>Adrenaline ampoule (1:1000)</w:t>
      </w:r>
    </w:p>
    <w:p w14:paraId="1E6C5B21" w14:textId="77777777" w:rsidR="00690242" w:rsidRPr="00957957" w:rsidRDefault="00690242" w:rsidP="00E73B9B">
      <w:pPr>
        <w:pStyle w:val="Listparagraphandindented"/>
        <w:numPr>
          <w:ilvl w:val="0"/>
          <w:numId w:val="25"/>
        </w:numPr>
        <w:rPr>
          <w:sz w:val="24"/>
          <w:szCs w:val="24"/>
        </w:rPr>
      </w:pPr>
      <w:r w:rsidRPr="00957957">
        <w:rPr>
          <w:sz w:val="24"/>
          <w:szCs w:val="24"/>
        </w:rPr>
        <w:t>Hydrocortisone ampoule (100 mg)</w:t>
      </w:r>
    </w:p>
    <w:p w14:paraId="3DF0D50F" w14:textId="77777777" w:rsidR="00690242" w:rsidRPr="00957957" w:rsidRDefault="00690242" w:rsidP="00E73B9B">
      <w:pPr>
        <w:pStyle w:val="Listparagraphandindented"/>
        <w:numPr>
          <w:ilvl w:val="0"/>
          <w:numId w:val="25"/>
        </w:numPr>
        <w:rPr>
          <w:sz w:val="24"/>
          <w:szCs w:val="24"/>
        </w:rPr>
      </w:pPr>
      <w:r w:rsidRPr="00957957">
        <w:rPr>
          <w:sz w:val="24"/>
          <w:szCs w:val="24"/>
        </w:rPr>
        <w:t xml:space="preserve">Promethazine ampoule (50 mg) </w:t>
      </w:r>
    </w:p>
    <w:p w14:paraId="5B2A72A5" w14:textId="6B3276B7" w:rsidR="00690242" w:rsidRPr="00957957" w:rsidRDefault="00690242" w:rsidP="00E73B9B">
      <w:pPr>
        <w:pStyle w:val="Listparagraphandindented"/>
        <w:numPr>
          <w:ilvl w:val="0"/>
          <w:numId w:val="25"/>
        </w:numPr>
        <w:rPr>
          <w:sz w:val="24"/>
          <w:szCs w:val="24"/>
        </w:rPr>
      </w:pPr>
      <w:r w:rsidRPr="00957957">
        <w:rPr>
          <w:sz w:val="24"/>
          <w:szCs w:val="24"/>
        </w:rPr>
        <w:t>Sodium chloride 0.9% (10 mL)</w:t>
      </w:r>
      <w:r w:rsidR="00F14B3E">
        <w:rPr>
          <w:sz w:val="24"/>
          <w:szCs w:val="24"/>
        </w:rPr>
        <w:t>.</w:t>
      </w:r>
    </w:p>
    <w:p w14:paraId="65C80A5B" w14:textId="77777777" w:rsidR="001E32F1" w:rsidRDefault="001E32F1" w:rsidP="00E73B9B">
      <w:pPr>
        <w:rPr>
          <w:rFonts w:cs="Arial"/>
          <w:b/>
          <w:szCs w:val="24"/>
        </w:rPr>
      </w:pPr>
    </w:p>
    <w:p w14:paraId="1D3CE776" w14:textId="60A6EAA4" w:rsidR="00752EE6" w:rsidRDefault="00752EE6" w:rsidP="00E73B9B">
      <w:pPr>
        <w:autoSpaceDE w:val="0"/>
        <w:autoSpaceDN w:val="0"/>
        <w:adjustRightInd w:val="0"/>
        <w:rPr>
          <w:rStyle w:val="Hyperlink"/>
          <w:rFonts w:cs="Arial"/>
        </w:rPr>
      </w:pPr>
      <w:r w:rsidRPr="002E5B8A">
        <w:rPr>
          <w:rFonts w:asciiTheme="minorHAnsi" w:hAnsiTheme="minorHAnsi" w:cs="Arial"/>
        </w:rPr>
        <w:t xml:space="preserve">Adverse drug reactions may be reported by any health practitioner by completing the </w:t>
      </w:r>
      <w:r w:rsidRPr="002E5B8A">
        <w:rPr>
          <w:rFonts w:cs="Arial"/>
        </w:rPr>
        <w:t>Adverse Reaction Reporting Form</w:t>
      </w:r>
      <w:r w:rsidR="00811631">
        <w:rPr>
          <w:rFonts w:cs="Arial"/>
        </w:rPr>
        <w:t xml:space="preserve"> available from the NCH intranet site. </w:t>
      </w:r>
    </w:p>
    <w:p w14:paraId="53DA1B04" w14:textId="77777777" w:rsidR="00752EE6" w:rsidRDefault="00752EE6" w:rsidP="00E73B9B">
      <w:pPr>
        <w:rPr>
          <w:rFonts w:cs="Arial"/>
          <w:b/>
          <w:szCs w:val="24"/>
        </w:rPr>
      </w:pPr>
    </w:p>
    <w:p w14:paraId="5AF256BA" w14:textId="2C9F0DAF" w:rsidR="00930167" w:rsidRPr="00F14B3E" w:rsidRDefault="00545420" w:rsidP="00E73B9B">
      <w:pPr>
        <w:jc w:val="right"/>
        <w:rPr>
          <w:rFonts w:cs="Arial"/>
          <w:i/>
          <w:szCs w:val="24"/>
        </w:rPr>
      </w:pPr>
      <w:hyperlink w:anchor="Contents" w:history="1">
        <w:r w:rsidR="001E32F1" w:rsidRPr="00590902">
          <w:rPr>
            <w:rStyle w:val="Hyperlink"/>
            <w:rFonts w:cs="Arial"/>
            <w:i/>
            <w:szCs w:val="24"/>
          </w:rPr>
          <w:t>Back to Table of Contents</w:t>
        </w:r>
      </w:hyperlink>
      <w:r w:rsidR="001E32F1">
        <w:rPr>
          <w:rFonts w:cs="Arial"/>
          <w:i/>
          <w:szCs w:val="24"/>
        </w:rPr>
        <w:t xml:space="preserve"> </w:t>
      </w:r>
    </w:p>
    <w:tbl>
      <w:tblPr>
        <w:tblpPr w:leftFromText="180" w:rightFromText="180" w:vertAnchor="text" w:horzAnchor="margin" w:tblpY="181"/>
        <w:tblW w:w="9156" w:type="dxa"/>
        <w:tblLook w:val="0000" w:firstRow="0" w:lastRow="0" w:firstColumn="0" w:lastColumn="0" w:noHBand="0" w:noVBand="0"/>
      </w:tblPr>
      <w:tblGrid>
        <w:gridCol w:w="9156"/>
      </w:tblGrid>
      <w:tr w:rsidR="001E32F1" w:rsidRPr="00CD1C0E" w14:paraId="25D780DF" w14:textId="77777777" w:rsidTr="00BB2B38">
        <w:trPr>
          <w:cantSplit/>
          <w:trHeight w:val="285"/>
        </w:trPr>
        <w:tc>
          <w:tcPr>
            <w:tcW w:w="9156" w:type="dxa"/>
            <w:shd w:val="clear" w:color="auto" w:fill="A6A6A6" w:themeFill="background1" w:themeFillShade="A6"/>
          </w:tcPr>
          <w:p w14:paraId="3BA0E0A9" w14:textId="4AE6F870" w:rsidR="001E32F1" w:rsidRPr="003D2D06" w:rsidRDefault="001E32F1" w:rsidP="00E73B9B">
            <w:pPr>
              <w:pStyle w:val="Heading1"/>
            </w:pPr>
            <w:bookmarkStart w:id="53" w:name="_Toc158726142"/>
            <w:r>
              <w:t xml:space="preserve">Section </w:t>
            </w:r>
            <w:r w:rsidR="00957957">
              <w:t>22</w:t>
            </w:r>
            <w:r w:rsidRPr="003D2D06">
              <w:t xml:space="preserve"> – </w:t>
            </w:r>
            <w:r w:rsidR="00957957">
              <w:t>Management of Extravasation and Tissue Infiltration</w:t>
            </w:r>
            <w:bookmarkEnd w:id="53"/>
          </w:p>
        </w:tc>
      </w:tr>
    </w:tbl>
    <w:p w14:paraId="37D1D559" w14:textId="77777777" w:rsidR="00EE24BC" w:rsidRDefault="00EE24BC" w:rsidP="00E73B9B"/>
    <w:p w14:paraId="16CD7FFC" w14:textId="26AC7BC2" w:rsidR="00957957" w:rsidRDefault="00AD0E9A" w:rsidP="00E73B9B">
      <w:pPr>
        <w:ind w:right="1019"/>
      </w:pPr>
      <w:r w:rsidRPr="00957957">
        <w:rPr>
          <w:b/>
          <w:bCs/>
          <w:noProof/>
          <w:szCs w:val="24"/>
          <w:lang w:eastAsia="en-AU"/>
        </w:rPr>
        <w:drawing>
          <wp:anchor distT="0" distB="0" distL="114300" distR="114300" simplePos="0" relativeHeight="251659264" behindDoc="1" locked="0" layoutInCell="1" allowOverlap="1" wp14:anchorId="73EBFB15" wp14:editId="4BC61843">
            <wp:simplePos x="0" y="0"/>
            <wp:positionH relativeFrom="margin">
              <wp:posOffset>3552825</wp:posOffset>
            </wp:positionH>
            <wp:positionV relativeFrom="paragraph">
              <wp:posOffset>311150</wp:posOffset>
            </wp:positionV>
            <wp:extent cx="2524125" cy="1676400"/>
            <wp:effectExtent l="0" t="0" r="9525" b="0"/>
            <wp:wrapTight wrapText="bothSides">
              <wp:wrapPolygon edited="0">
                <wp:start x="0" y="0"/>
                <wp:lineTo x="0" y="21355"/>
                <wp:lineTo x="21518" y="21355"/>
                <wp:lineTo x="21518" y="0"/>
                <wp:lineTo x="0" y="0"/>
              </wp:wrapPolygon>
            </wp:wrapTight>
            <wp:docPr id="4" name="Picture 4" descr="Figure-1-Permanent-'suntan'-discoloration-of-right-arm-arising-from-extravasation-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1-Permanent-'suntan'-discoloration-of-right-arm-arising-from-extravasation-o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4125" cy="16764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957957" w:rsidRPr="00957957">
        <w:t>Paravenous</w:t>
      </w:r>
      <w:proofErr w:type="spellEnd"/>
      <w:r w:rsidR="00957957" w:rsidRPr="00957957">
        <w:t xml:space="preserve"> leakage of all forms of IV iron may lead to skin irritation and potentially permanent brown discolouration at the injection site (See Figure 1).</w:t>
      </w:r>
    </w:p>
    <w:p w14:paraId="780B2E91" w14:textId="77777777" w:rsidR="00057BD0" w:rsidRPr="00957957" w:rsidRDefault="00057BD0" w:rsidP="00E73B9B">
      <w:pPr>
        <w:ind w:right="1019"/>
      </w:pPr>
    </w:p>
    <w:p w14:paraId="64B391EE" w14:textId="6C74403C" w:rsidR="00957957" w:rsidRPr="00957957" w:rsidRDefault="00957957" w:rsidP="00E73B9B">
      <w:pPr>
        <w:rPr>
          <w:b/>
          <w:bCs/>
          <w:szCs w:val="24"/>
          <w:vertAlign w:val="superscript"/>
        </w:rPr>
      </w:pPr>
      <w:r w:rsidRPr="00957957">
        <w:rPr>
          <w:b/>
          <w:bCs/>
          <w:szCs w:val="24"/>
        </w:rPr>
        <w:t>Signs and symptoms of tissue infiltration</w:t>
      </w:r>
    </w:p>
    <w:p w14:paraId="57F237D1" w14:textId="77777777" w:rsidR="00957957" w:rsidRPr="004A6E5A" w:rsidRDefault="00957957" w:rsidP="00E73B9B">
      <w:pPr>
        <w:pStyle w:val="ListBullet"/>
        <w:tabs>
          <w:tab w:val="clear" w:pos="1080"/>
        </w:tabs>
        <w:ind w:left="426" w:hanging="426"/>
      </w:pPr>
      <w:r w:rsidRPr="004A6E5A">
        <w:t>Tenderness/discomfort at insertion site</w:t>
      </w:r>
    </w:p>
    <w:p w14:paraId="02543D66" w14:textId="77777777" w:rsidR="00957957" w:rsidRPr="004A6E5A" w:rsidRDefault="00957957" w:rsidP="00E73B9B">
      <w:pPr>
        <w:pStyle w:val="ListBullet"/>
        <w:tabs>
          <w:tab w:val="clear" w:pos="1080"/>
        </w:tabs>
        <w:ind w:left="426" w:hanging="426"/>
      </w:pPr>
      <w:r w:rsidRPr="004A6E5A">
        <w:t>Swelling above or below insertion site</w:t>
      </w:r>
    </w:p>
    <w:p w14:paraId="74C417D1" w14:textId="77777777" w:rsidR="00957957" w:rsidRPr="00957957" w:rsidRDefault="00957957" w:rsidP="00E73B9B">
      <w:pPr>
        <w:pStyle w:val="ListBullet"/>
        <w:tabs>
          <w:tab w:val="clear" w:pos="1080"/>
        </w:tabs>
        <w:ind w:left="426" w:hanging="426"/>
      </w:pPr>
      <w:r w:rsidRPr="00957957">
        <w:t>Taut skin above or below insertion site</w:t>
      </w:r>
    </w:p>
    <w:p w14:paraId="21D29BC0" w14:textId="77777777" w:rsidR="00957957" w:rsidRPr="004A6E5A" w:rsidRDefault="00957957" w:rsidP="00E73B9B">
      <w:pPr>
        <w:pStyle w:val="ListBullet"/>
        <w:tabs>
          <w:tab w:val="clear" w:pos="1080"/>
        </w:tabs>
        <w:ind w:left="426" w:hanging="426"/>
      </w:pPr>
      <w:r w:rsidRPr="004A6E5A">
        <w:t>Fluid leak at insertion site</w:t>
      </w:r>
    </w:p>
    <w:p w14:paraId="27ADD1AB" w14:textId="77777777" w:rsidR="00957957" w:rsidRPr="004A6E5A" w:rsidRDefault="00957957" w:rsidP="00E73B9B">
      <w:pPr>
        <w:pStyle w:val="ListBullet"/>
        <w:tabs>
          <w:tab w:val="clear" w:pos="1080"/>
        </w:tabs>
        <w:ind w:left="426" w:hanging="426"/>
      </w:pPr>
      <w:r w:rsidRPr="004A6E5A">
        <w:t>Coolness/blanching around insertion site</w:t>
      </w:r>
    </w:p>
    <w:p w14:paraId="52515A72" w14:textId="46550E74" w:rsidR="00957957" w:rsidRDefault="00957957" w:rsidP="00E73B9B">
      <w:pPr>
        <w:pStyle w:val="ListBullet"/>
        <w:tabs>
          <w:tab w:val="clear" w:pos="1080"/>
        </w:tabs>
        <w:ind w:left="426" w:hanging="426"/>
      </w:pPr>
      <w:r w:rsidRPr="004A6E5A">
        <w:t>Numbness or tingling above or below insertion site</w:t>
      </w:r>
      <w:r w:rsidR="00057BD0">
        <w:t>.</w:t>
      </w:r>
    </w:p>
    <w:p w14:paraId="459BAE12" w14:textId="0071B1F9" w:rsidR="00E73B9B" w:rsidRDefault="00E73B9B">
      <w:pPr>
        <w:spacing w:after="200" w:line="276" w:lineRule="auto"/>
      </w:pPr>
      <w:r>
        <w:br w:type="page"/>
      </w:r>
    </w:p>
    <w:p w14:paraId="1607B2A4" w14:textId="707255AD" w:rsidR="00957957" w:rsidRPr="00957957" w:rsidRDefault="00957957" w:rsidP="00E73B9B">
      <w:pPr>
        <w:rPr>
          <w:b/>
          <w:bCs/>
          <w:szCs w:val="24"/>
        </w:rPr>
      </w:pPr>
      <w:r w:rsidRPr="00957957">
        <w:rPr>
          <w:b/>
          <w:bCs/>
          <w:szCs w:val="24"/>
        </w:rPr>
        <w:lastRenderedPageBreak/>
        <w:t>Signs and symptoms of extravasation</w:t>
      </w:r>
    </w:p>
    <w:p w14:paraId="405CEE48" w14:textId="77777777" w:rsidR="00957957" w:rsidRPr="004A6E5A" w:rsidRDefault="00957957" w:rsidP="00E73B9B">
      <w:pPr>
        <w:pStyle w:val="ListBullet"/>
        <w:tabs>
          <w:tab w:val="clear" w:pos="1080"/>
        </w:tabs>
        <w:ind w:left="426" w:hanging="426"/>
      </w:pPr>
      <w:r w:rsidRPr="00957957">
        <w:rPr>
          <w:noProof/>
          <w:lang w:eastAsia="en-AU"/>
        </w:rPr>
        <mc:AlternateContent>
          <mc:Choice Requires="wps">
            <w:drawing>
              <wp:anchor distT="45720" distB="45720" distL="114300" distR="114300" simplePos="0" relativeHeight="251660288" behindDoc="0" locked="0" layoutInCell="1" allowOverlap="1" wp14:anchorId="52B873D2" wp14:editId="094023D9">
                <wp:simplePos x="0" y="0"/>
                <wp:positionH relativeFrom="margin">
                  <wp:posOffset>3890645</wp:posOffset>
                </wp:positionH>
                <wp:positionV relativeFrom="paragraph">
                  <wp:posOffset>43815</wp:posOffset>
                </wp:positionV>
                <wp:extent cx="2485390" cy="1404620"/>
                <wp:effectExtent l="0" t="0" r="1016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5390" cy="1404620"/>
                        </a:xfrm>
                        <a:prstGeom prst="rect">
                          <a:avLst/>
                        </a:prstGeom>
                        <a:solidFill>
                          <a:srgbClr val="FFFFFF"/>
                        </a:solidFill>
                        <a:ln w="9525">
                          <a:solidFill>
                            <a:srgbClr val="000000"/>
                          </a:solidFill>
                          <a:miter lim="800000"/>
                          <a:headEnd/>
                          <a:tailEnd/>
                        </a:ln>
                      </wps:spPr>
                      <wps:txbx>
                        <w:txbxContent>
                          <w:p w14:paraId="7F155523" w14:textId="25E0AA08" w:rsidR="00957957" w:rsidRDefault="00957957" w:rsidP="00957957">
                            <w:r>
                              <w:rPr>
                                <w:i/>
                                <w:iCs/>
                                <w:szCs w:val="18"/>
                              </w:rPr>
                              <w:t>Figure 1</w:t>
                            </w:r>
                            <w:r w:rsidRPr="00DF2ED2">
                              <w:rPr>
                                <w:i/>
                                <w:iCs/>
                                <w:szCs w:val="18"/>
                              </w:rPr>
                              <w:t>. Permanent discolouration of right arm arising from extravasation of IV iro</w:t>
                            </w:r>
                            <w:r w:rsidR="00F14B3E">
                              <w:rPr>
                                <w:i/>
                                <w:iCs/>
                                <w:szCs w:val="18"/>
                              </w:rPr>
                              <w:t>n</w:t>
                            </w:r>
                            <w:r w:rsidRPr="00DF2ED2">
                              <w:rPr>
                                <w:i/>
                                <w:iCs/>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B873D2" id="_x0000_t202" coordsize="21600,21600" o:spt="202" path="m,l,21600r21600,l21600,xe">
                <v:stroke joinstyle="miter"/>
                <v:path gradientshapeok="t" o:connecttype="rect"/>
              </v:shapetype>
              <v:shape id="Text Box 2" o:spid="_x0000_s1026" type="#_x0000_t202" style="position:absolute;left:0;text-align:left;margin-left:306.35pt;margin-top:3.45pt;width:195.7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">
                <v:textbox style="mso-fit-shape-to-text:t">
                  <w:txbxContent>
                    <w:p w14:paraId="7F155523" w14:textId="25E0AA08" w:rsidR="00957957" w:rsidRDefault="00957957" w:rsidP="00957957">
                      <w:r>
                        <w:rPr>
                          <w:i/>
                          <w:iCs/>
                          <w:szCs w:val="18"/>
                        </w:rPr>
                        <w:t>Figure 1</w:t>
                      </w:r>
                      <w:r w:rsidRPr="00DF2ED2">
                        <w:rPr>
                          <w:i/>
                          <w:iCs/>
                          <w:szCs w:val="18"/>
                        </w:rPr>
                        <w:t>. Permanent discolouration of right arm arising from extravasation of IV iro</w:t>
                      </w:r>
                      <w:r w:rsidR="00F14B3E">
                        <w:rPr>
                          <w:i/>
                          <w:iCs/>
                          <w:szCs w:val="18"/>
                        </w:rPr>
                        <w:t>n</w:t>
                      </w:r>
                      <w:r w:rsidRPr="00DF2ED2">
                        <w:rPr>
                          <w:i/>
                          <w:iCs/>
                          <w:szCs w:val="18"/>
                        </w:rPr>
                        <w:t>.</w:t>
                      </w:r>
                    </w:p>
                  </w:txbxContent>
                </v:textbox>
                <w10:wrap type="square" anchorx="margin"/>
              </v:shape>
            </w:pict>
          </mc:Fallback>
        </mc:AlternateContent>
      </w:r>
      <w:r w:rsidRPr="004A6E5A">
        <w:t xml:space="preserve">Any of the above in addition to any of the following </w:t>
      </w:r>
    </w:p>
    <w:p w14:paraId="482E1C8B" w14:textId="77777777" w:rsidR="00957957" w:rsidRPr="004A6E5A" w:rsidRDefault="00957957" w:rsidP="00E73B9B">
      <w:pPr>
        <w:pStyle w:val="ListBullet"/>
        <w:tabs>
          <w:tab w:val="clear" w:pos="1080"/>
        </w:tabs>
        <w:ind w:left="426" w:hanging="426"/>
      </w:pPr>
      <w:r w:rsidRPr="004A6E5A">
        <w:t>Burning, stinging pain</w:t>
      </w:r>
    </w:p>
    <w:p w14:paraId="2C09D8EA" w14:textId="77777777" w:rsidR="00957957" w:rsidRPr="004A6E5A" w:rsidRDefault="00957957" w:rsidP="00E73B9B">
      <w:pPr>
        <w:pStyle w:val="ListBullet"/>
        <w:tabs>
          <w:tab w:val="clear" w:pos="1080"/>
        </w:tabs>
        <w:ind w:left="426" w:hanging="426"/>
      </w:pPr>
      <w:r w:rsidRPr="004A6E5A">
        <w:t xml:space="preserve">Brown discoloration </w:t>
      </w:r>
    </w:p>
    <w:p w14:paraId="10D34960" w14:textId="7FBB0FAB" w:rsidR="00957957" w:rsidRDefault="00957957" w:rsidP="00E73B9B">
      <w:pPr>
        <w:pStyle w:val="ListBullet"/>
        <w:tabs>
          <w:tab w:val="clear" w:pos="1080"/>
        </w:tabs>
        <w:ind w:left="426" w:hanging="426"/>
      </w:pPr>
      <w:r w:rsidRPr="00957957">
        <w:t>Redness followed by blistering, tissue necrosis and ulceration</w:t>
      </w:r>
      <w:r w:rsidR="00057BD0">
        <w:t>.</w:t>
      </w:r>
    </w:p>
    <w:p w14:paraId="59BEDEE2" w14:textId="77777777" w:rsidR="00057BD0" w:rsidRPr="00957957" w:rsidRDefault="00057BD0" w:rsidP="00E73B9B">
      <w:pPr>
        <w:pStyle w:val="ListBullet"/>
        <w:numPr>
          <w:ilvl w:val="0"/>
          <w:numId w:val="0"/>
        </w:numPr>
        <w:ind w:left="426"/>
      </w:pPr>
    </w:p>
    <w:p w14:paraId="14B29C7A" w14:textId="702F1487" w:rsidR="00957957" w:rsidRPr="00957957" w:rsidRDefault="00957957" w:rsidP="00E73B9B">
      <w:pPr>
        <w:rPr>
          <w:b/>
          <w:bCs/>
        </w:rPr>
      </w:pPr>
      <w:r w:rsidRPr="00957957">
        <w:rPr>
          <w:b/>
          <w:bCs/>
        </w:rPr>
        <w:t>Prevention</w:t>
      </w:r>
    </w:p>
    <w:p w14:paraId="2329BB6E" w14:textId="77777777" w:rsidR="00957957" w:rsidRPr="00957957" w:rsidRDefault="00957957" w:rsidP="00E73B9B">
      <w:pPr>
        <w:pStyle w:val="ListBullet"/>
        <w:tabs>
          <w:tab w:val="clear" w:pos="1080"/>
        </w:tabs>
        <w:ind w:left="426" w:hanging="426"/>
      </w:pPr>
      <w:r w:rsidRPr="00957957">
        <w:t xml:space="preserve">Inform patient of the risk of skin staining and to closely monitor for signs and symptoms. </w:t>
      </w:r>
    </w:p>
    <w:p w14:paraId="13082CE7" w14:textId="77777777" w:rsidR="00957957" w:rsidRPr="00957957" w:rsidRDefault="00957957" w:rsidP="00E73B9B">
      <w:pPr>
        <w:pStyle w:val="ListBullet"/>
        <w:tabs>
          <w:tab w:val="clear" w:pos="1080"/>
        </w:tabs>
        <w:ind w:left="426" w:hanging="426"/>
      </w:pPr>
      <w:r w:rsidRPr="00957957">
        <w:t xml:space="preserve">Avoid cannulation at sites of flexion (e.g. antecubital fossa, wrist) and back of hand due to the potential for vessel damage related to movement of the cannula. </w:t>
      </w:r>
    </w:p>
    <w:p w14:paraId="3BAF4766" w14:textId="77777777" w:rsidR="00957957" w:rsidRDefault="00957957" w:rsidP="00E73B9B">
      <w:pPr>
        <w:pStyle w:val="ListBullet"/>
        <w:tabs>
          <w:tab w:val="clear" w:pos="1080"/>
        </w:tabs>
        <w:ind w:left="426" w:hanging="426"/>
      </w:pPr>
      <w:r w:rsidRPr="00957957">
        <w:t xml:space="preserve">Secure cannula and use an extension set to minimise cannula movement but avoid covering cannula site with bandages that obscure visualisation of the site.   </w:t>
      </w:r>
    </w:p>
    <w:p w14:paraId="299CCEEC" w14:textId="77777777" w:rsidR="00057BD0" w:rsidRPr="004A6E5A" w:rsidRDefault="00057BD0" w:rsidP="00E73B9B">
      <w:pPr>
        <w:pStyle w:val="ListBullet"/>
        <w:numPr>
          <w:ilvl w:val="0"/>
          <w:numId w:val="0"/>
        </w:numPr>
        <w:ind w:left="426"/>
      </w:pPr>
    </w:p>
    <w:p w14:paraId="4E52F7B5" w14:textId="2EEC6731" w:rsidR="00957957" w:rsidRPr="00957957" w:rsidRDefault="00957957" w:rsidP="00E73B9B">
      <w:pPr>
        <w:rPr>
          <w:b/>
          <w:bCs/>
        </w:rPr>
      </w:pPr>
      <w:r w:rsidRPr="00957957">
        <w:rPr>
          <w:b/>
          <w:bCs/>
        </w:rPr>
        <w:t>Management</w:t>
      </w:r>
    </w:p>
    <w:p w14:paraId="5FF5CAEC" w14:textId="19D5FB5F" w:rsidR="00957957" w:rsidRPr="00957957" w:rsidRDefault="00957957" w:rsidP="00E73B9B">
      <w:pPr>
        <w:pStyle w:val="ListParagraph"/>
        <w:numPr>
          <w:ilvl w:val="0"/>
          <w:numId w:val="26"/>
        </w:numPr>
        <w:ind w:right="1019"/>
      </w:pPr>
      <w:r w:rsidRPr="00957957">
        <w:t>Immediately stop infusion, remove the cannula, and request for an urgent review by a Medical Officer</w:t>
      </w:r>
    </w:p>
    <w:p w14:paraId="1FF7A392" w14:textId="247EDCD7" w:rsidR="00057BD0" w:rsidRDefault="00957957" w:rsidP="00E73B9B">
      <w:pPr>
        <w:pStyle w:val="ListBullet"/>
        <w:tabs>
          <w:tab w:val="clear" w:pos="1080"/>
        </w:tabs>
        <w:ind w:left="426" w:hanging="426"/>
      </w:pPr>
      <w:r w:rsidRPr="00957957">
        <w:t>If skin staining is visible, measure the site and arrange for photographs to be taken</w:t>
      </w:r>
    </w:p>
    <w:p w14:paraId="2772D3A3" w14:textId="4DCE6F42" w:rsidR="00957957" w:rsidRPr="00957957" w:rsidRDefault="00957957" w:rsidP="00E73B9B">
      <w:pPr>
        <w:pStyle w:val="ListBullet"/>
        <w:tabs>
          <w:tab w:val="clear" w:pos="1080"/>
        </w:tabs>
        <w:ind w:left="426" w:hanging="426"/>
      </w:pPr>
      <w:r w:rsidRPr="00957957">
        <w:t>Document the volume of the infused fluid to help estimate the volume of iron infiltrated</w:t>
      </w:r>
    </w:p>
    <w:p w14:paraId="7B2DDF11" w14:textId="467A4032" w:rsidR="00957957" w:rsidRPr="004A6E5A" w:rsidRDefault="00957957" w:rsidP="00E73B9B">
      <w:pPr>
        <w:pStyle w:val="ListBullet"/>
        <w:tabs>
          <w:tab w:val="clear" w:pos="1080"/>
        </w:tabs>
        <w:ind w:left="426" w:hanging="426"/>
      </w:pPr>
      <w:r w:rsidRPr="004A6E5A">
        <w:t>Apply a cold pack to the infiltrated site and elevate the affected limb to facilitate local vasoconstriction and decrease fluid absorption</w:t>
      </w:r>
    </w:p>
    <w:p w14:paraId="29D37AA0" w14:textId="4A91511E" w:rsidR="00957957" w:rsidRPr="004A6E5A" w:rsidRDefault="00957957" w:rsidP="00E73B9B">
      <w:pPr>
        <w:pStyle w:val="ListBullet"/>
        <w:tabs>
          <w:tab w:val="clear" w:pos="1080"/>
        </w:tabs>
        <w:ind w:left="426" w:hanging="426"/>
      </w:pPr>
      <w:r w:rsidRPr="004A6E5A">
        <w:t>If extravasation has occurred, hydrocortisone cream may help to relieve the skin irritation</w:t>
      </w:r>
    </w:p>
    <w:p w14:paraId="311411E2" w14:textId="160A2519" w:rsidR="00957957" w:rsidRPr="004A6E5A" w:rsidRDefault="00957957" w:rsidP="00E73B9B">
      <w:pPr>
        <w:pStyle w:val="ListBullet"/>
        <w:tabs>
          <w:tab w:val="clear" w:pos="1080"/>
        </w:tabs>
        <w:ind w:left="426" w:hanging="426"/>
      </w:pPr>
      <w:r w:rsidRPr="004A6E5A">
        <w:t>Reassure patient by providing a full explanation of the situation</w:t>
      </w:r>
    </w:p>
    <w:p w14:paraId="69FEE90F" w14:textId="3866DA48" w:rsidR="00957957" w:rsidRPr="004A6E5A" w:rsidRDefault="00957957" w:rsidP="00E73B9B">
      <w:pPr>
        <w:pStyle w:val="ListBullet"/>
        <w:tabs>
          <w:tab w:val="clear" w:pos="1080"/>
        </w:tabs>
        <w:ind w:left="426" w:hanging="426"/>
      </w:pPr>
      <w:r w:rsidRPr="004A6E5A">
        <w:t>Document the incident and management in the patient’s medical records and complete a clinical incident form</w:t>
      </w:r>
      <w:r w:rsidR="00BF603E" w:rsidRPr="00BF603E">
        <w:rPr>
          <w:rFonts w:cs="Arial"/>
          <w:bCs/>
          <w:szCs w:val="24"/>
        </w:rPr>
        <w:t xml:space="preserve"> </w:t>
      </w:r>
      <w:r w:rsidR="00BF603E">
        <w:rPr>
          <w:rFonts w:cs="Arial"/>
          <w:bCs/>
          <w:szCs w:val="24"/>
        </w:rPr>
        <w:t>in the clinical incident reporting system</w:t>
      </w:r>
    </w:p>
    <w:p w14:paraId="4C7110D1" w14:textId="1D213FF1" w:rsidR="00957957" w:rsidRPr="004A6E5A" w:rsidRDefault="00957957" w:rsidP="00E73B9B">
      <w:pPr>
        <w:pStyle w:val="ListBullet"/>
        <w:tabs>
          <w:tab w:val="clear" w:pos="1080"/>
        </w:tabs>
        <w:ind w:left="426" w:hanging="426"/>
      </w:pPr>
      <w:r w:rsidRPr="004A6E5A">
        <w:t>If required, organise follow-up for the patient (E.g. dermatology for skin staining, plastic surgeons for sensory deficit).</w:t>
      </w:r>
    </w:p>
    <w:p w14:paraId="62232087" w14:textId="77777777" w:rsidR="001E32F1" w:rsidRDefault="001E32F1" w:rsidP="00E73B9B">
      <w:pPr>
        <w:rPr>
          <w:rFonts w:cs="Arial"/>
          <w:b/>
          <w:szCs w:val="24"/>
        </w:rPr>
      </w:pPr>
    </w:p>
    <w:p w14:paraId="5AF31CB3" w14:textId="67B8061E" w:rsidR="001E32F1" w:rsidRDefault="00545420" w:rsidP="00E73B9B">
      <w:pPr>
        <w:jc w:val="right"/>
        <w:rPr>
          <w:rFonts w:cs="Arial"/>
          <w:b/>
          <w:szCs w:val="24"/>
        </w:rPr>
      </w:pPr>
      <w:hyperlink w:anchor="Contents" w:history="1">
        <w:r w:rsidR="001E32F1" w:rsidRPr="00590902">
          <w:rPr>
            <w:rStyle w:val="Hyperlink"/>
            <w:rFonts w:cs="Arial"/>
            <w:i/>
            <w:szCs w:val="24"/>
          </w:rPr>
          <w:t>Back to Table of Contents</w:t>
        </w:r>
      </w:hyperlink>
      <w:r w:rsidR="001E32F1">
        <w:rPr>
          <w:rFonts w:cs="Arial"/>
          <w:i/>
          <w:szCs w:val="24"/>
        </w:rPr>
        <w:t xml:space="preserve"> </w:t>
      </w:r>
    </w:p>
    <w:tbl>
      <w:tblPr>
        <w:tblpPr w:leftFromText="180" w:rightFromText="180" w:vertAnchor="text" w:horzAnchor="margin" w:tblpY="181"/>
        <w:tblW w:w="9156" w:type="dxa"/>
        <w:tblLook w:val="0000" w:firstRow="0" w:lastRow="0" w:firstColumn="0" w:lastColumn="0" w:noHBand="0" w:noVBand="0"/>
      </w:tblPr>
      <w:tblGrid>
        <w:gridCol w:w="9156"/>
      </w:tblGrid>
      <w:tr w:rsidR="001E32F1" w:rsidRPr="00CD1C0E" w14:paraId="7B8733EC" w14:textId="77777777" w:rsidTr="00BB2B38">
        <w:trPr>
          <w:cantSplit/>
          <w:trHeight w:val="285"/>
        </w:trPr>
        <w:tc>
          <w:tcPr>
            <w:tcW w:w="9156" w:type="dxa"/>
            <w:shd w:val="clear" w:color="auto" w:fill="A6A6A6" w:themeFill="background1" w:themeFillShade="A6"/>
          </w:tcPr>
          <w:p w14:paraId="29A00908" w14:textId="6B33FF42" w:rsidR="001E32F1" w:rsidRPr="003D2D06" w:rsidRDefault="001E32F1" w:rsidP="00E73B9B">
            <w:pPr>
              <w:pStyle w:val="Heading1"/>
            </w:pPr>
            <w:bookmarkStart w:id="54" w:name="_Toc158726143"/>
            <w:r>
              <w:t xml:space="preserve">Section </w:t>
            </w:r>
            <w:r w:rsidR="00957957">
              <w:t>23</w:t>
            </w:r>
            <w:r w:rsidRPr="003D2D06">
              <w:t xml:space="preserve"> – </w:t>
            </w:r>
            <w:r w:rsidR="00957957">
              <w:t>Methods of Calculating Intravenous Iron Dose</w:t>
            </w:r>
            <w:bookmarkEnd w:id="54"/>
          </w:p>
        </w:tc>
      </w:tr>
    </w:tbl>
    <w:p w14:paraId="425F4532" w14:textId="77777777" w:rsidR="00EE24BC" w:rsidRDefault="00EE24BC" w:rsidP="00E73B9B">
      <w:pPr>
        <w:rPr>
          <w:szCs w:val="24"/>
        </w:rPr>
      </w:pPr>
    </w:p>
    <w:p w14:paraId="1241ADDE" w14:textId="4D4DF28F" w:rsidR="00957957" w:rsidRPr="00957957" w:rsidRDefault="00957957" w:rsidP="00E73B9B">
      <w:pPr>
        <w:rPr>
          <w:szCs w:val="24"/>
        </w:rPr>
      </w:pPr>
      <w:r w:rsidRPr="00957957">
        <w:rPr>
          <w:szCs w:val="24"/>
        </w:rPr>
        <w:t>There are two methods for determining the dose of intravenous iron to be given, expressed in milligrams of elemental iron.</w:t>
      </w:r>
    </w:p>
    <w:p w14:paraId="7CB7EB58" w14:textId="77777777" w:rsidR="00957957" w:rsidRPr="00957957" w:rsidRDefault="00957957" w:rsidP="00E73B9B">
      <w:pPr>
        <w:pStyle w:val="NormalunderlineforHeading4"/>
        <w:keepNext/>
        <w:keepLines/>
        <w:rPr>
          <w:b/>
          <w:bCs/>
          <w:sz w:val="24"/>
          <w:szCs w:val="24"/>
          <w:u w:val="none"/>
        </w:rPr>
      </w:pPr>
      <w:bookmarkStart w:id="55" w:name="_Ref82162852"/>
      <w:r w:rsidRPr="00957957">
        <w:rPr>
          <w:b/>
          <w:bCs/>
          <w:sz w:val="24"/>
          <w:szCs w:val="24"/>
          <w:u w:val="none"/>
        </w:rPr>
        <w:t>The Simplified method</w:t>
      </w:r>
      <w:bookmarkEnd w:id="55"/>
    </w:p>
    <w:p w14:paraId="36CC9D09" w14:textId="41193145" w:rsidR="00957957" w:rsidRDefault="00957957" w:rsidP="00E73B9B">
      <w:pPr>
        <w:ind w:right="877"/>
        <w:rPr>
          <w:szCs w:val="24"/>
        </w:rPr>
      </w:pPr>
      <w:r w:rsidRPr="00957957">
        <w:rPr>
          <w:szCs w:val="24"/>
        </w:rPr>
        <w:t>The Simplified method may be used in adult patients weighing greater than or equal to 35 kg</w:t>
      </w:r>
      <w:r w:rsidRPr="00957957">
        <w:rPr>
          <w:szCs w:val="24"/>
          <w:vertAlign w:val="superscript"/>
        </w:rPr>
        <w:t>4</w:t>
      </w:r>
      <w:r w:rsidRPr="00957957">
        <w:rPr>
          <w:szCs w:val="24"/>
        </w:rPr>
        <w:t xml:space="preserve">. This method is based on a single clinical trial in adults with inflammatory bowel disease. </w:t>
      </w:r>
      <w:r w:rsidRPr="00957957">
        <w:rPr>
          <w:szCs w:val="24"/>
        </w:rPr>
        <w:fldChar w:fldCharType="begin"/>
      </w:r>
      <w:r w:rsidRPr="00957957">
        <w:rPr>
          <w:szCs w:val="24"/>
        </w:rPr>
        <w:instrText xml:space="preserve"> REF _Ref108295298 \h </w:instrText>
      </w:r>
      <w:r>
        <w:rPr>
          <w:szCs w:val="24"/>
        </w:rPr>
        <w:instrText xml:space="preserve"> \* MERGEFORMAT </w:instrText>
      </w:r>
      <w:r w:rsidRPr="00957957">
        <w:rPr>
          <w:szCs w:val="24"/>
        </w:rPr>
      </w:r>
      <w:r w:rsidRPr="00957957">
        <w:rPr>
          <w:szCs w:val="24"/>
        </w:rPr>
        <w:fldChar w:fldCharType="separate"/>
      </w:r>
      <w:r w:rsidRPr="00957957">
        <w:rPr>
          <w:szCs w:val="24"/>
        </w:rPr>
        <w:t xml:space="preserve">Table </w:t>
      </w:r>
      <w:r w:rsidRPr="00957957">
        <w:rPr>
          <w:noProof/>
          <w:szCs w:val="24"/>
        </w:rPr>
        <w:t>1</w:t>
      </w:r>
      <w:r w:rsidRPr="00957957">
        <w:rPr>
          <w:szCs w:val="24"/>
        </w:rPr>
        <w:fldChar w:fldCharType="end"/>
      </w:r>
      <w:r w:rsidRPr="00957957">
        <w:rPr>
          <w:szCs w:val="24"/>
        </w:rPr>
        <w:t xml:space="preserve"> and </w:t>
      </w:r>
      <w:r w:rsidRPr="00957957">
        <w:rPr>
          <w:szCs w:val="24"/>
        </w:rPr>
        <w:fldChar w:fldCharType="begin"/>
      </w:r>
      <w:r w:rsidRPr="00957957">
        <w:rPr>
          <w:szCs w:val="24"/>
        </w:rPr>
        <w:instrText xml:space="preserve"> REF _Ref108843289 \h </w:instrText>
      </w:r>
      <w:r>
        <w:rPr>
          <w:szCs w:val="24"/>
        </w:rPr>
        <w:instrText xml:space="preserve"> \* MERGEFORMAT </w:instrText>
      </w:r>
      <w:r w:rsidRPr="00957957">
        <w:rPr>
          <w:szCs w:val="24"/>
        </w:rPr>
      </w:r>
      <w:r w:rsidRPr="00957957">
        <w:rPr>
          <w:szCs w:val="24"/>
        </w:rPr>
        <w:fldChar w:fldCharType="separate"/>
      </w:r>
      <w:r w:rsidRPr="00957957">
        <w:rPr>
          <w:szCs w:val="24"/>
        </w:rPr>
        <w:t xml:space="preserve">Table </w:t>
      </w:r>
      <w:r w:rsidRPr="00957957">
        <w:rPr>
          <w:noProof/>
          <w:szCs w:val="24"/>
        </w:rPr>
        <w:t>4</w:t>
      </w:r>
      <w:r w:rsidRPr="00957957">
        <w:rPr>
          <w:szCs w:val="24"/>
        </w:rPr>
        <w:fldChar w:fldCharType="end"/>
      </w:r>
      <w:r w:rsidRPr="00957957">
        <w:rPr>
          <w:szCs w:val="24"/>
        </w:rPr>
        <w:t xml:space="preserve"> are derived from the Simplified method. </w:t>
      </w:r>
    </w:p>
    <w:p w14:paraId="294E97D8" w14:textId="40CA31FB" w:rsidR="00E73B9B" w:rsidRDefault="00E73B9B">
      <w:pPr>
        <w:spacing w:after="200" w:line="276" w:lineRule="auto"/>
        <w:rPr>
          <w:szCs w:val="24"/>
        </w:rPr>
      </w:pPr>
      <w:r>
        <w:rPr>
          <w:szCs w:val="24"/>
        </w:rPr>
        <w:br w:type="page"/>
      </w:r>
    </w:p>
    <w:p w14:paraId="62B124BB" w14:textId="77777777" w:rsidR="00957957" w:rsidRPr="00957957" w:rsidRDefault="00957957" w:rsidP="00E73B9B">
      <w:pPr>
        <w:pStyle w:val="NormalunderlineforHeading4"/>
        <w:rPr>
          <w:b/>
          <w:bCs/>
          <w:sz w:val="24"/>
          <w:szCs w:val="24"/>
          <w:u w:val="none"/>
        </w:rPr>
      </w:pPr>
      <w:r w:rsidRPr="00957957">
        <w:rPr>
          <w:b/>
          <w:bCs/>
          <w:sz w:val="24"/>
          <w:szCs w:val="24"/>
          <w:u w:val="none"/>
        </w:rPr>
        <w:lastRenderedPageBreak/>
        <w:t xml:space="preserve">The </w:t>
      </w:r>
      <w:proofErr w:type="spellStart"/>
      <w:r w:rsidRPr="00957957">
        <w:rPr>
          <w:b/>
          <w:bCs/>
          <w:sz w:val="24"/>
          <w:szCs w:val="24"/>
          <w:u w:val="none"/>
        </w:rPr>
        <w:t>Ganzoni</w:t>
      </w:r>
      <w:proofErr w:type="spellEnd"/>
      <w:r w:rsidRPr="00957957">
        <w:rPr>
          <w:b/>
          <w:bCs/>
          <w:sz w:val="24"/>
          <w:szCs w:val="24"/>
          <w:u w:val="none"/>
        </w:rPr>
        <w:t xml:space="preserve"> method</w:t>
      </w:r>
    </w:p>
    <w:p w14:paraId="40DAF832" w14:textId="77777777" w:rsidR="00957957" w:rsidRPr="00957957" w:rsidRDefault="00957957" w:rsidP="00E73B9B">
      <w:pPr>
        <w:pStyle w:val="Caption"/>
        <w:keepNext/>
        <w:spacing w:after="0"/>
        <w:rPr>
          <w:sz w:val="24"/>
          <w:szCs w:val="24"/>
          <w:vertAlign w:val="superscript"/>
        </w:rPr>
      </w:pPr>
      <w:bookmarkStart w:id="56" w:name="_Ref82169805"/>
      <w:bookmarkStart w:id="57" w:name="_Ref82169808"/>
      <w:bookmarkStart w:id="58" w:name="_Ref104372627"/>
      <w:r w:rsidRPr="00957957">
        <w:rPr>
          <w:sz w:val="24"/>
          <w:szCs w:val="24"/>
        </w:rPr>
        <w:t xml:space="preserve">Equation </w:t>
      </w:r>
      <w:r w:rsidRPr="00957957">
        <w:rPr>
          <w:sz w:val="24"/>
          <w:szCs w:val="24"/>
        </w:rPr>
        <w:fldChar w:fldCharType="begin"/>
      </w:r>
      <w:r w:rsidRPr="00957957">
        <w:rPr>
          <w:sz w:val="24"/>
          <w:szCs w:val="24"/>
        </w:rPr>
        <w:instrText xml:space="preserve"> SEQ Equation \* ARABIC </w:instrText>
      </w:r>
      <w:r w:rsidRPr="00957957">
        <w:rPr>
          <w:sz w:val="24"/>
          <w:szCs w:val="24"/>
        </w:rPr>
        <w:fldChar w:fldCharType="separate"/>
      </w:r>
      <w:r w:rsidRPr="00957957">
        <w:rPr>
          <w:noProof/>
          <w:sz w:val="24"/>
          <w:szCs w:val="24"/>
        </w:rPr>
        <w:t>1</w:t>
      </w:r>
      <w:r w:rsidRPr="00957957">
        <w:rPr>
          <w:noProof/>
          <w:sz w:val="24"/>
          <w:szCs w:val="24"/>
        </w:rPr>
        <w:fldChar w:fldCharType="end"/>
      </w:r>
      <w:bookmarkEnd w:id="56"/>
      <w:r w:rsidRPr="00957957">
        <w:rPr>
          <w:sz w:val="24"/>
          <w:szCs w:val="24"/>
        </w:rPr>
        <w:t xml:space="preserve">. Determining iron dose using the </w:t>
      </w:r>
      <w:proofErr w:type="spellStart"/>
      <w:r w:rsidRPr="00957957">
        <w:rPr>
          <w:sz w:val="24"/>
          <w:szCs w:val="24"/>
        </w:rPr>
        <w:t>Ganzoni</w:t>
      </w:r>
      <w:proofErr w:type="spellEnd"/>
      <w:r w:rsidRPr="00957957">
        <w:rPr>
          <w:sz w:val="24"/>
          <w:szCs w:val="24"/>
        </w:rPr>
        <w:t xml:space="preserve"> method</w:t>
      </w:r>
      <w:bookmarkEnd w:id="57"/>
      <w:r w:rsidRPr="00957957">
        <w:rPr>
          <w:sz w:val="24"/>
          <w:szCs w:val="24"/>
          <w:vertAlign w:val="superscript"/>
        </w:rPr>
        <w:t>5</w:t>
      </w:r>
      <w:bookmarkEnd w:id="58"/>
    </w:p>
    <w:p w14:paraId="2B705CF9" w14:textId="77777777" w:rsidR="00957957" w:rsidRPr="00957957" w:rsidRDefault="00957957" w:rsidP="00E73B9B">
      <w:pPr>
        <w:pStyle w:val="Quote"/>
        <w:pBdr>
          <w:top w:val="dashed" w:sz="4" w:space="8" w:color="auto"/>
          <w:left w:val="dashed" w:sz="4" w:space="2" w:color="auto"/>
          <w:bottom w:val="dashed" w:sz="4" w:space="8" w:color="auto"/>
          <w:right w:val="dashed" w:sz="4" w:space="4" w:color="auto"/>
        </w:pBdr>
        <w:spacing w:after="0"/>
        <w:ind w:left="426" w:right="452"/>
        <w:rPr>
          <w:sz w:val="24"/>
          <w:szCs w:val="24"/>
        </w:rPr>
      </w:pPr>
      <w:r w:rsidRPr="00957957">
        <w:rPr>
          <w:sz w:val="24"/>
          <w:szCs w:val="24"/>
        </w:rPr>
        <w:t>Dose (mg) = body weight (kg) x [target Hb (g/L) – actual Hb (g/L)] x 0.24 + iron store (mg)</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1345"/>
        <w:gridCol w:w="7299"/>
      </w:tblGrid>
      <w:tr w:rsidR="00957957" w:rsidRPr="00957957" w14:paraId="1DFBA01F" w14:textId="77777777" w:rsidTr="00824FD4">
        <w:tc>
          <w:tcPr>
            <w:tcW w:w="1417" w:type="dxa"/>
          </w:tcPr>
          <w:p w14:paraId="10AB88E3" w14:textId="77777777" w:rsidR="00957957" w:rsidRPr="00957957" w:rsidRDefault="00957957" w:rsidP="00E73B9B">
            <w:pPr>
              <w:rPr>
                <w:i/>
                <w:szCs w:val="24"/>
              </w:rPr>
            </w:pPr>
            <w:r w:rsidRPr="00957957">
              <w:rPr>
                <w:i/>
                <w:szCs w:val="24"/>
              </w:rPr>
              <w:t>Body weight</w:t>
            </w:r>
          </w:p>
        </w:tc>
        <w:tc>
          <w:tcPr>
            <w:tcW w:w="8238" w:type="dxa"/>
          </w:tcPr>
          <w:p w14:paraId="1FAF2A6F" w14:textId="77777777" w:rsidR="00957957" w:rsidRPr="00957957" w:rsidRDefault="00957957" w:rsidP="00E73B9B">
            <w:pPr>
              <w:rPr>
                <w:szCs w:val="24"/>
              </w:rPr>
            </w:pPr>
            <w:r w:rsidRPr="00957957">
              <w:rPr>
                <w:szCs w:val="24"/>
              </w:rPr>
              <w:t>Use actual body weight, except in overweight patients, use ideal body weight</w:t>
            </w:r>
            <w:r w:rsidRPr="00957957">
              <w:rPr>
                <w:szCs w:val="24"/>
                <w:vertAlign w:val="superscript"/>
              </w:rPr>
              <w:t>3</w:t>
            </w:r>
            <w:r w:rsidRPr="00957957">
              <w:rPr>
                <w:szCs w:val="24"/>
              </w:rPr>
              <w:t>.</w:t>
            </w:r>
          </w:p>
        </w:tc>
      </w:tr>
      <w:tr w:rsidR="00957957" w:rsidRPr="00957957" w14:paraId="4CAC1A05" w14:textId="77777777" w:rsidTr="00824FD4">
        <w:tc>
          <w:tcPr>
            <w:tcW w:w="1417" w:type="dxa"/>
          </w:tcPr>
          <w:p w14:paraId="593A76CA" w14:textId="77777777" w:rsidR="00957957" w:rsidRPr="00957957" w:rsidRDefault="00957957" w:rsidP="00E73B9B">
            <w:pPr>
              <w:rPr>
                <w:i/>
                <w:szCs w:val="24"/>
              </w:rPr>
            </w:pPr>
            <w:r w:rsidRPr="00957957">
              <w:rPr>
                <w:i/>
                <w:szCs w:val="24"/>
              </w:rPr>
              <w:t xml:space="preserve">Target Hb    </w:t>
            </w:r>
          </w:p>
        </w:tc>
        <w:tc>
          <w:tcPr>
            <w:tcW w:w="8238" w:type="dxa"/>
          </w:tcPr>
          <w:p w14:paraId="32EBFFB2" w14:textId="77777777" w:rsidR="00957957" w:rsidRPr="00957957" w:rsidRDefault="00957957" w:rsidP="00E73B9B">
            <w:pPr>
              <w:rPr>
                <w:szCs w:val="24"/>
              </w:rPr>
            </w:pPr>
            <w:r w:rsidRPr="00957957">
              <w:rPr>
                <w:szCs w:val="24"/>
              </w:rPr>
              <w:t xml:space="preserve">If body weight is less than 35 kg, use 130 g/L. </w:t>
            </w:r>
          </w:p>
          <w:p w14:paraId="22BD211D" w14:textId="77777777" w:rsidR="00957957" w:rsidRPr="00957957" w:rsidRDefault="00957957" w:rsidP="00E73B9B">
            <w:pPr>
              <w:rPr>
                <w:szCs w:val="24"/>
              </w:rPr>
            </w:pPr>
            <w:r w:rsidRPr="00957957">
              <w:rPr>
                <w:szCs w:val="24"/>
              </w:rPr>
              <w:t xml:space="preserve">If body weight is greater than or equal to 35 kg, use 150 g/L. </w:t>
            </w:r>
          </w:p>
        </w:tc>
      </w:tr>
      <w:tr w:rsidR="00957957" w:rsidRPr="00957957" w14:paraId="3AB7DEB0" w14:textId="77777777" w:rsidTr="00824FD4">
        <w:tc>
          <w:tcPr>
            <w:tcW w:w="1417" w:type="dxa"/>
          </w:tcPr>
          <w:p w14:paraId="016F0C69" w14:textId="77777777" w:rsidR="00957957" w:rsidRPr="00957957" w:rsidRDefault="00957957" w:rsidP="00E73B9B">
            <w:pPr>
              <w:rPr>
                <w:i/>
                <w:szCs w:val="24"/>
              </w:rPr>
            </w:pPr>
            <w:r w:rsidRPr="00957957">
              <w:rPr>
                <w:i/>
                <w:szCs w:val="24"/>
              </w:rPr>
              <w:t>Actual Hb</w:t>
            </w:r>
          </w:p>
        </w:tc>
        <w:tc>
          <w:tcPr>
            <w:tcW w:w="8238" w:type="dxa"/>
          </w:tcPr>
          <w:p w14:paraId="1C3BBC6A" w14:textId="77777777" w:rsidR="00957957" w:rsidRPr="00957957" w:rsidRDefault="00957957" w:rsidP="00E73B9B">
            <w:pPr>
              <w:rPr>
                <w:szCs w:val="24"/>
              </w:rPr>
            </w:pPr>
            <w:r w:rsidRPr="00957957">
              <w:rPr>
                <w:szCs w:val="24"/>
              </w:rPr>
              <w:t xml:space="preserve">If patient has received a blood transfusion to help correct Hb, use the post-transfusion Hb. </w:t>
            </w:r>
          </w:p>
        </w:tc>
      </w:tr>
      <w:tr w:rsidR="00957957" w:rsidRPr="00957957" w14:paraId="495A0F60" w14:textId="77777777" w:rsidTr="00824FD4">
        <w:tc>
          <w:tcPr>
            <w:tcW w:w="1417" w:type="dxa"/>
          </w:tcPr>
          <w:p w14:paraId="3AE6E369" w14:textId="77777777" w:rsidR="00957957" w:rsidRPr="00957957" w:rsidRDefault="00957957" w:rsidP="00E73B9B">
            <w:pPr>
              <w:rPr>
                <w:i/>
                <w:szCs w:val="24"/>
              </w:rPr>
            </w:pPr>
            <w:r w:rsidRPr="00957957">
              <w:rPr>
                <w:i/>
                <w:szCs w:val="24"/>
              </w:rPr>
              <w:t xml:space="preserve">Iron store     </w:t>
            </w:r>
          </w:p>
        </w:tc>
        <w:tc>
          <w:tcPr>
            <w:tcW w:w="8238" w:type="dxa"/>
          </w:tcPr>
          <w:p w14:paraId="46AF10A8" w14:textId="77777777" w:rsidR="00957957" w:rsidRPr="00957957" w:rsidRDefault="00957957" w:rsidP="00E73B9B">
            <w:pPr>
              <w:rPr>
                <w:szCs w:val="24"/>
              </w:rPr>
            </w:pPr>
            <w:r w:rsidRPr="00957957">
              <w:rPr>
                <w:szCs w:val="24"/>
              </w:rPr>
              <w:t xml:space="preserve">If body weight less than 35 kg, calculate based on 15 mg/kg. </w:t>
            </w:r>
          </w:p>
          <w:p w14:paraId="451ECAE2" w14:textId="77777777" w:rsidR="00957957" w:rsidRPr="00957957" w:rsidRDefault="00957957" w:rsidP="00E73B9B">
            <w:pPr>
              <w:rPr>
                <w:szCs w:val="24"/>
              </w:rPr>
            </w:pPr>
            <w:r w:rsidRPr="00957957">
              <w:rPr>
                <w:szCs w:val="24"/>
              </w:rPr>
              <w:t xml:space="preserve">If body weight greater than or equal to 35 kg, use 500 mg. </w:t>
            </w:r>
          </w:p>
        </w:tc>
      </w:tr>
    </w:tbl>
    <w:p w14:paraId="48BE8C27" w14:textId="77777777" w:rsidR="00057BD0" w:rsidRDefault="00057BD0" w:rsidP="00E73B9B">
      <w:pPr>
        <w:rPr>
          <w:szCs w:val="24"/>
        </w:rPr>
      </w:pPr>
    </w:p>
    <w:p w14:paraId="1F0CB676" w14:textId="4723F017" w:rsidR="00957957" w:rsidRPr="00957957" w:rsidRDefault="00957957" w:rsidP="00E73B9B">
      <w:pPr>
        <w:rPr>
          <w:szCs w:val="24"/>
        </w:rPr>
      </w:pPr>
      <w:r w:rsidRPr="00957957">
        <w:rPr>
          <w:szCs w:val="24"/>
        </w:rPr>
        <w:t xml:space="preserve">For iron polymaltose, the calculated dose should be rounded to the nearest 100 mg.   </w:t>
      </w:r>
    </w:p>
    <w:p w14:paraId="0EB63DA6" w14:textId="45C08583" w:rsidR="00957957" w:rsidRDefault="00957957" w:rsidP="00E73B9B">
      <w:pPr>
        <w:rPr>
          <w:i/>
        </w:rPr>
      </w:pPr>
      <w:r w:rsidRPr="00957957">
        <w:rPr>
          <w:szCs w:val="24"/>
        </w:rPr>
        <w:t xml:space="preserve">For ferric </w:t>
      </w:r>
      <w:proofErr w:type="spellStart"/>
      <w:r w:rsidRPr="00957957">
        <w:rPr>
          <w:szCs w:val="24"/>
        </w:rPr>
        <w:t>carboxymaltose</w:t>
      </w:r>
      <w:proofErr w:type="spellEnd"/>
      <w:r w:rsidRPr="00957957">
        <w:rPr>
          <w:szCs w:val="24"/>
        </w:rPr>
        <w:t>, the calculated dose should be rounded to the nearest 50 mg</w:t>
      </w:r>
      <w:r w:rsidRPr="004659FE">
        <w:t>.</w:t>
      </w:r>
      <w:r w:rsidRPr="00561985">
        <w:t xml:space="preserve">  </w:t>
      </w:r>
    </w:p>
    <w:p w14:paraId="6AE8FBDE" w14:textId="77777777" w:rsidR="001E32F1" w:rsidRDefault="001E32F1" w:rsidP="00E73B9B">
      <w:pPr>
        <w:rPr>
          <w:rFonts w:cs="Arial"/>
          <w:b/>
          <w:szCs w:val="24"/>
        </w:rPr>
      </w:pPr>
    </w:p>
    <w:p w14:paraId="07F352AA" w14:textId="23681237" w:rsidR="00811631" w:rsidRPr="00E73B9B" w:rsidRDefault="00545420" w:rsidP="00E73B9B">
      <w:pPr>
        <w:jc w:val="right"/>
        <w:rPr>
          <w:rFonts w:cs="Arial"/>
          <w:i/>
          <w:szCs w:val="24"/>
        </w:rPr>
      </w:pPr>
      <w:hyperlink w:anchor="Contents" w:history="1">
        <w:r w:rsidR="001E32F1" w:rsidRPr="00590902">
          <w:rPr>
            <w:rStyle w:val="Hyperlink"/>
            <w:rFonts w:cs="Arial"/>
            <w:i/>
            <w:szCs w:val="24"/>
          </w:rPr>
          <w:t>Back to Table of Contents</w:t>
        </w:r>
      </w:hyperlink>
      <w:r w:rsidR="001E32F1">
        <w:rPr>
          <w:rFonts w:cs="Arial"/>
          <w:i/>
          <w:szCs w:val="24"/>
        </w:rPr>
        <w:t xml:space="preserve"> </w:t>
      </w:r>
    </w:p>
    <w:tbl>
      <w:tblPr>
        <w:tblpPr w:leftFromText="180" w:rightFromText="180" w:vertAnchor="text" w:horzAnchor="margin" w:tblpY="181"/>
        <w:tblW w:w="9156" w:type="dxa"/>
        <w:tblLook w:val="0000" w:firstRow="0" w:lastRow="0" w:firstColumn="0" w:lastColumn="0" w:noHBand="0" w:noVBand="0"/>
      </w:tblPr>
      <w:tblGrid>
        <w:gridCol w:w="9156"/>
      </w:tblGrid>
      <w:tr w:rsidR="001E32F1" w:rsidRPr="00CD1C0E" w14:paraId="0CA782C0" w14:textId="77777777" w:rsidTr="00BB2B38">
        <w:trPr>
          <w:cantSplit/>
          <w:trHeight w:val="285"/>
        </w:trPr>
        <w:tc>
          <w:tcPr>
            <w:tcW w:w="9156" w:type="dxa"/>
            <w:shd w:val="clear" w:color="auto" w:fill="A6A6A6" w:themeFill="background1" w:themeFillShade="A6"/>
          </w:tcPr>
          <w:p w14:paraId="0BB728DE" w14:textId="731B2068" w:rsidR="001E32F1" w:rsidRPr="003D2D06" w:rsidRDefault="001E32F1" w:rsidP="00E73B9B">
            <w:pPr>
              <w:pStyle w:val="Heading1"/>
            </w:pPr>
            <w:bookmarkStart w:id="59" w:name="_Toc158726144"/>
            <w:r>
              <w:t xml:space="preserve">Section </w:t>
            </w:r>
            <w:r w:rsidR="00957957">
              <w:t>24</w:t>
            </w:r>
            <w:r w:rsidRPr="003D2D06">
              <w:t xml:space="preserve"> – </w:t>
            </w:r>
            <w:r w:rsidR="00957957">
              <w:t>Iron Polymaltose Alternative Infusion Protocol</w:t>
            </w:r>
            <w:bookmarkEnd w:id="59"/>
          </w:p>
        </w:tc>
      </w:tr>
    </w:tbl>
    <w:p w14:paraId="0BB3F100" w14:textId="77777777" w:rsidR="00BB2B38" w:rsidRDefault="00BB2B38" w:rsidP="00E73B9B"/>
    <w:p w14:paraId="615242B2" w14:textId="18B62C79" w:rsidR="00957957" w:rsidRDefault="00957957" w:rsidP="00E73B9B">
      <w:pPr>
        <w:pStyle w:val="ListParagraph"/>
        <w:numPr>
          <w:ilvl w:val="0"/>
          <w:numId w:val="26"/>
        </w:numPr>
        <w:ind w:right="139"/>
      </w:pPr>
      <w:r>
        <w:t xml:space="preserve">The rapid infusion protocol in </w:t>
      </w:r>
      <w:r>
        <w:fldChar w:fldCharType="begin"/>
      </w:r>
      <w:r>
        <w:instrText xml:space="preserve"> REF _Ref83378086 \h  \* MERGEFORMAT </w:instrText>
      </w:r>
      <w:r>
        <w:fldChar w:fldCharType="separate"/>
      </w:r>
      <w:r w:rsidRPr="001672B6">
        <w:t xml:space="preserve">Table </w:t>
      </w:r>
      <w:r>
        <w:rPr>
          <w:noProof/>
        </w:rPr>
        <w:t>2</w:t>
      </w:r>
      <w:r>
        <w:fldChar w:fldCharType="end"/>
      </w:r>
      <w:r>
        <w:t xml:space="preserve"> (section </w:t>
      </w:r>
      <w:r w:rsidR="00376405">
        <w:t>11</w:t>
      </w:r>
      <w:r>
        <w:t>) is the preferred method of iron polymaltose administration and despite the reduced infusion time, it has not been associated with an increase in infusion-related adverse events compared to the slow infusion protocol (</w:t>
      </w:r>
      <w:r>
        <w:fldChar w:fldCharType="begin"/>
      </w:r>
      <w:r>
        <w:instrText xml:space="preserve"> REF _Ref104451376 \h  \* MERGEFORMAT </w:instrText>
      </w:r>
      <w:r>
        <w:fldChar w:fldCharType="separate"/>
      </w:r>
      <w:r w:rsidRPr="004806EE">
        <w:t xml:space="preserve">Table </w:t>
      </w:r>
      <w:r>
        <w:rPr>
          <w:noProof/>
        </w:rPr>
        <w:t>6</w:t>
      </w:r>
      <w:r>
        <w:fldChar w:fldCharType="end"/>
      </w:r>
      <w:r>
        <w:t>). The slow infusion protocol</w:t>
      </w:r>
      <w:r w:rsidRPr="00A538C0">
        <w:t xml:space="preserve"> should be reserved for patients </w:t>
      </w:r>
      <w:r>
        <w:t>with a history of adverse reaction to iron infusion or patients requiring a single dose of greater than 2000 mg.</w:t>
      </w:r>
      <w:r w:rsidRPr="008847F9">
        <w:t xml:space="preserve"> </w:t>
      </w:r>
    </w:p>
    <w:p w14:paraId="0D54BBF7" w14:textId="77127725" w:rsidR="00957957" w:rsidRDefault="00957957" w:rsidP="00E73B9B">
      <w:pPr>
        <w:pStyle w:val="ListParagraph"/>
        <w:numPr>
          <w:ilvl w:val="0"/>
          <w:numId w:val="26"/>
        </w:numPr>
        <w:ind w:right="139"/>
      </w:pPr>
      <w:r>
        <w:t xml:space="preserve">For doses above 2000 mg, iron polymaltose is not available as a pre-made bag and must be prepared in the Pharmacy aseptic suite. The pharmacy-made bags must be </w:t>
      </w:r>
      <w:r w:rsidRPr="0037401F">
        <w:t>kept refrigerated (2 to 8</w:t>
      </w:r>
      <w:r w:rsidRPr="00057BD0">
        <w:rPr>
          <w:rFonts w:cstheme="minorHAnsi"/>
        </w:rPr>
        <w:t>°</w:t>
      </w:r>
      <w:r w:rsidRPr="0037401F">
        <w:t>C) until for administration and protected from light during storage and administration</w:t>
      </w:r>
      <w:r w:rsidRPr="00057BD0">
        <w:rPr>
          <w:vertAlign w:val="superscript"/>
        </w:rPr>
        <w:t>11</w:t>
      </w:r>
      <w:r w:rsidRPr="0037401F">
        <w:t>.</w:t>
      </w:r>
      <w:r>
        <w:t xml:space="preserve"> The maximum dose of iron polymaltose that may be administered as a single treatment is </w:t>
      </w:r>
      <w:r w:rsidRPr="00354FDC">
        <w:t>2500mg.</w:t>
      </w:r>
    </w:p>
    <w:p w14:paraId="69905DA7" w14:textId="6A8F8B30" w:rsidR="00E73B9B" w:rsidRDefault="00E73B9B">
      <w:pPr>
        <w:spacing w:after="200" w:line="276" w:lineRule="auto"/>
      </w:pPr>
      <w:r>
        <w:br w:type="page"/>
      </w:r>
    </w:p>
    <w:p w14:paraId="6265CF32" w14:textId="03A93656" w:rsidR="0093186F" w:rsidRPr="004806EE" w:rsidRDefault="0093186F" w:rsidP="00E73B9B">
      <w:pPr>
        <w:pStyle w:val="Caption"/>
        <w:keepNext/>
        <w:rPr>
          <w:vertAlign w:val="superscript"/>
        </w:rPr>
      </w:pPr>
      <w:bookmarkStart w:id="60" w:name="_Ref104451376"/>
      <w:r w:rsidRPr="004806EE">
        <w:lastRenderedPageBreak/>
        <w:t xml:space="preserve">Table </w:t>
      </w:r>
      <w:fldSimple w:instr=" SEQ Table \* ARABIC ">
        <w:r>
          <w:rPr>
            <w:noProof/>
          </w:rPr>
          <w:t>7</w:t>
        </w:r>
      </w:fldSimple>
      <w:bookmarkEnd w:id="60"/>
      <w:r w:rsidRPr="004806EE">
        <w:t>. Slow infusion protocol for iron polymaltose</w:t>
      </w:r>
    </w:p>
    <w:tbl>
      <w:tblPr>
        <w:tblStyle w:val="TableGrid"/>
        <w:tblW w:w="0" w:type="auto"/>
        <w:jc w:val="center"/>
        <w:tblLook w:val="04A0" w:firstRow="1" w:lastRow="0" w:firstColumn="1" w:lastColumn="0" w:noHBand="0" w:noVBand="1"/>
      </w:tblPr>
      <w:tblGrid>
        <w:gridCol w:w="2333"/>
        <w:gridCol w:w="1161"/>
        <w:gridCol w:w="1179"/>
        <w:gridCol w:w="1162"/>
        <w:gridCol w:w="1191"/>
        <w:gridCol w:w="2034"/>
      </w:tblGrid>
      <w:tr w:rsidR="0093186F" w:rsidRPr="001672B6" w14:paraId="36EFCB2C" w14:textId="77777777" w:rsidTr="00057BD0">
        <w:trPr>
          <w:jc w:val="center"/>
        </w:trPr>
        <w:tc>
          <w:tcPr>
            <w:tcW w:w="2537" w:type="dxa"/>
            <w:shd w:val="clear" w:color="auto" w:fill="auto"/>
            <w:vAlign w:val="center"/>
          </w:tcPr>
          <w:p w14:paraId="76CA90D8" w14:textId="77777777" w:rsidR="0093186F" w:rsidRPr="001672B6" w:rsidRDefault="0093186F" w:rsidP="00E73B9B">
            <w:pPr>
              <w:pStyle w:val="TableHeading"/>
            </w:pPr>
            <w:r>
              <w:t>Iron polymaltose preparation</w:t>
            </w:r>
          </w:p>
        </w:tc>
        <w:tc>
          <w:tcPr>
            <w:tcW w:w="1204" w:type="dxa"/>
            <w:shd w:val="clear" w:color="auto" w:fill="auto"/>
            <w:vAlign w:val="center"/>
          </w:tcPr>
          <w:p w14:paraId="5423ACF2" w14:textId="77777777" w:rsidR="0093186F" w:rsidRPr="001672B6" w:rsidRDefault="0093186F" w:rsidP="00E73B9B">
            <w:pPr>
              <w:pStyle w:val="TableHeading"/>
            </w:pPr>
            <w:r>
              <w:t>Total volume to be infused</w:t>
            </w:r>
          </w:p>
        </w:tc>
        <w:tc>
          <w:tcPr>
            <w:tcW w:w="1205" w:type="dxa"/>
            <w:shd w:val="clear" w:color="auto" w:fill="auto"/>
            <w:vAlign w:val="center"/>
          </w:tcPr>
          <w:p w14:paraId="77AEB121" w14:textId="77777777" w:rsidR="0093186F" w:rsidRPr="001672B6" w:rsidRDefault="0093186F" w:rsidP="00E73B9B">
            <w:pPr>
              <w:pStyle w:val="TableHeading"/>
            </w:pPr>
            <w:r w:rsidRPr="001672B6">
              <w:t>Total infusion time (approx.)</w:t>
            </w:r>
          </w:p>
        </w:tc>
        <w:tc>
          <w:tcPr>
            <w:tcW w:w="1205" w:type="dxa"/>
            <w:shd w:val="clear" w:color="auto" w:fill="auto"/>
            <w:vAlign w:val="center"/>
          </w:tcPr>
          <w:p w14:paraId="03CE2A71" w14:textId="77777777" w:rsidR="0093186F" w:rsidRPr="001672B6" w:rsidRDefault="0093186F" w:rsidP="00E73B9B">
            <w:pPr>
              <w:pStyle w:val="TableHeading"/>
            </w:pPr>
            <w:r w:rsidRPr="001672B6">
              <w:t>Initial infusion rate</w:t>
            </w:r>
          </w:p>
        </w:tc>
        <w:tc>
          <w:tcPr>
            <w:tcW w:w="1205" w:type="dxa"/>
            <w:shd w:val="clear" w:color="auto" w:fill="auto"/>
            <w:vAlign w:val="center"/>
          </w:tcPr>
          <w:p w14:paraId="173ED073" w14:textId="77777777" w:rsidR="0093186F" w:rsidRPr="001672B6" w:rsidRDefault="0093186F" w:rsidP="00E73B9B">
            <w:pPr>
              <w:pStyle w:val="TableHeading"/>
            </w:pPr>
            <w:r w:rsidRPr="001672B6">
              <w:t>If initial infusion is tolerated, increase rate to:</w:t>
            </w:r>
          </w:p>
        </w:tc>
        <w:tc>
          <w:tcPr>
            <w:tcW w:w="2127" w:type="dxa"/>
            <w:shd w:val="clear" w:color="auto" w:fill="auto"/>
            <w:vAlign w:val="center"/>
          </w:tcPr>
          <w:p w14:paraId="5FCF835F" w14:textId="77777777" w:rsidR="0093186F" w:rsidRPr="001672B6" w:rsidRDefault="0093186F" w:rsidP="00E73B9B">
            <w:pPr>
              <w:pStyle w:val="TableHeading"/>
            </w:pPr>
            <w:r>
              <w:t>Monitoring</w:t>
            </w:r>
          </w:p>
        </w:tc>
      </w:tr>
      <w:tr w:rsidR="0093186F" w:rsidRPr="001672B6" w14:paraId="1D6A2FAB" w14:textId="77777777" w:rsidTr="00057BD0">
        <w:trPr>
          <w:trHeight w:val="1442"/>
          <w:jc w:val="center"/>
        </w:trPr>
        <w:tc>
          <w:tcPr>
            <w:tcW w:w="2537" w:type="dxa"/>
            <w:shd w:val="clear" w:color="auto" w:fill="auto"/>
            <w:vAlign w:val="center"/>
          </w:tcPr>
          <w:p w14:paraId="285233E6" w14:textId="77777777" w:rsidR="0093186F" w:rsidRDefault="0093186F" w:rsidP="00E73B9B">
            <w:pPr>
              <w:pStyle w:val="Tablecontent"/>
            </w:pPr>
            <w:r w:rsidRPr="001672B6">
              <w:t xml:space="preserve">1000 mg in 250 mL </w:t>
            </w:r>
          </w:p>
          <w:p w14:paraId="749DBB05" w14:textId="77777777" w:rsidR="0093186F" w:rsidRDefault="0093186F" w:rsidP="00E73B9B">
            <w:pPr>
              <w:pStyle w:val="Tablecontent"/>
            </w:pPr>
            <w:r w:rsidRPr="001672B6">
              <w:t>sodium chloride 0.9%</w:t>
            </w:r>
          </w:p>
          <w:p w14:paraId="621C9F0F" w14:textId="77777777" w:rsidR="0093186F" w:rsidRPr="001672B6" w:rsidRDefault="0093186F" w:rsidP="00E73B9B">
            <w:pPr>
              <w:pStyle w:val="Tablecontent"/>
            </w:pPr>
            <w:r>
              <w:t>[Pre-made bag]</w:t>
            </w:r>
          </w:p>
        </w:tc>
        <w:tc>
          <w:tcPr>
            <w:tcW w:w="1204" w:type="dxa"/>
            <w:shd w:val="clear" w:color="auto" w:fill="auto"/>
            <w:vAlign w:val="center"/>
          </w:tcPr>
          <w:p w14:paraId="7F0EE02E" w14:textId="77777777" w:rsidR="0093186F" w:rsidRPr="001672B6" w:rsidRDefault="0093186F" w:rsidP="00E73B9B">
            <w:pPr>
              <w:pStyle w:val="Tablecontent"/>
            </w:pPr>
            <w:r>
              <w:t>285 mL</w:t>
            </w:r>
          </w:p>
        </w:tc>
        <w:tc>
          <w:tcPr>
            <w:tcW w:w="1205" w:type="dxa"/>
            <w:shd w:val="clear" w:color="auto" w:fill="auto"/>
            <w:vAlign w:val="center"/>
          </w:tcPr>
          <w:p w14:paraId="78BB4DD4" w14:textId="77777777" w:rsidR="0093186F" w:rsidRPr="001672B6" w:rsidRDefault="0093186F" w:rsidP="00E73B9B">
            <w:pPr>
              <w:pStyle w:val="Tablecontent"/>
            </w:pPr>
            <w:r>
              <w:t>153</w:t>
            </w:r>
            <w:r w:rsidRPr="004806EE">
              <w:t xml:space="preserve"> minutes</w:t>
            </w:r>
          </w:p>
        </w:tc>
        <w:tc>
          <w:tcPr>
            <w:tcW w:w="1205" w:type="dxa"/>
            <w:shd w:val="clear" w:color="auto" w:fill="auto"/>
            <w:vAlign w:val="center"/>
          </w:tcPr>
          <w:p w14:paraId="44A5A771" w14:textId="77777777" w:rsidR="0093186F" w:rsidRPr="004806EE" w:rsidRDefault="0093186F" w:rsidP="00E73B9B">
            <w:pPr>
              <w:pStyle w:val="Tablecontent"/>
            </w:pPr>
            <w:r w:rsidRPr="004806EE">
              <w:t>40 mL/h</w:t>
            </w:r>
          </w:p>
          <w:p w14:paraId="22156368" w14:textId="77777777" w:rsidR="0093186F" w:rsidRPr="001672B6" w:rsidRDefault="0093186F" w:rsidP="00E73B9B">
            <w:pPr>
              <w:pStyle w:val="Tablecontent"/>
            </w:pPr>
            <w:r w:rsidRPr="004806EE">
              <w:t>for 15 minutes</w:t>
            </w:r>
          </w:p>
        </w:tc>
        <w:tc>
          <w:tcPr>
            <w:tcW w:w="1205" w:type="dxa"/>
            <w:shd w:val="clear" w:color="auto" w:fill="auto"/>
            <w:vAlign w:val="center"/>
          </w:tcPr>
          <w:p w14:paraId="29935FF4" w14:textId="77777777" w:rsidR="0093186F" w:rsidRPr="001672B6" w:rsidRDefault="0093186F" w:rsidP="00E73B9B">
            <w:pPr>
              <w:pStyle w:val="Tablecontent"/>
            </w:pPr>
            <w:r w:rsidRPr="004806EE">
              <w:t>120 mL/h</w:t>
            </w:r>
          </w:p>
        </w:tc>
        <w:tc>
          <w:tcPr>
            <w:tcW w:w="2127" w:type="dxa"/>
            <w:vMerge w:val="restart"/>
            <w:shd w:val="clear" w:color="auto" w:fill="auto"/>
            <w:vAlign w:val="center"/>
          </w:tcPr>
          <w:p w14:paraId="15D4DEF2" w14:textId="77777777" w:rsidR="0093186F" w:rsidRDefault="0093186F" w:rsidP="00E73B9B">
            <w:pPr>
              <w:pStyle w:val="Tablecontent"/>
            </w:pPr>
            <w:r>
              <w:t>Record vital signs at baseline, followed by every 5 minutes during the initial 15 minutes, then every 30 minutes for the remainder of the infusion</w:t>
            </w:r>
            <w:r>
              <w:rPr>
                <w:vertAlign w:val="superscript"/>
              </w:rPr>
              <w:t>11</w:t>
            </w:r>
            <w:r>
              <w:t xml:space="preserve">. Vital signs include blood pressure, heart rate, respiratory rate, oxygen saturation and body temperature. </w:t>
            </w:r>
          </w:p>
          <w:p w14:paraId="2279B272" w14:textId="77777777" w:rsidR="0093186F" w:rsidRDefault="0093186F" w:rsidP="00E73B9B">
            <w:pPr>
              <w:pStyle w:val="Tablecontent"/>
            </w:pPr>
          </w:p>
          <w:p w14:paraId="31BF92A9" w14:textId="77777777" w:rsidR="0093186F" w:rsidRPr="00700AF1" w:rsidRDefault="0093186F" w:rsidP="00E73B9B">
            <w:pPr>
              <w:pStyle w:val="Tablecontent"/>
              <w:rPr>
                <w:vertAlign w:val="superscript"/>
              </w:rPr>
            </w:pPr>
            <w:r>
              <w:t xml:space="preserve">Upon infusion completion, continue to monitor for any adverse reactions for at least </w:t>
            </w:r>
            <w:r w:rsidRPr="00444FA6">
              <w:t>30 minutes</w:t>
            </w:r>
            <w:r>
              <w:t xml:space="preserve"> or i</w:t>
            </w:r>
            <w:r w:rsidRPr="00444FA6">
              <w:t xml:space="preserve">f </w:t>
            </w:r>
            <w:r>
              <w:t xml:space="preserve">patient experienced adverse reactions during administration, monitor </w:t>
            </w:r>
            <w:r w:rsidRPr="00444FA6">
              <w:t xml:space="preserve">for </w:t>
            </w:r>
            <w:r>
              <w:t xml:space="preserve">at least </w:t>
            </w:r>
            <w:r w:rsidRPr="00444FA6">
              <w:t>60 minutes.</w:t>
            </w:r>
          </w:p>
        </w:tc>
      </w:tr>
      <w:tr w:rsidR="0093186F" w:rsidRPr="001672B6" w14:paraId="08CC4EB8" w14:textId="77777777" w:rsidTr="00057BD0">
        <w:trPr>
          <w:trHeight w:val="1443"/>
          <w:jc w:val="center"/>
        </w:trPr>
        <w:tc>
          <w:tcPr>
            <w:tcW w:w="2537" w:type="dxa"/>
            <w:shd w:val="clear" w:color="auto" w:fill="auto"/>
            <w:vAlign w:val="center"/>
          </w:tcPr>
          <w:p w14:paraId="0DB37789" w14:textId="77777777" w:rsidR="0093186F" w:rsidRDefault="0093186F" w:rsidP="00E73B9B">
            <w:pPr>
              <w:pStyle w:val="Tablecontent"/>
            </w:pPr>
            <w:r w:rsidRPr="001672B6">
              <w:t xml:space="preserve">1500 mg in 500 mL </w:t>
            </w:r>
          </w:p>
          <w:p w14:paraId="38FD7007" w14:textId="77777777" w:rsidR="0093186F" w:rsidRDefault="0093186F" w:rsidP="00E73B9B">
            <w:pPr>
              <w:pStyle w:val="Tablecontent"/>
            </w:pPr>
            <w:r w:rsidRPr="001672B6">
              <w:t>sodium chloride 0.9%</w:t>
            </w:r>
          </w:p>
          <w:p w14:paraId="6DBF8B4A" w14:textId="77777777" w:rsidR="0093186F" w:rsidRPr="001672B6" w:rsidRDefault="0093186F" w:rsidP="00E73B9B">
            <w:pPr>
              <w:pStyle w:val="Tablecontent"/>
            </w:pPr>
            <w:r>
              <w:t>[Pre-made bag]</w:t>
            </w:r>
          </w:p>
        </w:tc>
        <w:tc>
          <w:tcPr>
            <w:tcW w:w="1204" w:type="dxa"/>
            <w:shd w:val="clear" w:color="auto" w:fill="auto"/>
            <w:vAlign w:val="center"/>
          </w:tcPr>
          <w:p w14:paraId="684F9269" w14:textId="77777777" w:rsidR="0093186F" w:rsidRDefault="0093186F" w:rsidP="00E73B9B">
            <w:pPr>
              <w:pStyle w:val="Tablecontent"/>
            </w:pPr>
            <w:r>
              <w:t>575 mL</w:t>
            </w:r>
          </w:p>
        </w:tc>
        <w:tc>
          <w:tcPr>
            <w:tcW w:w="1205" w:type="dxa"/>
            <w:shd w:val="clear" w:color="auto" w:fill="auto"/>
            <w:vAlign w:val="center"/>
          </w:tcPr>
          <w:p w14:paraId="4FB0C226" w14:textId="77777777" w:rsidR="0093186F" w:rsidRPr="001672B6" w:rsidRDefault="0093186F" w:rsidP="00E73B9B">
            <w:pPr>
              <w:pStyle w:val="Tablecontent"/>
            </w:pPr>
            <w:r>
              <w:t>298</w:t>
            </w:r>
            <w:r w:rsidRPr="004806EE">
              <w:t xml:space="preserve"> minutes</w:t>
            </w:r>
          </w:p>
        </w:tc>
        <w:tc>
          <w:tcPr>
            <w:tcW w:w="1205" w:type="dxa"/>
            <w:shd w:val="clear" w:color="auto" w:fill="auto"/>
            <w:vAlign w:val="center"/>
          </w:tcPr>
          <w:p w14:paraId="4B151D3F" w14:textId="77777777" w:rsidR="0093186F" w:rsidRPr="004806EE" w:rsidRDefault="0093186F" w:rsidP="00E73B9B">
            <w:pPr>
              <w:pStyle w:val="Tablecontent"/>
            </w:pPr>
            <w:r w:rsidRPr="004806EE">
              <w:t>40 mL/h</w:t>
            </w:r>
          </w:p>
          <w:p w14:paraId="040FD3E1" w14:textId="77777777" w:rsidR="0093186F" w:rsidRPr="001672B6" w:rsidRDefault="0093186F" w:rsidP="00E73B9B">
            <w:pPr>
              <w:pStyle w:val="Tablecontent"/>
            </w:pPr>
            <w:r w:rsidRPr="004806EE">
              <w:t>for 15 minutes</w:t>
            </w:r>
          </w:p>
        </w:tc>
        <w:tc>
          <w:tcPr>
            <w:tcW w:w="1205" w:type="dxa"/>
            <w:shd w:val="clear" w:color="auto" w:fill="auto"/>
            <w:vAlign w:val="center"/>
          </w:tcPr>
          <w:p w14:paraId="6E4017FB" w14:textId="77777777" w:rsidR="0093186F" w:rsidRPr="001672B6" w:rsidRDefault="0093186F" w:rsidP="00E73B9B">
            <w:pPr>
              <w:pStyle w:val="Tablecontent"/>
            </w:pPr>
            <w:r w:rsidRPr="004806EE">
              <w:t>120 mL/h</w:t>
            </w:r>
          </w:p>
        </w:tc>
        <w:tc>
          <w:tcPr>
            <w:tcW w:w="2127" w:type="dxa"/>
            <w:vMerge/>
            <w:shd w:val="clear" w:color="auto" w:fill="auto"/>
          </w:tcPr>
          <w:p w14:paraId="2BE4EFB2" w14:textId="77777777" w:rsidR="0093186F" w:rsidRPr="001672B6" w:rsidRDefault="0093186F" w:rsidP="00E73B9B">
            <w:pPr>
              <w:pStyle w:val="Tablecontent"/>
            </w:pPr>
          </w:p>
        </w:tc>
      </w:tr>
      <w:tr w:rsidR="0093186F" w:rsidRPr="00723E29" w14:paraId="436BB311" w14:textId="77777777" w:rsidTr="00057BD0">
        <w:trPr>
          <w:trHeight w:val="1442"/>
          <w:jc w:val="center"/>
        </w:trPr>
        <w:tc>
          <w:tcPr>
            <w:tcW w:w="2537" w:type="dxa"/>
            <w:shd w:val="clear" w:color="auto" w:fill="auto"/>
            <w:vAlign w:val="center"/>
          </w:tcPr>
          <w:p w14:paraId="20F48E29" w14:textId="77777777" w:rsidR="0093186F" w:rsidRDefault="0093186F" w:rsidP="00E73B9B">
            <w:pPr>
              <w:pStyle w:val="Tablecontent"/>
            </w:pPr>
            <w:r w:rsidRPr="001672B6">
              <w:t xml:space="preserve">2000 mg in 500 mL </w:t>
            </w:r>
          </w:p>
          <w:p w14:paraId="60FE7FE7" w14:textId="77777777" w:rsidR="0093186F" w:rsidRDefault="0093186F" w:rsidP="00E73B9B">
            <w:pPr>
              <w:pStyle w:val="Tablecontent"/>
            </w:pPr>
            <w:r w:rsidRPr="001672B6">
              <w:t>sodium chloride 0.9%</w:t>
            </w:r>
          </w:p>
          <w:p w14:paraId="1E7DA5EC" w14:textId="77777777" w:rsidR="0093186F" w:rsidRPr="001672B6" w:rsidRDefault="0093186F" w:rsidP="00E73B9B">
            <w:pPr>
              <w:pStyle w:val="Tablecontent"/>
            </w:pPr>
            <w:r>
              <w:t>[Pre-made bag]</w:t>
            </w:r>
          </w:p>
        </w:tc>
        <w:tc>
          <w:tcPr>
            <w:tcW w:w="1204" w:type="dxa"/>
            <w:shd w:val="clear" w:color="auto" w:fill="auto"/>
            <w:vAlign w:val="center"/>
          </w:tcPr>
          <w:p w14:paraId="555322E1" w14:textId="77777777" w:rsidR="0093186F" w:rsidRDefault="0093186F" w:rsidP="00E73B9B">
            <w:pPr>
              <w:pStyle w:val="Tablecontent"/>
            </w:pPr>
            <w:r w:rsidRPr="00BF6D66">
              <w:t>585 mL</w:t>
            </w:r>
          </w:p>
        </w:tc>
        <w:tc>
          <w:tcPr>
            <w:tcW w:w="1205" w:type="dxa"/>
            <w:shd w:val="clear" w:color="auto" w:fill="auto"/>
            <w:vAlign w:val="center"/>
          </w:tcPr>
          <w:p w14:paraId="716DEAE6" w14:textId="77777777" w:rsidR="0093186F" w:rsidRPr="001672B6" w:rsidRDefault="0093186F" w:rsidP="00E73B9B">
            <w:pPr>
              <w:pStyle w:val="Tablecontent"/>
            </w:pPr>
            <w:r>
              <w:t>303</w:t>
            </w:r>
            <w:r w:rsidRPr="004806EE">
              <w:t xml:space="preserve"> minutes</w:t>
            </w:r>
          </w:p>
        </w:tc>
        <w:tc>
          <w:tcPr>
            <w:tcW w:w="1205" w:type="dxa"/>
            <w:shd w:val="clear" w:color="auto" w:fill="auto"/>
            <w:vAlign w:val="center"/>
          </w:tcPr>
          <w:p w14:paraId="20D97F9B" w14:textId="77777777" w:rsidR="0093186F" w:rsidRPr="004806EE" w:rsidRDefault="0093186F" w:rsidP="00E73B9B">
            <w:pPr>
              <w:pStyle w:val="Tablecontent"/>
            </w:pPr>
            <w:r w:rsidRPr="004806EE">
              <w:t>40 mL/h</w:t>
            </w:r>
          </w:p>
          <w:p w14:paraId="53010F23" w14:textId="77777777" w:rsidR="0093186F" w:rsidRPr="001672B6" w:rsidRDefault="0093186F" w:rsidP="00E73B9B">
            <w:pPr>
              <w:pStyle w:val="Tablecontent"/>
            </w:pPr>
            <w:r w:rsidRPr="004806EE">
              <w:t>for 15 minutes</w:t>
            </w:r>
          </w:p>
        </w:tc>
        <w:tc>
          <w:tcPr>
            <w:tcW w:w="1205" w:type="dxa"/>
            <w:shd w:val="clear" w:color="auto" w:fill="auto"/>
            <w:vAlign w:val="center"/>
          </w:tcPr>
          <w:p w14:paraId="6AAE8389" w14:textId="77777777" w:rsidR="0093186F" w:rsidRPr="001B495E" w:rsidRDefault="0093186F" w:rsidP="00E73B9B">
            <w:pPr>
              <w:pStyle w:val="Tablecontent"/>
            </w:pPr>
            <w:r>
              <w:t>120 mL/h</w:t>
            </w:r>
          </w:p>
        </w:tc>
        <w:tc>
          <w:tcPr>
            <w:tcW w:w="2127" w:type="dxa"/>
            <w:vMerge/>
            <w:shd w:val="clear" w:color="auto" w:fill="auto"/>
          </w:tcPr>
          <w:p w14:paraId="43F90619" w14:textId="77777777" w:rsidR="0093186F" w:rsidRDefault="0093186F" w:rsidP="00E73B9B">
            <w:pPr>
              <w:pStyle w:val="Tablecontent"/>
            </w:pPr>
          </w:p>
        </w:tc>
      </w:tr>
      <w:tr w:rsidR="0093186F" w:rsidRPr="00723E29" w14:paraId="4FB99AAA" w14:textId="77777777" w:rsidTr="00057BD0">
        <w:trPr>
          <w:trHeight w:val="1443"/>
          <w:jc w:val="center"/>
        </w:trPr>
        <w:tc>
          <w:tcPr>
            <w:tcW w:w="2537" w:type="dxa"/>
            <w:shd w:val="clear" w:color="auto" w:fill="auto"/>
            <w:vAlign w:val="center"/>
          </w:tcPr>
          <w:p w14:paraId="15C15FAE" w14:textId="77777777" w:rsidR="0093186F" w:rsidRDefault="0093186F" w:rsidP="00E73B9B">
            <w:pPr>
              <w:pStyle w:val="Tablecontent"/>
            </w:pPr>
            <w:r>
              <w:t xml:space="preserve">Up to 2500 mg in 500 mL sodium chloride 0.9% </w:t>
            </w:r>
          </w:p>
          <w:p w14:paraId="36805B25" w14:textId="77777777" w:rsidR="0093186F" w:rsidRPr="001672B6" w:rsidRDefault="0093186F" w:rsidP="00E73B9B">
            <w:pPr>
              <w:pStyle w:val="Tablecontent"/>
            </w:pPr>
            <w:r>
              <w:t>[Non-standard bag to be made in pharmacy]</w:t>
            </w:r>
          </w:p>
        </w:tc>
        <w:tc>
          <w:tcPr>
            <w:tcW w:w="1204" w:type="dxa"/>
            <w:shd w:val="clear" w:color="auto" w:fill="auto"/>
            <w:vAlign w:val="center"/>
          </w:tcPr>
          <w:p w14:paraId="75357879" w14:textId="77777777" w:rsidR="0093186F" w:rsidRPr="00BF6D66" w:rsidRDefault="0093186F" w:rsidP="00E73B9B">
            <w:pPr>
              <w:pStyle w:val="Tablecontent"/>
            </w:pPr>
            <w:r>
              <w:t>Variable</w:t>
            </w:r>
          </w:p>
        </w:tc>
        <w:tc>
          <w:tcPr>
            <w:tcW w:w="1205" w:type="dxa"/>
            <w:shd w:val="clear" w:color="auto" w:fill="auto"/>
            <w:vAlign w:val="center"/>
          </w:tcPr>
          <w:p w14:paraId="1F5BB897" w14:textId="77777777" w:rsidR="0093186F" w:rsidRDefault="0093186F" w:rsidP="00E73B9B">
            <w:pPr>
              <w:pStyle w:val="Tablecontent"/>
            </w:pPr>
            <w:r>
              <w:t>308</w:t>
            </w:r>
            <w:r w:rsidRPr="001B495E">
              <w:t xml:space="preserve"> minutes</w:t>
            </w:r>
          </w:p>
        </w:tc>
        <w:tc>
          <w:tcPr>
            <w:tcW w:w="1205" w:type="dxa"/>
            <w:shd w:val="clear" w:color="auto" w:fill="auto"/>
            <w:vAlign w:val="center"/>
          </w:tcPr>
          <w:p w14:paraId="1CC52B6F" w14:textId="77777777" w:rsidR="0093186F" w:rsidRPr="001B495E" w:rsidRDefault="0093186F" w:rsidP="00E73B9B">
            <w:pPr>
              <w:pStyle w:val="Tablecontent"/>
            </w:pPr>
            <w:r w:rsidRPr="001B495E">
              <w:t>40 mL/h</w:t>
            </w:r>
          </w:p>
          <w:p w14:paraId="53200C1A" w14:textId="77777777" w:rsidR="0093186F" w:rsidRPr="004806EE" w:rsidRDefault="0093186F" w:rsidP="00E73B9B">
            <w:pPr>
              <w:pStyle w:val="Tablecontent"/>
            </w:pPr>
            <w:r w:rsidRPr="001B495E">
              <w:t>for 15 minutes</w:t>
            </w:r>
          </w:p>
        </w:tc>
        <w:tc>
          <w:tcPr>
            <w:tcW w:w="1205" w:type="dxa"/>
            <w:shd w:val="clear" w:color="auto" w:fill="auto"/>
            <w:vAlign w:val="center"/>
          </w:tcPr>
          <w:p w14:paraId="0F7D25ED" w14:textId="77777777" w:rsidR="0093186F" w:rsidRDefault="0093186F" w:rsidP="00E73B9B">
            <w:pPr>
              <w:pStyle w:val="Tablecontent"/>
            </w:pPr>
            <w:r w:rsidRPr="001B495E">
              <w:t>120 mL/h</w:t>
            </w:r>
          </w:p>
        </w:tc>
        <w:tc>
          <w:tcPr>
            <w:tcW w:w="2127" w:type="dxa"/>
            <w:vMerge/>
            <w:shd w:val="clear" w:color="auto" w:fill="auto"/>
          </w:tcPr>
          <w:p w14:paraId="4F24BED4" w14:textId="77777777" w:rsidR="0093186F" w:rsidRDefault="0093186F" w:rsidP="00E73B9B">
            <w:pPr>
              <w:pStyle w:val="Tablecontent"/>
            </w:pPr>
          </w:p>
        </w:tc>
      </w:tr>
    </w:tbl>
    <w:p w14:paraId="1F66D180" w14:textId="77777777" w:rsidR="0093186F" w:rsidRDefault="0093186F" w:rsidP="00E73B9B">
      <w:pPr>
        <w:jc w:val="right"/>
      </w:pPr>
    </w:p>
    <w:p w14:paraId="29AC7D7A" w14:textId="3CB7A315" w:rsidR="00376405" w:rsidRDefault="00545420" w:rsidP="00E73B9B">
      <w:pPr>
        <w:tabs>
          <w:tab w:val="left" w:pos="9639"/>
        </w:tabs>
        <w:jc w:val="right"/>
        <w:rPr>
          <w:rStyle w:val="Hyperlink"/>
          <w:rFonts w:cs="Arial"/>
          <w:i/>
          <w:szCs w:val="24"/>
        </w:rPr>
      </w:pPr>
      <w:hyperlink w:anchor="Contents" w:history="1">
        <w:r w:rsidR="0093186F"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376405" w:rsidRPr="00CD1C0E" w14:paraId="67481F86" w14:textId="77777777" w:rsidTr="00D77C73">
        <w:trPr>
          <w:cantSplit/>
          <w:trHeight w:val="285"/>
        </w:trPr>
        <w:tc>
          <w:tcPr>
            <w:tcW w:w="9158" w:type="dxa"/>
            <w:shd w:val="clear" w:color="auto" w:fill="A6A6A6" w:themeFill="background1" w:themeFillShade="A6"/>
          </w:tcPr>
          <w:p w14:paraId="59568563" w14:textId="77777777" w:rsidR="00376405" w:rsidRPr="00CD1C0E" w:rsidRDefault="00376405" w:rsidP="00E73B9B">
            <w:pPr>
              <w:pStyle w:val="Heading1"/>
            </w:pPr>
            <w:bookmarkStart w:id="61" w:name="_Toc389473287"/>
            <w:bookmarkStart w:id="62" w:name="_Toc158726145"/>
            <w:r>
              <w:t>Related Policies, Procedures</w:t>
            </w:r>
            <w:bookmarkEnd w:id="61"/>
            <w:r>
              <w:t>, Guidelines and Legislation</w:t>
            </w:r>
            <w:bookmarkEnd w:id="62"/>
          </w:p>
        </w:tc>
      </w:tr>
    </w:tbl>
    <w:p w14:paraId="0990CD08" w14:textId="77777777" w:rsidR="00376405" w:rsidRDefault="00376405" w:rsidP="00E73B9B">
      <w:pPr>
        <w:rPr>
          <w:b/>
        </w:rPr>
      </w:pPr>
    </w:p>
    <w:p w14:paraId="4B865BB9" w14:textId="5CD8F08A" w:rsidR="00376405" w:rsidRPr="00201FB6" w:rsidRDefault="00376405" w:rsidP="00E73B9B">
      <w:pPr>
        <w:rPr>
          <w:b/>
        </w:rPr>
      </w:pPr>
      <w:r w:rsidRPr="00201FB6">
        <w:rPr>
          <w:b/>
        </w:rPr>
        <w:t>Policies</w:t>
      </w:r>
    </w:p>
    <w:p w14:paraId="7C79B0BB" w14:textId="77777777" w:rsidR="00376405" w:rsidRPr="000A7335" w:rsidRDefault="00376405" w:rsidP="00E73B9B">
      <w:pPr>
        <w:numPr>
          <w:ilvl w:val="0"/>
          <w:numId w:val="2"/>
        </w:numPr>
        <w:ind w:left="360"/>
        <w:rPr>
          <w:rFonts w:cs="Arial"/>
        </w:rPr>
      </w:pPr>
      <w:r w:rsidRPr="55918A0A">
        <w:rPr>
          <w:rFonts w:cs="Arial"/>
        </w:rPr>
        <w:t xml:space="preserve">Informed Consent – Clinical </w:t>
      </w:r>
    </w:p>
    <w:p w14:paraId="637DDEAE" w14:textId="77777777" w:rsidR="00376405" w:rsidRPr="000A7335" w:rsidRDefault="00376405" w:rsidP="00E73B9B">
      <w:pPr>
        <w:rPr>
          <w:rFonts w:cs="Arial"/>
          <w:szCs w:val="24"/>
        </w:rPr>
      </w:pPr>
    </w:p>
    <w:p w14:paraId="6ED4B703" w14:textId="77777777" w:rsidR="00376405" w:rsidRPr="00201FB6" w:rsidRDefault="00376405" w:rsidP="00E73B9B">
      <w:pPr>
        <w:rPr>
          <w:b/>
        </w:rPr>
      </w:pPr>
      <w:r w:rsidRPr="00201FB6">
        <w:rPr>
          <w:b/>
        </w:rPr>
        <w:t>Procedures</w:t>
      </w:r>
    </w:p>
    <w:p w14:paraId="717DED51" w14:textId="77777777" w:rsidR="00376405" w:rsidRPr="001F2A9B" w:rsidRDefault="00376405" w:rsidP="00E73B9B">
      <w:pPr>
        <w:numPr>
          <w:ilvl w:val="0"/>
          <w:numId w:val="2"/>
        </w:numPr>
        <w:ind w:left="360"/>
        <w:rPr>
          <w:rFonts w:cs="Arial"/>
        </w:rPr>
      </w:pPr>
      <w:r w:rsidRPr="55918A0A">
        <w:rPr>
          <w:rFonts w:cs="Arial"/>
        </w:rPr>
        <w:t>Infection Prevention and Control</w:t>
      </w:r>
    </w:p>
    <w:p w14:paraId="7F8DC48D" w14:textId="29C3B6AF" w:rsidR="00752EE6" w:rsidRDefault="00752EE6" w:rsidP="00E73B9B">
      <w:pPr>
        <w:pStyle w:val="ListParagraph"/>
        <w:numPr>
          <w:ilvl w:val="0"/>
          <w:numId w:val="2"/>
        </w:numPr>
        <w:ind w:left="360"/>
        <w:rPr>
          <w:rFonts w:cs="Arial"/>
        </w:rPr>
      </w:pPr>
      <w:r w:rsidRPr="526CCBD3">
        <w:rPr>
          <w:rFonts w:cs="Arial"/>
        </w:rPr>
        <w:lastRenderedPageBreak/>
        <w:t xml:space="preserve">NCH </w:t>
      </w:r>
      <w:r w:rsidR="735E4436" w:rsidRPr="526CCBD3">
        <w:rPr>
          <w:rFonts w:cs="Arial"/>
        </w:rPr>
        <w:t>R</w:t>
      </w:r>
      <w:r w:rsidRPr="526CCBD3">
        <w:rPr>
          <w:rFonts w:cs="Arial"/>
        </w:rPr>
        <w:t xml:space="preserve">isk </w:t>
      </w:r>
      <w:proofErr w:type="spellStart"/>
      <w:r w:rsidRPr="526CCBD3">
        <w:rPr>
          <w:rFonts w:cs="Arial"/>
        </w:rPr>
        <w:t>Risk</w:t>
      </w:r>
      <w:proofErr w:type="spellEnd"/>
      <w:r w:rsidRPr="526CCBD3">
        <w:rPr>
          <w:rFonts w:cs="Arial"/>
        </w:rPr>
        <w:t xml:space="preserve"> Medicines Management </w:t>
      </w:r>
    </w:p>
    <w:p w14:paraId="0C8DEC2C" w14:textId="1D1510A4" w:rsidR="00752EE6" w:rsidRDefault="00752EE6" w:rsidP="00E73B9B">
      <w:pPr>
        <w:pStyle w:val="ListParagraph"/>
        <w:numPr>
          <w:ilvl w:val="0"/>
          <w:numId w:val="2"/>
        </w:numPr>
        <w:ind w:left="360"/>
        <w:rPr>
          <w:rFonts w:cs="Arial"/>
        </w:rPr>
      </w:pPr>
      <w:r>
        <w:rPr>
          <w:rFonts w:cs="Arial"/>
        </w:rPr>
        <w:t xml:space="preserve">NCH Medication Handling </w:t>
      </w:r>
    </w:p>
    <w:p w14:paraId="070626C1" w14:textId="6F71E5E7" w:rsidR="00376405" w:rsidRDefault="00376405" w:rsidP="00E73B9B">
      <w:pPr>
        <w:pStyle w:val="ListParagraph"/>
        <w:numPr>
          <w:ilvl w:val="0"/>
          <w:numId w:val="2"/>
        </w:numPr>
        <w:ind w:left="360"/>
        <w:rPr>
          <w:rFonts w:cs="Arial"/>
        </w:rPr>
      </w:pPr>
      <w:r w:rsidRPr="55918A0A">
        <w:rPr>
          <w:rFonts w:cs="Arial"/>
        </w:rPr>
        <w:t xml:space="preserve">Patient Identification and Procedure Matching </w:t>
      </w:r>
    </w:p>
    <w:p w14:paraId="12096400" w14:textId="77777777" w:rsidR="00376405" w:rsidRPr="00A930A9" w:rsidRDefault="00376405" w:rsidP="00E73B9B">
      <w:pPr>
        <w:pStyle w:val="ListParagraph"/>
        <w:ind w:left="360"/>
        <w:rPr>
          <w:rFonts w:cs="Arial"/>
        </w:rPr>
      </w:pPr>
    </w:p>
    <w:p w14:paraId="0D4E1C16" w14:textId="77777777" w:rsidR="00376405" w:rsidRPr="00201FB6" w:rsidRDefault="00376405" w:rsidP="00E73B9B">
      <w:pPr>
        <w:rPr>
          <w:b/>
        </w:rPr>
      </w:pPr>
      <w:r w:rsidRPr="00201FB6">
        <w:rPr>
          <w:b/>
        </w:rPr>
        <w:t>Legislation</w:t>
      </w:r>
    </w:p>
    <w:p w14:paraId="0898216E" w14:textId="77777777" w:rsidR="00376405" w:rsidRPr="000A7335" w:rsidRDefault="00376405" w:rsidP="00E73B9B">
      <w:pPr>
        <w:numPr>
          <w:ilvl w:val="0"/>
          <w:numId w:val="2"/>
        </w:numPr>
        <w:ind w:left="360"/>
        <w:rPr>
          <w:rFonts w:cs="Arial"/>
          <w:szCs w:val="24"/>
        </w:rPr>
      </w:pPr>
      <w:r w:rsidRPr="001F2A9B">
        <w:rPr>
          <w:rFonts w:cs="Arial"/>
          <w:i/>
          <w:szCs w:val="24"/>
        </w:rPr>
        <w:t>Health Records (Privacy and Access) Act</w:t>
      </w:r>
      <w:r w:rsidRPr="000A7335">
        <w:rPr>
          <w:rFonts w:cs="Arial"/>
          <w:szCs w:val="24"/>
        </w:rPr>
        <w:t xml:space="preserve"> 1997</w:t>
      </w:r>
    </w:p>
    <w:p w14:paraId="4F473D98" w14:textId="77777777" w:rsidR="00376405" w:rsidRPr="000A7335" w:rsidRDefault="00376405" w:rsidP="00E73B9B">
      <w:pPr>
        <w:numPr>
          <w:ilvl w:val="0"/>
          <w:numId w:val="2"/>
        </w:numPr>
        <w:ind w:left="360"/>
        <w:rPr>
          <w:rFonts w:cs="Arial"/>
          <w:szCs w:val="24"/>
        </w:rPr>
      </w:pPr>
      <w:r w:rsidRPr="001F2A9B">
        <w:rPr>
          <w:rFonts w:cs="Arial"/>
          <w:i/>
          <w:szCs w:val="24"/>
        </w:rPr>
        <w:t>Human Rights Act</w:t>
      </w:r>
      <w:r w:rsidRPr="000A7335">
        <w:rPr>
          <w:rFonts w:cs="Arial"/>
          <w:szCs w:val="24"/>
        </w:rPr>
        <w:t xml:space="preserve"> 2004</w:t>
      </w:r>
    </w:p>
    <w:p w14:paraId="7B12D8BE" w14:textId="77777777" w:rsidR="00376405" w:rsidRDefault="00376405" w:rsidP="00E73B9B">
      <w:pPr>
        <w:numPr>
          <w:ilvl w:val="0"/>
          <w:numId w:val="2"/>
        </w:numPr>
        <w:ind w:left="360"/>
        <w:rPr>
          <w:rFonts w:cs="Arial"/>
          <w:szCs w:val="24"/>
        </w:rPr>
      </w:pPr>
      <w:r w:rsidRPr="001F2A9B">
        <w:rPr>
          <w:rFonts w:cs="Arial"/>
          <w:i/>
          <w:szCs w:val="24"/>
        </w:rPr>
        <w:t>Work Health and Safety Act</w:t>
      </w:r>
      <w:r w:rsidRPr="000A7335">
        <w:rPr>
          <w:rFonts w:cs="Arial"/>
          <w:szCs w:val="24"/>
        </w:rPr>
        <w:t xml:space="preserve"> 2011</w:t>
      </w:r>
    </w:p>
    <w:p w14:paraId="1D11D9C7" w14:textId="77777777" w:rsidR="00376405" w:rsidRPr="00C4124B" w:rsidRDefault="00376405" w:rsidP="00E73B9B">
      <w:pPr>
        <w:numPr>
          <w:ilvl w:val="0"/>
          <w:numId w:val="2"/>
        </w:numPr>
        <w:ind w:left="360"/>
        <w:rPr>
          <w:rFonts w:cs="Arial"/>
          <w:szCs w:val="24"/>
        </w:rPr>
      </w:pPr>
      <w:r>
        <w:rPr>
          <w:rFonts w:cs="Arial"/>
          <w:i/>
          <w:szCs w:val="24"/>
        </w:rPr>
        <w:t>Medicines, Poisons and Therapeutic Goods Act</w:t>
      </w:r>
      <w:r>
        <w:rPr>
          <w:rFonts w:cs="Arial"/>
          <w:iCs/>
          <w:szCs w:val="24"/>
        </w:rPr>
        <w:t xml:space="preserve"> 2008</w:t>
      </w:r>
    </w:p>
    <w:p w14:paraId="50DC585F" w14:textId="77777777" w:rsidR="00376405" w:rsidRPr="00BE701C" w:rsidRDefault="00376405" w:rsidP="00E73B9B">
      <w:pPr>
        <w:numPr>
          <w:ilvl w:val="0"/>
          <w:numId w:val="2"/>
        </w:numPr>
        <w:ind w:left="360"/>
        <w:rPr>
          <w:rFonts w:cs="Arial"/>
          <w:szCs w:val="24"/>
        </w:rPr>
      </w:pPr>
      <w:r>
        <w:rPr>
          <w:rFonts w:cs="Arial"/>
          <w:i/>
          <w:szCs w:val="24"/>
        </w:rPr>
        <w:t xml:space="preserve">Medicines, Poisons and Therapeutic Goods Regulation </w:t>
      </w:r>
      <w:r>
        <w:rPr>
          <w:rFonts w:cs="Arial"/>
          <w:iCs/>
          <w:szCs w:val="24"/>
        </w:rPr>
        <w:t>2008</w:t>
      </w:r>
    </w:p>
    <w:p w14:paraId="30370D61" w14:textId="77777777" w:rsidR="00376405" w:rsidRPr="00FF56DD" w:rsidRDefault="00376405" w:rsidP="00E73B9B">
      <w:pPr>
        <w:ind w:left="720"/>
        <w:rPr>
          <w:rFonts w:cs="Arial"/>
          <w:i/>
          <w:szCs w:val="24"/>
        </w:rPr>
      </w:pPr>
    </w:p>
    <w:p w14:paraId="4B09060C" w14:textId="77777777" w:rsidR="00376405" w:rsidRDefault="00376405" w:rsidP="00E73B9B">
      <w:pPr>
        <w:rPr>
          <w:b/>
        </w:rPr>
      </w:pPr>
      <w:r w:rsidRPr="00752315">
        <w:rPr>
          <w:b/>
        </w:rPr>
        <w:t>Other</w:t>
      </w:r>
    </w:p>
    <w:p w14:paraId="3439E2F6" w14:textId="77777777" w:rsidR="00376405" w:rsidRDefault="00376405" w:rsidP="00E73B9B">
      <w:r w:rsidRPr="00DD0346">
        <w:rPr>
          <w:b/>
        </w:rPr>
        <w:t>•</w:t>
      </w:r>
      <w:r>
        <w:rPr>
          <w:b/>
        </w:rPr>
        <w:t xml:space="preserve">      </w:t>
      </w:r>
      <w:r w:rsidRPr="00DD0346">
        <w:t>Australian Charter of Healthcare Rights</w:t>
      </w:r>
    </w:p>
    <w:p w14:paraId="2F51A8CA" w14:textId="10BC6386" w:rsidR="007B6904" w:rsidRDefault="00376405" w:rsidP="00E73B9B">
      <w:pPr>
        <w:tabs>
          <w:tab w:val="left" w:pos="9639"/>
        </w:tabs>
        <w:jc w:val="right"/>
        <w:rPr>
          <w:rStyle w:val="Hyperlink"/>
          <w:rFonts w:cs="Arial"/>
          <w:i/>
          <w:szCs w:val="24"/>
        </w:rPr>
      </w:pPr>
      <w:r>
        <w:tab/>
      </w:r>
      <w:hyperlink w:anchor="Contents" w:history="1">
        <w:r w:rsidRPr="00590902">
          <w:rPr>
            <w:rStyle w:val="Hyperlink"/>
            <w:rFonts w:cs="Arial"/>
            <w:i/>
            <w:szCs w:val="24"/>
          </w:rPr>
          <w:t>Back to Table of Contents</w:t>
        </w:r>
      </w:hyperlink>
    </w:p>
    <w:p w14:paraId="712ABE26" w14:textId="77777777" w:rsidR="00F14B3E" w:rsidRPr="00376405" w:rsidRDefault="00F14B3E" w:rsidP="00E73B9B">
      <w:pPr>
        <w:tabs>
          <w:tab w:val="left" w:pos="9639"/>
        </w:tabs>
        <w:jc w:val="right"/>
        <w:rPr>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CC" w14:textId="77777777" w:rsidTr="0074223E">
        <w:trPr>
          <w:cantSplit/>
          <w:trHeight w:val="285"/>
        </w:trPr>
        <w:tc>
          <w:tcPr>
            <w:tcW w:w="9158" w:type="dxa"/>
            <w:shd w:val="clear" w:color="auto" w:fill="A6A6A6" w:themeFill="background1" w:themeFillShade="A6"/>
          </w:tcPr>
          <w:p w14:paraId="2F51A8CB" w14:textId="77777777" w:rsidR="007B6904" w:rsidRPr="00CD1C0E" w:rsidRDefault="007B6904" w:rsidP="00E73B9B">
            <w:pPr>
              <w:pStyle w:val="Heading1"/>
            </w:pPr>
            <w:bookmarkStart w:id="63" w:name="_Toc389473288"/>
            <w:bookmarkStart w:id="64" w:name="_Toc158726146"/>
            <w:r>
              <w:t>References</w:t>
            </w:r>
            <w:bookmarkEnd w:id="63"/>
            <w:bookmarkEnd w:id="64"/>
          </w:p>
        </w:tc>
      </w:tr>
    </w:tbl>
    <w:p w14:paraId="2F51A8CD" w14:textId="77777777" w:rsidR="007B6904" w:rsidRPr="00DE4E25" w:rsidRDefault="007B6904" w:rsidP="00E73B9B">
      <w:pPr>
        <w:rPr>
          <w:rFonts w:asciiTheme="majorHAnsi" w:hAnsiTheme="majorHAnsi" w:cstheme="majorHAnsi"/>
          <w:szCs w:val="24"/>
        </w:rPr>
      </w:pPr>
      <w:bookmarkStart w:id="65" w:name="_Toc389131245"/>
    </w:p>
    <w:bookmarkEnd w:id="65"/>
    <w:p w14:paraId="02E68215" w14:textId="77777777" w:rsidR="00A930A9" w:rsidRPr="00057BD0" w:rsidRDefault="00A930A9" w:rsidP="00E73B9B">
      <w:pPr>
        <w:pStyle w:val="ListParagraph"/>
        <w:numPr>
          <w:ilvl w:val="0"/>
          <w:numId w:val="3"/>
        </w:numPr>
        <w:autoSpaceDE w:val="0"/>
        <w:autoSpaceDN w:val="0"/>
        <w:adjustRightInd w:val="0"/>
        <w:contextualSpacing w:val="0"/>
        <w:rPr>
          <w:rFonts w:cs="Arial"/>
          <w:iCs/>
          <w:szCs w:val="24"/>
          <w:lang w:eastAsia="en-AU"/>
        </w:rPr>
      </w:pPr>
      <w:r w:rsidRPr="00057BD0">
        <w:rPr>
          <w:rFonts w:cs="Arial"/>
          <w:iCs/>
          <w:szCs w:val="24"/>
          <w:lang w:eastAsia="en-AU"/>
        </w:rPr>
        <w:t>Pasricha S-R et al. Diagnosis and management of iron deficiency anaemia: a clinical update. MJA 2010 Nov; 193(9):525-532</w:t>
      </w:r>
    </w:p>
    <w:p w14:paraId="601914FA" w14:textId="77777777" w:rsidR="00A930A9" w:rsidRPr="00057BD0" w:rsidRDefault="00A930A9" w:rsidP="00E73B9B">
      <w:pPr>
        <w:pStyle w:val="ListParagraph"/>
        <w:numPr>
          <w:ilvl w:val="0"/>
          <w:numId w:val="3"/>
        </w:numPr>
        <w:autoSpaceDE w:val="0"/>
        <w:autoSpaceDN w:val="0"/>
        <w:adjustRightInd w:val="0"/>
        <w:contextualSpacing w:val="0"/>
        <w:rPr>
          <w:rFonts w:cs="Arial"/>
          <w:iCs/>
          <w:szCs w:val="24"/>
          <w:lang w:eastAsia="en-AU"/>
        </w:rPr>
      </w:pPr>
      <w:r w:rsidRPr="00057BD0">
        <w:rPr>
          <w:rFonts w:cs="Arial"/>
          <w:iCs/>
          <w:szCs w:val="24"/>
          <w:lang w:eastAsia="en-AU"/>
        </w:rPr>
        <w:t xml:space="preserve">Baird-Gunning J, Bromley J. Correcting iron deficiency. Aust </w:t>
      </w:r>
      <w:proofErr w:type="spellStart"/>
      <w:r w:rsidRPr="00057BD0">
        <w:rPr>
          <w:rFonts w:cs="Arial"/>
          <w:iCs/>
          <w:szCs w:val="24"/>
          <w:lang w:eastAsia="en-AU"/>
        </w:rPr>
        <w:t>Prescr</w:t>
      </w:r>
      <w:proofErr w:type="spellEnd"/>
      <w:r w:rsidRPr="00057BD0">
        <w:rPr>
          <w:rFonts w:cs="Arial"/>
          <w:iCs/>
          <w:szCs w:val="24"/>
          <w:lang w:eastAsia="en-AU"/>
        </w:rPr>
        <w:t xml:space="preserve"> </w:t>
      </w:r>
      <w:proofErr w:type="gramStart"/>
      <w:r w:rsidRPr="00057BD0">
        <w:rPr>
          <w:rFonts w:cs="Arial"/>
          <w:iCs/>
          <w:szCs w:val="24"/>
          <w:lang w:eastAsia="en-AU"/>
        </w:rPr>
        <w:t>2016;39:193</w:t>
      </w:r>
      <w:proofErr w:type="gramEnd"/>
      <w:r w:rsidRPr="00057BD0">
        <w:rPr>
          <w:rFonts w:cs="Arial"/>
          <w:iCs/>
          <w:szCs w:val="24"/>
          <w:lang w:eastAsia="en-AU"/>
        </w:rPr>
        <w:t>-9.https://doi.org/10.18773/austprescr.2016.069</w:t>
      </w:r>
    </w:p>
    <w:p w14:paraId="58CA91A8" w14:textId="77777777" w:rsidR="00057BD0" w:rsidRPr="00057BD0" w:rsidRDefault="00A930A9" w:rsidP="00E73B9B">
      <w:pPr>
        <w:pStyle w:val="ListParagraph"/>
        <w:numPr>
          <w:ilvl w:val="0"/>
          <w:numId w:val="3"/>
        </w:numPr>
        <w:autoSpaceDE w:val="0"/>
        <w:autoSpaceDN w:val="0"/>
        <w:adjustRightInd w:val="0"/>
        <w:contextualSpacing w:val="0"/>
        <w:rPr>
          <w:rStyle w:val="Hyperlink"/>
          <w:rFonts w:cs="Arial"/>
          <w:iCs/>
          <w:color w:val="auto"/>
          <w:szCs w:val="24"/>
          <w:u w:val="none"/>
          <w:lang w:eastAsia="en-AU"/>
        </w:rPr>
      </w:pPr>
      <w:r w:rsidRPr="00057BD0">
        <w:rPr>
          <w:rFonts w:cs="Arial"/>
          <w:iCs/>
          <w:szCs w:val="24"/>
          <w:lang w:eastAsia="en-AU"/>
        </w:rPr>
        <w:t xml:space="preserve">Iron product choice and dose calculation for adults - Guidance for Australian Health Providers: National Blood Authority Australia; March 2016. Available at: </w:t>
      </w:r>
      <w:hyperlink r:id="rId13" w:history="1">
        <w:r w:rsidR="00057BD0" w:rsidRPr="009F37D5">
          <w:rPr>
            <w:rStyle w:val="Hyperlink"/>
          </w:rPr>
          <w:t>https://www.blood.gov.au/system/files/documents/Iron%20product%20choice%20and%20dose%20calculation20052016.pdf</w:t>
        </w:r>
      </w:hyperlink>
    </w:p>
    <w:p w14:paraId="59A4EA57" w14:textId="0AA379B9" w:rsidR="00A930A9" w:rsidRPr="00057BD0" w:rsidRDefault="00A930A9" w:rsidP="00E73B9B">
      <w:pPr>
        <w:pStyle w:val="ListParagraph"/>
        <w:numPr>
          <w:ilvl w:val="0"/>
          <w:numId w:val="3"/>
        </w:numPr>
        <w:autoSpaceDE w:val="0"/>
        <w:autoSpaceDN w:val="0"/>
        <w:adjustRightInd w:val="0"/>
        <w:contextualSpacing w:val="0"/>
        <w:rPr>
          <w:rFonts w:cs="Arial"/>
          <w:iCs/>
          <w:szCs w:val="24"/>
          <w:lang w:eastAsia="en-AU"/>
        </w:rPr>
      </w:pPr>
      <w:proofErr w:type="spellStart"/>
      <w:r w:rsidRPr="00057BD0">
        <w:rPr>
          <w:rFonts w:cs="Arial"/>
          <w:iCs/>
          <w:szCs w:val="24"/>
          <w:lang w:eastAsia="en-AU"/>
        </w:rPr>
        <w:t>Ferinject</w:t>
      </w:r>
      <w:proofErr w:type="spellEnd"/>
      <w:r w:rsidRPr="00057BD0">
        <w:rPr>
          <w:rFonts w:cs="Arial"/>
          <w:iCs/>
          <w:szCs w:val="24"/>
          <w:lang w:eastAsia="en-AU"/>
        </w:rPr>
        <w:t xml:space="preserve">. (2021). In MIMS Online. Retrieved from </w:t>
      </w:r>
      <w:hyperlink r:id="rId14" w:history="1">
        <w:r w:rsidR="00057BD0" w:rsidRPr="00271ADF">
          <w:rPr>
            <w:rStyle w:val="Hyperlink"/>
          </w:rPr>
          <w:t>http://www.mims.com.au</w:t>
        </w:r>
      </w:hyperlink>
    </w:p>
    <w:p w14:paraId="26BF007F" w14:textId="60729E62" w:rsidR="00A930A9" w:rsidRPr="00057BD0" w:rsidRDefault="00A930A9" w:rsidP="00E73B9B">
      <w:pPr>
        <w:pStyle w:val="ListParagraph"/>
        <w:numPr>
          <w:ilvl w:val="0"/>
          <w:numId w:val="3"/>
        </w:numPr>
        <w:autoSpaceDE w:val="0"/>
        <w:autoSpaceDN w:val="0"/>
        <w:adjustRightInd w:val="0"/>
        <w:contextualSpacing w:val="0"/>
        <w:rPr>
          <w:rFonts w:cs="Arial"/>
          <w:iCs/>
          <w:szCs w:val="24"/>
          <w:lang w:eastAsia="en-AU"/>
        </w:rPr>
      </w:pPr>
      <w:proofErr w:type="spellStart"/>
      <w:r w:rsidRPr="00057BD0">
        <w:rPr>
          <w:rFonts w:cs="Arial"/>
          <w:iCs/>
          <w:szCs w:val="24"/>
          <w:lang w:eastAsia="en-AU"/>
        </w:rPr>
        <w:t>Ferrosig</w:t>
      </w:r>
      <w:proofErr w:type="spellEnd"/>
      <w:r w:rsidRPr="00057BD0">
        <w:rPr>
          <w:rFonts w:cs="Arial"/>
          <w:iCs/>
          <w:szCs w:val="24"/>
          <w:lang w:eastAsia="en-AU"/>
        </w:rPr>
        <w:t xml:space="preserve">. (2021). In MIMS Online. Retrieved from </w:t>
      </w:r>
      <w:hyperlink r:id="rId15" w:history="1">
        <w:r w:rsidR="00057BD0" w:rsidRPr="00271ADF">
          <w:rPr>
            <w:rStyle w:val="Hyperlink"/>
          </w:rPr>
          <w:t>http://www.mims.com.au</w:t>
        </w:r>
      </w:hyperlink>
      <w:r w:rsidR="00057BD0">
        <w:rPr>
          <w:rFonts w:cs="Arial"/>
          <w:iCs/>
          <w:szCs w:val="24"/>
          <w:lang w:eastAsia="en-AU"/>
        </w:rPr>
        <w:t xml:space="preserve"> </w:t>
      </w:r>
    </w:p>
    <w:p w14:paraId="0882C967" w14:textId="77777777" w:rsidR="00A930A9" w:rsidRPr="00057BD0" w:rsidRDefault="00A930A9" w:rsidP="00E73B9B">
      <w:pPr>
        <w:pStyle w:val="ListParagraph"/>
        <w:numPr>
          <w:ilvl w:val="0"/>
          <w:numId w:val="3"/>
        </w:numPr>
        <w:autoSpaceDE w:val="0"/>
        <w:autoSpaceDN w:val="0"/>
        <w:adjustRightInd w:val="0"/>
        <w:contextualSpacing w:val="0"/>
        <w:rPr>
          <w:rFonts w:cs="Arial"/>
          <w:iCs/>
          <w:szCs w:val="24"/>
          <w:lang w:eastAsia="en-AU"/>
        </w:rPr>
      </w:pPr>
      <w:r w:rsidRPr="00057BD0">
        <w:rPr>
          <w:rFonts w:cs="Arial"/>
          <w:iCs/>
          <w:szCs w:val="24"/>
          <w:lang w:eastAsia="en-AU"/>
        </w:rPr>
        <w:t xml:space="preserve">Maynor L, Brophy DF. Risk of infection with intravenous iron therapy. Annals of Pharmacotherapy. 2007 Sep;41(9):1476-80. </w:t>
      </w:r>
    </w:p>
    <w:p w14:paraId="1C752FEA" w14:textId="77777777" w:rsidR="00A930A9" w:rsidRPr="00057BD0" w:rsidRDefault="00A930A9" w:rsidP="00E73B9B">
      <w:pPr>
        <w:pStyle w:val="ListParagraph"/>
        <w:numPr>
          <w:ilvl w:val="0"/>
          <w:numId w:val="3"/>
        </w:numPr>
        <w:autoSpaceDE w:val="0"/>
        <w:autoSpaceDN w:val="0"/>
        <w:adjustRightInd w:val="0"/>
        <w:contextualSpacing w:val="0"/>
        <w:rPr>
          <w:rFonts w:cs="Arial"/>
          <w:iCs/>
          <w:szCs w:val="24"/>
          <w:lang w:eastAsia="en-AU"/>
        </w:rPr>
      </w:pPr>
      <w:proofErr w:type="spellStart"/>
      <w:r w:rsidRPr="00057BD0">
        <w:rPr>
          <w:rFonts w:cs="Arial"/>
          <w:iCs/>
          <w:szCs w:val="24"/>
          <w:lang w:eastAsia="en-AU"/>
        </w:rPr>
        <w:t>Newnam</w:t>
      </w:r>
      <w:proofErr w:type="spellEnd"/>
      <w:r w:rsidRPr="00057BD0">
        <w:rPr>
          <w:rFonts w:cs="Arial"/>
          <w:iCs/>
          <w:szCs w:val="24"/>
          <w:lang w:eastAsia="en-AU"/>
        </w:rPr>
        <w:t xml:space="preserve"> E, Ahmad I, Thornton A, Gibson PR. Safety of iron polymaltose given as a total dose iron infusion. </w:t>
      </w:r>
      <w:proofErr w:type="spellStart"/>
      <w:r w:rsidRPr="00057BD0">
        <w:rPr>
          <w:rFonts w:cs="Arial"/>
          <w:iCs/>
          <w:szCs w:val="24"/>
          <w:lang w:eastAsia="en-AU"/>
        </w:rPr>
        <w:t>InternMed</w:t>
      </w:r>
      <w:proofErr w:type="spellEnd"/>
      <w:r w:rsidRPr="00057BD0">
        <w:rPr>
          <w:rFonts w:cs="Arial"/>
          <w:iCs/>
          <w:szCs w:val="24"/>
          <w:lang w:eastAsia="en-AU"/>
        </w:rPr>
        <w:t xml:space="preserve"> J 2006; 36: 672–4.</w:t>
      </w:r>
    </w:p>
    <w:p w14:paraId="56BBE006" w14:textId="77777777" w:rsidR="00A930A9" w:rsidRPr="00057BD0" w:rsidRDefault="00A930A9" w:rsidP="00E73B9B">
      <w:pPr>
        <w:pStyle w:val="ListParagraph"/>
        <w:numPr>
          <w:ilvl w:val="0"/>
          <w:numId w:val="3"/>
        </w:numPr>
        <w:autoSpaceDE w:val="0"/>
        <w:autoSpaceDN w:val="0"/>
        <w:adjustRightInd w:val="0"/>
        <w:contextualSpacing w:val="0"/>
        <w:rPr>
          <w:rFonts w:cs="Arial"/>
          <w:iCs/>
          <w:szCs w:val="24"/>
          <w:lang w:eastAsia="en-AU"/>
        </w:rPr>
      </w:pPr>
      <w:r w:rsidRPr="00057BD0">
        <w:rPr>
          <w:rFonts w:cs="Arial"/>
          <w:iCs/>
          <w:szCs w:val="24"/>
          <w:lang w:eastAsia="en-AU"/>
        </w:rPr>
        <w:t>Chia PL, Tong E, Newnham HH, Skinner MJ. Ironing out iron infusions–does premedication reduce adverse reactions during iron polymaltose infusion: a single‐centre retrospective review. Journal of Pharmacy Practice and Research. 2016 Sep;46(3):222-6.</w:t>
      </w:r>
    </w:p>
    <w:p w14:paraId="008E32FB" w14:textId="77777777" w:rsidR="00A930A9" w:rsidRPr="00057BD0" w:rsidRDefault="00A930A9" w:rsidP="00E73B9B">
      <w:pPr>
        <w:pStyle w:val="ListParagraph"/>
        <w:numPr>
          <w:ilvl w:val="0"/>
          <w:numId w:val="3"/>
        </w:numPr>
        <w:autoSpaceDE w:val="0"/>
        <w:autoSpaceDN w:val="0"/>
        <w:adjustRightInd w:val="0"/>
        <w:contextualSpacing w:val="0"/>
        <w:rPr>
          <w:rFonts w:cs="Arial"/>
          <w:iCs/>
          <w:szCs w:val="24"/>
          <w:lang w:eastAsia="en-AU"/>
        </w:rPr>
      </w:pPr>
      <w:r w:rsidRPr="00E73B9B">
        <w:rPr>
          <w:rFonts w:cs="Arial"/>
          <w:iCs/>
          <w:szCs w:val="24"/>
          <w:lang w:val="it-IT" w:eastAsia="en-AU"/>
        </w:rPr>
        <w:t xml:space="preserve">Remacha A, Sanz C, Contreras E, et al. </w:t>
      </w:r>
      <w:r w:rsidRPr="00057BD0">
        <w:rPr>
          <w:rFonts w:cs="Arial"/>
          <w:iCs/>
          <w:szCs w:val="24"/>
          <w:lang w:eastAsia="en-AU"/>
        </w:rPr>
        <w:t xml:space="preserve">Guidelines on </w:t>
      </w:r>
      <w:proofErr w:type="spellStart"/>
      <w:r w:rsidRPr="00057BD0">
        <w:rPr>
          <w:rFonts w:cs="Arial"/>
          <w:iCs/>
          <w:szCs w:val="24"/>
          <w:lang w:eastAsia="en-AU"/>
        </w:rPr>
        <w:t>haemovigilance</w:t>
      </w:r>
      <w:proofErr w:type="spellEnd"/>
      <w:r w:rsidRPr="00057BD0">
        <w:rPr>
          <w:rFonts w:cs="Arial"/>
          <w:iCs/>
          <w:szCs w:val="24"/>
          <w:lang w:eastAsia="en-AU"/>
        </w:rPr>
        <w:t xml:space="preserve"> of post-</w:t>
      </w:r>
      <w:proofErr w:type="spellStart"/>
      <w:r w:rsidRPr="00057BD0">
        <w:rPr>
          <w:rFonts w:cs="Arial"/>
          <w:iCs/>
          <w:szCs w:val="24"/>
          <w:lang w:eastAsia="en-AU"/>
        </w:rPr>
        <w:t>transfusional</w:t>
      </w:r>
      <w:proofErr w:type="spellEnd"/>
      <w:r w:rsidRPr="00057BD0">
        <w:rPr>
          <w:rFonts w:cs="Arial"/>
          <w:iCs/>
          <w:szCs w:val="24"/>
          <w:lang w:eastAsia="en-AU"/>
        </w:rPr>
        <w:t xml:space="preserve"> iron overload. Blood </w:t>
      </w:r>
      <w:proofErr w:type="spellStart"/>
      <w:r w:rsidRPr="00057BD0">
        <w:rPr>
          <w:rFonts w:cs="Arial"/>
          <w:iCs/>
          <w:szCs w:val="24"/>
          <w:lang w:eastAsia="en-AU"/>
        </w:rPr>
        <w:t>Transfus</w:t>
      </w:r>
      <w:proofErr w:type="spellEnd"/>
      <w:r w:rsidRPr="00057BD0">
        <w:rPr>
          <w:rFonts w:cs="Arial"/>
          <w:iCs/>
          <w:szCs w:val="24"/>
          <w:lang w:eastAsia="en-AU"/>
        </w:rPr>
        <w:t>. 2013;11(1):128-139. doi:10.2450/2012.0114-11</w:t>
      </w:r>
    </w:p>
    <w:p w14:paraId="6A4670C4" w14:textId="77777777" w:rsidR="00A930A9" w:rsidRPr="00057BD0" w:rsidRDefault="00A930A9" w:rsidP="00E73B9B">
      <w:pPr>
        <w:pStyle w:val="ListParagraph"/>
        <w:numPr>
          <w:ilvl w:val="0"/>
          <w:numId w:val="3"/>
        </w:numPr>
        <w:autoSpaceDE w:val="0"/>
        <w:autoSpaceDN w:val="0"/>
        <w:adjustRightInd w:val="0"/>
        <w:contextualSpacing w:val="0"/>
        <w:rPr>
          <w:rFonts w:cs="Arial"/>
          <w:iCs/>
          <w:szCs w:val="24"/>
          <w:lang w:eastAsia="en-AU"/>
        </w:rPr>
      </w:pPr>
      <w:r w:rsidRPr="00057BD0">
        <w:rPr>
          <w:rFonts w:cs="Arial"/>
          <w:iCs/>
          <w:szCs w:val="24"/>
          <w:lang w:eastAsia="en-AU"/>
        </w:rPr>
        <w:t xml:space="preserve">IV Solution Stability Fact Sheets: Iron (as Polymaltose). Baxter Healthcare Corporation, Toongabbie, 2022. </w:t>
      </w:r>
    </w:p>
    <w:p w14:paraId="2B610824" w14:textId="77777777" w:rsidR="00A930A9" w:rsidRPr="00057BD0" w:rsidRDefault="00A930A9" w:rsidP="00E73B9B">
      <w:pPr>
        <w:pStyle w:val="ListParagraph"/>
        <w:numPr>
          <w:ilvl w:val="0"/>
          <w:numId w:val="3"/>
        </w:numPr>
        <w:autoSpaceDE w:val="0"/>
        <w:autoSpaceDN w:val="0"/>
        <w:adjustRightInd w:val="0"/>
        <w:contextualSpacing w:val="0"/>
        <w:rPr>
          <w:rFonts w:cs="Arial"/>
          <w:iCs/>
          <w:szCs w:val="24"/>
          <w:lang w:eastAsia="en-AU"/>
        </w:rPr>
      </w:pPr>
      <w:r w:rsidRPr="00057BD0">
        <w:rPr>
          <w:rFonts w:cs="Arial"/>
          <w:iCs/>
          <w:szCs w:val="24"/>
          <w:lang w:eastAsia="en-AU"/>
        </w:rPr>
        <w:t xml:space="preserve">The Society of Hospital Pharmacists of Australia. Australian Injectable Drugs Handbook, Eighth edition 2020. </w:t>
      </w:r>
    </w:p>
    <w:p w14:paraId="44821276" w14:textId="77777777" w:rsidR="00A930A9" w:rsidRPr="00057BD0" w:rsidRDefault="00A930A9" w:rsidP="00E73B9B">
      <w:pPr>
        <w:pStyle w:val="ListParagraph"/>
        <w:numPr>
          <w:ilvl w:val="0"/>
          <w:numId w:val="3"/>
        </w:numPr>
        <w:autoSpaceDE w:val="0"/>
        <w:autoSpaceDN w:val="0"/>
        <w:adjustRightInd w:val="0"/>
        <w:contextualSpacing w:val="0"/>
        <w:rPr>
          <w:rFonts w:cs="Arial"/>
          <w:iCs/>
          <w:szCs w:val="24"/>
          <w:lang w:eastAsia="en-AU"/>
        </w:rPr>
      </w:pPr>
      <w:r w:rsidRPr="00057BD0">
        <w:rPr>
          <w:rFonts w:cs="Arial"/>
          <w:iCs/>
          <w:szCs w:val="24"/>
          <w:lang w:eastAsia="en-AU"/>
        </w:rPr>
        <w:lastRenderedPageBreak/>
        <w:t>Garg M, Morrison G, Friedman A, Lau A, Lau D, Gibson PR. A rapid infusion protocol is safe for total dose iron polymaltose: time for a change. Intern Med J 2011; 41: 548-54.</w:t>
      </w:r>
    </w:p>
    <w:p w14:paraId="4D0B1A59" w14:textId="77777777" w:rsidR="00A930A9" w:rsidRPr="00057BD0" w:rsidRDefault="00A930A9" w:rsidP="00E73B9B">
      <w:pPr>
        <w:pStyle w:val="ListParagraph"/>
        <w:numPr>
          <w:ilvl w:val="0"/>
          <w:numId w:val="3"/>
        </w:numPr>
        <w:autoSpaceDE w:val="0"/>
        <w:autoSpaceDN w:val="0"/>
        <w:adjustRightInd w:val="0"/>
        <w:contextualSpacing w:val="0"/>
        <w:rPr>
          <w:rFonts w:cs="Arial"/>
          <w:iCs/>
          <w:szCs w:val="24"/>
          <w:lang w:eastAsia="en-AU"/>
        </w:rPr>
      </w:pPr>
      <w:r w:rsidRPr="00057BD0">
        <w:rPr>
          <w:rFonts w:cs="Arial"/>
          <w:iCs/>
          <w:szCs w:val="24"/>
          <w:lang w:eastAsia="en-AU"/>
        </w:rPr>
        <w:t xml:space="preserve">Chan PTY, </w:t>
      </w:r>
      <w:proofErr w:type="spellStart"/>
      <w:r w:rsidRPr="00057BD0">
        <w:rPr>
          <w:rFonts w:cs="Arial"/>
          <w:iCs/>
          <w:szCs w:val="24"/>
          <w:lang w:eastAsia="en-AU"/>
        </w:rPr>
        <w:t>Corallo</w:t>
      </w:r>
      <w:proofErr w:type="spellEnd"/>
      <w:r w:rsidRPr="00057BD0">
        <w:rPr>
          <w:rFonts w:cs="Arial"/>
          <w:iCs/>
          <w:szCs w:val="24"/>
          <w:lang w:eastAsia="en-AU"/>
        </w:rPr>
        <w:t xml:space="preserve"> CE, Dooley MJ, Poole SG, Gibson PR. Safety of rapid infusion of iron polymaltose. J Pharm </w:t>
      </w:r>
      <w:proofErr w:type="spellStart"/>
      <w:r w:rsidRPr="00057BD0">
        <w:rPr>
          <w:rFonts w:cs="Arial"/>
          <w:iCs/>
          <w:szCs w:val="24"/>
          <w:lang w:eastAsia="en-AU"/>
        </w:rPr>
        <w:t>Prac</w:t>
      </w:r>
      <w:proofErr w:type="spellEnd"/>
      <w:r w:rsidRPr="00057BD0">
        <w:rPr>
          <w:rFonts w:cs="Arial"/>
          <w:iCs/>
          <w:szCs w:val="24"/>
          <w:lang w:eastAsia="en-AU"/>
        </w:rPr>
        <w:t xml:space="preserve"> Res 2016; 46:324-330.</w:t>
      </w:r>
    </w:p>
    <w:p w14:paraId="3DFEAE3C" w14:textId="77777777" w:rsidR="00A930A9" w:rsidRPr="00057BD0" w:rsidRDefault="00A930A9" w:rsidP="00E73B9B">
      <w:pPr>
        <w:pStyle w:val="ListParagraph"/>
        <w:numPr>
          <w:ilvl w:val="0"/>
          <w:numId w:val="3"/>
        </w:numPr>
        <w:autoSpaceDE w:val="0"/>
        <w:autoSpaceDN w:val="0"/>
        <w:adjustRightInd w:val="0"/>
        <w:contextualSpacing w:val="0"/>
        <w:rPr>
          <w:rFonts w:cs="Arial"/>
          <w:iCs/>
          <w:szCs w:val="24"/>
          <w:lang w:eastAsia="en-AU"/>
        </w:rPr>
      </w:pPr>
      <w:proofErr w:type="spellStart"/>
      <w:r w:rsidRPr="00057BD0">
        <w:rPr>
          <w:rFonts w:cs="Arial"/>
          <w:iCs/>
          <w:szCs w:val="24"/>
          <w:lang w:eastAsia="en-AU"/>
        </w:rPr>
        <w:t>Pavord</w:t>
      </w:r>
      <w:proofErr w:type="spellEnd"/>
      <w:r w:rsidRPr="00057BD0">
        <w:rPr>
          <w:rFonts w:cs="Arial"/>
          <w:iCs/>
          <w:szCs w:val="24"/>
          <w:lang w:eastAsia="en-AU"/>
        </w:rPr>
        <w:t xml:space="preserve"> S, Daru J, </w:t>
      </w:r>
      <w:proofErr w:type="spellStart"/>
      <w:r w:rsidRPr="00057BD0">
        <w:rPr>
          <w:rFonts w:cs="Arial"/>
          <w:iCs/>
          <w:szCs w:val="24"/>
          <w:lang w:eastAsia="en-AU"/>
        </w:rPr>
        <w:t>Prasannan</w:t>
      </w:r>
      <w:proofErr w:type="spellEnd"/>
      <w:r w:rsidRPr="00057BD0">
        <w:rPr>
          <w:rFonts w:cs="Arial"/>
          <w:iCs/>
          <w:szCs w:val="24"/>
          <w:lang w:eastAsia="en-AU"/>
        </w:rPr>
        <w:t xml:space="preserve"> N, Robinson S, Stanworth S, Girling J, BSH Committee. UK guidelines on the management of iron deficiency in pregnancy. Br J </w:t>
      </w:r>
      <w:proofErr w:type="spellStart"/>
      <w:r w:rsidRPr="00057BD0">
        <w:rPr>
          <w:rFonts w:cs="Arial"/>
          <w:iCs/>
          <w:szCs w:val="24"/>
          <w:lang w:eastAsia="en-AU"/>
        </w:rPr>
        <w:t>Haematol</w:t>
      </w:r>
      <w:proofErr w:type="spellEnd"/>
      <w:r w:rsidRPr="00057BD0">
        <w:rPr>
          <w:rFonts w:cs="Arial"/>
          <w:iCs/>
          <w:szCs w:val="24"/>
          <w:lang w:eastAsia="en-AU"/>
        </w:rPr>
        <w:t>. 2020 Mar 1;188(6):819-30.</w:t>
      </w:r>
    </w:p>
    <w:p w14:paraId="6E6F0ED5" w14:textId="77777777" w:rsidR="00A930A9" w:rsidRPr="00057BD0" w:rsidRDefault="00A930A9" w:rsidP="00E73B9B">
      <w:pPr>
        <w:pStyle w:val="ListParagraph"/>
        <w:numPr>
          <w:ilvl w:val="0"/>
          <w:numId w:val="3"/>
        </w:numPr>
        <w:autoSpaceDE w:val="0"/>
        <w:autoSpaceDN w:val="0"/>
        <w:adjustRightInd w:val="0"/>
        <w:contextualSpacing w:val="0"/>
        <w:rPr>
          <w:rFonts w:cs="Arial"/>
          <w:iCs/>
          <w:szCs w:val="24"/>
          <w:lang w:eastAsia="en-AU"/>
        </w:rPr>
      </w:pPr>
      <w:r w:rsidRPr="00057BD0">
        <w:rPr>
          <w:rFonts w:cs="Arial"/>
          <w:iCs/>
          <w:szCs w:val="24"/>
          <w:lang w:eastAsia="en-AU"/>
        </w:rPr>
        <w:t>The Royal Women’s Hospital Victoria Australia. Pregnancy and Breastfeeding Medicine Guide; Updated November 2020</w:t>
      </w:r>
    </w:p>
    <w:p w14:paraId="3598F5D2" w14:textId="77777777" w:rsidR="00A930A9" w:rsidRPr="00057BD0" w:rsidRDefault="00A930A9" w:rsidP="00E73B9B">
      <w:pPr>
        <w:pStyle w:val="NormalWeb"/>
        <w:numPr>
          <w:ilvl w:val="0"/>
          <w:numId w:val="3"/>
        </w:numPr>
        <w:rPr>
          <w:rFonts w:ascii="Calibri" w:hAnsi="Calibri" w:cs="Arial"/>
          <w:iCs/>
          <w:lang w:eastAsia="en-AU"/>
        </w:rPr>
      </w:pPr>
      <w:r w:rsidRPr="00057BD0">
        <w:rPr>
          <w:rFonts w:ascii="Calibri" w:hAnsi="Calibri" w:cs="Arial"/>
          <w:iCs/>
          <w:lang w:eastAsia="en-AU"/>
        </w:rPr>
        <w:t xml:space="preserve">King Edward Memorial Hospital Clinical Practice Guideline Iron Therapy: Intravenous. 2019. W.A: King Edward Memorial Hospital. </w:t>
      </w:r>
    </w:p>
    <w:p w14:paraId="481B3741" w14:textId="77777777" w:rsidR="00A930A9" w:rsidRPr="00057BD0" w:rsidRDefault="00A930A9" w:rsidP="00E73B9B">
      <w:pPr>
        <w:pStyle w:val="ListParagraph"/>
        <w:numPr>
          <w:ilvl w:val="0"/>
          <w:numId w:val="3"/>
        </w:numPr>
        <w:autoSpaceDE w:val="0"/>
        <w:autoSpaceDN w:val="0"/>
        <w:adjustRightInd w:val="0"/>
        <w:contextualSpacing w:val="0"/>
        <w:rPr>
          <w:rFonts w:cs="Arial"/>
          <w:iCs/>
          <w:szCs w:val="24"/>
          <w:lang w:eastAsia="en-AU"/>
        </w:rPr>
      </w:pPr>
      <w:r w:rsidRPr="00057BD0">
        <w:rPr>
          <w:rFonts w:cs="Arial"/>
          <w:iCs/>
          <w:szCs w:val="24"/>
          <w:lang w:eastAsia="en-AU"/>
        </w:rPr>
        <w:t xml:space="preserve">Kidney Disease: Improving Global Outcomes (KDIGO) </w:t>
      </w:r>
      <w:proofErr w:type="spellStart"/>
      <w:r w:rsidRPr="00057BD0">
        <w:rPr>
          <w:rFonts w:cs="Arial"/>
          <w:iCs/>
          <w:szCs w:val="24"/>
          <w:lang w:eastAsia="en-AU"/>
        </w:rPr>
        <w:t>Anemia</w:t>
      </w:r>
      <w:proofErr w:type="spellEnd"/>
      <w:r w:rsidRPr="00057BD0">
        <w:rPr>
          <w:rFonts w:cs="Arial"/>
          <w:iCs/>
          <w:szCs w:val="24"/>
          <w:lang w:eastAsia="en-AU"/>
        </w:rPr>
        <w:t xml:space="preserve"> Work Group. KDIGO clinical practice guideline for </w:t>
      </w:r>
      <w:proofErr w:type="spellStart"/>
      <w:r w:rsidRPr="00057BD0">
        <w:rPr>
          <w:rFonts w:cs="Arial"/>
          <w:iCs/>
          <w:szCs w:val="24"/>
          <w:lang w:eastAsia="en-AU"/>
        </w:rPr>
        <w:t>anemia</w:t>
      </w:r>
      <w:proofErr w:type="spellEnd"/>
      <w:r w:rsidRPr="00057BD0">
        <w:rPr>
          <w:rFonts w:cs="Arial"/>
          <w:iCs/>
          <w:szCs w:val="24"/>
          <w:lang w:eastAsia="en-AU"/>
        </w:rPr>
        <w:t xml:space="preserve"> in chronic kidney disease. Kidney Int Suppl 2012; 4: 279-335.</w:t>
      </w:r>
    </w:p>
    <w:p w14:paraId="57239AC5" w14:textId="77777777" w:rsidR="00A930A9" w:rsidRPr="00057BD0" w:rsidRDefault="00A930A9" w:rsidP="00E73B9B">
      <w:pPr>
        <w:pStyle w:val="ListParagraph"/>
        <w:numPr>
          <w:ilvl w:val="0"/>
          <w:numId w:val="3"/>
        </w:numPr>
        <w:autoSpaceDE w:val="0"/>
        <w:autoSpaceDN w:val="0"/>
        <w:adjustRightInd w:val="0"/>
        <w:contextualSpacing w:val="0"/>
        <w:rPr>
          <w:rFonts w:cs="Arial"/>
          <w:iCs/>
          <w:szCs w:val="24"/>
          <w:lang w:eastAsia="en-AU"/>
        </w:rPr>
      </w:pPr>
      <w:r w:rsidRPr="00057BD0">
        <w:rPr>
          <w:rFonts w:cs="Arial"/>
          <w:iCs/>
          <w:szCs w:val="24"/>
          <w:lang w:eastAsia="en-AU"/>
        </w:rPr>
        <w:t xml:space="preserve">Chronic Kidney Disease (CKD) Management in Primary Care (4th Edition). Kidney Health Australia, Melbourne, 2020. </w:t>
      </w:r>
    </w:p>
    <w:p w14:paraId="0BF54F76" w14:textId="77777777" w:rsidR="00A930A9" w:rsidRPr="00057BD0" w:rsidRDefault="00A930A9" w:rsidP="00E73B9B">
      <w:pPr>
        <w:pStyle w:val="ListParagraph"/>
        <w:numPr>
          <w:ilvl w:val="0"/>
          <w:numId w:val="3"/>
        </w:numPr>
        <w:autoSpaceDE w:val="0"/>
        <w:autoSpaceDN w:val="0"/>
        <w:adjustRightInd w:val="0"/>
        <w:contextualSpacing w:val="0"/>
        <w:rPr>
          <w:rFonts w:cs="Arial"/>
          <w:iCs/>
          <w:szCs w:val="24"/>
          <w:lang w:eastAsia="en-AU"/>
        </w:rPr>
      </w:pPr>
      <w:r w:rsidRPr="00057BD0">
        <w:rPr>
          <w:rFonts w:cs="Arial"/>
          <w:iCs/>
          <w:szCs w:val="24"/>
          <w:lang w:eastAsia="en-AU"/>
        </w:rPr>
        <w:t xml:space="preserve">Atherton JJ, </w:t>
      </w:r>
      <w:proofErr w:type="spellStart"/>
      <w:r w:rsidRPr="00057BD0">
        <w:rPr>
          <w:rFonts w:cs="Arial"/>
          <w:iCs/>
          <w:szCs w:val="24"/>
          <w:lang w:eastAsia="en-AU"/>
        </w:rPr>
        <w:t>Sindone</w:t>
      </w:r>
      <w:proofErr w:type="spellEnd"/>
      <w:r w:rsidRPr="00057BD0">
        <w:rPr>
          <w:rFonts w:cs="Arial"/>
          <w:iCs/>
          <w:szCs w:val="24"/>
          <w:lang w:eastAsia="en-AU"/>
        </w:rPr>
        <w:t xml:space="preserve"> A, De Pasquale CG, Driscoll A, MacDonald PS, Hopper I, Kistler PM, Briffa T, Wong J, Abhayaratna W, Thomas L. National Heart Foundation of Australia and Cardiac Society of Australia and New Zealand: guidelines for the prevention, detection, and management of heart failure in Australia 2018. Heart, Lung and Circulation. 2018 Oct 1;27(10):1123-208.</w:t>
      </w:r>
    </w:p>
    <w:p w14:paraId="5CF617D0" w14:textId="77777777" w:rsidR="00A930A9" w:rsidRPr="00057BD0" w:rsidRDefault="00A930A9" w:rsidP="00E73B9B">
      <w:pPr>
        <w:pStyle w:val="ListParagraph"/>
        <w:numPr>
          <w:ilvl w:val="0"/>
          <w:numId w:val="3"/>
        </w:numPr>
        <w:autoSpaceDE w:val="0"/>
        <w:autoSpaceDN w:val="0"/>
        <w:adjustRightInd w:val="0"/>
        <w:contextualSpacing w:val="0"/>
        <w:rPr>
          <w:rFonts w:cs="Arial"/>
          <w:iCs/>
          <w:szCs w:val="24"/>
          <w:lang w:eastAsia="en-AU"/>
        </w:rPr>
      </w:pPr>
      <w:r w:rsidRPr="00057BD0">
        <w:rPr>
          <w:rFonts w:cs="Arial"/>
          <w:iCs/>
          <w:szCs w:val="24"/>
          <w:lang w:eastAsia="en-AU"/>
        </w:rPr>
        <w:t xml:space="preserve">Muñoz M, Acheson AG, </w:t>
      </w:r>
      <w:proofErr w:type="spellStart"/>
      <w:r w:rsidRPr="00057BD0">
        <w:rPr>
          <w:rFonts w:cs="Arial"/>
          <w:iCs/>
          <w:szCs w:val="24"/>
          <w:lang w:eastAsia="en-AU"/>
        </w:rPr>
        <w:t>Bisbe</w:t>
      </w:r>
      <w:proofErr w:type="spellEnd"/>
      <w:r w:rsidRPr="00057BD0">
        <w:rPr>
          <w:rFonts w:cs="Arial"/>
          <w:iCs/>
          <w:szCs w:val="24"/>
          <w:lang w:eastAsia="en-AU"/>
        </w:rPr>
        <w:t xml:space="preserve"> E, Butcher A, Gómez‐Ramírez S, Khalafallah AA, </w:t>
      </w:r>
      <w:proofErr w:type="spellStart"/>
      <w:r w:rsidRPr="00057BD0">
        <w:rPr>
          <w:rFonts w:cs="Arial"/>
          <w:iCs/>
          <w:szCs w:val="24"/>
          <w:lang w:eastAsia="en-AU"/>
        </w:rPr>
        <w:t>Kehlet</w:t>
      </w:r>
      <w:proofErr w:type="spellEnd"/>
      <w:r w:rsidRPr="00057BD0">
        <w:rPr>
          <w:rFonts w:cs="Arial"/>
          <w:iCs/>
          <w:szCs w:val="24"/>
          <w:lang w:eastAsia="en-AU"/>
        </w:rPr>
        <w:t xml:space="preserve"> H, </w:t>
      </w:r>
      <w:proofErr w:type="spellStart"/>
      <w:r w:rsidRPr="00057BD0">
        <w:rPr>
          <w:rFonts w:cs="Arial"/>
          <w:iCs/>
          <w:szCs w:val="24"/>
          <w:lang w:eastAsia="en-AU"/>
        </w:rPr>
        <w:t>Kietaibl</w:t>
      </w:r>
      <w:proofErr w:type="spellEnd"/>
      <w:r w:rsidRPr="00057BD0">
        <w:rPr>
          <w:rFonts w:cs="Arial"/>
          <w:iCs/>
          <w:szCs w:val="24"/>
          <w:lang w:eastAsia="en-AU"/>
        </w:rPr>
        <w:t xml:space="preserve"> S, </w:t>
      </w:r>
      <w:proofErr w:type="spellStart"/>
      <w:r w:rsidRPr="00057BD0">
        <w:rPr>
          <w:rFonts w:cs="Arial"/>
          <w:iCs/>
          <w:szCs w:val="24"/>
          <w:lang w:eastAsia="en-AU"/>
        </w:rPr>
        <w:t>Liumbruno</w:t>
      </w:r>
      <w:proofErr w:type="spellEnd"/>
      <w:r w:rsidRPr="00057BD0">
        <w:rPr>
          <w:rFonts w:cs="Arial"/>
          <w:iCs/>
          <w:szCs w:val="24"/>
          <w:lang w:eastAsia="en-AU"/>
        </w:rPr>
        <w:t xml:space="preserve"> GM, </w:t>
      </w:r>
      <w:proofErr w:type="spellStart"/>
      <w:r w:rsidRPr="00057BD0">
        <w:rPr>
          <w:rFonts w:cs="Arial"/>
          <w:iCs/>
          <w:szCs w:val="24"/>
          <w:lang w:eastAsia="en-AU"/>
        </w:rPr>
        <w:t>Meybohm</w:t>
      </w:r>
      <w:proofErr w:type="spellEnd"/>
      <w:r w:rsidRPr="00057BD0">
        <w:rPr>
          <w:rFonts w:cs="Arial"/>
          <w:iCs/>
          <w:szCs w:val="24"/>
          <w:lang w:eastAsia="en-AU"/>
        </w:rPr>
        <w:t xml:space="preserve"> P, Rao </w:t>
      </w:r>
      <w:proofErr w:type="spellStart"/>
      <w:r w:rsidRPr="00057BD0">
        <w:rPr>
          <w:rFonts w:cs="Arial"/>
          <w:iCs/>
          <w:szCs w:val="24"/>
          <w:lang w:eastAsia="en-AU"/>
        </w:rPr>
        <w:t>Baikady</w:t>
      </w:r>
      <w:proofErr w:type="spellEnd"/>
      <w:r w:rsidRPr="00057BD0">
        <w:rPr>
          <w:rFonts w:cs="Arial"/>
          <w:iCs/>
          <w:szCs w:val="24"/>
          <w:lang w:eastAsia="en-AU"/>
        </w:rPr>
        <w:t xml:space="preserve"> R. An international consensus statement on the management of postoperative anaemia after major surgical procedures. Anaesthesia. 2019 Nov; 73(11):1418-31.</w:t>
      </w:r>
    </w:p>
    <w:p w14:paraId="67FC7E5F" w14:textId="77777777" w:rsidR="00A930A9" w:rsidRPr="00057BD0" w:rsidRDefault="00A930A9" w:rsidP="00E73B9B">
      <w:pPr>
        <w:pStyle w:val="ListParagraph"/>
        <w:numPr>
          <w:ilvl w:val="0"/>
          <w:numId w:val="3"/>
        </w:numPr>
        <w:autoSpaceDE w:val="0"/>
        <w:autoSpaceDN w:val="0"/>
        <w:adjustRightInd w:val="0"/>
        <w:contextualSpacing w:val="0"/>
        <w:rPr>
          <w:rFonts w:cs="Arial"/>
          <w:iCs/>
          <w:szCs w:val="24"/>
          <w:lang w:eastAsia="en-AU"/>
        </w:rPr>
      </w:pPr>
      <w:r w:rsidRPr="00057BD0">
        <w:rPr>
          <w:rFonts w:cs="Arial"/>
          <w:iCs/>
          <w:szCs w:val="24"/>
          <w:lang w:eastAsia="en-AU"/>
        </w:rPr>
        <w:t>Miles LF. The end of the beginning: pre-operative intravenous iron and the PREVENTT trial. Anaesthesia 2021, 76, 6-10.</w:t>
      </w:r>
    </w:p>
    <w:p w14:paraId="5C88ED5C" w14:textId="77777777" w:rsidR="00A930A9" w:rsidRPr="00057BD0" w:rsidRDefault="00A930A9" w:rsidP="00E73B9B">
      <w:pPr>
        <w:pStyle w:val="ListParagraph"/>
        <w:numPr>
          <w:ilvl w:val="0"/>
          <w:numId w:val="3"/>
        </w:numPr>
        <w:autoSpaceDE w:val="0"/>
        <w:autoSpaceDN w:val="0"/>
        <w:adjustRightInd w:val="0"/>
        <w:contextualSpacing w:val="0"/>
        <w:rPr>
          <w:rFonts w:cs="Arial"/>
          <w:iCs/>
          <w:szCs w:val="24"/>
          <w:lang w:eastAsia="en-AU"/>
        </w:rPr>
      </w:pPr>
      <w:r w:rsidRPr="00057BD0">
        <w:rPr>
          <w:rFonts w:cs="Arial"/>
          <w:iCs/>
          <w:szCs w:val="24"/>
          <w:lang w:eastAsia="en-AU"/>
        </w:rPr>
        <w:t>Abbott, TEF and Gillies, M. The PREVENNT randomised, double-blind, controlled trial of preoperative intravenous iron to treat anaemia before major abdominal surgery: an independent discussion. British Journal of Anaesthesia 2021, 126 (1): 157e162</w:t>
      </w:r>
    </w:p>
    <w:p w14:paraId="0C06BD04" w14:textId="77777777" w:rsidR="00A930A9" w:rsidRPr="00057BD0" w:rsidRDefault="00A930A9" w:rsidP="00E73B9B">
      <w:pPr>
        <w:pStyle w:val="ListParagraph"/>
        <w:numPr>
          <w:ilvl w:val="0"/>
          <w:numId w:val="3"/>
        </w:numPr>
        <w:autoSpaceDE w:val="0"/>
        <w:autoSpaceDN w:val="0"/>
        <w:adjustRightInd w:val="0"/>
        <w:contextualSpacing w:val="0"/>
        <w:rPr>
          <w:rFonts w:cs="Arial"/>
          <w:iCs/>
          <w:szCs w:val="24"/>
          <w:lang w:eastAsia="en-AU"/>
        </w:rPr>
      </w:pPr>
      <w:r w:rsidRPr="00057BD0">
        <w:rPr>
          <w:rFonts w:cs="Arial"/>
          <w:iCs/>
          <w:szCs w:val="24"/>
          <w:lang w:eastAsia="en-AU"/>
        </w:rPr>
        <w:t>Miles, LF and Richards T. Hematinic and Iron Optimization in Peri</w:t>
      </w:r>
      <w:r w:rsidRPr="00057BD0">
        <w:rPr>
          <w:rFonts w:ascii="Cambria Math" w:hAnsi="Cambria Math" w:cs="Cambria Math"/>
          <w:iCs/>
          <w:szCs w:val="24"/>
          <w:lang w:eastAsia="en-AU"/>
        </w:rPr>
        <w:t>‑</w:t>
      </w:r>
      <w:r w:rsidRPr="00057BD0">
        <w:rPr>
          <w:rFonts w:cs="Arial"/>
          <w:iCs/>
          <w:szCs w:val="24"/>
          <w:lang w:eastAsia="en-AU"/>
        </w:rPr>
        <w:t xml:space="preserve">operative </w:t>
      </w:r>
      <w:proofErr w:type="spellStart"/>
      <w:r w:rsidRPr="00057BD0">
        <w:rPr>
          <w:rFonts w:cs="Arial"/>
          <w:iCs/>
          <w:szCs w:val="24"/>
          <w:lang w:eastAsia="en-AU"/>
        </w:rPr>
        <w:t>Anemia</w:t>
      </w:r>
      <w:proofErr w:type="spellEnd"/>
      <w:r w:rsidRPr="00057BD0">
        <w:rPr>
          <w:rFonts w:cs="Arial"/>
          <w:iCs/>
          <w:szCs w:val="24"/>
          <w:lang w:eastAsia="en-AU"/>
        </w:rPr>
        <w:t xml:space="preserve"> and Iron Deficiency. Current </w:t>
      </w:r>
      <w:proofErr w:type="spellStart"/>
      <w:r w:rsidRPr="00057BD0">
        <w:rPr>
          <w:rFonts w:cs="Arial"/>
          <w:iCs/>
          <w:szCs w:val="24"/>
          <w:lang w:eastAsia="en-AU"/>
        </w:rPr>
        <w:t>Anesthesiology</w:t>
      </w:r>
      <w:proofErr w:type="spellEnd"/>
      <w:r w:rsidRPr="00057BD0">
        <w:rPr>
          <w:rFonts w:cs="Arial"/>
          <w:iCs/>
          <w:szCs w:val="24"/>
          <w:lang w:eastAsia="en-AU"/>
        </w:rPr>
        <w:t xml:space="preserve"> Reports 2022, 12:65–77</w:t>
      </w:r>
    </w:p>
    <w:p w14:paraId="798DE6B7" w14:textId="2BE09B22" w:rsidR="00A930A9" w:rsidRPr="00057BD0" w:rsidRDefault="00A930A9" w:rsidP="00E73B9B">
      <w:pPr>
        <w:pStyle w:val="ListParagraph"/>
        <w:numPr>
          <w:ilvl w:val="0"/>
          <w:numId w:val="3"/>
        </w:numPr>
        <w:autoSpaceDE w:val="0"/>
        <w:autoSpaceDN w:val="0"/>
        <w:adjustRightInd w:val="0"/>
        <w:contextualSpacing w:val="0"/>
        <w:rPr>
          <w:rFonts w:cs="Arial"/>
          <w:iCs/>
          <w:szCs w:val="24"/>
          <w:lang w:eastAsia="en-AU"/>
        </w:rPr>
      </w:pPr>
      <w:r w:rsidRPr="00057BD0">
        <w:rPr>
          <w:rFonts w:cs="Arial"/>
          <w:iCs/>
          <w:szCs w:val="24"/>
          <w:lang w:eastAsia="en-AU"/>
        </w:rPr>
        <w:t xml:space="preserve">Richards, T, Miles LF, Clevenger B et al. Intravenous iron therapy to treat iron deficiency anaemia in patients undergoing major abdominal surgery: a secondary analysis of the PREVENTT randomised controlled trial. Lancet July 2022. Available at SSRN: </w:t>
      </w:r>
      <w:hyperlink r:id="rId16" w:history="1">
        <w:r w:rsidR="00057BD0" w:rsidRPr="00952497">
          <w:rPr>
            <w:rStyle w:val="Hyperlink"/>
            <w:rFonts w:cs="Arial"/>
            <w:iCs/>
            <w:szCs w:val="24"/>
            <w:lang w:eastAsia="en-AU"/>
          </w:rPr>
          <w:t>https://ssrn.com/abstract=4166777</w:t>
        </w:r>
      </w:hyperlink>
      <w:r w:rsidR="00057BD0">
        <w:rPr>
          <w:rFonts w:cs="Arial"/>
          <w:iCs/>
          <w:szCs w:val="24"/>
          <w:lang w:eastAsia="en-AU"/>
        </w:rPr>
        <w:t xml:space="preserve"> </w:t>
      </w:r>
      <w:r w:rsidRPr="00057BD0">
        <w:rPr>
          <w:rFonts w:cs="Arial"/>
          <w:iCs/>
          <w:szCs w:val="24"/>
          <w:lang w:eastAsia="en-AU"/>
        </w:rPr>
        <w:t xml:space="preserve">or </w:t>
      </w:r>
      <w:hyperlink r:id="rId17" w:history="1">
        <w:r w:rsidR="00057BD0" w:rsidRPr="00952497">
          <w:rPr>
            <w:rStyle w:val="Hyperlink"/>
            <w:rFonts w:cs="Arial"/>
            <w:iCs/>
            <w:szCs w:val="24"/>
            <w:lang w:eastAsia="en-AU"/>
          </w:rPr>
          <w:t>http://dx.doi.org/10.2139/ssrn.4166777</w:t>
        </w:r>
      </w:hyperlink>
      <w:r w:rsidR="00057BD0">
        <w:rPr>
          <w:rFonts w:cs="Arial"/>
          <w:iCs/>
          <w:szCs w:val="24"/>
          <w:lang w:eastAsia="en-AU"/>
        </w:rPr>
        <w:t xml:space="preserve"> </w:t>
      </w:r>
      <w:r w:rsidRPr="00057BD0">
        <w:rPr>
          <w:rFonts w:cs="Arial"/>
          <w:iCs/>
          <w:szCs w:val="24"/>
          <w:lang w:eastAsia="en-AU"/>
        </w:rPr>
        <w:t xml:space="preserve"> </w:t>
      </w:r>
    </w:p>
    <w:p w14:paraId="53D8F763" w14:textId="77777777" w:rsidR="00A930A9" w:rsidRPr="00057BD0" w:rsidRDefault="00A930A9" w:rsidP="00E73B9B">
      <w:pPr>
        <w:pStyle w:val="ListParagraph"/>
        <w:numPr>
          <w:ilvl w:val="0"/>
          <w:numId w:val="3"/>
        </w:numPr>
        <w:autoSpaceDE w:val="0"/>
        <w:autoSpaceDN w:val="0"/>
        <w:adjustRightInd w:val="0"/>
        <w:contextualSpacing w:val="0"/>
        <w:rPr>
          <w:rFonts w:cs="Arial"/>
          <w:iCs/>
          <w:szCs w:val="24"/>
          <w:lang w:eastAsia="en-AU"/>
        </w:rPr>
      </w:pPr>
      <w:r w:rsidRPr="00057BD0">
        <w:rPr>
          <w:rFonts w:cs="Arial"/>
          <w:iCs/>
          <w:szCs w:val="24"/>
          <w:lang w:eastAsia="en-AU"/>
        </w:rPr>
        <w:t xml:space="preserve">Canning M, </w:t>
      </w:r>
      <w:proofErr w:type="spellStart"/>
      <w:r w:rsidRPr="00057BD0">
        <w:rPr>
          <w:rFonts w:cs="Arial"/>
          <w:iCs/>
          <w:szCs w:val="24"/>
          <w:lang w:eastAsia="en-AU"/>
        </w:rPr>
        <w:t>Grannell</w:t>
      </w:r>
      <w:proofErr w:type="spellEnd"/>
      <w:r w:rsidRPr="00057BD0">
        <w:rPr>
          <w:rFonts w:cs="Arial"/>
          <w:iCs/>
          <w:szCs w:val="24"/>
          <w:lang w:eastAsia="en-AU"/>
        </w:rPr>
        <w:t xml:space="preserve"> L. A stain on iron therapy. Australian Prescriber. 2020 Oct;43(5):160.</w:t>
      </w:r>
    </w:p>
    <w:p w14:paraId="45976303" w14:textId="77777777" w:rsidR="00A930A9" w:rsidRPr="00057BD0" w:rsidRDefault="00A930A9" w:rsidP="00E73B9B">
      <w:pPr>
        <w:pStyle w:val="ListParagraph"/>
        <w:numPr>
          <w:ilvl w:val="0"/>
          <w:numId w:val="3"/>
        </w:numPr>
        <w:autoSpaceDE w:val="0"/>
        <w:autoSpaceDN w:val="0"/>
        <w:adjustRightInd w:val="0"/>
        <w:contextualSpacing w:val="0"/>
        <w:rPr>
          <w:rFonts w:cs="Arial"/>
          <w:iCs/>
          <w:szCs w:val="24"/>
          <w:lang w:eastAsia="en-AU"/>
        </w:rPr>
      </w:pPr>
      <w:r w:rsidRPr="00057BD0">
        <w:rPr>
          <w:rFonts w:cs="Arial"/>
          <w:iCs/>
          <w:szCs w:val="24"/>
          <w:lang w:eastAsia="en-AU"/>
        </w:rPr>
        <w:t>Lim R, Irvine T et al. A permanent tan from iron. Kidney International 2008; 898</w:t>
      </w:r>
    </w:p>
    <w:p w14:paraId="46209D96" w14:textId="77777777" w:rsidR="00A930A9" w:rsidRPr="00057BD0" w:rsidRDefault="00A930A9" w:rsidP="00E73B9B">
      <w:pPr>
        <w:jc w:val="both"/>
        <w:rPr>
          <w:iCs/>
          <w:szCs w:val="24"/>
        </w:rPr>
      </w:pPr>
    </w:p>
    <w:p w14:paraId="2F51A8D4" w14:textId="77777777" w:rsidR="007B6904" w:rsidRPr="00DE4E25" w:rsidRDefault="007B6904" w:rsidP="00E73B9B">
      <w:pPr>
        <w:jc w:val="right"/>
        <w:rPr>
          <w:szCs w:val="24"/>
        </w:rPr>
      </w:pPr>
    </w:p>
    <w:p w14:paraId="2F51A8D5" w14:textId="77777777" w:rsidR="00FF56DD" w:rsidRDefault="00545420" w:rsidP="00E73B9B">
      <w:pPr>
        <w:jc w:val="right"/>
      </w:pPr>
      <w:hyperlink w:anchor="Contents" w:history="1">
        <w:r w:rsidR="007B6904" w:rsidRPr="00590902">
          <w:rPr>
            <w:rStyle w:val="Hyperlink"/>
            <w:rFonts w:cs="Arial"/>
            <w:i/>
            <w:szCs w:val="24"/>
          </w:rPr>
          <w:t>Back to Table of Contents</w:t>
        </w:r>
      </w:hyperlink>
    </w:p>
    <w:p w14:paraId="3049B0B8" w14:textId="77777777" w:rsidR="00811631" w:rsidRDefault="00811631" w:rsidP="00E73B9B">
      <w:pPr>
        <w:jc w:val="right"/>
        <w:rPr>
          <w:rFonts w:cs="Calibri,Bold"/>
          <w:bCs/>
          <w:i/>
          <w:szCs w:val="24"/>
          <w:lang w:eastAsia="en-AU"/>
        </w:rPr>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DD" w14:textId="77777777" w:rsidTr="0074223E">
        <w:trPr>
          <w:cantSplit/>
          <w:trHeight w:val="285"/>
        </w:trPr>
        <w:tc>
          <w:tcPr>
            <w:tcW w:w="9158" w:type="dxa"/>
            <w:shd w:val="clear" w:color="auto" w:fill="A6A6A6" w:themeFill="background1" w:themeFillShade="A6"/>
          </w:tcPr>
          <w:p w14:paraId="2F51A8DC" w14:textId="77777777" w:rsidR="007B6904" w:rsidRPr="00CD1C0E" w:rsidRDefault="007B6904" w:rsidP="00E73B9B">
            <w:pPr>
              <w:pStyle w:val="Heading1"/>
            </w:pPr>
            <w:bookmarkStart w:id="66" w:name="_Toc389473290"/>
            <w:bookmarkStart w:id="67" w:name="_Toc158726147"/>
            <w:r>
              <w:lastRenderedPageBreak/>
              <w:t>Search Terms</w:t>
            </w:r>
            <w:bookmarkEnd w:id="66"/>
            <w:bookmarkEnd w:id="67"/>
            <w:r>
              <w:t xml:space="preserve"> </w:t>
            </w:r>
          </w:p>
        </w:tc>
      </w:tr>
    </w:tbl>
    <w:p w14:paraId="2F51A8DE" w14:textId="77777777" w:rsidR="007B6904" w:rsidRDefault="007B6904" w:rsidP="00E73B9B">
      <w:pPr>
        <w:rPr>
          <w:rFonts w:cs="Calibri,Bold"/>
          <w:bCs/>
          <w:i/>
          <w:szCs w:val="24"/>
          <w:lang w:eastAsia="en-AU"/>
        </w:rPr>
      </w:pPr>
    </w:p>
    <w:p w14:paraId="2F51A8DF" w14:textId="3B0B3DCC" w:rsidR="005067CA" w:rsidRPr="004A6E5A" w:rsidRDefault="00B0238B" w:rsidP="00E73B9B">
      <w:pPr>
        <w:rPr>
          <w:rFonts w:cs="Calibri,Bold"/>
          <w:lang w:eastAsia="en-AU"/>
        </w:rPr>
      </w:pPr>
      <w:r w:rsidRPr="6410ECE0">
        <w:rPr>
          <w:rFonts w:cs="Calibri,Bold"/>
          <w:lang w:eastAsia="en-AU"/>
        </w:rPr>
        <w:t xml:space="preserve">Iron Infusion, Ferric </w:t>
      </w:r>
      <w:proofErr w:type="spellStart"/>
      <w:r w:rsidRPr="6410ECE0">
        <w:rPr>
          <w:rFonts w:cs="Calibri,Bold"/>
          <w:lang w:eastAsia="en-AU"/>
        </w:rPr>
        <w:t>Carboxymaltose</w:t>
      </w:r>
      <w:proofErr w:type="spellEnd"/>
      <w:r w:rsidRPr="6410ECE0">
        <w:rPr>
          <w:rFonts w:cs="Calibri,Bold"/>
          <w:lang w:eastAsia="en-AU"/>
        </w:rPr>
        <w:t>, Polymaltose, Intravenous Iron</w:t>
      </w:r>
      <w:r w:rsidR="00BF603E" w:rsidRPr="6410ECE0">
        <w:rPr>
          <w:rFonts w:cs="Calibri,Bold"/>
          <w:lang w:eastAsia="en-AU"/>
        </w:rPr>
        <w:t xml:space="preserve">, iv iron, iron sucrose, iron polymaltose, ferric </w:t>
      </w:r>
      <w:proofErr w:type="spellStart"/>
      <w:r w:rsidR="00BF603E" w:rsidRPr="6410ECE0">
        <w:rPr>
          <w:rFonts w:cs="Calibri,Bold"/>
          <w:lang w:eastAsia="en-AU"/>
        </w:rPr>
        <w:t>carboxymaltose</w:t>
      </w:r>
      <w:proofErr w:type="spellEnd"/>
      <w:r w:rsidR="00BF603E" w:rsidRPr="6410ECE0">
        <w:rPr>
          <w:rFonts w:cs="Calibri,Bold"/>
          <w:lang w:eastAsia="en-AU"/>
        </w:rPr>
        <w:t xml:space="preserve">, iron (Fe), anaemia, ferritin, intravenous, </w:t>
      </w:r>
      <w:proofErr w:type="spellStart"/>
      <w:r w:rsidR="00BF603E" w:rsidRPr="6410ECE0">
        <w:rPr>
          <w:rFonts w:cs="Calibri,Bold"/>
          <w:lang w:eastAsia="en-AU"/>
        </w:rPr>
        <w:t>ferrinject</w:t>
      </w:r>
      <w:proofErr w:type="spellEnd"/>
      <w:r w:rsidR="00BF603E" w:rsidRPr="6410ECE0">
        <w:rPr>
          <w:rFonts w:cs="Calibri,Bold"/>
          <w:lang w:eastAsia="en-AU"/>
        </w:rPr>
        <w:t>, iron deficiency</w:t>
      </w:r>
    </w:p>
    <w:p w14:paraId="2F51A8E0" w14:textId="77777777" w:rsidR="007B6904" w:rsidRPr="00901883" w:rsidRDefault="007B6904" w:rsidP="00E73B9B">
      <w:pPr>
        <w:jc w:val="both"/>
        <w:rPr>
          <w:rFonts w:asciiTheme="minorHAnsi" w:hAnsiTheme="minorHAnsi" w:cs="Arial"/>
          <w:b/>
          <w:i/>
          <w:sz w:val="22"/>
          <w:szCs w:val="22"/>
        </w:rPr>
      </w:pPr>
    </w:p>
    <w:p w14:paraId="2F51A8E1" w14:textId="77777777" w:rsidR="005F3214" w:rsidRPr="00AC7025" w:rsidRDefault="00545420" w:rsidP="00E73B9B">
      <w:pPr>
        <w:jc w:val="right"/>
        <w:rPr>
          <w:rFonts w:cs="Calibri,Bold"/>
          <w:bCs/>
          <w:i/>
          <w:szCs w:val="24"/>
          <w:lang w:eastAsia="en-AU"/>
        </w:rPr>
      </w:pPr>
      <w:hyperlink w:anchor="Contents" w:history="1">
        <w:r w:rsidR="007B6904" w:rsidRPr="00590902">
          <w:rPr>
            <w:rStyle w:val="Hyperlink"/>
            <w:rFonts w:cs="Arial"/>
            <w:i/>
            <w:szCs w:val="24"/>
          </w:rPr>
          <w:t>Back to Table of Contents</w:t>
        </w:r>
      </w:hyperlink>
      <w:bookmarkStart w:id="68" w:name="_Toc396995664"/>
    </w:p>
    <w:bookmarkEnd w:id="68"/>
    <w:p w14:paraId="2F51A8E6" w14:textId="77777777" w:rsidR="00FF56DD" w:rsidRDefault="00FF56DD" w:rsidP="00E73B9B">
      <w:pPr>
        <w:rPr>
          <w:rFonts w:cs="Arial"/>
          <w:szCs w:val="24"/>
        </w:rPr>
      </w:pPr>
    </w:p>
    <w:p w14:paraId="741BB234" w14:textId="77777777" w:rsidR="00ED46C3" w:rsidRPr="008202D3" w:rsidRDefault="00ED46C3" w:rsidP="00E73B9B">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6590710B" w14:textId="77777777" w:rsidR="00ED46C3" w:rsidRPr="008202D3" w:rsidRDefault="00ED46C3" w:rsidP="00E73B9B">
      <w:pPr>
        <w:rPr>
          <w:rFonts w:cs="Arial"/>
          <w:i/>
          <w:iCs/>
          <w:sz w:val="20"/>
        </w:rPr>
      </w:pPr>
    </w:p>
    <w:p w14:paraId="714DB272" w14:textId="77777777" w:rsidR="00ED46C3" w:rsidRPr="008202D3" w:rsidRDefault="00ED46C3" w:rsidP="00E73B9B">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ED46C3" w:rsidRPr="008202D3" w14:paraId="3D8FB228" w14:textId="77777777" w:rsidTr="004A1316">
        <w:tc>
          <w:tcPr>
            <w:tcW w:w="2265" w:type="dxa"/>
          </w:tcPr>
          <w:p w14:paraId="4CC3BE7E" w14:textId="77777777" w:rsidR="00ED46C3" w:rsidRPr="008202D3" w:rsidRDefault="00ED46C3" w:rsidP="00E73B9B">
            <w:pPr>
              <w:rPr>
                <w:i/>
                <w:sz w:val="20"/>
              </w:rPr>
            </w:pPr>
            <w:r w:rsidRPr="008202D3">
              <w:rPr>
                <w:i/>
                <w:sz w:val="20"/>
              </w:rPr>
              <w:t>Date Amended</w:t>
            </w:r>
          </w:p>
        </w:tc>
        <w:tc>
          <w:tcPr>
            <w:tcW w:w="2265" w:type="dxa"/>
          </w:tcPr>
          <w:p w14:paraId="0C6FC403" w14:textId="77777777" w:rsidR="00ED46C3" w:rsidRPr="008202D3" w:rsidRDefault="00ED46C3" w:rsidP="00E73B9B">
            <w:pPr>
              <w:rPr>
                <w:i/>
                <w:sz w:val="20"/>
              </w:rPr>
            </w:pPr>
            <w:r w:rsidRPr="008202D3">
              <w:rPr>
                <w:i/>
                <w:sz w:val="20"/>
              </w:rPr>
              <w:t>Section Amended</w:t>
            </w:r>
          </w:p>
        </w:tc>
        <w:tc>
          <w:tcPr>
            <w:tcW w:w="2265" w:type="dxa"/>
          </w:tcPr>
          <w:p w14:paraId="36BF7192" w14:textId="77777777" w:rsidR="00ED46C3" w:rsidRPr="008202D3" w:rsidRDefault="00ED46C3" w:rsidP="00E73B9B">
            <w:pPr>
              <w:rPr>
                <w:i/>
                <w:sz w:val="20"/>
              </w:rPr>
            </w:pPr>
            <w:r w:rsidRPr="008202D3">
              <w:rPr>
                <w:i/>
                <w:sz w:val="20"/>
              </w:rPr>
              <w:t>Divisional Approval</w:t>
            </w:r>
          </w:p>
        </w:tc>
        <w:tc>
          <w:tcPr>
            <w:tcW w:w="2265" w:type="dxa"/>
          </w:tcPr>
          <w:p w14:paraId="6974B6A4" w14:textId="77777777" w:rsidR="00ED46C3" w:rsidRPr="008202D3" w:rsidRDefault="00ED46C3" w:rsidP="00E73B9B">
            <w:pPr>
              <w:rPr>
                <w:i/>
                <w:sz w:val="20"/>
              </w:rPr>
            </w:pPr>
            <w:r w:rsidRPr="008202D3">
              <w:rPr>
                <w:i/>
                <w:sz w:val="20"/>
              </w:rPr>
              <w:t xml:space="preserve">Final Approval </w:t>
            </w:r>
          </w:p>
        </w:tc>
      </w:tr>
      <w:tr w:rsidR="00ED46C3" w:rsidRPr="008202D3" w14:paraId="69E49990" w14:textId="77777777" w:rsidTr="004A1316">
        <w:tc>
          <w:tcPr>
            <w:tcW w:w="2265" w:type="dxa"/>
          </w:tcPr>
          <w:p w14:paraId="4CB276AE" w14:textId="1EFD0E02" w:rsidR="00ED46C3" w:rsidRPr="008202D3" w:rsidRDefault="00F626D2" w:rsidP="00E73B9B">
            <w:pPr>
              <w:rPr>
                <w:i/>
                <w:sz w:val="20"/>
              </w:rPr>
            </w:pPr>
            <w:r>
              <w:rPr>
                <w:i/>
                <w:sz w:val="20"/>
              </w:rPr>
              <w:t>16/02</w:t>
            </w:r>
            <w:r w:rsidR="004A6E5A">
              <w:rPr>
                <w:i/>
                <w:sz w:val="20"/>
              </w:rPr>
              <w:t>/2024</w:t>
            </w:r>
          </w:p>
        </w:tc>
        <w:tc>
          <w:tcPr>
            <w:tcW w:w="2265" w:type="dxa"/>
          </w:tcPr>
          <w:p w14:paraId="757FDC5B" w14:textId="23D4D542" w:rsidR="00ED46C3" w:rsidRPr="008202D3" w:rsidRDefault="004A6E5A" w:rsidP="00E73B9B">
            <w:pPr>
              <w:rPr>
                <w:i/>
                <w:sz w:val="20"/>
              </w:rPr>
            </w:pPr>
            <w:r>
              <w:rPr>
                <w:i/>
                <w:sz w:val="20"/>
              </w:rPr>
              <w:t>NCH Transition</w:t>
            </w:r>
          </w:p>
        </w:tc>
        <w:tc>
          <w:tcPr>
            <w:tcW w:w="2265" w:type="dxa"/>
          </w:tcPr>
          <w:p w14:paraId="45358585" w14:textId="18A88AE5" w:rsidR="00ED46C3" w:rsidRPr="008202D3" w:rsidRDefault="004A6E5A" w:rsidP="00E73B9B">
            <w:pPr>
              <w:rPr>
                <w:i/>
                <w:sz w:val="20"/>
              </w:rPr>
            </w:pPr>
            <w:r>
              <w:rPr>
                <w:i/>
                <w:sz w:val="20"/>
              </w:rPr>
              <w:t>CHS Policy Team</w:t>
            </w:r>
          </w:p>
        </w:tc>
        <w:tc>
          <w:tcPr>
            <w:tcW w:w="2265" w:type="dxa"/>
          </w:tcPr>
          <w:p w14:paraId="31501FE6" w14:textId="6EAC53D1" w:rsidR="00ED46C3" w:rsidRPr="008202D3" w:rsidRDefault="004A6E5A" w:rsidP="00E73B9B">
            <w:pPr>
              <w:rPr>
                <w:i/>
                <w:sz w:val="20"/>
              </w:rPr>
            </w:pPr>
            <w:r>
              <w:rPr>
                <w:i/>
                <w:sz w:val="20"/>
              </w:rPr>
              <w:t>CHS Policy Team</w:t>
            </w:r>
          </w:p>
        </w:tc>
      </w:tr>
      <w:tr w:rsidR="00ED46C3" w:rsidRPr="008202D3" w14:paraId="4B9C0359" w14:textId="77777777" w:rsidTr="004A1316">
        <w:tc>
          <w:tcPr>
            <w:tcW w:w="2265" w:type="dxa"/>
          </w:tcPr>
          <w:p w14:paraId="01E40F72" w14:textId="77777777" w:rsidR="00ED46C3" w:rsidRPr="008202D3" w:rsidRDefault="00ED46C3" w:rsidP="00E73B9B">
            <w:pPr>
              <w:rPr>
                <w:i/>
                <w:sz w:val="20"/>
              </w:rPr>
            </w:pPr>
          </w:p>
        </w:tc>
        <w:tc>
          <w:tcPr>
            <w:tcW w:w="2265" w:type="dxa"/>
          </w:tcPr>
          <w:p w14:paraId="25312BA2" w14:textId="77777777" w:rsidR="00ED46C3" w:rsidRPr="008202D3" w:rsidRDefault="00ED46C3" w:rsidP="00E73B9B">
            <w:pPr>
              <w:rPr>
                <w:i/>
                <w:sz w:val="20"/>
              </w:rPr>
            </w:pPr>
          </w:p>
        </w:tc>
        <w:tc>
          <w:tcPr>
            <w:tcW w:w="2265" w:type="dxa"/>
          </w:tcPr>
          <w:p w14:paraId="6A63A790" w14:textId="77777777" w:rsidR="00ED46C3" w:rsidRPr="008202D3" w:rsidRDefault="00ED46C3" w:rsidP="00E73B9B">
            <w:pPr>
              <w:rPr>
                <w:i/>
                <w:sz w:val="20"/>
              </w:rPr>
            </w:pPr>
          </w:p>
        </w:tc>
        <w:tc>
          <w:tcPr>
            <w:tcW w:w="2265" w:type="dxa"/>
          </w:tcPr>
          <w:p w14:paraId="0C203B9F" w14:textId="77777777" w:rsidR="00ED46C3" w:rsidRPr="008202D3" w:rsidRDefault="00ED46C3" w:rsidP="00E73B9B">
            <w:pPr>
              <w:rPr>
                <w:i/>
                <w:sz w:val="20"/>
              </w:rPr>
            </w:pPr>
          </w:p>
        </w:tc>
      </w:tr>
    </w:tbl>
    <w:p w14:paraId="3B395D33" w14:textId="77777777" w:rsidR="00ED46C3" w:rsidRPr="008202D3" w:rsidRDefault="00ED46C3" w:rsidP="00E73B9B">
      <w:pPr>
        <w:rPr>
          <w:rFonts w:cs="Arial"/>
          <w:sz w:val="20"/>
        </w:rPr>
      </w:pPr>
    </w:p>
    <w:p w14:paraId="22B94EA3" w14:textId="77777777" w:rsidR="00ED46C3" w:rsidRPr="008202D3" w:rsidRDefault="00ED46C3" w:rsidP="00E73B9B">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ED46C3" w:rsidRPr="008202D3" w14:paraId="3DF1741B" w14:textId="77777777" w:rsidTr="004A1316">
        <w:tc>
          <w:tcPr>
            <w:tcW w:w="2122" w:type="dxa"/>
          </w:tcPr>
          <w:p w14:paraId="3A0A8647" w14:textId="77777777" w:rsidR="00ED46C3" w:rsidRPr="008202D3" w:rsidRDefault="00ED46C3" w:rsidP="00E73B9B">
            <w:pPr>
              <w:rPr>
                <w:i/>
                <w:sz w:val="20"/>
              </w:rPr>
            </w:pPr>
            <w:r w:rsidRPr="008202D3">
              <w:rPr>
                <w:i/>
                <w:sz w:val="20"/>
              </w:rPr>
              <w:t>Document Number</w:t>
            </w:r>
          </w:p>
        </w:tc>
        <w:tc>
          <w:tcPr>
            <w:tcW w:w="6938" w:type="dxa"/>
          </w:tcPr>
          <w:p w14:paraId="40CE1B13" w14:textId="77777777" w:rsidR="00ED46C3" w:rsidRPr="008202D3" w:rsidRDefault="00ED46C3" w:rsidP="00E73B9B">
            <w:pPr>
              <w:rPr>
                <w:i/>
                <w:sz w:val="20"/>
              </w:rPr>
            </w:pPr>
            <w:r w:rsidRPr="008202D3">
              <w:rPr>
                <w:i/>
                <w:sz w:val="20"/>
              </w:rPr>
              <w:t>Document Name</w:t>
            </w:r>
          </w:p>
        </w:tc>
      </w:tr>
      <w:tr w:rsidR="00ED46C3" w:rsidRPr="008202D3" w14:paraId="389A2F7C" w14:textId="77777777" w:rsidTr="004A1316">
        <w:tc>
          <w:tcPr>
            <w:tcW w:w="2122" w:type="dxa"/>
          </w:tcPr>
          <w:p w14:paraId="72FFFF3B" w14:textId="77777777" w:rsidR="00ED46C3" w:rsidRPr="008202D3" w:rsidRDefault="00ED46C3" w:rsidP="00E73B9B">
            <w:pPr>
              <w:rPr>
                <w:i/>
                <w:sz w:val="20"/>
              </w:rPr>
            </w:pPr>
          </w:p>
        </w:tc>
        <w:tc>
          <w:tcPr>
            <w:tcW w:w="6938" w:type="dxa"/>
          </w:tcPr>
          <w:p w14:paraId="61EF68F3" w14:textId="0D40890E" w:rsidR="00ED46C3" w:rsidRPr="008202D3" w:rsidRDefault="004A6E5A" w:rsidP="00E73B9B">
            <w:pPr>
              <w:rPr>
                <w:i/>
                <w:sz w:val="20"/>
              </w:rPr>
            </w:pPr>
            <w:r>
              <w:rPr>
                <w:i/>
                <w:sz w:val="20"/>
              </w:rPr>
              <w:t xml:space="preserve">Iron </w:t>
            </w:r>
            <w:r w:rsidR="00545420">
              <w:rPr>
                <w:i/>
                <w:sz w:val="20"/>
              </w:rPr>
              <w:t>In</w:t>
            </w:r>
            <w:r>
              <w:rPr>
                <w:i/>
                <w:sz w:val="20"/>
              </w:rPr>
              <w:t>fusion</w:t>
            </w:r>
            <w:r w:rsidR="00F626D2">
              <w:rPr>
                <w:i/>
                <w:sz w:val="20"/>
              </w:rPr>
              <w:t xml:space="preserve"> Procedure</w:t>
            </w:r>
          </w:p>
        </w:tc>
      </w:tr>
      <w:tr w:rsidR="00ED46C3" w:rsidRPr="008202D3" w14:paraId="4414C7E4" w14:textId="77777777" w:rsidTr="004A1316">
        <w:tc>
          <w:tcPr>
            <w:tcW w:w="2122" w:type="dxa"/>
          </w:tcPr>
          <w:p w14:paraId="0E1C6F88" w14:textId="7FD693A8" w:rsidR="00ED46C3" w:rsidRPr="008202D3" w:rsidRDefault="00ED46C3" w:rsidP="00E73B9B">
            <w:pPr>
              <w:rPr>
                <w:i/>
                <w:sz w:val="20"/>
              </w:rPr>
            </w:pPr>
          </w:p>
        </w:tc>
        <w:tc>
          <w:tcPr>
            <w:tcW w:w="6938" w:type="dxa"/>
          </w:tcPr>
          <w:p w14:paraId="73EF72D2" w14:textId="77777777" w:rsidR="00ED46C3" w:rsidRPr="008202D3" w:rsidRDefault="00ED46C3" w:rsidP="00E73B9B">
            <w:pPr>
              <w:rPr>
                <w:i/>
                <w:sz w:val="20"/>
              </w:rPr>
            </w:pPr>
          </w:p>
        </w:tc>
      </w:tr>
    </w:tbl>
    <w:p w14:paraId="68E3C229" w14:textId="7713E2C7" w:rsidR="00957957" w:rsidRDefault="00957957" w:rsidP="00E73B9B">
      <w:pPr>
        <w:spacing w:after="200"/>
        <w:rPr>
          <w:rFonts w:cs="Arial"/>
          <w:szCs w:val="24"/>
        </w:rPr>
      </w:pPr>
    </w:p>
    <w:sectPr w:rsidR="00957957" w:rsidSect="00B53CD8">
      <w:headerReference w:type="even" r:id="rId18"/>
      <w:headerReference w:type="default" r:id="rId19"/>
      <w:footerReference w:type="even" r:id="rId20"/>
      <w:footerReference w:type="default" r:id="rId21"/>
      <w:pgSz w:w="11906" w:h="16838" w:code="9"/>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B5D86" w14:textId="77777777" w:rsidR="00631269" w:rsidRDefault="00631269" w:rsidP="00F66CB0">
      <w:r>
        <w:separator/>
      </w:r>
    </w:p>
  </w:endnote>
  <w:endnote w:type="continuationSeparator" w:id="0">
    <w:p w14:paraId="307F58F0" w14:textId="77777777" w:rsidR="00631269" w:rsidRDefault="00631269"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A067" w14:textId="77777777" w:rsidR="00366924" w:rsidRDefault="00366924">
    <w:pPr>
      <w:pStyle w:val="Footer"/>
    </w:pPr>
  </w:p>
  <w:p w14:paraId="4CFCA228" w14:textId="77777777" w:rsidR="003705C1" w:rsidRDefault="003705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348"/>
      <w:gridCol w:w="1275"/>
      <w:gridCol w:w="2835"/>
      <w:gridCol w:w="1132"/>
    </w:tblGrid>
    <w:tr w:rsidR="00E90708" w:rsidRPr="00AE7C5C" w14:paraId="2F51A914" w14:textId="77777777" w:rsidTr="00F626D2">
      <w:tc>
        <w:tcPr>
          <w:tcW w:w="1515" w:type="dxa"/>
        </w:tcPr>
        <w:p w14:paraId="2F51A90E" w14:textId="77777777" w:rsidR="00E90708" w:rsidRPr="00B3752F" w:rsidRDefault="00E90708" w:rsidP="004213C3">
          <w:pPr>
            <w:pStyle w:val="Footer"/>
            <w:rPr>
              <w:rFonts w:cs="Arial"/>
              <w:b/>
              <w:bCs/>
              <w:i/>
              <w:sz w:val="20"/>
            </w:rPr>
          </w:pPr>
          <w:r w:rsidRPr="00B3752F">
            <w:rPr>
              <w:rFonts w:cs="Arial"/>
              <w:b/>
              <w:bCs/>
              <w:i/>
              <w:sz w:val="20"/>
            </w:rPr>
            <w:t>Doc Number</w:t>
          </w:r>
        </w:p>
      </w:tc>
      <w:tc>
        <w:tcPr>
          <w:tcW w:w="965" w:type="dxa"/>
        </w:tcPr>
        <w:p w14:paraId="2F51A90F" w14:textId="77777777" w:rsidR="00E90708" w:rsidRPr="00B3752F" w:rsidRDefault="00E90708" w:rsidP="004213C3">
          <w:pPr>
            <w:pStyle w:val="Footer"/>
            <w:rPr>
              <w:rFonts w:cs="Arial"/>
              <w:b/>
              <w:bCs/>
              <w:i/>
              <w:sz w:val="20"/>
            </w:rPr>
          </w:pPr>
          <w:r w:rsidRPr="00B3752F">
            <w:rPr>
              <w:rFonts w:cs="Arial"/>
              <w:b/>
              <w:bCs/>
              <w:i/>
              <w:sz w:val="20"/>
            </w:rPr>
            <w:t>Version</w:t>
          </w:r>
        </w:p>
      </w:tc>
      <w:tc>
        <w:tcPr>
          <w:tcW w:w="1348" w:type="dxa"/>
        </w:tcPr>
        <w:p w14:paraId="2F51A910" w14:textId="77777777" w:rsidR="00E90708" w:rsidRPr="00B3752F" w:rsidRDefault="00E90708" w:rsidP="004213C3">
          <w:pPr>
            <w:pStyle w:val="Footer"/>
            <w:rPr>
              <w:rFonts w:cs="Arial"/>
              <w:b/>
              <w:bCs/>
              <w:i/>
              <w:sz w:val="20"/>
            </w:rPr>
          </w:pPr>
          <w:r w:rsidRPr="00B3752F">
            <w:rPr>
              <w:rFonts w:cs="Arial"/>
              <w:b/>
              <w:bCs/>
              <w:i/>
              <w:sz w:val="20"/>
            </w:rPr>
            <w:t>Issued</w:t>
          </w:r>
        </w:p>
      </w:tc>
      <w:tc>
        <w:tcPr>
          <w:tcW w:w="1275" w:type="dxa"/>
        </w:tcPr>
        <w:p w14:paraId="2F51A911" w14:textId="77777777" w:rsidR="00E90708" w:rsidRPr="00B3752F" w:rsidRDefault="00E90708" w:rsidP="004213C3">
          <w:pPr>
            <w:pStyle w:val="Footer"/>
            <w:rPr>
              <w:rFonts w:cs="Arial"/>
              <w:b/>
              <w:bCs/>
              <w:i/>
              <w:sz w:val="20"/>
            </w:rPr>
          </w:pPr>
          <w:r w:rsidRPr="00B3752F">
            <w:rPr>
              <w:rFonts w:cs="Arial"/>
              <w:b/>
              <w:bCs/>
              <w:i/>
              <w:sz w:val="20"/>
            </w:rPr>
            <w:t>Review Date</w:t>
          </w:r>
        </w:p>
      </w:tc>
      <w:tc>
        <w:tcPr>
          <w:tcW w:w="2835" w:type="dxa"/>
        </w:tcPr>
        <w:p w14:paraId="2F51A912" w14:textId="77777777" w:rsidR="00E90708" w:rsidRPr="00B3752F" w:rsidRDefault="00E90708" w:rsidP="004213C3">
          <w:pPr>
            <w:pStyle w:val="Footer"/>
            <w:rPr>
              <w:rFonts w:cs="Arial"/>
              <w:b/>
              <w:bCs/>
              <w:i/>
              <w:sz w:val="20"/>
            </w:rPr>
          </w:pPr>
          <w:r w:rsidRPr="00B3752F">
            <w:rPr>
              <w:rFonts w:cs="Arial"/>
              <w:b/>
              <w:bCs/>
              <w:i/>
              <w:sz w:val="20"/>
            </w:rPr>
            <w:t>Area Responsible</w:t>
          </w:r>
        </w:p>
      </w:tc>
      <w:tc>
        <w:tcPr>
          <w:tcW w:w="1132" w:type="dxa"/>
        </w:tcPr>
        <w:p w14:paraId="2F51A913" w14:textId="77777777" w:rsidR="00E90708" w:rsidRPr="00B3752F" w:rsidRDefault="00E90708" w:rsidP="004213C3">
          <w:pPr>
            <w:pStyle w:val="Footer"/>
            <w:rPr>
              <w:rFonts w:cs="Arial"/>
              <w:b/>
              <w:bCs/>
              <w:i/>
              <w:sz w:val="20"/>
            </w:rPr>
          </w:pPr>
          <w:r w:rsidRPr="00B3752F">
            <w:rPr>
              <w:rFonts w:cs="Arial"/>
              <w:b/>
              <w:bCs/>
              <w:i/>
              <w:sz w:val="20"/>
            </w:rPr>
            <w:t>Page</w:t>
          </w:r>
        </w:p>
      </w:tc>
    </w:tr>
    <w:tr w:rsidR="00E90708" w14:paraId="2F51A91B" w14:textId="77777777" w:rsidTr="00F626D2">
      <w:tc>
        <w:tcPr>
          <w:tcW w:w="1515" w:type="dxa"/>
        </w:tcPr>
        <w:p w14:paraId="2F51A915" w14:textId="0F36D768" w:rsidR="00E90708" w:rsidRPr="00542EE6" w:rsidRDefault="00F626D2" w:rsidP="004213C3">
          <w:pPr>
            <w:pStyle w:val="Footer"/>
            <w:rPr>
              <w:rFonts w:cs="Arial"/>
              <w:b/>
              <w:bCs/>
              <w:sz w:val="20"/>
            </w:rPr>
          </w:pPr>
          <w:r>
            <w:rPr>
              <w:b/>
              <w:sz w:val="20"/>
            </w:rPr>
            <w:t>CHS24/063</w:t>
          </w:r>
        </w:p>
      </w:tc>
      <w:tc>
        <w:tcPr>
          <w:tcW w:w="965" w:type="dxa"/>
        </w:tcPr>
        <w:p w14:paraId="2F51A916" w14:textId="7DE07673" w:rsidR="00E90708" w:rsidRPr="00B3752F" w:rsidRDefault="00F626D2" w:rsidP="004213C3">
          <w:pPr>
            <w:pStyle w:val="Footer"/>
            <w:rPr>
              <w:rFonts w:cs="Arial"/>
              <w:b/>
              <w:bCs/>
              <w:sz w:val="20"/>
            </w:rPr>
          </w:pPr>
          <w:r>
            <w:rPr>
              <w:rFonts w:cs="Arial"/>
              <w:b/>
              <w:bCs/>
              <w:sz w:val="20"/>
            </w:rPr>
            <w:t>1</w:t>
          </w:r>
        </w:p>
      </w:tc>
      <w:tc>
        <w:tcPr>
          <w:tcW w:w="1348" w:type="dxa"/>
        </w:tcPr>
        <w:p w14:paraId="2F51A917" w14:textId="401C1C71" w:rsidR="00E90708" w:rsidRPr="00B3752F" w:rsidRDefault="00F626D2" w:rsidP="004213C3">
          <w:pPr>
            <w:pStyle w:val="Footer"/>
            <w:rPr>
              <w:rFonts w:cs="Arial"/>
              <w:b/>
              <w:bCs/>
              <w:sz w:val="20"/>
            </w:rPr>
          </w:pPr>
          <w:r>
            <w:rPr>
              <w:rFonts w:cs="Arial"/>
              <w:b/>
              <w:bCs/>
              <w:sz w:val="20"/>
            </w:rPr>
            <w:t>16/02/2024</w:t>
          </w:r>
        </w:p>
      </w:tc>
      <w:tc>
        <w:tcPr>
          <w:tcW w:w="1275" w:type="dxa"/>
        </w:tcPr>
        <w:p w14:paraId="2F51A918" w14:textId="36A626A0" w:rsidR="00E90708" w:rsidRPr="00B3752F" w:rsidRDefault="00F626D2" w:rsidP="004213C3">
          <w:pPr>
            <w:pStyle w:val="Footer"/>
            <w:rPr>
              <w:rFonts w:cs="Arial"/>
              <w:b/>
              <w:bCs/>
              <w:sz w:val="20"/>
            </w:rPr>
          </w:pPr>
          <w:r>
            <w:rPr>
              <w:rFonts w:cs="Arial"/>
              <w:b/>
              <w:bCs/>
              <w:sz w:val="20"/>
            </w:rPr>
            <w:t>01/10/2025</w:t>
          </w:r>
        </w:p>
      </w:tc>
      <w:tc>
        <w:tcPr>
          <w:tcW w:w="2835" w:type="dxa"/>
        </w:tcPr>
        <w:p w14:paraId="2F51A919" w14:textId="3DCDBEFC" w:rsidR="00F626D2" w:rsidRPr="00B3752F" w:rsidRDefault="00F626D2" w:rsidP="004213C3">
          <w:pPr>
            <w:pStyle w:val="Footer"/>
            <w:rPr>
              <w:rFonts w:cs="Arial"/>
              <w:b/>
              <w:bCs/>
              <w:sz w:val="20"/>
            </w:rPr>
          </w:pPr>
          <w:r>
            <w:rPr>
              <w:rFonts w:cs="Arial"/>
              <w:b/>
              <w:bCs/>
              <w:sz w:val="20"/>
            </w:rPr>
            <w:t>NCH – Allied Health &amp; Palliative Care – Pharmacy</w:t>
          </w:r>
        </w:p>
      </w:tc>
      <w:tc>
        <w:tcPr>
          <w:tcW w:w="1132" w:type="dxa"/>
        </w:tcPr>
        <w:p w14:paraId="2F51A91A" w14:textId="20074E5F" w:rsidR="00E90708" w:rsidRPr="00B3752F" w:rsidRDefault="007B7628" w:rsidP="004213C3">
          <w:pPr>
            <w:pStyle w:val="Footer"/>
            <w:rPr>
              <w:sz w:val="20"/>
            </w:rPr>
          </w:pPr>
          <w:r w:rsidRPr="00B3752F">
            <w:rPr>
              <w:rStyle w:val="PageNumber"/>
              <w:sz w:val="20"/>
            </w:rPr>
            <w:fldChar w:fldCharType="begin"/>
          </w:r>
          <w:r w:rsidR="00E90708" w:rsidRPr="00B3752F">
            <w:rPr>
              <w:rStyle w:val="PageNumber"/>
              <w:sz w:val="20"/>
            </w:rPr>
            <w:instrText xml:space="preserve"> PAGE </w:instrText>
          </w:r>
          <w:r w:rsidRPr="00B3752F">
            <w:rPr>
              <w:rStyle w:val="PageNumber"/>
              <w:sz w:val="20"/>
            </w:rPr>
            <w:fldChar w:fldCharType="separate"/>
          </w:r>
          <w:r w:rsidR="00FC6F93">
            <w:rPr>
              <w:rStyle w:val="PageNumber"/>
              <w:noProof/>
              <w:sz w:val="20"/>
            </w:rPr>
            <w:t>19</w:t>
          </w:r>
          <w:r w:rsidRPr="00B3752F">
            <w:rPr>
              <w:rStyle w:val="PageNumber"/>
              <w:sz w:val="20"/>
            </w:rPr>
            <w:fldChar w:fldCharType="end"/>
          </w:r>
          <w:r w:rsidR="00E90708" w:rsidRPr="00B3752F">
            <w:rPr>
              <w:rStyle w:val="PageNumber"/>
              <w:sz w:val="20"/>
            </w:rPr>
            <w:t xml:space="preserve"> of </w:t>
          </w:r>
          <w:r w:rsidRPr="00B3752F">
            <w:rPr>
              <w:rStyle w:val="PageNumber"/>
              <w:sz w:val="20"/>
            </w:rPr>
            <w:fldChar w:fldCharType="begin"/>
          </w:r>
          <w:r w:rsidR="00E90708" w:rsidRPr="00B3752F">
            <w:rPr>
              <w:rStyle w:val="PageNumber"/>
              <w:sz w:val="20"/>
            </w:rPr>
            <w:instrText xml:space="preserve"> NUMPAGES </w:instrText>
          </w:r>
          <w:r w:rsidRPr="00B3752F">
            <w:rPr>
              <w:rStyle w:val="PageNumber"/>
              <w:sz w:val="20"/>
            </w:rPr>
            <w:fldChar w:fldCharType="separate"/>
          </w:r>
          <w:r w:rsidR="00FC6F93">
            <w:rPr>
              <w:rStyle w:val="PageNumber"/>
              <w:noProof/>
              <w:sz w:val="20"/>
            </w:rPr>
            <w:t>21</w:t>
          </w:r>
          <w:r w:rsidRPr="00B3752F">
            <w:rPr>
              <w:rStyle w:val="PageNumber"/>
              <w:sz w:val="20"/>
            </w:rPr>
            <w:fldChar w:fldCharType="end"/>
          </w:r>
        </w:p>
      </w:tc>
    </w:tr>
    <w:tr w:rsidR="005E1140" w14:paraId="668DA41F"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5E1140" w:rsidRPr="002C1428" w:rsidRDefault="005E1140"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366924">
            <w:rPr>
              <w:sz w:val="16"/>
              <w:szCs w:val="16"/>
            </w:rPr>
            <w:t>CHS</w:t>
          </w:r>
          <w:r w:rsidRPr="002C1428">
            <w:rPr>
              <w:sz w:val="16"/>
              <w:szCs w:val="16"/>
            </w:rPr>
            <w:t xml:space="preserve"> Policy Register</w:t>
          </w:r>
        </w:p>
      </w:tc>
    </w:tr>
  </w:tbl>
  <w:p w14:paraId="2F51A91D" w14:textId="77777777" w:rsidR="00E90708" w:rsidRPr="00AE7C5C" w:rsidRDefault="00E90708" w:rsidP="00CD1505">
    <w:pPr>
      <w:pStyle w:val="Footer"/>
    </w:pPr>
  </w:p>
  <w:p w14:paraId="77614028" w14:textId="77777777" w:rsidR="003705C1" w:rsidRDefault="003705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ACFE5" w14:textId="77777777" w:rsidR="00631269" w:rsidRDefault="00631269" w:rsidP="00F66CB0">
      <w:r>
        <w:separator/>
      </w:r>
    </w:p>
  </w:footnote>
  <w:footnote w:type="continuationSeparator" w:id="0">
    <w:p w14:paraId="2FFE9CD2" w14:textId="77777777" w:rsidR="00631269" w:rsidRDefault="00631269"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F7783" w14:textId="77777777" w:rsidR="00366924" w:rsidRDefault="00366924">
    <w:pPr>
      <w:pStyle w:val="Header"/>
    </w:pPr>
  </w:p>
  <w:p w14:paraId="52E034A8" w14:textId="77777777" w:rsidR="003705C1" w:rsidRDefault="003705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E90708" w14:paraId="2F51A90C" w14:textId="77777777" w:rsidTr="0074223E">
      <w:trPr>
        <w:trHeight w:val="1418"/>
      </w:trPr>
      <w:tc>
        <w:tcPr>
          <w:tcW w:w="5556" w:type="dxa"/>
          <w:vAlign w:val="center"/>
          <w:hideMark/>
        </w:tcPr>
        <w:p w14:paraId="2F51A90A" w14:textId="5F72D3B6" w:rsidR="00E90708" w:rsidRDefault="00200D04" w:rsidP="0074223E">
          <w:pPr>
            <w:pStyle w:val="Header"/>
            <w:rPr>
              <w:sz w:val="20"/>
            </w:rPr>
          </w:pPr>
          <w:r>
            <w:rPr>
              <w:noProof/>
              <w:sz w:val="20"/>
            </w:rPr>
            <w:drawing>
              <wp:inline distT="0" distB="0" distL="0" distR="0" wp14:anchorId="5330CC0D" wp14:editId="1210EDE2">
                <wp:extent cx="3295650" cy="723900"/>
                <wp:effectExtent l="0" t="0" r="0" b="0"/>
                <wp:docPr id="1" name="Picture 1"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F51A90B" w14:textId="661BEC01" w:rsidR="00E90708" w:rsidRDefault="00F626D2">
          <w:pPr>
            <w:pStyle w:val="Header"/>
            <w:tabs>
              <w:tab w:val="left" w:pos="720"/>
            </w:tabs>
            <w:jc w:val="right"/>
            <w:rPr>
              <w:sz w:val="20"/>
            </w:rPr>
          </w:pPr>
          <w:bookmarkStart w:id="69" w:name="_top"/>
          <w:bookmarkEnd w:id="69"/>
          <w:r>
            <w:rPr>
              <w:sz w:val="20"/>
            </w:rPr>
            <w:t>CHS24/063</w:t>
          </w:r>
        </w:p>
      </w:tc>
    </w:tr>
  </w:tbl>
  <w:p w14:paraId="2010C416" w14:textId="77777777" w:rsidR="00811631" w:rsidRDefault="00811631" w:rsidP="00E73B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E6BD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9802D05"/>
    <w:multiLevelType w:val="hybridMultilevel"/>
    <w:tmpl w:val="E89E898C"/>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 w15:restartNumberingAfterBreak="0">
    <w:nsid w:val="0ACA21B3"/>
    <w:multiLevelType w:val="hybridMultilevel"/>
    <w:tmpl w:val="19A63C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C2C1FCB"/>
    <w:multiLevelType w:val="hybridMultilevel"/>
    <w:tmpl w:val="D6FAF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077242"/>
    <w:multiLevelType w:val="hybridMultilevel"/>
    <w:tmpl w:val="2990E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7520C6"/>
    <w:multiLevelType w:val="hybridMultilevel"/>
    <w:tmpl w:val="8C0C281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DA57E0"/>
    <w:multiLevelType w:val="hybridMultilevel"/>
    <w:tmpl w:val="EF4CC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5D33D9"/>
    <w:multiLevelType w:val="hybridMultilevel"/>
    <w:tmpl w:val="AD40F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9BE33ED"/>
    <w:multiLevelType w:val="hybridMultilevel"/>
    <w:tmpl w:val="2F22AE1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EFE225B"/>
    <w:multiLevelType w:val="hybridMultilevel"/>
    <w:tmpl w:val="744E4C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1D64E2B"/>
    <w:multiLevelType w:val="hybridMultilevel"/>
    <w:tmpl w:val="68A062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35D65B9"/>
    <w:multiLevelType w:val="hybridMultilevel"/>
    <w:tmpl w:val="5AEEF8F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1A021C"/>
    <w:multiLevelType w:val="hybridMultilevel"/>
    <w:tmpl w:val="1C0AED28"/>
    <w:lvl w:ilvl="0" w:tplc="AD728F50">
      <w:start w:val="1"/>
      <w:numFmt w:val="bullet"/>
      <w:lvlText w:val=""/>
      <w:lvlJc w:val="left"/>
      <w:pPr>
        <w:ind w:left="1080" w:hanging="360"/>
      </w:pPr>
      <w:rPr>
        <w:rFonts w:ascii="Symbol" w:hAnsi="Symbol"/>
      </w:rPr>
    </w:lvl>
    <w:lvl w:ilvl="1" w:tplc="7ADCE7B4">
      <w:start w:val="1"/>
      <w:numFmt w:val="bullet"/>
      <w:lvlText w:val=""/>
      <w:lvlJc w:val="left"/>
      <w:pPr>
        <w:ind w:left="1080" w:hanging="360"/>
      </w:pPr>
      <w:rPr>
        <w:rFonts w:ascii="Symbol" w:hAnsi="Symbol"/>
      </w:rPr>
    </w:lvl>
    <w:lvl w:ilvl="2" w:tplc="85244E5C">
      <w:start w:val="1"/>
      <w:numFmt w:val="bullet"/>
      <w:lvlText w:val=""/>
      <w:lvlJc w:val="left"/>
      <w:pPr>
        <w:ind w:left="1080" w:hanging="360"/>
      </w:pPr>
      <w:rPr>
        <w:rFonts w:ascii="Symbol" w:hAnsi="Symbol"/>
      </w:rPr>
    </w:lvl>
    <w:lvl w:ilvl="3" w:tplc="B2E47894">
      <w:start w:val="1"/>
      <w:numFmt w:val="bullet"/>
      <w:lvlText w:val=""/>
      <w:lvlJc w:val="left"/>
      <w:pPr>
        <w:ind w:left="1080" w:hanging="360"/>
      </w:pPr>
      <w:rPr>
        <w:rFonts w:ascii="Symbol" w:hAnsi="Symbol"/>
      </w:rPr>
    </w:lvl>
    <w:lvl w:ilvl="4" w:tplc="41001D02">
      <w:start w:val="1"/>
      <w:numFmt w:val="bullet"/>
      <w:lvlText w:val=""/>
      <w:lvlJc w:val="left"/>
      <w:pPr>
        <w:ind w:left="1080" w:hanging="360"/>
      </w:pPr>
      <w:rPr>
        <w:rFonts w:ascii="Symbol" w:hAnsi="Symbol"/>
      </w:rPr>
    </w:lvl>
    <w:lvl w:ilvl="5" w:tplc="31A03E32">
      <w:start w:val="1"/>
      <w:numFmt w:val="bullet"/>
      <w:lvlText w:val=""/>
      <w:lvlJc w:val="left"/>
      <w:pPr>
        <w:ind w:left="1080" w:hanging="360"/>
      </w:pPr>
      <w:rPr>
        <w:rFonts w:ascii="Symbol" w:hAnsi="Symbol"/>
      </w:rPr>
    </w:lvl>
    <w:lvl w:ilvl="6" w:tplc="59CA326C">
      <w:start w:val="1"/>
      <w:numFmt w:val="bullet"/>
      <w:lvlText w:val=""/>
      <w:lvlJc w:val="left"/>
      <w:pPr>
        <w:ind w:left="1080" w:hanging="360"/>
      </w:pPr>
      <w:rPr>
        <w:rFonts w:ascii="Symbol" w:hAnsi="Symbol"/>
      </w:rPr>
    </w:lvl>
    <w:lvl w:ilvl="7" w:tplc="AD868BD6">
      <w:start w:val="1"/>
      <w:numFmt w:val="bullet"/>
      <w:lvlText w:val=""/>
      <w:lvlJc w:val="left"/>
      <w:pPr>
        <w:ind w:left="1080" w:hanging="360"/>
      </w:pPr>
      <w:rPr>
        <w:rFonts w:ascii="Symbol" w:hAnsi="Symbol"/>
      </w:rPr>
    </w:lvl>
    <w:lvl w:ilvl="8" w:tplc="1F289210">
      <w:start w:val="1"/>
      <w:numFmt w:val="bullet"/>
      <w:lvlText w:val=""/>
      <w:lvlJc w:val="left"/>
      <w:pPr>
        <w:ind w:left="1080" w:hanging="360"/>
      </w:pPr>
      <w:rPr>
        <w:rFonts w:ascii="Symbol" w:hAnsi="Symbol"/>
      </w:rPr>
    </w:lvl>
  </w:abstractNum>
  <w:abstractNum w:abstractNumId="13" w15:restartNumberingAfterBreak="0">
    <w:nsid w:val="268F7C65"/>
    <w:multiLevelType w:val="hybridMultilevel"/>
    <w:tmpl w:val="EEFA8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3D2D07"/>
    <w:multiLevelType w:val="hybridMultilevel"/>
    <w:tmpl w:val="52668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610312"/>
    <w:multiLevelType w:val="hybridMultilevel"/>
    <w:tmpl w:val="170C6CA6"/>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B7A342C"/>
    <w:multiLevelType w:val="hybridMultilevel"/>
    <w:tmpl w:val="651668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14A1F50"/>
    <w:multiLevelType w:val="hybridMultilevel"/>
    <w:tmpl w:val="0764C8B2"/>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BD76C05"/>
    <w:multiLevelType w:val="hybridMultilevel"/>
    <w:tmpl w:val="87A43092"/>
    <w:lvl w:ilvl="0" w:tplc="FFFFFFFF">
      <w:start w:val="1"/>
      <w:numFmt w:val="decimal"/>
      <w:lvlText w:val="%1."/>
      <w:lvlJc w:val="left"/>
      <w:pPr>
        <w:ind w:left="720" w:hanging="360"/>
      </w:pPr>
    </w:lvl>
    <w:lvl w:ilvl="1" w:tplc="0C09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D2629E"/>
    <w:multiLevelType w:val="hybridMultilevel"/>
    <w:tmpl w:val="0E7A9A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5BE501F"/>
    <w:multiLevelType w:val="hybridMultilevel"/>
    <w:tmpl w:val="48844F0E"/>
    <w:lvl w:ilvl="0" w:tplc="23164A4E">
      <w:start w:val="1"/>
      <w:numFmt w:val="bullet"/>
      <w:pStyle w:val="Listparagraphandindented"/>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F90316"/>
    <w:multiLevelType w:val="hybridMultilevel"/>
    <w:tmpl w:val="4E7AFEF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3825954"/>
    <w:multiLevelType w:val="hybridMultilevel"/>
    <w:tmpl w:val="697C19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47E34B5"/>
    <w:multiLevelType w:val="hybridMultilevel"/>
    <w:tmpl w:val="49465C16"/>
    <w:lvl w:ilvl="0" w:tplc="0809000F">
      <w:start w:val="1"/>
      <w:numFmt w:val="decimal"/>
      <w:lvlText w:val="%1."/>
      <w:lvlJc w:val="left"/>
      <w:pPr>
        <w:ind w:left="720" w:hanging="360"/>
      </w:pPr>
    </w:lvl>
    <w:lvl w:ilvl="1" w:tplc="8056D612">
      <w:start w:val="1"/>
      <w:numFmt w:val="bullet"/>
      <w:lvlText w:val=""/>
      <w:lvlJc w:val="left"/>
      <w:pPr>
        <w:ind w:left="1440" w:hanging="360"/>
      </w:pPr>
      <w:rPr>
        <w:rFonts w:ascii="Symbol" w:eastAsia="Symbol" w:hAnsi="Symbol" w:hint="default"/>
        <w:sz w:val="24"/>
        <w:szCs w:val="24"/>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CA3E5F"/>
    <w:multiLevelType w:val="hybridMultilevel"/>
    <w:tmpl w:val="ED0EF8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59D66B5"/>
    <w:multiLevelType w:val="hybridMultilevel"/>
    <w:tmpl w:val="041E2E4C"/>
    <w:lvl w:ilvl="0" w:tplc="FFFFFFFF">
      <w:start w:val="1"/>
      <w:numFmt w:val="decimal"/>
      <w:lvlText w:val="%1."/>
      <w:lvlJc w:val="left"/>
      <w:pPr>
        <w:ind w:left="720" w:hanging="360"/>
      </w:pPr>
    </w:lvl>
    <w:lvl w:ilvl="1" w:tplc="0C090005">
      <w:start w:val="1"/>
      <w:numFmt w:val="bullet"/>
      <w:lvlText w:val=""/>
      <w:lvlJc w:val="left"/>
      <w:pPr>
        <w:ind w:left="108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840655032">
    <w:abstractNumId w:val="0"/>
  </w:num>
  <w:num w:numId="2" w16cid:durableId="929041124">
    <w:abstractNumId w:val="26"/>
  </w:num>
  <w:num w:numId="3" w16cid:durableId="500312406">
    <w:abstractNumId w:val="27"/>
  </w:num>
  <w:num w:numId="4" w16cid:durableId="1980724758">
    <w:abstractNumId w:val="23"/>
  </w:num>
  <w:num w:numId="5" w16cid:durableId="454762379">
    <w:abstractNumId w:val="20"/>
  </w:num>
  <w:num w:numId="6" w16cid:durableId="1362126015">
    <w:abstractNumId w:val="1"/>
  </w:num>
  <w:num w:numId="7" w16cid:durableId="1036346575">
    <w:abstractNumId w:val="8"/>
  </w:num>
  <w:num w:numId="8" w16cid:durableId="1771509507">
    <w:abstractNumId w:val="12"/>
  </w:num>
  <w:num w:numId="9" w16cid:durableId="578056663">
    <w:abstractNumId w:val="9"/>
  </w:num>
  <w:num w:numId="10" w16cid:durableId="1362322947">
    <w:abstractNumId w:val="22"/>
  </w:num>
  <w:num w:numId="11" w16cid:durableId="14114237">
    <w:abstractNumId w:val="14"/>
  </w:num>
  <w:num w:numId="12" w16cid:durableId="1667132346">
    <w:abstractNumId w:val="3"/>
  </w:num>
  <w:num w:numId="13" w16cid:durableId="332143688">
    <w:abstractNumId w:val="10"/>
  </w:num>
  <w:num w:numId="14" w16cid:durableId="709914325">
    <w:abstractNumId w:val="13"/>
  </w:num>
  <w:num w:numId="15" w16cid:durableId="1456635053">
    <w:abstractNumId w:val="7"/>
  </w:num>
  <w:num w:numId="16" w16cid:durableId="589657788">
    <w:abstractNumId w:val="6"/>
  </w:num>
  <w:num w:numId="17" w16cid:durableId="231819931">
    <w:abstractNumId w:val="4"/>
  </w:num>
  <w:num w:numId="18" w16cid:durableId="1437824223">
    <w:abstractNumId w:val="19"/>
  </w:num>
  <w:num w:numId="19" w16cid:durableId="128590747">
    <w:abstractNumId w:val="24"/>
  </w:num>
  <w:num w:numId="20" w16cid:durableId="1014915772">
    <w:abstractNumId w:val="2"/>
  </w:num>
  <w:num w:numId="21" w16cid:durableId="62876690">
    <w:abstractNumId w:val="15"/>
  </w:num>
  <w:num w:numId="22" w16cid:durableId="427432975">
    <w:abstractNumId w:val="18"/>
  </w:num>
  <w:num w:numId="23" w16cid:durableId="1023435199">
    <w:abstractNumId w:val="11"/>
  </w:num>
  <w:num w:numId="24" w16cid:durableId="678387549">
    <w:abstractNumId w:val="21"/>
  </w:num>
  <w:num w:numId="25" w16cid:durableId="74086945">
    <w:abstractNumId w:val="17"/>
  </w:num>
  <w:num w:numId="26" w16cid:durableId="1626958599">
    <w:abstractNumId w:val="16"/>
  </w:num>
  <w:num w:numId="27" w16cid:durableId="1547640681">
    <w:abstractNumId w:val="25"/>
  </w:num>
  <w:num w:numId="28" w16cid:durableId="136259157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5D88"/>
    <w:rsid w:val="0001607A"/>
    <w:rsid w:val="0005751B"/>
    <w:rsid w:val="00057BD0"/>
    <w:rsid w:val="000624FD"/>
    <w:rsid w:val="00072EEC"/>
    <w:rsid w:val="00091AC9"/>
    <w:rsid w:val="00095ECD"/>
    <w:rsid w:val="000A7335"/>
    <w:rsid w:val="000B1620"/>
    <w:rsid w:val="000B5C8C"/>
    <w:rsid w:val="000B71ED"/>
    <w:rsid w:val="000C59E2"/>
    <w:rsid w:val="000C7B2D"/>
    <w:rsid w:val="000E3137"/>
    <w:rsid w:val="000F7B7E"/>
    <w:rsid w:val="00103EEA"/>
    <w:rsid w:val="001115D7"/>
    <w:rsid w:val="00191109"/>
    <w:rsid w:val="00191235"/>
    <w:rsid w:val="001926F4"/>
    <w:rsid w:val="001A0053"/>
    <w:rsid w:val="001B2465"/>
    <w:rsid w:val="001B3435"/>
    <w:rsid w:val="001C117E"/>
    <w:rsid w:val="001E14B2"/>
    <w:rsid w:val="001E32F1"/>
    <w:rsid w:val="001F2A9B"/>
    <w:rsid w:val="001F6D2D"/>
    <w:rsid w:val="00200D04"/>
    <w:rsid w:val="00201FB6"/>
    <w:rsid w:val="00213192"/>
    <w:rsid w:val="00232DC9"/>
    <w:rsid w:val="002405CF"/>
    <w:rsid w:val="00240B97"/>
    <w:rsid w:val="0025382D"/>
    <w:rsid w:val="00263BA6"/>
    <w:rsid w:val="0027264D"/>
    <w:rsid w:val="00285D38"/>
    <w:rsid w:val="00293E43"/>
    <w:rsid w:val="002B5F43"/>
    <w:rsid w:val="002E6B51"/>
    <w:rsid w:val="002F7477"/>
    <w:rsid w:val="00313707"/>
    <w:rsid w:val="0032270B"/>
    <w:rsid w:val="00337E7C"/>
    <w:rsid w:val="00351CD9"/>
    <w:rsid w:val="00353CBB"/>
    <w:rsid w:val="00366924"/>
    <w:rsid w:val="003705C1"/>
    <w:rsid w:val="00376405"/>
    <w:rsid w:val="00376A6D"/>
    <w:rsid w:val="00380B98"/>
    <w:rsid w:val="00395E36"/>
    <w:rsid w:val="00396023"/>
    <w:rsid w:val="003C204E"/>
    <w:rsid w:val="003C4BB5"/>
    <w:rsid w:val="003E4CC0"/>
    <w:rsid w:val="003F3D8F"/>
    <w:rsid w:val="00410409"/>
    <w:rsid w:val="004124D4"/>
    <w:rsid w:val="00412CED"/>
    <w:rsid w:val="00416751"/>
    <w:rsid w:val="00420F9E"/>
    <w:rsid w:val="004213C3"/>
    <w:rsid w:val="0042413C"/>
    <w:rsid w:val="00427139"/>
    <w:rsid w:val="00431A1C"/>
    <w:rsid w:val="004358E9"/>
    <w:rsid w:val="004537B3"/>
    <w:rsid w:val="0048050C"/>
    <w:rsid w:val="00487DD5"/>
    <w:rsid w:val="004947A7"/>
    <w:rsid w:val="004A2E02"/>
    <w:rsid w:val="004A6E5A"/>
    <w:rsid w:val="004B7C43"/>
    <w:rsid w:val="004C2B20"/>
    <w:rsid w:val="004D6932"/>
    <w:rsid w:val="004E28AD"/>
    <w:rsid w:val="004F0F49"/>
    <w:rsid w:val="004F1D05"/>
    <w:rsid w:val="004F2008"/>
    <w:rsid w:val="00503CE5"/>
    <w:rsid w:val="00505B5D"/>
    <w:rsid w:val="005067CA"/>
    <w:rsid w:val="0052443C"/>
    <w:rsid w:val="0052775E"/>
    <w:rsid w:val="005416F0"/>
    <w:rsid w:val="00542514"/>
    <w:rsid w:val="00545420"/>
    <w:rsid w:val="00546AED"/>
    <w:rsid w:val="005512EF"/>
    <w:rsid w:val="005621E4"/>
    <w:rsid w:val="00582D99"/>
    <w:rsid w:val="00590902"/>
    <w:rsid w:val="00592A14"/>
    <w:rsid w:val="00596FD7"/>
    <w:rsid w:val="005A3625"/>
    <w:rsid w:val="005B4738"/>
    <w:rsid w:val="005C212D"/>
    <w:rsid w:val="005C3CB0"/>
    <w:rsid w:val="005D5A1A"/>
    <w:rsid w:val="005E1140"/>
    <w:rsid w:val="005F3214"/>
    <w:rsid w:val="006065C3"/>
    <w:rsid w:val="00612231"/>
    <w:rsid w:val="00631269"/>
    <w:rsid w:val="00635EB1"/>
    <w:rsid w:val="006473BB"/>
    <w:rsid w:val="006647CD"/>
    <w:rsid w:val="0066495D"/>
    <w:rsid w:val="00690242"/>
    <w:rsid w:val="00695EB6"/>
    <w:rsid w:val="006A3770"/>
    <w:rsid w:val="006A4D46"/>
    <w:rsid w:val="006A6024"/>
    <w:rsid w:val="006C31FF"/>
    <w:rsid w:val="006C6256"/>
    <w:rsid w:val="006C6B6C"/>
    <w:rsid w:val="006C704D"/>
    <w:rsid w:val="006D31A2"/>
    <w:rsid w:val="0070331D"/>
    <w:rsid w:val="00705281"/>
    <w:rsid w:val="007052B1"/>
    <w:rsid w:val="00707587"/>
    <w:rsid w:val="00711BF4"/>
    <w:rsid w:val="00727E8C"/>
    <w:rsid w:val="00736BCB"/>
    <w:rsid w:val="00741B43"/>
    <w:rsid w:val="0074223E"/>
    <w:rsid w:val="00742D0B"/>
    <w:rsid w:val="00752EE6"/>
    <w:rsid w:val="007543AC"/>
    <w:rsid w:val="00756537"/>
    <w:rsid w:val="00756A2B"/>
    <w:rsid w:val="007A0EBC"/>
    <w:rsid w:val="007B27F1"/>
    <w:rsid w:val="007B4ABB"/>
    <w:rsid w:val="007B4DC5"/>
    <w:rsid w:val="007B6904"/>
    <w:rsid w:val="007B7628"/>
    <w:rsid w:val="007C36E4"/>
    <w:rsid w:val="00811631"/>
    <w:rsid w:val="00816782"/>
    <w:rsid w:val="0082141D"/>
    <w:rsid w:val="00827F24"/>
    <w:rsid w:val="00845445"/>
    <w:rsid w:val="00855DA8"/>
    <w:rsid w:val="00886399"/>
    <w:rsid w:val="008974CA"/>
    <w:rsid w:val="008E1F7F"/>
    <w:rsid w:val="008F00E8"/>
    <w:rsid w:val="00906142"/>
    <w:rsid w:val="00930167"/>
    <w:rsid w:val="0093186F"/>
    <w:rsid w:val="00931B93"/>
    <w:rsid w:val="00933EED"/>
    <w:rsid w:val="00940CDE"/>
    <w:rsid w:val="00957957"/>
    <w:rsid w:val="00962C46"/>
    <w:rsid w:val="0097742A"/>
    <w:rsid w:val="0097744F"/>
    <w:rsid w:val="00980EED"/>
    <w:rsid w:val="00991670"/>
    <w:rsid w:val="009B6C8C"/>
    <w:rsid w:val="009C0FCA"/>
    <w:rsid w:val="009C3963"/>
    <w:rsid w:val="009D323C"/>
    <w:rsid w:val="009E39B9"/>
    <w:rsid w:val="009E70F4"/>
    <w:rsid w:val="00A35E2D"/>
    <w:rsid w:val="00A54CB3"/>
    <w:rsid w:val="00A74B8A"/>
    <w:rsid w:val="00A85F61"/>
    <w:rsid w:val="00A86DB3"/>
    <w:rsid w:val="00A92E4F"/>
    <w:rsid w:val="00A930A9"/>
    <w:rsid w:val="00AA25DC"/>
    <w:rsid w:val="00AB13EF"/>
    <w:rsid w:val="00AB50DD"/>
    <w:rsid w:val="00AC7025"/>
    <w:rsid w:val="00AD0E9A"/>
    <w:rsid w:val="00AD196F"/>
    <w:rsid w:val="00AD3CCE"/>
    <w:rsid w:val="00B0238B"/>
    <w:rsid w:val="00B07A46"/>
    <w:rsid w:val="00B07DCE"/>
    <w:rsid w:val="00B12123"/>
    <w:rsid w:val="00B21043"/>
    <w:rsid w:val="00B42EA0"/>
    <w:rsid w:val="00B44CAC"/>
    <w:rsid w:val="00B53CD8"/>
    <w:rsid w:val="00B56209"/>
    <w:rsid w:val="00B573D6"/>
    <w:rsid w:val="00B65936"/>
    <w:rsid w:val="00B73E65"/>
    <w:rsid w:val="00B81455"/>
    <w:rsid w:val="00B9627F"/>
    <w:rsid w:val="00BA2415"/>
    <w:rsid w:val="00BA3E23"/>
    <w:rsid w:val="00BA4DB2"/>
    <w:rsid w:val="00BA4F95"/>
    <w:rsid w:val="00BB2B38"/>
    <w:rsid w:val="00BB33F9"/>
    <w:rsid w:val="00BC3CE6"/>
    <w:rsid w:val="00BE5E41"/>
    <w:rsid w:val="00BF078E"/>
    <w:rsid w:val="00BF603E"/>
    <w:rsid w:val="00C24EDC"/>
    <w:rsid w:val="00C259B2"/>
    <w:rsid w:val="00C25A76"/>
    <w:rsid w:val="00C31EB3"/>
    <w:rsid w:val="00C32206"/>
    <w:rsid w:val="00C3559A"/>
    <w:rsid w:val="00C422C8"/>
    <w:rsid w:val="00C45C67"/>
    <w:rsid w:val="00C47091"/>
    <w:rsid w:val="00C523FF"/>
    <w:rsid w:val="00C71C3C"/>
    <w:rsid w:val="00C76998"/>
    <w:rsid w:val="00C93E83"/>
    <w:rsid w:val="00CA593D"/>
    <w:rsid w:val="00CC5D11"/>
    <w:rsid w:val="00CD1505"/>
    <w:rsid w:val="00D07D65"/>
    <w:rsid w:val="00D21780"/>
    <w:rsid w:val="00D23346"/>
    <w:rsid w:val="00D243B8"/>
    <w:rsid w:val="00D34794"/>
    <w:rsid w:val="00D4465D"/>
    <w:rsid w:val="00D4502D"/>
    <w:rsid w:val="00D530CE"/>
    <w:rsid w:val="00D53E3C"/>
    <w:rsid w:val="00D77950"/>
    <w:rsid w:val="00D909E4"/>
    <w:rsid w:val="00D96613"/>
    <w:rsid w:val="00DA028F"/>
    <w:rsid w:val="00DB6A7E"/>
    <w:rsid w:val="00DC3762"/>
    <w:rsid w:val="00DC5C47"/>
    <w:rsid w:val="00DD616A"/>
    <w:rsid w:val="00DE0465"/>
    <w:rsid w:val="00DE4E25"/>
    <w:rsid w:val="00E049ED"/>
    <w:rsid w:val="00E32EFD"/>
    <w:rsid w:val="00E34E6D"/>
    <w:rsid w:val="00E37CD4"/>
    <w:rsid w:val="00E57848"/>
    <w:rsid w:val="00E73459"/>
    <w:rsid w:val="00E73B9B"/>
    <w:rsid w:val="00E750BF"/>
    <w:rsid w:val="00E90708"/>
    <w:rsid w:val="00EA5DA0"/>
    <w:rsid w:val="00ED21C3"/>
    <w:rsid w:val="00ED2E7F"/>
    <w:rsid w:val="00ED388C"/>
    <w:rsid w:val="00ED46C3"/>
    <w:rsid w:val="00EE24BC"/>
    <w:rsid w:val="00EF02B0"/>
    <w:rsid w:val="00EF13A4"/>
    <w:rsid w:val="00F01B61"/>
    <w:rsid w:val="00F11338"/>
    <w:rsid w:val="00F13AE5"/>
    <w:rsid w:val="00F149FD"/>
    <w:rsid w:val="00F14B3E"/>
    <w:rsid w:val="00F14EC1"/>
    <w:rsid w:val="00F4262F"/>
    <w:rsid w:val="00F458DC"/>
    <w:rsid w:val="00F53719"/>
    <w:rsid w:val="00F57291"/>
    <w:rsid w:val="00F626D2"/>
    <w:rsid w:val="00F66CB0"/>
    <w:rsid w:val="00F76C89"/>
    <w:rsid w:val="00F81666"/>
    <w:rsid w:val="00F9158A"/>
    <w:rsid w:val="00FA29B8"/>
    <w:rsid w:val="00FC6F93"/>
    <w:rsid w:val="00FC7CBC"/>
    <w:rsid w:val="00FD3D92"/>
    <w:rsid w:val="00FF56DD"/>
    <w:rsid w:val="146CBD0A"/>
    <w:rsid w:val="17239979"/>
    <w:rsid w:val="1CCCED57"/>
    <w:rsid w:val="242EF2F2"/>
    <w:rsid w:val="37648DFD"/>
    <w:rsid w:val="4684332B"/>
    <w:rsid w:val="526CCBD3"/>
    <w:rsid w:val="5447F9F8"/>
    <w:rsid w:val="55918A0A"/>
    <w:rsid w:val="6410ECE0"/>
    <w:rsid w:val="735E44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C117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3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811631"/>
    <w:pPr>
      <w:tabs>
        <w:tab w:val="right" w:leader="dot" w:pos="9060"/>
      </w:tabs>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unhideWhenUsed/>
    <w:rsid w:val="00CC5D11"/>
    <w:rPr>
      <w:sz w:val="20"/>
    </w:rPr>
  </w:style>
  <w:style w:type="character" w:customStyle="1" w:styleId="CommentTextChar">
    <w:name w:val="Comment Text Char"/>
    <w:basedOn w:val="DefaultParagraphFont"/>
    <w:link w:val="CommentText"/>
    <w:uiPriority w:val="99"/>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character" w:customStyle="1" w:styleId="ListParagraphChar">
    <w:name w:val="List Paragraph Char"/>
    <w:basedOn w:val="DefaultParagraphFont"/>
    <w:link w:val="ListParagraph"/>
    <w:uiPriority w:val="34"/>
    <w:rsid w:val="00742D0B"/>
    <w:rPr>
      <w:rFonts w:ascii="Calibri" w:eastAsia="Times New Roman" w:hAnsi="Calibri" w:cs="Times New Roman"/>
      <w:sz w:val="24"/>
      <w:szCs w:val="20"/>
    </w:rPr>
  </w:style>
  <w:style w:type="character" w:customStyle="1" w:styleId="Heading4Char">
    <w:name w:val="Heading 4 Char"/>
    <w:basedOn w:val="DefaultParagraphFont"/>
    <w:link w:val="Heading4"/>
    <w:uiPriority w:val="9"/>
    <w:semiHidden/>
    <w:rsid w:val="001C117E"/>
    <w:rPr>
      <w:rFonts w:asciiTheme="majorHAnsi" w:eastAsiaTheme="majorEastAsia" w:hAnsiTheme="majorHAnsi" w:cstheme="majorBidi"/>
      <w:i/>
      <w:iCs/>
      <w:color w:val="365F91" w:themeColor="accent1" w:themeShade="BF"/>
      <w:sz w:val="24"/>
      <w:szCs w:val="20"/>
    </w:rPr>
  </w:style>
  <w:style w:type="paragraph" w:styleId="Caption">
    <w:name w:val="caption"/>
    <w:basedOn w:val="Normal"/>
    <w:next w:val="Normal"/>
    <w:uiPriority w:val="35"/>
    <w:unhideWhenUsed/>
    <w:qFormat/>
    <w:rsid w:val="001E32F1"/>
    <w:pPr>
      <w:spacing w:after="200"/>
    </w:pPr>
    <w:rPr>
      <w:rFonts w:asciiTheme="minorHAnsi" w:eastAsiaTheme="minorHAnsi" w:hAnsiTheme="minorHAnsi" w:cstheme="minorBidi"/>
      <w:i/>
      <w:iCs/>
      <w:color w:val="000000" w:themeColor="text1"/>
      <w:sz w:val="22"/>
      <w:szCs w:val="18"/>
    </w:rPr>
  </w:style>
  <w:style w:type="paragraph" w:customStyle="1" w:styleId="Tablecontent">
    <w:name w:val="Table content"/>
    <w:basedOn w:val="Normal"/>
    <w:qFormat/>
    <w:rsid w:val="001E32F1"/>
    <w:pPr>
      <w:spacing w:before="40" w:after="40"/>
      <w:jc w:val="center"/>
    </w:pPr>
    <w:rPr>
      <w:rFonts w:asciiTheme="minorHAnsi" w:eastAsiaTheme="minorHAnsi" w:hAnsiTheme="minorHAnsi" w:cstheme="minorBidi"/>
      <w:color w:val="000000" w:themeColor="text1"/>
      <w:sz w:val="22"/>
      <w:szCs w:val="22"/>
    </w:rPr>
  </w:style>
  <w:style w:type="paragraph" w:customStyle="1" w:styleId="TableHeading">
    <w:name w:val="Table Heading"/>
    <w:basedOn w:val="Tablecontent"/>
    <w:autoRedefine/>
    <w:qFormat/>
    <w:rsid w:val="001E32F1"/>
    <w:rPr>
      <w:b/>
    </w:rPr>
  </w:style>
  <w:style w:type="paragraph" w:customStyle="1" w:styleId="Note">
    <w:name w:val="Note"/>
    <w:basedOn w:val="Normal"/>
    <w:qFormat/>
    <w:rsid w:val="001E32F1"/>
    <w:pPr>
      <w:keepNext/>
      <w:keepLines/>
      <w:spacing w:before="120"/>
    </w:pPr>
    <w:rPr>
      <w:rFonts w:asciiTheme="minorHAnsi" w:eastAsiaTheme="minorHAnsi" w:hAnsiTheme="minorHAnsi" w:cstheme="minorBidi"/>
      <w:i/>
      <w:color w:val="000000" w:themeColor="text1"/>
      <w:sz w:val="22"/>
      <w:szCs w:val="22"/>
    </w:rPr>
  </w:style>
  <w:style w:type="table" w:customStyle="1" w:styleId="TableGrid1">
    <w:name w:val="Table Grid1"/>
    <w:basedOn w:val="TableNormal"/>
    <w:next w:val="TableGrid"/>
    <w:uiPriority w:val="39"/>
    <w:rsid w:val="00412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4124D4"/>
    <w:pPr>
      <w:pBdr>
        <w:top w:val="dashSmallGap" w:sz="4" w:space="8" w:color="auto"/>
        <w:left w:val="dashSmallGap" w:sz="4" w:space="4" w:color="auto"/>
        <w:bottom w:val="dashSmallGap" w:sz="4" w:space="8" w:color="auto"/>
        <w:right w:val="dashSmallGap" w:sz="4" w:space="4" w:color="auto"/>
      </w:pBdr>
      <w:spacing w:before="200" w:after="160"/>
      <w:ind w:left="864" w:right="864"/>
      <w:jc w:val="center"/>
    </w:pPr>
    <w:rPr>
      <w:rFonts w:asciiTheme="minorHAnsi" w:eastAsia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4124D4"/>
    <w:rPr>
      <w:i/>
      <w:iCs/>
      <w:color w:val="000000" w:themeColor="text1"/>
    </w:rPr>
  </w:style>
  <w:style w:type="paragraph" w:customStyle="1" w:styleId="NormalunderlineforHeading4">
    <w:name w:val="Normal (underline) for Heading 4"/>
    <w:basedOn w:val="Normal"/>
    <w:next w:val="Normal"/>
    <w:rsid w:val="00D07D65"/>
    <w:pPr>
      <w:spacing w:before="120" w:after="120"/>
    </w:pPr>
    <w:rPr>
      <w:rFonts w:asciiTheme="minorHAnsi" w:eastAsiaTheme="minorHAnsi" w:hAnsiTheme="minorHAnsi" w:cstheme="minorBidi"/>
      <w:color w:val="000000" w:themeColor="text1"/>
      <w:sz w:val="22"/>
      <w:szCs w:val="22"/>
      <w:u w:val="single"/>
    </w:rPr>
  </w:style>
  <w:style w:type="paragraph" w:styleId="NormalWeb">
    <w:name w:val="Normal (Web)"/>
    <w:basedOn w:val="Normal"/>
    <w:uiPriority w:val="99"/>
    <w:unhideWhenUsed/>
    <w:rsid w:val="00A930A9"/>
    <w:pPr>
      <w:spacing w:before="100" w:beforeAutospacing="1" w:after="100" w:afterAutospacing="1"/>
    </w:pPr>
    <w:rPr>
      <w:rFonts w:ascii="Times New Roman" w:hAnsi="Times New Roman"/>
      <w:szCs w:val="24"/>
      <w:lang w:eastAsia="en-GB"/>
    </w:rPr>
  </w:style>
  <w:style w:type="paragraph" w:customStyle="1" w:styleId="Listparagraphandindented">
    <w:name w:val="List paragraph and indented"/>
    <w:basedOn w:val="ListParagraph"/>
    <w:link w:val="ListparagraphandindentedChar"/>
    <w:rsid w:val="00690242"/>
    <w:pPr>
      <w:numPr>
        <w:numId w:val="5"/>
      </w:numPr>
      <w:autoSpaceDE w:val="0"/>
      <w:autoSpaceDN w:val="0"/>
      <w:adjustRightInd w:val="0"/>
      <w:ind w:left="1378" w:hanging="357"/>
      <w:contextualSpacing w:val="0"/>
    </w:pPr>
    <w:rPr>
      <w:rFonts w:asciiTheme="minorHAnsi" w:hAnsiTheme="minorHAnsi"/>
      <w:color w:val="000000" w:themeColor="text1"/>
      <w:sz w:val="22"/>
      <w:szCs w:val="22"/>
    </w:rPr>
  </w:style>
  <w:style w:type="character" w:customStyle="1" w:styleId="ListparagraphandindentedChar">
    <w:name w:val="List paragraph and indented Char"/>
    <w:basedOn w:val="DefaultParagraphFont"/>
    <w:link w:val="Listparagraphandindented"/>
    <w:locked/>
    <w:rsid w:val="00690242"/>
    <w:rPr>
      <w:rFonts w:eastAsia="Times New Roman" w:cs="Times New Roman"/>
      <w:color w:val="000000" w:themeColor="text1"/>
    </w:rPr>
  </w:style>
  <w:style w:type="character" w:customStyle="1" w:styleId="UnresolvedMention1">
    <w:name w:val="Unresolved Mention1"/>
    <w:basedOn w:val="DefaultParagraphFont"/>
    <w:uiPriority w:val="99"/>
    <w:semiHidden/>
    <w:unhideWhenUsed/>
    <w:rsid w:val="00057BD0"/>
    <w:rPr>
      <w:color w:val="605E5C"/>
      <w:shd w:val="clear" w:color="auto" w:fill="E1DFDD"/>
    </w:rPr>
  </w:style>
  <w:style w:type="paragraph" w:styleId="Revision">
    <w:name w:val="Revision"/>
    <w:hidden/>
    <w:uiPriority w:val="99"/>
    <w:semiHidden/>
    <w:rsid w:val="00752EE6"/>
    <w:pPr>
      <w:spacing w:after="0" w:line="240" w:lineRule="auto"/>
    </w:pPr>
    <w:rPr>
      <w:rFonts w:ascii="Calibri" w:eastAsia="Times New Roman" w:hAnsi="Calibri" w:cs="Times New Roman"/>
      <w:sz w:val="24"/>
      <w:szCs w:val="20"/>
    </w:rPr>
  </w:style>
  <w:style w:type="character" w:styleId="UnresolvedMention">
    <w:name w:val="Unresolved Mention"/>
    <w:basedOn w:val="DefaultParagraphFont"/>
    <w:uiPriority w:val="99"/>
    <w:semiHidden/>
    <w:unhideWhenUsed/>
    <w:rsid w:val="00752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5159">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483505310">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ood.gov.au/system/files/documents/Iron%20product%20choice%20and%20dose%20calculation20052016.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dx.doi.org/10.2139/ssrn.4166777" TargetMode="External"/><Relationship Id="rId2" Type="http://schemas.openxmlformats.org/officeDocument/2006/relationships/customXml" Target="../customXml/item2.xml"/><Relationship Id="rId16" Type="http://schemas.openxmlformats.org/officeDocument/2006/relationships/hyperlink" Target="https://ssrn.com/abstract=41667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health.sa.gov.au/wps/wcm/connect/a1b9b8804f25ca8fb5defd080fa6802e/FINAL+update+2+July+2015+with+tracked+changes+accepted_Intravenous+Iron+Infusion.pdf?MOD=AJPERES" TargetMode="External"/><Relationship Id="rId5" Type="http://schemas.openxmlformats.org/officeDocument/2006/relationships/numbering" Target="numbering.xml"/><Relationship Id="rId15" Type="http://schemas.openxmlformats.org/officeDocument/2006/relationships/hyperlink" Target="http://www.mims.com.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ms.com.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gress xmlns="690b2128-8961-48af-a473-22c34a9accba">For noting: potential for this policy document to be consolidated with CHS Iron Infusions – Adult Only due for review 1/10/2025</Progress>
    <Approval_x0020_Date xmlns="690b2128-8961-48af-a473-22c34a9accba">2024-02-15T13:00:00+00:00</Approval_x0020_Date>
    <Review_x0020_Date xmlns="690b2128-8961-48af-a473-22c34a9accba">2025-09-30T14:00:00+00:00</Review_x0020_Date>
    <TaxCatchAll xmlns="c0239a80-7f07-4ed7-82c3-24ad7d76ada5">
      <Value>417</Value>
      <Value>416</Value>
      <Value>415</Value>
      <Value>435</Value>
      <Value>441</Value>
    </TaxCatchAll>
    <Version_x0020_Number xmlns="690b2128-8961-48af-a473-22c34a9accba">1</Version_x0020_Number>
    <Notes0 xmlns="690b2128-8961-48af-a473-22c34a9accba" xsi:nil="true"/>
    <Key_x0020_Words xmlns="690b2128-8961-48af-a473-22c34a9accba">North, Iron Infusion, Ferric Carboxymaltose, Polymaltose, Intravenous Iron, iv iron, iron sucrose, iron polymaltose, ferric carboxymaltose, iron (Fe), anaemia, ferritin, intravenous, ferrinject, iron deficiency</Key_x0020_Words>
    <Type_x0020_of_x0020_Document xmlns="690b2128-8961-48af-a473-22c34a9accba">Procedure</Type_x0020_of_x0020_Document>
    <Approval_x0020_Name_x007c_Committee xmlns="690b2128-8961-48af-a473-22c34a9accba">CHS Policy Team</Approval_x0020_Name_x007c_Committee>
    <Status xmlns="690b2128-8961-48af-a473-22c34a9accba">Approved</Status>
    <New_x0020_Applies_x0020_To xmlns="690b2128-8961-48af-a473-22c34a9accba">Canberra Health Services</New_x0020_Applies_x0020_To>
    <Replaces_x003a_ xmlns="690b2128-8961-48af-a473-22c34a9accba">Iron Infusion Procedure</Replaces_x003a_>
    <ISD_x0020_Submitted xmlns="690b2128-8961-48af-a473-22c34a9accba">Not Required</ISD_x0020_Submitted>
    <Risk_x0020_Rating xmlns="690b2128-8961-48af-a473-22c34a9accba">Medium</Risk_x0020_Rating>
    <Description0 xmlns="690b2128-8961-48af-a473-22c34a9accba">The purpose of this document is to provide best practice procedures for the safe prescribing, preparation, administration and monitoring of intravenous (IV) iron administered to adult patients.</Description0>
    <Display_x0020_on_x0020_Internet xmlns="690b2128-8961-48af-a473-22c34a9accba">true</Display_x0020_on_x0020_Internet>
    <Related_x0020_Documents xmlns="690b2128-8961-48af-a473-22c34a9accba" xsi:nil="true"/>
    <Decision_x0020_Number xmlns="690b2128-8961-48af-a473-22c34a9accba">CHS24/063</Decision_x0020_Number>
    <RelatedPolicies_x002c_ProceduresGuidelines xmlns="690b2128-8961-48af-a473-22c34a9accba">
      <Value>16457</Value>
      <Value>17042</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Info xmlns="http://schemas.microsoft.com/office/infopath/2007/PartnerControls">
          <TermName xmlns="http://schemas.microsoft.com/office/infopath/2007/PartnerControls">Medicines, Poisons and Therapeutic Goods Act 2008 (Territory)</TermName>
          <TermId xmlns="http://schemas.microsoft.com/office/infopath/2007/PartnerControls">e04bb8da-bc44-4cb4-a98e-c18b8e4177ac</TermId>
        </TermInfo>
        <TermInfo xmlns="http://schemas.microsoft.com/office/infopath/2007/PartnerControls">
          <TermName xmlns="http://schemas.microsoft.com/office/infopath/2007/PartnerControls">Medicines, Poisons and Therapeutic Goods Regulation 2008 (Territory)</TermName>
          <TermId xmlns="http://schemas.microsoft.com/office/infopath/2007/PartnerControls">d8a601e5-b818-46c5-b1f0-8bd78d448dbc</TermId>
        </TermInfo>
      </Terms>
    </k0794e393e1f41c2810d090eedba34a0>
    <New_x0020_Owner xmlns="690b2128-8961-48af-a473-22c34a9accba">North Canberra Hospital (NCH) – Allied Health &amp; Palliative Care – Pharmacy  </New_x0020_Owner>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e92cdff7a5e326f8e1cd78cab442d1c9">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19fe5ee6d80ed5e664fd7ece6102a156"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F58B0-E6BF-4237-9984-6DF2E01C04FA}">
  <ds:schemaRefs>
    <ds:schemaRef ds:uri="http://purl.org/dc/terms/"/>
    <ds:schemaRef ds:uri="c0239a80-7f07-4ed7-82c3-24ad7d76ada5"/>
    <ds:schemaRef ds:uri="690b2128-8961-48af-a473-22c34a9accba"/>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96D04A8-945E-49DF-9944-DC2375E5D2BF}">
  <ds:schemaRefs>
    <ds:schemaRef ds:uri="http://schemas.openxmlformats.org/officeDocument/2006/bibliography"/>
  </ds:schemaRefs>
</ds:datastoreItem>
</file>

<file path=customXml/itemProps3.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4.xml><?xml version="1.0" encoding="utf-8"?>
<ds:datastoreItem xmlns:ds="http://schemas.openxmlformats.org/officeDocument/2006/customXml" ds:itemID="{91709C83-36EC-442F-95C4-99BF6FBEAA50}"/>
</file>

<file path=docProps/app.xml><?xml version="1.0" encoding="utf-8"?>
<Properties xmlns="http://schemas.openxmlformats.org/officeDocument/2006/extended-properties" xmlns:vt="http://schemas.openxmlformats.org/officeDocument/2006/docPropsVTypes">
  <Template>Normal</Template>
  <TotalTime>19</TotalTime>
  <Pages>21</Pages>
  <Words>5204</Words>
  <Characters>28878</Characters>
  <Application>Microsoft Office Word</Application>
  <DocSecurity>0</DocSecurity>
  <Lines>935</Lines>
  <Paragraphs>461</Paragraphs>
  <ScaleCrop>false</ScaleCrop>
  <Company>ACT Government</Company>
  <LinksUpToDate>false</LinksUpToDate>
  <CharactersWithSpaces>33936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Infusion (Adults only) - North Canberra Hospital (NCH)</dc:title>
  <dc:creator>Kerryn Hunter</dc:creator>
  <cp:lastModifiedBy>Rusanov, Zoia (Health)</cp:lastModifiedBy>
  <cp:revision>9</cp:revision>
  <cp:lastPrinted>2015-01-20T22:40:00Z</cp:lastPrinted>
  <dcterms:created xsi:type="dcterms:W3CDTF">2024-02-13T04:57:00Z</dcterms:created>
  <dcterms:modified xsi:type="dcterms:W3CDTF">2024-02-16T04:33:00Z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Order">
    <vt:r8>4100</vt:r8>
  </property>
  <property fmtid="{D5CDD505-2E9C-101B-9397-08002B2CF9AE}" pid="4" name="_ExtendedDescription">
    <vt:lpwstr/>
  </property>
  <property fmtid="{D5CDD505-2E9C-101B-9397-08002B2CF9AE}" pid="5" name="Related Legislation &amp; Guidelines">
    <vt:lpwstr>415;#Health Records (Privacy and Access) Act 1997 (Territory)|d07d1347-0355-417c-badf-2bae9c7c0e3b;#416;#Human Rights Act 2004 (Territory)|bbb6fb4a-2117-4ff9-8364-021a762deae2;#417;#Work Health and Safety Act 2011 (Territory)|ff017976-c7e7-4dc1-b890-63352415bc5e;#435;#Medicines, Poisons and Therapeutic Goods Act 2008 (Territory)|e04bb8da-bc44-4cb4-a98e-c18b8e4177ac;#441;#Medicines, Poisons and Therapeutic Goods Regulation 2008 (Territory)|d8a601e5-b818-46c5-b1f0-8bd78d448dbc</vt:lpwstr>
  </property>
</Properties>
</file>