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0B222339" w:rsidR="007B6904" w:rsidRPr="006A3770" w:rsidRDefault="00494EEF" w:rsidP="006A3770">
      <w:pPr>
        <w:rPr>
          <w:rFonts w:cs="Arial"/>
          <w:b/>
          <w:i/>
          <w:sz w:val="36"/>
          <w:szCs w:val="36"/>
        </w:rPr>
      </w:pPr>
      <w:r>
        <w:rPr>
          <w:rFonts w:cs="Arial"/>
          <w:b/>
          <w:sz w:val="36"/>
          <w:szCs w:val="36"/>
        </w:rPr>
        <w:t>North Canberra Hospital (NCH) – Clinical Review</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8373007"/>
            <w:r w:rsidRPr="00CD1C0E">
              <w:t>Contents</w:t>
            </w:r>
            <w:bookmarkEnd w:id="5"/>
            <w:bookmarkEnd w:id="6"/>
            <w:bookmarkEnd w:id="7"/>
          </w:p>
        </w:tc>
      </w:tr>
    </w:tbl>
    <w:p w14:paraId="2F51A853" w14:textId="77777777" w:rsidR="007B6904" w:rsidRDefault="007B6904" w:rsidP="007B6904"/>
    <w:p w14:paraId="1231428C" w14:textId="1DFF9A3E" w:rsidR="00ED369B"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8373007" w:history="1">
        <w:r w:rsidR="00ED369B" w:rsidRPr="000D0F83">
          <w:rPr>
            <w:rStyle w:val="Hyperlink"/>
            <w:noProof/>
          </w:rPr>
          <w:t>Contents</w:t>
        </w:r>
        <w:r w:rsidR="00ED369B">
          <w:rPr>
            <w:noProof/>
            <w:webHidden/>
          </w:rPr>
          <w:tab/>
        </w:r>
        <w:r w:rsidR="00ED369B">
          <w:rPr>
            <w:noProof/>
            <w:webHidden/>
          </w:rPr>
          <w:fldChar w:fldCharType="begin"/>
        </w:r>
        <w:r w:rsidR="00ED369B">
          <w:rPr>
            <w:noProof/>
            <w:webHidden/>
          </w:rPr>
          <w:instrText xml:space="preserve"> PAGEREF _Toc158373007 \h </w:instrText>
        </w:r>
        <w:r w:rsidR="00ED369B">
          <w:rPr>
            <w:noProof/>
            <w:webHidden/>
          </w:rPr>
        </w:r>
        <w:r w:rsidR="00ED369B">
          <w:rPr>
            <w:noProof/>
            <w:webHidden/>
          </w:rPr>
          <w:fldChar w:fldCharType="separate"/>
        </w:r>
        <w:r w:rsidR="00ED369B">
          <w:rPr>
            <w:noProof/>
            <w:webHidden/>
          </w:rPr>
          <w:t>1</w:t>
        </w:r>
        <w:r w:rsidR="00ED369B">
          <w:rPr>
            <w:noProof/>
            <w:webHidden/>
          </w:rPr>
          <w:fldChar w:fldCharType="end"/>
        </w:r>
      </w:hyperlink>
    </w:p>
    <w:p w14:paraId="06D2A51E" w14:textId="67359558"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08" w:history="1">
        <w:r w:rsidRPr="000D0F83">
          <w:rPr>
            <w:rStyle w:val="Hyperlink"/>
            <w:noProof/>
          </w:rPr>
          <w:t>Purpose</w:t>
        </w:r>
        <w:r>
          <w:rPr>
            <w:noProof/>
            <w:webHidden/>
          </w:rPr>
          <w:tab/>
        </w:r>
        <w:r>
          <w:rPr>
            <w:noProof/>
            <w:webHidden/>
          </w:rPr>
          <w:fldChar w:fldCharType="begin"/>
        </w:r>
        <w:r>
          <w:rPr>
            <w:noProof/>
            <w:webHidden/>
          </w:rPr>
          <w:instrText xml:space="preserve"> PAGEREF _Toc158373008 \h </w:instrText>
        </w:r>
        <w:r>
          <w:rPr>
            <w:noProof/>
            <w:webHidden/>
          </w:rPr>
        </w:r>
        <w:r>
          <w:rPr>
            <w:noProof/>
            <w:webHidden/>
          </w:rPr>
          <w:fldChar w:fldCharType="separate"/>
        </w:r>
        <w:r>
          <w:rPr>
            <w:noProof/>
            <w:webHidden/>
          </w:rPr>
          <w:t>2</w:t>
        </w:r>
        <w:r>
          <w:rPr>
            <w:noProof/>
            <w:webHidden/>
          </w:rPr>
          <w:fldChar w:fldCharType="end"/>
        </w:r>
      </w:hyperlink>
    </w:p>
    <w:p w14:paraId="5A152279" w14:textId="63F28924"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09" w:history="1">
        <w:r w:rsidRPr="000D0F83">
          <w:rPr>
            <w:rStyle w:val="Hyperlink"/>
            <w:noProof/>
          </w:rPr>
          <w:t>Scope</w:t>
        </w:r>
        <w:r>
          <w:rPr>
            <w:noProof/>
            <w:webHidden/>
          </w:rPr>
          <w:tab/>
        </w:r>
        <w:r>
          <w:rPr>
            <w:noProof/>
            <w:webHidden/>
          </w:rPr>
          <w:fldChar w:fldCharType="begin"/>
        </w:r>
        <w:r>
          <w:rPr>
            <w:noProof/>
            <w:webHidden/>
          </w:rPr>
          <w:instrText xml:space="preserve"> PAGEREF _Toc158373009 \h </w:instrText>
        </w:r>
        <w:r>
          <w:rPr>
            <w:noProof/>
            <w:webHidden/>
          </w:rPr>
        </w:r>
        <w:r>
          <w:rPr>
            <w:noProof/>
            <w:webHidden/>
          </w:rPr>
          <w:fldChar w:fldCharType="separate"/>
        </w:r>
        <w:r>
          <w:rPr>
            <w:noProof/>
            <w:webHidden/>
          </w:rPr>
          <w:t>2</w:t>
        </w:r>
        <w:r>
          <w:rPr>
            <w:noProof/>
            <w:webHidden/>
          </w:rPr>
          <w:fldChar w:fldCharType="end"/>
        </w:r>
      </w:hyperlink>
    </w:p>
    <w:p w14:paraId="77D86D18" w14:textId="27EEFA08"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10" w:history="1">
        <w:r w:rsidRPr="000D0F83">
          <w:rPr>
            <w:rStyle w:val="Hyperlink"/>
            <w:noProof/>
          </w:rPr>
          <w:t>Section 1 – Clinical Review</w:t>
        </w:r>
        <w:r>
          <w:rPr>
            <w:noProof/>
            <w:webHidden/>
          </w:rPr>
          <w:tab/>
        </w:r>
        <w:r>
          <w:rPr>
            <w:noProof/>
            <w:webHidden/>
          </w:rPr>
          <w:fldChar w:fldCharType="begin"/>
        </w:r>
        <w:r>
          <w:rPr>
            <w:noProof/>
            <w:webHidden/>
          </w:rPr>
          <w:instrText xml:space="preserve"> PAGEREF _Toc158373010 \h </w:instrText>
        </w:r>
        <w:r>
          <w:rPr>
            <w:noProof/>
            <w:webHidden/>
          </w:rPr>
        </w:r>
        <w:r>
          <w:rPr>
            <w:noProof/>
            <w:webHidden/>
          </w:rPr>
          <w:fldChar w:fldCharType="separate"/>
        </w:r>
        <w:r>
          <w:rPr>
            <w:noProof/>
            <w:webHidden/>
          </w:rPr>
          <w:t>2</w:t>
        </w:r>
        <w:r>
          <w:rPr>
            <w:noProof/>
            <w:webHidden/>
          </w:rPr>
          <w:fldChar w:fldCharType="end"/>
        </w:r>
      </w:hyperlink>
    </w:p>
    <w:p w14:paraId="44DE3C90" w14:textId="32641DCC"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11" w:history="1">
        <w:r w:rsidRPr="000D0F83">
          <w:rPr>
            <w:rStyle w:val="Hyperlink"/>
            <w:noProof/>
          </w:rPr>
          <w:t>Section 2 – Clinical Review Meetings</w:t>
        </w:r>
        <w:r>
          <w:rPr>
            <w:noProof/>
            <w:webHidden/>
          </w:rPr>
          <w:tab/>
        </w:r>
        <w:r>
          <w:rPr>
            <w:noProof/>
            <w:webHidden/>
          </w:rPr>
          <w:fldChar w:fldCharType="begin"/>
        </w:r>
        <w:r>
          <w:rPr>
            <w:noProof/>
            <w:webHidden/>
          </w:rPr>
          <w:instrText xml:space="preserve"> PAGEREF _Toc158373011 \h </w:instrText>
        </w:r>
        <w:r>
          <w:rPr>
            <w:noProof/>
            <w:webHidden/>
          </w:rPr>
        </w:r>
        <w:r>
          <w:rPr>
            <w:noProof/>
            <w:webHidden/>
          </w:rPr>
          <w:fldChar w:fldCharType="separate"/>
        </w:r>
        <w:r>
          <w:rPr>
            <w:noProof/>
            <w:webHidden/>
          </w:rPr>
          <w:t>4</w:t>
        </w:r>
        <w:r>
          <w:rPr>
            <w:noProof/>
            <w:webHidden/>
          </w:rPr>
          <w:fldChar w:fldCharType="end"/>
        </w:r>
      </w:hyperlink>
    </w:p>
    <w:p w14:paraId="1CC62A1F" w14:textId="598ED376"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12" w:history="1">
        <w:r w:rsidRPr="000D0F83">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_Toc158373012 \h </w:instrText>
        </w:r>
        <w:r>
          <w:rPr>
            <w:noProof/>
            <w:webHidden/>
          </w:rPr>
        </w:r>
        <w:r>
          <w:rPr>
            <w:noProof/>
            <w:webHidden/>
          </w:rPr>
          <w:fldChar w:fldCharType="separate"/>
        </w:r>
        <w:r>
          <w:rPr>
            <w:noProof/>
            <w:webHidden/>
          </w:rPr>
          <w:t>5</w:t>
        </w:r>
        <w:r>
          <w:rPr>
            <w:noProof/>
            <w:webHidden/>
          </w:rPr>
          <w:fldChar w:fldCharType="end"/>
        </w:r>
      </w:hyperlink>
    </w:p>
    <w:p w14:paraId="794A9783" w14:textId="6ABB0DF0"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13" w:history="1">
        <w:r w:rsidRPr="000D0F83">
          <w:rPr>
            <w:rStyle w:val="Hyperlink"/>
            <w:noProof/>
          </w:rPr>
          <w:t>References</w:t>
        </w:r>
        <w:r>
          <w:rPr>
            <w:noProof/>
            <w:webHidden/>
          </w:rPr>
          <w:tab/>
        </w:r>
        <w:r>
          <w:rPr>
            <w:noProof/>
            <w:webHidden/>
          </w:rPr>
          <w:fldChar w:fldCharType="begin"/>
        </w:r>
        <w:r>
          <w:rPr>
            <w:noProof/>
            <w:webHidden/>
          </w:rPr>
          <w:instrText xml:space="preserve"> PAGEREF _Toc158373013 \h </w:instrText>
        </w:r>
        <w:r>
          <w:rPr>
            <w:noProof/>
            <w:webHidden/>
          </w:rPr>
        </w:r>
        <w:r>
          <w:rPr>
            <w:noProof/>
            <w:webHidden/>
          </w:rPr>
          <w:fldChar w:fldCharType="separate"/>
        </w:r>
        <w:r>
          <w:rPr>
            <w:noProof/>
            <w:webHidden/>
          </w:rPr>
          <w:t>6</w:t>
        </w:r>
        <w:r>
          <w:rPr>
            <w:noProof/>
            <w:webHidden/>
          </w:rPr>
          <w:fldChar w:fldCharType="end"/>
        </w:r>
      </w:hyperlink>
    </w:p>
    <w:p w14:paraId="3DA37BE5" w14:textId="3301B907"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14" w:history="1">
        <w:r w:rsidRPr="000D0F83">
          <w:rPr>
            <w:rStyle w:val="Hyperlink"/>
            <w:noProof/>
          </w:rPr>
          <w:t>Definition of Terms</w:t>
        </w:r>
        <w:r>
          <w:rPr>
            <w:noProof/>
            <w:webHidden/>
          </w:rPr>
          <w:tab/>
        </w:r>
        <w:r>
          <w:rPr>
            <w:noProof/>
            <w:webHidden/>
          </w:rPr>
          <w:fldChar w:fldCharType="begin"/>
        </w:r>
        <w:r>
          <w:rPr>
            <w:noProof/>
            <w:webHidden/>
          </w:rPr>
          <w:instrText xml:space="preserve"> PAGEREF _Toc158373014 \h </w:instrText>
        </w:r>
        <w:r>
          <w:rPr>
            <w:noProof/>
            <w:webHidden/>
          </w:rPr>
        </w:r>
        <w:r>
          <w:rPr>
            <w:noProof/>
            <w:webHidden/>
          </w:rPr>
          <w:fldChar w:fldCharType="separate"/>
        </w:r>
        <w:r>
          <w:rPr>
            <w:noProof/>
            <w:webHidden/>
          </w:rPr>
          <w:t>6</w:t>
        </w:r>
        <w:r>
          <w:rPr>
            <w:noProof/>
            <w:webHidden/>
          </w:rPr>
          <w:fldChar w:fldCharType="end"/>
        </w:r>
      </w:hyperlink>
    </w:p>
    <w:p w14:paraId="43D4CB0B" w14:textId="400B51F6" w:rsidR="00ED369B" w:rsidRDefault="00ED369B">
      <w:pPr>
        <w:pStyle w:val="TOC1"/>
        <w:tabs>
          <w:tab w:val="right" w:leader="dot" w:pos="9060"/>
        </w:tabs>
        <w:rPr>
          <w:rFonts w:eastAsiaTheme="minorEastAsia" w:cstheme="minorBidi"/>
          <w:noProof/>
          <w:kern w:val="2"/>
          <w:sz w:val="22"/>
          <w:szCs w:val="22"/>
          <w:lang w:eastAsia="en-AU"/>
          <w14:ligatures w14:val="standardContextual"/>
        </w:rPr>
      </w:pPr>
      <w:hyperlink w:anchor="_Toc158373015" w:history="1">
        <w:r w:rsidRPr="000D0F83">
          <w:rPr>
            <w:rStyle w:val="Hyperlink"/>
            <w:noProof/>
          </w:rPr>
          <w:t>Search Terms</w:t>
        </w:r>
        <w:r>
          <w:rPr>
            <w:noProof/>
            <w:webHidden/>
          </w:rPr>
          <w:tab/>
        </w:r>
        <w:r>
          <w:rPr>
            <w:noProof/>
            <w:webHidden/>
          </w:rPr>
          <w:fldChar w:fldCharType="begin"/>
        </w:r>
        <w:r>
          <w:rPr>
            <w:noProof/>
            <w:webHidden/>
          </w:rPr>
          <w:instrText xml:space="preserve"> PAGEREF _Toc158373015 \h </w:instrText>
        </w:r>
        <w:r>
          <w:rPr>
            <w:noProof/>
            <w:webHidden/>
          </w:rPr>
        </w:r>
        <w:r>
          <w:rPr>
            <w:noProof/>
            <w:webHidden/>
          </w:rPr>
          <w:fldChar w:fldCharType="separate"/>
        </w:r>
        <w:r>
          <w:rPr>
            <w:noProof/>
            <w:webHidden/>
          </w:rPr>
          <w:t>7</w:t>
        </w:r>
        <w:r>
          <w:rPr>
            <w:noProof/>
            <w:webHidden/>
          </w:rPr>
          <w:fldChar w:fldCharType="end"/>
        </w:r>
      </w:hyperlink>
    </w:p>
    <w:p w14:paraId="2F51A861" w14:textId="557E5071"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8373008"/>
            <w:r w:rsidRPr="00CD1C0E">
              <w:t>Purpose</w:t>
            </w:r>
            <w:bookmarkEnd w:id="8"/>
            <w:bookmarkEnd w:id="9"/>
          </w:p>
        </w:tc>
      </w:tr>
    </w:tbl>
    <w:p w14:paraId="2F51A866" w14:textId="77777777" w:rsidR="00931B93" w:rsidRDefault="00931B93" w:rsidP="00931B93">
      <w:pPr>
        <w:rPr>
          <w:rFonts w:cs="Arial"/>
          <w:i/>
          <w:szCs w:val="24"/>
        </w:rPr>
      </w:pPr>
    </w:p>
    <w:p w14:paraId="41BBC89F" w14:textId="130D0B16" w:rsidR="00644659" w:rsidRPr="00644659" w:rsidRDefault="00644659" w:rsidP="00520763">
      <w:pPr>
        <w:spacing w:line="276" w:lineRule="auto"/>
        <w:rPr>
          <w:rFonts w:cs="Arial"/>
          <w:b/>
        </w:rPr>
      </w:pPr>
      <w:r w:rsidRPr="00644659">
        <w:rPr>
          <w:rStyle w:val="normaltextrun"/>
          <w:rFonts w:cs="Calibri"/>
          <w:color w:val="000000"/>
          <w:shd w:val="clear" w:color="auto" w:fill="FFFFFF"/>
        </w:rPr>
        <w:t xml:space="preserve">Canberra Health Services (CHS) is committed to creating exceptional health care that is personal, </w:t>
      </w:r>
      <w:proofErr w:type="gramStart"/>
      <w:r w:rsidRPr="00644659">
        <w:rPr>
          <w:rStyle w:val="normaltextrun"/>
          <w:rFonts w:cs="Calibri"/>
          <w:color w:val="000000"/>
          <w:shd w:val="clear" w:color="auto" w:fill="FFFFFF"/>
        </w:rPr>
        <w:t>connected</w:t>
      </w:r>
      <w:proofErr w:type="gramEnd"/>
      <w:r w:rsidRPr="00644659">
        <w:rPr>
          <w:rStyle w:val="normaltextrun"/>
          <w:rFonts w:cs="Calibri"/>
          <w:color w:val="000000"/>
          <w:shd w:val="clear" w:color="auto" w:fill="FFFFFF"/>
        </w:rPr>
        <w:t xml:space="preserve"> and accessible, effective, safe and well-led for every consumer, every time. We comply with the National Safety and Quality Health Service Standard - Clinical Governance (second edition). </w:t>
      </w:r>
      <w:r w:rsidR="00C47B55" w:rsidRPr="00644659">
        <w:t xml:space="preserve">This procedure provides North Canberra Hospital (NCH) </w:t>
      </w:r>
      <w:r w:rsidRPr="00644659">
        <w:t xml:space="preserve">employees </w:t>
      </w:r>
      <w:r w:rsidR="00C47B55" w:rsidRPr="00644659">
        <w:t xml:space="preserve">information </w:t>
      </w:r>
      <w:r w:rsidR="00C47B55" w:rsidRPr="00644659">
        <w:rPr>
          <w:rFonts w:cs="Arial"/>
        </w:rPr>
        <w:t>regarding their involvement in clinical review activities.</w:t>
      </w:r>
      <w:r w:rsidR="00C47B55" w:rsidRPr="00644659">
        <w:t xml:space="preserve"> </w:t>
      </w:r>
      <w:r w:rsidR="00C47B55" w:rsidRPr="00644659">
        <w:rPr>
          <w:rFonts w:cs="Arial"/>
          <w:b/>
        </w:rPr>
        <w:t xml:space="preserve"> </w:t>
      </w:r>
    </w:p>
    <w:p w14:paraId="60598552" w14:textId="77777777" w:rsidR="00644659" w:rsidRPr="00644659" w:rsidRDefault="00644659" w:rsidP="00520763">
      <w:pPr>
        <w:spacing w:line="276" w:lineRule="auto"/>
        <w:rPr>
          <w:rFonts w:cs="Arial"/>
          <w:b/>
        </w:rPr>
      </w:pPr>
    </w:p>
    <w:p w14:paraId="69F4F9E8" w14:textId="37B59C78" w:rsidR="00C47B55" w:rsidRPr="00C46FBE" w:rsidRDefault="00644659" w:rsidP="00520763">
      <w:pPr>
        <w:spacing w:line="276" w:lineRule="auto"/>
        <w:rPr>
          <w:rFonts w:cs="Arial"/>
        </w:rPr>
      </w:pPr>
      <w:r w:rsidRPr="00644659">
        <w:rPr>
          <w:rFonts w:cs="Arial"/>
        </w:rPr>
        <w:t xml:space="preserve">The </w:t>
      </w:r>
      <w:r w:rsidR="00C47B55" w:rsidRPr="00644659">
        <w:rPr>
          <w:rFonts w:cs="Arial"/>
        </w:rPr>
        <w:t xml:space="preserve">Clinical review creates an invaluable tool which engages multidisciplinary participation and clinical expertise in the process of improving patient safety and quality care. A multidisciplinary approach also promotes reflective practice and shared learning opportunities for all </w:t>
      </w:r>
      <w:r w:rsidRPr="00644659">
        <w:rPr>
          <w:rFonts w:cs="Arial"/>
        </w:rPr>
        <w:t>employees</w:t>
      </w:r>
      <w:r w:rsidR="00C47B55" w:rsidRPr="00644659">
        <w:rPr>
          <w:rFonts w:cs="Arial"/>
        </w:rPr>
        <w:t>.</w:t>
      </w:r>
    </w:p>
    <w:p w14:paraId="76241F68" w14:textId="77777777" w:rsidR="00C47B55" w:rsidRPr="00C46FBE" w:rsidRDefault="00C47B55" w:rsidP="00520763">
      <w:pPr>
        <w:spacing w:line="276" w:lineRule="auto"/>
        <w:outlineLvl w:val="0"/>
        <w:rPr>
          <w:rFonts w:asciiTheme="minorHAnsi" w:hAnsiTheme="minorHAnsi" w:cstheme="minorHAnsi"/>
        </w:rPr>
      </w:pPr>
    </w:p>
    <w:p w14:paraId="1337E569" w14:textId="77777777" w:rsidR="00C46FBE" w:rsidRPr="00C46FBE" w:rsidRDefault="00C47B55" w:rsidP="00520763">
      <w:pPr>
        <w:pStyle w:val="paragraph"/>
        <w:spacing w:before="0" w:beforeAutospacing="0" w:after="0" w:afterAutospacing="0" w:line="276" w:lineRule="auto"/>
        <w:textAlignment w:val="baseline"/>
        <w:rPr>
          <w:rFonts w:asciiTheme="minorHAnsi" w:hAnsiTheme="minorHAnsi" w:cstheme="minorHAnsi"/>
          <w:szCs w:val="20"/>
          <w:lang w:eastAsia="en-US"/>
        </w:rPr>
      </w:pPr>
      <w:r w:rsidRPr="00C46FBE">
        <w:rPr>
          <w:rFonts w:asciiTheme="minorHAnsi" w:hAnsiTheme="minorHAnsi" w:cstheme="minorHAnsi"/>
          <w:szCs w:val="20"/>
          <w:lang w:eastAsia="en-US"/>
        </w:rPr>
        <w:t xml:space="preserve">Clinical review activities are part of a quality management system for continual improvement and are an essential component of clinical governance, seeking to improve patient care and outcomes through systematic evaluation of care against explicit criteria (such as standards, </w:t>
      </w:r>
      <w:proofErr w:type="gramStart"/>
      <w:r w:rsidRPr="00C46FBE">
        <w:rPr>
          <w:rFonts w:asciiTheme="minorHAnsi" w:hAnsiTheme="minorHAnsi" w:cstheme="minorHAnsi"/>
          <w:szCs w:val="20"/>
          <w:lang w:eastAsia="en-US"/>
        </w:rPr>
        <w:t>legislation</w:t>
      </w:r>
      <w:proofErr w:type="gramEnd"/>
      <w:r w:rsidRPr="00C46FBE">
        <w:rPr>
          <w:rFonts w:asciiTheme="minorHAnsi" w:hAnsiTheme="minorHAnsi" w:cstheme="minorHAnsi"/>
          <w:szCs w:val="20"/>
          <w:lang w:eastAsia="en-US"/>
        </w:rPr>
        <w:t xml:space="preserve"> and policies).</w:t>
      </w:r>
      <w:r w:rsidR="00644659" w:rsidRPr="00C46FBE">
        <w:rPr>
          <w:rFonts w:asciiTheme="minorHAnsi" w:hAnsiTheme="minorHAnsi" w:cstheme="minorHAnsi"/>
          <w:szCs w:val="20"/>
          <w:lang w:eastAsia="en-US"/>
        </w:rPr>
        <w:t xml:space="preserve">  Together with the Partnering with Consumers Policy, this procedure</w:t>
      </w:r>
      <w:r w:rsidR="00C46FBE" w:rsidRPr="00C46FBE">
        <w:rPr>
          <w:rFonts w:asciiTheme="minorHAnsi" w:hAnsiTheme="minorHAnsi" w:cstheme="minorHAnsi"/>
          <w:b/>
          <w:iCs/>
          <w:lang w:eastAsia="en-US"/>
        </w:rPr>
        <w:t xml:space="preserve"> </w:t>
      </w:r>
      <w:proofErr w:type="gramStart"/>
      <w:r w:rsidR="00C46FBE" w:rsidRPr="00C46FBE">
        <w:rPr>
          <w:rFonts w:asciiTheme="minorHAnsi" w:hAnsiTheme="minorHAnsi" w:cstheme="minorHAnsi"/>
          <w:szCs w:val="20"/>
          <w:lang w:eastAsia="en-US"/>
        </w:rPr>
        <w:t>refer</w:t>
      </w:r>
      <w:proofErr w:type="gramEnd"/>
      <w:r w:rsidR="00C46FBE" w:rsidRPr="00C46FBE">
        <w:rPr>
          <w:rFonts w:asciiTheme="minorHAnsi" w:hAnsiTheme="minorHAnsi" w:cstheme="minorHAnsi"/>
          <w:szCs w:val="20"/>
          <w:lang w:eastAsia="en-US"/>
        </w:rPr>
        <w:t xml:space="preserve"> to the Australian Commission on Safety and Quality in Health Care National Safety and Quality Health Service Standard Guide for Hospitals</w:t>
      </w:r>
      <w:r w:rsidR="00644659" w:rsidRPr="00C46FBE">
        <w:rPr>
          <w:rFonts w:asciiTheme="minorHAnsi" w:hAnsiTheme="minorHAnsi" w:cstheme="minorHAnsi"/>
          <w:szCs w:val="20"/>
          <w:lang w:eastAsia="en-US"/>
        </w:rPr>
        <w:t>. </w:t>
      </w:r>
    </w:p>
    <w:p w14:paraId="6296490E" w14:textId="77777777" w:rsidR="00C46FBE" w:rsidRPr="00C46FBE" w:rsidRDefault="00C46FBE" w:rsidP="00520763">
      <w:pPr>
        <w:pStyle w:val="paragraph"/>
        <w:spacing w:before="0" w:beforeAutospacing="0" w:after="0" w:afterAutospacing="0" w:line="276" w:lineRule="auto"/>
        <w:textAlignment w:val="baseline"/>
        <w:rPr>
          <w:rFonts w:cs="Arial"/>
          <w:szCs w:val="20"/>
          <w:lang w:eastAsia="en-US"/>
        </w:rPr>
      </w:pPr>
    </w:p>
    <w:p w14:paraId="2F51A878" w14:textId="3A7D77C7" w:rsidR="00DE4E25" w:rsidRPr="00C46FBE" w:rsidRDefault="00C47B55" w:rsidP="00520763">
      <w:pPr>
        <w:pStyle w:val="paragraph"/>
        <w:spacing w:before="0" w:beforeAutospacing="0" w:after="0" w:afterAutospacing="0" w:line="276" w:lineRule="auto"/>
        <w:textAlignment w:val="baseline"/>
        <w:rPr>
          <w:rFonts w:ascii="Calibri" w:hAnsi="Calibri" w:cs="Arial"/>
          <w:szCs w:val="20"/>
          <w:lang w:eastAsia="en-US"/>
        </w:rPr>
      </w:pPr>
      <w:r w:rsidRPr="00C46FBE">
        <w:rPr>
          <w:rFonts w:ascii="Calibri" w:hAnsi="Calibri" w:cs="Arial"/>
          <w:szCs w:val="20"/>
          <w:lang w:eastAsia="en-US"/>
        </w:rPr>
        <w:t xml:space="preserve">It involves identification of recommendations required to improve clinical practice, </w:t>
      </w:r>
      <w:proofErr w:type="spellStart"/>
      <w:r w:rsidR="00644659" w:rsidRPr="00C46FBE">
        <w:rPr>
          <w:rFonts w:ascii="Calibri" w:hAnsi="Calibri" w:cs="Arial"/>
          <w:szCs w:val="20"/>
          <w:lang w:eastAsia="en-US"/>
        </w:rPr>
        <w:t>implement</w:t>
      </w:r>
      <w:r w:rsidRPr="00C46FBE">
        <w:rPr>
          <w:rFonts w:ascii="Calibri" w:hAnsi="Calibri" w:cs="Arial"/>
          <w:szCs w:val="20"/>
          <w:lang w:eastAsia="en-US"/>
        </w:rPr>
        <w:t>tation</w:t>
      </w:r>
      <w:proofErr w:type="spellEnd"/>
      <w:r w:rsidRPr="00C46FBE">
        <w:rPr>
          <w:rFonts w:ascii="Calibri" w:hAnsi="Calibri" w:cs="Arial"/>
          <w:szCs w:val="20"/>
          <w:lang w:eastAsia="en-US"/>
        </w:rPr>
        <w:t xml:space="preserve"> of those recommendations and where indicated, further evaluation and monitoring to confirm sustained healthcare improvement. </w:t>
      </w:r>
    </w:p>
    <w:p w14:paraId="2F51A879" w14:textId="77777777" w:rsidR="009E70F4" w:rsidRPr="009121F9" w:rsidRDefault="00000000"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8373009"/>
            <w:r w:rsidRPr="003D2D06">
              <w:t>Scope</w:t>
            </w:r>
            <w:bookmarkEnd w:id="10"/>
            <w:bookmarkEnd w:id="11"/>
          </w:p>
        </w:tc>
      </w:tr>
    </w:tbl>
    <w:p w14:paraId="2F51A87C" w14:textId="77777777" w:rsidR="007B6904" w:rsidRPr="00CD1C0E" w:rsidRDefault="007B6904" w:rsidP="007B6904">
      <w:pPr>
        <w:rPr>
          <w:szCs w:val="24"/>
        </w:rPr>
      </w:pPr>
    </w:p>
    <w:p w14:paraId="2F51A886" w14:textId="35885D88" w:rsidR="001F2A9B" w:rsidRDefault="00644659" w:rsidP="00644659">
      <w:pPr>
        <w:pStyle w:val="ListBullet"/>
      </w:pPr>
      <w:r>
        <w:rPr>
          <w:rStyle w:val="normaltextrun"/>
          <w:rFonts w:cs="Calibri"/>
          <w:color w:val="000000"/>
          <w:shd w:val="clear" w:color="auto" w:fill="FFFFFF"/>
        </w:rPr>
        <w:t xml:space="preserve">This procedure applies to all NCH employees, contractors, </w:t>
      </w:r>
      <w:proofErr w:type="gramStart"/>
      <w:r>
        <w:rPr>
          <w:rStyle w:val="normaltextrun"/>
          <w:rFonts w:cs="Calibri"/>
          <w:color w:val="000000"/>
          <w:shd w:val="clear" w:color="auto" w:fill="FFFFFF"/>
        </w:rPr>
        <w:t>volunteers</w:t>
      </w:r>
      <w:proofErr w:type="gramEnd"/>
      <w:r>
        <w:rPr>
          <w:rStyle w:val="normaltextrun"/>
          <w:rFonts w:cs="Calibri"/>
          <w:color w:val="000000"/>
          <w:shd w:val="clear" w:color="auto" w:fill="FFFFFF"/>
        </w:rPr>
        <w:t xml:space="preserve"> and students.</w:t>
      </w:r>
      <w:r>
        <w:rPr>
          <w:rStyle w:val="eop"/>
          <w:rFonts w:cs="Calibri"/>
          <w:color w:val="000000"/>
          <w:shd w:val="clear" w:color="auto" w:fill="FFFFFF"/>
        </w:rPr>
        <w:t> </w:t>
      </w:r>
    </w:p>
    <w:p w14:paraId="2F51A887" w14:textId="77777777" w:rsidR="007B6904" w:rsidRPr="00CD1C0E" w:rsidRDefault="00000000"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6EB22ECA" w:rsidR="007B6904" w:rsidRPr="00C76688" w:rsidRDefault="007B6904" w:rsidP="00931B93">
            <w:pPr>
              <w:pStyle w:val="Heading1"/>
            </w:pPr>
            <w:bookmarkStart w:id="12" w:name="_Toc389473278"/>
            <w:bookmarkStart w:id="13" w:name="_Toc158373010"/>
            <w:r w:rsidRPr="00C76688">
              <w:t>Section 1 –</w:t>
            </w:r>
            <w:r>
              <w:t xml:space="preserve"> </w:t>
            </w:r>
            <w:bookmarkEnd w:id="12"/>
            <w:r w:rsidR="00C47B55">
              <w:t>Clinical Review</w:t>
            </w:r>
            <w:bookmarkEnd w:id="13"/>
            <w:r w:rsidR="00C47B55">
              <w:t xml:space="preserve"> </w:t>
            </w:r>
          </w:p>
        </w:tc>
      </w:tr>
    </w:tbl>
    <w:p w14:paraId="2F51A88A" w14:textId="77777777" w:rsidR="007B6904" w:rsidRDefault="007B6904" w:rsidP="007B6904">
      <w:pPr>
        <w:outlineLvl w:val="0"/>
        <w:rPr>
          <w:szCs w:val="24"/>
        </w:rPr>
      </w:pPr>
    </w:p>
    <w:p w14:paraId="2F51A88E" w14:textId="77777777" w:rsidR="007B6904" w:rsidRPr="00201FB6" w:rsidRDefault="007B6904" w:rsidP="00201FB6">
      <w:pPr>
        <w:rPr>
          <w:b/>
        </w:rPr>
      </w:pPr>
      <w:bookmarkStart w:id="14" w:name="_Toc389473280"/>
      <w:r w:rsidRPr="00201FB6">
        <w:rPr>
          <w:b/>
        </w:rPr>
        <w:t>Procedure</w:t>
      </w:r>
      <w:bookmarkEnd w:id="14"/>
      <w:r w:rsidRPr="00201FB6">
        <w:rPr>
          <w:b/>
        </w:rPr>
        <w:t xml:space="preserve"> </w:t>
      </w:r>
    </w:p>
    <w:p w14:paraId="2C11C4ED" w14:textId="4516D446" w:rsidR="00C47B55" w:rsidRPr="00C47B55" w:rsidRDefault="00C47B55" w:rsidP="00C47B55">
      <w:pPr>
        <w:rPr>
          <w:iCs/>
        </w:rPr>
      </w:pPr>
      <w:r w:rsidRPr="00C47B55">
        <w:rPr>
          <w:iCs/>
        </w:rPr>
        <w:t xml:space="preserve">Clinical Review Committees shall undertake the review process following the approved terms of reference for the specific clinical review meeting and where applicable, the principles of qualified privilege as outlined in the </w:t>
      </w:r>
      <w:r w:rsidRPr="00C47B55">
        <w:rPr>
          <w:i/>
        </w:rPr>
        <w:t>Health Act</w:t>
      </w:r>
      <w:r w:rsidRPr="00C47B55">
        <w:rPr>
          <w:iCs/>
        </w:rPr>
        <w:t xml:space="preserve"> </w:t>
      </w:r>
      <w:r w:rsidRPr="00023CC5">
        <w:rPr>
          <w:i/>
        </w:rPr>
        <w:t>1993</w:t>
      </w:r>
      <w:r w:rsidRPr="00C47B55">
        <w:rPr>
          <w:iCs/>
        </w:rPr>
        <w:t>.</w:t>
      </w:r>
    </w:p>
    <w:p w14:paraId="40BC862C" w14:textId="77777777" w:rsidR="00C47B55" w:rsidRPr="00C47B55" w:rsidRDefault="00C47B55" w:rsidP="00C47B55">
      <w:pPr>
        <w:rPr>
          <w:iCs/>
        </w:rPr>
      </w:pPr>
    </w:p>
    <w:p w14:paraId="1B742A2B" w14:textId="77777777" w:rsidR="00C47B55" w:rsidRPr="00C47B55" w:rsidRDefault="00C47B55" w:rsidP="00C47B55">
      <w:pPr>
        <w:rPr>
          <w:iCs/>
        </w:rPr>
      </w:pPr>
      <w:r w:rsidRPr="00C47B55">
        <w:rPr>
          <w:iCs/>
        </w:rPr>
        <w:t xml:space="preserve">Clinical review is the process of retrospectively examining potential errors or gaps in medical care, with a goal of future practice improvement. Cases of clinical concern and/or issues identified via a defined list of criteria for review (suggested list outlined below) must undergo a review and summary, focusing on systems and processes, not individual factors. </w:t>
      </w:r>
    </w:p>
    <w:p w14:paraId="5282617A" w14:textId="77777777" w:rsidR="00C47B55" w:rsidRPr="00C47B55" w:rsidRDefault="00C47B55" w:rsidP="00C47B55">
      <w:pPr>
        <w:rPr>
          <w:iCs/>
        </w:rPr>
      </w:pPr>
    </w:p>
    <w:p w14:paraId="7FA4936C" w14:textId="4E3694BC" w:rsidR="00C47B55" w:rsidRPr="00C47B55" w:rsidRDefault="00C47B55" w:rsidP="00C47B55">
      <w:pPr>
        <w:rPr>
          <w:iCs/>
        </w:rPr>
      </w:pPr>
      <w:r w:rsidRPr="00C47B55">
        <w:rPr>
          <w:iCs/>
        </w:rPr>
        <w:t>Criteria for review</w:t>
      </w:r>
      <w:r>
        <w:rPr>
          <w:iCs/>
        </w:rPr>
        <w:t>:</w:t>
      </w:r>
    </w:p>
    <w:p w14:paraId="7E5AEEB3" w14:textId="650CA14E" w:rsidR="00C47B55" w:rsidRPr="00C47B55" w:rsidRDefault="00C47B55" w:rsidP="00C47B55">
      <w:pPr>
        <w:pStyle w:val="ListBullet"/>
        <w:numPr>
          <w:ilvl w:val="0"/>
          <w:numId w:val="13"/>
        </w:numPr>
        <w:ind w:left="426" w:hanging="426"/>
        <w:rPr>
          <w:iCs/>
        </w:rPr>
      </w:pPr>
      <w:r w:rsidRPr="00C47B55">
        <w:t>Surgical</w:t>
      </w:r>
      <w:r w:rsidRPr="00C47B55">
        <w:rPr>
          <w:iCs/>
        </w:rPr>
        <w:t xml:space="preserve"> complications requiring unplanned return to </w:t>
      </w:r>
      <w:proofErr w:type="gramStart"/>
      <w:r w:rsidRPr="00C47B55">
        <w:rPr>
          <w:iCs/>
        </w:rPr>
        <w:t>theatre</w:t>
      </w:r>
      <w:proofErr w:type="gramEnd"/>
      <w:r w:rsidRPr="00C47B55">
        <w:rPr>
          <w:iCs/>
        </w:rPr>
        <w:t xml:space="preserve"> </w:t>
      </w:r>
    </w:p>
    <w:p w14:paraId="01844809" w14:textId="2BB6951B" w:rsidR="00C47B55" w:rsidRPr="00C47B55" w:rsidRDefault="00C47B55" w:rsidP="00C47B55">
      <w:pPr>
        <w:pStyle w:val="ListBullet"/>
        <w:numPr>
          <w:ilvl w:val="0"/>
          <w:numId w:val="13"/>
        </w:numPr>
        <w:ind w:left="426" w:hanging="426"/>
        <w:rPr>
          <w:iCs/>
        </w:rPr>
      </w:pPr>
      <w:r w:rsidRPr="00C47B55">
        <w:rPr>
          <w:iCs/>
        </w:rPr>
        <w:t xml:space="preserve">Avoidable Readmissions to Hospital for selected conditions </w:t>
      </w:r>
    </w:p>
    <w:p w14:paraId="4ACC3040" w14:textId="39A616DE" w:rsidR="00C47B55" w:rsidRPr="00C47B55" w:rsidRDefault="00C47B55" w:rsidP="00C47B55">
      <w:pPr>
        <w:pStyle w:val="ListBullet"/>
        <w:numPr>
          <w:ilvl w:val="0"/>
          <w:numId w:val="13"/>
        </w:numPr>
        <w:ind w:left="426" w:hanging="426"/>
        <w:rPr>
          <w:iCs/>
        </w:rPr>
      </w:pPr>
      <w:r w:rsidRPr="00C47B55">
        <w:rPr>
          <w:iCs/>
        </w:rPr>
        <w:t>Clinical indicators which reflect performance</w:t>
      </w:r>
    </w:p>
    <w:p w14:paraId="1663DCD2" w14:textId="1EFC98F4" w:rsidR="00C47B55" w:rsidRPr="00C47B55" w:rsidRDefault="00C47B55" w:rsidP="00C47B55">
      <w:pPr>
        <w:pStyle w:val="ListBullet"/>
        <w:numPr>
          <w:ilvl w:val="0"/>
          <w:numId w:val="13"/>
        </w:numPr>
        <w:ind w:left="426" w:hanging="426"/>
        <w:rPr>
          <w:iCs/>
        </w:rPr>
      </w:pPr>
      <w:r w:rsidRPr="00C47B55">
        <w:rPr>
          <w:iCs/>
        </w:rPr>
        <w:t>Clinical Variation (a difference in healthcare processes or outcomes, compared to peers, or to a standard, such as an evidence-based guideline recommendation or clinical care standard).</w:t>
      </w:r>
    </w:p>
    <w:p w14:paraId="101B33DE" w14:textId="09AAC23F" w:rsidR="00C47B55" w:rsidRPr="00C47B55" w:rsidRDefault="00C47B55" w:rsidP="00C47B55">
      <w:pPr>
        <w:pStyle w:val="ListBullet"/>
        <w:numPr>
          <w:ilvl w:val="0"/>
          <w:numId w:val="13"/>
        </w:numPr>
        <w:ind w:left="426" w:hanging="426"/>
        <w:rPr>
          <w:iCs/>
        </w:rPr>
      </w:pPr>
      <w:r w:rsidRPr="00C47B55">
        <w:rPr>
          <w:iCs/>
        </w:rPr>
        <w:t>Deaths (including those associated with a healthcare intervention, referred to the coroner, and/or are not an expected manifestation of the disease process)</w:t>
      </w:r>
    </w:p>
    <w:p w14:paraId="7EA17B60" w14:textId="24E663A3" w:rsidR="00C47B55" w:rsidRPr="00C47B55" w:rsidRDefault="00C47B55" w:rsidP="00C47B55">
      <w:pPr>
        <w:pStyle w:val="ListBullet"/>
        <w:numPr>
          <w:ilvl w:val="0"/>
          <w:numId w:val="13"/>
        </w:numPr>
        <w:ind w:left="426" w:hanging="426"/>
        <w:rPr>
          <w:iCs/>
        </w:rPr>
      </w:pPr>
      <w:r w:rsidRPr="00C47B55">
        <w:rPr>
          <w:iCs/>
        </w:rPr>
        <w:t>Sentinel events</w:t>
      </w:r>
    </w:p>
    <w:p w14:paraId="140706C4" w14:textId="68B7A374" w:rsidR="00C47B55" w:rsidRPr="00C47B55" w:rsidRDefault="00C47B55" w:rsidP="00C47B55">
      <w:pPr>
        <w:pStyle w:val="ListBullet"/>
        <w:numPr>
          <w:ilvl w:val="0"/>
          <w:numId w:val="13"/>
        </w:numPr>
        <w:ind w:left="426" w:hanging="426"/>
        <w:rPr>
          <w:iCs/>
        </w:rPr>
      </w:pPr>
      <w:r w:rsidRPr="00C47B55">
        <w:rPr>
          <w:iCs/>
        </w:rPr>
        <w:t>Serious Patient Safety Incidents</w:t>
      </w:r>
    </w:p>
    <w:p w14:paraId="6C9B4E77" w14:textId="5B059263" w:rsidR="00C47B55" w:rsidRPr="00C47B55" w:rsidRDefault="00C47B55" w:rsidP="00C47B55">
      <w:pPr>
        <w:pStyle w:val="ListBullet"/>
        <w:numPr>
          <w:ilvl w:val="0"/>
          <w:numId w:val="13"/>
        </w:numPr>
        <w:ind w:left="426" w:hanging="426"/>
        <w:rPr>
          <w:iCs/>
        </w:rPr>
      </w:pPr>
      <w:r w:rsidRPr="00C47B55">
        <w:rPr>
          <w:iCs/>
        </w:rPr>
        <w:t xml:space="preserve">If a trend is identified in Harm Score 3 and 4 events an aggregate review </w:t>
      </w:r>
      <w:proofErr w:type="gramStart"/>
      <w:r w:rsidRPr="00C47B55">
        <w:rPr>
          <w:iCs/>
        </w:rPr>
        <w:t>in  depth</w:t>
      </w:r>
      <w:proofErr w:type="gramEnd"/>
      <w:r w:rsidRPr="00C47B55">
        <w:rPr>
          <w:iCs/>
        </w:rPr>
        <w:t xml:space="preserve"> investigation on all incidents with </w:t>
      </w:r>
      <w:proofErr w:type="spellStart"/>
      <w:r w:rsidRPr="00C47B55">
        <w:rPr>
          <w:iCs/>
        </w:rPr>
        <w:t>simular</w:t>
      </w:r>
      <w:proofErr w:type="spellEnd"/>
      <w:r w:rsidRPr="00C47B55">
        <w:rPr>
          <w:iCs/>
        </w:rPr>
        <w:t xml:space="preserve"> or same classification) should be considered. </w:t>
      </w:r>
    </w:p>
    <w:p w14:paraId="1D1E0D17" w14:textId="15EA3CA5" w:rsidR="00C47B55" w:rsidRPr="00C47B55" w:rsidRDefault="00C47B55" w:rsidP="00C47B55">
      <w:pPr>
        <w:pStyle w:val="ListBullet"/>
        <w:numPr>
          <w:ilvl w:val="0"/>
          <w:numId w:val="13"/>
        </w:numPr>
        <w:ind w:left="426" w:hanging="426"/>
        <w:rPr>
          <w:iCs/>
        </w:rPr>
      </w:pPr>
      <w:r w:rsidRPr="00C47B55">
        <w:rPr>
          <w:iCs/>
        </w:rPr>
        <w:t xml:space="preserve">Complaints assigned a confirmed Harm Score rating of 1 or 2 on </w:t>
      </w:r>
      <w:proofErr w:type="spellStart"/>
      <w:proofErr w:type="gramStart"/>
      <w:r w:rsidRPr="00C47B55">
        <w:rPr>
          <w:iCs/>
        </w:rPr>
        <w:t>RiskMan</w:t>
      </w:r>
      <w:proofErr w:type="spellEnd"/>
      <w:proofErr w:type="gramEnd"/>
    </w:p>
    <w:p w14:paraId="24E8E786" w14:textId="6D5D8C70" w:rsidR="00C47B55" w:rsidRPr="00C47B55" w:rsidRDefault="00C47B55" w:rsidP="00C47B55">
      <w:pPr>
        <w:pStyle w:val="ListBullet"/>
        <w:numPr>
          <w:ilvl w:val="0"/>
          <w:numId w:val="13"/>
        </w:numPr>
        <w:ind w:left="426" w:hanging="426"/>
        <w:rPr>
          <w:iCs/>
        </w:rPr>
      </w:pPr>
      <w:r w:rsidRPr="00C47B55">
        <w:rPr>
          <w:iCs/>
        </w:rPr>
        <w:t xml:space="preserve">Cases identified by specialty group Morbidity and Mortality </w:t>
      </w:r>
      <w:proofErr w:type="gramStart"/>
      <w:r w:rsidRPr="00C47B55">
        <w:rPr>
          <w:iCs/>
        </w:rPr>
        <w:t>committees</w:t>
      </w:r>
      <w:proofErr w:type="gramEnd"/>
    </w:p>
    <w:p w14:paraId="1606D40D" w14:textId="401B77A2" w:rsidR="00C47B55" w:rsidRPr="00C47B55" w:rsidRDefault="00C47B55" w:rsidP="00C47B55">
      <w:pPr>
        <w:pStyle w:val="ListBullet"/>
        <w:numPr>
          <w:ilvl w:val="0"/>
          <w:numId w:val="13"/>
        </w:numPr>
        <w:ind w:left="426" w:hanging="426"/>
        <w:rPr>
          <w:iCs/>
        </w:rPr>
      </w:pPr>
      <w:r w:rsidRPr="00C47B55">
        <w:rPr>
          <w:iCs/>
        </w:rPr>
        <w:t xml:space="preserve">Cases referred by Calvary </w:t>
      </w:r>
      <w:proofErr w:type="gramStart"/>
      <w:r w:rsidRPr="00C47B55">
        <w:rPr>
          <w:iCs/>
        </w:rPr>
        <w:t>staff</w:t>
      </w:r>
      <w:proofErr w:type="gramEnd"/>
      <w:r w:rsidRPr="00C47B55">
        <w:rPr>
          <w:iCs/>
        </w:rPr>
        <w:t xml:space="preserve"> </w:t>
      </w:r>
    </w:p>
    <w:p w14:paraId="1F01BE6E" w14:textId="5D9360B5" w:rsidR="00C47B55" w:rsidRPr="00C47B55" w:rsidRDefault="00C47B55" w:rsidP="00C47B55">
      <w:pPr>
        <w:pStyle w:val="ListBullet"/>
        <w:numPr>
          <w:ilvl w:val="0"/>
          <w:numId w:val="13"/>
        </w:numPr>
        <w:ind w:left="426" w:hanging="426"/>
        <w:rPr>
          <w:iCs/>
        </w:rPr>
      </w:pPr>
      <w:r w:rsidRPr="00C47B55">
        <w:rPr>
          <w:iCs/>
        </w:rPr>
        <w:t xml:space="preserve">Healthcare acquired </w:t>
      </w:r>
      <w:proofErr w:type="gramStart"/>
      <w:r w:rsidRPr="00C47B55">
        <w:rPr>
          <w:iCs/>
        </w:rPr>
        <w:t>complications</w:t>
      </w:r>
      <w:proofErr w:type="gramEnd"/>
    </w:p>
    <w:p w14:paraId="321B8466" w14:textId="7F6E8DDE" w:rsidR="00C47B55" w:rsidRDefault="00C47B55" w:rsidP="00C47B55">
      <w:pPr>
        <w:pStyle w:val="ListBullet"/>
        <w:numPr>
          <w:ilvl w:val="0"/>
          <w:numId w:val="13"/>
        </w:numPr>
        <w:ind w:left="426" w:hanging="426"/>
        <w:rPr>
          <w:iCs/>
        </w:rPr>
      </w:pPr>
      <w:r w:rsidRPr="00C47B55">
        <w:rPr>
          <w:iCs/>
        </w:rPr>
        <w:t xml:space="preserve">Cases referred by an external organisation, or employee (i.e. Clinical Review Committees within the ACT including </w:t>
      </w:r>
      <w:proofErr w:type="gramStart"/>
      <w:r w:rsidRPr="00C47B55">
        <w:rPr>
          <w:iCs/>
        </w:rPr>
        <w:t>any  ACT</w:t>
      </w:r>
      <w:proofErr w:type="gramEnd"/>
      <w:r w:rsidRPr="00C47B55">
        <w:rPr>
          <w:iCs/>
        </w:rPr>
        <w:t xml:space="preserve"> Interagency Clinical Review Committee)  </w:t>
      </w:r>
    </w:p>
    <w:p w14:paraId="350BA7C6" w14:textId="77777777" w:rsidR="00C47B55" w:rsidRPr="00C47B55" w:rsidRDefault="00C47B55" w:rsidP="00C47B55">
      <w:pPr>
        <w:pStyle w:val="ListBullet"/>
        <w:ind w:left="426"/>
        <w:rPr>
          <w:iCs/>
        </w:rPr>
      </w:pPr>
    </w:p>
    <w:p w14:paraId="64B2FD57" w14:textId="77777777" w:rsidR="00C47B55" w:rsidRPr="00C47B55" w:rsidRDefault="00C47B55" w:rsidP="00C47B55">
      <w:pPr>
        <w:pStyle w:val="ListBullet"/>
        <w:rPr>
          <w:iCs/>
        </w:rPr>
      </w:pPr>
      <w:r w:rsidRPr="00C47B55">
        <w:rPr>
          <w:iCs/>
        </w:rPr>
        <w:t>The type and level of investigation is determined by the severity or harm rating. All incidents with the highest severity rating should undergo an in-depth and detailed review.</w:t>
      </w:r>
    </w:p>
    <w:p w14:paraId="41ADECF7" w14:textId="77777777" w:rsidR="00C47B55" w:rsidRPr="00C47B55" w:rsidRDefault="00C47B55" w:rsidP="00C47B55">
      <w:pPr>
        <w:pStyle w:val="ListBullet"/>
        <w:ind w:left="426"/>
        <w:rPr>
          <w:iCs/>
        </w:rPr>
      </w:pPr>
    </w:p>
    <w:p w14:paraId="48688AF5" w14:textId="17DA50B5" w:rsidR="00C47B55" w:rsidRPr="00C47B55" w:rsidRDefault="00C47B55" w:rsidP="00023CC5">
      <w:pPr>
        <w:pStyle w:val="ListBullet"/>
        <w:rPr>
          <w:iCs/>
        </w:rPr>
      </w:pPr>
      <w:r w:rsidRPr="00C47B55">
        <w:rPr>
          <w:iCs/>
        </w:rPr>
        <w:t>The main goal of the review is to assess the system, not to blame people involved. The review should:</w:t>
      </w:r>
    </w:p>
    <w:p w14:paraId="6DA7C0ED" w14:textId="340ECC34" w:rsidR="00C47B55" w:rsidRPr="00C47B55" w:rsidRDefault="00C47B55" w:rsidP="00C47B55">
      <w:pPr>
        <w:pStyle w:val="ListBullet"/>
        <w:numPr>
          <w:ilvl w:val="0"/>
          <w:numId w:val="13"/>
        </w:numPr>
        <w:ind w:left="426" w:hanging="426"/>
        <w:rPr>
          <w:iCs/>
        </w:rPr>
      </w:pPr>
      <w:r w:rsidRPr="00C47B55">
        <w:rPr>
          <w:iCs/>
        </w:rPr>
        <w:t xml:space="preserve">Be conducted within the principles of fair procedures and natural </w:t>
      </w:r>
      <w:proofErr w:type="gramStart"/>
      <w:r w:rsidRPr="00C47B55">
        <w:rPr>
          <w:iCs/>
        </w:rPr>
        <w:t>justice</w:t>
      </w:r>
      <w:proofErr w:type="gramEnd"/>
      <w:r w:rsidRPr="00C47B55">
        <w:rPr>
          <w:iCs/>
        </w:rPr>
        <w:t xml:space="preserve"> </w:t>
      </w:r>
    </w:p>
    <w:p w14:paraId="57A141D4" w14:textId="7E6F0350" w:rsidR="00C47B55" w:rsidRPr="00C47B55" w:rsidRDefault="00C47B55" w:rsidP="00C47B55">
      <w:pPr>
        <w:pStyle w:val="ListBullet"/>
        <w:numPr>
          <w:ilvl w:val="0"/>
          <w:numId w:val="13"/>
        </w:numPr>
        <w:ind w:left="426" w:hanging="426"/>
        <w:rPr>
          <w:iCs/>
        </w:rPr>
      </w:pPr>
      <w:r w:rsidRPr="00C47B55">
        <w:rPr>
          <w:iCs/>
        </w:rPr>
        <w:t xml:space="preserve">Be documented in accordance with policy and </w:t>
      </w:r>
      <w:proofErr w:type="gramStart"/>
      <w:r w:rsidRPr="00C47B55">
        <w:rPr>
          <w:iCs/>
        </w:rPr>
        <w:t>procedures</w:t>
      </w:r>
      <w:proofErr w:type="gramEnd"/>
    </w:p>
    <w:p w14:paraId="6067340F" w14:textId="21CE32CB" w:rsidR="00C47B55" w:rsidRPr="00C47B55" w:rsidRDefault="00C47B55" w:rsidP="00C47B55">
      <w:pPr>
        <w:pStyle w:val="ListBullet"/>
        <w:numPr>
          <w:ilvl w:val="0"/>
          <w:numId w:val="13"/>
        </w:numPr>
        <w:ind w:left="426" w:hanging="426"/>
        <w:rPr>
          <w:iCs/>
        </w:rPr>
      </w:pPr>
      <w:r w:rsidRPr="00C47B55">
        <w:rPr>
          <w:iCs/>
        </w:rPr>
        <w:t xml:space="preserve">Be free of value </w:t>
      </w:r>
      <w:proofErr w:type="gramStart"/>
      <w:r w:rsidRPr="00C47B55">
        <w:rPr>
          <w:iCs/>
        </w:rPr>
        <w:t>judgements</w:t>
      </w:r>
      <w:proofErr w:type="gramEnd"/>
      <w:r w:rsidRPr="00C47B55">
        <w:rPr>
          <w:iCs/>
        </w:rPr>
        <w:t xml:space="preserve"> </w:t>
      </w:r>
    </w:p>
    <w:p w14:paraId="72451FAD" w14:textId="78FFC9A3" w:rsidR="00C47B55" w:rsidRPr="00C47B55" w:rsidRDefault="00C47B55" w:rsidP="00C47B55">
      <w:pPr>
        <w:pStyle w:val="ListBullet"/>
        <w:numPr>
          <w:ilvl w:val="0"/>
          <w:numId w:val="13"/>
        </w:numPr>
        <w:ind w:left="426" w:hanging="426"/>
        <w:rPr>
          <w:iCs/>
        </w:rPr>
      </w:pPr>
      <w:r w:rsidRPr="00C47B55">
        <w:rPr>
          <w:iCs/>
        </w:rPr>
        <w:t xml:space="preserve">Be undertaken by a multi-disciplinary </w:t>
      </w:r>
      <w:proofErr w:type="gramStart"/>
      <w:r w:rsidRPr="00C47B55">
        <w:rPr>
          <w:iCs/>
        </w:rPr>
        <w:t>team</w:t>
      </w:r>
      <w:proofErr w:type="gramEnd"/>
    </w:p>
    <w:p w14:paraId="60DD3631" w14:textId="5357190D" w:rsidR="00C47B55" w:rsidRPr="00C47B55" w:rsidRDefault="00C47B55" w:rsidP="00C47B55">
      <w:pPr>
        <w:pStyle w:val="ListBullet"/>
        <w:numPr>
          <w:ilvl w:val="0"/>
          <w:numId w:val="13"/>
        </w:numPr>
        <w:ind w:left="426" w:hanging="426"/>
        <w:rPr>
          <w:iCs/>
        </w:rPr>
      </w:pPr>
      <w:r w:rsidRPr="00C47B55">
        <w:rPr>
          <w:iCs/>
        </w:rPr>
        <w:t>Involve an independent or external investigator (for complex incidents)</w:t>
      </w:r>
    </w:p>
    <w:p w14:paraId="2174E9DE" w14:textId="0673F98C" w:rsidR="00C47B55" w:rsidRPr="00C47B55" w:rsidRDefault="00C47B55" w:rsidP="00C47B55">
      <w:pPr>
        <w:pStyle w:val="ListBullet"/>
        <w:numPr>
          <w:ilvl w:val="0"/>
          <w:numId w:val="13"/>
        </w:numPr>
        <w:ind w:left="426" w:hanging="426"/>
        <w:rPr>
          <w:iCs/>
        </w:rPr>
      </w:pPr>
      <w:r w:rsidRPr="00C47B55">
        <w:rPr>
          <w:iCs/>
        </w:rPr>
        <w:t>Result in recommendations for approval and actioning by the organisation</w:t>
      </w:r>
    </w:p>
    <w:p w14:paraId="1D3CAAFD" w14:textId="77777777" w:rsidR="00C47B55" w:rsidRPr="00C47B55" w:rsidRDefault="00C47B55" w:rsidP="00C47B55">
      <w:pPr>
        <w:rPr>
          <w:iCs/>
        </w:rPr>
      </w:pPr>
    </w:p>
    <w:p w14:paraId="3B786E5F" w14:textId="77777777" w:rsidR="00C47B55" w:rsidRPr="00C47B55" w:rsidRDefault="00C47B55" w:rsidP="00C47B55">
      <w:pPr>
        <w:rPr>
          <w:iCs/>
        </w:rPr>
      </w:pPr>
      <w:r w:rsidRPr="00C47B55">
        <w:rPr>
          <w:iCs/>
        </w:rPr>
        <w:t xml:space="preserve">All summarised, reviewed cases will be presented and discussed at the Clinical Division/Speciality Morbidity &amp; Mortality meeting. In addition, the committee will provide all clinical staff (where relevant) who were actively involved in the management of the patient the opportunity to participate in the multi-disciplinary review process. </w:t>
      </w:r>
    </w:p>
    <w:p w14:paraId="162F10C6" w14:textId="74FF9618" w:rsidR="00C47B55" w:rsidRPr="00C47B55" w:rsidRDefault="00C47B55" w:rsidP="00C47B55">
      <w:pPr>
        <w:rPr>
          <w:iCs/>
        </w:rPr>
      </w:pPr>
      <w:r w:rsidRPr="00C47B55">
        <w:rPr>
          <w:iCs/>
        </w:rPr>
        <w:t xml:space="preserve">If a case is identified as requiring additional input /higher-level review, the case will be referred to the Clinical Review Committee. The Clinical Review Committee operates as a Quality Assurance Committee by following the </w:t>
      </w:r>
      <w:r w:rsidRPr="007179D7">
        <w:rPr>
          <w:i/>
        </w:rPr>
        <w:t xml:space="preserve">Health Act </w:t>
      </w:r>
      <w:r w:rsidRPr="00023CC5">
        <w:rPr>
          <w:i/>
        </w:rPr>
        <w:t>1993.</w:t>
      </w:r>
      <w:r w:rsidRPr="00C47B55">
        <w:rPr>
          <w:iCs/>
        </w:rPr>
        <w:t xml:space="preserve"> </w:t>
      </w:r>
    </w:p>
    <w:p w14:paraId="26A342BD" w14:textId="77777777" w:rsidR="00C47B55" w:rsidRPr="00C47B55" w:rsidRDefault="00C47B55" w:rsidP="00C47B55">
      <w:pPr>
        <w:rPr>
          <w:iCs/>
        </w:rPr>
      </w:pPr>
    </w:p>
    <w:p w14:paraId="60441916" w14:textId="77777777" w:rsidR="00C47B55" w:rsidRPr="00C47B55" w:rsidRDefault="00C47B55" w:rsidP="00C47B55">
      <w:pPr>
        <w:rPr>
          <w:iCs/>
        </w:rPr>
      </w:pPr>
      <w:r w:rsidRPr="00C47B55">
        <w:rPr>
          <w:iCs/>
        </w:rPr>
        <w:t xml:space="preserve">Upon completing any review, the members may develop recommendations to enhance clinical outcomes and prevent future adverse events. All recommendations from the Morbidity &amp; Mortality Clinical Stream/Service Area meetings are managed at that level unless escalated for action by the Clinical Review Committee (CRC). The CRC may recommend amendments to these recommendations or provide further comments for the Clinical Governance Committee’s consideration. </w:t>
      </w:r>
    </w:p>
    <w:p w14:paraId="2F834553" w14:textId="77777777" w:rsidR="00C47B55" w:rsidRPr="00C47B55" w:rsidRDefault="00C47B55" w:rsidP="00C47B55">
      <w:pPr>
        <w:rPr>
          <w:iCs/>
        </w:rPr>
      </w:pPr>
    </w:p>
    <w:p w14:paraId="5A073CF2" w14:textId="77777777" w:rsidR="00C47B55" w:rsidRPr="00C47B55" w:rsidRDefault="00C47B55" w:rsidP="007179D7">
      <w:pPr>
        <w:pStyle w:val="ListBullet"/>
        <w:rPr>
          <w:iCs/>
        </w:rPr>
      </w:pPr>
      <w:r w:rsidRPr="00C47B55">
        <w:rPr>
          <w:iCs/>
        </w:rPr>
        <w:t>Information/reporting from the Clinical Safety and Efficacy Committee will occur to the Clinical Review Committee and the Divisional Morbidity and Mortality</w:t>
      </w:r>
    </w:p>
    <w:p w14:paraId="62B9E7CE" w14:textId="77777777" w:rsidR="00C47B55" w:rsidRPr="00C47B55" w:rsidRDefault="00C47B55" w:rsidP="00C47B55">
      <w:pPr>
        <w:rPr>
          <w:iCs/>
        </w:rPr>
      </w:pPr>
    </w:p>
    <w:p w14:paraId="10FEA627" w14:textId="77777777" w:rsidR="00C47B55" w:rsidRPr="007179D7" w:rsidRDefault="00C47B55" w:rsidP="007179D7">
      <w:pPr>
        <w:pStyle w:val="ListBullet"/>
        <w:rPr>
          <w:iCs/>
        </w:rPr>
      </w:pPr>
      <w:r w:rsidRPr="007179D7">
        <w:rPr>
          <w:iCs/>
        </w:rPr>
        <w:t>Performance measures</w:t>
      </w:r>
    </w:p>
    <w:p w14:paraId="1438D141" w14:textId="20027282" w:rsidR="00C47B55" w:rsidRPr="007179D7" w:rsidRDefault="00C47B55" w:rsidP="007179D7">
      <w:pPr>
        <w:pStyle w:val="ListBullet"/>
        <w:numPr>
          <w:ilvl w:val="0"/>
          <w:numId w:val="13"/>
        </w:numPr>
        <w:ind w:left="426" w:hanging="426"/>
        <w:rPr>
          <w:iCs/>
        </w:rPr>
      </w:pPr>
      <w:r w:rsidRPr="007179D7">
        <w:rPr>
          <w:iCs/>
        </w:rPr>
        <w:t xml:space="preserve">Approved Quality Assurance Committees will complete an annual report that outlines activity and achievements in accordance with </w:t>
      </w:r>
      <w:r w:rsidRPr="007179D7">
        <w:rPr>
          <w:i/>
        </w:rPr>
        <w:t>Health Act</w:t>
      </w:r>
      <w:r w:rsidRPr="007179D7">
        <w:rPr>
          <w:iCs/>
        </w:rPr>
        <w:t xml:space="preserve"> </w:t>
      </w:r>
      <w:r w:rsidRPr="00023CC5">
        <w:rPr>
          <w:i/>
        </w:rPr>
        <w:t>1993.</w:t>
      </w:r>
      <w:r w:rsidRPr="007179D7">
        <w:rPr>
          <w:iCs/>
        </w:rPr>
        <w:t xml:space="preserve"> </w:t>
      </w:r>
    </w:p>
    <w:p w14:paraId="62C06F19" w14:textId="3C129F8C" w:rsidR="00C47B55" w:rsidRPr="007179D7" w:rsidRDefault="00C47B55" w:rsidP="007179D7">
      <w:pPr>
        <w:pStyle w:val="ListBullet"/>
        <w:numPr>
          <w:ilvl w:val="0"/>
          <w:numId w:val="13"/>
        </w:numPr>
        <w:ind w:left="426" w:hanging="426"/>
        <w:rPr>
          <w:iCs/>
        </w:rPr>
      </w:pPr>
      <w:r w:rsidRPr="007179D7">
        <w:rPr>
          <w:iCs/>
        </w:rPr>
        <w:t xml:space="preserve">The annual report will be tabled at all relevant quality committees within </w:t>
      </w:r>
      <w:r w:rsidR="00CC7B85">
        <w:rPr>
          <w:iCs/>
        </w:rPr>
        <w:t>NCH</w:t>
      </w:r>
      <w:r w:rsidRPr="007179D7">
        <w:rPr>
          <w:iCs/>
        </w:rPr>
        <w:t xml:space="preserve"> including (although not limited to) Clinical Governance Committee and Medical Staff Council.</w:t>
      </w:r>
    </w:p>
    <w:p w14:paraId="2F51A892" w14:textId="72A4B6FC" w:rsidR="007B6904" w:rsidRPr="007179D7" w:rsidRDefault="00C47B55" w:rsidP="007179D7">
      <w:pPr>
        <w:pStyle w:val="ListBullet"/>
        <w:numPr>
          <w:ilvl w:val="0"/>
          <w:numId w:val="13"/>
        </w:numPr>
        <w:ind w:left="426" w:hanging="426"/>
        <w:rPr>
          <w:rFonts w:cs="Arial"/>
          <w:i/>
          <w:szCs w:val="24"/>
        </w:rPr>
      </w:pPr>
      <w:r w:rsidRPr="007179D7">
        <w:rPr>
          <w:iCs/>
        </w:rPr>
        <w:t>Monthly reporting of Quality and Safety data</w:t>
      </w:r>
      <w:r w:rsidR="007B6904" w:rsidRPr="007179D7">
        <w:rPr>
          <w:rFonts w:cs="Arial"/>
          <w:i/>
          <w:szCs w:val="24"/>
        </w:rPr>
        <w:t xml:space="preserve"> </w:t>
      </w:r>
    </w:p>
    <w:p w14:paraId="2F51A893" w14:textId="77777777" w:rsidR="007B6904" w:rsidRDefault="0000000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0C78A67C" w:rsidR="007B6904" w:rsidRPr="00C76688" w:rsidRDefault="007B6904" w:rsidP="004213C3">
            <w:pPr>
              <w:pStyle w:val="Heading1"/>
            </w:pPr>
            <w:bookmarkStart w:id="15" w:name="_Toc389473281"/>
            <w:bookmarkStart w:id="16" w:name="_Toc158373011"/>
            <w:r w:rsidRPr="00C76688">
              <w:t xml:space="preserve">Section 2 – </w:t>
            </w:r>
            <w:bookmarkEnd w:id="15"/>
            <w:r w:rsidR="00CC7B85">
              <w:t xml:space="preserve">Clinical Review </w:t>
            </w:r>
            <w:r w:rsidR="00832F54">
              <w:t>M</w:t>
            </w:r>
            <w:r w:rsidR="00CC7B85">
              <w:t>eeting</w:t>
            </w:r>
            <w:r w:rsidR="00832F54">
              <w:t>s</w:t>
            </w:r>
            <w:bookmarkEnd w:id="16"/>
          </w:p>
        </w:tc>
      </w:tr>
    </w:tbl>
    <w:p w14:paraId="2F51A897" w14:textId="77777777" w:rsidR="007B6904" w:rsidRDefault="007B6904" w:rsidP="007B6904">
      <w:pPr>
        <w:rPr>
          <w:rFonts w:cs="Arial"/>
          <w:b/>
          <w:szCs w:val="24"/>
        </w:rPr>
      </w:pPr>
    </w:p>
    <w:p w14:paraId="2FF5FA1D" w14:textId="0B9789A3" w:rsidR="00832F54" w:rsidRDefault="00201FB6" w:rsidP="00201FB6">
      <w:pPr>
        <w:rPr>
          <w:b/>
        </w:rPr>
      </w:pPr>
      <w:r w:rsidRPr="00201FB6">
        <w:rPr>
          <w:b/>
        </w:rPr>
        <w:t xml:space="preserve">Procedure </w:t>
      </w:r>
    </w:p>
    <w:p w14:paraId="08D02468" w14:textId="77777777" w:rsidR="00832F54" w:rsidRPr="00D1473B" w:rsidRDefault="00832F54" w:rsidP="00832F54">
      <w:pPr>
        <w:spacing w:line="276" w:lineRule="auto"/>
        <w:rPr>
          <w:rFonts w:cs="Arial"/>
        </w:rPr>
      </w:pPr>
      <w:r w:rsidRPr="00D1473B">
        <w:rPr>
          <w:rFonts w:cs="Arial"/>
        </w:rPr>
        <w:t xml:space="preserve">Responsibility for undertaking clinical </w:t>
      </w:r>
      <w:r w:rsidRPr="00030BA9">
        <w:rPr>
          <w:rFonts w:cs="Arial"/>
        </w:rPr>
        <w:t>review</w:t>
      </w:r>
      <w:r w:rsidRPr="00D1473B">
        <w:rPr>
          <w:rFonts w:cs="Arial"/>
        </w:rPr>
        <w:t xml:space="preserve"> activities and establishing committees to monitor clinical </w:t>
      </w:r>
      <w:r w:rsidRPr="00030BA9">
        <w:rPr>
          <w:rFonts w:cs="Arial"/>
        </w:rPr>
        <w:t>review</w:t>
      </w:r>
      <w:r w:rsidRPr="00D1473B">
        <w:rPr>
          <w:rFonts w:cs="Arial"/>
        </w:rPr>
        <w:t xml:space="preserve"> activities lies with the individual clinical </w:t>
      </w:r>
      <w:r>
        <w:rPr>
          <w:rFonts w:cs="Arial"/>
        </w:rPr>
        <w:t>streams</w:t>
      </w:r>
      <w:r w:rsidRPr="00D1473B">
        <w:rPr>
          <w:rFonts w:cs="Arial"/>
        </w:rPr>
        <w:t xml:space="preserve"> but also falls within the responsibilities of:</w:t>
      </w:r>
    </w:p>
    <w:p w14:paraId="341169C5" w14:textId="77777777" w:rsidR="00832F54" w:rsidRPr="00D1473B" w:rsidRDefault="00832F54" w:rsidP="00832F54">
      <w:pPr>
        <w:numPr>
          <w:ilvl w:val="0"/>
          <w:numId w:val="17"/>
        </w:numPr>
        <w:spacing w:line="276" w:lineRule="auto"/>
        <w:rPr>
          <w:rFonts w:cs="Arial"/>
        </w:rPr>
      </w:pPr>
      <w:r>
        <w:rPr>
          <w:rFonts w:cs="Arial"/>
        </w:rPr>
        <w:t>Executive</w:t>
      </w:r>
      <w:r w:rsidRPr="00D1473B">
        <w:rPr>
          <w:rFonts w:cs="Arial"/>
        </w:rPr>
        <w:t>,</w:t>
      </w:r>
    </w:p>
    <w:p w14:paraId="1B13890E" w14:textId="77777777" w:rsidR="00832F54" w:rsidRPr="00D1473B" w:rsidRDefault="00832F54" w:rsidP="00832F54">
      <w:pPr>
        <w:numPr>
          <w:ilvl w:val="0"/>
          <w:numId w:val="17"/>
        </w:numPr>
        <w:spacing w:line="276" w:lineRule="auto"/>
        <w:rPr>
          <w:rFonts w:cs="Arial"/>
        </w:rPr>
      </w:pPr>
      <w:r w:rsidRPr="00D1473B">
        <w:rPr>
          <w:rFonts w:cs="Arial"/>
        </w:rPr>
        <w:t>Clinical Directors,</w:t>
      </w:r>
    </w:p>
    <w:p w14:paraId="577D936F" w14:textId="77777777" w:rsidR="00832F54" w:rsidRPr="00D1473B" w:rsidRDefault="00832F54" w:rsidP="00832F54">
      <w:pPr>
        <w:numPr>
          <w:ilvl w:val="0"/>
          <w:numId w:val="17"/>
        </w:numPr>
        <w:spacing w:line="276" w:lineRule="auto"/>
        <w:rPr>
          <w:rFonts w:cs="Arial"/>
        </w:rPr>
      </w:pPr>
      <w:r w:rsidRPr="00D1473B">
        <w:rPr>
          <w:rFonts w:cs="Arial"/>
        </w:rPr>
        <w:t>Managers/Supervisors, and</w:t>
      </w:r>
    </w:p>
    <w:p w14:paraId="078DEFC1" w14:textId="77777777" w:rsidR="00832F54" w:rsidRPr="00D1473B" w:rsidRDefault="00832F54" w:rsidP="00832F54">
      <w:pPr>
        <w:numPr>
          <w:ilvl w:val="0"/>
          <w:numId w:val="17"/>
        </w:numPr>
        <w:spacing w:line="276" w:lineRule="auto"/>
        <w:rPr>
          <w:rFonts w:cs="Arial"/>
        </w:rPr>
      </w:pPr>
      <w:r w:rsidRPr="00D1473B">
        <w:rPr>
          <w:rFonts w:cs="Arial"/>
        </w:rPr>
        <w:t>Unit Heads (Nursing, Medical, Allied Health).</w:t>
      </w:r>
    </w:p>
    <w:p w14:paraId="450C6D76" w14:textId="77777777" w:rsidR="00832F54" w:rsidRDefault="00832F54" w:rsidP="00201FB6">
      <w:pPr>
        <w:rPr>
          <w:b/>
        </w:rPr>
      </w:pPr>
    </w:p>
    <w:p w14:paraId="40726F24" w14:textId="77777777" w:rsidR="00CC7B85" w:rsidRDefault="00CC7B85" w:rsidP="00CC7B85">
      <w:pPr>
        <w:spacing w:line="276" w:lineRule="auto"/>
      </w:pPr>
      <w:r w:rsidRPr="00030BA9">
        <w:rPr>
          <w:rFonts w:cs="Arial"/>
        </w:rPr>
        <w:t xml:space="preserve">It is at the discretion of each </w:t>
      </w:r>
      <w:r w:rsidRPr="00D1473B">
        <w:rPr>
          <w:rFonts w:cs="Arial"/>
        </w:rPr>
        <w:t xml:space="preserve">clinical </w:t>
      </w:r>
      <w:r>
        <w:rPr>
          <w:rFonts w:cs="Arial"/>
        </w:rPr>
        <w:t>stream</w:t>
      </w:r>
      <w:r w:rsidRPr="00030BA9">
        <w:rPr>
          <w:rFonts w:cs="Arial"/>
        </w:rPr>
        <w:t xml:space="preserve"> to determine if they will conduct their clinical reviews as a</w:t>
      </w:r>
      <w:r>
        <w:rPr>
          <w:rFonts w:cs="Arial"/>
        </w:rPr>
        <w:t>n</w:t>
      </w:r>
      <w:r w:rsidRPr="00030BA9">
        <w:rPr>
          <w:rFonts w:cs="Arial"/>
        </w:rPr>
        <w:t xml:space="preserve"> </w:t>
      </w:r>
      <w:r>
        <w:rPr>
          <w:rFonts w:cs="Arial"/>
        </w:rPr>
        <w:t xml:space="preserve">approved </w:t>
      </w:r>
      <w:r w:rsidRPr="00030BA9">
        <w:rPr>
          <w:rFonts w:cs="Arial"/>
        </w:rPr>
        <w:t>Qualified A</w:t>
      </w:r>
      <w:r>
        <w:rPr>
          <w:rFonts w:cs="Arial"/>
        </w:rPr>
        <w:t>ssurance</w:t>
      </w:r>
      <w:r w:rsidRPr="00030BA9">
        <w:rPr>
          <w:rFonts w:cs="Arial"/>
        </w:rPr>
        <w:t xml:space="preserve"> Committee</w:t>
      </w:r>
      <w:r>
        <w:rPr>
          <w:rFonts w:cs="Arial"/>
        </w:rPr>
        <w:t xml:space="preserve"> (QAC)</w:t>
      </w:r>
      <w:r w:rsidRPr="00030BA9">
        <w:rPr>
          <w:rFonts w:cs="Arial"/>
        </w:rPr>
        <w:t xml:space="preserve"> acting under </w:t>
      </w:r>
      <w:r w:rsidRPr="00030BA9">
        <w:t xml:space="preserve">the principles of qualified privilege as </w:t>
      </w:r>
      <w:r>
        <w:t xml:space="preserve">outlined in the </w:t>
      </w:r>
      <w:r w:rsidRPr="005A11C8">
        <w:rPr>
          <w:i/>
        </w:rPr>
        <w:t xml:space="preserve">Health Act 1993 </w:t>
      </w:r>
      <w:r>
        <w:t xml:space="preserve">(ACT) </w:t>
      </w:r>
      <w:r w:rsidRPr="00030BA9">
        <w:t xml:space="preserve">or as a non-privileged </w:t>
      </w:r>
      <w:r>
        <w:t>committee</w:t>
      </w:r>
      <w:r w:rsidRPr="00030BA9">
        <w:t>.</w:t>
      </w:r>
    </w:p>
    <w:p w14:paraId="011E99A4" w14:textId="77777777" w:rsidR="00CC7B85" w:rsidRPr="00030BA9" w:rsidRDefault="00CC7B85" w:rsidP="00CC7B85">
      <w:pPr>
        <w:spacing w:line="276" w:lineRule="auto"/>
      </w:pPr>
    </w:p>
    <w:p w14:paraId="0DF8C8BA" w14:textId="3D03C912" w:rsidR="00CC7B85" w:rsidRPr="00030BA9" w:rsidRDefault="00CC7B85" w:rsidP="00CC7B85">
      <w:pPr>
        <w:spacing w:line="276" w:lineRule="auto"/>
      </w:pPr>
      <w:r w:rsidRPr="00D1473B">
        <w:t xml:space="preserve">It is expected that each </w:t>
      </w:r>
      <w:r>
        <w:t>clinical stream</w:t>
      </w:r>
      <w:r w:rsidRPr="00D1473B">
        <w:t xml:space="preserve"> will develop an annual clinical </w:t>
      </w:r>
      <w:r w:rsidRPr="00030BA9">
        <w:t>review</w:t>
      </w:r>
      <w:r w:rsidRPr="00D1473B">
        <w:t xml:space="preserve"> schedule detailing their regular clinical </w:t>
      </w:r>
      <w:r w:rsidRPr="00030BA9">
        <w:t>review</w:t>
      </w:r>
      <w:r w:rsidRPr="00D1473B">
        <w:t xml:space="preserve"> activities and clinical compliance requirements.</w:t>
      </w:r>
    </w:p>
    <w:p w14:paraId="68994EDC" w14:textId="77777777" w:rsidR="00CC7B85" w:rsidRPr="00201FB6" w:rsidRDefault="00CC7B85" w:rsidP="00201FB6">
      <w:pPr>
        <w:rPr>
          <w:b/>
        </w:rPr>
      </w:pPr>
    </w:p>
    <w:p w14:paraId="0CC686F1" w14:textId="77777777" w:rsidR="00CC7B85" w:rsidRPr="00D1473B" w:rsidRDefault="00CC7B85" w:rsidP="00CC7B85">
      <w:pPr>
        <w:spacing w:line="276" w:lineRule="auto"/>
      </w:pPr>
      <w:bookmarkStart w:id="17" w:name="_Hlk156823171"/>
      <w:r>
        <w:t>All</w:t>
      </w:r>
      <w:r w:rsidRPr="00D1473B">
        <w:t xml:space="preserve"> </w:t>
      </w:r>
      <w:r>
        <w:t>clinical stream</w:t>
      </w:r>
      <w:r w:rsidRPr="00D1473B">
        <w:t xml:space="preserve"> and service areas </w:t>
      </w:r>
      <w:r w:rsidRPr="00030BA9">
        <w:t xml:space="preserve">shall </w:t>
      </w:r>
      <w:r w:rsidRPr="00D1473B">
        <w:t xml:space="preserve">have committee governance structures </w:t>
      </w:r>
      <w:r>
        <w:t xml:space="preserve">to support the system’s functioning </w:t>
      </w:r>
      <w:r w:rsidRPr="00D1473B">
        <w:t xml:space="preserve">with clear terms of reference that identify responsibility for the reviewing, </w:t>
      </w:r>
      <w:proofErr w:type="gramStart"/>
      <w:r w:rsidRPr="00D1473B">
        <w:t>reporting</w:t>
      </w:r>
      <w:proofErr w:type="gramEnd"/>
      <w:r w:rsidRPr="00D1473B">
        <w:t xml:space="preserve"> and monitoring of clinical </w:t>
      </w:r>
      <w:r w:rsidRPr="00030BA9">
        <w:t>review</w:t>
      </w:r>
      <w:r w:rsidRPr="00D1473B">
        <w:t xml:space="preserve"> activities and the evaluation of </w:t>
      </w:r>
      <w:r w:rsidRPr="00030BA9">
        <w:t xml:space="preserve">recommendations developed </w:t>
      </w:r>
      <w:r w:rsidRPr="00D1473B">
        <w:t>from these activities.</w:t>
      </w:r>
    </w:p>
    <w:p w14:paraId="37339668" w14:textId="77777777" w:rsidR="00CC7B85" w:rsidRPr="00D1473B" w:rsidRDefault="00CC7B85" w:rsidP="00CC7B85">
      <w:pPr>
        <w:spacing w:line="276" w:lineRule="auto"/>
      </w:pPr>
      <w:r w:rsidRPr="00D1473B">
        <w:rPr>
          <w:rFonts w:cs="Arial"/>
        </w:rPr>
        <w:t xml:space="preserve"> </w:t>
      </w:r>
    </w:p>
    <w:p w14:paraId="01158243" w14:textId="6801F3F1" w:rsidR="00CC7B85" w:rsidRPr="00D1473B" w:rsidRDefault="00CC7B85" w:rsidP="00CC7B85">
      <w:pPr>
        <w:spacing w:line="276" w:lineRule="auto"/>
        <w:outlineLvl w:val="0"/>
      </w:pPr>
      <w:r w:rsidRPr="00D1473B">
        <w:t xml:space="preserve">Reporting processes for clinical </w:t>
      </w:r>
      <w:r w:rsidRPr="00030BA9">
        <w:t>review</w:t>
      </w:r>
      <w:r w:rsidRPr="00D1473B">
        <w:t xml:space="preserve"> activity outcomes and the implementation and monitoring of </w:t>
      </w:r>
      <w:r w:rsidRPr="00030BA9">
        <w:t>recommendations</w:t>
      </w:r>
      <w:r w:rsidRPr="00D1473B">
        <w:t xml:space="preserve"> are managed </w:t>
      </w:r>
      <w:r w:rsidR="00C46FBE">
        <w:t xml:space="preserve">with collaboration with CHS, </w:t>
      </w:r>
      <w:r w:rsidRPr="00D1473B">
        <w:t>through</w:t>
      </w:r>
      <w:r>
        <w:t xml:space="preserve"> the following clinical review committees/meetings as per </w:t>
      </w:r>
      <w:r w:rsidR="00F911AE">
        <w:t>NCH</w:t>
      </w:r>
      <w:r>
        <w:t xml:space="preserve"> Core Committee Structure:</w:t>
      </w:r>
    </w:p>
    <w:p w14:paraId="3132EE00" w14:textId="77777777" w:rsidR="00CC7B85" w:rsidRPr="00CC7B85" w:rsidRDefault="00CC7B85" w:rsidP="00CC7B85">
      <w:pPr>
        <w:pStyle w:val="ListBullet"/>
        <w:numPr>
          <w:ilvl w:val="0"/>
          <w:numId w:val="13"/>
        </w:numPr>
        <w:ind w:left="426" w:hanging="426"/>
        <w:rPr>
          <w:iCs/>
        </w:rPr>
      </w:pPr>
      <w:r w:rsidRPr="00CC7B85">
        <w:rPr>
          <w:iCs/>
        </w:rPr>
        <w:t xml:space="preserve">Clinical </w:t>
      </w:r>
      <w:proofErr w:type="gramStart"/>
      <w:r w:rsidRPr="00CC7B85">
        <w:rPr>
          <w:iCs/>
        </w:rPr>
        <w:t>Divisional  meetings</w:t>
      </w:r>
      <w:proofErr w:type="gramEnd"/>
      <w:r w:rsidRPr="00CC7B85">
        <w:rPr>
          <w:iCs/>
        </w:rPr>
        <w:t xml:space="preserve"> i.e. Morbidity and Mortality (approved Quality Assurance/non-privileged) </w:t>
      </w:r>
    </w:p>
    <w:p w14:paraId="09E14F8B" w14:textId="77777777" w:rsidR="00CC7B85" w:rsidRPr="00CC7B85" w:rsidRDefault="00CC7B85" w:rsidP="00CC7B85">
      <w:pPr>
        <w:pStyle w:val="ListBullet"/>
        <w:numPr>
          <w:ilvl w:val="0"/>
          <w:numId w:val="13"/>
        </w:numPr>
        <w:ind w:left="426" w:hanging="426"/>
        <w:rPr>
          <w:iCs/>
        </w:rPr>
      </w:pPr>
      <w:r w:rsidRPr="00CC7B85">
        <w:rPr>
          <w:iCs/>
        </w:rPr>
        <w:t xml:space="preserve">Clinical Review Committee </w:t>
      </w:r>
    </w:p>
    <w:p w14:paraId="23B548CC" w14:textId="77777777" w:rsidR="00CC7B85" w:rsidRPr="00CC7B85" w:rsidRDefault="00CC7B85" w:rsidP="00CC7B85">
      <w:pPr>
        <w:pStyle w:val="ListBullet"/>
        <w:numPr>
          <w:ilvl w:val="0"/>
          <w:numId w:val="13"/>
        </w:numPr>
        <w:ind w:left="426" w:hanging="426"/>
        <w:rPr>
          <w:iCs/>
        </w:rPr>
      </w:pPr>
      <w:r w:rsidRPr="00CC7B85">
        <w:rPr>
          <w:iCs/>
        </w:rPr>
        <w:t>Clinical Safety and Efficacy Committee</w:t>
      </w:r>
    </w:p>
    <w:p w14:paraId="7CB68C44" w14:textId="77777777" w:rsidR="00CC7B85" w:rsidRDefault="00CC7B85" w:rsidP="00CC7B85">
      <w:pPr>
        <w:spacing w:line="276" w:lineRule="auto"/>
        <w:rPr>
          <w:rFonts w:cs="Arial"/>
        </w:rPr>
      </w:pPr>
    </w:p>
    <w:p w14:paraId="2F51A8A0" w14:textId="565349A5" w:rsidR="007B6904" w:rsidRPr="00811C17" w:rsidRDefault="00CC7B85" w:rsidP="00811C17">
      <w:pPr>
        <w:spacing w:line="276" w:lineRule="auto"/>
      </w:pPr>
      <w:r>
        <w:t xml:space="preserve">Clinical review meetings must contain clear pathways of communication and escalation </w:t>
      </w:r>
      <w:proofErr w:type="gramStart"/>
      <w:r>
        <w:t>in order to</w:t>
      </w:r>
      <w:proofErr w:type="gramEnd"/>
      <w:r>
        <w:t xml:space="preserve"> mitigate risks and improve patient safety and quality within the organisation. </w:t>
      </w:r>
      <w:r w:rsidRPr="00030BA9">
        <w:t xml:space="preserve">All minutes, action plans and recommendations developed at </w:t>
      </w:r>
      <w:r>
        <w:t>clinical stream and service area meetings are</w:t>
      </w:r>
      <w:r w:rsidRPr="00030BA9">
        <w:t xml:space="preserve"> reported to the</w:t>
      </w:r>
      <w:r>
        <w:t xml:space="preserve"> Clinical Review Committee</w:t>
      </w:r>
      <w:r w:rsidRPr="00030BA9">
        <w:t>.</w:t>
      </w:r>
      <w:r w:rsidRPr="00D54154">
        <w:t xml:space="preserve"> </w:t>
      </w:r>
      <w:r>
        <w:t xml:space="preserve">The Clinical Review Committee report to the </w:t>
      </w:r>
      <w:r w:rsidRPr="00297E07">
        <w:t>Clinical Safety and Efficacy Committee</w:t>
      </w:r>
      <w:r>
        <w:t xml:space="preserve"> about the Quality Assurance activities and recommendations by the Committee. </w:t>
      </w:r>
      <w:bookmarkEnd w:id="17"/>
    </w:p>
    <w:p w14:paraId="2F51A8A1" w14:textId="77777777" w:rsidR="007B6904" w:rsidRDefault="007B6904" w:rsidP="007B6904">
      <w:pPr>
        <w:pStyle w:val="ProcedureTemplate"/>
        <w:framePr w:wrap="around"/>
      </w:pPr>
    </w:p>
    <w:p w14:paraId="2F51A8AD" w14:textId="77777777" w:rsidR="007B6904" w:rsidRDefault="00000000" w:rsidP="007B6904">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E" w14:textId="77777777" w:rsidR="007B6904" w:rsidRDefault="007B6904" w:rsidP="007B6904">
      <w:pPr>
        <w:pStyle w:val="ProcedureTemplateinternalheadings"/>
        <w:framePr w:wrap="around"/>
      </w:pPr>
    </w:p>
    <w:p w14:paraId="119BA4AD" w14:textId="63C4C4C6" w:rsidR="00F9158A" w:rsidRPr="00253F5A" w:rsidRDefault="00F9158A" w:rsidP="00F9158A">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8" w:name="_Toc389473287"/>
            <w:bookmarkStart w:id="19" w:name="_Toc158373012"/>
            <w:r>
              <w:t xml:space="preserve">Related Policies, </w:t>
            </w:r>
            <w:r w:rsidR="007B6904">
              <w:t>Procedures</w:t>
            </w:r>
            <w:bookmarkEnd w:id="18"/>
            <w:r>
              <w:t>, Guidelines and Legislation</w:t>
            </w:r>
            <w:bookmarkEnd w:id="19"/>
          </w:p>
        </w:tc>
      </w:tr>
    </w:tbl>
    <w:p w14:paraId="2F51A8B9" w14:textId="77777777" w:rsidR="001926F4" w:rsidRDefault="001926F4" w:rsidP="001926F4">
      <w:pPr>
        <w:pStyle w:val="Heading2"/>
      </w:pPr>
    </w:p>
    <w:p w14:paraId="2F51A8BA" w14:textId="77777777" w:rsidR="001926F4" w:rsidRPr="000D7665" w:rsidRDefault="001926F4" w:rsidP="00201FB6">
      <w:pPr>
        <w:rPr>
          <w:rFonts w:asciiTheme="minorHAnsi" w:hAnsiTheme="minorHAnsi" w:cstheme="minorHAnsi"/>
          <w:b/>
        </w:rPr>
      </w:pPr>
      <w:r w:rsidRPr="000D7665">
        <w:rPr>
          <w:rFonts w:asciiTheme="minorHAnsi" w:hAnsiTheme="minorHAnsi" w:cstheme="minorHAnsi"/>
          <w:b/>
        </w:rPr>
        <w:t>Policies</w:t>
      </w:r>
    </w:p>
    <w:p w14:paraId="094DEF8D"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Partnering with Consumers Policy </w:t>
      </w:r>
    </w:p>
    <w:p w14:paraId="0DEBAD8C"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Preventing and Controlling Healthcare Associated Infections Policy </w:t>
      </w:r>
    </w:p>
    <w:p w14:paraId="256D859D"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Medication Safety Policy </w:t>
      </w:r>
    </w:p>
    <w:p w14:paraId="75ABA2E3"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Comprehensive Care Policy </w:t>
      </w:r>
    </w:p>
    <w:p w14:paraId="5494C9E9"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Communicating for Safety Policy </w:t>
      </w:r>
    </w:p>
    <w:p w14:paraId="6B12DBC4"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Blood Management Policy </w:t>
      </w:r>
    </w:p>
    <w:p w14:paraId="4D85CC2A"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Recognising and Responding to Acute Deterioration Policy  </w:t>
      </w:r>
    </w:p>
    <w:p w14:paraId="20F638B5"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Incident Management Policy </w:t>
      </w:r>
    </w:p>
    <w:p w14:paraId="20EA3C3E"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Risk Management Policy </w:t>
      </w:r>
    </w:p>
    <w:p w14:paraId="5515CABF"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Work Health and Safety Policy </w:t>
      </w:r>
    </w:p>
    <w:p w14:paraId="400FF261"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Work Health and Safety Management System (WHSMS) </w:t>
      </w:r>
    </w:p>
    <w:p w14:paraId="3ED249C8"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Clinical Records Management Policy </w:t>
      </w:r>
    </w:p>
    <w:p w14:paraId="24654FA1"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Administrative Records Management  </w:t>
      </w:r>
    </w:p>
    <w:p w14:paraId="5DACA263" w14:textId="77777777" w:rsidR="000D7665" w:rsidRPr="000D7665" w:rsidRDefault="000D766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Essential Education Policy </w:t>
      </w:r>
    </w:p>
    <w:p w14:paraId="42DE9412" w14:textId="77777777" w:rsidR="000D7665" w:rsidRPr="000D7665" w:rsidRDefault="000D7665" w:rsidP="000D7665">
      <w:pPr>
        <w:pStyle w:val="Default"/>
        <w:numPr>
          <w:ilvl w:val="0"/>
          <w:numId w:val="21"/>
        </w:numPr>
        <w:rPr>
          <w:rFonts w:asciiTheme="minorHAnsi" w:hAnsiTheme="minorHAnsi" w:cstheme="minorHAnsi"/>
        </w:rPr>
      </w:pPr>
      <w:r w:rsidRPr="000D7665">
        <w:rPr>
          <w:rStyle w:val="normaltextrun"/>
          <w:rFonts w:asciiTheme="minorHAnsi" w:hAnsiTheme="minorHAnsi" w:cstheme="minorHAnsi"/>
          <w:shd w:val="clear" w:color="auto" w:fill="FFFFFF"/>
        </w:rPr>
        <w:t>Occupational Violence</w:t>
      </w:r>
      <w:r w:rsidRPr="000D7665">
        <w:rPr>
          <w:rStyle w:val="normaltextrun"/>
          <w:rFonts w:asciiTheme="minorHAnsi" w:hAnsiTheme="minorHAnsi" w:cstheme="minorHAnsi"/>
        </w:rPr>
        <w:t xml:space="preserve"> Policy </w:t>
      </w:r>
      <w:r w:rsidRPr="000D7665">
        <w:rPr>
          <w:rStyle w:val="eop"/>
          <w:rFonts w:asciiTheme="minorHAnsi" w:hAnsiTheme="minorHAnsi" w:cstheme="minorHAnsi"/>
        </w:rPr>
        <w:t> </w:t>
      </w:r>
    </w:p>
    <w:p w14:paraId="2F51A8BD" w14:textId="77777777" w:rsidR="000A7335" w:rsidRPr="000D7665" w:rsidRDefault="000A7335" w:rsidP="000A7335">
      <w:pPr>
        <w:rPr>
          <w:rFonts w:asciiTheme="minorHAnsi" w:hAnsiTheme="minorHAnsi" w:cstheme="minorHAnsi"/>
          <w:szCs w:val="24"/>
        </w:rPr>
      </w:pPr>
    </w:p>
    <w:p w14:paraId="2F51A8BE" w14:textId="77777777" w:rsidR="00931B93" w:rsidRPr="000D7665" w:rsidRDefault="00931B93" w:rsidP="00201FB6">
      <w:pPr>
        <w:rPr>
          <w:rFonts w:asciiTheme="minorHAnsi" w:hAnsiTheme="minorHAnsi" w:cstheme="minorHAnsi"/>
          <w:b/>
        </w:rPr>
      </w:pPr>
      <w:r w:rsidRPr="000D7665">
        <w:rPr>
          <w:rFonts w:asciiTheme="minorHAnsi" w:hAnsiTheme="minorHAnsi" w:cstheme="minorHAnsi"/>
          <w:b/>
        </w:rPr>
        <w:t>Procedures</w:t>
      </w:r>
    </w:p>
    <w:p w14:paraId="2F51A8BF" w14:textId="35BD9375" w:rsidR="001926F4" w:rsidRPr="000D7665" w:rsidRDefault="001926F4"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Infection Prevention and Control</w:t>
      </w:r>
    </w:p>
    <w:p w14:paraId="2F51A8C1" w14:textId="6B5AD89A" w:rsidR="000A7335" w:rsidRPr="000D7665" w:rsidRDefault="000A7335" w:rsidP="000D7665">
      <w:pPr>
        <w:pStyle w:val="Default"/>
        <w:numPr>
          <w:ilvl w:val="0"/>
          <w:numId w:val="21"/>
        </w:numPr>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 xml:space="preserve">Patient Identification and Procedure Matching </w:t>
      </w:r>
    </w:p>
    <w:p w14:paraId="2F51A8C4" w14:textId="77777777" w:rsidR="00931B93" w:rsidRPr="000D7665" w:rsidRDefault="00931B93" w:rsidP="000D7665">
      <w:pPr>
        <w:pStyle w:val="Default"/>
        <w:ind w:left="720"/>
        <w:rPr>
          <w:rStyle w:val="normaltextrun"/>
          <w:rFonts w:asciiTheme="minorHAnsi" w:hAnsiTheme="minorHAnsi" w:cstheme="minorHAnsi"/>
          <w:shd w:val="clear" w:color="auto" w:fill="FFFFFF"/>
        </w:rPr>
      </w:pPr>
    </w:p>
    <w:p w14:paraId="2F51A8C5" w14:textId="77777777" w:rsidR="00931B93" w:rsidRPr="000D7665" w:rsidRDefault="00931B93" w:rsidP="00201FB6">
      <w:pPr>
        <w:rPr>
          <w:rFonts w:asciiTheme="minorHAnsi" w:hAnsiTheme="minorHAnsi" w:cstheme="minorHAnsi"/>
          <w:b/>
        </w:rPr>
      </w:pPr>
      <w:r w:rsidRPr="000D7665">
        <w:rPr>
          <w:rFonts w:asciiTheme="minorHAnsi" w:hAnsiTheme="minorHAnsi" w:cstheme="minorHAnsi"/>
          <w:b/>
        </w:rPr>
        <w:t>Legislation</w:t>
      </w:r>
    </w:p>
    <w:p w14:paraId="11333544" w14:textId="4D903EB5" w:rsidR="00CC7B85" w:rsidRPr="000D7665" w:rsidRDefault="00CC7B8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Health Act 1993</w:t>
      </w:r>
    </w:p>
    <w:p w14:paraId="68E523D4" w14:textId="15FA7495" w:rsidR="00CC7B85" w:rsidRPr="000D7665" w:rsidRDefault="00CC7B8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Health Practitioner Regulation National Law 2010</w:t>
      </w:r>
    </w:p>
    <w:p w14:paraId="399C74A7" w14:textId="73994EE6" w:rsidR="00CC7B85" w:rsidRPr="000D7665" w:rsidRDefault="00CC7B8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Health Professionals Act 2004</w:t>
      </w:r>
    </w:p>
    <w:p w14:paraId="4233EF14" w14:textId="7A3F8E2F" w:rsidR="00CC7B85" w:rsidRPr="000D7665" w:rsidRDefault="00CC7B8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Discrimination Act 1991</w:t>
      </w:r>
    </w:p>
    <w:p w14:paraId="76DCD70E" w14:textId="404E7A42" w:rsidR="00CC7B85" w:rsidRPr="000D7665" w:rsidRDefault="00CC7B8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 xml:space="preserve">Freedom of Information Act </w:t>
      </w:r>
      <w:r w:rsidR="002E529D">
        <w:rPr>
          <w:rStyle w:val="normaltextrun"/>
          <w:rFonts w:asciiTheme="minorHAnsi" w:hAnsiTheme="minorHAnsi" w:cstheme="minorHAnsi"/>
          <w:shd w:val="clear" w:color="auto" w:fill="FFFFFF"/>
        </w:rPr>
        <w:t>2016</w:t>
      </w:r>
    </w:p>
    <w:p w14:paraId="2F51A8C6" w14:textId="63DB807B" w:rsidR="000A7335" w:rsidRPr="000D7665" w:rsidRDefault="000A733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Health Records (Privacy and Access) Act 1997</w:t>
      </w:r>
    </w:p>
    <w:p w14:paraId="2F51A8C7" w14:textId="77777777" w:rsidR="000A7335" w:rsidRPr="000D7665" w:rsidRDefault="000A733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Human Rights Act 2004</w:t>
      </w:r>
    </w:p>
    <w:p w14:paraId="2F51A8C8" w14:textId="18E77DAD" w:rsidR="000A7335" w:rsidRPr="000D7665" w:rsidRDefault="000A7335"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Work Health and Safety Act 2011</w:t>
      </w:r>
    </w:p>
    <w:p w14:paraId="03CD10AC" w14:textId="27F7A038" w:rsidR="009E39B9" w:rsidRPr="000D7665" w:rsidRDefault="009E39B9" w:rsidP="000D7665">
      <w:pPr>
        <w:pStyle w:val="Default"/>
        <w:numPr>
          <w:ilvl w:val="0"/>
          <w:numId w:val="28"/>
        </w:numPr>
        <w:ind w:left="709"/>
        <w:rPr>
          <w:rFonts w:asciiTheme="minorHAnsi" w:hAnsiTheme="minorHAnsi" w:cstheme="minorHAnsi"/>
        </w:rPr>
      </w:pPr>
      <w:r w:rsidRPr="000D7665">
        <w:rPr>
          <w:rStyle w:val="normaltextrun"/>
          <w:rFonts w:asciiTheme="minorHAnsi" w:hAnsiTheme="minorHAnsi" w:cstheme="minorHAnsi"/>
          <w:shd w:val="clear" w:color="auto" w:fill="FFFFFF"/>
        </w:rPr>
        <w:t>Carers Recognition</w:t>
      </w:r>
      <w:r w:rsidRPr="000D7665">
        <w:rPr>
          <w:rFonts w:asciiTheme="minorHAnsi" w:hAnsiTheme="minorHAnsi" w:cstheme="minorHAnsi"/>
          <w:i/>
        </w:rPr>
        <w:t xml:space="preserve"> Act </w:t>
      </w:r>
      <w:r w:rsidRPr="000D7665">
        <w:rPr>
          <w:rFonts w:asciiTheme="minorHAnsi" w:hAnsiTheme="minorHAnsi" w:cstheme="minorHAnsi"/>
          <w:iCs/>
        </w:rPr>
        <w:t>2021</w:t>
      </w:r>
    </w:p>
    <w:p w14:paraId="2F51A8C9" w14:textId="77777777" w:rsidR="007B6904" w:rsidRPr="000D7665" w:rsidRDefault="007B6904" w:rsidP="007B6904">
      <w:pPr>
        <w:ind w:left="720"/>
        <w:rPr>
          <w:rFonts w:asciiTheme="minorHAnsi" w:hAnsiTheme="minorHAnsi" w:cstheme="minorHAnsi"/>
          <w:i/>
          <w:szCs w:val="24"/>
        </w:rPr>
      </w:pPr>
    </w:p>
    <w:p w14:paraId="3E23773E" w14:textId="77777777" w:rsidR="00AB13EF" w:rsidRPr="000D7665" w:rsidRDefault="00AB13EF" w:rsidP="00AB13EF">
      <w:pPr>
        <w:rPr>
          <w:rFonts w:asciiTheme="minorHAnsi" w:hAnsiTheme="minorHAnsi" w:cstheme="minorHAnsi"/>
          <w:b/>
        </w:rPr>
      </w:pPr>
      <w:r w:rsidRPr="000D7665">
        <w:rPr>
          <w:rFonts w:asciiTheme="minorHAnsi" w:hAnsiTheme="minorHAnsi" w:cstheme="minorHAnsi"/>
          <w:b/>
        </w:rPr>
        <w:t>Other</w:t>
      </w:r>
    </w:p>
    <w:p w14:paraId="71A252ED" w14:textId="61C90A08" w:rsidR="00AB13EF" w:rsidRPr="000D7665" w:rsidRDefault="00AB13EF" w:rsidP="000D7665">
      <w:pPr>
        <w:pStyle w:val="Default"/>
        <w:numPr>
          <w:ilvl w:val="0"/>
          <w:numId w:val="28"/>
        </w:numPr>
        <w:ind w:left="709"/>
        <w:rPr>
          <w:rStyle w:val="normaltextrun"/>
          <w:rFonts w:asciiTheme="minorHAnsi" w:hAnsiTheme="minorHAnsi" w:cstheme="minorHAnsi"/>
          <w:shd w:val="clear" w:color="auto" w:fill="FFFFFF"/>
        </w:rPr>
      </w:pPr>
      <w:r w:rsidRPr="000D7665">
        <w:rPr>
          <w:rStyle w:val="normaltextrun"/>
          <w:rFonts w:asciiTheme="minorHAnsi" w:hAnsiTheme="minorHAnsi" w:cstheme="minorHAnsi"/>
          <w:shd w:val="clear" w:color="auto" w:fill="FFFFFF"/>
        </w:rPr>
        <w:t>Australian Charter of Healthcare Rights</w:t>
      </w:r>
    </w:p>
    <w:p w14:paraId="2F51A8CA" w14:textId="77777777" w:rsidR="007B6904" w:rsidRDefault="00000000"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0" w:name="_Toc389473288"/>
            <w:bookmarkStart w:id="21" w:name="_Toc158373013"/>
            <w:r>
              <w:t>References</w:t>
            </w:r>
            <w:bookmarkEnd w:id="20"/>
            <w:bookmarkEnd w:id="21"/>
          </w:p>
        </w:tc>
      </w:tr>
    </w:tbl>
    <w:p w14:paraId="4FD3F45E" w14:textId="77777777" w:rsidR="00CC7B85" w:rsidRDefault="00CC7B85" w:rsidP="00832F54">
      <w:pPr>
        <w:rPr>
          <w:szCs w:val="24"/>
        </w:rPr>
      </w:pPr>
    </w:p>
    <w:p w14:paraId="6F40B997" w14:textId="0ECC9211" w:rsidR="00CC7B85" w:rsidRPr="00CC7B85" w:rsidRDefault="00CC7B85" w:rsidP="00813168">
      <w:pPr>
        <w:numPr>
          <w:ilvl w:val="0"/>
          <w:numId w:val="6"/>
        </w:numPr>
        <w:spacing w:line="200" w:lineRule="atLeast"/>
        <w:ind w:left="426" w:right="798" w:hanging="426"/>
        <w:rPr>
          <w:rFonts w:cs="Arial"/>
          <w:i/>
          <w:szCs w:val="24"/>
          <w:lang w:eastAsia="en-AU"/>
        </w:rPr>
      </w:pPr>
      <w:r w:rsidRPr="00CC7B85">
        <w:rPr>
          <w:rFonts w:cs="Arial"/>
          <w:i/>
          <w:szCs w:val="24"/>
          <w:lang w:eastAsia="en-AU"/>
        </w:rPr>
        <w:t>Mitchell, I., Antoniou, B., Gosper, J., Mollett, J., Hurwitz, M., &amp; Bessell. (2008). A robust clinical review process: The catalyst for clinical governance in Australian tertiary hospital. The Medical Journal of Australia, 189(8), 451-455.</w:t>
      </w:r>
    </w:p>
    <w:p w14:paraId="265D9598" w14:textId="27A6B8FC" w:rsidR="00CC7B85" w:rsidRPr="000D7665" w:rsidRDefault="00CC7B85" w:rsidP="000D7665">
      <w:pPr>
        <w:numPr>
          <w:ilvl w:val="0"/>
          <w:numId w:val="6"/>
        </w:numPr>
        <w:spacing w:line="200" w:lineRule="atLeast"/>
        <w:ind w:left="426" w:right="798" w:hanging="426"/>
        <w:rPr>
          <w:rFonts w:cs="Arial"/>
          <w:i/>
          <w:szCs w:val="24"/>
          <w:lang w:eastAsia="en-AU"/>
        </w:rPr>
      </w:pPr>
      <w:r w:rsidRPr="00813168">
        <w:rPr>
          <w:rFonts w:cs="Arial"/>
          <w:i/>
          <w:szCs w:val="24"/>
          <w:lang w:eastAsia="en-AU"/>
        </w:rPr>
        <w:t>NSW Government: Clinical Excellence Commission. (2020). Guidelines for conducting and reporting Morbidity and Mortality/Clinical Review meetings. Retrieved April 22, 2022, from NSW Government: Clinical Excellence Commission: https://www.cec.health.nsw.gov.au/__data/assets/pdf_file/0003/602697/Guidelines-for-Conducting-and-Reporting-Morbidity-and-Mortality.pdf</w:t>
      </w:r>
    </w:p>
    <w:p w14:paraId="2F51A8D5" w14:textId="77777777" w:rsidR="00FF56DD" w:rsidRDefault="00000000"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46A9D411" w:rsidR="00FF56DD" w:rsidRPr="000F1F60" w:rsidRDefault="00FF56DD" w:rsidP="004213C3">
            <w:pPr>
              <w:pStyle w:val="Heading1"/>
            </w:pPr>
            <w:bookmarkStart w:id="22" w:name="_Toc158373014"/>
            <w:r>
              <w:t>Definition of Terms</w:t>
            </w:r>
            <w:bookmarkEnd w:id="22"/>
            <w:r>
              <w:t xml:space="preserve"> </w:t>
            </w:r>
          </w:p>
        </w:tc>
      </w:tr>
    </w:tbl>
    <w:p w14:paraId="2F51A8D8" w14:textId="77777777" w:rsidR="00FF56DD" w:rsidRDefault="00FF56DD" w:rsidP="00FF56DD">
      <w:pPr>
        <w:rPr>
          <w:rFonts w:cs="Arial"/>
          <w:szCs w:val="24"/>
        </w:rPr>
      </w:pPr>
    </w:p>
    <w:p w14:paraId="42AC2067" w14:textId="77777777" w:rsidR="00CC7B85" w:rsidRDefault="00CC7B85" w:rsidP="00CC7B85">
      <w:pPr>
        <w:numPr>
          <w:ilvl w:val="0"/>
          <w:numId w:val="3"/>
        </w:numPr>
        <w:ind w:left="360"/>
        <w:rPr>
          <w:rFonts w:cs="Arial"/>
          <w:szCs w:val="24"/>
        </w:rPr>
      </w:pPr>
      <w:r>
        <w:rPr>
          <w:rFonts w:cs="Arial"/>
          <w:b/>
          <w:szCs w:val="24"/>
        </w:rPr>
        <w:t>CRC -</w:t>
      </w:r>
      <w:r>
        <w:rPr>
          <w:rFonts w:cs="Arial"/>
          <w:szCs w:val="24"/>
        </w:rPr>
        <w:t>Clinical Review Committee</w:t>
      </w:r>
    </w:p>
    <w:p w14:paraId="6063F83E" w14:textId="77777777" w:rsidR="00CC7B85" w:rsidRDefault="00CC7B85" w:rsidP="00CC7B85">
      <w:pPr>
        <w:numPr>
          <w:ilvl w:val="0"/>
          <w:numId w:val="3"/>
        </w:numPr>
        <w:ind w:left="360"/>
        <w:rPr>
          <w:rFonts w:cs="Arial"/>
          <w:szCs w:val="24"/>
        </w:rPr>
      </w:pPr>
      <w:r>
        <w:rPr>
          <w:rFonts w:cs="Arial"/>
          <w:b/>
          <w:szCs w:val="24"/>
        </w:rPr>
        <w:t>DRG-</w:t>
      </w:r>
      <w:r>
        <w:rPr>
          <w:rFonts w:cs="Arial"/>
          <w:szCs w:val="24"/>
        </w:rPr>
        <w:t xml:space="preserve"> Diagnostic Related Group</w:t>
      </w:r>
    </w:p>
    <w:p w14:paraId="763740C8" w14:textId="77777777" w:rsidR="00CC7B85" w:rsidRPr="00FC2891" w:rsidRDefault="00CC7B85" w:rsidP="00CC7B85">
      <w:pPr>
        <w:numPr>
          <w:ilvl w:val="0"/>
          <w:numId w:val="3"/>
        </w:numPr>
        <w:ind w:left="360"/>
        <w:rPr>
          <w:lang w:eastAsia="en-AU"/>
        </w:rPr>
      </w:pPr>
      <w:r>
        <w:rPr>
          <w:rFonts w:cs="Arial"/>
          <w:b/>
          <w:szCs w:val="24"/>
        </w:rPr>
        <w:t>VMO-</w:t>
      </w:r>
      <w:r>
        <w:rPr>
          <w:rFonts w:cs="Arial"/>
          <w:szCs w:val="24"/>
        </w:rPr>
        <w:t xml:space="preserve"> Visiting Medical Officer</w:t>
      </w:r>
    </w:p>
    <w:p w14:paraId="40BD25D4" w14:textId="77777777" w:rsidR="00CC7B85" w:rsidRDefault="00CC7B85" w:rsidP="00CC7B85">
      <w:pPr>
        <w:numPr>
          <w:ilvl w:val="0"/>
          <w:numId w:val="3"/>
        </w:numPr>
        <w:ind w:left="360"/>
        <w:rPr>
          <w:rFonts w:cs="Arial"/>
        </w:rPr>
      </w:pPr>
      <w:r w:rsidRPr="00FC2891">
        <w:rPr>
          <w:rFonts w:cs="Arial"/>
          <w:b/>
        </w:rPr>
        <w:t>Health Professional</w:t>
      </w:r>
      <w:r>
        <w:rPr>
          <w:rFonts w:cs="Arial"/>
          <w:b/>
        </w:rPr>
        <w:t>-</w:t>
      </w:r>
      <w:r>
        <w:rPr>
          <w:rFonts w:cs="Arial"/>
        </w:rPr>
        <w:t xml:space="preserve"> </w:t>
      </w:r>
      <w:r w:rsidRPr="00FC2891">
        <w:rPr>
          <w:rFonts w:cs="Arial"/>
        </w:rPr>
        <w:t>Doctors, Dentists, Nurses, Midwifes, Allied Health Professionals and other clinicians providing clinical services to patients/clients.</w:t>
      </w:r>
    </w:p>
    <w:p w14:paraId="2F51A8DA" w14:textId="518B0F00" w:rsidR="00FF56DD" w:rsidRPr="000D7665" w:rsidRDefault="00CC7B85" w:rsidP="00FF56DD">
      <w:pPr>
        <w:numPr>
          <w:ilvl w:val="0"/>
          <w:numId w:val="3"/>
        </w:numPr>
        <w:ind w:left="360"/>
        <w:rPr>
          <w:rFonts w:cs="Arial"/>
        </w:rPr>
      </w:pPr>
      <w:r w:rsidRPr="00C450A4">
        <w:rPr>
          <w:rFonts w:cs="Arial"/>
          <w:b/>
        </w:rPr>
        <w:t>Systems thinking</w:t>
      </w:r>
      <w:r>
        <w:rPr>
          <w:rFonts w:cs="Arial"/>
        </w:rPr>
        <w:t xml:space="preserve"> -</w:t>
      </w:r>
      <w:r w:rsidRPr="00DE10A4">
        <w:rPr>
          <w:rFonts w:cs="Arial"/>
        </w:rPr>
        <w:t>Refers to the interacting dynamics between; self, team, environment</w:t>
      </w:r>
      <w:r>
        <w:rPr>
          <w:rFonts w:cs="Arial"/>
        </w:rPr>
        <w:t xml:space="preserve"> </w:t>
      </w:r>
      <w:r w:rsidRPr="00DE10A4">
        <w:rPr>
          <w:rFonts w:cs="Arial"/>
        </w:rPr>
        <w:t>and patient and how they work together to contribute to outcomes.</w:t>
      </w:r>
      <w:r>
        <w:rPr>
          <w:rFonts w:cs="Arial"/>
        </w:rPr>
        <w:t xml:space="preserve"> </w:t>
      </w:r>
      <w:r w:rsidRPr="00DE10A4">
        <w:rPr>
          <w:rFonts w:cs="Arial"/>
        </w:rPr>
        <w:t>Based on the concept that a system, not any one individual, is</w:t>
      </w:r>
      <w:r>
        <w:rPr>
          <w:rFonts w:cs="Arial"/>
        </w:rPr>
        <w:t xml:space="preserve"> </w:t>
      </w:r>
      <w:r w:rsidRPr="00DE10A4">
        <w:rPr>
          <w:rFonts w:cs="Arial"/>
        </w:rPr>
        <w:t xml:space="preserve">responsible for both good and bad outcomes. </w:t>
      </w:r>
    </w:p>
    <w:p w14:paraId="2F51A8DB" w14:textId="77777777" w:rsidR="00FF56DD" w:rsidRDefault="00000000"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3" w:name="_Toc389473290"/>
            <w:bookmarkStart w:id="24" w:name="_Toc158373015"/>
            <w:r>
              <w:t>Search Terms</w:t>
            </w:r>
            <w:bookmarkEnd w:id="23"/>
            <w:bookmarkEnd w:id="24"/>
            <w:r>
              <w:t xml:space="preserve"> </w:t>
            </w:r>
          </w:p>
        </w:tc>
      </w:tr>
    </w:tbl>
    <w:p w14:paraId="2F51A8DE" w14:textId="77777777" w:rsidR="007B6904" w:rsidRDefault="007B6904" w:rsidP="007B6904">
      <w:pPr>
        <w:rPr>
          <w:rFonts w:cs="Calibri,Bold"/>
          <w:bCs/>
          <w:i/>
          <w:szCs w:val="24"/>
          <w:lang w:eastAsia="en-AU"/>
        </w:rPr>
      </w:pPr>
    </w:p>
    <w:p w14:paraId="2F51A8E0" w14:textId="7F6FAF5C" w:rsidR="007B6904" w:rsidRPr="00901883" w:rsidRDefault="00CC7B85" w:rsidP="000D7665">
      <w:pPr>
        <w:rPr>
          <w:rFonts w:asciiTheme="minorHAnsi" w:hAnsiTheme="minorHAnsi" w:cs="Arial"/>
          <w:b/>
          <w:i/>
          <w:sz w:val="22"/>
          <w:szCs w:val="22"/>
        </w:rPr>
      </w:pPr>
      <w:r w:rsidRPr="000D7665">
        <w:rPr>
          <w:rFonts w:cs="Calibri,Bold"/>
          <w:bCs/>
          <w:iCs/>
          <w:szCs w:val="24"/>
          <w:lang w:eastAsia="en-AU"/>
        </w:rPr>
        <w:t xml:space="preserve">Clinical Review, Diagnostic Related Group, </w:t>
      </w:r>
      <w:r w:rsidR="006B214E" w:rsidRPr="000D7665">
        <w:rPr>
          <w:rFonts w:cs="Calibri,Bold"/>
          <w:bCs/>
          <w:iCs/>
          <w:szCs w:val="24"/>
          <w:lang w:eastAsia="en-AU"/>
        </w:rPr>
        <w:t>Qualified Assurance Committee</w:t>
      </w:r>
      <w:r w:rsidR="000D7665">
        <w:rPr>
          <w:rFonts w:cs="Calibri,Bold"/>
          <w:bCs/>
          <w:iCs/>
          <w:szCs w:val="24"/>
          <w:lang w:eastAsia="en-AU"/>
        </w:rPr>
        <w:t>, National Standards, North Canberra Hospital, Exceptional Care, Committee</w:t>
      </w:r>
    </w:p>
    <w:p w14:paraId="2F51A8E1" w14:textId="77777777" w:rsidR="005F3214" w:rsidRPr="00AC7025" w:rsidRDefault="00000000"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5" w:name="_Toc396995664"/>
    </w:p>
    <w:bookmarkEnd w:id="25"/>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0FCE71E6" w:rsidR="00ED46C3" w:rsidRPr="008202D3" w:rsidRDefault="0089262B" w:rsidP="004A1316">
            <w:pPr>
              <w:rPr>
                <w:i/>
                <w:sz w:val="20"/>
              </w:rPr>
            </w:pPr>
            <w:r>
              <w:rPr>
                <w:i/>
                <w:sz w:val="20"/>
              </w:rPr>
              <w:t>2</w:t>
            </w:r>
            <w:r w:rsidR="00247A71">
              <w:rPr>
                <w:i/>
                <w:sz w:val="20"/>
              </w:rPr>
              <w:t>3</w:t>
            </w:r>
            <w:r>
              <w:rPr>
                <w:i/>
                <w:sz w:val="20"/>
              </w:rPr>
              <w:t>/01/2024</w:t>
            </w:r>
          </w:p>
        </w:tc>
        <w:tc>
          <w:tcPr>
            <w:tcW w:w="2265" w:type="dxa"/>
          </w:tcPr>
          <w:p w14:paraId="757FDC5B" w14:textId="765F96CF" w:rsidR="00ED46C3" w:rsidRPr="008202D3" w:rsidRDefault="00813168" w:rsidP="004A1316">
            <w:pPr>
              <w:rPr>
                <w:i/>
                <w:sz w:val="20"/>
              </w:rPr>
            </w:pPr>
            <w:r>
              <w:rPr>
                <w:i/>
                <w:sz w:val="20"/>
              </w:rPr>
              <w:t>NCH transition</w:t>
            </w:r>
          </w:p>
        </w:tc>
        <w:tc>
          <w:tcPr>
            <w:tcW w:w="2265" w:type="dxa"/>
          </w:tcPr>
          <w:p w14:paraId="45358585" w14:textId="75410A6E" w:rsidR="00ED46C3" w:rsidRPr="008202D3" w:rsidRDefault="00813168" w:rsidP="004A1316">
            <w:pPr>
              <w:rPr>
                <w:i/>
                <w:sz w:val="20"/>
              </w:rPr>
            </w:pPr>
            <w:r>
              <w:rPr>
                <w:i/>
                <w:sz w:val="20"/>
              </w:rPr>
              <w:t>CHS Policy Team</w:t>
            </w:r>
          </w:p>
        </w:tc>
        <w:tc>
          <w:tcPr>
            <w:tcW w:w="2265" w:type="dxa"/>
          </w:tcPr>
          <w:p w14:paraId="31501FE6" w14:textId="7AD49850" w:rsidR="00ED46C3" w:rsidRPr="008202D3" w:rsidRDefault="00813168" w:rsidP="004A1316">
            <w:pPr>
              <w:rPr>
                <w:i/>
                <w:sz w:val="20"/>
              </w:rPr>
            </w:pPr>
            <w:r>
              <w:rPr>
                <w:i/>
                <w:sz w:val="20"/>
              </w:rPr>
              <w:t xml:space="preserve">CHS Policy Team </w:t>
            </w:r>
          </w:p>
        </w:tc>
      </w:tr>
      <w:tr w:rsidR="00ED46C3" w:rsidRPr="008202D3" w14:paraId="4B9C0359" w14:textId="77777777" w:rsidTr="004A1316">
        <w:tc>
          <w:tcPr>
            <w:tcW w:w="2265" w:type="dxa"/>
          </w:tcPr>
          <w:p w14:paraId="01E40F72" w14:textId="612C72F1" w:rsidR="00ED46C3" w:rsidRPr="008202D3" w:rsidRDefault="003116FB" w:rsidP="004A1316">
            <w:pPr>
              <w:rPr>
                <w:i/>
                <w:sz w:val="20"/>
              </w:rPr>
            </w:pPr>
            <w:r>
              <w:rPr>
                <w:i/>
                <w:sz w:val="20"/>
              </w:rPr>
              <w:t>09/02/2024</w:t>
            </w:r>
          </w:p>
        </w:tc>
        <w:tc>
          <w:tcPr>
            <w:tcW w:w="2265" w:type="dxa"/>
          </w:tcPr>
          <w:p w14:paraId="25312BA2" w14:textId="283BAE98" w:rsidR="00ED46C3" w:rsidRPr="008202D3" w:rsidRDefault="003116FB" w:rsidP="004A1316">
            <w:pPr>
              <w:rPr>
                <w:i/>
                <w:sz w:val="20"/>
              </w:rPr>
            </w:pPr>
            <w:r>
              <w:rPr>
                <w:i/>
                <w:sz w:val="20"/>
              </w:rPr>
              <w:t>Removed evaluation section</w:t>
            </w:r>
          </w:p>
        </w:tc>
        <w:tc>
          <w:tcPr>
            <w:tcW w:w="2265" w:type="dxa"/>
          </w:tcPr>
          <w:p w14:paraId="6A63A790" w14:textId="7D259992" w:rsidR="00ED46C3" w:rsidRPr="008202D3" w:rsidRDefault="003116FB" w:rsidP="004A1316">
            <w:pPr>
              <w:rPr>
                <w:i/>
                <w:sz w:val="20"/>
              </w:rPr>
            </w:pPr>
            <w:r>
              <w:rPr>
                <w:i/>
                <w:sz w:val="20"/>
              </w:rPr>
              <w:t>CHS Policy Team</w:t>
            </w:r>
          </w:p>
        </w:tc>
        <w:tc>
          <w:tcPr>
            <w:tcW w:w="2265" w:type="dxa"/>
          </w:tcPr>
          <w:p w14:paraId="0C203B9F" w14:textId="534C0E89" w:rsidR="00ED46C3" w:rsidRPr="008202D3" w:rsidRDefault="003116FB" w:rsidP="004A1316">
            <w:pPr>
              <w:rPr>
                <w:i/>
                <w:sz w:val="20"/>
              </w:rPr>
            </w:pPr>
            <w:r>
              <w:rPr>
                <w:i/>
                <w:sz w:val="20"/>
              </w:rPr>
              <w:t>CHS Policy Team</w:t>
            </w: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FEFD9C0" w:rsidR="00ED46C3" w:rsidRPr="008202D3" w:rsidRDefault="00813168" w:rsidP="004A1316">
            <w:pPr>
              <w:rPr>
                <w:i/>
                <w:sz w:val="20"/>
              </w:rPr>
            </w:pPr>
            <w:r>
              <w:rPr>
                <w:i/>
                <w:sz w:val="20"/>
              </w:rPr>
              <w:t xml:space="preserve">NCH – Clinical Review Policy </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D37D" w14:textId="77777777" w:rsidR="00322250" w:rsidRDefault="00322250" w:rsidP="00F66CB0">
      <w:r>
        <w:separator/>
      </w:r>
    </w:p>
  </w:endnote>
  <w:endnote w:type="continuationSeparator" w:id="0">
    <w:p w14:paraId="376FF172" w14:textId="77777777" w:rsidR="00322250" w:rsidRDefault="00322250"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355"/>
      <w:gridCol w:w="101"/>
      <w:gridCol w:w="1883"/>
      <w:gridCol w:w="1699"/>
    </w:tblGrid>
    <w:tr w:rsidR="00E90708" w:rsidRPr="00AE7C5C" w14:paraId="2F51A914" w14:textId="77777777" w:rsidTr="002574A4">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gridSpan w:val="2"/>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883"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699"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2574A4">
      <w:tc>
        <w:tcPr>
          <w:tcW w:w="1515" w:type="dxa"/>
        </w:tcPr>
        <w:p w14:paraId="2F51A915" w14:textId="7757488B" w:rsidR="00E90708" w:rsidRPr="00542EE6" w:rsidRDefault="00247A71" w:rsidP="004213C3">
          <w:pPr>
            <w:pStyle w:val="Footer"/>
            <w:rPr>
              <w:rFonts w:cs="Arial"/>
              <w:b/>
              <w:bCs/>
              <w:sz w:val="20"/>
            </w:rPr>
          </w:pPr>
          <w:r>
            <w:rPr>
              <w:b/>
              <w:sz w:val="20"/>
            </w:rPr>
            <w:t>CHS24/011</w:t>
          </w:r>
        </w:p>
      </w:tc>
      <w:tc>
        <w:tcPr>
          <w:tcW w:w="965" w:type="dxa"/>
        </w:tcPr>
        <w:p w14:paraId="2F51A916" w14:textId="754A5F90" w:rsidR="00E90708" w:rsidRPr="00B3752F" w:rsidRDefault="00247A71" w:rsidP="004213C3">
          <w:pPr>
            <w:pStyle w:val="Footer"/>
            <w:rPr>
              <w:rFonts w:cs="Arial"/>
              <w:b/>
              <w:bCs/>
              <w:sz w:val="20"/>
            </w:rPr>
          </w:pPr>
          <w:r>
            <w:rPr>
              <w:rFonts w:cs="Arial"/>
              <w:b/>
              <w:bCs/>
              <w:sz w:val="20"/>
            </w:rPr>
            <w:t>1</w:t>
          </w:r>
        </w:p>
      </w:tc>
      <w:tc>
        <w:tcPr>
          <w:tcW w:w="1552" w:type="dxa"/>
        </w:tcPr>
        <w:p w14:paraId="2F51A917" w14:textId="54DAA601" w:rsidR="00E90708" w:rsidRPr="00B3752F" w:rsidRDefault="00247A71" w:rsidP="004213C3">
          <w:pPr>
            <w:pStyle w:val="Footer"/>
            <w:rPr>
              <w:rFonts w:cs="Arial"/>
              <w:b/>
              <w:bCs/>
              <w:sz w:val="20"/>
            </w:rPr>
          </w:pPr>
          <w:r>
            <w:rPr>
              <w:rFonts w:cs="Arial"/>
              <w:b/>
              <w:bCs/>
              <w:sz w:val="20"/>
            </w:rPr>
            <w:t>2</w:t>
          </w:r>
          <w:r w:rsidR="004028F0">
            <w:rPr>
              <w:rFonts w:cs="Arial"/>
              <w:b/>
              <w:bCs/>
              <w:sz w:val="20"/>
            </w:rPr>
            <w:t>4</w:t>
          </w:r>
          <w:r>
            <w:rPr>
              <w:rFonts w:cs="Arial"/>
              <w:b/>
              <w:bCs/>
              <w:sz w:val="20"/>
            </w:rPr>
            <w:t>/01/2024</w:t>
          </w:r>
        </w:p>
      </w:tc>
      <w:tc>
        <w:tcPr>
          <w:tcW w:w="1355" w:type="dxa"/>
        </w:tcPr>
        <w:p w14:paraId="2F51A918" w14:textId="37120219" w:rsidR="00E90708" w:rsidRPr="00B3752F" w:rsidRDefault="00247A71" w:rsidP="004213C3">
          <w:pPr>
            <w:pStyle w:val="Footer"/>
            <w:rPr>
              <w:rFonts w:cs="Arial"/>
              <w:b/>
              <w:bCs/>
              <w:sz w:val="20"/>
            </w:rPr>
          </w:pPr>
          <w:r>
            <w:rPr>
              <w:rFonts w:cs="Arial"/>
              <w:b/>
              <w:bCs/>
              <w:sz w:val="20"/>
            </w:rPr>
            <w:t>01/02/2027</w:t>
          </w:r>
        </w:p>
      </w:tc>
      <w:tc>
        <w:tcPr>
          <w:tcW w:w="1984" w:type="dxa"/>
          <w:gridSpan w:val="2"/>
        </w:tcPr>
        <w:p w14:paraId="2F51A919" w14:textId="3409B61F" w:rsidR="00E90708" w:rsidRPr="00B3752F" w:rsidRDefault="00E4028A" w:rsidP="004213C3">
          <w:pPr>
            <w:pStyle w:val="Footer"/>
            <w:rPr>
              <w:rFonts w:cs="Arial"/>
              <w:b/>
              <w:bCs/>
              <w:sz w:val="20"/>
            </w:rPr>
          </w:pPr>
          <w:r>
            <w:rPr>
              <w:rFonts w:cs="Arial"/>
              <w:b/>
              <w:bCs/>
              <w:sz w:val="20"/>
            </w:rPr>
            <w:t>Medical Services</w:t>
          </w:r>
          <w:r w:rsidR="002574A4">
            <w:rPr>
              <w:rFonts w:cs="Arial"/>
              <w:b/>
              <w:bCs/>
              <w:sz w:val="20"/>
            </w:rPr>
            <w:t xml:space="preserve"> </w:t>
          </w:r>
          <w:r w:rsidR="00212C7B">
            <w:rPr>
              <w:rFonts w:cs="Arial"/>
              <w:b/>
              <w:bCs/>
              <w:sz w:val="20"/>
            </w:rPr>
            <w:t xml:space="preserve">Clinical </w:t>
          </w:r>
          <w:r w:rsidR="002574A4">
            <w:rPr>
              <w:rFonts w:cs="Arial"/>
              <w:b/>
              <w:bCs/>
              <w:sz w:val="20"/>
            </w:rPr>
            <w:t xml:space="preserve">Governance </w:t>
          </w:r>
          <w:r w:rsidR="00212C7B">
            <w:rPr>
              <w:rFonts w:cs="Arial"/>
              <w:b/>
              <w:bCs/>
              <w:sz w:val="20"/>
            </w:rPr>
            <w:t xml:space="preserve">- </w:t>
          </w:r>
          <w:r>
            <w:rPr>
              <w:rFonts w:cs="Arial"/>
              <w:b/>
              <w:bCs/>
              <w:sz w:val="20"/>
            </w:rPr>
            <w:t xml:space="preserve"> </w:t>
          </w:r>
          <w:r w:rsidR="00247A71">
            <w:rPr>
              <w:rFonts w:cs="Arial"/>
              <w:b/>
              <w:bCs/>
              <w:sz w:val="20"/>
            </w:rPr>
            <w:t xml:space="preserve"> NCH</w:t>
          </w:r>
        </w:p>
      </w:tc>
      <w:tc>
        <w:tcPr>
          <w:tcW w:w="1699"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7"/>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FF4A" w14:textId="77777777" w:rsidR="00322250" w:rsidRDefault="00322250" w:rsidP="00F66CB0">
      <w:r>
        <w:separator/>
      </w:r>
    </w:p>
  </w:footnote>
  <w:footnote w:type="continuationSeparator" w:id="0">
    <w:p w14:paraId="062726A6" w14:textId="77777777" w:rsidR="00322250" w:rsidRDefault="00322250"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37177A3E" w:rsidR="00E90708" w:rsidRDefault="00247A71">
          <w:pPr>
            <w:pStyle w:val="Header"/>
            <w:tabs>
              <w:tab w:val="left" w:pos="720"/>
            </w:tabs>
            <w:jc w:val="right"/>
            <w:rPr>
              <w:sz w:val="20"/>
            </w:rPr>
          </w:pPr>
          <w:bookmarkStart w:id="26" w:name="_top"/>
          <w:bookmarkEnd w:id="26"/>
          <w:r>
            <w:rPr>
              <w:sz w:val="20"/>
            </w:rPr>
            <w:t>CHS24/01</w:t>
          </w:r>
          <w:r w:rsidR="00785E36">
            <w:rPr>
              <w:sz w:val="20"/>
            </w:rPr>
            <w:t>1</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6EA67F5"/>
    <w:multiLevelType w:val="hybridMultilevel"/>
    <w:tmpl w:val="7A8E182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08F13CCA"/>
    <w:multiLevelType w:val="multilevel"/>
    <w:tmpl w:val="BD8069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F7292D"/>
    <w:multiLevelType w:val="hybridMultilevel"/>
    <w:tmpl w:val="72DE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A2288B"/>
    <w:multiLevelType w:val="hybridMultilevel"/>
    <w:tmpl w:val="17A2E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F93FDE"/>
    <w:multiLevelType w:val="hybridMultilevel"/>
    <w:tmpl w:val="55CE432C"/>
    <w:lvl w:ilvl="0" w:tplc="04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D42AE"/>
    <w:multiLevelType w:val="hybridMultilevel"/>
    <w:tmpl w:val="1944B07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DE3D6B"/>
    <w:multiLevelType w:val="hybridMultilevel"/>
    <w:tmpl w:val="0B40195A"/>
    <w:lvl w:ilvl="0" w:tplc="0C090003">
      <w:start w:val="1"/>
      <w:numFmt w:val="bullet"/>
      <w:lvlText w:val="o"/>
      <w:lvlJc w:val="left"/>
      <w:pPr>
        <w:ind w:left="1713" w:hanging="360"/>
      </w:pPr>
      <w:rPr>
        <w:rFonts w:ascii="Courier New" w:hAnsi="Courier New" w:cs="Courier New"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3" w15:restartNumberingAfterBreak="0">
    <w:nsid w:val="200478A2"/>
    <w:multiLevelType w:val="hybridMultilevel"/>
    <w:tmpl w:val="565CA07E"/>
    <w:lvl w:ilvl="0" w:tplc="0C090003">
      <w:start w:val="1"/>
      <w:numFmt w:val="bullet"/>
      <w:lvlText w:val="o"/>
      <w:lvlJc w:val="left"/>
      <w:pPr>
        <w:ind w:left="1860" w:hanging="360"/>
      </w:pPr>
      <w:rPr>
        <w:rFonts w:ascii="Courier New" w:hAnsi="Courier New" w:cs="Courier New"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4" w15:restartNumberingAfterBreak="0">
    <w:nsid w:val="26793309"/>
    <w:multiLevelType w:val="multilevel"/>
    <w:tmpl w:val="1FC6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553C6"/>
    <w:multiLevelType w:val="hybridMultilevel"/>
    <w:tmpl w:val="CEE22E24"/>
    <w:lvl w:ilvl="0" w:tplc="57E6A4D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5D5BD0"/>
    <w:multiLevelType w:val="multilevel"/>
    <w:tmpl w:val="0F6885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0" w15:restartNumberingAfterBreak="0">
    <w:nsid w:val="6187429A"/>
    <w:multiLevelType w:val="hybridMultilevel"/>
    <w:tmpl w:val="8806DF2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74BB6906"/>
    <w:multiLevelType w:val="hybridMultilevel"/>
    <w:tmpl w:val="64660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475A37"/>
    <w:multiLevelType w:val="hybridMultilevel"/>
    <w:tmpl w:val="59C09E9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2C18E5"/>
    <w:multiLevelType w:val="hybridMultilevel"/>
    <w:tmpl w:val="1676FD6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2339292">
    <w:abstractNumId w:val="0"/>
  </w:num>
  <w:num w:numId="2" w16cid:durableId="757215330">
    <w:abstractNumId w:val="2"/>
  </w:num>
  <w:num w:numId="3" w16cid:durableId="694384972">
    <w:abstractNumId w:val="23"/>
  </w:num>
  <w:num w:numId="4" w16cid:durableId="581985727">
    <w:abstractNumId w:val="9"/>
  </w:num>
  <w:num w:numId="5" w16cid:durableId="1496455436">
    <w:abstractNumId w:val="11"/>
  </w:num>
  <w:num w:numId="6" w16cid:durableId="505444624">
    <w:abstractNumId w:val="25"/>
  </w:num>
  <w:num w:numId="7" w16cid:durableId="829104531">
    <w:abstractNumId w:val="19"/>
  </w:num>
  <w:num w:numId="8" w16cid:durableId="715589029">
    <w:abstractNumId w:val="0"/>
  </w:num>
  <w:num w:numId="9" w16cid:durableId="960651257">
    <w:abstractNumId w:val="0"/>
  </w:num>
  <w:num w:numId="10" w16cid:durableId="827095579">
    <w:abstractNumId w:val="18"/>
  </w:num>
  <w:num w:numId="11" w16cid:durableId="1639843848">
    <w:abstractNumId w:val="1"/>
  </w:num>
  <w:num w:numId="12" w16cid:durableId="817651640">
    <w:abstractNumId w:val="10"/>
  </w:num>
  <w:num w:numId="13" w16cid:durableId="1552420748">
    <w:abstractNumId w:val="8"/>
  </w:num>
  <w:num w:numId="14" w16cid:durableId="2039037345">
    <w:abstractNumId w:val="6"/>
  </w:num>
  <w:num w:numId="15" w16cid:durableId="1136920295">
    <w:abstractNumId w:val="16"/>
  </w:num>
  <w:num w:numId="16" w16cid:durableId="91782293">
    <w:abstractNumId w:val="21"/>
  </w:num>
  <w:num w:numId="17" w16cid:durableId="2001499910">
    <w:abstractNumId w:val="7"/>
  </w:num>
  <w:num w:numId="18" w16cid:durableId="1713188517">
    <w:abstractNumId w:val="20"/>
  </w:num>
  <w:num w:numId="19" w16cid:durableId="1975285029">
    <w:abstractNumId w:val="3"/>
  </w:num>
  <w:num w:numId="20" w16cid:durableId="1019698826">
    <w:abstractNumId w:val="15"/>
  </w:num>
  <w:num w:numId="21" w16cid:durableId="1238326855">
    <w:abstractNumId w:val="5"/>
  </w:num>
  <w:num w:numId="22" w16cid:durableId="1545873439">
    <w:abstractNumId w:val="14"/>
  </w:num>
  <w:num w:numId="23" w16cid:durableId="1837499956">
    <w:abstractNumId w:val="4"/>
  </w:num>
  <w:num w:numId="24" w16cid:durableId="1549146761">
    <w:abstractNumId w:val="13"/>
  </w:num>
  <w:num w:numId="25" w16cid:durableId="2120056654">
    <w:abstractNumId w:val="12"/>
  </w:num>
  <w:num w:numId="26" w16cid:durableId="689333130">
    <w:abstractNumId w:val="17"/>
  </w:num>
  <w:num w:numId="27" w16cid:durableId="953363521">
    <w:abstractNumId w:val="22"/>
  </w:num>
  <w:num w:numId="28" w16cid:durableId="10343845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23CC5"/>
    <w:rsid w:val="00072EEC"/>
    <w:rsid w:val="00091AC9"/>
    <w:rsid w:val="00095ECD"/>
    <w:rsid w:val="000A7335"/>
    <w:rsid w:val="000B1620"/>
    <w:rsid w:val="000B5C8C"/>
    <w:rsid w:val="000B71ED"/>
    <w:rsid w:val="000C59E2"/>
    <w:rsid w:val="000C7B2D"/>
    <w:rsid w:val="000D7665"/>
    <w:rsid w:val="000F7B7E"/>
    <w:rsid w:val="00103EEA"/>
    <w:rsid w:val="001115D7"/>
    <w:rsid w:val="00191109"/>
    <w:rsid w:val="00191235"/>
    <w:rsid w:val="001926F4"/>
    <w:rsid w:val="001A0053"/>
    <w:rsid w:val="001B2465"/>
    <w:rsid w:val="001B3435"/>
    <w:rsid w:val="001F2A9B"/>
    <w:rsid w:val="001F6D2D"/>
    <w:rsid w:val="00200D04"/>
    <w:rsid w:val="00201FB6"/>
    <w:rsid w:val="00212C7B"/>
    <w:rsid w:val="002405CF"/>
    <w:rsid w:val="00240B97"/>
    <w:rsid w:val="00247A71"/>
    <w:rsid w:val="0025382D"/>
    <w:rsid w:val="002574A4"/>
    <w:rsid w:val="00263BA6"/>
    <w:rsid w:val="0027264D"/>
    <w:rsid w:val="00285D38"/>
    <w:rsid w:val="00293E43"/>
    <w:rsid w:val="002A126C"/>
    <w:rsid w:val="002B5F43"/>
    <w:rsid w:val="002E529D"/>
    <w:rsid w:val="003116FB"/>
    <w:rsid w:val="00313707"/>
    <w:rsid w:val="00322250"/>
    <w:rsid w:val="0032270B"/>
    <w:rsid w:val="00337E7C"/>
    <w:rsid w:val="00351CD9"/>
    <w:rsid w:val="00353CBB"/>
    <w:rsid w:val="00366924"/>
    <w:rsid w:val="00376A6D"/>
    <w:rsid w:val="00380B98"/>
    <w:rsid w:val="00395E36"/>
    <w:rsid w:val="00396023"/>
    <w:rsid w:val="003C204E"/>
    <w:rsid w:val="003C4BB5"/>
    <w:rsid w:val="003E4CC0"/>
    <w:rsid w:val="003F3D8F"/>
    <w:rsid w:val="004028F0"/>
    <w:rsid w:val="00410409"/>
    <w:rsid w:val="00412CED"/>
    <w:rsid w:val="00416751"/>
    <w:rsid w:val="00420F9E"/>
    <w:rsid w:val="004213C3"/>
    <w:rsid w:val="0042413C"/>
    <w:rsid w:val="00427139"/>
    <w:rsid w:val="00431A1C"/>
    <w:rsid w:val="004358E9"/>
    <w:rsid w:val="004537B3"/>
    <w:rsid w:val="0048050C"/>
    <w:rsid w:val="00487DD5"/>
    <w:rsid w:val="004947A7"/>
    <w:rsid w:val="00494EEF"/>
    <w:rsid w:val="004A2E02"/>
    <w:rsid w:val="004B7C43"/>
    <w:rsid w:val="004C2B20"/>
    <w:rsid w:val="004D6932"/>
    <w:rsid w:val="004E28AD"/>
    <w:rsid w:val="004F0F49"/>
    <w:rsid w:val="004F1D05"/>
    <w:rsid w:val="004F2008"/>
    <w:rsid w:val="00505B5D"/>
    <w:rsid w:val="005067CA"/>
    <w:rsid w:val="00520763"/>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4659"/>
    <w:rsid w:val="006473BB"/>
    <w:rsid w:val="0066495D"/>
    <w:rsid w:val="00695EB6"/>
    <w:rsid w:val="006A3770"/>
    <w:rsid w:val="006A4D46"/>
    <w:rsid w:val="006A6024"/>
    <w:rsid w:val="006B214E"/>
    <w:rsid w:val="006C31FF"/>
    <w:rsid w:val="006C6256"/>
    <w:rsid w:val="006C6B6C"/>
    <w:rsid w:val="006C704D"/>
    <w:rsid w:val="006D31A2"/>
    <w:rsid w:val="0070331D"/>
    <w:rsid w:val="007052B1"/>
    <w:rsid w:val="00711BF4"/>
    <w:rsid w:val="007179D7"/>
    <w:rsid w:val="00741B43"/>
    <w:rsid w:val="0074223E"/>
    <w:rsid w:val="007543AC"/>
    <w:rsid w:val="00756537"/>
    <w:rsid w:val="00756A2B"/>
    <w:rsid w:val="00785E36"/>
    <w:rsid w:val="007A0EBC"/>
    <w:rsid w:val="007B27F1"/>
    <w:rsid w:val="007B4ABB"/>
    <w:rsid w:val="007B6904"/>
    <w:rsid w:val="007B7628"/>
    <w:rsid w:val="007C36E4"/>
    <w:rsid w:val="00811C17"/>
    <w:rsid w:val="00813168"/>
    <w:rsid w:val="00816782"/>
    <w:rsid w:val="0082141D"/>
    <w:rsid w:val="00827F24"/>
    <w:rsid w:val="00832F54"/>
    <w:rsid w:val="00845445"/>
    <w:rsid w:val="00855DA8"/>
    <w:rsid w:val="00886399"/>
    <w:rsid w:val="0089262B"/>
    <w:rsid w:val="008974CA"/>
    <w:rsid w:val="008E1F7F"/>
    <w:rsid w:val="008F00E8"/>
    <w:rsid w:val="00906142"/>
    <w:rsid w:val="00931B93"/>
    <w:rsid w:val="00933EED"/>
    <w:rsid w:val="00940CDE"/>
    <w:rsid w:val="00962C46"/>
    <w:rsid w:val="0097742A"/>
    <w:rsid w:val="0097744F"/>
    <w:rsid w:val="00980EED"/>
    <w:rsid w:val="00991670"/>
    <w:rsid w:val="009B6C8C"/>
    <w:rsid w:val="009C0FCA"/>
    <w:rsid w:val="009C3963"/>
    <w:rsid w:val="009C53EA"/>
    <w:rsid w:val="009D323C"/>
    <w:rsid w:val="009E39B9"/>
    <w:rsid w:val="009E70F4"/>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6FBE"/>
    <w:rsid w:val="00C47091"/>
    <w:rsid w:val="00C47B55"/>
    <w:rsid w:val="00C523FF"/>
    <w:rsid w:val="00C71C3C"/>
    <w:rsid w:val="00C76998"/>
    <w:rsid w:val="00C93E83"/>
    <w:rsid w:val="00CA31BB"/>
    <w:rsid w:val="00CA593D"/>
    <w:rsid w:val="00CC5D11"/>
    <w:rsid w:val="00CC7B85"/>
    <w:rsid w:val="00CD1505"/>
    <w:rsid w:val="00CE3839"/>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7CD4"/>
    <w:rsid w:val="00E4028A"/>
    <w:rsid w:val="00E57848"/>
    <w:rsid w:val="00E73459"/>
    <w:rsid w:val="00E750BF"/>
    <w:rsid w:val="00E90708"/>
    <w:rsid w:val="00ED21C3"/>
    <w:rsid w:val="00ED369B"/>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1AE"/>
    <w:rsid w:val="00F9158A"/>
    <w:rsid w:val="00FA29B8"/>
    <w:rsid w:val="00FC7C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Revision">
    <w:name w:val="Revision"/>
    <w:hidden/>
    <w:uiPriority w:val="99"/>
    <w:semiHidden/>
    <w:rsid w:val="00C47B55"/>
    <w:pPr>
      <w:spacing w:after="0" w:line="240" w:lineRule="auto"/>
    </w:pPr>
    <w:rPr>
      <w:rFonts w:ascii="Calibri" w:eastAsia="Times New Roman" w:hAnsi="Calibri" w:cs="Times New Roman"/>
      <w:sz w:val="24"/>
      <w:szCs w:val="20"/>
    </w:rPr>
  </w:style>
  <w:style w:type="character" w:customStyle="1" w:styleId="ListParagraphChar">
    <w:name w:val="List Paragraph Char"/>
    <w:basedOn w:val="DefaultParagraphFont"/>
    <w:link w:val="ListParagraph"/>
    <w:uiPriority w:val="34"/>
    <w:locked/>
    <w:rsid w:val="00CC7B85"/>
    <w:rPr>
      <w:rFonts w:ascii="Calibri" w:eastAsia="Times New Roman" w:hAnsi="Calibri" w:cs="Times New Roman"/>
      <w:sz w:val="24"/>
      <w:szCs w:val="20"/>
    </w:rPr>
  </w:style>
  <w:style w:type="paragraph" w:styleId="Bibliography">
    <w:name w:val="Bibliography"/>
    <w:basedOn w:val="Normal"/>
    <w:next w:val="Normal"/>
    <w:uiPriority w:val="37"/>
    <w:unhideWhenUsed/>
    <w:rsid w:val="00CC7B85"/>
    <w:pPr>
      <w:spacing w:before="120" w:after="120"/>
    </w:pPr>
    <w:rPr>
      <w:sz w:val="22"/>
      <w:szCs w:val="22"/>
    </w:rPr>
  </w:style>
  <w:style w:type="character" w:customStyle="1" w:styleId="normaltextrun">
    <w:name w:val="normaltextrun"/>
    <w:basedOn w:val="DefaultParagraphFont"/>
    <w:rsid w:val="00644659"/>
  </w:style>
  <w:style w:type="character" w:customStyle="1" w:styleId="eop">
    <w:name w:val="eop"/>
    <w:basedOn w:val="DefaultParagraphFont"/>
    <w:rsid w:val="00644659"/>
  </w:style>
  <w:style w:type="paragraph" w:customStyle="1" w:styleId="paragraph">
    <w:name w:val="paragraph"/>
    <w:basedOn w:val="Normal"/>
    <w:rsid w:val="00644659"/>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32486751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750541497">
      <w:bodyDiv w:val="1"/>
      <w:marLeft w:val="0"/>
      <w:marRight w:val="0"/>
      <w:marTop w:val="0"/>
      <w:marBottom w:val="0"/>
      <w:divBdr>
        <w:top w:val="none" w:sz="0" w:space="0" w:color="auto"/>
        <w:left w:val="none" w:sz="0" w:space="0" w:color="auto"/>
        <w:bottom w:val="none" w:sz="0" w:space="0" w:color="auto"/>
        <w:right w:val="none" w:sz="0" w:space="0" w:color="auto"/>
      </w:divBdr>
    </w:div>
    <w:div w:id="1753429210">
      <w:bodyDiv w:val="1"/>
      <w:marLeft w:val="0"/>
      <w:marRight w:val="0"/>
      <w:marTop w:val="0"/>
      <w:marBottom w:val="0"/>
      <w:divBdr>
        <w:top w:val="none" w:sz="0" w:space="0" w:color="auto"/>
        <w:left w:val="none" w:sz="0" w:space="0" w:color="auto"/>
        <w:bottom w:val="none" w:sz="0" w:space="0" w:color="auto"/>
        <w:right w:val="none" w:sz="0" w:space="0" w:color="auto"/>
      </w:divBdr>
      <w:divsChild>
        <w:div w:id="794903934">
          <w:marLeft w:val="0"/>
          <w:marRight w:val="0"/>
          <w:marTop w:val="0"/>
          <w:marBottom w:val="0"/>
          <w:divBdr>
            <w:top w:val="none" w:sz="0" w:space="0" w:color="auto"/>
            <w:left w:val="none" w:sz="0" w:space="0" w:color="auto"/>
            <w:bottom w:val="none" w:sz="0" w:space="0" w:color="auto"/>
            <w:right w:val="none" w:sz="0" w:space="0" w:color="auto"/>
          </w:divBdr>
        </w:div>
        <w:div w:id="38017645">
          <w:marLeft w:val="0"/>
          <w:marRight w:val="0"/>
          <w:marTop w:val="0"/>
          <w:marBottom w:val="0"/>
          <w:divBdr>
            <w:top w:val="none" w:sz="0" w:space="0" w:color="auto"/>
            <w:left w:val="none" w:sz="0" w:space="0" w:color="auto"/>
            <w:bottom w:val="none" w:sz="0" w:space="0" w:color="auto"/>
            <w:right w:val="none" w:sz="0" w:space="0" w:color="auto"/>
          </w:divBdr>
        </w:div>
      </w:divsChild>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2024-01-22T13:00:00+00:00</Approval_x0020_Date>
    <Review_x0020_Date xmlns="690b2128-8961-48af-a473-22c34a9accba">2027-01-31T13:00:00+00:00</Review_x0020_Date>
    <TaxCatchAll xmlns="c0239a80-7f07-4ed7-82c3-24ad7d76ada5">
      <Value>417</Value>
      <Value>432</Value>
      <Value>434</Value>
      <Value>416</Value>
      <Value>415</Value>
      <Value>448</Value>
      <Value>426</Value>
      <Value>482</Value>
    </TaxCatchAll>
    <Version_x0020_Number xmlns="690b2128-8961-48af-a473-22c34a9accba">1</Version_x0020_Number>
    <Notes0 xmlns="690b2128-8961-48af-a473-22c34a9accba">24/01/2024 NCH Document adapted to CHS branding. </Notes0>
    <Key_x0020_Words xmlns="690b2128-8961-48af-a473-22c34a9accba">North, Clinical Review, Diagnostic Related Group, Qualified Assurance Committee, National Standards, North Canberra Hospital, Exceptional Care, Committee</Key_x0020_Words>
    <Type_x0020_of_x0020_Document xmlns="690b2128-8961-48af-a473-22c34a9accba">Procedure</Type_x0020_of_x0020_Document>
    <Approval_x0020_Name_x007c_Committee xmlns="690b2128-8961-48af-a473-22c34a9accba">CHS Policy Team </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This procedure provides North Canberra Hospital (NCH) employees information regarding their involvement in clinical review activities.  </Description0>
    <Display_x0020_on_x0020_Internet xmlns="690b2128-8961-48af-a473-22c34a9accba">true</Display_x0020_on_x0020_Internet>
    <Related_x0020_Documents xmlns="690b2128-8961-48af-a473-22c34a9accba" xsi:nil="true"/>
    <Decision_x0020_Number xmlns="690b2128-8961-48af-a473-22c34a9accba">CHS24/011</Decision_x0020_Number>
    <RelatedPolicies_x002c_ProceduresGuidelines xmlns="690b2128-8961-48af-a473-22c34a9accba">
      <Value>15923</Value>
      <Value>15920</Value>
      <Value>15922</Value>
      <Value>15917</Value>
      <Value>15921</Value>
      <Value>15916</Value>
      <Value>15918</Value>
      <Value>14402</Value>
      <Value>16589</Value>
      <Value>15722</Value>
      <Value>16465</Value>
      <Value>15829</Value>
      <Value>16176</Value>
      <Value>16457</Value>
      <Value>15087</Value>
      <Value>13456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Act 1993 (Territory)</TermName>
          <TermId xmlns="http://schemas.microsoft.com/office/infopath/2007/PartnerControls">6acc9136-72a0-4c53-82df-02c904fa25ae</TermId>
        </TermInfo>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Discrimination Act 1991 (Territory)</TermName>
          <TermId xmlns="http://schemas.microsoft.com/office/infopath/2007/PartnerControls">60b4d8e4-377d-49fd-93b6-2e11b8d6965e</TermId>
        </TermInfo>
        <TermInfo xmlns="http://schemas.microsoft.com/office/infopath/2007/PartnerControls">
          <TermName xmlns="http://schemas.microsoft.com/office/infopath/2007/PartnerControls">Freedom of Information Act 2016 (Territory)</TermName>
          <TermId xmlns="http://schemas.microsoft.com/office/infopath/2007/PartnerControls">baaa82bf-c806-4ca6-b24c-df55d4f8bf06</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North Canberra Hospital (NCH) - Medical Services - Clinical Governance</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91900787-F4FE-403A-ADCB-01C2921AC683}"/>
</file>

<file path=docProps/app.xml><?xml version="1.0" encoding="utf-8"?>
<Properties xmlns="http://schemas.openxmlformats.org/officeDocument/2006/extended-properties" xmlns:vt="http://schemas.openxmlformats.org/officeDocument/2006/docPropsVTypes">
  <Template>Normal</Template>
  <TotalTime>58</TotalTime>
  <Pages>7</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Review - North Canberra Hospital (NCH)</dc:title>
  <dc:creator>Kerryn Hunter</dc:creator>
  <cp:lastModifiedBy>Vesela, Carly (Health)</cp:lastModifiedBy>
  <cp:revision>14</cp:revision>
  <cp:lastPrinted>2015-01-20T22:40:00Z</cp:lastPrinted>
  <dcterms:created xsi:type="dcterms:W3CDTF">2024-01-22T20:56:00Z</dcterms:created>
  <dcterms:modified xsi:type="dcterms:W3CDTF">2024-02-09T01:09:00Z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448;#Health Act 1993 (Territory)|6acc9136-72a0-4c53-82df-02c904fa25ae;#434;#Health Practitioner Regulation National Law Act 2010 (Territory)|5cf4d844-a9cf-4787-98ba-e0d28c369acc;#426;#Discrimination Act 1991 (Territory)|60b4d8e4-377d-49fd-93b6-2e11b8d6965e;#482;#Freedom of Information Act 2016 (Territory)|baaa82bf-c806-4ca6-b24c-df55d4f8bf06;#415;#Health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