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A539E9" w:rsidRDefault="00EF02B0" w:rsidP="00A539E9">
      <w:pPr>
        <w:rPr>
          <w:b/>
          <w:bCs/>
          <w:sz w:val="44"/>
          <w:szCs w:val="44"/>
        </w:rPr>
      </w:pPr>
      <w:bookmarkStart w:id="0" w:name="_Toc389131241"/>
      <w:bookmarkStart w:id="1" w:name="_Toc389473036"/>
      <w:bookmarkStart w:id="2" w:name="_Toc389473185"/>
      <w:bookmarkStart w:id="3" w:name="_Toc389473272"/>
      <w:bookmarkStart w:id="4" w:name="_Toc392770343"/>
      <w:r w:rsidRPr="00A539E9">
        <w:rPr>
          <w:b/>
          <w:bCs/>
          <w:sz w:val="44"/>
          <w:szCs w:val="44"/>
        </w:rPr>
        <w:t>Canberra Health Services</w:t>
      </w:r>
    </w:p>
    <w:bookmarkEnd w:id="0"/>
    <w:bookmarkEnd w:id="1"/>
    <w:bookmarkEnd w:id="2"/>
    <w:bookmarkEnd w:id="3"/>
    <w:bookmarkEnd w:id="4"/>
    <w:p w14:paraId="2F51A850" w14:textId="67A7BAA5" w:rsidR="007B6904" w:rsidRPr="00A539E9" w:rsidRDefault="00EF02B0" w:rsidP="006A3770">
      <w:pPr>
        <w:rPr>
          <w:rFonts w:cs="Arial"/>
          <w:b/>
          <w:i/>
          <w:sz w:val="44"/>
          <w:szCs w:val="44"/>
        </w:rPr>
      </w:pPr>
      <w:r w:rsidRPr="00A539E9">
        <w:rPr>
          <w:rFonts w:cs="Arial"/>
          <w:b/>
          <w:sz w:val="44"/>
          <w:szCs w:val="44"/>
        </w:rPr>
        <w:t>Procedure</w:t>
      </w:r>
      <w:r w:rsidR="00931B93" w:rsidRPr="00A539E9">
        <w:rPr>
          <w:rFonts w:cs="Arial"/>
          <w:b/>
          <w:sz w:val="44"/>
          <w:szCs w:val="44"/>
        </w:rPr>
        <w:t xml:space="preserve"> </w:t>
      </w:r>
    </w:p>
    <w:p w14:paraId="0B77F6C8" w14:textId="0B591220" w:rsidR="000A6081" w:rsidRPr="000A6081" w:rsidRDefault="000A6081" w:rsidP="006A3770">
      <w:pPr>
        <w:rPr>
          <w:rFonts w:cs="Arial"/>
          <w:b/>
          <w:iCs/>
          <w:sz w:val="36"/>
          <w:szCs w:val="36"/>
        </w:rPr>
      </w:pPr>
      <w:r w:rsidRPr="000A6081">
        <w:rPr>
          <w:rFonts w:cs="Arial"/>
          <w:b/>
          <w:iCs/>
          <w:sz w:val="36"/>
          <w:szCs w:val="36"/>
        </w:rPr>
        <w:t xml:space="preserve">Hospital in the Home Management of </w:t>
      </w:r>
      <w:bookmarkStart w:id="5" w:name="_Hlk109645810"/>
      <w:r w:rsidR="004447EC">
        <w:rPr>
          <w:rFonts w:cs="Arial"/>
          <w:b/>
          <w:iCs/>
          <w:sz w:val="36"/>
          <w:szCs w:val="36"/>
        </w:rPr>
        <w:t xml:space="preserve">Nausea and Vomiting in Pregnancy </w:t>
      </w:r>
      <w:bookmarkEnd w:id="5"/>
      <w:r w:rsidR="004447EC">
        <w:rPr>
          <w:rFonts w:cs="Arial"/>
          <w:b/>
          <w:iCs/>
          <w:sz w:val="36"/>
          <w:szCs w:val="36"/>
        </w:rPr>
        <w:t xml:space="preserve">and </w:t>
      </w:r>
      <w:r w:rsidRPr="000A6081">
        <w:rPr>
          <w:rFonts w:cs="Arial"/>
          <w:b/>
          <w:iCs/>
          <w:sz w:val="36"/>
          <w:szCs w:val="36"/>
        </w:rPr>
        <w:t>Hyperemesis Gravidarum (Adults)</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6" w:name="_Toc389473273"/>
            <w:bookmarkStart w:id="7" w:name="Contents"/>
            <w:bookmarkStart w:id="8" w:name="_Toc109996404"/>
            <w:r w:rsidRPr="00CD1C0E">
              <w:t>Contents</w:t>
            </w:r>
            <w:bookmarkEnd w:id="6"/>
            <w:bookmarkEnd w:id="7"/>
            <w:bookmarkEnd w:id="8"/>
          </w:p>
        </w:tc>
      </w:tr>
    </w:tbl>
    <w:p w14:paraId="2F51A853" w14:textId="77777777" w:rsidR="007B6904" w:rsidRDefault="007B6904" w:rsidP="007B6904"/>
    <w:p w14:paraId="6B2B5636" w14:textId="214BBD19" w:rsidR="00E5521D" w:rsidRDefault="00A539E9">
      <w:pPr>
        <w:pStyle w:val="TOC1"/>
        <w:rPr>
          <w:rFonts w:eastAsiaTheme="minorEastAsia" w:cstheme="minorBidi"/>
          <w:noProof/>
          <w:sz w:val="22"/>
          <w:szCs w:val="22"/>
          <w:lang w:eastAsia="en-AU"/>
        </w:rPr>
      </w:pPr>
      <w:r>
        <w:fldChar w:fldCharType="begin"/>
      </w:r>
      <w:r>
        <w:instrText xml:space="preserve"> TOC \o "1-3" \h \z \u </w:instrText>
      </w:r>
      <w:r>
        <w:fldChar w:fldCharType="separate"/>
      </w:r>
      <w:hyperlink w:anchor="_Toc109996404" w:history="1">
        <w:r w:rsidR="00E5521D" w:rsidRPr="009C0566">
          <w:rPr>
            <w:rStyle w:val="Hyperlink"/>
            <w:noProof/>
          </w:rPr>
          <w:t>Contents</w:t>
        </w:r>
        <w:r w:rsidR="00E5521D">
          <w:rPr>
            <w:noProof/>
            <w:webHidden/>
          </w:rPr>
          <w:tab/>
        </w:r>
        <w:r w:rsidR="00E5521D">
          <w:rPr>
            <w:noProof/>
            <w:webHidden/>
          </w:rPr>
          <w:fldChar w:fldCharType="begin"/>
        </w:r>
        <w:r w:rsidR="00E5521D">
          <w:rPr>
            <w:noProof/>
            <w:webHidden/>
          </w:rPr>
          <w:instrText xml:space="preserve"> PAGEREF _Toc109996404 \h </w:instrText>
        </w:r>
        <w:r w:rsidR="00E5521D">
          <w:rPr>
            <w:noProof/>
            <w:webHidden/>
          </w:rPr>
        </w:r>
        <w:r w:rsidR="00E5521D">
          <w:rPr>
            <w:noProof/>
            <w:webHidden/>
          </w:rPr>
          <w:fldChar w:fldCharType="separate"/>
        </w:r>
        <w:r w:rsidR="00E5521D">
          <w:rPr>
            <w:noProof/>
            <w:webHidden/>
          </w:rPr>
          <w:t>1</w:t>
        </w:r>
        <w:r w:rsidR="00E5521D">
          <w:rPr>
            <w:noProof/>
            <w:webHidden/>
          </w:rPr>
          <w:fldChar w:fldCharType="end"/>
        </w:r>
      </w:hyperlink>
    </w:p>
    <w:p w14:paraId="78973FDD" w14:textId="0D537560" w:rsidR="00E5521D" w:rsidRDefault="00E5521D">
      <w:pPr>
        <w:pStyle w:val="TOC1"/>
        <w:rPr>
          <w:rFonts w:eastAsiaTheme="minorEastAsia" w:cstheme="minorBidi"/>
          <w:noProof/>
          <w:sz w:val="22"/>
          <w:szCs w:val="22"/>
          <w:lang w:eastAsia="en-AU"/>
        </w:rPr>
      </w:pPr>
      <w:hyperlink w:anchor="_Toc109996405" w:history="1">
        <w:r w:rsidRPr="009C0566">
          <w:rPr>
            <w:rStyle w:val="Hyperlink"/>
            <w:noProof/>
          </w:rPr>
          <w:t>Purpose</w:t>
        </w:r>
        <w:r>
          <w:rPr>
            <w:noProof/>
            <w:webHidden/>
          </w:rPr>
          <w:tab/>
        </w:r>
        <w:r>
          <w:rPr>
            <w:noProof/>
            <w:webHidden/>
          </w:rPr>
          <w:fldChar w:fldCharType="begin"/>
        </w:r>
        <w:r>
          <w:rPr>
            <w:noProof/>
            <w:webHidden/>
          </w:rPr>
          <w:instrText xml:space="preserve"> PAGEREF _Toc109996405 \h </w:instrText>
        </w:r>
        <w:r>
          <w:rPr>
            <w:noProof/>
            <w:webHidden/>
          </w:rPr>
        </w:r>
        <w:r>
          <w:rPr>
            <w:noProof/>
            <w:webHidden/>
          </w:rPr>
          <w:fldChar w:fldCharType="separate"/>
        </w:r>
        <w:r>
          <w:rPr>
            <w:noProof/>
            <w:webHidden/>
          </w:rPr>
          <w:t>2</w:t>
        </w:r>
        <w:r>
          <w:rPr>
            <w:noProof/>
            <w:webHidden/>
          </w:rPr>
          <w:fldChar w:fldCharType="end"/>
        </w:r>
      </w:hyperlink>
    </w:p>
    <w:p w14:paraId="5D79F100" w14:textId="173BAFB9" w:rsidR="00E5521D" w:rsidRDefault="00E5521D">
      <w:pPr>
        <w:pStyle w:val="TOC1"/>
        <w:rPr>
          <w:rFonts w:eastAsiaTheme="minorEastAsia" w:cstheme="minorBidi"/>
          <w:noProof/>
          <w:sz w:val="22"/>
          <w:szCs w:val="22"/>
          <w:lang w:eastAsia="en-AU"/>
        </w:rPr>
      </w:pPr>
      <w:hyperlink w:anchor="_Toc109996406" w:history="1">
        <w:r w:rsidRPr="009C0566">
          <w:rPr>
            <w:rStyle w:val="Hyperlink"/>
            <w:noProof/>
          </w:rPr>
          <w:t>Alerts</w:t>
        </w:r>
        <w:r>
          <w:rPr>
            <w:noProof/>
            <w:webHidden/>
          </w:rPr>
          <w:tab/>
        </w:r>
        <w:r>
          <w:rPr>
            <w:noProof/>
            <w:webHidden/>
          </w:rPr>
          <w:fldChar w:fldCharType="begin"/>
        </w:r>
        <w:r>
          <w:rPr>
            <w:noProof/>
            <w:webHidden/>
          </w:rPr>
          <w:instrText xml:space="preserve"> PAGEREF _Toc109996406 \h </w:instrText>
        </w:r>
        <w:r>
          <w:rPr>
            <w:noProof/>
            <w:webHidden/>
          </w:rPr>
        </w:r>
        <w:r>
          <w:rPr>
            <w:noProof/>
            <w:webHidden/>
          </w:rPr>
          <w:fldChar w:fldCharType="separate"/>
        </w:r>
        <w:r>
          <w:rPr>
            <w:noProof/>
            <w:webHidden/>
          </w:rPr>
          <w:t>2</w:t>
        </w:r>
        <w:r>
          <w:rPr>
            <w:noProof/>
            <w:webHidden/>
          </w:rPr>
          <w:fldChar w:fldCharType="end"/>
        </w:r>
      </w:hyperlink>
    </w:p>
    <w:p w14:paraId="2A1F869C" w14:textId="2D76D3DD" w:rsidR="00E5521D" w:rsidRDefault="00E5521D">
      <w:pPr>
        <w:pStyle w:val="TOC1"/>
        <w:rPr>
          <w:rFonts w:eastAsiaTheme="minorEastAsia" w:cstheme="minorBidi"/>
          <w:noProof/>
          <w:sz w:val="22"/>
          <w:szCs w:val="22"/>
          <w:lang w:eastAsia="en-AU"/>
        </w:rPr>
      </w:pPr>
      <w:hyperlink w:anchor="_Toc109996407" w:history="1">
        <w:r w:rsidRPr="009C0566">
          <w:rPr>
            <w:rStyle w:val="Hyperlink"/>
            <w:noProof/>
          </w:rPr>
          <w:t>Scope</w:t>
        </w:r>
        <w:r>
          <w:rPr>
            <w:noProof/>
            <w:webHidden/>
          </w:rPr>
          <w:tab/>
        </w:r>
        <w:r>
          <w:rPr>
            <w:noProof/>
            <w:webHidden/>
          </w:rPr>
          <w:fldChar w:fldCharType="begin"/>
        </w:r>
        <w:r>
          <w:rPr>
            <w:noProof/>
            <w:webHidden/>
          </w:rPr>
          <w:instrText xml:space="preserve"> PAGEREF _Toc109996407 \h </w:instrText>
        </w:r>
        <w:r>
          <w:rPr>
            <w:noProof/>
            <w:webHidden/>
          </w:rPr>
        </w:r>
        <w:r>
          <w:rPr>
            <w:noProof/>
            <w:webHidden/>
          </w:rPr>
          <w:fldChar w:fldCharType="separate"/>
        </w:r>
        <w:r>
          <w:rPr>
            <w:noProof/>
            <w:webHidden/>
          </w:rPr>
          <w:t>2</w:t>
        </w:r>
        <w:r>
          <w:rPr>
            <w:noProof/>
            <w:webHidden/>
          </w:rPr>
          <w:fldChar w:fldCharType="end"/>
        </w:r>
      </w:hyperlink>
    </w:p>
    <w:p w14:paraId="167BE0F2" w14:textId="7EDB7FC8" w:rsidR="00E5521D" w:rsidRDefault="00E5521D">
      <w:pPr>
        <w:pStyle w:val="TOC1"/>
        <w:rPr>
          <w:rFonts w:eastAsiaTheme="minorEastAsia" w:cstheme="minorBidi"/>
          <w:noProof/>
          <w:sz w:val="22"/>
          <w:szCs w:val="22"/>
          <w:lang w:eastAsia="en-AU"/>
        </w:rPr>
      </w:pPr>
      <w:hyperlink w:anchor="_Toc109996408" w:history="1">
        <w:r w:rsidRPr="009C0566">
          <w:rPr>
            <w:rStyle w:val="Hyperlink"/>
            <w:noProof/>
          </w:rPr>
          <w:t>Section 1 – HITH Service Background and Definitions</w:t>
        </w:r>
        <w:r>
          <w:rPr>
            <w:noProof/>
            <w:webHidden/>
          </w:rPr>
          <w:tab/>
        </w:r>
        <w:r>
          <w:rPr>
            <w:noProof/>
            <w:webHidden/>
          </w:rPr>
          <w:fldChar w:fldCharType="begin"/>
        </w:r>
        <w:r>
          <w:rPr>
            <w:noProof/>
            <w:webHidden/>
          </w:rPr>
          <w:instrText xml:space="preserve"> PAGEREF _Toc109996408 \h </w:instrText>
        </w:r>
        <w:r>
          <w:rPr>
            <w:noProof/>
            <w:webHidden/>
          </w:rPr>
        </w:r>
        <w:r>
          <w:rPr>
            <w:noProof/>
            <w:webHidden/>
          </w:rPr>
          <w:fldChar w:fldCharType="separate"/>
        </w:r>
        <w:r>
          <w:rPr>
            <w:noProof/>
            <w:webHidden/>
          </w:rPr>
          <w:t>3</w:t>
        </w:r>
        <w:r>
          <w:rPr>
            <w:noProof/>
            <w:webHidden/>
          </w:rPr>
          <w:fldChar w:fldCharType="end"/>
        </w:r>
      </w:hyperlink>
    </w:p>
    <w:p w14:paraId="29716853" w14:textId="7C881699" w:rsidR="00E5521D" w:rsidRDefault="00E5521D">
      <w:pPr>
        <w:pStyle w:val="TOC1"/>
        <w:rPr>
          <w:rFonts w:eastAsiaTheme="minorEastAsia" w:cstheme="minorBidi"/>
          <w:noProof/>
          <w:sz w:val="22"/>
          <w:szCs w:val="22"/>
          <w:lang w:eastAsia="en-AU"/>
        </w:rPr>
      </w:pPr>
      <w:hyperlink w:anchor="_Toc109996409" w:history="1">
        <w:r w:rsidRPr="009C0566">
          <w:rPr>
            <w:rStyle w:val="Hyperlink"/>
            <w:noProof/>
          </w:rPr>
          <w:t>Section 2 – HITH Admission Criteria</w:t>
        </w:r>
        <w:r>
          <w:rPr>
            <w:noProof/>
            <w:webHidden/>
          </w:rPr>
          <w:tab/>
        </w:r>
        <w:r>
          <w:rPr>
            <w:noProof/>
            <w:webHidden/>
          </w:rPr>
          <w:fldChar w:fldCharType="begin"/>
        </w:r>
        <w:r>
          <w:rPr>
            <w:noProof/>
            <w:webHidden/>
          </w:rPr>
          <w:instrText xml:space="preserve"> PAGEREF _Toc109996409 \h </w:instrText>
        </w:r>
        <w:r>
          <w:rPr>
            <w:noProof/>
            <w:webHidden/>
          </w:rPr>
        </w:r>
        <w:r>
          <w:rPr>
            <w:noProof/>
            <w:webHidden/>
          </w:rPr>
          <w:fldChar w:fldCharType="separate"/>
        </w:r>
        <w:r>
          <w:rPr>
            <w:noProof/>
            <w:webHidden/>
          </w:rPr>
          <w:t>3</w:t>
        </w:r>
        <w:r>
          <w:rPr>
            <w:noProof/>
            <w:webHidden/>
          </w:rPr>
          <w:fldChar w:fldCharType="end"/>
        </w:r>
      </w:hyperlink>
    </w:p>
    <w:p w14:paraId="7EBC0BC5" w14:textId="33F5D52B" w:rsidR="00E5521D" w:rsidRDefault="00E5521D">
      <w:pPr>
        <w:pStyle w:val="TOC1"/>
        <w:rPr>
          <w:rFonts w:eastAsiaTheme="minorEastAsia" w:cstheme="minorBidi"/>
          <w:noProof/>
          <w:sz w:val="22"/>
          <w:szCs w:val="22"/>
          <w:lang w:eastAsia="en-AU"/>
        </w:rPr>
      </w:pPr>
      <w:hyperlink w:anchor="_Toc109996410" w:history="1">
        <w:r w:rsidRPr="009C0566">
          <w:rPr>
            <w:rStyle w:val="Hyperlink"/>
            <w:noProof/>
          </w:rPr>
          <w:t>Section 3 – HITH Referral</w:t>
        </w:r>
        <w:r>
          <w:rPr>
            <w:noProof/>
            <w:webHidden/>
          </w:rPr>
          <w:tab/>
        </w:r>
        <w:r>
          <w:rPr>
            <w:noProof/>
            <w:webHidden/>
          </w:rPr>
          <w:fldChar w:fldCharType="begin"/>
        </w:r>
        <w:r>
          <w:rPr>
            <w:noProof/>
            <w:webHidden/>
          </w:rPr>
          <w:instrText xml:space="preserve"> PAGEREF _Toc109996410 \h </w:instrText>
        </w:r>
        <w:r>
          <w:rPr>
            <w:noProof/>
            <w:webHidden/>
          </w:rPr>
        </w:r>
        <w:r>
          <w:rPr>
            <w:noProof/>
            <w:webHidden/>
          </w:rPr>
          <w:fldChar w:fldCharType="separate"/>
        </w:r>
        <w:r>
          <w:rPr>
            <w:noProof/>
            <w:webHidden/>
          </w:rPr>
          <w:t>4</w:t>
        </w:r>
        <w:r>
          <w:rPr>
            <w:noProof/>
            <w:webHidden/>
          </w:rPr>
          <w:fldChar w:fldCharType="end"/>
        </w:r>
      </w:hyperlink>
    </w:p>
    <w:p w14:paraId="0F1C79AF" w14:textId="20C2E0A3" w:rsidR="00E5521D" w:rsidRDefault="00E5521D">
      <w:pPr>
        <w:pStyle w:val="TOC1"/>
        <w:rPr>
          <w:rFonts w:eastAsiaTheme="minorEastAsia" w:cstheme="minorBidi"/>
          <w:noProof/>
          <w:sz w:val="22"/>
          <w:szCs w:val="22"/>
          <w:lang w:eastAsia="en-AU"/>
        </w:rPr>
      </w:pPr>
      <w:hyperlink w:anchor="_Toc109996411" w:history="1">
        <w:r w:rsidRPr="009C0566">
          <w:rPr>
            <w:rStyle w:val="Hyperlink"/>
            <w:noProof/>
          </w:rPr>
          <w:t>Section 4 – HITH Assessment</w:t>
        </w:r>
        <w:r>
          <w:rPr>
            <w:noProof/>
            <w:webHidden/>
          </w:rPr>
          <w:tab/>
        </w:r>
        <w:r>
          <w:rPr>
            <w:noProof/>
            <w:webHidden/>
          </w:rPr>
          <w:fldChar w:fldCharType="begin"/>
        </w:r>
        <w:r>
          <w:rPr>
            <w:noProof/>
            <w:webHidden/>
          </w:rPr>
          <w:instrText xml:space="preserve"> PAGEREF _Toc109996411 \h </w:instrText>
        </w:r>
        <w:r>
          <w:rPr>
            <w:noProof/>
            <w:webHidden/>
          </w:rPr>
        </w:r>
        <w:r>
          <w:rPr>
            <w:noProof/>
            <w:webHidden/>
          </w:rPr>
          <w:fldChar w:fldCharType="separate"/>
        </w:r>
        <w:r>
          <w:rPr>
            <w:noProof/>
            <w:webHidden/>
          </w:rPr>
          <w:t>5</w:t>
        </w:r>
        <w:r>
          <w:rPr>
            <w:noProof/>
            <w:webHidden/>
          </w:rPr>
          <w:fldChar w:fldCharType="end"/>
        </w:r>
      </w:hyperlink>
    </w:p>
    <w:p w14:paraId="5274DE74" w14:textId="285056C8" w:rsidR="00E5521D" w:rsidRDefault="00E5521D">
      <w:pPr>
        <w:pStyle w:val="TOC1"/>
        <w:rPr>
          <w:rFonts w:eastAsiaTheme="minorEastAsia" w:cstheme="minorBidi"/>
          <w:noProof/>
          <w:sz w:val="22"/>
          <w:szCs w:val="22"/>
          <w:lang w:eastAsia="en-AU"/>
        </w:rPr>
      </w:pPr>
      <w:hyperlink w:anchor="_Toc109996412" w:history="1">
        <w:r w:rsidRPr="009C0566">
          <w:rPr>
            <w:rStyle w:val="Hyperlink"/>
            <w:noProof/>
          </w:rPr>
          <w:t>Section 5 – HITH Treatment and Management</w:t>
        </w:r>
        <w:r>
          <w:rPr>
            <w:noProof/>
            <w:webHidden/>
          </w:rPr>
          <w:tab/>
        </w:r>
        <w:r>
          <w:rPr>
            <w:noProof/>
            <w:webHidden/>
          </w:rPr>
          <w:fldChar w:fldCharType="begin"/>
        </w:r>
        <w:r>
          <w:rPr>
            <w:noProof/>
            <w:webHidden/>
          </w:rPr>
          <w:instrText xml:space="preserve"> PAGEREF _Toc109996412 \h </w:instrText>
        </w:r>
        <w:r>
          <w:rPr>
            <w:noProof/>
            <w:webHidden/>
          </w:rPr>
        </w:r>
        <w:r>
          <w:rPr>
            <w:noProof/>
            <w:webHidden/>
          </w:rPr>
          <w:fldChar w:fldCharType="separate"/>
        </w:r>
        <w:r>
          <w:rPr>
            <w:noProof/>
            <w:webHidden/>
          </w:rPr>
          <w:t>6</w:t>
        </w:r>
        <w:r>
          <w:rPr>
            <w:noProof/>
            <w:webHidden/>
          </w:rPr>
          <w:fldChar w:fldCharType="end"/>
        </w:r>
      </w:hyperlink>
    </w:p>
    <w:p w14:paraId="6886E49A" w14:textId="1F2B2B35" w:rsidR="00E5521D" w:rsidRDefault="00E5521D">
      <w:pPr>
        <w:pStyle w:val="TOC1"/>
        <w:rPr>
          <w:rFonts w:eastAsiaTheme="minorEastAsia" w:cstheme="minorBidi"/>
          <w:noProof/>
          <w:sz w:val="22"/>
          <w:szCs w:val="22"/>
          <w:lang w:eastAsia="en-AU"/>
        </w:rPr>
      </w:pPr>
      <w:hyperlink w:anchor="_Toc109996413" w:history="1">
        <w:r w:rsidRPr="009C0566">
          <w:rPr>
            <w:rStyle w:val="Hyperlink"/>
            <w:noProof/>
          </w:rPr>
          <w:t>Section 6 – HITH Nutritional Input</w:t>
        </w:r>
        <w:r>
          <w:rPr>
            <w:noProof/>
            <w:webHidden/>
          </w:rPr>
          <w:tab/>
        </w:r>
        <w:r>
          <w:rPr>
            <w:noProof/>
            <w:webHidden/>
          </w:rPr>
          <w:fldChar w:fldCharType="begin"/>
        </w:r>
        <w:r>
          <w:rPr>
            <w:noProof/>
            <w:webHidden/>
          </w:rPr>
          <w:instrText xml:space="preserve"> PAGEREF _Toc109996413 \h </w:instrText>
        </w:r>
        <w:r>
          <w:rPr>
            <w:noProof/>
            <w:webHidden/>
          </w:rPr>
        </w:r>
        <w:r>
          <w:rPr>
            <w:noProof/>
            <w:webHidden/>
          </w:rPr>
          <w:fldChar w:fldCharType="separate"/>
        </w:r>
        <w:r>
          <w:rPr>
            <w:noProof/>
            <w:webHidden/>
          </w:rPr>
          <w:t>8</w:t>
        </w:r>
        <w:r>
          <w:rPr>
            <w:noProof/>
            <w:webHidden/>
          </w:rPr>
          <w:fldChar w:fldCharType="end"/>
        </w:r>
      </w:hyperlink>
    </w:p>
    <w:p w14:paraId="19FCC755" w14:textId="6B48AB83" w:rsidR="00E5521D" w:rsidRDefault="00E5521D">
      <w:pPr>
        <w:pStyle w:val="TOC1"/>
        <w:rPr>
          <w:rFonts w:eastAsiaTheme="minorEastAsia" w:cstheme="minorBidi"/>
          <w:noProof/>
          <w:sz w:val="22"/>
          <w:szCs w:val="22"/>
          <w:lang w:eastAsia="en-AU"/>
        </w:rPr>
      </w:pPr>
      <w:hyperlink w:anchor="_Toc109996414" w:history="1">
        <w:r w:rsidRPr="009C0566">
          <w:rPr>
            <w:rStyle w:val="Hyperlink"/>
            <w:noProof/>
          </w:rPr>
          <w:t>Section 7 – HITH, GP, Fetal Medicine Unit, Obstetrician</w:t>
        </w:r>
        <w:r>
          <w:rPr>
            <w:noProof/>
            <w:webHidden/>
          </w:rPr>
          <w:tab/>
        </w:r>
        <w:r>
          <w:rPr>
            <w:noProof/>
            <w:webHidden/>
          </w:rPr>
          <w:fldChar w:fldCharType="begin"/>
        </w:r>
        <w:r>
          <w:rPr>
            <w:noProof/>
            <w:webHidden/>
          </w:rPr>
          <w:instrText xml:space="preserve"> PAGEREF _Toc109996414 \h </w:instrText>
        </w:r>
        <w:r>
          <w:rPr>
            <w:noProof/>
            <w:webHidden/>
          </w:rPr>
        </w:r>
        <w:r>
          <w:rPr>
            <w:noProof/>
            <w:webHidden/>
          </w:rPr>
          <w:fldChar w:fldCharType="separate"/>
        </w:r>
        <w:r>
          <w:rPr>
            <w:noProof/>
            <w:webHidden/>
          </w:rPr>
          <w:t>9</w:t>
        </w:r>
        <w:r>
          <w:rPr>
            <w:noProof/>
            <w:webHidden/>
          </w:rPr>
          <w:fldChar w:fldCharType="end"/>
        </w:r>
      </w:hyperlink>
    </w:p>
    <w:p w14:paraId="1177C420" w14:textId="04395878" w:rsidR="00E5521D" w:rsidRDefault="00E5521D">
      <w:pPr>
        <w:pStyle w:val="TOC1"/>
        <w:rPr>
          <w:rFonts w:eastAsiaTheme="minorEastAsia" w:cstheme="minorBidi"/>
          <w:noProof/>
          <w:sz w:val="22"/>
          <w:szCs w:val="22"/>
          <w:lang w:eastAsia="en-AU"/>
        </w:rPr>
      </w:pPr>
      <w:hyperlink w:anchor="_Toc109996415" w:history="1">
        <w:r w:rsidRPr="009C0566">
          <w:rPr>
            <w:rStyle w:val="Hyperlink"/>
            <w:noProof/>
          </w:rPr>
          <w:t>Section 8 – HITH Discharge</w:t>
        </w:r>
        <w:r>
          <w:rPr>
            <w:noProof/>
            <w:webHidden/>
          </w:rPr>
          <w:tab/>
        </w:r>
        <w:r>
          <w:rPr>
            <w:noProof/>
            <w:webHidden/>
          </w:rPr>
          <w:fldChar w:fldCharType="begin"/>
        </w:r>
        <w:r>
          <w:rPr>
            <w:noProof/>
            <w:webHidden/>
          </w:rPr>
          <w:instrText xml:space="preserve"> PAGEREF _Toc109996415 \h </w:instrText>
        </w:r>
        <w:r>
          <w:rPr>
            <w:noProof/>
            <w:webHidden/>
          </w:rPr>
        </w:r>
        <w:r>
          <w:rPr>
            <w:noProof/>
            <w:webHidden/>
          </w:rPr>
          <w:fldChar w:fldCharType="separate"/>
        </w:r>
        <w:r>
          <w:rPr>
            <w:noProof/>
            <w:webHidden/>
          </w:rPr>
          <w:t>10</w:t>
        </w:r>
        <w:r>
          <w:rPr>
            <w:noProof/>
            <w:webHidden/>
          </w:rPr>
          <w:fldChar w:fldCharType="end"/>
        </w:r>
      </w:hyperlink>
    </w:p>
    <w:p w14:paraId="3AABB49A" w14:textId="4A511B85" w:rsidR="00E5521D" w:rsidRDefault="00E5521D">
      <w:pPr>
        <w:pStyle w:val="TOC1"/>
        <w:rPr>
          <w:rFonts w:eastAsiaTheme="minorEastAsia" w:cstheme="minorBidi"/>
          <w:noProof/>
          <w:sz w:val="22"/>
          <w:szCs w:val="22"/>
          <w:lang w:eastAsia="en-AU"/>
        </w:rPr>
      </w:pPr>
      <w:hyperlink w:anchor="_Toc109996416" w:history="1">
        <w:r w:rsidRPr="009C0566">
          <w:rPr>
            <w:rStyle w:val="Hyperlink"/>
            <w:noProof/>
          </w:rPr>
          <w:t>Evaluation</w:t>
        </w:r>
        <w:r>
          <w:rPr>
            <w:noProof/>
            <w:webHidden/>
          </w:rPr>
          <w:tab/>
        </w:r>
        <w:r>
          <w:rPr>
            <w:noProof/>
            <w:webHidden/>
          </w:rPr>
          <w:fldChar w:fldCharType="begin"/>
        </w:r>
        <w:r>
          <w:rPr>
            <w:noProof/>
            <w:webHidden/>
          </w:rPr>
          <w:instrText xml:space="preserve"> PAGEREF _Toc109996416 \h </w:instrText>
        </w:r>
        <w:r>
          <w:rPr>
            <w:noProof/>
            <w:webHidden/>
          </w:rPr>
        </w:r>
        <w:r>
          <w:rPr>
            <w:noProof/>
            <w:webHidden/>
          </w:rPr>
          <w:fldChar w:fldCharType="separate"/>
        </w:r>
        <w:r>
          <w:rPr>
            <w:noProof/>
            <w:webHidden/>
          </w:rPr>
          <w:t>10</w:t>
        </w:r>
        <w:r>
          <w:rPr>
            <w:noProof/>
            <w:webHidden/>
          </w:rPr>
          <w:fldChar w:fldCharType="end"/>
        </w:r>
      </w:hyperlink>
    </w:p>
    <w:p w14:paraId="683C3B87" w14:textId="5894B63F" w:rsidR="00E5521D" w:rsidRDefault="00E5521D">
      <w:pPr>
        <w:pStyle w:val="TOC1"/>
        <w:rPr>
          <w:rFonts w:eastAsiaTheme="minorEastAsia" w:cstheme="minorBidi"/>
          <w:noProof/>
          <w:sz w:val="22"/>
          <w:szCs w:val="22"/>
          <w:lang w:eastAsia="en-AU"/>
        </w:rPr>
      </w:pPr>
      <w:hyperlink w:anchor="_Toc109996417" w:history="1">
        <w:r w:rsidRPr="009C0566">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_Toc109996417 \h </w:instrText>
        </w:r>
        <w:r>
          <w:rPr>
            <w:noProof/>
            <w:webHidden/>
          </w:rPr>
        </w:r>
        <w:r>
          <w:rPr>
            <w:noProof/>
            <w:webHidden/>
          </w:rPr>
          <w:fldChar w:fldCharType="separate"/>
        </w:r>
        <w:r>
          <w:rPr>
            <w:noProof/>
            <w:webHidden/>
          </w:rPr>
          <w:t>11</w:t>
        </w:r>
        <w:r>
          <w:rPr>
            <w:noProof/>
            <w:webHidden/>
          </w:rPr>
          <w:fldChar w:fldCharType="end"/>
        </w:r>
      </w:hyperlink>
    </w:p>
    <w:p w14:paraId="69C4A419" w14:textId="70C4E25B" w:rsidR="00E5521D" w:rsidRDefault="00E5521D">
      <w:pPr>
        <w:pStyle w:val="TOC1"/>
        <w:rPr>
          <w:rFonts w:eastAsiaTheme="minorEastAsia" w:cstheme="minorBidi"/>
          <w:noProof/>
          <w:sz w:val="22"/>
          <w:szCs w:val="22"/>
          <w:lang w:eastAsia="en-AU"/>
        </w:rPr>
      </w:pPr>
      <w:hyperlink w:anchor="_Toc109996418" w:history="1">
        <w:r w:rsidRPr="009C0566">
          <w:rPr>
            <w:rStyle w:val="Hyperlink"/>
            <w:noProof/>
          </w:rPr>
          <w:t>References</w:t>
        </w:r>
        <w:r>
          <w:rPr>
            <w:noProof/>
            <w:webHidden/>
          </w:rPr>
          <w:tab/>
        </w:r>
        <w:r>
          <w:rPr>
            <w:noProof/>
            <w:webHidden/>
          </w:rPr>
          <w:fldChar w:fldCharType="begin"/>
        </w:r>
        <w:r>
          <w:rPr>
            <w:noProof/>
            <w:webHidden/>
          </w:rPr>
          <w:instrText xml:space="preserve"> PAGEREF _Toc109996418 \h </w:instrText>
        </w:r>
        <w:r>
          <w:rPr>
            <w:noProof/>
            <w:webHidden/>
          </w:rPr>
        </w:r>
        <w:r>
          <w:rPr>
            <w:noProof/>
            <w:webHidden/>
          </w:rPr>
          <w:fldChar w:fldCharType="separate"/>
        </w:r>
        <w:r>
          <w:rPr>
            <w:noProof/>
            <w:webHidden/>
          </w:rPr>
          <w:t>12</w:t>
        </w:r>
        <w:r>
          <w:rPr>
            <w:noProof/>
            <w:webHidden/>
          </w:rPr>
          <w:fldChar w:fldCharType="end"/>
        </w:r>
      </w:hyperlink>
    </w:p>
    <w:p w14:paraId="37D84F2A" w14:textId="0DF223D1" w:rsidR="00E5521D" w:rsidRDefault="00E5521D">
      <w:pPr>
        <w:pStyle w:val="TOC1"/>
        <w:rPr>
          <w:rFonts w:eastAsiaTheme="minorEastAsia" w:cstheme="minorBidi"/>
          <w:noProof/>
          <w:sz w:val="22"/>
          <w:szCs w:val="22"/>
          <w:lang w:eastAsia="en-AU"/>
        </w:rPr>
      </w:pPr>
      <w:hyperlink w:anchor="_Toc109996419" w:history="1">
        <w:r w:rsidRPr="009C0566">
          <w:rPr>
            <w:rStyle w:val="Hyperlink"/>
            <w:noProof/>
          </w:rPr>
          <w:t>Definition of Terms</w:t>
        </w:r>
        <w:r>
          <w:rPr>
            <w:noProof/>
            <w:webHidden/>
          </w:rPr>
          <w:tab/>
        </w:r>
        <w:r>
          <w:rPr>
            <w:noProof/>
            <w:webHidden/>
          </w:rPr>
          <w:fldChar w:fldCharType="begin"/>
        </w:r>
        <w:r>
          <w:rPr>
            <w:noProof/>
            <w:webHidden/>
          </w:rPr>
          <w:instrText xml:space="preserve"> PAGEREF _Toc109996419 \h </w:instrText>
        </w:r>
        <w:r>
          <w:rPr>
            <w:noProof/>
            <w:webHidden/>
          </w:rPr>
        </w:r>
        <w:r>
          <w:rPr>
            <w:noProof/>
            <w:webHidden/>
          </w:rPr>
          <w:fldChar w:fldCharType="separate"/>
        </w:r>
        <w:r>
          <w:rPr>
            <w:noProof/>
            <w:webHidden/>
          </w:rPr>
          <w:t>13</w:t>
        </w:r>
        <w:r>
          <w:rPr>
            <w:noProof/>
            <w:webHidden/>
          </w:rPr>
          <w:fldChar w:fldCharType="end"/>
        </w:r>
      </w:hyperlink>
    </w:p>
    <w:p w14:paraId="0061D04F" w14:textId="6C3CE5C7" w:rsidR="00E5521D" w:rsidRDefault="00E5521D">
      <w:pPr>
        <w:pStyle w:val="TOC1"/>
        <w:rPr>
          <w:rFonts w:eastAsiaTheme="minorEastAsia" w:cstheme="minorBidi"/>
          <w:noProof/>
          <w:sz w:val="22"/>
          <w:szCs w:val="22"/>
          <w:lang w:eastAsia="en-AU"/>
        </w:rPr>
      </w:pPr>
      <w:hyperlink w:anchor="_Toc109996420" w:history="1">
        <w:r w:rsidRPr="009C0566">
          <w:rPr>
            <w:rStyle w:val="Hyperlink"/>
            <w:noProof/>
          </w:rPr>
          <w:t>Search Terms</w:t>
        </w:r>
        <w:r>
          <w:rPr>
            <w:noProof/>
            <w:webHidden/>
          </w:rPr>
          <w:tab/>
        </w:r>
        <w:r>
          <w:rPr>
            <w:noProof/>
            <w:webHidden/>
          </w:rPr>
          <w:fldChar w:fldCharType="begin"/>
        </w:r>
        <w:r>
          <w:rPr>
            <w:noProof/>
            <w:webHidden/>
          </w:rPr>
          <w:instrText xml:space="preserve"> PAGEREF _Toc109996420 \h </w:instrText>
        </w:r>
        <w:r>
          <w:rPr>
            <w:noProof/>
            <w:webHidden/>
          </w:rPr>
        </w:r>
        <w:r>
          <w:rPr>
            <w:noProof/>
            <w:webHidden/>
          </w:rPr>
          <w:fldChar w:fldCharType="separate"/>
        </w:r>
        <w:r>
          <w:rPr>
            <w:noProof/>
            <w:webHidden/>
          </w:rPr>
          <w:t>13</w:t>
        </w:r>
        <w:r>
          <w:rPr>
            <w:noProof/>
            <w:webHidden/>
          </w:rPr>
          <w:fldChar w:fldCharType="end"/>
        </w:r>
      </w:hyperlink>
    </w:p>
    <w:p w14:paraId="43811634" w14:textId="2225B523" w:rsidR="00E5521D" w:rsidRDefault="00E5521D">
      <w:pPr>
        <w:pStyle w:val="TOC1"/>
        <w:rPr>
          <w:rFonts w:eastAsiaTheme="minorEastAsia" w:cstheme="minorBidi"/>
          <w:noProof/>
          <w:sz w:val="22"/>
          <w:szCs w:val="22"/>
          <w:lang w:eastAsia="en-AU"/>
        </w:rPr>
      </w:pPr>
      <w:hyperlink w:anchor="_Toc109996421" w:history="1">
        <w:r w:rsidRPr="009C0566">
          <w:rPr>
            <w:rStyle w:val="Hyperlink"/>
            <w:noProof/>
          </w:rPr>
          <w:t>Attachments</w:t>
        </w:r>
        <w:r>
          <w:rPr>
            <w:noProof/>
            <w:webHidden/>
          </w:rPr>
          <w:tab/>
        </w:r>
        <w:r>
          <w:rPr>
            <w:noProof/>
            <w:webHidden/>
          </w:rPr>
          <w:fldChar w:fldCharType="begin"/>
        </w:r>
        <w:r>
          <w:rPr>
            <w:noProof/>
            <w:webHidden/>
          </w:rPr>
          <w:instrText xml:space="preserve"> PAGEREF _Toc109996421 \h </w:instrText>
        </w:r>
        <w:r>
          <w:rPr>
            <w:noProof/>
            <w:webHidden/>
          </w:rPr>
        </w:r>
        <w:r>
          <w:rPr>
            <w:noProof/>
            <w:webHidden/>
          </w:rPr>
          <w:fldChar w:fldCharType="separate"/>
        </w:r>
        <w:r>
          <w:rPr>
            <w:noProof/>
            <w:webHidden/>
          </w:rPr>
          <w:t>14</w:t>
        </w:r>
        <w:r>
          <w:rPr>
            <w:noProof/>
            <w:webHidden/>
          </w:rPr>
          <w:fldChar w:fldCharType="end"/>
        </w:r>
      </w:hyperlink>
    </w:p>
    <w:p w14:paraId="4A3DA8E0" w14:textId="7DFB4D34" w:rsidR="00E5521D" w:rsidRDefault="00E5521D">
      <w:pPr>
        <w:pStyle w:val="TOC2"/>
        <w:tabs>
          <w:tab w:val="right" w:leader="dot" w:pos="9060"/>
        </w:tabs>
        <w:rPr>
          <w:rFonts w:eastAsiaTheme="minorEastAsia" w:cstheme="minorBidi"/>
          <w:noProof/>
          <w:sz w:val="22"/>
          <w:szCs w:val="22"/>
          <w:lang w:eastAsia="en-AU"/>
        </w:rPr>
      </w:pPr>
      <w:hyperlink w:anchor="_Toc109996422" w:history="1">
        <w:r w:rsidRPr="009C0566">
          <w:rPr>
            <w:rStyle w:val="Hyperlink"/>
            <w:rFonts w:cs="Arial"/>
            <w:noProof/>
          </w:rPr>
          <w:t>Attachment 1: CHS HITH Referral Checklist for Hyperemesis Gravidarum</w:t>
        </w:r>
        <w:r>
          <w:rPr>
            <w:noProof/>
            <w:webHidden/>
          </w:rPr>
          <w:tab/>
        </w:r>
        <w:r>
          <w:rPr>
            <w:noProof/>
            <w:webHidden/>
          </w:rPr>
          <w:fldChar w:fldCharType="begin"/>
        </w:r>
        <w:r>
          <w:rPr>
            <w:noProof/>
            <w:webHidden/>
          </w:rPr>
          <w:instrText xml:space="preserve"> PAGEREF _Toc109996422 \h </w:instrText>
        </w:r>
        <w:r>
          <w:rPr>
            <w:noProof/>
            <w:webHidden/>
          </w:rPr>
        </w:r>
        <w:r>
          <w:rPr>
            <w:noProof/>
            <w:webHidden/>
          </w:rPr>
          <w:fldChar w:fldCharType="separate"/>
        </w:r>
        <w:r>
          <w:rPr>
            <w:noProof/>
            <w:webHidden/>
          </w:rPr>
          <w:t>15</w:t>
        </w:r>
        <w:r>
          <w:rPr>
            <w:noProof/>
            <w:webHidden/>
          </w:rPr>
          <w:fldChar w:fldCharType="end"/>
        </w:r>
      </w:hyperlink>
    </w:p>
    <w:p w14:paraId="3A847563" w14:textId="1AA0CC7C" w:rsidR="00E5521D" w:rsidRDefault="00E5521D">
      <w:pPr>
        <w:pStyle w:val="TOC2"/>
        <w:tabs>
          <w:tab w:val="right" w:leader="dot" w:pos="9060"/>
        </w:tabs>
        <w:rPr>
          <w:rFonts w:eastAsiaTheme="minorEastAsia" w:cstheme="minorBidi"/>
          <w:noProof/>
          <w:sz w:val="22"/>
          <w:szCs w:val="22"/>
          <w:lang w:eastAsia="en-AU"/>
        </w:rPr>
      </w:pPr>
      <w:hyperlink w:anchor="_Toc109996423" w:history="1">
        <w:r w:rsidRPr="009C0566">
          <w:rPr>
            <w:rStyle w:val="Hyperlink"/>
            <w:noProof/>
          </w:rPr>
          <w:t>Attachment 2: CHS HITH General Admission and Exclusion Criteria</w:t>
        </w:r>
        <w:r>
          <w:rPr>
            <w:noProof/>
            <w:webHidden/>
          </w:rPr>
          <w:tab/>
        </w:r>
        <w:r>
          <w:rPr>
            <w:noProof/>
            <w:webHidden/>
          </w:rPr>
          <w:fldChar w:fldCharType="begin"/>
        </w:r>
        <w:r>
          <w:rPr>
            <w:noProof/>
            <w:webHidden/>
          </w:rPr>
          <w:instrText xml:space="preserve"> PAGEREF _Toc109996423 \h </w:instrText>
        </w:r>
        <w:r>
          <w:rPr>
            <w:noProof/>
            <w:webHidden/>
          </w:rPr>
        </w:r>
        <w:r>
          <w:rPr>
            <w:noProof/>
            <w:webHidden/>
          </w:rPr>
          <w:fldChar w:fldCharType="separate"/>
        </w:r>
        <w:r>
          <w:rPr>
            <w:noProof/>
            <w:webHidden/>
          </w:rPr>
          <w:t>18</w:t>
        </w:r>
        <w:r>
          <w:rPr>
            <w:noProof/>
            <w:webHidden/>
          </w:rPr>
          <w:fldChar w:fldCharType="end"/>
        </w:r>
      </w:hyperlink>
    </w:p>
    <w:p w14:paraId="2F51A861" w14:textId="069832E8" w:rsidR="007052B1" w:rsidRDefault="00A539E9" w:rsidP="007B6904">
      <w:pPr>
        <w:rPr>
          <w:rFonts w:asciiTheme="minorHAnsi" w:hAnsiTheme="minorHAnsi"/>
        </w:rPr>
      </w:pPr>
      <w:r>
        <w:rPr>
          <w:rFonts w:asciiTheme="minorHAnsi" w:hAnsiTheme="minorHAnsi"/>
        </w:rPr>
        <w:fldChar w:fldCharType="end"/>
      </w:r>
    </w:p>
    <w:p w14:paraId="2F51A863" w14:textId="7318FD8F" w:rsidR="007B6904" w:rsidRPr="00E77721" w:rsidRDefault="007052B1" w:rsidP="00E77721">
      <w:pPr>
        <w:spacing w:after="200" w:line="276" w:lineRule="auto"/>
        <w:rPr>
          <w:rFonts w:asciiTheme="minorHAnsi" w:hAnsiTheme="minorHAnsi"/>
        </w:rPr>
      </w:pPr>
      <w:r>
        <w:rPr>
          <w:rFonts w:asciiTheme="minorHAnsi" w:hAnsi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9" w:name="_Toc389473274"/>
            <w:bookmarkStart w:id="10" w:name="_Toc109996405"/>
            <w:r w:rsidRPr="00CD1C0E">
              <w:lastRenderedPageBreak/>
              <w:t>Purpose</w:t>
            </w:r>
            <w:bookmarkEnd w:id="9"/>
            <w:bookmarkEnd w:id="10"/>
          </w:p>
        </w:tc>
      </w:tr>
    </w:tbl>
    <w:p w14:paraId="2F51A866" w14:textId="77777777" w:rsidR="00931B93" w:rsidRDefault="00931B93" w:rsidP="00931B93">
      <w:pPr>
        <w:rPr>
          <w:rFonts w:cs="Arial"/>
          <w:i/>
          <w:szCs w:val="24"/>
        </w:rPr>
      </w:pPr>
    </w:p>
    <w:p w14:paraId="238DC10C" w14:textId="082C162A" w:rsidR="000A6081" w:rsidRDefault="000A6081" w:rsidP="00E77721">
      <w:r>
        <w:t>To inform Canberra Health Services (CHS) clinical staff and external referrers of the appropriate information and processes necessary to refer and admit adult patients to Canberra Hospital</w:t>
      </w:r>
      <w:r w:rsidR="00291900">
        <w:t xml:space="preserve"> </w:t>
      </w:r>
      <w:proofErr w:type="spellStart"/>
      <w:r w:rsidR="00291900">
        <w:t>Hospital</w:t>
      </w:r>
      <w:proofErr w:type="spellEnd"/>
      <w:r w:rsidR="00291900">
        <w:t xml:space="preserve"> in the Home</w:t>
      </w:r>
      <w:r>
        <w:t xml:space="preserve"> </w:t>
      </w:r>
      <w:r w:rsidR="00291900">
        <w:t>(</w:t>
      </w:r>
      <w:r>
        <w:t>HITH</w:t>
      </w:r>
      <w:r w:rsidR="00291900">
        <w:t>)</w:t>
      </w:r>
      <w:r>
        <w:t xml:space="preserve"> service for the purpose of Management of Hyperemesis Gravidarum</w:t>
      </w:r>
      <w:r w:rsidR="001616E8">
        <w:t>.</w:t>
      </w:r>
    </w:p>
    <w:p w14:paraId="19952947" w14:textId="1C805A74" w:rsidR="006B4163" w:rsidRDefault="006B4163" w:rsidP="000A6081"/>
    <w:p w14:paraId="0E23176F" w14:textId="20C45009" w:rsidR="00503A9B" w:rsidRPr="00E77721" w:rsidRDefault="00E5521D" w:rsidP="00E77721">
      <w:pPr>
        <w:jc w:val="right"/>
        <w:rPr>
          <w:rFonts w:cs="Arial"/>
          <w:i/>
          <w:color w:val="0000FF"/>
          <w:szCs w:val="24"/>
          <w:u w:val="single"/>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4223E" w:rsidRPr="00CD1C0E" w14:paraId="2F51A872" w14:textId="77777777" w:rsidTr="00F1354A">
        <w:trPr>
          <w:cantSplit/>
          <w:trHeight w:val="285"/>
        </w:trPr>
        <w:tc>
          <w:tcPr>
            <w:tcW w:w="9158" w:type="dxa"/>
            <w:shd w:val="clear" w:color="auto" w:fill="A6A6A6" w:themeFill="background1" w:themeFillShade="A6"/>
          </w:tcPr>
          <w:p w14:paraId="2F51A871" w14:textId="69CE17D9" w:rsidR="0074223E" w:rsidRPr="00CD1C0E" w:rsidRDefault="0074223E" w:rsidP="00F1354A">
            <w:pPr>
              <w:pStyle w:val="Heading1"/>
            </w:pPr>
            <w:bookmarkStart w:id="11" w:name="_Toc389473276"/>
            <w:bookmarkStart w:id="12" w:name="_Toc109996406"/>
            <w:r>
              <w:t>Alerts</w:t>
            </w:r>
            <w:bookmarkEnd w:id="11"/>
            <w:bookmarkEnd w:id="12"/>
            <w:r w:rsidR="00AB50DD">
              <w:t xml:space="preserve"> </w:t>
            </w:r>
          </w:p>
        </w:tc>
      </w:tr>
    </w:tbl>
    <w:p w14:paraId="2F51A873" w14:textId="77777777" w:rsidR="007B6904" w:rsidRDefault="007B6904" w:rsidP="007B6904">
      <w:pPr>
        <w:rPr>
          <w:rFonts w:cs="Arial"/>
          <w:b/>
          <w:szCs w:val="24"/>
        </w:rPr>
      </w:pPr>
    </w:p>
    <w:p w14:paraId="19A43184" w14:textId="6385116D" w:rsidR="00BA0DF8" w:rsidRDefault="006B4163" w:rsidP="00E77721">
      <w:pPr>
        <w:rPr>
          <w:rFonts w:eastAsia="Calibri"/>
        </w:rPr>
      </w:pPr>
      <w:r w:rsidRPr="00BA0DF8">
        <w:rPr>
          <w:rFonts w:eastAsia="Calibri"/>
        </w:rPr>
        <w:t xml:space="preserve">Glucose solutions should not be administered unless discussed with </w:t>
      </w:r>
      <w:r w:rsidR="00BA0DF8">
        <w:rPr>
          <w:rFonts w:eastAsia="Calibri"/>
        </w:rPr>
        <w:t xml:space="preserve">the </w:t>
      </w:r>
      <w:r w:rsidRPr="00BA0DF8">
        <w:rPr>
          <w:rFonts w:eastAsia="Calibri"/>
        </w:rPr>
        <w:t xml:space="preserve">medical team due to increased risk of precipitating </w:t>
      </w:r>
      <w:r w:rsidR="001429A4" w:rsidRPr="00BA0DF8">
        <w:rPr>
          <w:rFonts w:eastAsia="Calibri"/>
        </w:rPr>
        <w:t xml:space="preserve">Refeeding Syndrome and </w:t>
      </w:r>
      <w:r w:rsidRPr="00BA0DF8">
        <w:rPr>
          <w:rFonts w:eastAsia="Calibri"/>
        </w:rPr>
        <w:t xml:space="preserve">Wernicke’s Encephalopathy in the event the patient has not been receiving </w:t>
      </w:r>
      <w:r w:rsidR="00DC5835">
        <w:rPr>
          <w:rFonts w:eastAsia="Calibri"/>
        </w:rPr>
        <w:t>t</w:t>
      </w:r>
      <w:r w:rsidRPr="00BA0DF8">
        <w:rPr>
          <w:rFonts w:eastAsia="Calibri"/>
        </w:rPr>
        <w:t>hiamine replacement</w:t>
      </w:r>
      <w:r w:rsidR="001616E8" w:rsidRPr="00BA0DF8">
        <w:rPr>
          <w:rFonts w:eastAsia="Calibri"/>
        </w:rPr>
        <w:t>.</w:t>
      </w:r>
    </w:p>
    <w:p w14:paraId="13936A11" w14:textId="77777777" w:rsidR="00BA0DF8" w:rsidRDefault="00BA0DF8" w:rsidP="00E77721">
      <w:pPr>
        <w:rPr>
          <w:rFonts w:eastAsia="Calibri"/>
        </w:rPr>
      </w:pPr>
    </w:p>
    <w:p w14:paraId="2924E9BA" w14:textId="29E74458" w:rsidR="008D722E" w:rsidRPr="00BA0DF8" w:rsidRDefault="00BA0DF8" w:rsidP="00E77721">
      <w:pPr>
        <w:rPr>
          <w:rFonts w:eastAsia="Calibri"/>
        </w:rPr>
      </w:pPr>
      <w:r w:rsidRPr="00BA0DF8">
        <w:rPr>
          <w:rFonts w:eastAsia="Calibri"/>
        </w:rPr>
        <w:t>The HITH medical team providing care for p</w:t>
      </w:r>
      <w:r w:rsidR="008D722E" w:rsidRPr="00BA0DF8">
        <w:rPr>
          <w:rFonts w:eastAsia="Calibri"/>
        </w:rPr>
        <w:t>atients</w:t>
      </w:r>
      <w:r w:rsidRPr="00BA0DF8">
        <w:rPr>
          <w:rFonts w:eastAsia="Calibri"/>
        </w:rPr>
        <w:t xml:space="preserve"> in HITH</w:t>
      </w:r>
      <w:r w:rsidR="008D722E" w:rsidRPr="00BA0DF8">
        <w:rPr>
          <w:rFonts w:eastAsia="Calibri"/>
        </w:rPr>
        <w:t xml:space="preserve"> with hyperemesis gravidarum</w:t>
      </w:r>
      <w:r w:rsidRPr="00BA0DF8">
        <w:rPr>
          <w:rFonts w:eastAsia="Calibri"/>
        </w:rPr>
        <w:t xml:space="preserve">, </w:t>
      </w:r>
      <w:r w:rsidR="008D722E" w:rsidRPr="00BA0DF8">
        <w:rPr>
          <w:rFonts w:eastAsia="Calibri"/>
        </w:rPr>
        <w:t xml:space="preserve"> </w:t>
      </w:r>
      <w:r w:rsidR="00487761" w:rsidRPr="00BA0DF8">
        <w:rPr>
          <w:rFonts w:eastAsia="Calibri"/>
        </w:rPr>
        <w:t xml:space="preserve">are responsible </w:t>
      </w:r>
      <w:r w:rsidRPr="00BA0DF8">
        <w:rPr>
          <w:rFonts w:eastAsia="Calibri"/>
        </w:rPr>
        <w:t xml:space="preserve">specifically </w:t>
      </w:r>
      <w:r w:rsidR="00487761" w:rsidRPr="00BA0DF8">
        <w:rPr>
          <w:rFonts w:eastAsia="Calibri"/>
        </w:rPr>
        <w:t xml:space="preserve">for the provision of treatment and management of the hyperemesis gravidarum. The HITH team are not </w:t>
      </w:r>
      <w:r>
        <w:rPr>
          <w:rFonts w:eastAsia="Calibri"/>
        </w:rPr>
        <w:t>responsible however,</w:t>
      </w:r>
      <w:r w:rsidR="00487761" w:rsidRPr="00BA0DF8">
        <w:rPr>
          <w:rFonts w:eastAsia="Calibri"/>
        </w:rPr>
        <w:t xml:space="preserve"> for the general  antenatal care of the </w:t>
      </w:r>
      <w:r w:rsidRPr="00BA0DF8">
        <w:rPr>
          <w:rFonts w:eastAsia="Calibri"/>
        </w:rPr>
        <w:t xml:space="preserve">pregnant </w:t>
      </w:r>
      <w:r w:rsidR="00487761" w:rsidRPr="00BA0DF8">
        <w:rPr>
          <w:rFonts w:eastAsia="Calibri"/>
        </w:rPr>
        <w:t>patient – this responsibility still falls to an appropriate provider of this care</w:t>
      </w:r>
      <w:r w:rsidRPr="00BA0DF8">
        <w:rPr>
          <w:rFonts w:eastAsia="Calibri"/>
        </w:rPr>
        <w:t>,</w:t>
      </w:r>
      <w:r w:rsidR="00487761" w:rsidRPr="00BA0DF8">
        <w:rPr>
          <w:rFonts w:eastAsia="Calibri"/>
        </w:rPr>
        <w:t xml:space="preserve"> such as the patient’s G</w:t>
      </w:r>
      <w:r>
        <w:rPr>
          <w:rFonts w:eastAsia="Calibri"/>
        </w:rPr>
        <w:t xml:space="preserve">eneral </w:t>
      </w:r>
      <w:proofErr w:type="spellStart"/>
      <w:r w:rsidR="00487761" w:rsidRPr="00BA0DF8">
        <w:rPr>
          <w:rFonts w:eastAsia="Calibri"/>
        </w:rPr>
        <w:t>P</w:t>
      </w:r>
      <w:r>
        <w:rPr>
          <w:rFonts w:eastAsia="Calibri"/>
        </w:rPr>
        <w:t>ractioner</w:t>
      </w:r>
      <w:proofErr w:type="spellEnd"/>
      <w:r w:rsidR="00F06914">
        <w:rPr>
          <w:rFonts w:eastAsia="Calibri"/>
        </w:rPr>
        <w:t xml:space="preserve"> </w:t>
      </w:r>
      <w:r w:rsidR="000E16F3">
        <w:rPr>
          <w:rFonts w:eastAsia="Calibri"/>
        </w:rPr>
        <w:t>(</w:t>
      </w:r>
      <w:r w:rsidR="00F06914">
        <w:rPr>
          <w:rFonts w:eastAsia="Calibri"/>
        </w:rPr>
        <w:t>GP</w:t>
      </w:r>
      <w:r w:rsidR="000E16F3">
        <w:rPr>
          <w:rFonts w:eastAsia="Calibri"/>
        </w:rPr>
        <w:t>)</w:t>
      </w:r>
      <w:r w:rsidR="00487761" w:rsidRPr="00BA0DF8">
        <w:rPr>
          <w:rFonts w:eastAsia="Calibri"/>
        </w:rPr>
        <w:t>, midwife or obstetrician (see Section 7). The HITH team will lia</w:t>
      </w:r>
      <w:r w:rsidR="001E1062">
        <w:rPr>
          <w:rFonts w:eastAsia="Calibri"/>
        </w:rPr>
        <w:t>i</w:t>
      </w:r>
      <w:r w:rsidR="00487761" w:rsidRPr="00BA0DF8">
        <w:rPr>
          <w:rFonts w:eastAsia="Calibri"/>
        </w:rPr>
        <w:t xml:space="preserve">se with this antenatal care provider as part of the HITH admission. </w:t>
      </w:r>
    </w:p>
    <w:p w14:paraId="4727E97A" w14:textId="263F3121" w:rsidR="00C314FE" w:rsidRPr="00E77721" w:rsidRDefault="00E5521D" w:rsidP="00E77721">
      <w:pPr>
        <w:jc w:val="right"/>
        <w:rPr>
          <w:rFonts w:cs="Arial"/>
          <w:i/>
          <w:color w:val="0000FF"/>
          <w:szCs w:val="24"/>
          <w:u w:val="single"/>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3" w:name="_Toc389473277"/>
            <w:bookmarkStart w:id="14" w:name="_Toc109996407"/>
            <w:r w:rsidRPr="003D2D06">
              <w:t>Scope</w:t>
            </w:r>
            <w:bookmarkEnd w:id="13"/>
            <w:bookmarkEnd w:id="14"/>
          </w:p>
        </w:tc>
      </w:tr>
    </w:tbl>
    <w:p w14:paraId="2F51A87C" w14:textId="77777777" w:rsidR="007B6904" w:rsidRPr="00CD1C0E" w:rsidRDefault="007B6904" w:rsidP="007B6904">
      <w:pPr>
        <w:rPr>
          <w:szCs w:val="24"/>
        </w:rPr>
      </w:pPr>
    </w:p>
    <w:p w14:paraId="3FCB4B75" w14:textId="77777777" w:rsidR="008A29AD" w:rsidRDefault="007367B8" w:rsidP="00E77721">
      <w:r>
        <w:t xml:space="preserve">This </w:t>
      </w:r>
      <w:r w:rsidR="001616E8">
        <w:t>p</w:t>
      </w:r>
      <w:r>
        <w:t xml:space="preserve">rocedure </w:t>
      </w:r>
      <w:r w:rsidR="00E77721">
        <w:t>applie</w:t>
      </w:r>
      <w:r>
        <w:t>s to</w:t>
      </w:r>
      <w:r w:rsidR="008A29AD">
        <w:t>:</w:t>
      </w:r>
      <w:r>
        <w:t xml:space="preserve"> </w:t>
      </w:r>
    </w:p>
    <w:p w14:paraId="2F51A87D" w14:textId="7B0311B5" w:rsidR="007B6904" w:rsidRDefault="007367B8" w:rsidP="00E77721">
      <w:r>
        <w:t xml:space="preserve">adult female patients who </w:t>
      </w:r>
      <w:r w:rsidRPr="007367B8">
        <w:t>have a pre-existing</w:t>
      </w:r>
      <w:r w:rsidR="001616E8">
        <w:t>,</w:t>
      </w:r>
      <w:r w:rsidRPr="007367B8">
        <w:t xml:space="preserve"> </w:t>
      </w:r>
      <w:r w:rsidR="001616E8">
        <w:t xml:space="preserve">confirmed </w:t>
      </w:r>
      <w:r w:rsidRPr="007367B8">
        <w:t>preg</w:t>
      </w:r>
      <w:r>
        <w:t>n</w:t>
      </w:r>
      <w:r w:rsidRPr="007367B8">
        <w:t>ancy and experienc</w:t>
      </w:r>
      <w:r w:rsidR="001616E8">
        <w:t>e</w:t>
      </w:r>
      <w:r w:rsidRPr="007367B8">
        <w:t xml:space="preserve"> severe nausea and vomiting </w:t>
      </w:r>
      <w:r w:rsidR="001616E8">
        <w:t xml:space="preserve">that is </w:t>
      </w:r>
      <w:r w:rsidRPr="007367B8">
        <w:t>resist</w:t>
      </w:r>
      <w:r w:rsidR="00C83409">
        <w:t>ant</w:t>
      </w:r>
      <w:r w:rsidRPr="007367B8">
        <w:t xml:space="preserve"> to basic treatments for same</w:t>
      </w:r>
      <w:r w:rsidR="001616E8">
        <w:t>.</w:t>
      </w:r>
    </w:p>
    <w:p w14:paraId="0ADC4A99" w14:textId="4B2E8D91" w:rsidR="006B4163" w:rsidRDefault="006B4163" w:rsidP="00C314FE">
      <w:pPr>
        <w:jc w:val="both"/>
        <w:rPr>
          <w:rFonts w:cs="Arial"/>
          <w:iCs/>
          <w:szCs w:val="24"/>
        </w:rPr>
      </w:pPr>
    </w:p>
    <w:p w14:paraId="04CB00B3" w14:textId="12CF6A7D" w:rsidR="007367B8" w:rsidRPr="007367B8" w:rsidRDefault="007367B8" w:rsidP="00C314FE">
      <w:pPr>
        <w:jc w:val="both"/>
        <w:rPr>
          <w:rFonts w:cs="Arial"/>
          <w:iCs/>
          <w:szCs w:val="24"/>
        </w:rPr>
      </w:pPr>
      <w:r w:rsidRPr="007367B8">
        <w:rPr>
          <w:rFonts w:cs="Arial"/>
          <w:iCs/>
          <w:szCs w:val="24"/>
        </w:rPr>
        <w:t xml:space="preserve">This </w:t>
      </w:r>
      <w:r w:rsidR="001616E8">
        <w:rPr>
          <w:rFonts w:cs="Arial"/>
          <w:iCs/>
          <w:szCs w:val="24"/>
        </w:rPr>
        <w:t>p</w:t>
      </w:r>
      <w:r w:rsidRPr="007367B8">
        <w:rPr>
          <w:rFonts w:cs="Arial"/>
          <w:iCs/>
          <w:szCs w:val="24"/>
        </w:rPr>
        <w:t>rocedure applies to:</w:t>
      </w:r>
    </w:p>
    <w:p w14:paraId="7AE686F3" w14:textId="02FA7F82" w:rsidR="007367B8" w:rsidRPr="001616E8" w:rsidRDefault="007367B8" w:rsidP="00E77721">
      <w:pPr>
        <w:pStyle w:val="ListBullet"/>
      </w:pPr>
      <w:r w:rsidRPr="001616E8">
        <w:t xml:space="preserve">All CHS clinical staff referring and admitting patients with </w:t>
      </w:r>
      <w:r w:rsidR="00DC5835">
        <w:t>h</w:t>
      </w:r>
      <w:r w:rsidRPr="001616E8">
        <w:t xml:space="preserve">yperemesis </w:t>
      </w:r>
      <w:r w:rsidR="00DC5835">
        <w:t>g</w:t>
      </w:r>
      <w:r w:rsidRPr="001616E8">
        <w:t>ravidarum to CHS HITH service who require treatment with Intravenous Therapy, Anti-Emetics and Dietary Supplements.</w:t>
      </w:r>
    </w:p>
    <w:p w14:paraId="78D413C2" w14:textId="7E3333C7" w:rsidR="007367B8" w:rsidRPr="001616E8" w:rsidRDefault="007367B8" w:rsidP="00E77721">
      <w:pPr>
        <w:pStyle w:val="ListBullet"/>
      </w:pPr>
      <w:r w:rsidRPr="001616E8">
        <w:t>All external medical and nursing staff referring patients to CHS HITH service for the purposes of treatment for Hyperemesis Gravidarum</w:t>
      </w:r>
    </w:p>
    <w:p w14:paraId="7B06E080" w14:textId="77777777" w:rsidR="007367B8" w:rsidRPr="001616E8" w:rsidRDefault="007367B8" w:rsidP="00E77721">
      <w:pPr>
        <w:pStyle w:val="ListBullet"/>
      </w:pPr>
      <w:r w:rsidRPr="001616E8">
        <w:t>The following CHS staff working within their scope of practice in the HITH unit:</w:t>
      </w:r>
    </w:p>
    <w:p w14:paraId="51DF8569" w14:textId="06CB4188" w:rsidR="007367B8" w:rsidRPr="007367B8" w:rsidRDefault="007367B8" w:rsidP="00E77721">
      <w:pPr>
        <w:pStyle w:val="ListBullet"/>
        <w:ind w:left="852"/>
      </w:pPr>
      <w:r w:rsidRPr="007367B8">
        <w:t>Medical Officers</w:t>
      </w:r>
    </w:p>
    <w:p w14:paraId="070DF12D" w14:textId="41F7A5B2" w:rsidR="007367B8" w:rsidRDefault="007367B8" w:rsidP="00E77721">
      <w:pPr>
        <w:pStyle w:val="ListBullet"/>
        <w:ind w:left="852"/>
      </w:pPr>
      <w:r w:rsidRPr="007367B8">
        <w:t>Nurses</w:t>
      </w:r>
      <w:r>
        <w:t xml:space="preserve"> and Midwives</w:t>
      </w:r>
    </w:p>
    <w:p w14:paraId="617F388B" w14:textId="54F2D0EA" w:rsidR="001616E8" w:rsidRPr="007367B8" w:rsidRDefault="001616E8" w:rsidP="00E77721">
      <w:pPr>
        <w:pStyle w:val="ListBullet"/>
        <w:ind w:left="852"/>
      </w:pPr>
      <w:r>
        <w:t>Dieti</w:t>
      </w:r>
      <w:r w:rsidR="00E72197">
        <w:t>t</w:t>
      </w:r>
      <w:r>
        <w:t>ians</w:t>
      </w:r>
    </w:p>
    <w:p w14:paraId="3CEA11A2" w14:textId="5101376D" w:rsidR="007367B8" w:rsidRPr="007367B8" w:rsidRDefault="007367B8" w:rsidP="00E77721">
      <w:pPr>
        <w:pStyle w:val="ListBullet"/>
        <w:ind w:left="852"/>
      </w:pPr>
      <w:r w:rsidRPr="007367B8">
        <w:t xml:space="preserve">Student </w:t>
      </w:r>
      <w:r w:rsidR="005C75FB">
        <w:t>d</w:t>
      </w:r>
      <w:r w:rsidRPr="007367B8">
        <w:t xml:space="preserve">octors under </w:t>
      </w:r>
      <w:r w:rsidR="00F645D9">
        <w:t>d</w:t>
      </w:r>
      <w:r w:rsidRPr="007367B8">
        <w:t xml:space="preserve">irect </w:t>
      </w:r>
      <w:r w:rsidR="00F645D9">
        <w:t>s</w:t>
      </w:r>
      <w:r w:rsidRPr="007367B8">
        <w:t>upervision</w:t>
      </w:r>
    </w:p>
    <w:p w14:paraId="7AB335DC" w14:textId="213F740C" w:rsidR="007367B8" w:rsidRPr="007367B8" w:rsidRDefault="007367B8" w:rsidP="00E77721">
      <w:pPr>
        <w:pStyle w:val="ListBullet"/>
        <w:ind w:left="852"/>
      </w:pPr>
      <w:r w:rsidRPr="007367B8">
        <w:t xml:space="preserve">Student </w:t>
      </w:r>
      <w:r w:rsidR="005C75FB">
        <w:t>n</w:t>
      </w:r>
      <w:r w:rsidRPr="007367B8">
        <w:t xml:space="preserve">urses under </w:t>
      </w:r>
      <w:r w:rsidR="00F645D9">
        <w:t>d</w:t>
      </w:r>
      <w:r w:rsidRPr="007367B8">
        <w:t xml:space="preserve">irect </w:t>
      </w:r>
      <w:r w:rsidR="00F645D9">
        <w:t>s</w:t>
      </w:r>
      <w:r w:rsidRPr="007367B8">
        <w:t>upervision</w:t>
      </w:r>
    </w:p>
    <w:p w14:paraId="72657A1C" w14:textId="1A53C136" w:rsidR="00CE5D60" w:rsidRDefault="007367B8" w:rsidP="00E77721">
      <w:pPr>
        <w:pStyle w:val="ListBullet"/>
        <w:ind w:left="852"/>
      </w:pPr>
      <w:r w:rsidRPr="007367B8">
        <w:t xml:space="preserve">Clerical </w:t>
      </w:r>
      <w:r w:rsidR="00F645D9">
        <w:t>s</w:t>
      </w:r>
      <w:r w:rsidRPr="007367B8">
        <w:t>taff</w:t>
      </w:r>
    </w:p>
    <w:p w14:paraId="56F5B87D" w14:textId="3F933CA9" w:rsidR="00DC5835" w:rsidRPr="00C314FE" w:rsidRDefault="00DC5835" w:rsidP="00E77721">
      <w:pPr>
        <w:pStyle w:val="ListBullet"/>
        <w:ind w:left="852"/>
      </w:pPr>
      <w:r>
        <w:lastRenderedPageBreak/>
        <w:t>Pharmacists</w:t>
      </w:r>
    </w:p>
    <w:p w14:paraId="3D01712D" w14:textId="77777777" w:rsidR="00CE5D60" w:rsidRDefault="00CE5D60" w:rsidP="00CE5D60">
      <w:pPr>
        <w:jc w:val="right"/>
      </w:pPr>
    </w:p>
    <w:p w14:paraId="0BBDB6D6" w14:textId="6F2C626C" w:rsidR="00CE5D60" w:rsidRPr="00CE5D60" w:rsidRDefault="00E5521D" w:rsidP="00E77721">
      <w:pPr>
        <w:jc w:val="right"/>
        <w:rPr>
          <w:rFonts w:cs="Arial"/>
          <w:i/>
          <w:color w:val="0000FF"/>
          <w:szCs w:val="24"/>
          <w:u w:val="single"/>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4676289B" w:rsidR="007B6904" w:rsidRPr="00C76688" w:rsidRDefault="007B6904" w:rsidP="00931B93">
            <w:pPr>
              <w:pStyle w:val="Heading1"/>
            </w:pPr>
            <w:bookmarkStart w:id="15" w:name="_Toc389473278"/>
            <w:bookmarkStart w:id="16" w:name="_Toc109996408"/>
            <w:r w:rsidRPr="00C76688">
              <w:t>Section 1 –</w:t>
            </w:r>
            <w:r>
              <w:t xml:space="preserve"> </w:t>
            </w:r>
            <w:bookmarkEnd w:id="15"/>
            <w:r w:rsidR="007367B8">
              <w:t>HITH Service Background</w:t>
            </w:r>
            <w:r w:rsidR="00B21483">
              <w:t xml:space="preserve"> and Definitions</w:t>
            </w:r>
            <w:bookmarkEnd w:id="16"/>
          </w:p>
        </w:tc>
      </w:tr>
    </w:tbl>
    <w:p w14:paraId="13CE5CD0" w14:textId="77777777" w:rsidR="007367B8" w:rsidRDefault="007367B8" w:rsidP="007367B8">
      <w:pPr>
        <w:outlineLvl w:val="0"/>
        <w:rPr>
          <w:bCs/>
          <w:szCs w:val="24"/>
        </w:rPr>
      </w:pPr>
    </w:p>
    <w:p w14:paraId="139D3C72" w14:textId="304CEB30" w:rsidR="007367B8" w:rsidRDefault="007367B8" w:rsidP="00E77721">
      <w:r w:rsidRPr="007367B8">
        <w:t xml:space="preserve">Refer to CHS </w:t>
      </w:r>
      <w:r w:rsidRPr="00E77721">
        <w:rPr>
          <w:i/>
          <w:iCs/>
        </w:rPr>
        <w:t>HITH Referral, Admission and Discharge (Adults and Children) Procedure</w:t>
      </w:r>
      <w:r w:rsidRPr="007367B8">
        <w:t xml:space="preserve"> for general information pertaining to HITH practices, referral processes, medical </w:t>
      </w:r>
      <w:proofErr w:type="gramStart"/>
      <w:r w:rsidRPr="007367B8">
        <w:t>governance</w:t>
      </w:r>
      <w:proofErr w:type="gramEnd"/>
      <w:r w:rsidRPr="007367B8">
        <w:t xml:space="preserve"> and nursing/medical care hours of operation.</w:t>
      </w:r>
    </w:p>
    <w:p w14:paraId="11E7560D" w14:textId="77777777" w:rsidR="00B21483" w:rsidRDefault="00B21483" w:rsidP="00E77721"/>
    <w:p w14:paraId="2222E8E2" w14:textId="77777777" w:rsidR="00B21483" w:rsidRDefault="00B21483" w:rsidP="00E77721">
      <w:r w:rsidRPr="007367B8">
        <w:t xml:space="preserve">Transfer of patient care between Specialists will be at the discretion of the ‘referring’ and ‘receiving’ Specialist. There may be a shared care arrangement or an ongoing consultation arrangement. </w:t>
      </w:r>
    </w:p>
    <w:p w14:paraId="5B38F6F8" w14:textId="72DCDA61" w:rsidR="003C3A6B" w:rsidRDefault="003C3A6B" w:rsidP="00E77721"/>
    <w:p w14:paraId="05E08FA4" w14:textId="6A3FEE5A" w:rsidR="00B21483" w:rsidRDefault="00B21483" w:rsidP="00E77721">
      <w:r>
        <w:t xml:space="preserve">Nausea and vomiting of pregnancy (NVP) </w:t>
      </w:r>
      <w:proofErr w:type="gramStart"/>
      <w:r>
        <w:t>is</w:t>
      </w:r>
      <w:proofErr w:type="gramEnd"/>
      <w:r>
        <w:t xml:space="preserve"> defined as “nausea, vomiting and/or dry retching caused by pregnancy, with symptoms commencing in the first trimester, without an alternate diagnosis”</w:t>
      </w:r>
      <w:r w:rsidR="00E77721" w:rsidRPr="00E77721">
        <w:rPr>
          <w:vertAlign w:val="superscript"/>
        </w:rPr>
        <w:t>1</w:t>
      </w:r>
      <w:r>
        <w:t>.</w:t>
      </w:r>
    </w:p>
    <w:p w14:paraId="73D2B529" w14:textId="757CCD11" w:rsidR="00B21483" w:rsidRDefault="00B21483" w:rsidP="00E77721"/>
    <w:p w14:paraId="5463B1A6" w14:textId="7F4F1564" w:rsidR="001B3F84" w:rsidRPr="00B21483" w:rsidRDefault="00B21483" w:rsidP="00E77721">
      <w:r w:rsidRPr="00B21483">
        <w:t>Hyperemesis gravidarum, on the other hand, is n</w:t>
      </w:r>
      <w:r w:rsidR="001B3F84" w:rsidRPr="00B21483">
        <w:t>ausea and/or vomiting caused by pregnancy</w:t>
      </w:r>
      <w:r w:rsidRPr="00B21483">
        <w:t>,</w:t>
      </w:r>
      <w:r w:rsidR="001B3F84" w:rsidRPr="00B21483">
        <w:t xml:space="preserve"> leading to significant reduction of oral intake and weight loss of at least 5% compared with pre-pregnancy weight, with or without dehydration and/or electrolyte abnormalities</w:t>
      </w:r>
      <w:r w:rsidR="00635953" w:rsidRPr="00B21483">
        <w:t>”</w:t>
      </w:r>
      <w:r w:rsidR="00635953">
        <w:rPr>
          <w:rStyle w:val="FootnoteReference"/>
        </w:rPr>
        <w:t>1</w:t>
      </w:r>
      <w:r w:rsidR="00635953" w:rsidRPr="00B21483">
        <w:t xml:space="preserve">. </w:t>
      </w:r>
    </w:p>
    <w:p w14:paraId="4C01DBAF" w14:textId="0F9C4F26" w:rsidR="007367B8" w:rsidRDefault="007367B8" w:rsidP="00C314FE">
      <w:pPr>
        <w:jc w:val="both"/>
        <w:outlineLvl w:val="0"/>
        <w:rPr>
          <w:szCs w:val="24"/>
        </w:rPr>
      </w:pPr>
    </w:p>
    <w:p w14:paraId="2F51A893" w14:textId="77777777" w:rsidR="007B6904" w:rsidRDefault="00E5521D"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0C55400C" w:rsidR="007B6904" w:rsidRPr="00C76688" w:rsidRDefault="007B6904" w:rsidP="004213C3">
            <w:pPr>
              <w:pStyle w:val="Heading1"/>
            </w:pPr>
            <w:bookmarkStart w:id="17" w:name="_Toc389473281"/>
            <w:bookmarkStart w:id="18" w:name="_Toc109996409"/>
            <w:r w:rsidRPr="00C76688">
              <w:t xml:space="preserve">Section 2 – </w:t>
            </w:r>
            <w:bookmarkEnd w:id="17"/>
            <w:r w:rsidR="005D00A5">
              <w:t>HITH Admission Criteria</w:t>
            </w:r>
            <w:bookmarkEnd w:id="18"/>
          </w:p>
        </w:tc>
      </w:tr>
    </w:tbl>
    <w:p w14:paraId="2F51A897" w14:textId="77777777" w:rsidR="007B6904" w:rsidRDefault="007B6904" w:rsidP="007B6904">
      <w:pPr>
        <w:rPr>
          <w:rFonts w:cs="Arial"/>
          <w:b/>
          <w:szCs w:val="24"/>
        </w:rPr>
      </w:pPr>
    </w:p>
    <w:p w14:paraId="5007C02C" w14:textId="1A27E7B9" w:rsidR="007367B8" w:rsidRPr="00E77721" w:rsidRDefault="007367B8" w:rsidP="00E77721">
      <w:pPr>
        <w:rPr>
          <w:b/>
          <w:bCs/>
        </w:rPr>
      </w:pPr>
      <w:r w:rsidRPr="00E77721">
        <w:rPr>
          <w:b/>
          <w:bCs/>
        </w:rPr>
        <w:t>Please discuss all referrals for</w:t>
      </w:r>
      <w:r w:rsidR="00514781" w:rsidRPr="00E77721">
        <w:rPr>
          <w:b/>
          <w:bCs/>
        </w:rPr>
        <w:t xml:space="preserve"> patients with</w:t>
      </w:r>
      <w:r w:rsidR="009D3951" w:rsidRPr="00E77721">
        <w:rPr>
          <w:b/>
          <w:bCs/>
        </w:rPr>
        <w:t xml:space="preserve"> </w:t>
      </w:r>
      <w:r w:rsidR="00514781" w:rsidRPr="00E77721">
        <w:rPr>
          <w:b/>
          <w:bCs/>
        </w:rPr>
        <w:t>h</w:t>
      </w:r>
      <w:r w:rsidR="009D3951" w:rsidRPr="00E77721">
        <w:rPr>
          <w:b/>
          <w:bCs/>
        </w:rPr>
        <w:t>yperemesis</w:t>
      </w:r>
      <w:r w:rsidR="00C314FE" w:rsidRPr="00E77721">
        <w:rPr>
          <w:b/>
          <w:bCs/>
        </w:rPr>
        <w:t>,</w:t>
      </w:r>
      <w:r w:rsidRPr="00E77721">
        <w:rPr>
          <w:b/>
          <w:bCs/>
        </w:rPr>
        <w:t xml:space="preserve"> directly with the HITH medical team, recognising that their </w:t>
      </w:r>
      <w:r w:rsidR="009D3951" w:rsidRPr="00E77721">
        <w:rPr>
          <w:b/>
          <w:bCs/>
        </w:rPr>
        <w:t>clinical presentation</w:t>
      </w:r>
      <w:r w:rsidRPr="00E77721">
        <w:rPr>
          <w:b/>
          <w:bCs/>
        </w:rPr>
        <w:t xml:space="preserve"> may be outside of the above </w:t>
      </w:r>
      <w:r w:rsidR="004A3584">
        <w:rPr>
          <w:b/>
          <w:bCs/>
        </w:rPr>
        <w:t>defini</w:t>
      </w:r>
      <w:r w:rsidR="00570E64">
        <w:rPr>
          <w:b/>
          <w:bCs/>
        </w:rPr>
        <w:t xml:space="preserve">tions. </w:t>
      </w:r>
    </w:p>
    <w:p w14:paraId="4EC9D416" w14:textId="2FDA2B08" w:rsidR="009D3951" w:rsidRDefault="009D3951" w:rsidP="00C314FE">
      <w:pPr>
        <w:jc w:val="both"/>
        <w:rPr>
          <w:b/>
        </w:rPr>
      </w:pPr>
    </w:p>
    <w:p w14:paraId="3C53445D" w14:textId="193FA82A" w:rsidR="009D3951" w:rsidRDefault="009D3951" w:rsidP="00E77721">
      <w:pPr>
        <w:pBdr>
          <w:top w:val="single" w:sz="4" w:space="1" w:color="auto"/>
          <w:left w:val="single" w:sz="4" w:space="4" w:color="auto"/>
          <w:bottom w:val="single" w:sz="4" w:space="1" w:color="auto"/>
          <w:right w:val="single" w:sz="4" w:space="4" w:color="auto"/>
        </w:pBdr>
      </w:pPr>
      <w:bookmarkStart w:id="19" w:name="_Hlk72923055"/>
      <w:r w:rsidRPr="009D3951">
        <w:rPr>
          <w:b/>
          <w:bCs/>
        </w:rPr>
        <w:t xml:space="preserve">Note: </w:t>
      </w:r>
      <w:r w:rsidRPr="009D3951">
        <w:t xml:space="preserve">To be accepted by CHS HITH service for </w:t>
      </w:r>
      <w:r w:rsidR="00514781">
        <w:t>m</w:t>
      </w:r>
      <w:r w:rsidRPr="009D3951">
        <w:t xml:space="preserve">anagement of </w:t>
      </w:r>
      <w:r w:rsidR="00514781">
        <w:t>h</w:t>
      </w:r>
      <w:r w:rsidRPr="009D3951">
        <w:t xml:space="preserve">yperemesis </w:t>
      </w:r>
      <w:r w:rsidR="00514781">
        <w:t>g</w:t>
      </w:r>
      <w:r w:rsidRPr="009D3951">
        <w:t xml:space="preserve">ravidarum, patients must fulfil both mandatory general and clinical criteria. </w:t>
      </w:r>
    </w:p>
    <w:p w14:paraId="4D9029A9" w14:textId="6D977396" w:rsidR="00D5124E" w:rsidRDefault="00D5124E" w:rsidP="00C314FE">
      <w:pPr>
        <w:jc w:val="both"/>
      </w:pPr>
    </w:p>
    <w:p w14:paraId="663A21A0" w14:textId="6191F30E" w:rsidR="00514781" w:rsidRDefault="00514781" w:rsidP="00C314FE">
      <w:pPr>
        <w:jc w:val="both"/>
      </w:pPr>
      <w:r w:rsidRPr="00C314FE">
        <w:rPr>
          <w:u w:val="single"/>
        </w:rPr>
        <w:t xml:space="preserve">HITH General </w:t>
      </w:r>
      <w:proofErr w:type="spellStart"/>
      <w:r w:rsidR="00C744A0">
        <w:rPr>
          <w:u w:val="single"/>
        </w:rPr>
        <w:t>Adminssion</w:t>
      </w:r>
      <w:proofErr w:type="spellEnd"/>
      <w:r w:rsidR="00C744A0">
        <w:rPr>
          <w:u w:val="single"/>
        </w:rPr>
        <w:t xml:space="preserve"> and Exclusion </w:t>
      </w:r>
      <w:r w:rsidRPr="00C314FE">
        <w:rPr>
          <w:u w:val="single"/>
        </w:rPr>
        <w:t>Criteria</w:t>
      </w:r>
      <w:r>
        <w:t xml:space="preserve"> – See </w:t>
      </w:r>
      <w:r w:rsidR="00FB21EF">
        <w:t>Attachment 2</w:t>
      </w:r>
    </w:p>
    <w:p w14:paraId="090DD201" w14:textId="35DCAAF6" w:rsidR="00514781" w:rsidRPr="00AC70C2" w:rsidRDefault="00514781" w:rsidP="00C314FE">
      <w:pPr>
        <w:jc w:val="both"/>
        <w:rPr>
          <w:b/>
          <w:bCs/>
          <w:i/>
          <w:iCs/>
        </w:rPr>
      </w:pPr>
      <w:r w:rsidRPr="009D3951">
        <w:t xml:space="preserve">For mandatory general criteria and general relative and absolute exclusions, please refer to the </w:t>
      </w:r>
      <w:r w:rsidRPr="0025510F">
        <w:rPr>
          <w:i/>
          <w:iCs/>
        </w:rPr>
        <w:t>CHS HITH Referral, Admission and Discharge (Adults and Children) Procedure</w:t>
      </w:r>
      <w:r>
        <w:t xml:space="preserve">. </w:t>
      </w:r>
    </w:p>
    <w:p w14:paraId="7C0AE4EA" w14:textId="77777777" w:rsidR="00304041" w:rsidRDefault="00304041" w:rsidP="00C314FE">
      <w:pPr>
        <w:jc w:val="both"/>
        <w:rPr>
          <w:u w:val="single"/>
        </w:rPr>
      </w:pPr>
    </w:p>
    <w:p w14:paraId="0DB9831D" w14:textId="03DACD84" w:rsidR="00C314FE" w:rsidRPr="00C314FE" w:rsidRDefault="00C314FE" w:rsidP="00C314FE">
      <w:pPr>
        <w:jc w:val="both"/>
        <w:rPr>
          <w:u w:val="single"/>
        </w:rPr>
      </w:pPr>
      <w:r w:rsidRPr="00C314FE">
        <w:rPr>
          <w:u w:val="single"/>
        </w:rPr>
        <w:t>HITH Clinical Criteria</w:t>
      </w:r>
    </w:p>
    <w:p w14:paraId="693D2E11" w14:textId="75D9C2D9" w:rsidR="00D5124E" w:rsidRDefault="00D5124E" w:rsidP="00C314FE">
      <w:pPr>
        <w:spacing w:line="276" w:lineRule="auto"/>
        <w:jc w:val="both"/>
      </w:pPr>
      <w:r>
        <w:t>Women must me</w:t>
      </w:r>
      <w:r w:rsidR="00F45509">
        <w:t xml:space="preserve">et at least 3 </w:t>
      </w:r>
      <w:r>
        <w:t xml:space="preserve">of the following criteria: </w:t>
      </w:r>
    </w:p>
    <w:p w14:paraId="6B1D3869" w14:textId="29728D2C" w:rsidR="00D5124E" w:rsidRDefault="00D5124E" w:rsidP="00C314FE">
      <w:pPr>
        <w:pStyle w:val="ListParagraph"/>
        <w:numPr>
          <w:ilvl w:val="0"/>
          <w:numId w:val="15"/>
        </w:numPr>
        <w:spacing w:after="160" w:line="276" w:lineRule="auto"/>
        <w:jc w:val="both"/>
      </w:pPr>
      <w:r>
        <w:t xml:space="preserve">Have had a trial of oral anti-emetic medications which may include the following:  </w:t>
      </w:r>
    </w:p>
    <w:p w14:paraId="18DEA206" w14:textId="77777777" w:rsidR="00C314FE" w:rsidRDefault="00C314FE" w:rsidP="00D5124E">
      <w:pPr>
        <w:pStyle w:val="ListParagraph"/>
        <w:numPr>
          <w:ilvl w:val="0"/>
          <w:numId w:val="16"/>
        </w:numPr>
        <w:spacing w:after="160" w:line="276" w:lineRule="auto"/>
        <w:sectPr w:rsidR="00C314FE" w:rsidSect="004213C3">
          <w:headerReference w:type="default" r:id="rId11"/>
          <w:footerReference w:type="default" r:id="rId12"/>
          <w:pgSz w:w="11906" w:h="16838"/>
          <w:pgMar w:top="663" w:right="1418" w:bottom="1440" w:left="1418" w:header="357" w:footer="306" w:gutter="0"/>
          <w:cols w:space="708"/>
          <w:docGrid w:linePitch="360"/>
        </w:sectPr>
      </w:pPr>
    </w:p>
    <w:p w14:paraId="5B0A061C" w14:textId="2F2E28C4" w:rsidR="00D5124E" w:rsidRDefault="00D5124E" w:rsidP="00D5124E">
      <w:pPr>
        <w:pStyle w:val="ListParagraph"/>
        <w:numPr>
          <w:ilvl w:val="0"/>
          <w:numId w:val="16"/>
        </w:numPr>
        <w:spacing w:after="160" w:line="276" w:lineRule="auto"/>
      </w:pPr>
      <w:r>
        <w:t xml:space="preserve">Ginger   </w:t>
      </w:r>
      <w:r>
        <w:tab/>
        <w:t xml:space="preserve">    </w:t>
      </w:r>
      <w:r w:rsidR="00253316">
        <w:t xml:space="preserve"> </w:t>
      </w:r>
    </w:p>
    <w:p w14:paraId="2A9944A7" w14:textId="6043E66E" w:rsidR="00D5124E" w:rsidRDefault="00D5124E" w:rsidP="00D5124E">
      <w:pPr>
        <w:pStyle w:val="ListParagraph"/>
        <w:numPr>
          <w:ilvl w:val="0"/>
          <w:numId w:val="16"/>
        </w:numPr>
        <w:spacing w:after="160" w:line="276" w:lineRule="auto"/>
      </w:pPr>
      <w:r>
        <w:t xml:space="preserve">Pyridoxine </w:t>
      </w:r>
      <w:r>
        <w:tab/>
        <w:t xml:space="preserve">   </w:t>
      </w:r>
      <w:r w:rsidR="00253316">
        <w:t xml:space="preserve">  </w:t>
      </w:r>
      <w:r>
        <w:t xml:space="preserve"> </w:t>
      </w:r>
    </w:p>
    <w:p w14:paraId="54EB8465" w14:textId="46BC359C" w:rsidR="00D5124E" w:rsidRDefault="00D5124E" w:rsidP="00D5124E">
      <w:pPr>
        <w:pStyle w:val="ListParagraph"/>
        <w:numPr>
          <w:ilvl w:val="0"/>
          <w:numId w:val="16"/>
        </w:numPr>
        <w:spacing w:after="160" w:line="276" w:lineRule="auto"/>
      </w:pPr>
      <w:r>
        <w:t>Doxylamine</w:t>
      </w:r>
      <w:r>
        <w:tab/>
        <w:t xml:space="preserve">    </w:t>
      </w:r>
      <w:r w:rsidR="00253316">
        <w:t xml:space="preserve">  </w:t>
      </w:r>
    </w:p>
    <w:p w14:paraId="6A430CB4" w14:textId="3FE3F286" w:rsidR="00D5124E" w:rsidRDefault="00D5124E" w:rsidP="00D5124E">
      <w:pPr>
        <w:pStyle w:val="ListParagraph"/>
        <w:numPr>
          <w:ilvl w:val="0"/>
          <w:numId w:val="16"/>
        </w:numPr>
        <w:spacing w:after="160" w:line="276" w:lineRule="auto"/>
      </w:pPr>
      <w:r>
        <w:t xml:space="preserve">Promethazine </w:t>
      </w:r>
      <w:r>
        <w:tab/>
        <w:t xml:space="preserve">    </w:t>
      </w:r>
      <w:r w:rsidR="00253316">
        <w:t xml:space="preserve"> </w:t>
      </w:r>
    </w:p>
    <w:p w14:paraId="294B3274" w14:textId="7F9A09E4" w:rsidR="00D5124E" w:rsidRDefault="00D5124E" w:rsidP="00D5124E">
      <w:pPr>
        <w:pStyle w:val="ListParagraph"/>
        <w:numPr>
          <w:ilvl w:val="0"/>
          <w:numId w:val="16"/>
        </w:numPr>
        <w:spacing w:after="160" w:line="276" w:lineRule="auto"/>
      </w:pPr>
      <w:r>
        <w:t xml:space="preserve">Prochlorperazine </w:t>
      </w:r>
      <w:r w:rsidR="00253316">
        <w:t xml:space="preserve"> </w:t>
      </w:r>
    </w:p>
    <w:p w14:paraId="44DB568B" w14:textId="0E3A6EDA" w:rsidR="00D5124E" w:rsidRDefault="00D5124E" w:rsidP="00D5124E">
      <w:pPr>
        <w:pStyle w:val="ListParagraph"/>
        <w:numPr>
          <w:ilvl w:val="0"/>
          <w:numId w:val="16"/>
        </w:numPr>
        <w:spacing w:after="160" w:line="276" w:lineRule="auto"/>
      </w:pPr>
      <w:r>
        <w:t xml:space="preserve">Metoclopramide  </w:t>
      </w:r>
      <w:r w:rsidR="00253316">
        <w:t xml:space="preserve"> </w:t>
      </w:r>
    </w:p>
    <w:p w14:paraId="2D93FA7F" w14:textId="7B9919D3" w:rsidR="00D5124E" w:rsidRDefault="00D5124E" w:rsidP="00D5124E">
      <w:pPr>
        <w:pStyle w:val="ListParagraph"/>
        <w:numPr>
          <w:ilvl w:val="0"/>
          <w:numId w:val="16"/>
        </w:numPr>
        <w:spacing w:after="160" w:line="276" w:lineRule="auto"/>
      </w:pPr>
      <w:r>
        <w:t xml:space="preserve">Ondansetron        </w:t>
      </w:r>
    </w:p>
    <w:p w14:paraId="3994FEC7" w14:textId="77777777" w:rsidR="00C314FE" w:rsidRDefault="00C314FE" w:rsidP="00D5124E">
      <w:pPr>
        <w:pStyle w:val="ListParagraph"/>
        <w:numPr>
          <w:ilvl w:val="0"/>
          <w:numId w:val="15"/>
        </w:numPr>
        <w:spacing w:after="160" w:line="276" w:lineRule="auto"/>
        <w:sectPr w:rsidR="00C314FE" w:rsidSect="00C314FE">
          <w:type w:val="continuous"/>
          <w:pgSz w:w="11906" w:h="16838"/>
          <w:pgMar w:top="663" w:right="1418" w:bottom="1440" w:left="1418" w:header="357" w:footer="306" w:gutter="0"/>
          <w:cols w:num="2" w:space="708"/>
          <w:docGrid w:linePitch="360"/>
        </w:sectPr>
      </w:pPr>
    </w:p>
    <w:p w14:paraId="20FDB879" w14:textId="345D6DD6" w:rsidR="00D5124E" w:rsidRDefault="00D5124E" w:rsidP="00E77721">
      <w:r>
        <w:lastRenderedPageBreak/>
        <w:t xml:space="preserve">If patients have </w:t>
      </w:r>
      <w:proofErr w:type="spellStart"/>
      <w:r w:rsidR="00C314FE">
        <w:t>trialed</w:t>
      </w:r>
      <w:proofErr w:type="spellEnd"/>
      <w:r>
        <w:t xml:space="preserve"> these medications</w:t>
      </w:r>
      <w:r w:rsidR="008024F1">
        <w:t xml:space="preserve">, </w:t>
      </w:r>
      <w:r w:rsidRPr="008024F1">
        <w:rPr>
          <w:b/>
          <w:bCs/>
        </w:rPr>
        <w:t>including ondansetron</w:t>
      </w:r>
      <w:r w:rsidR="008024F1">
        <w:t xml:space="preserve"> (see Section 5 for dosing)</w:t>
      </w:r>
      <w:r w:rsidR="00C314FE">
        <w:t>,</w:t>
      </w:r>
      <w:r>
        <w:t xml:space="preserve"> without relief of symptoms</w:t>
      </w:r>
      <w:r w:rsidR="008024F1">
        <w:t xml:space="preserve"> over a 2-4 week period</w:t>
      </w:r>
      <w:r>
        <w:t>, then they should be considered for HITH admission</w:t>
      </w:r>
      <w:r w:rsidR="008024F1">
        <w:t>.</w:t>
      </w:r>
    </w:p>
    <w:p w14:paraId="409AC7BC" w14:textId="37CD11FF" w:rsidR="00D5124E" w:rsidRDefault="00D5124E" w:rsidP="00D5124E">
      <w:pPr>
        <w:pStyle w:val="ListParagraph"/>
        <w:numPr>
          <w:ilvl w:val="0"/>
          <w:numId w:val="15"/>
        </w:numPr>
        <w:spacing w:after="160" w:line="276" w:lineRule="auto"/>
      </w:pPr>
      <w:r>
        <w:t>Electrolyte imbalance</w:t>
      </w:r>
      <w:r w:rsidR="00DE06C9">
        <w:t>,</w:t>
      </w:r>
      <w:r>
        <w:t xml:space="preserve"> specifically: </w:t>
      </w:r>
    </w:p>
    <w:p w14:paraId="0CED3F9B" w14:textId="77777777" w:rsidR="00D5124E" w:rsidRDefault="00D5124E" w:rsidP="00D5124E">
      <w:pPr>
        <w:pStyle w:val="ListParagraph"/>
        <w:spacing w:line="276" w:lineRule="auto"/>
      </w:pPr>
      <w:r>
        <w:t xml:space="preserve">Potassium     &lt; 3.5mmol/L </w:t>
      </w:r>
    </w:p>
    <w:p w14:paraId="04ADDBA7" w14:textId="77777777" w:rsidR="00D5124E" w:rsidRDefault="00D5124E" w:rsidP="00D5124E">
      <w:pPr>
        <w:pStyle w:val="ListParagraph"/>
        <w:spacing w:line="276" w:lineRule="auto"/>
      </w:pPr>
      <w:r>
        <w:t xml:space="preserve">Magnesium  &lt; 0.70mmol/L </w:t>
      </w:r>
    </w:p>
    <w:p w14:paraId="1893C4EE" w14:textId="54772EE0" w:rsidR="00D5124E" w:rsidRDefault="00D5124E" w:rsidP="00CE5D60">
      <w:pPr>
        <w:pStyle w:val="ListParagraph"/>
        <w:spacing w:line="276" w:lineRule="auto"/>
      </w:pPr>
      <w:r>
        <w:t xml:space="preserve">Phosphate    &lt; 0.70mmol/L </w:t>
      </w:r>
    </w:p>
    <w:p w14:paraId="7B4E215C" w14:textId="21AF50E8" w:rsidR="00C314FE" w:rsidRDefault="00C314FE" w:rsidP="00CE5D60">
      <w:pPr>
        <w:pStyle w:val="ListParagraph"/>
        <w:spacing w:line="276" w:lineRule="auto"/>
      </w:pPr>
    </w:p>
    <w:p w14:paraId="189CA595" w14:textId="3E14EB8E" w:rsidR="00CE197C" w:rsidRDefault="00CE197C" w:rsidP="00CE197C">
      <w:pPr>
        <w:pStyle w:val="ListParagraph"/>
        <w:numPr>
          <w:ilvl w:val="0"/>
          <w:numId w:val="15"/>
        </w:numPr>
        <w:spacing w:after="160" w:line="276" w:lineRule="auto"/>
      </w:pPr>
      <w:r>
        <w:t xml:space="preserve">Weight loss of 5% or more from pre-pregnancy weight </w:t>
      </w:r>
    </w:p>
    <w:p w14:paraId="5DBF8D4D" w14:textId="77777777" w:rsidR="00CE197C" w:rsidRPr="00CE5D60" w:rsidRDefault="00CE197C" w:rsidP="00CE5D60">
      <w:pPr>
        <w:pStyle w:val="ListParagraph"/>
        <w:spacing w:line="276" w:lineRule="auto"/>
      </w:pPr>
    </w:p>
    <w:p w14:paraId="70674715" w14:textId="12278EF8" w:rsidR="00C314FE" w:rsidRDefault="00D5124E" w:rsidP="00C314FE">
      <w:pPr>
        <w:pStyle w:val="ListParagraph"/>
        <w:numPr>
          <w:ilvl w:val="0"/>
          <w:numId w:val="15"/>
        </w:numPr>
        <w:spacing w:after="160" w:line="276" w:lineRule="auto"/>
      </w:pPr>
      <w:r>
        <w:t xml:space="preserve">Have a </w:t>
      </w:r>
      <w:proofErr w:type="spellStart"/>
      <w:r>
        <w:t>Motherisk</w:t>
      </w:r>
      <w:proofErr w:type="spellEnd"/>
      <w:r>
        <w:t xml:space="preserve"> PUQE-24 score 7 or greater </w:t>
      </w:r>
      <w:r w:rsidR="00C314FE">
        <w:t>(see Table 1):</w:t>
      </w:r>
    </w:p>
    <w:p w14:paraId="12A4754C" w14:textId="77777777" w:rsidR="00C314FE" w:rsidRDefault="00C314FE" w:rsidP="00C314FE">
      <w:pPr>
        <w:pStyle w:val="ListParagraph"/>
        <w:spacing w:after="160" w:line="276" w:lineRule="auto"/>
      </w:pPr>
    </w:p>
    <w:p w14:paraId="27743026" w14:textId="0FF67792" w:rsidR="00C314FE" w:rsidRDefault="00C314FE" w:rsidP="00C314FE">
      <w:pPr>
        <w:spacing w:after="160" w:line="276" w:lineRule="auto"/>
      </w:pPr>
      <w:r>
        <w:t xml:space="preserve">Table 1 - </w:t>
      </w:r>
      <w:proofErr w:type="spellStart"/>
      <w:r w:rsidRPr="00C314FE">
        <w:t>Motherisk</w:t>
      </w:r>
      <w:proofErr w:type="spellEnd"/>
      <w:r w:rsidRPr="00C314FE">
        <w:t xml:space="preserve"> PUQE-24 </w:t>
      </w:r>
      <w:r>
        <w:t>s</w:t>
      </w:r>
      <w:r w:rsidRPr="00C314FE">
        <w:t>coring system</w:t>
      </w:r>
      <w:r>
        <w:t xml:space="preserve"> and interpretation </w:t>
      </w:r>
      <w:r w:rsidR="00E77721" w:rsidRPr="00E77721">
        <w:rPr>
          <w:vertAlign w:val="superscript"/>
        </w:rPr>
        <w:t>1</w:t>
      </w:r>
    </w:p>
    <w:tbl>
      <w:tblPr>
        <w:tblW w:w="0" w:type="auto"/>
        <w:tblInd w:w="-5" w:type="dxa"/>
        <w:tblBorders>
          <w:top w:val="nil"/>
          <w:left w:val="nil"/>
          <w:bottom w:val="nil"/>
          <w:right w:val="nil"/>
        </w:tblBorders>
        <w:tblLayout w:type="fixed"/>
        <w:tblLook w:val="0000" w:firstRow="0" w:lastRow="0" w:firstColumn="0" w:lastColumn="0" w:noHBand="0" w:noVBand="0"/>
      </w:tblPr>
      <w:tblGrid>
        <w:gridCol w:w="1638"/>
        <w:gridCol w:w="1741"/>
        <w:gridCol w:w="1741"/>
        <w:gridCol w:w="1741"/>
        <w:gridCol w:w="1745"/>
      </w:tblGrid>
      <w:tr w:rsidR="00C314FE" w:rsidRPr="00975AA4" w14:paraId="5613E403" w14:textId="77777777" w:rsidTr="00226FA2">
        <w:trPr>
          <w:trHeight w:val="110"/>
        </w:trPr>
        <w:tc>
          <w:tcPr>
            <w:tcW w:w="8606" w:type="dxa"/>
            <w:gridSpan w:val="5"/>
            <w:tcBorders>
              <w:top w:val="single" w:sz="4" w:space="0" w:color="auto"/>
              <w:left w:val="single" w:sz="4" w:space="0" w:color="auto"/>
              <w:bottom w:val="single" w:sz="4" w:space="0" w:color="auto"/>
              <w:right w:val="single" w:sz="4" w:space="0" w:color="auto"/>
            </w:tcBorders>
            <w:shd w:val="clear" w:color="auto" w:fill="FF99FF"/>
          </w:tcPr>
          <w:p w14:paraId="651AF41D" w14:textId="77777777" w:rsidR="00C314FE" w:rsidRPr="00975AA4"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1. In the last 24 hours, for how long have you felt nauseated or sick to your stomach? </w:t>
            </w:r>
          </w:p>
        </w:tc>
      </w:tr>
      <w:tr w:rsidR="00C314FE" w:rsidRPr="0005567F" w14:paraId="6E67A8DB" w14:textId="77777777" w:rsidTr="00226FA2">
        <w:trPr>
          <w:trHeight w:val="312"/>
        </w:trPr>
        <w:tc>
          <w:tcPr>
            <w:tcW w:w="1638" w:type="dxa"/>
            <w:tcBorders>
              <w:top w:val="single" w:sz="4" w:space="0" w:color="auto"/>
              <w:left w:val="single" w:sz="4" w:space="0" w:color="auto"/>
              <w:bottom w:val="single" w:sz="4" w:space="0" w:color="auto"/>
              <w:right w:val="single" w:sz="4" w:space="0" w:color="auto"/>
            </w:tcBorders>
            <w:shd w:val="clear" w:color="auto" w:fill="FFEFFF"/>
          </w:tcPr>
          <w:p w14:paraId="541F1B02" w14:textId="77777777" w:rsidR="00C314FE" w:rsidRPr="00975AA4"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Not at all </w:t>
            </w:r>
          </w:p>
          <w:p w14:paraId="485C0659" w14:textId="77777777" w:rsidR="00C314FE" w:rsidRPr="00975AA4"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(1) </w:t>
            </w:r>
          </w:p>
        </w:tc>
        <w:tc>
          <w:tcPr>
            <w:tcW w:w="1741" w:type="dxa"/>
            <w:tcBorders>
              <w:top w:val="single" w:sz="4" w:space="0" w:color="auto"/>
              <w:left w:val="single" w:sz="4" w:space="0" w:color="auto"/>
              <w:bottom w:val="single" w:sz="4" w:space="0" w:color="auto"/>
              <w:right w:val="single" w:sz="4" w:space="0" w:color="auto"/>
            </w:tcBorders>
            <w:shd w:val="clear" w:color="auto" w:fill="FFEFFF"/>
          </w:tcPr>
          <w:p w14:paraId="0D6C7062" w14:textId="77777777" w:rsidR="00C314FE" w:rsidRPr="00975AA4"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1 hour or less </w:t>
            </w:r>
          </w:p>
          <w:p w14:paraId="1420103C" w14:textId="77777777" w:rsidR="00C314FE" w:rsidRPr="00975AA4"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(2) </w:t>
            </w:r>
          </w:p>
        </w:tc>
        <w:tc>
          <w:tcPr>
            <w:tcW w:w="1741" w:type="dxa"/>
            <w:tcBorders>
              <w:top w:val="single" w:sz="4" w:space="0" w:color="auto"/>
              <w:left w:val="single" w:sz="4" w:space="0" w:color="auto"/>
              <w:bottom w:val="single" w:sz="4" w:space="0" w:color="auto"/>
              <w:right w:val="single" w:sz="4" w:space="0" w:color="auto"/>
            </w:tcBorders>
            <w:shd w:val="clear" w:color="auto" w:fill="FFEFFF"/>
          </w:tcPr>
          <w:p w14:paraId="2D1B7CDA" w14:textId="77777777" w:rsidR="00C314FE" w:rsidRPr="00975AA4"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2-3 hours </w:t>
            </w:r>
          </w:p>
          <w:p w14:paraId="129193BC" w14:textId="77777777" w:rsidR="00C314FE" w:rsidRPr="00975AA4"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(3) </w:t>
            </w:r>
          </w:p>
        </w:tc>
        <w:tc>
          <w:tcPr>
            <w:tcW w:w="1741" w:type="dxa"/>
            <w:tcBorders>
              <w:top w:val="single" w:sz="4" w:space="0" w:color="auto"/>
              <w:left w:val="single" w:sz="4" w:space="0" w:color="auto"/>
              <w:bottom w:val="single" w:sz="4" w:space="0" w:color="auto"/>
              <w:right w:val="single" w:sz="4" w:space="0" w:color="auto"/>
            </w:tcBorders>
            <w:shd w:val="clear" w:color="auto" w:fill="FFEFFF"/>
          </w:tcPr>
          <w:p w14:paraId="75DD5348" w14:textId="77777777" w:rsidR="00C314FE" w:rsidRPr="00975AA4"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4 to 6 hours </w:t>
            </w:r>
          </w:p>
          <w:p w14:paraId="46D0F601" w14:textId="77777777" w:rsidR="00C314FE" w:rsidRPr="00975AA4"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(4) </w:t>
            </w:r>
          </w:p>
        </w:tc>
        <w:tc>
          <w:tcPr>
            <w:tcW w:w="1745" w:type="dxa"/>
            <w:tcBorders>
              <w:top w:val="single" w:sz="4" w:space="0" w:color="auto"/>
              <w:left w:val="single" w:sz="4" w:space="0" w:color="auto"/>
              <w:bottom w:val="single" w:sz="4" w:space="0" w:color="auto"/>
              <w:right w:val="single" w:sz="4" w:space="0" w:color="auto"/>
            </w:tcBorders>
            <w:shd w:val="clear" w:color="auto" w:fill="FFEFFF"/>
          </w:tcPr>
          <w:p w14:paraId="597A6026" w14:textId="77777777" w:rsidR="00C314FE" w:rsidRPr="00975AA4"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More than 6 hours </w:t>
            </w:r>
          </w:p>
          <w:p w14:paraId="46C77F33" w14:textId="77777777" w:rsidR="00C314FE" w:rsidRPr="00975AA4"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(5) </w:t>
            </w:r>
          </w:p>
        </w:tc>
      </w:tr>
      <w:tr w:rsidR="00C314FE" w:rsidRPr="00975AA4" w14:paraId="55F802E5" w14:textId="77777777" w:rsidTr="00226FA2">
        <w:trPr>
          <w:trHeight w:val="110"/>
        </w:trPr>
        <w:tc>
          <w:tcPr>
            <w:tcW w:w="8606" w:type="dxa"/>
            <w:gridSpan w:val="5"/>
            <w:tcBorders>
              <w:top w:val="single" w:sz="4" w:space="0" w:color="auto"/>
              <w:left w:val="single" w:sz="4" w:space="0" w:color="auto"/>
              <w:bottom w:val="single" w:sz="4" w:space="0" w:color="auto"/>
              <w:right w:val="single" w:sz="4" w:space="0" w:color="auto"/>
            </w:tcBorders>
            <w:shd w:val="clear" w:color="auto" w:fill="FF99FF"/>
          </w:tcPr>
          <w:p w14:paraId="19C5D7E4" w14:textId="77777777" w:rsidR="00C314FE" w:rsidRPr="00975AA4"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2. In the last 24 hours, have you vomited or thrown up? </w:t>
            </w:r>
          </w:p>
        </w:tc>
      </w:tr>
      <w:tr w:rsidR="00C314FE" w:rsidRPr="0005567F" w14:paraId="156E14D2" w14:textId="77777777" w:rsidTr="00226FA2">
        <w:trPr>
          <w:trHeight w:val="312"/>
        </w:trPr>
        <w:tc>
          <w:tcPr>
            <w:tcW w:w="1638" w:type="dxa"/>
            <w:tcBorders>
              <w:top w:val="single" w:sz="4" w:space="0" w:color="auto"/>
              <w:left w:val="single" w:sz="4" w:space="0" w:color="auto"/>
              <w:bottom w:val="single" w:sz="4" w:space="0" w:color="auto"/>
              <w:right w:val="single" w:sz="4" w:space="0" w:color="auto"/>
            </w:tcBorders>
            <w:shd w:val="clear" w:color="auto" w:fill="FFEFFF"/>
          </w:tcPr>
          <w:p w14:paraId="2693E675" w14:textId="77777777" w:rsidR="00C314FE" w:rsidRPr="00975AA4"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I did not throw up </w:t>
            </w:r>
          </w:p>
          <w:p w14:paraId="12FCD320" w14:textId="77777777" w:rsidR="00C314FE" w:rsidRPr="0005567F"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(1) </w:t>
            </w:r>
          </w:p>
          <w:p w14:paraId="083C2415" w14:textId="77777777" w:rsidR="00C314FE" w:rsidRPr="00975AA4" w:rsidRDefault="00C314FE" w:rsidP="00226FA2">
            <w:pPr>
              <w:autoSpaceDE w:val="0"/>
              <w:autoSpaceDN w:val="0"/>
              <w:adjustRightInd w:val="0"/>
              <w:rPr>
                <w:rFonts w:eastAsiaTheme="minorHAnsi" w:cs="Calibri"/>
                <w:color w:val="000000"/>
                <w:sz w:val="20"/>
              </w:rPr>
            </w:pPr>
          </w:p>
        </w:tc>
        <w:tc>
          <w:tcPr>
            <w:tcW w:w="1741" w:type="dxa"/>
            <w:tcBorders>
              <w:top w:val="single" w:sz="4" w:space="0" w:color="auto"/>
              <w:left w:val="single" w:sz="4" w:space="0" w:color="auto"/>
              <w:bottom w:val="single" w:sz="4" w:space="0" w:color="auto"/>
              <w:right w:val="single" w:sz="4" w:space="0" w:color="auto"/>
            </w:tcBorders>
            <w:shd w:val="clear" w:color="auto" w:fill="FFEFFF"/>
          </w:tcPr>
          <w:p w14:paraId="0640E89D" w14:textId="77777777" w:rsidR="00C314FE" w:rsidRPr="00975AA4"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1 to 2 </w:t>
            </w:r>
          </w:p>
          <w:p w14:paraId="03287E3E" w14:textId="77777777" w:rsidR="00C314FE" w:rsidRPr="00975AA4"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(2) </w:t>
            </w:r>
          </w:p>
        </w:tc>
        <w:tc>
          <w:tcPr>
            <w:tcW w:w="1741" w:type="dxa"/>
            <w:tcBorders>
              <w:top w:val="single" w:sz="4" w:space="0" w:color="auto"/>
              <w:left w:val="single" w:sz="4" w:space="0" w:color="auto"/>
              <w:bottom w:val="single" w:sz="4" w:space="0" w:color="auto"/>
              <w:right w:val="single" w:sz="4" w:space="0" w:color="auto"/>
            </w:tcBorders>
            <w:shd w:val="clear" w:color="auto" w:fill="FFEFFF"/>
          </w:tcPr>
          <w:p w14:paraId="437FD4A2" w14:textId="77777777" w:rsidR="00C314FE" w:rsidRPr="00975AA4"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3 to 4 </w:t>
            </w:r>
          </w:p>
          <w:p w14:paraId="1A0D28F7" w14:textId="77777777" w:rsidR="00C314FE" w:rsidRPr="00975AA4"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(3) </w:t>
            </w:r>
          </w:p>
        </w:tc>
        <w:tc>
          <w:tcPr>
            <w:tcW w:w="1741" w:type="dxa"/>
            <w:tcBorders>
              <w:top w:val="single" w:sz="4" w:space="0" w:color="auto"/>
              <w:left w:val="single" w:sz="4" w:space="0" w:color="auto"/>
              <w:bottom w:val="single" w:sz="4" w:space="0" w:color="auto"/>
              <w:right w:val="single" w:sz="4" w:space="0" w:color="auto"/>
            </w:tcBorders>
            <w:shd w:val="clear" w:color="auto" w:fill="FFEFFF"/>
          </w:tcPr>
          <w:p w14:paraId="05E95B9C" w14:textId="77777777" w:rsidR="00C314FE" w:rsidRPr="00975AA4"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5 to 6 </w:t>
            </w:r>
          </w:p>
          <w:p w14:paraId="646C14E9" w14:textId="77777777" w:rsidR="00C314FE" w:rsidRPr="00975AA4"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(4) </w:t>
            </w:r>
          </w:p>
        </w:tc>
        <w:tc>
          <w:tcPr>
            <w:tcW w:w="1745" w:type="dxa"/>
            <w:tcBorders>
              <w:top w:val="single" w:sz="4" w:space="0" w:color="auto"/>
              <w:left w:val="single" w:sz="4" w:space="0" w:color="auto"/>
              <w:bottom w:val="single" w:sz="4" w:space="0" w:color="auto"/>
              <w:right w:val="single" w:sz="4" w:space="0" w:color="auto"/>
            </w:tcBorders>
            <w:shd w:val="clear" w:color="auto" w:fill="FFEFFF"/>
          </w:tcPr>
          <w:p w14:paraId="216B130D" w14:textId="77777777" w:rsidR="00C314FE" w:rsidRPr="00975AA4"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7 or more times </w:t>
            </w:r>
          </w:p>
          <w:p w14:paraId="23C69C7C" w14:textId="77777777" w:rsidR="00C314FE" w:rsidRPr="00975AA4"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(5) </w:t>
            </w:r>
          </w:p>
        </w:tc>
      </w:tr>
      <w:tr w:rsidR="00C314FE" w:rsidRPr="00975AA4" w14:paraId="0D36BEF7" w14:textId="77777777" w:rsidTr="00226FA2">
        <w:trPr>
          <w:trHeight w:val="110"/>
        </w:trPr>
        <w:tc>
          <w:tcPr>
            <w:tcW w:w="8606" w:type="dxa"/>
            <w:gridSpan w:val="5"/>
            <w:tcBorders>
              <w:top w:val="single" w:sz="4" w:space="0" w:color="auto"/>
              <w:left w:val="single" w:sz="4" w:space="0" w:color="auto"/>
              <w:bottom w:val="single" w:sz="4" w:space="0" w:color="auto"/>
              <w:right w:val="single" w:sz="4" w:space="0" w:color="auto"/>
            </w:tcBorders>
            <w:shd w:val="clear" w:color="auto" w:fill="FF99FF"/>
          </w:tcPr>
          <w:p w14:paraId="3B21729D" w14:textId="77777777" w:rsidR="00C314FE" w:rsidRPr="00975AA4"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3. In the last 24 hours, how many times have you had retching or dry heaves without throwing up? </w:t>
            </w:r>
          </w:p>
        </w:tc>
      </w:tr>
      <w:tr w:rsidR="00C314FE" w:rsidRPr="0005567F" w14:paraId="5625634D" w14:textId="77777777" w:rsidTr="00226FA2">
        <w:trPr>
          <w:trHeight w:val="312"/>
        </w:trPr>
        <w:tc>
          <w:tcPr>
            <w:tcW w:w="1638" w:type="dxa"/>
            <w:tcBorders>
              <w:top w:val="single" w:sz="4" w:space="0" w:color="auto"/>
              <w:left w:val="single" w:sz="4" w:space="0" w:color="auto"/>
              <w:bottom w:val="single" w:sz="4" w:space="0" w:color="auto"/>
              <w:right w:val="single" w:sz="4" w:space="0" w:color="auto"/>
            </w:tcBorders>
            <w:shd w:val="clear" w:color="auto" w:fill="FFEFFF"/>
          </w:tcPr>
          <w:p w14:paraId="0848B99D" w14:textId="77777777" w:rsidR="00C314FE" w:rsidRPr="00975AA4"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None </w:t>
            </w:r>
          </w:p>
          <w:p w14:paraId="69057222" w14:textId="77777777" w:rsidR="00C314FE" w:rsidRPr="0005567F"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(1) </w:t>
            </w:r>
          </w:p>
          <w:p w14:paraId="10F861BD" w14:textId="77777777" w:rsidR="00C314FE" w:rsidRPr="00975AA4" w:rsidRDefault="00C314FE" w:rsidP="00226FA2">
            <w:pPr>
              <w:autoSpaceDE w:val="0"/>
              <w:autoSpaceDN w:val="0"/>
              <w:adjustRightInd w:val="0"/>
              <w:rPr>
                <w:rFonts w:eastAsiaTheme="minorHAnsi" w:cs="Calibri"/>
                <w:color w:val="000000"/>
                <w:sz w:val="20"/>
              </w:rPr>
            </w:pPr>
          </w:p>
        </w:tc>
        <w:tc>
          <w:tcPr>
            <w:tcW w:w="1741" w:type="dxa"/>
            <w:tcBorders>
              <w:top w:val="single" w:sz="4" w:space="0" w:color="auto"/>
              <w:left w:val="single" w:sz="4" w:space="0" w:color="auto"/>
              <w:bottom w:val="single" w:sz="4" w:space="0" w:color="auto"/>
              <w:right w:val="single" w:sz="4" w:space="0" w:color="auto"/>
            </w:tcBorders>
            <w:shd w:val="clear" w:color="auto" w:fill="FFEFFF"/>
          </w:tcPr>
          <w:p w14:paraId="23CA4BE8" w14:textId="77777777" w:rsidR="00C314FE" w:rsidRPr="00975AA4"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1 to 2 </w:t>
            </w:r>
          </w:p>
          <w:p w14:paraId="22CEB842" w14:textId="77777777" w:rsidR="00C314FE" w:rsidRPr="00975AA4"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(2) </w:t>
            </w:r>
          </w:p>
        </w:tc>
        <w:tc>
          <w:tcPr>
            <w:tcW w:w="1741" w:type="dxa"/>
            <w:tcBorders>
              <w:top w:val="single" w:sz="4" w:space="0" w:color="auto"/>
              <w:left w:val="single" w:sz="4" w:space="0" w:color="auto"/>
              <w:bottom w:val="single" w:sz="4" w:space="0" w:color="auto"/>
              <w:right w:val="single" w:sz="4" w:space="0" w:color="auto"/>
            </w:tcBorders>
            <w:shd w:val="clear" w:color="auto" w:fill="FFEFFF"/>
          </w:tcPr>
          <w:p w14:paraId="6F7F7F8F" w14:textId="77777777" w:rsidR="00C314FE" w:rsidRPr="00975AA4"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3 to 4 </w:t>
            </w:r>
          </w:p>
          <w:p w14:paraId="094D8B03" w14:textId="77777777" w:rsidR="00C314FE" w:rsidRPr="00975AA4"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(3) </w:t>
            </w:r>
          </w:p>
        </w:tc>
        <w:tc>
          <w:tcPr>
            <w:tcW w:w="1741" w:type="dxa"/>
            <w:tcBorders>
              <w:top w:val="single" w:sz="4" w:space="0" w:color="auto"/>
              <w:left w:val="single" w:sz="4" w:space="0" w:color="auto"/>
              <w:bottom w:val="single" w:sz="4" w:space="0" w:color="auto"/>
              <w:right w:val="single" w:sz="4" w:space="0" w:color="auto"/>
            </w:tcBorders>
            <w:shd w:val="clear" w:color="auto" w:fill="FFEFFF"/>
          </w:tcPr>
          <w:p w14:paraId="7EDAA184" w14:textId="77777777" w:rsidR="00C314FE" w:rsidRPr="00975AA4"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5 to 6 </w:t>
            </w:r>
          </w:p>
          <w:p w14:paraId="24734455" w14:textId="77777777" w:rsidR="00C314FE" w:rsidRPr="00975AA4"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(4) </w:t>
            </w:r>
          </w:p>
        </w:tc>
        <w:tc>
          <w:tcPr>
            <w:tcW w:w="1745" w:type="dxa"/>
            <w:tcBorders>
              <w:top w:val="single" w:sz="4" w:space="0" w:color="auto"/>
              <w:left w:val="single" w:sz="4" w:space="0" w:color="auto"/>
              <w:bottom w:val="single" w:sz="4" w:space="0" w:color="auto"/>
              <w:right w:val="single" w:sz="4" w:space="0" w:color="auto"/>
            </w:tcBorders>
            <w:shd w:val="clear" w:color="auto" w:fill="FFEFFF"/>
          </w:tcPr>
          <w:p w14:paraId="7511429F" w14:textId="77777777" w:rsidR="00C314FE" w:rsidRPr="00975AA4"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7 or more times </w:t>
            </w:r>
          </w:p>
          <w:p w14:paraId="3235D47C" w14:textId="77777777" w:rsidR="00C314FE" w:rsidRPr="00975AA4" w:rsidRDefault="00C314FE" w:rsidP="00226FA2">
            <w:pPr>
              <w:autoSpaceDE w:val="0"/>
              <w:autoSpaceDN w:val="0"/>
              <w:adjustRightInd w:val="0"/>
              <w:rPr>
                <w:rFonts w:eastAsiaTheme="minorHAnsi" w:cs="Calibri"/>
                <w:color w:val="000000"/>
                <w:sz w:val="20"/>
              </w:rPr>
            </w:pPr>
            <w:r w:rsidRPr="00975AA4">
              <w:rPr>
                <w:rFonts w:eastAsiaTheme="minorHAnsi" w:cs="Calibri"/>
                <w:color w:val="000000"/>
                <w:sz w:val="20"/>
              </w:rPr>
              <w:t xml:space="preserve">(5) </w:t>
            </w:r>
          </w:p>
        </w:tc>
      </w:tr>
    </w:tbl>
    <w:p w14:paraId="2C344ED9" w14:textId="5685DCA8" w:rsidR="00C314FE" w:rsidRPr="00C314FE" w:rsidRDefault="00C314FE" w:rsidP="00C314FE">
      <w:pPr>
        <w:rPr>
          <w:rFonts w:cs="Arial"/>
          <w:iCs/>
          <w:szCs w:val="24"/>
        </w:rPr>
      </w:pPr>
      <w:r w:rsidRPr="005F3343">
        <w:rPr>
          <w:rFonts w:cs="Arial"/>
          <w:iCs/>
          <w:szCs w:val="24"/>
        </w:rPr>
        <w:t>(scores in brackets)</w:t>
      </w:r>
    </w:p>
    <w:p w14:paraId="6DC1A7EE" w14:textId="77777777" w:rsidR="00C314FE" w:rsidRPr="005F3343" w:rsidRDefault="00C314FE" w:rsidP="00C314FE">
      <w:pPr>
        <w:autoSpaceDE w:val="0"/>
        <w:autoSpaceDN w:val="0"/>
        <w:adjustRightInd w:val="0"/>
        <w:rPr>
          <w:rFonts w:asciiTheme="minorHAnsi" w:eastAsiaTheme="minorHAnsi" w:hAnsiTheme="minorHAnsi" w:cstheme="minorHAnsi"/>
          <w:szCs w:val="24"/>
        </w:rPr>
      </w:pPr>
    </w:p>
    <w:tbl>
      <w:tblPr>
        <w:tblStyle w:val="TableGrid"/>
        <w:tblW w:w="0" w:type="auto"/>
        <w:tblLook w:val="04A0" w:firstRow="1" w:lastRow="0" w:firstColumn="1" w:lastColumn="0" w:noHBand="0" w:noVBand="1"/>
      </w:tblPr>
      <w:tblGrid>
        <w:gridCol w:w="2122"/>
        <w:gridCol w:w="2976"/>
      </w:tblGrid>
      <w:tr w:rsidR="00C314FE" w:rsidRPr="005F3343" w14:paraId="1932E07E" w14:textId="77777777" w:rsidTr="00226FA2">
        <w:tc>
          <w:tcPr>
            <w:tcW w:w="2122" w:type="dxa"/>
            <w:shd w:val="clear" w:color="auto" w:fill="FF99FF"/>
          </w:tcPr>
          <w:p w14:paraId="39545224" w14:textId="77777777" w:rsidR="00C314FE" w:rsidRPr="005F3343" w:rsidRDefault="00C314FE" w:rsidP="00226FA2">
            <w:pPr>
              <w:autoSpaceDE w:val="0"/>
              <w:autoSpaceDN w:val="0"/>
              <w:adjustRightInd w:val="0"/>
              <w:rPr>
                <w:rFonts w:asciiTheme="minorHAnsi" w:eastAsiaTheme="minorHAnsi" w:hAnsiTheme="minorHAnsi" w:cstheme="minorHAnsi"/>
                <w:sz w:val="20"/>
              </w:rPr>
            </w:pPr>
            <w:r w:rsidRPr="005F3343">
              <w:rPr>
                <w:rFonts w:asciiTheme="minorHAnsi" w:eastAsiaTheme="minorHAnsi" w:hAnsiTheme="minorHAnsi" w:cstheme="minorHAnsi"/>
                <w:sz w:val="20"/>
              </w:rPr>
              <w:t>Mild</w:t>
            </w:r>
          </w:p>
        </w:tc>
        <w:tc>
          <w:tcPr>
            <w:tcW w:w="2976" w:type="dxa"/>
            <w:shd w:val="clear" w:color="auto" w:fill="FFEFFF"/>
          </w:tcPr>
          <w:p w14:paraId="72E01281" w14:textId="77777777" w:rsidR="00C314FE" w:rsidRPr="005F3343" w:rsidRDefault="00C314FE" w:rsidP="00226FA2">
            <w:pPr>
              <w:autoSpaceDE w:val="0"/>
              <w:autoSpaceDN w:val="0"/>
              <w:adjustRightInd w:val="0"/>
              <w:rPr>
                <w:rFonts w:asciiTheme="minorHAnsi" w:eastAsiaTheme="minorHAnsi" w:hAnsiTheme="minorHAnsi" w:cstheme="minorHAnsi"/>
                <w:sz w:val="20"/>
              </w:rPr>
            </w:pPr>
            <w:r w:rsidRPr="005F3343">
              <w:rPr>
                <w:rFonts w:asciiTheme="minorHAnsi" w:eastAsiaTheme="minorHAnsi" w:hAnsiTheme="minorHAnsi" w:cstheme="minorHAnsi"/>
                <w:sz w:val="20"/>
              </w:rPr>
              <w:t>Women with NVP score 4-6</w:t>
            </w:r>
          </w:p>
        </w:tc>
      </w:tr>
      <w:tr w:rsidR="00C314FE" w:rsidRPr="005F3343" w14:paraId="54AAA691" w14:textId="77777777" w:rsidTr="00226FA2">
        <w:tc>
          <w:tcPr>
            <w:tcW w:w="2122" w:type="dxa"/>
            <w:shd w:val="clear" w:color="auto" w:fill="FF99FF"/>
          </w:tcPr>
          <w:p w14:paraId="4FDAFE8A" w14:textId="77777777" w:rsidR="00C314FE" w:rsidRPr="005F3343" w:rsidRDefault="00C314FE" w:rsidP="00226FA2">
            <w:pPr>
              <w:autoSpaceDE w:val="0"/>
              <w:autoSpaceDN w:val="0"/>
              <w:adjustRightInd w:val="0"/>
              <w:rPr>
                <w:rFonts w:asciiTheme="minorHAnsi" w:eastAsiaTheme="minorHAnsi" w:hAnsiTheme="minorHAnsi" w:cstheme="minorHAnsi"/>
                <w:sz w:val="20"/>
              </w:rPr>
            </w:pPr>
            <w:r w:rsidRPr="005F3343">
              <w:rPr>
                <w:rFonts w:asciiTheme="minorHAnsi" w:eastAsiaTheme="minorHAnsi" w:hAnsiTheme="minorHAnsi" w:cstheme="minorHAnsi"/>
                <w:sz w:val="20"/>
              </w:rPr>
              <w:t>Moderate</w:t>
            </w:r>
          </w:p>
        </w:tc>
        <w:tc>
          <w:tcPr>
            <w:tcW w:w="2976" w:type="dxa"/>
            <w:shd w:val="clear" w:color="auto" w:fill="FFEFFF"/>
          </w:tcPr>
          <w:p w14:paraId="1F63D9E3" w14:textId="77777777" w:rsidR="00C314FE" w:rsidRPr="005F3343" w:rsidRDefault="00C314FE" w:rsidP="00226FA2">
            <w:pPr>
              <w:autoSpaceDE w:val="0"/>
              <w:autoSpaceDN w:val="0"/>
              <w:adjustRightInd w:val="0"/>
              <w:rPr>
                <w:rFonts w:asciiTheme="minorHAnsi" w:eastAsiaTheme="minorHAnsi" w:hAnsiTheme="minorHAnsi" w:cstheme="minorHAnsi"/>
                <w:sz w:val="20"/>
              </w:rPr>
            </w:pPr>
            <w:r w:rsidRPr="005F3343">
              <w:rPr>
                <w:rFonts w:asciiTheme="minorHAnsi" w:eastAsiaTheme="minorHAnsi" w:hAnsiTheme="minorHAnsi" w:cstheme="minorHAnsi"/>
                <w:sz w:val="20"/>
              </w:rPr>
              <w:t>Women with NVP score 7-12</w:t>
            </w:r>
          </w:p>
        </w:tc>
      </w:tr>
      <w:tr w:rsidR="00C314FE" w:rsidRPr="005F3343" w14:paraId="1A3469A8" w14:textId="77777777" w:rsidTr="00226FA2">
        <w:tc>
          <w:tcPr>
            <w:tcW w:w="2122" w:type="dxa"/>
            <w:shd w:val="clear" w:color="auto" w:fill="FF99FF"/>
          </w:tcPr>
          <w:p w14:paraId="31C4DEFF" w14:textId="77777777" w:rsidR="00C314FE" w:rsidRPr="005F3343" w:rsidRDefault="00C314FE" w:rsidP="00226FA2">
            <w:pPr>
              <w:autoSpaceDE w:val="0"/>
              <w:autoSpaceDN w:val="0"/>
              <w:adjustRightInd w:val="0"/>
              <w:rPr>
                <w:rFonts w:asciiTheme="minorHAnsi" w:eastAsiaTheme="minorHAnsi" w:hAnsiTheme="minorHAnsi" w:cstheme="minorHAnsi"/>
                <w:sz w:val="20"/>
              </w:rPr>
            </w:pPr>
            <w:r w:rsidRPr="005F3343">
              <w:rPr>
                <w:rFonts w:asciiTheme="minorHAnsi" w:eastAsiaTheme="minorHAnsi" w:hAnsiTheme="minorHAnsi" w:cstheme="minorHAnsi"/>
                <w:sz w:val="20"/>
              </w:rPr>
              <w:t>Severe</w:t>
            </w:r>
          </w:p>
        </w:tc>
        <w:tc>
          <w:tcPr>
            <w:tcW w:w="2976" w:type="dxa"/>
            <w:shd w:val="clear" w:color="auto" w:fill="FFEFFF"/>
          </w:tcPr>
          <w:p w14:paraId="68AB99B3" w14:textId="77777777" w:rsidR="00C314FE" w:rsidRPr="005F3343" w:rsidRDefault="00C314FE" w:rsidP="00226FA2">
            <w:pPr>
              <w:autoSpaceDE w:val="0"/>
              <w:autoSpaceDN w:val="0"/>
              <w:adjustRightInd w:val="0"/>
              <w:rPr>
                <w:rFonts w:asciiTheme="minorHAnsi" w:eastAsiaTheme="minorHAnsi" w:hAnsiTheme="minorHAnsi" w:cstheme="minorHAnsi"/>
                <w:sz w:val="20"/>
              </w:rPr>
            </w:pPr>
            <w:r w:rsidRPr="005F3343">
              <w:rPr>
                <w:rFonts w:asciiTheme="minorHAnsi" w:eastAsiaTheme="minorHAnsi" w:hAnsiTheme="minorHAnsi" w:cstheme="minorHAnsi"/>
                <w:sz w:val="20"/>
              </w:rPr>
              <w:t>Women with NVP score &gt;13-15</w:t>
            </w:r>
          </w:p>
        </w:tc>
      </w:tr>
    </w:tbl>
    <w:p w14:paraId="588D316A" w14:textId="6F3691CC" w:rsidR="00C314FE" w:rsidRDefault="00C314FE" w:rsidP="00E77721"/>
    <w:p w14:paraId="5FB19FFB" w14:textId="5181A1CF" w:rsidR="009D3951" w:rsidRDefault="00D5124E" w:rsidP="00E77721">
      <w:r>
        <w:t xml:space="preserve">Women who do not meet </w:t>
      </w:r>
      <w:r w:rsidR="001429A4">
        <w:t xml:space="preserve">the above </w:t>
      </w:r>
      <w:r>
        <w:t>criteria will not be admitted to HITH</w:t>
      </w:r>
      <w:r w:rsidR="00DE06C9">
        <w:t xml:space="preserve"> and can be managed by community antenatal care providers.</w:t>
      </w:r>
      <w:bookmarkEnd w:id="19"/>
    </w:p>
    <w:p w14:paraId="23F44B44" w14:textId="5F14D440" w:rsidR="008D722E" w:rsidRPr="00F45509" w:rsidRDefault="00F45509" w:rsidP="00E77721">
      <w:r w:rsidRPr="00F45509">
        <w:t xml:space="preserve">In unusual circumstances some women may not meet </w:t>
      </w:r>
      <w:proofErr w:type="gramStart"/>
      <w:r w:rsidRPr="00F45509">
        <w:t>criteria</w:t>
      </w:r>
      <w:proofErr w:type="gramEnd"/>
      <w:r w:rsidRPr="00F45509">
        <w:t xml:space="preserve"> however, still require admission – please discuss referral with HITH medical team.</w:t>
      </w:r>
    </w:p>
    <w:p w14:paraId="61F99008" w14:textId="12825AA0" w:rsidR="00F45509" w:rsidRPr="007367B8" w:rsidRDefault="00F45509" w:rsidP="00E77721"/>
    <w:p w14:paraId="2F51A8A0" w14:textId="77777777" w:rsidR="007B6904" w:rsidRDefault="00E5521D"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A1"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A3" w14:textId="77777777" w:rsidTr="0074223E">
        <w:trPr>
          <w:cantSplit/>
          <w:trHeight w:val="285"/>
        </w:trPr>
        <w:tc>
          <w:tcPr>
            <w:tcW w:w="9158" w:type="dxa"/>
            <w:shd w:val="clear" w:color="auto" w:fill="A6A6A6" w:themeFill="background1" w:themeFillShade="A6"/>
          </w:tcPr>
          <w:p w14:paraId="2F51A8A2" w14:textId="28B3AB22" w:rsidR="007B6904" w:rsidRPr="003D2D06" w:rsidRDefault="00962C46" w:rsidP="004213C3">
            <w:pPr>
              <w:pStyle w:val="Heading1"/>
            </w:pPr>
            <w:bookmarkStart w:id="21" w:name="_Toc389473284"/>
            <w:bookmarkStart w:id="22" w:name="_Hlk96343568"/>
            <w:bookmarkStart w:id="23" w:name="_Toc109996410"/>
            <w:r>
              <w:t xml:space="preserve">Section </w:t>
            </w:r>
            <w:r w:rsidR="005D00A5">
              <w:t>3</w:t>
            </w:r>
            <w:r w:rsidR="007B6904" w:rsidRPr="003D2D06">
              <w:t xml:space="preserve"> – </w:t>
            </w:r>
            <w:bookmarkEnd w:id="21"/>
            <w:r w:rsidR="005D00A5">
              <w:t xml:space="preserve">HITH </w:t>
            </w:r>
            <w:r w:rsidR="00474535">
              <w:t>Referral</w:t>
            </w:r>
            <w:bookmarkEnd w:id="23"/>
          </w:p>
        </w:tc>
      </w:tr>
      <w:bookmarkEnd w:id="22"/>
    </w:tbl>
    <w:p w14:paraId="2F51A8A4" w14:textId="77777777" w:rsidR="007B6904" w:rsidRDefault="007B6904" w:rsidP="007B6904">
      <w:pPr>
        <w:pStyle w:val="Heading2"/>
      </w:pPr>
    </w:p>
    <w:p w14:paraId="321AEBE3" w14:textId="1A364341" w:rsidR="005D00A5" w:rsidRPr="005D00A5" w:rsidRDefault="005D00A5" w:rsidP="005D00A5">
      <w:r w:rsidRPr="005D00A5">
        <w:t xml:space="preserve">Refer to CHS </w:t>
      </w:r>
      <w:r w:rsidRPr="00E77721">
        <w:rPr>
          <w:i/>
          <w:iCs/>
        </w:rPr>
        <w:t>HITH Referral, Admission and Discharge (Adults and Children) Procedure</w:t>
      </w:r>
      <w:r w:rsidRPr="005D00A5">
        <w:t xml:space="preserve"> for general information pertaining to internal and external HITH referral processes.</w:t>
      </w:r>
    </w:p>
    <w:p w14:paraId="4DD83583" w14:textId="77777777" w:rsidR="005D00A5" w:rsidRPr="005D00A5" w:rsidRDefault="005D00A5" w:rsidP="005D00A5"/>
    <w:p w14:paraId="7A89B874" w14:textId="4C2BEF9A" w:rsidR="005D00A5" w:rsidRPr="00AC70C2" w:rsidRDefault="005D00A5" w:rsidP="00E77721">
      <w:pPr>
        <w:rPr>
          <w:b/>
          <w:bCs/>
          <w:i/>
          <w:iCs/>
        </w:rPr>
      </w:pPr>
      <w:r w:rsidRPr="005D00A5">
        <w:lastRenderedPageBreak/>
        <w:t xml:space="preserve">For internal and external referrals, please </w:t>
      </w:r>
      <w:r w:rsidR="00DE06C9">
        <w:t xml:space="preserve">refer to the </w:t>
      </w:r>
      <w:r w:rsidRPr="005D00A5">
        <w:t xml:space="preserve">CHS HITH </w:t>
      </w:r>
      <w:r>
        <w:t xml:space="preserve">Management of Hyperemesis Gravidarum </w:t>
      </w:r>
      <w:r w:rsidRPr="005D00A5">
        <w:t>Referral checklist</w:t>
      </w:r>
      <w:r w:rsidR="00DE06C9">
        <w:t xml:space="preserve">, to ensure required information is available </w:t>
      </w:r>
      <w:r w:rsidRPr="005D00A5">
        <w:t>at the time of</w:t>
      </w:r>
      <w:r w:rsidR="00DE06C9">
        <w:t xml:space="preserve"> </w:t>
      </w:r>
      <w:r w:rsidRPr="005D00A5">
        <w:t xml:space="preserve">referral </w:t>
      </w:r>
      <w:r w:rsidR="00DE06C9">
        <w:t xml:space="preserve"> - </w:t>
      </w:r>
      <w:r w:rsidRPr="00DE06C9">
        <w:t>See Attachment 1.</w:t>
      </w:r>
      <w:r w:rsidRPr="00AC70C2">
        <w:rPr>
          <w:b/>
          <w:bCs/>
          <w:i/>
          <w:iCs/>
        </w:rPr>
        <w:t xml:space="preserve"> </w:t>
      </w:r>
    </w:p>
    <w:p w14:paraId="5E55C6B4" w14:textId="1BB4C727" w:rsidR="005D00A5" w:rsidRDefault="005D00A5" w:rsidP="00E77721">
      <w:pPr>
        <w:rPr>
          <w:b/>
          <w:bCs/>
        </w:rPr>
      </w:pPr>
    </w:p>
    <w:p w14:paraId="6BA810C7" w14:textId="5678B5DA" w:rsidR="00D5124E" w:rsidRDefault="00F45509" w:rsidP="00E77721">
      <w:r>
        <w:t xml:space="preserve">The </w:t>
      </w:r>
      <w:r w:rsidR="001429A4">
        <w:t xml:space="preserve">likely route for receiving referrals to HITH is via </w:t>
      </w:r>
      <w:r>
        <w:t xml:space="preserve">the CHS </w:t>
      </w:r>
      <w:r w:rsidR="00D5124E">
        <w:t>Emergency Department</w:t>
      </w:r>
      <w:r>
        <w:t xml:space="preserve">.  </w:t>
      </w:r>
      <w:r w:rsidR="00D5124E">
        <w:t>Other referrals may come from</w:t>
      </w:r>
      <w:r>
        <w:t xml:space="preserve">: </w:t>
      </w:r>
    </w:p>
    <w:p w14:paraId="299886EC" w14:textId="77777777" w:rsidR="00D5124E" w:rsidRDefault="00D5124E" w:rsidP="00E77721">
      <w:pPr>
        <w:pStyle w:val="ListBullet"/>
      </w:pPr>
      <w:proofErr w:type="spellStart"/>
      <w:r>
        <w:t>Obstetric</w:t>
      </w:r>
      <w:proofErr w:type="spellEnd"/>
      <w:r>
        <w:t xml:space="preserve"> &amp; Gynaecology Department CHS </w:t>
      </w:r>
    </w:p>
    <w:p w14:paraId="5B7CE379" w14:textId="1D679978" w:rsidR="00D5124E" w:rsidRDefault="00D5124E" w:rsidP="00E77721">
      <w:pPr>
        <w:pStyle w:val="ListBullet"/>
      </w:pPr>
      <w:r>
        <w:t xml:space="preserve">General Practitioners </w:t>
      </w:r>
    </w:p>
    <w:p w14:paraId="2A776471" w14:textId="18EC9935" w:rsidR="00C02388" w:rsidRDefault="00C02388" w:rsidP="00E77721">
      <w:pPr>
        <w:pStyle w:val="ListBullet"/>
      </w:pPr>
      <w:r>
        <w:t>Community Midwives</w:t>
      </w:r>
    </w:p>
    <w:p w14:paraId="2F51A8AC" w14:textId="2C6A7B36" w:rsidR="007B6904" w:rsidRPr="00D5124E" w:rsidRDefault="00D5124E" w:rsidP="00E77721">
      <w:pPr>
        <w:pStyle w:val="ListBullet"/>
      </w:pPr>
      <w:r>
        <w:t>Other Specialists</w:t>
      </w:r>
    </w:p>
    <w:bookmarkStart w:id="24" w:name="_Hlk96506841"/>
    <w:p w14:paraId="7C4C7F5F" w14:textId="723B3140" w:rsidR="00503A9B" w:rsidRDefault="00A03B0D" w:rsidP="00E77721">
      <w:pPr>
        <w:jc w:val="right"/>
        <w:rPr>
          <w:rFonts w:cs="Arial"/>
          <w:i/>
          <w:szCs w:val="24"/>
        </w:rPr>
      </w:pPr>
      <w:r>
        <w:fldChar w:fldCharType="begin"/>
      </w:r>
      <w:r>
        <w:instrText xml:space="preserve"> HYPERLINK \l "Contents" </w:instrText>
      </w:r>
      <w:r>
        <w:fldChar w:fldCharType="separate"/>
      </w:r>
      <w:r w:rsidR="007B6904" w:rsidRPr="00590902">
        <w:rPr>
          <w:rStyle w:val="Hyperlink"/>
          <w:rFonts w:cs="Arial"/>
          <w:i/>
          <w:szCs w:val="24"/>
        </w:rPr>
        <w:t>Back to Table of Contents</w:t>
      </w:r>
      <w:r>
        <w:rPr>
          <w:rStyle w:val="Hyperlink"/>
          <w:rFonts w:cs="Arial"/>
          <w:i/>
          <w:szCs w:val="24"/>
        </w:rPr>
        <w:fldChar w:fldCharType="end"/>
      </w:r>
      <w:r w:rsidR="007B6904">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5D00A5" w:rsidRPr="00CD1C0E" w14:paraId="51636E1C" w14:textId="77777777" w:rsidTr="008205B4">
        <w:trPr>
          <w:cantSplit/>
          <w:trHeight w:val="285"/>
        </w:trPr>
        <w:tc>
          <w:tcPr>
            <w:tcW w:w="9158" w:type="dxa"/>
            <w:shd w:val="clear" w:color="auto" w:fill="A6A6A6" w:themeFill="background1" w:themeFillShade="A6"/>
          </w:tcPr>
          <w:p w14:paraId="5C0F48A9" w14:textId="7E4B6717" w:rsidR="005D00A5" w:rsidRPr="003D2D06" w:rsidRDefault="005D00A5" w:rsidP="008205B4">
            <w:pPr>
              <w:pStyle w:val="Heading1"/>
            </w:pPr>
            <w:bookmarkStart w:id="25" w:name="_Hlk96343761"/>
            <w:bookmarkStart w:id="26" w:name="_Toc109996411"/>
            <w:bookmarkEnd w:id="24"/>
            <w:r>
              <w:t xml:space="preserve">Section 4 </w:t>
            </w:r>
            <w:r w:rsidRPr="003D2D06">
              <w:t xml:space="preserve">– </w:t>
            </w:r>
            <w:r w:rsidR="00474535">
              <w:t xml:space="preserve">HITH </w:t>
            </w:r>
            <w:r w:rsidR="00D5124E">
              <w:t>As</w:t>
            </w:r>
            <w:r w:rsidR="00474535">
              <w:t>s</w:t>
            </w:r>
            <w:r w:rsidR="00D5124E">
              <w:t>essment</w:t>
            </w:r>
            <w:bookmarkEnd w:id="26"/>
          </w:p>
        </w:tc>
      </w:tr>
      <w:bookmarkEnd w:id="25"/>
    </w:tbl>
    <w:p w14:paraId="7E8F84B0" w14:textId="454D4A6B" w:rsidR="005D00A5" w:rsidRDefault="005D00A5" w:rsidP="005D00A5">
      <w:pPr>
        <w:rPr>
          <w:rFonts w:cs="Arial"/>
          <w:iCs/>
          <w:szCs w:val="24"/>
        </w:rPr>
      </w:pPr>
    </w:p>
    <w:p w14:paraId="37FEA34E" w14:textId="6CDB3BD7" w:rsidR="00CE5D60" w:rsidRPr="00366E47" w:rsidRDefault="00CE5D60" w:rsidP="00E77721">
      <w:pPr>
        <w:pStyle w:val="NoSpacing"/>
        <w:spacing w:line="276" w:lineRule="auto"/>
        <w:rPr>
          <w:rFonts w:cstheme="minorHAnsi"/>
          <w:b/>
          <w:bCs/>
          <w:sz w:val="24"/>
          <w:szCs w:val="24"/>
        </w:rPr>
      </w:pPr>
      <w:r w:rsidRPr="00366E47">
        <w:rPr>
          <w:rFonts w:cstheme="minorHAnsi"/>
          <w:b/>
          <w:bCs/>
          <w:sz w:val="24"/>
          <w:szCs w:val="24"/>
        </w:rPr>
        <w:t xml:space="preserve">Clinical assessment includes: </w:t>
      </w:r>
    </w:p>
    <w:p w14:paraId="3ECBBD81" w14:textId="20298917" w:rsidR="00CE5D60" w:rsidRPr="00366E47" w:rsidRDefault="00CE5D60" w:rsidP="00E77721">
      <w:pPr>
        <w:pStyle w:val="NoSpacing"/>
        <w:numPr>
          <w:ilvl w:val="0"/>
          <w:numId w:val="17"/>
        </w:numPr>
        <w:spacing w:line="276" w:lineRule="auto"/>
        <w:rPr>
          <w:rFonts w:cstheme="minorHAnsi"/>
          <w:sz w:val="24"/>
          <w:szCs w:val="24"/>
        </w:rPr>
      </w:pPr>
      <w:r w:rsidRPr="00366E47">
        <w:rPr>
          <w:rFonts w:cstheme="minorHAnsi"/>
          <w:sz w:val="24"/>
          <w:szCs w:val="24"/>
        </w:rPr>
        <w:t xml:space="preserve">Completion of PUQE-24 score </w:t>
      </w:r>
      <w:r w:rsidR="00366E47">
        <w:rPr>
          <w:rFonts w:cstheme="minorHAnsi"/>
          <w:sz w:val="24"/>
          <w:szCs w:val="24"/>
        </w:rPr>
        <w:t>at every visit</w:t>
      </w:r>
    </w:p>
    <w:p w14:paraId="2931D35C" w14:textId="77777777" w:rsidR="00CE5D60" w:rsidRPr="00366E47" w:rsidRDefault="00CE5D60" w:rsidP="00E77721">
      <w:pPr>
        <w:pStyle w:val="NoSpacing"/>
        <w:numPr>
          <w:ilvl w:val="0"/>
          <w:numId w:val="17"/>
        </w:numPr>
        <w:spacing w:line="276" w:lineRule="auto"/>
        <w:rPr>
          <w:rFonts w:cstheme="minorHAnsi"/>
          <w:sz w:val="24"/>
          <w:szCs w:val="24"/>
        </w:rPr>
      </w:pPr>
      <w:r w:rsidRPr="00366E47">
        <w:rPr>
          <w:rFonts w:cstheme="minorHAnsi"/>
          <w:sz w:val="24"/>
          <w:szCs w:val="24"/>
        </w:rPr>
        <w:t>Assessment of oral intake in past 24-48 hours</w:t>
      </w:r>
    </w:p>
    <w:p w14:paraId="77862D8F" w14:textId="77777777" w:rsidR="00CE5D60" w:rsidRPr="00366E47" w:rsidRDefault="00CE5D60" w:rsidP="00E77721">
      <w:pPr>
        <w:pStyle w:val="NoSpacing"/>
        <w:numPr>
          <w:ilvl w:val="0"/>
          <w:numId w:val="17"/>
        </w:numPr>
        <w:spacing w:line="276" w:lineRule="auto"/>
        <w:rPr>
          <w:rFonts w:cstheme="minorHAnsi"/>
          <w:sz w:val="24"/>
          <w:szCs w:val="24"/>
        </w:rPr>
      </w:pPr>
      <w:r w:rsidRPr="00366E47">
        <w:rPr>
          <w:rFonts w:cstheme="minorHAnsi"/>
          <w:sz w:val="24"/>
          <w:szCs w:val="24"/>
        </w:rPr>
        <w:t xml:space="preserve">Full set of observations including: </w:t>
      </w:r>
    </w:p>
    <w:p w14:paraId="718ECF8A" w14:textId="77777777" w:rsidR="00CE5D60" w:rsidRPr="00366E47" w:rsidRDefault="00CE5D60" w:rsidP="0025510F">
      <w:pPr>
        <w:pStyle w:val="ListBullet"/>
        <w:ind w:left="1146"/>
      </w:pPr>
      <w:r w:rsidRPr="00366E47">
        <w:t>Blood glucose</w:t>
      </w:r>
    </w:p>
    <w:p w14:paraId="0EBCE66F" w14:textId="77777777" w:rsidR="00CE5D60" w:rsidRPr="00366E47" w:rsidRDefault="00CE5D60" w:rsidP="0025510F">
      <w:pPr>
        <w:pStyle w:val="ListBullet"/>
        <w:ind w:left="1146"/>
      </w:pPr>
      <w:r w:rsidRPr="00366E47">
        <w:t>Postural blood pressure (if necessary)</w:t>
      </w:r>
    </w:p>
    <w:p w14:paraId="7FE0E931" w14:textId="77777777" w:rsidR="00CE5D60" w:rsidRPr="00366E47" w:rsidRDefault="00CE5D60" w:rsidP="0025510F">
      <w:pPr>
        <w:pStyle w:val="ListBullet"/>
        <w:ind w:left="1146"/>
      </w:pPr>
      <w:r w:rsidRPr="00366E47">
        <w:t xml:space="preserve">Assessment of hydration status by medical team </w:t>
      </w:r>
    </w:p>
    <w:p w14:paraId="725EF7D5" w14:textId="77777777" w:rsidR="00CE5D60" w:rsidRPr="00366E47" w:rsidRDefault="00CE5D60" w:rsidP="00E77721">
      <w:pPr>
        <w:pStyle w:val="NoSpacing"/>
        <w:numPr>
          <w:ilvl w:val="0"/>
          <w:numId w:val="17"/>
        </w:numPr>
        <w:spacing w:line="276" w:lineRule="auto"/>
        <w:rPr>
          <w:rFonts w:cstheme="minorHAnsi"/>
          <w:sz w:val="24"/>
          <w:szCs w:val="24"/>
        </w:rPr>
      </w:pPr>
      <w:r w:rsidRPr="00366E47">
        <w:rPr>
          <w:rFonts w:cstheme="minorHAnsi"/>
          <w:sz w:val="24"/>
          <w:szCs w:val="24"/>
        </w:rPr>
        <w:t>Weight on admission and then weekly once on HITH service</w:t>
      </w:r>
    </w:p>
    <w:p w14:paraId="40568A1C" w14:textId="15FE45A9" w:rsidR="00CE5D60" w:rsidRPr="00366E47" w:rsidRDefault="00CE5D60" w:rsidP="00E77721">
      <w:pPr>
        <w:pStyle w:val="NoSpacing"/>
        <w:numPr>
          <w:ilvl w:val="0"/>
          <w:numId w:val="17"/>
        </w:numPr>
        <w:spacing w:line="276" w:lineRule="auto"/>
        <w:rPr>
          <w:rFonts w:cstheme="minorHAnsi"/>
          <w:sz w:val="24"/>
          <w:szCs w:val="24"/>
        </w:rPr>
      </w:pPr>
      <w:r w:rsidRPr="00366E47">
        <w:rPr>
          <w:rFonts w:cstheme="minorHAnsi"/>
          <w:sz w:val="24"/>
          <w:szCs w:val="24"/>
        </w:rPr>
        <w:t xml:space="preserve">Venepuncture for venous blood gas (rapid </w:t>
      </w:r>
      <w:r w:rsidR="00366E47">
        <w:rPr>
          <w:rFonts w:cstheme="minorHAnsi"/>
          <w:sz w:val="24"/>
          <w:szCs w:val="24"/>
        </w:rPr>
        <w:t>potassium</w:t>
      </w:r>
      <w:r w:rsidRPr="00366E47">
        <w:rPr>
          <w:rFonts w:cstheme="minorHAnsi"/>
          <w:sz w:val="24"/>
          <w:szCs w:val="24"/>
        </w:rPr>
        <w:t xml:space="preserve"> assessment) and EUC/CMP/LFT</w:t>
      </w:r>
    </w:p>
    <w:p w14:paraId="52FD2505" w14:textId="1A702C3D" w:rsidR="00CE5D60" w:rsidRPr="00366E47" w:rsidRDefault="00CE5D60" w:rsidP="0025510F">
      <w:pPr>
        <w:pStyle w:val="ListBullet"/>
        <w:ind w:left="1146"/>
      </w:pPr>
      <w:r w:rsidRPr="00366E47">
        <w:t>New admissions</w:t>
      </w:r>
      <w:r w:rsidR="00366E47">
        <w:t>:</w:t>
      </w:r>
      <w:r w:rsidRPr="00366E47">
        <w:t xml:space="preserve"> FBC, LFT, </w:t>
      </w:r>
      <w:r w:rsidR="00366E47">
        <w:t>TFTs</w:t>
      </w:r>
      <w:r w:rsidRPr="00366E47">
        <w:t xml:space="preserve">, </w:t>
      </w:r>
      <w:r w:rsidR="00366E47">
        <w:t>Iron</w:t>
      </w:r>
      <w:r w:rsidRPr="00366E47">
        <w:t xml:space="preserve"> studies, Vit D</w:t>
      </w:r>
    </w:p>
    <w:p w14:paraId="54820A48" w14:textId="7D1A76C1" w:rsidR="00CE5D60" w:rsidRDefault="00CE5D60" w:rsidP="0025510F">
      <w:pPr>
        <w:pStyle w:val="ListBullet"/>
        <w:ind w:left="1146"/>
      </w:pPr>
      <w:r w:rsidRPr="00366E47">
        <w:t xml:space="preserve">Other relevant testing determined by medical staff </w:t>
      </w:r>
    </w:p>
    <w:p w14:paraId="7B4AB76E" w14:textId="7DC46AE4" w:rsidR="00BC043D" w:rsidRPr="00BC043D" w:rsidRDefault="00BC043D" w:rsidP="0025510F">
      <w:pPr>
        <w:pStyle w:val="ListBullet"/>
        <w:ind w:left="1146"/>
        <w:rPr>
          <w:szCs w:val="22"/>
        </w:rPr>
      </w:pPr>
      <w:r w:rsidRPr="00BC043D">
        <w:rPr>
          <w:szCs w:val="22"/>
        </w:rPr>
        <w:t xml:space="preserve">Once electrolytes have stabilised and there is no clinical deterioration, frequency of </w:t>
      </w:r>
      <w:r>
        <w:rPr>
          <w:szCs w:val="22"/>
        </w:rPr>
        <w:t>electrolyte monitoring</w:t>
      </w:r>
      <w:r w:rsidRPr="00BC043D">
        <w:rPr>
          <w:szCs w:val="22"/>
        </w:rPr>
        <w:t xml:space="preserve"> can be reduced to weekly.</w:t>
      </w:r>
    </w:p>
    <w:p w14:paraId="1BD1415A" w14:textId="77777777" w:rsidR="00CE5D60" w:rsidRPr="00366E47" w:rsidRDefault="00CE5D60" w:rsidP="00E77721">
      <w:pPr>
        <w:pStyle w:val="NoSpacing"/>
        <w:numPr>
          <w:ilvl w:val="0"/>
          <w:numId w:val="17"/>
        </w:numPr>
        <w:spacing w:line="276" w:lineRule="auto"/>
        <w:rPr>
          <w:rFonts w:cstheme="minorHAnsi"/>
          <w:sz w:val="24"/>
          <w:szCs w:val="24"/>
        </w:rPr>
      </w:pPr>
      <w:r w:rsidRPr="00366E47">
        <w:rPr>
          <w:rFonts w:cstheme="minorHAnsi"/>
          <w:sz w:val="24"/>
          <w:szCs w:val="24"/>
        </w:rPr>
        <w:t>First visit patients require urinalysis:</w:t>
      </w:r>
    </w:p>
    <w:p w14:paraId="640B1503" w14:textId="77777777" w:rsidR="00F96098" w:rsidRDefault="00CE5D60" w:rsidP="0025510F">
      <w:pPr>
        <w:pStyle w:val="ListBullet"/>
        <w:ind w:left="1146"/>
      </w:pPr>
      <w:r w:rsidRPr="00366E47">
        <w:t xml:space="preserve">Urine MCS </w:t>
      </w:r>
    </w:p>
    <w:p w14:paraId="38A46503" w14:textId="79E22435" w:rsidR="00CE5D60" w:rsidRDefault="00CE5D60" w:rsidP="0025510F">
      <w:pPr>
        <w:pStyle w:val="ListBullet"/>
        <w:ind w:left="1146"/>
      </w:pPr>
      <w:r w:rsidRPr="00366E47">
        <w:t>Further samples</w:t>
      </w:r>
      <w:r w:rsidR="00F96098">
        <w:t>, including urine protein: creatinine ratio</w:t>
      </w:r>
      <w:r w:rsidRPr="00366E47">
        <w:t xml:space="preserve"> may be required as determined by the medical staff </w:t>
      </w:r>
    </w:p>
    <w:p w14:paraId="6468847D" w14:textId="037CD44C" w:rsidR="00273EA2" w:rsidRPr="00366E47" w:rsidRDefault="00273EA2" w:rsidP="00E77721">
      <w:pPr>
        <w:pStyle w:val="NoSpacing"/>
        <w:numPr>
          <w:ilvl w:val="0"/>
          <w:numId w:val="17"/>
        </w:numPr>
        <w:spacing w:line="276" w:lineRule="auto"/>
        <w:rPr>
          <w:rFonts w:cstheme="minorHAnsi"/>
          <w:sz w:val="24"/>
          <w:szCs w:val="24"/>
        </w:rPr>
      </w:pPr>
      <w:r>
        <w:rPr>
          <w:rFonts w:cstheme="minorHAnsi"/>
          <w:sz w:val="24"/>
          <w:szCs w:val="24"/>
        </w:rPr>
        <w:t>Obstetric ultrasound to exclude multi-</w:t>
      </w:r>
      <w:proofErr w:type="spellStart"/>
      <w:r>
        <w:rPr>
          <w:rFonts w:cstheme="minorHAnsi"/>
          <w:sz w:val="24"/>
          <w:szCs w:val="24"/>
        </w:rPr>
        <w:t>fetal</w:t>
      </w:r>
      <w:proofErr w:type="spellEnd"/>
      <w:r>
        <w:rPr>
          <w:rFonts w:cstheme="minorHAnsi"/>
          <w:sz w:val="24"/>
          <w:szCs w:val="24"/>
        </w:rPr>
        <w:t xml:space="preserve"> or gestational trophoblastic disease (if not already performed)</w:t>
      </w:r>
    </w:p>
    <w:p w14:paraId="034238F9" w14:textId="6D03337D" w:rsidR="00366E47" w:rsidRDefault="00CE5D60" w:rsidP="00E77721">
      <w:pPr>
        <w:pStyle w:val="NoSpacing"/>
        <w:numPr>
          <w:ilvl w:val="0"/>
          <w:numId w:val="17"/>
        </w:numPr>
        <w:spacing w:line="276" w:lineRule="auto"/>
        <w:rPr>
          <w:rFonts w:cstheme="minorHAnsi"/>
          <w:sz w:val="24"/>
          <w:szCs w:val="24"/>
        </w:rPr>
      </w:pPr>
      <w:r w:rsidRPr="00366E47">
        <w:rPr>
          <w:rFonts w:cstheme="minorHAnsi"/>
          <w:sz w:val="24"/>
          <w:szCs w:val="24"/>
        </w:rPr>
        <w:t xml:space="preserve">Intravenous access required and determination of permanent access options depending on duration of therapy and difficulty of cannulation </w:t>
      </w:r>
      <w:proofErr w:type="spellStart"/>
      <w:r w:rsidRPr="00366E47">
        <w:rPr>
          <w:rFonts w:cstheme="minorHAnsi"/>
          <w:sz w:val="24"/>
          <w:szCs w:val="24"/>
        </w:rPr>
        <w:t>ie</w:t>
      </w:r>
      <w:proofErr w:type="spellEnd"/>
      <w:r w:rsidRPr="00366E47">
        <w:rPr>
          <w:rFonts w:cstheme="minorHAnsi"/>
          <w:sz w:val="24"/>
          <w:szCs w:val="24"/>
        </w:rPr>
        <w:t>. PICC or Midline</w:t>
      </w:r>
    </w:p>
    <w:p w14:paraId="2EDB3CEB" w14:textId="2A61F987" w:rsidR="00366E47" w:rsidRDefault="00366E47" w:rsidP="00E77721">
      <w:pPr>
        <w:pBdr>
          <w:top w:val="single" w:sz="4" w:space="1" w:color="auto"/>
          <w:left w:val="single" w:sz="4" w:space="4" w:color="auto"/>
          <w:bottom w:val="single" w:sz="4" w:space="1" w:color="auto"/>
          <w:right w:val="single" w:sz="4" w:space="4" w:color="auto"/>
        </w:pBdr>
      </w:pPr>
      <w:r w:rsidRPr="00E5521D">
        <w:rPr>
          <w:b/>
          <w:bCs/>
        </w:rPr>
        <w:t>NOTE</w:t>
      </w:r>
      <w:r>
        <w:t>: Do NOT insert PICC or Midline until the patient has been rehydrated due to the increased risk of venous thrombosis</w:t>
      </w:r>
    </w:p>
    <w:p w14:paraId="0BAE8132" w14:textId="70B6704D" w:rsidR="00612CC5" w:rsidRDefault="00612CC5" w:rsidP="00E77721">
      <w:pPr>
        <w:pStyle w:val="NoSpacing"/>
        <w:numPr>
          <w:ilvl w:val="0"/>
          <w:numId w:val="17"/>
        </w:numPr>
        <w:spacing w:line="276" w:lineRule="auto"/>
        <w:rPr>
          <w:rFonts w:cstheme="minorHAnsi"/>
          <w:sz w:val="24"/>
          <w:szCs w:val="24"/>
        </w:rPr>
      </w:pPr>
      <w:r>
        <w:rPr>
          <w:rFonts w:cstheme="minorHAnsi"/>
          <w:sz w:val="24"/>
          <w:szCs w:val="24"/>
        </w:rPr>
        <w:t>Determine frequency of intravenous therapy and medical review</w:t>
      </w:r>
    </w:p>
    <w:p w14:paraId="53C833BE" w14:textId="62A0206F" w:rsidR="00366E47" w:rsidRPr="00366E47" w:rsidRDefault="00366E47" w:rsidP="00E77721">
      <w:pPr>
        <w:pStyle w:val="NoSpacing"/>
        <w:numPr>
          <w:ilvl w:val="0"/>
          <w:numId w:val="17"/>
        </w:numPr>
        <w:spacing w:line="276" w:lineRule="auto"/>
        <w:rPr>
          <w:rFonts w:cstheme="minorHAnsi"/>
          <w:sz w:val="24"/>
          <w:szCs w:val="24"/>
        </w:rPr>
      </w:pPr>
      <w:r>
        <w:rPr>
          <w:rFonts w:cstheme="minorHAnsi"/>
          <w:sz w:val="24"/>
          <w:szCs w:val="24"/>
        </w:rPr>
        <w:t>Refer to HITH dieti</w:t>
      </w:r>
      <w:r w:rsidR="00615A48">
        <w:rPr>
          <w:rFonts w:cstheme="minorHAnsi"/>
          <w:sz w:val="24"/>
          <w:szCs w:val="24"/>
        </w:rPr>
        <w:t>t</w:t>
      </w:r>
      <w:r>
        <w:rPr>
          <w:rFonts w:cstheme="minorHAnsi"/>
          <w:sz w:val="24"/>
          <w:szCs w:val="24"/>
        </w:rPr>
        <w:t>ian</w:t>
      </w:r>
    </w:p>
    <w:p w14:paraId="170ED1E2" w14:textId="77777777" w:rsidR="00CE5D60" w:rsidRPr="00366E47" w:rsidRDefault="00CE5D60" w:rsidP="00E77721">
      <w:pPr>
        <w:pStyle w:val="NoSpacing"/>
        <w:numPr>
          <w:ilvl w:val="0"/>
          <w:numId w:val="17"/>
        </w:numPr>
        <w:spacing w:line="276" w:lineRule="auto"/>
        <w:rPr>
          <w:rFonts w:cstheme="minorHAnsi"/>
          <w:sz w:val="24"/>
          <w:szCs w:val="24"/>
        </w:rPr>
      </w:pPr>
      <w:r w:rsidRPr="00366E47">
        <w:rPr>
          <w:rFonts w:cstheme="minorHAnsi"/>
          <w:sz w:val="24"/>
          <w:szCs w:val="24"/>
        </w:rPr>
        <w:t xml:space="preserve">Assess for psychological distress and flag any concerns to the medical team </w:t>
      </w:r>
    </w:p>
    <w:p w14:paraId="2E968493" w14:textId="439C6FBA" w:rsidR="00CE5D60" w:rsidRDefault="00CE5D60" w:rsidP="0025510F">
      <w:pPr>
        <w:pStyle w:val="ListBullet"/>
        <w:ind w:left="1146"/>
      </w:pPr>
      <w:r w:rsidRPr="00366E47">
        <w:t>Refer woman to Social Work (with woman’s consent)</w:t>
      </w:r>
    </w:p>
    <w:p w14:paraId="6376FD46" w14:textId="47BE5740" w:rsidR="00F96098" w:rsidRDefault="00F96098" w:rsidP="0025510F">
      <w:pPr>
        <w:pStyle w:val="ListBullet"/>
        <w:ind w:left="1146"/>
      </w:pPr>
      <w:r>
        <w:t>Refer woman to Psychology (with woman’s consent)</w:t>
      </w:r>
    </w:p>
    <w:p w14:paraId="6C2619A6" w14:textId="01894E20" w:rsidR="00C02388" w:rsidRPr="00C02388" w:rsidRDefault="00C02388" w:rsidP="0025510F">
      <w:pPr>
        <w:pStyle w:val="ListBullet"/>
        <w:ind w:left="1146"/>
      </w:pPr>
      <w:r w:rsidRPr="00C02388">
        <w:lastRenderedPageBreak/>
        <w:t xml:space="preserve">Refer woman to their GP for </w:t>
      </w:r>
      <w:r>
        <w:t xml:space="preserve">subsequent </w:t>
      </w:r>
      <w:r w:rsidRPr="00C02388">
        <w:t>referral to community psychological services and supports</w:t>
      </w:r>
    </w:p>
    <w:p w14:paraId="757899D7" w14:textId="77777777" w:rsidR="00366E47" w:rsidRPr="00366E47" w:rsidRDefault="00366E47" w:rsidP="00366E47">
      <w:pPr>
        <w:pStyle w:val="NoSpacing"/>
        <w:spacing w:line="276" w:lineRule="auto"/>
        <w:ind w:left="1440"/>
        <w:rPr>
          <w:rFonts w:cstheme="minorHAnsi"/>
          <w:sz w:val="24"/>
          <w:szCs w:val="24"/>
        </w:rPr>
      </w:pPr>
    </w:p>
    <w:p w14:paraId="412CBB1F" w14:textId="15AEEBD8" w:rsidR="006B4163" w:rsidRPr="00CE5D60" w:rsidRDefault="00E5521D" w:rsidP="00CE5D60">
      <w:pPr>
        <w:pStyle w:val="ListParagraph"/>
        <w:ind w:left="1440"/>
        <w:jc w:val="right"/>
        <w:rPr>
          <w:rFonts w:cs="Arial"/>
          <w:i/>
          <w:szCs w:val="24"/>
        </w:rPr>
      </w:pPr>
      <w:hyperlink w:anchor="Contents" w:history="1">
        <w:r w:rsidR="00CE5D60" w:rsidRPr="00CE5D60">
          <w:rPr>
            <w:rStyle w:val="Hyperlink"/>
            <w:rFonts w:cs="Arial"/>
            <w:i/>
            <w:szCs w:val="24"/>
          </w:rPr>
          <w:t>Back to Table of Contents</w:t>
        </w:r>
      </w:hyperlink>
      <w:r w:rsidR="00CE5D60" w:rsidRPr="00CE5D60">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5D00A5" w:rsidRPr="003D2D06" w14:paraId="6925D028" w14:textId="77777777" w:rsidTr="008205B4">
        <w:trPr>
          <w:cantSplit/>
          <w:trHeight w:val="285"/>
        </w:trPr>
        <w:tc>
          <w:tcPr>
            <w:tcW w:w="9158" w:type="dxa"/>
            <w:shd w:val="clear" w:color="auto" w:fill="A6A6A6" w:themeFill="background1" w:themeFillShade="A6"/>
          </w:tcPr>
          <w:p w14:paraId="50AF1E2F" w14:textId="364FCE61" w:rsidR="005D00A5" w:rsidRPr="003D2D06" w:rsidRDefault="005D00A5" w:rsidP="008205B4">
            <w:pPr>
              <w:pStyle w:val="Heading1"/>
            </w:pPr>
            <w:bookmarkStart w:id="27" w:name="_Hlk96344146"/>
            <w:bookmarkStart w:id="28" w:name="_Toc109996412"/>
            <w:r>
              <w:t xml:space="preserve">Section 5 </w:t>
            </w:r>
            <w:r w:rsidRPr="003D2D06">
              <w:t xml:space="preserve">– </w:t>
            </w:r>
            <w:r w:rsidR="00474535">
              <w:t xml:space="preserve">HITH </w:t>
            </w:r>
            <w:r w:rsidR="00CE5D60">
              <w:t>Treatment and Management</w:t>
            </w:r>
            <w:bookmarkEnd w:id="28"/>
          </w:p>
        </w:tc>
      </w:tr>
      <w:bookmarkEnd w:id="27"/>
    </w:tbl>
    <w:p w14:paraId="25FB55F7" w14:textId="77777777" w:rsidR="00CE5D60" w:rsidRDefault="00CE5D60" w:rsidP="00CE5D60">
      <w:pPr>
        <w:pStyle w:val="ListParagraph"/>
        <w:spacing w:line="276" w:lineRule="auto"/>
      </w:pPr>
    </w:p>
    <w:p w14:paraId="623F4E5B" w14:textId="77777777" w:rsidR="00612CC5" w:rsidRDefault="00612CC5" w:rsidP="00E5521D">
      <w:pPr>
        <w:pStyle w:val="NoSpacing"/>
        <w:numPr>
          <w:ilvl w:val="0"/>
          <w:numId w:val="21"/>
        </w:numPr>
        <w:jc w:val="both"/>
        <w:rPr>
          <w:sz w:val="24"/>
          <w:szCs w:val="24"/>
        </w:rPr>
      </w:pPr>
      <w:r>
        <w:rPr>
          <w:sz w:val="24"/>
          <w:szCs w:val="24"/>
        </w:rPr>
        <w:t>Medications:</w:t>
      </w:r>
    </w:p>
    <w:p w14:paraId="13C5C2EB" w14:textId="3D37C4CE" w:rsidR="00CE5D60" w:rsidRDefault="00612CC5" w:rsidP="00E5521D">
      <w:pPr>
        <w:pStyle w:val="NoSpacing"/>
        <w:numPr>
          <w:ilvl w:val="1"/>
          <w:numId w:val="21"/>
        </w:numPr>
        <w:jc w:val="both"/>
        <w:rPr>
          <w:sz w:val="24"/>
          <w:szCs w:val="24"/>
        </w:rPr>
      </w:pPr>
      <w:r>
        <w:rPr>
          <w:sz w:val="24"/>
          <w:szCs w:val="24"/>
        </w:rPr>
        <w:t>Review and optimise oral anti-emetic therapy:</w:t>
      </w:r>
    </w:p>
    <w:p w14:paraId="1F85DDD7" w14:textId="5D29040E" w:rsidR="00015954" w:rsidRDefault="00015954" w:rsidP="00E5521D">
      <w:pPr>
        <w:pStyle w:val="NoSpacing"/>
        <w:numPr>
          <w:ilvl w:val="2"/>
          <w:numId w:val="21"/>
        </w:numPr>
        <w:jc w:val="both"/>
        <w:rPr>
          <w:sz w:val="24"/>
          <w:szCs w:val="24"/>
        </w:rPr>
      </w:pPr>
      <w:r>
        <w:rPr>
          <w:sz w:val="24"/>
          <w:szCs w:val="24"/>
        </w:rPr>
        <w:t>If an antiemetic is not effective at maximal doses, discontinue before commencing an alternative agent.</w:t>
      </w:r>
    </w:p>
    <w:p w14:paraId="098D8054" w14:textId="1DD8C804" w:rsidR="00015954" w:rsidRDefault="00015954" w:rsidP="00E5521D">
      <w:pPr>
        <w:pStyle w:val="NoSpacing"/>
        <w:numPr>
          <w:ilvl w:val="2"/>
          <w:numId w:val="21"/>
        </w:numPr>
        <w:jc w:val="both"/>
        <w:rPr>
          <w:sz w:val="24"/>
          <w:szCs w:val="24"/>
        </w:rPr>
      </w:pPr>
      <w:r>
        <w:rPr>
          <w:sz w:val="24"/>
          <w:szCs w:val="24"/>
        </w:rPr>
        <w:t>If an antiemetic is partially effective, optimise dosage and timing.  Only add additional antiemetics after maximal doses of the first agent have been trialled.</w:t>
      </w:r>
    </w:p>
    <w:p w14:paraId="207E106E" w14:textId="10FE121F" w:rsidR="000F346E" w:rsidRDefault="000F346E" w:rsidP="00E5521D">
      <w:pPr>
        <w:pStyle w:val="NoSpacing"/>
        <w:numPr>
          <w:ilvl w:val="2"/>
          <w:numId w:val="21"/>
        </w:numPr>
        <w:jc w:val="both"/>
        <w:rPr>
          <w:sz w:val="24"/>
          <w:szCs w:val="24"/>
        </w:rPr>
      </w:pPr>
      <w:r>
        <w:rPr>
          <w:sz w:val="24"/>
          <w:szCs w:val="24"/>
        </w:rPr>
        <w:t xml:space="preserve">Discuss prescribed medications in detail with the patient to address any concerns of taking medications in pregnancy.  For further information regarding the medications below, refer to </w:t>
      </w:r>
      <w:hyperlink r:id="rId13" w:history="1">
        <w:r>
          <w:rPr>
            <w:rStyle w:val="Hyperlink"/>
          </w:rPr>
          <w:t>Medicines | PBMG (oclc.org)</w:t>
        </w:r>
      </w:hyperlink>
      <w:r>
        <w:t>.</w:t>
      </w:r>
    </w:p>
    <w:p w14:paraId="1E726B91" w14:textId="77777777" w:rsidR="00366E47" w:rsidRDefault="00366E47" w:rsidP="00366E47">
      <w:pPr>
        <w:pStyle w:val="NoSpacing"/>
        <w:spacing w:line="276" w:lineRule="auto"/>
        <w:ind w:left="720"/>
        <w:rPr>
          <w:sz w:val="24"/>
          <w:szCs w:val="24"/>
        </w:rPr>
      </w:pPr>
    </w:p>
    <w:tbl>
      <w:tblPr>
        <w:tblStyle w:val="TableGrid"/>
        <w:tblW w:w="0" w:type="auto"/>
        <w:tblLook w:val="04A0" w:firstRow="1" w:lastRow="0" w:firstColumn="1" w:lastColumn="0" w:noHBand="0" w:noVBand="1"/>
      </w:tblPr>
      <w:tblGrid>
        <w:gridCol w:w="2773"/>
        <w:gridCol w:w="2653"/>
        <w:gridCol w:w="1699"/>
        <w:gridCol w:w="1935"/>
      </w:tblGrid>
      <w:tr w:rsidR="00E66233" w:rsidRPr="00E5521D" w14:paraId="4EB6B9E6" w14:textId="3D89F1DB" w:rsidTr="00E77721">
        <w:trPr>
          <w:tblHeader/>
        </w:trPr>
        <w:tc>
          <w:tcPr>
            <w:tcW w:w="2773" w:type="dxa"/>
          </w:tcPr>
          <w:p w14:paraId="1BAE0D88" w14:textId="5774A336" w:rsidR="00E66233" w:rsidRPr="00E5521D" w:rsidRDefault="00E66233" w:rsidP="00635953">
            <w:pPr>
              <w:pStyle w:val="NoSpacing"/>
              <w:spacing w:line="276" w:lineRule="auto"/>
              <w:rPr>
                <w:rFonts w:asciiTheme="minorHAnsi" w:hAnsiTheme="minorHAnsi" w:cstheme="minorHAnsi"/>
                <w:b/>
                <w:bCs/>
                <w:sz w:val="24"/>
                <w:szCs w:val="24"/>
              </w:rPr>
            </w:pPr>
            <w:r w:rsidRPr="00E5521D">
              <w:rPr>
                <w:rFonts w:asciiTheme="minorHAnsi" w:hAnsiTheme="minorHAnsi" w:cstheme="minorHAnsi"/>
                <w:b/>
                <w:bCs/>
                <w:sz w:val="24"/>
                <w:szCs w:val="24"/>
              </w:rPr>
              <w:t>Medication</w:t>
            </w:r>
          </w:p>
        </w:tc>
        <w:tc>
          <w:tcPr>
            <w:tcW w:w="2653" w:type="dxa"/>
          </w:tcPr>
          <w:p w14:paraId="7F49D67F" w14:textId="5B6E52C3" w:rsidR="00E66233" w:rsidRPr="00E5521D" w:rsidRDefault="00D21E37" w:rsidP="00635953">
            <w:pPr>
              <w:pStyle w:val="NoSpacing"/>
              <w:spacing w:line="276" w:lineRule="auto"/>
              <w:rPr>
                <w:rFonts w:asciiTheme="minorHAnsi" w:hAnsiTheme="minorHAnsi" w:cstheme="minorHAnsi"/>
                <w:b/>
                <w:bCs/>
                <w:sz w:val="24"/>
                <w:szCs w:val="24"/>
              </w:rPr>
            </w:pPr>
            <w:r w:rsidRPr="00E5521D">
              <w:rPr>
                <w:rFonts w:asciiTheme="minorHAnsi" w:hAnsiTheme="minorHAnsi" w:cstheme="minorHAnsi"/>
                <w:b/>
                <w:bCs/>
                <w:sz w:val="24"/>
                <w:szCs w:val="24"/>
              </w:rPr>
              <w:t>Brand</w:t>
            </w:r>
          </w:p>
        </w:tc>
        <w:tc>
          <w:tcPr>
            <w:tcW w:w="1699" w:type="dxa"/>
          </w:tcPr>
          <w:p w14:paraId="6C936A80" w14:textId="1DFFA3C3" w:rsidR="00E66233" w:rsidRPr="00E5521D" w:rsidRDefault="00D21E37" w:rsidP="00635953">
            <w:pPr>
              <w:pStyle w:val="NoSpacing"/>
              <w:spacing w:line="276" w:lineRule="auto"/>
              <w:rPr>
                <w:rFonts w:asciiTheme="minorHAnsi" w:hAnsiTheme="minorHAnsi" w:cstheme="minorHAnsi"/>
                <w:b/>
                <w:bCs/>
                <w:sz w:val="24"/>
                <w:szCs w:val="24"/>
              </w:rPr>
            </w:pPr>
            <w:r w:rsidRPr="00E5521D">
              <w:rPr>
                <w:rFonts w:asciiTheme="minorHAnsi" w:hAnsiTheme="minorHAnsi" w:cstheme="minorHAnsi"/>
                <w:b/>
                <w:bCs/>
                <w:sz w:val="24"/>
                <w:szCs w:val="24"/>
              </w:rPr>
              <w:t>Starting Dose</w:t>
            </w:r>
          </w:p>
        </w:tc>
        <w:tc>
          <w:tcPr>
            <w:tcW w:w="1935" w:type="dxa"/>
          </w:tcPr>
          <w:p w14:paraId="7010438F" w14:textId="17032AD0" w:rsidR="00E66233" w:rsidRPr="00E5521D" w:rsidRDefault="00D21E37" w:rsidP="00635953">
            <w:pPr>
              <w:pStyle w:val="NoSpacing"/>
              <w:spacing w:line="276" w:lineRule="auto"/>
              <w:rPr>
                <w:rFonts w:asciiTheme="minorHAnsi" w:hAnsiTheme="minorHAnsi" w:cstheme="minorHAnsi"/>
                <w:b/>
                <w:bCs/>
                <w:sz w:val="24"/>
                <w:szCs w:val="24"/>
              </w:rPr>
            </w:pPr>
            <w:r w:rsidRPr="00E5521D">
              <w:rPr>
                <w:rFonts w:asciiTheme="minorHAnsi" w:hAnsiTheme="minorHAnsi" w:cstheme="minorHAnsi"/>
                <w:b/>
                <w:bCs/>
                <w:sz w:val="24"/>
                <w:szCs w:val="24"/>
              </w:rPr>
              <w:t xml:space="preserve">Maximum </w:t>
            </w:r>
            <w:r w:rsidR="00E66233" w:rsidRPr="00E5521D">
              <w:rPr>
                <w:rFonts w:asciiTheme="minorHAnsi" w:hAnsiTheme="minorHAnsi" w:cstheme="minorHAnsi"/>
                <w:b/>
                <w:bCs/>
                <w:sz w:val="24"/>
                <w:szCs w:val="24"/>
              </w:rPr>
              <w:t>Dose</w:t>
            </w:r>
            <w:r w:rsidR="00254418" w:rsidRPr="00E5521D">
              <w:rPr>
                <w:rFonts w:asciiTheme="minorHAnsi" w:hAnsiTheme="minorHAnsi" w:cstheme="minorHAnsi"/>
                <w:b/>
                <w:bCs/>
                <w:sz w:val="24"/>
                <w:szCs w:val="24"/>
              </w:rPr>
              <w:t>/</w:t>
            </w:r>
            <w:r w:rsidR="00635953" w:rsidRPr="00E5521D">
              <w:rPr>
                <w:rFonts w:asciiTheme="minorHAnsi" w:hAnsiTheme="minorHAnsi" w:cstheme="minorHAnsi"/>
                <w:b/>
                <w:bCs/>
                <w:sz w:val="24"/>
                <w:szCs w:val="24"/>
              </w:rPr>
              <w:t xml:space="preserve"> </w:t>
            </w:r>
            <w:r w:rsidR="00254418" w:rsidRPr="00E5521D">
              <w:rPr>
                <w:rFonts w:asciiTheme="minorHAnsi" w:hAnsiTheme="minorHAnsi" w:cstheme="minorHAnsi"/>
                <w:b/>
                <w:bCs/>
                <w:sz w:val="24"/>
                <w:szCs w:val="24"/>
              </w:rPr>
              <w:t>24hrs</w:t>
            </w:r>
          </w:p>
        </w:tc>
      </w:tr>
      <w:tr w:rsidR="008024F1" w:rsidRPr="00E5521D" w14:paraId="56F6682F" w14:textId="77777777" w:rsidTr="008024F1">
        <w:tc>
          <w:tcPr>
            <w:tcW w:w="9060" w:type="dxa"/>
            <w:gridSpan w:val="4"/>
            <w:shd w:val="clear" w:color="auto" w:fill="F2F2F2" w:themeFill="background1" w:themeFillShade="F2"/>
          </w:tcPr>
          <w:p w14:paraId="32C8A889" w14:textId="1C322630" w:rsidR="008024F1" w:rsidRPr="00E5521D" w:rsidRDefault="008024F1" w:rsidP="00635953">
            <w:pPr>
              <w:pStyle w:val="NoSpacing"/>
              <w:spacing w:line="276" w:lineRule="auto"/>
              <w:rPr>
                <w:rFonts w:asciiTheme="minorHAnsi" w:hAnsiTheme="minorHAnsi" w:cstheme="minorHAnsi"/>
                <w:sz w:val="24"/>
                <w:szCs w:val="24"/>
              </w:rPr>
            </w:pPr>
            <w:r w:rsidRPr="00E5521D">
              <w:rPr>
                <w:rFonts w:asciiTheme="minorHAnsi" w:hAnsiTheme="minorHAnsi" w:cstheme="minorHAnsi"/>
                <w:sz w:val="24"/>
                <w:szCs w:val="24"/>
              </w:rPr>
              <w:t>1</w:t>
            </w:r>
            <w:r w:rsidRPr="00E5521D">
              <w:rPr>
                <w:rFonts w:asciiTheme="minorHAnsi" w:hAnsiTheme="minorHAnsi" w:cstheme="minorHAnsi"/>
                <w:sz w:val="24"/>
                <w:szCs w:val="24"/>
                <w:vertAlign w:val="superscript"/>
              </w:rPr>
              <w:t>st</w:t>
            </w:r>
            <w:r w:rsidRPr="00E5521D">
              <w:rPr>
                <w:rFonts w:asciiTheme="minorHAnsi" w:hAnsiTheme="minorHAnsi" w:cstheme="minorHAnsi"/>
                <w:sz w:val="24"/>
                <w:szCs w:val="24"/>
              </w:rPr>
              <w:t xml:space="preserve"> Line</w:t>
            </w:r>
          </w:p>
        </w:tc>
      </w:tr>
      <w:tr w:rsidR="00E66233" w:rsidRPr="00E5521D" w14:paraId="03327B89" w14:textId="3AFCBF75" w:rsidTr="001B0DC0">
        <w:tc>
          <w:tcPr>
            <w:tcW w:w="2773" w:type="dxa"/>
          </w:tcPr>
          <w:p w14:paraId="51305FA9" w14:textId="1691AA6D" w:rsidR="00D21E37" w:rsidRPr="00E5521D" w:rsidRDefault="00E66233" w:rsidP="00D21E37">
            <w:pPr>
              <w:pStyle w:val="CommentText"/>
              <w:rPr>
                <w:rFonts w:asciiTheme="minorHAnsi" w:hAnsiTheme="minorHAnsi" w:cstheme="minorHAnsi"/>
                <w:sz w:val="22"/>
                <w:szCs w:val="22"/>
                <w:shd w:val="clear" w:color="auto" w:fill="FFFFFF"/>
              </w:rPr>
            </w:pPr>
            <w:r w:rsidRPr="00E5521D">
              <w:rPr>
                <w:rFonts w:asciiTheme="minorHAnsi" w:hAnsiTheme="minorHAnsi" w:cstheme="minorHAnsi"/>
                <w:sz w:val="22"/>
                <w:szCs w:val="22"/>
              </w:rPr>
              <w:t>Ginger</w:t>
            </w:r>
            <w:r w:rsidR="00C521D5" w:rsidRPr="00E5521D">
              <w:rPr>
                <w:rFonts w:asciiTheme="minorHAnsi" w:hAnsiTheme="minorHAnsi" w:cstheme="minorHAnsi"/>
                <w:sz w:val="22"/>
                <w:szCs w:val="22"/>
              </w:rPr>
              <w:t>*</w:t>
            </w:r>
            <w:r w:rsidR="00D21E37" w:rsidRPr="00E5521D">
              <w:rPr>
                <w:rFonts w:asciiTheme="minorHAnsi" w:hAnsiTheme="minorHAnsi" w:cstheme="minorHAnsi"/>
                <w:sz w:val="22"/>
                <w:szCs w:val="22"/>
              </w:rPr>
              <w:t>:</w:t>
            </w:r>
            <w:r w:rsidR="00D21E37" w:rsidRPr="00E5521D">
              <w:rPr>
                <w:rFonts w:asciiTheme="minorHAnsi" w:hAnsiTheme="minorHAnsi" w:cstheme="minorHAnsi"/>
                <w:sz w:val="22"/>
                <w:szCs w:val="22"/>
                <w:shd w:val="clear" w:color="auto" w:fill="FFFFFF"/>
              </w:rPr>
              <w:t xml:space="preserve"> </w:t>
            </w:r>
          </w:p>
          <w:p w14:paraId="2EF2E02D" w14:textId="1924CEE7" w:rsidR="00D21E37" w:rsidRPr="00E5521D" w:rsidRDefault="00D21E37" w:rsidP="00D21E37">
            <w:pPr>
              <w:pStyle w:val="CommentText"/>
              <w:rPr>
                <w:rFonts w:asciiTheme="minorHAnsi" w:hAnsiTheme="minorHAnsi" w:cstheme="minorHAnsi"/>
                <w:sz w:val="22"/>
                <w:szCs w:val="22"/>
                <w:shd w:val="clear" w:color="auto" w:fill="FFFFFF"/>
              </w:rPr>
            </w:pPr>
            <w:r w:rsidRPr="00E5521D">
              <w:rPr>
                <w:rFonts w:asciiTheme="minorHAnsi" w:hAnsiTheme="minorHAnsi" w:cstheme="minorHAnsi"/>
                <w:sz w:val="22"/>
                <w:szCs w:val="22"/>
                <w:shd w:val="clear" w:color="auto" w:fill="FFFFFF"/>
              </w:rPr>
              <w:t xml:space="preserve">Zingiber officinale  root powder 400 mg tablets </w:t>
            </w:r>
          </w:p>
          <w:p w14:paraId="36A9C3BB" w14:textId="77777777" w:rsidR="00D21E37" w:rsidRPr="00E5521D" w:rsidRDefault="00D21E37" w:rsidP="00D21E37">
            <w:pPr>
              <w:pStyle w:val="CommentText"/>
              <w:rPr>
                <w:rFonts w:asciiTheme="minorHAnsi" w:hAnsiTheme="minorHAnsi" w:cstheme="minorHAnsi"/>
                <w:sz w:val="22"/>
                <w:szCs w:val="22"/>
                <w:shd w:val="clear" w:color="auto" w:fill="FFFFFF"/>
              </w:rPr>
            </w:pPr>
          </w:p>
          <w:p w14:paraId="433FDDBD" w14:textId="29C6BCB2" w:rsidR="00D21E37" w:rsidRPr="00E5521D" w:rsidRDefault="00D21E37" w:rsidP="00D21E37">
            <w:pPr>
              <w:pStyle w:val="CommentText"/>
              <w:rPr>
                <w:rFonts w:asciiTheme="minorHAnsi" w:hAnsiTheme="minorHAnsi" w:cstheme="minorHAnsi"/>
                <w:sz w:val="22"/>
                <w:szCs w:val="22"/>
                <w:shd w:val="clear" w:color="auto" w:fill="FFFFFF"/>
              </w:rPr>
            </w:pPr>
            <w:r w:rsidRPr="00E5521D">
              <w:rPr>
                <w:rFonts w:asciiTheme="minorHAnsi" w:hAnsiTheme="minorHAnsi" w:cstheme="minorHAnsi"/>
                <w:sz w:val="22"/>
                <w:szCs w:val="22"/>
                <w:shd w:val="clear" w:color="auto" w:fill="FFFFFF"/>
              </w:rPr>
              <w:t>OR</w:t>
            </w:r>
          </w:p>
          <w:p w14:paraId="4841B162" w14:textId="77777777" w:rsidR="00D21E37" w:rsidRPr="00E5521D" w:rsidRDefault="00D21E37" w:rsidP="00D21E37">
            <w:pPr>
              <w:pStyle w:val="CommentText"/>
              <w:rPr>
                <w:rFonts w:asciiTheme="minorHAnsi" w:hAnsiTheme="minorHAnsi" w:cstheme="minorHAnsi"/>
                <w:sz w:val="22"/>
                <w:szCs w:val="22"/>
                <w:shd w:val="clear" w:color="auto" w:fill="FFFFFF"/>
              </w:rPr>
            </w:pPr>
          </w:p>
          <w:p w14:paraId="042A80E4" w14:textId="1B3EE9B3" w:rsidR="00D21E37" w:rsidRPr="00E5521D" w:rsidRDefault="00D21E37" w:rsidP="00D21E37">
            <w:pPr>
              <w:pStyle w:val="CommentText"/>
              <w:rPr>
                <w:rFonts w:asciiTheme="minorHAnsi" w:hAnsiTheme="minorHAnsi" w:cstheme="minorHAnsi"/>
                <w:sz w:val="22"/>
                <w:szCs w:val="22"/>
                <w:shd w:val="clear" w:color="auto" w:fill="FFFFFF"/>
              </w:rPr>
            </w:pPr>
            <w:r w:rsidRPr="00E5521D">
              <w:rPr>
                <w:rFonts w:asciiTheme="minorHAnsi" w:hAnsiTheme="minorHAnsi" w:cstheme="minorHAnsi"/>
                <w:sz w:val="22"/>
                <w:szCs w:val="22"/>
                <w:shd w:val="clear" w:color="auto" w:fill="FFFFFF"/>
              </w:rPr>
              <w:t>Zingiber officinale rhizome powder 600 mg, pyridoxine HCl (vit B6) 37.5 mg (Note: also contains pyridoxine)</w:t>
            </w:r>
          </w:p>
          <w:p w14:paraId="57983D7C" w14:textId="77777777" w:rsidR="00D21E37" w:rsidRPr="00E5521D" w:rsidRDefault="00D21E37" w:rsidP="00D21E37">
            <w:pPr>
              <w:pStyle w:val="CommentText"/>
              <w:rPr>
                <w:rFonts w:asciiTheme="minorHAnsi" w:hAnsiTheme="minorHAnsi" w:cstheme="minorHAnsi"/>
                <w:sz w:val="22"/>
                <w:szCs w:val="22"/>
                <w:shd w:val="clear" w:color="auto" w:fill="FFFFFF"/>
              </w:rPr>
            </w:pPr>
          </w:p>
          <w:p w14:paraId="6D9F6D83" w14:textId="067BA680" w:rsidR="00D21E37" w:rsidRPr="00E5521D" w:rsidRDefault="00D21E37" w:rsidP="00D21E37">
            <w:pPr>
              <w:pStyle w:val="CommentText"/>
              <w:rPr>
                <w:rFonts w:asciiTheme="minorHAnsi" w:hAnsiTheme="minorHAnsi" w:cstheme="minorHAnsi"/>
                <w:sz w:val="22"/>
                <w:szCs w:val="22"/>
                <w:shd w:val="clear" w:color="auto" w:fill="FFFFFF"/>
              </w:rPr>
            </w:pPr>
            <w:r w:rsidRPr="00E5521D">
              <w:rPr>
                <w:rFonts w:asciiTheme="minorHAnsi" w:hAnsiTheme="minorHAnsi" w:cstheme="minorHAnsi"/>
                <w:sz w:val="22"/>
                <w:szCs w:val="22"/>
                <w:shd w:val="clear" w:color="auto" w:fill="FFFFFF"/>
              </w:rPr>
              <w:t>OR</w:t>
            </w:r>
          </w:p>
          <w:p w14:paraId="50AF37EB" w14:textId="77777777" w:rsidR="00D21E37" w:rsidRPr="00E5521D" w:rsidRDefault="00D21E37" w:rsidP="00D21E37">
            <w:pPr>
              <w:pStyle w:val="CommentText"/>
              <w:rPr>
                <w:rFonts w:asciiTheme="minorHAnsi" w:hAnsiTheme="minorHAnsi" w:cstheme="minorHAnsi"/>
                <w:sz w:val="22"/>
                <w:szCs w:val="22"/>
                <w:shd w:val="clear" w:color="auto" w:fill="FFFFFF"/>
              </w:rPr>
            </w:pPr>
          </w:p>
          <w:p w14:paraId="500431C8" w14:textId="18392DC2" w:rsidR="00D21E37" w:rsidRPr="00E5521D" w:rsidRDefault="00D21E37" w:rsidP="00D21E37">
            <w:pPr>
              <w:pStyle w:val="CommentText"/>
              <w:rPr>
                <w:rFonts w:asciiTheme="minorHAnsi" w:hAnsiTheme="minorHAnsi" w:cstheme="minorHAnsi"/>
                <w:sz w:val="22"/>
                <w:szCs w:val="22"/>
                <w:shd w:val="clear" w:color="auto" w:fill="FFFFFF"/>
              </w:rPr>
            </w:pPr>
            <w:r w:rsidRPr="00E5521D">
              <w:rPr>
                <w:rFonts w:asciiTheme="minorHAnsi" w:hAnsiTheme="minorHAnsi" w:cstheme="minorHAnsi"/>
                <w:sz w:val="22"/>
                <w:szCs w:val="22"/>
                <w:shd w:val="clear" w:color="auto" w:fill="FFFFFF"/>
              </w:rPr>
              <w:t>Zingiber officinale root powder, extract 500 mg tablets</w:t>
            </w:r>
          </w:p>
          <w:p w14:paraId="53069ED2" w14:textId="4BF69EF8" w:rsidR="00E66233" w:rsidRPr="00E5521D" w:rsidRDefault="00E66233" w:rsidP="00366E47">
            <w:pPr>
              <w:pStyle w:val="NoSpacing"/>
              <w:spacing w:line="276" w:lineRule="auto"/>
              <w:rPr>
                <w:rFonts w:asciiTheme="minorHAnsi" w:hAnsiTheme="minorHAnsi" w:cstheme="minorHAnsi"/>
                <w:sz w:val="22"/>
                <w:szCs w:val="22"/>
              </w:rPr>
            </w:pPr>
          </w:p>
        </w:tc>
        <w:tc>
          <w:tcPr>
            <w:tcW w:w="2653" w:type="dxa"/>
          </w:tcPr>
          <w:p w14:paraId="6D961F95" w14:textId="77777777" w:rsidR="00D21E37" w:rsidRPr="00E5521D" w:rsidRDefault="00D21E37" w:rsidP="00D21E37">
            <w:pPr>
              <w:pStyle w:val="CommentText"/>
              <w:rPr>
                <w:rFonts w:asciiTheme="minorHAnsi" w:hAnsiTheme="minorHAnsi" w:cstheme="minorHAnsi"/>
                <w:sz w:val="22"/>
                <w:szCs w:val="22"/>
                <w:shd w:val="clear" w:color="auto" w:fill="FFFFFF"/>
              </w:rPr>
            </w:pPr>
          </w:p>
          <w:p w14:paraId="04404ECD" w14:textId="5FAF928D" w:rsidR="00D21E37" w:rsidRPr="00E5521D" w:rsidRDefault="00D21E37" w:rsidP="00D21E37">
            <w:pPr>
              <w:pStyle w:val="CommentText"/>
              <w:rPr>
                <w:rFonts w:asciiTheme="minorHAnsi" w:hAnsiTheme="minorHAnsi" w:cstheme="minorHAnsi"/>
                <w:sz w:val="22"/>
                <w:szCs w:val="22"/>
                <w:shd w:val="clear" w:color="auto" w:fill="FFFFFF"/>
              </w:rPr>
            </w:pPr>
            <w:r w:rsidRPr="00E5521D">
              <w:rPr>
                <w:rFonts w:asciiTheme="minorHAnsi" w:hAnsiTheme="minorHAnsi" w:cstheme="minorHAnsi"/>
                <w:sz w:val="22"/>
                <w:szCs w:val="22"/>
                <w:shd w:val="clear" w:color="auto" w:fill="FFFFFF"/>
              </w:rPr>
              <w:t>Blackmores Travel Calm Ginger</w:t>
            </w:r>
          </w:p>
          <w:p w14:paraId="321BCFBD" w14:textId="77777777" w:rsidR="00D21E37" w:rsidRPr="00E5521D" w:rsidRDefault="00D21E37" w:rsidP="00D21E37">
            <w:pPr>
              <w:pStyle w:val="CommentText"/>
              <w:rPr>
                <w:rFonts w:asciiTheme="minorHAnsi" w:hAnsiTheme="minorHAnsi" w:cstheme="minorHAnsi"/>
                <w:sz w:val="22"/>
                <w:szCs w:val="22"/>
                <w:shd w:val="clear" w:color="auto" w:fill="FFFFFF"/>
              </w:rPr>
            </w:pPr>
          </w:p>
          <w:p w14:paraId="5C7AA292" w14:textId="77777777" w:rsidR="00D21E37" w:rsidRPr="00E5521D" w:rsidRDefault="00D21E37" w:rsidP="00D21E37">
            <w:pPr>
              <w:pStyle w:val="CommentText"/>
              <w:rPr>
                <w:rFonts w:asciiTheme="minorHAnsi" w:hAnsiTheme="minorHAnsi" w:cstheme="minorHAnsi"/>
                <w:sz w:val="22"/>
                <w:szCs w:val="22"/>
                <w:shd w:val="clear" w:color="auto" w:fill="FFFFFF"/>
              </w:rPr>
            </w:pPr>
          </w:p>
          <w:p w14:paraId="26841CC9" w14:textId="77777777" w:rsidR="00D21E37" w:rsidRPr="00E5521D" w:rsidRDefault="00D21E37" w:rsidP="00D21E37">
            <w:pPr>
              <w:pStyle w:val="CommentText"/>
              <w:rPr>
                <w:rFonts w:asciiTheme="minorHAnsi" w:hAnsiTheme="minorHAnsi" w:cstheme="minorHAnsi"/>
                <w:sz w:val="22"/>
                <w:szCs w:val="22"/>
                <w:shd w:val="clear" w:color="auto" w:fill="FFFFFF"/>
              </w:rPr>
            </w:pPr>
          </w:p>
          <w:p w14:paraId="02AFB83D" w14:textId="77777777" w:rsidR="00D21E37" w:rsidRPr="00E5521D" w:rsidRDefault="00D21E37" w:rsidP="00D21E37">
            <w:pPr>
              <w:pStyle w:val="CommentText"/>
              <w:rPr>
                <w:rFonts w:asciiTheme="minorHAnsi" w:hAnsiTheme="minorHAnsi" w:cstheme="minorHAnsi"/>
                <w:sz w:val="22"/>
                <w:szCs w:val="22"/>
                <w:shd w:val="clear" w:color="auto" w:fill="FFFFFF"/>
              </w:rPr>
            </w:pPr>
          </w:p>
          <w:p w14:paraId="6FFD4127" w14:textId="3551156D" w:rsidR="00D21E37" w:rsidRPr="00E5521D" w:rsidRDefault="00D21E37" w:rsidP="00D21E37">
            <w:pPr>
              <w:pStyle w:val="CommentText"/>
              <w:rPr>
                <w:rFonts w:asciiTheme="minorHAnsi" w:hAnsiTheme="minorHAnsi" w:cstheme="minorHAnsi"/>
                <w:sz w:val="22"/>
                <w:szCs w:val="22"/>
                <w:shd w:val="clear" w:color="auto" w:fill="FFFFFF"/>
              </w:rPr>
            </w:pPr>
            <w:proofErr w:type="spellStart"/>
            <w:r w:rsidRPr="00E5521D">
              <w:rPr>
                <w:rFonts w:asciiTheme="minorHAnsi" w:hAnsiTheme="minorHAnsi" w:cstheme="minorHAnsi"/>
                <w:sz w:val="22"/>
                <w:szCs w:val="22"/>
                <w:shd w:val="clear" w:color="auto" w:fill="FFFFFF"/>
              </w:rPr>
              <w:t>Elevit</w:t>
            </w:r>
            <w:proofErr w:type="spellEnd"/>
            <w:r w:rsidRPr="00E5521D">
              <w:rPr>
                <w:rFonts w:asciiTheme="minorHAnsi" w:hAnsiTheme="minorHAnsi" w:cstheme="minorHAnsi"/>
                <w:sz w:val="22"/>
                <w:szCs w:val="22"/>
                <w:shd w:val="clear" w:color="auto" w:fill="FFFFFF"/>
              </w:rPr>
              <w:t xml:space="preserve"> Morning Sickness Relief </w:t>
            </w:r>
          </w:p>
          <w:p w14:paraId="61B9578C" w14:textId="77777777" w:rsidR="00D21E37" w:rsidRPr="00E5521D" w:rsidRDefault="00D21E37" w:rsidP="00D21E37">
            <w:pPr>
              <w:pStyle w:val="CommentText"/>
              <w:rPr>
                <w:rFonts w:asciiTheme="minorHAnsi" w:hAnsiTheme="minorHAnsi" w:cstheme="minorHAnsi"/>
                <w:sz w:val="22"/>
                <w:szCs w:val="22"/>
                <w:shd w:val="clear" w:color="auto" w:fill="FFFFFF"/>
              </w:rPr>
            </w:pPr>
          </w:p>
          <w:p w14:paraId="1E6082BC" w14:textId="77777777" w:rsidR="00D21E37" w:rsidRPr="00E5521D" w:rsidRDefault="00D21E37" w:rsidP="00D21E37">
            <w:pPr>
              <w:pStyle w:val="CommentText"/>
              <w:rPr>
                <w:rFonts w:asciiTheme="minorHAnsi" w:hAnsiTheme="minorHAnsi" w:cstheme="minorHAnsi"/>
                <w:sz w:val="22"/>
                <w:szCs w:val="22"/>
                <w:shd w:val="clear" w:color="auto" w:fill="FFFFFF"/>
              </w:rPr>
            </w:pPr>
          </w:p>
          <w:p w14:paraId="778416D9" w14:textId="77777777" w:rsidR="00D21E37" w:rsidRPr="00E5521D" w:rsidRDefault="00D21E37" w:rsidP="00D21E37">
            <w:pPr>
              <w:pStyle w:val="CommentText"/>
              <w:rPr>
                <w:rFonts w:asciiTheme="minorHAnsi" w:hAnsiTheme="minorHAnsi" w:cstheme="minorHAnsi"/>
                <w:sz w:val="22"/>
                <w:szCs w:val="22"/>
                <w:shd w:val="clear" w:color="auto" w:fill="FFFFFF"/>
              </w:rPr>
            </w:pPr>
          </w:p>
          <w:p w14:paraId="216D77A6" w14:textId="77777777" w:rsidR="00D21E37" w:rsidRPr="00E5521D" w:rsidRDefault="00D21E37" w:rsidP="00D21E37">
            <w:pPr>
              <w:pStyle w:val="CommentText"/>
              <w:rPr>
                <w:rFonts w:asciiTheme="minorHAnsi" w:hAnsiTheme="minorHAnsi" w:cstheme="minorHAnsi"/>
                <w:sz w:val="22"/>
                <w:szCs w:val="22"/>
                <w:shd w:val="clear" w:color="auto" w:fill="FFFFFF"/>
              </w:rPr>
            </w:pPr>
          </w:p>
          <w:p w14:paraId="4F7A4A21" w14:textId="77777777" w:rsidR="00D21E37" w:rsidRPr="00E5521D" w:rsidRDefault="00D21E37" w:rsidP="00D21E37">
            <w:pPr>
              <w:pStyle w:val="NoSpacing"/>
              <w:spacing w:line="276" w:lineRule="auto"/>
              <w:rPr>
                <w:rFonts w:asciiTheme="minorHAnsi" w:hAnsiTheme="minorHAnsi" w:cstheme="minorHAnsi"/>
                <w:sz w:val="22"/>
                <w:szCs w:val="22"/>
                <w:shd w:val="clear" w:color="auto" w:fill="FFFFFF"/>
              </w:rPr>
            </w:pPr>
          </w:p>
          <w:p w14:paraId="4007B834" w14:textId="6B56E723" w:rsidR="00E66233" w:rsidRPr="00E5521D" w:rsidRDefault="00D21E37" w:rsidP="00D21E37">
            <w:pPr>
              <w:pStyle w:val="NoSpacing"/>
              <w:spacing w:line="276" w:lineRule="auto"/>
              <w:rPr>
                <w:rFonts w:asciiTheme="minorHAnsi" w:hAnsiTheme="minorHAnsi" w:cstheme="minorHAnsi"/>
                <w:sz w:val="22"/>
                <w:szCs w:val="22"/>
              </w:rPr>
            </w:pPr>
            <w:proofErr w:type="spellStart"/>
            <w:r w:rsidRPr="00E5521D">
              <w:rPr>
                <w:rFonts w:asciiTheme="minorHAnsi" w:hAnsiTheme="minorHAnsi" w:cstheme="minorHAnsi"/>
                <w:sz w:val="22"/>
                <w:szCs w:val="22"/>
                <w:shd w:val="clear" w:color="auto" w:fill="FFFFFF"/>
              </w:rPr>
              <w:t>Travacalm</w:t>
            </w:r>
            <w:proofErr w:type="spellEnd"/>
            <w:r w:rsidRPr="00E5521D">
              <w:rPr>
                <w:rFonts w:asciiTheme="minorHAnsi" w:hAnsiTheme="minorHAnsi" w:cstheme="minorHAnsi"/>
                <w:sz w:val="22"/>
                <w:szCs w:val="22"/>
                <w:shd w:val="clear" w:color="auto" w:fill="FFFFFF"/>
              </w:rPr>
              <w:t xml:space="preserve"> Natural</w:t>
            </w:r>
            <w:r w:rsidRPr="00E5521D" w:rsidDel="00E66233">
              <w:rPr>
                <w:rFonts w:asciiTheme="minorHAnsi" w:hAnsiTheme="minorHAnsi" w:cstheme="minorHAnsi"/>
                <w:sz w:val="22"/>
                <w:szCs w:val="22"/>
              </w:rPr>
              <w:t xml:space="preserve"> </w:t>
            </w:r>
          </w:p>
        </w:tc>
        <w:tc>
          <w:tcPr>
            <w:tcW w:w="1699" w:type="dxa"/>
          </w:tcPr>
          <w:p w14:paraId="5B076B04" w14:textId="77777777" w:rsidR="00E66233" w:rsidRPr="00E5521D" w:rsidRDefault="00E66233" w:rsidP="00E66233">
            <w:pPr>
              <w:pStyle w:val="CommentText"/>
              <w:rPr>
                <w:rFonts w:asciiTheme="minorHAnsi" w:hAnsiTheme="minorHAnsi" w:cstheme="minorHAnsi"/>
                <w:sz w:val="22"/>
                <w:szCs w:val="22"/>
                <w:shd w:val="clear" w:color="auto" w:fill="FFFFFF"/>
              </w:rPr>
            </w:pPr>
          </w:p>
          <w:p w14:paraId="4EAC8CF6" w14:textId="1FBA0DFF" w:rsidR="00D21E37" w:rsidRPr="00E5521D" w:rsidRDefault="00D21E37" w:rsidP="00E66233">
            <w:pPr>
              <w:pStyle w:val="CommentText"/>
              <w:rPr>
                <w:rFonts w:asciiTheme="minorHAnsi" w:hAnsiTheme="minorHAnsi" w:cstheme="minorHAnsi"/>
                <w:sz w:val="22"/>
                <w:szCs w:val="22"/>
                <w:shd w:val="clear" w:color="auto" w:fill="FFFFFF"/>
              </w:rPr>
            </w:pPr>
            <w:r w:rsidRPr="00E5521D">
              <w:rPr>
                <w:rFonts w:asciiTheme="minorHAnsi" w:hAnsiTheme="minorHAnsi" w:cstheme="minorHAnsi"/>
                <w:sz w:val="22"/>
                <w:szCs w:val="22"/>
                <w:shd w:val="clear" w:color="auto" w:fill="FFFFFF"/>
              </w:rPr>
              <w:t xml:space="preserve">ONE tablet </w:t>
            </w:r>
            <w:r w:rsidR="001B0DC0" w:rsidRPr="00E5521D">
              <w:rPr>
                <w:rFonts w:asciiTheme="minorHAnsi" w:hAnsiTheme="minorHAnsi" w:cstheme="minorHAnsi"/>
                <w:sz w:val="22"/>
                <w:szCs w:val="22"/>
                <w:shd w:val="clear" w:color="auto" w:fill="FFFFFF"/>
              </w:rPr>
              <w:t>po</w:t>
            </w:r>
            <w:r w:rsidRPr="00E5521D">
              <w:rPr>
                <w:rFonts w:asciiTheme="minorHAnsi" w:hAnsiTheme="minorHAnsi" w:cstheme="minorHAnsi"/>
                <w:sz w:val="22"/>
                <w:szCs w:val="22"/>
                <w:shd w:val="clear" w:color="auto" w:fill="FFFFFF"/>
              </w:rPr>
              <w:t xml:space="preserve"> bd</w:t>
            </w:r>
          </w:p>
          <w:p w14:paraId="7B7A3A88" w14:textId="77777777" w:rsidR="00D21E37" w:rsidRPr="00E5521D" w:rsidRDefault="00D21E37" w:rsidP="00E66233">
            <w:pPr>
              <w:pStyle w:val="CommentText"/>
              <w:rPr>
                <w:rFonts w:asciiTheme="minorHAnsi" w:hAnsiTheme="minorHAnsi" w:cstheme="minorHAnsi"/>
                <w:sz w:val="22"/>
                <w:szCs w:val="22"/>
                <w:shd w:val="clear" w:color="auto" w:fill="FFFFFF"/>
              </w:rPr>
            </w:pPr>
          </w:p>
          <w:p w14:paraId="61A1CBC3" w14:textId="77777777" w:rsidR="00D21E37" w:rsidRPr="00E5521D" w:rsidRDefault="00D21E37" w:rsidP="00E66233">
            <w:pPr>
              <w:pStyle w:val="CommentText"/>
              <w:rPr>
                <w:rFonts w:asciiTheme="minorHAnsi" w:hAnsiTheme="minorHAnsi" w:cstheme="minorHAnsi"/>
                <w:sz w:val="22"/>
                <w:szCs w:val="22"/>
                <w:shd w:val="clear" w:color="auto" w:fill="FFFFFF"/>
              </w:rPr>
            </w:pPr>
          </w:p>
          <w:p w14:paraId="4C1642F0" w14:textId="77777777" w:rsidR="00D21E37" w:rsidRPr="00E5521D" w:rsidRDefault="00D21E37" w:rsidP="00E66233">
            <w:pPr>
              <w:pStyle w:val="CommentText"/>
              <w:rPr>
                <w:rFonts w:asciiTheme="minorHAnsi" w:hAnsiTheme="minorHAnsi" w:cstheme="minorHAnsi"/>
                <w:sz w:val="22"/>
                <w:szCs w:val="22"/>
                <w:shd w:val="clear" w:color="auto" w:fill="FFFFFF"/>
              </w:rPr>
            </w:pPr>
          </w:p>
          <w:p w14:paraId="24FAFD9B" w14:textId="77777777" w:rsidR="00D21E37" w:rsidRPr="00E5521D" w:rsidRDefault="00D21E37" w:rsidP="00E66233">
            <w:pPr>
              <w:pStyle w:val="CommentText"/>
              <w:rPr>
                <w:rFonts w:asciiTheme="minorHAnsi" w:hAnsiTheme="minorHAnsi" w:cstheme="minorHAnsi"/>
                <w:sz w:val="22"/>
                <w:szCs w:val="22"/>
                <w:shd w:val="clear" w:color="auto" w:fill="FFFFFF"/>
              </w:rPr>
            </w:pPr>
          </w:p>
          <w:p w14:paraId="54D95A4E" w14:textId="2DA3ACD0" w:rsidR="00D21E37" w:rsidRPr="00E5521D" w:rsidRDefault="00D21E37" w:rsidP="00D21E37">
            <w:pPr>
              <w:pStyle w:val="CommentText"/>
              <w:rPr>
                <w:rFonts w:asciiTheme="minorHAnsi" w:hAnsiTheme="minorHAnsi" w:cstheme="minorHAnsi"/>
                <w:sz w:val="22"/>
                <w:szCs w:val="22"/>
                <w:shd w:val="clear" w:color="auto" w:fill="FFFFFF"/>
              </w:rPr>
            </w:pPr>
            <w:r w:rsidRPr="00E5521D">
              <w:rPr>
                <w:rFonts w:asciiTheme="minorHAnsi" w:hAnsiTheme="minorHAnsi" w:cstheme="minorHAnsi"/>
                <w:sz w:val="22"/>
                <w:szCs w:val="22"/>
                <w:shd w:val="clear" w:color="auto" w:fill="FFFFFF"/>
              </w:rPr>
              <w:t xml:space="preserve">ONE tablet </w:t>
            </w:r>
            <w:r w:rsidR="001B0DC0" w:rsidRPr="00E5521D">
              <w:rPr>
                <w:rFonts w:asciiTheme="minorHAnsi" w:hAnsiTheme="minorHAnsi" w:cstheme="minorHAnsi"/>
                <w:sz w:val="22"/>
                <w:szCs w:val="22"/>
                <w:shd w:val="clear" w:color="auto" w:fill="FFFFFF"/>
              </w:rPr>
              <w:t>po</w:t>
            </w:r>
            <w:r w:rsidRPr="00E5521D">
              <w:rPr>
                <w:rFonts w:asciiTheme="minorHAnsi" w:hAnsiTheme="minorHAnsi" w:cstheme="minorHAnsi"/>
                <w:sz w:val="22"/>
                <w:szCs w:val="22"/>
                <w:shd w:val="clear" w:color="auto" w:fill="FFFFFF"/>
              </w:rPr>
              <w:t xml:space="preserve"> bd </w:t>
            </w:r>
          </w:p>
          <w:p w14:paraId="5AD139AB" w14:textId="77777777" w:rsidR="00D21E37" w:rsidRPr="00E5521D" w:rsidRDefault="00D21E37" w:rsidP="00E66233">
            <w:pPr>
              <w:pStyle w:val="CommentText"/>
              <w:rPr>
                <w:rFonts w:asciiTheme="minorHAnsi" w:hAnsiTheme="minorHAnsi" w:cstheme="minorHAnsi"/>
                <w:sz w:val="22"/>
                <w:szCs w:val="22"/>
                <w:shd w:val="clear" w:color="auto" w:fill="FFFFFF"/>
              </w:rPr>
            </w:pPr>
          </w:p>
          <w:p w14:paraId="79D88C68" w14:textId="77777777" w:rsidR="00D21E37" w:rsidRPr="00E5521D" w:rsidRDefault="00D21E37" w:rsidP="00E66233">
            <w:pPr>
              <w:pStyle w:val="CommentText"/>
              <w:rPr>
                <w:rFonts w:asciiTheme="minorHAnsi" w:hAnsiTheme="minorHAnsi" w:cstheme="minorHAnsi"/>
                <w:sz w:val="22"/>
                <w:szCs w:val="22"/>
                <w:shd w:val="clear" w:color="auto" w:fill="FFFFFF"/>
              </w:rPr>
            </w:pPr>
          </w:p>
          <w:p w14:paraId="31B87AD9" w14:textId="77777777" w:rsidR="00D21E37" w:rsidRPr="00E5521D" w:rsidRDefault="00D21E37" w:rsidP="00E66233">
            <w:pPr>
              <w:pStyle w:val="CommentText"/>
              <w:rPr>
                <w:rFonts w:asciiTheme="minorHAnsi" w:hAnsiTheme="minorHAnsi" w:cstheme="minorHAnsi"/>
                <w:sz w:val="22"/>
                <w:szCs w:val="22"/>
                <w:shd w:val="clear" w:color="auto" w:fill="FFFFFF"/>
              </w:rPr>
            </w:pPr>
          </w:p>
          <w:p w14:paraId="77B93114" w14:textId="77777777" w:rsidR="00D21E37" w:rsidRPr="00E5521D" w:rsidRDefault="00D21E37" w:rsidP="00E66233">
            <w:pPr>
              <w:pStyle w:val="CommentText"/>
              <w:rPr>
                <w:rFonts w:asciiTheme="minorHAnsi" w:hAnsiTheme="minorHAnsi" w:cstheme="minorHAnsi"/>
                <w:sz w:val="22"/>
                <w:szCs w:val="22"/>
                <w:shd w:val="clear" w:color="auto" w:fill="FFFFFF"/>
              </w:rPr>
            </w:pPr>
          </w:p>
          <w:p w14:paraId="14EA70F9" w14:textId="77777777" w:rsidR="00D21E37" w:rsidRPr="00E5521D" w:rsidRDefault="00D21E37" w:rsidP="00E66233">
            <w:pPr>
              <w:pStyle w:val="CommentText"/>
              <w:rPr>
                <w:rFonts w:asciiTheme="minorHAnsi" w:hAnsiTheme="minorHAnsi" w:cstheme="minorHAnsi"/>
                <w:sz w:val="22"/>
                <w:szCs w:val="22"/>
                <w:shd w:val="clear" w:color="auto" w:fill="FFFFFF"/>
              </w:rPr>
            </w:pPr>
          </w:p>
          <w:p w14:paraId="795ECBB1" w14:textId="3182F68B" w:rsidR="00D21E37" w:rsidRPr="00E5521D" w:rsidRDefault="00D21E37" w:rsidP="00E66233">
            <w:pPr>
              <w:pStyle w:val="CommentText"/>
              <w:rPr>
                <w:rFonts w:asciiTheme="minorHAnsi" w:hAnsiTheme="minorHAnsi" w:cstheme="minorHAnsi"/>
                <w:sz w:val="22"/>
                <w:szCs w:val="22"/>
                <w:shd w:val="clear" w:color="auto" w:fill="FFFFFF"/>
              </w:rPr>
            </w:pPr>
            <w:r w:rsidRPr="00E5521D">
              <w:rPr>
                <w:rFonts w:asciiTheme="minorHAnsi" w:hAnsiTheme="minorHAnsi" w:cstheme="minorHAnsi"/>
                <w:sz w:val="22"/>
                <w:szCs w:val="22"/>
                <w:shd w:val="clear" w:color="auto" w:fill="FFFFFF"/>
              </w:rPr>
              <w:t xml:space="preserve">ONE tablet </w:t>
            </w:r>
            <w:r w:rsidR="001B0DC0" w:rsidRPr="00E5521D">
              <w:rPr>
                <w:rFonts w:asciiTheme="minorHAnsi" w:hAnsiTheme="minorHAnsi" w:cstheme="minorHAnsi"/>
                <w:sz w:val="22"/>
                <w:szCs w:val="22"/>
                <w:shd w:val="clear" w:color="auto" w:fill="FFFFFF"/>
              </w:rPr>
              <w:t>po</w:t>
            </w:r>
            <w:r w:rsidRPr="00E5521D">
              <w:rPr>
                <w:rFonts w:asciiTheme="minorHAnsi" w:hAnsiTheme="minorHAnsi" w:cstheme="minorHAnsi"/>
                <w:sz w:val="22"/>
                <w:szCs w:val="22"/>
                <w:shd w:val="clear" w:color="auto" w:fill="FFFFFF"/>
              </w:rPr>
              <w:t xml:space="preserve"> bd</w:t>
            </w:r>
          </w:p>
          <w:p w14:paraId="65F4EEFF" w14:textId="00FCB2AA" w:rsidR="00D21E37" w:rsidRPr="00E5521D" w:rsidRDefault="00D21E37" w:rsidP="00E66233">
            <w:pPr>
              <w:pStyle w:val="CommentText"/>
              <w:rPr>
                <w:rFonts w:asciiTheme="minorHAnsi" w:hAnsiTheme="minorHAnsi" w:cstheme="minorHAnsi"/>
                <w:sz w:val="22"/>
                <w:szCs w:val="22"/>
                <w:shd w:val="clear" w:color="auto" w:fill="FFFFFF"/>
              </w:rPr>
            </w:pPr>
          </w:p>
        </w:tc>
        <w:tc>
          <w:tcPr>
            <w:tcW w:w="1935" w:type="dxa"/>
          </w:tcPr>
          <w:p w14:paraId="7B3D463E" w14:textId="77777777" w:rsidR="00D21E37" w:rsidRPr="00E5521D" w:rsidRDefault="00D21E37" w:rsidP="00E66233">
            <w:pPr>
              <w:pStyle w:val="CommentText"/>
              <w:rPr>
                <w:rFonts w:asciiTheme="minorHAnsi" w:hAnsiTheme="minorHAnsi" w:cstheme="minorHAnsi"/>
                <w:sz w:val="22"/>
                <w:szCs w:val="22"/>
                <w:shd w:val="clear" w:color="auto" w:fill="FFFFFF"/>
              </w:rPr>
            </w:pPr>
          </w:p>
          <w:p w14:paraId="29BA8590" w14:textId="7F1987DD" w:rsidR="00E66233" w:rsidRPr="00E5521D" w:rsidRDefault="00E66233" w:rsidP="00E66233">
            <w:pPr>
              <w:pStyle w:val="CommentText"/>
              <w:rPr>
                <w:rFonts w:asciiTheme="minorHAnsi" w:hAnsiTheme="minorHAnsi" w:cstheme="minorHAnsi"/>
                <w:sz w:val="22"/>
                <w:szCs w:val="22"/>
                <w:shd w:val="clear" w:color="auto" w:fill="FFFFFF"/>
              </w:rPr>
            </w:pPr>
            <w:r w:rsidRPr="00E5521D">
              <w:rPr>
                <w:rFonts w:asciiTheme="minorHAnsi" w:hAnsiTheme="minorHAnsi" w:cstheme="minorHAnsi"/>
                <w:sz w:val="22"/>
                <w:szCs w:val="22"/>
                <w:shd w:val="clear" w:color="auto" w:fill="FFFFFF"/>
              </w:rPr>
              <w:t xml:space="preserve">ONE tablet </w:t>
            </w:r>
            <w:r w:rsidR="001B0DC0" w:rsidRPr="00E5521D">
              <w:rPr>
                <w:rFonts w:asciiTheme="minorHAnsi" w:hAnsiTheme="minorHAnsi" w:cstheme="minorHAnsi"/>
                <w:sz w:val="22"/>
                <w:szCs w:val="22"/>
                <w:shd w:val="clear" w:color="auto" w:fill="FFFFFF"/>
              </w:rPr>
              <w:t>po</w:t>
            </w:r>
            <w:r w:rsidRPr="00E5521D">
              <w:rPr>
                <w:rFonts w:asciiTheme="minorHAnsi" w:hAnsiTheme="minorHAnsi" w:cstheme="minorHAnsi"/>
                <w:sz w:val="22"/>
                <w:szCs w:val="22"/>
                <w:shd w:val="clear" w:color="auto" w:fill="FFFFFF"/>
              </w:rPr>
              <w:t xml:space="preserve"> </w:t>
            </w:r>
            <w:proofErr w:type="spellStart"/>
            <w:r w:rsidR="00D21E37" w:rsidRPr="00E5521D">
              <w:rPr>
                <w:rFonts w:asciiTheme="minorHAnsi" w:hAnsiTheme="minorHAnsi" w:cstheme="minorHAnsi"/>
                <w:sz w:val="22"/>
                <w:szCs w:val="22"/>
                <w:shd w:val="clear" w:color="auto" w:fill="FFFFFF"/>
              </w:rPr>
              <w:t>tds</w:t>
            </w:r>
            <w:proofErr w:type="spellEnd"/>
          </w:p>
          <w:p w14:paraId="40FDE9CE" w14:textId="1AD65CD9" w:rsidR="00E66233" w:rsidRPr="00E5521D" w:rsidRDefault="00E66233" w:rsidP="00E66233">
            <w:pPr>
              <w:pStyle w:val="CommentText"/>
              <w:rPr>
                <w:rFonts w:asciiTheme="minorHAnsi" w:hAnsiTheme="minorHAnsi" w:cstheme="minorHAnsi"/>
                <w:sz w:val="22"/>
                <w:szCs w:val="22"/>
                <w:shd w:val="clear" w:color="auto" w:fill="FFFFFF"/>
              </w:rPr>
            </w:pPr>
          </w:p>
          <w:p w14:paraId="7BDF1FB0" w14:textId="77777777" w:rsidR="00D21E37" w:rsidRPr="00E5521D" w:rsidRDefault="00D21E37" w:rsidP="00E66233">
            <w:pPr>
              <w:pStyle w:val="CommentText"/>
              <w:rPr>
                <w:rFonts w:asciiTheme="minorHAnsi" w:hAnsiTheme="minorHAnsi" w:cstheme="minorHAnsi"/>
                <w:sz w:val="22"/>
                <w:szCs w:val="22"/>
                <w:shd w:val="clear" w:color="auto" w:fill="FFFFFF"/>
              </w:rPr>
            </w:pPr>
          </w:p>
          <w:p w14:paraId="6F675A2A" w14:textId="316A45C4" w:rsidR="00D21E37" w:rsidRPr="00E5521D" w:rsidRDefault="00D21E37" w:rsidP="00E66233">
            <w:pPr>
              <w:pStyle w:val="CommentText"/>
              <w:rPr>
                <w:rFonts w:asciiTheme="minorHAnsi" w:hAnsiTheme="minorHAnsi" w:cstheme="minorHAnsi"/>
                <w:sz w:val="22"/>
                <w:szCs w:val="22"/>
                <w:shd w:val="clear" w:color="auto" w:fill="FFFFFF"/>
              </w:rPr>
            </w:pPr>
          </w:p>
          <w:p w14:paraId="55034B77" w14:textId="77777777" w:rsidR="00D21E37" w:rsidRPr="00E5521D" w:rsidRDefault="00D21E37" w:rsidP="00E66233">
            <w:pPr>
              <w:pStyle w:val="CommentText"/>
              <w:rPr>
                <w:rFonts w:asciiTheme="minorHAnsi" w:hAnsiTheme="minorHAnsi" w:cstheme="minorHAnsi"/>
                <w:sz w:val="22"/>
                <w:szCs w:val="22"/>
                <w:shd w:val="clear" w:color="auto" w:fill="FFFFFF"/>
              </w:rPr>
            </w:pPr>
          </w:p>
          <w:p w14:paraId="38F1942A" w14:textId="77777777" w:rsidR="00D21E37" w:rsidRPr="00E5521D" w:rsidRDefault="00D21E37" w:rsidP="00E66233">
            <w:pPr>
              <w:pStyle w:val="CommentText"/>
              <w:rPr>
                <w:rFonts w:asciiTheme="minorHAnsi" w:hAnsiTheme="minorHAnsi" w:cstheme="minorHAnsi"/>
                <w:sz w:val="22"/>
                <w:szCs w:val="22"/>
                <w:shd w:val="clear" w:color="auto" w:fill="FFFFFF"/>
              </w:rPr>
            </w:pPr>
          </w:p>
          <w:p w14:paraId="1D7A8FEC" w14:textId="69442EE7" w:rsidR="00E66233" w:rsidRPr="00E5521D" w:rsidRDefault="00E66233" w:rsidP="00E66233">
            <w:pPr>
              <w:pStyle w:val="CommentText"/>
              <w:rPr>
                <w:rFonts w:asciiTheme="minorHAnsi" w:hAnsiTheme="minorHAnsi" w:cstheme="minorHAnsi"/>
                <w:sz w:val="22"/>
                <w:szCs w:val="22"/>
                <w:shd w:val="clear" w:color="auto" w:fill="FFFFFF"/>
              </w:rPr>
            </w:pPr>
            <w:r w:rsidRPr="00E5521D">
              <w:rPr>
                <w:rFonts w:asciiTheme="minorHAnsi" w:hAnsiTheme="minorHAnsi" w:cstheme="minorHAnsi"/>
                <w:sz w:val="22"/>
                <w:szCs w:val="22"/>
                <w:shd w:val="clear" w:color="auto" w:fill="FFFFFF"/>
              </w:rPr>
              <w:t xml:space="preserve">ONE tablet </w:t>
            </w:r>
            <w:r w:rsidR="001B0DC0" w:rsidRPr="00E5521D">
              <w:rPr>
                <w:rFonts w:asciiTheme="minorHAnsi" w:hAnsiTheme="minorHAnsi" w:cstheme="minorHAnsi"/>
                <w:sz w:val="22"/>
                <w:szCs w:val="22"/>
                <w:shd w:val="clear" w:color="auto" w:fill="FFFFFF"/>
              </w:rPr>
              <w:t>po</w:t>
            </w:r>
            <w:r w:rsidRPr="00E5521D">
              <w:rPr>
                <w:rFonts w:asciiTheme="minorHAnsi" w:hAnsiTheme="minorHAnsi" w:cstheme="minorHAnsi"/>
                <w:sz w:val="22"/>
                <w:szCs w:val="22"/>
                <w:shd w:val="clear" w:color="auto" w:fill="FFFFFF"/>
              </w:rPr>
              <w:t xml:space="preserve"> </w:t>
            </w:r>
            <w:r w:rsidR="00D21E37" w:rsidRPr="00E5521D">
              <w:rPr>
                <w:rFonts w:asciiTheme="minorHAnsi" w:hAnsiTheme="minorHAnsi" w:cstheme="minorHAnsi"/>
                <w:sz w:val="22"/>
                <w:szCs w:val="22"/>
                <w:shd w:val="clear" w:color="auto" w:fill="FFFFFF"/>
              </w:rPr>
              <w:t>bd</w:t>
            </w:r>
            <w:r w:rsidRPr="00E5521D">
              <w:rPr>
                <w:rFonts w:asciiTheme="minorHAnsi" w:hAnsiTheme="minorHAnsi" w:cstheme="minorHAnsi"/>
                <w:sz w:val="22"/>
                <w:szCs w:val="22"/>
                <w:shd w:val="clear" w:color="auto" w:fill="FFFFFF"/>
              </w:rPr>
              <w:t xml:space="preserve"> </w:t>
            </w:r>
          </w:p>
          <w:p w14:paraId="71E6A5E1" w14:textId="77777777" w:rsidR="00E66233" w:rsidRPr="00E5521D" w:rsidRDefault="00E66233" w:rsidP="00E66233">
            <w:pPr>
              <w:pStyle w:val="CommentText"/>
              <w:rPr>
                <w:rFonts w:asciiTheme="minorHAnsi" w:hAnsiTheme="minorHAnsi" w:cstheme="minorHAnsi"/>
                <w:sz w:val="22"/>
                <w:szCs w:val="22"/>
                <w:shd w:val="clear" w:color="auto" w:fill="FFFFFF"/>
              </w:rPr>
            </w:pPr>
          </w:p>
          <w:p w14:paraId="389E4C6F" w14:textId="77777777" w:rsidR="00E66233" w:rsidRPr="00E5521D" w:rsidRDefault="00E66233" w:rsidP="00E66233">
            <w:pPr>
              <w:pStyle w:val="CommentText"/>
              <w:rPr>
                <w:rFonts w:asciiTheme="minorHAnsi" w:hAnsiTheme="minorHAnsi" w:cstheme="minorHAnsi"/>
                <w:sz w:val="22"/>
                <w:szCs w:val="22"/>
                <w:shd w:val="clear" w:color="auto" w:fill="FFFFFF"/>
              </w:rPr>
            </w:pPr>
          </w:p>
          <w:p w14:paraId="5B603763" w14:textId="77777777" w:rsidR="00E66233" w:rsidRPr="00E5521D" w:rsidRDefault="00E66233" w:rsidP="00E66233">
            <w:pPr>
              <w:pStyle w:val="CommentText"/>
              <w:rPr>
                <w:rFonts w:asciiTheme="minorHAnsi" w:hAnsiTheme="minorHAnsi" w:cstheme="minorHAnsi"/>
                <w:sz w:val="22"/>
                <w:szCs w:val="22"/>
                <w:shd w:val="clear" w:color="auto" w:fill="FFFFFF"/>
              </w:rPr>
            </w:pPr>
          </w:p>
          <w:p w14:paraId="60859091" w14:textId="77777777" w:rsidR="00E66233" w:rsidRPr="00E5521D" w:rsidRDefault="00E66233" w:rsidP="00E66233">
            <w:pPr>
              <w:pStyle w:val="CommentText"/>
              <w:rPr>
                <w:rFonts w:asciiTheme="minorHAnsi" w:hAnsiTheme="minorHAnsi" w:cstheme="minorHAnsi"/>
                <w:sz w:val="22"/>
                <w:szCs w:val="22"/>
                <w:shd w:val="clear" w:color="auto" w:fill="FFFFFF"/>
              </w:rPr>
            </w:pPr>
          </w:p>
          <w:p w14:paraId="6F0134AA" w14:textId="77777777" w:rsidR="00E66233" w:rsidRPr="00E5521D" w:rsidRDefault="00E66233" w:rsidP="00E66233">
            <w:pPr>
              <w:pStyle w:val="CommentText"/>
              <w:rPr>
                <w:rFonts w:asciiTheme="minorHAnsi" w:hAnsiTheme="minorHAnsi" w:cstheme="minorHAnsi"/>
                <w:sz w:val="22"/>
                <w:szCs w:val="22"/>
                <w:shd w:val="clear" w:color="auto" w:fill="FFFFFF"/>
              </w:rPr>
            </w:pPr>
          </w:p>
          <w:p w14:paraId="3B15BA04" w14:textId="77777777" w:rsidR="001B0DC0" w:rsidRPr="00E5521D" w:rsidRDefault="001B0DC0" w:rsidP="00E66233">
            <w:pPr>
              <w:pStyle w:val="CommentText"/>
              <w:rPr>
                <w:rFonts w:asciiTheme="minorHAnsi" w:hAnsiTheme="minorHAnsi" w:cstheme="minorHAnsi"/>
                <w:sz w:val="22"/>
                <w:szCs w:val="22"/>
                <w:shd w:val="clear" w:color="auto" w:fill="FFFFFF"/>
              </w:rPr>
            </w:pPr>
          </w:p>
          <w:p w14:paraId="0D49C4BF" w14:textId="5A3EECF8" w:rsidR="00E66233" w:rsidRPr="00E5521D" w:rsidRDefault="00E66233" w:rsidP="00E66233">
            <w:pPr>
              <w:pStyle w:val="CommentText"/>
              <w:rPr>
                <w:rFonts w:asciiTheme="minorHAnsi" w:hAnsiTheme="minorHAnsi" w:cstheme="minorHAnsi"/>
                <w:sz w:val="22"/>
                <w:szCs w:val="22"/>
                <w:shd w:val="clear" w:color="auto" w:fill="FFFFFF"/>
              </w:rPr>
            </w:pPr>
            <w:r w:rsidRPr="00E5521D">
              <w:rPr>
                <w:rFonts w:asciiTheme="minorHAnsi" w:hAnsiTheme="minorHAnsi" w:cstheme="minorHAnsi"/>
                <w:sz w:val="22"/>
                <w:szCs w:val="22"/>
                <w:shd w:val="clear" w:color="auto" w:fill="FFFFFF"/>
              </w:rPr>
              <w:t xml:space="preserve">ONE tablet </w:t>
            </w:r>
            <w:r w:rsidR="001B0DC0" w:rsidRPr="00E5521D">
              <w:rPr>
                <w:rFonts w:asciiTheme="minorHAnsi" w:hAnsiTheme="minorHAnsi" w:cstheme="minorHAnsi"/>
                <w:sz w:val="22"/>
                <w:szCs w:val="22"/>
                <w:shd w:val="clear" w:color="auto" w:fill="FFFFFF"/>
              </w:rPr>
              <w:t>po</w:t>
            </w:r>
            <w:r w:rsidR="00D21E37" w:rsidRPr="00E5521D">
              <w:rPr>
                <w:rFonts w:asciiTheme="minorHAnsi" w:hAnsiTheme="minorHAnsi" w:cstheme="minorHAnsi"/>
                <w:sz w:val="22"/>
                <w:szCs w:val="22"/>
                <w:shd w:val="clear" w:color="auto" w:fill="FFFFFF"/>
              </w:rPr>
              <w:t xml:space="preserve"> bd</w:t>
            </w:r>
          </w:p>
        </w:tc>
      </w:tr>
      <w:tr w:rsidR="00E66233" w:rsidRPr="00E5521D" w14:paraId="34F7D703" w14:textId="620D93AC" w:rsidTr="001B0DC0">
        <w:tc>
          <w:tcPr>
            <w:tcW w:w="2773" w:type="dxa"/>
          </w:tcPr>
          <w:p w14:paraId="42B9E5AD" w14:textId="3696B3D9" w:rsidR="00E66233" w:rsidRPr="00E5521D" w:rsidRDefault="00E66233" w:rsidP="00366E47">
            <w:pPr>
              <w:pStyle w:val="NoSpacing"/>
              <w:spacing w:line="276" w:lineRule="auto"/>
              <w:rPr>
                <w:rFonts w:asciiTheme="minorHAnsi" w:hAnsiTheme="minorHAnsi" w:cstheme="minorHAnsi"/>
                <w:sz w:val="22"/>
                <w:szCs w:val="22"/>
              </w:rPr>
            </w:pPr>
            <w:r w:rsidRPr="00E5521D">
              <w:rPr>
                <w:rFonts w:asciiTheme="minorHAnsi" w:hAnsiTheme="minorHAnsi" w:cstheme="minorHAnsi"/>
                <w:sz w:val="22"/>
                <w:szCs w:val="22"/>
              </w:rPr>
              <w:t>Pyridoxine</w:t>
            </w:r>
            <w:r w:rsidR="00D21E37" w:rsidRPr="00E5521D">
              <w:rPr>
                <w:rFonts w:asciiTheme="minorHAnsi" w:hAnsiTheme="minorHAnsi" w:cstheme="minorHAnsi"/>
                <w:sz w:val="22"/>
                <w:szCs w:val="22"/>
              </w:rPr>
              <w:t xml:space="preserve"> 25mg tablet</w:t>
            </w:r>
          </w:p>
        </w:tc>
        <w:tc>
          <w:tcPr>
            <w:tcW w:w="2653" w:type="dxa"/>
          </w:tcPr>
          <w:p w14:paraId="70ACEC72" w14:textId="30D7BB25" w:rsidR="00E66233" w:rsidRPr="00E5521D" w:rsidRDefault="00254418" w:rsidP="00366E47">
            <w:pPr>
              <w:pStyle w:val="NoSpacing"/>
              <w:spacing w:line="276" w:lineRule="auto"/>
              <w:rPr>
                <w:rFonts w:asciiTheme="minorHAnsi" w:hAnsiTheme="minorHAnsi" w:cstheme="minorHAnsi"/>
                <w:sz w:val="22"/>
                <w:szCs w:val="22"/>
              </w:rPr>
            </w:pPr>
            <w:proofErr w:type="spellStart"/>
            <w:r w:rsidRPr="00E5521D">
              <w:rPr>
                <w:rFonts w:asciiTheme="minorHAnsi" w:hAnsiTheme="minorHAnsi" w:cstheme="minorHAnsi"/>
                <w:color w:val="333333"/>
                <w:sz w:val="22"/>
                <w:szCs w:val="22"/>
                <w:bdr w:val="none" w:sz="0" w:space="0" w:color="auto" w:frame="1"/>
                <w:shd w:val="clear" w:color="auto" w:fill="FFFFFF"/>
              </w:rPr>
              <w:t>Pyridox</w:t>
            </w:r>
            <w:proofErr w:type="spellEnd"/>
          </w:p>
        </w:tc>
        <w:tc>
          <w:tcPr>
            <w:tcW w:w="1699" w:type="dxa"/>
          </w:tcPr>
          <w:p w14:paraId="089A13C0" w14:textId="7225AEBE" w:rsidR="00E66233" w:rsidRPr="00E5521D" w:rsidRDefault="00D21E37" w:rsidP="00366E47">
            <w:pPr>
              <w:pStyle w:val="NoSpacing"/>
              <w:spacing w:line="276" w:lineRule="auto"/>
              <w:rPr>
                <w:rFonts w:asciiTheme="minorHAnsi" w:hAnsiTheme="minorHAnsi" w:cstheme="minorHAnsi"/>
                <w:sz w:val="22"/>
                <w:szCs w:val="22"/>
              </w:rPr>
            </w:pPr>
            <w:r w:rsidRPr="00E5521D">
              <w:rPr>
                <w:rFonts w:asciiTheme="minorHAnsi" w:hAnsiTheme="minorHAnsi" w:cstheme="minorHAnsi"/>
                <w:sz w:val="22"/>
                <w:szCs w:val="22"/>
              </w:rPr>
              <w:t xml:space="preserve">25mg </w:t>
            </w:r>
            <w:r w:rsidR="001B0DC0" w:rsidRPr="00E5521D">
              <w:rPr>
                <w:rFonts w:asciiTheme="minorHAnsi" w:hAnsiTheme="minorHAnsi" w:cstheme="minorHAnsi"/>
                <w:sz w:val="22"/>
                <w:szCs w:val="22"/>
              </w:rPr>
              <w:t>po</w:t>
            </w:r>
            <w:r w:rsidR="00254418" w:rsidRPr="00E5521D">
              <w:rPr>
                <w:rFonts w:asciiTheme="minorHAnsi" w:hAnsiTheme="minorHAnsi" w:cstheme="minorHAnsi"/>
                <w:sz w:val="22"/>
                <w:szCs w:val="22"/>
              </w:rPr>
              <w:t xml:space="preserve"> </w:t>
            </w:r>
            <w:proofErr w:type="spellStart"/>
            <w:r w:rsidRPr="00E5521D">
              <w:rPr>
                <w:rFonts w:asciiTheme="minorHAnsi" w:hAnsiTheme="minorHAnsi" w:cstheme="minorHAnsi"/>
                <w:sz w:val="22"/>
                <w:szCs w:val="22"/>
              </w:rPr>
              <w:t>tds</w:t>
            </w:r>
            <w:proofErr w:type="spellEnd"/>
          </w:p>
        </w:tc>
        <w:tc>
          <w:tcPr>
            <w:tcW w:w="1935" w:type="dxa"/>
          </w:tcPr>
          <w:p w14:paraId="3DE727D8" w14:textId="42364C06" w:rsidR="00E66233" w:rsidRPr="00E5521D" w:rsidRDefault="00D21E37" w:rsidP="00366E47">
            <w:pPr>
              <w:pStyle w:val="NoSpacing"/>
              <w:spacing w:line="276" w:lineRule="auto"/>
              <w:rPr>
                <w:rFonts w:asciiTheme="minorHAnsi" w:hAnsiTheme="minorHAnsi" w:cstheme="minorHAnsi"/>
                <w:sz w:val="22"/>
                <w:szCs w:val="22"/>
              </w:rPr>
            </w:pPr>
            <w:r w:rsidRPr="00E5521D">
              <w:rPr>
                <w:rFonts w:asciiTheme="minorHAnsi" w:hAnsiTheme="minorHAnsi" w:cstheme="minorHAnsi"/>
                <w:sz w:val="22"/>
                <w:szCs w:val="22"/>
              </w:rPr>
              <w:t xml:space="preserve">50mg </w:t>
            </w:r>
            <w:r w:rsidR="001B0DC0" w:rsidRPr="00E5521D">
              <w:rPr>
                <w:rFonts w:asciiTheme="minorHAnsi" w:hAnsiTheme="minorHAnsi" w:cstheme="minorHAnsi"/>
                <w:sz w:val="22"/>
                <w:szCs w:val="22"/>
              </w:rPr>
              <w:t>po</w:t>
            </w:r>
            <w:r w:rsidR="00254418" w:rsidRPr="00E5521D">
              <w:rPr>
                <w:rFonts w:asciiTheme="minorHAnsi" w:hAnsiTheme="minorHAnsi" w:cstheme="minorHAnsi"/>
                <w:sz w:val="22"/>
                <w:szCs w:val="22"/>
              </w:rPr>
              <w:t xml:space="preserve"> </w:t>
            </w:r>
            <w:proofErr w:type="spellStart"/>
            <w:r w:rsidRPr="00E5521D">
              <w:rPr>
                <w:rFonts w:asciiTheme="minorHAnsi" w:hAnsiTheme="minorHAnsi" w:cstheme="minorHAnsi"/>
                <w:sz w:val="22"/>
                <w:szCs w:val="22"/>
              </w:rPr>
              <w:t>qid</w:t>
            </w:r>
            <w:proofErr w:type="spellEnd"/>
          </w:p>
        </w:tc>
      </w:tr>
      <w:tr w:rsidR="00015954" w:rsidRPr="00E5521D" w14:paraId="647B9B2F" w14:textId="77777777" w:rsidTr="00015954">
        <w:tc>
          <w:tcPr>
            <w:tcW w:w="9060" w:type="dxa"/>
            <w:gridSpan w:val="4"/>
            <w:shd w:val="clear" w:color="auto" w:fill="F2F2F2" w:themeFill="background1" w:themeFillShade="F2"/>
          </w:tcPr>
          <w:p w14:paraId="055D39B5" w14:textId="0864A015" w:rsidR="00015954" w:rsidRPr="00E5521D" w:rsidRDefault="00015954" w:rsidP="00366E47">
            <w:pPr>
              <w:pStyle w:val="NoSpacing"/>
              <w:spacing w:line="276" w:lineRule="auto"/>
              <w:rPr>
                <w:rFonts w:asciiTheme="minorHAnsi" w:hAnsiTheme="minorHAnsi" w:cstheme="minorHAnsi"/>
                <w:sz w:val="24"/>
                <w:szCs w:val="24"/>
              </w:rPr>
            </w:pPr>
            <w:r w:rsidRPr="00E5521D">
              <w:rPr>
                <w:rFonts w:asciiTheme="minorHAnsi" w:hAnsiTheme="minorHAnsi" w:cstheme="minorHAnsi"/>
                <w:sz w:val="24"/>
                <w:szCs w:val="24"/>
              </w:rPr>
              <w:t>2</w:t>
            </w:r>
            <w:r w:rsidRPr="00E5521D">
              <w:rPr>
                <w:rFonts w:asciiTheme="minorHAnsi" w:hAnsiTheme="minorHAnsi" w:cstheme="minorHAnsi"/>
                <w:sz w:val="24"/>
                <w:szCs w:val="24"/>
                <w:vertAlign w:val="superscript"/>
              </w:rPr>
              <w:t>nd</w:t>
            </w:r>
            <w:r w:rsidRPr="00E5521D">
              <w:rPr>
                <w:rFonts w:asciiTheme="minorHAnsi" w:hAnsiTheme="minorHAnsi" w:cstheme="minorHAnsi"/>
                <w:sz w:val="24"/>
                <w:szCs w:val="24"/>
              </w:rPr>
              <w:t xml:space="preserve"> Line</w:t>
            </w:r>
          </w:p>
        </w:tc>
      </w:tr>
      <w:tr w:rsidR="00E66233" w:rsidRPr="00E5521D" w14:paraId="03BEBC2E" w14:textId="67F054B2" w:rsidTr="001B0DC0">
        <w:tc>
          <w:tcPr>
            <w:tcW w:w="2773" w:type="dxa"/>
          </w:tcPr>
          <w:p w14:paraId="230062D6" w14:textId="097F23E0" w:rsidR="00E66233" w:rsidRPr="00E5521D" w:rsidRDefault="00E66233" w:rsidP="00366E47">
            <w:pPr>
              <w:pStyle w:val="NoSpacing"/>
              <w:spacing w:line="276" w:lineRule="auto"/>
              <w:rPr>
                <w:rFonts w:asciiTheme="minorHAnsi" w:hAnsiTheme="minorHAnsi" w:cstheme="minorHAnsi"/>
                <w:sz w:val="22"/>
                <w:szCs w:val="22"/>
              </w:rPr>
            </w:pPr>
            <w:r w:rsidRPr="00E5521D">
              <w:rPr>
                <w:rFonts w:asciiTheme="minorHAnsi" w:hAnsiTheme="minorHAnsi" w:cstheme="minorHAnsi"/>
                <w:sz w:val="22"/>
                <w:szCs w:val="22"/>
              </w:rPr>
              <w:t>Doxylamine</w:t>
            </w:r>
            <w:r w:rsidR="001B0DC0" w:rsidRPr="00E5521D">
              <w:rPr>
                <w:rFonts w:asciiTheme="minorHAnsi" w:hAnsiTheme="minorHAnsi" w:cstheme="minorHAnsi"/>
                <w:sz w:val="22"/>
                <w:szCs w:val="22"/>
              </w:rPr>
              <w:t xml:space="preserve"> 25mg tablet or capsule</w:t>
            </w:r>
          </w:p>
        </w:tc>
        <w:tc>
          <w:tcPr>
            <w:tcW w:w="2653" w:type="dxa"/>
          </w:tcPr>
          <w:p w14:paraId="60DC6FED" w14:textId="046AB3BC" w:rsidR="00E66233" w:rsidRPr="00E5521D" w:rsidRDefault="00254418" w:rsidP="00366E47">
            <w:pPr>
              <w:pStyle w:val="NoSpacing"/>
              <w:spacing w:line="276" w:lineRule="auto"/>
              <w:rPr>
                <w:rFonts w:asciiTheme="minorHAnsi" w:hAnsiTheme="minorHAnsi" w:cstheme="minorHAnsi"/>
                <w:sz w:val="22"/>
                <w:szCs w:val="22"/>
              </w:rPr>
            </w:pPr>
            <w:proofErr w:type="spellStart"/>
            <w:r w:rsidRPr="00E5521D">
              <w:rPr>
                <w:rFonts w:asciiTheme="minorHAnsi" w:hAnsiTheme="minorHAnsi" w:cstheme="minorHAnsi"/>
                <w:sz w:val="22"/>
                <w:szCs w:val="22"/>
              </w:rPr>
              <w:t>Dozile</w:t>
            </w:r>
            <w:proofErr w:type="spellEnd"/>
            <w:r w:rsidRPr="00E5521D">
              <w:rPr>
                <w:rFonts w:asciiTheme="minorHAnsi" w:hAnsiTheme="minorHAnsi" w:cstheme="minorHAnsi"/>
                <w:sz w:val="22"/>
                <w:szCs w:val="22"/>
              </w:rPr>
              <w:t xml:space="preserve">, </w:t>
            </w:r>
            <w:proofErr w:type="spellStart"/>
            <w:r w:rsidRPr="00E5521D">
              <w:rPr>
                <w:rFonts w:asciiTheme="minorHAnsi" w:hAnsiTheme="minorHAnsi" w:cstheme="minorHAnsi"/>
                <w:sz w:val="22"/>
                <w:szCs w:val="22"/>
              </w:rPr>
              <w:t>Restamine</w:t>
            </w:r>
            <w:proofErr w:type="spellEnd"/>
            <w:r w:rsidRPr="00E5521D">
              <w:rPr>
                <w:rFonts w:asciiTheme="minorHAnsi" w:hAnsiTheme="minorHAnsi" w:cstheme="minorHAnsi"/>
                <w:sz w:val="22"/>
                <w:szCs w:val="22"/>
              </w:rPr>
              <w:t xml:space="preserve">, </w:t>
            </w:r>
            <w:proofErr w:type="spellStart"/>
            <w:r w:rsidRPr="00E5521D">
              <w:rPr>
                <w:rFonts w:asciiTheme="minorHAnsi" w:hAnsiTheme="minorHAnsi" w:cstheme="minorHAnsi"/>
                <w:sz w:val="22"/>
                <w:szCs w:val="22"/>
              </w:rPr>
              <w:t>Restavit</w:t>
            </w:r>
            <w:proofErr w:type="spellEnd"/>
            <w:r w:rsidRPr="00E5521D">
              <w:rPr>
                <w:rFonts w:asciiTheme="minorHAnsi" w:hAnsiTheme="minorHAnsi" w:cstheme="minorHAnsi"/>
                <w:sz w:val="22"/>
                <w:szCs w:val="22"/>
              </w:rPr>
              <w:t xml:space="preserve">, </w:t>
            </w:r>
            <w:proofErr w:type="spellStart"/>
            <w:r w:rsidRPr="00E5521D">
              <w:rPr>
                <w:rFonts w:asciiTheme="minorHAnsi" w:hAnsiTheme="minorHAnsi" w:cstheme="minorHAnsi"/>
                <w:sz w:val="22"/>
                <w:szCs w:val="22"/>
              </w:rPr>
              <w:t>SleepWell</w:t>
            </w:r>
            <w:proofErr w:type="spellEnd"/>
          </w:p>
        </w:tc>
        <w:tc>
          <w:tcPr>
            <w:tcW w:w="1699" w:type="dxa"/>
          </w:tcPr>
          <w:p w14:paraId="4CC0C967" w14:textId="63AB93D0" w:rsidR="00E66233" w:rsidRPr="00E5521D" w:rsidRDefault="00D21E37" w:rsidP="00366E47">
            <w:pPr>
              <w:pStyle w:val="NoSpacing"/>
              <w:spacing w:line="276" w:lineRule="auto"/>
              <w:rPr>
                <w:rFonts w:asciiTheme="minorHAnsi" w:hAnsiTheme="minorHAnsi" w:cstheme="minorHAnsi"/>
                <w:sz w:val="22"/>
                <w:szCs w:val="22"/>
              </w:rPr>
            </w:pPr>
            <w:r w:rsidRPr="00E5521D">
              <w:rPr>
                <w:rFonts w:asciiTheme="minorHAnsi" w:hAnsiTheme="minorHAnsi" w:cstheme="minorHAnsi"/>
                <w:sz w:val="22"/>
                <w:szCs w:val="22"/>
              </w:rPr>
              <w:t xml:space="preserve">12.5mg </w:t>
            </w:r>
            <w:r w:rsidR="001B0DC0" w:rsidRPr="00E5521D">
              <w:rPr>
                <w:rFonts w:asciiTheme="minorHAnsi" w:hAnsiTheme="minorHAnsi" w:cstheme="minorHAnsi"/>
                <w:sz w:val="22"/>
                <w:szCs w:val="22"/>
              </w:rPr>
              <w:t>po</w:t>
            </w:r>
            <w:r w:rsidR="00254418" w:rsidRPr="00E5521D">
              <w:rPr>
                <w:rFonts w:asciiTheme="minorHAnsi" w:hAnsiTheme="minorHAnsi" w:cstheme="minorHAnsi"/>
                <w:sz w:val="22"/>
                <w:szCs w:val="22"/>
              </w:rPr>
              <w:t xml:space="preserve"> </w:t>
            </w:r>
            <w:r w:rsidRPr="00E5521D">
              <w:rPr>
                <w:rFonts w:asciiTheme="minorHAnsi" w:hAnsiTheme="minorHAnsi" w:cstheme="minorHAnsi"/>
                <w:sz w:val="22"/>
                <w:szCs w:val="22"/>
              </w:rPr>
              <w:t>nocte</w:t>
            </w:r>
          </w:p>
        </w:tc>
        <w:tc>
          <w:tcPr>
            <w:tcW w:w="1935" w:type="dxa"/>
          </w:tcPr>
          <w:p w14:paraId="09EE1898" w14:textId="7B63C812" w:rsidR="00E66233" w:rsidRPr="00E5521D" w:rsidRDefault="00254418" w:rsidP="00366E47">
            <w:pPr>
              <w:pStyle w:val="NoSpacing"/>
              <w:spacing w:line="276" w:lineRule="auto"/>
              <w:rPr>
                <w:rFonts w:asciiTheme="minorHAnsi" w:hAnsiTheme="minorHAnsi" w:cstheme="minorHAnsi"/>
                <w:sz w:val="22"/>
                <w:szCs w:val="22"/>
              </w:rPr>
            </w:pPr>
            <w:r w:rsidRPr="00E5521D">
              <w:rPr>
                <w:rFonts w:asciiTheme="minorHAnsi" w:hAnsiTheme="minorHAnsi" w:cstheme="minorHAnsi"/>
                <w:sz w:val="22"/>
                <w:szCs w:val="22"/>
              </w:rPr>
              <w:t xml:space="preserve">50mg </w:t>
            </w:r>
            <w:r w:rsidR="001B0DC0" w:rsidRPr="00E5521D">
              <w:rPr>
                <w:rFonts w:asciiTheme="minorHAnsi" w:hAnsiTheme="minorHAnsi" w:cstheme="minorHAnsi"/>
                <w:sz w:val="22"/>
                <w:szCs w:val="22"/>
              </w:rPr>
              <w:t>po</w:t>
            </w:r>
            <w:r w:rsidRPr="00E5521D">
              <w:rPr>
                <w:rFonts w:asciiTheme="minorHAnsi" w:hAnsiTheme="minorHAnsi" w:cstheme="minorHAnsi"/>
                <w:sz w:val="22"/>
                <w:szCs w:val="22"/>
              </w:rPr>
              <w:t xml:space="preserve"> in divided doses</w:t>
            </w:r>
          </w:p>
        </w:tc>
      </w:tr>
      <w:tr w:rsidR="00E66233" w:rsidRPr="00E5521D" w14:paraId="67A92EB3" w14:textId="0E32303A" w:rsidTr="001B0DC0">
        <w:tc>
          <w:tcPr>
            <w:tcW w:w="2773" w:type="dxa"/>
          </w:tcPr>
          <w:p w14:paraId="4745E576" w14:textId="68870F56" w:rsidR="00E66233" w:rsidRPr="00E5521D" w:rsidRDefault="00E66233" w:rsidP="00366E47">
            <w:pPr>
              <w:pStyle w:val="NoSpacing"/>
              <w:spacing w:line="276" w:lineRule="auto"/>
              <w:rPr>
                <w:rFonts w:asciiTheme="minorHAnsi" w:hAnsiTheme="minorHAnsi" w:cstheme="minorHAnsi"/>
                <w:sz w:val="22"/>
                <w:szCs w:val="22"/>
              </w:rPr>
            </w:pPr>
            <w:r w:rsidRPr="00E5521D">
              <w:rPr>
                <w:rFonts w:asciiTheme="minorHAnsi" w:hAnsiTheme="minorHAnsi" w:cstheme="minorHAnsi"/>
                <w:sz w:val="22"/>
                <w:szCs w:val="22"/>
              </w:rPr>
              <w:t>Promethazine</w:t>
            </w:r>
            <w:r w:rsidR="001B0DC0" w:rsidRPr="00E5521D">
              <w:rPr>
                <w:rFonts w:asciiTheme="minorHAnsi" w:hAnsiTheme="minorHAnsi" w:cstheme="minorHAnsi"/>
                <w:sz w:val="22"/>
                <w:szCs w:val="22"/>
              </w:rPr>
              <w:t xml:space="preserve"> 10/25mg tablet</w:t>
            </w:r>
          </w:p>
        </w:tc>
        <w:tc>
          <w:tcPr>
            <w:tcW w:w="2653" w:type="dxa"/>
          </w:tcPr>
          <w:p w14:paraId="5F80B4E9" w14:textId="05B33D11" w:rsidR="00E66233" w:rsidRPr="00E5521D" w:rsidRDefault="00254418" w:rsidP="00366E47">
            <w:pPr>
              <w:pStyle w:val="NoSpacing"/>
              <w:spacing w:line="276" w:lineRule="auto"/>
              <w:rPr>
                <w:rFonts w:asciiTheme="minorHAnsi" w:hAnsiTheme="minorHAnsi" w:cstheme="minorHAnsi"/>
                <w:sz w:val="22"/>
                <w:szCs w:val="22"/>
              </w:rPr>
            </w:pPr>
            <w:proofErr w:type="spellStart"/>
            <w:r w:rsidRPr="00E5521D">
              <w:rPr>
                <w:rFonts w:asciiTheme="minorHAnsi" w:hAnsiTheme="minorHAnsi" w:cstheme="minorHAnsi"/>
                <w:sz w:val="22"/>
                <w:szCs w:val="22"/>
              </w:rPr>
              <w:t>Allersoothe</w:t>
            </w:r>
            <w:proofErr w:type="spellEnd"/>
            <w:r w:rsidRPr="00E5521D">
              <w:rPr>
                <w:rFonts w:asciiTheme="minorHAnsi" w:hAnsiTheme="minorHAnsi" w:cstheme="minorHAnsi"/>
                <w:sz w:val="22"/>
                <w:szCs w:val="22"/>
              </w:rPr>
              <w:t xml:space="preserve">, </w:t>
            </w:r>
            <w:proofErr w:type="spellStart"/>
            <w:r w:rsidRPr="00E5521D">
              <w:rPr>
                <w:rFonts w:asciiTheme="minorHAnsi" w:hAnsiTheme="minorHAnsi" w:cstheme="minorHAnsi"/>
                <w:sz w:val="22"/>
                <w:szCs w:val="22"/>
              </w:rPr>
              <w:t>Fenezal</w:t>
            </w:r>
            <w:proofErr w:type="spellEnd"/>
            <w:r w:rsidRPr="00E5521D">
              <w:rPr>
                <w:rFonts w:asciiTheme="minorHAnsi" w:hAnsiTheme="minorHAnsi" w:cstheme="minorHAnsi"/>
                <w:sz w:val="22"/>
                <w:szCs w:val="22"/>
              </w:rPr>
              <w:t>, Phenergan</w:t>
            </w:r>
          </w:p>
        </w:tc>
        <w:tc>
          <w:tcPr>
            <w:tcW w:w="1699" w:type="dxa"/>
          </w:tcPr>
          <w:p w14:paraId="358D2068" w14:textId="5E64D9C2" w:rsidR="00E66233" w:rsidRPr="00E5521D" w:rsidRDefault="00254418" w:rsidP="00366E47">
            <w:pPr>
              <w:pStyle w:val="NoSpacing"/>
              <w:spacing w:line="276" w:lineRule="auto"/>
              <w:rPr>
                <w:rFonts w:asciiTheme="minorHAnsi" w:hAnsiTheme="minorHAnsi" w:cstheme="minorHAnsi"/>
                <w:sz w:val="22"/>
                <w:szCs w:val="22"/>
              </w:rPr>
            </w:pPr>
            <w:r w:rsidRPr="00E5521D">
              <w:rPr>
                <w:rFonts w:asciiTheme="minorHAnsi" w:hAnsiTheme="minorHAnsi" w:cstheme="minorHAnsi"/>
                <w:sz w:val="22"/>
                <w:szCs w:val="22"/>
              </w:rPr>
              <w:t xml:space="preserve">10-25mg </w:t>
            </w:r>
            <w:r w:rsidR="001B0DC0" w:rsidRPr="00E5521D">
              <w:rPr>
                <w:rFonts w:asciiTheme="minorHAnsi" w:hAnsiTheme="minorHAnsi" w:cstheme="minorHAnsi"/>
                <w:sz w:val="22"/>
                <w:szCs w:val="22"/>
              </w:rPr>
              <w:t xml:space="preserve">po </w:t>
            </w:r>
            <w:r w:rsidRPr="00E5521D">
              <w:rPr>
                <w:rFonts w:asciiTheme="minorHAnsi" w:hAnsiTheme="minorHAnsi" w:cstheme="minorHAnsi"/>
                <w:sz w:val="22"/>
                <w:szCs w:val="22"/>
              </w:rPr>
              <w:t xml:space="preserve">od - </w:t>
            </w:r>
            <w:proofErr w:type="spellStart"/>
            <w:r w:rsidRPr="00E5521D">
              <w:rPr>
                <w:rFonts w:asciiTheme="minorHAnsi" w:hAnsiTheme="minorHAnsi" w:cstheme="minorHAnsi"/>
                <w:sz w:val="22"/>
                <w:szCs w:val="22"/>
              </w:rPr>
              <w:t>tds</w:t>
            </w:r>
            <w:proofErr w:type="spellEnd"/>
          </w:p>
        </w:tc>
        <w:tc>
          <w:tcPr>
            <w:tcW w:w="1935" w:type="dxa"/>
          </w:tcPr>
          <w:p w14:paraId="3670CC9B" w14:textId="185AF616" w:rsidR="00E66233" w:rsidRPr="00E5521D" w:rsidRDefault="00254418" w:rsidP="00366E47">
            <w:pPr>
              <w:pStyle w:val="NoSpacing"/>
              <w:spacing w:line="276" w:lineRule="auto"/>
              <w:rPr>
                <w:rFonts w:asciiTheme="minorHAnsi" w:hAnsiTheme="minorHAnsi" w:cstheme="minorHAnsi"/>
                <w:sz w:val="22"/>
                <w:szCs w:val="22"/>
              </w:rPr>
            </w:pPr>
            <w:r w:rsidRPr="00E5521D">
              <w:rPr>
                <w:rFonts w:asciiTheme="minorHAnsi" w:hAnsiTheme="minorHAnsi" w:cstheme="minorHAnsi"/>
                <w:sz w:val="22"/>
                <w:szCs w:val="22"/>
              </w:rPr>
              <w:t xml:space="preserve">75mg </w:t>
            </w:r>
            <w:r w:rsidR="001B0DC0" w:rsidRPr="00E5521D">
              <w:rPr>
                <w:rFonts w:asciiTheme="minorHAnsi" w:hAnsiTheme="minorHAnsi" w:cstheme="minorHAnsi"/>
                <w:sz w:val="22"/>
                <w:szCs w:val="22"/>
              </w:rPr>
              <w:t>po</w:t>
            </w:r>
            <w:r w:rsidRPr="00E5521D">
              <w:rPr>
                <w:rFonts w:asciiTheme="minorHAnsi" w:hAnsiTheme="minorHAnsi" w:cstheme="minorHAnsi"/>
                <w:sz w:val="22"/>
                <w:szCs w:val="22"/>
              </w:rPr>
              <w:t xml:space="preserve"> in divided doses</w:t>
            </w:r>
          </w:p>
        </w:tc>
      </w:tr>
      <w:tr w:rsidR="00E66233" w:rsidRPr="00E5521D" w14:paraId="440DE6DA" w14:textId="20661E3E" w:rsidTr="001B0DC0">
        <w:tc>
          <w:tcPr>
            <w:tcW w:w="2773" w:type="dxa"/>
          </w:tcPr>
          <w:p w14:paraId="607183FC" w14:textId="7ADD2123" w:rsidR="00E66233" w:rsidRPr="00E5521D" w:rsidRDefault="00E66233" w:rsidP="00366E47">
            <w:pPr>
              <w:pStyle w:val="NoSpacing"/>
              <w:spacing w:line="276" w:lineRule="auto"/>
              <w:rPr>
                <w:rFonts w:asciiTheme="minorHAnsi" w:hAnsiTheme="minorHAnsi" w:cstheme="minorHAnsi"/>
                <w:sz w:val="22"/>
                <w:szCs w:val="22"/>
              </w:rPr>
            </w:pPr>
            <w:r w:rsidRPr="00E5521D">
              <w:rPr>
                <w:rFonts w:asciiTheme="minorHAnsi" w:hAnsiTheme="minorHAnsi" w:cstheme="minorHAnsi"/>
                <w:sz w:val="22"/>
                <w:szCs w:val="22"/>
              </w:rPr>
              <w:lastRenderedPageBreak/>
              <w:t>Metoclopramide</w:t>
            </w:r>
            <w:r w:rsidR="001B0DC0" w:rsidRPr="00E5521D">
              <w:rPr>
                <w:rFonts w:asciiTheme="minorHAnsi" w:hAnsiTheme="minorHAnsi" w:cstheme="minorHAnsi"/>
                <w:sz w:val="22"/>
                <w:szCs w:val="22"/>
              </w:rPr>
              <w:t xml:space="preserve"> 10mg tablet</w:t>
            </w:r>
          </w:p>
        </w:tc>
        <w:tc>
          <w:tcPr>
            <w:tcW w:w="2653" w:type="dxa"/>
          </w:tcPr>
          <w:p w14:paraId="7DE13728" w14:textId="60B3D1C0" w:rsidR="00E66233" w:rsidRPr="00E5521D" w:rsidRDefault="00254418" w:rsidP="00366E47">
            <w:pPr>
              <w:pStyle w:val="NoSpacing"/>
              <w:spacing w:line="276" w:lineRule="auto"/>
              <w:rPr>
                <w:rFonts w:asciiTheme="minorHAnsi" w:hAnsiTheme="minorHAnsi" w:cstheme="minorHAnsi"/>
                <w:sz w:val="22"/>
                <w:szCs w:val="22"/>
              </w:rPr>
            </w:pPr>
            <w:proofErr w:type="spellStart"/>
            <w:r w:rsidRPr="00E5521D">
              <w:rPr>
                <w:rFonts w:asciiTheme="minorHAnsi" w:hAnsiTheme="minorHAnsi" w:cstheme="minorHAnsi"/>
                <w:sz w:val="22"/>
                <w:szCs w:val="22"/>
              </w:rPr>
              <w:t>Pramin</w:t>
            </w:r>
            <w:proofErr w:type="spellEnd"/>
            <w:r w:rsidRPr="00E5521D">
              <w:rPr>
                <w:rFonts w:asciiTheme="minorHAnsi" w:hAnsiTheme="minorHAnsi" w:cstheme="minorHAnsi"/>
                <w:sz w:val="22"/>
                <w:szCs w:val="22"/>
              </w:rPr>
              <w:t xml:space="preserve">, </w:t>
            </w:r>
            <w:proofErr w:type="spellStart"/>
            <w:r w:rsidRPr="00E5521D">
              <w:rPr>
                <w:rFonts w:asciiTheme="minorHAnsi" w:hAnsiTheme="minorHAnsi" w:cstheme="minorHAnsi"/>
                <w:sz w:val="22"/>
                <w:szCs w:val="22"/>
              </w:rPr>
              <w:t>Emexlon</w:t>
            </w:r>
            <w:proofErr w:type="spellEnd"/>
            <w:r w:rsidRPr="00E5521D">
              <w:rPr>
                <w:rFonts w:asciiTheme="minorHAnsi" w:hAnsiTheme="minorHAnsi" w:cstheme="minorHAnsi"/>
                <w:sz w:val="22"/>
                <w:szCs w:val="22"/>
              </w:rPr>
              <w:t xml:space="preserve">, </w:t>
            </w:r>
            <w:proofErr w:type="spellStart"/>
            <w:r w:rsidRPr="00E5521D">
              <w:rPr>
                <w:rFonts w:asciiTheme="minorHAnsi" w:hAnsiTheme="minorHAnsi" w:cstheme="minorHAnsi"/>
                <w:sz w:val="22"/>
                <w:szCs w:val="22"/>
              </w:rPr>
              <w:t>Maxolon</w:t>
            </w:r>
            <w:proofErr w:type="spellEnd"/>
          </w:p>
        </w:tc>
        <w:tc>
          <w:tcPr>
            <w:tcW w:w="1699" w:type="dxa"/>
          </w:tcPr>
          <w:p w14:paraId="4961186F" w14:textId="4B82ECE3" w:rsidR="00E66233" w:rsidRPr="00E5521D" w:rsidRDefault="00254418" w:rsidP="00366E47">
            <w:pPr>
              <w:pStyle w:val="NoSpacing"/>
              <w:spacing w:line="276" w:lineRule="auto"/>
              <w:rPr>
                <w:rFonts w:asciiTheme="minorHAnsi" w:hAnsiTheme="minorHAnsi" w:cstheme="minorHAnsi"/>
                <w:sz w:val="22"/>
                <w:szCs w:val="22"/>
              </w:rPr>
            </w:pPr>
            <w:r w:rsidRPr="00E5521D">
              <w:rPr>
                <w:rFonts w:asciiTheme="minorHAnsi" w:hAnsiTheme="minorHAnsi" w:cstheme="minorHAnsi"/>
                <w:sz w:val="22"/>
                <w:szCs w:val="22"/>
              </w:rPr>
              <w:t xml:space="preserve">10mg </w:t>
            </w:r>
            <w:r w:rsidR="001B0DC0" w:rsidRPr="00E5521D">
              <w:rPr>
                <w:rFonts w:asciiTheme="minorHAnsi" w:hAnsiTheme="minorHAnsi" w:cstheme="minorHAnsi"/>
                <w:sz w:val="22"/>
                <w:szCs w:val="22"/>
              </w:rPr>
              <w:t>po</w:t>
            </w:r>
            <w:r w:rsidRPr="00E5521D">
              <w:rPr>
                <w:rFonts w:asciiTheme="minorHAnsi" w:hAnsiTheme="minorHAnsi" w:cstheme="minorHAnsi"/>
                <w:sz w:val="22"/>
                <w:szCs w:val="22"/>
              </w:rPr>
              <w:t xml:space="preserve"> </w:t>
            </w:r>
            <w:proofErr w:type="spellStart"/>
            <w:r w:rsidRPr="00E5521D">
              <w:rPr>
                <w:rFonts w:asciiTheme="minorHAnsi" w:hAnsiTheme="minorHAnsi" w:cstheme="minorHAnsi"/>
                <w:sz w:val="22"/>
                <w:szCs w:val="22"/>
              </w:rPr>
              <w:t>tds</w:t>
            </w:r>
            <w:proofErr w:type="spellEnd"/>
            <w:r w:rsidRPr="00E5521D">
              <w:rPr>
                <w:rFonts w:asciiTheme="minorHAnsi" w:hAnsiTheme="minorHAnsi" w:cstheme="minorHAnsi"/>
                <w:sz w:val="22"/>
                <w:szCs w:val="22"/>
              </w:rPr>
              <w:t>, 30 minutes before meals</w:t>
            </w:r>
          </w:p>
        </w:tc>
        <w:tc>
          <w:tcPr>
            <w:tcW w:w="1935" w:type="dxa"/>
          </w:tcPr>
          <w:p w14:paraId="08A2F264" w14:textId="0809C70E" w:rsidR="00E66233" w:rsidRPr="00E5521D" w:rsidRDefault="00254418" w:rsidP="00366E47">
            <w:pPr>
              <w:pStyle w:val="NoSpacing"/>
              <w:spacing w:line="276" w:lineRule="auto"/>
              <w:rPr>
                <w:rFonts w:asciiTheme="minorHAnsi" w:hAnsiTheme="minorHAnsi" w:cstheme="minorHAnsi"/>
                <w:sz w:val="22"/>
                <w:szCs w:val="22"/>
              </w:rPr>
            </w:pPr>
            <w:r w:rsidRPr="00E5521D">
              <w:rPr>
                <w:rFonts w:asciiTheme="minorHAnsi" w:hAnsiTheme="minorHAnsi" w:cstheme="minorHAnsi"/>
                <w:sz w:val="22"/>
                <w:szCs w:val="22"/>
              </w:rPr>
              <w:t xml:space="preserve">30mg </w:t>
            </w:r>
            <w:r w:rsidR="001B0DC0" w:rsidRPr="00E5521D">
              <w:rPr>
                <w:rFonts w:asciiTheme="minorHAnsi" w:hAnsiTheme="minorHAnsi" w:cstheme="minorHAnsi"/>
                <w:sz w:val="22"/>
                <w:szCs w:val="22"/>
              </w:rPr>
              <w:t>po</w:t>
            </w:r>
            <w:r w:rsidRPr="00E5521D">
              <w:rPr>
                <w:rFonts w:asciiTheme="minorHAnsi" w:hAnsiTheme="minorHAnsi" w:cstheme="minorHAnsi"/>
                <w:sz w:val="22"/>
                <w:szCs w:val="22"/>
              </w:rPr>
              <w:t xml:space="preserve"> in divided doses</w:t>
            </w:r>
          </w:p>
        </w:tc>
      </w:tr>
      <w:tr w:rsidR="00E66233" w:rsidRPr="00E5521D" w14:paraId="6AA97310" w14:textId="6E398CD7" w:rsidTr="001B0DC0">
        <w:tc>
          <w:tcPr>
            <w:tcW w:w="2773" w:type="dxa"/>
          </w:tcPr>
          <w:p w14:paraId="645E13A2" w14:textId="623A5251" w:rsidR="00E66233" w:rsidRPr="00E5521D" w:rsidRDefault="00E66233" w:rsidP="00366E47">
            <w:pPr>
              <w:pStyle w:val="NoSpacing"/>
              <w:spacing w:line="276" w:lineRule="auto"/>
              <w:rPr>
                <w:rFonts w:asciiTheme="minorHAnsi" w:hAnsiTheme="minorHAnsi" w:cstheme="minorHAnsi"/>
                <w:sz w:val="22"/>
                <w:szCs w:val="22"/>
              </w:rPr>
            </w:pPr>
            <w:r w:rsidRPr="00E5521D">
              <w:rPr>
                <w:rFonts w:asciiTheme="minorHAnsi" w:hAnsiTheme="minorHAnsi" w:cstheme="minorHAnsi"/>
                <w:sz w:val="22"/>
                <w:szCs w:val="22"/>
              </w:rPr>
              <w:t>Prochlorperazine</w:t>
            </w:r>
            <w:r w:rsidR="001B0DC0" w:rsidRPr="00E5521D">
              <w:rPr>
                <w:rFonts w:asciiTheme="minorHAnsi" w:hAnsiTheme="minorHAnsi" w:cstheme="minorHAnsi"/>
                <w:sz w:val="22"/>
                <w:szCs w:val="22"/>
              </w:rPr>
              <w:t xml:space="preserve"> 5mg tablet</w:t>
            </w:r>
          </w:p>
        </w:tc>
        <w:tc>
          <w:tcPr>
            <w:tcW w:w="2653" w:type="dxa"/>
          </w:tcPr>
          <w:p w14:paraId="082410E9" w14:textId="03C23101" w:rsidR="00E66233" w:rsidRPr="00E5521D" w:rsidRDefault="001B0DC0" w:rsidP="00366E47">
            <w:pPr>
              <w:pStyle w:val="NoSpacing"/>
              <w:spacing w:line="276" w:lineRule="auto"/>
              <w:rPr>
                <w:rFonts w:asciiTheme="minorHAnsi" w:hAnsiTheme="minorHAnsi" w:cstheme="minorHAnsi"/>
                <w:sz w:val="22"/>
                <w:szCs w:val="22"/>
              </w:rPr>
            </w:pPr>
            <w:proofErr w:type="spellStart"/>
            <w:r w:rsidRPr="00E5521D">
              <w:rPr>
                <w:rFonts w:asciiTheme="minorHAnsi" w:hAnsiTheme="minorHAnsi" w:cstheme="minorHAnsi"/>
                <w:sz w:val="22"/>
                <w:szCs w:val="22"/>
              </w:rPr>
              <w:t>Nausetil</w:t>
            </w:r>
            <w:proofErr w:type="spellEnd"/>
            <w:r w:rsidRPr="00E5521D">
              <w:rPr>
                <w:rFonts w:asciiTheme="minorHAnsi" w:hAnsiTheme="minorHAnsi" w:cstheme="minorHAnsi"/>
                <w:sz w:val="22"/>
                <w:szCs w:val="22"/>
              </w:rPr>
              <w:t xml:space="preserve">, </w:t>
            </w:r>
            <w:proofErr w:type="spellStart"/>
            <w:r w:rsidRPr="00E5521D">
              <w:rPr>
                <w:rFonts w:asciiTheme="minorHAnsi" w:hAnsiTheme="minorHAnsi" w:cstheme="minorHAnsi"/>
                <w:sz w:val="22"/>
                <w:szCs w:val="22"/>
              </w:rPr>
              <w:t>Procalm</w:t>
            </w:r>
            <w:proofErr w:type="spellEnd"/>
            <w:r w:rsidRPr="00E5521D">
              <w:rPr>
                <w:rFonts w:asciiTheme="minorHAnsi" w:hAnsiTheme="minorHAnsi" w:cstheme="minorHAnsi"/>
                <w:sz w:val="22"/>
                <w:szCs w:val="22"/>
              </w:rPr>
              <w:t xml:space="preserve">, </w:t>
            </w:r>
            <w:proofErr w:type="spellStart"/>
            <w:r w:rsidRPr="00E5521D">
              <w:rPr>
                <w:rFonts w:asciiTheme="minorHAnsi" w:hAnsiTheme="minorHAnsi" w:cstheme="minorHAnsi"/>
                <w:sz w:val="22"/>
                <w:szCs w:val="22"/>
              </w:rPr>
              <w:t>Stemetil</w:t>
            </w:r>
            <w:proofErr w:type="spellEnd"/>
            <w:r w:rsidRPr="00E5521D">
              <w:rPr>
                <w:rFonts w:asciiTheme="minorHAnsi" w:hAnsiTheme="minorHAnsi" w:cstheme="minorHAnsi"/>
                <w:sz w:val="22"/>
                <w:szCs w:val="22"/>
              </w:rPr>
              <w:t xml:space="preserve">, </w:t>
            </w:r>
            <w:proofErr w:type="spellStart"/>
            <w:r w:rsidRPr="00E5521D">
              <w:rPr>
                <w:rFonts w:asciiTheme="minorHAnsi" w:hAnsiTheme="minorHAnsi" w:cstheme="minorHAnsi"/>
                <w:sz w:val="22"/>
                <w:szCs w:val="22"/>
              </w:rPr>
              <w:t>Stemzine</w:t>
            </w:r>
            <w:proofErr w:type="spellEnd"/>
            <w:r w:rsidRPr="00E5521D">
              <w:rPr>
                <w:rFonts w:asciiTheme="minorHAnsi" w:hAnsiTheme="minorHAnsi" w:cstheme="minorHAnsi"/>
                <w:sz w:val="22"/>
                <w:szCs w:val="22"/>
              </w:rPr>
              <w:t xml:space="preserve">, </w:t>
            </w:r>
            <w:proofErr w:type="spellStart"/>
            <w:r w:rsidRPr="00E5521D">
              <w:rPr>
                <w:rFonts w:asciiTheme="minorHAnsi" w:hAnsiTheme="minorHAnsi" w:cstheme="minorHAnsi"/>
                <w:sz w:val="22"/>
                <w:szCs w:val="22"/>
              </w:rPr>
              <w:t>Nausrelief</w:t>
            </w:r>
            <w:proofErr w:type="spellEnd"/>
          </w:p>
        </w:tc>
        <w:tc>
          <w:tcPr>
            <w:tcW w:w="1699" w:type="dxa"/>
          </w:tcPr>
          <w:p w14:paraId="0913D8B6" w14:textId="0F67912E" w:rsidR="00E66233" w:rsidRPr="00E5521D" w:rsidRDefault="00254418" w:rsidP="00366E47">
            <w:pPr>
              <w:pStyle w:val="NoSpacing"/>
              <w:spacing w:line="276" w:lineRule="auto"/>
              <w:rPr>
                <w:rFonts w:asciiTheme="minorHAnsi" w:hAnsiTheme="minorHAnsi" w:cstheme="minorHAnsi"/>
                <w:sz w:val="22"/>
                <w:szCs w:val="22"/>
              </w:rPr>
            </w:pPr>
            <w:r w:rsidRPr="00E5521D">
              <w:rPr>
                <w:rFonts w:asciiTheme="minorHAnsi" w:hAnsiTheme="minorHAnsi" w:cstheme="minorHAnsi"/>
                <w:sz w:val="22"/>
                <w:szCs w:val="22"/>
              </w:rPr>
              <w:t xml:space="preserve">5-10mg </w:t>
            </w:r>
            <w:r w:rsidR="001B0DC0" w:rsidRPr="00E5521D">
              <w:rPr>
                <w:rFonts w:asciiTheme="minorHAnsi" w:hAnsiTheme="minorHAnsi" w:cstheme="minorHAnsi"/>
                <w:sz w:val="22"/>
                <w:szCs w:val="22"/>
              </w:rPr>
              <w:t xml:space="preserve">po </w:t>
            </w:r>
            <w:proofErr w:type="spellStart"/>
            <w:r w:rsidR="001B0DC0" w:rsidRPr="00E5521D">
              <w:rPr>
                <w:rFonts w:asciiTheme="minorHAnsi" w:hAnsiTheme="minorHAnsi" w:cstheme="minorHAnsi"/>
                <w:sz w:val="22"/>
                <w:szCs w:val="22"/>
              </w:rPr>
              <w:t>tds</w:t>
            </w:r>
            <w:proofErr w:type="spellEnd"/>
          </w:p>
        </w:tc>
        <w:tc>
          <w:tcPr>
            <w:tcW w:w="1935" w:type="dxa"/>
          </w:tcPr>
          <w:p w14:paraId="30DCFBE2" w14:textId="17946C5A" w:rsidR="00E66233" w:rsidRPr="00E5521D" w:rsidRDefault="001B0DC0" w:rsidP="00366E47">
            <w:pPr>
              <w:pStyle w:val="NoSpacing"/>
              <w:spacing w:line="276" w:lineRule="auto"/>
              <w:rPr>
                <w:rFonts w:asciiTheme="minorHAnsi" w:hAnsiTheme="minorHAnsi" w:cstheme="minorHAnsi"/>
                <w:sz w:val="22"/>
                <w:szCs w:val="22"/>
              </w:rPr>
            </w:pPr>
            <w:r w:rsidRPr="00E5521D">
              <w:rPr>
                <w:rFonts w:asciiTheme="minorHAnsi" w:hAnsiTheme="minorHAnsi" w:cstheme="minorHAnsi"/>
                <w:sz w:val="22"/>
                <w:szCs w:val="22"/>
              </w:rPr>
              <w:t>30mg po in divided doses</w:t>
            </w:r>
          </w:p>
        </w:tc>
      </w:tr>
      <w:tr w:rsidR="00015954" w:rsidRPr="00E5521D" w14:paraId="476F50EE" w14:textId="77777777" w:rsidTr="00015954">
        <w:tc>
          <w:tcPr>
            <w:tcW w:w="9060" w:type="dxa"/>
            <w:gridSpan w:val="4"/>
            <w:shd w:val="clear" w:color="auto" w:fill="F2F2F2" w:themeFill="background1" w:themeFillShade="F2"/>
          </w:tcPr>
          <w:p w14:paraId="16BC0DEF" w14:textId="7A83D73A" w:rsidR="00015954" w:rsidRPr="00E5521D" w:rsidRDefault="00015954" w:rsidP="00366E47">
            <w:pPr>
              <w:pStyle w:val="NoSpacing"/>
              <w:spacing w:line="276" w:lineRule="auto"/>
              <w:rPr>
                <w:rFonts w:asciiTheme="minorHAnsi" w:hAnsiTheme="minorHAnsi" w:cstheme="minorHAnsi"/>
                <w:sz w:val="24"/>
                <w:szCs w:val="24"/>
              </w:rPr>
            </w:pPr>
            <w:r w:rsidRPr="00E5521D">
              <w:rPr>
                <w:rFonts w:asciiTheme="minorHAnsi" w:hAnsiTheme="minorHAnsi" w:cstheme="minorHAnsi"/>
                <w:sz w:val="24"/>
                <w:szCs w:val="24"/>
              </w:rPr>
              <w:t>3</w:t>
            </w:r>
            <w:r w:rsidRPr="00E5521D">
              <w:rPr>
                <w:rFonts w:asciiTheme="minorHAnsi" w:hAnsiTheme="minorHAnsi" w:cstheme="minorHAnsi"/>
                <w:sz w:val="24"/>
                <w:szCs w:val="24"/>
                <w:vertAlign w:val="superscript"/>
              </w:rPr>
              <w:t>rd</w:t>
            </w:r>
            <w:r w:rsidRPr="00E5521D">
              <w:rPr>
                <w:rFonts w:asciiTheme="minorHAnsi" w:hAnsiTheme="minorHAnsi" w:cstheme="minorHAnsi"/>
                <w:sz w:val="24"/>
                <w:szCs w:val="24"/>
              </w:rPr>
              <w:t xml:space="preserve"> Line</w:t>
            </w:r>
          </w:p>
        </w:tc>
      </w:tr>
      <w:tr w:rsidR="00E66233" w:rsidRPr="00E5521D" w14:paraId="5ABE4797" w14:textId="28B7D69C" w:rsidTr="001B0DC0">
        <w:tc>
          <w:tcPr>
            <w:tcW w:w="2773" w:type="dxa"/>
          </w:tcPr>
          <w:p w14:paraId="01B02467" w14:textId="43EDA9BE" w:rsidR="00E66233" w:rsidRPr="00E5521D" w:rsidRDefault="00E66233" w:rsidP="00366E47">
            <w:pPr>
              <w:pStyle w:val="NoSpacing"/>
              <w:spacing w:line="276" w:lineRule="auto"/>
              <w:rPr>
                <w:rFonts w:asciiTheme="minorHAnsi" w:hAnsiTheme="minorHAnsi" w:cstheme="minorHAnsi"/>
                <w:sz w:val="22"/>
                <w:szCs w:val="22"/>
              </w:rPr>
            </w:pPr>
            <w:r w:rsidRPr="00E5521D">
              <w:rPr>
                <w:rFonts w:asciiTheme="minorHAnsi" w:hAnsiTheme="minorHAnsi" w:cstheme="minorHAnsi"/>
                <w:sz w:val="22"/>
                <w:szCs w:val="22"/>
              </w:rPr>
              <w:t>Ondansetron</w:t>
            </w:r>
            <w:r w:rsidR="001B0DC0" w:rsidRPr="00E5521D">
              <w:rPr>
                <w:rFonts w:asciiTheme="minorHAnsi" w:hAnsiTheme="minorHAnsi" w:cstheme="minorHAnsi"/>
                <w:sz w:val="22"/>
                <w:szCs w:val="22"/>
              </w:rPr>
              <w:t xml:space="preserve"> 4/8mg tablet or wafer</w:t>
            </w:r>
          </w:p>
        </w:tc>
        <w:tc>
          <w:tcPr>
            <w:tcW w:w="2653" w:type="dxa"/>
          </w:tcPr>
          <w:p w14:paraId="5D7132FF" w14:textId="2EEF4700" w:rsidR="00E66233" w:rsidRPr="00E5521D" w:rsidRDefault="001B0DC0" w:rsidP="00366E47">
            <w:pPr>
              <w:pStyle w:val="NoSpacing"/>
              <w:spacing w:line="276" w:lineRule="auto"/>
              <w:rPr>
                <w:rFonts w:asciiTheme="minorHAnsi" w:hAnsiTheme="minorHAnsi" w:cstheme="minorHAnsi"/>
                <w:sz w:val="22"/>
                <w:szCs w:val="22"/>
              </w:rPr>
            </w:pPr>
            <w:r w:rsidRPr="00E5521D">
              <w:rPr>
                <w:rFonts w:asciiTheme="minorHAnsi" w:hAnsiTheme="minorHAnsi" w:cstheme="minorHAnsi"/>
                <w:sz w:val="22"/>
                <w:szCs w:val="22"/>
              </w:rPr>
              <w:t xml:space="preserve">Zofran, </w:t>
            </w:r>
            <w:proofErr w:type="spellStart"/>
            <w:r w:rsidRPr="00E5521D">
              <w:rPr>
                <w:rFonts w:asciiTheme="minorHAnsi" w:hAnsiTheme="minorHAnsi" w:cstheme="minorHAnsi"/>
                <w:sz w:val="22"/>
                <w:szCs w:val="22"/>
              </w:rPr>
              <w:t>Zoten</w:t>
            </w:r>
            <w:proofErr w:type="spellEnd"/>
          </w:p>
        </w:tc>
        <w:tc>
          <w:tcPr>
            <w:tcW w:w="1699" w:type="dxa"/>
          </w:tcPr>
          <w:p w14:paraId="58F32BA3" w14:textId="568C700D" w:rsidR="00E66233" w:rsidRPr="00E5521D" w:rsidRDefault="001B0DC0" w:rsidP="00366E47">
            <w:pPr>
              <w:pStyle w:val="NoSpacing"/>
              <w:spacing w:line="276" w:lineRule="auto"/>
              <w:rPr>
                <w:rFonts w:asciiTheme="minorHAnsi" w:hAnsiTheme="minorHAnsi" w:cstheme="minorHAnsi"/>
                <w:sz w:val="22"/>
                <w:szCs w:val="22"/>
              </w:rPr>
            </w:pPr>
            <w:r w:rsidRPr="00E5521D">
              <w:rPr>
                <w:rFonts w:asciiTheme="minorHAnsi" w:hAnsiTheme="minorHAnsi" w:cstheme="minorHAnsi"/>
                <w:sz w:val="22"/>
                <w:szCs w:val="22"/>
              </w:rPr>
              <w:t>4-8mg po bd-</w:t>
            </w:r>
            <w:proofErr w:type="spellStart"/>
            <w:r w:rsidRPr="00E5521D">
              <w:rPr>
                <w:rFonts w:asciiTheme="minorHAnsi" w:hAnsiTheme="minorHAnsi" w:cstheme="minorHAnsi"/>
                <w:sz w:val="22"/>
                <w:szCs w:val="22"/>
              </w:rPr>
              <w:t>tds</w:t>
            </w:r>
            <w:proofErr w:type="spellEnd"/>
          </w:p>
        </w:tc>
        <w:tc>
          <w:tcPr>
            <w:tcW w:w="1935" w:type="dxa"/>
          </w:tcPr>
          <w:p w14:paraId="2FB0D96B" w14:textId="2D180204" w:rsidR="00E66233" w:rsidRPr="00E5521D" w:rsidRDefault="001B0DC0" w:rsidP="00366E47">
            <w:pPr>
              <w:pStyle w:val="NoSpacing"/>
              <w:spacing w:line="276" w:lineRule="auto"/>
              <w:rPr>
                <w:rFonts w:asciiTheme="minorHAnsi" w:hAnsiTheme="minorHAnsi" w:cstheme="minorHAnsi"/>
                <w:sz w:val="22"/>
                <w:szCs w:val="22"/>
              </w:rPr>
            </w:pPr>
            <w:r w:rsidRPr="00E5521D">
              <w:rPr>
                <w:rFonts w:asciiTheme="minorHAnsi" w:hAnsiTheme="minorHAnsi" w:cstheme="minorHAnsi"/>
                <w:sz w:val="22"/>
                <w:szCs w:val="22"/>
              </w:rPr>
              <w:t>24mg po in divided doses</w:t>
            </w:r>
          </w:p>
        </w:tc>
      </w:tr>
    </w:tbl>
    <w:p w14:paraId="12E79464" w14:textId="4982D975" w:rsidR="00366E47" w:rsidRDefault="00C521D5" w:rsidP="00C521D5">
      <w:pPr>
        <w:pStyle w:val="NoSpacing"/>
        <w:spacing w:line="276" w:lineRule="auto"/>
        <w:jc w:val="both"/>
        <w:rPr>
          <w:rFonts w:eastAsia="Times New Roman"/>
        </w:rPr>
      </w:pPr>
      <w:r>
        <w:rPr>
          <w:rFonts w:eastAsia="Times New Roman"/>
          <w:i/>
          <w:iCs/>
        </w:rPr>
        <w:t xml:space="preserve">*Ginger is not currently available on the CHS formulary. If recommending ginger as a component of the HITH hyperemesis gravidarum plan, please discuss the requirement for patients to continue to obtain supply of this medication from a community pharmacy. </w:t>
      </w:r>
      <w:r>
        <w:rPr>
          <w:rFonts w:eastAsia="Times New Roman"/>
        </w:rPr>
        <w:t> </w:t>
      </w:r>
    </w:p>
    <w:p w14:paraId="1383FFF0" w14:textId="77777777" w:rsidR="00C521D5" w:rsidRPr="00366E47" w:rsidRDefault="00C521D5" w:rsidP="00C521D5">
      <w:pPr>
        <w:pStyle w:val="NoSpacing"/>
        <w:spacing w:line="276" w:lineRule="auto"/>
        <w:jc w:val="both"/>
        <w:rPr>
          <w:sz w:val="24"/>
          <w:szCs w:val="24"/>
        </w:rPr>
      </w:pPr>
    </w:p>
    <w:p w14:paraId="5B807F2D" w14:textId="07727587" w:rsidR="00CE5D60" w:rsidRDefault="00612CC5" w:rsidP="00E5521D">
      <w:pPr>
        <w:pStyle w:val="NoSpacing"/>
        <w:numPr>
          <w:ilvl w:val="1"/>
          <w:numId w:val="21"/>
        </w:numPr>
        <w:rPr>
          <w:sz w:val="24"/>
          <w:szCs w:val="24"/>
        </w:rPr>
      </w:pPr>
      <w:r>
        <w:rPr>
          <w:sz w:val="24"/>
          <w:szCs w:val="24"/>
        </w:rPr>
        <w:t>Consider c</w:t>
      </w:r>
      <w:r w:rsidR="00CE5D60" w:rsidRPr="00366E47">
        <w:rPr>
          <w:sz w:val="24"/>
          <w:szCs w:val="24"/>
        </w:rPr>
        <w:t>essation of unnecessary medications</w:t>
      </w:r>
    </w:p>
    <w:p w14:paraId="4D135F7C" w14:textId="389C7C3C" w:rsidR="00015954" w:rsidRDefault="00015954" w:rsidP="00E5521D">
      <w:pPr>
        <w:pStyle w:val="NoSpacing"/>
        <w:numPr>
          <w:ilvl w:val="2"/>
          <w:numId w:val="21"/>
        </w:numPr>
        <w:rPr>
          <w:sz w:val="24"/>
          <w:szCs w:val="24"/>
        </w:rPr>
      </w:pPr>
      <w:r>
        <w:rPr>
          <w:sz w:val="24"/>
          <w:szCs w:val="24"/>
        </w:rPr>
        <w:t>Consider need for multivitamins (especially those that contain iron)</w:t>
      </w:r>
    </w:p>
    <w:p w14:paraId="6656DDF0" w14:textId="7B42655E" w:rsidR="00015954" w:rsidRDefault="00015954" w:rsidP="00E5521D">
      <w:pPr>
        <w:pStyle w:val="NoSpacing"/>
        <w:numPr>
          <w:ilvl w:val="2"/>
          <w:numId w:val="21"/>
        </w:numPr>
        <w:rPr>
          <w:sz w:val="24"/>
          <w:szCs w:val="24"/>
        </w:rPr>
      </w:pPr>
      <w:r>
        <w:rPr>
          <w:sz w:val="24"/>
          <w:szCs w:val="24"/>
        </w:rPr>
        <w:t>Ensure maintenance of folate and iodine supplements</w:t>
      </w:r>
    </w:p>
    <w:p w14:paraId="41A4903F" w14:textId="77777777" w:rsidR="00300885" w:rsidRDefault="00612CC5" w:rsidP="00E5521D">
      <w:pPr>
        <w:pStyle w:val="NoSpacing"/>
        <w:numPr>
          <w:ilvl w:val="1"/>
          <w:numId w:val="21"/>
        </w:numPr>
        <w:rPr>
          <w:sz w:val="24"/>
          <w:szCs w:val="24"/>
        </w:rPr>
      </w:pPr>
      <w:r>
        <w:rPr>
          <w:sz w:val="24"/>
          <w:szCs w:val="24"/>
        </w:rPr>
        <w:t xml:space="preserve">Consider </w:t>
      </w:r>
      <w:r w:rsidR="00A158BD">
        <w:rPr>
          <w:sz w:val="24"/>
          <w:szCs w:val="24"/>
        </w:rPr>
        <w:t>non-</w:t>
      </w:r>
      <w:proofErr w:type="spellStart"/>
      <w:r w:rsidR="00A158BD">
        <w:rPr>
          <w:sz w:val="24"/>
          <w:szCs w:val="24"/>
        </w:rPr>
        <w:t>pharmacolgical</w:t>
      </w:r>
      <w:proofErr w:type="spellEnd"/>
      <w:r w:rsidR="00A158BD">
        <w:rPr>
          <w:sz w:val="24"/>
          <w:szCs w:val="24"/>
        </w:rPr>
        <w:t xml:space="preserve"> and pharmacological </w:t>
      </w:r>
      <w:r>
        <w:rPr>
          <w:sz w:val="24"/>
          <w:szCs w:val="24"/>
        </w:rPr>
        <w:t xml:space="preserve">management of </w:t>
      </w:r>
      <w:r w:rsidR="005224F8">
        <w:rPr>
          <w:sz w:val="24"/>
          <w:szCs w:val="24"/>
        </w:rPr>
        <w:t>g</w:t>
      </w:r>
      <w:r>
        <w:rPr>
          <w:sz w:val="24"/>
          <w:szCs w:val="24"/>
        </w:rPr>
        <w:t>astro-oesophageal reflux diseas</w:t>
      </w:r>
      <w:r w:rsidR="00300885">
        <w:rPr>
          <w:sz w:val="24"/>
          <w:szCs w:val="24"/>
        </w:rPr>
        <w:t>e</w:t>
      </w:r>
    </w:p>
    <w:p w14:paraId="3717D4A4" w14:textId="2F6DD55C" w:rsidR="00300885" w:rsidRPr="00300885" w:rsidRDefault="00300885" w:rsidP="00E5521D">
      <w:pPr>
        <w:pStyle w:val="NoSpacing"/>
        <w:numPr>
          <w:ilvl w:val="2"/>
          <w:numId w:val="21"/>
        </w:numPr>
        <w:rPr>
          <w:sz w:val="24"/>
          <w:szCs w:val="24"/>
        </w:rPr>
      </w:pPr>
      <w:r>
        <w:t>See:</w:t>
      </w:r>
      <w:hyperlink r:id="rId14" w:history="1">
        <w:r w:rsidRPr="00497D63">
          <w:rPr>
            <w:rStyle w:val="Hyperlink"/>
            <w:rFonts w:cstheme="minorBidi"/>
          </w:rPr>
          <w:t>https://www.seslhd.health.nsw.gov.au/sites/default/files/groups/Royal_Hospital_for_Women/Mothersafe/documents/heartburnpregbr2021.pdf</w:t>
        </w:r>
      </w:hyperlink>
    </w:p>
    <w:p w14:paraId="57C1A65E" w14:textId="7D12BFFB" w:rsidR="00612CC5" w:rsidRDefault="00612CC5" w:rsidP="00E5521D">
      <w:pPr>
        <w:pStyle w:val="NoSpacing"/>
        <w:numPr>
          <w:ilvl w:val="1"/>
          <w:numId w:val="21"/>
        </w:numPr>
        <w:rPr>
          <w:sz w:val="24"/>
          <w:szCs w:val="24"/>
        </w:rPr>
      </w:pPr>
      <w:r>
        <w:rPr>
          <w:sz w:val="24"/>
          <w:szCs w:val="24"/>
        </w:rPr>
        <w:t>Consider regular or prn medications for the management of constipation</w:t>
      </w:r>
    </w:p>
    <w:p w14:paraId="48B86C1A" w14:textId="0A46D022" w:rsidR="00F96098" w:rsidRPr="00F96098" w:rsidRDefault="00F96098" w:rsidP="00E5521D">
      <w:pPr>
        <w:pStyle w:val="NoSpacing"/>
        <w:numPr>
          <w:ilvl w:val="1"/>
          <w:numId w:val="21"/>
        </w:numPr>
        <w:rPr>
          <w:sz w:val="24"/>
          <w:szCs w:val="24"/>
        </w:rPr>
      </w:pPr>
      <w:r>
        <w:rPr>
          <w:sz w:val="24"/>
          <w:szCs w:val="24"/>
        </w:rPr>
        <w:t xml:space="preserve">Consider </w:t>
      </w:r>
      <w:r w:rsidRPr="00366E47">
        <w:rPr>
          <w:sz w:val="24"/>
          <w:szCs w:val="24"/>
        </w:rPr>
        <w:t xml:space="preserve">Thiamine </w:t>
      </w:r>
      <w:r>
        <w:rPr>
          <w:sz w:val="24"/>
          <w:szCs w:val="24"/>
        </w:rPr>
        <w:t>IV 3</w:t>
      </w:r>
      <w:r w:rsidRPr="00366E47">
        <w:rPr>
          <w:sz w:val="24"/>
          <w:szCs w:val="24"/>
        </w:rPr>
        <w:t xml:space="preserve">00mg </w:t>
      </w:r>
      <w:r>
        <w:rPr>
          <w:sz w:val="24"/>
          <w:szCs w:val="24"/>
        </w:rPr>
        <w:t>daily for 3 days</w:t>
      </w:r>
    </w:p>
    <w:p w14:paraId="6B9BB56A" w14:textId="7CE2AE06" w:rsidR="00CE5D60" w:rsidRPr="00366E47" w:rsidRDefault="00635953" w:rsidP="00E5521D">
      <w:pPr>
        <w:pStyle w:val="NoSpacing"/>
        <w:numPr>
          <w:ilvl w:val="1"/>
          <w:numId w:val="21"/>
        </w:numPr>
        <w:rPr>
          <w:sz w:val="24"/>
          <w:szCs w:val="24"/>
        </w:rPr>
      </w:pPr>
      <w:r>
        <w:rPr>
          <w:sz w:val="24"/>
          <w:szCs w:val="24"/>
        </w:rPr>
        <w:t>Consider i</w:t>
      </w:r>
      <w:r w:rsidR="00CE5D60" w:rsidRPr="00366E47">
        <w:rPr>
          <w:sz w:val="24"/>
          <w:szCs w:val="24"/>
        </w:rPr>
        <w:t>ntravenous prn medications</w:t>
      </w:r>
      <w:r w:rsidR="00612CC5">
        <w:rPr>
          <w:sz w:val="24"/>
          <w:szCs w:val="24"/>
        </w:rPr>
        <w:t>,</w:t>
      </w:r>
      <w:r w:rsidR="00CE5D60" w:rsidRPr="00366E47">
        <w:rPr>
          <w:sz w:val="24"/>
          <w:szCs w:val="24"/>
        </w:rPr>
        <w:t xml:space="preserve"> including:</w:t>
      </w:r>
    </w:p>
    <w:p w14:paraId="4F8B9C11" w14:textId="0B2BB68A" w:rsidR="00CE5D60" w:rsidRPr="00366E47" w:rsidRDefault="00ED45C6" w:rsidP="00E5521D">
      <w:pPr>
        <w:pStyle w:val="NoSpacing"/>
        <w:numPr>
          <w:ilvl w:val="1"/>
          <w:numId w:val="19"/>
        </w:numPr>
        <w:rPr>
          <w:sz w:val="24"/>
          <w:szCs w:val="24"/>
        </w:rPr>
      </w:pPr>
      <w:r>
        <w:rPr>
          <w:sz w:val="24"/>
          <w:szCs w:val="24"/>
        </w:rPr>
        <w:t xml:space="preserve">Metoclopramide IV </w:t>
      </w:r>
      <w:r w:rsidR="00CE5D60" w:rsidRPr="00366E47">
        <w:rPr>
          <w:sz w:val="24"/>
          <w:szCs w:val="24"/>
        </w:rPr>
        <w:t xml:space="preserve">10mg </w:t>
      </w:r>
      <w:proofErr w:type="spellStart"/>
      <w:r w:rsidR="00CE5D60" w:rsidRPr="00366E47">
        <w:rPr>
          <w:sz w:val="24"/>
          <w:szCs w:val="24"/>
        </w:rPr>
        <w:t>tds</w:t>
      </w:r>
      <w:proofErr w:type="spellEnd"/>
    </w:p>
    <w:p w14:paraId="39EF1C0E" w14:textId="3FCE9C8D" w:rsidR="00CE5D60" w:rsidRPr="00366E47" w:rsidRDefault="00CE5D60" w:rsidP="00E5521D">
      <w:pPr>
        <w:pStyle w:val="NoSpacing"/>
        <w:numPr>
          <w:ilvl w:val="1"/>
          <w:numId w:val="19"/>
        </w:numPr>
        <w:rPr>
          <w:sz w:val="24"/>
          <w:szCs w:val="24"/>
        </w:rPr>
      </w:pPr>
      <w:r w:rsidRPr="00366E47">
        <w:rPr>
          <w:sz w:val="24"/>
          <w:szCs w:val="24"/>
        </w:rPr>
        <w:t xml:space="preserve">Ondansetron </w:t>
      </w:r>
      <w:r w:rsidR="00ED45C6">
        <w:rPr>
          <w:sz w:val="24"/>
          <w:szCs w:val="24"/>
        </w:rPr>
        <w:t xml:space="preserve">IV </w:t>
      </w:r>
      <w:r w:rsidRPr="00366E47">
        <w:rPr>
          <w:sz w:val="24"/>
          <w:szCs w:val="24"/>
        </w:rPr>
        <w:t xml:space="preserve">4-8mg </w:t>
      </w:r>
      <w:proofErr w:type="spellStart"/>
      <w:r w:rsidR="00E66233">
        <w:rPr>
          <w:sz w:val="24"/>
          <w:szCs w:val="24"/>
        </w:rPr>
        <w:t>tds</w:t>
      </w:r>
      <w:proofErr w:type="spellEnd"/>
    </w:p>
    <w:p w14:paraId="611DEC90" w14:textId="6F16E3B9" w:rsidR="00F96098" w:rsidRPr="00F96098" w:rsidRDefault="00CE5D60" w:rsidP="00E5521D">
      <w:pPr>
        <w:pStyle w:val="NoSpacing"/>
        <w:numPr>
          <w:ilvl w:val="1"/>
          <w:numId w:val="19"/>
        </w:numPr>
        <w:rPr>
          <w:sz w:val="24"/>
          <w:szCs w:val="24"/>
        </w:rPr>
      </w:pPr>
      <w:r w:rsidRPr="00366E47">
        <w:rPr>
          <w:sz w:val="24"/>
          <w:szCs w:val="24"/>
        </w:rPr>
        <w:t xml:space="preserve">Pantoprazole </w:t>
      </w:r>
      <w:r w:rsidR="00ED45C6">
        <w:rPr>
          <w:sz w:val="24"/>
          <w:szCs w:val="24"/>
        </w:rPr>
        <w:t xml:space="preserve">IV </w:t>
      </w:r>
      <w:r w:rsidRPr="00366E47">
        <w:rPr>
          <w:sz w:val="24"/>
          <w:szCs w:val="24"/>
        </w:rPr>
        <w:t>40mg stat</w:t>
      </w:r>
    </w:p>
    <w:p w14:paraId="30E73DA5" w14:textId="6931F675" w:rsidR="00073BA7" w:rsidRDefault="00CE5D60" w:rsidP="00E5521D">
      <w:pPr>
        <w:pStyle w:val="NoSpacing"/>
        <w:numPr>
          <w:ilvl w:val="1"/>
          <w:numId w:val="21"/>
        </w:numPr>
        <w:rPr>
          <w:sz w:val="24"/>
          <w:szCs w:val="24"/>
        </w:rPr>
      </w:pPr>
      <w:r w:rsidRPr="00366E47">
        <w:rPr>
          <w:sz w:val="24"/>
          <w:szCs w:val="24"/>
        </w:rPr>
        <w:t>Pharmacy review of medications for supply</w:t>
      </w:r>
    </w:p>
    <w:p w14:paraId="1C570FEA" w14:textId="77777777" w:rsidR="006E6FD1" w:rsidRDefault="006E6FD1" w:rsidP="00C942B9">
      <w:pPr>
        <w:pStyle w:val="NoSpacing"/>
        <w:spacing w:line="276" w:lineRule="auto"/>
        <w:ind w:left="1440"/>
        <w:rPr>
          <w:sz w:val="24"/>
          <w:szCs w:val="24"/>
        </w:rPr>
      </w:pPr>
    </w:p>
    <w:p w14:paraId="002DD42F" w14:textId="3CC8E5A8" w:rsidR="006E6FD1" w:rsidRDefault="00CE5D60" w:rsidP="00E5521D">
      <w:pPr>
        <w:pStyle w:val="NoSpacing"/>
        <w:numPr>
          <w:ilvl w:val="0"/>
          <w:numId w:val="21"/>
        </w:numPr>
        <w:rPr>
          <w:sz w:val="24"/>
          <w:szCs w:val="24"/>
        </w:rPr>
      </w:pPr>
      <w:r w:rsidRPr="006E6FD1">
        <w:rPr>
          <w:sz w:val="24"/>
          <w:szCs w:val="24"/>
        </w:rPr>
        <w:t>Intravenous fluid replacement therapy</w:t>
      </w:r>
      <w:r w:rsidR="00F96098" w:rsidRPr="006E6FD1">
        <w:rPr>
          <w:sz w:val="24"/>
          <w:szCs w:val="24"/>
        </w:rPr>
        <w:t xml:space="preserve"> (IVT)</w:t>
      </w:r>
      <w:r w:rsidRPr="006E6FD1">
        <w:rPr>
          <w:sz w:val="24"/>
          <w:szCs w:val="24"/>
        </w:rPr>
        <w:t>:</w:t>
      </w:r>
    </w:p>
    <w:p w14:paraId="3C179443" w14:textId="021F413E" w:rsidR="006E6FD1" w:rsidRDefault="00F96098" w:rsidP="00E5521D">
      <w:pPr>
        <w:pStyle w:val="NoSpacing"/>
        <w:numPr>
          <w:ilvl w:val="1"/>
          <w:numId w:val="21"/>
        </w:numPr>
        <w:rPr>
          <w:sz w:val="24"/>
          <w:szCs w:val="24"/>
        </w:rPr>
      </w:pPr>
      <w:r w:rsidRPr="006E6FD1">
        <w:rPr>
          <w:sz w:val="24"/>
          <w:szCs w:val="24"/>
        </w:rPr>
        <w:t>Patients’ intravenous fluid replacement therapy will depend on the:</w:t>
      </w:r>
    </w:p>
    <w:p w14:paraId="688EF908" w14:textId="77777777" w:rsidR="00F96098" w:rsidRDefault="00F96098" w:rsidP="00E5521D">
      <w:pPr>
        <w:pStyle w:val="NoSpacing"/>
        <w:numPr>
          <w:ilvl w:val="2"/>
          <w:numId w:val="32"/>
        </w:numPr>
        <w:rPr>
          <w:sz w:val="24"/>
          <w:szCs w:val="24"/>
        </w:rPr>
      </w:pPr>
      <w:r>
        <w:rPr>
          <w:sz w:val="24"/>
          <w:szCs w:val="24"/>
        </w:rPr>
        <w:t>rehydration state of the patient</w:t>
      </w:r>
    </w:p>
    <w:p w14:paraId="768B762E" w14:textId="77777777" w:rsidR="00F96098" w:rsidRDefault="00F96098" w:rsidP="00E5521D">
      <w:pPr>
        <w:pStyle w:val="NoSpacing"/>
        <w:numPr>
          <w:ilvl w:val="2"/>
          <w:numId w:val="32"/>
        </w:numPr>
        <w:rPr>
          <w:sz w:val="24"/>
          <w:szCs w:val="24"/>
        </w:rPr>
      </w:pPr>
      <w:r>
        <w:rPr>
          <w:sz w:val="24"/>
          <w:szCs w:val="24"/>
        </w:rPr>
        <w:t>severity of the PUQE score</w:t>
      </w:r>
    </w:p>
    <w:p w14:paraId="3BF291C6" w14:textId="77777777" w:rsidR="00F96098" w:rsidRDefault="00F96098" w:rsidP="00E5521D">
      <w:pPr>
        <w:pStyle w:val="NoSpacing"/>
        <w:numPr>
          <w:ilvl w:val="2"/>
          <w:numId w:val="32"/>
        </w:numPr>
        <w:rPr>
          <w:sz w:val="24"/>
          <w:szCs w:val="24"/>
        </w:rPr>
      </w:pPr>
      <w:r>
        <w:rPr>
          <w:sz w:val="24"/>
          <w:szCs w:val="24"/>
        </w:rPr>
        <w:t>duration of symptoms prior to intervention</w:t>
      </w:r>
    </w:p>
    <w:p w14:paraId="31BC1FB4" w14:textId="77777777" w:rsidR="00F96098" w:rsidRDefault="00F96098" w:rsidP="00E5521D">
      <w:pPr>
        <w:pStyle w:val="NoSpacing"/>
        <w:numPr>
          <w:ilvl w:val="2"/>
          <w:numId w:val="32"/>
        </w:numPr>
        <w:rPr>
          <w:sz w:val="24"/>
          <w:szCs w:val="24"/>
        </w:rPr>
      </w:pPr>
      <w:r>
        <w:rPr>
          <w:sz w:val="24"/>
          <w:szCs w:val="24"/>
        </w:rPr>
        <w:t>progressive stabilisation of symptoms</w:t>
      </w:r>
    </w:p>
    <w:p w14:paraId="7A58600C" w14:textId="04168786" w:rsidR="00073BA7" w:rsidRDefault="00F96098" w:rsidP="00E5521D">
      <w:pPr>
        <w:pStyle w:val="NoSpacing"/>
        <w:numPr>
          <w:ilvl w:val="1"/>
          <w:numId w:val="21"/>
        </w:numPr>
        <w:rPr>
          <w:sz w:val="24"/>
          <w:szCs w:val="24"/>
        </w:rPr>
      </w:pPr>
      <w:r>
        <w:rPr>
          <w:sz w:val="24"/>
          <w:szCs w:val="24"/>
        </w:rPr>
        <w:t>Options of replacement include:</w:t>
      </w:r>
    </w:p>
    <w:p w14:paraId="1CB120E1" w14:textId="6F59C24C" w:rsidR="00073BA7" w:rsidRDefault="00CE5D60" w:rsidP="00E5521D">
      <w:pPr>
        <w:pStyle w:val="NoSpacing"/>
        <w:numPr>
          <w:ilvl w:val="2"/>
          <w:numId w:val="21"/>
        </w:numPr>
        <w:rPr>
          <w:sz w:val="24"/>
          <w:szCs w:val="24"/>
        </w:rPr>
      </w:pPr>
      <w:r w:rsidRPr="00073BA7">
        <w:rPr>
          <w:sz w:val="24"/>
          <w:szCs w:val="24"/>
        </w:rPr>
        <w:t xml:space="preserve">2 litres of </w:t>
      </w:r>
      <w:r w:rsidR="00BA0DF8" w:rsidRPr="00073BA7">
        <w:rPr>
          <w:sz w:val="24"/>
          <w:szCs w:val="24"/>
        </w:rPr>
        <w:t>Comp</w:t>
      </w:r>
      <w:r w:rsidR="00F96098" w:rsidRPr="00073BA7">
        <w:rPr>
          <w:sz w:val="24"/>
          <w:szCs w:val="24"/>
        </w:rPr>
        <w:t>o</w:t>
      </w:r>
      <w:r w:rsidR="00BA0DF8" w:rsidRPr="00073BA7">
        <w:rPr>
          <w:sz w:val="24"/>
          <w:szCs w:val="24"/>
        </w:rPr>
        <w:t xml:space="preserve">und Sodium Lactate </w:t>
      </w:r>
      <w:r w:rsidR="00F16404" w:rsidRPr="00073BA7">
        <w:rPr>
          <w:sz w:val="24"/>
          <w:szCs w:val="24"/>
        </w:rPr>
        <w:t xml:space="preserve">(Hartmann’s Solution) </w:t>
      </w:r>
      <w:r w:rsidRPr="00073BA7">
        <w:rPr>
          <w:sz w:val="24"/>
          <w:szCs w:val="24"/>
        </w:rPr>
        <w:t xml:space="preserve">or </w:t>
      </w:r>
      <w:r w:rsidR="00F16404" w:rsidRPr="00073BA7">
        <w:rPr>
          <w:sz w:val="24"/>
          <w:szCs w:val="24"/>
        </w:rPr>
        <w:t xml:space="preserve">sodium chloride </w:t>
      </w:r>
      <w:r w:rsidRPr="00073BA7">
        <w:rPr>
          <w:sz w:val="24"/>
          <w:szCs w:val="24"/>
        </w:rPr>
        <w:t>0.9% over 2 hours</w:t>
      </w:r>
    </w:p>
    <w:p w14:paraId="2C9E6759" w14:textId="617FCB4B" w:rsidR="00073BA7" w:rsidRPr="006E6FD1" w:rsidRDefault="00F96098" w:rsidP="00E5521D">
      <w:pPr>
        <w:pStyle w:val="NoSpacing"/>
        <w:numPr>
          <w:ilvl w:val="2"/>
          <w:numId w:val="21"/>
        </w:numPr>
        <w:rPr>
          <w:sz w:val="24"/>
          <w:szCs w:val="24"/>
        </w:rPr>
      </w:pPr>
      <w:r w:rsidRPr="00073BA7">
        <w:rPr>
          <w:sz w:val="24"/>
          <w:szCs w:val="24"/>
        </w:rPr>
        <w:t>1 litre of Compound Sodium Lactate (Hartmann’s Solution) or sodium chloride 0.9% over 2 hours</w:t>
      </w:r>
    </w:p>
    <w:p w14:paraId="6C3E5A15" w14:textId="7EA6EA50" w:rsidR="00073BA7" w:rsidRPr="006E6FD1" w:rsidRDefault="00F96098" w:rsidP="00E5521D">
      <w:pPr>
        <w:pStyle w:val="NoSpacing"/>
        <w:numPr>
          <w:ilvl w:val="1"/>
          <w:numId w:val="21"/>
        </w:numPr>
        <w:rPr>
          <w:sz w:val="24"/>
          <w:szCs w:val="24"/>
        </w:rPr>
      </w:pPr>
      <w:r w:rsidRPr="006E6FD1">
        <w:rPr>
          <w:sz w:val="24"/>
          <w:szCs w:val="24"/>
        </w:rPr>
        <w:t>Frequency of replacement:</w:t>
      </w:r>
    </w:p>
    <w:p w14:paraId="502FCF56" w14:textId="698E90A0" w:rsidR="00073BA7" w:rsidRDefault="00F96098" w:rsidP="00E5521D">
      <w:pPr>
        <w:pStyle w:val="NoSpacing"/>
        <w:numPr>
          <w:ilvl w:val="2"/>
          <w:numId w:val="21"/>
        </w:numPr>
        <w:rPr>
          <w:sz w:val="24"/>
          <w:szCs w:val="24"/>
        </w:rPr>
      </w:pPr>
      <w:r w:rsidRPr="006E6FD1">
        <w:rPr>
          <w:sz w:val="24"/>
          <w:szCs w:val="24"/>
        </w:rPr>
        <w:t>Initially consider daily intravenous fluid replacement therapy for the first wee</w:t>
      </w:r>
      <w:r w:rsidR="006E6FD1" w:rsidRPr="006E6FD1">
        <w:rPr>
          <w:sz w:val="24"/>
          <w:szCs w:val="24"/>
        </w:rPr>
        <w:t>k</w:t>
      </w:r>
    </w:p>
    <w:p w14:paraId="45FDB501" w14:textId="1D4F30C7" w:rsidR="00073BA7" w:rsidRPr="00073BA7" w:rsidRDefault="00F96098" w:rsidP="00E5521D">
      <w:pPr>
        <w:pStyle w:val="NoSpacing"/>
        <w:numPr>
          <w:ilvl w:val="2"/>
          <w:numId w:val="21"/>
        </w:numPr>
        <w:rPr>
          <w:sz w:val="24"/>
          <w:szCs w:val="24"/>
        </w:rPr>
      </w:pPr>
      <w:r w:rsidRPr="00073BA7">
        <w:rPr>
          <w:sz w:val="24"/>
          <w:szCs w:val="24"/>
        </w:rPr>
        <w:lastRenderedPageBreak/>
        <w:t>As symptoms improve, aim to wean quantity and frequency of intravenous fluid replacement therapy, as guided by clinical assessment</w:t>
      </w:r>
    </w:p>
    <w:p w14:paraId="690FCC82" w14:textId="77777777" w:rsidR="006E6FD1" w:rsidRPr="006E6FD1" w:rsidRDefault="006E6FD1" w:rsidP="00E5521D">
      <w:pPr>
        <w:pStyle w:val="NoSpacing"/>
        <w:ind w:left="2160"/>
        <w:rPr>
          <w:sz w:val="24"/>
          <w:szCs w:val="24"/>
        </w:rPr>
      </w:pPr>
    </w:p>
    <w:p w14:paraId="1167B0B0" w14:textId="585582FA" w:rsidR="006E6FD1" w:rsidRDefault="006E6FD1" w:rsidP="00E5521D">
      <w:pPr>
        <w:pStyle w:val="ListParagraph"/>
        <w:numPr>
          <w:ilvl w:val="0"/>
          <w:numId w:val="21"/>
        </w:numPr>
        <w:ind w:hanging="357"/>
        <w:rPr>
          <w:szCs w:val="24"/>
        </w:rPr>
      </w:pPr>
      <w:r>
        <w:rPr>
          <w:szCs w:val="24"/>
        </w:rPr>
        <w:t>Electrolyte replacement</w:t>
      </w:r>
    </w:p>
    <w:p w14:paraId="4777FB7D" w14:textId="29607A1A" w:rsidR="00073BA7" w:rsidRDefault="00073BA7" w:rsidP="00E5521D">
      <w:pPr>
        <w:pStyle w:val="NoSpacing"/>
        <w:numPr>
          <w:ilvl w:val="1"/>
          <w:numId w:val="21"/>
        </w:numPr>
        <w:ind w:hanging="357"/>
        <w:rPr>
          <w:sz w:val="24"/>
          <w:szCs w:val="24"/>
        </w:rPr>
      </w:pPr>
      <w:proofErr w:type="spellStart"/>
      <w:r>
        <w:rPr>
          <w:sz w:val="24"/>
          <w:szCs w:val="24"/>
        </w:rPr>
        <w:t>Potasium</w:t>
      </w:r>
      <w:proofErr w:type="spellEnd"/>
      <w:r>
        <w:rPr>
          <w:sz w:val="24"/>
          <w:szCs w:val="24"/>
        </w:rPr>
        <w:t>:</w:t>
      </w:r>
    </w:p>
    <w:p w14:paraId="39FB7677" w14:textId="5AF2ED0C" w:rsidR="00073BA7" w:rsidRDefault="006E6FD1" w:rsidP="00E5521D">
      <w:pPr>
        <w:pStyle w:val="NoSpacing"/>
        <w:numPr>
          <w:ilvl w:val="2"/>
          <w:numId w:val="21"/>
        </w:numPr>
        <w:rPr>
          <w:sz w:val="24"/>
          <w:szCs w:val="24"/>
        </w:rPr>
      </w:pPr>
      <w:r>
        <w:rPr>
          <w:sz w:val="24"/>
          <w:szCs w:val="24"/>
        </w:rPr>
        <w:t>If 2 litres of IVT is utilised, a</w:t>
      </w:r>
      <w:r w:rsidRPr="00366E47">
        <w:rPr>
          <w:sz w:val="24"/>
          <w:szCs w:val="24"/>
        </w:rPr>
        <w:t>ssess potassium on venous blood gas after 1</w:t>
      </w:r>
      <w:r w:rsidRPr="00366E47">
        <w:rPr>
          <w:sz w:val="24"/>
          <w:szCs w:val="24"/>
          <w:vertAlign w:val="superscript"/>
        </w:rPr>
        <w:t>st</w:t>
      </w:r>
      <w:r w:rsidRPr="00366E47">
        <w:rPr>
          <w:sz w:val="24"/>
          <w:szCs w:val="24"/>
        </w:rPr>
        <w:t xml:space="preserve"> litre of IV fluid</w:t>
      </w:r>
      <w:r>
        <w:rPr>
          <w:sz w:val="24"/>
          <w:szCs w:val="24"/>
        </w:rPr>
        <w:t xml:space="preserve">. </w:t>
      </w:r>
    </w:p>
    <w:p w14:paraId="63D17F3B" w14:textId="77A58E23" w:rsidR="006E6FD1" w:rsidRPr="00366E47" w:rsidRDefault="006E6FD1" w:rsidP="00E5521D">
      <w:pPr>
        <w:pStyle w:val="NoSpacing"/>
        <w:numPr>
          <w:ilvl w:val="2"/>
          <w:numId w:val="21"/>
        </w:numPr>
        <w:rPr>
          <w:sz w:val="24"/>
          <w:szCs w:val="24"/>
        </w:rPr>
      </w:pPr>
      <w:r>
        <w:rPr>
          <w:sz w:val="24"/>
          <w:szCs w:val="24"/>
        </w:rPr>
        <w:t>If only 1 litre of IVT is utilised, potassium may be assessed the day prior or immediately before the IVT.</w:t>
      </w:r>
    </w:p>
    <w:p w14:paraId="7CE6F457" w14:textId="64278C15" w:rsidR="00073BA7" w:rsidRDefault="006E6FD1" w:rsidP="00E5521D">
      <w:pPr>
        <w:pStyle w:val="NoSpacing"/>
        <w:numPr>
          <w:ilvl w:val="2"/>
          <w:numId w:val="21"/>
        </w:numPr>
        <w:rPr>
          <w:sz w:val="24"/>
          <w:szCs w:val="24"/>
        </w:rPr>
      </w:pPr>
      <w:r>
        <w:rPr>
          <w:sz w:val="24"/>
          <w:szCs w:val="24"/>
        </w:rPr>
        <w:t xml:space="preserve">Replace potassium intravenously if </w:t>
      </w:r>
      <w:r w:rsidRPr="00366E47">
        <w:rPr>
          <w:sz w:val="24"/>
          <w:szCs w:val="24"/>
        </w:rPr>
        <w:t>&lt;3.5mmol</w:t>
      </w:r>
      <w:r w:rsidR="00073BA7">
        <w:rPr>
          <w:sz w:val="24"/>
          <w:szCs w:val="24"/>
        </w:rPr>
        <w:t>/L</w:t>
      </w:r>
      <w:r>
        <w:rPr>
          <w:sz w:val="24"/>
          <w:szCs w:val="24"/>
        </w:rPr>
        <w:t xml:space="preserve"> (refer to CHS </w:t>
      </w:r>
      <w:r w:rsidRPr="00601011">
        <w:rPr>
          <w:sz w:val="24"/>
          <w:szCs w:val="24"/>
        </w:rPr>
        <w:t>Electrolyte Replacement Guidelines (Adults)</w:t>
      </w:r>
      <w:r>
        <w:rPr>
          <w:sz w:val="24"/>
          <w:szCs w:val="24"/>
        </w:rPr>
        <w:t xml:space="preserve"> Guideline)</w:t>
      </w:r>
      <w:r w:rsidR="00073BA7" w:rsidRPr="00073BA7">
        <w:rPr>
          <w:sz w:val="24"/>
          <w:szCs w:val="24"/>
        </w:rPr>
        <w:t xml:space="preserve"> </w:t>
      </w:r>
    </w:p>
    <w:p w14:paraId="0E2CFE55" w14:textId="39258102" w:rsidR="00073BA7" w:rsidRDefault="00073BA7" w:rsidP="00E5521D">
      <w:pPr>
        <w:pStyle w:val="NoSpacing"/>
        <w:numPr>
          <w:ilvl w:val="1"/>
          <w:numId w:val="21"/>
        </w:numPr>
        <w:rPr>
          <w:sz w:val="24"/>
          <w:szCs w:val="24"/>
        </w:rPr>
      </w:pPr>
      <w:r>
        <w:rPr>
          <w:sz w:val="24"/>
          <w:szCs w:val="24"/>
        </w:rPr>
        <w:t>Magnesium:</w:t>
      </w:r>
    </w:p>
    <w:p w14:paraId="6ED2EB83" w14:textId="3C86F493" w:rsidR="00073BA7" w:rsidRDefault="00073BA7" w:rsidP="00E5521D">
      <w:pPr>
        <w:pStyle w:val="NoSpacing"/>
        <w:numPr>
          <w:ilvl w:val="2"/>
          <w:numId w:val="21"/>
        </w:numPr>
        <w:rPr>
          <w:sz w:val="24"/>
          <w:szCs w:val="24"/>
        </w:rPr>
      </w:pPr>
      <w:r>
        <w:rPr>
          <w:sz w:val="24"/>
          <w:szCs w:val="24"/>
        </w:rPr>
        <w:t>Replace magnesium intravenously if &lt;0.6mmol/L as oral replacement is rarely tolerated</w:t>
      </w:r>
    </w:p>
    <w:p w14:paraId="1FE598DC" w14:textId="01C81784" w:rsidR="00073BA7" w:rsidRDefault="00073BA7" w:rsidP="00E5521D">
      <w:pPr>
        <w:pStyle w:val="NoSpacing"/>
        <w:numPr>
          <w:ilvl w:val="1"/>
          <w:numId w:val="21"/>
        </w:numPr>
        <w:rPr>
          <w:sz w:val="24"/>
          <w:szCs w:val="24"/>
        </w:rPr>
      </w:pPr>
      <w:r>
        <w:rPr>
          <w:sz w:val="24"/>
          <w:szCs w:val="24"/>
        </w:rPr>
        <w:t>Phosphate:</w:t>
      </w:r>
    </w:p>
    <w:p w14:paraId="743ADA9F" w14:textId="3D36510D" w:rsidR="00073BA7" w:rsidRDefault="00073BA7" w:rsidP="00E5521D">
      <w:pPr>
        <w:pStyle w:val="NoSpacing"/>
        <w:numPr>
          <w:ilvl w:val="2"/>
          <w:numId w:val="21"/>
        </w:numPr>
        <w:rPr>
          <w:sz w:val="24"/>
          <w:szCs w:val="24"/>
        </w:rPr>
      </w:pPr>
      <w:r>
        <w:rPr>
          <w:sz w:val="24"/>
          <w:szCs w:val="24"/>
        </w:rPr>
        <w:t>Replace phosphate intravenously if &lt;0.5mmol/L and consider close surveillance and management for potential re-feeding syndrome</w:t>
      </w:r>
    </w:p>
    <w:p w14:paraId="638E8FC1" w14:textId="51638FEB" w:rsidR="006E6FD1" w:rsidRPr="00E77721" w:rsidRDefault="00073BA7" w:rsidP="00E5521D">
      <w:pPr>
        <w:pStyle w:val="NoSpacing"/>
        <w:numPr>
          <w:ilvl w:val="1"/>
          <w:numId w:val="21"/>
        </w:numPr>
        <w:rPr>
          <w:sz w:val="24"/>
          <w:szCs w:val="24"/>
        </w:rPr>
      </w:pPr>
      <w:r>
        <w:rPr>
          <w:sz w:val="24"/>
          <w:szCs w:val="24"/>
        </w:rPr>
        <w:t>Consider ongoing oral electrolyte replacement as required and tolerated</w:t>
      </w:r>
    </w:p>
    <w:p w14:paraId="759320D8" w14:textId="36480502" w:rsidR="00073BA7" w:rsidRPr="00E77721" w:rsidRDefault="00CE5D60" w:rsidP="00E5521D">
      <w:pPr>
        <w:pStyle w:val="ListParagraph"/>
        <w:numPr>
          <w:ilvl w:val="0"/>
          <w:numId w:val="21"/>
        </w:numPr>
        <w:spacing w:after="160"/>
        <w:rPr>
          <w:szCs w:val="24"/>
        </w:rPr>
      </w:pPr>
      <w:r w:rsidRPr="00366E47">
        <w:rPr>
          <w:szCs w:val="24"/>
        </w:rPr>
        <w:t>Determin</w:t>
      </w:r>
      <w:r w:rsidR="00073BA7">
        <w:rPr>
          <w:szCs w:val="24"/>
        </w:rPr>
        <w:t xml:space="preserve">e </w:t>
      </w:r>
      <w:r w:rsidRPr="00366E47">
        <w:rPr>
          <w:szCs w:val="24"/>
        </w:rPr>
        <w:t xml:space="preserve">next date of attendance and/or review </w:t>
      </w:r>
    </w:p>
    <w:p w14:paraId="54EB1877" w14:textId="1A44952A" w:rsidR="00D80D25" w:rsidRPr="00E77721" w:rsidRDefault="005224F8" w:rsidP="00E5521D">
      <w:pPr>
        <w:pStyle w:val="ListParagraph"/>
        <w:numPr>
          <w:ilvl w:val="0"/>
          <w:numId w:val="21"/>
        </w:numPr>
        <w:spacing w:after="160"/>
        <w:rPr>
          <w:szCs w:val="24"/>
        </w:rPr>
      </w:pPr>
      <w:r>
        <w:rPr>
          <w:szCs w:val="24"/>
        </w:rPr>
        <w:t>Consider referral to the CHS medical obstetric clinic for patients who do not respond to the prescribed therapy or who have concurrent high risk medical issues.</w:t>
      </w:r>
    </w:p>
    <w:p w14:paraId="567B57FB" w14:textId="5836CD9E" w:rsidR="00D80D25" w:rsidRPr="00366E47" w:rsidRDefault="00D80D25" w:rsidP="00E5521D">
      <w:pPr>
        <w:pStyle w:val="ListParagraph"/>
        <w:numPr>
          <w:ilvl w:val="1"/>
          <w:numId w:val="21"/>
        </w:numPr>
        <w:spacing w:after="160"/>
        <w:rPr>
          <w:szCs w:val="24"/>
        </w:rPr>
      </w:pPr>
      <w:r>
        <w:rPr>
          <w:szCs w:val="24"/>
        </w:rPr>
        <w:t>Corticosteroids for the management of hyperemesis gravidarum should only be commenced by a medical obstetric physician</w:t>
      </w:r>
    </w:p>
    <w:bookmarkStart w:id="29" w:name="_Hlk96508264"/>
    <w:p w14:paraId="771DE7D4" w14:textId="729A6CBF" w:rsidR="00CE5D60" w:rsidRPr="00CE5D60" w:rsidRDefault="00CE5D60" w:rsidP="00CE5D60">
      <w:pPr>
        <w:jc w:val="right"/>
        <w:rPr>
          <w:rFonts w:cs="Arial"/>
          <w:i/>
          <w:szCs w:val="24"/>
        </w:rPr>
      </w:pPr>
      <w:r>
        <w:fldChar w:fldCharType="begin"/>
      </w:r>
      <w:r>
        <w:instrText xml:space="preserve"> HYPERLINK \l "Contents" </w:instrText>
      </w:r>
      <w:r>
        <w:fldChar w:fldCharType="separate"/>
      </w:r>
      <w:r w:rsidRPr="00590902">
        <w:rPr>
          <w:rStyle w:val="Hyperlink"/>
          <w:rFonts w:cs="Arial"/>
          <w:i/>
          <w:szCs w:val="24"/>
        </w:rPr>
        <w:t>Back to Table of Contents</w:t>
      </w:r>
      <w:r>
        <w:rPr>
          <w:rStyle w:val="Hyperlink"/>
          <w:rFonts w:cs="Arial"/>
          <w:i/>
          <w:szCs w:val="24"/>
        </w:rPr>
        <w:fldChar w:fldCharType="end"/>
      </w:r>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CE5D60" w:rsidRPr="003D2D06" w14:paraId="5A25A36B" w14:textId="77777777" w:rsidTr="008205B4">
        <w:trPr>
          <w:cantSplit/>
          <w:trHeight w:val="285"/>
        </w:trPr>
        <w:tc>
          <w:tcPr>
            <w:tcW w:w="9158" w:type="dxa"/>
            <w:shd w:val="clear" w:color="auto" w:fill="A6A6A6" w:themeFill="background1" w:themeFillShade="A6"/>
          </w:tcPr>
          <w:p w14:paraId="534005A6" w14:textId="54464256" w:rsidR="00CE5D60" w:rsidRPr="003D2D06" w:rsidRDefault="00CE5D60" w:rsidP="008205B4">
            <w:pPr>
              <w:pStyle w:val="Heading1"/>
            </w:pPr>
            <w:bookmarkStart w:id="30" w:name="_Toc109996413"/>
            <w:bookmarkEnd w:id="29"/>
            <w:r>
              <w:t xml:space="preserve">Section 6 </w:t>
            </w:r>
            <w:r w:rsidRPr="003D2D06">
              <w:t>–</w:t>
            </w:r>
            <w:r w:rsidR="00995063">
              <w:t xml:space="preserve"> </w:t>
            </w:r>
            <w:r w:rsidR="00474535">
              <w:t>HITH</w:t>
            </w:r>
            <w:r w:rsidRPr="003D2D06">
              <w:t xml:space="preserve"> </w:t>
            </w:r>
            <w:r>
              <w:t>Nutritional Input</w:t>
            </w:r>
            <w:bookmarkEnd w:id="30"/>
          </w:p>
        </w:tc>
      </w:tr>
    </w:tbl>
    <w:p w14:paraId="6BEE12FF" w14:textId="2ABC96CB" w:rsidR="00CE5D60" w:rsidRDefault="00CE5D60" w:rsidP="005D00A5">
      <w:pPr>
        <w:rPr>
          <w:rFonts w:cs="Arial"/>
          <w:iCs/>
          <w:szCs w:val="24"/>
        </w:rPr>
      </w:pPr>
    </w:p>
    <w:p w14:paraId="3592196E" w14:textId="500409C4" w:rsidR="001429A4" w:rsidRPr="001429A4" w:rsidRDefault="001429A4" w:rsidP="00E77721">
      <w:r w:rsidRPr="001429A4">
        <w:t xml:space="preserve">All patients admitted under CHS HITH for management of </w:t>
      </w:r>
      <w:r w:rsidR="00F16404">
        <w:t>h</w:t>
      </w:r>
      <w:r w:rsidRPr="001429A4">
        <w:t xml:space="preserve">yperemesis </w:t>
      </w:r>
      <w:r w:rsidR="00F16404">
        <w:t>g</w:t>
      </w:r>
      <w:r w:rsidRPr="001429A4">
        <w:t xml:space="preserve">ravidarum are to be referred to a dietitian on admission for assessment and management of complications associated with hyperemesis gravidarum and nutritional inadequacy during pregnancy. </w:t>
      </w:r>
    </w:p>
    <w:p w14:paraId="40E664CE" w14:textId="77777777" w:rsidR="001429A4" w:rsidRPr="001429A4" w:rsidRDefault="001429A4" w:rsidP="00E77721"/>
    <w:p w14:paraId="61B6167D" w14:textId="33343781" w:rsidR="001429A4" w:rsidRPr="001429A4" w:rsidRDefault="001429A4" w:rsidP="00E77721">
      <w:r w:rsidRPr="001429A4">
        <w:t>The initial assessment of the patient by the treating dietitian will determine nutritional</w:t>
      </w:r>
      <w:r>
        <w:t xml:space="preserve"> and refeeding</w:t>
      </w:r>
      <w:r w:rsidRPr="001429A4">
        <w:t xml:space="preserve"> risk, provide nutrition education and symptom management </w:t>
      </w:r>
      <w:proofErr w:type="gramStart"/>
      <w:r w:rsidRPr="001429A4">
        <w:t>strategies</w:t>
      </w:r>
      <w:proofErr w:type="gramEnd"/>
      <w:r w:rsidRPr="001429A4">
        <w:t xml:space="preserve"> and may prescribe oral nutrition supplements. The dietitian will continue to follow the patient up on regular intervals throughout the duration of the patient</w:t>
      </w:r>
      <w:r>
        <w:t>’</w:t>
      </w:r>
      <w:r w:rsidRPr="001429A4">
        <w:t xml:space="preserve">s admission in HITH. </w:t>
      </w:r>
    </w:p>
    <w:p w14:paraId="2189A994" w14:textId="77777777" w:rsidR="001429A4" w:rsidRPr="001429A4" w:rsidRDefault="001429A4" w:rsidP="00E77721">
      <w:pPr>
        <w:rPr>
          <w:rFonts w:cs="Arial"/>
          <w:iCs/>
          <w:szCs w:val="24"/>
        </w:rPr>
      </w:pPr>
    </w:p>
    <w:p w14:paraId="393B6962" w14:textId="77777777" w:rsidR="001429A4" w:rsidRPr="001429A4" w:rsidRDefault="001429A4" w:rsidP="00E77721">
      <w:pPr>
        <w:rPr>
          <w:rFonts w:cs="Arial"/>
          <w:b/>
          <w:bCs/>
          <w:iCs/>
          <w:szCs w:val="24"/>
        </w:rPr>
      </w:pPr>
      <w:r w:rsidRPr="001429A4">
        <w:rPr>
          <w:rFonts w:cs="Arial"/>
          <w:b/>
          <w:bCs/>
          <w:iCs/>
          <w:szCs w:val="24"/>
        </w:rPr>
        <w:t>Enteral Nutrition</w:t>
      </w:r>
    </w:p>
    <w:p w14:paraId="3746AD8B" w14:textId="06550F6B" w:rsidR="001429A4" w:rsidRPr="001429A4" w:rsidRDefault="001429A4" w:rsidP="00E77721">
      <w:r w:rsidRPr="001429A4">
        <w:rPr>
          <w:rFonts w:cs="Arial"/>
          <w:iCs/>
          <w:szCs w:val="24"/>
        </w:rPr>
        <w:t>If oral nutrition therapies have been trialled and are deemed unsuccessful by the dietitian and medical team, and oral intake remains inadequate and weight loss continues</w:t>
      </w:r>
      <w:r>
        <w:rPr>
          <w:rFonts w:cs="Arial"/>
          <w:iCs/>
          <w:szCs w:val="24"/>
        </w:rPr>
        <w:t>,</w:t>
      </w:r>
      <w:r w:rsidRPr="001429A4">
        <w:rPr>
          <w:rFonts w:cs="Arial"/>
          <w:iCs/>
          <w:szCs w:val="24"/>
        </w:rPr>
        <w:t xml:space="preserve"> enteral nutrition should be considered. It may be recommended that the patient receive additional nutrition support via an enteral feeding tube to enable optimal nutrition status to be achieved. </w:t>
      </w:r>
      <w:proofErr w:type="spellStart"/>
      <w:r w:rsidRPr="001429A4">
        <w:rPr>
          <w:rFonts w:cs="Arial"/>
          <w:iCs/>
          <w:szCs w:val="24"/>
        </w:rPr>
        <w:t>Naso</w:t>
      </w:r>
      <w:proofErr w:type="spellEnd"/>
      <w:r w:rsidRPr="001429A4">
        <w:rPr>
          <w:rFonts w:cs="Arial"/>
          <w:iCs/>
          <w:szCs w:val="24"/>
        </w:rPr>
        <w:t>-jejunal feeding may</w:t>
      </w:r>
      <w:r>
        <w:rPr>
          <w:rFonts w:cs="Arial"/>
          <w:iCs/>
          <w:szCs w:val="24"/>
        </w:rPr>
        <w:t xml:space="preserve"> </w:t>
      </w:r>
      <w:r w:rsidRPr="001429A4">
        <w:rPr>
          <w:rFonts w:cs="Arial"/>
          <w:iCs/>
          <w:szCs w:val="24"/>
        </w:rPr>
        <w:t xml:space="preserve">be considered over </w:t>
      </w:r>
      <w:proofErr w:type="spellStart"/>
      <w:r w:rsidRPr="001429A4">
        <w:rPr>
          <w:rFonts w:cs="Arial"/>
          <w:iCs/>
          <w:szCs w:val="24"/>
        </w:rPr>
        <w:t>naso</w:t>
      </w:r>
      <w:proofErr w:type="spellEnd"/>
      <w:r w:rsidRPr="001429A4">
        <w:rPr>
          <w:rFonts w:cs="Arial"/>
          <w:iCs/>
          <w:szCs w:val="24"/>
        </w:rPr>
        <w:t xml:space="preserve">-gastric feeding due to the reduced risk of dislodgement. The radiology department should be consulted to discuss </w:t>
      </w:r>
      <w:r w:rsidRPr="001429A4">
        <w:rPr>
          <w:rFonts w:cs="Arial"/>
          <w:iCs/>
          <w:szCs w:val="24"/>
        </w:rPr>
        <w:lastRenderedPageBreak/>
        <w:t xml:space="preserve">safest options for enteral feeding tube placement methods during pregnancy. The patient will be provided with information and education on enteral feeding methods and will need to provide consent to commence the therapy. Refer to relevant CHS </w:t>
      </w:r>
      <w:r w:rsidRPr="001429A4">
        <w:t>Nasogastric Tube (NGT) Management – Adults only Procedure and/or CHS Gastrostomy, Gastric-Jejunal and Jejunostomy Tube – Nursing Management – Adults, Adolescents and Children (not Neonates) Procedure for guidance.</w:t>
      </w:r>
    </w:p>
    <w:p w14:paraId="2D7C7847" w14:textId="77777777" w:rsidR="001429A4" w:rsidRPr="001429A4" w:rsidRDefault="001429A4" w:rsidP="00E77721"/>
    <w:p w14:paraId="1B1EF9E9" w14:textId="77777777" w:rsidR="001429A4" w:rsidRPr="001429A4" w:rsidRDefault="001429A4" w:rsidP="00E77721">
      <w:pPr>
        <w:rPr>
          <w:b/>
          <w:bCs/>
        </w:rPr>
      </w:pPr>
      <w:r w:rsidRPr="001429A4">
        <w:rPr>
          <w:b/>
          <w:bCs/>
        </w:rPr>
        <w:t xml:space="preserve">Parenteral Nutrition </w:t>
      </w:r>
    </w:p>
    <w:p w14:paraId="0E662961" w14:textId="6D8B3673" w:rsidR="001429A4" w:rsidRPr="001429A4" w:rsidRDefault="001429A4" w:rsidP="00E77721">
      <w:r w:rsidRPr="001429A4">
        <w:t>If oral and enteral nutrition therapies have been trialled and are deemed unsuccessful by the dietitian and medical team and the benefits outweigh the risks</w:t>
      </w:r>
      <w:r>
        <w:t>,</w:t>
      </w:r>
      <w:r w:rsidRPr="001429A4">
        <w:t xml:space="preserve"> then parenteral nutrition may be recommended for the patient. Patients will need to have appropriate venous access as parenteral nutrition can only be administered through a peripherally inserted central catheter (PICC) or a central venous catheter (CVC). </w:t>
      </w:r>
      <w:r w:rsidRPr="001429A4">
        <w:rPr>
          <w:rFonts w:cs="Arial"/>
          <w:iCs/>
          <w:szCs w:val="24"/>
        </w:rPr>
        <w:t xml:space="preserve">The patient should be referred to the </w:t>
      </w:r>
      <w:r>
        <w:rPr>
          <w:rFonts w:cs="Arial"/>
          <w:iCs/>
          <w:szCs w:val="24"/>
        </w:rPr>
        <w:t xml:space="preserve">medical obstetric clinician for clinical assessment </w:t>
      </w:r>
      <w:r w:rsidRPr="001429A4">
        <w:rPr>
          <w:rFonts w:cs="Arial"/>
          <w:iCs/>
          <w:szCs w:val="24"/>
          <w:u w:val="single"/>
        </w:rPr>
        <w:t>prior to</w:t>
      </w:r>
      <w:r>
        <w:rPr>
          <w:rFonts w:cs="Arial"/>
          <w:iCs/>
          <w:szCs w:val="24"/>
        </w:rPr>
        <w:t xml:space="preserve"> referring to </w:t>
      </w:r>
      <w:r w:rsidR="00F45E22">
        <w:rPr>
          <w:rFonts w:cs="Arial"/>
          <w:iCs/>
          <w:szCs w:val="24"/>
        </w:rPr>
        <w:t xml:space="preserve">the </w:t>
      </w:r>
      <w:r w:rsidRPr="001429A4">
        <w:rPr>
          <w:rFonts w:cs="Arial"/>
          <w:iCs/>
          <w:szCs w:val="24"/>
        </w:rPr>
        <w:t xml:space="preserve">gastroenterology team for consideration of commencement of parenteral nutrition. </w:t>
      </w:r>
      <w:r w:rsidRPr="001429A4">
        <w:t>Refer to CHS Administration of Total Parenteral Nutrition (TPN) – Adults Procedure.</w:t>
      </w:r>
    </w:p>
    <w:p w14:paraId="004E1787" w14:textId="77777777" w:rsidR="001429A4" w:rsidRPr="001429A4" w:rsidRDefault="001429A4" w:rsidP="00E77721"/>
    <w:p w14:paraId="4EE94CBD" w14:textId="77777777" w:rsidR="001429A4" w:rsidRPr="001429A4" w:rsidRDefault="001429A4" w:rsidP="00E77721">
      <w:pPr>
        <w:rPr>
          <w:b/>
          <w:bCs/>
        </w:rPr>
      </w:pPr>
      <w:r w:rsidRPr="001429A4">
        <w:rPr>
          <w:b/>
          <w:bCs/>
        </w:rPr>
        <w:t xml:space="preserve">Refeeding Syndrome </w:t>
      </w:r>
    </w:p>
    <w:p w14:paraId="6731DF6D" w14:textId="77777777" w:rsidR="001429A4" w:rsidRPr="001429A4" w:rsidRDefault="001429A4" w:rsidP="00E77721">
      <w:r w:rsidRPr="001429A4">
        <w:t xml:space="preserve">Refeeding syndrome can occur when metabolic and electrolyte abnormalities arise when caloric intake is re-introduced or increased after a period of decreased oral intake and/or starvation. ALL patients admitted through CHS HITH for severe hyperemesis gravidarum will be at risk of developing refeeding syndrome. The dietitian and treating medical team will assess the level of risk and develop a management and monitoring plan. Note that refeeding syndrome typically develops when a patient is returning to the fed state and may not be identified prior to this. Refer to </w:t>
      </w:r>
      <w:r w:rsidRPr="001429A4">
        <w:rPr>
          <w:szCs w:val="24"/>
        </w:rPr>
        <w:t>American Society for Parenteral and Enteral Nutrition Consensus Recommendations for Refeeding Syndrome.</w:t>
      </w:r>
    </w:p>
    <w:p w14:paraId="1FF1AAB6" w14:textId="152ECE1A" w:rsidR="001429A4" w:rsidRDefault="001429A4" w:rsidP="005D00A5">
      <w:pPr>
        <w:rPr>
          <w:rFonts w:cs="Arial"/>
          <w:iCs/>
          <w:szCs w:val="24"/>
        </w:rPr>
      </w:pPr>
    </w:p>
    <w:p w14:paraId="239663D0" w14:textId="541B23EE" w:rsidR="00503A9B" w:rsidRPr="003054BB" w:rsidRDefault="00E5521D" w:rsidP="00E77721">
      <w:pPr>
        <w:jc w:val="right"/>
        <w:rPr>
          <w:rFonts w:cs="Arial"/>
          <w:i/>
          <w:szCs w:val="24"/>
        </w:rPr>
      </w:pPr>
      <w:hyperlink w:anchor="Contents" w:history="1">
        <w:r w:rsidR="003054BB" w:rsidRPr="00590902">
          <w:rPr>
            <w:rStyle w:val="Hyperlink"/>
            <w:rFonts w:cs="Arial"/>
            <w:i/>
            <w:szCs w:val="24"/>
          </w:rPr>
          <w:t>Back to Table of Contents</w:t>
        </w:r>
      </w:hyperlink>
      <w:r w:rsidR="003054BB">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147674" w:rsidRPr="003D2D06" w14:paraId="11C0657B" w14:textId="77777777" w:rsidTr="008205B4">
        <w:trPr>
          <w:cantSplit/>
          <w:trHeight w:val="285"/>
        </w:trPr>
        <w:tc>
          <w:tcPr>
            <w:tcW w:w="9158" w:type="dxa"/>
            <w:shd w:val="clear" w:color="auto" w:fill="A6A6A6" w:themeFill="background1" w:themeFillShade="A6"/>
          </w:tcPr>
          <w:p w14:paraId="18EE8711" w14:textId="34093258" w:rsidR="00147674" w:rsidRPr="003D2D06" w:rsidRDefault="00147674" w:rsidP="008205B4">
            <w:pPr>
              <w:pStyle w:val="Heading1"/>
            </w:pPr>
            <w:bookmarkStart w:id="31" w:name="_Toc109996414"/>
            <w:r>
              <w:t xml:space="preserve">Section </w:t>
            </w:r>
            <w:r w:rsidR="00CE5D60">
              <w:t>7</w:t>
            </w:r>
            <w:r>
              <w:t xml:space="preserve"> – HITH</w:t>
            </w:r>
            <w:r w:rsidR="00995063">
              <w:t xml:space="preserve">, </w:t>
            </w:r>
            <w:r>
              <w:t>GP</w:t>
            </w:r>
            <w:r w:rsidR="00995063">
              <w:t xml:space="preserve">, </w:t>
            </w:r>
            <w:proofErr w:type="spellStart"/>
            <w:r w:rsidR="008309E1">
              <w:t>Fetal</w:t>
            </w:r>
            <w:proofErr w:type="spellEnd"/>
            <w:r w:rsidR="008309E1">
              <w:t xml:space="preserve"> Medicine Unit</w:t>
            </w:r>
            <w:r w:rsidR="00995063">
              <w:t xml:space="preserve">, </w:t>
            </w:r>
            <w:r>
              <w:t>Obstetric</w:t>
            </w:r>
            <w:r w:rsidR="002B5DB0">
              <w:t>ian</w:t>
            </w:r>
            <w:bookmarkEnd w:id="31"/>
          </w:p>
        </w:tc>
      </w:tr>
    </w:tbl>
    <w:p w14:paraId="76505F25" w14:textId="2C853D02" w:rsidR="003054BB" w:rsidRDefault="003054BB" w:rsidP="00A539E9"/>
    <w:p w14:paraId="1E3E897C" w14:textId="7F2DB656" w:rsidR="00612CC5" w:rsidRDefault="00612CC5" w:rsidP="00E77721">
      <w:pPr>
        <w:ind w:left="22" w:hanging="22"/>
      </w:pPr>
      <w:r>
        <w:t>Please see the below descriptors for clarity of roles in the</w:t>
      </w:r>
      <w:r w:rsidR="00E77721">
        <w:t xml:space="preserve"> </w:t>
      </w:r>
      <w:r w:rsidR="00A539E9">
        <w:t>H</w:t>
      </w:r>
      <w:r>
        <w:t>ITH</w:t>
      </w:r>
      <w:r w:rsidR="00A539E9">
        <w:t xml:space="preserve">, </w:t>
      </w:r>
      <w:r>
        <w:t>GP</w:t>
      </w:r>
      <w:r w:rsidR="00A539E9">
        <w:t xml:space="preserve">, </w:t>
      </w:r>
      <w:proofErr w:type="spellStart"/>
      <w:r w:rsidR="00E01F26">
        <w:t>Fetal</w:t>
      </w:r>
      <w:proofErr w:type="spellEnd"/>
      <w:r w:rsidR="00E01F26">
        <w:t xml:space="preserve"> Medicine Unit (</w:t>
      </w:r>
      <w:r>
        <w:t>FMU</w:t>
      </w:r>
      <w:r w:rsidR="00E01F26">
        <w:t>)</w:t>
      </w:r>
      <w:r w:rsidR="00A539E9">
        <w:t xml:space="preserve">, </w:t>
      </w:r>
      <w:r>
        <w:t>Obstetrician</w:t>
      </w:r>
      <w:r w:rsidR="00A539E9">
        <w:t xml:space="preserve">, </w:t>
      </w:r>
      <w:r>
        <w:t>midwife interface</w:t>
      </w:r>
      <w:r w:rsidR="00A539E9">
        <w:t>:</w:t>
      </w:r>
    </w:p>
    <w:p w14:paraId="3D2FEB0C" w14:textId="77777777" w:rsidR="00612CC5" w:rsidRDefault="00612CC5" w:rsidP="00E77721">
      <w:pPr>
        <w:ind w:left="1440" w:hanging="1440"/>
      </w:pPr>
    </w:p>
    <w:p w14:paraId="1E07650D" w14:textId="3B749A07" w:rsidR="003054BB" w:rsidRDefault="00995063" w:rsidP="0025510F">
      <w:pPr>
        <w:ind w:left="2880" w:hanging="2880"/>
      </w:pPr>
      <w:r>
        <w:t>HITH</w:t>
      </w:r>
      <w:r>
        <w:tab/>
      </w:r>
      <w:r w:rsidRPr="00A539E9">
        <w:t xml:space="preserve">Management of </w:t>
      </w:r>
      <w:r w:rsidR="005B34E9">
        <w:t>n</w:t>
      </w:r>
      <w:r w:rsidRPr="00A539E9">
        <w:t xml:space="preserve">ausea and </w:t>
      </w:r>
      <w:r w:rsidR="005B34E9">
        <w:t>v</w:t>
      </w:r>
      <w:r w:rsidRPr="00A539E9">
        <w:t xml:space="preserve">omiting in </w:t>
      </w:r>
      <w:r w:rsidR="005B34E9">
        <w:t>p</w:t>
      </w:r>
      <w:r w:rsidRPr="00A539E9">
        <w:t xml:space="preserve">regnancy and </w:t>
      </w:r>
      <w:r w:rsidR="005B34E9">
        <w:t>h</w:t>
      </w:r>
      <w:r w:rsidRPr="00A539E9">
        <w:t>yperemesis</w:t>
      </w:r>
      <w:r w:rsidR="002C2D76" w:rsidRPr="00A539E9">
        <w:t xml:space="preserve"> </w:t>
      </w:r>
      <w:r w:rsidR="005B34E9">
        <w:t>g</w:t>
      </w:r>
      <w:r w:rsidR="002C2D76" w:rsidRPr="00A539E9">
        <w:t>ravidarum during inpatient admission</w:t>
      </w:r>
      <w:r w:rsidR="00503A9B" w:rsidRPr="00A539E9">
        <w:t>.</w:t>
      </w:r>
    </w:p>
    <w:p w14:paraId="56CF4906" w14:textId="77777777" w:rsidR="00612CC5" w:rsidRDefault="00612CC5" w:rsidP="00503A9B">
      <w:pPr>
        <w:ind w:left="1440" w:hanging="1440"/>
        <w:jc w:val="both"/>
      </w:pPr>
    </w:p>
    <w:p w14:paraId="63F35230" w14:textId="1D844EAC" w:rsidR="00503A9B" w:rsidRDefault="00995063" w:rsidP="0025510F">
      <w:pPr>
        <w:ind w:left="2880" w:hanging="2880"/>
      </w:pPr>
      <w:r>
        <w:t>GP</w:t>
      </w:r>
      <w:r>
        <w:tab/>
        <w:t xml:space="preserve">Shared </w:t>
      </w:r>
      <w:r w:rsidR="005B34E9">
        <w:t>c</w:t>
      </w:r>
      <w:r>
        <w:t>are</w:t>
      </w:r>
      <w:r w:rsidR="002C2D76">
        <w:t xml:space="preserve"> with </w:t>
      </w:r>
      <w:r w:rsidR="008F7C01">
        <w:t>m</w:t>
      </w:r>
      <w:r w:rsidR="002C2D76">
        <w:t xml:space="preserve">idwife, </w:t>
      </w:r>
      <w:r w:rsidR="008F7C01">
        <w:t>o</w:t>
      </w:r>
      <w:r w:rsidR="002C2D76">
        <w:t xml:space="preserve">bstetrician or </w:t>
      </w:r>
      <w:proofErr w:type="gramStart"/>
      <w:r w:rsidR="002C2D76">
        <w:t>other</w:t>
      </w:r>
      <w:proofErr w:type="gramEnd"/>
      <w:r w:rsidR="002C2D76">
        <w:t xml:space="preserve"> medical </w:t>
      </w:r>
      <w:r w:rsidR="008F7C01">
        <w:t>s</w:t>
      </w:r>
      <w:r w:rsidR="002C2D76">
        <w:t xml:space="preserve">pecialist, and </w:t>
      </w:r>
      <w:r w:rsidR="008F7C01">
        <w:t>b</w:t>
      </w:r>
      <w:r w:rsidR="002C2D76">
        <w:t xml:space="preserve">irthing facility; </w:t>
      </w:r>
    </w:p>
    <w:p w14:paraId="4C30A578" w14:textId="6B4861EB" w:rsidR="00995063" w:rsidRDefault="00503A9B" w:rsidP="0025510F">
      <w:pPr>
        <w:ind w:left="2880"/>
      </w:pPr>
      <w:r>
        <w:t>O</w:t>
      </w:r>
      <w:r w:rsidR="00995063">
        <w:t>ngoing management of pregnancy related interventions</w:t>
      </w:r>
      <w:r w:rsidR="002C2D76">
        <w:t xml:space="preserve"> such as pathology, scan bookings and follow-up, management of other pregnancy related medical conditions, </w:t>
      </w:r>
      <w:r>
        <w:t>depression</w:t>
      </w:r>
      <w:r w:rsidR="002C2D76">
        <w:t xml:space="preserve"> and other related </w:t>
      </w:r>
      <w:r>
        <w:t>m</w:t>
      </w:r>
      <w:r w:rsidR="002C2D76">
        <w:t xml:space="preserve">ental </w:t>
      </w:r>
      <w:r>
        <w:t>h</w:t>
      </w:r>
      <w:r w:rsidR="002C2D76">
        <w:t>ealth issues</w:t>
      </w:r>
      <w:r>
        <w:t>.</w:t>
      </w:r>
    </w:p>
    <w:p w14:paraId="2273BF84" w14:textId="77777777" w:rsidR="00612CC5" w:rsidRDefault="00612CC5" w:rsidP="00503A9B">
      <w:pPr>
        <w:ind w:left="1440" w:hanging="1440"/>
        <w:jc w:val="both"/>
      </w:pPr>
    </w:p>
    <w:p w14:paraId="061A5DB8" w14:textId="245DD15C" w:rsidR="00867FCC" w:rsidRDefault="00867FCC" w:rsidP="0025510F">
      <w:pPr>
        <w:ind w:left="2880" w:hanging="2880"/>
      </w:pPr>
      <w:r>
        <w:lastRenderedPageBreak/>
        <w:t>FMU</w:t>
      </w:r>
      <w:r>
        <w:tab/>
        <w:t xml:space="preserve">Management High Risk Pregnancies requiring specialised antenatal care, following detection of development, genetic, pathophysiological abnormalities during routine 12, 20 week scans (assessing </w:t>
      </w:r>
      <w:proofErr w:type="spellStart"/>
      <w:r>
        <w:t>fetal</w:t>
      </w:r>
      <w:proofErr w:type="spellEnd"/>
      <w:r>
        <w:t xml:space="preserve"> growth)</w:t>
      </w:r>
      <w:r w:rsidR="00503A9B">
        <w:t>.</w:t>
      </w:r>
    </w:p>
    <w:p w14:paraId="4D09B15C" w14:textId="77777777" w:rsidR="00612CC5" w:rsidRDefault="00612CC5" w:rsidP="00503A9B">
      <w:pPr>
        <w:ind w:left="1440" w:hanging="1440"/>
        <w:jc w:val="both"/>
      </w:pPr>
    </w:p>
    <w:p w14:paraId="3606F89D" w14:textId="43C572A4" w:rsidR="00867FCC" w:rsidRDefault="00867FCC" w:rsidP="0025510F">
      <w:pPr>
        <w:ind w:left="2880" w:hanging="2880"/>
      </w:pPr>
      <w:r>
        <w:t>Obstetric</w:t>
      </w:r>
      <w:r w:rsidR="002B5DB0">
        <w:t>ian</w:t>
      </w:r>
      <w:r>
        <w:tab/>
      </w:r>
      <w:r w:rsidR="002B5DB0">
        <w:t>Medical specialist caring for</w:t>
      </w:r>
      <w:r>
        <w:t xml:space="preserve"> pregnant women who may be high risk or</w:t>
      </w:r>
      <w:r w:rsidR="002B5DB0">
        <w:t xml:space="preserve"> </w:t>
      </w:r>
      <w:r>
        <w:t>normal prospective birth</w:t>
      </w:r>
      <w:r w:rsidR="002B5DB0">
        <w:t>. Assessment and management of women during the antenatal, birth and postnatal period, either collaboratively with midwives or as a single point of obstetric care</w:t>
      </w:r>
      <w:r w:rsidR="00503A9B">
        <w:t>.</w:t>
      </w:r>
    </w:p>
    <w:p w14:paraId="7A779F0C" w14:textId="77777777" w:rsidR="00487761" w:rsidRDefault="00487761" w:rsidP="00A539E9">
      <w:pPr>
        <w:ind w:left="1440" w:hanging="1440"/>
      </w:pPr>
    </w:p>
    <w:p w14:paraId="29AF0A38" w14:textId="7D7D3BF4" w:rsidR="00487761" w:rsidRDefault="00487761" w:rsidP="0025510F">
      <w:pPr>
        <w:ind w:left="2880" w:hanging="2880"/>
      </w:pPr>
      <w:r>
        <w:t>Medical Obstetric Physician</w:t>
      </w:r>
      <w:r w:rsidR="00BA0DF8">
        <w:tab/>
        <w:t>Medical Physician providing care for medical conditions in a pregnant woman.</w:t>
      </w:r>
    </w:p>
    <w:p w14:paraId="2342BCCA" w14:textId="52515D5C" w:rsidR="008D722E" w:rsidRDefault="008D722E" w:rsidP="00503A9B">
      <w:pPr>
        <w:ind w:left="1440" w:hanging="1440"/>
        <w:jc w:val="both"/>
      </w:pPr>
    </w:p>
    <w:p w14:paraId="1677734F" w14:textId="4B0087E6" w:rsidR="008D722E" w:rsidRDefault="008D722E" w:rsidP="0025510F">
      <w:pPr>
        <w:ind w:left="2880" w:hanging="2880"/>
      </w:pPr>
      <w:r>
        <w:t>Midwife</w:t>
      </w:r>
      <w:r w:rsidR="00B526E2">
        <w:tab/>
        <w:t xml:space="preserve">Clinician providing care and management for the antenatal, </w:t>
      </w:r>
      <w:proofErr w:type="gramStart"/>
      <w:r w:rsidR="00B526E2">
        <w:t>intrapartum</w:t>
      </w:r>
      <w:proofErr w:type="gramEnd"/>
      <w:r w:rsidR="00B526E2">
        <w:t xml:space="preserve"> and postnatal periods of the pregnant woman (normal or high risk).  Midwives may be part of the Continuity Midwifery Program (CMP) or be part of the midwifery team in </w:t>
      </w:r>
      <w:proofErr w:type="spellStart"/>
      <w:r w:rsidR="00B526E2">
        <w:t>Birthsuite</w:t>
      </w:r>
      <w:proofErr w:type="spellEnd"/>
      <w:r w:rsidR="00B526E2">
        <w:t>.</w:t>
      </w:r>
    </w:p>
    <w:p w14:paraId="29BC30D4" w14:textId="36A753C4" w:rsidR="002C2D76" w:rsidRDefault="002C2D76" w:rsidP="002B5DB0">
      <w:pPr>
        <w:ind w:left="720" w:hanging="720"/>
      </w:pPr>
      <w:r>
        <w:tab/>
      </w:r>
    </w:p>
    <w:p w14:paraId="591DF0E9" w14:textId="26D9401C" w:rsidR="00503A9B" w:rsidRPr="003054BB" w:rsidRDefault="00E5521D" w:rsidP="00A539E9">
      <w:pPr>
        <w:jc w:val="right"/>
        <w:rPr>
          <w:rFonts w:cs="Arial"/>
          <w:i/>
          <w:szCs w:val="24"/>
        </w:rPr>
      </w:pPr>
      <w:hyperlink w:anchor="Contents" w:history="1">
        <w:r w:rsidR="003054BB" w:rsidRPr="00590902">
          <w:rPr>
            <w:rStyle w:val="Hyperlink"/>
            <w:rFonts w:cs="Arial"/>
            <w:i/>
            <w:szCs w:val="24"/>
          </w:rPr>
          <w:t>Back to Table of Contents</w:t>
        </w:r>
      </w:hyperlink>
      <w:r w:rsidR="003054BB">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147674" w:rsidRPr="003D2D06" w14:paraId="131E9A79" w14:textId="77777777" w:rsidTr="008205B4">
        <w:trPr>
          <w:cantSplit/>
          <w:trHeight w:val="285"/>
        </w:trPr>
        <w:tc>
          <w:tcPr>
            <w:tcW w:w="9158" w:type="dxa"/>
            <w:shd w:val="clear" w:color="auto" w:fill="A6A6A6" w:themeFill="background1" w:themeFillShade="A6"/>
          </w:tcPr>
          <w:p w14:paraId="21C163CE" w14:textId="3D9FAA29" w:rsidR="00147674" w:rsidRPr="003D2D06" w:rsidRDefault="00147674" w:rsidP="008205B4">
            <w:pPr>
              <w:pStyle w:val="Heading1"/>
            </w:pPr>
            <w:bookmarkStart w:id="32" w:name="_Toc109996415"/>
            <w:r>
              <w:t xml:space="preserve">Section </w:t>
            </w:r>
            <w:r w:rsidR="00CE5D60">
              <w:t>8</w:t>
            </w:r>
            <w:r>
              <w:t xml:space="preserve"> </w:t>
            </w:r>
            <w:r w:rsidRPr="003D2D06">
              <w:t xml:space="preserve">– </w:t>
            </w:r>
            <w:r>
              <w:t>HITH</w:t>
            </w:r>
            <w:r w:rsidR="009C6ED4">
              <w:t xml:space="preserve"> Discharge</w:t>
            </w:r>
            <w:bookmarkEnd w:id="32"/>
          </w:p>
        </w:tc>
      </w:tr>
    </w:tbl>
    <w:p w14:paraId="1D0F69E6" w14:textId="299FC0BE" w:rsidR="005D00A5" w:rsidRDefault="005D00A5" w:rsidP="00147674">
      <w:pPr>
        <w:rPr>
          <w:rFonts w:cs="Arial"/>
          <w:b/>
          <w:szCs w:val="24"/>
        </w:rPr>
      </w:pPr>
    </w:p>
    <w:p w14:paraId="74020E51" w14:textId="21ABC929" w:rsidR="00E42A87" w:rsidRDefault="00E42A87" w:rsidP="00A539E9">
      <w:r>
        <w:t xml:space="preserve">Discharge will be indicated when the patient has tolerated appropriate oral pharmacotherapy, oral </w:t>
      </w:r>
      <w:proofErr w:type="gramStart"/>
      <w:r>
        <w:t>nutrition</w:t>
      </w:r>
      <w:proofErr w:type="gramEnd"/>
      <w:r>
        <w:t xml:space="preserve"> and oral hydration to yield a consistent </w:t>
      </w:r>
      <w:r w:rsidRPr="004056E5">
        <w:t>PUQE-24 score &lt; 7</w:t>
      </w:r>
      <w:r>
        <w:t>,</w:t>
      </w:r>
      <w:r w:rsidRPr="004056E5">
        <w:t xml:space="preserve"> with normal electrolytes and no significant postural </w:t>
      </w:r>
      <w:r>
        <w:t>hypotension</w:t>
      </w:r>
      <w:r w:rsidRPr="004056E5">
        <w:t xml:space="preserve"> or syncopal events</w:t>
      </w:r>
      <w:r>
        <w:t>.</w:t>
      </w:r>
    </w:p>
    <w:p w14:paraId="586B983F" w14:textId="77777777" w:rsidR="00A539E9" w:rsidRDefault="00A539E9" w:rsidP="00A539E9"/>
    <w:p w14:paraId="78F24C51" w14:textId="42BFF01E" w:rsidR="003054BB" w:rsidRPr="004056E5" w:rsidRDefault="00E42A87" w:rsidP="00A539E9">
      <w:r>
        <w:t>Prior to discharge, the</w:t>
      </w:r>
      <w:r w:rsidR="003054BB" w:rsidRPr="004056E5">
        <w:t xml:space="preserve"> patient </w:t>
      </w:r>
      <w:r>
        <w:t>must have</w:t>
      </w:r>
      <w:r w:rsidR="003054BB" w:rsidRPr="004056E5">
        <w:t xml:space="preserve"> </w:t>
      </w:r>
      <w:r w:rsidR="003054BB">
        <w:t>an O</w:t>
      </w:r>
      <w:r w:rsidR="003054BB" w:rsidRPr="004056E5">
        <w:t xml:space="preserve">bstetric care provider </w:t>
      </w:r>
      <w:r w:rsidR="00503A9B">
        <w:t>such as</w:t>
      </w:r>
      <w:r w:rsidR="003054BB" w:rsidRPr="004056E5">
        <w:t xml:space="preserve"> GP </w:t>
      </w:r>
      <w:r w:rsidR="003054BB">
        <w:t>S</w:t>
      </w:r>
      <w:r w:rsidR="003054BB" w:rsidRPr="004056E5">
        <w:t xml:space="preserve">hared </w:t>
      </w:r>
      <w:r w:rsidR="003054BB">
        <w:t>C</w:t>
      </w:r>
      <w:r w:rsidR="003054BB" w:rsidRPr="004056E5">
        <w:t xml:space="preserve">are, </w:t>
      </w:r>
      <w:r w:rsidR="003054BB">
        <w:t>M</w:t>
      </w:r>
      <w:r w:rsidR="003054BB" w:rsidRPr="004056E5">
        <w:t>idwife</w:t>
      </w:r>
      <w:r w:rsidR="007C61B4">
        <w:t>ry</w:t>
      </w:r>
      <w:r w:rsidR="003054BB" w:rsidRPr="004056E5">
        <w:t xml:space="preserve"> clinic, </w:t>
      </w:r>
      <w:r w:rsidR="003054BB">
        <w:t>O</w:t>
      </w:r>
      <w:r w:rsidR="003054BB" w:rsidRPr="004056E5">
        <w:t xml:space="preserve">bstetric </w:t>
      </w:r>
      <w:proofErr w:type="gramStart"/>
      <w:r w:rsidR="003054BB" w:rsidRPr="004056E5">
        <w:t>clinic</w:t>
      </w:r>
      <w:proofErr w:type="gramEnd"/>
      <w:r w:rsidR="003054BB" w:rsidRPr="004056E5">
        <w:t xml:space="preserve"> or private </w:t>
      </w:r>
      <w:r w:rsidR="003054BB">
        <w:t>O</w:t>
      </w:r>
      <w:r w:rsidR="003054BB" w:rsidRPr="004056E5">
        <w:t>bstetrician</w:t>
      </w:r>
      <w:r w:rsidR="00503A9B">
        <w:t>,</w:t>
      </w:r>
      <w:r w:rsidR="003054BB" w:rsidRPr="004056E5">
        <w:t xml:space="preserve"> with ongoing appointments scheduled</w:t>
      </w:r>
      <w:r>
        <w:t xml:space="preserve"> and the discharge plan clearly communicated.</w:t>
      </w:r>
    </w:p>
    <w:p w14:paraId="19CC03F1" w14:textId="77777777" w:rsidR="00A539E9" w:rsidRDefault="00A539E9" w:rsidP="00A539E9"/>
    <w:p w14:paraId="242FAA25" w14:textId="6378A2EB" w:rsidR="003054BB" w:rsidRDefault="007C61B4" w:rsidP="00A539E9">
      <w:r>
        <w:t xml:space="preserve">CHS </w:t>
      </w:r>
      <w:r w:rsidR="00A23F0A">
        <w:rPr>
          <w:rFonts w:cs="Arial"/>
          <w:iCs/>
          <w:szCs w:val="24"/>
        </w:rPr>
        <w:t>r</w:t>
      </w:r>
      <w:r w:rsidR="00503A9B" w:rsidRPr="007C61B4">
        <w:rPr>
          <w:rFonts w:cs="Arial"/>
          <w:iCs/>
          <w:szCs w:val="24"/>
        </w:rPr>
        <w:t xml:space="preserve">ecommendation </w:t>
      </w:r>
      <w:r w:rsidR="00A23F0A">
        <w:rPr>
          <w:rFonts w:cs="Arial"/>
          <w:iCs/>
          <w:szCs w:val="24"/>
        </w:rPr>
        <w:t>f</w:t>
      </w:r>
      <w:r w:rsidR="00503A9B" w:rsidRPr="007C61B4">
        <w:rPr>
          <w:rFonts w:cs="Arial"/>
          <w:iCs/>
          <w:szCs w:val="24"/>
        </w:rPr>
        <w:t xml:space="preserve">or </w:t>
      </w:r>
      <w:r w:rsidR="00657F9A">
        <w:rPr>
          <w:rFonts w:cs="Arial"/>
          <w:iCs/>
          <w:szCs w:val="24"/>
        </w:rPr>
        <w:t>a</w:t>
      </w:r>
      <w:r w:rsidR="00503A9B" w:rsidRPr="007C61B4">
        <w:rPr>
          <w:rFonts w:cs="Arial"/>
          <w:iCs/>
          <w:szCs w:val="24"/>
        </w:rPr>
        <w:t>dmission</w:t>
      </w:r>
      <w:r>
        <w:t xml:space="preserve"> remains open in early discharge period from HITH, in the event a woman relapses with severe nausea and vomiting</w:t>
      </w:r>
      <w:r w:rsidR="00503A9B">
        <w:t>.</w:t>
      </w:r>
    </w:p>
    <w:p w14:paraId="260EFACC" w14:textId="77777777" w:rsidR="00E5521D" w:rsidRDefault="00E5521D" w:rsidP="00A539E9"/>
    <w:p w14:paraId="596552AD" w14:textId="3E4E00A6" w:rsidR="00A539E9" w:rsidRPr="00E5521D" w:rsidRDefault="00E5521D" w:rsidP="00E5521D">
      <w:pPr>
        <w:pStyle w:val="ListParagraph"/>
        <w:jc w:val="right"/>
        <w:rPr>
          <w:rFonts w:cs="Arial"/>
          <w:i/>
          <w:szCs w:val="24"/>
        </w:rPr>
      </w:pPr>
      <w:hyperlink w:anchor="Contents" w:history="1">
        <w:r w:rsidR="003054BB" w:rsidRPr="003054BB">
          <w:rPr>
            <w:rStyle w:val="Hyperlink"/>
            <w:rFonts w:cs="Arial"/>
            <w:i/>
            <w:szCs w:val="24"/>
          </w:rPr>
          <w:t>Back to Table of Contents</w:t>
        </w:r>
      </w:hyperlink>
      <w:r w:rsidR="003054BB" w:rsidRPr="003054BB">
        <w:rPr>
          <w:rFonts w:cs="Arial"/>
          <w:i/>
          <w:szCs w:val="24"/>
        </w:rPr>
        <w:t xml:space="preserve"> </w:t>
      </w:r>
    </w:p>
    <w:p w14:paraId="2F51A8AE" w14:textId="77777777" w:rsidR="007B6904" w:rsidRDefault="007B6904" w:rsidP="007B6904">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F9158A" w:rsidRPr="00CD1C0E" w14:paraId="381DE97E" w14:textId="77777777" w:rsidTr="00E73459">
        <w:trPr>
          <w:cantSplit/>
          <w:trHeight w:val="285"/>
        </w:trPr>
        <w:tc>
          <w:tcPr>
            <w:tcW w:w="9158" w:type="dxa"/>
            <w:shd w:val="clear" w:color="auto" w:fill="A6A6A6" w:themeFill="background1" w:themeFillShade="A6"/>
          </w:tcPr>
          <w:p w14:paraId="3B90ABDC" w14:textId="067D01FB" w:rsidR="00F9158A" w:rsidRPr="00CD1C0E" w:rsidRDefault="00F9158A" w:rsidP="00E73459">
            <w:pPr>
              <w:pStyle w:val="Heading1"/>
              <w:tabs>
                <w:tab w:val="left" w:pos="1953"/>
              </w:tabs>
            </w:pPr>
            <w:bookmarkStart w:id="33" w:name="_Toc109996416"/>
            <w:r>
              <w:t>Evaluation</w:t>
            </w:r>
            <w:bookmarkEnd w:id="33"/>
            <w:r>
              <w:t xml:space="preserve"> </w:t>
            </w:r>
            <w:r w:rsidR="00E73459">
              <w:tab/>
            </w:r>
          </w:p>
        </w:tc>
      </w:tr>
    </w:tbl>
    <w:p w14:paraId="6E93670E" w14:textId="77777777" w:rsidR="00F9158A" w:rsidRDefault="00F9158A" w:rsidP="00F9158A">
      <w:pPr>
        <w:pStyle w:val="Default"/>
        <w:rPr>
          <w:rFonts w:ascii="Calibri" w:hAnsi="Calibri"/>
        </w:rPr>
      </w:pPr>
    </w:p>
    <w:p w14:paraId="392F428C" w14:textId="1473C382" w:rsidR="00845445" w:rsidRDefault="00845445" w:rsidP="00F9158A">
      <w:pPr>
        <w:pStyle w:val="Default"/>
        <w:rPr>
          <w:rFonts w:ascii="Calibri" w:hAnsi="Calibri" w:cs="Arial"/>
          <w:b/>
          <w:bCs/>
          <w:iCs/>
          <w:color w:val="auto"/>
          <w:lang w:eastAsia="en-US"/>
        </w:rPr>
      </w:pPr>
      <w:r w:rsidRPr="00845445">
        <w:rPr>
          <w:rFonts w:ascii="Calibri" w:hAnsi="Calibri" w:cs="Arial"/>
          <w:b/>
          <w:bCs/>
          <w:iCs/>
          <w:color w:val="auto"/>
          <w:lang w:eastAsia="en-US"/>
        </w:rPr>
        <w:t>Outcome</w:t>
      </w:r>
      <w:r w:rsidR="00197EF7">
        <w:rPr>
          <w:rFonts w:ascii="Calibri" w:hAnsi="Calibri" w:cs="Arial"/>
          <w:b/>
          <w:bCs/>
          <w:iCs/>
          <w:color w:val="auto"/>
          <w:lang w:eastAsia="en-US"/>
        </w:rPr>
        <w:t xml:space="preserve"> </w:t>
      </w:r>
    </w:p>
    <w:p w14:paraId="38201E94" w14:textId="55413EA2" w:rsidR="00197EF7" w:rsidRDefault="00197EF7" w:rsidP="00F9158A">
      <w:pPr>
        <w:pStyle w:val="Default"/>
        <w:rPr>
          <w:rFonts w:ascii="Calibri" w:hAnsi="Calibri" w:cs="Arial"/>
          <w:iCs/>
          <w:color w:val="auto"/>
          <w:lang w:eastAsia="en-US"/>
        </w:rPr>
      </w:pPr>
      <w:r w:rsidRPr="00197EF7">
        <w:rPr>
          <w:rFonts w:ascii="Calibri" w:hAnsi="Calibri" w:cs="Arial"/>
          <w:iCs/>
          <w:color w:val="auto"/>
          <w:lang w:eastAsia="en-US"/>
        </w:rPr>
        <w:t xml:space="preserve">Patients with </w:t>
      </w:r>
      <w:r w:rsidR="00514413">
        <w:rPr>
          <w:rFonts w:ascii="Calibri" w:hAnsi="Calibri" w:cs="Arial"/>
          <w:iCs/>
          <w:color w:val="auto"/>
          <w:lang w:eastAsia="en-US"/>
        </w:rPr>
        <w:t>h</w:t>
      </w:r>
      <w:r w:rsidRPr="00197EF7">
        <w:rPr>
          <w:rFonts w:ascii="Calibri" w:hAnsi="Calibri" w:cs="Arial"/>
          <w:iCs/>
          <w:color w:val="auto"/>
          <w:lang w:eastAsia="en-US"/>
        </w:rPr>
        <w:t xml:space="preserve">yperemesis </w:t>
      </w:r>
      <w:r w:rsidR="00514413">
        <w:rPr>
          <w:rFonts w:ascii="Calibri" w:hAnsi="Calibri" w:cs="Arial"/>
          <w:iCs/>
          <w:color w:val="auto"/>
          <w:lang w:eastAsia="en-US"/>
        </w:rPr>
        <w:t>g</w:t>
      </w:r>
      <w:r w:rsidRPr="00197EF7">
        <w:rPr>
          <w:rFonts w:ascii="Calibri" w:hAnsi="Calibri" w:cs="Arial"/>
          <w:iCs/>
          <w:color w:val="auto"/>
          <w:lang w:eastAsia="en-US"/>
        </w:rPr>
        <w:t xml:space="preserve">ravidarum </w:t>
      </w:r>
      <w:r w:rsidR="00503A9B">
        <w:rPr>
          <w:rFonts w:ascii="Calibri" w:hAnsi="Calibri" w:cs="Arial"/>
          <w:iCs/>
          <w:color w:val="auto"/>
          <w:lang w:eastAsia="en-US"/>
        </w:rPr>
        <w:t xml:space="preserve">that </w:t>
      </w:r>
      <w:r w:rsidRPr="00197EF7">
        <w:rPr>
          <w:rFonts w:ascii="Calibri" w:hAnsi="Calibri" w:cs="Arial"/>
          <w:iCs/>
          <w:color w:val="auto"/>
          <w:lang w:eastAsia="en-US"/>
        </w:rPr>
        <w:t>are admitted to HITH meet the criteria outlined in this procedure and receive treatment as per this procedure</w:t>
      </w:r>
      <w:r w:rsidR="00503A9B">
        <w:rPr>
          <w:rFonts w:ascii="Calibri" w:hAnsi="Calibri" w:cs="Arial"/>
          <w:iCs/>
          <w:color w:val="auto"/>
          <w:lang w:eastAsia="en-US"/>
        </w:rPr>
        <w:t>.</w:t>
      </w:r>
    </w:p>
    <w:p w14:paraId="23FD0C97" w14:textId="517BA2EA" w:rsidR="00197EF7" w:rsidRDefault="00197EF7" w:rsidP="00F9158A">
      <w:pPr>
        <w:pStyle w:val="Default"/>
        <w:rPr>
          <w:rFonts w:ascii="Calibri" w:hAnsi="Calibri" w:cs="Arial"/>
          <w:iCs/>
          <w:color w:val="auto"/>
          <w:lang w:eastAsia="en-US"/>
        </w:rPr>
      </w:pPr>
    </w:p>
    <w:p w14:paraId="0F25D735" w14:textId="39BDCAD2" w:rsidR="00E5521D" w:rsidRDefault="00E5521D" w:rsidP="00F9158A">
      <w:pPr>
        <w:pStyle w:val="Default"/>
        <w:rPr>
          <w:rFonts w:ascii="Calibri" w:hAnsi="Calibri" w:cs="Arial"/>
          <w:iCs/>
          <w:color w:val="auto"/>
          <w:lang w:eastAsia="en-US"/>
        </w:rPr>
      </w:pPr>
    </w:p>
    <w:p w14:paraId="411AA777" w14:textId="77777777" w:rsidR="00E5521D" w:rsidRDefault="00E5521D" w:rsidP="00F9158A">
      <w:pPr>
        <w:pStyle w:val="Default"/>
        <w:rPr>
          <w:rFonts w:ascii="Calibri" w:hAnsi="Calibri" w:cs="Arial"/>
          <w:iCs/>
          <w:color w:val="auto"/>
          <w:lang w:eastAsia="en-US"/>
        </w:rPr>
      </w:pPr>
    </w:p>
    <w:p w14:paraId="3D3F1B0F" w14:textId="6D5E591C" w:rsidR="00197EF7" w:rsidRDefault="00197EF7" w:rsidP="00F9158A">
      <w:pPr>
        <w:pStyle w:val="Default"/>
        <w:rPr>
          <w:rFonts w:ascii="Calibri" w:hAnsi="Calibri" w:cs="Arial"/>
          <w:b/>
          <w:bCs/>
          <w:iCs/>
          <w:color w:val="auto"/>
          <w:lang w:eastAsia="en-US"/>
        </w:rPr>
      </w:pPr>
      <w:r w:rsidRPr="00197EF7">
        <w:rPr>
          <w:rFonts w:ascii="Calibri" w:hAnsi="Calibri" w:cs="Arial"/>
          <w:b/>
          <w:bCs/>
          <w:iCs/>
          <w:color w:val="auto"/>
          <w:lang w:eastAsia="en-US"/>
        </w:rPr>
        <w:lastRenderedPageBreak/>
        <w:t>Measure</w:t>
      </w:r>
    </w:p>
    <w:p w14:paraId="79528C9A" w14:textId="2A0C2D6C" w:rsidR="00503A9B" w:rsidRPr="00A539E9" w:rsidRDefault="00197EF7" w:rsidP="00A539E9">
      <w:pPr>
        <w:pStyle w:val="ListBullet"/>
        <w:rPr>
          <w:b/>
          <w:lang w:val="en-US"/>
        </w:rPr>
      </w:pPr>
      <w:r w:rsidRPr="00C9249E">
        <w:rPr>
          <w:lang w:val="en-US"/>
        </w:rPr>
        <w:t>Review of incident reports (if appropriate) through the HITH Morbidity and Mortality Committee.</w:t>
      </w:r>
    </w:p>
    <w:p w14:paraId="5AF34DDA" w14:textId="38CEB5C3" w:rsidR="000F346E" w:rsidRPr="00A539E9" w:rsidRDefault="00197EF7" w:rsidP="00A539E9">
      <w:pPr>
        <w:pStyle w:val="ListBullet"/>
        <w:rPr>
          <w:b/>
          <w:lang w:val="en-US"/>
        </w:rPr>
      </w:pPr>
      <w:r>
        <w:rPr>
          <w:lang w:val="en-US"/>
        </w:rPr>
        <w:t>A</w:t>
      </w:r>
      <w:r w:rsidRPr="00C9249E">
        <w:rPr>
          <w:lang w:val="en-US"/>
        </w:rPr>
        <w:t>udit of HITH patient referral database and clinical records to determine if patient selection and treatment was as per procedure.</w:t>
      </w:r>
    </w:p>
    <w:p w14:paraId="378978B4" w14:textId="596BEE90" w:rsidR="000F346E" w:rsidRPr="000F346E" w:rsidRDefault="000F346E" w:rsidP="00A539E9">
      <w:pPr>
        <w:pStyle w:val="ListBullet"/>
        <w:rPr>
          <w:lang w:val="en-US"/>
        </w:rPr>
      </w:pPr>
      <w:r>
        <w:rPr>
          <w:lang w:val="en-US"/>
        </w:rPr>
        <w:t xml:space="preserve">Qualitative survey of patients admitted to HITH with </w:t>
      </w:r>
      <w:r w:rsidR="002A0D91">
        <w:rPr>
          <w:lang w:val="en-US"/>
        </w:rPr>
        <w:t>h</w:t>
      </w:r>
      <w:r>
        <w:rPr>
          <w:lang w:val="en-US"/>
        </w:rPr>
        <w:t xml:space="preserve">yperemesis </w:t>
      </w:r>
      <w:r w:rsidR="002A0D91">
        <w:rPr>
          <w:lang w:val="en-US"/>
        </w:rPr>
        <w:t>g</w:t>
      </w:r>
      <w:r>
        <w:rPr>
          <w:lang w:val="en-US"/>
        </w:rPr>
        <w:t xml:space="preserve">ravidarum to </w:t>
      </w:r>
      <w:r>
        <w:t>provide insights for continuous quality improvement.</w:t>
      </w:r>
    </w:p>
    <w:p w14:paraId="119BA4AD" w14:textId="6CAFFAED" w:rsidR="00F9158A" w:rsidRDefault="00E5521D" w:rsidP="00F9158A">
      <w:pPr>
        <w:jc w:val="right"/>
        <w:rPr>
          <w:rStyle w:val="Hyperlink"/>
          <w:rFonts w:eastAsiaTheme="majorEastAsia" w:cs="Arial"/>
          <w:i/>
          <w:szCs w:val="24"/>
        </w:rPr>
      </w:pPr>
      <w:hyperlink w:anchor="Contents" w:history="1">
        <w:r w:rsidR="00F9158A" w:rsidRPr="00C91F3F">
          <w:rPr>
            <w:rStyle w:val="Hyperlink"/>
            <w:rFonts w:eastAsiaTheme="majorEastAsia" w:cs="Arial"/>
            <w:i/>
            <w:szCs w:val="24"/>
          </w:rPr>
          <w:t>Back to Table of Contents</w:t>
        </w:r>
      </w:hyperlink>
    </w:p>
    <w:p w14:paraId="363A3F99" w14:textId="77777777" w:rsidR="00503A9B" w:rsidRPr="00253F5A" w:rsidRDefault="00503A9B" w:rsidP="00F9158A">
      <w:pPr>
        <w:jc w:val="right"/>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34" w:name="_Toc389473287"/>
            <w:bookmarkStart w:id="35" w:name="_Toc109996417"/>
            <w:r>
              <w:t xml:space="preserve">Related Policies, </w:t>
            </w:r>
            <w:r w:rsidR="007B6904">
              <w:t>Procedures</w:t>
            </w:r>
            <w:bookmarkEnd w:id="34"/>
            <w:r>
              <w:t>, Guidelines and Legislation</w:t>
            </w:r>
            <w:bookmarkEnd w:id="35"/>
          </w:p>
        </w:tc>
      </w:tr>
    </w:tbl>
    <w:p w14:paraId="2F51A8B9" w14:textId="77777777" w:rsidR="001926F4" w:rsidRDefault="001926F4" w:rsidP="001926F4">
      <w:pPr>
        <w:pStyle w:val="Heading2"/>
      </w:pPr>
    </w:p>
    <w:p w14:paraId="2F51A8BA" w14:textId="77777777" w:rsidR="001926F4" w:rsidRPr="00201FB6" w:rsidRDefault="001926F4" w:rsidP="00201FB6">
      <w:pPr>
        <w:rPr>
          <w:b/>
        </w:rPr>
      </w:pPr>
      <w:r w:rsidRPr="00201FB6">
        <w:rPr>
          <w:b/>
        </w:rPr>
        <w:t>Policies</w:t>
      </w:r>
    </w:p>
    <w:p w14:paraId="2F51A8BB" w14:textId="4A5E7C27" w:rsidR="009E70F4" w:rsidRPr="000A7335" w:rsidRDefault="00197EF7" w:rsidP="009E70F4">
      <w:pPr>
        <w:numPr>
          <w:ilvl w:val="0"/>
          <w:numId w:val="3"/>
        </w:numPr>
        <w:ind w:left="360"/>
        <w:rPr>
          <w:rFonts w:cs="Arial"/>
          <w:szCs w:val="24"/>
        </w:rPr>
      </w:pPr>
      <w:r>
        <w:rPr>
          <w:rFonts w:cs="Arial"/>
          <w:szCs w:val="24"/>
        </w:rPr>
        <w:t xml:space="preserve">Medication </w:t>
      </w:r>
      <w:r w:rsidR="00A539E9">
        <w:rPr>
          <w:rFonts w:cs="Arial"/>
          <w:szCs w:val="24"/>
        </w:rPr>
        <w:t>Handling</w:t>
      </w:r>
    </w:p>
    <w:p w14:paraId="2F51A8BC" w14:textId="684ED0E3" w:rsidR="000A7335" w:rsidRDefault="00231F81" w:rsidP="009E70F4">
      <w:pPr>
        <w:numPr>
          <w:ilvl w:val="0"/>
          <w:numId w:val="3"/>
        </w:numPr>
        <w:ind w:left="360"/>
        <w:rPr>
          <w:rFonts w:cs="Arial"/>
          <w:szCs w:val="24"/>
        </w:rPr>
      </w:pPr>
      <w:r>
        <w:rPr>
          <w:rFonts w:cs="Arial"/>
          <w:szCs w:val="24"/>
        </w:rPr>
        <w:t xml:space="preserve">Informed </w:t>
      </w:r>
      <w:r w:rsidR="00F14EC1">
        <w:rPr>
          <w:rFonts w:cs="Arial"/>
          <w:szCs w:val="24"/>
        </w:rPr>
        <w:t xml:space="preserve">Consent </w:t>
      </w:r>
      <w:r>
        <w:rPr>
          <w:rFonts w:cs="Arial"/>
          <w:szCs w:val="24"/>
        </w:rPr>
        <w:t>(Clinical)</w:t>
      </w:r>
    </w:p>
    <w:p w14:paraId="32B073A0" w14:textId="69904F9B" w:rsidR="00F45E22" w:rsidRPr="000A7335" w:rsidRDefault="00F45E22" w:rsidP="009E70F4">
      <w:pPr>
        <w:numPr>
          <w:ilvl w:val="0"/>
          <w:numId w:val="3"/>
        </w:numPr>
        <w:ind w:left="360"/>
        <w:rPr>
          <w:rFonts w:cs="Arial"/>
          <w:szCs w:val="24"/>
        </w:rPr>
      </w:pPr>
      <w:r>
        <w:rPr>
          <w:rFonts w:cs="Arial"/>
          <w:szCs w:val="24"/>
        </w:rPr>
        <w:t>Nutrition and Hydration for Admitted Adults and Children</w:t>
      </w:r>
    </w:p>
    <w:p w14:paraId="2F51A8BD" w14:textId="77777777" w:rsidR="000A7335" w:rsidRPr="000A7335" w:rsidRDefault="000A7335" w:rsidP="000A7335">
      <w:pPr>
        <w:rPr>
          <w:rFonts w:cs="Arial"/>
          <w:szCs w:val="24"/>
        </w:rPr>
      </w:pPr>
    </w:p>
    <w:p w14:paraId="2F51A8BE" w14:textId="77777777" w:rsidR="00931B93" w:rsidRPr="00201FB6" w:rsidRDefault="00931B93" w:rsidP="00201FB6">
      <w:pPr>
        <w:rPr>
          <w:b/>
        </w:rPr>
      </w:pPr>
      <w:r w:rsidRPr="00201FB6">
        <w:rPr>
          <w:b/>
        </w:rPr>
        <w:t>Procedures</w:t>
      </w:r>
    </w:p>
    <w:p w14:paraId="2F51A8BF" w14:textId="25CDBDEF" w:rsidR="001926F4" w:rsidRPr="001F2A9B" w:rsidRDefault="00231F81" w:rsidP="000A7335">
      <w:pPr>
        <w:numPr>
          <w:ilvl w:val="0"/>
          <w:numId w:val="3"/>
        </w:numPr>
        <w:ind w:left="360"/>
        <w:rPr>
          <w:rFonts w:cs="Arial"/>
          <w:szCs w:val="24"/>
        </w:rPr>
      </w:pPr>
      <w:r>
        <w:rPr>
          <w:rFonts w:cs="Arial"/>
          <w:szCs w:val="24"/>
        </w:rPr>
        <w:t>Infection Prevention and Control</w:t>
      </w:r>
      <w:r w:rsidR="001926F4" w:rsidRPr="001F2A9B">
        <w:rPr>
          <w:rFonts w:cs="Arial"/>
          <w:szCs w:val="24"/>
        </w:rPr>
        <w:t xml:space="preserve"> </w:t>
      </w:r>
    </w:p>
    <w:p w14:paraId="46E428A3" w14:textId="45F79079" w:rsidR="00304041" w:rsidRDefault="000A7335" w:rsidP="000A7335">
      <w:pPr>
        <w:pStyle w:val="ListParagraph"/>
        <w:numPr>
          <w:ilvl w:val="0"/>
          <w:numId w:val="3"/>
        </w:numPr>
        <w:ind w:left="360"/>
        <w:rPr>
          <w:rFonts w:cs="Arial"/>
          <w:szCs w:val="24"/>
        </w:rPr>
      </w:pPr>
      <w:r w:rsidRPr="001F2A9B">
        <w:rPr>
          <w:rFonts w:cs="Arial"/>
          <w:szCs w:val="24"/>
        </w:rPr>
        <w:t xml:space="preserve">Patient Identification and Procedure Matching </w:t>
      </w:r>
    </w:p>
    <w:p w14:paraId="5DE7BF91" w14:textId="456E5DDB" w:rsidR="00304041" w:rsidRPr="00304041" w:rsidRDefault="00197EF7" w:rsidP="00C942B9">
      <w:pPr>
        <w:pStyle w:val="ListParagraph"/>
        <w:numPr>
          <w:ilvl w:val="0"/>
          <w:numId w:val="3"/>
        </w:numPr>
        <w:ind w:left="360"/>
        <w:rPr>
          <w:rFonts w:asciiTheme="minorHAnsi" w:hAnsiTheme="minorHAnsi" w:cstheme="minorHAnsi"/>
          <w:lang w:eastAsia="en-AU"/>
        </w:rPr>
      </w:pPr>
      <w:r w:rsidRPr="00B22BEA">
        <w:t xml:space="preserve">HITH Referral, Admission and Discharge (Adults and Children) </w:t>
      </w:r>
    </w:p>
    <w:p w14:paraId="54DAA1B3" w14:textId="4FCD2C38" w:rsidR="00197EF7" w:rsidRPr="00C942B9" w:rsidRDefault="00197EF7" w:rsidP="00C942B9">
      <w:pPr>
        <w:pStyle w:val="ListParagraph"/>
        <w:numPr>
          <w:ilvl w:val="0"/>
          <w:numId w:val="3"/>
        </w:numPr>
        <w:ind w:left="360"/>
        <w:rPr>
          <w:rFonts w:asciiTheme="minorHAnsi" w:hAnsiTheme="minorHAnsi" w:cstheme="minorHAnsi"/>
          <w:lang w:eastAsia="en-AU"/>
        </w:rPr>
      </w:pPr>
      <w:r w:rsidRPr="00C942B9">
        <w:rPr>
          <w:rFonts w:asciiTheme="minorHAnsi" w:hAnsiTheme="minorHAnsi" w:cstheme="minorHAnsi"/>
          <w:lang w:eastAsia="en-AU"/>
        </w:rPr>
        <w:t>Vital Signs &amp; Early Warning Scores</w:t>
      </w:r>
    </w:p>
    <w:p w14:paraId="627A2718" w14:textId="77777777" w:rsidR="00197EF7" w:rsidRDefault="00197EF7" w:rsidP="00197EF7">
      <w:pPr>
        <w:pStyle w:val="ListBullet"/>
        <w:rPr>
          <w:rFonts w:asciiTheme="minorHAnsi" w:hAnsiTheme="minorHAnsi" w:cstheme="minorHAnsi"/>
          <w:lang w:eastAsia="en-AU"/>
        </w:rPr>
      </w:pPr>
      <w:r>
        <w:rPr>
          <w:rFonts w:asciiTheme="minorHAnsi" w:hAnsiTheme="minorHAnsi" w:cstheme="minorHAnsi"/>
          <w:lang w:eastAsia="en-AU"/>
        </w:rPr>
        <w:t>Peripheral Intravenous Cannula Adults and Children (Not neonates)</w:t>
      </w:r>
    </w:p>
    <w:p w14:paraId="033AA01C" w14:textId="344A5A7D" w:rsidR="00197EF7" w:rsidRDefault="00197EF7" w:rsidP="00197EF7">
      <w:pPr>
        <w:pStyle w:val="ListBullet"/>
        <w:rPr>
          <w:rFonts w:asciiTheme="minorHAnsi" w:hAnsiTheme="minorHAnsi" w:cstheme="minorHAnsi"/>
          <w:lang w:eastAsia="en-AU"/>
        </w:rPr>
      </w:pPr>
      <w:r>
        <w:rPr>
          <w:rFonts w:asciiTheme="minorHAnsi" w:hAnsiTheme="minorHAnsi" w:cstheme="minorHAnsi"/>
          <w:lang w:eastAsia="en-AU"/>
        </w:rPr>
        <w:t>Central Venous Access Device (CVAD) Management – Children, Adolescents and Adults</w:t>
      </w:r>
    </w:p>
    <w:p w14:paraId="3D60C0DB" w14:textId="77777777" w:rsidR="00F45E22" w:rsidRPr="00F45E22" w:rsidRDefault="00F45E22" w:rsidP="00F45E22">
      <w:pPr>
        <w:pStyle w:val="ListBullet"/>
        <w:rPr>
          <w:rFonts w:asciiTheme="minorHAnsi" w:hAnsiTheme="minorHAnsi" w:cstheme="minorHAnsi"/>
          <w:lang w:eastAsia="en-AU"/>
        </w:rPr>
      </w:pPr>
      <w:r w:rsidRPr="00F45E22">
        <w:t>Nasogastric Tube (NGT) Management – Adults only Procedure</w:t>
      </w:r>
    </w:p>
    <w:p w14:paraId="2D30EE0D" w14:textId="77777777" w:rsidR="00F45E22" w:rsidRPr="00F45E22" w:rsidRDefault="00F45E22" w:rsidP="00F45E22">
      <w:pPr>
        <w:pStyle w:val="ListBullet"/>
        <w:rPr>
          <w:rFonts w:asciiTheme="minorHAnsi" w:hAnsiTheme="minorHAnsi" w:cstheme="minorHAnsi"/>
          <w:lang w:eastAsia="en-AU"/>
        </w:rPr>
      </w:pPr>
      <w:r w:rsidRPr="00F45E22">
        <w:t>Gastrostomy, Gastric-Jejunal and Jejunostomy Tube – Nursing Management – Adults, Adolescents and Children (not Neonates) Procedure for guidance.</w:t>
      </w:r>
    </w:p>
    <w:p w14:paraId="49293958" w14:textId="651FAEE3" w:rsidR="00F45E22" w:rsidRPr="00C942B9" w:rsidRDefault="00F45E22" w:rsidP="00F45E22">
      <w:pPr>
        <w:pStyle w:val="ListBullet"/>
        <w:rPr>
          <w:rFonts w:asciiTheme="minorHAnsi" w:hAnsiTheme="minorHAnsi" w:cstheme="minorHAnsi"/>
          <w:lang w:eastAsia="en-AU"/>
        </w:rPr>
      </w:pPr>
      <w:r w:rsidRPr="00F45E22">
        <w:t>Administration of Total Parenteral Nutrition (TPN) – Adults Procedure.</w:t>
      </w:r>
    </w:p>
    <w:p w14:paraId="0B8520BF" w14:textId="149865A9" w:rsidR="00304041" w:rsidRPr="00F45E22" w:rsidRDefault="00304041" w:rsidP="00F45E22">
      <w:pPr>
        <w:pStyle w:val="ListBullet"/>
        <w:rPr>
          <w:rFonts w:asciiTheme="minorHAnsi" w:hAnsiTheme="minorHAnsi" w:cstheme="minorHAnsi"/>
          <w:lang w:eastAsia="en-AU"/>
        </w:rPr>
      </w:pPr>
      <w:r w:rsidRPr="00601011">
        <w:rPr>
          <w:szCs w:val="24"/>
        </w:rPr>
        <w:t>Electrolyte Replacement Guidelines (Adults)</w:t>
      </w:r>
      <w:r>
        <w:rPr>
          <w:szCs w:val="24"/>
        </w:rPr>
        <w:t xml:space="preserve"> Guideline</w:t>
      </w:r>
    </w:p>
    <w:p w14:paraId="2F51A8C1" w14:textId="77777777" w:rsidR="000A7335" w:rsidRPr="000A7335" w:rsidRDefault="000A7335" w:rsidP="00197EF7">
      <w:pPr>
        <w:rPr>
          <w:rFonts w:cs="Arial"/>
          <w:szCs w:val="24"/>
        </w:rPr>
      </w:pPr>
    </w:p>
    <w:p w14:paraId="2F51A8C5" w14:textId="77777777" w:rsidR="00931B93" w:rsidRPr="00201FB6" w:rsidRDefault="00931B93" w:rsidP="00201FB6">
      <w:pPr>
        <w:rPr>
          <w:b/>
        </w:rPr>
      </w:pPr>
      <w:r w:rsidRPr="00201FB6">
        <w:rPr>
          <w:b/>
        </w:rPr>
        <w:t>Legislation</w:t>
      </w:r>
    </w:p>
    <w:p w14:paraId="2F51A8C6" w14:textId="77777777" w:rsidR="000A7335" w:rsidRPr="000A7335" w:rsidRDefault="000A7335" w:rsidP="000A7335">
      <w:pPr>
        <w:numPr>
          <w:ilvl w:val="0"/>
          <w:numId w:val="3"/>
        </w:numPr>
        <w:ind w:left="360"/>
        <w:rPr>
          <w:rFonts w:cs="Arial"/>
          <w:szCs w:val="24"/>
        </w:rPr>
      </w:pPr>
      <w:r w:rsidRPr="001F2A9B">
        <w:rPr>
          <w:rFonts w:cs="Arial"/>
          <w:i/>
          <w:szCs w:val="24"/>
        </w:rPr>
        <w:t>Health Records (Privacy and Access) Act</w:t>
      </w:r>
      <w:r w:rsidRPr="000A7335">
        <w:rPr>
          <w:rFonts w:cs="Arial"/>
          <w:szCs w:val="24"/>
        </w:rPr>
        <w:t xml:space="preserve"> 1997</w:t>
      </w:r>
    </w:p>
    <w:p w14:paraId="2F51A8C7" w14:textId="77777777" w:rsidR="000A7335" w:rsidRPr="000A7335" w:rsidRDefault="000A7335" w:rsidP="000A7335">
      <w:pPr>
        <w:numPr>
          <w:ilvl w:val="0"/>
          <w:numId w:val="3"/>
        </w:numPr>
        <w:ind w:left="360"/>
        <w:rPr>
          <w:rFonts w:cs="Arial"/>
          <w:szCs w:val="24"/>
        </w:rPr>
      </w:pPr>
      <w:r w:rsidRPr="001F2A9B">
        <w:rPr>
          <w:rFonts w:cs="Arial"/>
          <w:i/>
          <w:szCs w:val="24"/>
        </w:rPr>
        <w:t>Human Rights Act</w:t>
      </w:r>
      <w:r w:rsidRPr="000A7335">
        <w:rPr>
          <w:rFonts w:cs="Arial"/>
          <w:szCs w:val="24"/>
        </w:rPr>
        <w:t xml:space="preserve"> 2004</w:t>
      </w:r>
    </w:p>
    <w:p w14:paraId="2F51A8C8" w14:textId="061C6D97" w:rsidR="000A7335" w:rsidRDefault="000A7335" w:rsidP="000A7335">
      <w:pPr>
        <w:numPr>
          <w:ilvl w:val="0"/>
          <w:numId w:val="3"/>
        </w:numPr>
        <w:ind w:left="360"/>
        <w:rPr>
          <w:rFonts w:cs="Arial"/>
          <w:szCs w:val="24"/>
        </w:rPr>
      </w:pPr>
      <w:r w:rsidRPr="001F2A9B">
        <w:rPr>
          <w:rFonts w:cs="Arial"/>
          <w:i/>
          <w:szCs w:val="24"/>
        </w:rPr>
        <w:t>Work Health and Safety Act</w:t>
      </w:r>
      <w:r w:rsidRPr="000A7335">
        <w:rPr>
          <w:rFonts w:cs="Arial"/>
          <w:szCs w:val="24"/>
        </w:rPr>
        <w:t xml:space="preserve"> 2011</w:t>
      </w:r>
    </w:p>
    <w:p w14:paraId="3DD507D7" w14:textId="190B6F40" w:rsidR="00197EF7" w:rsidRDefault="00197EF7" w:rsidP="00197EF7">
      <w:pPr>
        <w:pStyle w:val="ListBullet"/>
        <w:rPr>
          <w:lang w:eastAsia="en-AU"/>
        </w:rPr>
      </w:pPr>
      <w:r w:rsidRPr="005A3AC9">
        <w:rPr>
          <w:i/>
          <w:iCs/>
          <w:lang w:eastAsia="en-AU"/>
        </w:rPr>
        <w:t>Medicines, Poisons and Therap</w:t>
      </w:r>
      <w:r w:rsidR="00A32BD6">
        <w:rPr>
          <w:i/>
          <w:iCs/>
          <w:lang w:eastAsia="en-AU"/>
        </w:rPr>
        <w:t>eu</w:t>
      </w:r>
      <w:r w:rsidRPr="005A3AC9">
        <w:rPr>
          <w:i/>
          <w:iCs/>
          <w:lang w:eastAsia="en-AU"/>
        </w:rPr>
        <w:t>tic Goods Act</w:t>
      </w:r>
      <w:r w:rsidRPr="009A3275">
        <w:rPr>
          <w:lang w:eastAsia="en-AU"/>
        </w:rPr>
        <w:t xml:space="preserve"> 2008</w:t>
      </w:r>
    </w:p>
    <w:p w14:paraId="2F51A8C9" w14:textId="1E5172A3" w:rsidR="007B6904" w:rsidRDefault="007B6904" w:rsidP="00F829C8">
      <w:pPr>
        <w:rPr>
          <w:rFonts w:cs="Arial"/>
          <w:i/>
          <w:szCs w:val="24"/>
        </w:rPr>
      </w:pPr>
    </w:p>
    <w:p w14:paraId="045F681A" w14:textId="77777777" w:rsidR="00F829C8" w:rsidRDefault="00F829C8" w:rsidP="00F829C8">
      <w:pPr>
        <w:rPr>
          <w:rFonts w:cs="Arial"/>
          <w:b/>
          <w:bCs/>
          <w:iCs/>
          <w:szCs w:val="24"/>
        </w:rPr>
      </w:pPr>
      <w:r>
        <w:rPr>
          <w:rFonts w:cs="Arial"/>
          <w:b/>
          <w:bCs/>
          <w:iCs/>
          <w:szCs w:val="24"/>
        </w:rPr>
        <w:t>Other</w:t>
      </w:r>
    </w:p>
    <w:p w14:paraId="5B294E43" w14:textId="77777777" w:rsidR="00F829C8" w:rsidRDefault="00F829C8" w:rsidP="00F829C8">
      <w:pPr>
        <w:pStyle w:val="ListBullet"/>
      </w:pPr>
      <w:r>
        <w:t>Australian Charter of Health Care Rights</w:t>
      </w:r>
    </w:p>
    <w:p w14:paraId="35A787D8" w14:textId="77777777" w:rsidR="00F829C8" w:rsidRPr="00FF56DD" w:rsidRDefault="00F829C8" w:rsidP="00F829C8">
      <w:pPr>
        <w:rPr>
          <w:rFonts w:cs="Arial"/>
          <w:i/>
          <w:szCs w:val="24"/>
        </w:rPr>
      </w:pPr>
    </w:p>
    <w:p w14:paraId="5A74D375" w14:textId="36975D84" w:rsidR="00503A9B" w:rsidRDefault="00E5521D" w:rsidP="00A539E9">
      <w:pPr>
        <w:pStyle w:val="ListParagraph"/>
        <w:jc w:val="right"/>
        <w:rPr>
          <w:rStyle w:val="Hyperlink"/>
          <w:rFonts w:cs="Arial"/>
          <w:i/>
          <w:szCs w:val="24"/>
        </w:rPr>
      </w:pPr>
      <w:hyperlink w:anchor="Contents" w:history="1">
        <w:r w:rsidR="007B6904" w:rsidRPr="00590902">
          <w:rPr>
            <w:rStyle w:val="Hyperlink"/>
            <w:rFonts w:cs="Arial"/>
            <w:i/>
            <w:szCs w:val="24"/>
          </w:rPr>
          <w:t>Back to Table of Contents</w:t>
        </w:r>
      </w:hyperlink>
    </w:p>
    <w:p w14:paraId="67EB7043" w14:textId="4E3E95FA" w:rsidR="00E5521D" w:rsidRDefault="00E5521D" w:rsidP="00A539E9">
      <w:pPr>
        <w:pStyle w:val="ListParagraph"/>
        <w:jc w:val="right"/>
        <w:rPr>
          <w:rStyle w:val="Hyperlink"/>
        </w:rPr>
      </w:pPr>
    </w:p>
    <w:p w14:paraId="520C7747" w14:textId="3ADDFB1C" w:rsidR="00E5521D" w:rsidRDefault="00E5521D" w:rsidP="00A539E9">
      <w:pPr>
        <w:pStyle w:val="ListParagraph"/>
        <w:jc w:val="right"/>
        <w:rPr>
          <w:rStyle w:val="Hyperlink"/>
        </w:rPr>
      </w:pPr>
    </w:p>
    <w:p w14:paraId="70F73158" w14:textId="77777777" w:rsidR="00E5521D" w:rsidRPr="00A539E9" w:rsidRDefault="00E5521D" w:rsidP="00A539E9">
      <w:pPr>
        <w:pStyle w:val="ListParagraph"/>
        <w:jc w:val="right"/>
        <w:rPr>
          <w:rFonts w:cs="Arial"/>
          <w:i/>
          <w:color w:val="0000FF"/>
          <w:szCs w:val="24"/>
          <w:u w:val="single"/>
        </w:rPr>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CC" w14:textId="77777777" w:rsidTr="0074223E">
        <w:trPr>
          <w:cantSplit/>
          <w:trHeight w:val="285"/>
        </w:trPr>
        <w:tc>
          <w:tcPr>
            <w:tcW w:w="9158" w:type="dxa"/>
            <w:shd w:val="clear" w:color="auto" w:fill="A6A6A6" w:themeFill="background1" w:themeFillShade="A6"/>
          </w:tcPr>
          <w:p w14:paraId="2F51A8CB" w14:textId="77777777" w:rsidR="007B6904" w:rsidRPr="00CD1C0E" w:rsidRDefault="007B6904" w:rsidP="004213C3">
            <w:pPr>
              <w:pStyle w:val="Heading1"/>
            </w:pPr>
            <w:bookmarkStart w:id="36" w:name="_Toc389473288"/>
            <w:bookmarkStart w:id="37" w:name="_Toc109996418"/>
            <w:r>
              <w:lastRenderedPageBreak/>
              <w:t>References</w:t>
            </w:r>
            <w:bookmarkEnd w:id="36"/>
            <w:bookmarkEnd w:id="37"/>
          </w:p>
        </w:tc>
      </w:tr>
    </w:tbl>
    <w:p w14:paraId="2468DDE3" w14:textId="66150CA1" w:rsidR="004447EC" w:rsidRPr="004447EC" w:rsidRDefault="004447EC" w:rsidP="005067CA">
      <w:pPr>
        <w:pStyle w:val="ListParagraph"/>
        <w:ind w:left="0"/>
        <w:rPr>
          <w:rFonts w:eastAsia="Calibri"/>
          <w:iCs/>
          <w:szCs w:val="24"/>
        </w:rPr>
      </w:pPr>
    </w:p>
    <w:p w14:paraId="3EC3F6FC" w14:textId="56F7635D" w:rsidR="00730C6A" w:rsidRPr="00A539E9" w:rsidRDefault="00730C6A" w:rsidP="00E5521D">
      <w:pPr>
        <w:pStyle w:val="ListParagraph"/>
        <w:numPr>
          <w:ilvl w:val="0"/>
          <w:numId w:val="6"/>
        </w:numPr>
        <w:rPr>
          <w:szCs w:val="24"/>
        </w:rPr>
      </w:pPr>
      <w:r w:rsidRPr="00937FC6">
        <w:rPr>
          <w:szCs w:val="24"/>
        </w:rPr>
        <w:t>American Society for Parenteral and Enteral Nutrition.</w:t>
      </w:r>
      <w:r w:rsidRPr="00F45E22">
        <w:rPr>
          <w:i/>
          <w:iCs/>
          <w:szCs w:val="24"/>
        </w:rPr>
        <w:t xml:space="preserve"> </w:t>
      </w:r>
      <w:r w:rsidRPr="00C942B9">
        <w:rPr>
          <w:szCs w:val="24"/>
        </w:rPr>
        <w:t>ASPEN Consensus Recommendations for Refeeding Syndrome.</w:t>
      </w:r>
      <w:r w:rsidRPr="00F45E22">
        <w:rPr>
          <w:i/>
          <w:iCs/>
          <w:szCs w:val="24"/>
        </w:rPr>
        <w:t xml:space="preserve"> Nutrition in Clinical Practice</w:t>
      </w:r>
      <w:r>
        <w:rPr>
          <w:i/>
          <w:iCs/>
          <w:szCs w:val="24"/>
        </w:rPr>
        <w:t>,</w:t>
      </w:r>
      <w:r w:rsidRPr="00F45E22">
        <w:rPr>
          <w:i/>
          <w:iCs/>
          <w:szCs w:val="24"/>
        </w:rPr>
        <w:t xml:space="preserve"> </w:t>
      </w:r>
      <w:r w:rsidRPr="00C942B9">
        <w:rPr>
          <w:szCs w:val="24"/>
        </w:rPr>
        <w:t>2020, vol.35, no. 2, 178-195.</w:t>
      </w:r>
    </w:p>
    <w:p w14:paraId="68130D7F" w14:textId="07B47594" w:rsidR="00730C6A" w:rsidRPr="00A539E9" w:rsidRDefault="00730C6A" w:rsidP="00E5521D">
      <w:pPr>
        <w:pStyle w:val="ListParagraph"/>
        <w:numPr>
          <w:ilvl w:val="0"/>
          <w:numId w:val="6"/>
        </w:numPr>
        <w:rPr>
          <w:i/>
          <w:iCs/>
          <w:szCs w:val="24"/>
        </w:rPr>
      </w:pPr>
      <w:r w:rsidRPr="00DE15C4">
        <w:rPr>
          <w:szCs w:val="24"/>
        </w:rPr>
        <w:t>Department of Health 2022,</w:t>
      </w:r>
      <w:r w:rsidRPr="00F45E22">
        <w:rPr>
          <w:i/>
          <w:iCs/>
          <w:szCs w:val="24"/>
        </w:rPr>
        <w:t xml:space="preserve"> Pregnancy Care Guidelines – 11 Nutrition and Physical Activity, Commonwealth Government Department of Health </w:t>
      </w:r>
    </w:p>
    <w:p w14:paraId="321EE374" w14:textId="0C11A544" w:rsidR="00730C6A" w:rsidRPr="00A539E9" w:rsidRDefault="00730C6A" w:rsidP="00E5521D">
      <w:pPr>
        <w:pStyle w:val="ListParagraph"/>
        <w:numPr>
          <w:ilvl w:val="0"/>
          <w:numId w:val="6"/>
        </w:numPr>
        <w:rPr>
          <w:i/>
          <w:iCs/>
          <w:szCs w:val="24"/>
        </w:rPr>
      </w:pPr>
      <w:r w:rsidRPr="00DE15C4">
        <w:rPr>
          <w:szCs w:val="24"/>
        </w:rPr>
        <w:t>Department of Health 2022,</w:t>
      </w:r>
      <w:r w:rsidRPr="00F45E22">
        <w:rPr>
          <w:i/>
          <w:iCs/>
          <w:szCs w:val="24"/>
        </w:rPr>
        <w:t xml:space="preserve"> Pregnancy Care Guidelines – 54 Nausea and Vomiting,</w:t>
      </w:r>
      <w:r w:rsidR="00A539E9">
        <w:rPr>
          <w:i/>
          <w:iCs/>
          <w:szCs w:val="24"/>
        </w:rPr>
        <w:t xml:space="preserve"> </w:t>
      </w:r>
      <w:r w:rsidRPr="00F45E22">
        <w:rPr>
          <w:i/>
          <w:iCs/>
          <w:szCs w:val="24"/>
        </w:rPr>
        <w:t>Commonwealth Government Department of Health</w:t>
      </w:r>
    </w:p>
    <w:p w14:paraId="07C97AE3" w14:textId="5A930164" w:rsidR="00730C6A" w:rsidRPr="00A539E9" w:rsidRDefault="00730C6A" w:rsidP="00E5521D">
      <w:pPr>
        <w:pStyle w:val="ListParagraph"/>
        <w:numPr>
          <w:ilvl w:val="0"/>
          <w:numId w:val="6"/>
        </w:numPr>
        <w:autoSpaceDE w:val="0"/>
        <w:autoSpaceDN w:val="0"/>
        <w:adjustRightInd w:val="0"/>
        <w:rPr>
          <w:rFonts w:asciiTheme="minorHAnsi" w:eastAsiaTheme="minorHAnsi" w:hAnsiTheme="minorHAnsi" w:cstheme="minorHAnsi"/>
          <w:i/>
          <w:iCs/>
          <w:szCs w:val="24"/>
        </w:rPr>
      </w:pPr>
      <w:r w:rsidRPr="009E6BF1">
        <w:rPr>
          <w:rFonts w:asciiTheme="minorHAnsi" w:eastAsiaTheme="minorHAnsi" w:hAnsiTheme="minorHAnsi" w:cstheme="minorHAnsi"/>
          <w:szCs w:val="24"/>
        </w:rPr>
        <w:t xml:space="preserve">Ebrahimi N, </w:t>
      </w:r>
      <w:proofErr w:type="spellStart"/>
      <w:r w:rsidRPr="009E6BF1">
        <w:rPr>
          <w:rFonts w:asciiTheme="minorHAnsi" w:eastAsiaTheme="minorHAnsi" w:hAnsiTheme="minorHAnsi" w:cstheme="minorHAnsi"/>
          <w:szCs w:val="24"/>
        </w:rPr>
        <w:t>Maltepe</w:t>
      </w:r>
      <w:proofErr w:type="spellEnd"/>
      <w:r w:rsidRPr="009E6BF1">
        <w:rPr>
          <w:rFonts w:asciiTheme="minorHAnsi" w:eastAsiaTheme="minorHAnsi" w:hAnsiTheme="minorHAnsi" w:cstheme="minorHAnsi"/>
          <w:szCs w:val="24"/>
        </w:rPr>
        <w:t xml:space="preserve"> C, </w:t>
      </w:r>
      <w:proofErr w:type="spellStart"/>
      <w:r w:rsidRPr="009E6BF1">
        <w:rPr>
          <w:rFonts w:asciiTheme="minorHAnsi" w:eastAsiaTheme="minorHAnsi" w:hAnsiTheme="minorHAnsi" w:cstheme="minorHAnsi"/>
          <w:szCs w:val="24"/>
        </w:rPr>
        <w:t>Bournissen</w:t>
      </w:r>
      <w:proofErr w:type="spellEnd"/>
      <w:r w:rsidRPr="009E6BF1">
        <w:rPr>
          <w:rFonts w:asciiTheme="minorHAnsi" w:eastAsiaTheme="minorHAnsi" w:hAnsiTheme="minorHAnsi" w:cstheme="minorHAnsi"/>
          <w:szCs w:val="24"/>
        </w:rPr>
        <w:t xml:space="preserve"> FG, </w:t>
      </w:r>
      <w:proofErr w:type="spellStart"/>
      <w:r w:rsidRPr="009E6BF1">
        <w:rPr>
          <w:rFonts w:asciiTheme="minorHAnsi" w:eastAsiaTheme="minorHAnsi" w:hAnsiTheme="minorHAnsi" w:cstheme="minorHAnsi"/>
          <w:szCs w:val="24"/>
        </w:rPr>
        <w:t>Koren</w:t>
      </w:r>
      <w:proofErr w:type="spellEnd"/>
      <w:r w:rsidRPr="009E6BF1">
        <w:rPr>
          <w:rFonts w:asciiTheme="minorHAnsi" w:eastAsiaTheme="minorHAnsi" w:hAnsiTheme="minorHAnsi" w:cstheme="minorHAnsi"/>
          <w:szCs w:val="24"/>
        </w:rPr>
        <w:t xml:space="preserve"> G. Nausea and Vomiting of Pregnancy: using the 24-hour. Pregnancy-Unique Quantification of Emesis (PUQE-24) scale.</w:t>
      </w:r>
      <w:r w:rsidRPr="0055253A">
        <w:rPr>
          <w:rFonts w:asciiTheme="minorHAnsi" w:eastAsiaTheme="minorHAnsi" w:hAnsiTheme="minorHAnsi" w:cstheme="minorHAnsi"/>
          <w:i/>
          <w:iCs/>
          <w:szCs w:val="24"/>
        </w:rPr>
        <w:t xml:space="preserve"> Journal Obstetrics Gynaecology. </w:t>
      </w:r>
      <w:r w:rsidRPr="009E6BF1">
        <w:rPr>
          <w:rFonts w:asciiTheme="minorHAnsi" w:eastAsiaTheme="minorHAnsi" w:hAnsiTheme="minorHAnsi" w:cstheme="minorHAnsi"/>
          <w:szCs w:val="24"/>
        </w:rPr>
        <w:t>Canada 2009; 31 p803-807</w:t>
      </w:r>
      <w:r>
        <w:rPr>
          <w:rFonts w:asciiTheme="minorHAnsi" w:eastAsiaTheme="minorHAnsi" w:hAnsiTheme="minorHAnsi" w:cstheme="minorHAnsi"/>
          <w:szCs w:val="24"/>
        </w:rPr>
        <w:t>.</w:t>
      </w:r>
    </w:p>
    <w:p w14:paraId="593180E5" w14:textId="0F6F4D08" w:rsidR="00730C6A" w:rsidRPr="00C942B9" w:rsidRDefault="00730C6A" w:rsidP="00E5521D">
      <w:pPr>
        <w:pStyle w:val="ListParagraph"/>
        <w:numPr>
          <w:ilvl w:val="0"/>
          <w:numId w:val="6"/>
        </w:numPr>
        <w:rPr>
          <w:rFonts w:asciiTheme="minorHAnsi" w:hAnsiTheme="minorHAnsi" w:cstheme="minorHAnsi"/>
          <w:szCs w:val="24"/>
          <w:lang w:eastAsia="en-AU"/>
        </w:rPr>
      </w:pPr>
      <w:r w:rsidRPr="00C942B9">
        <w:rPr>
          <w:rFonts w:asciiTheme="minorHAnsi" w:hAnsiTheme="minorHAnsi" w:cstheme="minorHAnsi"/>
          <w:szCs w:val="24"/>
          <w:lang w:eastAsia="en-AU"/>
        </w:rPr>
        <w:t>King Edward Memorial Hospital Obstetrics and Gynaecology.</w:t>
      </w:r>
      <w:r>
        <w:rPr>
          <w:rFonts w:asciiTheme="minorHAnsi" w:hAnsiTheme="minorHAnsi" w:cstheme="minorHAnsi"/>
          <w:i/>
          <w:iCs/>
          <w:szCs w:val="24"/>
          <w:lang w:eastAsia="en-AU"/>
        </w:rPr>
        <w:t xml:space="preserve"> Pregnancy care: First Trimester Complications. Clinical Practice Guideline: Nausea and Vomiting in Pregnancy/Hyperemesis Gravidarum, </w:t>
      </w:r>
      <w:r w:rsidRPr="00C942B9">
        <w:rPr>
          <w:rFonts w:asciiTheme="minorHAnsi" w:hAnsiTheme="minorHAnsi" w:cstheme="minorHAnsi"/>
          <w:szCs w:val="24"/>
          <w:lang w:eastAsia="en-AU"/>
        </w:rPr>
        <w:t xml:space="preserve">Women and Newborn Health Service. WA </w:t>
      </w:r>
    </w:p>
    <w:p w14:paraId="76C6BF40" w14:textId="54A9473F" w:rsidR="00730C6A" w:rsidRPr="00C942B9" w:rsidRDefault="00730C6A" w:rsidP="00E5521D">
      <w:pPr>
        <w:ind w:firstLine="360"/>
        <w:rPr>
          <w:rFonts w:asciiTheme="minorHAnsi" w:hAnsiTheme="minorHAnsi" w:cstheme="minorHAnsi"/>
          <w:szCs w:val="24"/>
          <w:lang w:eastAsia="en-AU"/>
        </w:rPr>
      </w:pPr>
      <w:r w:rsidRPr="00C942B9">
        <w:rPr>
          <w:rFonts w:asciiTheme="minorHAnsi" w:hAnsiTheme="minorHAnsi" w:cstheme="minorHAnsi"/>
          <w:szCs w:val="24"/>
          <w:lang w:eastAsia="en-AU"/>
        </w:rPr>
        <w:t>2016; p23-32.</w:t>
      </w:r>
    </w:p>
    <w:p w14:paraId="04D05EED" w14:textId="2048710B" w:rsidR="00730C6A" w:rsidRPr="00A539E9" w:rsidRDefault="00730C6A" w:rsidP="00E5521D">
      <w:pPr>
        <w:pStyle w:val="ListParagraph"/>
        <w:numPr>
          <w:ilvl w:val="0"/>
          <w:numId w:val="6"/>
        </w:numPr>
        <w:rPr>
          <w:rFonts w:asciiTheme="minorHAnsi" w:hAnsiTheme="minorHAnsi" w:cstheme="minorHAnsi"/>
          <w:i/>
          <w:iCs/>
          <w:szCs w:val="24"/>
          <w:lang w:eastAsia="en-AU"/>
        </w:rPr>
      </w:pPr>
      <w:proofErr w:type="spellStart"/>
      <w:r w:rsidRPr="009E6BF1">
        <w:rPr>
          <w:rFonts w:asciiTheme="minorHAnsi" w:hAnsiTheme="minorHAnsi" w:cstheme="minorHAnsi"/>
          <w:szCs w:val="24"/>
          <w:lang w:eastAsia="en-AU"/>
        </w:rPr>
        <w:t>Koren</w:t>
      </w:r>
      <w:proofErr w:type="spellEnd"/>
      <w:r w:rsidRPr="009E6BF1">
        <w:rPr>
          <w:rFonts w:asciiTheme="minorHAnsi" w:hAnsiTheme="minorHAnsi" w:cstheme="minorHAnsi"/>
          <w:szCs w:val="24"/>
          <w:lang w:eastAsia="en-AU"/>
        </w:rPr>
        <w:t xml:space="preserve"> G, Boskovic R, Hard M, et al. </w:t>
      </w:r>
      <w:proofErr w:type="spellStart"/>
      <w:r w:rsidRPr="009E6BF1">
        <w:rPr>
          <w:rFonts w:asciiTheme="minorHAnsi" w:hAnsiTheme="minorHAnsi" w:cstheme="minorHAnsi"/>
          <w:szCs w:val="24"/>
          <w:lang w:eastAsia="en-AU"/>
        </w:rPr>
        <w:t>Motherisk</w:t>
      </w:r>
      <w:proofErr w:type="spellEnd"/>
      <w:r w:rsidRPr="009E6BF1">
        <w:rPr>
          <w:rFonts w:asciiTheme="minorHAnsi" w:hAnsiTheme="minorHAnsi" w:cstheme="minorHAnsi"/>
          <w:szCs w:val="24"/>
          <w:lang w:eastAsia="en-AU"/>
        </w:rPr>
        <w:t xml:space="preserve">-PUQE (pregnancy-unique quantification of emesis and nausea) scoring system for nausea and vomiting of pregnancy. </w:t>
      </w:r>
      <w:r w:rsidRPr="000A44CF">
        <w:rPr>
          <w:rFonts w:asciiTheme="minorHAnsi" w:hAnsiTheme="minorHAnsi" w:cstheme="minorHAnsi"/>
          <w:i/>
          <w:iCs/>
          <w:szCs w:val="24"/>
          <w:lang w:eastAsia="en-AU"/>
        </w:rPr>
        <w:t>Am</w:t>
      </w:r>
      <w:r>
        <w:rPr>
          <w:rFonts w:asciiTheme="minorHAnsi" w:hAnsiTheme="minorHAnsi" w:cstheme="minorHAnsi"/>
          <w:i/>
          <w:iCs/>
          <w:szCs w:val="24"/>
          <w:lang w:eastAsia="en-AU"/>
        </w:rPr>
        <w:t>erican</w:t>
      </w:r>
      <w:r w:rsidRPr="000A44CF">
        <w:rPr>
          <w:rFonts w:asciiTheme="minorHAnsi" w:hAnsiTheme="minorHAnsi" w:cstheme="minorHAnsi"/>
          <w:i/>
          <w:iCs/>
          <w:szCs w:val="24"/>
          <w:lang w:eastAsia="en-AU"/>
        </w:rPr>
        <w:t xml:space="preserve"> J</w:t>
      </w:r>
      <w:r>
        <w:rPr>
          <w:rFonts w:asciiTheme="minorHAnsi" w:hAnsiTheme="minorHAnsi" w:cstheme="minorHAnsi"/>
          <w:i/>
          <w:iCs/>
          <w:szCs w:val="24"/>
          <w:lang w:eastAsia="en-AU"/>
        </w:rPr>
        <w:t xml:space="preserve">ournal </w:t>
      </w:r>
      <w:r w:rsidRPr="000A44CF">
        <w:rPr>
          <w:rFonts w:asciiTheme="minorHAnsi" w:hAnsiTheme="minorHAnsi" w:cstheme="minorHAnsi"/>
          <w:i/>
          <w:iCs/>
          <w:szCs w:val="24"/>
          <w:lang w:eastAsia="en-AU"/>
        </w:rPr>
        <w:t>Obstet</w:t>
      </w:r>
      <w:r>
        <w:rPr>
          <w:rFonts w:asciiTheme="minorHAnsi" w:hAnsiTheme="minorHAnsi" w:cstheme="minorHAnsi"/>
          <w:i/>
          <w:iCs/>
          <w:szCs w:val="24"/>
          <w:lang w:eastAsia="en-AU"/>
        </w:rPr>
        <w:t>ric</w:t>
      </w:r>
      <w:r w:rsidRPr="000A44CF">
        <w:rPr>
          <w:rFonts w:asciiTheme="minorHAnsi" w:hAnsiTheme="minorHAnsi" w:cstheme="minorHAnsi"/>
          <w:i/>
          <w:iCs/>
          <w:szCs w:val="24"/>
          <w:lang w:eastAsia="en-AU"/>
        </w:rPr>
        <w:t xml:space="preserve"> </w:t>
      </w:r>
      <w:proofErr w:type="spellStart"/>
      <w:r w:rsidRPr="000A44CF">
        <w:rPr>
          <w:rFonts w:asciiTheme="minorHAnsi" w:hAnsiTheme="minorHAnsi" w:cstheme="minorHAnsi"/>
          <w:i/>
          <w:iCs/>
          <w:szCs w:val="24"/>
          <w:lang w:eastAsia="en-AU"/>
        </w:rPr>
        <w:t>Gynecol</w:t>
      </w:r>
      <w:r>
        <w:rPr>
          <w:rFonts w:asciiTheme="minorHAnsi" w:hAnsiTheme="minorHAnsi" w:cstheme="minorHAnsi"/>
          <w:i/>
          <w:iCs/>
          <w:szCs w:val="24"/>
          <w:lang w:eastAsia="en-AU"/>
        </w:rPr>
        <w:t>ogy</w:t>
      </w:r>
      <w:proofErr w:type="spellEnd"/>
      <w:r w:rsidRPr="000A44CF">
        <w:rPr>
          <w:rFonts w:asciiTheme="minorHAnsi" w:hAnsiTheme="minorHAnsi" w:cstheme="minorHAnsi"/>
          <w:i/>
          <w:iCs/>
          <w:szCs w:val="24"/>
          <w:lang w:eastAsia="en-AU"/>
        </w:rPr>
        <w:t xml:space="preserve"> </w:t>
      </w:r>
      <w:r w:rsidRPr="009E6BF1">
        <w:rPr>
          <w:rFonts w:asciiTheme="minorHAnsi" w:hAnsiTheme="minorHAnsi" w:cstheme="minorHAnsi"/>
          <w:szCs w:val="24"/>
          <w:lang w:eastAsia="en-AU"/>
        </w:rPr>
        <w:t>2002; 186:S228.</w:t>
      </w:r>
    </w:p>
    <w:p w14:paraId="09B12C6E" w14:textId="2259BFC4" w:rsidR="00730C6A" w:rsidRPr="00A539E9" w:rsidRDefault="00730C6A" w:rsidP="00E5521D">
      <w:pPr>
        <w:pStyle w:val="ListParagraph"/>
        <w:numPr>
          <w:ilvl w:val="0"/>
          <w:numId w:val="6"/>
        </w:numPr>
        <w:rPr>
          <w:rFonts w:asciiTheme="minorHAnsi" w:hAnsiTheme="minorHAnsi" w:cstheme="minorHAnsi"/>
          <w:i/>
          <w:iCs/>
          <w:szCs w:val="24"/>
          <w:lang w:eastAsia="en-AU"/>
        </w:rPr>
      </w:pPr>
      <w:proofErr w:type="spellStart"/>
      <w:r w:rsidRPr="009E6BF1">
        <w:rPr>
          <w:rFonts w:asciiTheme="minorHAnsi" w:hAnsiTheme="minorHAnsi" w:cstheme="minorHAnsi"/>
          <w:szCs w:val="24"/>
          <w:lang w:eastAsia="en-AU"/>
        </w:rPr>
        <w:t>Koren</w:t>
      </w:r>
      <w:proofErr w:type="spellEnd"/>
      <w:r w:rsidRPr="009E6BF1">
        <w:rPr>
          <w:rFonts w:asciiTheme="minorHAnsi" w:hAnsiTheme="minorHAnsi" w:cstheme="minorHAnsi"/>
          <w:szCs w:val="24"/>
          <w:lang w:eastAsia="en-AU"/>
        </w:rPr>
        <w:t xml:space="preserve"> G, </w:t>
      </w:r>
      <w:proofErr w:type="spellStart"/>
      <w:r w:rsidRPr="009E6BF1">
        <w:rPr>
          <w:rFonts w:asciiTheme="minorHAnsi" w:hAnsiTheme="minorHAnsi" w:cstheme="minorHAnsi"/>
          <w:szCs w:val="24"/>
          <w:lang w:eastAsia="en-AU"/>
        </w:rPr>
        <w:t>Piwko</w:t>
      </w:r>
      <w:proofErr w:type="spellEnd"/>
      <w:r w:rsidRPr="009E6BF1">
        <w:rPr>
          <w:rFonts w:asciiTheme="minorHAnsi" w:hAnsiTheme="minorHAnsi" w:cstheme="minorHAnsi"/>
          <w:szCs w:val="24"/>
          <w:lang w:eastAsia="en-AU"/>
        </w:rPr>
        <w:t xml:space="preserve"> C, </w:t>
      </w:r>
      <w:proofErr w:type="spellStart"/>
      <w:r w:rsidRPr="009E6BF1">
        <w:rPr>
          <w:rFonts w:asciiTheme="minorHAnsi" w:hAnsiTheme="minorHAnsi" w:cstheme="minorHAnsi"/>
          <w:szCs w:val="24"/>
          <w:lang w:eastAsia="en-AU"/>
        </w:rPr>
        <w:t>Ahn</w:t>
      </w:r>
      <w:proofErr w:type="spellEnd"/>
      <w:r w:rsidRPr="009E6BF1">
        <w:rPr>
          <w:rFonts w:asciiTheme="minorHAnsi" w:hAnsiTheme="minorHAnsi" w:cstheme="minorHAnsi"/>
          <w:szCs w:val="24"/>
          <w:lang w:eastAsia="en-AU"/>
        </w:rPr>
        <w:t xml:space="preserve"> E, et al. Validation studies of the Pregnancy Unique-Quantification of Emesis (PUQE) scores.</w:t>
      </w:r>
      <w:r w:rsidRPr="000A44CF">
        <w:rPr>
          <w:rFonts w:asciiTheme="minorHAnsi" w:hAnsiTheme="minorHAnsi" w:cstheme="minorHAnsi"/>
          <w:i/>
          <w:iCs/>
          <w:szCs w:val="24"/>
          <w:lang w:eastAsia="en-AU"/>
        </w:rPr>
        <w:t xml:space="preserve"> J</w:t>
      </w:r>
      <w:r>
        <w:rPr>
          <w:rFonts w:asciiTheme="minorHAnsi" w:hAnsiTheme="minorHAnsi" w:cstheme="minorHAnsi"/>
          <w:i/>
          <w:iCs/>
          <w:szCs w:val="24"/>
          <w:lang w:eastAsia="en-AU"/>
        </w:rPr>
        <w:t>ournal</w:t>
      </w:r>
      <w:r w:rsidRPr="000A44CF">
        <w:rPr>
          <w:rFonts w:asciiTheme="minorHAnsi" w:hAnsiTheme="minorHAnsi" w:cstheme="minorHAnsi"/>
          <w:i/>
          <w:iCs/>
          <w:szCs w:val="24"/>
          <w:lang w:eastAsia="en-AU"/>
        </w:rPr>
        <w:t xml:space="preserve"> Obstet</w:t>
      </w:r>
      <w:r>
        <w:rPr>
          <w:rFonts w:asciiTheme="minorHAnsi" w:hAnsiTheme="minorHAnsi" w:cstheme="minorHAnsi"/>
          <w:i/>
          <w:iCs/>
          <w:szCs w:val="24"/>
          <w:lang w:eastAsia="en-AU"/>
        </w:rPr>
        <w:t>ric</w:t>
      </w:r>
      <w:r w:rsidRPr="000A44CF">
        <w:rPr>
          <w:rFonts w:asciiTheme="minorHAnsi" w:hAnsiTheme="minorHAnsi" w:cstheme="minorHAnsi"/>
          <w:i/>
          <w:iCs/>
          <w:szCs w:val="24"/>
          <w:lang w:eastAsia="en-AU"/>
        </w:rPr>
        <w:t xml:space="preserve"> Gynaecol</w:t>
      </w:r>
      <w:r>
        <w:rPr>
          <w:rFonts w:asciiTheme="minorHAnsi" w:hAnsiTheme="minorHAnsi" w:cstheme="minorHAnsi"/>
          <w:i/>
          <w:iCs/>
          <w:szCs w:val="24"/>
          <w:lang w:eastAsia="en-AU"/>
        </w:rPr>
        <w:t>ogy</w:t>
      </w:r>
      <w:r w:rsidRPr="000A44CF">
        <w:rPr>
          <w:rFonts w:asciiTheme="minorHAnsi" w:hAnsiTheme="minorHAnsi" w:cstheme="minorHAnsi"/>
          <w:i/>
          <w:iCs/>
          <w:szCs w:val="24"/>
          <w:lang w:eastAsia="en-AU"/>
        </w:rPr>
        <w:t xml:space="preserve"> </w:t>
      </w:r>
      <w:r w:rsidRPr="009E6BF1">
        <w:rPr>
          <w:rFonts w:asciiTheme="minorHAnsi" w:hAnsiTheme="minorHAnsi" w:cstheme="minorHAnsi"/>
          <w:szCs w:val="24"/>
          <w:lang w:eastAsia="en-AU"/>
        </w:rPr>
        <w:t>2005; p25:241.</w:t>
      </w:r>
    </w:p>
    <w:p w14:paraId="5E6F77A3" w14:textId="01AC0E66" w:rsidR="0082140F" w:rsidRPr="00A539E9" w:rsidRDefault="004447EC" w:rsidP="00E5521D">
      <w:pPr>
        <w:pStyle w:val="ListParagraph"/>
        <w:numPr>
          <w:ilvl w:val="0"/>
          <w:numId w:val="6"/>
        </w:numPr>
        <w:rPr>
          <w:rFonts w:eastAsia="Calibri"/>
          <w:iCs/>
          <w:szCs w:val="24"/>
        </w:rPr>
      </w:pPr>
      <w:r w:rsidRPr="008A7E01">
        <w:rPr>
          <w:rFonts w:eastAsia="Calibri"/>
          <w:iCs/>
          <w:szCs w:val="24"/>
        </w:rPr>
        <w:t xml:space="preserve">Lowe SA, Bowyer L, Beech A, Robinson H, Armstrong G, </w:t>
      </w:r>
      <w:proofErr w:type="spellStart"/>
      <w:r w:rsidRPr="008A7E01">
        <w:rPr>
          <w:rFonts w:eastAsia="Calibri"/>
          <w:iCs/>
          <w:szCs w:val="24"/>
        </w:rPr>
        <w:t>Marnoch</w:t>
      </w:r>
      <w:proofErr w:type="spellEnd"/>
      <w:r w:rsidRPr="008A7E01">
        <w:rPr>
          <w:rFonts w:eastAsia="Calibri"/>
          <w:iCs/>
          <w:szCs w:val="24"/>
        </w:rPr>
        <w:t xml:space="preserve"> C, </w:t>
      </w:r>
      <w:proofErr w:type="spellStart"/>
      <w:r w:rsidRPr="008A7E01">
        <w:rPr>
          <w:rFonts w:eastAsia="Calibri"/>
          <w:iCs/>
          <w:szCs w:val="24"/>
        </w:rPr>
        <w:t>Grzeskowiak</w:t>
      </w:r>
      <w:proofErr w:type="spellEnd"/>
      <w:r w:rsidRPr="008A7E01">
        <w:rPr>
          <w:rFonts w:eastAsia="Calibri"/>
          <w:iCs/>
          <w:szCs w:val="24"/>
        </w:rPr>
        <w:t xml:space="preserve"> L. Guideline for the Management of Nausea and Vomiting in Pregnancy and Hyperemesis Gravidarum. </w:t>
      </w:r>
      <w:r w:rsidRPr="008A7E01">
        <w:rPr>
          <w:rFonts w:eastAsia="Calibri"/>
          <w:i/>
          <w:szCs w:val="24"/>
        </w:rPr>
        <w:t>SOMANZ (Society of Obstetric Medicine of Australia and New Zealand)</w:t>
      </w:r>
      <w:r w:rsidRPr="008A7E01">
        <w:rPr>
          <w:rFonts w:eastAsia="Calibri"/>
          <w:iCs/>
          <w:szCs w:val="24"/>
        </w:rPr>
        <w:t>; 2019</w:t>
      </w:r>
      <w:r w:rsidR="000A44CF" w:rsidRPr="008A7E01">
        <w:rPr>
          <w:rFonts w:eastAsia="Calibri"/>
          <w:iCs/>
          <w:szCs w:val="24"/>
        </w:rPr>
        <w:t>;</w:t>
      </w:r>
      <w:r w:rsidRPr="008A7E01">
        <w:rPr>
          <w:rFonts w:eastAsia="Calibri"/>
          <w:iCs/>
          <w:szCs w:val="24"/>
        </w:rPr>
        <w:t xml:space="preserve"> p</w:t>
      </w:r>
      <w:r w:rsidR="008A7E01">
        <w:rPr>
          <w:rFonts w:eastAsia="Calibri"/>
          <w:iCs/>
          <w:szCs w:val="24"/>
        </w:rPr>
        <w:t>p</w:t>
      </w:r>
      <w:r w:rsidRPr="008A7E01">
        <w:rPr>
          <w:rFonts w:eastAsia="Calibri"/>
          <w:iCs/>
          <w:szCs w:val="24"/>
        </w:rPr>
        <w:t>1-67</w:t>
      </w:r>
      <w:r w:rsidR="008A7E01">
        <w:rPr>
          <w:rFonts w:eastAsia="Calibri"/>
          <w:iCs/>
          <w:szCs w:val="24"/>
        </w:rPr>
        <w:t>.</w:t>
      </w:r>
    </w:p>
    <w:p w14:paraId="24BE1FEF" w14:textId="465A5DCD" w:rsidR="00730C6A" w:rsidRPr="00A539E9" w:rsidRDefault="00730C6A" w:rsidP="00E5521D">
      <w:pPr>
        <w:pStyle w:val="ListParagraph"/>
        <w:numPr>
          <w:ilvl w:val="0"/>
          <w:numId w:val="6"/>
        </w:numPr>
        <w:rPr>
          <w:i/>
          <w:iCs/>
        </w:rPr>
      </w:pPr>
      <w:r>
        <w:rPr>
          <w:i/>
          <w:iCs/>
        </w:rPr>
        <w:t>Maternity and Newborn Clinical Network. Hyperemesis Assessment and Management (Flowchart). Safer Care Victoria. Victoria State Govt. 2018</w:t>
      </w:r>
    </w:p>
    <w:p w14:paraId="57846B66" w14:textId="77777777" w:rsidR="00730C6A" w:rsidRPr="00C942B9" w:rsidRDefault="00730C6A" w:rsidP="00E5521D">
      <w:pPr>
        <w:pStyle w:val="ListParagraph"/>
        <w:numPr>
          <w:ilvl w:val="0"/>
          <w:numId w:val="6"/>
        </w:numPr>
        <w:rPr>
          <w:rFonts w:asciiTheme="minorHAnsi" w:hAnsiTheme="minorHAnsi" w:cstheme="minorHAnsi"/>
          <w:szCs w:val="24"/>
          <w:lang w:eastAsia="en-AU"/>
        </w:rPr>
      </w:pPr>
      <w:r w:rsidRPr="00E70C92">
        <w:rPr>
          <w:rFonts w:asciiTheme="minorHAnsi" w:hAnsiTheme="minorHAnsi" w:cstheme="minorHAnsi"/>
          <w:szCs w:val="24"/>
          <w:lang w:eastAsia="en-AU"/>
        </w:rPr>
        <w:t>Royal College Obstetricians and Gynaecologists.</w:t>
      </w:r>
      <w:r>
        <w:rPr>
          <w:rFonts w:asciiTheme="minorHAnsi" w:hAnsiTheme="minorHAnsi" w:cstheme="minorHAnsi"/>
          <w:i/>
          <w:iCs/>
          <w:szCs w:val="24"/>
          <w:lang w:eastAsia="en-AU"/>
        </w:rPr>
        <w:t xml:space="preserve"> The Management of Nausea and Vomiting of Pregnancy and Hyperemesis Gravidarum. NICE UK accredited Green-top Guideline </w:t>
      </w:r>
      <w:r w:rsidRPr="00C942B9">
        <w:rPr>
          <w:rFonts w:asciiTheme="minorHAnsi" w:hAnsiTheme="minorHAnsi" w:cstheme="minorHAnsi"/>
          <w:szCs w:val="24"/>
          <w:lang w:eastAsia="en-AU"/>
        </w:rPr>
        <w:t>No.69 2016; p1-27</w:t>
      </w:r>
    </w:p>
    <w:p w14:paraId="042D4981" w14:textId="2F5CB3CE" w:rsidR="00730C6A" w:rsidRPr="00A539E9" w:rsidRDefault="00730C6A" w:rsidP="00E5521D">
      <w:pPr>
        <w:pStyle w:val="ListParagraph"/>
        <w:numPr>
          <w:ilvl w:val="0"/>
          <w:numId w:val="6"/>
        </w:numPr>
        <w:rPr>
          <w:rFonts w:asciiTheme="minorHAnsi" w:hAnsiTheme="minorHAnsi" w:cstheme="minorHAnsi"/>
          <w:i/>
          <w:iCs/>
          <w:szCs w:val="24"/>
        </w:rPr>
      </w:pPr>
      <w:r w:rsidRPr="00C942B9">
        <w:rPr>
          <w:rFonts w:asciiTheme="minorHAnsi" w:eastAsiaTheme="minorHAnsi" w:hAnsiTheme="minorHAnsi" w:cstheme="minorHAnsi"/>
          <w:szCs w:val="24"/>
        </w:rPr>
        <w:t>SA Maternal, Neonatal &amp; Gynaecology Community of Practice.</w:t>
      </w:r>
      <w:r w:rsidRPr="000A44CF">
        <w:rPr>
          <w:rFonts w:asciiTheme="minorHAnsi" w:eastAsiaTheme="minorHAnsi" w:hAnsiTheme="minorHAnsi" w:cstheme="minorHAnsi"/>
          <w:i/>
          <w:iCs/>
          <w:szCs w:val="24"/>
        </w:rPr>
        <w:t xml:space="preserve"> Nausea and vomiting in Pregnancy and Hyperemesis Gravidarum. South Australian Perinatal Practice Guideline. Department for Health and Wellbeing. </w:t>
      </w:r>
      <w:r w:rsidRPr="00C942B9">
        <w:rPr>
          <w:rFonts w:asciiTheme="minorHAnsi" w:eastAsiaTheme="minorHAnsi" w:hAnsiTheme="minorHAnsi" w:cstheme="minorHAnsi"/>
          <w:szCs w:val="24"/>
        </w:rPr>
        <w:t>Govt. SA 2020; pp1-16</w:t>
      </w:r>
    </w:p>
    <w:p w14:paraId="00D9EC0E" w14:textId="40A3C035" w:rsidR="00730C6A" w:rsidRPr="00A539E9" w:rsidRDefault="00730C6A" w:rsidP="00E5521D">
      <w:pPr>
        <w:pStyle w:val="ListParagraph"/>
        <w:numPr>
          <w:ilvl w:val="0"/>
          <w:numId w:val="6"/>
        </w:numPr>
        <w:rPr>
          <w:szCs w:val="24"/>
        </w:rPr>
      </w:pPr>
      <w:r>
        <w:rPr>
          <w:i/>
          <w:iCs/>
          <w:szCs w:val="24"/>
        </w:rPr>
        <w:t xml:space="preserve">The </w:t>
      </w:r>
      <w:proofErr w:type="spellStart"/>
      <w:r>
        <w:rPr>
          <w:i/>
          <w:iCs/>
          <w:szCs w:val="24"/>
        </w:rPr>
        <w:t>Womens</w:t>
      </w:r>
      <w:proofErr w:type="spellEnd"/>
      <w:r>
        <w:rPr>
          <w:i/>
          <w:iCs/>
          <w:szCs w:val="24"/>
        </w:rPr>
        <w:t xml:space="preserve">, The Royal Women’s Hospital. Nausea and Vomiting-Pregnancy. </w:t>
      </w:r>
      <w:r w:rsidRPr="00C942B9">
        <w:rPr>
          <w:szCs w:val="24"/>
        </w:rPr>
        <w:t>Victoria. Guideline 2020; p1-6</w:t>
      </w:r>
    </w:p>
    <w:p w14:paraId="1A6BD183" w14:textId="32BA6B14" w:rsidR="00730C6A" w:rsidRPr="00A539E9" w:rsidRDefault="0082140F" w:rsidP="00E5521D">
      <w:pPr>
        <w:pStyle w:val="ListParagraph"/>
        <w:numPr>
          <w:ilvl w:val="0"/>
          <w:numId w:val="6"/>
        </w:numPr>
        <w:rPr>
          <w:rFonts w:asciiTheme="minorHAnsi" w:hAnsiTheme="minorHAnsi" w:cstheme="minorHAnsi"/>
        </w:rPr>
      </w:pPr>
      <w:proofErr w:type="spellStart"/>
      <w:r w:rsidRPr="008A7E01">
        <w:t>Tsakiridis</w:t>
      </w:r>
      <w:proofErr w:type="spellEnd"/>
      <w:r w:rsidR="005D3A87" w:rsidRPr="008A7E01">
        <w:t xml:space="preserve"> I, </w:t>
      </w:r>
      <w:proofErr w:type="spellStart"/>
      <w:r w:rsidR="005D3A87" w:rsidRPr="008A7E01">
        <w:t>Mamopoulos</w:t>
      </w:r>
      <w:proofErr w:type="spellEnd"/>
      <w:r w:rsidR="005D3A87" w:rsidRPr="008A7E01">
        <w:t xml:space="preserve"> A, </w:t>
      </w:r>
      <w:proofErr w:type="spellStart"/>
      <w:r w:rsidR="005D3A87" w:rsidRPr="008A7E01">
        <w:t>Athanasiadis</w:t>
      </w:r>
      <w:proofErr w:type="spellEnd"/>
      <w:r w:rsidR="005D3A87" w:rsidRPr="008A7E01">
        <w:t xml:space="preserve"> A, </w:t>
      </w:r>
      <w:proofErr w:type="spellStart"/>
      <w:r w:rsidR="005D3A87" w:rsidRPr="008A7E01">
        <w:t>Dagklis</w:t>
      </w:r>
      <w:proofErr w:type="spellEnd"/>
      <w:r w:rsidR="005D3A87" w:rsidRPr="008A7E01">
        <w:t xml:space="preserve"> T</w:t>
      </w:r>
      <w:r w:rsidRPr="008A7E01">
        <w:t>. The Management of Nausea and Vomiting of Pregnancy: Synthesis of National Guidelines</w:t>
      </w:r>
      <w:r w:rsidR="008A7E01">
        <w:t>,</w:t>
      </w:r>
      <w:r w:rsidRPr="008A7E01">
        <w:t xml:space="preserve"> </w:t>
      </w:r>
      <w:r w:rsidR="008A7E01" w:rsidRPr="008A7E01">
        <w:rPr>
          <w:i/>
          <w:iCs/>
        </w:rPr>
        <w:t>Obstetrics and Gynaecological Survey</w:t>
      </w:r>
      <w:r w:rsidR="008A7E01">
        <w:t>,</w:t>
      </w:r>
      <w:r w:rsidRPr="008A7E01">
        <w:t xml:space="preserve"> 2019</w:t>
      </w:r>
      <w:r w:rsidR="008A7E01">
        <w:t>,</w:t>
      </w:r>
      <w:r w:rsidR="008A7E01" w:rsidRPr="008A7E01">
        <w:t>74</w:t>
      </w:r>
      <w:r w:rsidR="008A7E01">
        <w:t>(</w:t>
      </w:r>
      <w:r w:rsidR="008A7E01" w:rsidRPr="008A7E01">
        <w:t>3</w:t>
      </w:r>
      <w:r w:rsidR="008A7E01">
        <w:t>)</w:t>
      </w:r>
      <w:r w:rsidR="000A44CF" w:rsidRPr="008A7E01">
        <w:t>;</w:t>
      </w:r>
      <w:r w:rsidR="005D3A87" w:rsidRPr="008A7E01">
        <w:t xml:space="preserve"> p</w:t>
      </w:r>
      <w:r w:rsidR="009E6BF1">
        <w:t>p</w:t>
      </w:r>
      <w:r w:rsidR="005D3A87" w:rsidRPr="008A7E01">
        <w:t>161-169</w:t>
      </w:r>
      <w:r w:rsidR="009E6BF1">
        <w:t>.</w:t>
      </w:r>
      <w:r w:rsidR="00730C6A" w:rsidRPr="00730C6A">
        <w:rPr>
          <w:rFonts w:asciiTheme="minorHAnsi" w:hAnsiTheme="minorHAnsi" w:cstheme="minorHAnsi"/>
          <w:shd w:val="clear" w:color="auto" w:fill="FFFFFF"/>
        </w:rPr>
        <w:t xml:space="preserve"> </w:t>
      </w:r>
    </w:p>
    <w:p w14:paraId="6DBA104D" w14:textId="48D4C5FA" w:rsidR="00730C6A" w:rsidRPr="00A539E9" w:rsidRDefault="00730C6A" w:rsidP="00E5521D">
      <w:pPr>
        <w:pStyle w:val="ListParagraph"/>
        <w:numPr>
          <w:ilvl w:val="0"/>
          <w:numId w:val="6"/>
        </w:numPr>
        <w:rPr>
          <w:rFonts w:asciiTheme="minorHAnsi" w:hAnsiTheme="minorHAnsi" w:cstheme="minorHAnsi"/>
        </w:rPr>
      </w:pPr>
      <w:r w:rsidRPr="00A35C96">
        <w:rPr>
          <w:rFonts w:asciiTheme="minorHAnsi" w:hAnsiTheme="minorHAnsi" w:cstheme="minorHAnsi"/>
          <w:shd w:val="clear" w:color="auto" w:fill="FFFFFF"/>
        </w:rPr>
        <w:t xml:space="preserve">Viljoen E, Visser J, Koen N, </w:t>
      </w:r>
      <w:proofErr w:type="spellStart"/>
      <w:r w:rsidRPr="00A35C96">
        <w:rPr>
          <w:rFonts w:asciiTheme="minorHAnsi" w:hAnsiTheme="minorHAnsi" w:cstheme="minorHAnsi"/>
          <w:shd w:val="clear" w:color="auto" w:fill="FFFFFF"/>
        </w:rPr>
        <w:t>Musekiwa</w:t>
      </w:r>
      <w:proofErr w:type="spellEnd"/>
      <w:r w:rsidRPr="00A35C96">
        <w:rPr>
          <w:rFonts w:asciiTheme="minorHAnsi" w:hAnsiTheme="minorHAnsi" w:cstheme="minorHAnsi"/>
          <w:shd w:val="clear" w:color="auto" w:fill="FFFFFF"/>
        </w:rPr>
        <w:t xml:space="preserve"> A. A systematic review and meta-analysis of the effect and safety of ginger in the treatment of pregnancy-associated nausea and vomiting. </w:t>
      </w:r>
      <w:r>
        <w:rPr>
          <w:rFonts w:asciiTheme="minorHAnsi" w:hAnsiTheme="minorHAnsi" w:cstheme="minorHAnsi"/>
          <w:i/>
          <w:iCs/>
          <w:shd w:val="clear" w:color="auto" w:fill="FFFFFF"/>
        </w:rPr>
        <w:t>Nutrition Journal</w:t>
      </w:r>
      <w:r w:rsidRPr="00A35C96">
        <w:rPr>
          <w:rFonts w:asciiTheme="minorHAnsi" w:hAnsiTheme="minorHAnsi" w:cstheme="minorHAnsi"/>
          <w:shd w:val="clear" w:color="auto" w:fill="FFFFFF"/>
        </w:rPr>
        <w:t xml:space="preserve"> 2014;13:20. </w:t>
      </w:r>
      <w:proofErr w:type="spellStart"/>
      <w:r w:rsidRPr="00A35C96">
        <w:rPr>
          <w:rFonts w:asciiTheme="minorHAnsi" w:hAnsiTheme="minorHAnsi" w:cstheme="minorHAnsi"/>
          <w:shd w:val="clear" w:color="auto" w:fill="FFFFFF"/>
        </w:rPr>
        <w:t>Epub</w:t>
      </w:r>
      <w:proofErr w:type="spellEnd"/>
      <w:r w:rsidRPr="00A35C96">
        <w:rPr>
          <w:rFonts w:asciiTheme="minorHAnsi" w:hAnsiTheme="minorHAnsi" w:cstheme="minorHAnsi"/>
          <w:shd w:val="clear" w:color="auto" w:fill="FFFFFF"/>
        </w:rPr>
        <w:t xml:space="preserve"> 2014 Mar 19. </w:t>
      </w:r>
    </w:p>
    <w:p w14:paraId="49F8A569" w14:textId="2483F6FF" w:rsidR="0082140F" w:rsidRPr="00A539E9" w:rsidRDefault="00730C6A" w:rsidP="00E5521D">
      <w:pPr>
        <w:pStyle w:val="ListParagraph"/>
        <w:numPr>
          <w:ilvl w:val="0"/>
          <w:numId w:val="6"/>
        </w:numPr>
        <w:rPr>
          <w:i/>
          <w:iCs/>
          <w:szCs w:val="24"/>
        </w:rPr>
      </w:pPr>
      <w:r w:rsidRPr="00C942B9">
        <w:rPr>
          <w:szCs w:val="24"/>
        </w:rPr>
        <w:t>World Health Organisation 2016,</w:t>
      </w:r>
      <w:r w:rsidRPr="00F45E22">
        <w:rPr>
          <w:i/>
          <w:iCs/>
          <w:szCs w:val="24"/>
        </w:rPr>
        <w:t xml:space="preserve"> WHO Recommendations on Antenatal Care for a Positive Pregnancy Experience, World Health Organisation, </w:t>
      </w:r>
      <w:r w:rsidRPr="00C942B9">
        <w:rPr>
          <w:szCs w:val="24"/>
        </w:rPr>
        <w:t>pp. 1-77</w:t>
      </w:r>
    </w:p>
    <w:p w14:paraId="1C49E710" w14:textId="614508F7" w:rsidR="00730C6A" w:rsidRPr="00C942B9" w:rsidRDefault="00E5521D" w:rsidP="00E5521D">
      <w:pPr>
        <w:pStyle w:val="ListParagraph"/>
        <w:numPr>
          <w:ilvl w:val="0"/>
          <w:numId w:val="6"/>
        </w:numPr>
        <w:autoSpaceDE w:val="0"/>
        <w:autoSpaceDN w:val="0"/>
        <w:adjustRightInd w:val="0"/>
        <w:rPr>
          <w:rFonts w:asciiTheme="minorHAnsi" w:eastAsiaTheme="minorHAnsi" w:hAnsiTheme="minorHAnsi" w:cstheme="minorHAnsi"/>
          <w:i/>
          <w:iCs/>
          <w:color w:val="0000FF"/>
          <w:szCs w:val="24"/>
          <w:u w:val="single"/>
        </w:rPr>
      </w:pPr>
      <w:hyperlink r:id="rId15" w:history="1">
        <w:r w:rsidR="00730C6A" w:rsidRPr="00730C6A">
          <w:rPr>
            <w:rStyle w:val="Hyperlink"/>
            <w:rFonts w:asciiTheme="minorHAnsi" w:eastAsiaTheme="minorHAnsi" w:hAnsiTheme="minorHAnsi" w:cstheme="minorHAnsi"/>
            <w:i/>
            <w:iCs/>
            <w:szCs w:val="24"/>
          </w:rPr>
          <w:t>www.medicinesinpregnancy.org/Medicine--pregnancy/</w:t>
        </w:r>
      </w:hyperlink>
    </w:p>
    <w:p w14:paraId="76ACFEBC" w14:textId="4B6D3640" w:rsidR="00D80D25" w:rsidRPr="00DD480F" w:rsidRDefault="00E5521D" w:rsidP="00E5521D">
      <w:pPr>
        <w:pStyle w:val="ListParagraph"/>
        <w:numPr>
          <w:ilvl w:val="0"/>
          <w:numId w:val="6"/>
        </w:numPr>
        <w:autoSpaceDE w:val="0"/>
        <w:autoSpaceDN w:val="0"/>
        <w:adjustRightInd w:val="0"/>
        <w:rPr>
          <w:rStyle w:val="Hyperlink"/>
          <w:color w:val="000000"/>
          <w:u w:val="none"/>
        </w:rPr>
      </w:pPr>
      <w:hyperlink r:id="rId16" w:history="1">
        <w:r w:rsidR="00671578" w:rsidRPr="00C942B9">
          <w:rPr>
            <w:rStyle w:val="Hyperlink"/>
            <w:i/>
            <w:iCs/>
            <w:szCs w:val="24"/>
          </w:rPr>
          <w:t>https://www.seslhd.health.nsw.gov.au/sites/default/files/groups/Royal_Hospital_for_Women/Mothersafe/documents/heartburnpregbr2021.pdf</w:t>
        </w:r>
      </w:hyperlink>
    </w:p>
    <w:p w14:paraId="489827A9" w14:textId="62C918C9" w:rsidR="00DD480F" w:rsidRPr="00DD480F" w:rsidRDefault="00E5521D" w:rsidP="00E5521D">
      <w:pPr>
        <w:pStyle w:val="ListParagraph"/>
        <w:numPr>
          <w:ilvl w:val="0"/>
          <w:numId w:val="6"/>
        </w:numPr>
        <w:autoSpaceDE w:val="0"/>
        <w:autoSpaceDN w:val="0"/>
        <w:adjustRightInd w:val="0"/>
        <w:rPr>
          <w:rStyle w:val="Hyperlink"/>
          <w:color w:val="000000"/>
          <w:u w:val="none"/>
        </w:rPr>
      </w:pPr>
      <w:hyperlink r:id="rId17" w:history="1">
        <w:r w:rsidR="00DD480F" w:rsidRPr="00FA7924">
          <w:rPr>
            <w:rStyle w:val="Hyperlink"/>
          </w:rPr>
          <w:t>https://www.seslhd.health.nsw.gov.au/sites/default/files/documents/hypereesisgravidarimnausea2020.pdf</w:t>
        </w:r>
      </w:hyperlink>
      <w:r w:rsidR="00DD480F">
        <w:t xml:space="preserve">  </w:t>
      </w:r>
    </w:p>
    <w:p w14:paraId="5E395033" w14:textId="63477FD2" w:rsidR="00DD480F" w:rsidRPr="00C942B9" w:rsidRDefault="00E5521D" w:rsidP="00E5521D">
      <w:pPr>
        <w:pStyle w:val="ListParagraph"/>
        <w:numPr>
          <w:ilvl w:val="0"/>
          <w:numId w:val="6"/>
        </w:numPr>
        <w:autoSpaceDE w:val="0"/>
        <w:autoSpaceDN w:val="0"/>
        <w:adjustRightInd w:val="0"/>
        <w:rPr>
          <w:color w:val="000000"/>
        </w:rPr>
      </w:pPr>
      <w:hyperlink r:id="rId18" w:history="1">
        <w:r w:rsidR="00DD480F">
          <w:rPr>
            <w:rStyle w:val="Hyperlink"/>
          </w:rPr>
          <w:t>Nausea and Vomiting - Pregnancy (worldssl.net)</w:t>
        </w:r>
      </w:hyperlink>
    </w:p>
    <w:p w14:paraId="663C41A2" w14:textId="007E41F6" w:rsidR="00D80D25" w:rsidRPr="00C942B9" w:rsidRDefault="00E5521D" w:rsidP="00E5521D">
      <w:pPr>
        <w:pStyle w:val="ListParagraph"/>
        <w:numPr>
          <w:ilvl w:val="0"/>
          <w:numId w:val="6"/>
        </w:numPr>
        <w:rPr>
          <w:i/>
          <w:iCs/>
          <w:color w:val="000000"/>
          <w:szCs w:val="24"/>
        </w:rPr>
      </w:pPr>
      <w:hyperlink r:id="rId19" w:history="1">
        <w:r w:rsidR="00D80D25">
          <w:rPr>
            <w:rStyle w:val="Hyperlink"/>
          </w:rPr>
          <w:t>Home - MICROMEDEX (micromedexsolutions.com)</w:t>
        </w:r>
      </w:hyperlink>
    </w:p>
    <w:p w14:paraId="0312E08F" w14:textId="33982561" w:rsidR="00D80D25" w:rsidRPr="00C942B9" w:rsidRDefault="00E5521D" w:rsidP="00E5521D">
      <w:pPr>
        <w:pStyle w:val="ListParagraph"/>
        <w:numPr>
          <w:ilvl w:val="0"/>
          <w:numId w:val="6"/>
        </w:numPr>
        <w:rPr>
          <w:i/>
          <w:iCs/>
          <w:color w:val="000000"/>
          <w:szCs w:val="24"/>
        </w:rPr>
      </w:pPr>
      <w:hyperlink r:id="rId20" w:history="1">
        <w:r w:rsidR="00D80D25" w:rsidRPr="00D80D25">
          <w:rPr>
            <w:rStyle w:val="Hyperlink"/>
            <w:i/>
            <w:iCs/>
            <w:szCs w:val="24"/>
          </w:rPr>
          <w:t>https://www.mimsonline.com.au/</w:t>
        </w:r>
      </w:hyperlink>
    </w:p>
    <w:p w14:paraId="3879723D" w14:textId="1017F09E" w:rsidR="00730C6A" w:rsidRPr="00C942B9" w:rsidRDefault="00E5521D" w:rsidP="00E5521D">
      <w:pPr>
        <w:pStyle w:val="ListParagraph"/>
        <w:numPr>
          <w:ilvl w:val="0"/>
          <w:numId w:val="6"/>
        </w:numPr>
        <w:rPr>
          <w:rFonts w:asciiTheme="minorHAnsi" w:hAnsiTheme="minorHAnsi" w:cstheme="minorHAnsi"/>
        </w:rPr>
      </w:pPr>
      <w:hyperlink r:id="rId21" w:history="1">
        <w:r w:rsidR="00D80D25">
          <w:rPr>
            <w:rStyle w:val="Hyperlink"/>
          </w:rPr>
          <w:t>Australian Medicines Handbook (amh.net.au)</w:t>
        </w:r>
      </w:hyperlink>
    </w:p>
    <w:p w14:paraId="12BA6677" w14:textId="0DE2CA3B" w:rsidR="00730C6A" w:rsidRPr="00C942B9" w:rsidRDefault="00E5521D" w:rsidP="00E5521D">
      <w:pPr>
        <w:pStyle w:val="ListParagraph"/>
        <w:numPr>
          <w:ilvl w:val="0"/>
          <w:numId w:val="6"/>
        </w:numPr>
        <w:rPr>
          <w:i/>
          <w:iCs/>
          <w:szCs w:val="24"/>
        </w:rPr>
      </w:pPr>
      <w:hyperlink r:id="rId22" w:history="1">
        <w:r w:rsidR="00730C6A">
          <w:rPr>
            <w:rStyle w:val="Hyperlink"/>
          </w:rPr>
          <w:t>Medicines | PBMG (oclc.org)</w:t>
        </w:r>
      </w:hyperlink>
    </w:p>
    <w:p w14:paraId="7349253D" w14:textId="59729E2F" w:rsidR="00D80D25" w:rsidRPr="00C942B9" w:rsidRDefault="00E5521D" w:rsidP="00E5521D">
      <w:pPr>
        <w:pStyle w:val="ListParagraph"/>
        <w:numPr>
          <w:ilvl w:val="0"/>
          <w:numId w:val="6"/>
        </w:numPr>
        <w:rPr>
          <w:rFonts w:asciiTheme="minorHAnsi" w:hAnsiTheme="minorHAnsi" w:cstheme="minorHAnsi"/>
        </w:rPr>
      </w:pPr>
      <w:hyperlink r:id="rId23" w:history="1">
        <w:r w:rsidR="00D80D25">
          <w:rPr>
            <w:rStyle w:val="Hyperlink"/>
          </w:rPr>
          <w:t>Therapeutic Guidelines Home | Therapeutic Guidelines (tg.org.au)</w:t>
        </w:r>
      </w:hyperlink>
    </w:p>
    <w:p w14:paraId="1D2B5B53" w14:textId="7A83E647" w:rsidR="00D80D25" w:rsidRPr="00C942B9" w:rsidRDefault="00E5521D" w:rsidP="00E5521D">
      <w:pPr>
        <w:pStyle w:val="ListParagraph"/>
        <w:numPr>
          <w:ilvl w:val="0"/>
          <w:numId w:val="6"/>
        </w:numPr>
        <w:rPr>
          <w:rFonts w:asciiTheme="minorHAnsi" w:hAnsiTheme="minorHAnsi" w:cstheme="minorHAnsi"/>
        </w:rPr>
      </w:pPr>
      <w:hyperlink r:id="rId24" w:history="1">
        <w:r w:rsidR="00D80D25">
          <w:rPr>
            <w:rStyle w:val="Hyperlink"/>
          </w:rPr>
          <w:t>BMJ Best Practice</w:t>
        </w:r>
      </w:hyperlink>
    </w:p>
    <w:p w14:paraId="31261F1D" w14:textId="28A2446D" w:rsidR="00D80D25" w:rsidRPr="00A35C96" w:rsidRDefault="00E5521D" w:rsidP="00E5521D">
      <w:pPr>
        <w:pStyle w:val="ListParagraph"/>
        <w:numPr>
          <w:ilvl w:val="0"/>
          <w:numId w:val="6"/>
        </w:numPr>
        <w:rPr>
          <w:rFonts w:asciiTheme="minorHAnsi" w:hAnsiTheme="minorHAnsi" w:cstheme="minorHAnsi"/>
        </w:rPr>
      </w:pPr>
      <w:hyperlink r:id="rId25" w:history="1">
        <w:r w:rsidR="00D80D25">
          <w:rPr>
            <w:rStyle w:val="Hyperlink"/>
          </w:rPr>
          <w:t>Search - UpToDate</w:t>
        </w:r>
      </w:hyperlink>
    </w:p>
    <w:p w14:paraId="509700E4" w14:textId="75A76ABA" w:rsidR="000027A6" w:rsidRPr="00A539E9" w:rsidRDefault="000027A6" w:rsidP="00E5521D">
      <w:pPr>
        <w:rPr>
          <w:i/>
          <w:iCs/>
          <w:szCs w:val="24"/>
        </w:rPr>
      </w:pPr>
    </w:p>
    <w:p w14:paraId="68AE375E" w14:textId="49B41D42" w:rsidR="00503A9B" w:rsidRPr="00A539E9" w:rsidRDefault="00E5521D" w:rsidP="00A539E9">
      <w:pPr>
        <w:jc w:val="right"/>
        <w:rPr>
          <w:rFonts w:cs="Arial"/>
          <w:i/>
          <w:color w:val="0000FF"/>
          <w:szCs w:val="24"/>
          <w:u w:val="single"/>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7A7D6730" w:rsidR="00FF56DD" w:rsidRPr="000F1F60" w:rsidRDefault="00FF56DD" w:rsidP="004213C3">
            <w:pPr>
              <w:pStyle w:val="Heading1"/>
            </w:pPr>
            <w:bookmarkStart w:id="38" w:name="_Toc109996419"/>
            <w:r>
              <w:t>Definition of Terms</w:t>
            </w:r>
            <w:bookmarkEnd w:id="38"/>
            <w:r>
              <w:t xml:space="preserve">  </w:t>
            </w:r>
          </w:p>
        </w:tc>
      </w:tr>
    </w:tbl>
    <w:p w14:paraId="2F51A8D8" w14:textId="77777777" w:rsidR="00FF56DD" w:rsidRDefault="00FF56DD" w:rsidP="00FF56DD">
      <w:pPr>
        <w:rPr>
          <w:rFonts w:cs="Arial"/>
          <w:szCs w:val="24"/>
        </w:rPr>
      </w:pPr>
    </w:p>
    <w:p w14:paraId="484F7A33" w14:textId="77777777" w:rsidR="00A539E9" w:rsidRDefault="00A539E9" w:rsidP="00A539E9">
      <w:pPr>
        <w:rPr>
          <w:rFonts w:cs="Arial"/>
          <w:iCs/>
          <w:szCs w:val="24"/>
        </w:rPr>
      </w:pPr>
      <w:r w:rsidRPr="001D02FA">
        <w:rPr>
          <w:rFonts w:cs="Arial"/>
          <w:b/>
          <w:bCs/>
          <w:iCs/>
          <w:szCs w:val="24"/>
        </w:rPr>
        <w:t>BUMP</w:t>
      </w:r>
      <w:r>
        <w:rPr>
          <w:rFonts w:cs="Arial"/>
          <w:iCs/>
          <w:szCs w:val="24"/>
        </w:rPr>
        <w:t>: Mentoring programme run for young mothers under the age of 23</w:t>
      </w:r>
    </w:p>
    <w:p w14:paraId="1BBF5399" w14:textId="77777777" w:rsidR="00A539E9" w:rsidRDefault="00A539E9" w:rsidP="00A539E9">
      <w:pPr>
        <w:rPr>
          <w:rFonts w:cs="Arial"/>
          <w:iCs/>
          <w:szCs w:val="24"/>
        </w:rPr>
      </w:pPr>
      <w:r w:rsidRPr="005301D2">
        <w:rPr>
          <w:rFonts w:cs="Arial"/>
          <w:b/>
          <w:bCs/>
          <w:iCs/>
          <w:szCs w:val="24"/>
        </w:rPr>
        <w:t>CMP</w:t>
      </w:r>
      <w:r>
        <w:rPr>
          <w:rFonts w:cs="Arial"/>
          <w:iCs/>
          <w:szCs w:val="24"/>
        </w:rPr>
        <w:t>: Continuity Midwifery Programme providing continuous midwifery care from antenatal to 2 weeks postnatal care by the same midwife</w:t>
      </w:r>
    </w:p>
    <w:p w14:paraId="0C271331" w14:textId="77777777" w:rsidR="00A539E9" w:rsidRPr="007C61B4" w:rsidRDefault="00A539E9" w:rsidP="00A539E9">
      <w:pPr>
        <w:rPr>
          <w:rFonts w:cs="Arial"/>
          <w:iCs/>
          <w:szCs w:val="24"/>
        </w:rPr>
      </w:pPr>
      <w:r w:rsidRPr="00503A9B">
        <w:rPr>
          <w:rFonts w:cs="Arial"/>
          <w:b/>
          <w:bCs/>
          <w:iCs/>
          <w:szCs w:val="24"/>
        </w:rPr>
        <w:t>EDS:</w:t>
      </w:r>
      <w:r>
        <w:rPr>
          <w:rFonts w:cs="Arial"/>
          <w:iCs/>
          <w:szCs w:val="24"/>
        </w:rPr>
        <w:t xml:space="preserve"> Edinburgh Depression Scale; a 10 item self-report measure designed to screen women for symptoms of emotional distress during pregnancy and post-natal period </w:t>
      </w:r>
    </w:p>
    <w:p w14:paraId="45A4E0C2" w14:textId="77777777" w:rsidR="00A539E9" w:rsidRDefault="00A539E9" w:rsidP="00A539E9">
      <w:pPr>
        <w:rPr>
          <w:rFonts w:cs="Arial"/>
          <w:iCs/>
          <w:szCs w:val="24"/>
        </w:rPr>
      </w:pPr>
      <w:r w:rsidRPr="00197EF7">
        <w:rPr>
          <w:rFonts w:cs="Arial"/>
          <w:b/>
          <w:bCs/>
          <w:iCs/>
          <w:szCs w:val="24"/>
        </w:rPr>
        <w:t>HG</w:t>
      </w:r>
      <w:r>
        <w:rPr>
          <w:rFonts w:cs="Arial"/>
          <w:iCs/>
          <w:szCs w:val="24"/>
        </w:rPr>
        <w:t>: Hyperemesis Gravidarum</w:t>
      </w:r>
    </w:p>
    <w:p w14:paraId="15A7FB56" w14:textId="77777777" w:rsidR="00A539E9" w:rsidRDefault="00A539E9" w:rsidP="00A539E9">
      <w:pPr>
        <w:jc w:val="both"/>
        <w:rPr>
          <w:color w:val="000000"/>
        </w:rPr>
      </w:pPr>
      <w:r w:rsidRPr="007E5D7A">
        <w:rPr>
          <w:b/>
          <w:bCs/>
          <w:color w:val="000000"/>
        </w:rPr>
        <w:t>Modified Early Warning Score (MEWS)</w:t>
      </w:r>
      <w:r>
        <w:rPr>
          <w:b/>
          <w:bCs/>
          <w:color w:val="000000"/>
        </w:rPr>
        <w:t xml:space="preserve">: </w:t>
      </w:r>
      <w:r w:rsidRPr="001B4FA4">
        <w:rPr>
          <w:color w:val="000000"/>
        </w:rPr>
        <w:t>Refers to a track and trigger system where vital signs are recorded at the bedside and a score is allocated to the vital signs that are outside of the normal range. The individual vital sign scores are added to a total MEWS</w:t>
      </w:r>
      <w:r>
        <w:rPr>
          <w:color w:val="000000"/>
        </w:rPr>
        <w:t xml:space="preserve"> </w:t>
      </w:r>
      <w:r w:rsidRPr="001B4FA4">
        <w:rPr>
          <w:color w:val="000000"/>
        </w:rPr>
        <w:t xml:space="preserve">and can then indicate the severity of abnormal vital signs to assist in the identification of deteriorating patients. </w:t>
      </w:r>
    </w:p>
    <w:p w14:paraId="41FB5BD8" w14:textId="77777777" w:rsidR="00A539E9" w:rsidRDefault="00A539E9" w:rsidP="00A539E9">
      <w:pPr>
        <w:rPr>
          <w:rFonts w:cs="Arial"/>
          <w:iCs/>
          <w:szCs w:val="24"/>
        </w:rPr>
      </w:pPr>
      <w:r w:rsidRPr="00FD648A">
        <w:rPr>
          <w:rFonts w:cs="Arial"/>
          <w:b/>
          <w:bCs/>
          <w:iCs/>
          <w:szCs w:val="24"/>
        </w:rPr>
        <w:t>NVP</w:t>
      </w:r>
      <w:r>
        <w:rPr>
          <w:rFonts w:cs="Arial"/>
          <w:iCs/>
          <w:szCs w:val="24"/>
        </w:rPr>
        <w:t>: Nausea and Vomiting in Pregnancy</w:t>
      </w:r>
    </w:p>
    <w:p w14:paraId="75CD630B" w14:textId="67C7944D" w:rsidR="00197EF7" w:rsidRDefault="00197EF7" w:rsidP="00FF56DD">
      <w:pPr>
        <w:rPr>
          <w:rFonts w:cs="Arial"/>
          <w:iCs/>
          <w:szCs w:val="24"/>
        </w:rPr>
      </w:pPr>
      <w:r w:rsidRPr="00197EF7">
        <w:rPr>
          <w:rFonts w:cs="Arial"/>
          <w:b/>
          <w:bCs/>
          <w:iCs/>
          <w:szCs w:val="24"/>
        </w:rPr>
        <w:t>PU</w:t>
      </w:r>
      <w:r w:rsidR="004447EC">
        <w:rPr>
          <w:rFonts w:cs="Arial"/>
          <w:b/>
          <w:bCs/>
          <w:iCs/>
          <w:szCs w:val="24"/>
        </w:rPr>
        <w:t>Q</w:t>
      </w:r>
      <w:r w:rsidRPr="00197EF7">
        <w:rPr>
          <w:rFonts w:cs="Arial"/>
          <w:b/>
          <w:bCs/>
          <w:iCs/>
          <w:szCs w:val="24"/>
        </w:rPr>
        <w:t>E</w:t>
      </w:r>
      <w:r w:rsidR="004447EC">
        <w:rPr>
          <w:rFonts w:cs="Arial"/>
          <w:b/>
          <w:bCs/>
          <w:iCs/>
          <w:szCs w:val="24"/>
        </w:rPr>
        <w:t xml:space="preserve"> - </w:t>
      </w:r>
      <w:r w:rsidRPr="00197EF7">
        <w:rPr>
          <w:rFonts w:cs="Arial"/>
          <w:b/>
          <w:bCs/>
          <w:iCs/>
          <w:szCs w:val="24"/>
        </w:rPr>
        <w:t>24 Score</w:t>
      </w:r>
      <w:r>
        <w:rPr>
          <w:rFonts w:cs="Arial"/>
          <w:b/>
          <w:bCs/>
          <w:iCs/>
          <w:szCs w:val="24"/>
        </w:rPr>
        <w:t xml:space="preserve">: </w:t>
      </w:r>
      <w:r w:rsidR="006C66FF" w:rsidRPr="006C66FF">
        <w:rPr>
          <w:rFonts w:cs="Arial"/>
          <w:iCs/>
          <w:szCs w:val="24"/>
        </w:rPr>
        <w:t>Pregnancy-Unique Quantification of Emesis (PUQE) index.</w:t>
      </w:r>
      <w:r w:rsidR="006C66FF">
        <w:rPr>
          <w:rFonts w:cs="Arial"/>
          <w:b/>
          <w:bCs/>
          <w:iCs/>
          <w:szCs w:val="24"/>
        </w:rPr>
        <w:t xml:space="preserve"> </w:t>
      </w:r>
      <w:r>
        <w:rPr>
          <w:rFonts w:cs="Arial"/>
          <w:iCs/>
          <w:szCs w:val="24"/>
        </w:rPr>
        <w:t>A scoring criteria used over a 24hour period, based on 3 questions, to determine the intensity, frequency and potential of nausea and vomiting</w:t>
      </w:r>
      <w:r w:rsidR="00FF2112">
        <w:rPr>
          <w:rFonts w:cs="Arial"/>
          <w:iCs/>
          <w:szCs w:val="24"/>
        </w:rPr>
        <w:t xml:space="preserve"> in women during pregnancy from as early as 6 weeks gestation</w:t>
      </w:r>
    </w:p>
    <w:p w14:paraId="3605E389" w14:textId="77777777" w:rsidR="00A539E9" w:rsidRDefault="00A539E9" w:rsidP="00A539E9">
      <w:pPr>
        <w:rPr>
          <w:rFonts w:cs="Arial"/>
          <w:iCs/>
          <w:szCs w:val="24"/>
        </w:rPr>
      </w:pPr>
      <w:r w:rsidRPr="007C61B4">
        <w:rPr>
          <w:rFonts w:cs="Arial"/>
          <w:b/>
          <w:bCs/>
          <w:iCs/>
          <w:szCs w:val="24"/>
        </w:rPr>
        <w:t>RFA</w:t>
      </w:r>
      <w:r>
        <w:rPr>
          <w:rFonts w:cs="Arial"/>
          <w:b/>
          <w:bCs/>
          <w:iCs/>
          <w:szCs w:val="24"/>
        </w:rPr>
        <w:t xml:space="preserve">: </w:t>
      </w:r>
      <w:r w:rsidRPr="007C61B4">
        <w:rPr>
          <w:rFonts w:cs="Arial"/>
          <w:iCs/>
          <w:szCs w:val="24"/>
        </w:rPr>
        <w:t>Recommendation For Admission form</w:t>
      </w:r>
      <w:r>
        <w:rPr>
          <w:rFonts w:cs="Arial"/>
          <w:iCs/>
          <w:szCs w:val="24"/>
        </w:rPr>
        <w:t xml:space="preserve">, essential piece of communication sent by a medical officer, requesting admission to hospital for the patient. </w:t>
      </w:r>
      <w:proofErr w:type="spellStart"/>
      <w:r>
        <w:rPr>
          <w:rFonts w:cs="Arial"/>
          <w:iCs/>
          <w:szCs w:val="24"/>
        </w:rPr>
        <w:t>Ie</w:t>
      </w:r>
      <w:proofErr w:type="spellEnd"/>
      <w:r>
        <w:rPr>
          <w:rFonts w:cs="Arial"/>
          <w:iCs/>
          <w:szCs w:val="24"/>
        </w:rPr>
        <w:t>. A planned admission date at a future time</w:t>
      </w:r>
    </w:p>
    <w:p w14:paraId="553C7330" w14:textId="2AE23FF7" w:rsidR="00FF2112" w:rsidRDefault="00EB0FD0" w:rsidP="00FF56DD">
      <w:pPr>
        <w:rPr>
          <w:rFonts w:cs="Arial"/>
          <w:iCs/>
          <w:szCs w:val="24"/>
        </w:rPr>
      </w:pPr>
      <w:r>
        <w:rPr>
          <w:rFonts w:cs="Arial"/>
          <w:b/>
          <w:bCs/>
          <w:iCs/>
          <w:szCs w:val="24"/>
        </w:rPr>
        <w:t>STEP AHEAD</w:t>
      </w:r>
      <w:r w:rsidR="005301D2">
        <w:rPr>
          <w:rFonts w:cs="Arial"/>
          <w:iCs/>
          <w:szCs w:val="24"/>
        </w:rPr>
        <w:t xml:space="preserve">: </w:t>
      </w:r>
      <w:r>
        <w:rPr>
          <w:rFonts w:cs="Arial"/>
          <w:iCs/>
          <w:szCs w:val="24"/>
        </w:rPr>
        <w:t xml:space="preserve">programme providing Antenatal care to young pregnant women, 21 years and younger, who require additional support </w:t>
      </w:r>
    </w:p>
    <w:p w14:paraId="223D2A9E" w14:textId="77777777" w:rsidR="005B0D11" w:rsidRPr="005B0D11" w:rsidRDefault="005B0D11" w:rsidP="005B0D11">
      <w:pPr>
        <w:jc w:val="both"/>
        <w:rPr>
          <w:color w:val="000000"/>
        </w:rPr>
      </w:pPr>
    </w:p>
    <w:p w14:paraId="2F51A8DB" w14:textId="77777777" w:rsidR="00FF56DD" w:rsidRDefault="00E5521D" w:rsidP="007B6904">
      <w:pPr>
        <w:jc w:val="right"/>
        <w:rPr>
          <w:rFonts w:cs="Calibri,Bold"/>
          <w:bCs/>
          <w:i/>
          <w:szCs w:val="24"/>
          <w:lang w:eastAsia="en-AU"/>
        </w:rPr>
      </w:pPr>
      <w:hyperlink w:anchor="Contents" w:history="1">
        <w:r w:rsidR="00FF56DD"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39" w:name="_Toc389473290"/>
            <w:bookmarkStart w:id="40" w:name="_Toc109996420"/>
            <w:r>
              <w:t>Search Terms</w:t>
            </w:r>
            <w:bookmarkEnd w:id="39"/>
            <w:bookmarkEnd w:id="40"/>
            <w:r>
              <w:t xml:space="preserve"> </w:t>
            </w:r>
          </w:p>
        </w:tc>
      </w:tr>
    </w:tbl>
    <w:p w14:paraId="2F51A8DE" w14:textId="77777777" w:rsidR="007B6904" w:rsidRDefault="007B6904" w:rsidP="007B6904">
      <w:pPr>
        <w:rPr>
          <w:rFonts w:cs="Calibri,Bold"/>
          <w:bCs/>
          <w:i/>
          <w:szCs w:val="24"/>
          <w:lang w:eastAsia="en-AU"/>
        </w:rPr>
      </w:pPr>
    </w:p>
    <w:p w14:paraId="1DF58BB1" w14:textId="3F96E190" w:rsidR="00DE37F5" w:rsidRPr="000D6CCA" w:rsidRDefault="00DE37F5" w:rsidP="00DE37F5">
      <w:pPr>
        <w:rPr>
          <w:rFonts w:cs="Calibri"/>
          <w:bCs/>
          <w:iCs/>
          <w:szCs w:val="24"/>
          <w:lang w:eastAsia="en-AU"/>
        </w:rPr>
      </w:pPr>
      <w:r w:rsidRPr="000D6CCA">
        <w:rPr>
          <w:rFonts w:cs="Calibri"/>
          <w:bCs/>
          <w:iCs/>
          <w:szCs w:val="24"/>
          <w:lang w:eastAsia="en-AU"/>
        </w:rPr>
        <w:t xml:space="preserve">Admission, Discharge, Referral, HITH, Hospital in the Home, </w:t>
      </w:r>
      <w:r>
        <w:rPr>
          <w:rFonts w:cs="Calibri"/>
          <w:bCs/>
          <w:iCs/>
          <w:szCs w:val="24"/>
          <w:lang w:eastAsia="en-AU"/>
        </w:rPr>
        <w:t xml:space="preserve">Nausea and </w:t>
      </w:r>
      <w:r w:rsidR="004379E1">
        <w:rPr>
          <w:rFonts w:cs="Calibri"/>
          <w:bCs/>
          <w:iCs/>
          <w:szCs w:val="24"/>
          <w:lang w:eastAsia="en-AU"/>
        </w:rPr>
        <w:t>V</w:t>
      </w:r>
      <w:r>
        <w:rPr>
          <w:rFonts w:cs="Calibri"/>
          <w:bCs/>
          <w:iCs/>
          <w:szCs w:val="24"/>
          <w:lang w:eastAsia="en-AU"/>
        </w:rPr>
        <w:t>omiting in Pregnancy</w:t>
      </w:r>
      <w:r w:rsidRPr="000D6CCA">
        <w:rPr>
          <w:rFonts w:cs="Calibri"/>
          <w:bCs/>
          <w:iCs/>
          <w:szCs w:val="24"/>
          <w:lang w:eastAsia="en-AU"/>
        </w:rPr>
        <w:t xml:space="preserve">, </w:t>
      </w:r>
      <w:r>
        <w:rPr>
          <w:rFonts w:cs="Calibri"/>
          <w:bCs/>
          <w:iCs/>
          <w:szCs w:val="24"/>
          <w:lang w:eastAsia="en-AU"/>
        </w:rPr>
        <w:t>Anti-</w:t>
      </w:r>
      <w:proofErr w:type="spellStart"/>
      <w:r>
        <w:rPr>
          <w:rFonts w:cs="Calibri"/>
          <w:bCs/>
          <w:iCs/>
          <w:szCs w:val="24"/>
          <w:lang w:eastAsia="en-AU"/>
        </w:rPr>
        <w:t>ememetics</w:t>
      </w:r>
      <w:proofErr w:type="spellEnd"/>
      <w:r>
        <w:rPr>
          <w:rFonts w:cs="Calibri"/>
          <w:bCs/>
          <w:iCs/>
          <w:szCs w:val="24"/>
          <w:lang w:eastAsia="en-AU"/>
        </w:rPr>
        <w:t>, Antenatal admission, Hyperemesis Gravidarum</w:t>
      </w:r>
      <w:r w:rsidRPr="000D6CCA">
        <w:rPr>
          <w:rFonts w:cs="Calibri"/>
          <w:bCs/>
          <w:iCs/>
          <w:szCs w:val="24"/>
          <w:lang w:eastAsia="en-AU"/>
        </w:rPr>
        <w:t>.</w:t>
      </w:r>
    </w:p>
    <w:p w14:paraId="2F51A8E0" w14:textId="77777777" w:rsidR="007B6904" w:rsidRPr="00DE37F5" w:rsidRDefault="007B6904" w:rsidP="007B6904">
      <w:pPr>
        <w:jc w:val="both"/>
        <w:rPr>
          <w:rFonts w:asciiTheme="minorHAnsi" w:hAnsiTheme="minorHAnsi" w:cs="Arial"/>
          <w:bCs/>
          <w:iCs/>
          <w:sz w:val="22"/>
          <w:szCs w:val="22"/>
        </w:rPr>
      </w:pPr>
    </w:p>
    <w:p w14:paraId="58DCDBB5" w14:textId="6929A2C7" w:rsidR="008867F1" w:rsidRPr="00876397" w:rsidRDefault="00E5521D" w:rsidP="00876397">
      <w:pPr>
        <w:jc w:val="right"/>
        <w:rPr>
          <w:rStyle w:val="Hyperlink"/>
          <w:rFonts w:cs="Arial"/>
          <w:i/>
          <w:szCs w:val="24"/>
        </w:rPr>
      </w:pPr>
      <w:hyperlink w:anchor="Contents" w:history="1">
        <w:r w:rsidR="007B6904" w:rsidRPr="00590902">
          <w:rPr>
            <w:rStyle w:val="Hyperlink"/>
            <w:rFonts w:cs="Arial"/>
            <w:i/>
            <w:szCs w:val="24"/>
          </w:rPr>
          <w:t>Back to Table of Contents</w:t>
        </w:r>
      </w:hyperlink>
      <w:bookmarkStart w:id="41"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8867F1" w:rsidRPr="000F1F60" w14:paraId="09B01BA9" w14:textId="77777777" w:rsidTr="008205B4">
        <w:trPr>
          <w:cantSplit/>
          <w:trHeight w:val="285"/>
        </w:trPr>
        <w:tc>
          <w:tcPr>
            <w:tcW w:w="9158" w:type="dxa"/>
            <w:shd w:val="clear" w:color="auto" w:fill="A6A6A6" w:themeFill="background1" w:themeFillShade="A6"/>
          </w:tcPr>
          <w:p w14:paraId="1C371F15" w14:textId="77777777" w:rsidR="008867F1" w:rsidRPr="000F1F60" w:rsidRDefault="008867F1" w:rsidP="008205B4">
            <w:pPr>
              <w:pStyle w:val="Heading1"/>
            </w:pPr>
            <w:bookmarkStart w:id="42" w:name="_Toc109996421"/>
            <w:r>
              <w:t>Attachments</w:t>
            </w:r>
            <w:bookmarkEnd w:id="42"/>
          </w:p>
        </w:tc>
      </w:tr>
    </w:tbl>
    <w:p w14:paraId="061B7AFF" w14:textId="243553AE" w:rsidR="008867F1" w:rsidRDefault="00A539E9" w:rsidP="00A539E9">
      <w:pPr>
        <w:rPr>
          <w:rStyle w:val="Hyperlink"/>
          <w:rFonts w:cs="Arial"/>
          <w:color w:val="auto"/>
          <w:szCs w:val="24"/>
          <w:u w:val="none"/>
        </w:rPr>
      </w:pPr>
      <w:r w:rsidRPr="00A539E9">
        <w:rPr>
          <w:rStyle w:val="Hyperlink"/>
          <w:rFonts w:cs="Arial"/>
          <w:color w:val="auto"/>
          <w:szCs w:val="24"/>
          <w:u w:val="none"/>
        </w:rPr>
        <w:t>Attachment 1: CHS HITH Referral Checklist for Hyperemesis Gravidarum</w:t>
      </w:r>
    </w:p>
    <w:p w14:paraId="2CD80032" w14:textId="6966E35E" w:rsidR="00A539E9" w:rsidRDefault="00A539E9" w:rsidP="00A539E9">
      <w:pPr>
        <w:rPr>
          <w:rStyle w:val="Hyperlink"/>
          <w:rFonts w:cs="Arial"/>
          <w:color w:val="auto"/>
          <w:szCs w:val="24"/>
          <w:u w:val="none"/>
        </w:rPr>
      </w:pPr>
      <w:r w:rsidRPr="00A539E9">
        <w:rPr>
          <w:rStyle w:val="Hyperlink"/>
          <w:rFonts w:cs="Arial"/>
          <w:color w:val="auto"/>
          <w:szCs w:val="24"/>
          <w:u w:val="none"/>
        </w:rPr>
        <w:t>Attachment 2: CHS HITH General Admission and Exclusion Criteria</w:t>
      </w:r>
    </w:p>
    <w:p w14:paraId="2219470F" w14:textId="571B9501" w:rsidR="00A539E9" w:rsidRDefault="00A539E9" w:rsidP="00A539E9">
      <w:pPr>
        <w:rPr>
          <w:rStyle w:val="Hyperlink"/>
          <w:rFonts w:cs="Arial"/>
          <w:color w:val="auto"/>
          <w:szCs w:val="24"/>
          <w:u w:val="none"/>
        </w:rPr>
      </w:pPr>
    </w:p>
    <w:p w14:paraId="5830258C" w14:textId="4A1D5210" w:rsidR="00A539E9" w:rsidRDefault="00A539E9" w:rsidP="00A539E9">
      <w:pPr>
        <w:rPr>
          <w:rStyle w:val="Hyperlink"/>
          <w:rFonts w:cs="Arial"/>
          <w:color w:val="auto"/>
          <w:szCs w:val="24"/>
          <w:u w:val="none"/>
        </w:rPr>
      </w:pPr>
    </w:p>
    <w:p w14:paraId="3634AD61" w14:textId="77777777" w:rsidR="00A539E9" w:rsidRPr="008202D3" w:rsidRDefault="00A539E9" w:rsidP="00A539E9">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1DEC218E" w14:textId="77777777" w:rsidR="00A539E9" w:rsidRPr="008202D3" w:rsidRDefault="00A539E9" w:rsidP="00A539E9">
      <w:pPr>
        <w:rPr>
          <w:rFonts w:cs="Arial"/>
          <w:i/>
          <w:iCs/>
          <w:sz w:val="20"/>
        </w:rPr>
      </w:pPr>
    </w:p>
    <w:p w14:paraId="06D00AB9" w14:textId="77777777" w:rsidR="00A539E9" w:rsidRPr="008202D3" w:rsidRDefault="00A539E9" w:rsidP="00A539E9">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A539E9" w:rsidRPr="008202D3" w14:paraId="58F4434D" w14:textId="77777777" w:rsidTr="00600B7D">
        <w:tc>
          <w:tcPr>
            <w:tcW w:w="2265" w:type="dxa"/>
          </w:tcPr>
          <w:p w14:paraId="76380F47" w14:textId="77777777" w:rsidR="00A539E9" w:rsidRPr="008202D3" w:rsidRDefault="00A539E9" w:rsidP="00600B7D">
            <w:pPr>
              <w:rPr>
                <w:i/>
                <w:sz w:val="20"/>
              </w:rPr>
            </w:pPr>
            <w:r w:rsidRPr="008202D3">
              <w:rPr>
                <w:i/>
                <w:sz w:val="20"/>
              </w:rPr>
              <w:t>Date Amended</w:t>
            </w:r>
          </w:p>
        </w:tc>
        <w:tc>
          <w:tcPr>
            <w:tcW w:w="2265" w:type="dxa"/>
          </w:tcPr>
          <w:p w14:paraId="5FAF2036" w14:textId="77777777" w:rsidR="00A539E9" w:rsidRPr="008202D3" w:rsidRDefault="00A539E9" w:rsidP="00600B7D">
            <w:pPr>
              <w:rPr>
                <w:i/>
                <w:sz w:val="20"/>
              </w:rPr>
            </w:pPr>
            <w:r w:rsidRPr="008202D3">
              <w:rPr>
                <w:i/>
                <w:sz w:val="20"/>
              </w:rPr>
              <w:t>Section Amended</w:t>
            </w:r>
          </w:p>
        </w:tc>
        <w:tc>
          <w:tcPr>
            <w:tcW w:w="2265" w:type="dxa"/>
          </w:tcPr>
          <w:p w14:paraId="5C73968D" w14:textId="77777777" w:rsidR="00A539E9" w:rsidRPr="008202D3" w:rsidRDefault="00A539E9" w:rsidP="00600B7D">
            <w:pPr>
              <w:rPr>
                <w:i/>
                <w:sz w:val="20"/>
              </w:rPr>
            </w:pPr>
            <w:r w:rsidRPr="008202D3">
              <w:rPr>
                <w:i/>
                <w:sz w:val="20"/>
              </w:rPr>
              <w:t>Divisional Approval</w:t>
            </w:r>
          </w:p>
        </w:tc>
        <w:tc>
          <w:tcPr>
            <w:tcW w:w="2265" w:type="dxa"/>
          </w:tcPr>
          <w:p w14:paraId="59637E61" w14:textId="77777777" w:rsidR="00A539E9" w:rsidRPr="008202D3" w:rsidRDefault="00A539E9" w:rsidP="00600B7D">
            <w:pPr>
              <w:rPr>
                <w:i/>
                <w:sz w:val="20"/>
              </w:rPr>
            </w:pPr>
            <w:r w:rsidRPr="008202D3">
              <w:rPr>
                <w:i/>
                <w:sz w:val="20"/>
              </w:rPr>
              <w:t xml:space="preserve">Final Approval </w:t>
            </w:r>
          </w:p>
        </w:tc>
      </w:tr>
      <w:tr w:rsidR="00A539E9" w:rsidRPr="008202D3" w14:paraId="00F825C7" w14:textId="77777777" w:rsidTr="00600B7D">
        <w:tc>
          <w:tcPr>
            <w:tcW w:w="2265" w:type="dxa"/>
          </w:tcPr>
          <w:p w14:paraId="2DC6C8AD" w14:textId="6B596DC5" w:rsidR="00A539E9" w:rsidRPr="008202D3" w:rsidRDefault="00E5521D" w:rsidP="00600B7D">
            <w:pPr>
              <w:rPr>
                <w:i/>
                <w:sz w:val="20"/>
              </w:rPr>
            </w:pPr>
            <w:r>
              <w:rPr>
                <w:i/>
                <w:sz w:val="20"/>
              </w:rPr>
              <w:t>29/07/2022</w:t>
            </w:r>
          </w:p>
        </w:tc>
        <w:tc>
          <w:tcPr>
            <w:tcW w:w="2265" w:type="dxa"/>
          </w:tcPr>
          <w:p w14:paraId="3E0D574F" w14:textId="36E97FC6" w:rsidR="00A539E9" w:rsidRPr="008202D3" w:rsidRDefault="00E5521D" w:rsidP="00600B7D">
            <w:pPr>
              <w:rPr>
                <w:i/>
                <w:sz w:val="20"/>
              </w:rPr>
            </w:pPr>
            <w:r>
              <w:rPr>
                <w:i/>
                <w:sz w:val="20"/>
              </w:rPr>
              <w:t>New document</w:t>
            </w:r>
          </w:p>
        </w:tc>
        <w:tc>
          <w:tcPr>
            <w:tcW w:w="2265" w:type="dxa"/>
          </w:tcPr>
          <w:p w14:paraId="20DB4FF6" w14:textId="68859BC6" w:rsidR="00A539E9" w:rsidRPr="008202D3" w:rsidRDefault="00E5521D" w:rsidP="00600B7D">
            <w:pPr>
              <w:rPr>
                <w:i/>
                <w:sz w:val="20"/>
              </w:rPr>
            </w:pPr>
            <w:r>
              <w:rPr>
                <w:i/>
                <w:sz w:val="20"/>
              </w:rPr>
              <w:t>Jacqui Taylor ED Medicine</w:t>
            </w:r>
          </w:p>
        </w:tc>
        <w:tc>
          <w:tcPr>
            <w:tcW w:w="2265" w:type="dxa"/>
          </w:tcPr>
          <w:p w14:paraId="1897572D" w14:textId="0B19DF85" w:rsidR="00A539E9" w:rsidRPr="008202D3" w:rsidRDefault="00E5521D" w:rsidP="00600B7D">
            <w:pPr>
              <w:rPr>
                <w:i/>
                <w:sz w:val="20"/>
              </w:rPr>
            </w:pPr>
            <w:r>
              <w:rPr>
                <w:i/>
                <w:sz w:val="20"/>
              </w:rPr>
              <w:t xml:space="preserve">CHS Policy Committee </w:t>
            </w:r>
          </w:p>
        </w:tc>
      </w:tr>
      <w:tr w:rsidR="00A539E9" w:rsidRPr="008202D3" w14:paraId="4BEF1976" w14:textId="77777777" w:rsidTr="00600B7D">
        <w:tc>
          <w:tcPr>
            <w:tcW w:w="2265" w:type="dxa"/>
          </w:tcPr>
          <w:p w14:paraId="4ACE0142" w14:textId="77777777" w:rsidR="00A539E9" w:rsidRPr="008202D3" w:rsidRDefault="00A539E9" w:rsidP="00600B7D">
            <w:pPr>
              <w:rPr>
                <w:i/>
                <w:sz w:val="20"/>
              </w:rPr>
            </w:pPr>
          </w:p>
        </w:tc>
        <w:tc>
          <w:tcPr>
            <w:tcW w:w="2265" w:type="dxa"/>
          </w:tcPr>
          <w:p w14:paraId="5C132322" w14:textId="77777777" w:rsidR="00A539E9" w:rsidRPr="008202D3" w:rsidRDefault="00A539E9" w:rsidP="00600B7D">
            <w:pPr>
              <w:rPr>
                <w:i/>
                <w:sz w:val="20"/>
              </w:rPr>
            </w:pPr>
          </w:p>
        </w:tc>
        <w:tc>
          <w:tcPr>
            <w:tcW w:w="2265" w:type="dxa"/>
          </w:tcPr>
          <w:p w14:paraId="6537B2B4" w14:textId="77777777" w:rsidR="00A539E9" w:rsidRPr="008202D3" w:rsidRDefault="00A539E9" w:rsidP="00600B7D">
            <w:pPr>
              <w:rPr>
                <w:i/>
                <w:sz w:val="20"/>
              </w:rPr>
            </w:pPr>
          </w:p>
        </w:tc>
        <w:tc>
          <w:tcPr>
            <w:tcW w:w="2265" w:type="dxa"/>
          </w:tcPr>
          <w:p w14:paraId="24CF9E0D" w14:textId="77777777" w:rsidR="00A539E9" w:rsidRPr="008202D3" w:rsidRDefault="00A539E9" w:rsidP="00600B7D">
            <w:pPr>
              <w:rPr>
                <w:i/>
                <w:sz w:val="20"/>
              </w:rPr>
            </w:pPr>
          </w:p>
        </w:tc>
      </w:tr>
    </w:tbl>
    <w:p w14:paraId="2EB09B4F" w14:textId="77777777" w:rsidR="00A539E9" w:rsidRPr="008202D3" w:rsidRDefault="00A539E9" w:rsidP="00A539E9">
      <w:pPr>
        <w:rPr>
          <w:rFonts w:cs="Arial"/>
          <w:sz w:val="20"/>
        </w:rPr>
      </w:pPr>
    </w:p>
    <w:p w14:paraId="4842FE90" w14:textId="77777777" w:rsidR="00A539E9" w:rsidRPr="008202D3" w:rsidRDefault="00A539E9" w:rsidP="00A539E9">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A539E9" w:rsidRPr="008202D3" w14:paraId="02FDF6AA" w14:textId="77777777" w:rsidTr="00600B7D">
        <w:tc>
          <w:tcPr>
            <w:tcW w:w="2122" w:type="dxa"/>
          </w:tcPr>
          <w:p w14:paraId="4D2CC47C" w14:textId="77777777" w:rsidR="00A539E9" w:rsidRPr="008202D3" w:rsidRDefault="00A539E9" w:rsidP="00600B7D">
            <w:pPr>
              <w:rPr>
                <w:i/>
                <w:sz w:val="20"/>
              </w:rPr>
            </w:pPr>
            <w:r w:rsidRPr="008202D3">
              <w:rPr>
                <w:i/>
                <w:sz w:val="20"/>
              </w:rPr>
              <w:t>Document Number</w:t>
            </w:r>
          </w:p>
        </w:tc>
        <w:tc>
          <w:tcPr>
            <w:tcW w:w="6938" w:type="dxa"/>
          </w:tcPr>
          <w:p w14:paraId="497AB1A6" w14:textId="77777777" w:rsidR="00A539E9" w:rsidRPr="008202D3" w:rsidRDefault="00A539E9" w:rsidP="00600B7D">
            <w:pPr>
              <w:rPr>
                <w:i/>
                <w:sz w:val="20"/>
              </w:rPr>
            </w:pPr>
            <w:r w:rsidRPr="008202D3">
              <w:rPr>
                <w:i/>
                <w:sz w:val="20"/>
              </w:rPr>
              <w:t>Document Name</w:t>
            </w:r>
          </w:p>
        </w:tc>
      </w:tr>
      <w:tr w:rsidR="00A539E9" w:rsidRPr="008202D3" w14:paraId="24A271B8" w14:textId="77777777" w:rsidTr="00600B7D">
        <w:tc>
          <w:tcPr>
            <w:tcW w:w="2122" w:type="dxa"/>
          </w:tcPr>
          <w:p w14:paraId="63EC8490" w14:textId="77777777" w:rsidR="00A539E9" w:rsidRPr="008202D3" w:rsidRDefault="00A539E9" w:rsidP="00600B7D">
            <w:pPr>
              <w:rPr>
                <w:i/>
                <w:sz w:val="20"/>
              </w:rPr>
            </w:pPr>
          </w:p>
        </w:tc>
        <w:tc>
          <w:tcPr>
            <w:tcW w:w="6938" w:type="dxa"/>
          </w:tcPr>
          <w:p w14:paraId="03A679FC" w14:textId="77777777" w:rsidR="00A539E9" w:rsidRPr="008202D3" w:rsidRDefault="00A539E9" w:rsidP="00600B7D">
            <w:pPr>
              <w:rPr>
                <w:i/>
                <w:sz w:val="20"/>
              </w:rPr>
            </w:pPr>
          </w:p>
        </w:tc>
      </w:tr>
      <w:tr w:rsidR="00A539E9" w:rsidRPr="008202D3" w14:paraId="3D57D721" w14:textId="77777777" w:rsidTr="00600B7D">
        <w:tc>
          <w:tcPr>
            <w:tcW w:w="2122" w:type="dxa"/>
          </w:tcPr>
          <w:p w14:paraId="06F16A07" w14:textId="77777777" w:rsidR="00A539E9" w:rsidRPr="008202D3" w:rsidRDefault="00A539E9" w:rsidP="00600B7D">
            <w:pPr>
              <w:rPr>
                <w:i/>
                <w:sz w:val="20"/>
              </w:rPr>
            </w:pPr>
          </w:p>
        </w:tc>
        <w:tc>
          <w:tcPr>
            <w:tcW w:w="6938" w:type="dxa"/>
          </w:tcPr>
          <w:p w14:paraId="767D3B46" w14:textId="77777777" w:rsidR="00A539E9" w:rsidRPr="008202D3" w:rsidRDefault="00A539E9" w:rsidP="00600B7D">
            <w:pPr>
              <w:rPr>
                <w:i/>
                <w:sz w:val="20"/>
              </w:rPr>
            </w:pPr>
          </w:p>
        </w:tc>
      </w:tr>
    </w:tbl>
    <w:p w14:paraId="6DE4D9A3" w14:textId="77777777" w:rsidR="00A539E9" w:rsidRPr="00010E74" w:rsidRDefault="00A539E9" w:rsidP="00A539E9">
      <w:pPr>
        <w:rPr>
          <w:i/>
          <w:sz w:val="20"/>
          <w:szCs w:val="24"/>
        </w:rPr>
      </w:pPr>
    </w:p>
    <w:p w14:paraId="7F7E3B72" w14:textId="77777777" w:rsidR="00A539E9" w:rsidRDefault="00A539E9" w:rsidP="00A539E9">
      <w:pPr>
        <w:rPr>
          <w:rFonts w:cs="Arial"/>
          <w:szCs w:val="24"/>
        </w:rPr>
      </w:pPr>
    </w:p>
    <w:p w14:paraId="61E2005C" w14:textId="77777777" w:rsidR="00A539E9" w:rsidRPr="00A539E9" w:rsidRDefault="00A539E9" w:rsidP="00A539E9">
      <w:pPr>
        <w:rPr>
          <w:rStyle w:val="Hyperlink"/>
          <w:rFonts w:cs="Arial"/>
          <w:color w:val="auto"/>
          <w:szCs w:val="24"/>
          <w:u w:val="none"/>
        </w:rPr>
      </w:pPr>
    </w:p>
    <w:p w14:paraId="56E44527" w14:textId="3EC7C21F" w:rsidR="00A539E9" w:rsidRDefault="00A539E9">
      <w:pPr>
        <w:spacing w:after="200" w:line="276" w:lineRule="auto"/>
        <w:rPr>
          <w:rStyle w:val="Hyperlink"/>
          <w:rFonts w:cs="Arial"/>
          <w:b/>
          <w:bCs/>
          <w:color w:val="auto"/>
          <w:szCs w:val="24"/>
          <w:u w:val="none"/>
        </w:rPr>
      </w:pPr>
      <w:r>
        <w:rPr>
          <w:rStyle w:val="Hyperlink"/>
          <w:rFonts w:cs="Arial"/>
          <w:b/>
          <w:bCs/>
          <w:color w:val="auto"/>
          <w:szCs w:val="24"/>
          <w:u w:val="none"/>
        </w:rPr>
        <w:br w:type="page"/>
      </w:r>
    </w:p>
    <w:p w14:paraId="698C0F90" w14:textId="44872BAC" w:rsidR="005B10A0" w:rsidRPr="005B10A0" w:rsidRDefault="005B10A0" w:rsidP="00A539E9">
      <w:pPr>
        <w:pStyle w:val="Heading2"/>
        <w:rPr>
          <w:rStyle w:val="Hyperlink"/>
          <w:rFonts w:cs="Arial"/>
          <w:b w:val="0"/>
          <w:bCs w:val="0"/>
          <w:color w:val="auto"/>
          <w:szCs w:val="24"/>
          <w:u w:val="none"/>
        </w:rPr>
      </w:pPr>
      <w:bookmarkStart w:id="43" w:name="_Toc109996422"/>
      <w:r w:rsidRPr="005B10A0">
        <w:rPr>
          <w:rStyle w:val="Hyperlink"/>
          <w:rFonts w:cs="Arial"/>
          <w:color w:val="auto"/>
          <w:szCs w:val="24"/>
          <w:u w:val="none"/>
        </w:rPr>
        <w:lastRenderedPageBreak/>
        <w:t>Attachment 1: CHS HITH Referral Checklist for Hyperemesis Gravidarum</w:t>
      </w:r>
      <w:bookmarkEnd w:id="43"/>
    </w:p>
    <w:bookmarkEnd w:id="41"/>
    <w:p w14:paraId="1DDFD71C" w14:textId="06800975" w:rsidR="008867F1" w:rsidRDefault="008867F1" w:rsidP="007B6904">
      <w:pPr>
        <w:rPr>
          <w:rStyle w:val="Hyperlink"/>
          <w:rFonts w:cs="Arial"/>
          <w:szCs w:val="24"/>
        </w:rPr>
      </w:pPr>
    </w:p>
    <w:tbl>
      <w:tblPr>
        <w:tblStyle w:val="TableGrid"/>
        <w:tblW w:w="0" w:type="auto"/>
        <w:tblLook w:val="04A0" w:firstRow="1" w:lastRow="0" w:firstColumn="1" w:lastColumn="0" w:noHBand="0" w:noVBand="1"/>
      </w:tblPr>
      <w:tblGrid>
        <w:gridCol w:w="1383"/>
        <w:gridCol w:w="4023"/>
        <w:gridCol w:w="1837"/>
        <w:gridCol w:w="1817"/>
      </w:tblGrid>
      <w:tr w:rsidR="00462789" w:rsidRPr="002B4B26" w14:paraId="494378A1" w14:textId="77777777" w:rsidTr="008205B4">
        <w:trPr>
          <w:trHeight w:val="283"/>
        </w:trPr>
        <w:tc>
          <w:tcPr>
            <w:tcW w:w="9060" w:type="dxa"/>
            <w:gridSpan w:val="4"/>
            <w:shd w:val="clear" w:color="auto" w:fill="BFBFBF" w:themeFill="background1" w:themeFillShade="BF"/>
          </w:tcPr>
          <w:p w14:paraId="1084948C" w14:textId="77777777" w:rsidR="00462789" w:rsidRPr="001F08FB" w:rsidRDefault="00462789" w:rsidP="008205B4">
            <w:pPr>
              <w:rPr>
                <w:rFonts w:cs="Arial"/>
                <w:b/>
                <w:szCs w:val="24"/>
              </w:rPr>
            </w:pPr>
            <w:bookmarkStart w:id="44" w:name="_Hlk96518536"/>
            <w:r w:rsidRPr="001F08FB">
              <w:rPr>
                <w:rFonts w:cs="Arial"/>
                <w:b/>
                <w:szCs w:val="24"/>
              </w:rPr>
              <w:t>Referral Criteria</w:t>
            </w:r>
          </w:p>
        </w:tc>
      </w:tr>
      <w:tr w:rsidR="00462789" w:rsidRPr="002B4B26" w14:paraId="52778F36" w14:textId="77777777" w:rsidTr="0001388F">
        <w:trPr>
          <w:trHeight w:val="283"/>
        </w:trPr>
        <w:tc>
          <w:tcPr>
            <w:tcW w:w="9060" w:type="dxa"/>
            <w:gridSpan w:val="4"/>
            <w:shd w:val="clear" w:color="auto" w:fill="FFEFFF"/>
          </w:tcPr>
          <w:p w14:paraId="3C77940D" w14:textId="77777777" w:rsidR="00462789" w:rsidRPr="002B4B26" w:rsidRDefault="00462789" w:rsidP="008205B4">
            <w:pPr>
              <w:rPr>
                <w:rFonts w:cs="Arial"/>
                <w:szCs w:val="24"/>
              </w:rPr>
            </w:pPr>
            <w:r w:rsidRPr="002B4B26">
              <w:rPr>
                <w:rFonts w:cs="Arial"/>
                <w:szCs w:val="24"/>
              </w:rPr>
              <w:t>Pre</w:t>
            </w:r>
            <w:r>
              <w:rPr>
                <w:rFonts w:cs="Arial"/>
                <w:szCs w:val="24"/>
              </w:rPr>
              <w:t>gnancy</w:t>
            </w:r>
          </w:p>
        </w:tc>
      </w:tr>
      <w:tr w:rsidR="00F45509" w:rsidRPr="002B4B26" w14:paraId="71CC1F9E" w14:textId="77777777" w:rsidTr="00FB694D">
        <w:trPr>
          <w:trHeight w:val="283"/>
        </w:trPr>
        <w:tc>
          <w:tcPr>
            <w:tcW w:w="1383" w:type="dxa"/>
            <w:vMerge w:val="restart"/>
          </w:tcPr>
          <w:p w14:paraId="4FBDF850" w14:textId="77777777" w:rsidR="00F45509" w:rsidRPr="002B4B26" w:rsidRDefault="00F45509" w:rsidP="008205B4">
            <w:pPr>
              <w:rPr>
                <w:rFonts w:cs="Arial"/>
                <w:szCs w:val="24"/>
              </w:rPr>
            </w:pPr>
          </w:p>
        </w:tc>
        <w:tc>
          <w:tcPr>
            <w:tcW w:w="4023" w:type="dxa"/>
          </w:tcPr>
          <w:p w14:paraId="45EBEBE8" w14:textId="354080CF" w:rsidR="00F45509" w:rsidRPr="002B4B26" w:rsidRDefault="00F45509" w:rsidP="008205B4">
            <w:pPr>
              <w:rPr>
                <w:rFonts w:cs="Arial"/>
                <w:szCs w:val="24"/>
              </w:rPr>
            </w:pPr>
            <w:r>
              <w:rPr>
                <w:rFonts w:cs="Arial"/>
                <w:szCs w:val="24"/>
              </w:rPr>
              <w:t xml:space="preserve">Gestation </w:t>
            </w:r>
          </w:p>
        </w:tc>
        <w:tc>
          <w:tcPr>
            <w:tcW w:w="1837" w:type="dxa"/>
          </w:tcPr>
          <w:p w14:paraId="5981E6DD" w14:textId="4B26329E" w:rsidR="00F45509" w:rsidRPr="002B4B26" w:rsidRDefault="00F45509" w:rsidP="008205B4">
            <w:pPr>
              <w:rPr>
                <w:rFonts w:cs="Arial"/>
                <w:szCs w:val="24"/>
              </w:rPr>
            </w:pPr>
            <w:r>
              <w:rPr>
                <w:rFonts w:cs="Arial"/>
                <w:szCs w:val="24"/>
              </w:rPr>
              <w:t>LMP</w:t>
            </w:r>
          </w:p>
        </w:tc>
        <w:tc>
          <w:tcPr>
            <w:tcW w:w="1817" w:type="dxa"/>
          </w:tcPr>
          <w:p w14:paraId="06C5EAC4" w14:textId="65671EE6" w:rsidR="00F45509" w:rsidRPr="002B4B26" w:rsidRDefault="00F45509" w:rsidP="008205B4">
            <w:pPr>
              <w:rPr>
                <w:rFonts w:cs="Arial"/>
                <w:szCs w:val="24"/>
              </w:rPr>
            </w:pPr>
            <w:r>
              <w:rPr>
                <w:rFonts w:cs="Arial"/>
                <w:szCs w:val="24"/>
              </w:rPr>
              <w:t>USS</w:t>
            </w:r>
          </w:p>
        </w:tc>
      </w:tr>
      <w:tr w:rsidR="00462789" w:rsidRPr="002B4B26" w14:paraId="584FA456" w14:textId="77777777" w:rsidTr="00FB694D">
        <w:trPr>
          <w:trHeight w:val="313"/>
        </w:trPr>
        <w:tc>
          <w:tcPr>
            <w:tcW w:w="1383" w:type="dxa"/>
            <w:vMerge/>
          </w:tcPr>
          <w:p w14:paraId="1D110A6F" w14:textId="77777777" w:rsidR="00462789" w:rsidRPr="002B4B26" w:rsidRDefault="00462789" w:rsidP="008205B4">
            <w:pPr>
              <w:rPr>
                <w:rFonts w:cs="Arial"/>
                <w:szCs w:val="24"/>
              </w:rPr>
            </w:pPr>
          </w:p>
        </w:tc>
        <w:tc>
          <w:tcPr>
            <w:tcW w:w="4023" w:type="dxa"/>
          </w:tcPr>
          <w:p w14:paraId="31CA03CA" w14:textId="77777777" w:rsidR="00462789" w:rsidRDefault="00462789" w:rsidP="008205B4">
            <w:pPr>
              <w:rPr>
                <w:rFonts w:cs="Arial"/>
                <w:szCs w:val="24"/>
              </w:rPr>
            </w:pPr>
            <w:r>
              <w:rPr>
                <w:rFonts w:cs="Arial"/>
                <w:szCs w:val="24"/>
              </w:rPr>
              <w:t>High Risk Pregnancy</w:t>
            </w:r>
          </w:p>
        </w:tc>
        <w:tc>
          <w:tcPr>
            <w:tcW w:w="3654" w:type="dxa"/>
            <w:gridSpan w:val="2"/>
          </w:tcPr>
          <w:p w14:paraId="2E003074" w14:textId="77777777" w:rsidR="00462789" w:rsidRPr="002B4B26" w:rsidRDefault="00462789" w:rsidP="008205B4">
            <w:pPr>
              <w:rPr>
                <w:rFonts w:cs="Arial"/>
                <w:szCs w:val="24"/>
              </w:rPr>
            </w:pPr>
          </w:p>
        </w:tc>
      </w:tr>
      <w:tr w:rsidR="00462789" w:rsidRPr="002B4B26" w14:paraId="285BFAFC" w14:textId="77777777" w:rsidTr="00FB694D">
        <w:trPr>
          <w:trHeight w:val="298"/>
        </w:trPr>
        <w:tc>
          <w:tcPr>
            <w:tcW w:w="1383" w:type="dxa"/>
            <w:vMerge/>
          </w:tcPr>
          <w:p w14:paraId="02605B0D" w14:textId="77777777" w:rsidR="00462789" w:rsidRPr="002B4B26" w:rsidRDefault="00462789" w:rsidP="008205B4">
            <w:pPr>
              <w:rPr>
                <w:rFonts w:cs="Arial"/>
                <w:szCs w:val="24"/>
              </w:rPr>
            </w:pPr>
          </w:p>
        </w:tc>
        <w:tc>
          <w:tcPr>
            <w:tcW w:w="4023" w:type="dxa"/>
          </w:tcPr>
          <w:p w14:paraId="4591B31A" w14:textId="77777777" w:rsidR="00462789" w:rsidRPr="002B4B26" w:rsidRDefault="00462789" w:rsidP="008205B4">
            <w:pPr>
              <w:rPr>
                <w:rFonts w:cs="Arial"/>
                <w:szCs w:val="24"/>
              </w:rPr>
            </w:pPr>
            <w:r>
              <w:rPr>
                <w:rFonts w:cs="Arial"/>
                <w:szCs w:val="24"/>
              </w:rPr>
              <w:t>12 Week Nuchal Translucency /Development/Genetic scan</w:t>
            </w:r>
          </w:p>
        </w:tc>
        <w:tc>
          <w:tcPr>
            <w:tcW w:w="3654" w:type="dxa"/>
            <w:gridSpan w:val="2"/>
          </w:tcPr>
          <w:p w14:paraId="0190BAD4" w14:textId="77777777" w:rsidR="00462789" w:rsidRPr="002B4B26" w:rsidRDefault="00462789" w:rsidP="008205B4">
            <w:pPr>
              <w:rPr>
                <w:rFonts w:cs="Arial"/>
                <w:szCs w:val="24"/>
              </w:rPr>
            </w:pPr>
          </w:p>
        </w:tc>
      </w:tr>
      <w:tr w:rsidR="00462789" w:rsidRPr="002B4B26" w14:paraId="3D9D5A56" w14:textId="77777777" w:rsidTr="00FB694D">
        <w:trPr>
          <w:trHeight w:val="298"/>
        </w:trPr>
        <w:tc>
          <w:tcPr>
            <w:tcW w:w="1383" w:type="dxa"/>
            <w:vMerge/>
          </w:tcPr>
          <w:p w14:paraId="6BB85037" w14:textId="77777777" w:rsidR="00462789" w:rsidRPr="002B4B26" w:rsidRDefault="00462789" w:rsidP="008205B4">
            <w:pPr>
              <w:rPr>
                <w:rFonts w:cs="Arial"/>
                <w:szCs w:val="24"/>
              </w:rPr>
            </w:pPr>
          </w:p>
        </w:tc>
        <w:tc>
          <w:tcPr>
            <w:tcW w:w="4023" w:type="dxa"/>
          </w:tcPr>
          <w:p w14:paraId="18EA3BF1" w14:textId="77777777" w:rsidR="00462789" w:rsidRDefault="00462789" w:rsidP="008205B4">
            <w:pPr>
              <w:rPr>
                <w:rFonts w:cs="Arial"/>
                <w:szCs w:val="24"/>
              </w:rPr>
            </w:pPr>
            <w:r>
              <w:rPr>
                <w:rFonts w:cs="Arial"/>
                <w:szCs w:val="24"/>
              </w:rPr>
              <w:t>20 Week Morphology scan</w:t>
            </w:r>
          </w:p>
        </w:tc>
        <w:tc>
          <w:tcPr>
            <w:tcW w:w="3654" w:type="dxa"/>
            <w:gridSpan w:val="2"/>
          </w:tcPr>
          <w:p w14:paraId="6D0A4246" w14:textId="77777777" w:rsidR="00462789" w:rsidRPr="002B4B26" w:rsidRDefault="00462789" w:rsidP="008205B4">
            <w:pPr>
              <w:rPr>
                <w:rFonts w:cs="Arial"/>
                <w:szCs w:val="24"/>
              </w:rPr>
            </w:pPr>
          </w:p>
        </w:tc>
      </w:tr>
      <w:tr w:rsidR="00462789" w:rsidRPr="002B4B26" w14:paraId="761C59D1" w14:textId="77777777" w:rsidTr="0001388F">
        <w:trPr>
          <w:trHeight w:val="298"/>
        </w:trPr>
        <w:tc>
          <w:tcPr>
            <w:tcW w:w="9060" w:type="dxa"/>
            <w:gridSpan w:val="4"/>
            <w:shd w:val="clear" w:color="auto" w:fill="FFEFFF"/>
          </w:tcPr>
          <w:p w14:paraId="589F6617" w14:textId="7BBB896D" w:rsidR="00462789" w:rsidRPr="002B4B26" w:rsidRDefault="00462789" w:rsidP="008205B4">
            <w:pPr>
              <w:rPr>
                <w:rFonts w:cs="Arial"/>
                <w:szCs w:val="24"/>
              </w:rPr>
            </w:pPr>
            <w:r>
              <w:rPr>
                <w:rFonts w:cs="Arial"/>
                <w:szCs w:val="24"/>
              </w:rPr>
              <w:t>HG symptoms</w:t>
            </w:r>
            <w:r w:rsidR="007A0E69">
              <w:rPr>
                <w:rFonts w:cs="Arial"/>
                <w:szCs w:val="24"/>
              </w:rPr>
              <w:t>-Experience</w:t>
            </w:r>
          </w:p>
        </w:tc>
      </w:tr>
      <w:tr w:rsidR="00462789" w:rsidRPr="002B4B26" w14:paraId="52264490" w14:textId="77777777" w:rsidTr="00FB694D">
        <w:trPr>
          <w:trHeight w:val="283"/>
        </w:trPr>
        <w:tc>
          <w:tcPr>
            <w:tcW w:w="1383" w:type="dxa"/>
            <w:vMerge w:val="restart"/>
          </w:tcPr>
          <w:p w14:paraId="38AEA27C" w14:textId="77777777" w:rsidR="00462789" w:rsidRPr="002B4B26" w:rsidRDefault="00462789" w:rsidP="008205B4">
            <w:pPr>
              <w:rPr>
                <w:rFonts w:cs="Arial"/>
                <w:szCs w:val="24"/>
              </w:rPr>
            </w:pPr>
          </w:p>
        </w:tc>
        <w:tc>
          <w:tcPr>
            <w:tcW w:w="4023" w:type="dxa"/>
          </w:tcPr>
          <w:p w14:paraId="1E9C36C1" w14:textId="354662BF" w:rsidR="00462789" w:rsidRPr="002B4B26" w:rsidRDefault="007A0E69" w:rsidP="008205B4">
            <w:pPr>
              <w:rPr>
                <w:rFonts w:cs="Arial"/>
                <w:szCs w:val="24"/>
              </w:rPr>
            </w:pPr>
            <w:r>
              <w:t>PUQE-24 score</w:t>
            </w:r>
          </w:p>
        </w:tc>
        <w:tc>
          <w:tcPr>
            <w:tcW w:w="3654" w:type="dxa"/>
            <w:gridSpan w:val="2"/>
          </w:tcPr>
          <w:p w14:paraId="69ED5D6E" w14:textId="77777777" w:rsidR="00462789" w:rsidRPr="002B4B26" w:rsidRDefault="00462789" w:rsidP="008205B4">
            <w:pPr>
              <w:rPr>
                <w:rFonts w:cs="Arial"/>
                <w:szCs w:val="24"/>
              </w:rPr>
            </w:pPr>
          </w:p>
        </w:tc>
      </w:tr>
      <w:tr w:rsidR="00462789" w:rsidRPr="002B4B26" w14:paraId="0C9FF10A" w14:textId="77777777" w:rsidTr="00FB694D">
        <w:trPr>
          <w:trHeight w:val="298"/>
        </w:trPr>
        <w:tc>
          <w:tcPr>
            <w:tcW w:w="1383" w:type="dxa"/>
            <w:vMerge/>
          </w:tcPr>
          <w:p w14:paraId="21212EF7" w14:textId="77777777" w:rsidR="00462789" w:rsidRPr="002B4B26" w:rsidRDefault="00462789" w:rsidP="008205B4">
            <w:pPr>
              <w:rPr>
                <w:rFonts w:cs="Arial"/>
                <w:szCs w:val="24"/>
              </w:rPr>
            </w:pPr>
          </w:p>
        </w:tc>
        <w:tc>
          <w:tcPr>
            <w:tcW w:w="4023" w:type="dxa"/>
          </w:tcPr>
          <w:p w14:paraId="11138DBA" w14:textId="5A9F8E32" w:rsidR="00462789" w:rsidRPr="002B4B26" w:rsidRDefault="00462789" w:rsidP="008205B4">
            <w:pPr>
              <w:rPr>
                <w:rFonts w:cs="Arial"/>
                <w:szCs w:val="24"/>
              </w:rPr>
            </w:pPr>
            <w:r>
              <w:rPr>
                <w:rFonts w:cs="Arial"/>
                <w:szCs w:val="24"/>
              </w:rPr>
              <w:t>Lethargic/</w:t>
            </w:r>
            <w:r w:rsidR="00F45509">
              <w:rPr>
                <w:rFonts w:cs="Arial"/>
                <w:szCs w:val="24"/>
              </w:rPr>
              <w:t>presyncope</w:t>
            </w:r>
            <w:r>
              <w:rPr>
                <w:rFonts w:cs="Arial"/>
                <w:szCs w:val="24"/>
              </w:rPr>
              <w:t>/</w:t>
            </w:r>
            <w:proofErr w:type="spellStart"/>
            <w:r w:rsidR="00F45509">
              <w:rPr>
                <w:rFonts w:cs="Arial"/>
                <w:szCs w:val="24"/>
              </w:rPr>
              <w:t>lightheadedness</w:t>
            </w:r>
            <w:proofErr w:type="spellEnd"/>
          </w:p>
        </w:tc>
        <w:tc>
          <w:tcPr>
            <w:tcW w:w="3654" w:type="dxa"/>
            <w:gridSpan w:val="2"/>
          </w:tcPr>
          <w:p w14:paraId="3630E3CD" w14:textId="77777777" w:rsidR="00462789" w:rsidRPr="002B4B26" w:rsidRDefault="00462789" w:rsidP="008205B4">
            <w:pPr>
              <w:rPr>
                <w:rFonts w:cs="Arial"/>
                <w:szCs w:val="24"/>
              </w:rPr>
            </w:pPr>
          </w:p>
        </w:tc>
      </w:tr>
      <w:tr w:rsidR="00462789" w:rsidRPr="002B4B26" w14:paraId="412D6554" w14:textId="77777777" w:rsidTr="00FB694D">
        <w:trPr>
          <w:trHeight w:val="298"/>
        </w:trPr>
        <w:tc>
          <w:tcPr>
            <w:tcW w:w="1383" w:type="dxa"/>
            <w:vMerge/>
          </w:tcPr>
          <w:p w14:paraId="6EEEBDA2" w14:textId="77777777" w:rsidR="00462789" w:rsidRPr="002B4B26" w:rsidRDefault="00462789" w:rsidP="008205B4">
            <w:pPr>
              <w:rPr>
                <w:rFonts w:cs="Arial"/>
                <w:szCs w:val="24"/>
              </w:rPr>
            </w:pPr>
          </w:p>
        </w:tc>
        <w:tc>
          <w:tcPr>
            <w:tcW w:w="4023" w:type="dxa"/>
          </w:tcPr>
          <w:p w14:paraId="57EDE81C" w14:textId="47238EDB" w:rsidR="00462789" w:rsidRPr="002B4B26" w:rsidRDefault="007A0E69" w:rsidP="008205B4">
            <w:pPr>
              <w:rPr>
                <w:rFonts w:cs="Arial"/>
                <w:szCs w:val="24"/>
              </w:rPr>
            </w:pPr>
            <w:r>
              <w:rPr>
                <w:rFonts w:cs="Arial"/>
                <w:szCs w:val="24"/>
              </w:rPr>
              <w:t>Loss of appetite</w:t>
            </w:r>
          </w:p>
        </w:tc>
        <w:tc>
          <w:tcPr>
            <w:tcW w:w="3654" w:type="dxa"/>
            <w:gridSpan w:val="2"/>
          </w:tcPr>
          <w:p w14:paraId="5CEE688A" w14:textId="77777777" w:rsidR="00462789" w:rsidRPr="002B4B26" w:rsidRDefault="00462789" w:rsidP="008205B4">
            <w:pPr>
              <w:rPr>
                <w:rFonts w:cs="Arial"/>
                <w:szCs w:val="24"/>
              </w:rPr>
            </w:pPr>
          </w:p>
        </w:tc>
      </w:tr>
      <w:tr w:rsidR="00462789" w:rsidRPr="002B4B26" w14:paraId="3A2489B7" w14:textId="77777777" w:rsidTr="0001388F">
        <w:trPr>
          <w:trHeight w:val="283"/>
        </w:trPr>
        <w:tc>
          <w:tcPr>
            <w:tcW w:w="9060" w:type="dxa"/>
            <w:gridSpan w:val="4"/>
            <w:shd w:val="clear" w:color="auto" w:fill="FFEFFF"/>
          </w:tcPr>
          <w:p w14:paraId="2FDFDCC0" w14:textId="4390075B" w:rsidR="00462789" w:rsidRPr="002B4B26" w:rsidRDefault="00462789" w:rsidP="008205B4">
            <w:pPr>
              <w:rPr>
                <w:rFonts w:cs="Arial"/>
                <w:szCs w:val="24"/>
              </w:rPr>
            </w:pPr>
            <w:r>
              <w:rPr>
                <w:rFonts w:cs="Arial"/>
                <w:szCs w:val="24"/>
              </w:rPr>
              <w:t>HG signs</w:t>
            </w:r>
            <w:r w:rsidR="007A0E69">
              <w:rPr>
                <w:rFonts w:cs="Arial"/>
                <w:szCs w:val="24"/>
              </w:rPr>
              <w:t>-Evidence</w:t>
            </w:r>
          </w:p>
        </w:tc>
      </w:tr>
      <w:tr w:rsidR="00F45509" w:rsidRPr="002B4B26" w14:paraId="0CFEFDC1" w14:textId="77777777" w:rsidTr="00FB694D">
        <w:trPr>
          <w:trHeight w:val="298"/>
        </w:trPr>
        <w:tc>
          <w:tcPr>
            <w:tcW w:w="1383" w:type="dxa"/>
            <w:vMerge w:val="restart"/>
          </w:tcPr>
          <w:p w14:paraId="26C414C3" w14:textId="77777777" w:rsidR="00F45509" w:rsidRPr="002B4B26" w:rsidRDefault="00F45509" w:rsidP="008205B4">
            <w:pPr>
              <w:rPr>
                <w:rFonts w:cs="Arial"/>
                <w:szCs w:val="24"/>
              </w:rPr>
            </w:pPr>
          </w:p>
        </w:tc>
        <w:tc>
          <w:tcPr>
            <w:tcW w:w="4023" w:type="dxa"/>
          </w:tcPr>
          <w:p w14:paraId="4B5D4A2A" w14:textId="77777777" w:rsidR="00F45509" w:rsidRPr="002B4B26" w:rsidRDefault="00F45509" w:rsidP="008205B4">
            <w:pPr>
              <w:rPr>
                <w:rFonts w:cs="Arial"/>
                <w:szCs w:val="24"/>
              </w:rPr>
            </w:pPr>
            <w:r>
              <w:rPr>
                <w:rFonts w:cs="Arial"/>
                <w:szCs w:val="24"/>
              </w:rPr>
              <w:t>&gt;5% pre-pregnancy weight loss</w:t>
            </w:r>
          </w:p>
        </w:tc>
        <w:tc>
          <w:tcPr>
            <w:tcW w:w="3654" w:type="dxa"/>
            <w:gridSpan w:val="2"/>
          </w:tcPr>
          <w:p w14:paraId="54F3187B" w14:textId="77777777" w:rsidR="00F45509" w:rsidRPr="002B4B26" w:rsidRDefault="00F45509" w:rsidP="008205B4">
            <w:pPr>
              <w:rPr>
                <w:rFonts w:cs="Arial"/>
                <w:szCs w:val="24"/>
              </w:rPr>
            </w:pPr>
          </w:p>
        </w:tc>
      </w:tr>
      <w:tr w:rsidR="00F45509" w:rsidRPr="002B4B26" w14:paraId="443A8572" w14:textId="77777777" w:rsidTr="00FB694D">
        <w:trPr>
          <w:trHeight w:val="298"/>
        </w:trPr>
        <w:tc>
          <w:tcPr>
            <w:tcW w:w="1383" w:type="dxa"/>
            <w:vMerge/>
          </w:tcPr>
          <w:p w14:paraId="2D598B23" w14:textId="77777777" w:rsidR="00F45509" w:rsidRPr="002B4B26" w:rsidRDefault="00F45509" w:rsidP="008205B4">
            <w:pPr>
              <w:rPr>
                <w:rFonts w:cs="Arial"/>
                <w:szCs w:val="24"/>
              </w:rPr>
            </w:pPr>
          </w:p>
        </w:tc>
        <w:tc>
          <w:tcPr>
            <w:tcW w:w="4023" w:type="dxa"/>
          </w:tcPr>
          <w:p w14:paraId="5F3B9621" w14:textId="77777777" w:rsidR="00F45509" w:rsidRPr="002B4B26" w:rsidRDefault="00F45509" w:rsidP="008205B4">
            <w:pPr>
              <w:rPr>
                <w:rFonts w:cs="Arial"/>
                <w:szCs w:val="24"/>
              </w:rPr>
            </w:pPr>
            <w:r>
              <w:rPr>
                <w:rFonts w:cs="Arial"/>
                <w:szCs w:val="24"/>
              </w:rPr>
              <w:t>Dehydration</w:t>
            </w:r>
          </w:p>
        </w:tc>
        <w:tc>
          <w:tcPr>
            <w:tcW w:w="3654" w:type="dxa"/>
            <w:gridSpan w:val="2"/>
          </w:tcPr>
          <w:p w14:paraId="0BFB56B8" w14:textId="77777777" w:rsidR="00F45509" w:rsidRPr="002B4B26" w:rsidRDefault="00F45509" w:rsidP="008205B4">
            <w:pPr>
              <w:rPr>
                <w:rFonts w:cs="Arial"/>
                <w:szCs w:val="24"/>
              </w:rPr>
            </w:pPr>
          </w:p>
        </w:tc>
      </w:tr>
      <w:tr w:rsidR="00F45509" w:rsidRPr="002B4B26" w14:paraId="2603F22E" w14:textId="77777777" w:rsidTr="00FB694D">
        <w:trPr>
          <w:trHeight w:val="298"/>
        </w:trPr>
        <w:tc>
          <w:tcPr>
            <w:tcW w:w="1383" w:type="dxa"/>
            <w:vMerge/>
          </w:tcPr>
          <w:p w14:paraId="141E2D86" w14:textId="77777777" w:rsidR="00F45509" w:rsidRPr="002B4B26" w:rsidRDefault="00F45509" w:rsidP="008205B4">
            <w:pPr>
              <w:rPr>
                <w:rFonts w:cs="Arial"/>
                <w:szCs w:val="24"/>
              </w:rPr>
            </w:pPr>
          </w:p>
        </w:tc>
        <w:tc>
          <w:tcPr>
            <w:tcW w:w="4023" w:type="dxa"/>
          </w:tcPr>
          <w:p w14:paraId="64C52F9D" w14:textId="77777777" w:rsidR="00F45509" w:rsidRPr="002B4B26" w:rsidRDefault="00F45509" w:rsidP="008205B4">
            <w:pPr>
              <w:rPr>
                <w:rFonts w:cs="Arial"/>
                <w:szCs w:val="24"/>
              </w:rPr>
            </w:pPr>
            <w:r>
              <w:rPr>
                <w:rFonts w:cs="Arial"/>
                <w:szCs w:val="24"/>
              </w:rPr>
              <w:t>Fatigue</w:t>
            </w:r>
          </w:p>
        </w:tc>
        <w:tc>
          <w:tcPr>
            <w:tcW w:w="3654" w:type="dxa"/>
            <w:gridSpan w:val="2"/>
          </w:tcPr>
          <w:p w14:paraId="7BC0943D" w14:textId="77777777" w:rsidR="00F45509" w:rsidRPr="002B4B26" w:rsidRDefault="00F45509" w:rsidP="008205B4">
            <w:pPr>
              <w:rPr>
                <w:rFonts w:cs="Arial"/>
                <w:szCs w:val="24"/>
              </w:rPr>
            </w:pPr>
          </w:p>
        </w:tc>
      </w:tr>
      <w:tr w:rsidR="00F45509" w:rsidRPr="002B4B26" w14:paraId="19094EDF" w14:textId="77777777" w:rsidTr="00FB694D">
        <w:trPr>
          <w:trHeight w:val="298"/>
        </w:trPr>
        <w:tc>
          <w:tcPr>
            <w:tcW w:w="1383" w:type="dxa"/>
            <w:vMerge/>
          </w:tcPr>
          <w:p w14:paraId="006E98AB" w14:textId="77777777" w:rsidR="00F45509" w:rsidRPr="002B4B26" w:rsidRDefault="00F45509" w:rsidP="008205B4">
            <w:pPr>
              <w:rPr>
                <w:rFonts w:cs="Arial"/>
                <w:szCs w:val="24"/>
              </w:rPr>
            </w:pPr>
          </w:p>
        </w:tc>
        <w:tc>
          <w:tcPr>
            <w:tcW w:w="4023" w:type="dxa"/>
          </w:tcPr>
          <w:p w14:paraId="2DE39650" w14:textId="7638B0C3" w:rsidR="00F45509" w:rsidRPr="002B4B26" w:rsidRDefault="00F45509" w:rsidP="008205B4">
            <w:pPr>
              <w:rPr>
                <w:rFonts w:cs="Arial"/>
                <w:szCs w:val="24"/>
              </w:rPr>
            </w:pPr>
            <w:r>
              <w:rPr>
                <w:rFonts w:cs="Arial"/>
                <w:szCs w:val="24"/>
              </w:rPr>
              <w:t>Excess Salivation</w:t>
            </w:r>
          </w:p>
        </w:tc>
        <w:tc>
          <w:tcPr>
            <w:tcW w:w="3654" w:type="dxa"/>
            <w:gridSpan w:val="2"/>
          </w:tcPr>
          <w:p w14:paraId="0F0A4BC4" w14:textId="77777777" w:rsidR="00F45509" w:rsidRPr="002B4B26" w:rsidRDefault="00F45509" w:rsidP="008205B4">
            <w:pPr>
              <w:rPr>
                <w:rFonts w:cs="Arial"/>
                <w:szCs w:val="24"/>
              </w:rPr>
            </w:pPr>
          </w:p>
        </w:tc>
      </w:tr>
      <w:tr w:rsidR="00F45509" w:rsidRPr="002B4B26" w14:paraId="2E110135" w14:textId="77777777" w:rsidTr="00FB694D">
        <w:trPr>
          <w:trHeight w:val="298"/>
        </w:trPr>
        <w:tc>
          <w:tcPr>
            <w:tcW w:w="1383" w:type="dxa"/>
            <w:vMerge/>
          </w:tcPr>
          <w:p w14:paraId="7A418E0F" w14:textId="77777777" w:rsidR="00F45509" w:rsidRPr="002B4B26" w:rsidRDefault="00F45509" w:rsidP="008205B4">
            <w:pPr>
              <w:rPr>
                <w:rFonts w:cs="Arial"/>
                <w:szCs w:val="24"/>
              </w:rPr>
            </w:pPr>
          </w:p>
        </w:tc>
        <w:tc>
          <w:tcPr>
            <w:tcW w:w="4023" w:type="dxa"/>
          </w:tcPr>
          <w:p w14:paraId="3FF3CC83" w14:textId="77777777" w:rsidR="00F45509" w:rsidRDefault="00F45509" w:rsidP="008205B4">
            <w:pPr>
              <w:rPr>
                <w:rFonts w:cs="Arial"/>
                <w:szCs w:val="24"/>
              </w:rPr>
            </w:pPr>
            <w:r>
              <w:rPr>
                <w:rFonts w:cs="Arial"/>
                <w:szCs w:val="24"/>
              </w:rPr>
              <w:t>Electrolyte Imbalance</w:t>
            </w:r>
          </w:p>
        </w:tc>
        <w:tc>
          <w:tcPr>
            <w:tcW w:w="3654" w:type="dxa"/>
            <w:gridSpan w:val="2"/>
          </w:tcPr>
          <w:p w14:paraId="06F98932" w14:textId="77777777" w:rsidR="00F45509" w:rsidRPr="002B4B26" w:rsidRDefault="00F45509" w:rsidP="008205B4">
            <w:pPr>
              <w:rPr>
                <w:rFonts w:cs="Arial"/>
                <w:szCs w:val="24"/>
              </w:rPr>
            </w:pPr>
          </w:p>
        </w:tc>
      </w:tr>
      <w:tr w:rsidR="00462789" w:rsidRPr="002B4B26" w14:paraId="3C8045B1" w14:textId="77777777" w:rsidTr="0001388F">
        <w:trPr>
          <w:trHeight w:val="298"/>
        </w:trPr>
        <w:tc>
          <w:tcPr>
            <w:tcW w:w="9060" w:type="dxa"/>
            <w:gridSpan w:val="4"/>
            <w:shd w:val="clear" w:color="auto" w:fill="FFEFFF"/>
          </w:tcPr>
          <w:p w14:paraId="47665965" w14:textId="77777777" w:rsidR="00462789" w:rsidRPr="002B4B26" w:rsidRDefault="00462789" w:rsidP="008205B4">
            <w:pPr>
              <w:rPr>
                <w:rFonts w:cs="Arial"/>
                <w:szCs w:val="24"/>
              </w:rPr>
            </w:pPr>
            <w:r w:rsidRPr="002B4B26">
              <w:rPr>
                <w:rFonts w:cs="Arial"/>
                <w:szCs w:val="24"/>
              </w:rPr>
              <w:t>Clinical stab</w:t>
            </w:r>
            <w:r>
              <w:rPr>
                <w:rFonts w:cs="Arial"/>
                <w:szCs w:val="24"/>
              </w:rPr>
              <w:t>ility</w:t>
            </w:r>
          </w:p>
        </w:tc>
      </w:tr>
      <w:tr w:rsidR="00462789" w:rsidRPr="002B4B26" w14:paraId="439FAA94" w14:textId="77777777" w:rsidTr="00FB694D">
        <w:trPr>
          <w:trHeight w:val="298"/>
        </w:trPr>
        <w:tc>
          <w:tcPr>
            <w:tcW w:w="1383" w:type="dxa"/>
            <w:vMerge w:val="restart"/>
          </w:tcPr>
          <w:p w14:paraId="1FFE7484" w14:textId="77777777" w:rsidR="00462789" w:rsidRPr="002B4B26" w:rsidRDefault="00462789" w:rsidP="008205B4">
            <w:pPr>
              <w:rPr>
                <w:rFonts w:cs="Arial"/>
                <w:szCs w:val="24"/>
              </w:rPr>
            </w:pPr>
          </w:p>
        </w:tc>
        <w:tc>
          <w:tcPr>
            <w:tcW w:w="4023" w:type="dxa"/>
          </w:tcPr>
          <w:p w14:paraId="7FC89DED" w14:textId="77777777" w:rsidR="00462789" w:rsidRPr="002B4B26" w:rsidRDefault="00462789" w:rsidP="008205B4">
            <w:pPr>
              <w:rPr>
                <w:rFonts w:cs="Arial"/>
                <w:szCs w:val="24"/>
              </w:rPr>
            </w:pPr>
            <w:r>
              <w:rPr>
                <w:rFonts w:cs="Arial"/>
                <w:szCs w:val="24"/>
              </w:rPr>
              <w:t>RR</w:t>
            </w:r>
          </w:p>
        </w:tc>
        <w:tc>
          <w:tcPr>
            <w:tcW w:w="3654" w:type="dxa"/>
            <w:gridSpan w:val="2"/>
          </w:tcPr>
          <w:p w14:paraId="4E5F9338" w14:textId="77777777" w:rsidR="00462789" w:rsidRPr="002B4B26" w:rsidRDefault="00462789" w:rsidP="008205B4">
            <w:pPr>
              <w:rPr>
                <w:rFonts w:cs="Arial"/>
                <w:szCs w:val="24"/>
              </w:rPr>
            </w:pPr>
          </w:p>
        </w:tc>
      </w:tr>
      <w:tr w:rsidR="00462789" w:rsidRPr="002B4B26" w14:paraId="13BCA5A4" w14:textId="77777777" w:rsidTr="00FB694D">
        <w:trPr>
          <w:trHeight w:val="298"/>
        </w:trPr>
        <w:tc>
          <w:tcPr>
            <w:tcW w:w="1383" w:type="dxa"/>
            <w:vMerge/>
          </w:tcPr>
          <w:p w14:paraId="5F5FC46F" w14:textId="77777777" w:rsidR="00462789" w:rsidRPr="002B4B26" w:rsidRDefault="00462789" w:rsidP="008205B4">
            <w:pPr>
              <w:rPr>
                <w:rFonts w:cs="Arial"/>
                <w:szCs w:val="24"/>
              </w:rPr>
            </w:pPr>
          </w:p>
        </w:tc>
        <w:tc>
          <w:tcPr>
            <w:tcW w:w="4023" w:type="dxa"/>
          </w:tcPr>
          <w:p w14:paraId="77FFB9E7" w14:textId="77777777" w:rsidR="00462789" w:rsidRPr="002B4B26" w:rsidRDefault="00462789" w:rsidP="008205B4">
            <w:pPr>
              <w:rPr>
                <w:rFonts w:cs="Arial"/>
                <w:szCs w:val="24"/>
              </w:rPr>
            </w:pPr>
            <w:r>
              <w:rPr>
                <w:rFonts w:cs="Arial"/>
                <w:szCs w:val="24"/>
              </w:rPr>
              <w:t>SpO2</w:t>
            </w:r>
          </w:p>
        </w:tc>
        <w:tc>
          <w:tcPr>
            <w:tcW w:w="3654" w:type="dxa"/>
            <w:gridSpan w:val="2"/>
          </w:tcPr>
          <w:p w14:paraId="288BBC1E" w14:textId="77777777" w:rsidR="00462789" w:rsidRPr="002B4B26" w:rsidRDefault="00462789" w:rsidP="008205B4">
            <w:pPr>
              <w:rPr>
                <w:rFonts w:cs="Arial"/>
                <w:szCs w:val="24"/>
              </w:rPr>
            </w:pPr>
          </w:p>
        </w:tc>
      </w:tr>
      <w:tr w:rsidR="00462789" w:rsidRPr="002B4B26" w14:paraId="2148F06E" w14:textId="77777777" w:rsidTr="00FB694D">
        <w:trPr>
          <w:trHeight w:val="298"/>
        </w:trPr>
        <w:tc>
          <w:tcPr>
            <w:tcW w:w="1383" w:type="dxa"/>
            <w:vMerge/>
          </w:tcPr>
          <w:p w14:paraId="472B36C8" w14:textId="77777777" w:rsidR="00462789" w:rsidRPr="002B4B26" w:rsidRDefault="00462789" w:rsidP="008205B4">
            <w:pPr>
              <w:rPr>
                <w:rFonts w:cs="Arial"/>
                <w:szCs w:val="24"/>
              </w:rPr>
            </w:pPr>
          </w:p>
        </w:tc>
        <w:tc>
          <w:tcPr>
            <w:tcW w:w="4023" w:type="dxa"/>
          </w:tcPr>
          <w:p w14:paraId="5FE164F4" w14:textId="77777777" w:rsidR="00462789" w:rsidRPr="002B4B26" w:rsidRDefault="00462789" w:rsidP="008205B4">
            <w:pPr>
              <w:rPr>
                <w:rFonts w:cs="Arial"/>
                <w:szCs w:val="24"/>
              </w:rPr>
            </w:pPr>
            <w:r>
              <w:rPr>
                <w:rFonts w:cs="Arial"/>
                <w:szCs w:val="24"/>
              </w:rPr>
              <w:t>T</w:t>
            </w:r>
          </w:p>
        </w:tc>
        <w:tc>
          <w:tcPr>
            <w:tcW w:w="3654" w:type="dxa"/>
            <w:gridSpan w:val="2"/>
          </w:tcPr>
          <w:p w14:paraId="64EADDB9" w14:textId="77777777" w:rsidR="00462789" w:rsidRPr="002B4B26" w:rsidRDefault="00462789" w:rsidP="008205B4">
            <w:pPr>
              <w:rPr>
                <w:rFonts w:cs="Arial"/>
                <w:szCs w:val="24"/>
              </w:rPr>
            </w:pPr>
          </w:p>
        </w:tc>
      </w:tr>
      <w:tr w:rsidR="00462789" w:rsidRPr="002B4B26" w14:paraId="4FBD9CDC" w14:textId="77777777" w:rsidTr="00FB694D">
        <w:trPr>
          <w:trHeight w:val="298"/>
        </w:trPr>
        <w:tc>
          <w:tcPr>
            <w:tcW w:w="1383" w:type="dxa"/>
            <w:vMerge/>
          </w:tcPr>
          <w:p w14:paraId="063C66DC" w14:textId="77777777" w:rsidR="00462789" w:rsidRPr="002B4B26" w:rsidRDefault="00462789" w:rsidP="008205B4">
            <w:pPr>
              <w:rPr>
                <w:rFonts w:cs="Arial"/>
                <w:szCs w:val="24"/>
              </w:rPr>
            </w:pPr>
          </w:p>
        </w:tc>
        <w:tc>
          <w:tcPr>
            <w:tcW w:w="4023" w:type="dxa"/>
          </w:tcPr>
          <w:p w14:paraId="5642B08E" w14:textId="77777777" w:rsidR="00462789" w:rsidRPr="002B4B26" w:rsidRDefault="00462789" w:rsidP="008205B4">
            <w:pPr>
              <w:rPr>
                <w:rFonts w:cs="Arial"/>
                <w:szCs w:val="24"/>
              </w:rPr>
            </w:pPr>
            <w:r>
              <w:rPr>
                <w:rFonts w:cs="Arial"/>
                <w:szCs w:val="24"/>
              </w:rPr>
              <w:t>HR</w:t>
            </w:r>
          </w:p>
        </w:tc>
        <w:tc>
          <w:tcPr>
            <w:tcW w:w="3654" w:type="dxa"/>
            <w:gridSpan w:val="2"/>
          </w:tcPr>
          <w:p w14:paraId="577C1EFC" w14:textId="77777777" w:rsidR="00462789" w:rsidRPr="002B4B26" w:rsidRDefault="00462789" w:rsidP="008205B4">
            <w:pPr>
              <w:rPr>
                <w:rFonts w:cs="Arial"/>
                <w:szCs w:val="24"/>
              </w:rPr>
            </w:pPr>
          </w:p>
        </w:tc>
      </w:tr>
      <w:tr w:rsidR="00462789" w:rsidRPr="002B4B26" w14:paraId="2D6770FB" w14:textId="77777777" w:rsidTr="00FB694D">
        <w:trPr>
          <w:trHeight w:val="298"/>
        </w:trPr>
        <w:tc>
          <w:tcPr>
            <w:tcW w:w="1383" w:type="dxa"/>
            <w:vMerge/>
          </w:tcPr>
          <w:p w14:paraId="383792AB" w14:textId="77777777" w:rsidR="00462789" w:rsidRPr="002B4B26" w:rsidRDefault="00462789" w:rsidP="008205B4">
            <w:pPr>
              <w:rPr>
                <w:rFonts w:cs="Arial"/>
                <w:szCs w:val="24"/>
              </w:rPr>
            </w:pPr>
          </w:p>
        </w:tc>
        <w:tc>
          <w:tcPr>
            <w:tcW w:w="4023" w:type="dxa"/>
          </w:tcPr>
          <w:p w14:paraId="47026F6E" w14:textId="77777777" w:rsidR="00462789" w:rsidRPr="002B4B26" w:rsidRDefault="00462789" w:rsidP="008205B4">
            <w:pPr>
              <w:rPr>
                <w:rFonts w:cs="Arial"/>
                <w:szCs w:val="24"/>
              </w:rPr>
            </w:pPr>
            <w:r>
              <w:rPr>
                <w:rFonts w:cs="Arial"/>
                <w:szCs w:val="24"/>
              </w:rPr>
              <w:t>BP</w:t>
            </w:r>
          </w:p>
        </w:tc>
        <w:tc>
          <w:tcPr>
            <w:tcW w:w="3654" w:type="dxa"/>
            <w:gridSpan w:val="2"/>
          </w:tcPr>
          <w:p w14:paraId="4379A979" w14:textId="77777777" w:rsidR="00462789" w:rsidRPr="002B4B26" w:rsidRDefault="00462789" w:rsidP="008205B4">
            <w:pPr>
              <w:rPr>
                <w:rFonts w:cs="Arial"/>
                <w:szCs w:val="24"/>
              </w:rPr>
            </w:pPr>
          </w:p>
        </w:tc>
      </w:tr>
      <w:tr w:rsidR="00462789" w:rsidRPr="002B4B26" w14:paraId="0E13816F" w14:textId="77777777" w:rsidTr="0001388F">
        <w:trPr>
          <w:trHeight w:val="283"/>
        </w:trPr>
        <w:tc>
          <w:tcPr>
            <w:tcW w:w="9060" w:type="dxa"/>
            <w:gridSpan w:val="4"/>
            <w:shd w:val="clear" w:color="auto" w:fill="FFEFFF"/>
          </w:tcPr>
          <w:p w14:paraId="746627D8" w14:textId="77777777" w:rsidR="00462789" w:rsidRPr="002B4B26" w:rsidRDefault="00462789" w:rsidP="008205B4">
            <w:pPr>
              <w:rPr>
                <w:rFonts w:cs="Arial"/>
                <w:szCs w:val="24"/>
              </w:rPr>
            </w:pPr>
            <w:r>
              <w:rPr>
                <w:rFonts w:cs="Arial"/>
                <w:szCs w:val="24"/>
              </w:rPr>
              <w:t>Biochemical stability</w:t>
            </w:r>
          </w:p>
        </w:tc>
      </w:tr>
      <w:tr w:rsidR="00462789" w:rsidRPr="002B4B26" w14:paraId="505BADBC" w14:textId="77777777" w:rsidTr="00FB694D">
        <w:trPr>
          <w:trHeight w:val="298"/>
        </w:trPr>
        <w:tc>
          <w:tcPr>
            <w:tcW w:w="1383" w:type="dxa"/>
            <w:vMerge w:val="restart"/>
          </w:tcPr>
          <w:p w14:paraId="1D592B76" w14:textId="77777777" w:rsidR="00462789" w:rsidRPr="002B4B26" w:rsidRDefault="00462789" w:rsidP="008205B4">
            <w:pPr>
              <w:rPr>
                <w:rFonts w:cs="Arial"/>
                <w:szCs w:val="24"/>
              </w:rPr>
            </w:pPr>
          </w:p>
        </w:tc>
        <w:tc>
          <w:tcPr>
            <w:tcW w:w="4023" w:type="dxa"/>
          </w:tcPr>
          <w:p w14:paraId="00E500D3" w14:textId="77777777" w:rsidR="00462789" w:rsidRPr="002B4B26" w:rsidRDefault="00462789" w:rsidP="008205B4">
            <w:pPr>
              <w:rPr>
                <w:rFonts w:cs="Arial"/>
                <w:szCs w:val="24"/>
              </w:rPr>
            </w:pPr>
            <w:r>
              <w:rPr>
                <w:rFonts w:cs="Arial"/>
                <w:szCs w:val="24"/>
              </w:rPr>
              <w:t>Na</w:t>
            </w:r>
          </w:p>
        </w:tc>
        <w:tc>
          <w:tcPr>
            <w:tcW w:w="3654" w:type="dxa"/>
            <w:gridSpan w:val="2"/>
          </w:tcPr>
          <w:p w14:paraId="6C5D3F8B" w14:textId="77777777" w:rsidR="00462789" w:rsidRPr="002B4B26" w:rsidRDefault="00462789" w:rsidP="008205B4">
            <w:pPr>
              <w:rPr>
                <w:rFonts w:cs="Arial"/>
                <w:szCs w:val="24"/>
              </w:rPr>
            </w:pPr>
          </w:p>
        </w:tc>
      </w:tr>
      <w:tr w:rsidR="00462789" w:rsidRPr="002B4B26" w14:paraId="4456A7FC" w14:textId="77777777" w:rsidTr="00FB694D">
        <w:trPr>
          <w:trHeight w:val="298"/>
        </w:trPr>
        <w:tc>
          <w:tcPr>
            <w:tcW w:w="1383" w:type="dxa"/>
            <w:vMerge/>
          </w:tcPr>
          <w:p w14:paraId="6824DC70" w14:textId="77777777" w:rsidR="00462789" w:rsidRPr="002B4B26" w:rsidRDefault="00462789" w:rsidP="008205B4">
            <w:pPr>
              <w:rPr>
                <w:rFonts w:cs="Arial"/>
                <w:szCs w:val="24"/>
              </w:rPr>
            </w:pPr>
          </w:p>
        </w:tc>
        <w:tc>
          <w:tcPr>
            <w:tcW w:w="4023" w:type="dxa"/>
          </w:tcPr>
          <w:p w14:paraId="6929980A" w14:textId="77777777" w:rsidR="00462789" w:rsidRPr="002B4B26" w:rsidRDefault="00462789" w:rsidP="008205B4">
            <w:pPr>
              <w:rPr>
                <w:rFonts w:cs="Arial"/>
                <w:szCs w:val="24"/>
              </w:rPr>
            </w:pPr>
            <w:r>
              <w:rPr>
                <w:rFonts w:cs="Arial"/>
                <w:szCs w:val="24"/>
              </w:rPr>
              <w:t>K</w:t>
            </w:r>
          </w:p>
        </w:tc>
        <w:tc>
          <w:tcPr>
            <w:tcW w:w="3654" w:type="dxa"/>
            <w:gridSpan w:val="2"/>
          </w:tcPr>
          <w:p w14:paraId="7BBAB249" w14:textId="77777777" w:rsidR="00462789" w:rsidRPr="002B4B26" w:rsidRDefault="00462789" w:rsidP="008205B4">
            <w:pPr>
              <w:rPr>
                <w:rFonts w:cs="Arial"/>
                <w:szCs w:val="24"/>
              </w:rPr>
            </w:pPr>
          </w:p>
        </w:tc>
      </w:tr>
      <w:tr w:rsidR="008A4291" w:rsidRPr="002B4B26" w14:paraId="1D7364BA" w14:textId="77777777" w:rsidTr="00FB694D">
        <w:trPr>
          <w:trHeight w:val="298"/>
        </w:trPr>
        <w:tc>
          <w:tcPr>
            <w:tcW w:w="1383" w:type="dxa"/>
            <w:vMerge/>
          </w:tcPr>
          <w:p w14:paraId="3D1B934D" w14:textId="77777777" w:rsidR="008A4291" w:rsidRPr="002B4B26" w:rsidRDefault="008A4291" w:rsidP="008205B4">
            <w:pPr>
              <w:rPr>
                <w:rFonts w:cs="Arial"/>
                <w:szCs w:val="24"/>
              </w:rPr>
            </w:pPr>
          </w:p>
        </w:tc>
        <w:tc>
          <w:tcPr>
            <w:tcW w:w="4023" w:type="dxa"/>
          </w:tcPr>
          <w:p w14:paraId="65EEB741" w14:textId="6BE5FF33" w:rsidR="008A4291" w:rsidRDefault="008A4291" w:rsidP="008205B4">
            <w:pPr>
              <w:rPr>
                <w:rFonts w:cs="Arial"/>
                <w:szCs w:val="24"/>
              </w:rPr>
            </w:pPr>
            <w:r>
              <w:rPr>
                <w:rFonts w:cs="Arial"/>
                <w:szCs w:val="24"/>
              </w:rPr>
              <w:t>Mg</w:t>
            </w:r>
          </w:p>
        </w:tc>
        <w:tc>
          <w:tcPr>
            <w:tcW w:w="3654" w:type="dxa"/>
            <w:gridSpan w:val="2"/>
          </w:tcPr>
          <w:p w14:paraId="11F920FE" w14:textId="77777777" w:rsidR="008A4291" w:rsidRPr="002B4B26" w:rsidRDefault="008A4291" w:rsidP="008205B4">
            <w:pPr>
              <w:rPr>
                <w:rFonts w:cs="Arial"/>
                <w:szCs w:val="24"/>
              </w:rPr>
            </w:pPr>
          </w:p>
        </w:tc>
      </w:tr>
      <w:tr w:rsidR="008A4291" w:rsidRPr="002B4B26" w14:paraId="5FD6D9F8" w14:textId="77777777" w:rsidTr="00FB694D">
        <w:trPr>
          <w:trHeight w:val="298"/>
        </w:trPr>
        <w:tc>
          <w:tcPr>
            <w:tcW w:w="1383" w:type="dxa"/>
            <w:vMerge/>
          </w:tcPr>
          <w:p w14:paraId="54D3722B" w14:textId="77777777" w:rsidR="008A4291" w:rsidRPr="002B4B26" w:rsidRDefault="008A4291" w:rsidP="008205B4">
            <w:pPr>
              <w:rPr>
                <w:rFonts w:cs="Arial"/>
                <w:szCs w:val="24"/>
              </w:rPr>
            </w:pPr>
          </w:p>
        </w:tc>
        <w:tc>
          <w:tcPr>
            <w:tcW w:w="4023" w:type="dxa"/>
          </w:tcPr>
          <w:p w14:paraId="4ECFCD23" w14:textId="242BCFBD" w:rsidR="008A4291" w:rsidRDefault="008A4291" w:rsidP="008205B4">
            <w:pPr>
              <w:rPr>
                <w:rFonts w:cs="Arial"/>
                <w:szCs w:val="24"/>
              </w:rPr>
            </w:pPr>
            <w:r>
              <w:rPr>
                <w:rFonts w:cs="Arial"/>
                <w:szCs w:val="24"/>
              </w:rPr>
              <w:t>Phosphate</w:t>
            </w:r>
          </w:p>
        </w:tc>
        <w:tc>
          <w:tcPr>
            <w:tcW w:w="3654" w:type="dxa"/>
            <w:gridSpan w:val="2"/>
          </w:tcPr>
          <w:p w14:paraId="14FD98AD" w14:textId="77777777" w:rsidR="008A4291" w:rsidRPr="002B4B26" w:rsidRDefault="008A4291" w:rsidP="008205B4">
            <w:pPr>
              <w:rPr>
                <w:rFonts w:cs="Arial"/>
                <w:szCs w:val="24"/>
              </w:rPr>
            </w:pPr>
          </w:p>
        </w:tc>
      </w:tr>
      <w:tr w:rsidR="00462789" w:rsidRPr="002B4B26" w14:paraId="641DF70B" w14:textId="77777777" w:rsidTr="00FB694D">
        <w:trPr>
          <w:trHeight w:val="298"/>
        </w:trPr>
        <w:tc>
          <w:tcPr>
            <w:tcW w:w="1383" w:type="dxa"/>
            <w:vMerge/>
          </w:tcPr>
          <w:p w14:paraId="4B7745FD" w14:textId="77777777" w:rsidR="00462789" w:rsidRPr="002B4B26" w:rsidRDefault="00462789" w:rsidP="008205B4">
            <w:pPr>
              <w:rPr>
                <w:rFonts w:cs="Arial"/>
                <w:szCs w:val="24"/>
              </w:rPr>
            </w:pPr>
          </w:p>
        </w:tc>
        <w:tc>
          <w:tcPr>
            <w:tcW w:w="4023" w:type="dxa"/>
          </w:tcPr>
          <w:p w14:paraId="39C4D3C7" w14:textId="77777777" w:rsidR="00462789" w:rsidRPr="002B4B26" w:rsidRDefault="00462789" w:rsidP="008205B4">
            <w:pPr>
              <w:rPr>
                <w:rFonts w:cs="Arial"/>
                <w:szCs w:val="24"/>
              </w:rPr>
            </w:pPr>
            <w:r>
              <w:rPr>
                <w:rFonts w:cs="Arial"/>
                <w:szCs w:val="24"/>
              </w:rPr>
              <w:t>Urea</w:t>
            </w:r>
          </w:p>
        </w:tc>
        <w:tc>
          <w:tcPr>
            <w:tcW w:w="3654" w:type="dxa"/>
            <w:gridSpan w:val="2"/>
          </w:tcPr>
          <w:p w14:paraId="4EFD3D1A" w14:textId="77777777" w:rsidR="00462789" w:rsidRPr="002B4B26" w:rsidRDefault="00462789" w:rsidP="008205B4">
            <w:pPr>
              <w:rPr>
                <w:rFonts w:cs="Arial"/>
                <w:szCs w:val="24"/>
              </w:rPr>
            </w:pPr>
          </w:p>
        </w:tc>
      </w:tr>
      <w:tr w:rsidR="00462789" w:rsidRPr="002B4B26" w14:paraId="049FCCBC" w14:textId="77777777" w:rsidTr="00FB694D">
        <w:trPr>
          <w:trHeight w:val="298"/>
        </w:trPr>
        <w:tc>
          <w:tcPr>
            <w:tcW w:w="1383" w:type="dxa"/>
            <w:vMerge/>
          </w:tcPr>
          <w:p w14:paraId="6C9B50B6" w14:textId="77777777" w:rsidR="00462789" w:rsidRPr="002B4B26" w:rsidRDefault="00462789" w:rsidP="008205B4">
            <w:pPr>
              <w:rPr>
                <w:rFonts w:cs="Arial"/>
                <w:szCs w:val="24"/>
              </w:rPr>
            </w:pPr>
          </w:p>
        </w:tc>
        <w:tc>
          <w:tcPr>
            <w:tcW w:w="4023" w:type="dxa"/>
          </w:tcPr>
          <w:p w14:paraId="1D744FA7" w14:textId="77777777" w:rsidR="00462789" w:rsidRPr="002B4B26" w:rsidRDefault="00462789" w:rsidP="008205B4">
            <w:pPr>
              <w:rPr>
                <w:rFonts w:cs="Arial"/>
                <w:szCs w:val="24"/>
              </w:rPr>
            </w:pPr>
            <w:proofErr w:type="spellStart"/>
            <w:r>
              <w:rPr>
                <w:rFonts w:cs="Arial"/>
                <w:szCs w:val="24"/>
              </w:rPr>
              <w:t>Creat</w:t>
            </w:r>
            <w:proofErr w:type="spellEnd"/>
          </w:p>
        </w:tc>
        <w:tc>
          <w:tcPr>
            <w:tcW w:w="3654" w:type="dxa"/>
            <w:gridSpan w:val="2"/>
          </w:tcPr>
          <w:p w14:paraId="12208520" w14:textId="77777777" w:rsidR="00462789" w:rsidRPr="002B4B26" w:rsidRDefault="00462789" w:rsidP="008205B4">
            <w:pPr>
              <w:rPr>
                <w:rFonts w:cs="Arial"/>
                <w:szCs w:val="24"/>
              </w:rPr>
            </w:pPr>
          </w:p>
        </w:tc>
      </w:tr>
      <w:tr w:rsidR="00045BCC" w:rsidRPr="002B4B26" w14:paraId="73FB4DE7" w14:textId="77777777" w:rsidTr="00045BCC">
        <w:trPr>
          <w:trHeight w:val="298"/>
        </w:trPr>
        <w:tc>
          <w:tcPr>
            <w:tcW w:w="9060" w:type="dxa"/>
            <w:gridSpan w:val="4"/>
            <w:shd w:val="clear" w:color="auto" w:fill="FFCCFF"/>
          </w:tcPr>
          <w:p w14:paraId="4DE20C36" w14:textId="171AFC36" w:rsidR="00045BCC" w:rsidRPr="002B4B26" w:rsidRDefault="00045BCC" w:rsidP="008205B4">
            <w:pPr>
              <w:rPr>
                <w:rFonts w:cs="Arial"/>
                <w:szCs w:val="24"/>
              </w:rPr>
            </w:pPr>
            <w:r>
              <w:rPr>
                <w:rFonts w:cs="Arial"/>
                <w:szCs w:val="24"/>
              </w:rPr>
              <w:t>Weight</w:t>
            </w:r>
          </w:p>
        </w:tc>
      </w:tr>
      <w:tr w:rsidR="00045BCC" w:rsidRPr="002B4B26" w14:paraId="2452B08B" w14:textId="77777777" w:rsidTr="00FB694D">
        <w:trPr>
          <w:trHeight w:val="298"/>
        </w:trPr>
        <w:tc>
          <w:tcPr>
            <w:tcW w:w="1383" w:type="dxa"/>
            <w:vMerge w:val="restart"/>
          </w:tcPr>
          <w:p w14:paraId="758DAA6E" w14:textId="77777777" w:rsidR="00045BCC" w:rsidRPr="002B4B26" w:rsidRDefault="00045BCC" w:rsidP="00045BCC">
            <w:pPr>
              <w:rPr>
                <w:rFonts w:cs="Arial"/>
                <w:szCs w:val="24"/>
              </w:rPr>
            </w:pPr>
          </w:p>
        </w:tc>
        <w:tc>
          <w:tcPr>
            <w:tcW w:w="4023" w:type="dxa"/>
          </w:tcPr>
          <w:p w14:paraId="56D027C2" w14:textId="3E37537B" w:rsidR="00045BCC" w:rsidRDefault="00045BCC" w:rsidP="00045BCC">
            <w:pPr>
              <w:rPr>
                <w:rFonts w:cs="Arial"/>
                <w:szCs w:val="24"/>
              </w:rPr>
            </w:pPr>
            <w:r>
              <w:rPr>
                <w:rFonts w:cs="Arial"/>
                <w:szCs w:val="24"/>
              </w:rPr>
              <w:t xml:space="preserve">Pre-pregnancy </w:t>
            </w:r>
          </w:p>
        </w:tc>
        <w:tc>
          <w:tcPr>
            <w:tcW w:w="3654" w:type="dxa"/>
            <w:gridSpan w:val="2"/>
          </w:tcPr>
          <w:p w14:paraId="0A92299A" w14:textId="77777777" w:rsidR="00045BCC" w:rsidRPr="002B4B26" w:rsidRDefault="00045BCC" w:rsidP="00045BCC">
            <w:pPr>
              <w:rPr>
                <w:rFonts w:cs="Arial"/>
                <w:szCs w:val="24"/>
              </w:rPr>
            </w:pPr>
          </w:p>
        </w:tc>
      </w:tr>
      <w:tr w:rsidR="00045BCC" w:rsidRPr="002B4B26" w14:paraId="7A4BCD08" w14:textId="77777777" w:rsidTr="00FB694D">
        <w:trPr>
          <w:trHeight w:val="298"/>
        </w:trPr>
        <w:tc>
          <w:tcPr>
            <w:tcW w:w="1383" w:type="dxa"/>
            <w:vMerge/>
          </w:tcPr>
          <w:p w14:paraId="5B40CC2A" w14:textId="77777777" w:rsidR="00045BCC" w:rsidRPr="002B4B26" w:rsidRDefault="00045BCC" w:rsidP="00045BCC">
            <w:pPr>
              <w:rPr>
                <w:rFonts w:cs="Arial"/>
                <w:szCs w:val="24"/>
              </w:rPr>
            </w:pPr>
          </w:p>
        </w:tc>
        <w:tc>
          <w:tcPr>
            <w:tcW w:w="4023" w:type="dxa"/>
          </w:tcPr>
          <w:p w14:paraId="5FE544D7" w14:textId="6B8A6A33" w:rsidR="00045BCC" w:rsidRDefault="00045BCC" w:rsidP="00045BCC">
            <w:pPr>
              <w:rPr>
                <w:rFonts w:cs="Arial"/>
                <w:szCs w:val="24"/>
              </w:rPr>
            </w:pPr>
            <w:r>
              <w:rPr>
                <w:rFonts w:cs="Arial"/>
                <w:szCs w:val="24"/>
              </w:rPr>
              <w:t>Current</w:t>
            </w:r>
          </w:p>
        </w:tc>
        <w:tc>
          <w:tcPr>
            <w:tcW w:w="3654" w:type="dxa"/>
            <w:gridSpan w:val="2"/>
          </w:tcPr>
          <w:p w14:paraId="798EE749" w14:textId="77777777" w:rsidR="00045BCC" w:rsidRPr="002B4B26" w:rsidRDefault="00045BCC" w:rsidP="00045BCC">
            <w:pPr>
              <w:rPr>
                <w:rFonts w:cs="Arial"/>
                <w:szCs w:val="24"/>
              </w:rPr>
            </w:pPr>
          </w:p>
        </w:tc>
      </w:tr>
      <w:tr w:rsidR="00045BCC" w:rsidRPr="002B4B26" w14:paraId="2188653F" w14:textId="77777777" w:rsidTr="00045BCC">
        <w:trPr>
          <w:trHeight w:val="298"/>
        </w:trPr>
        <w:tc>
          <w:tcPr>
            <w:tcW w:w="9060" w:type="dxa"/>
            <w:gridSpan w:val="4"/>
            <w:shd w:val="clear" w:color="auto" w:fill="FFCCFF"/>
          </w:tcPr>
          <w:p w14:paraId="1F97E712" w14:textId="0BCEE71D" w:rsidR="00045BCC" w:rsidRPr="002B4B26" w:rsidRDefault="00045BCC" w:rsidP="00045BCC">
            <w:pPr>
              <w:rPr>
                <w:rFonts w:cs="Arial"/>
                <w:szCs w:val="24"/>
              </w:rPr>
            </w:pPr>
            <w:r>
              <w:rPr>
                <w:rFonts w:cs="Arial"/>
                <w:szCs w:val="24"/>
              </w:rPr>
              <w:t>Antiemetics Trialled (include dose, route and frequency)</w:t>
            </w:r>
          </w:p>
        </w:tc>
      </w:tr>
      <w:tr w:rsidR="00045BCC" w:rsidRPr="002B4B26" w14:paraId="69EDD9DC" w14:textId="77777777" w:rsidTr="00FB694D">
        <w:trPr>
          <w:trHeight w:val="298"/>
        </w:trPr>
        <w:tc>
          <w:tcPr>
            <w:tcW w:w="1383" w:type="dxa"/>
            <w:vMerge w:val="restart"/>
          </w:tcPr>
          <w:p w14:paraId="595A3497" w14:textId="77777777" w:rsidR="00045BCC" w:rsidRPr="002B4B26" w:rsidRDefault="00045BCC" w:rsidP="00045BCC">
            <w:pPr>
              <w:rPr>
                <w:rFonts w:cs="Arial"/>
                <w:szCs w:val="24"/>
              </w:rPr>
            </w:pPr>
          </w:p>
        </w:tc>
        <w:tc>
          <w:tcPr>
            <w:tcW w:w="4023" w:type="dxa"/>
          </w:tcPr>
          <w:p w14:paraId="74A07685" w14:textId="19D563C9" w:rsidR="00045BCC" w:rsidRDefault="00045BCC" w:rsidP="00045BCC">
            <w:pPr>
              <w:rPr>
                <w:rFonts w:cs="Arial"/>
                <w:szCs w:val="24"/>
              </w:rPr>
            </w:pPr>
            <w:r w:rsidRPr="00B074EA">
              <w:t xml:space="preserve">Ginger   </w:t>
            </w:r>
          </w:p>
        </w:tc>
        <w:tc>
          <w:tcPr>
            <w:tcW w:w="3654" w:type="dxa"/>
            <w:gridSpan w:val="2"/>
          </w:tcPr>
          <w:p w14:paraId="4AEFBB36" w14:textId="77777777" w:rsidR="00045BCC" w:rsidRPr="002B4B26" w:rsidRDefault="00045BCC" w:rsidP="00045BCC">
            <w:pPr>
              <w:rPr>
                <w:rFonts w:cs="Arial"/>
                <w:szCs w:val="24"/>
              </w:rPr>
            </w:pPr>
          </w:p>
        </w:tc>
      </w:tr>
      <w:tr w:rsidR="00045BCC" w:rsidRPr="002B4B26" w14:paraId="1CD440C6" w14:textId="77777777" w:rsidTr="00FB694D">
        <w:trPr>
          <w:trHeight w:val="298"/>
        </w:trPr>
        <w:tc>
          <w:tcPr>
            <w:tcW w:w="1383" w:type="dxa"/>
            <w:vMerge/>
          </w:tcPr>
          <w:p w14:paraId="4AAD98BF" w14:textId="77777777" w:rsidR="00045BCC" w:rsidRPr="002B4B26" w:rsidRDefault="00045BCC" w:rsidP="00045BCC">
            <w:pPr>
              <w:rPr>
                <w:rFonts w:cs="Arial"/>
                <w:szCs w:val="24"/>
              </w:rPr>
            </w:pPr>
          </w:p>
        </w:tc>
        <w:tc>
          <w:tcPr>
            <w:tcW w:w="4023" w:type="dxa"/>
          </w:tcPr>
          <w:p w14:paraId="00C9AD8F" w14:textId="2A61C9A6" w:rsidR="00045BCC" w:rsidRDefault="00045BCC" w:rsidP="00045BCC">
            <w:pPr>
              <w:rPr>
                <w:rFonts w:cs="Arial"/>
                <w:szCs w:val="24"/>
              </w:rPr>
            </w:pPr>
            <w:r w:rsidRPr="00B074EA">
              <w:t xml:space="preserve">Pyridoxine </w:t>
            </w:r>
          </w:p>
        </w:tc>
        <w:tc>
          <w:tcPr>
            <w:tcW w:w="3654" w:type="dxa"/>
            <w:gridSpan w:val="2"/>
          </w:tcPr>
          <w:p w14:paraId="5413F614" w14:textId="77777777" w:rsidR="00045BCC" w:rsidRPr="002B4B26" w:rsidRDefault="00045BCC" w:rsidP="00045BCC">
            <w:pPr>
              <w:rPr>
                <w:rFonts w:cs="Arial"/>
                <w:szCs w:val="24"/>
              </w:rPr>
            </w:pPr>
          </w:p>
        </w:tc>
      </w:tr>
      <w:tr w:rsidR="00045BCC" w:rsidRPr="002B4B26" w14:paraId="656D6C39" w14:textId="77777777" w:rsidTr="00FB694D">
        <w:trPr>
          <w:trHeight w:val="298"/>
        </w:trPr>
        <w:tc>
          <w:tcPr>
            <w:tcW w:w="1383" w:type="dxa"/>
            <w:vMerge/>
          </w:tcPr>
          <w:p w14:paraId="54499E5D" w14:textId="77777777" w:rsidR="00045BCC" w:rsidRPr="002B4B26" w:rsidRDefault="00045BCC" w:rsidP="00045BCC">
            <w:pPr>
              <w:rPr>
                <w:rFonts w:cs="Arial"/>
                <w:szCs w:val="24"/>
              </w:rPr>
            </w:pPr>
          </w:p>
        </w:tc>
        <w:tc>
          <w:tcPr>
            <w:tcW w:w="4023" w:type="dxa"/>
          </w:tcPr>
          <w:p w14:paraId="274D3B77" w14:textId="04819E8E" w:rsidR="00045BCC" w:rsidRDefault="00045BCC" w:rsidP="00045BCC">
            <w:pPr>
              <w:rPr>
                <w:rFonts w:cs="Arial"/>
                <w:szCs w:val="24"/>
              </w:rPr>
            </w:pPr>
            <w:r w:rsidRPr="00B074EA">
              <w:t>Doxylamine</w:t>
            </w:r>
          </w:p>
        </w:tc>
        <w:tc>
          <w:tcPr>
            <w:tcW w:w="3654" w:type="dxa"/>
            <w:gridSpan w:val="2"/>
          </w:tcPr>
          <w:p w14:paraId="58EF0A5D" w14:textId="77777777" w:rsidR="00045BCC" w:rsidRPr="002B4B26" w:rsidRDefault="00045BCC" w:rsidP="00045BCC">
            <w:pPr>
              <w:rPr>
                <w:rFonts w:cs="Arial"/>
                <w:szCs w:val="24"/>
              </w:rPr>
            </w:pPr>
          </w:p>
        </w:tc>
      </w:tr>
      <w:tr w:rsidR="00045BCC" w:rsidRPr="002B4B26" w14:paraId="38A388A8" w14:textId="77777777" w:rsidTr="00FB694D">
        <w:trPr>
          <w:trHeight w:val="298"/>
        </w:trPr>
        <w:tc>
          <w:tcPr>
            <w:tcW w:w="1383" w:type="dxa"/>
            <w:vMerge/>
          </w:tcPr>
          <w:p w14:paraId="6DFD4746" w14:textId="77777777" w:rsidR="00045BCC" w:rsidRPr="002B4B26" w:rsidRDefault="00045BCC" w:rsidP="00045BCC">
            <w:pPr>
              <w:rPr>
                <w:rFonts w:cs="Arial"/>
                <w:szCs w:val="24"/>
              </w:rPr>
            </w:pPr>
          </w:p>
        </w:tc>
        <w:tc>
          <w:tcPr>
            <w:tcW w:w="4023" w:type="dxa"/>
          </w:tcPr>
          <w:p w14:paraId="28A42F62" w14:textId="7BAC585E" w:rsidR="00045BCC" w:rsidRDefault="00045BCC" w:rsidP="00045BCC">
            <w:pPr>
              <w:rPr>
                <w:rFonts w:cs="Arial"/>
                <w:szCs w:val="24"/>
              </w:rPr>
            </w:pPr>
            <w:r w:rsidRPr="00B074EA">
              <w:t xml:space="preserve">Promethazine </w:t>
            </w:r>
          </w:p>
        </w:tc>
        <w:tc>
          <w:tcPr>
            <w:tcW w:w="3654" w:type="dxa"/>
            <w:gridSpan w:val="2"/>
          </w:tcPr>
          <w:p w14:paraId="3DBA8C42" w14:textId="77777777" w:rsidR="00045BCC" w:rsidRPr="002B4B26" w:rsidRDefault="00045BCC" w:rsidP="00045BCC">
            <w:pPr>
              <w:rPr>
                <w:rFonts w:cs="Arial"/>
                <w:szCs w:val="24"/>
              </w:rPr>
            </w:pPr>
          </w:p>
        </w:tc>
      </w:tr>
      <w:tr w:rsidR="00045BCC" w:rsidRPr="002B4B26" w14:paraId="38507B08" w14:textId="77777777" w:rsidTr="00FB694D">
        <w:trPr>
          <w:trHeight w:val="298"/>
        </w:trPr>
        <w:tc>
          <w:tcPr>
            <w:tcW w:w="1383" w:type="dxa"/>
            <w:vMerge/>
          </w:tcPr>
          <w:p w14:paraId="7D8751D3" w14:textId="77777777" w:rsidR="00045BCC" w:rsidRPr="002B4B26" w:rsidRDefault="00045BCC" w:rsidP="00045BCC">
            <w:pPr>
              <w:rPr>
                <w:rFonts w:cs="Arial"/>
                <w:szCs w:val="24"/>
              </w:rPr>
            </w:pPr>
          </w:p>
        </w:tc>
        <w:tc>
          <w:tcPr>
            <w:tcW w:w="4023" w:type="dxa"/>
          </w:tcPr>
          <w:p w14:paraId="4B5AFDEB" w14:textId="1DC7037D" w:rsidR="00045BCC" w:rsidRDefault="00045BCC" w:rsidP="00045BCC">
            <w:pPr>
              <w:rPr>
                <w:rFonts w:cs="Arial"/>
                <w:szCs w:val="24"/>
              </w:rPr>
            </w:pPr>
            <w:r w:rsidRPr="00B074EA">
              <w:t xml:space="preserve">Prochlorperazine  </w:t>
            </w:r>
          </w:p>
        </w:tc>
        <w:tc>
          <w:tcPr>
            <w:tcW w:w="3654" w:type="dxa"/>
            <w:gridSpan w:val="2"/>
          </w:tcPr>
          <w:p w14:paraId="7CCBFA5B" w14:textId="77777777" w:rsidR="00045BCC" w:rsidRPr="002B4B26" w:rsidRDefault="00045BCC" w:rsidP="00045BCC">
            <w:pPr>
              <w:rPr>
                <w:rFonts w:cs="Arial"/>
                <w:szCs w:val="24"/>
              </w:rPr>
            </w:pPr>
          </w:p>
        </w:tc>
      </w:tr>
      <w:tr w:rsidR="00045BCC" w:rsidRPr="002B4B26" w14:paraId="77E1E0EA" w14:textId="77777777" w:rsidTr="00FB694D">
        <w:trPr>
          <w:trHeight w:val="298"/>
        </w:trPr>
        <w:tc>
          <w:tcPr>
            <w:tcW w:w="1383" w:type="dxa"/>
            <w:vMerge/>
          </w:tcPr>
          <w:p w14:paraId="44D1323E" w14:textId="77777777" w:rsidR="00045BCC" w:rsidRPr="002B4B26" w:rsidRDefault="00045BCC" w:rsidP="00045BCC">
            <w:pPr>
              <w:rPr>
                <w:rFonts w:cs="Arial"/>
                <w:szCs w:val="24"/>
              </w:rPr>
            </w:pPr>
          </w:p>
        </w:tc>
        <w:tc>
          <w:tcPr>
            <w:tcW w:w="4023" w:type="dxa"/>
          </w:tcPr>
          <w:p w14:paraId="28815D6D" w14:textId="76DD9744" w:rsidR="00045BCC" w:rsidRDefault="00045BCC" w:rsidP="00045BCC">
            <w:pPr>
              <w:rPr>
                <w:rFonts w:cs="Arial"/>
                <w:szCs w:val="24"/>
              </w:rPr>
            </w:pPr>
            <w:r w:rsidRPr="00B074EA">
              <w:t xml:space="preserve">Metoclopramide   </w:t>
            </w:r>
          </w:p>
        </w:tc>
        <w:tc>
          <w:tcPr>
            <w:tcW w:w="3654" w:type="dxa"/>
            <w:gridSpan w:val="2"/>
          </w:tcPr>
          <w:p w14:paraId="05E9DD77" w14:textId="77777777" w:rsidR="00045BCC" w:rsidRPr="002B4B26" w:rsidRDefault="00045BCC" w:rsidP="00045BCC">
            <w:pPr>
              <w:rPr>
                <w:rFonts w:cs="Arial"/>
                <w:szCs w:val="24"/>
              </w:rPr>
            </w:pPr>
          </w:p>
        </w:tc>
      </w:tr>
      <w:tr w:rsidR="00462789" w:rsidRPr="002B4B26" w14:paraId="56F78635" w14:textId="77777777" w:rsidTr="0001388F">
        <w:trPr>
          <w:trHeight w:val="283"/>
        </w:trPr>
        <w:tc>
          <w:tcPr>
            <w:tcW w:w="9060" w:type="dxa"/>
            <w:gridSpan w:val="4"/>
            <w:shd w:val="clear" w:color="auto" w:fill="FFEFFF"/>
          </w:tcPr>
          <w:p w14:paraId="017DECF1" w14:textId="77777777" w:rsidR="00462789" w:rsidRPr="002B4B26" w:rsidRDefault="00462789" w:rsidP="008205B4">
            <w:pPr>
              <w:rPr>
                <w:rFonts w:cs="Arial"/>
                <w:szCs w:val="24"/>
              </w:rPr>
            </w:pPr>
            <w:r>
              <w:rPr>
                <w:rFonts w:cs="Arial"/>
                <w:szCs w:val="24"/>
              </w:rPr>
              <w:t>General HITH admission criteria</w:t>
            </w:r>
          </w:p>
        </w:tc>
      </w:tr>
      <w:tr w:rsidR="00462789" w:rsidRPr="002B4B26" w14:paraId="1377DCFB" w14:textId="77777777" w:rsidTr="00FB694D">
        <w:trPr>
          <w:trHeight w:val="298"/>
        </w:trPr>
        <w:tc>
          <w:tcPr>
            <w:tcW w:w="1383" w:type="dxa"/>
            <w:vMerge w:val="restart"/>
          </w:tcPr>
          <w:p w14:paraId="70E482FB" w14:textId="77777777" w:rsidR="00462789" w:rsidRPr="002B4B26" w:rsidRDefault="00462789" w:rsidP="008205B4">
            <w:pPr>
              <w:rPr>
                <w:rFonts w:cs="Arial"/>
                <w:szCs w:val="24"/>
              </w:rPr>
            </w:pPr>
          </w:p>
        </w:tc>
        <w:tc>
          <w:tcPr>
            <w:tcW w:w="4023" w:type="dxa"/>
          </w:tcPr>
          <w:p w14:paraId="0981D9CA" w14:textId="77777777" w:rsidR="00462789" w:rsidRDefault="00462789" w:rsidP="008205B4">
            <w:pPr>
              <w:rPr>
                <w:rFonts w:cs="Arial"/>
                <w:szCs w:val="24"/>
              </w:rPr>
            </w:pPr>
            <w:r>
              <w:rPr>
                <w:rFonts w:cs="Arial"/>
                <w:szCs w:val="24"/>
              </w:rPr>
              <w:t>YES</w:t>
            </w:r>
          </w:p>
        </w:tc>
        <w:tc>
          <w:tcPr>
            <w:tcW w:w="3654" w:type="dxa"/>
            <w:gridSpan w:val="2"/>
          </w:tcPr>
          <w:p w14:paraId="558CBE92" w14:textId="77777777" w:rsidR="00462789" w:rsidRPr="002B4B26" w:rsidRDefault="00462789" w:rsidP="008205B4">
            <w:pPr>
              <w:rPr>
                <w:rFonts w:cs="Arial"/>
                <w:szCs w:val="24"/>
              </w:rPr>
            </w:pPr>
          </w:p>
        </w:tc>
      </w:tr>
      <w:tr w:rsidR="00462789" w:rsidRPr="002B4B26" w14:paraId="0DEEC8C4" w14:textId="77777777" w:rsidTr="00FB694D">
        <w:trPr>
          <w:trHeight w:val="298"/>
        </w:trPr>
        <w:tc>
          <w:tcPr>
            <w:tcW w:w="1383" w:type="dxa"/>
            <w:vMerge/>
          </w:tcPr>
          <w:p w14:paraId="786538E9" w14:textId="77777777" w:rsidR="00462789" w:rsidRPr="002B4B26" w:rsidRDefault="00462789" w:rsidP="008205B4">
            <w:pPr>
              <w:rPr>
                <w:rFonts w:cs="Arial"/>
                <w:szCs w:val="24"/>
              </w:rPr>
            </w:pPr>
          </w:p>
        </w:tc>
        <w:tc>
          <w:tcPr>
            <w:tcW w:w="4023" w:type="dxa"/>
          </w:tcPr>
          <w:p w14:paraId="5E453788" w14:textId="77777777" w:rsidR="00462789" w:rsidRDefault="00462789" w:rsidP="008205B4">
            <w:pPr>
              <w:rPr>
                <w:rFonts w:cs="Arial"/>
                <w:szCs w:val="24"/>
              </w:rPr>
            </w:pPr>
            <w:r>
              <w:rPr>
                <w:rFonts w:cs="Arial"/>
                <w:szCs w:val="24"/>
              </w:rPr>
              <w:t>NO</w:t>
            </w:r>
          </w:p>
        </w:tc>
        <w:tc>
          <w:tcPr>
            <w:tcW w:w="3654" w:type="dxa"/>
            <w:gridSpan w:val="2"/>
          </w:tcPr>
          <w:p w14:paraId="20704409" w14:textId="77777777" w:rsidR="00462789" w:rsidRPr="002B4B26" w:rsidRDefault="00462789" w:rsidP="008205B4">
            <w:pPr>
              <w:rPr>
                <w:rFonts w:cs="Arial"/>
                <w:szCs w:val="24"/>
              </w:rPr>
            </w:pPr>
          </w:p>
        </w:tc>
      </w:tr>
      <w:tr w:rsidR="00462789" w:rsidRPr="002B4B26" w14:paraId="2B862824" w14:textId="77777777" w:rsidTr="0001388F">
        <w:trPr>
          <w:trHeight w:val="283"/>
        </w:trPr>
        <w:tc>
          <w:tcPr>
            <w:tcW w:w="9060" w:type="dxa"/>
            <w:gridSpan w:val="4"/>
            <w:shd w:val="clear" w:color="auto" w:fill="FFEFFF"/>
          </w:tcPr>
          <w:p w14:paraId="1C98C339" w14:textId="77777777" w:rsidR="00462789" w:rsidRPr="002B4B26" w:rsidRDefault="00462789" w:rsidP="008205B4">
            <w:pPr>
              <w:rPr>
                <w:rFonts w:cs="Arial"/>
                <w:szCs w:val="24"/>
              </w:rPr>
            </w:pPr>
            <w:r>
              <w:rPr>
                <w:rFonts w:cs="Arial"/>
                <w:szCs w:val="24"/>
              </w:rPr>
              <w:t>General HITH exclusion criteria</w:t>
            </w:r>
          </w:p>
        </w:tc>
      </w:tr>
      <w:tr w:rsidR="00462789" w:rsidRPr="002B4B26" w14:paraId="4DA65B6D" w14:textId="77777777" w:rsidTr="00FB694D">
        <w:trPr>
          <w:trHeight w:val="283"/>
        </w:trPr>
        <w:tc>
          <w:tcPr>
            <w:tcW w:w="1383" w:type="dxa"/>
            <w:vMerge w:val="restart"/>
          </w:tcPr>
          <w:p w14:paraId="54BEBD07" w14:textId="77777777" w:rsidR="00462789" w:rsidRPr="002B4B26" w:rsidRDefault="00462789" w:rsidP="008205B4">
            <w:pPr>
              <w:rPr>
                <w:rFonts w:cs="Arial"/>
                <w:szCs w:val="24"/>
              </w:rPr>
            </w:pPr>
          </w:p>
        </w:tc>
        <w:tc>
          <w:tcPr>
            <w:tcW w:w="4023" w:type="dxa"/>
          </w:tcPr>
          <w:p w14:paraId="3466881D" w14:textId="77777777" w:rsidR="00462789" w:rsidRDefault="00462789" w:rsidP="008205B4">
            <w:pPr>
              <w:rPr>
                <w:rFonts w:cs="Arial"/>
                <w:szCs w:val="24"/>
              </w:rPr>
            </w:pPr>
            <w:r>
              <w:rPr>
                <w:rFonts w:cs="Arial"/>
                <w:szCs w:val="24"/>
              </w:rPr>
              <w:t>YES</w:t>
            </w:r>
          </w:p>
        </w:tc>
        <w:tc>
          <w:tcPr>
            <w:tcW w:w="3654" w:type="dxa"/>
            <w:gridSpan w:val="2"/>
          </w:tcPr>
          <w:p w14:paraId="5C80A0D1" w14:textId="77777777" w:rsidR="00462789" w:rsidRPr="002B4B26" w:rsidRDefault="00462789" w:rsidP="008205B4">
            <w:pPr>
              <w:rPr>
                <w:rFonts w:cs="Arial"/>
                <w:szCs w:val="24"/>
              </w:rPr>
            </w:pPr>
          </w:p>
        </w:tc>
      </w:tr>
      <w:tr w:rsidR="00462789" w:rsidRPr="002B4B26" w14:paraId="1163F0D7" w14:textId="77777777" w:rsidTr="00FB694D">
        <w:trPr>
          <w:trHeight w:val="298"/>
        </w:trPr>
        <w:tc>
          <w:tcPr>
            <w:tcW w:w="1383" w:type="dxa"/>
            <w:vMerge/>
          </w:tcPr>
          <w:p w14:paraId="020E34DA" w14:textId="77777777" w:rsidR="00462789" w:rsidRPr="002B4B26" w:rsidRDefault="00462789" w:rsidP="008205B4">
            <w:pPr>
              <w:rPr>
                <w:rFonts w:cs="Arial"/>
                <w:szCs w:val="24"/>
              </w:rPr>
            </w:pPr>
          </w:p>
        </w:tc>
        <w:tc>
          <w:tcPr>
            <w:tcW w:w="4023" w:type="dxa"/>
          </w:tcPr>
          <w:p w14:paraId="760E30E9" w14:textId="77777777" w:rsidR="00462789" w:rsidRDefault="00462789" w:rsidP="008205B4">
            <w:pPr>
              <w:rPr>
                <w:rFonts w:cs="Arial"/>
                <w:szCs w:val="24"/>
              </w:rPr>
            </w:pPr>
            <w:r>
              <w:rPr>
                <w:rFonts w:cs="Arial"/>
                <w:szCs w:val="24"/>
              </w:rPr>
              <w:t>NO</w:t>
            </w:r>
          </w:p>
        </w:tc>
        <w:tc>
          <w:tcPr>
            <w:tcW w:w="3654" w:type="dxa"/>
            <w:gridSpan w:val="2"/>
          </w:tcPr>
          <w:p w14:paraId="197750D0" w14:textId="77777777" w:rsidR="00462789" w:rsidRPr="002B4B26" w:rsidRDefault="00462789" w:rsidP="008205B4">
            <w:pPr>
              <w:rPr>
                <w:rFonts w:cs="Arial"/>
                <w:szCs w:val="24"/>
              </w:rPr>
            </w:pPr>
          </w:p>
        </w:tc>
      </w:tr>
      <w:tr w:rsidR="00462789" w:rsidRPr="002B4B26" w14:paraId="1565A1FE" w14:textId="77777777" w:rsidTr="0001388F">
        <w:trPr>
          <w:trHeight w:val="298"/>
        </w:trPr>
        <w:tc>
          <w:tcPr>
            <w:tcW w:w="9060" w:type="dxa"/>
            <w:gridSpan w:val="4"/>
            <w:shd w:val="clear" w:color="auto" w:fill="FFEFFF"/>
          </w:tcPr>
          <w:p w14:paraId="253FA33A" w14:textId="77777777" w:rsidR="00462789" w:rsidRPr="001F08FB" w:rsidRDefault="00462789" w:rsidP="008205B4">
            <w:pPr>
              <w:rPr>
                <w:rFonts w:cs="Arial"/>
                <w:b/>
                <w:szCs w:val="24"/>
              </w:rPr>
            </w:pPr>
            <w:r>
              <w:rPr>
                <w:rFonts w:cs="Arial"/>
                <w:b/>
                <w:szCs w:val="24"/>
              </w:rPr>
              <w:t xml:space="preserve">HITH Hyperemesis Gravidarum </w:t>
            </w:r>
            <w:r w:rsidRPr="001F08FB">
              <w:rPr>
                <w:rFonts w:cs="Arial"/>
                <w:b/>
                <w:szCs w:val="24"/>
              </w:rPr>
              <w:t>Care Plan</w:t>
            </w:r>
          </w:p>
        </w:tc>
      </w:tr>
      <w:tr w:rsidR="00462789" w:rsidRPr="002B4B26" w14:paraId="7B8D9C64" w14:textId="77777777" w:rsidTr="0001388F">
        <w:trPr>
          <w:trHeight w:val="298"/>
        </w:trPr>
        <w:tc>
          <w:tcPr>
            <w:tcW w:w="9060" w:type="dxa"/>
            <w:gridSpan w:val="4"/>
            <w:shd w:val="clear" w:color="auto" w:fill="FFEFFF"/>
          </w:tcPr>
          <w:p w14:paraId="77045068" w14:textId="245390BD" w:rsidR="00462789" w:rsidRDefault="00462789" w:rsidP="008205B4">
            <w:pPr>
              <w:rPr>
                <w:rFonts w:cs="Arial"/>
                <w:szCs w:val="24"/>
              </w:rPr>
            </w:pPr>
            <w:r>
              <w:rPr>
                <w:rFonts w:cs="Arial"/>
                <w:szCs w:val="24"/>
              </w:rPr>
              <w:t>HITH Consultant (include name)</w:t>
            </w:r>
          </w:p>
        </w:tc>
      </w:tr>
      <w:tr w:rsidR="00462789" w:rsidRPr="002B4B26" w14:paraId="7B685749" w14:textId="77777777" w:rsidTr="00FB694D">
        <w:trPr>
          <w:trHeight w:val="300"/>
        </w:trPr>
        <w:tc>
          <w:tcPr>
            <w:tcW w:w="1383" w:type="dxa"/>
            <w:vMerge w:val="restart"/>
          </w:tcPr>
          <w:p w14:paraId="02B596DA" w14:textId="77777777" w:rsidR="00462789" w:rsidRDefault="00462789" w:rsidP="008205B4">
            <w:pPr>
              <w:rPr>
                <w:rFonts w:cs="Arial"/>
                <w:szCs w:val="24"/>
              </w:rPr>
            </w:pPr>
          </w:p>
        </w:tc>
        <w:tc>
          <w:tcPr>
            <w:tcW w:w="4023" w:type="dxa"/>
          </w:tcPr>
          <w:p w14:paraId="0B68D9AD" w14:textId="77777777" w:rsidR="00462789" w:rsidRDefault="00462789" w:rsidP="008205B4">
            <w:pPr>
              <w:rPr>
                <w:rFonts w:cs="Arial"/>
                <w:szCs w:val="24"/>
              </w:rPr>
            </w:pPr>
            <w:r>
              <w:rPr>
                <w:rFonts w:cs="Arial"/>
                <w:szCs w:val="24"/>
              </w:rPr>
              <w:t>HITH Medical Specialist</w:t>
            </w:r>
          </w:p>
        </w:tc>
        <w:tc>
          <w:tcPr>
            <w:tcW w:w="3654" w:type="dxa"/>
            <w:gridSpan w:val="2"/>
          </w:tcPr>
          <w:p w14:paraId="50738955" w14:textId="77777777" w:rsidR="00462789" w:rsidRDefault="00462789" w:rsidP="008205B4">
            <w:pPr>
              <w:rPr>
                <w:rFonts w:cs="Arial"/>
                <w:szCs w:val="24"/>
              </w:rPr>
            </w:pPr>
          </w:p>
        </w:tc>
      </w:tr>
      <w:tr w:rsidR="00462789" w:rsidRPr="002B4B26" w14:paraId="059525EA" w14:textId="77777777" w:rsidTr="00FB694D">
        <w:trPr>
          <w:trHeight w:val="300"/>
        </w:trPr>
        <w:tc>
          <w:tcPr>
            <w:tcW w:w="1383" w:type="dxa"/>
            <w:vMerge/>
          </w:tcPr>
          <w:p w14:paraId="6CE97F22" w14:textId="77777777" w:rsidR="00462789" w:rsidRDefault="00462789" w:rsidP="008205B4">
            <w:pPr>
              <w:rPr>
                <w:rFonts w:cs="Arial"/>
                <w:szCs w:val="24"/>
              </w:rPr>
            </w:pPr>
          </w:p>
        </w:tc>
        <w:tc>
          <w:tcPr>
            <w:tcW w:w="4023" w:type="dxa"/>
          </w:tcPr>
          <w:p w14:paraId="54BF1FAE" w14:textId="77777777" w:rsidR="00462789" w:rsidRDefault="00462789" w:rsidP="008205B4">
            <w:pPr>
              <w:rPr>
                <w:rFonts w:cs="Arial"/>
                <w:szCs w:val="24"/>
              </w:rPr>
            </w:pPr>
            <w:r>
              <w:rPr>
                <w:rFonts w:cs="Arial"/>
                <w:szCs w:val="24"/>
              </w:rPr>
              <w:t>Other CHS Medical Specialist</w:t>
            </w:r>
          </w:p>
        </w:tc>
        <w:tc>
          <w:tcPr>
            <w:tcW w:w="3654" w:type="dxa"/>
            <w:gridSpan w:val="2"/>
          </w:tcPr>
          <w:p w14:paraId="432F3871" w14:textId="77777777" w:rsidR="00462789" w:rsidRDefault="00462789" w:rsidP="008205B4">
            <w:pPr>
              <w:rPr>
                <w:rFonts w:cs="Arial"/>
                <w:szCs w:val="24"/>
              </w:rPr>
            </w:pPr>
          </w:p>
        </w:tc>
      </w:tr>
      <w:tr w:rsidR="00462789" w:rsidRPr="002B4B26" w14:paraId="50B525C6" w14:textId="77777777" w:rsidTr="0001388F">
        <w:trPr>
          <w:trHeight w:val="298"/>
        </w:trPr>
        <w:tc>
          <w:tcPr>
            <w:tcW w:w="9060" w:type="dxa"/>
            <w:gridSpan w:val="4"/>
            <w:shd w:val="clear" w:color="auto" w:fill="FFEFFF"/>
          </w:tcPr>
          <w:p w14:paraId="6E7D1C57" w14:textId="24327D53" w:rsidR="00462789" w:rsidRPr="002B4B26" w:rsidRDefault="00045BCC" w:rsidP="008205B4">
            <w:pPr>
              <w:rPr>
                <w:rFonts w:cs="Arial"/>
                <w:szCs w:val="24"/>
              </w:rPr>
            </w:pPr>
            <w:r>
              <w:rPr>
                <w:rFonts w:cs="Arial"/>
                <w:szCs w:val="24"/>
              </w:rPr>
              <w:t>Anti-emetics (include route, dose and frequency)</w:t>
            </w:r>
          </w:p>
        </w:tc>
      </w:tr>
      <w:tr w:rsidR="00045BCC" w:rsidRPr="002B4B26" w14:paraId="26F2693A" w14:textId="77777777" w:rsidTr="00FB694D">
        <w:trPr>
          <w:trHeight w:val="298"/>
        </w:trPr>
        <w:tc>
          <w:tcPr>
            <w:tcW w:w="1383" w:type="dxa"/>
            <w:vMerge w:val="restart"/>
          </w:tcPr>
          <w:p w14:paraId="49452C1A" w14:textId="77777777" w:rsidR="00045BCC" w:rsidRPr="002B4B26" w:rsidRDefault="00045BCC" w:rsidP="00045BCC">
            <w:pPr>
              <w:rPr>
                <w:rFonts w:cs="Arial"/>
                <w:szCs w:val="24"/>
              </w:rPr>
            </w:pPr>
          </w:p>
        </w:tc>
        <w:tc>
          <w:tcPr>
            <w:tcW w:w="4023" w:type="dxa"/>
          </w:tcPr>
          <w:p w14:paraId="7DB9C16D" w14:textId="1C8221A7" w:rsidR="00045BCC" w:rsidRDefault="00045BCC" w:rsidP="00045BCC">
            <w:pPr>
              <w:rPr>
                <w:rFonts w:cs="Arial"/>
                <w:szCs w:val="24"/>
              </w:rPr>
            </w:pPr>
            <w:r w:rsidRPr="00B074EA">
              <w:t xml:space="preserve">Pyridoxine </w:t>
            </w:r>
          </w:p>
        </w:tc>
        <w:tc>
          <w:tcPr>
            <w:tcW w:w="3654" w:type="dxa"/>
            <w:gridSpan w:val="2"/>
          </w:tcPr>
          <w:p w14:paraId="5A3E6696" w14:textId="77777777" w:rsidR="00045BCC" w:rsidRPr="002B4B26" w:rsidRDefault="00045BCC" w:rsidP="00045BCC">
            <w:pPr>
              <w:rPr>
                <w:rFonts w:cs="Arial"/>
                <w:szCs w:val="24"/>
              </w:rPr>
            </w:pPr>
          </w:p>
        </w:tc>
      </w:tr>
      <w:tr w:rsidR="00045BCC" w:rsidRPr="002B4B26" w14:paraId="194C9E4F" w14:textId="77777777" w:rsidTr="00FB694D">
        <w:trPr>
          <w:trHeight w:val="298"/>
        </w:trPr>
        <w:tc>
          <w:tcPr>
            <w:tcW w:w="1383" w:type="dxa"/>
            <w:vMerge/>
          </w:tcPr>
          <w:p w14:paraId="40B42F0A" w14:textId="77777777" w:rsidR="00045BCC" w:rsidRPr="002B4B26" w:rsidRDefault="00045BCC" w:rsidP="00045BCC">
            <w:pPr>
              <w:rPr>
                <w:rFonts w:cs="Arial"/>
                <w:szCs w:val="24"/>
              </w:rPr>
            </w:pPr>
          </w:p>
        </w:tc>
        <w:tc>
          <w:tcPr>
            <w:tcW w:w="4023" w:type="dxa"/>
          </w:tcPr>
          <w:p w14:paraId="5B7D7516" w14:textId="4751CB39" w:rsidR="00045BCC" w:rsidRDefault="00045BCC" w:rsidP="00045BCC">
            <w:pPr>
              <w:rPr>
                <w:rFonts w:cs="Arial"/>
                <w:szCs w:val="24"/>
              </w:rPr>
            </w:pPr>
            <w:r w:rsidRPr="00B074EA">
              <w:t>Doxylamine</w:t>
            </w:r>
          </w:p>
        </w:tc>
        <w:tc>
          <w:tcPr>
            <w:tcW w:w="3654" w:type="dxa"/>
            <w:gridSpan w:val="2"/>
          </w:tcPr>
          <w:p w14:paraId="7701C0C1" w14:textId="77777777" w:rsidR="00045BCC" w:rsidRPr="002B4B26" w:rsidRDefault="00045BCC" w:rsidP="00045BCC">
            <w:pPr>
              <w:rPr>
                <w:rFonts w:cs="Arial"/>
                <w:szCs w:val="24"/>
              </w:rPr>
            </w:pPr>
          </w:p>
        </w:tc>
      </w:tr>
      <w:tr w:rsidR="00045BCC" w:rsidRPr="002B4B26" w14:paraId="6373FE6E" w14:textId="77777777" w:rsidTr="00FB694D">
        <w:trPr>
          <w:trHeight w:val="298"/>
        </w:trPr>
        <w:tc>
          <w:tcPr>
            <w:tcW w:w="1383" w:type="dxa"/>
            <w:vMerge/>
          </w:tcPr>
          <w:p w14:paraId="146441D4" w14:textId="77777777" w:rsidR="00045BCC" w:rsidRPr="002B4B26" w:rsidRDefault="00045BCC" w:rsidP="00045BCC">
            <w:pPr>
              <w:rPr>
                <w:rFonts w:cs="Arial"/>
                <w:szCs w:val="24"/>
              </w:rPr>
            </w:pPr>
          </w:p>
        </w:tc>
        <w:tc>
          <w:tcPr>
            <w:tcW w:w="4023" w:type="dxa"/>
          </w:tcPr>
          <w:p w14:paraId="653E187D" w14:textId="27EE3575" w:rsidR="00045BCC" w:rsidRDefault="00045BCC" w:rsidP="00045BCC">
            <w:pPr>
              <w:rPr>
                <w:rFonts w:cs="Arial"/>
                <w:szCs w:val="24"/>
              </w:rPr>
            </w:pPr>
            <w:r w:rsidRPr="00B074EA">
              <w:t xml:space="preserve">Promethazine </w:t>
            </w:r>
          </w:p>
        </w:tc>
        <w:tc>
          <w:tcPr>
            <w:tcW w:w="3654" w:type="dxa"/>
            <w:gridSpan w:val="2"/>
          </w:tcPr>
          <w:p w14:paraId="1A3E4F46" w14:textId="77777777" w:rsidR="00045BCC" w:rsidRPr="002B4B26" w:rsidRDefault="00045BCC" w:rsidP="00045BCC">
            <w:pPr>
              <w:rPr>
                <w:rFonts w:cs="Arial"/>
                <w:szCs w:val="24"/>
              </w:rPr>
            </w:pPr>
          </w:p>
        </w:tc>
      </w:tr>
      <w:tr w:rsidR="00045BCC" w:rsidRPr="002B4B26" w14:paraId="34146D96" w14:textId="77777777" w:rsidTr="00FB694D">
        <w:trPr>
          <w:trHeight w:val="298"/>
        </w:trPr>
        <w:tc>
          <w:tcPr>
            <w:tcW w:w="1383" w:type="dxa"/>
            <w:vMerge/>
          </w:tcPr>
          <w:p w14:paraId="4E106799" w14:textId="77777777" w:rsidR="00045BCC" w:rsidRPr="002B4B26" w:rsidRDefault="00045BCC" w:rsidP="00045BCC">
            <w:pPr>
              <w:rPr>
                <w:rFonts w:cs="Arial"/>
                <w:szCs w:val="24"/>
              </w:rPr>
            </w:pPr>
          </w:p>
        </w:tc>
        <w:tc>
          <w:tcPr>
            <w:tcW w:w="4023" w:type="dxa"/>
          </w:tcPr>
          <w:p w14:paraId="6663418E" w14:textId="7885849F" w:rsidR="00045BCC" w:rsidRDefault="00045BCC" w:rsidP="00045BCC">
            <w:pPr>
              <w:rPr>
                <w:rFonts w:cs="Arial"/>
                <w:szCs w:val="24"/>
              </w:rPr>
            </w:pPr>
            <w:r w:rsidRPr="00B074EA">
              <w:t xml:space="preserve">Prochlorperazine  </w:t>
            </w:r>
          </w:p>
        </w:tc>
        <w:tc>
          <w:tcPr>
            <w:tcW w:w="3654" w:type="dxa"/>
            <w:gridSpan w:val="2"/>
          </w:tcPr>
          <w:p w14:paraId="08D6D0C9" w14:textId="77777777" w:rsidR="00045BCC" w:rsidRPr="002B4B26" w:rsidRDefault="00045BCC" w:rsidP="00045BCC">
            <w:pPr>
              <w:rPr>
                <w:rFonts w:cs="Arial"/>
                <w:szCs w:val="24"/>
              </w:rPr>
            </w:pPr>
          </w:p>
        </w:tc>
      </w:tr>
      <w:tr w:rsidR="00045BCC" w:rsidRPr="002B4B26" w14:paraId="65916B71" w14:textId="77777777" w:rsidTr="00FB694D">
        <w:trPr>
          <w:trHeight w:val="298"/>
        </w:trPr>
        <w:tc>
          <w:tcPr>
            <w:tcW w:w="1383" w:type="dxa"/>
            <w:vMerge/>
          </w:tcPr>
          <w:p w14:paraId="24F653FF" w14:textId="77777777" w:rsidR="00045BCC" w:rsidRPr="002B4B26" w:rsidRDefault="00045BCC" w:rsidP="00045BCC">
            <w:pPr>
              <w:rPr>
                <w:rFonts w:cs="Arial"/>
                <w:szCs w:val="24"/>
              </w:rPr>
            </w:pPr>
          </w:p>
        </w:tc>
        <w:tc>
          <w:tcPr>
            <w:tcW w:w="4023" w:type="dxa"/>
          </w:tcPr>
          <w:p w14:paraId="190116BC" w14:textId="353DADAA" w:rsidR="00045BCC" w:rsidRDefault="00045BCC" w:rsidP="00045BCC">
            <w:pPr>
              <w:rPr>
                <w:rFonts w:cs="Arial"/>
                <w:szCs w:val="24"/>
              </w:rPr>
            </w:pPr>
            <w:r w:rsidRPr="00B074EA">
              <w:t xml:space="preserve">Metoclopramide   </w:t>
            </w:r>
          </w:p>
        </w:tc>
        <w:tc>
          <w:tcPr>
            <w:tcW w:w="3654" w:type="dxa"/>
            <w:gridSpan w:val="2"/>
          </w:tcPr>
          <w:p w14:paraId="59D1ED82" w14:textId="77777777" w:rsidR="00045BCC" w:rsidRPr="002B4B26" w:rsidRDefault="00045BCC" w:rsidP="00045BCC">
            <w:pPr>
              <w:rPr>
                <w:rFonts w:cs="Arial"/>
                <w:szCs w:val="24"/>
              </w:rPr>
            </w:pPr>
          </w:p>
        </w:tc>
      </w:tr>
      <w:tr w:rsidR="00045BCC" w:rsidRPr="002B4B26" w14:paraId="0FEA0BAE" w14:textId="77777777" w:rsidTr="00FB694D">
        <w:trPr>
          <w:trHeight w:val="298"/>
        </w:trPr>
        <w:tc>
          <w:tcPr>
            <w:tcW w:w="1383" w:type="dxa"/>
            <w:vMerge/>
          </w:tcPr>
          <w:p w14:paraId="09FA8FAA" w14:textId="77777777" w:rsidR="00045BCC" w:rsidRPr="002B4B26" w:rsidRDefault="00045BCC" w:rsidP="00045BCC">
            <w:pPr>
              <w:rPr>
                <w:rFonts w:cs="Arial"/>
                <w:szCs w:val="24"/>
              </w:rPr>
            </w:pPr>
          </w:p>
        </w:tc>
        <w:tc>
          <w:tcPr>
            <w:tcW w:w="4023" w:type="dxa"/>
          </w:tcPr>
          <w:p w14:paraId="6C663104" w14:textId="1A3C2DCC" w:rsidR="00045BCC" w:rsidRDefault="00045BCC" w:rsidP="00045BCC">
            <w:pPr>
              <w:rPr>
                <w:rFonts w:cs="Arial"/>
                <w:szCs w:val="24"/>
              </w:rPr>
            </w:pPr>
            <w:r w:rsidRPr="00B074EA">
              <w:t xml:space="preserve">Ondansetron        </w:t>
            </w:r>
          </w:p>
        </w:tc>
        <w:tc>
          <w:tcPr>
            <w:tcW w:w="3654" w:type="dxa"/>
            <w:gridSpan w:val="2"/>
          </w:tcPr>
          <w:p w14:paraId="27735E01" w14:textId="77777777" w:rsidR="00045BCC" w:rsidRPr="002B4B26" w:rsidRDefault="00045BCC" w:rsidP="00045BCC">
            <w:pPr>
              <w:rPr>
                <w:rFonts w:cs="Arial"/>
                <w:szCs w:val="24"/>
              </w:rPr>
            </w:pPr>
          </w:p>
        </w:tc>
      </w:tr>
      <w:tr w:rsidR="00462789" w:rsidRPr="002B4B26" w14:paraId="4C37ADCB" w14:textId="77777777" w:rsidTr="0001388F">
        <w:trPr>
          <w:trHeight w:val="298"/>
        </w:trPr>
        <w:tc>
          <w:tcPr>
            <w:tcW w:w="9060" w:type="dxa"/>
            <w:gridSpan w:val="4"/>
            <w:shd w:val="clear" w:color="auto" w:fill="FFEFFF"/>
          </w:tcPr>
          <w:p w14:paraId="5E505E1F" w14:textId="5C2FBAE5" w:rsidR="00462789" w:rsidRPr="002B4B26" w:rsidRDefault="00CA3DB9" w:rsidP="008205B4">
            <w:pPr>
              <w:rPr>
                <w:rFonts w:cs="Arial"/>
                <w:szCs w:val="24"/>
              </w:rPr>
            </w:pPr>
            <w:r>
              <w:rPr>
                <w:rFonts w:cs="Arial"/>
                <w:szCs w:val="24"/>
              </w:rPr>
              <w:t>Oral/</w:t>
            </w:r>
            <w:r w:rsidR="00045BCC">
              <w:rPr>
                <w:rFonts w:cs="Arial"/>
                <w:szCs w:val="24"/>
              </w:rPr>
              <w:t xml:space="preserve">Intravenous </w:t>
            </w:r>
            <w:r>
              <w:rPr>
                <w:rFonts w:cs="Arial"/>
                <w:szCs w:val="24"/>
              </w:rPr>
              <w:t xml:space="preserve">Fluid </w:t>
            </w:r>
            <w:r w:rsidR="00045BCC">
              <w:rPr>
                <w:rFonts w:cs="Arial"/>
                <w:szCs w:val="24"/>
              </w:rPr>
              <w:t>Therapy</w:t>
            </w:r>
          </w:p>
        </w:tc>
      </w:tr>
      <w:tr w:rsidR="00462789" w:rsidRPr="002B4B26" w14:paraId="5E5125BA" w14:textId="77777777" w:rsidTr="00FB694D">
        <w:trPr>
          <w:trHeight w:val="298"/>
        </w:trPr>
        <w:tc>
          <w:tcPr>
            <w:tcW w:w="1383" w:type="dxa"/>
            <w:vMerge w:val="restart"/>
          </w:tcPr>
          <w:p w14:paraId="0F13191E" w14:textId="77777777" w:rsidR="00462789" w:rsidRPr="002B4B26" w:rsidRDefault="00462789" w:rsidP="008205B4">
            <w:pPr>
              <w:rPr>
                <w:rFonts w:cs="Arial"/>
                <w:szCs w:val="24"/>
              </w:rPr>
            </w:pPr>
          </w:p>
        </w:tc>
        <w:tc>
          <w:tcPr>
            <w:tcW w:w="4023" w:type="dxa"/>
          </w:tcPr>
          <w:p w14:paraId="6AB75B9A" w14:textId="10F2698C" w:rsidR="00462789" w:rsidRPr="002B4B26" w:rsidRDefault="00045BCC" w:rsidP="008205B4">
            <w:pPr>
              <w:rPr>
                <w:rFonts w:cs="Arial"/>
                <w:szCs w:val="24"/>
              </w:rPr>
            </w:pPr>
            <w:r>
              <w:rPr>
                <w:rFonts w:cs="Arial"/>
                <w:szCs w:val="24"/>
              </w:rPr>
              <w:t>Type</w:t>
            </w:r>
          </w:p>
        </w:tc>
        <w:tc>
          <w:tcPr>
            <w:tcW w:w="3654" w:type="dxa"/>
            <w:gridSpan w:val="2"/>
          </w:tcPr>
          <w:p w14:paraId="17421CA2" w14:textId="77777777" w:rsidR="00462789" w:rsidRPr="002B4B26" w:rsidRDefault="00462789" w:rsidP="008205B4">
            <w:pPr>
              <w:rPr>
                <w:rFonts w:cs="Arial"/>
                <w:szCs w:val="24"/>
              </w:rPr>
            </w:pPr>
          </w:p>
        </w:tc>
      </w:tr>
      <w:tr w:rsidR="00045BCC" w:rsidRPr="002B4B26" w14:paraId="7F1AB8B4" w14:textId="77777777" w:rsidTr="00FB694D">
        <w:trPr>
          <w:trHeight w:val="298"/>
        </w:trPr>
        <w:tc>
          <w:tcPr>
            <w:tcW w:w="1383" w:type="dxa"/>
            <w:vMerge/>
          </w:tcPr>
          <w:p w14:paraId="2D7AE991" w14:textId="77777777" w:rsidR="00045BCC" w:rsidRPr="002B4B26" w:rsidRDefault="00045BCC" w:rsidP="008205B4">
            <w:pPr>
              <w:rPr>
                <w:rFonts w:cs="Arial"/>
                <w:szCs w:val="24"/>
              </w:rPr>
            </w:pPr>
          </w:p>
        </w:tc>
        <w:tc>
          <w:tcPr>
            <w:tcW w:w="4023" w:type="dxa"/>
          </w:tcPr>
          <w:p w14:paraId="5F5F2582" w14:textId="55BDED46" w:rsidR="00045BCC" w:rsidRDefault="00045BCC" w:rsidP="008205B4">
            <w:pPr>
              <w:rPr>
                <w:rFonts w:cs="Arial"/>
                <w:szCs w:val="24"/>
              </w:rPr>
            </w:pPr>
            <w:r>
              <w:rPr>
                <w:rFonts w:cs="Arial"/>
                <w:szCs w:val="24"/>
              </w:rPr>
              <w:t>Quantity</w:t>
            </w:r>
          </w:p>
        </w:tc>
        <w:tc>
          <w:tcPr>
            <w:tcW w:w="3654" w:type="dxa"/>
            <w:gridSpan w:val="2"/>
          </w:tcPr>
          <w:p w14:paraId="602ED127" w14:textId="77777777" w:rsidR="00045BCC" w:rsidRPr="002B4B26" w:rsidRDefault="00045BCC" w:rsidP="008205B4">
            <w:pPr>
              <w:rPr>
                <w:rFonts w:cs="Arial"/>
                <w:szCs w:val="24"/>
              </w:rPr>
            </w:pPr>
          </w:p>
        </w:tc>
      </w:tr>
      <w:tr w:rsidR="00462789" w:rsidRPr="002B4B26" w14:paraId="6679AA52" w14:textId="77777777" w:rsidTr="00FB694D">
        <w:trPr>
          <w:trHeight w:val="298"/>
        </w:trPr>
        <w:tc>
          <w:tcPr>
            <w:tcW w:w="1383" w:type="dxa"/>
            <w:vMerge/>
          </w:tcPr>
          <w:p w14:paraId="6A213738" w14:textId="77777777" w:rsidR="00462789" w:rsidRPr="002B4B26" w:rsidRDefault="00462789" w:rsidP="008205B4">
            <w:pPr>
              <w:rPr>
                <w:rFonts w:cs="Arial"/>
                <w:szCs w:val="24"/>
              </w:rPr>
            </w:pPr>
          </w:p>
        </w:tc>
        <w:tc>
          <w:tcPr>
            <w:tcW w:w="4023" w:type="dxa"/>
          </w:tcPr>
          <w:p w14:paraId="175059B4" w14:textId="7587C794" w:rsidR="00462789" w:rsidRDefault="00045BCC" w:rsidP="008205B4">
            <w:pPr>
              <w:rPr>
                <w:rFonts w:cs="Arial"/>
                <w:szCs w:val="24"/>
              </w:rPr>
            </w:pPr>
            <w:r>
              <w:rPr>
                <w:rFonts w:cs="Arial"/>
                <w:szCs w:val="24"/>
              </w:rPr>
              <w:t>Frequency</w:t>
            </w:r>
          </w:p>
        </w:tc>
        <w:tc>
          <w:tcPr>
            <w:tcW w:w="3654" w:type="dxa"/>
            <w:gridSpan w:val="2"/>
          </w:tcPr>
          <w:p w14:paraId="008E199F" w14:textId="77777777" w:rsidR="00462789" w:rsidRPr="002B4B26" w:rsidRDefault="00462789" w:rsidP="008205B4">
            <w:pPr>
              <w:rPr>
                <w:rFonts w:cs="Arial"/>
                <w:szCs w:val="24"/>
              </w:rPr>
            </w:pPr>
          </w:p>
        </w:tc>
      </w:tr>
      <w:tr w:rsidR="00FB694D" w:rsidRPr="002B4B26" w14:paraId="1BCB4DEC" w14:textId="77777777" w:rsidTr="00FB694D">
        <w:trPr>
          <w:trHeight w:val="298"/>
        </w:trPr>
        <w:tc>
          <w:tcPr>
            <w:tcW w:w="9060" w:type="dxa"/>
            <w:gridSpan w:val="4"/>
            <w:shd w:val="clear" w:color="auto" w:fill="FFCCFF"/>
          </w:tcPr>
          <w:p w14:paraId="22F49380" w14:textId="5DB5BAAD" w:rsidR="00FB694D" w:rsidRPr="002B4B26" w:rsidRDefault="00FB694D" w:rsidP="008205B4">
            <w:pPr>
              <w:rPr>
                <w:rFonts w:cs="Arial"/>
                <w:szCs w:val="24"/>
              </w:rPr>
            </w:pPr>
            <w:r>
              <w:rPr>
                <w:rFonts w:cs="Arial"/>
                <w:szCs w:val="24"/>
              </w:rPr>
              <w:t>Intravenous Access (include date of insertion)</w:t>
            </w:r>
          </w:p>
        </w:tc>
      </w:tr>
      <w:tr w:rsidR="00FB694D" w:rsidRPr="002B4B26" w14:paraId="44C5853E" w14:textId="77777777" w:rsidTr="00FB694D">
        <w:trPr>
          <w:trHeight w:val="298"/>
        </w:trPr>
        <w:tc>
          <w:tcPr>
            <w:tcW w:w="1383" w:type="dxa"/>
          </w:tcPr>
          <w:p w14:paraId="5D5EFF4D" w14:textId="77777777" w:rsidR="00FB694D" w:rsidRPr="002B4B26" w:rsidRDefault="00FB694D" w:rsidP="008205B4">
            <w:pPr>
              <w:rPr>
                <w:rFonts w:cs="Arial"/>
                <w:szCs w:val="24"/>
              </w:rPr>
            </w:pPr>
          </w:p>
        </w:tc>
        <w:tc>
          <w:tcPr>
            <w:tcW w:w="4023" w:type="dxa"/>
          </w:tcPr>
          <w:p w14:paraId="20751C05" w14:textId="51B9AB86" w:rsidR="00FB694D" w:rsidRDefault="00FB694D" w:rsidP="008205B4">
            <w:pPr>
              <w:rPr>
                <w:rFonts w:cs="Arial"/>
                <w:szCs w:val="24"/>
              </w:rPr>
            </w:pPr>
            <w:r>
              <w:rPr>
                <w:rFonts w:cs="Arial"/>
                <w:szCs w:val="24"/>
              </w:rPr>
              <w:t>IVC</w:t>
            </w:r>
          </w:p>
        </w:tc>
        <w:tc>
          <w:tcPr>
            <w:tcW w:w="3654" w:type="dxa"/>
            <w:gridSpan w:val="2"/>
          </w:tcPr>
          <w:p w14:paraId="47C0A6A3" w14:textId="77777777" w:rsidR="00FB694D" w:rsidRPr="002B4B26" w:rsidRDefault="00FB694D" w:rsidP="008205B4">
            <w:pPr>
              <w:rPr>
                <w:rFonts w:cs="Arial"/>
                <w:szCs w:val="24"/>
              </w:rPr>
            </w:pPr>
          </w:p>
        </w:tc>
      </w:tr>
      <w:tr w:rsidR="00FB694D" w:rsidRPr="002B4B26" w14:paraId="5E3932C7" w14:textId="77777777" w:rsidTr="00FB694D">
        <w:trPr>
          <w:trHeight w:val="298"/>
        </w:trPr>
        <w:tc>
          <w:tcPr>
            <w:tcW w:w="1383" w:type="dxa"/>
          </w:tcPr>
          <w:p w14:paraId="46CA1E45" w14:textId="77777777" w:rsidR="00FB694D" w:rsidRPr="002B4B26" w:rsidRDefault="00FB694D" w:rsidP="008205B4">
            <w:pPr>
              <w:rPr>
                <w:rFonts w:cs="Arial"/>
                <w:szCs w:val="24"/>
              </w:rPr>
            </w:pPr>
          </w:p>
        </w:tc>
        <w:tc>
          <w:tcPr>
            <w:tcW w:w="4023" w:type="dxa"/>
          </w:tcPr>
          <w:p w14:paraId="52F815B5" w14:textId="32C6BA7B" w:rsidR="00FB694D" w:rsidRDefault="00FB694D" w:rsidP="008205B4">
            <w:pPr>
              <w:rPr>
                <w:rFonts w:cs="Arial"/>
                <w:szCs w:val="24"/>
              </w:rPr>
            </w:pPr>
            <w:r>
              <w:rPr>
                <w:rFonts w:cs="Arial"/>
                <w:szCs w:val="24"/>
              </w:rPr>
              <w:t>PICC</w:t>
            </w:r>
          </w:p>
        </w:tc>
        <w:tc>
          <w:tcPr>
            <w:tcW w:w="3654" w:type="dxa"/>
            <w:gridSpan w:val="2"/>
          </w:tcPr>
          <w:p w14:paraId="12659607" w14:textId="77777777" w:rsidR="00FB694D" w:rsidRPr="002B4B26" w:rsidRDefault="00FB694D" w:rsidP="008205B4">
            <w:pPr>
              <w:rPr>
                <w:rFonts w:cs="Arial"/>
                <w:szCs w:val="24"/>
              </w:rPr>
            </w:pPr>
          </w:p>
        </w:tc>
      </w:tr>
      <w:tr w:rsidR="00462789" w:rsidRPr="002B4B26" w14:paraId="51E210AD" w14:textId="77777777" w:rsidTr="0001388F">
        <w:trPr>
          <w:trHeight w:val="298"/>
        </w:trPr>
        <w:tc>
          <w:tcPr>
            <w:tcW w:w="9060" w:type="dxa"/>
            <w:gridSpan w:val="4"/>
            <w:shd w:val="clear" w:color="auto" w:fill="FFEFFF"/>
          </w:tcPr>
          <w:p w14:paraId="64880985" w14:textId="77777777" w:rsidR="00462789" w:rsidRPr="002B4B26" w:rsidRDefault="00462789" w:rsidP="008205B4">
            <w:pPr>
              <w:rPr>
                <w:rFonts w:cs="Arial"/>
                <w:szCs w:val="24"/>
              </w:rPr>
            </w:pPr>
            <w:r>
              <w:rPr>
                <w:rFonts w:cs="Arial"/>
                <w:szCs w:val="24"/>
              </w:rPr>
              <w:t xml:space="preserve">Initial Frequency of Pathology Tests </w:t>
            </w:r>
          </w:p>
        </w:tc>
      </w:tr>
      <w:tr w:rsidR="00462789" w:rsidRPr="002B4B26" w14:paraId="1DB3AEB3" w14:textId="77777777" w:rsidTr="00FB694D">
        <w:trPr>
          <w:trHeight w:val="300"/>
        </w:trPr>
        <w:tc>
          <w:tcPr>
            <w:tcW w:w="1383" w:type="dxa"/>
            <w:vMerge w:val="restart"/>
            <w:shd w:val="clear" w:color="auto" w:fill="FFFFFF" w:themeFill="background1"/>
          </w:tcPr>
          <w:p w14:paraId="68A6A31F" w14:textId="77777777" w:rsidR="00462789" w:rsidRDefault="00462789" w:rsidP="008205B4">
            <w:pPr>
              <w:rPr>
                <w:rFonts w:cs="Arial"/>
                <w:szCs w:val="24"/>
              </w:rPr>
            </w:pPr>
          </w:p>
        </w:tc>
        <w:tc>
          <w:tcPr>
            <w:tcW w:w="4023" w:type="dxa"/>
            <w:shd w:val="clear" w:color="auto" w:fill="FFFFFF" w:themeFill="background1"/>
          </w:tcPr>
          <w:p w14:paraId="5BCCDA24" w14:textId="77777777" w:rsidR="00462789" w:rsidRDefault="00462789" w:rsidP="008205B4">
            <w:pPr>
              <w:rPr>
                <w:rFonts w:cs="Arial"/>
                <w:szCs w:val="24"/>
              </w:rPr>
            </w:pPr>
            <w:r>
              <w:rPr>
                <w:rFonts w:cs="Arial"/>
                <w:szCs w:val="24"/>
              </w:rPr>
              <w:t>Daily</w:t>
            </w:r>
          </w:p>
        </w:tc>
        <w:tc>
          <w:tcPr>
            <w:tcW w:w="3654" w:type="dxa"/>
            <w:gridSpan w:val="2"/>
            <w:shd w:val="clear" w:color="auto" w:fill="FFFFFF" w:themeFill="background1"/>
          </w:tcPr>
          <w:p w14:paraId="5CD976E9" w14:textId="77777777" w:rsidR="00462789" w:rsidRDefault="00462789" w:rsidP="008205B4">
            <w:pPr>
              <w:rPr>
                <w:rFonts w:cs="Arial"/>
                <w:szCs w:val="24"/>
              </w:rPr>
            </w:pPr>
          </w:p>
        </w:tc>
      </w:tr>
      <w:tr w:rsidR="00462789" w:rsidRPr="002B4B26" w14:paraId="0C44FB15" w14:textId="77777777" w:rsidTr="00FB694D">
        <w:trPr>
          <w:trHeight w:val="300"/>
        </w:trPr>
        <w:tc>
          <w:tcPr>
            <w:tcW w:w="1383" w:type="dxa"/>
            <w:vMerge/>
            <w:shd w:val="clear" w:color="auto" w:fill="FFFFFF" w:themeFill="background1"/>
          </w:tcPr>
          <w:p w14:paraId="1141CBA4" w14:textId="77777777" w:rsidR="00462789" w:rsidRDefault="00462789" w:rsidP="008205B4">
            <w:pPr>
              <w:rPr>
                <w:rFonts w:cs="Arial"/>
                <w:szCs w:val="24"/>
              </w:rPr>
            </w:pPr>
          </w:p>
        </w:tc>
        <w:tc>
          <w:tcPr>
            <w:tcW w:w="4023" w:type="dxa"/>
            <w:shd w:val="clear" w:color="auto" w:fill="FFFFFF" w:themeFill="background1"/>
          </w:tcPr>
          <w:p w14:paraId="242E186A" w14:textId="77777777" w:rsidR="00462789" w:rsidRDefault="00462789" w:rsidP="008205B4">
            <w:pPr>
              <w:rPr>
                <w:rFonts w:cs="Arial"/>
                <w:szCs w:val="24"/>
              </w:rPr>
            </w:pPr>
            <w:r>
              <w:rPr>
                <w:rFonts w:cs="Arial"/>
                <w:szCs w:val="24"/>
              </w:rPr>
              <w:t>Other</w:t>
            </w:r>
          </w:p>
        </w:tc>
        <w:tc>
          <w:tcPr>
            <w:tcW w:w="3654" w:type="dxa"/>
            <w:gridSpan w:val="2"/>
            <w:shd w:val="clear" w:color="auto" w:fill="FFFFFF" w:themeFill="background1"/>
          </w:tcPr>
          <w:p w14:paraId="176B5913" w14:textId="77777777" w:rsidR="00462789" w:rsidRDefault="00462789" w:rsidP="008205B4">
            <w:pPr>
              <w:rPr>
                <w:rFonts w:cs="Arial"/>
                <w:szCs w:val="24"/>
              </w:rPr>
            </w:pPr>
          </w:p>
        </w:tc>
      </w:tr>
      <w:tr w:rsidR="00462789" w:rsidRPr="002B4B26" w14:paraId="1F04FF89" w14:textId="77777777" w:rsidTr="0001388F">
        <w:trPr>
          <w:trHeight w:val="298"/>
        </w:trPr>
        <w:tc>
          <w:tcPr>
            <w:tcW w:w="9060" w:type="dxa"/>
            <w:gridSpan w:val="4"/>
            <w:shd w:val="clear" w:color="auto" w:fill="FFEFFF"/>
          </w:tcPr>
          <w:p w14:paraId="4D610B8D" w14:textId="40F9BCF5" w:rsidR="00462789" w:rsidRPr="002B4B26" w:rsidRDefault="00462789" w:rsidP="008205B4">
            <w:pPr>
              <w:rPr>
                <w:rFonts w:cs="Arial"/>
                <w:szCs w:val="24"/>
              </w:rPr>
            </w:pPr>
            <w:r>
              <w:rPr>
                <w:rFonts w:cs="Arial"/>
                <w:szCs w:val="24"/>
              </w:rPr>
              <w:t xml:space="preserve">Next </w:t>
            </w:r>
            <w:r w:rsidR="00FB694D">
              <w:rPr>
                <w:rFonts w:cs="Arial"/>
                <w:szCs w:val="24"/>
              </w:rPr>
              <w:t xml:space="preserve">HITH </w:t>
            </w:r>
            <w:r>
              <w:rPr>
                <w:rFonts w:cs="Arial"/>
                <w:szCs w:val="24"/>
              </w:rPr>
              <w:t>Medical Review</w:t>
            </w:r>
          </w:p>
        </w:tc>
      </w:tr>
      <w:tr w:rsidR="00462789" w:rsidRPr="002B4B26" w14:paraId="21DE4FB3" w14:textId="77777777" w:rsidTr="00FB694D">
        <w:trPr>
          <w:trHeight w:val="300"/>
        </w:trPr>
        <w:tc>
          <w:tcPr>
            <w:tcW w:w="1383" w:type="dxa"/>
            <w:vMerge w:val="restart"/>
          </w:tcPr>
          <w:p w14:paraId="1DCBE00C" w14:textId="77777777" w:rsidR="00462789" w:rsidRDefault="00462789" w:rsidP="008205B4">
            <w:pPr>
              <w:rPr>
                <w:rFonts w:cs="Arial"/>
                <w:szCs w:val="24"/>
              </w:rPr>
            </w:pPr>
          </w:p>
        </w:tc>
        <w:tc>
          <w:tcPr>
            <w:tcW w:w="4023" w:type="dxa"/>
          </w:tcPr>
          <w:p w14:paraId="315EE575" w14:textId="77777777" w:rsidR="00462789" w:rsidRDefault="00462789" w:rsidP="008205B4">
            <w:pPr>
              <w:rPr>
                <w:rFonts w:cs="Arial"/>
                <w:szCs w:val="24"/>
              </w:rPr>
            </w:pPr>
            <w:r>
              <w:rPr>
                <w:rFonts w:cs="Arial"/>
                <w:szCs w:val="24"/>
              </w:rPr>
              <w:t>Date</w:t>
            </w:r>
          </w:p>
        </w:tc>
        <w:tc>
          <w:tcPr>
            <w:tcW w:w="3654" w:type="dxa"/>
            <w:gridSpan w:val="2"/>
          </w:tcPr>
          <w:p w14:paraId="20957CB8" w14:textId="77777777" w:rsidR="00462789" w:rsidRDefault="00462789" w:rsidP="008205B4">
            <w:pPr>
              <w:rPr>
                <w:rFonts w:cs="Arial"/>
                <w:szCs w:val="24"/>
              </w:rPr>
            </w:pPr>
          </w:p>
        </w:tc>
      </w:tr>
      <w:tr w:rsidR="00462789" w:rsidRPr="002B4B26" w14:paraId="75370FBA" w14:textId="77777777" w:rsidTr="00FB694D">
        <w:trPr>
          <w:trHeight w:val="300"/>
        </w:trPr>
        <w:tc>
          <w:tcPr>
            <w:tcW w:w="1383" w:type="dxa"/>
            <w:vMerge/>
          </w:tcPr>
          <w:p w14:paraId="68A449FC" w14:textId="77777777" w:rsidR="00462789" w:rsidRDefault="00462789" w:rsidP="008205B4">
            <w:pPr>
              <w:rPr>
                <w:rFonts w:cs="Arial"/>
                <w:szCs w:val="24"/>
              </w:rPr>
            </w:pPr>
          </w:p>
        </w:tc>
        <w:tc>
          <w:tcPr>
            <w:tcW w:w="4023" w:type="dxa"/>
          </w:tcPr>
          <w:p w14:paraId="01B73F16" w14:textId="77777777" w:rsidR="00462789" w:rsidRDefault="00462789" w:rsidP="008205B4">
            <w:pPr>
              <w:rPr>
                <w:rFonts w:cs="Arial"/>
                <w:szCs w:val="24"/>
              </w:rPr>
            </w:pPr>
            <w:r>
              <w:rPr>
                <w:rFonts w:cs="Arial"/>
                <w:szCs w:val="24"/>
              </w:rPr>
              <w:t>Location</w:t>
            </w:r>
          </w:p>
        </w:tc>
        <w:tc>
          <w:tcPr>
            <w:tcW w:w="3654" w:type="dxa"/>
            <w:gridSpan w:val="2"/>
          </w:tcPr>
          <w:p w14:paraId="6DFBF01A" w14:textId="77777777" w:rsidR="00462789" w:rsidRDefault="00462789" w:rsidP="008205B4">
            <w:pPr>
              <w:rPr>
                <w:rFonts w:cs="Arial"/>
                <w:szCs w:val="24"/>
              </w:rPr>
            </w:pPr>
          </w:p>
        </w:tc>
      </w:tr>
      <w:tr w:rsidR="00462789" w:rsidRPr="002B4B26" w14:paraId="69A4C516" w14:textId="77777777" w:rsidTr="0001388F">
        <w:trPr>
          <w:trHeight w:val="300"/>
        </w:trPr>
        <w:tc>
          <w:tcPr>
            <w:tcW w:w="9060" w:type="dxa"/>
            <w:gridSpan w:val="4"/>
            <w:shd w:val="clear" w:color="auto" w:fill="FFEFFF"/>
          </w:tcPr>
          <w:p w14:paraId="5C635445" w14:textId="77777777" w:rsidR="00462789" w:rsidRDefault="00462789" w:rsidP="008205B4">
            <w:pPr>
              <w:rPr>
                <w:rFonts w:cs="Arial"/>
                <w:szCs w:val="24"/>
              </w:rPr>
            </w:pPr>
            <w:r>
              <w:rPr>
                <w:rFonts w:cs="Arial"/>
                <w:szCs w:val="24"/>
              </w:rPr>
              <w:t>Pre-Existing/Existing Services</w:t>
            </w:r>
          </w:p>
        </w:tc>
      </w:tr>
      <w:tr w:rsidR="00045BCC" w:rsidRPr="002B4B26" w14:paraId="0D4DEFC2" w14:textId="77777777" w:rsidTr="00FB694D">
        <w:trPr>
          <w:trHeight w:val="300"/>
        </w:trPr>
        <w:tc>
          <w:tcPr>
            <w:tcW w:w="1383" w:type="dxa"/>
            <w:vMerge w:val="restart"/>
          </w:tcPr>
          <w:p w14:paraId="7129DE04" w14:textId="09CF0E69" w:rsidR="00045BCC" w:rsidRDefault="00045BCC" w:rsidP="008205B4">
            <w:pPr>
              <w:rPr>
                <w:rFonts w:cs="Arial"/>
                <w:szCs w:val="24"/>
              </w:rPr>
            </w:pPr>
          </w:p>
        </w:tc>
        <w:tc>
          <w:tcPr>
            <w:tcW w:w="4023" w:type="dxa"/>
          </w:tcPr>
          <w:p w14:paraId="6E373769" w14:textId="0222A8A9" w:rsidR="00045BCC" w:rsidRDefault="00045BCC" w:rsidP="008205B4">
            <w:pPr>
              <w:rPr>
                <w:rFonts w:cs="Arial"/>
                <w:szCs w:val="24"/>
              </w:rPr>
            </w:pPr>
            <w:r>
              <w:rPr>
                <w:rFonts w:cs="Arial"/>
                <w:szCs w:val="24"/>
              </w:rPr>
              <w:t>FMU</w:t>
            </w:r>
          </w:p>
        </w:tc>
        <w:tc>
          <w:tcPr>
            <w:tcW w:w="3654" w:type="dxa"/>
            <w:gridSpan w:val="2"/>
          </w:tcPr>
          <w:p w14:paraId="5755B001" w14:textId="77777777" w:rsidR="00045BCC" w:rsidRDefault="00045BCC" w:rsidP="008205B4">
            <w:pPr>
              <w:rPr>
                <w:rFonts w:cs="Arial"/>
                <w:szCs w:val="24"/>
              </w:rPr>
            </w:pPr>
          </w:p>
        </w:tc>
      </w:tr>
      <w:tr w:rsidR="00045BCC" w:rsidRPr="002B4B26" w14:paraId="2131AA16" w14:textId="77777777" w:rsidTr="00FB694D">
        <w:trPr>
          <w:trHeight w:val="300"/>
        </w:trPr>
        <w:tc>
          <w:tcPr>
            <w:tcW w:w="1383" w:type="dxa"/>
            <w:vMerge/>
          </w:tcPr>
          <w:p w14:paraId="65AC6FF9" w14:textId="77777777" w:rsidR="00045BCC" w:rsidRDefault="00045BCC" w:rsidP="008205B4">
            <w:pPr>
              <w:rPr>
                <w:rFonts w:cs="Arial"/>
                <w:szCs w:val="24"/>
              </w:rPr>
            </w:pPr>
          </w:p>
        </w:tc>
        <w:tc>
          <w:tcPr>
            <w:tcW w:w="4023" w:type="dxa"/>
          </w:tcPr>
          <w:p w14:paraId="23508AA3" w14:textId="4C8AB4B8" w:rsidR="00045BCC" w:rsidRDefault="00045BCC" w:rsidP="008205B4">
            <w:pPr>
              <w:rPr>
                <w:rFonts w:cs="Arial"/>
                <w:szCs w:val="24"/>
              </w:rPr>
            </w:pPr>
            <w:proofErr w:type="spellStart"/>
            <w:r>
              <w:rPr>
                <w:rFonts w:cs="Arial"/>
                <w:szCs w:val="24"/>
              </w:rPr>
              <w:t>Winnunga</w:t>
            </w:r>
            <w:proofErr w:type="spellEnd"/>
            <w:r>
              <w:rPr>
                <w:rFonts w:cs="Arial"/>
                <w:szCs w:val="24"/>
              </w:rPr>
              <w:t xml:space="preserve"> Indigenous Health</w:t>
            </w:r>
          </w:p>
        </w:tc>
        <w:tc>
          <w:tcPr>
            <w:tcW w:w="3654" w:type="dxa"/>
            <w:gridSpan w:val="2"/>
          </w:tcPr>
          <w:p w14:paraId="63E34742" w14:textId="77777777" w:rsidR="00045BCC" w:rsidRDefault="00045BCC" w:rsidP="008205B4">
            <w:pPr>
              <w:rPr>
                <w:rFonts w:cs="Arial"/>
                <w:szCs w:val="24"/>
              </w:rPr>
            </w:pPr>
          </w:p>
        </w:tc>
      </w:tr>
      <w:tr w:rsidR="00045BCC" w:rsidRPr="002B4B26" w14:paraId="31556004" w14:textId="77777777" w:rsidTr="00FB694D">
        <w:trPr>
          <w:trHeight w:val="300"/>
        </w:trPr>
        <w:tc>
          <w:tcPr>
            <w:tcW w:w="1383" w:type="dxa"/>
            <w:vMerge/>
          </w:tcPr>
          <w:p w14:paraId="01F38D58" w14:textId="77777777" w:rsidR="00045BCC" w:rsidRDefault="00045BCC" w:rsidP="008205B4">
            <w:pPr>
              <w:rPr>
                <w:rFonts w:cs="Arial"/>
                <w:szCs w:val="24"/>
              </w:rPr>
            </w:pPr>
          </w:p>
        </w:tc>
        <w:tc>
          <w:tcPr>
            <w:tcW w:w="4023" w:type="dxa"/>
          </w:tcPr>
          <w:p w14:paraId="77820E5B" w14:textId="003ADC24" w:rsidR="00045BCC" w:rsidRDefault="00045BCC" w:rsidP="008205B4">
            <w:pPr>
              <w:rPr>
                <w:rFonts w:cs="Arial"/>
                <w:szCs w:val="24"/>
              </w:rPr>
            </w:pPr>
            <w:r>
              <w:rPr>
                <w:rFonts w:cs="Arial"/>
                <w:szCs w:val="24"/>
              </w:rPr>
              <w:t>STEP AHEAD</w:t>
            </w:r>
          </w:p>
        </w:tc>
        <w:tc>
          <w:tcPr>
            <w:tcW w:w="3654" w:type="dxa"/>
            <w:gridSpan w:val="2"/>
          </w:tcPr>
          <w:p w14:paraId="536DAB67" w14:textId="77777777" w:rsidR="00045BCC" w:rsidRDefault="00045BCC" w:rsidP="008205B4">
            <w:pPr>
              <w:rPr>
                <w:rFonts w:cs="Arial"/>
                <w:szCs w:val="24"/>
              </w:rPr>
            </w:pPr>
          </w:p>
        </w:tc>
      </w:tr>
      <w:tr w:rsidR="00045BCC" w:rsidRPr="002B4B26" w14:paraId="0B6F9A3F" w14:textId="77777777" w:rsidTr="00FB694D">
        <w:trPr>
          <w:trHeight w:val="300"/>
        </w:trPr>
        <w:tc>
          <w:tcPr>
            <w:tcW w:w="1383" w:type="dxa"/>
            <w:vMerge/>
          </w:tcPr>
          <w:p w14:paraId="1B3A1BA4" w14:textId="77777777" w:rsidR="00045BCC" w:rsidRDefault="00045BCC" w:rsidP="008205B4">
            <w:pPr>
              <w:rPr>
                <w:rFonts w:cs="Arial"/>
                <w:szCs w:val="24"/>
              </w:rPr>
            </w:pPr>
          </w:p>
        </w:tc>
        <w:tc>
          <w:tcPr>
            <w:tcW w:w="4023" w:type="dxa"/>
          </w:tcPr>
          <w:p w14:paraId="1F431CA6" w14:textId="6EC1430A" w:rsidR="00045BCC" w:rsidRDefault="00045BCC" w:rsidP="008205B4">
            <w:pPr>
              <w:rPr>
                <w:rFonts w:cs="Arial"/>
                <w:szCs w:val="24"/>
              </w:rPr>
            </w:pPr>
            <w:r>
              <w:rPr>
                <w:rFonts w:cs="Arial"/>
                <w:szCs w:val="24"/>
              </w:rPr>
              <w:t xml:space="preserve">CMP </w:t>
            </w:r>
          </w:p>
        </w:tc>
        <w:tc>
          <w:tcPr>
            <w:tcW w:w="3654" w:type="dxa"/>
            <w:gridSpan w:val="2"/>
          </w:tcPr>
          <w:p w14:paraId="6CAEDD60" w14:textId="77777777" w:rsidR="00045BCC" w:rsidRDefault="00045BCC" w:rsidP="008205B4">
            <w:pPr>
              <w:rPr>
                <w:rFonts w:cs="Arial"/>
                <w:szCs w:val="24"/>
              </w:rPr>
            </w:pPr>
          </w:p>
        </w:tc>
      </w:tr>
      <w:tr w:rsidR="00045BCC" w:rsidRPr="002B4B26" w14:paraId="07A43C1F" w14:textId="77777777" w:rsidTr="00FB694D">
        <w:trPr>
          <w:trHeight w:val="300"/>
        </w:trPr>
        <w:tc>
          <w:tcPr>
            <w:tcW w:w="1383" w:type="dxa"/>
            <w:vMerge/>
          </w:tcPr>
          <w:p w14:paraId="7E6CB4ED" w14:textId="77777777" w:rsidR="00045BCC" w:rsidRDefault="00045BCC" w:rsidP="008205B4">
            <w:pPr>
              <w:rPr>
                <w:rFonts w:cs="Arial"/>
                <w:szCs w:val="24"/>
              </w:rPr>
            </w:pPr>
          </w:p>
        </w:tc>
        <w:tc>
          <w:tcPr>
            <w:tcW w:w="4023" w:type="dxa"/>
          </w:tcPr>
          <w:p w14:paraId="2B65E587" w14:textId="01F947BE" w:rsidR="00045BCC" w:rsidRDefault="00045BCC" w:rsidP="008205B4">
            <w:pPr>
              <w:rPr>
                <w:rFonts w:cs="Arial"/>
                <w:szCs w:val="24"/>
              </w:rPr>
            </w:pPr>
            <w:r>
              <w:rPr>
                <w:rFonts w:cs="Arial"/>
                <w:szCs w:val="24"/>
              </w:rPr>
              <w:t>Mental Health</w:t>
            </w:r>
          </w:p>
        </w:tc>
        <w:tc>
          <w:tcPr>
            <w:tcW w:w="3654" w:type="dxa"/>
            <w:gridSpan w:val="2"/>
          </w:tcPr>
          <w:p w14:paraId="7F234893" w14:textId="77777777" w:rsidR="00045BCC" w:rsidRDefault="00045BCC" w:rsidP="008205B4">
            <w:pPr>
              <w:rPr>
                <w:rFonts w:cs="Arial"/>
                <w:szCs w:val="24"/>
              </w:rPr>
            </w:pPr>
          </w:p>
        </w:tc>
      </w:tr>
      <w:tr w:rsidR="00045BCC" w:rsidRPr="002B4B26" w14:paraId="419FFB3C" w14:textId="77777777" w:rsidTr="00FB694D">
        <w:trPr>
          <w:trHeight w:val="300"/>
        </w:trPr>
        <w:tc>
          <w:tcPr>
            <w:tcW w:w="1383" w:type="dxa"/>
            <w:vMerge/>
          </w:tcPr>
          <w:p w14:paraId="7173310B" w14:textId="77777777" w:rsidR="00045BCC" w:rsidRDefault="00045BCC" w:rsidP="008205B4">
            <w:pPr>
              <w:rPr>
                <w:rFonts w:cs="Arial"/>
                <w:szCs w:val="24"/>
              </w:rPr>
            </w:pPr>
          </w:p>
        </w:tc>
        <w:tc>
          <w:tcPr>
            <w:tcW w:w="4023" w:type="dxa"/>
          </w:tcPr>
          <w:p w14:paraId="6B2D7033" w14:textId="2923A3EA" w:rsidR="00045BCC" w:rsidRDefault="00045BCC" w:rsidP="008205B4">
            <w:pPr>
              <w:rPr>
                <w:rFonts w:cs="Arial"/>
                <w:szCs w:val="24"/>
              </w:rPr>
            </w:pPr>
            <w:r>
              <w:rPr>
                <w:rFonts w:cs="Arial"/>
                <w:szCs w:val="24"/>
              </w:rPr>
              <w:t>Endocrinology</w:t>
            </w:r>
          </w:p>
        </w:tc>
        <w:tc>
          <w:tcPr>
            <w:tcW w:w="3654" w:type="dxa"/>
            <w:gridSpan w:val="2"/>
          </w:tcPr>
          <w:p w14:paraId="49364272" w14:textId="77777777" w:rsidR="00045BCC" w:rsidRDefault="00045BCC" w:rsidP="008205B4">
            <w:pPr>
              <w:rPr>
                <w:rFonts w:cs="Arial"/>
                <w:szCs w:val="24"/>
              </w:rPr>
            </w:pPr>
          </w:p>
        </w:tc>
      </w:tr>
      <w:tr w:rsidR="00045BCC" w:rsidRPr="002B4B26" w14:paraId="2C65714E" w14:textId="77777777" w:rsidTr="00FB694D">
        <w:trPr>
          <w:trHeight w:val="300"/>
        </w:trPr>
        <w:tc>
          <w:tcPr>
            <w:tcW w:w="1383" w:type="dxa"/>
            <w:vMerge/>
          </w:tcPr>
          <w:p w14:paraId="6892A716" w14:textId="77777777" w:rsidR="00045BCC" w:rsidRDefault="00045BCC" w:rsidP="008205B4">
            <w:pPr>
              <w:rPr>
                <w:rFonts w:cs="Arial"/>
                <w:szCs w:val="24"/>
              </w:rPr>
            </w:pPr>
          </w:p>
        </w:tc>
        <w:tc>
          <w:tcPr>
            <w:tcW w:w="4023" w:type="dxa"/>
          </w:tcPr>
          <w:p w14:paraId="5D20D8EC" w14:textId="0735C2C2" w:rsidR="00045BCC" w:rsidRDefault="00045BCC" w:rsidP="008205B4">
            <w:pPr>
              <w:rPr>
                <w:rFonts w:cs="Arial"/>
                <w:szCs w:val="24"/>
              </w:rPr>
            </w:pPr>
            <w:r>
              <w:rPr>
                <w:rFonts w:cs="Arial"/>
                <w:szCs w:val="24"/>
              </w:rPr>
              <w:t xml:space="preserve">BUMP </w:t>
            </w:r>
          </w:p>
        </w:tc>
        <w:tc>
          <w:tcPr>
            <w:tcW w:w="3654" w:type="dxa"/>
            <w:gridSpan w:val="2"/>
          </w:tcPr>
          <w:p w14:paraId="502EBF15" w14:textId="77777777" w:rsidR="00045BCC" w:rsidRDefault="00045BCC" w:rsidP="008205B4">
            <w:pPr>
              <w:rPr>
                <w:rFonts w:cs="Arial"/>
                <w:szCs w:val="24"/>
              </w:rPr>
            </w:pPr>
          </w:p>
        </w:tc>
      </w:tr>
      <w:tr w:rsidR="00045BCC" w:rsidRPr="002B4B26" w14:paraId="3E307A2C" w14:textId="77777777" w:rsidTr="00FB694D">
        <w:trPr>
          <w:trHeight w:val="300"/>
        </w:trPr>
        <w:tc>
          <w:tcPr>
            <w:tcW w:w="1383" w:type="dxa"/>
            <w:vMerge/>
          </w:tcPr>
          <w:p w14:paraId="02A61DA4" w14:textId="77777777" w:rsidR="00045BCC" w:rsidRDefault="00045BCC" w:rsidP="008205B4">
            <w:pPr>
              <w:rPr>
                <w:rFonts w:cs="Arial"/>
                <w:szCs w:val="24"/>
              </w:rPr>
            </w:pPr>
          </w:p>
        </w:tc>
        <w:tc>
          <w:tcPr>
            <w:tcW w:w="4023" w:type="dxa"/>
          </w:tcPr>
          <w:p w14:paraId="39CBBBF9" w14:textId="0018A551" w:rsidR="00045BCC" w:rsidRDefault="00045BCC" w:rsidP="008205B4">
            <w:pPr>
              <w:rPr>
                <w:rFonts w:cs="Arial"/>
                <w:szCs w:val="24"/>
              </w:rPr>
            </w:pPr>
            <w:r>
              <w:rPr>
                <w:rFonts w:cs="Arial"/>
                <w:szCs w:val="24"/>
              </w:rPr>
              <w:t>Other</w:t>
            </w:r>
          </w:p>
        </w:tc>
        <w:tc>
          <w:tcPr>
            <w:tcW w:w="3654" w:type="dxa"/>
            <w:gridSpan w:val="2"/>
          </w:tcPr>
          <w:p w14:paraId="57F71D6B" w14:textId="77777777" w:rsidR="00045BCC" w:rsidRDefault="00045BCC" w:rsidP="008205B4">
            <w:pPr>
              <w:rPr>
                <w:rFonts w:cs="Arial"/>
                <w:szCs w:val="24"/>
              </w:rPr>
            </w:pPr>
          </w:p>
        </w:tc>
      </w:tr>
      <w:tr w:rsidR="00462789" w:rsidRPr="002B4B26" w14:paraId="50D8A2B8" w14:textId="77777777" w:rsidTr="0001388F">
        <w:trPr>
          <w:trHeight w:val="300"/>
        </w:trPr>
        <w:tc>
          <w:tcPr>
            <w:tcW w:w="9060" w:type="dxa"/>
            <w:gridSpan w:val="4"/>
            <w:shd w:val="clear" w:color="auto" w:fill="FFEFFF"/>
          </w:tcPr>
          <w:p w14:paraId="33514BE0" w14:textId="3B1B05A0" w:rsidR="00462789" w:rsidRDefault="00462789" w:rsidP="008205B4">
            <w:pPr>
              <w:rPr>
                <w:rFonts w:cs="Arial"/>
                <w:szCs w:val="24"/>
              </w:rPr>
            </w:pPr>
            <w:r>
              <w:rPr>
                <w:rFonts w:cs="Arial"/>
                <w:szCs w:val="24"/>
              </w:rPr>
              <w:t>General Practitioner Details</w:t>
            </w:r>
          </w:p>
        </w:tc>
      </w:tr>
      <w:tr w:rsidR="00462789" w:rsidRPr="002B4B26" w14:paraId="413F45B3" w14:textId="77777777" w:rsidTr="00FB694D">
        <w:trPr>
          <w:trHeight w:val="300"/>
        </w:trPr>
        <w:tc>
          <w:tcPr>
            <w:tcW w:w="1383" w:type="dxa"/>
            <w:vMerge w:val="restart"/>
          </w:tcPr>
          <w:p w14:paraId="21E75E96" w14:textId="77777777" w:rsidR="00462789" w:rsidRDefault="00462789" w:rsidP="008205B4">
            <w:pPr>
              <w:rPr>
                <w:rFonts w:cs="Arial"/>
                <w:szCs w:val="24"/>
              </w:rPr>
            </w:pPr>
          </w:p>
        </w:tc>
        <w:tc>
          <w:tcPr>
            <w:tcW w:w="4023" w:type="dxa"/>
          </w:tcPr>
          <w:p w14:paraId="44246FFE" w14:textId="77777777" w:rsidR="00462789" w:rsidRDefault="00462789" w:rsidP="008205B4">
            <w:pPr>
              <w:rPr>
                <w:rFonts w:cs="Arial"/>
                <w:szCs w:val="24"/>
              </w:rPr>
            </w:pPr>
            <w:r>
              <w:rPr>
                <w:rFonts w:cs="Arial"/>
                <w:szCs w:val="24"/>
              </w:rPr>
              <w:t>Name</w:t>
            </w:r>
          </w:p>
        </w:tc>
        <w:tc>
          <w:tcPr>
            <w:tcW w:w="3654" w:type="dxa"/>
            <w:gridSpan w:val="2"/>
          </w:tcPr>
          <w:p w14:paraId="44E93266" w14:textId="77777777" w:rsidR="00462789" w:rsidRDefault="00462789" w:rsidP="008205B4">
            <w:pPr>
              <w:rPr>
                <w:rFonts w:cs="Arial"/>
                <w:szCs w:val="24"/>
              </w:rPr>
            </w:pPr>
          </w:p>
        </w:tc>
      </w:tr>
      <w:tr w:rsidR="00462789" w:rsidRPr="002B4B26" w14:paraId="67C1753B" w14:textId="77777777" w:rsidTr="00FB694D">
        <w:trPr>
          <w:trHeight w:val="300"/>
        </w:trPr>
        <w:tc>
          <w:tcPr>
            <w:tcW w:w="1383" w:type="dxa"/>
            <w:vMerge/>
          </w:tcPr>
          <w:p w14:paraId="3361CB48" w14:textId="77777777" w:rsidR="00462789" w:rsidRDefault="00462789" w:rsidP="008205B4">
            <w:pPr>
              <w:rPr>
                <w:rFonts w:cs="Arial"/>
                <w:szCs w:val="24"/>
              </w:rPr>
            </w:pPr>
          </w:p>
        </w:tc>
        <w:tc>
          <w:tcPr>
            <w:tcW w:w="4023" w:type="dxa"/>
          </w:tcPr>
          <w:p w14:paraId="49C0482C" w14:textId="77777777" w:rsidR="00462789" w:rsidRDefault="00462789" w:rsidP="008205B4">
            <w:pPr>
              <w:rPr>
                <w:rFonts w:cs="Arial"/>
                <w:szCs w:val="24"/>
              </w:rPr>
            </w:pPr>
            <w:r>
              <w:rPr>
                <w:rFonts w:cs="Arial"/>
                <w:szCs w:val="24"/>
              </w:rPr>
              <w:t>Location</w:t>
            </w:r>
          </w:p>
        </w:tc>
        <w:tc>
          <w:tcPr>
            <w:tcW w:w="3654" w:type="dxa"/>
            <w:gridSpan w:val="2"/>
          </w:tcPr>
          <w:p w14:paraId="709D909B" w14:textId="77777777" w:rsidR="00462789" w:rsidRDefault="00462789" w:rsidP="008205B4">
            <w:pPr>
              <w:rPr>
                <w:rFonts w:cs="Arial"/>
                <w:szCs w:val="24"/>
              </w:rPr>
            </w:pPr>
          </w:p>
        </w:tc>
      </w:tr>
      <w:tr w:rsidR="00462789" w:rsidRPr="002B4B26" w14:paraId="40AF6BA7" w14:textId="77777777" w:rsidTr="0001388F">
        <w:trPr>
          <w:trHeight w:val="300"/>
        </w:trPr>
        <w:tc>
          <w:tcPr>
            <w:tcW w:w="9060" w:type="dxa"/>
            <w:gridSpan w:val="4"/>
            <w:shd w:val="clear" w:color="auto" w:fill="FFEFFF"/>
          </w:tcPr>
          <w:p w14:paraId="03BB3A12" w14:textId="6FCB9A54" w:rsidR="00462789" w:rsidRDefault="00CA3DB9" w:rsidP="008205B4">
            <w:pPr>
              <w:rPr>
                <w:rFonts w:cs="Arial"/>
                <w:szCs w:val="24"/>
              </w:rPr>
            </w:pPr>
            <w:r>
              <w:rPr>
                <w:rFonts w:cs="Arial"/>
                <w:szCs w:val="24"/>
              </w:rPr>
              <w:t>Obstetrician/Midwife</w:t>
            </w:r>
            <w:r w:rsidR="00462789">
              <w:rPr>
                <w:rFonts w:cs="Arial"/>
                <w:szCs w:val="24"/>
              </w:rPr>
              <w:t xml:space="preserve"> Details</w:t>
            </w:r>
          </w:p>
        </w:tc>
      </w:tr>
      <w:tr w:rsidR="00462789" w:rsidRPr="002B4B26" w14:paraId="25B41615" w14:textId="77777777" w:rsidTr="00FB694D">
        <w:trPr>
          <w:trHeight w:val="300"/>
        </w:trPr>
        <w:tc>
          <w:tcPr>
            <w:tcW w:w="1383" w:type="dxa"/>
            <w:vMerge w:val="restart"/>
          </w:tcPr>
          <w:p w14:paraId="24C1B877" w14:textId="77777777" w:rsidR="00462789" w:rsidRDefault="00462789" w:rsidP="008205B4">
            <w:pPr>
              <w:rPr>
                <w:rFonts w:cs="Arial"/>
                <w:szCs w:val="24"/>
              </w:rPr>
            </w:pPr>
          </w:p>
        </w:tc>
        <w:tc>
          <w:tcPr>
            <w:tcW w:w="4023" w:type="dxa"/>
          </w:tcPr>
          <w:p w14:paraId="36CE7C0E" w14:textId="77777777" w:rsidR="00462789" w:rsidRDefault="00462789" w:rsidP="008205B4">
            <w:pPr>
              <w:rPr>
                <w:rFonts w:cs="Arial"/>
                <w:szCs w:val="24"/>
              </w:rPr>
            </w:pPr>
            <w:r>
              <w:rPr>
                <w:rFonts w:cs="Arial"/>
                <w:szCs w:val="24"/>
              </w:rPr>
              <w:t>Name</w:t>
            </w:r>
          </w:p>
        </w:tc>
        <w:tc>
          <w:tcPr>
            <w:tcW w:w="3654" w:type="dxa"/>
            <w:gridSpan w:val="2"/>
          </w:tcPr>
          <w:p w14:paraId="2A7A0239" w14:textId="77777777" w:rsidR="00462789" w:rsidRDefault="00462789" w:rsidP="008205B4">
            <w:pPr>
              <w:rPr>
                <w:rFonts w:cs="Arial"/>
                <w:szCs w:val="24"/>
              </w:rPr>
            </w:pPr>
          </w:p>
        </w:tc>
      </w:tr>
      <w:tr w:rsidR="00462789" w:rsidRPr="002B4B26" w14:paraId="2B2C824D" w14:textId="77777777" w:rsidTr="00FB694D">
        <w:trPr>
          <w:trHeight w:val="300"/>
        </w:trPr>
        <w:tc>
          <w:tcPr>
            <w:tcW w:w="1383" w:type="dxa"/>
            <w:vMerge/>
          </w:tcPr>
          <w:p w14:paraId="08BFE126" w14:textId="77777777" w:rsidR="00462789" w:rsidRDefault="00462789" w:rsidP="008205B4">
            <w:pPr>
              <w:rPr>
                <w:rFonts w:cs="Arial"/>
                <w:szCs w:val="24"/>
              </w:rPr>
            </w:pPr>
          </w:p>
        </w:tc>
        <w:tc>
          <w:tcPr>
            <w:tcW w:w="4023" w:type="dxa"/>
          </w:tcPr>
          <w:p w14:paraId="442D2727" w14:textId="77777777" w:rsidR="00462789" w:rsidRDefault="00462789" w:rsidP="008205B4">
            <w:pPr>
              <w:rPr>
                <w:rFonts w:cs="Arial"/>
                <w:szCs w:val="24"/>
              </w:rPr>
            </w:pPr>
            <w:r>
              <w:rPr>
                <w:rFonts w:cs="Arial"/>
                <w:szCs w:val="24"/>
              </w:rPr>
              <w:t>Location</w:t>
            </w:r>
          </w:p>
        </w:tc>
        <w:tc>
          <w:tcPr>
            <w:tcW w:w="3654" w:type="dxa"/>
            <w:gridSpan w:val="2"/>
          </w:tcPr>
          <w:p w14:paraId="1343CD6D" w14:textId="77777777" w:rsidR="00462789" w:rsidRDefault="00462789" w:rsidP="008205B4">
            <w:pPr>
              <w:rPr>
                <w:rFonts w:cs="Arial"/>
                <w:szCs w:val="24"/>
              </w:rPr>
            </w:pPr>
          </w:p>
        </w:tc>
      </w:tr>
      <w:tr w:rsidR="00462789" w:rsidRPr="002B4B26" w14:paraId="4DCEF277" w14:textId="77777777" w:rsidTr="008205B4">
        <w:trPr>
          <w:trHeight w:val="300"/>
        </w:trPr>
        <w:tc>
          <w:tcPr>
            <w:tcW w:w="9060" w:type="dxa"/>
            <w:gridSpan w:val="4"/>
            <w:shd w:val="clear" w:color="auto" w:fill="BFBFBF" w:themeFill="background1" w:themeFillShade="BF"/>
          </w:tcPr>
          <w:p w14:paraId="658F842F" w14:textId="054AE3B7" w:rsidR="00462789" w:rsidRDefault="00462789" w:rsidP="008205B4">
            <w:pPr>
              <w:rPr>
                <w:rFonts w:cs="Arial"/>
                <w:szCs w:val="24"/>
              </w:rPr>
            </w:pPr>
            <w:r>
              <w:rPr>
                <w:rFonts w:cs="Arial"/>
                <w:szCs w:val="24"/>
              </w:rPr>
              <w:t>Referrer Details</w:t>
            </w:r>
          </w:p>
        </w:tc>
      </w:tr>
      <w:tr w:rsidR="00045BCC" w:rsidRPr="002B4B26" w14:paraId="166C9C9B" w14:textId="77777777" w:rsidTr="00FB694D">
        <w:trPr>
          <w:trHeight w:val="300"/>
        </w:trPr>
        <w:tc>
          <w:tcPr>
            <w:tcW w:w="1383" w:type="dxa"/>
            <w:vMerge w:val="restart"/>
          </w:tcPr>
          <w:p w14:paraId="17388E95" w14:textId="77777777" w:rsidR="00045BCC" w:rsidRDefault="00045BCC" w:rsidP="008205B4">
            <w:pPr>
              <w:rPr>
                <w:rFonts w:cs="Arial"/>
                <w:szCs w:val="24"/>
              </w:rPr>
            </w:pPr>
          </w:p>
        </w:tc>
        <w:tc>
          <w:tcPr>
            <w:tcW w:w="4023" w:type="dxa"/>
          </w:tcPr>
          <w:p w14:paraId="7383C0E4" w14:textId="77777777" w:rsidR="00045BCC" w:rsidRDefault="00045BCC" w:rsidP="008205B4">
            <w:pPr>
              <w:rPr>
                <w:rFonts w:cs="Arial"/>
                <w:szCs w:val="24"/>
              </w:rPr>
            </w:pPr>
            <w:r>
              <w:rPr>
                <w:rFonts w:cs="Arial"/>
                <w:szCs w:val="24"/>
              </w:rPr>
              <w:t>Name</w:t>
            </w:r>
          </w:p>
          <w:p w14:paraId="6FC2AB50" w14:textId="6851747A" w:rsidR="00045BCC" w:rsidRDefault="00045BCC" w:rsidP="008205B4">
            <w:pPr>
              <w:rPr>
                <w:rFonts w:cs="Arial"/>
                <w:szCs w:val="24"/>
              </w:rPr>
            </w:pPr>
            <w:r>
              <w:rPr>
                <w:rFonts w:cs="Arial"/>
                <w:szCs w:val="24"/>
              </w:rPr>
              <w:t>Designation</w:t>
            </w:r>
          </w:p>
        </w:tc>
        <w:tc>
          <w:tcPr>
            <w:tcW w:w="3654" w:type="dxa"/>
            <w:gridSpan w:val="2"/>
          </w:tcPr>
          <w:p w14:paraId="1A331D51" w14:textId="77777777" w:rsidR="00045BCC" w:rsidRDefault="00045BCC" w:rsidP="008205B4">
            <w:pPr>
              <w:rPr>
                <w:rFonts w:cs="Arial"/>
                <w:szCs w:val="24"/>
              </w:rPr>
            </w:pPr>
          </w:p>
          <w:p w14:paraId="35F86CA4" w14:textId="77777777" w:rsidR="00045BCC" w:rsidRDefault="00045BCC" w:rsidP="008205B4">
            <w:pPr>
              <w:rPr>
                <w:rFonts w:cs="Arial"/>
                <w:szCs w:val="24"/>
              </w:rPr>
            </w:pPr>
          </w:p>
        </w:tc>
      </w:tr>
      <w:tr w:rsidR="00045BCC" w:rsidRPr="002B4B26" w14:paraId="2FD043C6" w14:textId="77777777" w:rsidTr="00FB694D">
        <w:trPr>
          <w:trHeight w:val="300"/>
        </w:trPr>
        <w:tc>
          <w:tcPr>
            <w:tcW w:w="1383" w:type="dxa"/>
            <w:vMerge/>
          </w:tcPr>
          <w:p w14:paraId="5AC785C6" w14:textId="77777777" w:rsidR="00045BCC" w:rsidRDefault="00045BCC" w:rsidP="008205B4">
            <w:pPr>
              <w:rPr>
                <w:rFonts w:cs="Arial"/>
                <w:szCs w:val="24"/>
              </w:rPr>
            </w:pPr>
          </w:p>
        </w:tc>
        <w:tc>
          <w:tcPr>
            <w:tcW w:w="4023" w:type="dxa"/>
          </w:tcPr>
          <w:p w14:paraId="3363DB6A" w14:textId="540C0D21" w:rsidR="00045BCC" w:rsidRDefault="00045BCC" w:rsidP="008205B4">
            <w:pPr>
              <w:rPr>
                <w:rFonts w:cs="Arial"/>
                <w:szCs w:val="24"/>
              </w:rPr>
            </w:pPr>
            <w:r>
              <w:rPr>
                <w:rFonts w:cs="Arial"/>
                <w:szCs w:val="24"/>
              </w:rPr>
              <w:t>Location</w:t>
            </w:r>
          </w:p>
        </w:tc>
        <w:tc>
          <w:tcPr>
            <w:tcW w:w="3654" w:type="dxa"/>
            <w:gridSpan w:val="2"/>
          </w:tcPr>
          <w:p w14:paraId="18E54D39" w14:textId="77777777" w:rsidR="00045BCC" w:rsidRDefault="00045BCC" w:rsidP="008205B4">
            <w:pPr>
              <w:rPr>
                <w:rFonts w:cs="Arial"/>
                <w:szCs w:val="24"/>
              </w:rPr>
            </w:pPr>
          </w:p>
        </w:tc>
      </w:tr>
      <w:tr w:rsidR="00045BCC" w:rsidRPr="002B4B26" w14:paraId="67D5B06A" w14:textId="77777777" w:rsidTr="00FB694D">
        <w:trPr>
          <w:trHeight w:val="300"/>
        </w:trPr>
        <w:tc>
          <w:tcPr>
            <w:tcW w:w="1383" w:type="dxa"/>
            <w:vMerge/>
          </w:tcPr>
          <w:p w14:paraId="2E729B10" w14:textId="77777777" w:rsidR="00045BCC" w:rsidRDefault="00045BCC" w:rsidP="008205B4">
            <w:pPr>
              <w:rPr>
                <w:rFonts w:cs="Arial"/>
                <w:szCs w:val="24"/>
              </w:rPr>
            </w:pPr>
          </w:p>
        </w:tc>
        <w:tc>
          <w:tcPr>
            <w:tcW w:w="4023" w:type="dxa"/>
          </w:tcPr>
          <w:p w14:paraId="7DB377CC" w14:textId="1ED0B962" w:rsidR="00045BCC" w:rsidRDefault="00045BCC" w:rsidP="008205B4">
            <w:pPr>
              <w:rPr>
                <w:rFonts w:cs="Arial"/>
                <w:szCs w:val="24"/>
              </w:rPr>
            </w:pPr>
            <w:r>
              <w:rPr>
                <w:rFonts w:cs="Arial"/>
                <w:szCs w:val="24"/>
              </w:rPr>
              <w:t>Date</w:t>
            </w:r>
          </w:p>
        </w:tc>
        <w:tc>
          <w:tcPr>
            <w:tcW w:w="3654" w:type="dxa"/>
            <w:gridSpan w:val="2"/>
          </w:tcPr>
          <w:p w14:paraId="6907B5C8" w14:textId="77777777" w:rsidR="00045BCC" w:rsidRDefault="00045BCC" w:rsidP="008205B4">
            <w:pPr>
              <w:rPr>
                <w:rFonts w:cs="Arial"/>
                <w:szCs w:val="24"/>
              </w:rPr>
            </w:pPr>
          </w:p>
        </w:tc>
      </w:tr>
      <w:bookmarkEnd w:id="44"/>
    </w:tbl>
    <w:p w14:paraId="32005145" w14:textId="77777777" w:rsidR="005B10A0" w:rsidRDefault="005B10A0" w:rsidP="007B6904">
      <w:pPr>
        <w:rPr>
          <w:rFonts w:cs="Arial"/>
          <w:b/>
          <w:szCs w:val="24"/>
        </w:rPr>
      </w:pPr>
    </w:p>
    <w:p w14:paraId="1114676C" w14:textId="77777777" w:rsidR="00730C6A" w:rsidRDefault="00730C6A">
      <w:pPr>
        <w:spacing w:after="200" w:line="276" w:lineRule="auto"/>
        <w:rPr>
          <w:rFonts w:cs="Arial"/>
          <w:b/>
          <w:szCs w:val="24"/>
        </w:rPr>
      </w:pPr>
      <w:r>
        <w:rPr>
          <w:rFonts w:cs="Arial"/>
          <w:b/>
          <w:szCs w:val="24"/>
        </w:rPr>
        <w:br w:type="page"/>
      </w:r>
    </w:p>
    <w:p w14:paraId="05A82E23" w14:textId="1AAD9AB2" w:rsidR="008867F1" w:rsidRDefault="008867F1" w:rsidP="00A539E9">
      <w:pPr>
        <w:pStyle w:val="Heading2"/>
      </w:pPr>
      <w:bookmarkStart w:id="45" w:name="_Toc109996423"/>
      <w:r w:rsidRPr="000D6CCA">
        <w:lastRenderedPageBreak/>
        <w:t>Attachment 2: CHS HITH General Admission and Exclusion Criteria</w:t>
      </w:r>
      <w:bookmarkEnd w:id="45"/>
    </w:p>
    <w:p w14:paraId="08CFD836" w14:textId="54CAADCD" w:rsidR="008867F1" w:rsidRDefault="008867F1" w:rsidP="008867F1">
      <w:pPr>
        <w:rPr>
          <w:rFonts w:cs="Arial"/>
          <w:b/>
          <w:bCs/>
          <w:szCs w:val="24"/>
        </w:rPr>
      </w:pPr>
      <w:r w:rsidRPr="000D6CCA">
        <w:rPr>
          <w:rFonts w:cs="Arial"/>
          <w:b/>
          <w:noProof/>
          <w:sz w:val="36"/>
          <w:szCs w:val="36"/>
        </w:rPr>
        <mc:AlternateContent>
          <mc:Choice Requires="wps">
            <w:drawing>
              <wp:anchor distT="45720" distB="45720" distL="114300" distR="114300" simplePos="0" relativeHeight="251663360" behindDoc="0" locked="0" layoutInCell="1" allowOverlap="1" wp14:anchorId="727C9FE0" wp14:editId="320E5361">
                <wp:simplePos x="0" y="0"/>
                <wp:positionH relativeFrom="margin">
                  <wp:posOffset>0</wp:posOffset>
                </wp:positionH>
                <wp:positionV relativeFrom="paragraph">
                  <wp:posOffset>235585</wp:posOffset>
                </wp:positionV>
                <wp:extent cx="5734050" cy="26193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619375"/>
                        </a:xfrm>
                        <a:prstGeom prst="rect">
                          <a:avLst/>
                        </a:prstGeom>
                        <a:solidFill>
                          <a:srgbClr val="FFFFFF"/>
                        </a:solidFill>
                        <a:ln w="9525">
                          <a:solidFill>
                            <a:srgbClr val="000000"/>
                          </a:solidFill>
                          <a:miter lim="800000"/>
                          <a:headEnd/>
                          <a:tailEnd/>
                        </a:ln>
                      </wps:spPr>
                      <wps:txbx>
                        <w:txbxContent>
                          <w:p w14:paraId="642F12B7" w14:textId="77777777" w:rsidR="008867F1" w:rsidRPr="000D6CCA" w:rsidRDefault="008867F1" w:rsidP="008867F1">
                            <w:pPr>
                              <w:rPr>
                                <w:rFonts w:cs="Arial"/>
                                <w:b/>
                                <w:szCs w:val="24"/>
                              </w:rPr>
                            </w:pPr>
                            <w:r w:rsidRPr="000D6CCA">
                              <w:rPr>
                                <w:rFonts w:cs="Arial"/>
                                <w:b/>
                                <w:szCs w:val="24"/>
                              </w:rPr>
                              <w:t>General CHS HITH Admission Criteria</w:t>
                            </w:r>
                          </w:p>
                          <w:p w14:paraId="7CEDDDA7" w14:textId="77777777" w:rsidR="008867F1" w:rsidRPr="000D6CCA" w:rsidRDefault="008867F1" w:rsidP="008867F1">
                            <w:pPr>
                              <w:pStyle w:val="ListBullet"/>
                              <w:tabs>
                                <w:tab w:val="num" w:pos="360"/>
                              </w:tabs>
                              <w:ind w:left="360" w:hanging="360"/>
                              <w:jc w:val="both"/>
                              <w:rPr>
                                <w:szCs w:val="24"/>
                              </w:rPr>
                            </w:pPr>
                            <w:r w:rsidRPr="000D6CCA">
                              <w:rPr>
                                <w:szCs w:val="24"/>
                              </w:rPr>
                              <w:t>The patient must consent to HITH treatment (or has consent from a substitute decision maker).</w:t>
                            </w:r>
                          </w:p>
                          <w:p w14:paraId="4C5D5471" w14:textId="77777777" w:rsidR="008867F1" w:rsidRPr="000D6CCA" w:rsidRDefault="008867F1" w:rsidP="008867F1">
                            <w:pPr>
                              <w:pStyle w:val="ListBullet"/>
                              <w:tabs>
                                <w:tab w:val="num" w:pos="360"/>
                              </w:tabs>
                              <w:ind w:left="360" w:hanging="360"/>
                              <w:jc w:val="both"/>
                              <w:rPr>
                                <w:szCs w:val="24"/>
                              </w:rPr>
                            </w:pPr>
                            <w:r w:rsidRPr="000D6CCA">
                              <w:rPr>
                                <w:szCs w:val="24"/>
                              </w:rPr>
                              <w:t>The patient is self-caring or supported at home for activities of daily living.</w:t>
                            </w:r>
                          </w:p>
                          <w:p w14:paraId="337D47CC" w14:textId="77777777" w:rsidR="008867F1" w:rsidRPr="000D6CCA" w:rsidRDefault="008867F1" w:rsidP="008867F1">
                            <w:pPr>
                              <w:pStyle w:val="ListBullet"/>
                              <w:tabs>
                                <w:tab w:val="num" w:pos="360"/>
                              </w:tabs>
                              <w:ind w:left="360" w:hanging="360"/>
                              <w:jc w:val="both"/>
                              <w:rPr>
                                <w:szCs w:val="24"/>
                              </w:rPr>
                            </w:pPr>
                            <w:r w:rsidRPr="000D6CCA">
                              <w:rPr>
                                <w:szCs w:val="24"/>
                              </w:rPr>
                              <w:t>The patient or carer are able to partner in the delivery of care. The patient should be able to communicate effectively, follow instructions and know when and how to escalate their care, or have a live-in carer who takes this responsibility.</w:t>
                            </w:r>
                          </w:p>
                          <w:p w14:paraId="6838214B" w14:textId="77777777" w:rsidR="008867F1" w:rsidRPr="000D6CCA" w:rsidRDefault="008867F1" w:rsidP="008867F1">
                            <w:pPr>
                              <w:pStyle w:val="ListBullet"/>
                              <w:tabs>
                                <w:tab w:val="num" w:pos="360"/>
                              </w:tabs>
                              <w:ind w:left="360" w:hanging="360"/>
                              <w:jc w:val="both"/>
                              <w:rPr>
                                <w:szCs w:val="24"/>
                              </w:rPr>
                            </w:pPr>
                            <w:r w:rsidRPr="000D6CCA">
                              <w:rPr>
                                <w:szCs w:val="24"/>
                              </w:rPr>
                              <w:t xml:space="preserve">The patient has access to a reliable landline or mobile telephone. </w:t>
                            </w:r>
                          </w:p>
                          <w:p w14:paraId="4C621F53" w14:textId="77777777" w:rsidR="008867F1" w:rsidRPr="000D6CCA" w:rsidRDefault="008867F1" w:rsidP="008867F1">
                            <w:pPr>
                              <w:pStyle w:val="ListBullet"/>
                              <w:tabs>
                                <w:tab w:val="num" w:pos="360"/>
                              </w:tabs>
                              <w:ind w:left="360" w:hanging="360"/>
                              <w:jc w:val="both"/>
                              <w:rPr>
                                <w:szCs w:val="24"/>
                              </w:rPr>
                            </w:pPr>
                            <w:r w:rsidRPr="000D6CCA">
                              <w:rPr>
                                <w:szCs w:val="24"/>
                              </w:rPr>
                              <w:t>The patient is in a Residential Aged Care Facility (RACF) requiring acute treatment that would otherwise lead to an admission to a hospital inpatient service.</w:t>
                            </w:r>
                          </w:p>
                          <w:p w14:paraId="6B588E43" w14:textId="77777777" w:rsidR="008867F1" w:rsidRPr="000D6CCA" w:rsidRDefault="008867F1" w:rsidP="008867F1">
                            <w:pPr>
                              <w:pStyle w:val="ListBullet"/>
                              <w:tabs>
                                <w:tab w:val="num" w:pos="360"/>
                              </w:tabs>
                              <w:ind w:left="360" w:hanging="360"/>
                              <w:jc w:val="both"/>
                              <w:rPr>
                                <w:b/>
                                <w:bCs/>
                                <w:szCs w:val="24"/>
                              </w:rPr>
                            </w:pPr>
                            <w:r w:rsidRPr="000D6CCA">
                              <w:rPr>
                                <w:szCs w:val="24"/>
                              </w:rPr>
                              <w:t>The patient meets the criteria for admission according to the CHS admission processes.</w:t>
                            </w:r>
                          </w:p>
                          <w:p w14:paraId="3F569BBF" w14:textId="77777777" w:rsidR="008867F1" w:rsidRPr="000D6CCA" w:rsidRDefault="008867F1" w:rsidP="008867F1">
                            <w:pPr>
                              <w:pStyle w:val="ListBullet"/>
                              <w:tabs>
                                <w:tab w:val="num" w:pos="360"/>
                              </w:tabs>
                              <w:ind w:left="360" w:hanging="360"/>
                              <w:jc w:val="both"/>
                              <w:rPr>
                                <w:b/>
                                <w:bCs/>
                                <w:szCs w:val="24"/>
                              </w:rPr>
                            </w:pPr>
                            <w:r w:rsidRPr="000D6CCA">
                              <w:rPr>
                                <w:szCs w:val="24"/>
                              </w:rPr>
                              <w:t>The patient’s place of residence is suitable for the delivery of HITH care (see also Exclusions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7C9FE0" id="_x0000_t202" coordsize="21600,21600" o:spt="202" path="m,l,21600r21600,l21600,xe">
                <v:stroke joinstyle="miter"/>
                <v:path gradientshapeok="t" o:connecttype="rect"/>
              </v:shapetype>
              <v:shape id="Text Box 2" o:spid="_x0000_s1026" type="#_x0000_t202" style="position:absolute;margin-left:0;margin-top:18.55pt;width:451.5pt;height:206.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YLBEQIAACAEAAAOAAAAZHJzL2Uyb0RvYy54bWysU9tu2zAMfR+wfxD0vthx46Yx4hRdugwD&#10;ugvQ7QNkWY6FyaImKbGzrx8lu2l2exmmB4EUqUPykFzfDp0iR2GdBF3S+SylRGgOtdT7kn75vHt1&#10;Q4nzTNdMgRYlPQlHbzcvX6x7U4gMWlC1sARBtCt6U9LWe1MkieOt6JibgREajQ3YjnlU7T6pLesR&#10;vVNJlqbXSQ+2Nha4cA5f70cj3UT8phHcf2waJzxRJcXcfLxtvKtwJ5s1K/aWmVbyKQ32D1l0TGoM&#10;eoa6Z56Rg5W/QXWSW3DQ+BmHLoGmkVzEGrCaefpLNY8tMyLWguQ4c6bJ/T9Y/uH4aD5Z4ofXMGAD&#10;YxHOPAD/6oiGbcv0XtxZC30rWI2B54GypDeumL4Gql3hAkjVv4cam8wOHiLQ0NgusIJ1EkTHBpzO&#10;pIvBE46P+fJqkeZo4mjLruerq2UeY7Di6buxzr8V0JEglNRiVyM8Oz44H9JhxZNLiOZAyXonlYqK&#10;3VdbZcmR4QTs4pnQf3JTmvQlXeVZPjLwV4g0nj9BdNLjKCvZlfTm7MSKwNsbXcdB80yqUcaUlZ6I&#10;DNyNLPqhGtAxEFpBfUJKLYwjiyuGQgv2OyU9jmtJ3bcDs4IS9U5jW1bzxSLMd1QW+TJDxV5aqksL&#10;0xyhSuopGcWtjzsRCNNwh+1rZCT2OZMpVxzDyPe0MmHOL/Xo9bzYmx8AAAD//wMAUEsDBBQABgAI&#10;AAAAIQCMSmHp3gAAAAcBAAAPAAAAZHJzL2Rvd25yZXYueG1sTI/BTsMwEETvSPyDtUhcEHVKorQJ&#10;2VQICQS3UhBc3dhNIux1iN00/D3LCY47M5p5W21mZ8VkxtB7QlguEhCGGq97ahHeXh+u1yBCVKSV&#10;9WQQvk2ATX1+VqlS+xO9mGkXW8ElFEqF0MU4lFKGpjNOhYUfDLF38KNTkc+xlXpUJy53Vt4kSS6d&#10;6okXOjWY+840n7ujQ1hnT9NHeE63701+sEW8Wk2PXyPi5cV8dwsimjn+heEXn9GhZqa9P5IOwiLw&#10;IxEhXS1BsFskKQt7hCwrcpB1Jf/z1z8AAAD//wMAUEsBAi0AFAAGAAgAAAAhALaDOJL+AAAA4QEA&#10;ABMAAAAAAAAAAAAAAAAAAAAAAFtDb250ZW50X1R5cGVzXS54bWxQSwECLQAUAAYACAAAACEAOP0h&#10;/9YAAACUAQAACwAAAAAAAAAAAAAAAAAvAQAAX3JlbHMvLnJlbHNQSwECLQAUAAYACAAAACEA+i2C&#10;wRECAAAgBAAADgAAAAAAAAAAAAAAAAAuAgAAZHJzL2Uyb0RvYy54bWxQSwECLQAUAAYACAAAACEA&#10;jEph6d4AAAAHAQAADwAAAAAAAAAAAAAAAABrBAAAZHJzL2Rvd25yZXYueG1sUEsFBgAAAAAEAAQA&#10;8wAAAHYFAAAAAA==&#10;">
                <v:textbox>
                  <w:txbxContent>
                    <w:p w14:paraId="642F12B7" w14:textId="77777777" w:rsidR="008867F1" w:rsidRPr="000D6CCA" w:rsidRDefault="008867F1" w:rsidP="008867F1">
                      <w:pPr>
                        <w:rPr>
                          <w:rFonts w:cs="Arial"/>
                          <w:b/>
                          <w:szCs w:val="24"/>
                        </w:rPr>
                      </w:pPr>
                      <w:r w:rsidRPr="000D6CCA">
                        <w:rPr>
                          <w:rFonts w:cs="Arial"/>
                          <w:b/>
                          <w:szCs w:val="24"/>
                        </w:rPr>
                        <w:t>General CHS HITH Admission Criteria</w:t>
                      </w:r>
                    </w:p>
                    <w:p w14:paraId="7CEDDDA7" w14:textId="77777777" w:rsidR="008867F1" w:rsidRPr="000D6CCA" w:rsidRDefault="008867F1" w:rsidP="008867F1">
                      <w:pPr>
                        <w:pStyle w:val="ListBullet"/>
                        <w:tabs>
                          <w:tab w:val="num" w:pos="360"/>
                        </w:tabs>
                        <w:ind w:left="360" w:hanging="360"/>
                        <w:jc w:val="both"/>
                        <w:rPr>
                          <w:szCs w:val="24"/>
                        </w:rPr>
                      </w:pPr>
                      <w:r w:rsidRPr="000D6CCA">
                        <w:rPr>
                          <w:szCs w:val="24"/>
                        </w:rPr>
                        <w:t>The patient must consent to HITH treatment (or has consent from a substitute decision maker).</w:t>
                      </w:r>
                    </w:p>
                    <w:p w14:paraId="4C5D5471" w14:textId="77777777" w:rsidR="008867F1" w:rsidRPr="000D6CCA" w:rsidRDefault="008867F1" w:rsidP="008867F1">
                      <w:pPr>
                        <w:pStyle w:val="ListBullet"/>
                        <w:tabs>
                          <w:tab w:val="num" w:pos="360"/>
                        </w:tabs>
                        <w:ind w:left="360" w:hanging="360"/>
                        <w:jc w:val="both"/>
                        <w:rPr>
                          <w:szCs w:val="24"/>
                        </w:rPr>
                      </w:pPr>
                      <w:r w:rsidRPr="000D6CCA">
                        <w:rPr>
                          <w:szCs w:val="24"/>
                        </w:rPr>
                        <w:t>The patient is self-caring or supported at home for activities of daily living.</w:t>
                      </w:r>
                    </w:p>
                    <w:p w14:paraId="337D47CC" w14:textId="77777777" w:rsidR="008867F1" w:rsidRPr="000D6CCA" w:rsidRDefault="008867F1" w:rsidP="008867F1">
                      <w:pPr>
                        <w:pStyle w:val="ListBullet"/>
                        <w:tabs>
                          <w:tab w:val="num" w:pos="360"/>
                        </w:tabs>
                        <w:ind w:left="360" w:hanging="360"/>
                        <w:jc w:val="both"/>
                        <w:rPr>
                          <w:szCs w:val="24"/>
                        </w:rPr>
                      </w:pPr>
                      <w:r w:rsidRPr="000D6CCA">
                        <w:rPr>
                          <w:szCs w:val="24"/>
                        </w:rPr>
                        <w:t>The patient or carer are able to partner in the delivery of care. The patient should be able to communicate effectively, follow instructions and know when and how to escalate their care, or have a live-in carer who takes this responsibility.</w:t>
                      </w:r>
                    </w:p>
                    <w:p w14:paraId="6838214B" w14:textId="77777777" w:rsidR="008867F1" w:rsidRPr="000D6CCA" w:rsidRDefault="008867F1" w:rsidP="008867F1">
                      <w:pPr>
                        <w:pStyle w:val="ListBullet"/>
                        <w:tabs>
                          <w:tab w:val="num" w:pos="360"/>
                        </w:tabs>
                        <w:ind w:left="360" w:hanging="360"/>
                        <w:jc w:val="both"/>
                        <w:rPr>
                          <w:szCs w:val="24"/>
                        </w:rPr>
                      </w:pPr>
                      <w:r w:rsidRPr="000D6CCA">
                        <w:rPr>
                          <w:szCs w:val="24"/>
                        </w:rPr>
                        <w:t xml:space="preserve">The patient has access to a reliable landline or mobile telephone. </w:t>
                      </w:r>
                    </w:p>
                    <w:p w14:paraId="4C621F53" w14:textId="77777777" w:rsidR="008867F1" w:rsidRPr="000D6CCA" w:rsidRDefault="008867F1" w:rsidP="008867F1">
                      <w:pPr>
                        <w:pStyle w:val="ListBullet"/>
                        <w:tabs>
                          <w:tab w:val="num" w:pos="360"/>
                        </w:tabs>
                        <w:ind w:left="360" w:hanging="360"/>
                        <w:jc w:val="both"/>
                        <w:rPr>
                          <w:szCs w:val="24"/>
                        </w:rPr>
                      </w:pPr>
                      <w:r w:rsidRPr="000D6CCA">
                        <w:rPr>
                          <w:szCs w:val="24"/>
                        </w:rPr>
                        <w:t>The patient is in a Residential Aged Care Facility (RACF) requiring acute treatment that would otherwise lead to an admission to a hospital inpatient service.</w:t>
                      </w:r>
                    </w:p>
                    <w:p w14:paraId="6B588E43" w14:textId="77777777" w:rsidR="008867F1" w:rsidRPr="000D6CCA" w:rsidRDefault="008867F1" w:rsidP="008867F1">
                      <w:pPr>
                        <w:pStyle w:val="ListBullet"/>
                        <w:tabs>
                          <w:tab w:val="num" w:pos="360"/>
                        </w:tabs>
                        <w:ind w:left="360" w:hanging="360"/>
                        <w:jc w:val="both"/>
                        <w:rPr>
                          <w:b/>
                          <w:bCs/>
                          <w:szCs w:val="24"/>
                        </w:rPr>
                      </w:pPr>
                      <w:r w:rsidRPr="000D6CCA">
                        <w:rPr>
                          <w:szCs w:val="24"/>
                        </w:rPr>
                        <w:t>The patient meets the criteria for admission according to the CHS admission processes.</w:t>
                      </w:r>
                    </w:p>
                    <w:p w14:paraId="3F569BBF" w14:textId="77777777" w:rsidR="008867F1" w:rsidRPr="000D6CCA" w:rsidRDefault="008867F1" w:rsidP="008867F1">
                      <w:pPr>
                        <w:pStyle w:val="ListBullet"/>
                        <w:tabs>
                          <w:tab w:val="num" w:pos="360"/>
                        </w:tabs>
                        <w:ind w:left="360" w:hanging="360"/>
                        <w:jc w:val="both"/>
                        <w:rPr>
                          <w:b/>
                          <w:bCs/>
                          <w:szCs w:val="24"/>
                        </w:rPr>
                      </w:pPr>
                      <w:r w:rsidRPr="000D6CCA">
                        <w:rPr>
                          <w:szCs w:val="24"/>
                        </w:rPr>
                        <w:t>The patient’s place of residence is suitable for the delivery of HITH care (see also Exclusions below).</w:t>
                      </w:r>
                    </w:p>
                  </w:txbxContent>
                </v:textbox>
                <w10:wrap type="square" anchorx="margin"/>
              </v:shape>
            </w:pict>
          </mc:Fallback>
        </mc:AlternateContent>
      </w:r>
    </w:p>
    <w:p w14:paraId="1DE90B53" w14:textId="77777777" w:rsidR="007A0E69" w:rsidRDefault="007A0E69" w:rsidP="007B6904">
      <w:pPr>
        <w:rPr>
          <w:rFonts w:cs="Arial"/>
          <w:b/>
          <w:bCs/>
          <w:szCs w:val="24"/>
        </w:rPr>
      </w:pPr>
    </w:p>
    <w:p w14:paraId="5EF7B010" w14:textId="518176E1" w:rsidR="00312E28" w:rsidRDefault="00710987" w:rsidP="007B6904">
      <w:pPr>
        <w:rPr>
          <w:rFonts w:cs="Arial"/>
          <w:b/>
          <w:bCs/>
          <w:szCs w:val="24"/>
        </w:rPr>
      </w:pPr>
      <w:r w:rsidRPr="002C108A">
        <w:rPr>
          <w:rFonts w:cs="Arial"/>
          <w:b/>
          <w:noProof/>
          <w:sz w:val="36"/>
          <w:szCs w:val="36"/>
        </w:rPr>
        <mc:AlternateContent>
          <mc:Choice Requires="wps">
            <w:drawing>
              <wp:anchor distT="45720" distB="45720" distL="114300" distR="114300" simplePos="0" relativeHeight="251665408" behindDoc="0" locked="0" layoutInCell="1" allowOverlap="1" wp14:anchorId="6EBA7592" wp14:editId="023D5F19">
                <wp:simplePos x="0" y="0"/>
                <wp:positionH relativeFrom="margin">
                  <wp:posOffset>0</wp:posOffset>
                </wp:positionH>
                <wp:positionV relativeFrom="paragraph">
                  <wp:posOffset>226695</wp:posOffset>
                </wp:positionV>
                <wp:extent cx="5734050" cy="41529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152900"/>
                        </a:xfrm>
                        <a:prstGeom prst="rect">
                          <a:avLst/>
                        </a:prstGeom>
                        <a:solidFill>
                          <a:srgbClr val="FFFFFF"/>
                        </a:solidFill>
                        <a:ln w="9525">
                          <a:solidFill>
                            <a:srgbClr val="000000"/>
                          </a:solidFill>
                          <a:miter lim="800000"/>
                          <a:headEnd/>
                          <a:tailEnd/>
                        </a:ln>
                      </wps:spPr>
                      <wps:txbx>
                        <w:txbxContent>
                          <w:p w14:paraId="7877394C" w14:textId="77777777" w:rsidR="00710987" w:rsidRPr="000D6CCA" w:rsidRDefault="00710987" w:rsidP="00710987">
                            <w:pPr>
                              <w:ind w:right="91"/>
                              <w:jc w:val="both"/>
                              <w:rPr>
                                <w:rFonts w:cs="Calibri"/>
                                <w:b/>
                                <w:szCs w:val="24"/>
                              </w:rPr>
                            </w:pPr>
                            <w:r w:rsidRPr="000D6CCA">
                              <w:rPr>
                                <w:rFonts w:cs="Calibri"/>
                                <w:b/>
                                <w:szCs w:val="24"/>
                              </w:rPr>
                              <w:t xml:space="preserve">General </w:t>
                            </w:r>
                            <w:r>
                              <w:rPr>
                                <w:rFonts w:cs="Calibri"/>
                                <w:b/>
                                <w:szCs w:val="24"/>
                              </w:rPr>
                              <w:t xml:space="preserve">CHS </w:t>
                            </w:r>
                            <w:r w:rsidRPr="000D6CCA">
                              <w:rPr>
                                <w:rFonts w:cs="Calibri"/>
                                <w:b/>
                                <w:szCs w:val="24"/>
                              </w:rPr>
                              <w:t>HITH Exclusion Criteria</w:t>
                            </w:r>
                          </w:p>
                          <w:p w14:paraId="10DE0F1D" w14:textId="77777777" w:rsidR="00710987" w:rsidRPr="000D6CCA" w:rsidRDefault="00710987" w:rsidP="00710987">
                            <w:pPr>
                              <w:ind w:right="91"/>
                              <w:jc w:val="both"/>
                              <w:rPr>
                                <w:rFonts w:cs="Calibri"/>
                                <w:szCs w:val="24"/>
                              </w:rPr>
                            </w:pPr>
                            <w:r w:rsidRPr="000D6CCA">
                              <w:rPr>
                                <w:rFonts w:cs="Calibri"/>
                                <w:b/>
                                <w:szCs w:val="24"/>
                              </w:rPr>
                              <w:t xml:space="preserve">Relative Exclusions: </w:t>
                            </w:r>
                            <w:r w:rsidRPr="000D6CCA">
                              <w:rPr>
                                <w:rFonts w:cs="Calibri"/>
                                <w:bCs/>
                                <w:szCs w:val="24"/>
                              </w:rPr>
                              <w:t>C</w:t>
                            </w:r>
                            <w:r w:rsidRPr="000D6CCA">
                              <w:rPr>
                                <w:rFonts w:cs="Calibri"/>
                                <w:szCs w:val="24"/>
                              </w:rPr>
                              <w:t>riteria that require further discussion with the HITH team to determine patient suitability</w:t>
                            </w:r>
                          </w:p>
                          <w:p w14:paraId="31F67605" w14:textId="77777777" w:rsidR="00710987" w:rsidRPr="000D6CCA" w:rsidRDefault="00710987" w:rsidP="00710987">
                            <w:pPr>
                              <w:pStyle w:val="ListBullet"/>
                              <w:tabs>
                                <w:tab w:val="num" w:pos="360"/>
                              </w:tabs>
                              <w:ind w:left="360" w:hanging="360"/>
                              <w:jc w:val="both"/>
                              <w:rPr>
                                <w:rFonts w:cs="Calibri"/>
                                <w:szCs w:val="24"/>
                              </w:rPr>
                            </w:pPr>
                            <w:r w:rsidRPr="000D6CCA">
                              <w:rPr>
                                <w:rFonts w:cs="Calibri"/>
                                <w:szCs w:val="24"/>
                              </w:rPr>
                              <w:t>Travel time between the patient’s place of residence and TCH exceeds 45 minutes. The patient may however be able to attend the HITH clinic instead, if feasible. Consideration should also be given to refer to a HITH service closer to the patient’s home e.g. Calvary Bruce Public Hospital (CPHB) HITH for patients on the northern side of Canberra.</w:t>
                            </w:r>
                          </w:p>
                          <w:p w14:paraId="571A7748" w14:textId="77777777" w:rsidR="00710987" w:rsidRPr="000D6CCA" w:rsidRDefault="00710987" w:rsidP="00710987">
                            <w:pPr>
                              <w:pStyle w:val="ListBullet"/>
                              <w:tabs>
                                <w:tab w:val="num" w:pos="360"/>
                              </w:tabs>
                              <w:ind w:left="360" w:hanging="360"/>
                              <w:jc w:val="both"/>
                              <w:rPr>
                                <w:rFonts w:cs="Calibri"/>
                                <w:szCs w:val="24"/>
                              </w:rPr>
                            </w:pPr>
                            <w:r w:rsidRPr="000D6CCA">
                              <w:rPr>
                                <w:rFonts w:cs="Calibri"/>
                                <w:szCs w:val="24"/>
                              </w:rPr>
                              <w:t>Inability to attend medical reviews at TCH. The HITH Consultant or Registrar may provide a medical review at home for some patients, especially those residents in a RACF. At home medical reviews may be facilitated using Telehealth for some patients, such that hospital attendance is not needed as frequently.</w:t>
                            </w:r>
                          </w:p>
                          <w:p w14:paraId="2D5EDA5A" w14:textId="77777777" w:rsidR="00710987" w:rsidRPr="000D6CCA" w:rsidRDefault="00710987" w:rsidP="00710987">
                            <w:pPr>
                              <w:pStyle w:val="ListBullet"/>
                              <w:tabs>
                                <w:tab w:val="num" w:pos="360"/>
                              </w:tabs>
                              <w:ind w:left="360" w:hanging="360"/>
                              <w:jc w:val="both"/>
                              <w:rPr>
                                <w:rFonts w:cs="Calibri"/>
                                <w:szCs w:val="24"/>
                              </w:rPr>
                            </w:pPr>
                            <w:r w:rsidRPr="000D6CCA">
                              <w:rPr>
                                <w:rFonts w:cs="Calibri"/>
                                <w:szCs w:val="24"/>
                              </w:rPr>
                              <w:t>Patients with multiple/unstable co-morbidities are generally not appropriate for HITH, however a discussion should be considered between the referral source and the HITH Team to consider acceptance to the Service.</w:t>
                            </w:r>
                          </w:p>
                          <w:p w14:paraId="2AEB7654" w14:textId="77777777" w:rsidR="00710987" w:rsidRPr="000D6CCA" w:rsidRDefault="00710987" w:rsidP="00710987">
                            <w:pPr>
                              <w:jc w:val="both"/>
                              <w:rPr>
                                <w:rFonts w:cs="Calibri"/>
                                <w:szCs w:val="24"/>
                              </w:rPr>
                            </w:pPr>
                          </w:p>
                          <w:p w14:paraId="262740DF" w14:textId="77777777" w:rsidR="00710987" w:rsidRPr="000D6CCA" w:rsidRDefault="00710987" w:rsidP="00710987">
                            <w:pPr>
                              <w:autoSpaceDE w:val="0"/>
                              <w:autoSpaceDN w:val="0"/>
                              <w:adjustRightInd w:val="0"/>
                              <w:jc w:val="both"/>
                              <w:rPr>
                                <w:rFonts w:cs="Calibri"/>
                                <w:szCs w:val="24"/>
                              </w:rPr>
                            </w:pPr>
                            <w:r w:rsidRPr="000D6CCA">
                              <w:rPr>
                                <w:rFonts w:cs="Calibri"/>
                                <w:b/>
                                <w:bCs/>
                                <w:szCs w:val="24"/>
                              </w:rPr>
                              <w:t xml:space="preserve">Absolute Exclusions: </w:t>
                            </w:r>
                            <w:r w:rsidRPr="000D6CCA">
                              <w:rPr>
                                <w:rFonts w:cs="Calibri"/>
                                <w:szCs w:val="24"/>
                              </w:rPr>
                              <w:t>Criteria that will make HITH admission unsuitable and other options should be considered.</w:t>
                            </w:r>
                          </w:p>
                          <w:p w14:paraId="4AF06202" w14:textId="77777777" w:rsidR="00710987" w:rsidRPr="000D6CCA" w:rsidRDefault="00710987" w:rsidP="00710987">
                            <w:pPr>
                              <w:pStyle w:val="ListBullet"/>
                              <w:tabs>
                                <w:tab w:val="num" w:pos="360"/>
                              </w:tabs>
                              <w:ind w:left="360" w:hanging="360"/>
                              <w:jc w:val="both"/>
                              <w:rPr>
                                <w:rFonts w:cs="Calibri"/>
                                <w:szCs w:val="24"/>
                              </w:rPr>
                            </w:pPr>
                            <w:r w:rsidRPr="000D6CCA">
                              <w:rPr>
                                <w:rFonts w:cs="Calibri"/>
                                <w:szCs w:val="24"/>
                              </w:rPr>
                              <w:t>Place of residence is considered unsafe for a lone health professional and the patient is unable to attend the Canberra Hospital HITH clinic (as an alternative to a home visit), including those patients that have an identified “Behaviour and Safety” alert.</w:t>
                            </w:r>
                          </w:p>
                          <w:p w14:paraId="02ECCD02" w14:textId="77777777" w:rsidR="00710987" w:rsidRDefault="00710987" w:rsidP="007109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A7592" id="_x0000_s1027" type="#_x0000_t202" style="position:absolute;margin-left:0;margin-top:17.85pt;width:451.5pt;height:327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hgEwIAACcEAAAOAAAAZHJzL2Uyb0RvYy54bWysk82O2yAQx++V+g6Ie2MnjbsbK85qm22q&#10;StsPadsHwBjHqMBQILHTp++Avdlo216qckAMA39mfjOsbwatyFE4L8FUdD7LKRGGQyPNvqLfvu5e&#10;XVPiAzMNU2BERU/C05vNyxfr3pZiAR2oRjiCIsaXva1oF4Its8zzTmjmZ2CFQWcLTrOApttnjWM9&#10;qmuVLfL8TdaDa6wDLrzH3bvRSTdJv20FD5/b1otAVEUxtpBml+Y6ztlmzcq9Y7aTfAqD/UMUmkmD&#10;j56l7lhg5ODkb1Jacgce2jDjoDNoW8lFygGzmefPsnnomBUpF4Tj7RmT/3+y/NPxwX5xJAxvYcAC&#10;piS8vQf+3RMD246Zvbh1DvpOsAYfnkdkWW99OV2NqH3po0jdf4QGi8wOAZLQ0DodqWCeBNWxAKcz&#10;dDEEwnGzuHq9zAt0cfQt58VilaeyZKx8vG6dD+8FaBIXFXVY1STPjvc+xHBY+XgkvuZByWYnlUqG&#10;29db5ciRYQfs0kgZPDumDOkruioWxUjgrxJ5Gn+S0DJgKyupK3p9PsTKyO2daVKjBSbVuMaQlZlA&#10;RnYjxTDUA5HNRDlyraE5IVkHY+fiT8NFB+4nJT12bUX9jwNzghL1wWB1VvPlMrZ5MpbF1QINd+mp&#10;Lz3McJSqaKBkXG5D+hqRm4FbrGIrE9+nSKaQsRsT9unnxHa/tNOpp/+9+QUAAP//AwBQSwMEFAAG&#10;AAgAAAAhANyNelPdAAAABwEAAA8AAABkcnMvZG93bnJldi54bWxMj81OwzAQhO9IvIO1SFwQdSCQ&#10;P+JUCAkENygIrm68TSLidbDdNLw9ywmOOzOa+bZeL3YUM/owOFJwsUpAILXODNQpeHu9Py9AhKjJ&#10;6NERKvjGAOvm+KjWlXEHesF5EzvBJRQqraCPcaqkDG2PVoeVm5DY2zlvdeTTd9J4feByO8rLJMmk&#10;1QPxQq8nvOux/dzsrYLi6nH+CE/p83ub7cYynuXzw5dX6vRkub0BEXGJf2H4xWd0aJhp6/ZkghgV&#10;8CNRQXqdg2C3TFIWtgqyosxBNrX8z9/8AAAA//8DAFBLAQItABQABgAIAAAAIQC2gziS/gAAAOEB&#10;AAATAAAAAAAAAAAAAAAAAAAAAABbQ29udGVudF9UeXBlc10ueG1sUEsBAi0AFAAGAAgAAAAhADj9&#10;If/WAAAAlAEAAAsAAAAAAAAAAAAAAAAALwEAAF9yZWxzLy5yZWxzUEsBAi0AFAAGAAgAAAAhAGKR&#10;6GATAgAAJwQAAA4AAAAAAAAAAAAAAAAALgIAAGRycy9lMm9Eb2MueG1sUEsBAi0AFAAGAAgAAAAh&#10;ANyNelPdAAAABwEAAA8AAAAAAAAAAAAAAAAAbQQAAGRycy9kb3ducmV2LnhtbFBLBQYAAAAABAAE&#10;APMAAAB3BQAAAAA=&#10;">
                <v:textbox>
                  <w:txbxContent>
                    <w:p w14:paraId="7877394C" w14:textId="77777777" w:rsidR="00710987" w:rsidRPr="000D6CCA" w:rsidRDefault="00710987" w:rsidP="00710987">
                      <w:pPr>
                        <w:ind w:right="91"/>
                        <w:jc w:val="both"/>
                        <w:rPr>
                          <w:rFonts w:cs="Calibri"/>
                          <w:b/>
                          <w:szCs w:val="24"/>
                        </w:rPr>
                      </w:pPr>
                      <w:r w:rsidRPr="000D6CCA">
                        <w:rPr>
                          <w:rFonts w:cs="Calibri"/>
                          <w:b/>
                          <w:szCs w:val="24"/>
                        </w:rPr>
                        <w:t xml:space="preserve">General </w:t>
                      </w:r>
                      <w:r>
                        <w:rPr>
                          <w:rFonts w:cs="Calibri"/>
                          <w:b/>
                          <w:szCs w:val="24"/>
                        </w:rPr>
                        <w:t xml:space="preserve">CHS </w:t>
                      </w:r>
                      <w:r w:rsidRPr="000D6CCA">
                        <w:rPr>
                          <w:rFonts w:cs="Calibri"/>
                          <w:b/>
                          <w:szCs w:val="24"/>
                        </w:rPr>
                        <w:t>HITH Exclusion Criteria</w:t>
                      </w:r>
                    </w:p>
                    <w:p w14:paraId="10DE0F1D" w14:textId="77777777" w:rsidR="00710987" w:rsidRPr="000D6CCA" w:rsidRDefault="00710987" w:rsidP="00710987">
                      <w:pPr>
                        <w:ind w:right="91"/>
                        <w:jc w:val="both"/>
                        <w:rPr>
                          <w:rFonts w:cs="Calibri"/>
                          <w:szCs w:val="24"/>
                        </w:rPr>
                      </w:pPr>
                      <w:r w:rsidRPr="000D6CCA">
                        <w:rPr>
                          <w:rFonts w:cs="Calibri"/>
                          <w:b/>
                          <w:szCs w:val="24"/>
                        </w:rPr>
                        <w:t xml:space="preserve">Relative Exclusions: </w:t>
                      </w:r>
                      <w:r w:rsidRPr="000D6CCA">
                        <w:rPr>
                          <w:rFonts w:cs="Calibri"/>
                          <w:bCs/>
                          <w:szCs w:val="24"/>
                        </w:rPr>
                        <w:t>C</w:t>
                      </w:r>
                      <w:r w:rsidRPr="000D6CCA">
                        <w:rPr>
                          <w:rFonts w:cs="Calibri"/>
                          <w:szCs w:val="24"/>
                        </w:rPr>
                        <w:t>riteria that require further discussion with the HITH team to determine patient suitability</w:t>
                      </w:r>
                    </w:p>
                    <w:p w14:paraId="31F67605" w14:textId="77777777" w:rsidR="00710987" w:rsidRPr="000D6CCA" w:rsidRDefault="00710987" w:rsidP="00710987">
                      <w:pPr>
                        <w:pStyle w:val="ListBullet"/>
                        <w:tabs>
                          <w:tab w:val="num" w:pos="360"/>
                        </w:tabs>
                        <w:ind w:left="360" w:hanging="360"/>
                        <w:jc w:val="both"/>
                        <w:rPr>
                          <w:rFonts w:cs="Calibri"/>
                          <w:szCs w:val="24"/>
                        </w:rPr>
                      </w:pPr>
                      <w:r w:rsidRPr="000D6CCA">
                        <w:rPr>
                          <w:rFonts w:cs="Calibri"/>
                          <w:szCs w:val="24"/>
                        </w:rPr>
                        <w:t>Travel time between the patient’s place of residence and TCH exceeds 45 minutes. The patient may however be able to attend the HITH clinic instead, if feasible. Consideration should also be given to refer to a HITH service closer to the patient’s home e.g. Calvary Bruce Public Hospital (CPHB) HITH for patients on the northern side of Canberra.</w:t>
                      </w:r>
                    </w:p>
                    <w:p w14:paraId="571A7748" w14:textId="77777777" w:rsidR="00710987" w:rsidRPr="000D6CCA" w:rsidRDefault="00710987" w:rsidP="00710987">
                      <w:pPr>
                        <w:pStyle w:val="ListBullet"/>
                        <w:tabs>
                          <w:tab w:val="num" w:pos="360"/>
                        </w:tabs>
                        <w:ind w:left="360" w:hanging="360"/>
                        <w:jc w:val="both"/>
                        <w:rPr>
                          <w:rFonts w:cs="Calibri"/>
                          <w:szCs w:val="24"/>
                        </w:rPr>
                      </w:pPr>
                      <w:r w:rsidRPr="000D6CCA">
                        <w:rPr>
                          <w:rFonts w:cs="Calibri"/>
                          <w:szCs w:val="24"/>
                        </w:rPr>
                        <w:t>Inability to attend medical reviews at TCH. The HITH Consultant or Registrar may provide a medical review at home for some patients, especially those residents in a RACF. At home medical reviews may be facilitated using Telehealth for some patients, such that hospital attendance is not needed as frequently.</w:t>
                      </w:r>
                    </w:p>
                    <w:p w14:paraId="2D5EDA5A" w14:textId="77777777" w:rsidR="00710987" w:rsidRPr="000D6CCA" w:rsidRDefault="00710987" w:rsidP="00710987">
                      <w:pPr>
                        <w:pStyle w:val="ListBullet"/>
                        <w:tabs>
                          <w:tab w:val="num" w:pos="360"/>
                        </w:tabs>
                        <w:ind w:left="360" w:hanging="360"/>
                        <w:jc w:val="both"/>
                        <w:rPr>
                          <w:rFonts w:cs="Calibri"/>
                          <w:szCs w:val="24"/>
                        </w:rPr>
                      </w:pPr>
                      <w:r w:rsidRPr="000D6CCA">
                        <w:rPr>
                          <w:rFonts w:cs="Calibri"/>
                          <w:szCs w:val="24"/>
                        </w:rPr>
                        <w:t>Patients with multiple/unstable co-morbidities are generally not appropriate for HITH, however a discussion should be considered between the referral source and the HITH Team to consider acceptance to the Service.</w:t>
                      </w:r>
                    </w:p>
                    <w:p w14:paraId="2AEB7654" w14:textId="77777777" w:rsidR="00710987" w:rsidRPr="000D6CCA" w:rsidRDefault="00710987" w:rsidP="00710987">
                      <w:pPr>
                        <w:jc w:val="both"/>
                        <w:rPr>
                          <w:rFonts w:cs="Calibri"/>
                          <w:szCs w:val="24"/>
                        </w:rPr>
                      </w:pPr>
                    </w:p>
                    <w:p w14:paraId="262740DF" w14:textId="77777777" w:rsidR="00710987" w:rsidRPr="000D6CCA" w:rsidRDefault="00710987" w:rsidP="00710987">
                      <w:pPr>
                        <w:autoSpaceDE w:val="0"/>
                        <w:autoSpaceDN w:val="0"/>
                        <w:adjustRightInd w:val="0"/>
                        <w:jc w:val="both"/>
                        <w:rPr>
                          <w:rFonts w:cs="Calibri"/>
                          <w:szCs w:val="24"/>
                        </w:rPr>
                      </w:pPr>
                      <w:r w:rsidRPr="000D6CCA">
                        <w:rPr>
                          <w:rFonts w:cs="Calibri"/>
                          <w:b/>
                          <w:bCs/>
                          <w:szCs w:val="24"/>
                        </w:rPr>
                        <w:t xml:space="preserve">Absolute Exclusions: </w:t>
                      </w:r>
                      <w:r w:rsidRPr="000D6CCA">
                        <w:rPr>
                          <w:rFonts w:cs="Calibri"/>
                          <w:szCs w:val="24"/>
                        </w:rPr>
                        <w:t>Criteria that will make HITH admission unsuitable and other options should be considered.</w:t>
                      </w:r>
                    </w:p>
                    <w:p w14:paraId="4AF06202" w14:textId="77777777" w:rsidR="00710987" w:rsidRPr="000D6CCA" w:rsidRDefault="00710987" w:rsidP="00710987">
                      <w:pPr>
                        <w:pStyle w:val="ListBullet"/>
                        <w:tabs>
                          <w:tab w:val="num" w:pos="360"/>
                        </w:tabs>
                        <w:ind w:left="360" w:hanging="360"/>
                        <w:jc w:val="both"/>
                        <w:rPr>
                          <w:rFonts w:cs="Calibri"/>
                          <w:szCs w:val="24"/>
                        </w:rPr>
                      </w:pPr>
                      <w:r w:rsidRPr="000D6CCA">
                        <w:rPr>
                          <w:rFonts w:cs="Calibri"/>
                          <w:szCs w:val="24"/>
                        </w:rPr>
                        <w:t>Place of residence is considered unsafe for a lone health professional and the patient is unable to attend the Canberra Hospital HITH clinic (as an alternative to a home visit), including those patients that have an identified “Behaviour and Safety” alert.</w:t>
                      </w:r>
                    </w:p>
                    <w:p w14:paraId="02ECCD02" w14:textId="77777777" w:rsidR="00710987" w:rsidRDefault="00710987" w:rsidP="00710987"/>
                  </w:txbxContent>
                </v:textbox>
                <w10:wrap type="square" anchorx="margin"/>
              </v:shape>
            </w:pict>
          </mc:Fallback>
        </mc:AlternateContent>
      </w:r>
    </w:p>
    <w:p w14:paraId="675BEDC3" w14:textId="77777777" w:rsidR="00710987" w:rsidRPr="005E3B43" w:rsidRDefault="00710987" w:rsidP="007B6904">
      <w:pPr>
        <w:rPr>
          <w:rFonts w:cs="Arial"/>
          <w:b/>
          <w:bCs/>
          <w:szCs w:val="24"/>
        </w:rPr>
      </w:pPr>
    </w:p>
    <w:p w14:paraId="2F51A8E6" w14:textId="3FF28D17" w:rsidR="00FF56DD" w:rsidRPr="00A539E9" w:rsidRDefault="00FF56DD" w:rsidP="00A539E9">
      <w:pPr>
        <w:spacing w:after="200" w:line="276" w:lineRule="auto"/>
        <w:rPr>
          <w:rFonts w:asciiTheme="minorHAnsi" w:eastAsiaTheme="minorHAnsi" w:hAnsiTheme="minorHAnsi" w:cstheme="minorHAnsi"/>
          <w:b/>
          <w:bCs/>
          <w:szCs w:val="24"/>
        </w:rPr>
      </w:pPr>
    </w:p>
    <w:sectPr w:rsidR="00FF56DD" w:rsidRPr="00A539E9" w:rsidSect="00C314FE">
      <w:type w:val="continuous"/>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BFFEA" w14:textId="77777777" w:rsidR="00700981" w:rsidRDefault="00700981" w:rsidP="00F66CB0">
      <w:r>
        <w:separator/>
      </w:r>
    </w:p>
  </w:endnote>
  <w:endnote w:type="continuationSeparator" w:id="0">
    <w:p w14:paraId="74FE03CF" w14:textId="77777777" w:rsidR="00700981" w:rsidRDefault="00700981"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90708" w:rsidRPr="00AE7C5C" w14:paraId="2F51A914" w14:textId="77777777" w:rsidTr="005E1140">
      <w:tc>
        <w:tcPr>
          <w:tcW w:w="1515"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552"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456"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1746"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836"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5E1140">
      <w:tc>
        <w:tcPr>
          <w:tcW w:w="1515" w:type="dxa"/>
        </w:tcPr>
        <w:p w14:paraId="2F51A915" w14:textId="238F5EA0" w:rsidR="00E90708" w:rsidRPr="00542EE6" w:rsidRDefault="00E5521D" w:rsidP="004213C3">
          <w:pPr>
            <w:pStyle w:val="Footer"/>
            <w:rPr>
              <w:rFonts w:cs="Arial"/>
              <w:b/>
              <w:bCs/>
              <w:sz w:val="20"/>
            </w:rPr>
          </w:pPr>
          <w:r>
            <w:rPr>
              <w:b/>
              <w:sz w:val="20"/>
            </w:rPr>
            <w:t>CHS22/305</w:t>
          </w:r>
        </w:p>
      </w:tc>
      <w:tc>
        <w:tcPr>
          <w:tcW w:w="965" w:type="dxa"/>
        </w:tcPr>
        <w:p w14:paraId="2F51A916" w14:textId="52B922F9" w:rsidR="00E90708" w:rsidRPr="00B3752F" w:rsidRDefault="00E5521D" w:rsidP="004213C3">
          <w:pPr>
            <w:pStyle w:val="Footer"/>
            <w:rPr>
              <w:rFonts w:cs="Arial"/>
              <w:b/>
              <w:bCs/>
              <w:sz w:val="20"/>
            </w:rPr>
          </w:pPr>
          <w:r>
            <w:rPr>
              <w:rFonts w:cs="Arial"/>
              <w:b/>
              <w:bCs/>
              <w:sz w:val="20"/>
            </w:rPr>
            <w:t>1</w:t>
          </w:r>
        </w:p>
      </w:tc>
      <w:tc>
        <w:tcPr>
          <w:tcW w:w="1552" w:type="dxa"/>
        </w:tcPr>
        <w:p w14:paraId="2F51A917" w14:textId="583B3B35" w:rsidR="00E90708" w:rsidRPr="00B3752F" w:rsidRDefault="00E5521D" w:rsidP="004213C3">
          <w:pPr>
            <w:pStyle w:val="Footer"/>
            <w:rPr>
              <w:rFonts w:cs="Arial"/>
              <w:b/>
              <w:bCs/>
              <w:sz w:val="20"/>
            </w:rPr>
          </w:pPr>
          <w:r>
            <w:rPr>
              <w:rFonts w:cs="Arial"/>
              <w:b/>
              <w:bCs/>
              <w:sz w:val="20"/>
            </w:rPr>
            <w:t>29/07/2022</w:t>
          </w:r>
        </w:p>
      </w:tc>
      <w:tc>
        <w:tcPr>
          <w:tcW w:w="1456" w:type="dxa"/>
        </w:tcPr>
        <w:p w14:paraId="2F51A918" w14:textId="50EF8B5A" w:rsidR="00E90708" w:rsidRPr="00B3752F" w:rsidRDefault="00E5521D" w:rsidP="004213C3">
          <w:pPr>
            <w:pStyle w:val="Footer"/>
            <w:rPr>
              <w:rFonts w:cs="Arial"/>
              <w:b/>
              <w:bCs/>
              <w:sz w:val="20"/>
            </w:rPr>
          </w:pPr>
          <w:r>
            <w:rPr>
              <w:rFonts w:cs="Arial"/>
              <w:b/>
              <w:bCs/>
              <w:sz w:val="20"/>
            </w:rPr>
            <w:t>01/08/2023</w:t>
          </w:r>
        </w:p>
      </w:tc>
      <w:tc>
        <w:tcPr>
          <w:tcW w:w="1746" w:type="dxa"/>
        </w:tcPr>
        <w:p w14:paraId="2F51A919" w14:textId="330372D4" w:rsidR="00E90708" w:rsidRPr="00B3752F" w:rsidRDefault="00E5521D" w:rsidP="004213C3">
          <w:pPr>
            <w:pStyle w:val="Footer"/>
            <w:rPr>
              <w:rFonts w:cs="Arial"/>
              <w:b/>
              <w:bCs/>
              <w:sz w:val="20"/>
            </w:rPr>
          </w:pPr>
          <w:r>
            <w:rPr>
              <w:rFonts w:cs="Arial"/>
              <w:b/>
              <w:bCs/>
              <w:sz w:val="20"/>
            </w:rPr>
            <w:t>Medicine - HITH</w:t>
          </w:r>
        </w:p>
      </w:tc>
      <w:tc>
        <w:tcPr>
          <w:tcW w:w="1836" w:type="dxa"/>
        </w:tcPr>
        <w:p w14:paraId="2F51A91A"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p>
      </w:tc>
    </w:tr>
    <w:tr w:rsidR="005E1140" w14:paraId="668DA41F"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9B79F" w14:textId="77777777" w:rsidR="00700981" w:rsidRDefault="00700981" w:rsidP="00F66CB0">
      <w:r>
        <w:separator/>
      </w:r>
    </w:p>
  </w:footnote>
  <w:footnote w:type="continuationSeparator" w:id="0">
    <w:p w14:paraId="139191E3" w14:textId="77777777" w:rsidR="00700981" w:rsidRDefault="00700981"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2F51A90C" w14:textId="77777777" w:rsidTr="0074223E">
      <w:trPr>
        <w:trHeight w:val="1418"/>
      </w:trPr>
      <w:tc>
        <w:tcPr>
          <w:tcW w:w="5556" w:type="dxa"/>
          <w:vAlign w:val="center"/>
          <w:hideMark/>
        </w:tcPr>
        <w:p w14:paraId="2F51A90A" w14:textId="5F72D3B6" w:rsidR="00E90708" w:rsidRDefault="00200D04"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2CF2060B" w:rsidR="00E90708" w:rsidRDefault="00E90708">
          <w:pPr>
            <w:pStyle w:val="Header"/>
            <w:tabs>
              <w:tab w:val="left" w:pos="720"/>
            </w:tabs>
            <w:jc w:val="right"/>
            <w:rPr>
              <w:sz w:val="20"/>
            </w:rPr>
          </w:pPr>
          <w:bookmarkStart w:id="20" w:name="_top"/>
          <w:bookmarkEnd w:id="20"/>
          <w:r>
            <w:rPr>
              <w:sz w:val="20"/>
            </w:rPr>
            <w:t>CHS</w:t>
          </w:r>
          <w:r w:rsidR="00E5521D">
            <w:rPr>
              <w:sz w:val="20"/>
            </w:rPr>
            <w:t>22</w:t>
          </w:r>
          <w:r>
            <w:rPr>
              <w:sz w:val="20"/>
            </w:rPr>
            <w:t>/</w:t>
          </w:r>
          <w:r w:rsidR="00E5521D">
            <w:rPr>
              <w:sz w:val="20"/>
            </w:rPr>
            <w:t>305</w:t>
          </w:r>
          <w:r>
            <w:rPr>
              <w:sz w:val="20"/>
            </w:rPr>
            <w:t xml:space="preserve"> </w:t>
          </w:r>
        </w:p>
      </w:tc>
    </w:tr>
  </w:tbl>
  <w:p w14:paraId="2F51A90D" w14:textId="77777777"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0429BD"/>
    <w:multiLevelType w:val="hybridMultilevel"/>
    <w:tmpl w:val="EFF1FC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04EF6CCC"/>
    <w:multiLevelType w:val="hybridMultilevel"/>
    <w:tmpl w:val="439AEB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7015F2"/>
    <w:multiLevelType w:val="hybridMultilevel"/>
    <w:tmpl w:val="271813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1A02C7"/>
    <w:multiLevelType w:val="hybridMultilevel"/>
    <w:tmpl w:val="799CBD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7164F9"/>
    <w:multiLevelType w:val="hybridMultilevel"/>
    <w:tmpl w:val="F8DCD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0D14B1"/>
    <w:multiLevelType w:val="hybridMultilevel"/>
    <w:tmpl w:val="D8444F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34208E"/>
    <w:multiLevelType w:val="multilevel"/>
    <w:tmpl w:val="3CE6A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B95AB0"/>
    <w:multiLevelType w:val="hybridMultilevel"/>
    <w:tmpl w:val="929A8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9B1B3E"/>
    <w:multiLevelType w:val="hybridMultilevel"/>
    <w:tmpl w:val="A59849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9046340"/>
    <w:multiLevelType w:val="hybridMultilevel"/>
    <w:tmpl w:val="796208D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929643A"/>
    <w:multiLevelType w:val="hybridMultilevel"/>
    <w:tmpl w:val="271813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D212ECF"/>
    <w:multiLevelType w:val="hybridMultilevel"/>
    <w:tmpl w:val="148E0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E0470A"/>
    <w:multiLevelType w:val="hybridMultilevel"/>
    <w:tmpl w:val="F73A31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4A53D3"/>
    <w:multiLevelType w:val="hybridMultilevel"/>
    <w:tmpl w:val="A6DCE7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341AF8"/>
    <w:multiLevelType w:val="hybridMultilevel"/>
    <w:tmpl w:val="068EB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46117F"/>
    <w:multiLevelType w:val="hybridMultilevel"/>
    <w:tmpl w:val="56B84BBC"/>
    <w:lvl w:ilvl="0" w:tplc="5688F742">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FA5E4A"/>
    <w:multiLevelType w:val="hybridMultilevel"/>
    <w:tmpl w:val="26585A8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5EE78C8"/>
    <w:multiLevelType w:val="hybridMultilevel"/>
    <w:tmpl w:val="C0ECD6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6BC0EB5"/>
    <w:multiLevelType w:val="hybridMultilevel"/>
    <w:tmpl w:val="2700C4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D1A1DD4"/>
    <w:multiLevelType w:val="hybridMultilevel"/>
    <w:tmpl w:val="18E21BE6"/>
    <w:lvl w:ilvl="0" w:tplc="0C090003">
      <w:start w:val="1"/>
      <w:numFmt w:val="bullet"/>
      <w:lvlText w:val="o"/>
      <w:lvlJc w:val="left"/>
      <w:pPr>
        <w:ind w:left="1080" w:hanging="360"/>
      </w:pPr>
      <w:rPr>
        <w:rFonts w:ascii="Courier New" w:hAnsi="Courier New" w:cs="Courier New"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26" w15:restartNumberingAfterBreak="0">
    <w:nsid w:val="5027408C"/>
    <w:multiLevelType w:val="hybridMultilevel"/>
    <w:tmpl w:val="122216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2BA7284"/>
    <w:multiLevelType w:val="hybridMultilevel"/>
    <w:tmpl w:val="5E50A0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53C60A69"/>
    <w:multiLevelType w:val="hybridMultilevel"/>
    <w:tmpl w:val="231A0A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3F35E6B"/>
    <w:multiLevelType w:val="hybridMultilevel"/>
    <w:tmpl w:val="FC60BA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6DB519D"/>
    <w:multiLevelType w:val="hybridMultilevel"/>
    <w:tmpl w:val="601A4D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A4E2F86"/>
    <w:multiLevelType w:val="hybridMultilevel"/>
    <w:tmpl w:val="DEC01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76173A"/>
    <w:multiLevelType w:val="hybridMultilevel"/>
    <w:tmpl w:val="5A6E954E"/>
    <w:lvl w:ilvl="0" w:tplc="6978A9DC">
      <w:start w:val="1"/>
      <w:numFmt w:val="decimal"/>
      <w:lvlText w:val="%1."/>
      <w:lvlJc w:val="left"/>
      <w:pPr>
        <w:ind w:left="720" w:hanging="360"/>
      </w:pPr>
      <w:rPr>
        <w:rFonts w:asciiTheme="minorHAnsi" w:eastAsiaTheme="minorHAnsi" w:hAnsiTheme="minorHAnsi" w:cstheme="minorBid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0DA5010"/>
    <w:multiLevelType w:val="hybridMultilevel"/>
    <w:tmpl w:val="2642378A"/>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34" w15:restartNumberingAfterBreak="0">
    <w:nsid w:val="6D674DA2"/>
    <w:multiLevelType w:val="hybridMultilevel"/>
    <w:tmpl w:val="0CDC8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2D3D0F"/>
    <w:multiLevelType w:val="hybridMultilevel"/>
    <w:tmpl w:val="36E671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0A95B80"/>
    <w:multiLevelType w:val="hybridMultilevel"/>
    <w:tmpl w:val="023293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8F5B2B"/>
    <w:multiLevelType w:val="hybridMultilevel"/>
    <w:tmpl w:val="CC00AFD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9D1C4E"/>
    <w:multiLevelType w:val="hybridMultilevel"/>
    <w:tmpl w:val="3BD4B3DC"/>
    <w:lvl w:ilvl="0" w:tplc="B6CA17FA">
      <w:start w:val="1"/>
      <w:numFmt w:val="decimal"/>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2"/>
  </w:num>
  <w:num w:numId="3">
    <w:abstractNumId w:val="38"/>
  </w:num>
  <w:num w:numId="4">
    <w:abstractNumId w:val="8"/>
  </w:num>
  <w:num w:numId="5">
    <w:abstractNumId w:val="16"/>
  </w:num>
  <w:num w:numId="6">
    <w:abstractNumId w:val="39"/>
  </w:num>
  <w:num w:numId="7">
    <w:abstractNumId w:val="25"/>
  </w:num>
  <w:num w:numId="8">
    <w:abstractNumId w:val="1"/>
  </w:num>
  <w:num w:numId="9">
    <w:abstractNumId w:val="1"/>
  </w:num>
  <w:num w:numId="10">
    <w:abstractNumId w:val="23"/>
  </w:num>
  <w:num w:numId="11">
    <w:abstractNumId w:val="24"/>
  </w:num>
  <w:num w:numId="12">
    <w:abstractNumId w:val="22"/>
  </w:num>
  <w:num w:numId="13">
    <w:abstractNumId w:val="10"/>
  </w:num>
  <w:num w:numId="14">
    <w:abstractNumId w:val="20"/>
  </w:num>
  <w:num w:numId="15">
    <w:abstractNumId w:val="4"/>
  </w:num>
  <w:num w:numId="16">
    <w:abstractNumId w:val="7"/>
  </w:num>
  <w:num w:numId="17">
    <w:abstractNumId w:val="32"/>
  </w:num>
  <w:num w:numId="18">
    <w:abstractNumId w:val="27"/>
  </w:num>
  <w:num w:numId="19">
    <w:abstractNumId w:val="12"/>
  </w:num>
  <w:num w:numId="20">
    <w:abstractNumId w:val="33"/>
  </w:num>
  <w:num w:numId="21">
    <w:abstractNumId w:val="37"/>
  </w:num>
  <w:num w:numId="22">
    <w:abstractNumId w:val="5"/>
  </w:num>
  <w:num w:numId="23">
    <w:abstractNumId w:val="9"/>
  </w:num>
  <w:num w:numId="24">
    <w:abstractNumId w:val="0"/>
  </w:num>
  <w:num w:numId="25">
    <w:abstractNumId w:val="31"/>
  </w:num>
  <w:num w:numId="26">
    <w:abstractNumId w:val="18"/>
  </w:num>
  <w:num w:numId="27">
    <w:abstractNumId w:val="13"/>
  </w:num>
  <w:num w:numId="28">
    <w:abstractNumId w:val="34"/>
  </w:num>
  <w:num w:numId="29">
    <w:abstractNumId w:val="17"/>
  </w:num>
  <w:num w:numId="30">
    <w:abstractNumId w:val="19"/>
  </w:num>
  <w:num w:numId="31">
    <w:abstractNumId w:val="15"/>
  </w:num>
  <w:num w:numId="32">
    <w:abstractNumId w:val="29"/>
  </w:num>
  <w:num w:numId="33">
    <w:abstractNumId w:val="26"/>
  </w:num>
  <w:num w:numId="34">
    <w:abstractNumId w:val="30"/>
  </w:num>
  <w:num w:numId="35">
    <w:abstractNumId w:val="21"/>
  </w:num>
  <w:num w:numId="36">
    <w:abstractNumId w:val="36"/>
  </w:num>
  <w:num w:numId="37">
    <w:abstractNumId w:val="28"/>
  </w:num>
  <w:num w:numId="38">
    <w:abstractNumId w:val="6"/>
  </w:num>
  <w:num w:numId="39">
    <w:abstractNumId w:val="11"/>
  </w:num>
  <w:num w:numId="40">
    <w:abstractNumId w:val="14"/>
  </w:num>
  <w:num w:numId="41">
    <w:abstractNumId w:val="35"/>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27A6"/>
    <w:rsid w:val="000121C3"/>
    <w:rsid w:val="0001388F"/>
    <w:rsid w:val="00015954"/>
    <w:rsid w:val="00015B90"/>
    <w:rsid w:val="0001607A"/>
    <w:rsid w:val="00045BCC"/>
    <w:rsid w:val="0005567F"/>
    <w:rsid w:val="00073BA7"/>
    <w:rsid w:val="00076B78"/>
    <w:rsid w:val="00082A19"/>
    <w:rsid w:val="00083AA1"/>
    <w:rsid w:val="00084E1B"/>
    <w:rsid w:val="00091AC9"/>
    <w:rsid w:val="00093330"/>
    <w:rsid w:val="00095ECD"/>
    <w:rsid w:val="000A0B50"/>
    <w:rsid w:val="000A44CF"/>
    <w:rsid w:val="000A6081"/>
    <w:rsid w:val="000A7335"/>
    <w:rsid w:val="000B1620"/>
    <w:rsid w:val="000B5C8C"/>
    <w:rsid w:val="000B71ED"/>
    <w:rsid w:val="000C59E2"/>
    <w:rsid w:val="000C7B2D"/>
    <w:rsid w:val="000E16F3"/>
    <w:rsid w:val="000F346E"/>
    <w:rsid w:val="000F7B7E"/>
    <w:rsid w:val="00103EEA"/>
    <w:rsid w:val="001115D7"/>
    <w:rsid w:val="00133BF7"/>
    <w:rsid w:val="001429A4"/>
    <w:rsid w:val="00147674"/>
    <w:rsid w:val="00157984"/>
    <w:rsid w:val="001616E8"/>
    <w:rsid w:val="00163BE2"/>
    <w:rsid w:val="00191109"/>
    <w:rsid w:val="00191235"/>
    <w:rsid w:val="001926F4"/>
    <w:rsid w:val="00194679"/>
    <w:rsid w:val="00197EF7"/>
    <w:rsid w:val="001A0053"/>
    <w:rsid w:val="001B0DC0"/>
    <w:rsid w:val="001B2465"/>
    <w:rsid w:val="001B3435"/>
    <w:rsid w:val="001B3F84"/>
    <w:rsid w:val="001C27E1"/>
    <w:rsid w:val="001D02FA"/>
    <w:rsid w:val="001E1062"/>
    <w:rsid w:val="001F2A9B"/>
    <w:rsid w:val="001F6019"/>
    <w:rsid w:val="001F6D2D"/>
    <w:rsid w:val="001F747E"/>
    <w:rsid w:val="00200D04"/>
    <w:rsid w:val="00201FB6"/>
    <w:rsid w:val="00231F81"/>
    <w:rsid w:val="002405CF"/>
    <w:rsid w:val="00240B97"/>
    <w:rsid w:val="00253316"/>
    <w:rsid w:val="0025382D"/>
    <w:rsid w:val="00254418"/>
    <w:rsid w:val="0025510F"/>
    <w:rsid w:val="00263BA6"/>
    <w:rsid w:val="0027264D"/>
    <w:rsid w:val="00273EA2"/>
    <w:rsid w:val="00285D38"/>
    <w:rsid w:val="00291900"/>
    <w:rsid w:val="00293E43"/>
    <w:rsid w:val="002A0D91"/>
    <w:rsid w:val="002B5DB0"/>
    <w:rsid w:val="002B5F43"/>
    <w:rsid w:val="002C2D76"/>
    <w:rsid w:val="00300885"/>
    <w:rsid w:val="00304041"/>
    <w:rsid w:val="003054BB"/>
    <w:rsid w:val="00312E28"/>
    <w:rsid w:val="00313707"/>
    <w:rsid w:val="0032270B"/>
    <w:rsid w:val="003341D9"/>
    <w:rsid w:val="00337E7C"/>
    <w:rsid w:val="00351CD9"/>
    <w:rsid w:val="00353CBB"/>
    <w:rsid w:val="003542AE"/>
    <w:rsid w:val="00366162"/>
    <w:rsid w:val="00366924"/>
    <w:rsid w:val="00366E47"/>
    <w:rsid w:val="00376A6D"/>
    <w:rsid w:val="00380B98"/>
    <w:rsid w:val="00393199"/>
    <w:rsid w:val="00395E36"/>
    <w:rsid w:val="00396023"/>
    <w:rsid w:val="003C204E"/>
    <w:rsid w:val="003C3A6B"/>
    <w:rsid w:val="003C4BB5"/>
    <w:rsid w:val="003D0A86"/>
    <w:rsid w:val="003E4BB9"/>
    <w:rsid w:val="003E4CC0"/>
    <w:rsid w:val="003F3D8F"/>
    <w:rsid w:val="00410409"/>
    <w:rsid w:val="00412CED"/>
    <w:rsid w:val="00416751"/>
    <w:rsid w:val="00420F9E"/>
    <w:rsid w:val="004213C3"/>
    <w:rsid w:val="0042413C"/>
    <w:rsid w:val="00427139"/>
    <w:rsid w:val="00431A1C"/>
    <w:rsid w:val="004358E9"/>
    <w:rsid w:val="004379E1"/>
    <w:rsid w:val="0044122D"/>
    <w:rsid w:val="004447EC"/>
    <w:rsid w:val="004537B3"/>
    <w:rsid w:val="00462789"/>
    <w:rsid w:val="00471EC5"/>
    <w:rsid w:val="00474535"/>
    <w:rsid w:val="0048050C"/>
    <w:rsid w:val="00480CE1"/>
    <w:rsid w:val="00487761"/>
    <w:rsid w:val="00487DD5"/>
    <w:rsid w:val="004947A7"/>
    <w:rsid w:val="004A2E02"/>
    <w:rsid w:val="004A3584"/>
    <w:rsid w:val="004B7C43"/>
    <w:rsid w:val="004C2B20"/>
    <w:rsid w:val="004D6932"/>
    <w:rsid w:val="004E28AD"/>
    <w:rsid w:val="004F0F49"/>
    <w:rsid w:val="004F1D05"/>
    <w:rsid w:val="004F2008"/>
    <w:rsid w:val="00503A9B"/>
    <w:rsid w:val="00505B5D"/>
    <w:rsid w:val="005067CA"/>
    <w:rsid w:val="00514413"/>
    <w:rsid w:val="00514781"/>
    <w:rsid w:val="005224F8"/>
    <w:rsid w:val="0052443C"/>
    <w:rsid w:val="0052775E"/>
    <w:rsid w:val="005301D2"/>
    <w:rsid w:val="005416F0"/>
    <w:rsid w:val="00541CA6"/>
    <w:rsid w:val="00542514"/>
    <w:rsid w:val="00545FA9"/>
    <w:rsid w:val="00546AED"/>
    <w:rsid w:val="005512EF"/>
    <w:rsid w:val="0055253A"/>
    <w:rsid w:val="00552DF8"/>
    <w:rsid w:val="005621E4"/>
    <w:rsid w:val="005624D2"/>
    <w:rsid w:val="00570E64"/>
    <w:rsid w:val="005726DD"/>
    <w:rsid w:val="00590902"/>
    <w:rsid w:val="00592A14"/>
    <w:rsid w:val="00596FD7"/>
    <w:rsid w:val="005A3625"/>
    <w:rsid w:val="005B0D11"/>
    <w:rsid w:val="005B10A0"/>
    <w:rsid w:val="005B34E9"/>
    <w:rsid w:val="005B4738"/>
    <w:rsid w:val="005C0CB0"/>
    <w:rsid w:val="005C212D"/>
    <w:rsid w:val="005C3CB0"/>
    <w:rsid w:val="005C75FB"/>
    <w:rsid w:val="005D00A5"/>
    <w:rsid w:val="005D3A87"/>
    <w:rsid w:val="005E1140"/>
    <w:rsid w:val="005E3B43"/>
    <w:rsid w:val="005F3214"/>
    <w:rsid w:val="005F3343"/>
    <w:rsid w:val="005F58B4"/>
    <w:rsid w:val="00601011"/>
    <w:rsid w:val="00612231"/>
    <w:rsid w:val="00612CC5"/>
    <w:rsid w:val="00615A48"/>
    <w:rsid w:val="00627632"/>
    <w:rsid w:val="00635953"/>
    <w:rsid w:val="00635EB1"/>
    <w:rsid w:val="006442B5"/>
    <w:rsid w:val="006473BB"/>
    <w:rsid w:val="00657F9A"/>
    <w:rsid w:val="0066495D"/>
    <w:rsid w:val="00671578"/>
    <w:rsid w:val="006910CF"/>
    <w:rsid w:val="00695EB6"/>
    <w:rsid w:val="006A3770"/>
    <w:rsid w:val="006A4D46"/>
    <w:rsid w:val="006A6024"/>
    <w:rsid w:val="006B4163"/>
    <w:rsid w:val="006C31FF"/>
    <w:rsid w:val="006C6256"/>
    <w:rsid w:val="006C66FF"/>
    <w:rsid w:val="006C6B6C"/>
    <w:rsid w:val="006C704D"/>
    <w:rsid w:val="006D31A2"/>
    <w:rsid w:val="006E6FD1"/>
    <w:rsid w:val="00700981"/>
    <w:rsid w:val="0070234D"/>
    <w:rsid w:val="0070331D"/>
    <w:rsid w:val="007052B1"/>
    <w:rsid w:val="00710987"/>
    <w:rsid w:val="00711BF4"/>
    <w:rsid w:val="00730C6A"/>
    <w:rsid w:val="007367B8"/>
    <w:rsid w:val="00741B43"/>
    <w:rsid w:val="0074223E"/>
    <w:rsid w:val="007543AC"/>
    <w:rsid w:val="00756537"/>
    <w:rsid w:val="00756A2B"/>
    <w:rsid w:val="007A0E69"/>
    <w:rsid w:val="007A0EBC"/>
    <w:rsid w:val="007B1FCF"/>
    <w:rsid w:val="007B27F1"/>
    <w:rsid w:val="007B4ABB"/>
    <w:rsid w:val="007B6904"/>
    <w:rsid w:val="007B6C3F"/>
    <w:rsid w:val="007B7628"/>
    <w:rsid w:val="007C1BF2"/>
    <w:rsid w:val="007C25F0"/>
    <w:rsid w:val="007C36E4"/>
    <w:rsid w:val="007C61B4"/>
    <w:rsid w:val="007C7021"/>
    <w:rsid w:val="007D0945"/>
    <w:rsid w:val="008024F1"/>
    <w:rsid w:val="00816782"/>
    <w:rsid w:val="0082140F"/>
    <w:rsid w:val="0082141D"/>
    <w:rsid w:val="00827F24"/>
    <w:rsid w:val="008309E1"/>
    <w:rsid w:val="00845445"/>
    <w:rsid w:val="00851BF1"/>
    <w:rsid w:val="00855DA8"/>
    <w:rsid w:val="00867677"/>
    <w:rsid w:val="008678A7"/>
    <w:rsid w:val="00867FCC"/>
    <w:rsid w:val="00876397"/>
    <w:rsid w:val="008847F8"/>
    <w:rsid w:val="00886399"/>
    <w:rsid w:val="008867F1"/>
    <w:rsid w:val="008974CA"/>
    <w:rsid w:val="008A29AD"/>
    <w:rsid w:val="008A4291"/>
    <w:rsid w:val="008A7E01"/>
    <w:rsid w:val="008D722E"/>
    <w:rsid w:val="008E1F7F"/>
    <w:rsid w:val="008E302B"/>
    <w:rsid w:val="008F00E8"/>
    <w:rsid w:val="008F7C01"/>
    <w:rsid w:val="00906142"/>
    <w:rsid w:val="00931B93"/>
    <w:rsid w:val="00933EED"/>
    <w:rsid w:val="00940CDE"/>
    <w:rsid w:val="00962C46"/>
    <w:rsid w:val="00975AA4"/>
    <w:rsid w:val="0097742A"/>
    <w:rsid w:val="0097744F"/>
    <w:rsid w:val="00980EED"/>
    <w:rsid w:val="00991670"/>
    <w:rsid w:val="009947FB"/>
    <w:rsid w:val="00995063"/>
    <w:rsid w:val="009A5B72"/>
    <w:rsid w:val="009B6C8C"/>
    <w:rsid w:val="009C0FCA"/>
    <w:rsid w:val="009C3963"/>
    <w:rsid w:val="009C6ED4"/>
    <w:rsid w:val="009D323C"/>
    <w:rsid w:val="009D3951"/>
    <w:rsid w:val="009E6BF1"/>
    <w:rsid w:val="009E70F4"/>
    <w:rsid w:val="00A03B0D"/>
    <w:rsid w:val="00A158BD"/>
    <w:rsid w:val="00A23F0A"/>
    <w:rsid w:val="00A32BD6"/>
    <w:rsid w:val="00A35C96"/>
    <w:rsid w:val="00A35E2D"/>
    <w:rsid w:val="00A539E9"/>
    <w:rsid w:val="00A54CB3"/>
    <w:rsid w:val="00A57123"/>
    <w:rsid w:val="00A6659D"/>
    <w:rsid w:val="00A74B8A"/>
    <w:rsid w:val="00A84155"/>
    <w:rsid w:val="00A85F61"/>
    <w:rsid w:val="00A86DB3"/>
    <w:rsid w:val="00A92E4F"/>
    <w:rsid w:val="00AA25DC"/>
    <w:rsid w:val="00AB50DD"/>
    <w:rsid w:val="00AC7025"/>
    <w:rsid w:val="00AC70C2"/>
    <w:rsid w:val="00AD196F"/>
    <w:rsid w:val="00AD3CCE"/>
    <w:rsid w:val="00AF591E"/>
    <w:rsid w:val="00AF5D7C"/>
    <w:rsid w:val="00B002FA"/>
    <w:rsid w:val="00B07085"/>
    <w:rsid w:val="00B07A46"/>
    <w:rsid w:val="00B07DCE"/>
    <w:rsid w:val="00B12123"/>
    <w:rsid w:val="00B14984"/>
    <w:rsid w:val="00B21043"/>
    <w:rsid w:val="00B21483"/>
    <w:rsid w:val="00B42EA0"/>
    <w:rsid w:val="00B44CAC"/>
    <w:rsid w:val="00B526E2"/>
    <w:rsid w:val="00B573D6"/>
    <w:rsid w:val="00B73E65"/>
    <w:rsid w:val="00B81455"/>
    <w:rsid w:val="00B9627F"/>
    <w:rsid w:val="00BA0DF8"/>
    <w:rsid w:val="00BA2415"/>
    <w:rsid w:val="00BA4DB2"/>
    <w:rsid w:val="00BA4F95"/>
    <w:rsid w:val="00BB33F9"/>
    <w:rsid w:val="00BC043D"/>
    <w:rsid w:val="00BC3CE6"/>
    <w:rsid w:val="00BC4499"/>
    <w:rsid w:val="00BE5E41"/>
    <w:rsid w:val="00BF078E"/>
    <w:rsid w:val="00C02388"/>
    <w:rsid w:val="00C1031F"/>
    <w:rsid w:val="00C15BFC"/>
    <w:rsid w:val="00C24EDC"/>
    <w:rsid w:val="00C25A76"/>
    <w:rsid w:val="00C314FE"/>
    <w:rsid w:val="00C31EB3"/>
    <w:rsid w:val="00C32206"/>
    <w:rsid w:val="00C36050"/>
    <w:rsid w:val="00C422C8"/>
    <w:rsid w:val="00C45C67"/>
    <w:rsid w:val="00C47091"/>
    <w:rsid w:val="00C521D5"/>
    <w:rsid w:val="00C523FF"/>
    <w:rsid w:val="00C71C3C"/>
    <w:rsid w:val="00C744A0"/>
    <w:rsid w:val="00C76998"/>
    <w:rsid w:val="00C83409"/>
    <w:rsid w:val="00C93E83"/>
    <w:rsid w:val="00C942B9"/>
    <w:rsid w:val="00CA3DB9"/>
    <w:rsid w:val="00CA58DE"/>
    <w:rsid w:val="00CA593D"/>
    <w:rsid w:val="00CC0890"/>
    <w:rsid w:val="00CC5D11"/>
    <w:rsid w:val="00CD1505"/>
    <w:rsid w:val="00CE197C"/>
    <w:rsid w:val="00CE2428"/>
    <w:rsid w:val="00CE5D60"/>
    <w:rsid w:val="00CF2CF7"/>
    <w:rsid w:val="00CF6C61"/>
    <w:rsid w:val="00D11F73"/>
    <w:rsid w:val="00D14F06"/>
    <w:rsid w:val="00D21780"/>
    <w:rsid w:val="00D21E37"/>
    <w:rsid w:val="00D23346"/>
    <w:rsid w:val="00D243B8"/>
    <w:rsid w:val="00D34794"/>
    <w:rsid w:val="00D4502D"/>
    <w:rsid w:val="00D5124E"/>
    <w:rsid w:val="00D530CE"/>
    <w:rsid w:val="00D53E3C"/>
    <w:rsid w:val="00D77950"/>
    <w:rsid w:val="00D80D25"/>
    <w:rsid w:val="00D9217B"/>
    <w:rsid w:val="00D96AC0"/>
    <w:rsid w:val="00DC3762"/>
    <w:rsid w:val="00DC5835"/>
    <w:rsid w:val="00DC5C47"/>
    <w:rsid w:val="00DD480F"/>
    <w:rsid w:val="00DD616A"/>
    <w:rsid w:val="00DE0465"/>
    <w:rsid w:val="00DE06C9"/>
    <w:rsid w:val="00DE37F5"/>
    <w:rsid w:val="00DE4E25"/>
    <w:rsid w:val="00E00BBF"/>
    <w:rsid w:val="00E01F26"/>
    <w:rsid w:val="00E049ED"/>
    <w:rsid w:val="00E14187"/>
    <w:rsid w:val="00E15AEF"/>
    <w:rsid w:val="00E34E6D"/>
    <w:rsid w:val="00E362FD"/>
    <w:rsid w:val="00E37CD4"/>
    <w:rsid w:val="00E40BB8"/>
    <w:rsid w:val="00E4160C"/>
    <w:rsid w:val="00E42A87"/>
    <w:rsid w:val="00E45489"/>
    <w:rsid w:val="00E5521D"/>
    <w:rsid w:val="00E57848"/>
    <w:rsid w:val="00E66233"/>
    <w:rsid w:val="00E72197"/>
    <w:rsid w:val="00E73459"/>
    <w:rsid w:val="00E750BF"/>
    <w:rsid w:val="00E77721"/>
    <w:rsid w:val="00E90708"/>
    <w:rsid w:val="00EB0FD0"/>
    <w:rsid w:val="00ED21C3"/>
    <w:rsid w:val="00ED388C"/>
    <w:rsid w:val="00ED45C6"/>
    <w:rsid w:val="00ED46C3"/>
    <w:rsid w:val="00EF02B0"/>
    <w:rsid w:val="00EF13A4"/>
    <w:rsid w:val="00F01B61"/>
    <w:rsid w:val="00F03D96"/>
    <w:rsid w:val="00F06914"/>
    <w:rsid w:val="00F11338"/>
    <w:rsid w:val="00F13AE5"/>
    <w:rsid w:val="00F149FD"/>
    <w:rsid w:val="00F14EC1"/>
    <w:rsid w:val="00F16404"/>
    <w:rsid w:val="00F33D05"/>
    <w:rsid w:val="00F4262F"/>
    <w:rsid w:val="00F45509"/>
    <w:rsid w:val="00F45E22"/>
    <w:rsid w:val="00F52EFA"/>
    <w:rsid w:val="00F53719"/>
    <w:rsid w:val="00F57291"/>
    <w:rsid w:val="00F645D9"/>
    <w:rsid w:val="00F66CB0"/>
    <w:rsid w:val="00F76C89"/>
    <w:rsid w:val="00F818BD"/>
    <w:rsid w:val="00F829C8"/>
    <w:rsid w:val="00F862FF"/>
    <w:rsid w:val="00F9158A"/>
    <w:rsid w:val="00F95DFB"/>
    <w:rsid w:val="00F96098"/>
    <w:rsid w:val="00FA29B8"/>
    <w:rsid w:val="00FB21EF"/>
    <w:rsid w:val="00FB694D"/>
    <w:rsid w:val="00FC7CBC"/>
    <w:rsid w:val="00FD0BA3"/>
    <w:rsid w:val="00FD3D92"/>
    <w:rsid w:val="00FD648A"/>
    <w:rsid w:val="00FD7236"/>
    <w:rsid w:val="00FF01A9"/>
    <w:rsid w:val="00FF2112"/>
    <w:rsid w:val="00FF56DD"/>
    <w:rsid w:val="00FF60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30C6A"/>
    <w:pPr>
      <w:tabs>
        <w:tab w:val="right" w:leader="dot" w:pos="9060"/>
      </w:tabs>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semiHidden/>
    <w:unhideWhenUsed/>
    <w:rsid w:val="00CC5D11"/>
    <w:rPr>
      <w:sz w:val="20"/>
    </w:rPr>
  </w:style>
  <w:style w:type="character" w:customStyle="1" w:styleId="CommentTextChar">
    <w:name w:val="Comment Text Char"/>
    <w:basedOn w:val="DefaultParagraphFont"/>
    <w:link w:val="CommentText"/>
    <w:uiPriority w:val="99"/>
    <w:semiHidden/>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paragraph" w:styleId="NoSpacing">
    <w:name w:val="No Spacing"/>
    <w:uiPriority w:val="1"/>
    <w:qFormat/>
    <w:rsid w:val="00CE5D60"/>
    <w:pPr>
      <w:spacing w:after="0" w:line="240" w:lineRule="auto"/>
    </w:pPr>
  </w:style>
  <w:style w:type="character" w:styleId="UnresolvedMention">
    <w:name w:val="Unresolved Mention"/>
    <w:basedOn w:val="DefaultParagraphFont"/>
    <w:uiPriority w:val="99"/>
    <w:semiHidden/>
    <w:unhideWhenUsed/>
    <w:rsid w:val="00A03B0D"/>
    <w:rPr>
      <w:color w:val="605E5C"/>
      <w:shd w:val="clear" w:color="auto" w:fill="E1DFDD"/>
    </w:rPr>
  </w:style>
  <w:style w:type="paragraph" w:styleId="FootnoteText">
    <w:name w:val="footnote text"/>
    <w:basedOn w:val="Normal"/>
    <w:link w:val="FootnoteTextChar"/>
    <w:uiPriority w:val="99"/>
    <w:semiHidden/>
    <w:unhideWhenUsed/>
    <w:rsid w:val="00C314FE"/>
    <w:rPr>
      <w:sz w:val="20"/>
    </w:rPr>
  </w:style>
  <w:style w:type="character" w:customStyle="1" w:styleId="FootnoteTextChar">
    <w:name w:val="Footnote Text Char"/>
    <w:basedOn w:val="DefaultParagraphFont"/>
    <w:link w:val="FootnoteText"/>
    <w:uiPriority w:val="99"/>
    <w:semiHidden/>
    <w:rsid w:val="00C314FE"/>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C314FE"/>
    <w:rPr>
      <w:vertAlign w:val="superscript"/>
    </w:rPr>
  </w:style>
  <w:style w:type="paragraph" w:styleId="Revision">
    <w:name w:val="Revision"/>
    <w:hidden/>
    <w:uiPriority w:val="99"/>
    <w:semiHidden/>
    <w:rsid w:val="001B0DC0"/>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87383">
      <w:bodyDiv w:val="1"/>
      <w:marLeft w:val="0"/>
      <w:marRight w:val="0"/>
      <w:marTop w:val="0"/>
      <w:marBottom w:val="0"/>
      <w:divBdr>
        <w:top w:val="none" w:sz="0" w:space="0" w:color="auto"/>
        <w:left w:val="none" w:sz="0" w:space="0" w:color="auto"/>
        <w:bottom w:val="none" w:sz="0" w:space="0" w:color="auto"/>
        <w:right w:val="none" w:sz="0" w:space="0" w:color="auto"/>
      </w:divBdr>
      <w:divsChild>
        <w:div w:id="18707411">
          <w:marLeft w:val="0"/>
          <w:marRight w:val="0"/>
          <w:marTop w:val="0"/>
          <w:marBottom w:val="0"/>
          <w:divBdr>
            <w:top w:val="none" w:sz="0" w:space="0" w:color="auto"/>
            <w:left w:val="none" w:sz="0" w:space="0" w:color="auto"/>
            <w:bottom w:val="single" w:sz="6" w:space="12" w:color="BFBFBF"/>
            <w:right w:val="none" w:sz="0" w:space="0" w:color="auto"/>
          </w:divBdr>
        </w:div>
      </w:divsChild>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502507460">
      <w:bodyDiv w:val="1"/>
      <w:marLeft w:val="0"/>
      <w:marRight w:val="0"/>
      <w:marTop w:val="0"/>
      <w:marBottom w:val="0"/>
      <w:divBdr>
        <w:top w:val="none" w:sz="0" w:space="0" w:color="auto"/>
        <w:left w:val="none" w:sz="0" w:space="0" w:color="auto"/>
        <w:bottom w:val="none" w:sz="0" w:space="0" w:color="auto"/>
        <w:right w:val="none" w:sz="0" w:space="0" w:color="auto"/>
      </w:divBdr>
    </w:div>
    <w:div w:id="1750495919">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 w:id="20780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ewomenspbmg-org-au.acthealthlibrary.idm.oclc.org/medicines" TargetMode="External"/><Relationship Id="rId18" Type="http://schemas.openxmlformats.org/officeDocument/2006/relationships/hyperlink" Target="https://thewomens.r.worldssl.net/images/uploads/downloadable-records/clinical-guidelines/nausea-and-vomiting-pregnancy_280720.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mhonline.amh.net.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eslhd.health.nsw.gov.au/sites/default/files/documents/hypereesisgravidarimnausea2020.pdf" TargetMode="External"/><Relationship Id="rId25" Type="http://schemas.openxmlformats.org/officeDocument/2006/relationships/hyperlink" Target="https://www.uptodate.com/contents/search?srcsys=EZPX87571" TargetMode="External"/><Relationship Id="rId2" Type="http://schemas.openxmlformats.org/officeDocument/2006/relationships/customXml" Target="../customXml/item2.xml"/><Relationship Id="rId16" Type="http://schemas.openxmlformats.org/officeDocument/2006/relationships/hyperlink" Target="https://www.seslhd.health.nsw.gov.au/sites/default/files/groups/Royal_Hospital_for_Women/Mothersafe/documents/heartburnpregbr2021.pdf" TargetMode="External"/><Relationship Id="rId20" Type="http://schemas.openxmlformats.org/officeDocument/2006/relationships/hyperlink" Target="https://www.mimsonline.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bestpractice.bmj.com/" TargetMode="External"/><Relationship Id="rId5" Type="http://schemas.openxmlformats.org/officeDocument/2006/relationships/numbering" Target="numbering.xml"/><Relationship Id="rId15" Type="http://schemas.openxmlformats.org/officeDocument/2006/relationships/hyperlink" Target="http://www.medicinesinpregnancy.org/Medicine--pregnancy/" TargetMode="External"/><Relationship Id="rId23" Type="http://schemas.openxmlformats.org/officeDocument/2006/relationships/hyperlink" Target="https://tgldcdp.tg.org.au/etgAccess" TargetMode="External"/><Relationship Id="rId10" Type="http://schemas.openxmlformats.org/officeDocument/2006/relationships/endnotes" Target="endnotes.xml"/><Relationship Id="rId19" Type="http://schemas.openxmlformats.org/officeDocument/2006/relationships/hyperlink" Target="https://www.micromedexsolutions.com/micromedex2/librarian/cxnaccess?institution=institution%5E54922182%5E54922182&amp;action=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slhd.health.nsw.gov.au/sites/default/files/groups/Royal_Hospital_for_Women/Mothersafe/documents/heartburnpregbr2021.pdf" TargetMode="External"/><Relationship Id="rId22" Type="http://schemas.openxmlformats.org/officeDocument/2006/relationships/hyperlink" Target="https://thewomenspbmg-org-au.acthealthlibrary.idm.oclc.org/medicine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52FB6E4F6A904298AC8C7DBBDDD5A1" ma:contentTypeVersion="10" ma:contentTypeDescription="Create a new document." ma:contentTypeScope="" ma:versionID="88b468f552be70f97a05f5a1671b612c">
  <xsd:schema xmlns:xsd="http://www.w3.org/2001/XMLSchema" xmlns:xs="http://www.w3.org/2001/XMLSchema" xmlns:p="http://schemas.microsoft.com/office/2006/metadata/properties" xmlns:ns2="0c8e588b-9c83-49d3-a6c8-a54de8f95e6a" xmlns:ns3="9c2f0412-f90c-42c4-93a0-04fcb973abf1" targetNamespace="http://schemas.microsoft.com/office/2006/metadata/properties" ma:root="true" ma:fieldsID="d05644bfbd43f3a7fa2685e43cf64ee6" ns2:_="" ns3:_="">
    <xsd:import namespace="0c8e588b-9c83-49d3-a6c8-a54de8f95e6a"/>
    <xsd:import namespace="9c2f0412-f90c-42c4-93a0-04fcb973abf1"/>
    <xsd:element name="properties">
      <xsd:complexType>
        <xsd:sequence>
          <xsd:element name="documentManagement">
            <xsd:complexType>
              <xsd:all>
                <xsd:element ref="ns2:Barcode_x0020_New"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e588b-9c83-49d3-a6c8-a54de8f95e6a" elementFormDefault="qualified">
    <xsd:import namespace="http://schemas.microsoft.com/office/2006/documentManagement/types"/>
    <xsd:import namespace="http://schemas.microsoft.com/office/infopath/2007/PartnerControls"/>
    <xsd:element name="Barcode_x0020_New" ma:index="8" nillable="true" ma:displayName="Barcode New" ma:internalName="Barcode_x0020_New">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f0412-f90c-42c4-93a0-04fcb973abf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Barcode_x0020_New xmlns="0c8e588b-9c83-49d3-a6c8-a54de8f95e6a" xsi:nil="true"/>
  </documentManagement>
</p:properties>
</file>

<file path=customXml/itemProps1.xml><?xml version="1.0" encoding="utf-8"?>
<ds:datastoreItem xmlns:ds="http://schemas.openxmlformats.org/officeDocument/2006/customXml" ds:itemID="{F671093A-54B4-420D-AE56-168C9B3F060B}">
  <ds:schemaRefs>
    <ds:schemaRef ds:uri="http://schemas.microsoft.com/sharepoint/v3/contenttype/forms"/>
  </ds:schemaRefs>
</ds:datastoreItem>
</file>

<file path=customXml/itemProps2.xml><?xml version="1.0" encoding="utf-8"?>
<ds:datastoreItem xmlns:ds="http://schemas.openxmlformats.org/officeDocument/2006/customXml" ds:itemID="{9D73A8EA-5536-4107-BF6F-C5D1E76B5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e588b-9c83-49d3-a6c8-a54de8f95e6a"/>
    <ds:schemaRef ds:uri="9c2f0412-f90c-42c4-93a0-04fcb973a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0D723-F66E-4CA6-A16F-72AE4E53F4A4}">
  <ds:schemaRefs>
    <ds:schemaRef ds:uri="http://schemas.openxmlformats.org/officeDocument/2006/bibliography"/>
  </ds:schemaRefs>
</ds:datastoreItem>
</file>

<file path=customXml/itemProps4.xml><?xml version="1.0" encoding="utf-8"?>
<ds:datastoreItem xmlns:ds="http://schemas.openxmlformats.org/officeDocument/2006/customXml" ds:itemID="{08DA1D5A-30AC-4372-BC90-4D12B64135B6}">
  <ds:schemaRefs>
    <ds:schemaRef ds:uri="9c2f0412-f90c-42c4-93a0-04fcb973abf1"/>
    <ds:schemaRef ds:uri="http://schemas.microsoft.com/office/2006/documentManagement/types"/>
    <ds:schemaRef ds:uri="0c8e588b-9c83-49d3-a6c8-a54de8f95e6a"/>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4491</Words>
  <Characters>25603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2022-07-25T02:42:00Z</dcterms:created>
  <dcterms:modified xsi:type="dcterms:W3CDTF">2022-07-29T04:13:00Z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0x0101003052FB6E4F6A904298AC8C7DBBDDD5A1</vt:lpwstr>
  </property>
</Properties>
</file>