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15BB" w14:textId="783D1BCE" w:rsidR="00197F2E" w:rsidRPr="0007270D" w:rsidRDefault="00A33B53" w:rsidP="00241A68">
      <w:pPr>
        <w:pStyle w:val="Heading1"/>
      </w:pPr>
      <w:r>
        <w:t xml:space="preserve">Clinical </w:t>
      </w:r>
      <w:r w:rsidR="00EE0C5F">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7BBFB020" w14:textId="09DDE1BE" w:rsidR="00197F2E" w:rsidRDefault="00A33B53" w:rsidP="00197F2E">
      <w:pPr>
        <w:pStyle w:val="Heading2"/>
      </w:pPr>
      <w:r w:rsidRPr="00A33B53">
        <w:t>Snake Bite Management- Adults and Paediatrics</w:t>
      </w:r>
    </w:p>
    <w:p w14:paraId="03D4ABF2" w14:textId="345444DD" w:rsidR="00CA4FDE" w:rsidRPr="00C34A10" w:rsidRDefault="008A5A22" w:rsidP="00C34A10">
      <w:pPr>
        <w:pStyle w:val="BodyCopy"/>
        <w:spacing w:before="0" w:line="240" w:lineRule="auto"/>
        <w:rPr>
          <w:color w:val="575757" w:themeColor="text2"/>
        </w:rPr>
      </w:pPr>
      <w:bookmarkStart w:id="0" w:name="_Hlk157074578"/>
      <w:r>
        <w:t>CHS25/150</w:t>
      </w:r>
    </w:p>
    <w:sdt>
      <w:sdtPr>
        <w:rPr>
          <w:sz w:val="32"/>
          <w:szCs w:val="32"/>
        </w:rPr>
        <w:id w:val="-1206019646"/>
        <w:docPartObj>
          <w:docPartGallery w:val="Table of Contents"/>
          <w:docPartUnique/>
        </w:docPartObj>
      </w:sdtPr>
      <w:sdtEndPr>
        <w:rPr>
          <w:noProof/>
        </w:rPr>
      </w:sdtEndPr>
      <w:sdtContent>
        <w:p w14:paraId="10D5212F" w14:textId="77777777" w:rsidR="00A731B8" w:rsidRPr="000E7683" w:rsidRDefault="00A731B8">
          <w:pPr>
            <w:pStyle w:val="TOCHeading"/>
            <w:rPr>
              <w:rStyle w:val="Heading3Char"/>
              <w:b/>
              <w:bCs w:val="0"/>
            </w:rPr>
          </w:pPr>
          <w:r w:rsidRPr="007B1A7B">
            <w:rPr>
              <w:rStyle w:val="Heading3Char"/>
              <w:b/>
              <w:bCs w:val="0"/>
            </w:rPr>
            <w:t>Contents</w:t>
          </w:r>
        </w:p>
        <w:p w14:paraId="20BFD7F7" w14:textId="0C8535C0" w:rsidR="00B6685E"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88279423" w:history="1">
            <w:r w:rsidR="00B6685E" w:rsidRPr="009D57BF">
              <w:rPr>
                <w:rStyle w:val="Hyperlink"/>
              </w:rPr>
              <w:t>Purpose</w:t>
            </w:r>
            <w:r w:rsidR="00B6685E">
              <w:rPr>
                <w:webHidden/>
              </w:rPr>
              <w:tab/>
            </w:r>
            <w:r w:rsidR="00B6685E">
              <w:rPr>
                <w:webHidden/>
              </w:rPr>
              <w:fldChar w:fldCharType="begin"/>
            </w:r>
            <w:r w:rsidR="00B6685E">
              <w:rPr>
                <w:webHidden/>
              </w:rPr>
              <w:instrText xml:space="preserve"> PAGEREF _Toc188279423 \h </w:instrText>
            </w:r>
            <w:r w:rsidR="00B6685E">
              <w:rPr>
                <w:webHidden/>
              </w:rPr>
            </w:r>
            <w:r w:rsidR="00B6685E">
              <w:rPr>
                <w:webHidden/>
              </w:rPr>
              <w:fldChar w:fldCharType="separate"/>
            </w:r>
            <w:r w:rsidR="00B6685E">
              <w:rPr>
                <w:webHidden/>
              </w:rPr>
              <w:t>2</w:t>
            </w:r>
            <w:r w:rsidR="00B6685E">
              <w:rPr>
                <w:webHidden/>
              </w:rPr>
              <w:fldChar w:fldCharType="end"/>
            </w:r>
          </w:hyperlink>
        </w:p>
        <w:p w14:paraId="7ACCE2FD" w14:textId="02CAE229" w:rsidR="00B6685E" w:rsidRDefault="00B6685E">
          <w:pPr>
            <w:pStyle w:val="TOC1"/>
            <w:rPr>
              <w:rFonts w:asciiTheme="minorHAnsi" w:eastAsiaTheme="minorEastAsia" w:hAnsiTheme="minorHAnsi" w:cstheme="minorBidi"/>
              <w:color w:val="auto"/>
              <w:kern w:val="2"/>
              <w14:ligatures w14:val="standardContextual"/>
            </w:rPr>
          </w:pPr>
          <w:hyperlink w:anchor="_Toc188279424" w:history="1">
            <w:r w:rsidRPr="009D57BF">
              <w:rPr>
                <w:rStyle w:val="Hyperlink"/>
              </w:rPr>
              <w:t>Alerts</w:t>
            </w:r>
            <w:r>
              <w:rPr>
                <w:webHidden/>
              </w:rPr>
              <w:tab/>
            </w:r>
            <w:r>
              <w:rPr>
                <w:webHidden/>
              </w:rPr>
              <w:fldChar w:fldCharType="begin"/>
            </w:r>
            <w:r>
              <w:rPr>
                <w:webHidden/>
              </w:rPr>
              <w:instrText xml:space="preserve"> PAGEREF _Toc188279424 \h </w:instrText>
            </w:r>
            <w:r>
              <w:rPr>
                <w:webHidden/>
              </w:rPr>
            </w:r>
            <w:r>
              <w:rPr>
                <w:webHidden/>
              </w:rPr>
              <w:fldChar w:fldCharType="separate"/>
            </w:r>
            <w:r>
              <w:rPr>
                <w:webHidden/>
              </w:rPr>
              <w:t>2</w:t>
            </w:r>
            <w:r>
              <w:rPr>
                <w:webHidden/>
              </w:rPr>
              <w:fldChar w:fldCharType="end"/>
            </w:r>
          </w:hyperlink>
        </w:p>
        <w:p w14:paraId="212CEFF5" w14:textId="3DA3B09A" w:rsidR="00B6685E" w:rsidRDefault="00B6685E">
          <w:pPr>
            <w:pStyle w:val="TOC1"/>
            <w:rPr>
              <w:rFonts w:asciiTheme="minorHAnsi" w:eastAsiaTheme="minorEastAsia" w:hAnsiTheme="minorHAnsi" w:cstheme="minorBidi"/>
              <w:color w:val="auto"/>
              <w:kern w:val="2"/>
              <w14:ligatures w14:val="standardContextual"/>
            </w:rPr>
          </w:pPr>
          <w:hyperlink w:anchor="_Toc188279425" w:history="1">
            <w:r w:rsidRPr="009D57BF">
              <w:rPr>
                <w:rStyle w:val="Hyperlink"/>
              </w:rPr>
              <w:t>Scope</w:t>
            </w:r>
            <w:r>
              <w:rPr>
                <w:webHidden/>
              </w:rPr>
              <w:tab/>
            </w:r>
            <w:r>
              <w:rPr>
                <w:webHidden/>
              </w:rPr>
              <w:fldChar w:fldCharType="begin"/>
            </w:r>
            <w:r>
              <w:rPr>
                <w:webHidden/>
              </w:rPr>
              <w:instrText xml:space="preserve"> PAGEREF _Toc188279425 \h </w:instrText>
            </w:r>
            <w:r>
              <w:rPr>
                <w:webHidden/>
              </w:rPr>
            </w:r>
            <w:r>
              <w:rPr>
                <w:webHidden/>
              </w:rPr>
              <w:fldChar w:fldCharType="separate"/>
            </w:r>
            <w:r>
              <w:rPr>
                <w:webHidden/>
              </w:rPr>
              <w:t>2</w:t>
            </w:r>
            <w:r>
              <w:rPr>
                <w:webHidden/>
              </w:rPr>
              <w:fldChar w:fldCharType="end"/>
            </w:r>
          </w:hyperlink>
        </w:p>
        <w:p w14:paraId="53FE6125" w14:textId="72528C93" w:rsidR="00B6685E" w:rsidRDefault="00B6685E">
          <w:pPr>
            <w:pStyle w:val="TOC1"/>
            <w:rPr>
              <w:rFonts w:asciiTheme="minorHAnsi" w:eastAsiaTheme="minorEastAsia" w:hAnsiTheme="minorHAnsi" w:cstheme="minorBidi"/>
              <w:color w:val="auto"/>
              <w:kern w:val="2"/>
              <w14:ligatures w14:val="standardContextual"/>
            </w:rPr>
          </w:pPr>
          <w:hyperlink w:anchor="_Toc188279426" w:history="1">
            <w:r w:rsidRPr="009D57BF">
              <w:rPr>
                <w:rStyle w:val="Hyperlink"/>
              </w:rPr>
              <w:t>Section 1 – NSW Health Clinical Management Guideline</w:t>
            </w:r>
            <w:r>
              <w:rPr>
                <w:webHidden/>
              </w:rPr>
              <w:tab/>
            </w:r>
            <w:r>
              <w:rPr>
                <w:webHidden/>
              </w:rPr>
              <w:fldChar w:fldCharType="begin"/>
            </w:r>
            <w:r>
              <w:rPr>
                <w:webHidden/>
              </w:rPr>
              <w:instrText xml:space="preserve"> PAGEREF _Toc188279426 \h </w:instrText>
            </w:r>
            <w:r>
              <w:rPr>
                <w:webHidden/>
              </w:rPr>
            </w:r>
            <w:r>
              <w:rPr>
                <w:webHidden/>
              </w:rPr>
              <w:fldChar w:fldCharType="separate"/>
            </w:r>
            <w:r>
              <w:rPr>
                <w:webHidden/>
              </w:rPr>
              <w:t>2</w:t>
            </w:r>
            <w:r>
              <w:rPr>
                <w:webHidden/>
              </w:rPr>
              <w:fldChar w:fldCharType="end"/>
            </w:r>
          </w:hyperlink>
        </w:p>
        <w:p w14:paraId="60E1ABCB" w14:textId="112092D8" w:rsidR="00B6685E" w:rsidRDefault="00B6685E">
          <w:pPr>
            <w:pStyle w:val="TOC1"/>
            <w:rPr>
              <w:rFonts w:asciiTheme="minorHAnsi" w:eastAsiaTheme="minorEastAsia" w:hAnsiTheme="minorHAnsi" w:cstheme="minorBidi"/>
              <w:color w:val="auto"/>
              <w:kern w:val="2"/>
              <w14:ligatures w14:val="standardContextual"/>
            </w:rPr>
          </w:pPr>
          <w:hyperlink w:anchor="_Toc188279427" w:history="1">
            <w:r w:rsidRPr="009D57BF">
              <w:rPr>
                <w:rStyle w:val="Hyperlink"/>
              </w:rPr>
              <w:t>Section 2 – Equipment and Patient Assessment</w:t>
            </w:r>
            <w:r>
              <w:rPr>
                <w:webHidden/>
              </w:rPr>
              <w:tab/>
            </w:r>
            <w:r>
              <w:rPr>
                <w:webHidden/>
              </w:rPr>
              <w:fldChar w:fldCharType="begin"/>
            </w:r>
            <w:r>
              <w:rPr>
                <w:webHidden/>
              </w:rPr>
              <w:instrText xml:space="preserve"> PAGEREF _Toc188279427 \h </w:instrText>
            </w:r>
            <w:r>
              <w:rPr>
                <w:webHidden/>
              </w:rPr>
            </w:r>
            <w:r>
              <w:rPr>
                <w:webHidden/>
              </w:rPr>
              <w:fldChar w:fldCharType="separate"/>
            </w:r>
            <w:r>
              <w:rPr>
                <w:webHidden/>
              </w:rPr>
              <w:t>3</w:t>
            </w:r>
            <w:r>
              <w:rPr>
                <w:webHidden/>
              </w:rPr>
              <w:fldChar w:fldCharType="end"/>
            </w:r>
          </w:hyperlink>
        </w:p>
        <w:p w14:paraId="4C888567" w14:textId="1C1DAEE2" w:rsidR="00B6685E" w:rsidRDefault="00B6685E">
          <w:pPr>
            <w:pStyle w:val="TOC1"/>
            <w:rPr>
              <w:rFonts w:asciiTheme="minorHAnsi" w:eastAsiaTheme="minorEastAsia" w:hAnsiTheme="minorHAnsi" w:cstheme="minorBidi"/>
              <w:color w:val="auto"/>
              <w:kern w:val="2"/>
              <w14:ligatures w14:val="standardContextual"/>
            </w:rPr>
          </w:pPr>
          <w:hyperlink w:anchor="_Toc188279428" w:history="1">
            <w:r w:rsidRPr="009D57BF">
              <w:rPr>
                <w:rStyle w:val="Hyperlink"/>
              </w:rPr>
              <w:t>Section 3 – Pathology Investigations</w:t>
            </w:r>
            <w:r>
              <w:rPr>
                <w:webHidden/>
              </w:rPr>
              <w:tab/>
            </w:r>
            <w:r>
              <w:rPr>
                <w:webHidden/>
              </w:rPr>
              <w:fldChar w:fldCharType="begin"/>
            </w:r>
            <w:r>
              <w:rPr>
                <w:webHidden/>
              </w:rPr>
              <w:instrText xml:space="preserve"> PAGEREF _Toc188279428 \h </w:instrText>
            </w:r>
            <w:r>
              <w:rPr>
                <w:webHidden/>
              </w:rPr>
            </w:r>
            <w:r>
              <w:rPr>
                <w:webHidden/>
              </w:rPr>
              <w:fldChar w:fldCharType="separate"/>
            </w:r>
            <w:r>
              <w:rPr>
                <w:webHidden/>
              </w:rPr>
              <w:t>4</w:t>
            </w:r>
            <w:r>
              <w:rPr>
                <w:webHidden/>
              </w:rPr>
              <w:fldChar w:fldCharType="end"/>
            </w:r>
          </w:hyperlink>
        </w:p>
        <w:p w14:paraId="2C72A785" w14:textId="26FCD209" w:rsidR="00B6685E" w:rsidRDefault="00B6685E">
          <w:pPr>
            <w:pStyle w:val="TOC1"/>
            <w:rPr>
              <w:rFonts w:asciiTheme="minorHAnsi" w:eastAsiaTheme="minorEastAsia" w:hAnsiTheme="minorHAnsi" w:cstheme="minorBidi"/>
              <w:color w:val="auto"/>
              <w:kern w:val="2"/>
              <w14:ligatures w14:val="standardContextual"/>
            </w:rPr>
          </w:pPr>
          <w:hyperlink w:anchor="_Toc188279429" w:history="1">
            <w:r w:rsidRPr="009D57BF">
              <w:rPr>
                <w:rStyle w:val="Hyperlink"/>
              </w:rPr>
              <w:t>Section 4 – Disposition</w:t>
            </w:r>
            <w:r>
              <w:rPr>
                <w:webHidden/>
              </w:rPr>
              <w:tab/>
            </w:r>
            <w:r>
              <w:rPr>
                <w:webHidden/>
              </w:rPr>
              <w:fldChar w:fldCharType="begin"/>
            </w:r>
            <w:r>
              <w:rPr>
                <w:webHidden/>
              </w:rPr>
              <w:instrText xml:space="preserve"> PAGEREF _Toc188279429 \h </w:instrText>
            </w:r>
            <w:r>
              <w:rPr>
                <w:webHidden/>
              </w:rPr>
            </w:r>
            <w:r>
              <w:rPr>
                <w:webHidden/>
              </w:rPr>
              <w:fldChar w:fldCharType="separate"/>
            </w:r>
            <w:r>
              <w:rPr>
                <w:webHidden/>
              </w:rPr>
              <w:t>5</w:t>
            </w:r>
            <w:r>
              <w:rPr>
                <w:webHidden/>
              </w:rPr>
              <w:fldChar w:fldCharType="end"/>
            </w:r>
          </w:hyperlink>
        </w:p>
        <w:p w14:paraId="459170C2" w14:textId="7A07148E" w:rsidR="00B6685E" w:rsidRDefault="00B6685E">
          <w:pPr>
            <w:pStyle w:val="TOC1"/>
            <w:rPr>
              <w:rFonts w:asciiTheme="minorHAnsi" w:eastAsiaTheme="minorEastAsia" w:hAnsiTheme="minorHAnsi" w:cstheme="minorBidi"/>
              <w:color w:val="auto"/>
              <w:kern w:val="2"/>
              <w14:ligatures w14:val="standardContextual"/>
            </w:rPr>
          </w:pPr>
          <w:hyperlink w:anchor="_Toc188279430" w:history="1">
            <w:r w:rsidRPr="009D57BF">
              <w:rPr>
                <w:rStyle w:val="Hyperlink"/>
              </w:rPr>
              <w:t>Section 5 – Antivenom Administration</w:t>
            </w:r>
            <w:r>
              <w:rPr>
                <w:webHidden/>
              </w:rPr>
              <w:tab/>
            </w:r>
            <w:r>
              <w:rPr>
                <w:webHidden/>
              </w:rPr>
              <w:fldChar w:fldCharType="begin"/>
            </w:r>
            <w:r>
              <w:rPr>
                <w:webHidden/>
              </w:rPr>
              <w:instrText xml:space="preserve"> PAGEREF _Toc188279430 \h </w:instrText>
            </w:r>
            <w:r>
              <w:rPr>
                <w:webHidden/>
              </w:rPr>
            </w:r>
            <w:r>
              <w:rPr>
                <w:webHidden/>
              </w:rPr>
              <w:fldChar w:fldCharType="separate"/>
            </w:r>
            <w:r>
              <w:rPr>
                <w:webHidden/>
              </w:rPr>
              <w:t>6</w:t>
            </w:r>
            <w:r>
              <w:rPr>
                <w:webHidden/>
              </w:rPr>
              <w:fldChar w:fldCharType="end"/>
            </w:r>
          </w:hyperlink>
        </w:p>
        <w:p w14:paraId="779F9B57" w14:textId="2121A8DC" w:rsidR="00B6685E" w:rsidRDefault="00B6685E">
          <w:pPr>
            <w:pStyle w:val="TOC1"/>
            <w:rPr>
              <w:rFonts w:asciiTheme="minorHAnsi" w:eastAsiaTheme="minorEastAsia" w:hAnsiTheme="minorHAnsi" w:cstheme="minorBidi"/>
              <w:color w:val="auto"/>
              <w:kern w:val="2"/>
              <w14:ligatures w14:val="standardContextual"/>
            </w:rPr>
          </w:pPr>
          <w:hyperlink w:anchor="_Toc188279431" w:history="1">
            <w:r w:rsidRPr="009D57BF">
              <w:rPr>
                <w:rStyle w:val="Hyperlink"/>
              </w:rPr>
              <w:t>Evaluation</w:t>
            </w:r>
            <w:r>
              <w:rPr>
                <w:webHidden/>
              </w:rPr>
              <w:tab/>
            </w:r>
            <w:r>
              <w:rPr>
                <w:webHidden/>
              </w:rPr>
              <w:fldChar w:fldCharType="begin"/>
            </w:r>
            <w:r>
              <w:rPr>
                <w:webHidden/>
              </w:rPr>
              <w:instrText xml:space="preserve"> PAGEREF _Toc188279431 \h </w:instrText>
            </w:r>
            <w:r>
              <w:rPr>
                <w:webHidden/>
              </w:rPr>
            </w:r>
            <w:r>
              <w:rPr>
                <w:webHidden/>
              </w:rPr>
              <w:fldChar w:fldCharType="separate"/>
            </w:r>
            <w:r>
              <w:rPr>
                <w:webHidden/>
              </w:rPr>
              <w:t>7</w:t>
            </w:r>
            <w:r>
              <w:rPr>
                <w:webHidden/>
              </w:rPr>
              <w:fldChar w:fldCharType="end"/>
            </w:r>
          </w:hyperlink>
        </w:p>
        <w:p w14:paraId="411742C7" w14:textId="38D44B42" w:rsidR="00B6685E" w:rsidRDefault="00B6685E">
          <w:pPr>
            <w:pStyle w:val="TOC1"/>
            <w:rPr>
              <w:rFonts w:asciiTheme="minorHAnsi" w:eastAsiaTheme="minorEastAsia" w:hAnsiTheme="minorHAnsi" w:cstheme="minorBidi"/>
              <w:color w:val="auto"/>
              <w:kern w:val="2"/>
              <w14:ligatures w14:val="standardContextual"/>
            </w:rPr>
          </w:pPr>
          <w:hyperlink w:anchor="_Toc188279432" w:history="1">
            <w:r w:rsidRPr="009D57BF">
              <w:rPr>
                <w:rStyle w:val="Hyperlink"/>
              </w:rPr>
              <w:t>Related policies, procedures, guidelines and legislation</w:t>
            </w:r>
            <w:r>
              <w:rPr>
                <w:webHidden/>
              </w:rPr>
              <w:tab/>
            </w:r>
            <w:r>
              <w:rPr>
                <w:webHidden/>
              </w:rPr>
              <w:fldChar w:fldCharType="begin"/>
            </w:r>
            <w:r>
              <w:rPr>
                <w:webHidden/>
              </w:rPr>
              <w:instrText xml:space="preserve"> PAGEREF _Toc188279432 \h </w:instrText>
            </w:r>
            <w:r>
              <w:rPr>
                <w:webHidden/>
              </w:rPr>
            </w:r>
            <w:r>
              <w:rPr>
                <w:webHidden/>
              </w:rPr>
              <w:fldChar w:fldCharType="separate"/>
            </w:r>
            <w:r>
              <w:rPr>
                <w:webHidden/>
              </w:rPr>
              <w:t>7</w:t>
            </w:r>
            <w:r>
              <w:rPr>
                <w:webHidden/>
              </w:rPr>
              <w:fldChar w:fldCharType="end"/>
            </w:r>
          </w:hyperlink>
        </w:p>
        <w:p w14:paraId="3469B4F8" w14:textId="4194A486" w:rsidR="00B6685E" w:rsidRDefault="00B6685E">
          <w:pPr>
            <w:pStyle w:val="TOC1"/>
            <w:rPr>
              <w:rFonts w:asciiTheme="minorHAnsi" w:eastAsiaTheme="minorEastAsia" w:hAnsiTheme="minorHAnsi" w:cstheme="minorBidi"/>
              <w:color w:val="auto"/>
              <w:kern w:val="2"/>
              <w14:ligatures w14:val="standardContextual"/>
            </w:rPr>
          </w:pPr>
          <w:hyperlink w:anchor="_Toc188279433" w:history="1">
            <w:r w:rsidRPr="009D57BF">
              <w:rPr>
                <w:rStyle w:val="Hyperlink"/>
              </w:rPr>
              <w:t>References</w:t>
            </w:r>
            <w:r>
              <w:rPr>
                <w:webHidden/>
              </w:rPr>
              <w:tab/>
            </w:r>
            <w:r>
              <w:rPr>
                <w:webHidden/>
              </w:rPr>
              <w:fldChar w:fldCharType="begin"/>
            </w:r>
            <w:r>
              <w:rPr>
                <w:webHidden/>
              </w:rPr>
              <w:instrText xml:space="preserve"> PAGEREF _Toc188279433 \h </w:instrText>
            </w:r>
            <w:r>
              <w:rPr>
                <w:webHidden/>
              </w:rPr>
            </w:r>
            <w:r>
              <w:rPr>
                <w:webHidden/>
              </w:rPr>
              <w:fldChar w:fldCharType="separate"/>
            </w:r>
            <w:r>
              <w:rPr>
                <w:webHidden/>
              </w:rPr>
              <w:t>8</w:t>
            </w:r>
            <w:r>
              <w:rPr>
                <w:webHidden/>
              </w:rPr>
              <w:fldChar w:fldCharType="end"/>
            </w:r>
          </w:hyperlink>
        </w:p>
        <w:p w14:paraId="56505E6A" w14:textId="5C4DE822" w:rsidR="00B6685E" w:rsidRDefault="00B6685E">
          <w:pPr>
            <w:pStyle w:val="TOC1"/>
            <w:rPr>
              <w:rFonts w:asciiTheme="minorHAnsi" w:eastAsiaTheme="minorEastAsia" w:hAnsiTheme="minorHAnsi" w:cstheme="minorBidi"/>
              <w:color w:val="auto"/>
              <w:kern w:val="2"/>
              <w14:ligatures w14:val="standardContextual"/>
            </w:rPr>
          </w:pPr>
          <w:hyperlink w:anchor="_Toc188279434" w:history="1">
            <w:r w:rsidRPr="009D57BF">
              <w:rPr>
                <w:rStyle w:val="Hyperlink"/>
              </w:rPr>
              <w:t>Definition of terms</w:t>
            </w:r>
            <w:r>
              <w:rPr>
                <w:webHidden/>
              </w:rPr>
              <w:tab/>
            </w:r>
            <w:r>
              <w:rPr>
                <w:webHidden/>
              </w:rPr>
              <w:fldChar w:fldCharType="begin"/>
            </w:r>
            <w:r>
              <w:rPr>
                <w:webHidden/>
              </w:rPr>
              <w:instrText xml:space="preserve"> PAGEREF _Toc188279434 \h </w:instrText>
            </w:r>
            <w:r>
              <w:rPr>
                <w:webHidden/>
              </w:rPr>
            </w:r>
            <w:r>
              <w:rPr>
                <w:webHidden/>
              </w:rPr>
              <w:fldChar w:fldCharType="separate"/>
            </w:r>
            <w:r>
              <w:rPr>
                <w:webHidden/>
              </w:rPr>
              <w:t>8</w:t>
            </w:r>
            <w:r>
              <w:rPr>
                <w:webHidden/>
              </w:rPr>
              <w:fldChar w:fldCharType="end"/>
            </w:r>
          </w:hyperlink>
        </w:p>
        <w:p w14:paraId="6442FDEB" w14:textId="18412DD9" w:rsidR="00B6685E" w:rsidRDefault="00B6685E">
          <w:pPr>
            <w:pStyle w:val="TOC1"/>
            <w:rPr>
              <w:rFonts w:asciiTheme="minorHAnsi" w:eastAsiaTheme="minorEastAsia" w:hAnsiTheme="minorHAnsi" w:cstheme="minorBidi"/>
              <w:color w:val="auto"/>
              <w:kern w:val="2"/>
              <w14:ligatures w14:val="standardContextual"/>
            </w:rPr>
          </w:pPr>
          <w:hyperlink w:anchor="_Toc188279435" w:history="1">
            <w:r w:rsidRPr="009D57BF">
              <w:rPr>
                <w:rStyle w:val="Hyperlink"/>
              </w:rPr>
              <w:t>Search terms</w:t>
            </w:r>
            <w:r>
              <w:rPr>
                <w:webHidden/>
              </w:rPr>
              <w:tab/>
            </w:r>
            <w:r>
              <w:rPr>
                <w:webHidden/>
              </w:rPr>
              <w:fldChar w:fldCharType="begin"/>
            </w:r>
            <w:r>
              <w:rPr>
                <w:webHidden/>
              </w:rPr>
              <w:instrText xml:space="preserve"> PAGEREF _Toc188279435 \h </w:instrText>
            </w:r>
            <w:r>
              <w:rPr>
                <w:webHidden/>
              </w:rPr>
            </w:r>
            <w:r>
              <w:rPr>
                <w:webHidden/>
              </w:rPr>
              <w:fldChar w:fldCharType="separate"/>
            </w:r>
            <w:r>
              <w:rPr>
                <w:webHidden/>
              </w:rPr>
              <w:t>9</w:t>
            </w:r>
            <w:r>
              <w:rPr>
                <w:webHidden/>
              </w:rPr>
              <w:fldChar w:fldCharType="end"/>
            </w:r>
          </w:hyperlink>
        </w:p>
        <w:p w14:paraId="79141269" w14:textId="7476735C" w:rsidR="00B6685E" w:rsidRDefault="00B6685E">
          <w:pPr>
            <w:pStyle w:val="TOC1"/>
            <w:rPr>
              <w:rFonts w:asciiTheme="minorHAnsi" w:eastAsiaTheme="minorEastAsia" w:hAnsiTheme="minorHAnsi" w:cstheme="minorBidi"/>
              <w:color w:val="auto"/>
              <w:kern w:val="2"/>
              <w14:ligatures w14:val="standardContextual"/>
            </w:rPr>
          </w:pPr>
          <w:hyperlink w:anchor="_Toc188279436" w:history="1">
            <w:r w:rsidRPr="009D57BF">
              <w:rPr>
                <w:rStyle w:val="Hyperlink"/>
              </w:rPr>
              <w:t>Attachments</w:t>
            </w:r>
            <w:r>
              <w:rPr>
                <w:webHidden/>
              </w:rPr>
              <w:tab/>
            </w:r>
            <w:r>
              <w:rPr>
                <w:webHidden/>
              </w:rPr>
              <w:fldChar w:fldCharType="begin"/>
            </w:r>
            <w:r>
              <w:rPr>
                <w:webHidden/>
              </w:rPr>
              <w:instrText xml:space="preserve"> PAGEREF _Toc188279436 \h </w:instrText>
            </w:r>
            <w:r>
              <w:rPr>
                <w:webHidden/>
              </w:rPr>
            </w:r>
            <w:r>
              <w:rPr>
                <w:webHidden/>
              </w:rPr>
              <w:fldChar w:fldCharType="separate"/>
            </w:r>
            <w:r>
              <w:rPr>
                <w:webHidden/>
              </w:rPr>
              <w:t>9</w:t>
            </w:r>
            <w:r>
              <w:rPr>
                <w:webHidden/>
              </w:rPr>
              <w:fldChar w:fldCharType="end"/>
            </w:r>
          </w:hyperlink>
        </w:p>
        <w:p w14:paraId="12133185" w14:textId="5773AF70" w:rsidR="00B6685E" w:rsidRDefault="00B6685E">
          <w:pPr>
            <w:pStyle w:val="TOC1"/>
            <w:rPr>
              <w:rFonts w:asciiTheme="minorHAnsi" w:eastAsiaTheme="minorEastAsia" w:hAnsiTheme="minorHAnsi" w:cstheme="minorBidi"/>
              <w:color w:val="auto"/>
              <w:kern w:val="2"/>
              <w14:ligatures w14:val="standardContextual"/>
            </w:rPr>
          </w:pPr>
          <w:hyperlink w:anchor="_Toc188279437" w:history="1">
            <w:r w:rsidRPr="009D57BF">
              <w:rPr>
                <w:rStyle w:val="Hyperlink"/>
              </w:rPr>
              <w:t>Attachment 1 – Clinical Pathway Flowchart</w:t>
            </w:r>
            <w:r>
              <w:rPr>
                <w:webHidden/>
              </w:rPr>
              <w:tab/>
            </w:r>
            <w:r>
              <w:rPr>
                <w:webHidden/>
              </w:rPr>
              <w:fldChar w:fldCharType="begin"/>
            </w:r>
            <w:r>
              <w:rPr>
                <w:webHidden/>
              </w:rPr>
              <w:instrText xml:space="preserve"> PAGEREF _Toc188279437 \h </w:instrText>
            </w:r>
            <w:r>
              <w:rPr>
                <w:webHidden/>
              </w:rPr>
            </w:r>
            <w:r>
              <w:rPr>
                <w:webHidden/>
              </w:rPr>
              <w:fldChar w:fldCharType="separate"/>
            </w:r>
            <w:r>
              <w:rPr>
                <w:webHidden/>
              </w:rPr>
              <w:t>10</w:t>
            </w:r>
            <w:r>
              <w:rPr>
                <w:webHidden/>
              </w:rPr>
              <w:fldChar w:fldCharType="end"/>
            </w:r>
          </w:hyperlink>
        </w:p>
        <w:p w14:paraId="055F7A09" w14:textId="653652AA" w:rsidR="00B6685E" w:rsidRDefault="00B6685E">
          <w:pPr>
            <w:pStyle w:val="TOC1"/>
            <w:rPr>
              <w:rFonts w:asciiTheme="minorHAnsi" w:eastAsiaTheme="minorEastAsia" w:hAnsiTheme="minorHAnsi" w:cstheme="minorBidi"/>
              <w:color w:val="auto"/>
              <w:kern w:val="2"/>
              <w14:ligatures w14:val="standardContextual"/>
            </w:rPr>
          </w:pPr>
          <w:hyperlink w:anchor="_Toc188279438" w:history="1">
            <w:r w:rsidRPr="009D57BF">
              <w:rPr>
                <w:rStyle w:val="Hyperlink"/>
              </w:rPr>
              <w:t>Attachment 2 – Pressure Bandage with Immobilisation</w:t>
            </w:r>
            <w:r>
              <w:rPr>
                <w:webHidden/>
              </w:rPr>
              <w:tab/>
            </w:r>
            <w:r>
              <w:rPr>
                <w:webHidden/>
              </w:rPr>
              <w:fldChar w:fldCharType="begin"/>
            </w:r>
            <w:r>
              <w:rPr>
                <w:webHidden/>
              </w:rPr>
              <w:instrText xml:space="preserve"> PAGEREF _Toc188279438 \h </w:instrText>
            </w:r>
            <w:r>
              <w:rPr>
                <w:webHidden/>
              </w:rPr>
            </w:r>
            <w:r>
              <w:rPr>
                <w:webHidden/>
              </w:rPr>
              <w:fldChar w:fldCharType="separate"/>
            </w:r>
            <w:r>
              <w:rPr>
                <w:webHidden/>
              </w:rPr>
              <w:t>12</w:t>
            </w:r>
            <w:r>
              <w:rPr>
                <w:webHidden/>
              </w:rPr>
              <w:fldChar w:fldCharType="end"/>
            </w:r>
          </w:hyperlink>
        </w:p>
        <w:p w14:paraId="3AD96005" w14:textId="7038CD17" w:rsidR="00B6685E" w:rsidRDefault="00B6685E">
          <w:pPr>
            <w:pStyle w:val="TOC1"/>
            <w:rPr>
              <w:rFonts w:asciiTheme="minorHAnsi" w:eastAsiaTheme="minorEastAsia" w:hAnsiTheme="minorHAnsi" w:cstheme="minorBidi"/>
              <w:color w:val="auto"/>
              <w:kern w:val="2"/>
              <w14:ligatures w14:val="standardContextual"/>
            </w:rPr>
          </w:pPr>
          <w:hyperlink w:anchor="_Toc188279439" w:history="1">
            <w:r w:rsidRPr="009D57BF">
              <w:rPr>
                <w:rStyle w:val="Hyperlink"/>
              </w:rPr>
              <w:t>Attachment 3 – Other Useful Resources</w:t>
            </w:r>
            <w:r>
              <w:rPr>
                <w:webHidden/>
              </w:rPr>
              <w:tab/>
            </w:r>
            <w:r>
              <w:rPr>
                <w:webHidden/>
              </w:rPr>
              <w:fldChar w:fldCharType="begin"/>
            </w:r>
            <w:r>
              <w:rPr>
                <w:webHidden/>
              </w:rPr>
              <w:instrText xml:space="preserve"> PAGEREF _Toc188279439 \h </w:instrText>
            </w:r>
            <w:r>
              <w:rPr>
                <w:webHidden/>
              </w:rPr>
            </w:r>
            <w:r>
              <w:rPr>
                <w:webHidden/>
              </w:rPr>
              <w:fldChar w:fldCharType="separate"/>
            </w:r>
            <w:r>
              <w:rPr>
                <w:webHidden/>
              </w:rPr>
              <w:t>13</w:t>
            </w:r>
            <w:r>
              <w:rPr>
                <w:webHidden/>
              </w:rPr>
              <w:fldChar w:fldCharType="end"/>
            </w:r>
          </w:hyperlink>
        </w:p>
        <w:p w14:paraId="71A4D4A5" w14:textId="404574DC"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5B7EA03F" w14:textId="77777777" w:rsidR="00FE46F1" w:rsidRDefault="00FE46F1">
      <w:pPr>
        <w:spacing w:before="0" w:after="0" w:line="240" w:lineRule="auto"/>
        <w:rPr>
          <w:rFonts w:eastAsia="Times New Roman"/>
          <w:b/>
          <w:color w:val="FFFFFF" w:themeColor="background1"/>
          <w:szCs w:val="80"/>
          <w:lang w:eastAsia="en-US"/>
        </w:rPr>
      </w:pPr>
    </w:p>
    <w:p w14:paraId="23D676B7" w14:textId="77777777" w:rsidR="00201AF6" w:rsidRDefault="00201AF6">
      <w:pPr>
        <w:spacing w:before="0" w:after="0" w:line="240" w:lineRule="auto"/>
        <w:rPr>
          <w:rFonts w:eastAsia="Times New Roman"/>
          <w:b/>
          <w:bCs/>
          <w:iCs/>
          <w:color w:val="FFFFFF" w:themeColor="background1"/>
          <w:lang w:eastAsia="en-US"/>
        </w:rPr>
      </w:pPr>
      <w:r>
        <w:br w:type="page"/>
      </w:r>
    </w:p>
    <w:p w14:paraId="75951E8C" w14:textId="2D14D46A" w:rsidR="0078367D" w:rsidRPr="00036249" w:rsidRDefault="003254E1" w:rsidP="00036249">
      <w:pPr>
        <w:pStyle w:val="Heading4"/>
      </w:pPr>
      <w:bookmarkStart w:id="1" w:name="_Toc188279423"/>
      <w:r>
        <w:lastRenderedPageBreak/>
        <w:t>Purpose</w:t>
      </w:r>
      <w:bookmarkEnd w:id="1"/>
    </w:p>
    <w:p w14:paraId="2A06E175" w14:textId="21E0DECE" w:rsidR="00673A7F" w:rsidRPr="00673A7F" w:rsidRDefault="00673A7F" w:rsidP="00673A7F">
      <w:pPr>
        <w:pStyle w:val="BodyCopy"/>
      </w:pPr>
      <w:r w:rsidRPr="00673A7F">
        <w:t>This document provides direction for nursing</w:t>
      </w:r>
      <w:r w:rsidR="00A1208B">
        <w:t>,</w:t>
      </w:r>
      <w:r w:rsidRPr="00673A7F">
        <w:t xml:space="preserve"> medical staff</w:t>
      </w:r>
      <w:r w:rsidR="00A1208B">
        <w:t>, pharmacy staff</w:t>
      </w:r>
      <w:r w:rsidRPr="00673A7F">
        <w:t xml:space="preserve"> and students in relation to the assessment, investigation, treatment and disposition of adult and paediatric patients presenting to </w:t>
      </w:r>
      <w:r w:rsidR="00A33B53">
        <w:t xml:space="preserve">a </w:t>
      </w:r>
      <w:r w:rsidRPr="00673A7F">
        <w:t>Canberra Health Services (CHS) Emergency Department (ED) with snake bite.</w:t>
      </w:r>
    </w:p>
    <w:p w14:paraId="6A6CC20D" w14:textId="11FB8A7A" w:rsidR="00673A7F" w:rsidRPr="00673A7F" w:rsidRDefault="00673A7F" w:rsidP="00673A7F">
      <w:pPr>
        <w:pStyle w:val="BodyCopy"/>
      </w:pPr>
      <w:r w:rsidRPr="00673A7F">
        <w:t>Envenoming refers to venom being injected into a patient as a result of a bite/sting. Envenoming from snake bite is rare, and when it occurs, early signs and symptoms may be subtle or absent. It is important for ED staff to thoroughly assess every bite for potential envenoming in a timely manner via the procedure described in this document</w:t>
      </w:r>
      <w:r w:rsidR="001D02BB">
        <w:t>.</w:t>
      </w:r>
    </w:p>
    <w:p w14:paraId="27A5A662" w14:textId="6E9266C2" w:rsidR="007078AB" w:rsidRPr="00673A7F" w:rsidRDefault="00673A7F" w:rsidP="00673A7F">
      <w:pPr>
        <w:pStyle w:val="BodyCopy"/>
      </w:pPr>
      <w:r w:rsidRPr="00673A7F">
        <w:t>Early identification of the envenomed patient is very important to help guide appropriate and timely early management. </w:t>
      </w:r>
    </w:p>
    <w:p w14:paraId="102F9003" w14:textId="7BB8841A" w:rsidR="00481A6C" w:rsidRDefault="00481A6C" w:rsidP="00481A6C">
      <w:pPr>
        <w:pStyle w:val="BodyCopy"/>
        <w:rPr>
          <w:rStyle w:val="Hyperlink"/>
          <w:iCs w:val="0"/>
        </w:rPr>
      </w:pPr>
      <w:hyperlink w:anchor="_top" w:history="1">
        <w:r w:rsidRPr="00481A6C">
          <w:rPr>
            <w:rStyle w:val="Hyperlink"/>
            <w:iCs w:val="0"/>
          </w:rPr>
          <w:t>Back to Contents</w:t>
        </w:r>
      </w:hyperlink>
    </w:p>
    <w:p w14:paraId="50AE70CF" w14:textId="4E0448DD" w:rsidR="001D5D8B" w:rsidRDefault="003254E1" w:rsidP="005013EB">
      <w:pPr>
        <w:pStyle w:val="Heading4"/>
      </w:pPr>
      <w:bookmarkStart w:id="2" w:name="_Toc188279424"/>
      <w:r>
        <w:rPr>
          <w:rStyle w:val="Hyperlink"/>
          <w:color w:val="FFFFFF" w:themeColor="background1"/>
          <w:u w:val="none"/>
        </w:rPr>
        <w:t>Alerts</w:t>
      </w:r>
      <w:bookmarkEnd w:id="2"/>
      <w:r>
        <w:rPr>
          <w:rStyle w:val="Hyperlink"/>
          <w:color w:val="FFFFFF" w:themeColor="background1"/>
          <w:u w:val="none"/>
        </w:rPr>
        <w:t xml:space="preserve"> </w:t>
      </w:r>
    </w:p>
    <w:p w14:paraId="23F32724" w14:textId="156C2898" w:rsidR="00E8502D" w:rsidRDefault="00E8502D" w:rsidP="00481A6C">
      <w:pPr>
        <w:pStyle w:val="BodyCopy"/>
      </w:pPr>
      <w:r>
        <w:t>To help guide treatment, a</w:t>
      </w:r>
      <w:r w:rsidRPr="00E8502D">
        <w:t xml:space="preserve">ll cases of suspected or confirmed </w:t>
      </w:r>
      <w:r w:rsidRPr="00DC3879">
        <w:t>envenoming</w:t>
      </w:r>
      <w:r w:rsidRPr="001D5D8B">
        <w:t xml:space="preserve"> must</w:t>
      </w:r>
      <w:r w:rsidRPr="00E8502D">
        <w:t xml:space="preserve"> be discussed with a clinical toxicologist as early as possible</w:t>
      </w:r>
      <w:r>
        <w:t>, usually via the</w:t>
      </w:r>
      <w:r w:rsidRPr="00E8502D">
        <w:t xml:space="preserve"> </w:t>
      </w:r>
      <w:hyperlink r:id="rId11" w:tgtFrame="_blank" w:history="1">
        <w:r w:rsidRPr="00E8502D">
          <w:rPr>
            <w:rStyle w:val="Hyperlink"/>
          </w:rPr>
          <w:t>NSW Poisons Information Centre</w:t>
        </w:r>
      </w:hyperlink>
      <w:r>
        <w:t xml:space="preserve"> (PIC)</w:t>
      </w:r>
      <w:r w:rsidRPr="00E8502D">
        <w:t xml:space="preserve"> </w:t>
      </w:r>
      <w:r>
        <w:t xml:space="preserve"> - </w:t>
      </w:r>
      <w:r w:rsidRPr="00E8502D">
        <w:t>P</w:t>
      </w:r>
      <w:r>
        <w:t>h</w:t>
      </w:r>
      <w:r w:rsidRPr="00E8502D">
        <w:t>one 13 11 26</w:t>
      </w:r>
      <w:r w:rsidR="005013EB">
        <w:t>.</w:t>
      </w:r>
    </w:p>
    <w:p w14:paraId="47152052" w14:textId="0C943A7B" w:rsidR="00481A6C" w:rsidRDefault="00481A6C" w:rsidP="00481A6C">
      <w:pPr>
        <w:pStyle w:val="BodyCopy"/>
        <w:rPr>
          <w:rStyle w:val="Hyperlink"/>
          <w:iCs w:val="0"/>
        </w:rPr>
      </w:pPr>
      <w:hyperlink w:anchor="_top" w:history="1">
        <w:r w:rsidRPr="00481A6C">
          <w:rPr>
            <w:rStyle w:val="Hyperlink"/>
            <w:iCs w:val="0"/>
          </w:rPr>
          <w:t>Back to Contents</w:t>
        </w:r>
      </w:hyperlink>
    </w:p>
    <w:p w14:paraId="78009972" w14:textId="715E0EAE" w:rsidR="003254E1" w:rsidRDefault="003254E1" w:rsidP="005013EB">
      <w:pPr>
        <w:pStyle w:val="Heading4"/>
      </w:pPr>
      <w:bookmarkStart w:id="3" w:name="_Toc188279425"/>
      <w:r>
        <w:t>Scope</w:t>
      </w:r>
      <w:bookmarkEnd w:id="3"/>
    </w:p>
    <w:p w14:paraId="6433D77E" w14:textId="517BE934" w:rsidR="00673A7F" w:rsidRPr="00673A7F" w:rsidRDefault="00673A7F" w:rsidP="00673A7F">
      <w:pPr>
        <w:pStyle w:val="Bullet"/>
        <w:numPr>
          <w:ilvl w:val="0"/>
          <w:numId w:val="0"/>
        </w:numPr>
        <w:tabs>
          <w:tab w:val="clear" w:pos="425"/>
          <w:tab w:val="left" w:pos="0"/>
        </w:tabs>
      </w:pPr>
      <w:r w:rsidRPr="00673A7F">
        <w:t xml:space="preserve">This document applies to all patients presenting to </w:t>
      </w:r>
      <w:r w:rsidR="00B32FF0">
        <w:t>the</w:t>
      </w:r>
      <w:r w:rsidRPr="00673A7F">
        <w:t xml:space="preserve"> ED </w:t>
      </w:r>
      <w:r w:rsidR="00436141">
        <w:t xml:space="preserve">at </w:t>
      </w:r>
      <w:r w:rsidR="00265131">
        <w:t xml:space="preserve">Canberra Hospital </w:t>
      </w:r>
      <w:r w:rsidR="00436141">
        <w:t xml:space="preserve">or </w:t>
      </w:r>
      <w:r w:rsidR="00265131">
        <w:t>North Canberra Hospital</w:t>
      </w:r>
      <w:r w:rsidR="00324C51">
        <w:t xml:space="preserve"> (NCH</w:t>
      </w:r>
      <w:r w:rsidR="00265131">
        <w:t xml:space="preserve">) </w:t>
      </w:r>
      <w:r w:rsidRPr="00673A7F">
        <w:t>with history suggestive of</w:t>
      </w:r>
      <w:r>
        <w:t xml:space="preserve"> </w:t>
      </w:r>
      <w:r w:rsidRPr="00673A7F">
        <w:t>snake bite, with or without evidence of envenoming.   </w:t>
      </w:r>
    </w:p>
    <w:p w14:paraId="33DEE91F" w14:textId="77777777" w:rsidR="00673A7F" w:rsidRPr="00673A7F" w:rsidRDefault="00673A7F" w:rsidP="00673A7F">
      <w:pPr>
        <w:pStyle w:val="Bullet"/>
        <w:numPr>
          <w:ilvl w:val="0"/>
          <w:numId w:val="0"/>
        </w:numPr>
      </w:pPr>
      <w:r w:rsidRPr="00673A7F">
        <w:t> </w:t>
      </w:r>
    </w:p>
    <w:p w14:paraId="09A216C4" w14:textId="08B7DB6A" w:rsidR="00673A7F" w:rsidRPr="00673A7F" w:rsidRDefault="00673A7F" w:rsidP="00673A7F">
      <w:pPr>
        <w:pStyle w:val="Bullet"/>
        <w:numPr>
          <w:ilvl w:val="0"/>
          <w:numId w:val="0"/>
        </w:numPr>
      </w:pPr>
      <w:r w:rsidRPr="00673A7F">
        <w:t>This document applies to the following staff</w:t>
      </w:r>
      <w:r w:rsidR="00436141">
        <w:t xml:space="preserve"> working within their scope of practice</w:t>
      </w:r>
      <w:r w:rsidRPr="00673A7F">
        <w:t>: </w:t>
      </w:r>
    </w:p>
    <w:p w14:paraId="2A502224" w14:textId="77777777" w:rsidR="00673A7F" w:rsidRPr="00673A7F" w:rsidRDefault="00673A7F" w:rsidP="008E7509">
      <w:pPr>
        <w:pStyle w:val="Bullet"/>
        <w:numPr>
          <w:ilvl w:val="0"/>
          <w:numId w:val="10"/>
        </w:numPr>
      </w:pPr>
      <w:r w:rsidRPr="00673A7F">
        <w:t>Medical Officers </w:t>
      </w:r>
    </w:p>
    <w:p w14:paraId="5F3A76C0" w14:textId="77777777" w:rsidR="00673A7F" w:rsidRDefault="00673A7F" w:rsidP="008E7509">
      <w:pPr>
        <w:pStyle w:val="Bullet"/>
        <w:numPr>
          <w:ilvl w:val="0"/>
          <w:numId w:val="11"/>
        </w:numPr>
      </w:pPr>
      <w:r w:rsidRPr="00673A7F">
        <w:t>Nurses </w:t>
      </w:r>
    </w:p>
    <w:p w14:paraId="7DE8D7DB" w14:textId="5C4F1876" w:rsidR="00A1208B" w:rsidRPr="00673A7F" w:rsidRDefault="00A1208B" w:rsidP="008E7509">
      <w:pPr>
        <w:pStyle w:val="Bullet"/>
        <w:numPr>
          <w:ilvl w:val="0"/>
          <w:numId w:val="11"/>
        </w:numPr>
      </w:pPr>
      <w:r>
        <w:t>Pharmacists</w:t>
      </w:r>
    </w:p>
    <w:p w14:paraId="60EA7C04" w14:textId="77777777" w:rsidR="00673A7F" w:rsidRPr="00673A7F" w:rsidRDefault="00673A7F" w:rsidP="008E7509">
      <w:pPr>
        <w:pStyle w:val="Bullet"/>
        <w:numPr>
          <w:ilvl w:val="0"/>
          <w:numId w:val="12"/>
        </w:numPr>
      </w:pPr>
      <w:r w:rsidRPr="00673A7F">
        <w:t>Students under direct supervision. </w:t>
      </w:r>
    </w:p>
    <w:p w14:paraId="447EFBDF" w14:textId="0907931F" w:rsidR="007078AB" w:rsidRPr="00265131" w:rsidRDefault="003254E1" w:rsidP="003254E1">
      <w:pPr>
        <w:pStyle w:val="BodyCopy"/>
        <w:spacing w:before="240"/>
        <w:rPr>
          <w:iCs w:val="0"/>
          <w:color w:val="auto"/>
          <w:u w:val="single"/>
        </w:rPr>
      </w:pPr>
      <w:hyperlink w:anchor="_top" w:history="1">
        <w:r w:rsidRPr="00481A6C">
          <w:rPr>
            <w:rStyle w:val="Hyperlink"/>
            <w:iCs w:val="0"/>
          </w:rPr>
          <w:t>Back to Contents</w:t>
        </w:r>
      </w:hyperlink>
    </w:p>
    <w:p w14:paraId="3D9385BE" w14:textId="0DE9C983" w:rsidR="00673A7F" w:rsidRDefault="0078367D" w:rsidP="00673A7F">
      <w:pPr>
        <w:pStyle w:val="Heading4"/>
      </w:pPr>
      <w:bookmarkStart w:id="4" w:name="_Toc188279426"/>
      <w:r>
        <w:t xml:space="preserve">Section 1 </w:t>
      </w:r>
      <w:r w:rsidR="00673A7F">
        <w:t>–</w:t>
      </w:r>
      <w:r>
        <w:t xml:space="preserve"> </w:t>
      </w:r>
      <w:r w:rsidR="00673A7F">
        <w:t>NSW Health Clinical Management Guideline</w:t>
      </w:r>
      <w:bookmarkEnd w:id="4"/>
    </w:p>
    <w:p w14:paraId="139E0986" w14:textId="749A5319" w:rsidR="00673A7F" w:rsidRPr="00673A7F" w:rsidRDefault="00673A7F" w:rsidP="00673A7F">
      <w:pPr>
        <w:pStyle w:val="BodyCopy"/>
      </w:pPr>
      <w:r w:rsidRPr="00673A7F">
        <w:t>This procedure draws extensively from the NSW Health Snake and Spider</w:t>
      </w:r>
      <w:r>
        <w:t xml:space="preserve"> B</w:t>
      </w:r>
      <w:r w:rsidRPr="00673A7F">
        <w:t>ite</w:t>
      </w:r>
      <w:r>
        <w:t>s</w:t>
      </w:r>
      <w:r w:rsidRPr="00673A7F">
        <w:t xml:space="preserve"> Clinical Management Guideline. Refer to this guideline for more detailed information on the management of snakebite</w:t>
      </w:r>
      <w:r w:rsidR="00265131">
        <w:t>.</w:t>
      </w:r>
      <w:r w:rsidR="001D02BB">
        <w:t xml:space="preserve"> </w:t>
      </w:r>
      <w:r w:rsidR="00265131">
        <w:t xml:space="preserve">The Guideline can be accessed on the NSW Health website at: </w:t>
      </w:r>
      <w:hyperlink r:id="rId12" w:history="1">
        <w:r w:rsidRPr="00673A7F">
          <w:rPr>
            <w:rStyle w:val="Hyperlink"/>
          </w:rPr>
          <w:t>https://www1.health.nsw.gov.au/pds/ActivePDSDocuments/GL2024_007.pdf</w:t>
        </w:r>
      </w:hyperlink>
    </w:p>
    <w:p w14:paraId="18648066" w14:textId="77777777" w:rsidR="00481A6C" w:rsidRPr="00481A6C" w:rsidRDefault="00481A6C" w:rsidP="005C5F49">
      <w:pPr>
        <w:pStyle w:val="BodyCopy"/>
        <w:spacing w:before="240"/>
      </w:pPr>
      <w:hyperlink w:anchor="_top" w:history="1">
        <w:r w:rsidRPr="00481A6C">
          <w:rPr>
            <w:rStyle w:val="Hyperlink"/>
            <w:iCs w:val="0"/>
          </w:rPr>
          <w:t>Back to Contents</w:t>
        </w:r>
      </w:hyperlink>
    </w:p>
    <w:p w14:paraId="629E7C9B" w14:textId="4346FCC1" w:rsidR="0078367D" w:rsidRDefault="0078367D" w:rsidP="00A6051F">
      <w:pPr>
        <w:pStyle w:val="Heading4"/>
      </w:pPr>
      <w:bookmarkStart w:id="5" w:name="_Toc188279427"/>
      <w:r>
        <w:t xml:space="preserve">Section 2 </w:t>
      </w:r>
      <w:r w:rsidR="00673A7F">
        <w:t>–</w:t>
      </w:r>
      <w:r>
        <w:t xml:space="preserve"> </w:t>
      </w:r>
      <w:r w:rsidR="00673A7F">
        <w:t>Equipment and Patient Assessment</w:t>
      </w:r>
      <w:bookmarkEnd w:id="5"/>
      <w:r w:rsidR="003254E1">
        <w:t xml:space="preserve"> </w:t>
      </w:r>
    </w:p>
    <w:p w14:paraId="751F1EF2" w14:textId="78C0CBBB" w:rsidR="003254E1" w:rsidRDefault="003254E1" w:rsidP="003254E1">
      <w:pPr>
        <w:pStyle w:val="Heading5"/>
      </w:pPr>
      <w:r>
        <w:t>Equipment</w:t>
      </w:r>
    </w:p>
    <w:p w14:paraId="64FFD098" w14:textId="17CD7201" w:rsidR="004575CA" w:rsidRPr="004575CA" w:rsidRDefault="004575CA" w:rsidP="00265131">
      <w:pPr>
        <w:pStyle w:val="Bullet"/>
      </w:pPr>
      <w:r w:rsidRPr="004575CA">
        <w:t>Pressure Bandage with Immobilisation (PBI) should be applied immediately on arrival, if not applied pre-hospital</w:t>
      </w:r>
      <w:r w:rsidR="00B800A4">
        <w:t xml:space="preserve"> (refer to Attachment 1</w:t>
      </w:r>
      <w:r w:rsidR="001D02BB">
        <w:t xml:space="preserve"> - </w:t>
      </w:r>
      <w:r w:rsidR="00B800A4">
        <w:t xml:space="preserve">Clinical Pathway Flowchart and Attachment 2 </w:t>
      </w:r>
      <w:r w:rsidR="001D02BB">
        <w:t>-</w:t>
      </w:r>
      <w:r w:rsidR="00B800A4">
        <w:t xml:space="preserve"> Pressure Bandage with Immobilisation)</w:t>
      </w:r>
      <w:r w:rsidRPr="004575CA">
        <w:t>. First apply a folded pad over bitten area, then apply a broad (15cm) elasticised bandage (not crepe) starting directly over the bitten area and then applied distally then proximally with pressure similar to that used for a sprained ankle. If applying to torso, take care not to impede the patient’s chest expansion. Immobilisation of both affected limb and entire patient is essential. Use of the PBI more than four hours after bite is unlikely to be effective.   </w:t>
      </w:r>
    </w:p>
    <w:p w14:paraId="44F2327B" w14:textId="77777777" w:rsidR="004575CA" w:rsidRPr="004575CA" w:rsidRDefault="004575CA" w:rsidP="00265131">
      <w:pPr>
        <w:pStyle w:val="Bullet"/>
      </w:pPr>
      <w:r w:rsidRPr="004575CA">
        <w:t>Antivenom as required. CHS stocks antivenom for: </w:t>
      </w:r>
    </w:p>
    <w:p w14:paraId="1A877BAB" w14:textId="29D0A326" w:rsidR="004575CA" w:rsidRPr="004575CA" w:rsidRDefault="00324C51" w:rsidP="00265131">
      <w:pPr>
        <w:pStyle w:val="Bullet"/>
        <w:numPr>
          <w:ilvl w:val="1"/>
          <w:numId w:val="3"/>
        </w:numPr>
      </w:pPr>
      <w:r>
        <w:t>p</w:t>
      </w:r>
      <w:r w:rsidR="004575CA" w:rsidRPr="004575CA">
        <w:t>olyvalent antivenom </w:t>
      </w:r>
      <w:r w:rsidR="000A5561">
        <w:t>(</w:t>
      </w:r>
      <w:r w:rsidR="000A5561" w:rsidRPr="00C27652">
        <w:t>contains antibodies to five snake groups—black snake, taipan, death adder, tiger snake and brown snake</w:t>
      </w:r>
      <w:r w:rsidR="000A5561">
        <w:t>)</w:t>
      </w:r>
    </w:p>
    <w:p w14:paraId="5AA00093" w14:textId="29D95A91" w:rsidR="004575CA" w:rsidRPr="004575CA" w:rsidRDefault="00324C51" w:rsidP="00265131">
      <w:pPr>
        <w:pStyle w:val="Bullet"/>
        <w:numPr>
          <w:ilvl w:val="1"/>
          <w:numId w:val="3"/>
        </w:numPr>
      </w:pPr>
      <w:r>
        <w:t>b</w:t>
      </w:r>
      <w:r w:rsidR="004575CA" w:rsidRPr="004575CA">
        <w:t>rown snake monovalent antivenom  </w:t>
      </w:r>
    </w:p>
    <w:p w14:paraId="3E5821D2" w14:textId="73566C84" w:rsidR="00265131" w:rsidRDefault="00324C51" w:rsidP="003254E1">
      <w:pPr>
        <w:pStyle w:val="Bullet"/>
        <w:numPr>
          <w:ilvl w:val="1"/>
          <w:numId w:val="3"/>
        </w:numPr>
      </w:pPr>
      <w:r>
        <w:t>t</w:t>
      </w:r>
      <w:r w:rsidR="004575CA" w:rsidRPr="004575CA">
        <w:t>iger snake monovalent antivenom. </w:t>
      </w:r>
    </w:p>
    <w:p w14:paraId="7407D239" w14:textId="0EB30448" w:rsidR="009E5554" w:rsidRPr="00265131" w:rsidRDefault="554CBBD5" w:rsidP="00265131">
      <w:pPr>
        <w:pStyle w:val="BodyCopy"/>
      </w:pPr>
      <w:r w:rsidRPr="00265131">
        <w:t xml:space="preserve">At </w:t>
      </w:r>
      <w:r w:rsidR="00324C51">
        <w:t>the Canberra Hospital</w:t>
      </w:r>
      <w:r w:rsidR="00AD218F">
        <w:t>,</w:t>
      </w:r>
      <w:r w:rsidR="00324C51" w:rsidRPr="00265131">
        <w:t xml:space="preserve"> </w:t>
      </w:r>
      <w:r w:rsidRPr="00265131">
        <w:t>a</w:t>
      </w:r>
      <w:r w:rsidR="6BFDD91C" w:rsidRPr="00265131">
        <w:t>ntivenom is stored in the refrigerated Pod 4 (Resus)</w:t>
      </w:r>
      <w:r w:rsidR="43D69141" w:rsidRPr="00265131">
        <w:t xml:space="preserve"> automated dispensing cabinet (ADC)</w:t>
      </w:r>
      <w:r w:rsidR="6BFDD91C" w:rsidRPr="00265131">
        <w:t>. </w:t>
      </w:r>
      <w:r w:rsidR="6AC56F26" w:rsidRPr="00265131">
        <w:t xml:space="preserve">At NCH antivenom is </w:t>
      </w:r>
      <w:r w:rsidR="00BE3E33">
        <w:t>refrigerated</w:t>
      </w:r>
      <w:r w:rsidR="6AC56F26" w:rsidRPr="00265131">
        <w:t xml:space="preserve"> in the Pharmacy After Hours C</w:t>
      </w:r>
      <w:r w:rsidR="50376701" w:rsidRPr="00265131">
        <w:t>upboard</w:t>
      </w:r>
      <w:r w:rsidRPr="00265131">
        <w:t xml:space="preserve"> (AHC)</w:t>
      </w:r>
      <w:r w:rsidR="6AC56F26" w:rsidRPr="00265131">
        <w:t>.</w:t>
      </w:r>
    </w:p>
    <w:p w14:paraId="62D2CE28" w14:textId="1186D216" w:rsidR="009E5554" w:rsidRPr="00265131" w:rsidRDefault="009E5554" w:rsidP="00265131">
      <w:pPr>
        <w:pStyle w:val="BodyCopy"/>
      </w:pPr>
      <w:r w:rsidRPr="00265131">
        <w:t>In the event of stock unavailability in the ADC/AHC:</w:t>
      </w:r>
    </w:p>
    <w:p w14:paraId="4C3BC779" w14:textId="7404995A" w:rsidR="009E5554" w:rsidRDefault="00B32FF0" w:rsidP="00265131">
      <w:pPr>
        <w:pStyle w:val="Bullet"/>
      </w:pPr>
      <w:r>
        <w:t>s</w:t>
      </w:r>
      <w:r w:rsidR="554CBBD5">
        <w:t xml:space="preserve">econdary stock </w:t>
      </w:r>
      <w:r w:rsidR="42B1A4F5">
        <w:t>holdings are</w:t>
      </w:r>
      <w:r w:rsidR="554CBBD5">
        <w:t xml:space="preserve"> maintained in the</w:t>
      </w:r>
      <w:r w:rsidR="008A0B7D">
        <w:t xml:space="preserve"> Canberra Hospital </w:t>
      </w:r>
      <w:r w:rsidR="554CBBD5">
        <w:t>pharmacy department</w:t>
      </w:r>
    </w:p>
    <w:p w14:paraId="31A2A684" w14:textId="1ECE2749" w:rsidR="009E5554" w:rsidRDefault="00B32FF0" w:rsidP="00265131">
      <w:pPr>
        <w:pStyle w:val="Bullet"/>
      </w:pPr>
      <w:r>
        <w:t>a</w:t>
      </w:r>
      <w:r w:rsidR="009E5554">
        <w:t xml:space="preserve">fter-hours supply can be obtained by contacting the on-call pharmacist (via the afterhours clinical nurse coordinator </w:t>
      </w:r>
      <w:r>
        <w:t>[</w:t>
      </w:r>
      <w:r w:rsidR="009E5554">
        <w:t>AHCNC</w:t>
      </w:r>
      <w:r>
        <w:t>]</w:t>
      </w:r>
      <w:r w:rsidR="009E5554">
        <w:t>)</w:t>
      </w:r>
      <w:r>
        <w:t>.</w:t>
      </w:r>
    </w:p>
    <w:p w14:paraId="1BF43A9D" w14:textId="4F973E38" w:rsidR="003254E1" w:rsidRDefault="004575CA" w:rsidP="003254E1">
      <w:pPr>
        <w:pStyle w:val="Heading5"/>
      </w:pPr>
      <w:r>
        <w:t>Patient Assessment</w:t>
      </w:r>
    </w:p>
    <w:p w14:paraId="45AC3534" w14:textId="77777777" w:rsidR="004575CA" w:rsidRPr="004575CA" w:rsidRDefault="004575CA" w:rsidP="00265131">
      <w:pPr>
        <w:pStyle w:val="Heading6"/>
      </w:pPr>
      <w:r w:rsidRPr="004575CA">
        <w:t>Setting: </w:t>
      </w:r>
    </w:p>
    <w:p w14:paraId="7A81DDA2" w14:textId="5DFCBF45" w:rsidR="004575CA" w:rsidRPr="004575CA" w:rsidRDefault="004575CA" w:rsidP="00265131">
      <w:pPr>
        <w:pStyle w:val="Bullet"/>
      </w:pPr>
      <w:r>
        <w:t xml:space="preserve">All patients reporting that they have been bitten by a snake should be rapidly assessed in a monitored bed, with at least one large bore intravenous (IV) line placed in a non-affected limb. </w:t>
      </w:r>
      <w:r w:rsidR="00B438AC">
        <w:t>A second large-bore cannula should be inserted if the decision is made to administer antivenom</w:t>
      </w:r>
      <w:r w:rsidR="003A43E3">
        <w:t xml:space="preserve">, but should not delay the administration. </w:t>
      </w:r>
      <w:r>
        <w:t xml:space="preserve">The treating team must be prepared for </w:t>
      </w:r>
      <w:r w:rsidR="48657A03">
        <w:t xml:space="preserve">anaphylaxis &amp; </w:t>
      </w:r>
      <w:r>
        <w:t>resuscitation. </w:t>
      </w:r>
      <w:r w:rsidRPr="7E87D3CA">
        <w:rPr>
          <w:i/>
        </w:rPr>
        <w:t> </w:t>
      </w:r>
      <w:r>
        <w:t> </w:t>
      </w:r>
    </w:p>
    <w:p w14:paraId="743D4FA7" w14:textId="4C5637FF" w:rsidR="004575CA" w:rsidRPr="004575CA" w:rsidRDefault="004575CA" w:rsidP="00265131">
      <w:pPr>
        <w:pStyle w:val="Heading6"/>
      </w:pPr>
      <w:r w:rsidRPr="004575CA">
        <w:t> History: </w:t>
      </w:r>
    </w:p>
    <w:p w14:paraId="6F25BA18" w14:textId="50255B59" w:rsidR="004575CA" w:rsidRPr="004575CA" w:rsidRDefault="004575CA" w:rsidP="00265131">
      <w:pPr>
        <w:pStyle w:val="Bullet"/>
      </w:pPr>
      <w:r w:rsidRPr="004575CA">
        <w:t>Staff should document in the patient’s clinical record when the patient was bitten, location of bite, type of snake (if known) and timing of PBI application. </w:t>
      </w:r>
    </w:p>
    <w:p w14:paraId="15611173" w14:textId="77777777" w:rsidR="004575CA" w:rsidRPr="004575CA" w:rsidRDefault="004575CA" w:rsidP="00265131">
      <w:pPr>
        <w:pStyle w:val="Bullet"/>
      </w:pPr>
      <w:r w:rsidRPr="004575CA">
        <w:lastRenderedPageBreak/>
        <w:t>Ask the patient specifically about any prehospital collapse, headache, visual changes, muscle weakness, or bleeding of any kind. </w:t>
      </w:r>
    </w:p>
    <w:p w14:paraId="47E71D74" w14:textId="65C5D1FE" w:rsidR="004575CA" w:rsidRPr="004575CA" w:rsidRDefault="004575CA" w:rsidP="00265131">
      <w:pPr>
        <w:pStyle w:val="Bullet"/>
      </w:pPr>
      <w:r w:rsidRPr="004575CA">
        <w:t>Patients may exhibit nonspecific systemic symptoms, such as nausea, vomiting, headache, abdominal pain, diarrhoea and sweating, and these should be carefully noted and documented in the patient’s clinical record. </w:t>
      </w:r>
    </w:p>
    <w:p w14:paraId="04DCEF2D" w14:textId="47EF4067" w:rsidR="0002534D" w:rsidRDefault="004575CA" w:rsidP="00265131">
      <w:pPr>
        <w:pStyle w:val="Heading6"/>
      </w:pPr>
      <w:r w:rsidRPr="004575CA">
        <w:t xml:space="preserve"> Examination </w:t>
      </w:r>
    </w:p>
    <w:p w14:paraId="561B941D" w14:textId="77777777" w:rsidR="004575CA" w:rsidRPr="004575CA" w:rsidRDefault="004575CA" w:rsidP="00265131">
      <w:pPr>
        <w:pStyle w:val="Bullet"/>
      </w:pPr>
      <w:r w:rsidRPr="004575CA">
        <w:rPr>
          <w:b/>
        </w:rPr>
        <w:t>Neurological examination of the patient</w:t>
      </w:r>
      <w:r w:rsidRPr="004575CA">
        <w:t xml:space="preserve"> for descending flaccid paralysis which may begin with very subtle eye or face symptoms (ptosis, diplopia, blurred vision, later progressing to bulbar, respiratory and limb weakness). Subtle early ptosis may be apparent as fatiguability or eyelid droop from failure to maintain an upward gaze on exam. </w:t>
      </w:r>
    </w:p>
    <w:p w14:paraId="7B0DFCAA" w14:textId="77777777" w:rsidR="004575CA" w:rsidRPr="004575CA" w:rsidRDefault="004575CA" w:rsidP="00265131">
      <w:pPr>
        <w:pStyle w:val="Bullet"/>
      </w:pPr>
      <w:r w:rsidRPr="004575CA">
        <w:rPr>
          <w:b/>
        </w:rPr>
        <w:t xml:space="preserve">Evidence of bleeding: </w:t>
      </w:r>
      <w:r w:rsidRPr="004575CA">
        <w:t>check for oozing from the bite site, cannula site or occult sites of bleeding such as gastrointestinal, urinary, or intracranial. </w:t>
      </w:r>
    </w:p>
    <w:p w14:paraId="5BE82ABF" w14:textId="69AF1B76" w:rsidR="0002534D" w:rsidRDefault="004575CA" w:rsidP="0091462B">
      <w:pPr>
        <w:pStyle w:val="Bullet"/>
      </w:pPr>
      <w:r>
        <w:rPr>
          <w:noProof/>
        </w:rPr>
        <mc:AlternateContent>
          <mc:Choice Requires="wps">
            <w:drawing>
              <wp:anchor distT="45720" distB="45720" distL="114300" distR="114300" simplePos="0" relativeHeight="251659264" behindDoc="0" locked="0" layoutInCell="1" allowOverlap="1" wp14:anchorId="21677ED8" wp14:editId="38983977">
                <wp:simplePos x="0" y="0"/>
                <wp:positionH relativeFrom="column">
                  <wp:posOffset>31115</wp:posOffset>
                </wp:positionH>
                <wp:positionV relativeFrom="paragraph">
                  <wp:posOffset>518795</wp:posOffset>
                </wp:positionV>
                <wp:extent cx="6096000" cy="666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666750"/>
                        </a:xfrm>
                        <a:prstGeom prst="rect">
                          <a:avLst/>
                        </a:prstGeom>
                        <a:solidFill>
                          <a:srgbClr val="FFFFFF"/>
                        </a:solidFill>
                        <a:ln w="9525">
                          <a:solidFill>
                            <a:srgbClr val="000000"/>
                          </a:solidFill>
                          <a:miter lim="800000"/>
                          <a:headEnd/>
                          <a:tailEnd/>
                        </a:ln>
                      </wps:spPr>
                      <wps:txbx>
                        <w:txbxContent>
                          <w:p w14:paraId="4BDAB5BB" w14:textId="777B9B6D" w:rsidR="004575CA" w:rsidRPr="004575CA" w:rsidRDefault="004575CA" w:rsidP="004575CA">
                            <w:pPr>
                              <w:pStyle w:val="BodyCopy"/>
                            </w:pPr>
                            <w:r w:rsidRPr="004575CA">
                              <w:rPr>
                                <w:b/>
                                <w:bCs w:val="0"/>
                              </w:rPr>
                              <w:t>Alert:</w:t>
                            </w:r>
                            <w:r w:rsidRPr="004575CA">
                              <w:t xml:space="preserve"> Do not remove the PBI on initial examination; cut a hole over the bite site to examine it.   </w:t>
                            </w:r>
                          </w:p>
                          <w:p w14:paraId="756159F0" w14:textId="738B8E30" w:rsidR="004575CA" w:rsidRDefault="004575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77ED8" id="_x0000_t202" coordsize="21600,21600" o:spt="202" path="m,l,21600r21600,l21600,xe">
                <v:stroke joinstyle="miter"/>
                <v:path gradientshapeok="t" o:connecttype="rect"/>
              </v:shapetype>
              <v:shape id="Text Box 2" o:spid="_x0000_s1026" type="#_x0000_t202" style="position:absolute;left:0;text-align:left;margin-left:2.45pt;margin-top:40.85pt;width:480pt;height: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">
                <v:textbox>
                  <w:txbxContent>
                    <w:p w14:paraId="4BDAB5BB" w14:textId="777B9B6D" w:rsidR="004575CA" w:rsidRPr="004575CA" w:rsidRDefault="004575CA" w:rsidP="004575CA">
                      <w:pPr>
                        <w:pStyle w:val="BodyCopy"/>
                      </w:pPr>
                      <w:r w:rsidRPr="004575CA">
                        <w:rPr>
                          <w:b/>
                          <w:bCs w:val="0"/>
                        </w:rPr>
                        <w:t>Alert:</w:t>
                      </w:r>
                      <w:r w:rsidRPr="004575CA">
                        <w:t xml:space="preserve"> Do not remove the PBI on initial examination; cut a hole over the bite site to examine it.   </w:t>
                      </w:r>
                    </w:p>
                    <w:p w14:paraId="756159F0" w14:textId="738B8E30" w:rsidR="004575CA" w:rsidRDefault="004575CA"/>
                  </w:txbxContent>
                </v:textbox>
                <w10:wrap type="square"/>
              </v:shape>
            </w:pict>
          </mc:Fallback>
        </mc:AlternateContent>
      </w:r>
      <w:r w:rsidRPr="0002534D">
        <w:rPr>
          <w:b/>
        </w:rPr>
        <w:t xml:space="preserve">Examination of the bite </w:t>
      </w:r>
      <w:r w:rsidRPr="004575CA">
        <w:t xml:space="preserve">site, looking for </w:t>
      </w:r>
      <w:r w:rsidR="003A43E3">
        <w:t>definite evidence of skin breach,</w:t>
      </w:r>
      <w:r w:rsidRPr="004575CA">
        <w:t xml:space="preserve"> bruising or local necrosis</w:t>
      </w:r>
      <w:r w:rsidR="00523D15">
        <w:t xml:space="preserve"> and draining lymph nodes for tenderness</w:t>
      </w:r>
      <w:r w:rsidR="00265131">
        <w:t>.</w:t>
      </w:r>
    </w:p>
    <w:p w14:paraId="5EEC3599" w14:textId="2F78F7A7" w:rsidR="00481A6C" w:rsidRDefault="00481A6C" w:rsidP="0091462B">
      <w:pPr>
        <w:pStyle w:val="BodyCopy"/>
      </w:pPr>
      <w:hyperlink w:anchor="_top" w:history="1">
        <w:r w:rsidRPr="00481A6C">
          <w:rPr>
            <w:rStyle w:val="Hyperlink"/>
            <w:iCs w:val="0"/>
          </w:rPr>
          <w:t>Back to Contents</w:t>
        </w:r>
      </w:hyperlink>
    </w:p>
    <w:p w14:paraId="48FEFEFE" w14:textId="14684A30" w:rsidR="004575CA" w:rsidRDefault="0078367D" w:rsidP="00167879">
      <w:pPr>
        <w:pStyle w:val="Heading4"/>
      </w:pPr>
      <w:bookmarkStart w:id="6" w:name="_Toc188279428"/>
      <w:bookmarkStart w:id="7" w:name="_Hlk183425167"/>
      <w:r w:rsidRPr="0078367D">
        <w:t xml:space="preserve">Section </w:t>
      </w:r>
      <w:r w:rsidR="004575CA">
        <w:t>3</w:t>
      </w:r>
      <w:r w:rsidRPr="0078367D">
        <w:t xml:space="preserve"> </w:t>
      </w:r>
      <w:r w:rsidR="004575CA">
        <w:t>–</w:t>
      </w:r>
      <w:r w:rsidRPr="0078367D">
        <w:t xml:space="preserve"> </w:t>
      </w:r>
      <w:r w:rsidR="004575CA">
        <w:t>Pathology Investigations</w:t>
      </w:r>
      <w:bookmarkEnd w:id="6"/>
    </w:p>
    <w:p w14:paraId="067C5773" w14:textId="61361454" w:rsidR="004575CA" w:rsidRPr="004575CA" w:rsidRDefault="004575CA" w:rsidP="004575CA">
      <w:pPr>
        <w:pStyle w:val="BodyCopy"/>
      </w:pPr>
      <w:r w:rsidRPr="004575CA">
        <w:t>Pathology investigations must be completed as documented below, until either: </w:t>
      </w:r>
    </w:p>
    <w:p w14:paraId="6B338501" w14:textId="4A2D57D3" w:rsidR="004575CA" w:rsidRPr="004575CA" w:rsidRDefault="0069617C" w:rsidP="00167879">
      <w:pPr>
        <w:pStyle w:val="Bullet"/>
      </w:pPr>
      <w:r>
        <w:t>e</w:t>
      </w:r>
      <w:r w:rsidR="004575CA" w:rsidRPr="004575CA">
        <w:t>vidence of envenomation</w:t>
      </w:r>
      <w:r>
        <w:t xml:space="preserve"> is found</w:t>
      </w:r>
      <w:r w:rsidR="004575CA" w:rsidRPr="004575CA">
        <w:t>, prompting antivenom administration</w:t>
      </w:r>
      <w:r>
        <w:t xml:space="preserve">, </w:t>
      </w:r>
      <w:r w:rsidRPr="00932B7F">
        <w:rPr>
          <w:b/>
          <w:bCs/>
        </w:rPr>
        <w:t>or</w:t>
      </w:r>
    </w:p>
    <w:p w14:paraId="715AEB4A" w14:textId="0AE2D83D" w:rsidR="0002534D" w:rsidRDefault="0069617C" w:rsidP="00167879">
      <w:pPr>
        <w:pStyle w:val="Bullet"/>
      </w:pPr>
      <w:r>
        <w:t>a</w:t>
      </w:r>
      <w:r w:rsidR="004575CA" w:rsidRPr="004575CA">
        <w:t>ll tests have been completed and are normal at 12 hours post</w:t>
      </w:r>
      <w:r w:rsidR="003A43E3">
        <w:t xml:space="preserve"> </w:t>
      </w:r>
      <w:r w:rsidR="00D17A5E">
        <w:t>bite time.</w:t>
      </w:r>
      <w:r w:rsidR="004575CA" w:rsidRPr="004575CA">
        <w:t> </w:t>
      </w:r>
    </w:p>
    <w:p w14:paraId="4AE6C8AD" w14:textId="672A07E9" w:rsidR="004575CA" w:rsidRPr="004575CA" w:rsidRDefault="004575CA" w:rsidP="00436141">
      <w:pPr>
        <w:pStyle w:val="Numberedlist"/>
      </w:pPr>
      <w:r w:rsidRPr="004575CA">
        <w:t>Initial tests are performed on patient arrival, with request clearly indicating “snake bite query envenomation</w:t>
      </w:r>
      <w:r w:rsidR="00E0668F">
        <w:t>” and urgent</w:t>
      </w:r>
      <w:r w:rsidR="0069617C">
        <w:t>:</w:t>
      </w:r>
    </w:p>
    <w:p w14:paraId="12AD70F0" w14:textId="54430821" w:rsidR="004575CA" w:rsidRPr="004575CA" w:rsidRDefault="0069617C" w:rsidP="00436141">
      <w:pPr>
        <w:pStyle w:val="Bullet"/>
        <w:numPr>
          <w:ilvl w:val="1"/>
          <w:numId w:val="3"/>
        </w:numPr>
      </w:pPr>
      <w:r>
        <w:t>f</w:t>
      </w:r>
      <w:r w:rsidR="004575CA" w:rsidRPr="004575CA">
        <w:t>ull blood count (FBC)  </w:t>
      </w:r>
    </w:p>
    <w:p w14:paraId="22D263BB" w14:textId="381811FF" w:rsidR="004575CA" w:rsidRPr="004575CA" w:rsidRDefault="0069617C" w:rsidP="00436141">
      <w:pPr>
        <w:pStyle w:val="Bullet"/>
        <w:numPr>
          <w:ilvl w:val="1"/>
          <w:numId w:val="3"/>
        </w:numPr>
      </w:pPr>
      <w:r>
        <w:t>u</w:t>
      </w:r>
      <w:r w:rsidR="004575CA" w:rsidRPr="004575CA">
        <w:t xml:space="preserve">rea, </w:t>
      </w:r>
      <w:r>
        <w:t>e</w:t>
      </w:r>
      <w:r w:rsidR="004575CA" w:rsidRPr="004575CA">
        <w:t xml:space="preserve">lectrolytes and </w:t>
      </w:r>
      <w:r>
        <w:t>c</w:t>
      </w:r>
      <w:r w:rsidR="004575CA" w:rsidRPr="004575CA">
        <w:t>reatinine (UEC)  </w:t>
      </w:r>
    </w:p>
    <w:p w14:paraId="7C48CDC7" w14:textId="6F3BAEA8" w:rsidR="004575CA" w:rsidRPr="004575CA" w:rsidRDefault="0069617C" w:rsidP="00436141">
      <w:pPr>
        <w:pStyle w:val="Bullet"/>
        <w:numPr>
          <w:ilvl w:val="1"/>
          <w:numId w:val="3"/>
        </w:numPr>
      </w:pPr>
      <w:r>
        <w:t>c</w:t>
      </w:r>
      <w:r w:rsidR="004575CA" w:rsidRPr="004575CA">
        <w:t xml:space="preserve">reatinine </w:t>
      </w:r>
      <w:r>
        <w:t>k</w:t>
      </w:r>
      <w:r w:rsidR="004575CA" w:rsidRPr="004575CA">
        <w:t>inase (CK)  </w:t>
      </w:r>
    </w:p>
    <w:p w14:paraId="100B4B20" w14:textId="77777777" w:rsidR="004575CA" w:rsidRPr="004575CA" w:rsidRDefault="004575CA" w:rsidP="00436141">
      <w:pPr>
        <w:pStyle w:val="Bullet"/>
        <w:numPr>
          <w:ilvl w:val="1"/>
          <w:numId w:val="3"/>
        </w:numPr>
      </w:pPr>
      <w:r w:rsidRPr="004575CA">
        <w:t>International Normalised Ratio (INR) and activated Partial Thromboplastin Time (aPTT)  </w:t>
      </w:r>
    </w:p>
    <w:p w14:paraId="1C4DB99C" w14:textId="1327D433" w:rsidR="004575CA" w:rsidRPr="004575CA" w:rsidRDefault="0069617C" w:rsidP="00436141">
      <w:pPr>
        <w:pStyle w:val="Bullet"/>
        <w:numPr>
          <w:ilvl w:val="1"/>
          <w:numId w:val="3"/>
        </w:numPr>
      </w:pPr>
      <w:r>
        <w:t>f</w:t>
      </w:r>
      <w:r w:rsidR="004575CA" w:rsidRPr="004575CA">
        <w:t>ibrinogen </w:t>
      </w:r>
    </w:p>
    <w:p w14:paraId="6CD644E0" w14:textId="0E774772" w:rsidR="004575CA" w:rsidRPr="004575CA" w:rsidRDefault="6BFDD91C" w:rsidP="00436141">
      <w:pPr>
        <w:pStyle w:val="Bullet"/>
        <w:numPr>
          <w:ilvl w:val="1"/>
          <w:numId w:val="3"/>
        </w:numPr>
      </w:pPr>
      <w:r>
        <w:t>D-dimer </w:t>
      </w:r>
    </w:p>
    <w:p w14:paraId="47B6C9D8" w14:textId="347C4499" w:rsidR="4F6CA819" w:rsidRDefault="0069617C" w:rsidP="00436141">
      <w:pPr>
        <w:pStyle w:val="Bullet"/>
        <w:numPr>
          <w:ilvl w:val="1"/>
          <w:numId w:val="3"/>
        </w:numPr>
      </w:pPr>
      <w:r>
        <w:t>l</w:t>
      </w:r>
      <w:r w:rsidR="4F6CA819">
        <w:t>iver function tests (LFT)</w:t>
      </w:r>
    </w:p>
    <w:p w14:paraId="5FEC7BDA" w14:textId="10FC91CC" w:rsidR="4F6CA819" w:rsidRDefault="0069617C" w:rsidP="00436141">
      <w:pPr>
        <w:pStyle w:val="Bullet"/>
        <w:numPr>
          <w:ilvl w:val="1"/>
          <w:numId w:val="3"/>
        </w:numPr>
      </w:pPr>
      <w:r>
        <w:t>l</w:t>
      </w:r>
      <w:r w:rsidR="4F6CA819">
        <w:t>actate dehydrogenase (LDH)</w:t>
      </w:r>
      <w:r>
        <w:t>.</w:t>
      </w:r>
    </w:p>
    <w:p w14:paraId="41C17604" w14:textId="5B104FF0" w:rsidR="004575CA" w:rsidRPr="004575CA" w:rsidRDefault="004575CA" w:rsidP="00436141">
      <w:pPr>
        <w:pStyle w:val="BodyCopy"/>
        <w:ind w:left="360"/>
      </w:pPr>
      <w:r w:rsidRPr="004575CA">
        <w:lastRenderedPageBreak/>
        <w:t>Expectation is that Pathology will give verbal phone notification of abnormal results to ED, which frequently consist of non-clotting blood on coagulation studies, a strong indicator of envenomation rather than a lab/machine error.   </w:t>
      </w:r>
    </w:p>
    <w:p w14:paraId="35D95DBB" w14:textId="77777777" w:rsidR="004575CA" w:rsidRPr="004575CA" w:rsidRDefault="004575CA" w:rsidP="004575CA">
      <w:pPr>
        <w:pStyle w:val="BodyCopy"/>
      </w:pPr>
      <w:r w:rsidRPr="004575CA">
        <w:t> </w:t>
      </w:r>
    </w:p>
    <w:p w14:paraId="6EEDA673" w14:textId="77777777" w:rsidR="004575CA" w:rsidRPr="004575CA" w:rsidRDefault="004575CA" w:rsidP="00436141">
      <w:pPr>
        <w:pStyle w:val="Numberedlist"/>
      </w:pPr>
      <w:r w:rsidRPr="004575CA">
        <w:t>If above results are within normal limits: </w:t>
      </w:r>
    </w:p>
    <w:p w14:paraId="2E17699D" w14:textId="77777777" w:rsidR="004575CA" w:rsidRPr="004575CA" w:rsidRDefault="004575CA" w:rsidP="00436141">
      <w:pPr>
        <w:pStyle w:val="Bullet"/>
        <w:numPr>
          <w:ilvl w:val="1"/>
          <w:numId w:val="3"/>
        </w:numPr>
      </w:pPr>
      <w:r w:rsidRPr="004575CA">
        <w:t>remove the PBI  </w:t>
      </w:r>
    </w:p>
    <w:p w14:paraId="533B6BCC" w14:textId="77777777" w:rsidR="004575CA" w:rsidRPr="004575CA" w:rsidRDefault="004575CA" w:rsidP="00436141">
      <w:pPr>
        <w:pStyle w:val="Bullet"/>
        <w:numPr>
          <w:ilvl w:val="1"/>
          <w:numId w:val="3"/>
        </w:numPr>
      </w:pPr>
      <w:r w:rsidRPr="004575CA">
        <w:t>commence a 12-hour regime of repeat bloodwork as below: </w:t>
      </w:r>
    </w:p>
    <w:p w14:paraId="29A3610E" w14:textId="43C67673" w:rsidR="004575CA" w:rsidRPr="004575CA" w:rsidRDefault="004575CA" w:rsidP="0069617C">
      <w:pPr>
        <w:pStyle w:val="Bullet"/>
        <w:numPr>
          <w:ilvl w:val="2"/>
          <w:numId w:val="3"/>
        </w:numPr>
      </w:pPr>
      <w:r w:rsidRPr="004575CA">
        <w:t>At one</w:t>
      </w:r>
      <w:r w:rsidR="00D17A5E">
        <w:t xml:space="preserve"> hour post PBI removal and</w:t>
      </w:r>
      <w:r w:rsidRPr="004575CA">
        <w:t xml:space="preserve"> </w:t>
      </w:r>
      <w:r w:rsidR="0002534D" w:rsidRPr="004575CA">
        <w:t>six- and twelve-hours</w:t>
      </w:r>
      <w:r w:rsidRPr="004575CA">
        <w:t xml:space="preserve"> post-</w:t>
      </w:r>
      <w:r w:rsidR="00D17A5E">
        <w:t>bite</w:t>
      </w:r>
      <w:r w:rsidRPr="004575CA">
        <w:t xml:space="preserve"> repeat INR, aPTT</w:t>
      </w:r>
      <w:r w:rsidR="00D17A5E">
        <w:t>, fibrinogen</w:t>
      </w:r>
      <w:r w:rsidR="001B2AC1">
        <w:t>,</w:t>
      </w:r>
      <w:r w:rsidR="00D17A5E">
        <w:t xml:space="preserve"> d-dimer</w:t>
      </w:r>
      <w:r w:rsidRPr="004575CA">
        <w:t xml:space="preserve"> and CK </w:t>
      </w:r>
    </w:p>
    <w:p w14:paraId="69512E0D" w14:textId="3A7FC423" w:rsidR="001F34A6" w:rsidRDefault="004575CA" w:rsidP="00436141">
      <w:pPr>
        <w:pStyle w:val="Bullet"/>
        <w:numPr>
          <w:ilvl w:val="1"/>
          <w:numId w:val="3"/>
        </w:numPr>
      </w:pPr>
      <w:r>
        <w:t xml:space="preserve">If the results of these tests are abnormal at any stage, contact </w:t>
      </w:r>
      <w:hyperlink r:id="rId13">
        <w:r w:rsidRPr="54C8E468">
          <w:rPr>
            <w:rStyle w:val="Hyperlink"/>
          </w:rPr>
          <w:t>NSW Poisons Information Centre</w:t>
        </w:r>
      </w:hyperlink>
      <w:r>
        <w:t xml:space="preserve"> (Phone 13 11 26) to consider the use of antivenom. </w:t>
      </w:r>
    </w:p>
    <w:p w14:paraId="0E0A28E7" w14:textId="0CB4CAA3" w:rsidR="0002534D" w:rsidRPr="00436141" w:rsidRDefault="290818EF" w:rsidP="00436141">
      <w:pPr>
        <w:pStyle w:val="Numberedlist"/>
        <w:rPr>
          <w:iCs/>
          <w:color w:val="auto"/>
          <w:u w:val="single"/>
        </w:rPr>
      </w:pPr>
      <w:r>
        <w:t xml:space="preserve">If </w:t>
      </w:r>
      <w:r w:rsidR="78F7F913">
        <w:t xml:space="preserve">signs of envenomation, </w:t>
      </w:r>
      <w:r w:rsidR="4EAFD9D0">
        <w:t>the above blood</w:t>
      </w:r>
      <w:r w:rsidR="6BC357BD">
        <w:t xml:space="preserve"> tests </w:t>
      </w:r>
      <w:r w:rsidR="4EAFD9D0">
        <w:t>should be repeated</w:t>
      </w:r>
      <w:r w:rsidR="6BC357BD">
        <w:t xml:space="preserve"> serially</w:t>
      </w:r>
      <w:r w:rsidR="4EAFD9D0">
        <w:t xml:space="preserve"> at 6</w:t>
      </w:r>
      <w:r w:rsidR="003A43E3">
        <w:t xml:space="preserve"> </w:t>
      </w:r>
      <w:r w:rsidR="18605BA1">
        <w:t>hours</w:t>
      </w:r>
      <w:r w:rsidR="4EAFD9D0">
        <w:t>, 12</w:t>
      </w:r>
      <w:r w:rsidR="0069617C">
        <w:t xml:space="preserve"> </w:t>
      </w:r>
      <w:r w:rsidR="4EAFD9D0">
        <w:t>hours</w:t>
      </w:r>
      <w:r w:rsidR="6C1FE138">
        <w:t xml:space="preserve"> and</w:t>
      </w:r>
      <w:r w:rsidR="4EAFD9D0">
        <w:t xml:space="preserve"> 24</w:t>
      </w:r>
      <w:r w:rsidR="003A43E3">
        <w:t xml:space="preserve"> </w:t>
      </w:r>
      <w:r w:rsidR="4EAFD9D0">
        <w:t>hours post bite</w:t>
      </w:r>
      <w:r w:rsidR="6BC357BD">
        <w:t>.</w:t>
      </w:r>
      <w:r w:rsidR="0002534D">
        <w:t xml:space="preserve"> </w:t>
      </w:r>
      <w:r w:rsidR="0002534D" w:rsidRPr="7C690192">
        <w:t>D-dimer should only be used in the first 6</w:t>
      </w:r>
      <w:r w:rsidR="0069617C">
        <w:t xml:space="preserve"> </w:t>
      </w:r>
      <w:r w:rsidR="0002534D" w:rsidRPr="7C690192">
        <w:t>hours, or for the first 2 tests only.</w:t>
      </w:r>
      <w:r w:rsidR="6BC357BD">
        <w:t xml:space="preserve"> </w:t>
      </w:r>
      <w:r w:rsidR="251FE0B3">
        <w:t>Lactate dehydrogenase (</w:t>
      </w:r>
      <w:r w:rsidR="6BC357BD">
        <w:t>LDH</w:t>
      </w:r>
      <w:r w:rsidR="23C1471D">
        <w:t>)</w:t>
      </w:r>
      <w:r w:rsidR="6BC357BD">
        <w:t xml:space="preserve"> and blood film should be tested</w:t>
      </w:r>
      <w:r w:rsidR="2207E243">
        <w:t xml:space="preserve"> at 6</w:t>
      </w:r>
      <w:r w:rsidR="003A43E3">
        <w:t xml:space="preserve"> </w:t>
      </w:r>
      <w:r w:rsidR="1EC36FD3">
        <w:t>hour</w:t>
      </w:r>
      <w:r w:rsidR="7880D78D">
        <w:t>s</w:t>
      </w:r>
      <w:r w:rsidR="2207E243">
        <w:t xml:space="preserve"> </w:t>
      </w:r>
      <w:r w:rsidR="568AEB1E">
        <w:t>or</w:t>
      </w:r>
      <w:r w:rsidR="2207E243">
        <w:t xml:space="preserve"> 12</w:t>
      </w:r>
      <w:r w:rsidR="0069617C">
        <w:t xml:space="preserve"> </w:t>
      </w:r>
      <w:r w:rsidR="6BCCC4A9">
        <w:t>hour</w:t>
      </w:r>
      <w:r w:rsidR="77D729A9">
        <w:t>s</w:t>
      </w:r>
      <w:r w:rsidR="2207E243">
        <w:t xml:space="preserve"> post snake bite</w:t>
      </w:r>
      <w:r w:rsidR="0002534D">
        <w:t xml:space="preserve"> if evidence of </w:t>
      </w:r>
      <w:r w:rsidR="008A0B7D">
        <w:t>venom-induced consumption coagulopathy (</w:t>
      </w:r>
      <w:r w:rsidR="0002534D">
        <w:t>VICC</w:t>
      </w:r>
      <w:r w:rsidR="008A0B7D">
        <w:t>)</w:t>
      </w:r>
      <w:r w:rsidR="00436141">
        <w:t>.</w:t>
      </w:r>
    </w:p>
    <w:p w14:paraId="57D7E48B" w14:textId="54C733EC" w:rsidR="00F4262A" w:rsidRDefault="00481A6C" w:rsidP="00436141">
      <w:pPr>
        <w:pStyle w:val="BodyCopy"/>
        <w:ind w:left="360"/>
        <w:rPr>
          <w:rStyle w:val="Hyperlink"/>
          <w:iCs w:val="0"/>
        </w:rPr>
      </w:pPr>
      <w:hyperlink w:anchor="_top" w:history="1">
        <w:r w:rsidRPr="0002534D">
          <w:rPr>
            <w:rStyle w:val="Hyperlink"/>
            <w:iCs w:val="0"/>
          </w:rPr>
          <w:t>Back to Contents</w:t>
        </w:r>
      </w:hyperlink>
    </w:p>
    <w:p w14:paraId="716A3F92" w14:textId="5E162D68" w:rsidR="00F4262A" w:rsidRDefault="00F4262A" w:rsidP="00F4262A">
      <w:pPr>
        <w:pStyle w:val="Heading4"/>
      </w:pPr>
      <w:bookmarkStart w:id="8" w:name="_Toc188279429"/>
      <w:r w:rsidRPr="0078367D">
        <w:t xml:space="preserve">Section </w:t>
      </w:r>
      <w:r>
        <w:t>4</w:t>
      </w:r>
      <w:r w:rsidR="00436141">
        <w:t xml:space="preserve"> – </w:t>
      </w:r>
      <w:r>
        <w:t>Disposition</w:t>
      </w:r>
      <w:bookmarkEnd w:id="8"/>
    </w:p>
    <w:p w14:paraId="7A158D04" w14:textId="00053CE2" w:rsidR="007078AB" w:rsidRPr="007078AB" w:rsidRDefault="00F4262A" w:rsidP="003C5782">
      <w:pPr>
        <w:pStyle w:val="Heading5"/>
      </w:pPr>
      <w:r>
        <w:t xml:space="preserve"> </w:t>
      </w:r>
      <w:r w:rsidR="007078AB" w:rsidRPr="007078AB">
        <w:t xml:space="preserve">Disposition </w:t>
      </w:r>
      <w:r w:rsidR="007078AB">
        <w:t>of the envenomed patient</w:t>
      </w:r>
    </w:p>
    <w:p w14:paraId="27CFDBA6" w14:textId="62E908F8" w:rsidR="007078AB" w:rsidRPr="007078AB" w:rsidRDefault="007078AB" w:rsidP="00436141">
      <w:pPr>
        <w:pStyle w:val="Bullet"/>
      </w:pPr>
      <w:r>
        <w:t>Criteria for admission to</w:t>
      </w:r>
      <w:r w:rsidR="003A43E3">
        <w:t xml:space="preserve"> h</w:t>
      </w:r>
      <w:r>
        <w:t xml:space="preserve">ospital includes any abnormal exam findings (see Assessment, Section 2 above), abnormal blood investigations, or antivenom given in ED. Admission should always be to </w:t>
      </w:r>
      <w:r w:rsidR="0069617C">
        <w:t>the Intensive Care Unit (</w:t>
      </w:r>
      <w:r>
        <w:t>ICU</w:t>
      </w:r>
      <w:r w:rsidR="0069617C">
        <w:t>)</w:t>
      </w:r>
      <w:r>
        <w:t xml:space="preserve"> for cardiac monitoring and continued close observation. In addition to administration of antivenom, the management of </w:t>
      </w:r>
      <w:r w:rsidR="00E0668F">
        <w:t>patients</w:t>
      </w:r>
      <w:r>
        <w:t xml:space="preserve"> experiencing systemic envenomation </w:t>
      </w:r>
      <w:r w:rsidR="00E0668F">
        <w:t>is</w:t>
      </w:r>
      <w:r>
        <w:t xml:space="preserve"> to include supportive treatment of associated signs and symptoms (which may include pain relief,</w:t>
      </w:r>
      <w:r w:rsidR="008E7509">
        <w:t xml:space="preserve"> clotting factor replacement,</w:t>
      </w:r>
      <w:r>
        <w:t xml:space="preserve"> fluid therapy</w:t>
      </w:r>
      <w:r w:rsidR="008E7509">
        <w:t>, haemodialysis</w:t>
      </w:r>
      <w:r>
        <w:t xml:space="preserve"> and oxygen therapy)</w:t>
      </w:r>
      <w:r w:rsidR="003C5782">
        <w:t>.</w:t>
      </w:r>
    </w:p>
    <w:p w14:paraId="2C4A8FA0" w14:textId="01705B3E" w:rsidR="008E7509" w:rsidRDefault="008E7509" w:rsidP="003C5782">
      <w:pPr>
        <w:pStyle w:val="Heading5"/>
      </w:pPr>
      <w:r w:rsidRPr="00436141">
        <w:t>Disposition</w:t>
      </w:r>
      <w:r>
        <w:t xml:space="preserve"> of the non-envenomed patient</w:t>
      </w:r>
    </w:p>
    <w:p w14:paraId="6C2A3942" w14:textId="3ECB8D7D" w:rsidR="007078AB" w:rsidRPr="007078AB" w:rsidRDefault="007078AB" w:rsidP="00436141">
      <w:pPr>
        <w:pStyle w:val="Bullet"/>
      </w:pPr>
      <w:r>
        <w:t xml:space="preserve">Patients who have no clinical signs or symptoms of envenomation should be educated around the need to stay in hospital to complete the 12-hour regime in Section 3 above. This is the minimum time to definitively exclude envenomation. Any patient wishing to leave prior to the 12 hours and against advice must be discussed with the ED Consultant on duty. In the event of the patient discharging themselves against advice, the patient is to be given verbal and written advice around risk of discharge against advice, </w:t>
      </w:r>
      <w:r>
        <w:lastRenderedPageBreak/>
        <w:t>including death. The advice given to the patient is to be documented in the patient’s clinical record.  </w:t>
      </w:r>
    </w:p>
    <w:p w14:paraId="2AE37D88" w14:textId="21FFBC45" w:rsidR="007078AB" w:rsidRPr="007078AB" w:rsidRDefault="007078AB" w:rsidP="00436141">
      <w:pPr>
        <w:pStyle w:val="Bullet"/>
      </w:pPr>
      <w:r>
        <w:t>If all the patient's test results are within normal limits at 12 hours post</w:t>
      </w:r>
      <w:r w:rsidR="003A43E3">
        <w:t xml:space="preserve"> </w:t>
      </w:r>
      <w:r w:rsidR="001B2AC1">
        <w:t>bite</w:t>
      </w:r>
      <w:r>
        <w:t>, and the patient has no concerning signs or symptoms the patient may be discharged home during daylight hours with appropriate follow up. Any abnormal exam findings</w:t>
      </w:r>
      <w:r w:rsidR="00534F20">
        <w:t xml:space="preserve"> should</w:t>
      </w:r>
      <w:r>
        <w:t xml:space="preserve"> be discussed with NSW Poisons Information Centre prior to discharge, even if all blood investigations are normal.   </w:t>
      </w:r>
    </w:p>
    <w:p w14:paraId="766B3357" w14:textId="4DB324BA" w:rsidR="000C7ACF" w:rsidRDefault="005502FB" w:rsidP="00436141">
      <w:pPr>
        <w:pStyle w:val="Bullet"/>
      </w:pPr>
      <w:r>
        <w:t xml:space="preserve">Snake bites </w:t>
      </w:r>
      <w:r w:rsidR="003970F6">
        <w:t xml:space="preserve">are classified as a tetanus-prone wound. </w:t>
      </w:r>
      <w:r w:rsidR="007078AB" w:rsidRPr="007078AB">
        <w:t>Check the patient’s tetanus immunisation status prior to discharge</w:t>
      </w:r>
      <w:r w:rsidR="000C7ACF">
        <w:t xml:space="preserve"> (</w:t>
      </w:r>
      <w:r w:rsidR="00D155A3">
        <w:t xml:space="preserve">immunisation status </w:t>
      </w:r>
      <w:r w:rsidR="00BD5CA9">
        <w:t>may</w:t>
      </w:r>
      <w:r w:rsidR="00811E69">
        <w:t xml:space="preserve"> be obtain</w:t>
      </w:r>
      <w:r w:rsidR="00BD5CA9">
        <w:t>ed in the Digital Health Record</w:t>
      </w:r>
      <w:r w:rsidR="00811E69">
        <w:t xml:space="preserve"> </w:t>
      </w:r>
      <w:r w:rsidR="00BD5CA9">
        <w:t xml:space="preserve">(DHR) </w:t>
      </w:r>
      <w:r w:rsidR="00811E69">
        <w:t>via</w:t>
      </w:r>
      <w:r w:rsidR="00BD5CA9">
        <w:t xml:space="preserve"> the</w:t>
      </w:r>
      <w:r w:rsidR="00811E69">
        <w:t xml:space="preserve"> My Health Record</w:t>
      </w:r>
      <w:r w:rsidR="00BD5CA9">
        <w:t xml:space="preserve"> portal immunisation </w:t>
      </w:r>
      <w:r w:rsidR="009A2BB5">
        <w:t>register)</w:t>
      </w:r>
      <w:r w:rsidR="000C7ACF">
        <w:t>.</w:t>
      </w:r>
    </w:p>
    <w:p w14:paraId="6DA4BAA8" w14:textId="5E308E63" w:rsidR="003D5D92" w:rsidRDefault="00295FFD" w:rsidP="00436141">
      <w:pPr>
        <w:pStyle w:val="Bullet"/>
        <w:numPr>
          <w:ilvl w:val="1"/>
          <w:numId w:val="3"/>
        </w:numPr>
      </w:pPr>
      <w:r>
        <w:t>Adult</w:t>
      </w:r>
      <w:r w:rsidR="001F261A">
        <w:t xml:space="preserve"> patients</w:t>
      </w:r>
      <w:r>
        <w:t xml:space="preserve">: </w:t>
      </w:r>
      <w:r w:rsidR="003C5782">
        <w:t>a</w:t>
      </w:r>
      <w:r w:rsidR="007078AB">
        <w:t xml:space="preserve">dminister </w:t>
      </w:r>
      <w:r w:rsidR="003801EA">
        <w:t>ADT booster (</w:t>
      </w:r>
      <w:r w:rsidR="00624C2C">
        <w:t xml:space="preserve">diphtheria-tetanus combination </w:t>
      </w:r>
      <w:r w:rsidR="00380C80">
        <w:t>vaccine) if</w:t>
      </w:r>
      <w:r w:rsidR="00A22058">
        <w:t xml:space="preserve"> recommended b</w:t>
      </w:r>
      <w:r w:rsidR="00433962">
        <w:t xml:space="preserve">y </w:t>
      </w:r>
      <w:hyperlink r:id="rId14" w:history="1">
        <w:r w:rsidR="00433962" w:rsidRPr="00433962">
          <w:rPr>
            <w:rStyle w:val="Hyperlink"/>
          </w:rPr>
          <w:t>The Australian Immunisation Handbook</w:t>
        </w:r>
      </w:hyperlink>
      <w:r w:rsidR="00433962">
        <w:t xml:space="preserve"> (AIH)</w:t>
      </w:r>
      <w:r w:rsidR="000C7ACF">
        <w:t xml:space="preserve">; </w:t>
      </w:r>
      <w:r w:rsidR="000C7ACF" w:rsidRPr="001D5D8B">
        <w:rPr>
          <w:i/>
        </w:rPr>
        <w:t>Table. Guide to tetanus prophylaxis in wound management</w:t>
      </w:r>
      <w:r w:rsidR="007078AB">
        <w:t xml:space="preserve">. </w:t>
      </w:r>
    </w:p>
    <w:p w14:paraId="6D360CD3" w14:textId="273DC3FC" w:rsidR="00295FFD" w:rsidRDefault="00295FFD" w:rsidP="00436141">
      <w:pPr>
        <w:pStyle w:val="Bullet"/>
        <w:numPr>
          <w:ilvl w:val="1"/>
          <w:numId w:val="3"/>
        </w:numPr>
      </w:pPr>
      <w:r>
        <w:t>Paediatric</w:t>
      </w:r>
      <w:r w:rsidR="001F261A">
        <w:t xml:space="preserve"> patients: </w:t>
      </w:r>
      <w:r w:rsidR="003C5782">
        <w:t>a</w:t>
      </w:r>
      <w:r w:rsidR="001F261A">
        <w:t xml:space="preserve">dminister </w:t>
      </w:r>
      <w:r w:rsidR="00F1400F">
        <w:t>age-based</w:t>
      </w:r>
      <w:r w:rsidR="001F261A">
        <w:t xml:space="preserve"> formulation in accordance with AIH</w:t>
      </w:r>
      <w:r w:rsidR="00DC4337">
        <w:t xml:space="preserve"> tetanus-prone wound recommendations</w:t>
      </w:r>
      <w:r w:rsidR="006C300E">
        <w:t xml:space="preserve"> for paediatric patients</w:t>
      </w:r>
      <w:r w:rsidR="00DC4337">
        <w:t xml:space="preserve">. </w:t>
      </w:r>
    </w:p>
    <w:p w14:paraId="74539B40" w14:textId="5DB26259" w:rsidR="007078AB" w:rsidRPr="007078AB" w:rsidRDefault="007078AB" w:rsidP="00436141">
      <w:pPr>
        <w:pStyle w:val="Bullet"/>
        <w:numPr>
          <w:ilvl w:val="1"/>
          <w:numId w:val="3"/>
        </w:numPr>
      </w:pPr>
      <w:r w:rsidRPr="007078AB">
        <w:t xml:space="preserve">This should only be done after completion of the </w:t>
      </w:r>
      <w:r w:rsidR="00F1400F" w:rsidRPr="007078AB">
        <w:t>12-hour</w:t>
      </w:r>
      <w:r w:rsidRPr="007078AB">
        <w:t xml:space="preserve"> workup as above</w:t>
      </w:r>
      <w:r w:rsidR="00117836">
        <w:t xml:space="preserve"> and </w:t>
      </w:r>
      <w:r w:rsidR="00A07ECF">
        <w:t xml:space="preserve">once </w:t>
      </w:r>
      <w:r w:rsidR="00FC2456">
        <w:t>haemostasis is achieved</w:t>
      </w:r>
      <w:r w:rsidRPr="007078AB">
        <w:t>.  </w:t>
      </w:r>
    </w:p>
    <w:p w14:paraId="46C93E21" w14:textId="458D451C" w:rsidR="00F4262A" w:rsidRPr="00436141" w:rsidRDefault="00436141" w:rsidP="00F4262A">
      <w:pPr>
        <w:pStyle w:val="BodyCopy"/>
        <w:rPr>
          <w:iCs w:val="0"/>
          <w:color w:val="auto"/>
          <w:u w:val="single"/>
        </w:rPr>
      </w:pPr>
      <w:hyperlink w:anchor="_top" w:history="1">
        <w:r w:rsidRPr="0002534D">
          <w:rPr>
            <w:rStyle w:val="Hyperlink"/>
            <w:iCs w:val="0"/>
          </w:rPr>
          <w:t>Back to Contents</w:t>
        </w:r>
      </w:hyperlink>
    </w:p>
    <w:p w14:paraId="62DDF731" w14:textId="57A12793" w:rsidR="00F4262A" w:rsidRDefault="00F4262A" w:rsidP="00436141">
      <w:pPr>
        <w:pStyle w:val="Heading4"/>
      </w:pPr>
      <w:bookmarkStart w:id="9" w:name="_Toc188279430"/>
      <w:r w:rsidRPr="0078367D">
        <w:t xml:space="preserve">Section </w:t>
      </w:r>
      <w:r>
        <w:t>5</w:t>
      </w:r>
      <w:r w:rsidRPr="0078367D">
        <w:t xml:space="preserve"> </w:t>
      </w:r>
      <w:r>
        <w:t>–</w:t>
      </w:r>
      <w:r w:rsidRPr="0078367D">
        <w:t xml:space="preserve"> </w:t>
      </w:r>
      <w:r>
        <w:t>Antivenom Administration</w:t>
      </w:r>
      <w:bookmarkEnd w:id="9"/>
    </w:p>
    <w:p w14:paraId="7C6E5E29" w14:textId="2CA67613" w:rsidR="00C76376" w:rsidRDefault="00F4262A" w:rsidP="00436141">
      <w:pPr>
        <w:pStyle w:val="Bullet"/>
      </w:pPr>
      <w:r>
        <w:t xml:space="preserve">Indications for antivenom administration are obvious clinical evidence of envenomation (cardiac arrest, shock state, bleeding, or neurologic abnormality) or pathology abnormalities even in the absence of clinical findings. </w:t>
      </w:r>
      <w:r w:rsidR="00534F20">
        <w:t xml:space="preserve">Standard treatment for patients bitten within the catchment area for CHS is </w:t>
      </w:r>
      <w:r w:rsidR="0073726D">
        <w:t xml:space="preserve">1 </w:t>
      </w:r>
      <w:r w:rsidR="00534F20">
        <w:t xml:space="preserve">ampule of tiger snake and 1 ampule of brown snake antivenom. However, in most cases, every effort must be made to obtain clear advice on choice of antivenom from a clinical toxicologist as early as possible.  </w:t>
      </w:r>
    </w:p>
    <w:p w14:paraId="61DB784E" w14:textId="7C760F18" w:rsidR="00F4262A" w:rsidRPr="00F4262A" w:rsidRDefault="00F4262A" w:rsidP="00436141">
      <w:pPr>
        <w:pStyle w:val="Bullet"/>
        <w:numPr>
          <w:ilvl w:val="1"/>
          <w:numId w:val="3"/>
        </w:numPr>
      </w:pPr>
      <w:r>
        <w:t>The earlier the antivenom is administered</w:t>
      </w:r>
      <w:r w:rsidR="00C76376">
        <w:t xml:space="preserve"> (preferably within 2 hours of the snake </w:t>
      </w:r>
      <w:r w:rsidR="0089758F">
        <w:t>bite)</w:t>
      </w:r>
      <w:r>
        <w:t>, the more effective the therapy. </w:t>
      </w:r>
      <w:r w:rsidR="000161EE">
        <w:t xml:space="preserve">The risk of adverse effects outweighs the benefits of antivenom </w:t>
      </w:r>
      <w:r w:rsidR="00321FDE">
        <w:t xml:space="preserve">at </w:t>
      </w:r>
      <w:r w:rsidR="001D02BB">
        <w:t xml:space="preserve">more </w:t>
      </w:r>
      <w:r w:rsidR="00C65181">
        <w:t xml:space="preserve">than </w:t>
      </w:r>
      <w:r w:rsidR="000161EE">
        <w:t>12 hours post snake bite.</w:t>
      </w:r>
    </w:p>
    <w:p w14:paraId="3BA341DF" w14:textId="19C3DF2F" w:rsidR="00F4262A" w:rsidRPr="00F4262A" w:rsidRDefault="00F4262A" w:rsidP="00436141">
      <w:pPr>
        <w:pStyle w:val="Bullet"/>
      </w:pPr>
      <w:r>
        <w:t xml:space="preserve">Advice will vary depending on clinical presentation, and may require two different monovalent antivenoms, but each antivenom dose will be one vial, given once only. </w:t>
      </w:r>
      <w:r w:rsidR="00534F20" w:rsidRPr="00534F20">
        <w:t xml:space="preserve">In </w:t>
      </w:r>
      <w:r w:rsidR="00534F20">
        <w:t xml:space="preserve">the </w:t>
      </w:r>
      <w:r w:rsidR="00534F20" w:rsidRPr="00534F20">
        <w:t>context of cardiac arrest</w:t>
      </w:r>
      <w:r w:rsidR="00380C80">
        <w:t xml:space="preserve">, </w:t>
      </w:r>
      <w:r w:rsidR="00534F20" w:rsidRPr="00534F20">
        <w:t>further</w:t>
      </w:r>
      <w:r w:rsidR="00534F20">
        <w:t xml:space="preserve"> administration of</w:t>
      </w:r>
      <w:r w:rsidR="00534F20" w:rsidRPr="00534F20">
        <w:t xml:space="preserve"> ampules o</w:t>
      </w:r>
      <w:r w:rsidR="00534F20">
        <w:t>f</w:t>
      </w:r>
      <w:r w:rsidR="00534F20" w:rsidRPr="00534F20">
        <w:t xml:space="preserve"> antivenom</w:t>
      </w:r>
      <w:r w:rsidR="00380C80">
        <w:t xml:space="preserve"> may be considered in consultation with the Toxicologist</w:t>
      </w:r>
      <w:r w:rsidR="00321FDE">
        <w:t>.</w:t>
      </w:r>
    </w:p>
    <w:p w14:paraId="713D4143" w14:textId="49D45DFD" w:rsidR="0021632A" w:rsidRDefault="00F4262A" w:rsidP="00436141">
      <w:pPr>
        <w:pStyle w:val="Bullet"/>
      </w:pPr>
      <w:r>
        <w:t>Given the potential for the patient to have anaphylaxis to antivenom (severe anaphylaxis occurs in</w:t>
      </w:r>
      <w:r w:rsidR="29288AEB">
        <w:t xml:space="preserve"> 1% for monovalent and</w:t>
      </w:r>
      <w:r>
        <w:t xml:space="preserve"> 5%</w:t>
      </w:r>
      <w:r w:rsidR="1FF2BE78">
        <w:t xml:space="preserve"> for polyvalent</w:t>
      </w:r>
      <w:r>
        <w:t>), the antivenom should be administered to the patient in a resuscitation bed with close haemodynamic monitoring (</w:t>
      </w:r>
      <w:r w:rsidR="00321FDE">
        <w:t>b</w:t>
      </w:r>
      <w:r>
        <w:t xml:space="preserve">lood </w:t>
      </w:r>
      <w:r w:rsidR="00321FDE">
        <w:t>p</w:t>
      </w:r>
      <w:r>
        <w:t xml:space="preserve">ressure, </w:t>
      </w:r>
      <w:r w:rsidR="00321FDE">
        <w:t>h</w:t>
      </w:r>
      <w:r>
        <w:t xml:space="preserve">eart </w:t>
      </w:r>
      <w:r w:rsidR="00321FDE">
        <w:t>r</w:t>
      </w:r>
      <w:r>
        <w:t xml:space="preserve">ate, </w:t>
      </w:r>
      <w:r w:rsidR="00321FDE">
        <w:t>c</w:t>
      </w:r>
      <w:r>
        <w:t xml:space="preserve">ontinuous </w:t>
      </w:r>
      <w:r w:rsidR="00321FDE">
        <w:t>c</w:t>
      </w:r>
      <w:r>
        <w:t xml:space="preserve">ardiac </w:t>
      </w:r>
      <w:r w:rsidR="00321FDE">
        <w:t>m</w:t>
      </w:r>
      <w:r>
        <w:t xml:space="preserve">onitoring, </w:t>
      </w:r>
      <w:r w:rsidR="00321FDE">
        <w:t>o</w:t>
      </w:r>
      <w:r>
        <w:t xml:space="preserve">xygen </w:t>
      </w:r>
      <w:r w:rsidR="00321FDE">
        <w:t>s</w:t>
      </w:r>
      <w:r>
        <w:t>aturation).</w:t>
      </w:r>
    </w:p>
    <w:p w14:paraId="3DA09B14" w14:textId="575E2A96" w:rsidR="00500714" w:rsidRDefault="00500714" w:rsidP="00436141">
      <w:pPr>
        <w:pStyle w:val="Bullet"/>
        <w:numPr>
          <w:ilvl w:val="1"/>
          <w:numId w:val="3"/>
        </w:numPr>
      </w:pPr>
      <w:r>
        <w:lastRenderedPageBreak/>
        <w:t>Temporarily s</w:t>
      </w:r>
      <w:r w:rsidR="0021632A">
        <w:t xml:space="preserve">uspend </w:t>
      </w:r>
      <w:r w:rsidR="00A52481">
        <w:t xml:space="preserve">antivenom infusion if anaphylaxis occurs and </w:t>
      </w:r>
      <w:r w:rsidR="003942E5">
        <w:t xml:space="preserve">treat in accordance with </w:t>
      </w:r>
      <w:r w:rsidR="00321FDE">
        <w:t>Australasian Society of Clinical Immunology and Allergy (</w:t>
      </w:r>
      <w:r w:rsidR="003942E5">
        <w:t>ASCIA</w:t>
      </w:r>
      <w:r w:rsidR="00321FDE">
        <w:t>)</w:t>
      </w:r>
      <w:r w:rsidR="003942E5">
        <w:t xml:space="preserve"> ana</w:t>
      </w:r>
      <w:r>
        <w:t>phylaxis guidelines</w:t>
      </w:r>
      <w:r w:rsidR="004E6407">
        <w:t>.</w:t>
      </w:r>
      <w:r w:rsidR="00433962">
        <w:t xml:space="preserve"> </w:t>
      </w:r>
    </w:p>
    <w:p w14:paraId="0122D352" w14:textId="3F39F2FB" w:rsidR="00F4262A" w:rsidRPr="00F4262A" w:rsidRDefault="00500714" w:rsidP="00436141">
      <w:pPr>
        <w:pStyle w:val="Bullet"/>
        <w:numPr>
          <w:ilvl w:val="1"/>
          <w:numId w:val="3"/>
        </w:numPr>
      </w:pPr>
      <w:r>
        <w:t>Contact</w:t>
      </w:r>
      <w:r w:rsidR="00CB432D">
        <w:t xml:space="preserve"> NSW PIC</w:t>
      </w:r>
      <w:r w:rsidR="00EB3D6F">
        <w:t xml:space="preserve"> to obtain advice on reinitiating antivenom infusion </w:t>
      </w:r>
      <w:r w:rsidR="001229F1">
        <w:t xml:space="preserve">at a slower rate or </w:t>
      </w:r>
      <w:r w:rsidR="00280F5F">
        <w:t xml:space="preserve">with concurrent </w:t>
      </w:r>
      <w:r w:rsidR="00EC54D6">
        <w:t xml:space="preserve">adrenaline infusion (following consultation with </w:t>
      </w:r>
      <w:r w:rsidR="008A0B7D">
        <w:t xml:space="preserve">an </w:t>
      </w:r>
      <w:r w:rsidR="007F2DE5">
        <w:t>ED</w:t>
      </w:r>
      <w:r w:rsidR="008A0B7D">
        <w:t xml:space="preserve"> staff specialist</w:t>
      </w:r>
      <w:r w:rsidR="00EC54D6">
        <w:t>)</w:t>
      </w:r>
      <w:r w:rsidR="004E6407">
        <w:t>.</w:t>
      </w:r>
    </w:p>
    <w:p w14:paraId="1F232F29" w14:textId="766003A4" w:rsidR="06929F56" w:rsidRPr="008105EC" w:rsidRDefault="00F4262A" w:rsidP="00436141">
      <w:pPr>
        <w:pStyle w:val="Bullet"/>
        <w:numPr>
          <w:ilvl w:val="1"/>
          <w:numId w:val="3"/>
        </w:numPr>
        <w:rPr>
          <w:rFonts w:ascii="Helvetica" w:eastAsia="Helvetica" w:hAnsi="Helvetica" w:cs="Helvetica"/>
          <w:color w:val="414042"/>
          <w:sz w:val="21"/>
          <w:szCs w:val="21"/>
        </w:rPr>
      </w:pPr>
      <w:r>
        <w:t>All patients who receive antivenom should be counselled about serum sickness</w:t>
      </w:r>
      <w:r w:rsidR="0061497A">
        <w:t xml:space="preserve"> –</w:t>
      </w:r>
      <w:r>
        <w:t xml:space="preserve"> </w:t>
      </w:r>
      <w:r w:rsidR="009840DF">
        <w:t>a self</w:t>
      </w:r>
      <w:r>
        <w:t xml:space="preserve">-limiting complication </w:t>
      </w:r>
      <w:r w:rsidR="00AF6BC5">
        <w:t xml:space="preserve">affecting approximately one-third of patients. Symptoms </w:t>
      </w:r>
      <w:r>
        <w:t>includ</w:t>
      </w:r>
      <w:r w:rsidR="00AF6BC5">
        <w:t>ing</w:t>
      </w:r>
      <w:r>
        <w:t xml:space="preserve"> skin rash, fever, </w:t>
      </w:r>
      <w:r w:rsidR="00AF6BC5">
        <w:t xml:space="preserve">myalgia </w:t>
      </w:r>
      <w:r>
        <w:t xml:space="preserve">and arthralgia may </w:t>
      </w:r>
      <w:r w:rsidR="00AF6BC5">
        <w:t>develop 4</w:t>
      </w:r>
      <w:r>
        <w:t>-</w:t>
      </w:r>
      <w:r w:rsidR="00AF6BC5">
        <w:t>14</w:t>
      </w:r>
      <w:r>
        <w:t xml:space="preserve"> days </w:t>
      </w:r>
      <w:r w:rsidR="00AF6BC5">
        <w:t xml:space="preserve">following </w:t>
      </w:r>
      <w:r>
        <w:t>antivenom</w:t>
      </w:r>
      <w:r w:rsidR="00AF6BC5">
        <w:t xml:space="preserve"> treatment</w:t>
      </w:r>
      <w:r>
        <w:t>. </w:t>
      </w:r>
      <w:r w:rsidR="008105EC">
        <w:t>T</w:t>
      </w:r>
      <w:r w:rsidR="017B53EA">
        <w:t>reatment of serum sickness is with</w:t>
      </w:r>
      <w:r w:rsidR="3A1B08A4">
        <w:t xml:space="preserve"> oral</w:t>
      </w:r>
      <w:r w:rsidR="292973B5">
        <w:t xml:space="preserve"> </w:t>
      </w:r>
      <w:r w:rsidR="017B53EA">
        <w:t>prednisolone if it occurs but there is no role for prophylactic steroids</w:t>
      </w:r>
      <w:r w:rsidR="004E6407">
        <w:t>.</w:t>
      </w:r>
    </w:p>
    <w:p w14:paraId="2D3F9440" w14:textId="2C4FB5D0" w:rsidR="00F4262A" w:rsidRDefault="00F4262A" w:rsidP="00436141">
      <w:pPr>
        <w:pStyle w:val="Bullet"/>
      </w:pPr>
      <w:r w:rsidRPr="00F4262A">
        <w:t xml:space="preserve">Antivenom is to be administered to the patient as per the </w:t>
      </w:r>
      <w:hyperlink r:id="rId15" w:history="1">
        <w:r w:rsidRPr="00AE727A">
          <w:rPr>
            <w:rStyle w:val="Hyperlink"/>
          </w:rPr>
          <w:t>Australian Injectable Drugs Handbook</w:t>
        </w:r>
      </w:hyperlink>
      <w:r w:rsidR="00F43685">
        <w:rPr>
          <w:rStyle w:val="Hyperlink"/>
        </w:rPr>
        <w:t>.</w:t>
      </w:r>
    </w:p>
    <w:p w14:paraId="171BCFD3" w14:textId="20485CED" w:rsidR="00CE5405" w:rsidRDefault="00CE5405" w:rsidP="00436141">
      <w:pPr>
        <w:pStyle w:val="Bullet"/>
        <w:numPr>
          <w:ilvl w:val="1"/>
          <w:numId w:val="3"/>
        </w:numPr>
      </w:pPr>
      <w:r w:rsidRPr="00C27652">
        <w:t>Each antivenom vial contains a different volume.</w:t>
      </w:r>
      <w:r>
        <w:t xml:space="preserve"> </w:t>
      </w:r>
      <w:r w:rsidRPr="00C27652">
        <w:t xml:space="preserve">Practitioners must administer the </w:t>
      </w:r>
      <w:r w:rsidRPr="00953360">
        <w:rPr>
          <w:b/>
        </w:rPr>
        <w:t>entire</w:t>
      </w:r>
      <w:r w:rsidRPr="00C27652">
        <w:t xml:space="preserve"> contents of a single vial and measure the total volume before reconstitution to ensure appropriate dilution.</w:t>
      </w:r>
    </w:p>
    <w:p w14:paraId="3B464F61" w14:textId="38A9D3EF" w:rsidR="005447AD" w:rsidRDefault="00A61498" w:rsidP="00436141">
      <w:pPr>
        <w:pStyle w:val="Bullet"/>
        <w:numPr>
          <w:ilvl w:val="1"/>
          <w:numId w:val="3"/>
        </w:numPr>
      </w:pPr>
      <w:r w:rsidRPr="00A61498">
        <w:t>Dilute antivenom before use in a 1:10 dilution of sodium chloride 0.9% or Hartmann’s solution</w:t>
      </w:r>
      <w:r w:rsidR="008D17E5">
        <w:t xml:space="preserve"> over 20 minutes</w:t>
      </w:r>
      <w:r w:rsidR="00AF56F0">
        <w:t xml:space="preserve"> (a 1:5 dilution may be used for children or patients with fluid restrictions)</w:t>
      </w:r>
      <w:r w:rsidR="00E02831">
        <w:t>.</w:t>
      </w:r>
    </w:p>
    <w:p w14:paraId="262515F1" w14:textId="30A2DCA5" w:rsidR="00922BFD" w:rsidRPr="00F4262A" w:rsidRDefault="005E1147" w:rsidP="00436141">
      <w:pPr>
        <w:pStyle w:val="Bullet"/>
        <w:numPr>
          <w:ilvl w:val="1"/>
          <w:numId w:val="3"/>
        </w:numPr>
      </w:pPr>
      <w:r w:rsidRPr="005E1147">
        <w:t>In life-threatening emergency situations antivenom can be given undiluted as a rapid injection</w:t>
      </w:r>
      <w:r w:rsidR="00AC48BB">
        <w:t>.</w:t>
      </w:r>
    </w:p>
    <w:tbl>
      <w:tblPr>
        <w:tblStyle w:val="GridTable1Light"/>
        <w:tblW w:w="9918" w:type="dxa"/>
        <w:tblLook w:val="04A0" w:firstRow="1" w:lastRow="0" w:firstColumn="1" w:lastColumn="0" w:noHBand="0" w:noVBand="1"/>
      </w:tblPr>
      <w:tblGrid>
        <w:gridCol w:w="1980"/>
        <w:gridCol w:w="2410"/>
        <w:gridCol w:w="2835"/>
        <w:gridCol w:w="2693"/>
      </w:tblGrid>
      <w:tr w:rsidR="00A80319" w14:paraId="73CC65D9" w14:textId="17DB483E" w:rsidTr="001D5D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1946494" w14:textId="77777777" w:rsidR="00A80319" w:rsidRDefault="00A80319" w:rsidP="002214C1">
            <w:pPr>
              <w:pStyle w:val="BodyCopy"/>
            </w:pPr>
            <w:r>
              <w:t>Antivenom</w:t>
            </w:r>
          </w:p>
        </w:tc>
        <w:tc>
          <w:tcPr>
            <w:tcW w:w="2410" w:type="dxa"/>
          </w:tcPr>
          <w:p w14:paraId="34E34281" w14:textId="7944C7AE" w:rsidR="00A80319" w:rsidRDefault="00A80319" w:rsidP="001D5D8B">
            <w:pPr>
              <w:pStyle w:val="BodyCopy"/>
              <w:jc w:val="center"/>
              <w:cnfStyle w:val="100000000000" w:firstRow="1" w:lastRow="0" w:firstColumn="0" w:lastColumn="0" w:oddVBand="0" w:evenVBand="0" w:oddHBand="0" w:evenHBand="0" w:firstRowFirstColumn="0" w:firstRowLastColumn="0" w:lastRowFirstColumn="0" w:lastRowLastColumn="0"/>
            </w:pPr>
            <w:r>
              <w:t>Units of antivenom per vial</w:t>
            </w:r>
          </w:p>
        </w:tc>
        <w:tc>
          <w:tcPr>
            <w:tcW w:w="2835" w:type="dxa"/>
          </w:tcPr>
          <w:p w14:paraId="0D7B264F" w14:textId="197820D3" w:rsidR="00A80319" w:rsidRDefault="00A80319" w:rsidP="001D5D8B">
            <w:pPr>
              <w:pStyle w:val="BodyCopy"/>
              <w:jc w:val="center"/>
              <w:cnfStyle w:val="100000000000" w:firstRow="1" w:lastRow="0" w:firstColumn="0" w:lastColumn="0" w:oddVBand="0" w:evenVBand="0" w:oddHBand="0" w:evenHBand="0" w:firstRowFirstColumn="0" w:firstRowLastColumn="0" w:lastRowFirstColumn="0" w:lastRowLastColumn="0"/>
            </w:pPr>
            <w:r>
              <w:t>Volume range per vial (batch dependent)</w:t>
            </w:r>
          </w:p>
        </w:tc>
        <w:tc>
          <w:tcPr>
            <w:tcW w:w="2693" w:type="dxa"/>
          </w:tcPr>
          <w:p w14:paraId="526F435F" w14:textId="2A8F2902" w:rsidR="00A80319" w:rsidRDefault="00A80319" w:rsidP="00BE6DC9">
            <w:pPr>
              <w:pStyle w:val="BodyCopy"/>
              <w:jc w:val="center"/>
              <w:cnfStyle w:val="100000000000" w:firstRow="1" w:lastRow="0" w:firstColumn="0" w:lastColumn="0" w:oddVBand="0" w:evenVBand="0" w:oddHBand="0" w:evenHBand="0" w:firstRowFirstColumn="0" w:firstRowLastColumn="0" w:lastRowFirstColumn="0" w:lastRowLastColumn="0"/>
            </w:pPr>
            <w:r>
              <w:t xml:space="preserve">Final volume </w:t>
            </w:r>
            <w:r w:rsidR="00CD758F">
              <w:t>1:10 dilution</w:t>
            </w:r>
            <w:r w:rsidR="009169F7">
              <w:t xml:space="preserve"> (adults)</w:t>
            </w:r>
          </w:p>
        </w:tc>
      </w:tr>
      <w:tr w:rsidR="00A80319" w14:paraId="197EB66F" w14:textId="26E3C916" w:rsidTr="001D5D8B">
        <w:tc>
          <w:tcPr>
            <w:cnfStyle w:val="001000000000" w:firstRow="0" w:lastRow="0" w:firstColumn="1" w:lastColumn="0" w:oddVBand="0" w:evenVBand="0" w:oddHBand="0" w:evenHBand="0" w:firstRowFirstColumn="0" w:firstRowLastColumn="0" w:lastRowFirstColumn="0" w:lastRowLastColumn="0"/>
            <w:tcW w:w="1980" w:type="dxa"/>
          </w:tcPr>
          <w:p w14:paraId="036C1EE3" w14:textId="77777777" w:rsidR="00A80319" w:rsidRDefault="00A80319" w:rsidP="002214C1">
            <w:pPr>
              <w:pStyle w:val="BodyCopy"/>
            </w:pPr>
            <w:r>
              <w:t>Polyvalent</w:t>
            </w:r>
          </w:p>
        </w:tc>
        <w:tc>
          <w:tcPr>
            <w:tcW w:w="2410" w:type="dxa"/>
          </w:tcPr>
          <w:p w14:paraId="65E9910D" w14:textId="31D73F40" w:rsidR="00A80319" w:rsidRDefault="00A80319" w:rsidP="001D5D8B">
            <w:pPr>
              <w:pStyle w:val="BodyCopy"/>
              <w:jc w:val="center"/>
              <w:cnfStyle w:val="000000000000" w:firstRow="0" w:lastRow="0" w:firstColumn="0" w:lastColumn="0" w:oddVBand="0" w:evenVBand="0" w:oddHBand="0" w:evenHBand="0" w:firstRowFirstColumn="0" w:firstRowLastColumn="0" w:lastRowFirstColumn="0" w:lastRowLastColumn="0"/>
            </w:pPr>
            <w:r>
              <w:t>40 000 units</w:t>
            </w:r>
          </w:p>
        </w:tc>
        <w:tc>
          <w:tcPr>
            <w:tcW w:w="2835" w:type="dxa"/>
          </w:tcPr>
          <w:p w14:paraId="4C6E8E77" w14:textId="171DD83D" w:rsidR="00A80319" w:rsidRDefault="00A80319" w:rsidP="001D5D8B">
            <w:pPr>
              <w:pStyle w:val="BodyCopy"/>
              <w:jc w:val="center"/>
              <w:cnfStyle w:val="000000000000" w:firstRow="0" w:lastRow="0" w:firstColumn="0" w:lastColumn="0" w:oddVBand="0" w:evenVBand="0" w:oddHBand="0" w:evenHBand="0" w:firstRowFirstColumn="0" w:firstRowLastColumn="0" w:lastRowFirstColumn="0" w:lastRowLastColumn="0"/>
            </w:pPr>
            <w:r>
              <w:t>28 – 50mL</w:t>
            </w:r>
          </w:p>
        </w:tc>
        <w:tc>
          <w:tcPr>
            <w:tcW w:w="2693" w:type="dxa"/>
          </w:tcPr>
          <w:p w14:paraId="0BA61D59" w14:textId="490BE15D" w:rsidR="00A80319" w:rsidRDefault="00922BFD" w:rsidP="00BE6DC9">
            <w:pPr>
              <w:pStyle w:val="BodyCopy"/>
              <w:jc w:val="center"/>
              <w:cnfStyle w:val="000000000000" w:firstRow="0" w:lastRow="0" w:firstColumn="0" w:lastColumn="0" w:oddVBand="0" w:evenVBand="0" w:oddHBand="0" w:evenHBand="0" w:firstRowFirstColumn="0" w:firstRowLastColumn="0" w:lastRowFirstColumn="0" w:lastRowLastColumn="0"/>
            </w:pPr>
            <w:r>
              <w:t>500 mL</w:t>
            </w:r>
          </w:p>
        </w:tc>
      </w:tr>
      <w:tr w:rsidR="00A80319" w14:paraId="5C990BC3" w14:textId="59C91556" w:rsidTr="001D5D8B">
        <w:tc>
          <w:tcPr>
            <w:cnfStyle w:val="001000000000" w:firstRow="0" w:lastRow="0" w:firstColumn="1" w:lastColumn="0" w:oddVBand="0" w:evenVBand="0" w:oddHBand="0" w:evenHBand="0" w:firstRowFirstColumn="0" w:firstRowLastColumn="0" w:lastRowFirstColumn="0" w:lastRowLastColumn="0"/>
            <w:tcW w:w="1980" w:type="dxa"/>
          </w:tcPr>
          <w:p w14:paraId="2D2983FC" w14:textId="77777777" w:rsidR="00A80319" w:rsidRDefault="00A80319" w:rsidP="002214C1">
            <w:pPr>
              <w:pStyle w:val="BodyCopy"/>
            </w:pPr>
            <w:r>
              <w:t>Monovalent: Brown Snake</w:t>
            </w:r>
          </w:p>
        </w:tc>
        <w:tc>
          <w:tcPr>
            <w:tcW w:w="2410" w:type="dxa"/>
          </w:tcPr>
          <w:p w14:paraId="2CB93536" w14:textId="2CD4AF15" w:rsidR="00A80319" w:rsidRDefault="00A80319" w:rsidP="001D5D8B">
            <w:pPr>
              <w:pStyle w:val="BodyCopy"/>
              <w:jc w:val="center"/>
              <w:cnfStyle w:val="000000000000" w:firstRow="0" w:lastRow="0" w:firstColumn="0" w:lastColumn="0" w:oddVBand="0" w:evenVBand="0" w:oddHBand="0" w:evenHBand="0" w:firstRowFirstColumn="0" w:firstRowLastColumn="0" w:lastRowFirstColumn="0" w:lastRowLastColumn="0"/>
            </w:pPr>
            <w:r>
              <w:t>1 000 units</w:t>
            </w:r>
          </w:p>
        </w:tc>
        <w:tc>
          <w:tcPr>
            <w:tcW w:w="2835" w:type="dxa"/>
          </w:tcPr>
          <w:p w14:paraId="583B2A37" w14:textId="33529BFA" w:rsidR="00A80319" w:rsidRDefault="00A80319" w:rsidP="001D5D8B">
            <w:pPr>
              <w:pStyle w:val="BodyCopy"/>
              <w:jc w:val="center"/>
              <w:cnfStyle w:val="000000000000" w:firstRow="0" w:lastRow="0" w:firstColumn="0" w:lastColumn="0" w:oddVBand="0" w:evenVBand="0" w:oddHBand="0" w:evenHBand="0" w:firstRowFirstColumn="0" w:firstRowLastColumn="0" w:lastRowFirstColumn="0" w:lastRowLastColumn="0"/>
            </w:pPr>
            <w:r>
              <w:t>4 - 9 mL</w:t>
            </w:r>
          </w:p>
        </w:tc>
        <w:tc>
          <w:tcPr>
            <w:tcW w:w="2693" w:type="dxa"/>
          </w:tcPr>
          <w:p w14:paraId="12446B0C" w14:textId="45DC5E3C" w:rsidR="00A80319" w:rsidRDefault="00922BFD" w:rsidP="00BE6DC9">
            <w:pPr>
              <w:pStyle w:val="BodyCopy"/>
              <w:jc w:val="center"/>
              <w:cnfStyle w:val="000000000000" w:firstRow="0" w:lastRow="0" w:firstColumn="0" w:lastColumn="0" w:oddVBand="0" w:evenVBand="0" w:oddHBand="0" w:evenHBand="0" w:firstRowFirstColumn="0" w:firstRowLastColumn="0" w:lastRowFirstColumn="0" w:lastRowLastColumn="0"/>
            </w:pPr>
            <w:r>
              <w:t>100 mL</w:t>
            </w:r>
          </w:p>
        </w:tc>
      </w:tr>
      <w:tr w:rsidR="00A80319" w14:paraId="754EC99C" w14:textId="5CE4AD16" w:rsidTr="001D5D8B">
        <w:tc>
          <w:tcPr>
            <w:cnfStyle w:val="001000000000" w:firstRow="0" w:lastRow="0" w:firstColumn="1" w:lastColumn="0" w:oddVBand="0" w:evenVBand="0" w:oddHBand="0" w:evenHBand="0" w:firstRowFirstColumn="0" w:firstRowLastColumn="0" w:lastRowFirstColumn="0" w:lastRowLastColumn="0"/>
            <w:tcW w:w="1980" w:type="dxa"/>
          </w:tcPr>
          <w:p w14:paraId="766529A7" w14:textId="77777777" w:rsidR="00A80319" w:rsidRDefault="00A80319" w:rsidP="002214C1">
            <w:pPr>
              <w:pStyle w:val="BodyCopy"/>
            </w:pPr>
            <w:r>
              <w:t xml:space="preserve">Monovalent: Tiger Snake </w:t>
            </w:r>
          </w:p>
        </w:tc>
        <w:tc>
          <w:tcPr>
            <w:tcW w:w="2410" w:type="dxa"/>
          </w:tcPr>
          <w:p w14:paraId="21FBE880" w14:textId="2B53D064" w:rsidR="00A80319" w:rsidRDefault="00A80319" w:rsidP="001D5D8B">
            <w:pPr>
              <w:pStyle w:val="BodyCopy"/>
              <w:jc w:val="center"/>
              <w:cnfStyle w:val="000000000000" w:firstRow="0" w:lastRow="0" w:firstColumn="0" w:lastColumn="0" w:oddVBand="0" w:evenVBand="0" w:oddHBand="0" w:evenHBand="0" w:firstRowFirstColumn="0" w:firstRowLastColumn="0" w:lastRowFirstColumn="0" w:lastRowLastColumn="0"/>
            </w:pPr>
            <w:r>
              <w:t>3 000 units</w:t>
            </w:r>
          </w:p>
        </w:tc>
        <w:tc>
          <w:tcPr>
            <w:tcW w:w="2835" w:type="dxa"/>
          </w:tcPr>
          <w:p w14:paraId="581341A7" w14:textId="36C8882E" w:rsidR="00A80319" w:rsidRDefault="00A80319" w:rsidP="001D5D8B">
            <w:pPr>
              <w:pStyle w:val="BodyCopy"/>
              <w:jc w:val="center"/>
              <w:cnfStyle w:val="000000000000" w:firstRow="0" w:lastRow="0" w:firstColumn="0" w:lastColumn="0" w:oddVBand="0" w:evenVBand="0" w:oddHBand="0" w:evenHBand="0" w:firstRowFirstColumn="0" w:firstRowLastColumn="0" w:lastRowFirstColumn="0" w:lastRowLastColumn="0"/>
            </w:pPr>
            <w:r>
              <w:t>9 – 12 mL</w:t>
            </w:r>
          </w:p>
        </w:tc>
        <w:tc>
          <w:tcPr>
            <w:tcW w:w="2693" w:type="dxa"/>
          </w:tcPr>
          <w:p w14:paraId="4BD11BAE" w14:textId="32BDE15B" w:rsidR="00A80319" w:rsidRDefault="00CC3A8E" w:rsidP="00BE6DC9">
            <w:pPr>
              <w:pStyle w:val="BodyCopy"/>
              <w:jc w:val="center"/>
              <w:cnfStyle w:val="000000000000" w:firstRow="0" w:lastRow="0" w:firstColumn="0" w:lastColumn="0" w:oddVBand="0" w:evenVBand="0" w:oddHBand="0" w:evenHBand="0" w:firstRowFirstColumn="0" w:firstRowLastColumn="0" w:lastRowFirstColumn="0" w:lastRowLastColumn="0"/>
            </w:pPr>
            <w:r>
              <w:t>2</w:t>
            </w:r>
            <w:r w:rsidR="00E07818">
              <w:t>5</w:t>
            </w:r>
            <w:r w:rsidR="00922BFD">
              <w:t>0 mL</w:t>
            </w:r>
          </w:p>
        </w:tc>
      </w:tr>
    </w:tbl>
    <w:p w14:paraId="6F8B3164" w14:textId="77777777" w:rsidR="00F4262A" w:rsidRDefault="00F4262A" w:rsidP="0091462B">
      <w:pPr>
        <w:pStyle w:val="BodyCopy"/>
      </w:pPr>
    </w:p>
    <w:p w14:paraId="181E00E9" w14:textId="132C77BF" w:rsidR="24E9716C" w:rsidRDefault="37E6795B" w:rsidP="00436141">
      <w:pPr>
        <w:pStyle w:val="Bullet"/>
      </w:pPr>
      <w:r>
        <w:t xml:space="preserve">Even with adequate antivenom administration, it may take 10-20 hours for coagulation studies to improve with </w:t>
      </w:r>
      <w:r w:rsidR="410FB08B">
        <w:t>patients</w:t>
      </w:r>
      <w:r>
        <w:t xml:space="preserve"> with VICC</w:t>
      </w:r>
      <w:r w:rsidR="00B4384D">
        <w:t>, and longer still to return to normal (up to 24-36 hours)</w:t>
      </w:r>
      <w:r w:rsidR="004B506B">
        <w:t>.</w:t>
      </w:r>
      <w:r>
        <w:t xml:space="preserve"> </w:t>
      </w:r>
      <w:r w:rsidR="004B506B">
        <w:t>The r</w:t>
      </w:r>
      <w:r>
        <w:t xml:space="preserve">esolution of VICC is dependent on synthesis of new clotting factors. </w:t>
      </w:r>
      <w:r w:rsidR="1331195E">
        <w:t xml:space="preserve">It is reasonable to administer fresh frozen plasma (FFP) following antivenom administration to patients who have active and potentially life-threatening bleeding. </w:t>
      </w:r>
    </w:p>
    <w:p w14:paraId="114F2FDF" w14:textId="77777777" w:rsidR="0078367D" w:rsidRDefault="0078367D" w:rsidP="00A6051F">
      <w:pPr>
        <w:pStyle w:val="Heading4"/>
      </w:pPr>
      <w:bookmarkStart w:id="10" w:name="_Toc176348490"/>
      <w:bookmarkStart w:id="11" w:name="_Toc188279431"/>
      <w:bookmarkEnd w:id="7"/>
      <w:r>
        <w:lastRenderedPageBreak/>
        <w:t>Evaluation</w:t>
      </w:r>
      <w:bookmarkStart w:id="12" w:name="_Hlk43366294"/>
      <w:bookmarkEnd w:id="10"/>
      <w:bookmarkEnd w:id="11"/>
    </w:p>
    <w:p w14:paraId="7EFDBC01" w14:textId="77777777" w:rsidR="00481A6C" w:rsidRDefault="00481A6C" w:rsidP="00C34A10">
      <w:pPr>
        <w:pStyle w:val="Heading5"/>
      </w:pPr>
      <w:bookmarkStart w:id="13" w:name="_Hlk170467190"/>
      <w:bookmarkEnd w:id="12"/>
      <w:r w:rsidRPr="00C34A10">
        <w:t>Outcome</w:t>
      </w:r>
    </w:p>
    <w:p w14:paraId="6798C45B" w14:textId="066210D5" w:rsidR="00F4262A" w:rsidRPr="00F4262A" w:rsidRDefault="00F4262A" w:rsidP="00F4262A">
      <w:pPr>
        <w:pStyle w:val="BodyCopy"/>
      </w:pPr>
      <w:r w:rsidRPr="00F4262A">
        <w:t xml:space="preserve">Patients presenting to </w:t>
      </w:r>
      <w:r w:rsidR="00AC48BB">
        <w:t xml:space="preserve">the Canberra Hospital </w:t>
      </w:r>
      <w:r w:rsidR="00DC3879">
        <w:t xml:space="preserve">or NCH </w:t>
      </w:r>
      <w:r w:rsidRPr="00F4262A">
        <w:t>ED reporting a snake bite, or possible snake bite, are managed as per this procedure. </w:t>
      </w:r>
    </w:p>
    <w:p w14:paraId="7F8B105A" w14:textId="77777777" w:rsidR="00481A6C" w:rsidRDefault="00C34A10" w:rsidP="00C34A10">
      <w:pPr>
        <w:pStyle w:val="Heading5"/>
      </w:pPr>
      <w:bookmarkStart w:id="14" w:name="_Hlk170467240"/>
      <w:bookmarkEnd w:id="13"/>
      <w:r>
        <w:t>Measures</w:t>
      </w:r>
    </w:p>
    <w:p w14:paraId="7DFE0029" w14:textId="3AF3F97D" w:rsidR="00F4262A" w:rsidRPr="00F4262A" w:rsidRDefault="00F4262A" w:rsidP="00F4262A">
      <w:pPr>
        <w:pStyle w:val="BodyCopy"/>
      </w:pPr>
      <w:r w:rsidRPr="00F4262A">
        <w:t xml:space="preserve">ED will complete an audit/review </w:t>
      </w:r>
      <w:r>
        <w:t xml:space="preserve">of the assessment and management, as recorded in the clinical record, of patients with </w:t>
      </w:r>
      <w:r w:rsidRPr="00F4262A">
        <w:t>snake bites</w:t>
      </w:r>
      <w:r>
        <w:t xml:space="preserve"> </w:t>
      </w:r>
      <w:r w:rsidRPr="00F4262A">
        <w:t>notes to ensure compliance with this procedure. </w:t>
      </w:r>
    </w:p>
    <w:bookmarkEnd w:id="14"/>
    <w:p w14:paraId="5485C759" w14:textId="77777777" w:rsidR="00481A6C" w:rsidRDefault="00E0668F" w:rsidP="002D7682">
      <w:pPr>
        <w:pStyle w:val="BodyCopy"/>
        <w:spacing w:after="120"/>
        <w:rPr>
          <w:rStyle w:val="Hyperlink"/>
          <w:iCs w:val="0"/>
        </w:rPr>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2B3D71CE" w14:textId="77777777" w:rsidR="00A6051F" w:rsidRDefault="00A6051F" w:rsidP="00A6051F">
      <w:pPr>
        <w:pStyle w:val="Heading4"/>
      </w:pPr>
      <w:bookmarkStart w:id="15" w:name="_Toc188279432"/>
      <w:r>
        <w:t>Related policies, procedures, guidelines and legislation</w:t>
      </w:r>
      <w:bookmarkEnd w:id="15"/>
    </w:p>
    <w:p w14:paraId="167C0A17" w14:textId="77777777" w:rsidR="00481A6C" w:rsidRDefault="00481A6C" w:rsidP="00A6051F">
      <w:pPr>
        <w:pStyle w:val="Heading5"/>
      </w:pPr>
      <w:r w:rsidRPr="00A66966">
        <w:t>Policies</w:t>
      </w:r>
    </w:p>
    <w:p w14:paraId="35D8194A" w14:textId="1AE3138B" w:rsidR="00F4262A" w:rsidRPr="00F4262A" w:rsidRDefault="00F4262A" w:rsidP="00F4262A">
      <w:pPr>
        <w:pStyle w:val="Bullet"/>
      </w:pPr>
      <w:r w:rsidRPr="00F4262A">
        <w:t>Medication Handling  </w:t>
      </w:r>
    </w:p>
    <w:p w14:paraId="090B6880" w14:textId="77777777" w:rsidR="00481A6C" w:rsidRDefault="00481A6C" w:rsidP="00A6051F">
      <w:pPr>
        <w:pStyle w:val="Heading5"/>
      </w:pPr>
      <w:r>
        <w:t>Procedures</w:t>
      </w:r>
    </w:p>
    <w:p w14:paraId="4226658D" w14:textId="15A57D8E" w:rsidR="00AC48BB" w:rsidRDefault="00F4262A" w:rsidP="00436141">
      <w:pPr>
        <w:pStyle w:val="Bullet"/>
      </w:pPr>
      <w:r w:rsidRPr="00F4262A">
        <w:t xml:space="preserve">Infection Prevention and Control </w:t>
      </w:r>
    </w:p>
    <w:p w14:paraId="758A24C7" w14:textId="17DDC885" w:rsidR="00AC48BB" w:rsidRDefault="00AC48BB" w:rsidP="00436141">
      <w:pPr>
        <w:pStyle w:val="Bullet"/>
      </w:pPr>
      <w:r w:rsidRPr="00F4262A">
        <w:t>Infection Prevention and Control</w:t>
      </w:r>
      <w:r>
        <w:t xml:space="preserve"> - North Canberra Hospital (NCH)</w:t>
      </w:r>
    </w:p>
    <w:p w14:paraId="75E7D262" w14:textId="71EA5E79" w:rsidR="00F4262A" w:rsidRPr="00F4262A" w:rsidRDefault="00AC48BB" w:rsidP="00436141">
      <w:pPr>
        <w:pStyle w:val="Bullet"/>
      </w:pPr>
      <w:r>
        <w:t>Medication Handling – North Canberra Hospital (NCH)</w:t>
      </w:r>
      <w:r w:rsidR="00F4262A" w:rsidRPr="00F4262A">
        <w:t> </w:t>
      </w:r>
    </w:p>
    <w:p w14:paraId="597EF6A8" w14:textId="08CE80D6" w:rsidR="00F4262A" w:rsidRPr="00F4262A" w:rsidRDefault="00F4262A" w:rsidP="00436141">
      <w:pPr>
        <w:pStyle w:val="Bullet"/>
      </w:pPr>
      <w:r w:rsidRPr="00F4262A">
        <w:t xml:space="preserve">Patient Identification and </w:t>
      </w:r>
      <w:r w:rsidR="00AC48BB">
        <w:t xml:space="preserve">Health Care Activity </w:t>
      </w:r>
      <w:r w:rsidRPr="00F4262A">
        <w:t>Matching </w:t>
      </w:r>
    </w:p>
    <w:p w14:paraId="76C96B03" w14:textId="753159D2" w:rsidR="00F4262A" w:rsidRPr="00F4262A" w:rsidRDefault="00F4262A" w:rsidP="00436141">
      <w:pPr>
        <w:pStyle w:val="Bullet"/>
      </w:pPr>
      <w:r w:rsidRPr="00F4262A">
        <w:t xml:space="preserve">Wound </w:t>
      </w:r>
      <w:r w:rsidR="00A43682">
        <w:t>Assessment, Prevention and Treatment</w:t>
      </w:r>
      <w:r w:rsidRPr="00F4262A">
        <w:t>  </w:t>
      </w:r>
    </w:p>
    <w:p w14:paraId="353A5E04" w14:textId="6C09FDD9" w:rsidR="00F4262A" w:rsidRPr="00F4262A" w:rsidRDefault="00F4262A" w:rsidP="00436141">
      <w:pPr>
        <w:pStyle w:val="Bullet"/>
      </w:pPr>
      <w:r w:rsidRPr="00F4262A">
        <w:t xml:space="preserve">Pathology Specimen </w:t>
      </w:r>
      <w:r w:rsidR="00A43682">
        <w:t>Management</w:t>
      </w:r>
      <w:r w:rsidR="00A43682" w:rsidRPr="00F4262A">
        <w:t> </w:t>
      </w:r>
    </w:p>
    <w:p w14:paraId="1B3589C9" w14:textId="1AF5F685" w:rsidR="00F4262A" w:rsidRPr="00F4262A" w:rsidRDefault="00F4262A" w:rsidP="00436141">
      <w:pPr>
        <w:pStyle w:val="Bullet"/>
      </w:pPr>
      <w:r w:rsidRPr="00F4262A">
        <w:t xml:space="preserve">Peripheral Intravenous Cannula </w:t>
      </w:r>
      <w:r w:rsidR="00A43682">
        <w:t xml:space="preserve">(PIVC) and Midline Catheters – the Insertion and Management of - </w:t>
      </w:r>
      <w:r w:rsidRPr="00F4262A">
        <w:t>Adults and Children </w:t>
      </w:r>
      <w:r w:rsidR="00A43682">
        <w:t>not Neonates</w:t>
      </w:r>
    </w:p>
    <w:p w14:paraId="6FF39EB0" w14:textId="5EBD31A3" w:rsidR="00F4262A" w:rsidRDefault="00F4262A" w:rsidP="00436141">
      <w:pPr>
        <w:pStyle w:val="Bullet"/>
      </w:pPr>
      <w:r w:rsidRPr="00F4262A">
        <w:t>Vital Signs and Early Warning Scores </w:t>
      </w:r>
      <w:r w:rsidR="00A43682">
        <w:t>– the Canberra Hospital</w:t>
      </w:r>
    </w:p>
    <w:p w14:paraId="10D6677E" w14:textId="09E0F96B" w:rsidR="00A43682" w:rsidRPr="00F4262A" w:rsidRDefault="00A43682" w:rsidP="00A43682">
      <w:pPr>
        <w:pStyle w:val="Bullet"/>
      </w:pPr>
      <w:r w:rsidRPr="00F4262A">
        <w:t>Vital Signs and Early Warning Scores</w:t>
      </w:r>
      <w:r>
        <w:t xml:space="preserve"> – North Canberra Hospital (NCH)</w:t>
      </w:r>
      <w:r w:rsidRPr="00F4262A">
        <w:t> </w:t>
      </w:r>
    </w:p>
    <w:p w14:paraId="701BA864" w14:textId="77777777" w:rsidR="00F4262A" w:rsidRDefault="00F4262A" w:rsidP="00436141">
      <w:pPr>
        <w:pStyle w:val="Bullet"/>
      </w:pPr>
      <w:r w:rsidRPr="00F4262A">
        <w:t>Venepuncture Blood Specimen Collection </w:t>
      </w:r>
    </w:p>
    <w:p w14:paraId="2BE748C6" w14:textId="4B33C9A9" w:rsidR="00AC48BB" w:rsidRDefault="009257F2" w:rsidP="00A43682">
      <w:pPr>
        <w:pStyle w:val="Bullet"/>
      </w:pPr>
      <w:r>
        <w:t>Vaccine Cold Chain Management</w:t>
      </w:r>
    </w:p>
    <w:p w14:paraId="5574A7D1" w14:textId="7739DF17" w:rsidR="00AC48BB" w:rsidRDefault="00AC48BB" w:rsidP="00AC48BB">
      <w:pPr>
        <w:pStyle w:val="Heading5"/>
      </w:pPr>
      <w:r>
        <w:t>Guidelines</w:t>
      </w:r>
    </w:p>
    <w:p w14:paraId="362C1D81" w14:textId="44EA33C7" w:rsidR="00AC48BB" w:rsidRPr="00F4262A" w:rsidRDefault="00AC48BB" w:rsidP="001D02BB">
      <w:pPr>
        <w:pStyle w:val="Bullet"/>
      </w:pPr>
      <w:r>
        <w:t>Consent for Healthcare Treatment</w:t>
      </w:r>
    </w:p>
    <w:p w14:paraId="41D6C1BC" w14:textId="77777777" w:rsidR="00481A6C" w:rsidRDefault="00481A6C" w:rsidP="00A6051F">
      <w:pPr>
        <w:pStyle w:val="Heading5"/>
      </w:pPr>
      <w:r>
        <w:t>Legislation</w:t>
      </w:r>
    </w:p>
    <w:p w14:paraId="66D31E1D" w14:textId="77777777" w:rsidR="00481A6C" w:rsidRPr="000E7683" w:rsidRDefault="00481A6C" w:rsidP="000E7683">
      <w:pPr>
        <w:pStyle w:val="Bullet"/>
      </w:pPr>
      <w:r w:rsidRPr="00FE46F1">
        <w:rPr>
          <w:i/>
          <w:iCs/>
        </w:rPr>
        <w:t>Health Records (Privacy and Access) Act</w:t>
      </w:r>
      <w:r w:rsidRPr="000E7683">
        <w:t xml:space="preserve"> 1997</w:t>
      </w:r>
    </w:p>
    <w:p w14:paraId="4C37300D" w14:textId="77777777" w:rsidR="00481A6C" w:rsidRPr="000E7683" w:rsidRDefault="00481A6C" w:rsidP="000E7683">
      <w:pPr>
        <w:pStyle w:val="Bullet"/>
      </w:pPr>
      <w:r w:rsidRPr="00FE46F1">
        <w:rPr>
          <w:i/>
          <w:iCs/>
        </w:rPr>
        <w:t>Human Rights Act</w:t>
      </w:r>
      <w:r w:rsidRPr="000E7683">
        <w:t xml:space="preserve"> 2004</w:t>
      </w:r>
    </w:p>
    <w:p w14:paraId="7C3B43AD" w14:textId="77777777" w:rsidR="00481A6C" w:rsidRPr="000E7683" w:rsidRDefault="00481A6C" w:rsidP="000E7683">
      <w:pPr>
        <w:pStyle w:val="Bullet"/>
      </w:pPr>
      <w:r w:rsidRPr="00FE46F1">
        <w:rPr>
          <w:i/>
          <w:iCs/>
        </w:rPr>
        <w:t>Work Health and Safety Act</w:t>
      </w:r>
      <w:r w:rsidRPr="000E7683">
        <w:t xml:space="preserve"> 2011</w:t>
      </w:r>
    </w:p>
    <w:p w14:paraId="08A045B4" w14:textId="77777777" w:rsidR="00481A6C" w:rsidRPr="000E7683" w:rsidRDefault="00481A6C" w:rsidP="000E7683">
      <w:pPr>
        <w:pStyle w:val="Bullet"/>
      </w:pPr>
      <w:r w:rsidRPr="00FE46F1">
        <w:rPr>
          <w:i/>
          <w:iCs/>
        </w:rPr>
        <w:t>Carers Recognition Act</w:t>
      </w:r>
      <w:r w:rsidRPr="000E7683">
        <w:t xml:space="preserve"> 2021</w:t>
      </w:r>
    </w:p>
    <w:p w14:paraId="079EB5A1" w14:textId="77777777" w:rsidR="00481A6C" w:rsidRDefault="00481A6C" w:rsidP="00A6051F">
      <w:pPr>
        <w:pStyle w:val="Heading5"/>
      </w:pPr>
      <w:r>
        <w:lastRenderedPageBreak/>
        <w:t>Other</w:t>
      </w:r>
    </w:p>
    <w:p w14:paraId="6EAA8D8B" w14:textId="77777777" w:rsidR="000E7683" w:rsidRDefault="00481A6C" w:rsidP="00A66966">
      <w:pPr>
        <w:pStyle w:val="Bullet"/>
      </w:pPr>
      <w:r w:rsidRPr="00A66966">
        <w:t>Australian</w:t>
      </w:r>
      <w:r w:rsidRPr="000E7683">
        <w:t xml:space="preserve"> Charter of Healthcare Right</w:t>
      </w:r>
      <w:r w:rsidR="00280C5D" w:rsidRPr="000E7683">
        <w:t>s</w:t>
      </w:r>
    </w:p>
    <w:p w14:paraId="20050635" w14:textId="77777777" w:rsidR="000E7683" w:rsidRPr="000E7683" w:rsidRDefault="000E7683" w:rsidP="002D7682">
      <w:pPr>
        <w:pStyle w:val="BodyCopy"/>
      </w:pPr>
      <w:hyperlink w:anchor="_top" w:history="1">
        <w:r w:rsidRPr="004A7A7F">
          <w:rPr>
            <w:rStyle w:val="Hyperlink"/>
          </w:rPr>
          <w:t>Back to Contents</w:t>
        </w:r>
      </w:hyperlink>
    </w:p>
    <w:p w14:paraId="7BCBEAB4" w14:textId="77777777" w:rsidR="0078367D" w:rsidRPr="0078367D" w:rsidRDefault="0078367D" w:rsidP="00A6051F">
      <w:pPr>
        <w:pStyle w:val="Heading4"/>
      </w:pPr>
      <w:bookmarkStart w:id="16" w:name="_Toc188279433"/>
      <w:r w:rsidRPr="0078367D">
        <w:t>References</w:t>
      </w:r>
      <w:bookmarkEnd w:id="16"/>
    </w:p>
    <w:p w14:paraId="6E015F67" w14:textId="77777777" w:rsidR="007078AB" w:rsidRDefault="007078AB" w:rsidP="007078AB">
      <w:pPr>
        <w:pStyle w:val="Numberedlist"/>
        <w:numPr>
          <w:ilvl w:val="0"/>
          <w:numId w:val="0"/>
        </w:numPr>
        <w:ind w:left="425"/>
        <w:rPr>
          <w:lang w:eastAsia="en-US"/>
        </w:rPr>
      </w:pPr>
    </w:p>
    <w:p w14:paraId="76B78DC3" w14:textId="2F349BEF" w:rsidR="00BE429E" w:rsidRDefault="0033398D" w:rsidP="00436141">
      <w:pPr>
        <w:pStyle w:val="Numberedlist"/>
        <w:numPr>
          <w:ilvl w:val="0"/>
          <w:numId w:val="63"/>
        </w:numPr>
        <w:rPr>
          <w:lang w:eastAsia="en-US"/>
        </w:rPr>
      </w:pPr>
      <w:r>
        <w:rPr>
          <w:lang w:eastAsia="en-US"/>
        </w:rPr>
        <w:t xml:space="preserve">Agency for Clinical Innovation, NSW Health. Snake and Spider Bites Clinical Management </w:t>
      </w:r>
      <w:r w:rsidR="00BE429E">
        <w:rPr>
          <w:lang w:eastAsia="en-US"/>
        </w:rPr>
        <w:t xml:space="preserve">21 June 2024 Published online: </w:t>
      </w:r>
      <w:hyperlink r:id="rId16" w:history="1">
        <w:r w:rsidR="00A43682">
          <w:rPr>
            <w:rStyle w:val="Hyperlink"/>
            <w:lang w:eastAsia="en-US"/>
          </w:rPr>
          <w:t>https://www1.health.nsw.gov.au/pds/ActivePDSDocuments/GL2024_007.pdf</w:t>
        </w:r>
      </w:hyperlink>
    </w:p>
    <w:p w14:paraId="10A40C6A" w14:textId="77777777" w:rsidR="00BE429E" w:rsidRDefault="00BE429E" w:rsidP="00BE429E">
      <w:pPr>
        <w:pStyle w:val="Numberedlist"/>
        <w:numPr>
          <w:ilvl w:val="0"/>
          <w:numId w:val="0"/>
        </w:numPr>
        <w:ind w:left="425"/>
        <w:rPr>
          <w:lang w:eastAsia="en-US"/>
        </w:rPr>
      </w:pPr>
    </w:p>
    <w:p w14:paraId="444B6CAC" w14:textId="78AF4358" w:rsidR="00280C5D" w:rsidRDefault="00280C5D" w:rsidP="00BE429E">
      <w:pPr>
        <w:pStyle w:val="Numberedlist"/>
        <w:numPr>
          <w:ilvl w:val="0"/>
          <w:numId w:val="0"/>
        </w:numPr>
        <w:rPr>
          <w:lang w:eastAsia="en-US"/>
        </w:rPr>
      </w:pPr>
      <w:hyperlink w:anchor="_top" w:history="1">
        <w:r w:rsidRPr="004A7A7F">
          <w:rPr>
            <w:rStyle w:val="Hyperlink"/>
          </w:rPr>
          <w:t>Back to Contents</w:t>
        </w:r>
      </w:hyperlink>
    </w:p>
    <w:p w14:paraId="461D92DB" w14:textId="61E00501" w:rsidR="00BE429E" w:rsidRDefault="0078367D" w:rsidP="00436141">
      <w:pPr>
        <w:pStyle w:val="Heading4"/>
      </w:pPr>
      <w:bookmarkStart w:id="17" w:name="_Toc188279434"/>
      <w:r>
        <w:t>Definition of terms</w:t>
      </w:r>
      <w:bookmarkEnd w:id="17"/>
      <w:r>
        <w:t xml:space="preserve"> </w:t>
      </w:r>
    </w:p>
    <w:p w14:paraId="6EF061B4" w14:textId="32A654C7" w:rsidR="00BE429E" w:rsidRDefault="4E90D053" w:rsidP="002D7682">
      <w:pPr>
        <w:pStyle w:val="BodyCopy"/>
      </w:pPr>
      <w:r w:rsidRPr="001D5D8B">
        <w:rPr>
          <w:b/>
        </w:rPr>
        <w:t>Anaphylaxis:</w:t>
      </w:r>
      <w:r>
        <w:t xml:space="preserve"> The most severe type of allergic reaction. It should always be treated as a medical emergency. Anaphylaxis is:</w:t>
      </w:r>
    </w:p>
    <w:p w14:paraId="151A16E1" w14:textId="2118409C" w:rsidR="00BE429E" w:rsidRDefault="00BE429E" w:rsidP="00A43682">
      <w:pPr>
        <w:pStyle w:val="Bullet"/>
      </w:pPr>
      <w:r w:rsidRPr="00BE429E">
        <w:t xml:space="preserve">any acute onset illness with typical skin features (urticarial rash or erythema/flushing, and/or angioedema) </w:t>
      </w:r>
      <w:r w:rsidR="00A43682" w:rsidRPr="00A43682">
        <w:rPr>
          <w:b/>
          <w:bCs/>
        </w:rPr>
        <w:t>plus</w:t>
      </w:r>
      <w:r w:rsidRPr="00BE429E">
        <w:t xml:space="preserve"> involvement of respiratory and/or cardiovascular and/or persistent severe gastrointestinal symptoms </w:t>
      </w:r>
      <w:r w:rsidR="00A43682" w:rsidRPr="00A43682">
        <w:rPr>
          <w:b/>
          <w:bCs/>
        </w:rPr>
        <w:t>or</w:t>
      </w:r>
    </w:p>
    <w:p w14:paraId="49AA791F" w14:textId="0A8F3FE1" w:rsidR="00BE429E" w:rsidRDefault="00BE429E" w:rsidP="00436141">
      <w:pPr>
        <w:pStyle w:val="Bullet"/>
      </w:pPr>
      <w:r w:rsidRPr="00BE429E">
        <w:t xml:space="preserve">any acute onset of hypotension or bronchospasm or upper airway obstruction where anaphylaxis is considered possible, even if typical skin features are not present. </w:t>
      </w:r>
    </w:p>
    <w:p w14:paraId="725F1F1A" w14:textId="320F2D10" w:rsidR="00BE429E" w:rsidRDefault="4E90D053" w:rsidP="002D7682">
      <w:pPr>
        <w:pStyle w:val="BodyCopy"/>
      </w:pPr>
      <w:r w:rsidRPr="001D5D8B">
        <w:rPr>
          <w:b/>
        </w:rPr>
        <w:t>Antivenom:</w:t>
      </w:r>
      <w:r>
        <w:t xml:space="preserve"> This is the cornerstone of treatment for any person experiencing systemic envenomation following a snake or spider bite. It acts by binding to and neutralising venom. It does not reverse already established clinical manifestations of venom. </w:t>
      </w:r>
    </w:p>
    <w:p w14:paraId="1AAB108A" w14:textId="7BB8C2F8" w:rsidR="00BE429E" w:rsidRDefault="4E90D053" w:rsidP="002D7682">
      <w:pPr>
        <w:pStyle w:val="BodyCopy"/>
      </w:pPr>
      <w:r w:rsidRPr="001D5D8B">
        <w:rPr>
          <w:b/>
        </w:rPr>
        <w:t>Envenomation</w:t>
      </w:r>
      <w:r w:rsidR="6A95259E" w:rsidRPr="001D5D8B">
        <w:rPr>
          <w:b/>
        </w:rPr>
        <w:t>:</w:t>
      </w:r>
      <w:r>
        <w:t xml:space="preserve"> When a snake or spider bite injects sufficient venom to cause clinical effects. Envenomation can cause local effects (like pain or swelling), systemic effects (like nausea, headache or diarrhoea), collapse or other toxin syndromes. </w:t>
      </w:r>
    </w:p>
    <w:p w14:paraId="16A195A6" w14:textId="7A1C97B4" w:rsidR="00BE429E" w:rsidRDefault="4E90D053" w:rsidP="002D7682">
      <w:pPr>
        <w:pStyle w:val="BodyCopy"/>
      </w:pPr>
      <w:r w:rsidRPr="001D5D8B">
        <w:rPr>
          <w:b/>
        </w:rPr>
        <w:t>Monovalent antivenom</w:t>
      </w:r>
      <w:r w:rsidR="6A95259E" w:rsidRPr="001D5D8B">
        <w:rPr>
          <w:b/>
        </w:rPr>
        <w:t>:</w:t>
      </w:r>
      <w:r>
        <w:t xml:space="preserve"> Antivenom that contains antibodies intended for one specific snake or spider group. </w:t>
      </w:r>
    </w:p>
    <w:p w14:paraId="28C470BF" w14:textId="6F0F14E9" w:rsidR="00BE429E" w:rsidRDefault="4E90D053" w:rsidP="002D7682">
      <w:pPr>
        <w:pStyle w:val="BodyCopy"/>
      </w:pPr>
      <w:r w:rsidRPr="001D5D8B">
        <w:rPr>
          <w:b/>
        </w:rPr>
        <w:t>Polyvalent antivenom</w:t>
      </w:r>
      <w:r w:rsidR="6A95259E" w:rsidRPr="001D5D8B">
        <w:rPr>
          <w:b/>
        </w:rPr>
        <w:t>:</w:t>
      </w:r>
      <w:r>
        <w:t xml:space="preserve"> Antivenom that contains antibodies to five snake groups − black snake, taipan, death adder, tiger snake and brown snake. This covers most of the clinically important snake groups in Australia and Papua New Guinea. Polyvalent antivenom is a much larger volume (50 mL).</w:t>
      </w:r>
    </w:p>
    <w:p w14:paraId="4BEB33F6" w14:textId="1DB47450" w:rsidR="00280C5D" w:rsidRDefault="00280C5D" w:rsidP="002D7682">
      <w:pPr>
        <w:pStyle w:val="BodyCopy"/>
      </w:pPr>
      <w:hyperlink w:anchor="_top" w:history="1">
        <w:r w:rsidRPr="00481A6C">
          <w:rPr>
            <w:rStyle w:val="Hyperlink"/>
            <w:iCs w:val="0"/>
          </w:rPr>
          <w:t>Back to Contents</w:t>
        </w:r>
      </w:hyperlink>
    </w:p>
    <w:p w14:paraId="19354819" w14:textId="77777777" w:rsidR="0078367D" w:rsidRDefault="0078367D" w:rsidP="00A6051F">
      <w:pPr>
        <w:pStyle w:val="Heading4"/>
      </w:pPr>
      <w:bookmarkStart w:id="18" w:name="_Toc188279435"/>
      <w:r>
        <w:t>Search terms</w:t>
      </w:r>
      <w:bookmarkEnd w:id="18"/>
    </w:p>
    <w:p w14:paraId="74A37682" w14:textId="3DA478E5" w:rsidR="0033398D" w:rsidRDefault="00324C51" w:rsidP="0078367D">
      <w:pPr>
        <w:pStyle w:val="BodyCopy"/>
        <w:rPr>
          <w:lang w:eastAsia="en-US"/>
        </w:rPr>
      </w:pPr>
      <w:r>
        <w:rPr>
          <w:lang w:eastAsia="en-US"/>
        </w:rPr>
        <w:t>s</w:t>
      </w:r>
      <w:r w:rsidR="0033398D">
        <w:rPr>
          <w:lang w:eastAsia="en-US"/>
        </w:rPr>
        <w:t xml:space="preserve">nake </w:t>
      </w:r>
      <w:r>
        <w:rPr>
          <w:lang w:eastAsia="en-US"/>
        </w:rPr>
        <w:t>b</w:t>
      </w:r>
      <w:r w:rsidR="0033398D">
        <w:rPr>
          <w:lang w:eastAsia="en-US"/>
        </w:rPr>
        <w:t>ite</w:t>
      </w:r>
      <w:r w:rsidR="00436141">
        <w:rPr>
          <w:lang w:eastAsia="en-US"/>
        </w:rPr>
        <w:t xml:space="preserve">, </w:t>
      </w:r>
      <w:r>
        <w:rPr>
          <w:lang w:eastAsia="en-US"/>
        </w:rPr>
        <w:t>a</w:t>
      </w:r>
      <w:r w:rsidR="0033398D">
        <w:rPr>
          <w:lang w:eastAsia="en-US"/>
        </w:rPr>
        <w:t>ntivenom</w:t>
      </w:r>
      <w:r w:rsidR="00436141">
        <w:rPr>
          <w:lang w:eastAsia="en-US"/>
        </w:rPr>
        <w:t>, venom</w:t>
      </w:r>
      <w:r>
        <w:rPr>
          <w:lang w:eastAsia="en-US"/>
        </w:rPr>
        <w:t xml:space="preserve">, </w:t>
      </w:r>
      <w:r w:rsidR="00B6685E">
        <w:rPr>
          <w:lang w:eastAsia="en-US"/>
        </w:rPr>
        <w:t xml:space="preserve">pressure bandage with immobilisation, PBI, </w:t>
      </w:r>
      <w:r>
        <w:rPr>
          <w:lang w:eastAsia="en-US"/>
        </w:rPr>
        <w:t>north</w:t>
      </w:r>
    </w:p>
    <w:p w14:paraId="3E691F0E" w14:textId="77777777" w:rsidR="00280C5D" w:rsidRDefault="00280C5D" w:rsidP="002D7682">
      <w:pPr>
        <w:pStyle w:val="Bullet"/>
        <w:numPr>
          <w:ilvl w:val="0"/>
          <w:numId w:val="0"/>
        </w:numPr>
        <w:spacing w:after="240"/>
        <w:rPr>
          <w:lang w:eastAsia="en-US"/>
        </w:rPr>
      </w:pPr>
      <w:hyperlink w:anchor="_top" w:history="1">
        <w:r w:rsidRPr="00481A6C">
          <w:rPr>
            <w:rStyle w:val="Hyperlink"/>
          </w:rPr>
          <w:t>Back to Contents</w:t>
        </w:r>
      </w:hyperlink>
    </w:p>
    <w:p w14:paraId="61D93566" w14:textId="45B5DE8A" w:rsidR="0078367D" w:rsidRDefault="0078367D" w:rsidP="00A6051F">
      <w:pPr>
        <w:pStyle w:val="Heading4"/>
      </w:pPr>
      <w:bookmarkStart w:id="19" w:name="_Toc188279436"/>
      <w:bookmarkStart w:id="20" w:name="_Hlk188278242"/>
      <w:r>
        <w:t>Attachments</w:t>
      </w:r>
      <w:bookmarkEnd w:id="19"/>
      <w:r w:rsidR="009746B1">
        <w:t xml:space="preserve"> </w:t>
      </w:r>
    </w:p>
    <w:bookmarkEnd w:id="20"/>
    <w:p w14:paraId="3BED0F59" w14:textId="173DDFBC" w:rsidR="00A43682" w:rsidRPr="001D02BB" w:rsidRDefault="00A43682" w:rsidP="001D02BB">
      <w:pPr>
        <w:pStyle w:val="BodyCopy"/>
        <w:rPr>
          <w:rStyle w:val="Bold"/>
        </w:rPr>
      </w:pPr>
      <w:r w:rsidRPr="001D02BB">
        <w:rPr>
          <w:rStyle w:val="Bold"/>
        </w:rPr>
        <w:t>Attachment 1</w:t>
      </w:r>
      <w:r w:rsidR="001420C2">
        <w:rPr>
          <w:rStyle w:val="Bold"/>
        </w:rPr>
        <w:t xml:space="preserve">: </w:t>
      </w:r>
      <w:r w:rsidRPr="001D02BB">
        <w:rPr>
          <w:rStyle w:val="Bold"/>
        </w:rPr>
        <w:t xml:space="preserve">Clinical Pathway Flowchart </w:t>
      </w:r>
    </w:p>
    <w:p w14:paraId="7FE79DE1" w14:textId="6422CDB3" w:rsidR="00A43682" w:rsidRDefault="00A43682" w:rsidP="00A43682">
      <w:pPr>
        <w:pStyle w:val="BodyCopy"/>
        <w:rPr>
          <w:rStyle w:val="Bold"/>
        </w:rPr>
      </w:pPr>
      <w:r w:rsidRPr="001D02BB">
        <w:rPr>
          <w:rStyle w:val="Bold"/>
        </w:rPr>
        <w:t xml:space="preserve">Attachment 2: </w:t>
      </w:r>
      <w:r>
        <w:rPr>
          <w:rStyle w:val="Bold"/>
        </w:rPr>
        <w:t>Pressure Bandage with Immobilisation</w:t>
      </w:r>
    </w:p>
    <w:p w14:paraId="73677E3C" w14:textId="6BB0FA11" w:rsidR="00A43682" w:rsidRDefault="00A43682" w:rsidP="001D02BB">
      <w:pPr>
        <w:pStyle w:val="BodyCopy"/>
        <w:rPr>
          <w:rStyle w:val="Bold"/>
        </w:rPr>
      </w:pPr>
      <w:r>
        <w:rPr>
          <w:rStyle w:val="Bold"/>
        </w:rPr>
        <w:t>Attachment 3: Other Useful Resources</w:t>
      </w:r>
    </w:p>
    <w:p w14:paraId="144FD917" w14:textId="77777777" w:rsidR="0013680F" w:rsidRDefault="0013680F" w:rsidP="0013680F">
      <w:pPr>
        <w:spacing w:before="0" w:after="0" w:line="240" w:lineRule="auto"/>
        <w:rPr>
          <w:rFonts w:eastAsia="Times New Roman"/>
          <w:b/>
          <w:bCs/>
          <w:iCs/>
          <w:color w:val="FFFFFF" w:themeColor="background1"/>
          <w:lang w:eastAsia="en-US"/>
        </w:rPr>
      </w:pPr>
      <w:r>
        <w:br w:type="page"/>
      </w:r>
    </w:p>
    <w:p w14:paraId="11C8616F" w14:textId="4C26C386" w:rsidR="0013680F" w:rsidRDefault="0013680F" w:rsidP="0013680F">
      <w:pPr>
        <w:pStyle w:val="Heading4"/>
      </w:pPr>
      <w:bookmarkStart w:id="21" w:name="_Toc188279437"/>
      <w:r>
        <w:lastRenderedPageBreak/>
        <w:t>Attachment 1 – Clinical Pathway Flowchart</w:t>
      </w:r>
      <w:bookmarkEnd w:id="21"/>
      <w:r>
        <w:t xml:space="preserve"> </w:t>
      </w:r>
    </w:p>
    <w:p w14:paraId="2531DE86" w14:textId="36502F54" w:rsidR="0013680F" w:rsidRPr="0013680F" w:rsidRDefault="0013680F" w:rsidP="0013680F">
      <w:pPr>
        <w:rPr>
          <w:lang w:eastAsia="en-US"/>
        </w:rPr>
      </w:pPr>
      <w:r>
        <w:rPr>
          <w:noProof/>
          <w:lang w:eastAsia="en-US"/>
        </w:rPr>
        <w:lastRenderedPageBreak/>
        <w:drawing>
          <wp:inline distT="0" distB="0" distL="0" distR="0" wp14:anchorId="52BAF842" wp14:editId="4B69D654">
            <wp:extent cx="6328410" cy="8699500"/>
            <wp:effectExtent l="0" t="0" r="0" b="6350"/>
            <wp:docPr id="1025497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28410" cy="8699500"/>
                    </a:xfrm>
                    <a:prstGeom prst="rect">
                      <a:avLst/>
                    </a:prstGeom>
                    <a:noFill/>
                  </pic:spPr>
                </pic:pic>
              </a:graphicData>
            </a:graphic>
          </wp:inline>
        </w:drawing>
      </w:r>
    </w:p>
    <w:p w14:paraId="1FBB34C6" w14:textId="5DEE624A" w:rsidR="007D15D4" w:rsidRPr="0013680F" w:rsidRDefault="0013680F" w:rsidP="0013680F">
      <w:r w:rsidRPr="00B96494">
        <w:rPr>
          <w:noProof/>
          <w:lang w:eastAsia="en-US"/>
        </w:rPr>
        <w:lastRenderedPageBreak/>
        <w:drawing>
          <wp:inline distT="0" distB="0" distL="0" distR="0" wp14:anchorId="47C860C2" wp14:editId="1D3DA77F">
            <wp:extent cx="6299835" cy="5791835"/>
            <wp:effectExtent l="0" t="0" r="5715" b="0"/>
            <wp:docPr id="665629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5075" name=""/>
                    <pic:cNvPicPr/>
                  </pic:nvPicPr>
                  <pic:blipFill>
                    <a:blip r:embed="rId18"/>
                    <a:stretch>
                      <a:fillRect/>
                    </a:stretch>
                  </pic:blipFill>
                  <pic:spPr>
                    <a:xfrm>
                      <a:off x="0" y="0"/>
                      <a:ext cx="6299835" cy="5791835"/>
                    </a:xfrm>
                    <a:prstGeom prst="rect">
                      <a:avLst/>
                    </a:prstGeom>
                  </pic:spPr>
                </pic:pic>
              </a:graphicData>
            </a:graphic>
          </wp:inline>
        </w:drawing>
      </w:r>
      <w:r w:rsidR="007D15D4">
        <w:rPr>
          <w:lang w:eastAsia="en-US"/>
        </w:rPr>
        <w:t>Source: NSW</w:t>
      </w:r>
      <w:r w:rsidR="007D15D4" w:rsidRPr="00673A7F">
        <w:t xml:space="preserve"> Health Snake and Spider</w:t>
      </w:r>
      <w:r w:rsidR="007D15D4">
        <w:t xml:space="preserve"> B</w:t>
      </w:r>
      <w:r w:rsidR="007D15D4" w:rsidRPr="00673A7F">
        <w:t>ite</w:t>
      </w:r>
      <w:r w:rsidR="007D15D4">
        <w:t>s</w:t>
      </w:r>
      <w:r w:rsidR="007D15D4" w:rsidRPr="00673A7F">
        <w:t xml:space="preserve"> Clinical Management Guideline</w:t>
      </w:r>
      <w:r>
        <w:t>.</w:t>
      </w:r>
    </w:p>
    <w:p w14:paraId="15CAAFA4" w14:textId="77777777" w:rsidR="00764FEC" w:rsidRDefault="00764FEC">
      <w:pPr>
        <w:spacing w:before="0" w:after="0" w:line="240" w:lineRule="auto"/>
        <w:rPr>
          <w:rFonts w:eastAsia="Times New Roman"/>
          <w:b/>
          <w:bCs/>
          <w:iCs/>
          <w:color w:val="FFFFFF" w:themeColor="background1"/>
          <w:lang w:eastAsia="en-US"/>
        </w:rPr>
      </w:pPr>
      <w:r>
        <w:br w:type="page"/>
      </w:r>
    </w:p>
    <w:p w14:paraId="3C9BE3B3" w14:textId="58A738FC" w:rsidR="00A43682" w:rsidRDefault="00A43682" w:rsidP="00A43682">
      <w:pPr>
        <w:pStyle w:val="Heading4"/>
        <w:tabs>
          <w:tab w:val="left" w:pos="7185"/>
        </w:tabs>
      </w:pPr>
      <w:bookmarkStart w:id="22" w:name="_Toc188279438"/>
      <w:r>
        <w:lastRenderedPageBreak/>
        <w:t xml:space="preserve">Attachment </w:t>
      </w:r>
      <w:r w:rsidR="00EF132D">
        <w:t>2 – Pressure Bandage with Immobilisation</w:t>
      </w:r>
      <w:bookmarkEnd w:id="22"/>
      <w:r>
        <w:t xml:space="preserve"> </w:t>
      </w:r>
      <w:r>
        <w:tab/>
      </w:r>
    </w:p>
    <w:p w14:paraId="0123A255" w14:textId="396DF872" w:rsidR="0033398D" w:rsidRPr="0033398D" w:rsidRDefault="0033398D" w:rsidP="0033398D">
      <w:pPr>
        <w:pStyle w:val="BodyCopy"/>
      </w:pPr>
      <w:r w:rsidRPr="0033398D">
        <w:rPr>
          <w:noProof/>
        </w:rPr>
        <w:drawing>
          <wp:inline distT="0" distB="0" distL="0" distR="0" wp14:anchorId="4AE1011C" wp14:editId="4D116582">
            <wp:extent cx="6299835" cy="8226425"/>
            <wp:effectExtent l="0" t="0" r="5715" b="3175"/>
            <wp:docPr id="1107291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91648" name=""/>
                    <pic:cNvPicPr/>
                  </pic:nvPicPr>
                  <pic:blipFill>
                    <a:blip r:embed="rId19"/>
                    <a:stretch>
                      <a:fillRect/>
                    </a:stretch>
                  </pic:blipFill>
                  <pic:spPr>
                    <a:xfrm>
                      <a:off x="0" y="0"/>
                      <a:ext cx="6299835" cy="8226425"/>
                    </a:xfrm>
                    <a:prstGeom prst="rect">
                      <a:avLst/>
                    </a:prstGeom>
                  </pic:spPr>
                </pic:pic>
              </a:graphicData>
            </a:graphic>
          </wp:inline>
        </w:drawing>
      </w:r>
    </w:p>
    <w:p w14:paraId="2859C290" w14:textId="77777777" w:rsidR="00B96494" w:rsidRDefault="00B96494" w:rsidP="00B96494">
      <w:pPr>
        <w:pStyle w:val="BodyCopy"/>
      </w:pPr>
    </w:p>
    <w:p w14:paraId="794FC6D6" w14:textId="56890621" w:rsidR="00A43682" w:rsidRDefault="00A43682" w:rsidP="00A43682">
      <w:pPr>
        <w:pStyle w:val="Heading4"/>
        <w:tabs>
          <w:tab w:val="left" w:pos="7185"/>
        </w:tabs>
      </w:pPr>
      <w:bookmarkStart w:id="23" w:name="_Toc188279439"/>
      <w:r>
        <w:t>Attachment 3 – Other Useful Resources</w:t>
      </w:r>
      <w:bookmarkEnd w:id="23"/>
      <w:r>
        <w:t xml:space="preserve"> </w:t>
      </w:r>
      <w:r>
        <w:tab/>
      </w:r>
    </w:p>
    <w:p w14:paraId="51FC1D80" w14:textId="77777777" w:rsidR="00A43682" w:rsidRDefault="00A43682" w:rsidP="007078AB">
      <w:pPr>
        <w:pStyle w:val="BodyCopy"/>
      </w:pPr>
    </w:p>
    <w:p w14:paraId="2AFA5948" w14:textId="0F9D70C4" w:rsidR="007078AB" w:rsidRPr="007078AB" w:rsidRDefault="006B322E" w:rsidP="007078AB">
      <w:pPr>
        <w:pStyle w:val="BodyCopy"/>
      </w:pPr>
      <w:r w:rsidRPr="00EF132D">
        <w:t>NSW Poisons Information Centre website</w:t>
      </w:r>
      <w:r>
        <w:t xml:space="preserve">: </w:t>
      </w:r>
      <w:r>
        <w:rPr>
          <w:rStyle w:val="Hyperlink"/>
        </w:rPr>
        <w:t xml:space="preserve"> </w:t>
      </w:r>
      <w:hyperlink r:id="rId20" w:history="1">
        <w:r>
          <w:rPr>
            <w:rStyle w:val="Hyperlink"/>
          </w:rPr>
          <w:t>https://www.poisonsinfo.nsw.gov.au/</w:t>
        </w:r>
      </w:hyperlink>
    </w:p>
    <w:p w14:paraId="613FE91C" w14:textId="505C4F24" w:rsidR="007078AB" w:rsidRPr="007078AB" w:rsidRDefault="00915D13" w:rsidP="007078AB">
      <w:pPr>
        <w:pStyle w:val="BodyCopy"/>
      </w:pPr>
      <w:r w:rsidRPr="00EF132D">
        <w:t>Life</w:t>
      </w:r>
      <w:r>
        <w:t xml:space="preserve"> S</w:t>
      </w:r>
      <w:r w:rsidRPr="00EF132D">
        <w:t>aving</w:t>
      </w:r>
      <w:r w:rsidR="006B322E" w:rsidRPr="00EF132D">
        <w:t xml:space="preserve"> </w:t>
      </w:r>
      <w:r>
        <w:t>D</w:t>
      </w:r>
      <w:r w:rsidR="006B322E" w:rsidRPr="00EF132D">
        <w:t xml:space="preserve">rugs </w:t>
      </w:r>
      <w:r>
        <w:t>R</w:t>
      </w:r>
      <w:r w:rsidR="006B322E" w:rsidRPr="00EF132D">
        <w:t>egister (Clinical Excellence Commission)</w:t>
      </w:r>
      <w:r w:rsidR="006B322E">
        <w:rPr>
          <w:rStyle w:val="Hyperlink"/>
        </w:rPr>
        <w:t xml:space="preserve">: </w:t>
      </w:r>
      <w:hyperlink r:id="rId21" w:history="1">
        <w:r w:rsidR="006B322E">
          <w:rPr>
            <w:rStyle w:val="Hyperlink"/>
          </w:rPr>
          <w:t>https://lsdr.cec.health.nsw.gov.au/</w:t>
        </w:r>
      </w:hyperlink>
    </w:p>
    <w:p w14:paraId="6BDEBBB9" w14:textId="3EBBD8EB" w:rsidR="007078AB" w:rsidRPr="007078AB" w:rsidRDefault="006B322E" w:rsidP="007078AB">
      <w:pPr>
        <w:pStyle w:val="BodyCopy"/>
      </w:pPr>
      <w:r w:rsidRPr="00EF132D">
        <w:t xml:space="preserve">Toxicology and </w:t>
      </w:r>
      <w:r w:rsidR="00915D13">
        <w:t>T</w:t>
      </w:r>
      <w:r w:rsidRPr="00EF132D">
        <w:t>oxinology </w:t>
      </w:r>
      <w:r w:rsidR="00915D13">
        <w:t>T</w:t>
      </w:r>
      <w:r w:rsidRPr="00EF132D">
        <w:t xml:space="preserve">herapeutic </w:t>
      </w:r>
      <w:r w:rsidR="00915D13">
        <w:t>G</w:t>
      </w:r>
      <w:r w:rsidRPr="00EF132D">
        <w:t>uidelines</w:t>
      </w:r>
      <w:r w:rsidR="00915D13">
        <w:t xml:space="preserve">: </w:t>
      </w:r>
      <w:r>
        <w:rPr>
          <w:rStyle w:val="Hyperlink"/>
        </w:rPr>
        <w:t xml:space="preserve"> </w:t>
      </w:r>
      <w:hyperlink r:id="rId22" w:history="1">
        <w:r>
          <w:rPr>
            <w:rStyle w:val="Hyperlink"/>
          </w:rPr>
          <w:t>https://app.tg.org.au/</w:t>
        </w:r>
      </w:hyperlink>
    </w:p>
    <w:p w14:paraId="5AD49F44" w14:textId="699E0DFB" w:rsidR="007078AB" w:rsidRDefault="006B322E" w:rsidP="007078AB">
      <w:pPr>
        <w:pStyle w:val="BodyCopy"/>
        <w:rPr>
          <w:rStyle w:val="Hyperlink"/>
        </w:rPr>
      </w:pPr>
      <w:r w:rsidRPr="00EF132D">
        <w:t>Acute management of anaphylaxis (ASCIA)</w:t>
      </w:r>
      <w:r w:rsidR="00426438">
        <w:t xml:space="preserve">: </w:t>
      </w:r>
      <w:r>
        <w:rPr>
          <w:rStyle w:val="Hyperlink"/>
        </w:rPr>
        <w:t xml:space="preserve"> </w:t>
      </w:r>
      <w:hyperlink r:id="rId23" w:history="1">
        <w:r>
          <w:rPr>
            <w:rStyle w:val="Hyperlink"/>
          </w:rPr>
          <w:t>https://www.allergy.org.au/hp/papers/acute-management-of-anaphylaxis-guidelines</w:t>
        </w:r>
      </w:hyperlink>
    </w:p>
    <w:p w14:paraId="577FBC7B" w14:textId="4CBA7EBE" w:rsidR="00433962" w:rsidRPr="007078AB" w:rsidRDefault="00433962" w:rsidP="007078AB">
      <w:pPr>
        <w:pStyle w:val="BodyCopy"/>
      </w:pPr>
      <w:r w:rsidRPr="00433962">
        <w:rPr>
          <w:rStyle w:val="Hyperlink"/>
          <w:u w:val="none"/>
        </w:rPr>
        <w:t>Australian Immunisation Handbook:</w:t>
      </w:r>
      <w:r w:rsidRPr="00433962">
        <w:t xml:space="preserve"> </w:t>
      </w:r>
      <w:r w:rsidRPr="00433962">
        <w:rPr>
          <w:rStyle w:val="Hyperlink"/>
        </w:rPr>
        <w:t>https://</w:t>
      </w:r>
      <w:hyperlink r:id="rId24" w:history="1">
        <w:r w:rsidRPr="00433962">
          <w:rPr>
            <w:rStyle w:val="Hyperlink"/>
          </w:rPr>
          <w:t>immunisationhandbook</w:t>
        </w:r>
      </w:hyperlink>
      <w:r w:rsidRPr="00433962">
        <w:rPr>
          <w:rStyle w:val="Hyperlink"/>
        </w:rPr>
        <w:t>.health.gov.au/</w:t>
      </w:r>
      <w:r>
        <w:rPr>
          <w:rStyle w:val="Hyperlink"/>
        </w:rPr>
        <w:t xml:space="preserve"> </w:t>
      </w:r>
    </w:p>
    <w:p w14:paraId="57F078C8" w14:textId="77777777" w:rsidR="007078AB" w:rsidRPr="007078AB" w:rsidRDefault="007078AB" w:rsidP="007078AB">
      <w:pPr>
        <w:pStyle w:val="BodyCopy"/>
      </w:pPr>
    </w:p>
    <w:p w14:paraId="50571912" w14:textId="77777777" w:rsidR="007B1A7B" w:rsidRDefault="002D7682" w:rsidP="002D7682">
      <w:pPr>
        <w:pStyle w:val="Bullet"/>
        <w:numPr>
          <w:ilvl w:val="0"/>
          <w:numId w:val="0"/>
        </w:numPr>
        <w:spacing w:after="240"/>
        <w:rPr>
          <w:rStyle w:val="Hyperlink"/>
        </w:rPr>
      </w:pPr>
      <w:hyperlink w:anchor="_top" w:history="1">
        <w:r w:rsidRPr="00481A6C">
          <w:rPr>
            <w:rStyle w:val="Hyperlink"/>
          </w:rPr>
          <w:t>Back to Contents</w:t>
        </w:r>
      </w:hyperlink>
    </w:p>
    <w:p w14:paraId="38699B4F" w14:textId="77777777" w:rsidR="007B1A7B" w:rsidRDefault="007B1A7B">
      <w:pPr>
        <w:spacing w:before="0" w:after="0" w:line="240" w:lineRule="auto"/>
        <w:rPr>
          <w:rStyle w:val="Hyperlink"/>
          <w:rFonts w:eastAsia="Times New Roman"/>
        </w:rPr>
      </w:pPr>
      <w:r>
        <w:rPr>
          <w:rStyle w:val="Hyperlink"/>
        </w:rPr>
        <w:br w:type="page"/>
      </w:r>
    </w:p>
    <w:p w14:paraId="46780263" w14:textId="77777777" w:rsidR="009A5010" w:rsidRPr="001F3ED6" w:rsidRDefault="00280C5D" w:rsidP="001F3ED6">
      <w:pPr>
        <w:pStyle w:val="BodyCopy"/>
        <w:rPr>
          <w:rStyle w:val="Bold"/>
        </w:rPr>
      </w:pPr>
      <w:r w:rsidRPr="001F3ED6">
        <w:rPr>
          <w:rStyle w:val="Bold"/>
        </w:rPr>
        <w:lastRenderedPageBreak/>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331C8DF3"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05005DE5" w14:textId="77777777" w:rsidR="00280C5D" w:rsidRDefault="00280C5D" w:rsidP="003B0E72">
            <w:pPr>
              <w:pStyle w:val="Tableheader"/>
            </w:pPr>
            <w:r>
              <w:t>Date amended</w:t>
            </w:r>
          </w:p>
        </w:tc>
        <w:tc>
          <w:tcPr>
            <w:tcW w:w="2477" w:type="dxa"/>
          </w:tcPr>
          <w:p w14:paraId="7A1ECA11" w14:textId="77777777" w:rsidR="00280C5D" w:rsidRDefault="00280C5D" w:rsidP="003B0E72">
            <w:pPr>
              <w:pStyle w:val="Tableheader"/>
            </w:pPr>
            <w:r>
              <w:t>Section amended</w:t>
            </w:r>
          </w:p>
        </w:tc>
        <w:tc>
          <w:tcPr>
            <w:tcW w:w="2555" w:type="dxa"/>
          </w:tcPr>
          <w:p w14:paraId="0A3AF101" w14:textId="77777777" w:rsidR="00280C5D" w:rsidRDefault="00280C5D" w:rsidP="003B0E72">
            <w:pPr>
              <w:pStyle w:val="Tableheader"/>
            </w:pPr>
            <w:r>
              <w:t>Divisional approval</w:t>
            </w:r>
          </w:p>
        </w:tc>
        <w:tc>
          <w:tcPr>
            <w:tcW w:w="2403" w:type="dxa"/>
          </w:tcPr>
          <w:p w14:paraId="123C6C89" w14:textId="77777777" w:rsidR="00280C5D" w:rsidRDefault="00280C5D" w:rsidP="003B0E72">
            <w:pPr>
              <w:pStyle w:val="Tableheader"/>
            </w:pPr>
            <w:r>
              <w:t>Final approval</w:t>
            </w:r>
          </w:p>
        </w:tc>
      </w:tr>
      <w:tr w:rsidR="00280C5D" w14:paraId="5323CEFB" w14:textId="77777777" w:rsidTr="003B0E72">
        <w:tc>
          <w:tcPr>
            <w:tcW w:w="2476" w:type="dxa"/>
          </w:tcPr>
          <w:p w14:paraId="697E765F" w14:textId="7D4E30B6" w:rsidR="00280C5D" w:rsidRDefault="008A5A22" w:rsidP="003B0E72">
            <w:pPr>
              <w:pStyle w:val="Tablebody"/>
              <w:rPr>
                <w:lang w:eastAsia="en-US"/>
              </w:rPr>
            </w:pPr>
            <w:r>
              <w:rPr>
                <w:lang w:eastAsia="en-US"/>
              </w:rPr>
              <w:t>04/04/2025</w:t>
            </w:r>
          </w:p>
        </w:tc>
        <w:tc>
          <w:tcPr>
            <w:tcW w:w="2477" w:type="dxa"/>
          </w:tcPr>
          <w:p w14:paraId="33900536" w14:textId="23024576" w:rsidR="00280C5D" w:rsidRDefault="008A5A22" w:rsidP="003B0E72">
            <w:pPr>
              <w:pStyle w:val="Tablebody"/>
              <w:rPr>
                <w:lang w:eastAsia="en-US"/>
              </w:rPr>
            </w:pPr>
            <w:r>
              <w:rPr>
                <w:lang w:eastAsia="en-US"/>
              </w:rPr>
              <w:t>Complete review</w:t>
            </w:r>
          </w:p>
        </w:tc>
        <w:tc>
          <w:tcPr>
            <w:tcW w:w="2555" w:type="dxa"/>
          </w:tcPr>
          <w:p w14:paraId="3724B545" w14:textId="1051729C" w:rsidR="00280C5D" w:rsidRDefault="008A5A22" w:rsidP="003B0E72">
            <w:pPr>
              <w:pStyle w:val="Tablebody"/>
              <w:rPr>
                <w:lang w:eastAsia="en-US"/>
              </w:rPr>
            </w:pPr>
            <w:r>
              <w:rPr>
                <w:lang w:eastAsia="en-US"/>
              </w:rPr>
              <w:t>Rebekah Ogilvie, ED Medicine</w:t>
            </w:r>
          </w:p>
        </w:tc>
        <w:tc>
          <w:tcPr>
            <w:tcW w:w="2403" w:type="dxa"/>
          </w:tcPr>
          <w:p w14:paraId="164AEAF1" w14:textId="5C94A512" w:rsidR="00280C5D" w:rsidRDefault="008A5A22" w:rsidP="003B0E72">
            <w:pPr>
              <w:pStyle w:val="Tablebody"/>
              <w:rPr>
                <w:lang w:eastAsia="en-US"/>
              </w:rPr>
            </w:pPr>
            <w:r>
              <w:rPr>
                <w:lang w:eastAsia="en-US"/>
              </w:rPr>
              <w:t>Policy Document Review Panel</w:t>
            </w:r>
          </w:p>
        </w:tc>
      </w:tr>
      <w:tr w:rsidR="00280C5D" w14:paraId="14AF598A" w14:textId="77777777" w:rsidTr="003B0E72">
        <w:tc>
          <w:tcPr>
            <w:tcW w:w="2476" w:type="dxa"/>
          </w:tcPr>
          <w:p w14:paraId="1FC84C33" w14:textId="77777777" w:rsidR="00280C5D" w:rsidRDefault="00280C5D" w:rsidP="003B0E72">
            <w:pPr>
              <w:pStyle w:val="Tablebody"/>
              <w:rPr>
                <w:lang w:eastAsia="en-US"/>
              </w:rPr>
            </w:pPr>
          </w:p>
        </w:tc>
        <w:tc>
          <w:tcPr>
            <w:tcW w:w="2477" w:type="dxa"/>
          </w:tcPr>
          <w:p w14:paraId="62201246" w14:textId="77777777" w:rsidR="00280C5D" w:rsidRDefault="00280C5D" w:rsidP="003B0E72">
            <w:pPr>
              <w:pStyle w:val="Tablebody"/>
              <w:rPr>
                <w:lang w:eastAsia="en-US"/>
              </w:rPr>
            </w:pPr>
          </w:p>
        </w:tc>
        <w:tc>
          <w:tcPr>
            <w:tcW w:w="2555" w:type="dxa"/>
          </w:tcPr>
          <w:p w14:paraId="0369E7CB" w14:textId="77777777" w:rsidR="00280C5D" w:rsidRDefault="00280C5D" w:rsidP="003B0E72">
            <w:pPr>
              <w:pStyle w:val="Tablebody"/>
              <w:rPr>
                <w:lang w:eastAsia="en-US"/>
              </w:rPr>
            </w:pPr>
          </w:p>
        </w:tc>
        <w:tc>
          <w:tcPr>
            <w:tcW w:w="2403" w:type="dxa"/>
          </w:tcPr>
          <w:p w14:paraId="10EDFA7D" w14:textId="77777777" w:rsidR="00280C5D" w:rsidRDefault="00280C5D" w:rsidP="003B0E72">
            <w:pPr>
              <w:pStyle w:val="Tablebody"/>
              <w:rPr>
                <w:lang w:eastAsia="en-US"/>
              </w:rPr>
            </w:pPr>
          </w:p>
        </w:tc>
      </w:tr>
    </w:tbl>
    <w:p w14:paraId="260ACB97"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6118656B"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07312C23" w14:textId="77777777" w:rsidR="00280C5D" w:rsidRDefault="00280C5D" w:rsidP="003B0E72">
            <w:pPr>
              <w:pStyle w:val="Tableheader"/>
            </w:pPr>
            <w:r>
              <w:t>Document number</w:t>
            </w:r>
          </w:p>
        </w:tc>
        <w:tc>
          <w:tcPr>
            <w:tcW w:w="7653" w:type="dxa"/>
          </w:tcPr>
          <w:p w14:paraId="0476EABF" w14:textId="77777777" w:rsidR="00280C5D" w:rsidRDefault="00280C5D" w:rsidP="003B0E72">
            <w:pPr>
              <w:pStyle w:val="Tableheader"/>
            </w:pPr>
            <w:r>
              <w:t>Document name</w:t>
            </w:r>
          </w:p>
        </w:tc>
      </w:tr>
      <w:tr w:rsidR="00280C5D" w14:paraId="64FBC8E0" w14:textId="77777777" w:rsidTr="003B0E72">
        <w:tc>
          <w:tcPr>
            <w:tcW w:w="2548" w:type="dxa"/>
          </w:tcPr>
          <w:p w14:paraId="7FF7B75F" w14:textId="57DA5A87" w:rsidR="00280C5D" w:rsidRDefault="008A5A22" w:rsidP="003B0E72">
            <w:pPr>
              <w:pStyle w:val="Tablebody"/>
              <w:rPr>
                <w:lang w:eastAsia="en-US"/>
              </w:rPr>
            </w:pPr>
            <w:r>
              <w:rPr>
                <w:lang w:eastAsia="en-US"/>
              </w:rPr>
              <w:t>CHS21/336</w:t>
            </w:r>
          </w:p>
        </w:tc>
        <w:tc>
          <w:tcPr>
            <w:tcW w:w="7653" w:type="dxa"/>
          </w:tcPr>
          <w:p w14:paraId="5D42C13A" w14:textId="51A5A454" w:rsidR="00280C5D" w:rsidRDefault="008A5A22" w:rsidP="003B0E72">
            <w:pPr>
              <w:pStyle w:val="Tablebody"/>
              <w:rPr>
                <w:lang w:eastAsia="en-US"/>
              </w:rPr>
            </w:pPr>
            <w:r w:rsidRPr="008A5A22">
              <w:rPr>
                <w:lang w:eastAsia="en-US"/>
              </w:rPr>
              <w:t>Snake Bite Management - Adults and Paediatrics</w:t>
            </w:r>
          </w:p>
        </w:tc>
      </w:tr>
      <w:tr w:rsidR="00280C5D" w14:paraId="667A645E" w14:textId="77777777" w:rsidTr="003B0E72">
        <w:tc>
          <w:tcPr>
            <w:tcW w:w="2548" w:type="dxa"/>
          </w:tcPr>
          <w:p w14:paraId="2A562E6A" w14:textId="77777777" w:rsidR="00280C5D" w:rsidRDefault="00280C5D" w:rsidP="003B0E72">
            <w:pPr>
              <w:pStyle w:val="Tablebody"/>
              <w:rPr>
                <w:lang w:eastAsia="en-US"/>
              </w:rPr>
            </w:pPr>
          </w:p>
        </w:tc>
        <w:tc>
          <w:tcPr>
            <w:tcW w:w="7653" w:type="dxa"/>
          </w:tcPr>
          <w:p w14:paraId="473F67B5" w14:textId="77777777" w:rsidR="00280C5D" w:rsidRDefault="00280C5D" w:rsidP="003B0E72">
            <w:pPr>
              <w:pStyle w:val="Tablebody"/>
              <w:rPr>
                <w:lang w:eastAsia="en-US"/>
              </w:rPr>
            </w:pPr>
          </w:p>
        </w:tc>
      </w:tr>
    </w:tbl>
    <w:p w14:paraId="00694D48" w14:textId="77777777" w:rsidR="00280C5D" w:rsidRPr="001F3ED6" w:rsidRDefault="00280C5D" w:rsidP="001F3ED6">
      <w:pPr>
        <w:pStyle w:val="BodyCopy"/>
        <w:rPr>
          <w:rStyle w:val="Bold"/>
        </w:rPr>
      </w:pPr>
      <w:r w:rsidRPr="001F3ED6">
        <w:rPr>
          <w:rStyle w:val="Bold"/>
        </w:rPr>
        <w:t>Disclaimer</w:t>
      </w:r>
    </w:p>
    <w:p w14:paraId="62C6828B"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748B01F6" w14:textId="77777777" w:rsidR="00280C5D" w:rsidRDefault="00280C5D" w:rsidP="00280C5D">
      <w:pPr>
        <w:pStyle w:val="Bullet"/>
        <w:numPr>
          <w:ilvl w:val="0"/>
          <w:numId w:val="0"/>
        </w:numPr>
        <w:rPr>
          <w:rStyle w:val="Hyperlink"/>
        </w:rPr>
      </w:pPr>
      <w:hyperlink w:anchor="_top" w:history="1">
        <w:r w:rsidRPr="00481A6C">
          <w:rPr>
            <w:rStyle w:val="Hyperlink"/>
          </w:rPr>
          <w:t>Back to Contents</w:t>
        </w:r>
      </w:hyperlink>
    </w:p>
    <w:p w14:paraId="13D71F13"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1F665A72" w14:textId="77777777" w:rsidTr="003B0E72">
        <w:tc>
          <w:tcPr>
            <w:tcW w:w="5529" w:type="dxa"/>
            <w:shd w:val="clear" w:color="auto" w:fill="F4F3EE"/>
            <w:tcMar>
              <w:top w:w="142" w:type="dxa"/>
              <w:left w:w="170" w:type="dxa"/>
              <w:bottom w:w="142" w:type="dxa"/>
              <w:right w:w="170" w:type="dxa"/>
            </w:tcMar>
          </w:tcPr>
          <w:bookmarkStart w:id="24" w:name="_Hlk160027189" w:displacedByCustomXml="next"/>
          <w:sdt>
            <w:sdtPr>
              <w:rPr>
                <w:color w:val="auto"/>
                <w:u w:val="single"/>
              </w:rPr>
              <w:id w:val="643171884"/>
              <w:placeholder>
                <w:docPart w:val="353E9B8C7DA448A8A06E09F9742A5657"/>
              </w:placeholder>
            </w:sdtPr>
            <w:sdtEndPr>
              <w:rPr>
                <w:color w:val="000000" w:themeColor="text1"/>
                <w:u w:val="none"/>
              </w:rPr>
            </w:sdtEndPr>
            <w:sdtContent>
              <w:p w14:paraId="3ECFD42D" w14:textId="77777777" w:rsidR="00280C5D" w:rsidRPr="00350211" w:rsidRDefault="00280C5D" w:rsidP="003B0E72">
                <w:pPr>
                  <w:pStyle w:val="Bottomblocktext"/>
                  <w:rPr>
                    <w:b/>
                    <w:bCs w:val="0"/>
                    <w:sz w:val="20"/>
                    <w:szCs w:val="20"/>
                  </w:rPr>
                </w:pPr>
                <w:r>
                  <w:rPr>
                    <w:noProof/>
                    <w:sz w:val="20"/>
                    <w:szCs w:val="20"/>
                  </w:rPr>
                  <w:drawing>
                    <wp:inline distT="0" distB="0" distL="0" distR="0" wp14:anchorId="4BDB9C32" wp14:editId="430419E2">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5"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460B85A2"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43127609"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E80790D6759A44619480012A1C5679B2"/>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2EAFC4F46BBC4F449559F3E41B5042DA"/>
            </w:placeholder>
            <w:showingPlcHdr/>
          </w:sdtPr>
          <w:sdtEndPr/>
          <w:sdtContent>
            <w:tc>
              <w:tcPr>
                <w:tcW w:w="4665" w:type="dxa"/>
                <w:shd w:val="clear" w:color="auto" w:fill="F4F3EE"/>
                <w:tcMar>
                  <w:top w:w="142" w:type="dxa"/>
                  <w:left w:w="170" w:type="dxa"/>
                  <w:bottom w:w="142" w:type="dxa"/>
                  <w:right w:w="170" w:type="dxa"/>
                </w:tcMar>
              </w:tcPr>
              <w:p w14:paraId="36471D79"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0F61C646" wp14:editId="350036BC">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6"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44092D3" wp14:editId="1C4DA243">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61427B81"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6956B69C" wp14:editId="3EA86972">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8"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DE20E08" wp14:editId="44413E05">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4E88E7D1" w14:textId="77777777" w:rsidR="00280C5D" w:rsidRDefault="00280C5D" w:rsidP="003B0E72">
                <w:pPr>
                  <w:pStyle w:val="Bottomblocktext"/>
                  <w:rPr>
                    <w:sz w:val="20"/>
                    <w:szCs w:val="20"/>
                  </w:rPr>
                </w:pPr>
                <w:hyperlink r:id="rId29" w:history="1">
                  <w:r w:rsidRPr="00350211">
                    <w:rPr>
                      <w:rStyle w:val="Hyperlink"/>
                      <w:sz w:val="20"/>
                      <w:szCs w:val="20"/>
                    </w:rPr>
                    <w:t>canberrahealthservices.act.gov.au/accessibility</w:t>
                  </w:r>
                </w:hyperlink>
              </w:p>
              <w:p w14:paraId="7532229A" w14:textId="77777777" w:rsidR="00280C5D" w:rsidRDefault="00280C5D" w:rsidP="003B0E72">
                <w:pPr>
                  <w:pStyle w:val="Bottomblocktext"/>
                </w:pPr>
                <w:r>
                  <w:rPr>
                    <w:b/>
                    <w:bCs w:val="0"/>
                    <w:noProof/>
                  </w:rPr>
                  <w:drawing>
                    <wp:inline distT="0" distB="0" distL="0" distR="0" wp14:anchorId="15F51BFD" wp14:editId="773F6809">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30"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24"/>
    </w:tbl>
    <w:p w14:paraId="34A87B7E" w14:textId="77777777" w:rsidR="00201AF6" w:rsidRDefault="00201AF6" w:rsidP="000E7683">
      <w:pPr>
        <w:rPr>
          <w:lang w:eastAsia="en-US"/>
        </w:rPr>
      </w:pPr>
    </w:p>
    <w:p w14:paraId="3E964D77" w14:textId="39D983A8" w:rsidR="00201AF6" w:rsidRDefault="00201AF6">
      <w:pPr>
        <w:spacing w:before="0" w:after="0" w:line="240" w:lineRule="auto"/>
        <w:rPr>
          <w:lang w:eastAsia="en-US"/>
        </w:rPr>
      </w:pPr>
    </w:p>
    <w:sectPr w:rsidR="00201AF6" w:rsidSect="0007270D">
      <w:footerReference w:type="default" r:id="rId31"/>
      <w:headerReference w:type="first" r:id="rId32"/>
      <w:footerReference w:type="first" r:id="rId33"/>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47C28" w14:textId="77777777" w:rsidR="00214A8F" w:rsidRDefault="00214A8F" w:rsidP="00225769">
      <w:pPr>
        <w:spacing w:after="0" w:line="240" w:lineRule="auto"/>
      </w:pPr>
      <w:r>
        <w:separator/>
      </w:r>
    </w:p>
    <w:p w14:paraId="2F4BBF95" w14:textId="77777777" w:rsidR="00214A8F" w:rsidRDefault="00214A8F"/>
    <w:p w14:paraId="080181B0" w14:textId="77777777" w:rsidR="00214A8F" w:rsidRDefault="00214A8F"/>
    <w:p w14:paraId="3CD8E626" w14:textId="77777777" w:rsidR="00214A8F" w:rsidRDefault="00214A8F"/>
    <w:p w14:paraId="680215E5" w14:textId="77777777" w:rsidR="00214A8F" w:rsidRDefault="00214A8F"/>
    <w:p w14:paraId="330EE715" w14:textId="77777777" w:rsidR="00214A8F" w:rsidRDefault="00214A8F"/>
    <w:p w14:paraId="5DC3D1E4" w14:textId="77777777" w:rsidR="00214A8F" w:rsidRDefault="00214A8F"/>
  </w:endnote>
  <w:endnote w:type="continuationSeparator" w:id="0">
    <w:p w14:paraId="161290F5" w14:textId="77777777" w:rsidR="00214A8F" w:rsidRDefault="00214A8F" w:rsidP="00225769">
      <w:pPr>
        <w:spacing w:after="0" w:line="240" w:lineRule="auto"/>
      </w:pPr>
      <w:r>
        <w:continuationSeparator/>
      </w:r>
    </w:p>
    <w:p w14:paraId="614FCD6F" w14:textId="77777777" w:rsidR="00214A8F" w:rsidRDefault="00214A8F"/>
    <w:p w14:paraId="4D8911A3" w14:textId="77777777" w:rsidR="00214A8F" w:rsidRDefault="00214A8F"/>
    <w:p w14:paraId="1E766CCA" w14:textId="77777777" w:rsidR="00214A8F" w:rsidRDefault="00214A8F"/>
    <w:p w14:paraId="40383B4D" w14:textId="77777777" w:rsidR="00214A8F" w:rsidRDefault="00214A8F"/>
    <w:p w14:paraId="4847E279" w14:textId="77777777" w:rsidR="00214A8F" w:rsidRDefault="00214A8F"/>
    <w:p w14:paraId="08C80C35" w14:textId="77777777" w:rsidR="00214A8F" w:rsidRDefault="00214A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7B34F480" w14:textId="77777777" w:rsidTr="003B0E72">
      <w:trPr>
        <w:jc w:val="center"/>
      </w:trPr>
      <w:tc>
        <w:tcPr>
          <w:tcW w:w="1515" w:type="dxa"/>
        </w:tcPr>
        <w:p w14:paraId="62F67457"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23DA22F2"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027B62A1"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52835D41"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149D6B3F"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76281831"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8A5A22" w:rsidRPr="006B62B4" w14:paraId="2BA8289E" w14:textId="77777777" w:rsidTr="003B0E72">
      <w:trPr>
        <w:jc w:val="center"/>
      </w:trPr>
      <w:tc>
        <w:tcPr>
          <w:tcW w:w="1515" w:type="dxa"/>
        </w:tcPr>
        <w:p w14:paraId="3994D780" w14:textId="269BF5F7" w:rsidR="008A5A22" w:rsidRPr="00954F7B" w:rsidRDefault="008A5A22" w:rsidP="008A5A22">
          <w:pPr>
            <w:pStyle w:val="Footer"/>
            <w:jc w:val="center"/>
            <w:rPr>
              <w:bCs/>
              <w:iCs/>
              <w:sz w:val="20"/>
              <w:szCs w:val="20"/>
            </w:rPr>
          </w:pPr>
          <w:r>
            <w:rPr>
              <w:bCs/>
              <w:iCs/>
              <w:sz w:val="20"/>
              <w:szCs w:val="20"/>
            </w:rPr>
            <w:t>CHS25/150</w:t>
          </w:r>
        </w:p>
      </w:tc>
      <w:tc>
        <w:tcPr>
          <w:tcW w:w="965" w:type="dxa"/>
        </w:tcPr>
        <w:p w14:paraId="1E1C0CDD" w14:textId="2211DC56" w:rsidR="008A5A22" w:rsidRPr="00954F7B" w:rsidRDefault="008A5A22" w:rsidP="008A5A22">
          <w:pPr>
            <w:pStyle w:val="Footer"/>
            <w:jc w:val="center"/>
            <w:rPr>
              <w:bCs/>
              <w:iCs/>
              <w:sz w:val="20"/>
              <w:szCs w:val="20"/>
            </w:rPr>
          </w:pPr>
          <w:r>
            <w:rPr>
              <w:bCs/>
              <w:iCs/>
              <w:sz w:val="20"/>
              <w:szCs w:val="20"/>
            </w:rPr>
            <w:t>1</w:t>
          </w:r>
        </w:p>
      </w:tc>
      <w:tc>
        <w:tcPr>
          <w:tcW w:w="1552" w:type="dxa"/>
        </w:tcPr>
        <w:p w14:paraId="35263913" w14:textId="5323DEC6" w:rsidR="008A5A22" w:rsidRPr="00954F7B" w:rsidRDefault="008A5A22" w:rsidP="008A5A22">
          <w:pPr>
            <w:pStyle w:val="Footer"/>
            <w:jc w:val="center"/>
            <w:rPr>
              <w:bCs/>
              <w:iCs/>
              <w:sz w:val="20"/>
              <w:szCs w:val="20"/>
            </w:rPr>
          </w:pPr>
          <w:r>
            <w:rPr>
              <w:bCs/>
              <w:iCs/>
              <w:sz w:val="20"/>
              <w:szCs w:val="20"/>
            </w:rPr>
            <w:t>04/04/2025</w:t>
          </w:r>
        </w:p>
      </w:tc>
      <w:tc>
        <w:tcPr>
          <w:tcW w:w="1456" w:type="dxa"/>
        </w:tcPr>
        <w:p w14:paraId="16686FFD" w14:textId="2E94E8CA" w:rsidR="008A5A22" w:rsidRPr="00954F7B" w:rsidRDefault="008A5A22" w:rsidP="008A5A22">
          <w:pPr>
            <w:pStyle w:val="Footer"/>
            <w:jc w:val="center"/>
            <w:rPr>
              <w:bCs/>
              <w:iCs/>
              <w:sz w:val="20"/>
              <w:szCs w:val="20"/>
            </w:rPr>
          </w:pPr>
          <w:r>
            <w:rPr>
              <w:bCs/>
              <w:iCs/>
              <w:sz w:val="20"/>
              <w:szCs w:val="20"/>
            </w:rPr>
            <w:t>01/03/2028</w:t>
          </w:r>
        </w:p>
      </w:tc>
      <w:tc>
        <w:tcPr>
          <w:tcW w:w="1746" w:type="dxa"/>
        </w:tcPr>
        <w:p w14:paraId="3F9CE778" w14:textId="797D9388" w:rsidR="008A5A22" w:rsidRPr="00954F7B" w:rsidRDefault="008A5A22" w:rsidP="008A5A22">
          <w:pPr>
            <w:pStyle w:val="Footer"/>
            <w:jc w:val="center"/>
            <w:rPr>
              <w:bCs/>
              <w:iCs/>
              <w:sz w:val="20"/>
              <w:szCs w:val="20"/>
            </w:rPr>
          </w:pPr>
          <w:r>
            <w:rPr>
              <w:bCs/>
              <w:iCs/>
              <w:sz w:val="20"/>
              <w:szCs w:val="20"/>
            </w:rPr>
            <w:t xml:space="preserve">Medicine – Emergency Department </w:t>
          </w:r>
        </w:p>
      </w:tc>
      <w:tc>
        <w:tcPr>
          <w:tcW w:w="1836" w:type="dxa"/>
        </w:tcPr>
        <w:p w14:paraId="0168C708" w14:textId="77777777" w:rsidR="008A5A22" w:rsidRPr="00954F7B" w:rsidRDefault="008A5A22" w:rsidP="008A5A22">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6D2AFD67"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2309"/>
      <w:gridCol w:w="1273"/>
    </w:tblGrid>
    <w:tr w:rsidR="008A3DD8" w:rsidRPr="006B62B4" w14:paraId="04B84046" w14:textId="77777777" w:rsidTr="008A5A22">
      <w:trPr>
        <w:jc w:val="center"/>
      </w:trPr>
      <w:tc>
        <w:tcPr>
          <w:tcW w:w="1515" w:type="dxa"/>
        </w:tcPr>
        <w:p w14:paraId="199A5CC0"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51E4F3FC"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5770FA44"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243DD5E0"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2309" w:type="dxa"/>
        </w:tcPr>
        <w:p w14:paraId="7342BDAD"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273" w:type="dxa"/>
        </w:tcPr>
        <w:p w14:paraId="627384BD"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2108BF61" w14:textId="77777777" w:rsidTr="008A5A22">
      <w:trPr>
        <w:jc w:val="center"/>
      </w:trPr>
      <w:tc>
        <w:tcPr>
          <w:tcW w:w="1515" w:type="dxa"/>
        </w:tcPr>
        <w:p w14:paraId="2B866957" w14:textId="4CC90E30" w:rsidR="008A3DD8" w:rsidRPr="00954F7B" w:rsidRDefault="008A5A22" w:rsidP="008A3DD8">
          <w:pPr>
            <w:pStyle w:val="Footer"/>
            <w:jc w:val="center"/>
            <w:rPr>
              <w:bCs/>
              <w:iCs/>
              <w:sz w:val="20"/>
              <w:szCs w:val="20"/>
            </w:rPr>
          </w:pPr>
          <w:r>
            <w:rPr>
              <w:bCs/>
              <w:iCs/>
              <w:sz w:val="20"/>
              <w:szCs w:val="20"/>
            </w:rPr>
            <w:t>CHS25/150</w:t>
          </w:r>
        </w:p>
      </w:tc>
      <w:tc>
        <w:tcPr>
          <w:tcW w:w="965" w:type="dxa"/>
        </w:tcPr>
        <w:p w14:paraId="5E83F303" w14:textId="19ABAA81" w:rsidR="008A3DD8" w:rsidRPr="00954F7B" w:rsidRDefault="008A5A22" w:rsidP="008A3DD8">
          <w:pPr>
            <w:pStyle w:val="Footer"/>
            <w:jc w:val="center"/>
            <w:rPr>
              <w:bCs/>
              <w:iCs/>
              <w:sz w:val="20"/>
              <w:szCs w:val="20"/>
            </w:rPr>
          </w:pPr>
          <w:r>
            <w:rPr>
              <w:bCs/>
              <w:iCs/>
              <w:sz w:val="20"/>
              <w:szCs w:val="20"/>
            </w:rPr>
            <w:t>1</w:t>
          </w:r>
        </w:p>
      </w:tc>
      <w:tc>
        <w:tcPr>
          <w:tcW w:w="1552" w:type="dxa"/>
        </w:tcPr>
        <w:p w14:paraId="070EB414" w14:textId="4F6D1642" w:rsidR="008A3DD8" w:rsidRPr="00954F7B" w:rsidRDefault="008A5A22" w:rsidP="008A3DD8">
          <w:pPr>
            <w:pStyle w:val="Footer"/>
            <w:jc w:val="center"/>
            <w:rPr>
              <w:bCs/>
              <w:iCs/>
              <w:sz w:val="20"/>
              <w:szCs w:val="20"/>
            </w:rPr>
          </w:pPr>
          <w:r>
            <w:rPr>
              <w:bCs/>
              <w:iCs/>
              <w:sz w:val="20"/>
              <w:szCs w:val="20"/>
            </w:rPr>
            <w:t>04/04/2025</w:t>
          </w:r>
        </w:p>
      </w:tc>
      <w:tc>
        <w:tcPr>
          <w:tcW w:w="1456" w:type="dxa"/>
        </w:tcPr>
        <w:p w14:paraId="5A1F0BA7" w14:textId="7D2F1DDF" w:rsidR="008A3DD8" w:rsidRPr="00954F7B" w:rsidRDefault="008A5A22" w:rsidP="008A3DD8">
          <w:pPr>
            <w:pStyle w:val="Footer"/>
            <w:jc w:val="center"/>
            <w:rPr>
              <w:bCs/>
              <w:iCs/>
              <w:sz w:val="20"/>
              <w:szCs w:val="20"/>
            </w:rPr>
          </w:pPr>
          <w:r>
            <w:rPr>
              <w:bCs/>
              <w:iCs/>
              <w:sz w:val="20"/>
              <w:szCs w:val="20"/>
            </w:rPr>
            <w:t>01/03/2028</w:t>
          </w:r>
        </w:p>
      </w:tc>
      <w:tc>
        <w:tcPr>
          <w:tcW w:w="2309" w:type="dxa"/>
        </w:tcPr>
        <w:p w14:paraId="740EDBD5" w14:textId="7C19234F" w:rsidR="008A3DD8" w:rsidRPr="00954F7B" w:rsidRDefault="008A5A22" w:rsidP="008A3DD8">
          <w:pPr>
            <w:pStyle w:val="Footer"/>
            <w:jc w:val="center"/>
            <w:rPr>
              <w:bCs/>
              <w:iCs/>
              <w:sz w:val="20"/>
              <w:szCs w:val="20"/>
            </w:rPr>
          </w:pPr>
          <w:r>
            <w:rPr>
              <w:bCs/>
              <w:iCs/>
              <w:sz w:val="20"/>
              <w:szCs w:val="20"/>
            </w:rPr>
            <w:t xml:space="preserve">Medicine – Emergency Department </w:t>
          </w:r>
        </w:p>
      </w:tc>
      <w:tc>
        <w:tcPr>
          <w:tcW w:w="1273" w:type="dxa"/>
        </w:tcPr>
        <w:p w14:paraId="7914763B"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67A2AF26"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856D7" w14:textId="77777777" w:rsidR="00214A8F" w:rsidRDefault="00214A8F" w:rsidP="009D493B">
      <w:pPr>
        <w:spacing w:after="0" w:line="240" w:lineRule="auto"/>
      </w:pPr>
      <w:r>
        <w:separator/>
      </w:r>
    </w:p>
  </w:footnote>
  <w:footnote w:type="continuationSeparator" w:id="0">
    <w:p w14:paraId="0FE09BFD" w14:textId="77777777" w:rsidR="00214A8F" w:rsidRDefault="00214A8F" w:rsidP="00A9080B">
      <w:pPr>
        <w:spacing w:after="0" w:line="240" w:lineRule="auto"/>
      </w:pPr>
      <w:r>
        <w:continuationSeparator/>
      </w:r>
    </w:p>
    <w:p w14:paraId="36CCF048" w14:textId="77777777" w:rsidR="00214A8F" w:rsidRDefault="00214A8F"/>
    <w:p w14:paraId="6F2ADCE9" w14:textId="77777777" w:rsidR="00214A8F" w:rsidRDefault="00214A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56FA" w14:textId="77777777" w:rsidR="008A3DD8" w:rsidRDefault="008A3DD8">
    <w:pPr>
      <w:pStyle w:val="Header"/>
    </w:pPr>
    <w:r w:rsidRPr="00324CF9">
      <w:rPr>
        <w:noProof/>
      </w:rPr>
      <w:drawing>
        <wp:inline distT="0" distB="0" distL="0" distR="0" wp14:anchorId="485EDBF2" wp14:editId="7A28A21C">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10E9"/>
    <w:multiLevelType w:val="multilevel"/>
    <w:tmpl w:val="D988B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181823"/>
    <w:multiLevelType w:val="multilevel"/>
    <w:tmpl w:val="7CAE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1276F8"/>
    <w:multiLevelType w:val="multilevel"/>
    <w:tmpl w:val="BF74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7E5D37"/>
    <w:multiLevelType w:val="multilevel"/>
    <w:tmpl w:val="C3288E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EA76DB"/>
    <w:multiLevelType w:val="multilevel"/>
    <w:tmpl w:val="F7A6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D507B6"/>
    <w:multiLevelType w:val="multilevel"/>
    <w:tmpl w:val="05DA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7B1AD8"/>
    <w:multiLevelType w:val="multilevel"/>
    <w:tmpl w:val="0980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421B33"/>
    <w:multiLevelType w:val="multilevel"/>
    <w:tmpl w:val="60A27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B67C8C"/>
    <w:multiLevelType w:val="multilevel"/>
    <w:tmpl w:val="C584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FC6494"/>
    <w:multiLevelType w:val="multilevel"/>
    <w:tmpl w:val="A966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064983"/>
    <w:multiLevelType w:val="multilevel"/>
    <w:tmpl w:val="B586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240D8E"/>
    <w:multiLevelType w:val="multilevel"/>
    <w:tmpl w:val="4B2A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E50510"/>
    <w:multiLevelType w:val="multilevel"/>
    <w:tmpl w:val="B380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6E6779"/>
    <w:multiLevelType w:val="multilevel"/>
    <w:tmpl w:val="6E8A0E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15" w15:restartNumberingAfterBreak="0">
    <w:nsid w:val="19D239EA"/>
    <w:multiLevelType w:val="multilevel"/>
    <w:tmpl w:val="0F2E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47465B"/>
    <w:multiLevelType w:val="hybridMultilevel"/>
    <w:tmpl w:val="CA2A6918"/>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17" w15:restartNumberingAfterBreak="0">
    <w:nsid w:val="1BDD2FEF"/>
    <w:multiLevelType w:val="multilevel"/>
    <w:tmpl w:val="6362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3C2748"/>
    <w:multiLevelType w:val="multilevel"/>
    <w:tmpl w:val="3A2290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6B02CF"/>
    <w:multiLevelType w:val="multilevel"/>
    <w:tmpl w:val="E1D8D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CB0ED7"/>
    <w:multiLevelType w:val="multilevel"/>
    <w:tmpl w:val="0534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CC3469"/>
    <w:multiLevelType w:val="hybridMultilevel"/>
    <w:tmpl w:val="AA62EC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3" w15:restartNumberingAfterBreak="0">
    <w:nsid w:val="242735E9"/>
    <w:multiLevelType w:val="multilevel"/>
    <w:tmpl w:val="E7E0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4FE5104"/>
    <w:multiLevelType w:val="multilevel"/>
    <w:tmpl w:val="9DCA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5F14552"/>
    <w:multiLevelType w:val="multilevel"/>
    <w:tmpl w:val="4B2C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81F7938"/>
    <w:multiLevelType w:val="multilevel"/>
    <w:tmpl w:val="3D68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0532311"/>
    <w:multiLevelType w:val="multilevel"/>
    <w:tmpl w:val="E7F2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11242E7"/>
    <w:multiLevelType w:val="multilevel"/>
    <w:tmpl w:val="B10CBA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5F41FEB"/>
    <w:multiLevelType w:val="multilevel"/>
    <w:tmpl w:val="4474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7B67386"/>
    <w:multiLevelType w:val="multilevel"/>
    <w:tmpl w:val="71BA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FA2CAB"/>
    <w:multiLevelType w:val="multilevel"/>
    <w:tmpl w:val="C7E2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32829A7"/>
    <w:multiLevelType w:val="hybridMultilevel"/>
    <w:tmpl w:val="449A2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3C6535A"/>
    <w:multiLevelType w:val="multilevel"/>
    <w:tmpl w:val="DC2A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4C85CEF"/>
    <w:multiLevelType w:val="multilevel"/>
    <w:tmpl w:val="0C4C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39" w15:restartNumberingAfterBreak="0">
    <w:nsid w:val="4A83630E"/>
    <w:multiLevelType w:val="hybridMultilevel"/>
    <w:tmpl w:val="E7D2F5B4"/>
    <w:lvl w:ilvl="0" w:tplc="ABFA0384">
      <w:start w:val="1"/>
      <w:numFmt w:val="bullet"/>
      <w:lvlText w:val=""/>
      <w:lvlJc w:val="left"/>
      <w:pPr>
        <w:ind w:left="720" w:hanging="360"/>
      </w:pPr>
      <w:rPr>
        <w:rFonts w:ascii="Symbol" w:hAnsi="Symbol" w:hint="default"/>
      </w:rPr>
    </w:lvl>
    <w:lvl w:ilvl="1" w:tplc="17660A4A">
      <w:start w:val="1"/>
      <w:numFmt w:val="bullet"/>
      <w:lvlText w:val="o"/>
      <w:lvlJc w:val="left"/>
      <w:pPr>
        <w:ind w:left="1440" w:hanging="360"/>
      </w:pPr>
      <w:rPr>
        <w:rFonts w:ascii="Courier New" w:hAnsi="Courier New" w:hint="default"/>
      </w:rPr>
    </w:lvl>
    <w:lvl w:ilvl="2" w:tplc="1D82779E">
      <w:start w:val="1"/>
      <w:numFmt w:val="bullet"/>
      <w:lvlText w:val=""/>
      <w:lvlJc w:val="left"/>
      <w:pPr>
        <w:ind w:left="2160" w:hanging="360"/>
      </w:pPr>
      <w:rPr>
        <w:rFonts w:ascii="Wingdings" w:hAnsi="Wingdings" w:hint="default"/>
      </w:rPr>
    </w:lvl>
    <w:lvl w:ilvl="3" w:tplc="5D9A701E">
      <w:start w:val="1"/>
      <w:numFmt w:val="bullet"/>
      <w:lvlText w:val=""/>
      <w:lvlJc w:val="left"/>
      <w:pPr>
        <w:ind w:left="2880" w:hanging="360"/>
      </w:pPr>
      <w:rPr>
        <w:rFonts w:ascii="Symbol" w:hAnsi="Symbol" w:hint="default"/>
      </w:rPr>
    </w:lvl>
    <w:lvl w:ilvl="4" w:tplc="A0D6A032">
      <w:start w:val="1"/>
      <w:numFmt w:val="bullet"/>
      <w:lvlText w:val="o"/>
      <w:lvlJc w:val="left"/>
      <w:pPr>
        <w:ind w:left="3600" w:hanging="360"/>
      </w:pPr>
      <w:rPr>
        <w:rFonts w:ascii="Courier New" w:hAnsi="Courier New" w:hint="default"/>
      </w:rPr>
    </w:lvl>
    <w:lvl w:ilvl="5" w:tplc="1354E0E0">
      <w:start w:val="1"/>
      <w:numFmt w:val="bullet"/>
      <w:lvlText w:val=""/>
      <w:lvlJc w:val="left"/>
      <w:pPr>
        <w:ind w:left="4320" w:hanging="360"/>
      </w:pPr>
      <w:rPr>
        <w:rFonts w:ascii="Wingdings" w:hAnsi="Wingdings" w:hint="default"/>
      </w:rPr>
    </w:lvl>
    <w:lvl w:ilvl="6" w:tplc="731446E0">
      <w:start w:val="1"/>
      <w:numFmt w:val="bullet"/>
      <w:lvlText w:val=""/>
      <w:lvlJc w:val="left"/>
      <w:pPr>
        <w:ind w:left="5040" w:hanging="360"/>
      </w:pPr>
      <w:rPr>
        <w:rFonts w:ascii="Symbol" w:hAnsi="Symbol" w:hint="default"/>
      </w:rPr>
    </w:lvl>
    <w:lvl w:ilvl="7" w:tplc="7712628A">
      <w:start w:val="1"/>
      <w:numFmt w:val="bullet"/>
      <w:lvlText w:val="o"/>
      <w:lvlJc w:val="left"/>
      <w:pPr>
        <w:ind w:left="5760" w:hanging="360"/>
      </w:pPr>
      <w:rPr>
        <w:rFonts w:ascii="Courier New" w:hAnsi="Courier New" w:hint="default"/>
      </w:rPr>
    </w:lvl>
    <w:lvl w:ilvl="8" w:tplc="C0AE732A">
      <w:start w:val="1"/>
      <w:numFmt w:val="bullet"/>
      <w:lvlText w:val=""/>
      <w:lvlJc w:val="left"/>
      <w:pPr>
        <w:ind w:left="6480" w:hanging="360"/>
      </w:pPr>
      <w:rPr>
        <w:rFonts w:ascii="Wingdings" w:hAnsi="Wingdings" w:hint="default"/>
      </w:rPr>
    </w:lvl>
  </w:abstractNum>
  <w:abstractNum w:abstractNumId="40" w15:restartNumberingAfterBreak="0">
    <w:nsid w:val="4D93FC5B"/>
    <w:multiLevelType w:val="hybridMultilevel"/>
    <w:tmpl w:val="8AAA3C7A"/>
    <w:lvl w:ilvl="0" w:tplc="9EF0D0EC">
      <w:start w:val="1"/>
      <w:numFmt w:val="bullet"/>
      <w:lvlText w:val=""/>
      <w:lvlJc w:val="left"/>
      <w:pPr>
        <w:ind w:left="720" w:hanging="360"/>
      </w:pPr>
      <w:rPr>
        <w:rFonts w:ascii="Symbol" w:hAnsi="Symbol" w:hint="default"/>
      </w:rPr>
    </w:lvl>
    <w:lvl w:ilvl="1" w:tplc="ACB0912C">
      <w:start w:val="1"/>
      <w:numFmt w:val="bullet"/>
      <w:lvlText w:val="o"/>
      <w:lvlJc w:val="left"/>
      <w:pPr>
        <w:ind w:left="1440" w:hanging="360"/>
      </w:pPr>
      <w:rPr>
        <w:rFonts w:ascii="Courier New" w:hAnsi="Courier New" w:hint="default"/>
      </w:rPr>
    </w:lvl>
    <w:lvl w:ilvl="2" w:tplc="AA7E0DA0">
      <w:start w:val="1"/>
      <w:numFmt w:val="bullet"/>
      <w:lvlText w:val=""/>
      <w:lvlJc w:val="left"/>
      <w:pPr>
        <w:ind w:left="2160" w:hanging="360"/>
      </w:pPr>
      <w:rPr>
        <w:rFonts w:ascii="Wingdings" w:hAnsi="Wingdings" w:hint="default"/>
      </w:rPr>
    </w:lvl>
    <w:lvl w:ilvl="3" w:tplc="34B8F3A4">
      <w:start w:val="1"/>
      <w:numFmt w:val="bullet"/>
      <w:lvlText w:val=""/>
      <w:lvlJc w:val="left"/>
      <w:pPr>
        <w:ind w:left="2880" w:hanging="360"/>
      </w:pPr>
      <w:rPr>
        <w:rFonts w:ascii="Symbol" w:hAnsi="Symbol" w:hint="default"/>
      </w:rPr>
    </w:lvl>
    <w:lvl w:ilvl="4" w:tplc="789C549C">
      <w:start w:val="1"/>
      <w:numFmt w:val="bullet"/>
      <w:lvlText w:val="o"/>
      <w:lvlJc w:val="left"/>
      <w:pPr>
        <w:ind w:left="3600" w:hanging="360"/>
      </w:pPr>
      <w:rPr>
        <w:rFonts w:ascii="Courier New" w:hAnsi="Courier New" w:hint="default"/>
      </w:rPr>
    </w:lvl>
    <w:lvl w:ilvl="5" w:tplc="7870E44E">
      <w:start w:val="1"/>
      <w:numFmt w:val="bullet"/>
      <w:lvlText w:val=""/>
      <w:lvlJc w:val="left"/>
      <w:pPr>
        <w:ind w:left="4320" w:hanging="360"/>
      </w:pPr>
      <w:rPr>
        <w:rFonts w:ascii="Wingdings" w:hAnsi="Wingdings" w:hint="default"/>
      </w:rPr>
    </w:lvl>
    <w:lvl w:ilvl="6" w:tplc="09EE5F06">
      <w:start w:val="1"/>
      <w:numFmt w:val="bullet"/>
      <w:lvlText w:val=""/>
      <w:lvlJc w:val="left"/>
      <w:pPr>
        <w:ind w:left="5040" w:hanging="360"/>
      </w:pPr>
      <w:rPr>
        <w:rFonts w:ascii="Symbol" w:hAnsi="Symbol" w:hint="default"/>
      </w:rPr>
    </w:lvl>
    <w:lvl w:ilvl="7" w:tplc="FAC88F5C">
      <w:start w:val="1"/>
      <w:numFmt w:val="bullet"/>
      <w:lvlText w:val="o"/>
      <w:lvlJc w:val="left"/>
      <w:pPr>
        <w:ind w:left="5760" w:hanging="360"/>
      </w:pPr>
      <w:rPr>
        <w:rFonts w:ascii="Courier New" w:hAnsi="Courier New" w:hint="default"/>
      </w:rPr>
    </w:lvl>
    <w:lvl w:ilvl="8" w:tplc="4C7EED28">
      <w:start w:val="1"/>
      <w:numFmt w:val="bullet"/>
      <w:lvlText w:val=""/>
      <w:lvlJc w:val="left"/>
      <w:pPr>
        <w:ind w:left="6480" w:hanging="360"/>
      </w:pPr>
      <w:rPr>
        <w:rFonts w:ascii="Wingdings" w:hAnsi="Wingdings" w:hint="default"/>
      </w:rPr>
    </w:lvl>
  </w:abstractNum>
  <w:abstractNum w:abstractNumId="41" w15:restartNumberingAfterBreak="0">
    <w:nsid w:val="5181114F"/>
    <w:multiLevelType w:val="multilevel"/>
    <w:tmpl w:val="85A0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5C257A"/>
    <w:multiLevelType w:val="multilevel"/>
    <w:tmpl w:val="0190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82C5D0B"/>
    <w:multiLevelType w:val="multilevel"/>
    <w:tmpl w:val="57FA7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B4655B1"/>
    <w:multiLevelType w:val="multilevel"/>
    <w:tmpl w:val="567A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BEA6BCA"/>
    <w:multiLevelType w:val="multilevel"/>
    <w:tmpl w:val="D1B6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CCE07BE"/>
    <w:multiLevelType w:val="multilevel"/>
    <w:tmpl w:val="6B38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E326C1C"/>
    <w:multiLevelType w:val="multilevel"/>
    <w:tmpl w:val="97C2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1E14277"/>
    <w:multiLevelType w:val="multilevel"/>
    <w:tmpl w:val="0FF8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1FA7F87"/>
    <w:multiLevelType w:val="multilevel"/>
    <w:tmpl w:val="81A2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20520D6"/>
    <w:multiLevelType w:val="multilevel"/>
    <w:tmpl w:val="E736B0A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52" w15:restartNumberingAfterBreak="0">
    <w:nsid w:val="6C0D7A79"/>
    <w:multiLevelType w:val="multilevel"/>
    <w:tmpl w:val="8B66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ED22DA6"/>
    <w:multiLevelType w:val="multilevel"/>
    <w:tmpl w:val="E7A8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6DB7D28"/>
    <w:multiLevelType w:val="multilevel"/>
    <w:tmpl w:val="987A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8DD1B4D"/>
    <w:multiLevelType w:val="multilevel"/>
    <w:tmpl w:val="2FC6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8F1188E"/>
    <w:multiLevelType w:val="multilevel"/>
    <w:tmpl w:val="6560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9D82FB4"/>
    <w:multiLevelType w:val="multilevel"/>
    <w:tmpl w:val="7744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9F6174B"/>
    <w:multiLevelType w:val="multilevel"/>
    <w:tmpl w:val="A48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C993FFF"/>
    <w:multiLevelType w:val="multilevel"/>
    <w:tmpl w:val="B790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D5E52B6"/>
    <w:multiLevelType w:val="multilevel"/>
    <w:tmpl w:val="C3D0A6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E351398"/>
    <w:multiLevelType w:val="multilevel"/>
    <w:tmpl w:val="A9AC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6838920">
    <w:abstractNumId w:val="40"/>
  </w:num>
  <w:num w:numId="2" w16cid:durableId="894896274">
    <w:abstractNumId w:val="39"/>
  </w:num>
  <w:num w:numId="3" w16cid:durableId="1648431774">
    <w:abstractNumId w:val="22"/>
  </w:num>
  <w:num w:numId="4" w16cid:durableId="842209657">
    <w:abstractNumId w:val="14"/>
  </w:num>
  <w:num w:numId="5" w16cid:durableId="1971085616">
    <w:abstractNumId w:val="33"/>
  </w:num>
  <w:num w:numId="6" w16cid:durableId="252517802">
    <w:abstractNumId w:val="34"/>
  </w:num>
  <w:num w:numId="7" w16cid:durableId="258952063">
    <w:abstractNumId w:val="51"/>
  </w:num>
  <w:num w:numId="8" w16cid:durableId="681904122">
    <w:abstractNumId w:val="29"/>
  </w:num>
  <w:num w:numId="9" w16cid:durableId="836698820">
    <w:abstractNumId w:val="38"/>
  </w:num>
  <w:num w:numId="10" w16cid:durableId="2144077184">
    <w:abstractNumId w:val="59"/>
  </w:num>
  <w:num w:numId="11" w16cid:durableId="985089099">
    <w:abstractNumId w:val="27"/>
  </w:num>
  <w:num w:numId="12" w16cid:durableId="1203591951">
    <w:abstractNumId w:val="48"/>
  </w:num>
  <w:num w:numId="13" w16cid:durableId="1955091880">
    <w:abstractNumId w:val="61"/>
  </w:num>
  <w:num w:numId="14" w16cid:durableId="1185368116">
    <w:abstractNumId w:val="31"/>
  </w:num>
  <w:num w:numId="15" w16cid:durableId="1804037102">
    <w:abstractNumId w:val="57"/>
  </w:num>
  <w:num w:numId="16" w16cid:durableId="1954482608">
    <w:abstractNumId w:val="41"/>
  </w:num>
  <w:num w:numId="17" w16cid:durableId="1187717978">
    <w:abstractNumId w:val="53"/>
  </w:num>
  <w:num w:numId="18" w16cid:durableId="603197036">
    <w:abstractNumId w:val="7"/>
  </w:num>
  <w:num w:numId="19" w16cid:durableId="822309064">
    <w:abstractNumId w:val="46"/>
  </w:num>
  <w:num w:numId="20" w16cid:durableId="540437783">
    <w:abstractNumId w:val="36"/>
  </w:num>
  <w:num w:numId="21" w16cid:durableId="1332365777">
    <w:abstractNumId w:val="2"/>
  </w:num>
  <w:num w:numId="22" w16cid:durableId="1957057228">
    <w:abstractNumId w:val="26"/>
  </w:num>
  <w:num w:numId="23" w16cid:durableId="2115127165">
    <w:abstractNumId w:val="47"/>
  </w:num>
  <w:num w:numId="24" w16cid:durableId="2051762679">
    <w:abstractNumId w:val="49"/>
  </w:num>
  <w:num w:numId="25" w16cid:durableId="248270783">
    <w:abstractNumId w:val="42"/>
  </w:num>
  <w:num w:numId="26" w16cid:durableId="1636909494">
    <w:abstractNumId w:val="20"/>
  </w:num>
  <w:num w:numId="27" w16cid:durableId="1074939661">
    <w:abstractNumId w:val="28"/>
  </w:num>
  <w:num w:numId="28" w16cid:durableId="810638442">
    <w:abstractNumId w:val="9"/>
  </w:num>
  <w:num w:numId="29" w16cid:durableId="742139742">
    <w:abstractNumId w:val="11"/>
  </w:num>
  <w:num w:numId="30" w16cid:durableId="770509084">
    <w:abstractNumId w:val="56"/>
  </w:num>
  <w:num w:numId="31" w16cid:durableId="1126780043">
    <w:abstractNumId w:val="17"/>
  </w:num>
  <w:num w:numId="32" w16cid:durableId="1664813658">
    <w:abstractNumId w:val="24"/>
  </w:num>
  <w:num w:numId="33" w16cid:durableId="963538977">
    <w:abstractNumId w:val="44"/>
  </w:num>
  <w:num w:numId="34" w16cid:durableId="407970544">
    <w:abstractNumId w:val="50"/>
  </w:num>
  <w:num w:numId="35" w16cid:durableId="2089039634">
    <w:abstractNumId w:val="58"/>
  </w:num>
  <w:num w:numId="36" w16cid:durableId="736710995">
    <w:abstractNumId w:val="55"/>
  </w:num>
  <w:num w:numId="37" w16cid:durableId="1386099665">
    <w:abstractNumId w:val="19"/>
  </w:num>
  <w:num w:numId="38" w16cid:durableId="816068262">
    <w:abstractNumId w:val="15"/>
  </w:num>
  <w:num w:numId="39" w16cid:durableId="1940720550">
    <w:abstractNumId w:val="18"/>
  </w:num>
  <w:num w:numId="40" w16cid:durableId="1981228954">
    <w:abstractNumId w:val="4"/>
  </w:num>
  <w:num w:numId="41" w16cid:durableId="1126462324">
    <w:abstractNumId w:val="0"/>
  </w:num>
  <w:num w:numId="42" w16cid:durableId="798961977">
    <w:abstractNumId w:val="60"/>
  </w:num>
  <w:num w:numId="43" w16cid:durableId="986279958">
    <w:abstractNumId w:val="13"/>
  </w:num>
  <w:num w:numId="44" w16cid:durableId="874466612">
    <w:abstractNumId w:val="6"/>
  </w:num>
  <w:num w:numId="45" w16cid:durableId="1311010764">
    <w:abstractNumId w:val="54"/>
  </w:num>
  <w:num w:numId="46" w16cid:durableId="2069104854">
    <w:abstractNumId w:val="8"/>
  </w:num>
  <w:num w:numId="47" w16cid:durableId="168184405">
    <w:abstractNumId w:val="30"/>
  </w:num>
  <w:num w:numId="48" w16cid:durableId="2114519381">
    <w:abstractNumId w:val="52"/>
  </w:num>
  <w:num w:numId="49" w16cid:durableId="2125809660">
    <w:abstractNumId w:val="32"/>
  </w:num>
  <w:num w:numId="50" w16cid:durableId="1191721367">
    <w:abstractNumId w:val="37"/>
  </w:num>
  <w:num w:numId="51" w16cid:durableId="1332444283">
    <w:abstractNumId w:val="23"/>
  </w:num>
  <w:num w:numId="52" w16cid:durableId="146097316">
    <w:abstractNumId w:val="43"/>
  </w:num>
  <w:num w:numId="53" w16cid:durableId="1446735077">
    <w:abstractNumId w:val="10"/>
  </w:num>
  <w:num w:numId="54" w16cid:durableId="621765508">
    <w:abstractNumId w:val="45"/>
  </w:num>
  <w:num w:numId="55" w16cid:durableId="229199760">
    <w:abstractNumId w:val="1"/>
  </w:num>
  <w:num w:numId="56" w16cid:durableId="644316779">
    <w:abstractNumId w:val="5"/>
  </w:num>
  <w:num w:numId="57" w16cid:durableId="466163540">
    <w:abstractNumId w:val="25"/>
  </w:num>
  <w:num w:numId="58" w16cid:durableId="1767193636">
    <w:abstractNumId w:val="12"/>
  </w:num>
  <w:num w:numId="59" w16cid:durableId="1455518840">
    <w:abstractNumId w:val="3"/>
  </w:num>
  <w:num w:numId="60" w16cid:durableId="1822190416">
    <w:abstractNumId w:val="16"/>
  </w:num>
  <w:num w:numId="61" w16cid:durableId="1937400826">
    <w:abstractNumId w:val="35"/>
  </w:num>
  <w:num w:numId="62" w16cid:durableId="926622580">
    <w:abstractNumId w:val="21"/>
  </w:num>
  <w:num w:numId="63" w16cid:durableId="18528352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92"/>
    <w:rsid w:val="00000822"/>
    <w:rsid w:val="00003728"/>
    <w:rsid w:val="00004B91"/>
    <w:rsid w:val="00006344"/>
    <w:rsid w:val="000066DC"/>
    <w:rsid w:val="000068B9"/>
    <w:rsid w:val="000115AB"/>
    <w:rsid w:val="00012DA7"/>
    <w:rsid w:val="00014646"/>
    <w:rsid w:val="0001473F"/>
    <w:rsid w:val="00014D0A"/>
    <w:rsid w:val="00015018"/>
    <w:rsid w:val="000161EE"/>
    <w:rsid w:val="000246D6"/>
    <w:rsid w:val="0002534D"/>
    <w:rsid w:val="00025C12"/>
    <w:rsid w:val="000347FB"/>
    <w:rsid w:val="00035A11"/>
    <w:rsid w:val="00036249"/>
    <w:rsid w:val="00041D05"/>
    <w:rsid w:val="000421E9"/>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5506"/>
    <w:rsid w:val="00077A8F"/>
    <w:rsid w:val="000807B6"/>
    <w:rsid w:val="00080F06"/>
    <w:rsid w:val="00080FC2"/>
    <w:rsid w:val="000825CF"/>
    <w:rsid w:val="00082C60"/>
    <w:rsid w:val="00082EB1"/>
    <w:rsid w:val="00083D66"/>
    <w:rsid w:val="000844F7"/>
    <w:rsid w:val="000848B6"/>
    <w:rsid w:val="000858DB"/>
    <w:rsid w:val="000905E4"/>
    <w:rsid w:val="0009157D"/>
    <w:rsid w:val="00096D01"/>
    <w:rsid w:val="00097F70"/>
    <w:rsid w:val="000A0C18"/>
    <w:rsid w:val="000A3AA0"/>
    <w:rsid w:val="000A3F9B"/>
    <w:rsid w:val="000A4C7E"/>
    <w:rsid w:val="000A5561"/>
    <w:rsid w:val="000A6268"/>
    <w:rsid w:val="000B04DE"/>
    <w:rsid w:val="000B4346"/>
    <w:rsid w:val="000B4DF9"/>
    <w:rsid w:val="000B6A88"/>
    <w:rsid w:val="000C36A3"/>
    <w:rsid w:val="000C3973"/>
    <w:rsid w:val="000C48B1"/>
    <w:rsid w:val="000C57C6"/>
    <w:rsid w:val="000C76AA"/>
    <w:rsid w:val="000C7ACF"/>
    <w:rsid w:val="000D0A42"/>
    <w:rsid w:val="000D1F50"/>
    <w:rsid w:val="000D713F"/>
    <w:rsid w:val="000D742A"/>
    <w:rsid w:val="000E058F"/>
    <w:rsid w:val="000E07C3"/>
    <w:rsid w:val="000E1D08"/>
    <w:rsid w:val="000E5739"/>
    <w:rsid w:val="000E7683"/>
    <w:rsid w:val="000E77F0"/>
    <w:rsid w:val="000F1EB3"/>
    <w:rsid w:val="000F288B"/>
    <w:rsid w:val="000F296F"/>
    <w:rsid w:val="000F300A"/>
    <w:rsid w:val="000F33A0"/>
    <w:rsid w:val="000F3A4B"/>
    <w:rsid w:val="000F5C20"/>
    <w:rsid w:val="000F6200"/>
    <w:rsid w:val="000F79EA"/>
    <w:rsid w:val="00100DFC"/>
    <w:rsid w:val="0010164B"/>
    <w:rsid w:val="00107118"/>
    <w:rsid w:val="0010747B"/>
    <w:rsid w:val="00110967"/>
    <w:rsid w:val="00110D97"/>
    <w:rsid w:val="00112DAD"/>
    <w:rsid w:val="001171E4"/>
    <w:rsid w:val="00117836"/>
    <w:rsid w:val="0012007C"/>
    <w:rsid w:val="00120E2E"/>
    <w:rsid w:val="00121181"/>
    <w:rsid w:val="00122329"/>
    <w:rsid w:val="001229F1"/>
    <w:rsid w:val="001232C3"/>
    <w:rsid w:val="00124B00"/>
    <w:rsid w:val="00126471"/>
    <w:rsid w:val="00126ADF"/>
    <w:rsid w:val="00126BEE"/>
    <w:rsid w:val="00127D91"/>
    <w:rsid w:val="001324A3"/>
    <w:rsid w:val="00135EF0"/>
    <w:rsid w:val="00136431"/>
    <w:rsid w:val="0013675B"/>
    <w:rsid w:val="0013680F"/>
    <w:rsid w:val="00136C50"/>
    <w:rsid w:val="00137347"/>
    <w:rsid w:val="001420C2"/>
    <w:rsid w:val="001437E9"/>
    <w:rsid w:val="00143C66"/>
    <w:rsid w:val="00144A90"/>
    <w:rsid w:val="00154D8C"/>
    <w:rsid w:val="00156F41"/>
    <w:rsid w:val="001575C5"/>
    <w:rsid w:val="001600FA"/>
    <w:rsid w:val="001616DD"/>
    <w:rsid w:val="00161AE4"/>
    <w:rsid w:val="00161FDC"/>
    <w:rsid w:val="00164AA5"/>
    <w:rsid w:val="00166052"/>
    <w:rsid w:val="001660FE"/>
    <w:rsid w:val="00167879"/>
    <w:rsid w:val="00167C17"/>
    <w:rsid w:val="0017051B"/>
    <w:rsid w:val="00173EDD"/>
    <w:rsid w:val="00174ECE"/>
    <w:rsid w:val="00175212"/>
    <w:rsid w:val="00175FF8"/>
    <w:rsid w:val="001767CA"/>
    <w:rsid w:val="00181504"/>
    <w:rsid w:val="00181729"/>
    <w:rsid w:val="001819E4"/>
    <w:rsid w:val="00183B71"/>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2AC1"/>
    <w:rsid w:val="001B3430"/>
    <w:rsid w:val="001C0F5C"/>
    <w:rsid w:val="001C108E"/>
    <w:rsid w:val="001C223C"/>
    <w:rsid w:val="001C24A7"/>
    <w:rsid w:val="001C263F"/>
    <w:rsid w:val="001C5958"/>
    <w:rsid w:val="001C6464"/>
    <w:rsid w:val="001C7314"/>
    <w:rsid w:val="001D02BB"/>
    <w:rsid w:val="001D12A9"/>
    <w:rsid w:val="001D140D"/>
    <w:rsid w:val="001D150B"/>
    <w:rsid w:val="001D195F"/>
    <w:rsid w:val="001D5D8B"/>
    <w:rsid w:val="001D780B"/>
    <w:rsid w:val="001D7907"/>
    <w:rsid w:val="001E0BEA"/>
    <w:rsid w:val="001E0BED"/>
    <w:rsid w:val="001E1F2B"/>
    <w:rsid w:val="001E2C6F"/>
    <w:rsid w:val="001E30A5"/>
    <w:rsid w:val="001E3D5B"/>
    <w:rsid w:val="001E4A13"/>
    <w:rsid w:val="001E4EF9"/>
    <w:rsid w:val="001E579B"/>
    <w:rsid w:val="001E5FF2"/>
    <w:rsid w:val="001E626E"/>
    <w:rsid w:val="001E7077"/>
    <w:rsid w:val="001E7A17"/>
    <w:rsid w:val="001F0765"/>
    <w:rsid w:val="001F261A"/>
    <w:rsid w:val="001F26B1"/>
    <w:rsid w:val="001F29F4"/>
    <w:rsid w:val="001F34A6"/>
    <w:rsid w:val="001F3ED6"/>
    <w:rsid w:val="001F4369"/>
    <w:rsid w:val="001F49DF"/>
    <w:rsid w:val="001F4F88"/>
    <w:rsid w:val="001F5AE3"/>
    <w:rsid w:val="001F656A"/>
    <w:rsid w:val="001F68D1"/>
    <w:rsid w:val="001F6D1A"/>
    <w:rsid w:val="001F6E03"/>
    <w:rsid w:val="002012D2"/>
    <w:rsid w:val="00201AF6"/>
    <w:rsid w:val="0020360D"/>
    <w:rsid w:val="0020612C"/>
    <w:rsid w:val="0021014B"/>
    <w:rsid w:val="00211BFA"/>
    <w:rsid w:val="00212B9B"/>
    <w:rsid w:val="00212F1D"/>
    <w:rsid w:val="0021380A"/>
    <w:rsid w:val="002140AE"/>
    <w:rsid w:val="00214A8F"/>
    <w:rsid w:val="0021632A"/>
    <w:rsid w:val="0022138F"/>
    <w:rsid w:val="002214C1"/>
    <w:rsid w:val="00225769"/>
    <w:rsid w:val="00225E3B"/>
    <w:rsid w:val="00227104"/>
    <w:rsid w:val="00230054"/>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6085A"/>
    <w:rsid w:val="00265131"/>
    <w:rsid w:val="002700D3"/>
    <w:rsid w:val="0027262B"/>
    <w:rsid w:val="00274308"/>
    <w:rsid w:val="00280051"/>
    <w:rsid w:val="00280C5D"/>
    <w:rsid w:val="00280F5F"/>
    <w:rsid w:val="00281798"/>
    <w:rsid w:val="00281830"/>
    <w:rsid w:val="002827C4"/>
    <w:rsid w:val="00284D13"/>
    <w:rsid w:val="00292A6B"/>
    <w:rsid w:val="00293A94"/>
    <w:rsid w:val="00293B6B"/>
    <w:rsid w:val="00294B76"/>
    <w:rsid w:val="00294F1A"/>
    <w:rsid w:val="00295D79"/>
    <w:rsid w:val="00295FFD"/>
    <w:rsid w:val="002960EC"/>
    <w:rsid w:val="0029655B"/>
    <w:rsid w:val="002A0163"/>
    <w:rsid w:val="002A295E"/>
    <w:rsid w:val="002B2713"/>
    <w:rsid w:val="002B3511"/>
    <w:rsid w:val="002B3D19"/>
    <w:rsid w:val="002B3F13"/>
    <w:rsid w:val="002B434C"/>
    <w:rsid w:val="002B5D29"/>
    <w:rsid w:val="002C39F9"/>
    <w:rsid w:val="002C58B8"/>
    <w:rsid w:val="002C7500"/>
    <w:rsid w:val="002C75BC"/>
    <w:rsid w:val="002C7CF9"/>
    <w:rsid w:val="002D1CA0"/>
    <w:rsid w:val="002D22CF"/>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4E79"/>
    <w:rsid w:val="00306981"/>
    <w:rsid w:val="00307FDA"/>
    <w:rsid w:val="0031196F"/>
    <w:rsid w:val="00312B51"/>
    <w:rsid w:val="00312C39"/>
    <w:rsid w:val="00314716"/>
    <w:rsid w:val="00316881"/>
    <w:rsid w:val="00317020"/>
    <w:rsid w:val="00317101"/>
    <w:rsid w:val="003172CB"/>
    <w:rsid w:val="00317F10"/>
    <w:rsid w:val="003217E1"/>
    <w:rsid w:val="003218C1"/>
    <w:rsid w:val="00321FDE"/>
    <w:rsid w:val="0032423A"/>
    <w:rsid w:val="003247E9"/>
    <w:rsid w:val="00324C51"/>
    <w:rsid w:val="003254E1"/>
    <w:rsid w:val="00330349"/>
    <w:rsid w:val="003303F9"/>
    <w:rsid w:val="00330A1E"/>
    <w:rsid w:val="00331E2B"/>
    <w:rsid w:val="003321DE"/>
    <w:rsid w:val="0033398D"/>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1EA"/>
    <w:rsid w:val="00380288"/>
    <w:rsid w:val="00380C80"/>
    <w:rsid w:val="003817A2"/>
    <w:rsid w:val="00385359"/>
    <w:rsid w:val="00385468"/>
    <w:rsid w:val="00390CE7"/>
    <w:rsid w:val="00390DAE"/>
    <w:rsid w:val="003925DF"/>
    <w:rsid w:val="00393C61"/>
    <w:rsid w:val="00393FF3"/>
    <w:rsid w:val="003942E5"/>
    <w:rsid w:val="0039618C"/>
    <w:rsid w:val="0039633A"/>
    <w:rsid w:val="00396B90"/>
    <w:rsid w:val="003970F6"/>
    <w:rsid w:val="003A0BC9"/>
    <w:rsid w:val="003A0D26"/>
    <w:rsid w:val="003A21CD"/>
    <w:rsid w:val="003A2A9E"/>
    <w:rsid w:val="003A40A7"/>
    <w:rsid w:val="003A43E3"/>
    <w:rsid w:val="003A55FF"/>
    <w:rsid w:val="003A5ADA"/>
    <w:rsid w:val="003A6511"/>
    <w:rsid w:val="003B28A5"/>
    <w:rsid w:val="003B3F9A"/>
    <w:rsid w:val="003B4E08"/>
    <w:rsid w:val="003B57A1"/>
    <w:rsid w:val="003B661D"/>
    <w:rsid w:val="003B720D"/>
    <w:rsid w:val="003B760C"/>
    <w:rsid w:val="003C218A"/>
    <w:rsid w:val="003C4430"/>
    <w:rsid w:val="003C5782"/>
    <w:rsid w:val="003C5F3E"/>
    <w:rsid w:val="003C7810"/>
    <w:rsid w:val="003D10DD"/>
    <w:rsid w:val="003D1C0C"/>
    <w:rsid w:val="003D3B16"/>
    <w:rsid w:val="003D5D92"/>
    <w:rsid w:val="003D60E0"/>
    <w:rsid w:val="003D709B"/>
    <w:rsid w:val="003D7463"/>
    <w:rsid w:val="003E0103"/>
    <w:rsid w:val="003E0A22"/>
    <w:rsid w:val="003E727F"/>
    <w:rsid w:val="003E7D3D"/>
    <w:rsid w:val="003F01DF"/>
    <w:rsid w:val="003F0614"/>
    <w:rsid w:val="003F1F57"/>
    <w:rsid w:val="003F2C18"/>
    <w:rsid w:val="003F6C0E"/>
    <w:rsid w:val="00407C75"/>
    <w:rsid w:val="00411B14"/>
    <w:rsid w:val="00412C91"/>
    <w:rsid w:val="004132C5"/>
    <w:rsid w:val="00414064"/>
    <w:rsid w:val="00415DFF"/>
    <w:rsid w:val="00415E72"/>
    <w:rsid w:val="004173C3"/>
    <w:rsid w:val="00417745"/>
    <w:rsid w:val="00423CA6"/>
    <w:rsid w:val="00426438"/>
    <w:rsid w:val="00430454"/>
    <w:rsid w:val="004326A8"/>
    <w:rsid w:val="004328A4"/>
    <w:rsid w:val="00433962"/>
    <w:rsid w:val="00436141"/>
    <w:rsid w:val="00436B86"/>
    <w:rsid w:val="0043706A"/>
    <w:rsid w:val="004401B0"/>
    <w:rsid w:val="00441154"/>
    <w:rsid w:val="00441D90"/>
    <w:rsid w:val="00442224"/>
    <w:rsid w:val="004444EE"/>
    <w:rsid w:val="0044611A"/>
    <w:rsid w:val="004509DB"/>
    <w:rsid w:val="004524CF"/>
    <w:rsid w:val="00452582"/>
    <w:rsid w:val="00454812"/>
    <w:rsid w:val="004549FE"/>
    <w:rsid w:val="00454D38"/>
    <w:rsid w:val="00455C81"/>
    <w:rsid w:val="00457272"/>
    <w:rsid w:val="004575CA"/>
    <w:rsid w:val="00457D10"/>
    <w:rsid w:val="00457DCC"/>
    <w:rsid w:val="00461A18"/>
    <w:rsid w:val="00462060"/>
    <w:rsid w:val="00463A70"/>
    <w:rsid w:val="00463C1A"/>
    <w:rsid w:val="00463EEC"/>
    <w:rsid w:val="004640FF"/>
    <w:rsid w:val="00465490"/>
    <w:rsid w:val="00473FD3"/>
    <w:rsid w:val="00474746"/>
    <w:rsid w:val="00474A6A"/>
    <w:rsid w:val="00475AAB"/>
    <w:rsid w:val="00477432"/>
    <w:rsid w:val="00477D41"/>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B506B"/>
    <w:rsid w:val="004C221A"/>
    <w:rsid w:val="004C39F8"/>
    <w:rsid w:val="004C416A"/>
    <w:rsid w:val="004C55B7"/>
    <w:rsid w:val="004C5C1A"/>
    <w:rsid w:val="004C5D35"/>
    <w:rsid w:val="004D0A68"/>
    <w:rsid w:val="004D20BF"/>
    <w:rsid w:val="004D2C70"/>
    <w:rsid w:val="004D31D0"/>
    <w:rsid w:val="004D31F1"/>
    <w:rsid w:val="004D3566"/>
    <w:rsid w:val="004D4286"/>
    <w:rsid w:val="004D4733"/>
    <w:rsid w:val="004D4B45"/>
    <w:rsid w:val="004D6756"/>
    <w:rsid w:val="004D6C3E"/>
    <w:rsid w:val="004D7B29"/>
    <w:rsid w:val="004E14DE"/>
    <w:rsid w:val="004E2562"/>
    <w:rsid w:val="004E2E2F"/>
    <w:rsid w:val="004E6407"/>
    <w:rsid w:val="004E7CE8"/>
    <w:rsid w:val="004F0B49"/>
    <w:rsid w:val="004F1BEF"/>
    <w:rsid w:val="004F2430"/>
    <w:rsid w:val="004F2B91"/>
    <w:rsid w:val="004F3034"/>
    <w:rsid w:val="004F435E"/>
    <w:rsid w:val="00500714"/>
    <w:rsid w:val="005013EB"/>
    <w:rsid w:val="00506D24"/>
    <w:rsid w:val="005077D2"/>
    <w:rsid w:val="005118F6"/>
    <w:rsid w:val="0051350A"/>
    <w:rsid w:val="00517604"/>
    <w:rsid w:val="00517DA5"/>
    <w:rsid w:val="00517FA4"/>
    <w:rsid w:val="005216E4"/>
    <w:rsid w:val="00523D15"/>
    <w:rsid w:val="00525801"/>
    <w:rsid w:val="00530642"/>
    <w:rsid w:val="00530F88"/>
    <w:rsid w:val="00532B1C"/>
    <w:rsid w:val="00532EB9"/>
    <w:rsid w:val="00533388"/>
    <w:rsid w:val="00534E1F"/>
    <w:rsid w:val="00534F20"/>
    <w:rsid w:val="00537269"/>
    <w:rsid w:val="005412CE"/>
    <w:rsid w:val="005443C8"/>
    <w:rsid w:val="005447AD"/>
    <w:rsid w:val="0054683B"/>
    <w:rsid w:val="005502FB"/>
    <w:rsid w:val="00552527"/>
    <w:rsid w:val="00555278"/>
    <w:rsid w:val="005558E1"/>
    <w:rsid w:val="005564A4"/>
    <w:rsid w:val="0055674C"/>
    <w:rsid w:val="005606CB"/>
    <w:rsid w:val="00563265"/>
    <w:rsid w:val="00563A36"/>
    <w:rsid w:val="00563FD8"/>
    <w:rsid w:val="00564817"/>
    <w:rsid w:val="00564AD4"/>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194A"/>
    <w:rsid w:val="005B234E"/>
    <w:rsid w:val="005B3D8A"/>
    <w:rsid w:val="005B3EC2"/>
    <w:rsid w:val="005C1D68"/>
    <w:rsid w:val="005C58FA"/>
    <w:rsid w:val="005C5F49"/>
    <w:rsid w:val="005C71BC"/>
    <w:rsid w:val="005D2629"/>
    <w:rsid w:val="005D3ECB"/>
    <w:rsid w:val="005D48CD"/>
    <w:rsid w:val="005D4A78"/>
    <w:rsid w:val="005D54F1"/>
    <w:rsid w:val="005D5820"/>
    <w:rsid w:val="005E0208"/>
    <w:rsid w:val="005E03EB"/>
    <w:rsid w:val="005E1147"/>
    <w:rsid w:val="005E3D07"/>
    <w:rsid w:val="005E6B49"/>
    <w:rsid w:val="005E6BBA"/>
    <w:rsid w:val="005E7252"/>
    <w:rsid w:val="005E7AA8"/>
    <w:rsid w:val="005F02C2"/>
    <w:rsid w:val="005F39B5"/>
    <w:rsid w:val="005F70F7"/>
    <w:rsid w:val="005F754F"/>
    <w:rsid w:val="005F797F"/>
    <w:rsid w:val="00601F6F"/>
    <w:rsid w:val="006046D3"/>
    <w:rsid w:val="00605E3B"/>
    <w:rsid w:val="006065E8"/>
    <w:rsid w:val="00607B4C"/>
    <w:rsid w:val="00610940"/>
    <w:rsid w:val="0061497A"/>
    <w:rsid w:val="006155F0"/>
    <w:rsid w:val="00616766"/>
    <w:rsid w:val="00620386"/>
    <w:rsid w:val="00624C2C"/>
    <w:rsid w:val="006253B6"/>
    <w:rsid w:val="00625A15"/>
    <w:rsid w:val="00626286"/>
    <w:rsid w:val="00627BD8"/>
    <w:rsid w:val="0063178C"/>
    <w:rsid w:val="006349C4"/>
    <w:rsid w:val="00635114"/>
    <w:rsid w:val="00636177"/>
    <w:rsid w:val="006361D0"/>
    <w:rsid w:val="00637BE8"/>
    <w:rsid w:val="00637C90"/>
    <w:rsid w:val="00637D76"/>
    <w:rsid w:val="006408BF"/>
    <w:rsid w:val="00640A07"/>
    <w:rsid w:val="0064271E"/>
    <w:rsid w:val="006431FF"/>
    <w:rsid w:val="0064333A"/>
    <w:rsid w:val="00644F89"/>
    <w:rsid w:val="006553EC"/>
    <w:rsid w:val="00655674"/>
    <w:rsid w:val="00656027"/>
    <w:rsid w:val="00656746"/>
    <w:rsid w:val="006579EC"/>
    <w:rsid w:val="006623D2"/>
    <w:rsid w:val="0067005A"/>
    <w:rsid w:val="00673A7F"/>
    <w:rsid w:val="00680130"/>
    <w:rsid w:val="006824E0"/>
    <w:rsid w:val="00684A68"/>
    <w:rsid w:val="00685883"/>
    <w:rsid w:val="00691C90"/>
    <w:rsid w:val="00692458"/>
    <w:rsid w:val="0069388D"/>
    <w:rsid w:val="0069617C"/>
    <w:rsid w:val="006A0160"/>
    <w:rsid w:val="006A31AB"/>
    <w:rsid w:val="006A5215"/>
    <w:rsid w:val="006B18B2"/>
    <w:rsid w:val="006B322E"/>
    <w:rsid w:val="006B3640"/>
    <w:rsid w:val="006B61AC"/>
    <w:rsid w:val="006B6C90"/>
    <w:rsid w:val="006B7CA7"/>
    <w:rsid w:val="006C0039"/>
    <w:rsid w:val="006C1521"/>
    <w:rsid w:val="006C300E"/>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2644"/>
    <w:rsid w:val="006F47AA"/>
    <w:rsid w:val="006F73C8"/>
    <w:rsid w:val="00700549"/>
    <w:rsid w:val="00700B1E"/>
    <w:rsid w:val="00700B46"/>
    <w:rsid w:val="00702088"/>
    <w:rsid w:val="00702564"/>
    <w:rsid w:val="00702BEC"/>
    <w:rsid w:val="007033DE"/>
    <w:rsid w:val="00703CCF"/>
    <w:rsid w:val="00705460"/>
    <w:rsid w:val="007078AB"/>
    <w:rsid w:val="00712F00"/>
    <w:rsid w:val="007169E3"/>
    <w:rsid w:val="00720959"/>
    <w:rsid w:val="00721B04"/>
    <w:rsid w:val="00721E2A"/>
    <w:rsid w:val="00724D61"/>
    <w:rsid w:val="007277AF"/>
    <w:rsid w:val="00735CAA"/>
    <w:rsid w:val="0073719C"/>
    <w:rsid w:val="0073726D"/>
    <w:rsid w:val="00742E09"/>
    <w:rsid w:val="00745452"/>
    <w:rsid w:val="00745956"/>
    <w:rsid w:val="00746818"/>
    <w:rsid w:val="00747FC4"/>
    <w:rsid w:val="00752457"/>
    <w:rsid w:val="0075311C"/>
    <w:rsid w:val="007531E0"/>
    <w:rsid w:val="0075415F"/>
    <w:rsid w:val="00754898"/>
    <w:rsid w:val="00754A51"/>
    <w:rsid w:val="00760169"/>
    <w:rsid w:val="007606B4"/>
    <w:rsid w:val="00760845"/>
    <w:rsid w:val="007640E0"/>
    <w:rsid w:val="00764FEC"/>
    <w:rsid w:val="00766E67"/>
    <w:rsid w:val="007678AC"/>
    <w:rsid w:val="00770769"/>
    <w:rsid w:val="0077225F"/>
    <w:rsid w:val="00774042"/>
    <w:rsid w:val="007741B9"/>
    <w:rsid w:val="00774FDE"/>
    <w:rsid w:val="00775D89"/>
    <w:rsid w:val="00777EE3"/>
    <w:rsid w:val="007812CF"/>
    <w:rsid w:val="0078367D"/>
    <w:rsid w:val="00784CA8"/>
    <w:rsid w:val="00784D38"/>
    <w:rsid w:val="00785234"/>
    <w:rsid w:val="007860F6"/>
    <w:rsid w:val="00786881"/>
    <w:rsid w:val="00794435"/>
    <w:rsid w:val="00794ACF"/>
    <w:rsid w:val="007A1603"/>
    <w:rsid w:val="007A682A"/>
    <w:rsid w:val="007A7F29"/>
    <w:rsid w:val="007B03DA"/>
    <w:rsid w:val="007B1A7B"/>
    <w:rsid w:val="007B3138"/>
    <w:rsid w:val="007B40DC"/>
    <w:rsid w:val="007B6F78"/>
    <w:rsid w:val="007B75F4"/>
    <w:rsid w:val="007C10BA"/>
    <w:rsid w:val="007C2324"/>
    <w:rsid w:val="007C2806"/>
    <w:rsid w:val="007C5C1B"/>
    <w:rsid w:val="007C72E7"/>
    <w:rsid w:val="007D15D4"/>
    <w:rsid w:val="007D3448"/>
    <w:rsid w:val="007E04CD"/>
    <w:rsid w:val="007E4E9A"/>
    <w:rsid w:val="007E6EE6"/>
    <w:rsid w:val="007F29F8"/>
    <w:rsid w:val="007F2D82"/>
    <w:rsid w:val="007F2DE5"/>
    <w:rsid w:val="007F43F2"/>
    <w:rsid w:val="007F48B2"/>
    <w:rsid w:val="007F4EF0"/>
    <w:rsid w:val="007F5CFF"/>
    <w:rsid w:val="007F6BF2"/>
    <w:rsid w:val="0080712F"/>
    <w:rsid w:val="0081013E"/>
    <w:rsid w:val="008105EC"/>
    <w:rsid w:val="00810C0D"/>
    <w:rsid w:val="008113B4"/>
    <w:rsid w:val="008114F0"/>
    <w:rsid w:val="00811E69"/>
    <w:rsid w:val="00814D74"/>
    <w:rsid w:val="00814DE5"/>
    <w:rsid w:val="00814FD9"/>
    <w:rsid w:val="0081734F"/>
    <w:rsid w:val="00820942"/>
    <w:rsid w:val="00822B88"/>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6C6E"/>
    <w:rsid w:val="00867895"/>
    <w:rsid w:val="00875FE9"/>
    <w:rsid w:val="0087632F"/>
    <w:rsid w:val="0087684F"/>
    <w:rsid w:val="00876CAC"/>
    <w:rsid w:val="00884484"/>
    <w:rsid w:val="008852A7"/>
    <w:rsid w:val="00885A76"/>
    <w:rsid w:val="00886079"/>
    <w:rsid w:val="00891F34"/>
    <w:rsid w:val="0089550A"/>
    <w:rsid w:val="00895C04"/>
    <w:rsid w:val="008970B7"/>
    <w:rsid w:val="0089758F"/>
    <w:rsid w:val="008A0530"/>
    <w:rsid w:val="008A0B7D"/>
    <w:rsid w:val="008A1B21"/>
    <w:rsid w:val="008A3DD8"/>
    <w:rsid w:val="008A3F85"/>
    <w:rsid w:val="008A47BD"/>
    <w:rsid w:val="008A51E8"/>
    <w:rsid w:val="008A5A22"/>
    <w:rsid w:val="008B0AC9"/>
    <w:rsid w:val="008B0F37"/>
    <w:rsid w:val="008B55D2"/>
    <w:rsid w:val="008B5C21"/>
    <w:rsid w:val="008B791D"/>
    <w:rsid w:val="008C1C7C"/>
    <w:rsid w:val="008C208A"/>
    <w:rsid w:val="008D0538"/>
    <w:rsid w:val="008D0D9A"/>
    <w:rsid w:val="008D17E5"/>
    <w:rsid w:val="008D2CA8"/>
    <w:rsid w:val="008D4AA6"/>
    <w:rsid w:val="008D7511"/>
    <w:rsid w:val="008E0CD4"/>
    <w:rsid w:val="008E2267"/>
    <w:rsid w:val="008E5321"/>
    <w:rsid w:val="008E6827"/>
    <w:rsid w:val="008E7509"/>
    <w:rsid w:val="008F0F03"/>
    <w:rsid w:val="008F1341"/>
    <w:rsid w:val="008F2CF5"/>
    <w:rsid w:val="008F3034"/>
    <w:rsid w:val="008F3194"/>
    <w:rsid w:val="008F5E84"/>
    <w:rsid w:val="008F65FF"/>
    <w:rsid w:val="00901E01"/>
    <w:rsid w:val="009038B0"/>
    <w:rsid w:val="00904BC8"/>
    <w:rsid w:val="00906D5B"/>
    <w:rsid w:val="00907133"/>
    <w:rsid w:val="009071E8"/>
    <w:rsid w:val="009118F6"/>
    <w:rsid w:val="00911EB8"/>
    <w:rsid w:val="00912168"/>
    <w:rsid w:val="009139C7"/>
    <w:rsid w:val="00913CAC"/>
    <w:rsid w:val="0091437D"/>
    <w:rsid w:val="0091462B"/>
    <w:rsid w:val="009149B8"/>
    <w:rsid w:val="0091550B"/>
    <w:rsid w:val="00915D13"/>
    <w:rsid w:val="0091658D"/>
    <w:rsid w:val="009169F7"/>
    <w:rsid w:val="00917142"/>
    <w:rsid w:val="00920EF6"/>
    <w:rsid w:val="00921C0B"/>
    <w:rsid w:val="00921FF8"/>
    <w:rsid w:val="00922A50"/>
    <w:rsid w:val="00922BFD"/>
    <w:rsid w:val="00923EC8"/>
    <w:rsid w:val="009257F2"/>
    <w:rsid w:val="00925F13"/>
    <w:rsid w:val="00926417"/>
    <w:rsid w:val="009277AD"/>
    <w:rsid w:val="009306ED"/>
    <w:rsid w:val="00932B7F"/>
    <w:rsid w:val="00932D30"/>
    <w:rsid w:val="00933BFA"/>
    <w:rsid w:val="009369C2"/>
    <w:rsid w:val="00936C28"/>
    <w:rsid w:val="00936DC9"/>
    <w:rsid w:val="00936E45"/>
    <w:rsid w:val="00936F4C"/>
    <w:rsid w:val="0093796A"/>
    <w:rsid w:val="00940816"/>
    <w:rsid w:val="00942169"/>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697A"/>
    <w:rsid w:val="0096731B"/>
    <w:rsid w:val="0096785D"/>
    <w:rsid w:val="00970842"/>
    <w:rsid w:val="00971125"/>
    <w:rsid w:val="00971F4F"/>
    <w:rsid w:val="00972105"/>
    <w:rsid w:val="00972D70"/>
    <w:rsid w:val="0097363B"/>
    <w:rsid w:val="00974611"/>
    <w:rsid w:val="009746B1"/>
    <w:rsid w:val="00974A93"/>
    <w:rsid w:val="00975A13"/>
    <w:rsid w:val="00977BFB"/>
    <w:rsid w:val="00982385"/>
    <w:rsid w:val="00982810"/>
    <w:rsid w:val="009840DF"/>
    <w:rsid w:val="00986250"/>
    <w:rsid w:val="009903CC"/>
    <w:rsid w:val="0099355F"/>
    <w:rsid w:val="00995B1B"/>
    <w:rsid w:val="009A1396"/>
    <w:rsid w:val="009A2981"/>
    <w:rsid w:val="009A2BB5"/>
    <w:rsid w:val="009A336D"/>
    <w:rsid w:val="009A5010"/>
    <w:rsid w:val="009A63B5"/>
    <w:rsid w:val="009A7037"/>
    <w:rsid w:val="009B5A16"/>
    <w:rsid w:val="009C11CF"/>
    <w:rsid w:val="009C13FA"/>
    <w:rsid w:val="009C2AED"/>
    <w:rsid w:val="009C3009"/>
    <w:rsid w:val="009C3490"/>
    <w:rsid w:val="009C3BB0"/>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554"/>
    <w:rsid w:val="009E59FA"/>
    <w:rsid w:val="009E624F"/>
    <w:rsid w:val="009F72C8"/>
    <w:rsid w:val="00A006D5"/>
    <w:rsid w:val="00A01509"/>
    <w:rsid w:val="00A02651"/>
    <w:rsid w:val="00A0337B"/>
    <w:rsid w:val="00A035E4"/>
    <w:rsid w:val="00A03809"/>
    <w:rsid w:val="00A0459A"/>
    <w:rsid w:val="00A07C43"/>
    <w:rsid w:val="00A07ECF"/>
    <w:rsid w:val="00A116EA"/>
    <w:rsid w:val="00A11739"/>
    <w:rsid w:val="00A1208B"/>
    <w:rsid w:val="00A14311"/>
    <w:rsid w:val="00A1579B"/>
    <w:rsid w:val="00A20CEA"/>
    <w:rsid w:val="00A22058"/>
    <w:rsid w:val="00A24C42"/>
    <w:rsid w:val="00A2629A"/>
    <w:rsid w:val="00A26F1E"/>
    <w:rsid w:val="00A272D4"/>
    <w:rsid w:val="00A2737A"/>
    <w:rsid w:val="00A303C6"/>
    <w:rsid w:val="00A31E06"/>
    <w:rsid w:val="00A32873"/>
    <w:rsid w:val="00A32B6F"/>
    <w:rsid w:val="00A333F2"/>
    <w:rsid w:val="00A33B53"/>
    <w:rsid w:val="00A34A39"/>
    <w:rsid w:val="00A34EAB"/>
    <w:rsid w:val="00A36B5B"/>
    <w:rsid w:val="00A41E01"/>
    <w:rsid w:val="00A435C8"/>
    <w:rsid w:val="00A43682"/>
    <w:rsid w:val="00A45D6C"/>
    <w:rsid w:val="00A470E3"/>
    <w:rsid w:val="00A513AA"/>
    <w:rsid w:val="00A52481"/>
    <w:rsid w:val="00A6051F"/>
    <w:rsid w:val="00A60EED"/>
    <w:rsid w:val="00A61498"/>
    <w:rsid w:val="00A621FE"/>
    <w:rsid w:val="00A6232E"/>
    <w:rsid w:val="00A64430"/>
    <w:rsid w:val="00A65192"/>
    <w:rsid w:val="00A65C0A"/>
    <w:rsid w:val="00A66966"/>
    <w:rsid w:val="00A721C0"/>
    <w:rsid w:val="00A7294C"/>
    <w:rsid w:val="00A731B8"/>
    <w:rsid w:val="00A7517C"/>
    <w:rsid w:val="00A774B1"/>
    <w:rsid w:val="00A80319"/>
    <w:rsid w:val="00A84013"/>
    <w:rsid w:val="00A84E3E"/>
    <w:rsid w:val="00A856B1"/>
    <w:rsid w:val="00A8581C"/>
    <w:rsid w:val="00A86197"/>
    <w:rsid w:val="00A875F3"/>
    <w:rsid w:val="00A9080B"/>
    <w:rsid w:val="00A90E16"/>
    <w:rsid w:val="00A94E61"/>
    <w:rsid w:val="00A957B0"/>
    <w:rsid w:val="00A96564"/>
    <w:rsid w:val="00A96CD8"/>
    <w:rsid w:val="00A979FD"/>
    <w:rsid w:val="00AA15EB"/>
    <w:rsid w:val="00AA28F3"/>
    <w:rsid w:val="00AA2D7A"/>
    <w:rsid w:val="00AA2E86"/>
    <w:rsid w:val="00AA3549"/>
    <w:rsid w:val="00AA5307"/>
    <w:rsid w:val="00AB022E"/>
    <w:rsid w:val="00AB3BAC"/>
    <w:rsid w:val="00AB4AD3"/>
    <w:rsid w:val="00AC0797"/>
    <w:rsid w:val="00AC2EDE"/>
    <w:rsid w:val="00AC48BB"/>
    <w:rsid w:val="00AC53AF"/>
    <w:rsid w:val="00AD1D5A"/>
    <w:rsid w:val="00AD218F"/>
    <w:rsid w:val="00AD4F9D"/>
    <w:rsid w:val="00AD628A"/>
    <w:rsid w:val="00AE05E1"/>
    <w:rsid w:val="00AE0AC0"/>
    <w:rsid w:val="00AE2123"/>
    <w:rsid w:val="00AE486F"/>
    <w:rsid w:val="00AE59E5"/>
    <w:rsid w:val="00AE629D"/>
    <w:rsid w:val="00AE6938"/>
    <w:rsid w:val="00AE6DBC"/>
    <w:rsid w:val="00AE727A"/>
    <w:rsid w:val="00AF0A65"/>
    <w:rsid w:val="00AF1BC3"/>
    <w:rsid w:val="00AF223D"/>
    <w:rsid w:val="00AF22E7"/>
    <w:rsid w:val="00AF3F61"/>
    <w:rsid w:val="00AF532B"/>
    <w:rsid w:val="00AF56F0"/>
    <w:rsid w:val="00AF5C4F"/>
    <w:rsid w:val="00AF6143"/>
    <w:rsid w:val="00AF62FB"/>
    <w:rsid w:val="00AF67A9"/>
    <w:rsid w:val="00AF6BC5"/>
    <w:rsid w:val="00B024D9"/>
    <w:rsid w:val="00B03FFF"/>
    <w:rsid w:val="00B0502D"/>
    <w:rsid w:val="00B058EF"/>
    <w:rsid w:val="00B07F75"/>
    <w:rsid w:val="00B10AB7"/>
    <w:rsid w:val="00B1151B"/>
    <w:rsid w:val="00B15C93"/>
    <w:rsid w:val="00B170A2"/>
    <w:rsid w:val="00B17F72"/>
    <w:rsid w:val="00B203FF"/>
    <w:rsid w:val="00B22277"/>
    <w:rsid w:val="00B22944"/>
    <w:rsid w:val="00B238D4"/>
    <w:rsid w:val="00B2758D"/>
    <w:rsid w:val="00B30482"/>
    <w:rsid w:val="00B31526"/>
    <w:rsid w:val="00B3226B"/>
    <w:rsid w:val="00B326A7"/>
    <w:rsid w:val="00B32FF0"/>
    <w:rsid w:val="00B33322"/>
    <w:rsid w:val="00B33F30"/>
    <w:rsid w:val="00B33FA0"/>
    <w:rsid w:val="00B34124"/>
    <w:rsid w:val="00B3418C"/>
    <w:rsid w:val="00B34980"/>
    <w:rsid w:val="00B36C89"/>
    <w:rsid w:val="00B41CEE"/>
    <w:rsid w:val="00B420B6"/>
    <w:rsid w:val="00B4384D"/>
    <w:rsid w:val="00B438AC"/>
    <w:rsid w:val="00B450AD"/>
    <w:rsid w:val="00B47F44"/>
    <w:rsid w:val="00B500E8"/>
    <w:rsid w:val="00B506B5"/>
    <w:rsid w:val="00B52163"/>
    <w:rsid w:val="00B55EF6"/>
    <w:rsid w:val="00B61582"/>
    <w:rsid w:val="00B6217E"/>
    <w:rsid w:val="00B625F2"/>
    <w:rsid w:val="00B627C5"/>
    <w:rsid w:val="00B64367"/>
    <w:rsid w:val="00B64C8C"/>
    <w:rsid w:val="00B65F91"/>
    <w:rsid w:val="00B6685E"/>
    <w:rsid w:val="00B6769D"/>
    <w:rsid w:val="00B6772A"/>
    <w:rsid w:val="00B800A4"/>
    <w:rsid w:val="00B83559"/>
    <w:rsid w:val="00B853F1"/>
    <w:rsid w:val="00B86A43"/>
    <w:rsid w:val="00B91976"/>
    <w:rsid w:val="00B92CED"/>
    <w:rsid w:val="00B94117"/>
    <w:rsid w:val="00B96494"/>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5CA9"/>
    <w:rsid w:val="00BD6D69"/>
    <w:rsid w:val="00BE1539"/>
    <w:rsid w:val="00BE3E33"/>
    <w:rsid w:val="00BE429E"/>
    <w:rsid w:val="00BE4EDA"/>
    <w:rsid w:val="00BE6DC9"/>
    <w:rsid w:val="00BF27FA"/>
    <w:rsid w:val="00BF35EB"/>
    <w:rsid w:val="00BF36A0"/>
    <w:rsid w:val="00BF3884"/>
    <w:rsid w:val="00BF52DE"/>
    <w:rsid w:val="00BF6116"/>
    <w:rsid w:val="00C00318"/>
    <w:rsid w:val="00C01BE9"/>
    <w:rsid w:val="00C01D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65181"/>
    <w:rsid w:val="00C704CF"/>
    <w:rsid w:val="00C724D0"/>
    <w:rsid w:val="00C72507"/>
    <w:rsid w:val="00C74397"/>
    <w:rsid w:val="00C74A04"/>
    <w:rsid w:val="00C76376"/>
    <w:rsid w:val="00C76E2D"/>
    <w:rsid w:val="00C76FFF"/>
    <w:rsid w:val="00C77386"/>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432D"/>
    <w:rsid w:val="00CB7E08"/>
    <w:rsid w:val="00CC3A8E"/>
    <w:rsid w:val="00CC4F4F"/>
    <w:rsid w:val="00CC5AD8"/>
    <w:rsid w:val="00CD2527"/>
    <w:rsid w:val="00CD434F"/>
    <w:rsid w:val="00CD758F"/>
    <w:rsid w:val="00CE1D90"/>
    <w:rsid w:val="00CE2446"/>
    <w:rsid w:val="00CE5405"/>
    <w:rsid w:val="00CE5F47"/>
    <w:rsid w:val="00CE6986"/>
    <w:rsid w:val="00CE78F5"/>
    <w:rsid w:val="00CF24D4"/>
    <w:rsid w:val="00CF3925"/>
    <w:rsid w:val="00D01536"/>
    <w:rsid w:val="00D027B9"/>
    <w:rsid w:val="00D0489B"/>
    <w:rsid w:val="00D052B4"/>
    <w:rsid w:val="00D07A8B"/>
    <w:rsid w:val="00D10F72"/>
    <w:rsid w:val="00D11704"/>
    <w:rsid w:val="00D155A3"/>
    <w:rsid w:val="00D17891"/>
    <w:rsid w:val="00D17A5E"/>
    <w:rsid w:val="00D206E0"/>
    <w:rsid w:val="00D223CA"/>
    <w:rsid w:val="00D228B8"/>
    <w:rsid w:val="00D25DF9"/>
    <w:rsid w:val="00D25E0F"/>
    <w:rsid w:val="00D27637"/>
    <w:rsid w:val="00D30343"/>
    <w:rsid w:val="00D311E9"/>
    <w:rsid w:val="00D340FE"/>
    <w:rsid w:val="00D3635A"/>
    <w:rsid w:val="00D36920"/>
    <w:rsid w:val="00D36B09"/>
    <w:rsid w:val="00D434D3"/>
    <w:rsid w:val="00D4358F"/>
    <w:rsid w:val="00D443D7"/>
    <w:rsid w:val="00D47D42"/>
    <w:rsid w:val="00D50A2E"/>
    <w:rsid w:val="00D5188B"/>
    <w:rsid w:val="00D520E7"/>
    <w:rsid w:val="00D53C66"/>
    <w:rsid w:val="00D56DA0"/>
    <w:rsid w:val="00D609A1"/>
    <w:rsid w:val="00D62793"/>
    <w:rsid w:val="00D627BE"/>
    <w:rsid w:val="00D6578B"/>
    <w:rsid w:val="00D65905"/>
    <w:rsid w:val="00D65B5E"/>
    <w:rsid w:val="00D67E6B"/>
    <w:rsid w:val="00D71B35"/>
    <w:rsid w:val="00D74DFD"/>
    <w:rsid w:val="00D76360"/>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06E2"/>
    <w:rsid w:val="00DA1BCB"/>
    <w:rsid w:val="00DA21A2"/>
    <w:rsid w:val="00DA48F8"/>
    <w:rsid w:val="00DA5524"/>
    <w:rsid w:val="00DA60A4"/>
    <w:rsid w:val="00DA68C1"/>
    <w:rsid w:val="00DB0295"/>
    <w:rsid w:val="00DB207B"/>
    <w:rsid w:val="00DB3285"/>
    <w:rsid w:val="00DB5138"/>
    <w:rsid w:val="00DB6108"/>
    <w:rsid w:val="00DC008F"/>
    <w:rsid w:val="00DC3879"/>
    <w:rsid w:val="00DC4337"/>
    <w:rsid w:val="00DD2049"/>
    <w:rsid w:val="00DD24FD"/>
    <w:rsid w:val="00DD4464"/>
    <w:rsid w:val="00DD6074"/>
    <w:rsid w:val="00DD693A"/>
    <w:rsid w:val="00DE125D"/>
    <w:rsid w:val="00DE5620"/>
    <w:rsid w:val="00DE5C6B"/>
    <w:rsid w:val="00DE6056"/>
    <w:rsid w:val="00DE6090"/>
    <w:rsid w:val="00DF1CBC"/>
    <w:rsid w:val="00DF3EFE"/>
    <w:rsid w:val="00E02685"/>
    <w:rsid w:val="00E02831"/>
    <w:rsid w:val="00E0642F"/>
    <w:rsid w:val="00E0668F"/>
    <w:rsid w:val="00E069E4"/>
    <w:rsid w:val="00E07818"/>
    <w:rsid w:val="00E104DF"/>
    <w:rsid w:val="00E107B0"/>
    <w:rsid w:val="00E17DC5"/>
    <w:rsid w:val="00E21634"/>
    <w:rsid w:val="00E25BA6"/>
    <w:rsid w:val="00E27141"/>
    <w:rsid w:val="00E272E4"/>
    <w:rsid w:val="00E31382"/>
    <w:rsid w:val="00E31596"/>
    <w:rsid w:val="00E3510F"/>
    <w:rsid w:val="00E35C35"/>
    <w:rsid w:val="00E3663A"/>
    <w:rsid w:val="00E367AD"/>
    <w:rsid w:val="00E3733D"/>
    <w:rsid w:val="00E40792"/>
    <w:rsid w:val="00E410C8"/>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56DA"/>
    <w:rsid w:val="00E76C52"/>
    <w:rsid w:val="00E80B1C"/>
    <w:rsid w:val="00E8502D"/>
    <w:rsid w:val="00E870E4"/>
    <w:rsid w:val="00E8796B"/>
    <w:rsid w:val="00E90C07"/>
    <w:rsid w:val="00E93F27"/>
    <w:rsid w:val="00E94350"/>
    <w:rsid w:val="00E97B77"/>
    <w:rsid w:val="00EA060C"/>
    <w:rsid w:val="00EA4041"/>
    <w:rsid w:val="00EA4C6B"/>
    <w:rsid w:val="00EA7109"/>
    <w:rsid w:val="00EB103A"/>
    <w:rsid w:val="00EB256E"/>
    <w:rsid w:val="00EB26B6"/>
    <w:rsid w:val="00EB31D0"/>
    <w:rsid w:val="00EB3D6F"/>
    <w:rsid w:val="00EB44CD"/>
    <w:rsid w:val="00EB70EE"/>
    <w:rsid w:val="00EC0190"/>
    <w:rsid w:val="00EC3146"/>
    <w:rsid w:val="00EC4BB0"/>
    <w:rsid w:val="00EC4C64"/>
    <w:rsid w:val="00EC54D6"/>
    <w:rsid w:val="00EC7202"/>
    <w:rsid w:val="00ED2843"/>
    <w:rsid w:val="00ED2DE6"/>
    <w:rsid w:val="00ED4AAB"/>
    <w:rsid w:val="00EE0C5F"/>
    <w:rsid w:val="00EE285A"/>
    <w:rsid w:val="00EE3372"/>
    <w:rsid w:val="00EE5549"/>
    <w:rsid w:val="00EE5A45"/>
    <w:rsid w:val="00EE6F7A"/>
    <w:rsid w:val="00EE7CC7"/>
    <w:rsid w:val="00EF132D"/>
    <w:rsid w:val="00EF1F94"/>
    <w:rsid w:val="00EF273A"/>
    <w:rsid w:val="00EF46D9"/>
    <w:rsid w:val="00EF6148"/>
    <w:rsid w:val="00EF7E3E"/>
    <w:rsid w:val="00F03A6B"/>
    <w:rsid w:val="00F04F4D"/>
    <w:rsid w:val="00F071B9"/>
    <w:rsid w:val="00F07604"/>
    <w:rsid w:val="00F109DA"/>
    <w:rsid w:val="00F110A5"/>
    <w:rsid w:val="00F122F6"/>
    <w:rsid w:val="00F1400F"/>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262A"/>
    <w:rsid w:val="00F4308C"/>
    <w:rsid w:val="00F43685"/>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39BD"/>
    <w:rsid w:val="00F74407"/>
    <w:rsid w:val="00F764BE"/>
    <w:rsid w:val="00F77117"/>
    <w:rsid w:val="00F826D8"/>
    <w:rsid w:val="00F82AFD"/>
    <w:rsid w:val="00F82E4F"/>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3C03"/>
    <w:rsid w:val="00FA4E6F"/>
    <w:rsid w:val="00FA5C1A"/>
    <w:rsid w:val="00FA6EFF"/>
    <w:rsid w:val="00FB0F2E"/>
    <w:rsid w:val="00FB3E04"/>
    <w:rsid w:val="00FB4F23"/>
    <w:rsid w:val="00FB7092"/>
    <w:rsid w:val="00FC1860"/>
    <w:rsid w:val="00FC1B7F"/>
    <w:rsid w:val="00FC1F3B"/>
    <w:rsid w:val="00FC2456"/>
    <w:rsid w:val="00FC2A94"/>
    <w:rsid w:val="00FC4A8E"/>
    <w:rsid w:val="00FC5688"/>
    <w:rsid w:val="00FC6655"/>
    <w:rsid w:val="00FD13BC"/>
    <w:rsid w:val="00FD3169"/>
    <w:rsid w:val="00FD4961"/>
    <w:rsid w:val="00FD7976"/>
    <w:rsid w:val="00FE0686"/>
    <w:rsid w:val="00FE46F1"/>
    <w:rsid w:val="00FE5081"/>
    <w:rsid w:val="00FE70A6"/>
    <w:rsid w:val="00FE791C"/>
    <w:rsid w:val="00FE7FF1"/>
    <w:rsid w:val="00FF0FE9"/>
    <w:rsid w:val="00FF248A"/>
    <w:rsid w:val="00FF3F96"/>
    <w:rsid w:val="00FF55B2"/>
    <w:rsid w:val="00FF674A"/>
    <w:rsid w:val="00FF680D"/>
    <w:rsid w:val="00FF700B"/>
    <w:rsid w:val="017B53EA"/>
    <w:rsid w:val="01D5CDF3"/>
    <w:rsid w:val="02A00D87"/>
    <w:rsid w:val="06929F56"/>
    <w:rsid w:val="0A4A94F9"/>
    <w:rsid w:val="0DADCFAB"/>
    <w:rsid w:val="1162197F"/>
    <w:rsid w:val="1253C008"/>
    <w:rsid w:val="1331195E"/>
    <w:rsid w:val="135EC783"/>
    <w:rsid w:val="13CDA117"/>
    <w:rsid w:val="13DB3F3B"/>
    <w:rsid w:val="14DE6706"/>
    <w:rsid w:val="1586F793"/>
    <w:rsid w:val="18568967"/>
    <w:rsid w:val="18605BA1"/>
    <w:rsid w:val="198E69FB"/>
    <w:rsid w:val="19F9009D"/>
    <w:rsid w:val="1AA5B4A0"/>
    <w:rsid w:val="1D6F329B"/>
    <w:rsid w:val="1D6F79CB"/>
    <w:rsid w:val="1DD7867F"/>
    <w:rsid w:val="1EC36FD3"/>
    <w:rsid w:val="1FDEC0EF"/>
    <w:rsid w:val="1FF2BE78"/>
    <w:rsid w:val="2207E243"/>
    <w:rsid w:val="23A57CFA"/>
    <w:rsid w:val="23C1471D"/>
    <w:rsid w:val="24E9716C"/>
    <w:rsid w:val="251FE0B3"/>
    <w:rsid w:val="25346389"/>
    <w:rsid w:val="27AF47C3"/>
    <w:rsid w:val="28BFCD7F"/>
    <w:rsid w:val="290818EF"/>
    <w:rsid w:val="29288AEB"/>
    <w:rsid w:val="292973B5"/>
    <w:rsid w:val="2A47F1C9"/>
    <w:rsid w:val="2B79F936"/>
    <w:rsid w:val="2D208079"/>
    <w:rsid w:val="317140A1"/>
    <w:rsid w:val="349A9103"/>
    <w:rsid w:val="36A2A28E"/>
    <w:rsid w:val="37E6795B"/>
    <w:rsid w:val="3A1B08A4"/>
    <w:rsid w:val="3BA57946"/>
    <w:rsid w:val="403C666E"/>
    <w:rsid w:val="410FB08B"/>
    <w:rsid w:val="42B1A4F5"/>
    <w:rsid w:val="431F08E7"/>
    <w:rsid w:val="43D69141"/>
    <w:rsid w:val="455A35B4"/>
    <w:rsid w:val="46F65F71"/>
    <w:rsid w:val="48655689"/>
    <w:rsid w:val="48657A03"/>
    <w:rsid w:val="48DF1F96"/>
    <w:rsid w:val="4E90D053"/>
    <w:rsid w:val="4EAFD9D0"/>
    <w:rsid w:val="4F6CA819"/>
    <w:rsid w:val="50376701"/>
    <w:rsid w:val="50D1414C"/>
    <w:rsid w:val="52CA96E4"/>
    <w:rsid w:val="54C8E468"/>
    <w:rsid w:val="5516C493"/>
    <w:rsid w:val="554CBBD5"/>
    <w:rsid w:val="55AA4F06"/>
    <w:rsid w:val="55DA3D7C"/>
    <w:rsid w:val="568AEB1E"/>
    <w:rsid w:val="56F1F8AE"/>
    <w:rsid w:val="5CF5E524"/>
    <w:rsid w:val="5F2D99AD"/>
    <w:rsid w:val="60774177"/>
    <w:rsid w:val="60E51A6A"/>
    <w:rsid w:val="62ADD52A"/>
    <w:rsid w:val="62FDF0F2"/>
    <w:rsid w:val="65DDD243"/>
    <w:rsid w:val="67D4F9DB"/>
    <w:rsid w:val="68B0C868"/>
    <w:rsid w:val="68ECCD10"/>
    <w:rsid w:val="6964FD65"/>
    <w:rsid w:val="6A95259E"/>
    <w:rsid w:val="6AC56F26"/>
    <w:rsid w:val="6AEAC925"/>
    <w:rsid w:val="6BC357BD"/>
    <w:rsid w:val="6BCCC4A9"/>
    <w:rsid w:val="6BFDD91C"/>
    <w:rsid w:val="6C1FE138"/>
    <w:rsid w:val="6C87FF9E"/>
    <w:rsid w:val="6E62949B"/>
    <w:rsid w:val="6F4CB3BA"/>
    <w:rsid w:val="6F9C8A4F"/>
    <w:rsid w:val="707AE0E0"/>
    <w:rsid w:val="714C97A2"/>
    <w:rsid w:val="72CDA5A1"/>
    <w:rsid w:val="758E613F"/>
    <w:rsid w:val="77CB34AC"/>
    <w:rsid w:val="77D729A9"/>
    <w:rsid w:val="7880D78D"/>
    <w:rsid w:val="78F7F913"/>
    <w:rsid w:val="7C690192"/>
    <w:rsid w:val="7D829CC1"/>
    <w:rsid w:val="7E87D3CA"/>
    <w:rsid w:val="7FFED4D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453EF0EF"/>
  <w15:docId w15:val="{AE410C10-CA09-4E13-966F-939AD3974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3"/>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4"/>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7"/>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5"/>
      </w:numPr>
    </w:pPr>
    <w:rPr>
      <w:color w:val="000000"/>
    </w:rPr>
  </w:style>
  <w:style w:type="paragraph" w:customStyle="1" w:styleId="Romanlist">
    <w:name w:val="Roman list"/>
    <w:basedOn w:val="AlphaList"/>
    <w:uiPriority w:val="3"/>
    <w:qFormat/>
    <w:rsid w:val="00BA6DD4"/>
    <w:pPr>
      <w:numPr>
        <w:numId w:val="6"/>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table" w:styleId="GridTable1Light">
    <w:name w:val="Grid Table 1 Light"/>
    <w:basedOn w:val="TableNormal"/>
    <w:uiPriority w:val="46"/>
    <w:locked/>
    <w:rsid w:val="00BE6D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7C690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9217">
      <w:bodyDiv w:val="1"/>
      <w:marLeft w:val="0"/>
      <w:marRight w:val="0"/>
      <w:marTop w:val="0"/>
      <w:marBottom w:val="0"/>
      <w:divBdr>
        <w:top w:val="none" w:sz="0" w:space="0" w:color="auto"/>
        <w:left w:val="none" w:sz="0" w:space="0" w:color="auto"/>
        <w:bottom w:val="none" w:sz="0" w:space="0" w:color="auto"/>
        <w:right w:val="none" w:sz="0" w:space="0" w:color="auto"/>
      </w:divBdr>
      <w:divsChild>
        <w:div w:id="2138446491">
          <w:marLeft w:val="0"/>
          <w:marRight w:val="0"/>
          <w:marTop w:val="0"/>
          <w:marBottom w:val="0"/>
          <w:divBdr>
            <w:top w:val="none" w:sz="0" w:space="0" w:color="auto"/>
            <w:left w:val="none" w:sz="0" w:space="0" w:color="auto"/>
            <w:bottom w:val="none" w:sz="0" w:space="0" w:color="auto"/>
            <w:right w:val="none" w:sz="0" w:space="0" w:color="auto"/>
          </w:divBdr>
        </w:div>
        <w:div w:id="935357701">
          <w:marLeft w:val="0"/>
          <w:marRight w:val="0"/>
          <w:marTop w:val="0"/>
          <w:marBottom w:val="0"/>
          <w:divBdr>
            <w:top w:val="none" w:sz="0" w:space="0" w:color="auto"/>
            <w:left w:val="none" w:sz="0" w:space="0" w:color="auto"/>
            <w:bottom w:val="none" w:sz="0" w:space="0" w:color="auto"/>
            <w:right w:val="none" w:sz="0" w:space="0" w:color="auto"/>
          </w:divBdr>
        </w:div>
      </w:divsChild>
    </w:div>
    <w:div w:id="530799105">
      <w:bodyDiv w:val="1"/>
      <w:marLeft w:val="0"/>
      <w:marRight w:val="0"/>
      <w:marTop w:val="0"/>
      <w:marBottom w:val="0"/>
      <w:divBdr>
        <w:top w:val="none" w:sz="0" w:space="0" w:color="auto"/>
        <w:left w:val="none" w:sz="0" w:space="0" w:color="auto"/>
        <w:bottom w:val="none" w:sz="0" w:space="0" w:color="auto"/>
        <w:right w:val="none" w:sz="0" w:space="0" w:color="auto"/>
      </w:divBdr>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670573124">
      <w:bodyDiv w:val="1"/>
      <w:marLeft w:val="0"/>
      <w:marRight w:val="0"/>
      <w:marTop w:val="0"/>
      <w:marBottom w:val="0"/>
      <w:divBdr>
        <w:top w:val="none" w:sz="0" w:space="0" w:color="auto"/>
        <w:left w:val="none" w:sz="0" w:space="0" w:color="auto"/>
        <w:bottom w:val="none" w:sz="0" w:space="0" w:color="auto"/>
        <w:right w:val="none" w:sz="0" w:space="0" w:color="auto"/>
      </w:divBdr>
    </w:div>
    <w:div w:id="943196769">
      <w:bodyDiv w:val="1"/>
      <w:marLeft w:val="0"/>
      <w:marRight w:val="0"/>
      <w:marTop w:val="0"/>
      <w:marBottom w:val="0"/>
      <w:divBdr>
        <w:top w:val="none" w:sz="0" w:space="0" w:color="auto"/>
        <w:left w:val="none" w:sz="0" w:space="0" w:color="auto"/>
        <w:bottom w:val="none" w:sz="0" w:space="0" w:color="auto"/>
        <w:right w:val="none" w:sz="0" w:space="0" w:color="auto"/>
      </w:divBdr>
    </w:div>
    <w:div w:id="1080642662">
      <w:bodyDiv w:val="1"/>
      <w:marLeft w:val="0"/>
      <w:marRight w:val="0"/>
      <w:marTop w:val="0"/>
      <w:marBottom w:val="0"/>
      <w:divBdr>
        <w:top w:val="none" w:sz="0" w:space="0" w:color="auto"/>
        <w:left w:val="none" w:sz="0" w:space="0" w:color="auto"/>
        <w:bottom w:val="none" w:sz="0" w:space="0" w:color="auto"/>
        <w:right w:val="none" w:sz="0" w:space="0" w:color="auto"/>
      </w:divBdr>
      <w:divsChild>
        <w:div w:id="867528138">
          <w:marLeft w:val="0"/>
          <w:marRight w:val="0"/>
          <w:marTop w:val="0"/>
          <w:marBottom w:val="0"/>
          <w:divBdr>
            <w:top w:val="none" w:sz="0" w:space="0" w:color="auto"/>
            <w:left w:val="none" w:sz="0" w:space="0" w:color="auto"/>
            <w:bottom w:val="none" w:sz="0" w:space="0" w:color="auto"/>
            <w:right w:val="none" w:sz="0" w:space="0" w:color="auto"/>
          </w:divBdr>
        </w:div>
        <w:div w:id="239025198">
          <w:marLeft w:val="0"/>
          <w:marRight w:val="0"/>
          <w:marTop w:val="0"/>
          <w:marBottom w:val="0"/>
          <w:divBdr>
            <w:top w:val="none" w:sz="0" w:space="0" w:color="auto"/>
            <w:left w:val="none" w:sz="0" w:space="0" w:color="auto"/>
            <w:bottom w:val="none" w:sz="0" w:space="0" w:color="auto"/>
            <w:right w:val="none" w:sz="0" w:space="0" w:color="auto"/>
          </w:divBdr>
        </w:div>
      </w:divsChild>
    </w:div>
    <w:div w:id="1089815855">
      <w:bodyDiv w:val="1"/>
      <w:marLeft w:val="0"/>
      <w:marRight w:val="0"/>
      <w:marTop w:val="0"/>
      <w:marBottom w:val="0"/>
      <w:divBdr>
        <w:top w:val="none" w:sz="0" w:space="0" w:color="auto"/>
        <w:left w:val="none" w:sz="0" w:space="0" w:color="auto"/>
        <w:bottom w:val="none" w:sz="0" w:space="0" w:color="auto"/>
        <w:right w:val="none" w:sz="0" w:space="0" w:color="auto"/>
      </w:divBdr>
      <w:divsChild>
        <w:div w:id="1845902376">
          <w:marLeft w:val="0"/>
          <w:marRight w:val="0"/>
          <w:marTop w:val="0"/>
          <w:marBottom w:val="0"/>
          <w:divBdr>
            <w:top w:val="none" w:sz="0" w:space="0" w:color="auto"/>
            <w:left w:val="none" w:sz="0" w:space="0" w:color="auto"/>
            <w:bottom w:val="none" w:sz="0" w:space="0" w:color="auto"/>
            <w:right w:val="none" w:sz="0" w:space="0" w:color="auto"/>
          </w:divBdr>
        </w:div>
        <w:div w:id="1494833617">
          <w:marLeft w:val="0"/>
          <w:marRight w:val="0"/>
          <w:marTop w:val="0"/>
          <w:marBottom w:val="0"/>
          <w:divBdr>
            <w:top w:val="none" w:sz="0" w:space="0" w:color="auto"/>
            <w:left w:val="none" w:sz="0" w:space="0" w:color="auto"/>
            <w:bottom w:val="none" w:sz="0" w:space="0" w:color="auto"/>
            <w:right w:val="none" w:sz="0" w:space="0" w:color="auto"/>
          </w:divBdr>
        </w:div>
      </w:divsChild>
    </w:div>
    <w:div w:id="1108542910">
      <w:bodyDiv w:val="1"/>
      <w:marLeft w:val="0"/>
      <w:marRight w:val="0"/>
      <w:marTop w:val="0"/>
      <w:marBottom w:val="0"/>
      <w:divBdr>
        <w:top w:val="none" w:sz="0" w:space="0" w:color="auto"/>
        <w:left w:val="none" w:sz="0" w:space="0" w:color="auto"/>
        <w:bottom w:val="none" w:sz="0" w:space="0" w:color="auto"/>
        <w:right w:val="none" w:sz="0" w:space="0" w:color="auto"/>
      </w:divBdr>
    </w:div>
    <w:div w:id="1248537850">
      <w:bodyDiv w:val="1"/>
      <w:marLeft w:val="0"/>
      <w:marRight w:val="0"/>
      <w:marTop w:val="0"/>
      <w:marBottom w:val="0"/>
      <w:divBdr>
        <w:top w:val="none" w:sz="0" w:space="0" w:color="auto"/>
        <w:left w:val="none" w:sz="0" w:space="0" w:color="auto"/>
        <w:bottom w:val="none" w:sz="0" w:space="0" w:color="auto"/>
        <w:right w:val="none" w:sz="0" w:space="0" w:color="auto"/>
      </w:divBdr>
      <w:divsChild>
        <w:div w:id="1423453177">
          <w:marLeft w:val="0"/>
          <w:marRight w:val="0"/>
          <w:marTop w:val="0"/>
          <w:marBottom w:val="0"/>
          <w:divBdr>
            <w:top w:val="none" w:sz="0" w:space="0" w:color="auto"/>
            <w:left w:val="none" w:sz="0" w:space="0" w:color="auto"/>
            <w:bottom w:val="none" w:sz="0" w:space="0" w:color="auto"/>
            <w:right w:val="none" w:sz="0" w:space="0" w:color="auto"/>
          </w:divBdr>
        </w:div>
        <w:div w:id="706218779">
          <w:marLeft w:val="0"/>
          <w:marRight w:val="0"/>
          <w:marTop w:val="0"/>
          <w:marBottom w:val="0"/>
          <w:divBdr>
            <w:top w:val="none" w:sz="0" w:space="0" w:color="auto"/>
            <w:left w:val="none" w:sz="0" w:space="0" w:color="auto"/>
            <w:bottom w:val="none" w:sz="0" w:space="0" w:color="auto"/>
            <w:right w:val="none" w:sz="0" w:space="0" w:color="auto"/>
          </w:divBdr>
        </w:div>
        <w:div w:id="639841384">
          <w:marLeft w:val="0"/>
          <w:marRight w:val="0"/>
          <w:marTop w:val="0"/>
          <w:marBottom w:val="0"/>
          <w:divBdr>
            <w:top w:val="none" w:sz="0" w:space="0" w:color="auto"/>
            <w:left w:val="none" w:sz="0" w:space="0" w:color="auto"/>
            <w:bottom w:val="none" w:sz="0" w:space="0" w:color="auto"/>
            <w:right w:val="none" w:sz="0" w:space="0" w:color="auto"/>
          </w:divBdr>
        </w:div>
        <w:div w:id="1984310422">
          <w:marLeft w:val="0"/>
          <w:marRight w:val="0"/>
          <w:marTop w:val="0"/>
          <w:marBottom w:val="0"/>
          <w:divBdr>
            <w:top w:val="none" w:sz="0" w:space="0" w:color="auto"/>
            <w:left w:val="none" w:sz="0" w:space="0" w:color="auto"/>
            <w:bottom w:val="none" w:sz="0" w:space="0" w:color="auto"/>
            <w:right w:val="none" w:sz="0" w:space="0" w:color="auto"/>
          </w:divBdr>
        </w:div>
        <w:div w:id="1992709154">
          <w:marLeft w:val="0"/>
          <w:marRight w:val="0"/>
          <w:marTop w:val="0"/>
          <w:marBottom w:val="0"/>
          <w:divBdr>
            <w:top w:val="none" w:sz="0" w:space="0" w:color="auto"/>
            <w:left w:val="none" w:sz="0" w:space="0" w:color="auto"/>
            <w:bottom w:val="none" w:sz="0" w:space="0" w:color="auto"/>
            <w:right w:val="none" w:sz="0" w:space="0" w:color="auto"/>
          </w:divBdr>
        </w:div>
      </w:divsChild>
    </w:div>
    <w:div w:id="1299414487">
      <w:bodyDiv w:val="1"/>
      <w:marLeft w:val="0"/>
      <w:marRight w:val="0"/>
      <w:marTop w:val="0"/>
      <w:marBottom w:val="0"/>
      <w:divBdr>
        <w:top w:val="none" w:sz="0" w:space="0" w:color="auto"/>
        <w:left w:val="none" w:sz="0" w:space="0" w:color="auto"/>
        <w:bottom w:val="none" w:sz="0" w:space="0" w:color="auto"/>
        <w:right w:val="none" w:sz="0" w:space="0" w:color="auto"/>
      </w:divBdr>
    </w:div>
    <w:div w:id="1355840749">
      <w:bodyDiv w:val="1"/>
      <w:marLeft w:val="0"/>
      <w:marRight w:val="0"/>
      <w:marTop w:val="0"/>
      <w:marBottom w:val="0"/>
      <w:divBdr>
        <w:top w:val="none" w:sz="0" w:space="0" w:color="auto"/>
        <w:left w:val="none" w:sz="0" w:space="0" w:color="auto"/>
        <w:bottom w:val="none" w:sz="0" w:space="0" w:color="auto"/>
        <w:right w:val="none" w:sz="0" w:space="0" w:color="auto"/>
      </w:divBdr>
      <w:divsChild>
        <w:div w:id="2090492377">
          <w:marLeft w:val="0"/>
          <w:marRight w:val="0"/>
          <w:marTop w:val="0"/>
          <w:marBottom w:val="0"/>
          <w:divBdr>
            <w:top w:val="none" w:sz="0" w:space="0" w:color="auto"/>
            <w:left w:val="none" w:sz="0" w:space="0" w:color="auto"/>
            <w:bottom w:val="none" w:sz="0" w:space="0" w:color="auto"/>
            <w:right w:val="none" w:sz="0" w:space="0" w:color="auto"/>
          </w:divBdr>
        </w:div>
        <w:div w:id="590814905">
          <w:marLeft w:val="0"/>
          <w:marRight w:val="0"/>
          <w:marTop w:val="0"/>
          <w:marBottom w:val="0"/>
          <w:divBdr>
            <w:top w:val="none" w:sz="0" w:space="0" w:color="auto"/>
            <w:left w:val="none" w:sz="0" w:space="0" w:color="auto"/>
            <w:bottom w:val="none" w:sz="0" w:space="0" w:color="auto"/>
            <w:right w:val="none" w:sz="0" w:space="0" w:color="auto"/>
          </w:divBdr>
        </w:div>
        <w:div w:id="1671979732">
          <w:marLeft w:val="0"/>
          <w:marRight w:val="0"/>
          <w:marTop w:val="0"/>
          <w:marBottom w:val="0"/>
          <w:divBdr>
            <w:top w:val="none" w:sz="0" w:space="0" w:color="auto"/>
            <w:left w:val="none" w:sz="0" w:space="0" w:color="auto"/>
            <w:bottom w:val="none" w:sz="0" w:space="0" w:color="auto"/>
            <w:right w:val="none" w:sz="0" w:space="0" w:color="auto"/>
          </w:divBdr>
        </w:div>
        <w:div w:id="256989865">
          <w:marLeft w:val="0"/>
          <w:marRight w:val="0"/>
          <w:marTop w:val="0"/>
          <w:marBottom w:val="0"/>
          <w:divBdr>
            <w:top w:val="none" w:sz="0" w:space="0" w:color="auto"/>
            <w:left w:val="none" w:sz="0" w:space="0" w:color="auto"/>
            <w:bottom w:val="none" w:sz="0" w:space="0" w:color="auto"/>
            <w:right w:val="none" w:sz="0" w:space="0" w:color="auto"/>
          </w:divBdr>
        </w:div>
        <w:div w:id="525362309">
          <w:marLeft w:val="0"/>
          <w:marRight w:val="0"/>
          <w:marTop w:val="0"/>
          <w:marBottom w:val="0"/>
          <w:divBdr>
            <w:top w:val="none" w:sz="0" w:space="0" w:color="auto"/>
            <w:left w:val="none" w:sz="0" w:space="0" w:color="auto"/>
            <w:bottom w:val="none" w:sz="0" w:space="0" w:color="auto"/>
            <w:right w:val="none" w:sz="0" w:space="0" w:color="auto"/>
          </w:divBdr>
        </w:div>
        <w:div w:id="251396419">
          <w:marLeft w:val="0"/>
          <w:marRight w:val="0"/>
          <w:marTop w:val="0"/>
          <w:marBottom w:val="0"/>
          <w:divBdr>
            <w:top w:val="none" w:sz="0" w:space="0" w:color="auto"/>
            <w:left w:val="none" w:sz="0" w:space="0" w:color="auto"/>
            <w:bottom w:val="none" w:sz="0" w:space="0" w:color="auto"/>
            <w:right w:val="none" w:sz="0" w:space="0" w:color="auto"/>
          </w:divBdr>
        </w:div>
        <w:div w:id="1678312795">
          <w:marLeft w:val="0"/>
          <w:marRight w:val="0"/>
          <w:marTop w:val="0"/>
          <w:marBottom w:val="0"/>
          <w:divBdr>
            <w:top w:val="none" w:sz="0" w:space="0" w:color="auto"/>
            <w:left w:val="none" w:sz="0" w:space="0" w:color="auto"/>
            <w:bottom w:val="none" w:sz="0" w:space="0" w:color="auto"/>
            <w:right w:val="none" w:sz="0" w:space="0" w:color="auto"/>
          </w:divBdr>
        </w:div>
        <w:div w:id="167983032">
          <w:marLeft w:val="0"/>
          <w:marRight w:val="0"/>
          <w:marTop w:val="0"/>
          <w:marBottom w:val="0"/>
          <w:divBdr>
            <w:top w:val="none" w:sz="0" w:space="0" w:color="auto"/>
            <w:left w:val="none" w:sz="0" w:space="0" w:color="auto"/>
            <w:bottom w:val="none" w:sz="0" w:space="0" w:color="auto"/>
            <w:right w:val="none" w:sz="0" w:space="0" w:color="auto"/>
          </w:divBdr>
        </w:div>
        <w:div w:id="1085998857">
          <w:marLeft w:val="0"/>
          <w:marRight w:val="0"/>
          <w:marTop w:val="0"/>
          <w:marBottom w:val="0"/>
          <w:divBdr>
            <w:top w:val="none" w:sz="0" w:space="0" w:color="auto"/>
            <w:left w:val="none" w:sz="0" w:space="0" w:color="auto"/>
            <w:bottom w:val="none" w:sz="0" w:space="0" w:color="auto"/>
            <w:right w:val="none" w:sz="0" w:space="0" w:color="auto"/>
          </w:divBdr>
        </w:div>
        <w:div w:id="2094550019">
          <w:marLeft w:val="0"/>
          <w:marRight w:val="0"/>
          <w:marTop w:val="0"/>
          <w:marBottom w:val="0"/>
          <w:divBdr>
            <w:top w:val="none" w:sz="0" w:space="0" w:color="auto"/>
            <w:left w:val="none" w:sz="0" w:space="0" w:color="auto"/>
            <w:bottom w:val="none" w:sz="0" w:space="0" w:color="auto"/>
            <w:right w:val="none" w:sz="0" w:space="0" w:color="auto"/>
          </w:divBdr>
        </w:div>
        <w:div w:id="395591232">
          <w:marLeft w:val="0"/>
          <w:marRight w:val="0"/>
          <w:marTop w:val="0"/>
          <w:marBottom w:val="0"/>
          <w:divBdr>
            <w:top w:val="none" w:sz="0" w:space="0" w:color="auto"/>
            <w:left w:val="none" w:sz="0" w:space="0" w:color="auto"/>
            <w:bottom w:val="none" w:sz="0" w:space="0" w:color="auto"/>
            <w:right w:val="none" w:sz="0" w:space="0" w:color="auto"/>
          </w:divBdr>
        </w:div>
        <w:div w:id="1790852851">
          <w:marLeft w:val="0"/>
          <w:marRight w:val="0"/>
          <w:marTop w:val="0"/>
          <w:marBottom w:val="0"/>
          <w:divBdr>
            <w:top w:val="none" w:sz="0" w:space="0" w:color="auto"/>
            <w:left w:val="none" w:sz="0" w:space="0" w:color="auto"/>
            <w:bottom w:val="none" w:sz="0" w:space="0" w:color="auto"/>
            <w:right w:val="none" w:sz="0" w:space="0" w:color="auto"/>
          </w:divBdr>
        </w:div>
        <w:div w:id="234360261">
          <w:marLeft w:val="0"/>
          <w:marRight w:val="0"/>
          <w:marTop w:val="0"/>
          <w:marBottom w:val="0"/>
          <w:divBdr>
            <w:top w:val="none" w:sz="0" w:space="0" w:color="auto"/>
            <w:left w:val="none" w:sz="0" w:space="0" w:color="auto"/>
            <w:bottom w:val="none" w:sz="0" w:space="0" w:color="auto"/>
            <w:right w:val="none" w:sz="0" w:space="0" w:color="auto"/>
          </w:divBdr>
        </w:div>
        <w:div w:id="1261643032">
          <w:marLeft w:val="0"/>
          <w:marRight w:val="0"/>
          <w:marTop w:val="0"/>
          <w:marBottom w:val="0"/>
          <w:divBdr>
            <w:top w:val="none" w:sz="0" w:space="0" w:color="auto"/>
            <w:left w:val="none" w:sz="0" w:space="0" w:color="auto"/>
            <w:bottom w:val="none" w:sz="0" w:space="0" w:color="auto"/>
            <w:right w:val="none" w:sz="0" w:space="0" w:color="auto"/>
          </w:divBdr>
        </w:div>
        <w:div w:id="1323119505">
          <w:marLeft w:val="0"/>
          <w:marRight w:val="0"/>
          <w:marTop w:val="0"/>
          <w:marBottom w:val="0"/>
          <w:divBdr>
            <w:top w:val="none" w:sz="0" w:space="0" w:color="auto"/>
            <w:left w:val="none" w:sz="0" w:space="0" w:color="auto"/>
            <w:bottom w:val="none" w:sz="0" w:space="0" w:color="auto"/>
            <w:right w:val="none" w:sz="0" w:space="0" w:color="auto"/>
          </w:divBdr>
        </w:div>
        <w:div w:id="1273899861">
          <w:marLeft w:val="0"/>
          <w:marRight w:val="0"/>
          <w:marTop w:val="0"/>
          <w:marBottom w:val="0"/>
          <w:divBdr>
            <w:top w:val="none" w:sz="0" w:space="0" w:color="auto"/>
            <w:left w:val="none" w:sz="0" w:space="0" w:color="auto"/>
            <w:bottom w:val="none" w:sz="0" w:space="0" w:color="auto"/>
            <w:right w:val="none" w:sz="0" w:space="0" w:color="auto"/>
          </w:divBdr>
        </w:div>
        <w:div w:id="1687098997">
          <w:marLeft w:val="0"/>
          <w:marRight w:val="0"/>
          <w:marTop w:val="0"/>
          <w:marBottom w:val="0"/>
          <w:divBdr>
            <w:top w:val="none" w:sz="0" w:space="0" w:color="auto"/>
            <w:left w:val="none" w:sz="0" w:space="0" w:color="auto"/>
            <w:bottom w:val="none" w:sz="0" w:space="0" w:color="auto"/>
            <w:right w:val="none" w:sz="0" w:space="0" w:color="auto"/>
          </w:divBdr>
        </w:div>
        <w:div w:id="1383821321">
          <w:marLeft w:val="0"/>
          <w:marRight w:val="0"/>
          <w:marTop w:val="0"/>
          <w:marBottom w:val="0"/>
          <w:divBdr>
            <w:top w:val="none" w:sz="0" w:space="0" w:color="auto"/>
            <w:left w:val="none" w:sz="0" w:space="0" w:color="auto"/>
            <w:bottom w:val="none" w:sz="0" w:space="0" w:color="auto"/>
            <w:right w:val="none" w:sz="0" w:space="0" w:color="auto"/>
          </w:divBdr>
        </w:div>
        <w:div w:id="1086682924">
          <w:marLeft w:val="0"/>
          <w:marRight w:val="0"/>
          <w:marTop w:val="0"/>
          <w:marBottom w:val="0"/>
          <w:divBdr>
            <w:top w:val="none" w:sz="0" w:space="0" w:color="auto"/>
            <w:left w:val="none" w:sz="0" w:space="0" w:color="auto"/>
            <w:bottom w:val="none" w:sz="0" w:space="0" w:color="auto"/>
            <w:right w:val="none" w:sz="0" w:space="0" w:color="auto"/>
          </w:divBdr>
        </w:div>
        <w:div w:id="152526965">
          <w:marLeft w:val="0"/>
          <w:marRight w:val="0"/>
          <w:marTop w:val="0"/>
          <w:marBottom w:val="0"/>
          <w:divBdr>
            <w:top w:val="none" w:sz="0" w:space="0" w:color="auto"/>
            <w:left w:val="none" w:sz="0" w:space="0" w:color="auto"/>
            <w:bottom w:val="none" w:sz="0" w:space="0" w:color="auto"/>
            <w:right w:val="none" w:sz="0" w:space="0" w:color="auto"/>
          </w:divBdr>
        </w:div>
        <w:div w:id="842010413">
          <w:marLeft w:val="0"/>
          <w:marRight w:val="0"/>
          <w:marTop w:val="0"/>
          <w:marBottom w:val="0"/>
          <w:divBdr>
            <w:top w:val="none" w:sz="0" w:space="0" w:color="auto"/>
            <w:left w:val="none" w:sz="0" w:space="0" w:color="auto"/>
            <w:bottom w:val="none" w:sz="0" w:space="0" w:color="auto"/>
            <w:right w:val="none" w:sz="0" w:space="0" w:color="auto"/>
          </w:divBdr>
        </w:div>
      </w:divsChild>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482847784">
      <w:bodyDiv w:val="1"/>
      <w:marLeft w:val="0"/>
      <w:marRight w:val="0"/>
      <w:marTop w:val="0"/>
      <w:marBottom w:val="0"/>
      <w:divBdr>
        <w:top w:val="none" w:sz="0" w:space="0" w:color="auto"/>
        <w:left w:val="none" w:sz="0" w:space="0" w:color="auto"/>
        <w:bottom w:val="none" w:sz="0" w:space="0" w:color="auto"/>
        <w:right w:val="none" w:sz="0" w:space="0" w:color="auto"/>
      </w:divBdr>
      <w:divsChild>
        <w:div w:id="1172597749">
          <w:marLeft w:val="0"/>
          <w:marRight w:val="0"/>
          <w:marTop w:val="0"/>
          <w:marBottom w:val="0"/>
          <w:divBdr>
            <w:top w:val="none" w:sz="0" w:space="0" w:color="auto"/>
            <w:left w:val="none" w:sz="0" w:space="0" w:color="auto"/>
            <w:bottom w:val="none" w:sz="0" w:space="0" w:color="auto"/>
            <w:right w:val="none" w:sz="0" w:space="0" w:color="auto"/>
          </w:divBdr>
        </w:div>
        <w:div w:id="1078407666">
          <w:marLeft w:val="0"/>
          <w:marRight w:val="0"/>
          <w:marTop w:val="0"/>
          <w:marBottom w:val="0"/>
          <w:divBdr>
            <w:top w:val="none" w:sz="0" w:space="0" w:color="auto"/>
            <w:left w:val="none" w:sz="0" w:space="0" w:color="auto"/>
            <w:bottom w:val="none" w:sz="0" w:space="0" w:color="auto"/>
            <w:right w:val="none" w:sz="0" w:space="0" w:color="auto"/>
          </w:divBdr>
        </w:div>
        <w:div w:id="808589964">
          <w:marLeft w:val="0"/>
          <w:marRight w:val="0"/>
          <w:marTop w:val="0"/>
          <w:marBottom w:val="0"/>
          <w:divBdr>
            <w:top w:val="none" w:sz="0" w:space="0" w:color="auto"/>
            <w:left w:val="none" w:sz="0" w:space="0" w:color="auto"/>
            <w:bottom w:val="none" w:sz="0" w:space="0" w:color="auto"/>
            <w:right w:val="none" w:sz="0" w:space="0" w:color="auto"/>
          </w:divBdr>
        </w:div>
        <w:div w:id="1046300401">
          <w:marLeft w:val="0"/>
          <w:marRight w:val="0"/>
          <w:marTop w:val="0"/>
          <w:marBottom w:val="0"/>
          <w:divBdr>
            <w:top w:val="none" w:sz="0" w:space="0" w:color="auto"/>
            <w:left w:val="none" w:sz="0" w:space="0" w:color="auto"/>
            <w:bottom w:val="none" w:sz="0" w:space="0" w:color="auto"/>
            <w:right w:val="none" w:sz="0" w:space="0" w:color="auto"/>
          </w:divBdr>
        </w:div>
        <w:div w:id="1017385304">
          <w:marLeft w:val="0"/>
          <w:marRight w:val="0"/>
          <w:marTop w:val="0"/>
          <w:marBottom w:val="0"/>
          <w:divBdr>
            <w:top w:val="none" w:sz="0" w:space="0" w:color="auto"/>
            <w:left w:val="none" w:sz="0" w:space="0" w:color="auto"/>
            <w:bottom w:val="none" w:sz="0" w:space="0" w:color="auto"/>
            <w:right w:val="none" w:sz="0" w:space="0" w:color="auto"/>
          </w:divBdr>
        </w:div>
        <w:div w:id="199635887">
          <w:marLeft w:val="0"/>
          <w:marRight w:val="0"/>
          <w:marTop w:val="0"/>
          <w:marBottom w:val="0"/>
          <w:divBdr>
            <w:top w:val="none" w:sz="0" w:space="0" w:color="auto"/>
            <w:left w:val="none" w:sz="0" w:space="0" w:color="auto"/>
            <w:bottom w:val="none" w:sz="0" w:space="0" w:color="auto"/>
            <w:right w:val="none" w:sz="0" w:space="0" w:color="auto"/>
          </w:divBdr>
        </w:div>
        <w:div w:id="1595046843">
          <w:marLeft w:val="0"/>
          <w:marRight w:val="0"/>
          <w:marTop w:val="0"/>
          <w:marBottom w:val="0"/>
          <w:divBdr>
            <w:top w:val="none" w:sz="0" w:space="0" w:color="auto"/>
            <w:left w:val="none" w:sz="0" w:space="0" w:color="auto"/>
            <w:bottom w:val="none" w:sz="0" w:space="0" w:color="auto"/>
            <w:right w:val="none" w:sz="0" w:space="0" w:color="auto"/>
          </w:divBdr>
        </w:div>
      </w:divsChild>
    </w:div>
    <w:div w:id="1528984130">
      <w:bodyDiv w:val="1"/>
      <w:marLeft w:val="0"/>
      <w:marRight w:val="0"/>
      <w:marTop w:val="0"/>
      <w:marBottom w:val="0"/>
      <w:divBdr>
        <w:top w:val="none" w:sz="0" w:space="0" w:color="auto"/>
        <w:left w:val="none" w:sz="0" w:space="0" w:color="auto"/>
        <w:bottom w:val="none" w:sz="0" w:space="0" w:color="auto"/>
        <w:right w:val="none" w:sz="0" w:space="0" w:color="auto"/>
      </w:divBdr>
    </w:div>
    <w:div w:id="1532649453">
      <w:bodyDiv w:val="1"/>
      <w:marLeft w:val="0"/>
      <w:marRight w:val="0"/>
      <w:marTop w:val="0"/>
      <w:marBottom w:val="0"/>
      <w:divBdr>
        <w:top w:val="none" w:sz="0" w:space="0" w:color="auto"/>
        <w:left w:val="none" w:sz="0" w:space="0" w:color="auto"/>
        <w:bottom w:val="none" w:sz="0" w:space="0" w:color="auto"/>
        <w:right w:val="none" w:sz="0" w:space="0" w:color="auto"/>
      </w:divBdr>
      <w:divsChild>
        <w:div w:id="1111969109">
          <w:marLeft w:val="0"/>
          <w:marRight w:val="0"/>
          <w:marTop w:val="0"/>
          <w:marBottom w:val="0"/>
          <w:divBdr>
            <w:top w:val="none" w:sz="0" w:space="0" w:color="auto"/>
            <w:left w:val="none" w:sz="0" w:space="0" w:color="auto"/>
            <w:bottom w:val="none" w:sz="0" w:space="0" w:color="auto"/>
            <w:right w:val="none" w:sz="0" w:space="0" w:color="auto"/>
          </w:divBdr>
          <w:divsChild>
            <w:div w:id="2095277544">
              <w:marLeft w:val="0"/>
              <w:marRight w:val="0"/>
              <w:marTop w:val="0"/>
              <w:marBottom w:val="0"/>
              <w:divBdr>
                <w:top w:val="none" w:sz="0" w:space="0" w:color="auto"/>
                <w:left w:val="none" w:sz="0" w:space="0" w:color="auto"/>
                <w:bottom w:val="none" w:sz="0" w:space="0" w:color="auto"/>
                <w:right w:val="none" w:sz="0" w:space="0" w:color="auto"/>
              </w:divBdr>
            </w:div>
            <w:div w:id="91975606">
              <w:marLeft w:val="0"/>
              <w:marRight w:val="0"/>
              <w:marTop w:val="0"/>
              <w:marBottom w:val="0"/>
              <w:divBdr>
                <w:top w:val="none" w:sz="0" w:space="0" w:color="auto"/>
                <w:left w:val="none" w:sz="0" w:space="0" w:color="auto"/>
                <w:bottom w:val="none" w:sz="0" w:space="0" w:color="auto"/>
                <w:right w:val="none" w:sz="0" w:space="0" w:color="auto"/>
              </w:divBdr>
            </w:div>
            <w:div w:id="869878193">
              <w:marLeft w:val="0"/>
              <w:marRight w:val="0"/>
              <w:marTop w:val="0"/>
              <w:marBottom w:val="0"/>
              <w:divBdr>
                <w:top w:val="none" w:sz="0" w:space="0" w:color="auto"/>
                <w:left w:val="none" w:sz="0" w:space="0" w:color="auto"/>
                <w:bottom w:val="none" w:sz="0" w:space="0" w:color="auto"/>
                <w:right w:val="none" w:sz="0" w:space="0" w:color="auto"/>
              </w:divBdr>
            </w:div>
            <w:div w:id="372311006">
              <w:marLeft w:val="0"/>
              <w:marRight w:val="0"/>
              <w:marTop w:val="0"/>
              <w:marBottom w:val="0"/>
              <w:divBdr>
                <w:top w:val="none" w:sz="0" w:space="0" w:color="auto"/>
                <w:left w:val="none" w:sz="0" w:space="0" w:color="auto"/>
                <w:bottom w:val="none" w:sz="0" w:space="0" w:color="auto"/>
                <w:right w:val="none" w:sz="0" w:space="0" w:color="auto"/>
              </w:divBdr>
            </w:div>
            <w:div w:id="1972402059">
              <w:marLeft w:val="0"/>
              <w:marRight w:val="0"/>
              <w:marTop w:val="0"/>
              <w:marBottom w:val="0"/>
              <w:divBdr>
                <w:top w:val="none" w:sz="0" w:space="0" w:color="auto"/>
                <w:left w:val="none" w:sz="0" w:space="0" w:color="auto"/>
                <w:bottom w:val="none" w:sz="0" w:space="0" w:color="auto"/>
                <w:right w:val="none" w:sz="0" w:space="0" w:color="auto"/>
              </w:divBdr>
            </w:div>
            <w:div w:id="1575433750">
              <w:marLeft w:val="0"/>
              <w:marRight w:val="0"/>
              <w:marTop w:val="0"/>
              <w:marBottom w:val="0"/>
              <w:divBdr>
                <w:top w:val="none" w:sz="0" w:space="0" w:color="auto"/>
                <w:left w:val="none" w:sz="0" w:space="0" w:color="auto"/>
                <w:bottom w:val="none" w:sz="0" w:space="0" w:color="auto"/>
                <w:right w:val="none" w:sz="0" w:space="0" w:color="auto"/>
              </w:divBdr>
            </w:div>
            <w:div w:id="147989400">
              <w:marLeft w:val="0"/>
              <w:marRight w:val="0"/>
              <w:marTop w:val="0"/>
              <w:marBottom w:val="0"/>
              <w:divBdr>
                <w:top w:val="none" w:sz="0" w:space="0" w:color="auto"/>
                <w:left w:val="none" w:sz="0" w:space="0" w:color="auto"/>
                <w:bottom w:val="none" w:sz="0" w:space="0" w:color="auto"/>
                <w:right w:val="none" w:sz="0" w:space="0" w:color="auto"/>
              </w:divBdr>
            </w:div>
            <w:div w:id="138348289">
              <w:marLeft w:val="0"/>
              <w:marRight w:val="0"/>
              <w:marTop w:val="0"/>
              <w:marBottom w:val="0"/>
              <w:divBdr>
                <w:top w:val="none" w:sz="0" w:space="0" w:color="auto"/>
                <w:left w:val="none" w:sz="0" w:space="0" w:color="auto"/>
                <w:bottom w:val="none" w:sz="0" w:space="0" w:color="auto"/>
                <w:right w:val="none" w:sz="0" w:space="0" w:color="auto"/>
              </w:divBdr>
            </w:div>
            <w:div w:id="1132477098">
              <w:marLeft w:val="0"/>
              <w:marRight w:val="0"/>
              <w:marTop w:val="0"/>
              <w:marBottom w:val="0"/>
              <w:divBdr>
                <w:top w:val="none" w:sz="0" w:space="0" w:color="auto"/>
                <w:left w:val="none" w:sz="0" w:space="0" w:color="auto"/>
                <w:bottom w:val="none" w:sz="0" w:space="0" w:color="auto"/>
                <w:right w:val="none" w:sz="0" w:space="0" w:color="auto"/>
              </w:divBdr>
            </w:div>
            <w:div w:id="381907180">
              <w:marLeft w:val="0"/>
              <w:marRight w:val="0"/>
              <w:marTop w:val="0"/>
              <w:marBottom w:val="0"/>
              <w:divBdr>
                <w:top w:val="none" w:sz="0" w:space="0" w:color="auto"/>
                <w:left w:val="none" w:sz="0" w:space="0" w:color="auto"/>
                <w:bottom w:val="none" w:sz="0" w:space="0" w:color="auto"/>
                <w:right w:val="none" w:sz="0" w:space="0" w:color="auto"/>
              </w:divBdr>
            </w:div>
          </w:divsChild>
        </w:div>
        <w:div w:id="1069500590">
          <w:marLeft w:val="0"/>
          <w:marRight w:val="0"/>
          <w:marTop w:val="0"/>
          <w:marBottom w:val="0"/>
          <w:divBdr>
            <w:top w:val="none" w:sz="0" w:space="0" w:color="auto"/>
            <w:left w:val="none" w:sz="0" w:space="0" w:color="auto"/>
            <w:bottom w:val="none" w:sz="0" w:space="0" w:color="auto"/>
            <w:right w:val="none" w:sz="0" w:space="0" w:color="auto"/>
          </w:divBdr>
          <w:divsChild>
            <w:div w:id="1238058078">
              <w:marLeft w:val="0"/>
              <w:marRight w:val="0"/>
              <w:marTop w:val="0"/>
              <w:marBottom w:val="0"/>
              <w:divBdr>
                <w:top w:val="none" w:sz="0" w:space="0" w:color="auto"/>
                <w:left w:val="none" w:sz="0" w:space="0" w:color="auto"/>
                <w:bottom w:val="none" w:sz="0" w:space="0" w:color="auto"/>
                <w:right w:val="none" w:sz="0" w:space="0" w:color="auto"/>
              </w:divBdr>
            </w:div>
            <w:div w:id="2084600501">
              <w:marLeft w:val="0"/>
              <w:marRight w:val="0"/>
              <w:marTop w:val="0"/>
              <w:marBottom w:val="0"/>
              <w:divBdr>
                <w:top w:val="none" w:sz="0" w:space="0" w:color="auto"/>
                <w:left w:val="none" w:sz="0" w:space="0" w:color="auto"/>
                <w:bottom w:val="none" w:sz="0" w:space="0" w:color="auto"/>
                <w:right w:val="none" w:sz="0" w:space="0" w:color="auto"/>
              </w:divBdr>
            </w:div>
            <w:div w:id="798378592">
              <w:marLeft w:val="0"/>
              <w:marRight w:val="0"/>
              <w:marTop w:val="0"/>
              <w:marBottom w:val="0"/>
              <w:divBdr>
                <w:top w:val="none" w:sz="0" w:space="0" w:color="auto"/>
                <w:left w:val="none" w:sz="0" w:space="0" w:color="auto"/>
                <w:bottom w:val="none" w:sz="0" w:space="0" w:color="auto"/>
                <w:right w:val="none" w:sz="0" w:space="0" w:color="auto"/>
              </w:divBdr>
            </w:div>
            <w:div w:id="18208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754204569">
      <w:bodyDiv w:val="1"/>
      <w:marLeft w:val="0"/>
      <w:marRight w:val="0"/>
      <w:marTop w:val="0"/>
      <w:marBottom w:val="0"/>
      <w:divBdr>
        <w:top w:val="none" w:sz="0" w:space="0" w:color="auto"/>
        <w:left w:val="none" w:sz="0" w:space="0" w:color="auto"/>
        <w:bottom w:val="none" w:sz="0" w:space="0" w:color="auto"/>
        <w:right w:val="none" w:sz="0" w:space="0" w:color="auto"/>
      </w:divBdr>
      <w:divsChild>
        <w:div w:id="538207755">
          <w:marLeft w:val="0"/>
          <w:marRight w:val="0"/>
          <w:marTop w:val="0"/>
          <w:marBottom w:val="0"/>
          <w:divBdr>
            <w:top w:val="none" w:sz="0" w:space="0" w:color="auto"/>
            <w:left w:val="none" w:sz="0" w:space="0" w:color="auto"/>
            <w:bottom w:val="none" w:sz="0" w:space="0" w:color="auto"/>
            <w:right w:val="none" w:sz="0" w:space="0" w:color="auto"/>
          </w:divBdr>
        </w:div>
        <w:div w:id="1614051272">
          <w:marLeft w:val="0"/>
          <w:marRight w:val="0"/>
          <w:marTop w:val="0"/>
          <w:marBottom w:val="0"/>
          <w:divBdr>
            <w:top w:val="none" w:sz="0" w:space="0" w:color="auto"/>
            <w:left w:val="none" w:sz="0" w:space="0" w:color="auto"/>
            <w:bottom w:val="none" w:sz="0" w:space="0" w:color="auto"/>
            <w:right w:val="none" w:sz="0" w:space="0" w:color="auto"/>
          </w:divBdr>
        </w:div>
      </w:divsChild>
    </w:div>
    <w:div w:id="1795633242">
      <w:bodyDiv w:val="1"/>
      <w:marLeft w:val="0"/>
      <w:marRight w:val="0"/>
      <w:marTop w:val="0"/>
      <w:marBottom w:val="0"/>
      <w:divBdr>
        <w:top w:val="none" w:sz="0" w:space="0" w:color="auto"/>
        <w:left w:val="none" w:sz="0" w:space="0" w:color="auto"/>
        <w:bottom w:val="none" w:sz="0" w:space="0" w:color="auto"/>
        <w:right w:val="none" w:sz="0" w:space="0" w:color="auto"/>
      </w:divBdr>
      <w:divsChild>
        <w:div w:id="1477647767">
          <w:marLeft w:val="0"/>
          <w:marRight w:val="0"/>
          <w:marTop w:val="0"/>
          <w:marBottom w:val="0"/>
          <w:divBdr>
            <w:top w:val="none" w:sz="0" w:space="0" w:color="auto"/>
            <w:left w:val="none" w:sz="0" w:space="0" w:color="auto"/>
            <w:bottom w:val="none" w:sz="0" w:space="0" w:color="auto"/>
            <w:right w:val="none" w:sz="0" w:space="0" w:color="auto"/>
          </w:divBdr>
        </w:div>
        <w:div w:id="1168906108">
          <w:marLeft w:val="0"/>
          <w:marRight w:val="0"/>
          <w:marTop w:val="0"/>
          <w:marBottom w:val="0"/>
          <w:divBdr>
            <w:top w:val="none" w:sz="0" w:space="0" w:color="auto"/>
            <w:left w:val="none" w:sz="0" w:space="0" w:color="auto"/>
            <w:bottom w:val="none" w:sz="0" w:space="0" w:color="auto"/>
            <w:right w:val="none" w:sz="0" w:space="0" w:color="auto"/>
          </w:divBdr>
        </w:div>
        <w:div w:id="1552568721">
          <w:marLeft w:val="0"/>
          <w:marRight w:val="0"/>
          <w:marTop w:val="0"/>
          <w:marBottom w:val="0"/>
          <w:divBdr>
            <w:top w:val="none" w:sz="0" w:space="0" w:color="auto"/>
            <w:left w:val="none" w:sz="0" w:space="0" w:color="auto"/>
            <w:bottom w:val="none" w:sz="0" w:space="0" w:color="auto"/>
            <w:right w:val="none" w:sz="0" w:space="0" w:color="auto"/>
          </w:divBdr>
        </w:div>
        <w:div w:id="1215584879">
          <w:marLeft w:val="0"/>
          <w:marRight w:val="0"/>
          <w:marTop w:val="0"/>
          <w:marBottom w:val="0"/>
          <w:divBdr>
            <w:top w:val="none" w:sz="0" w:space="0" w:color="auto"/>
            <w:left w:val="none" w:sz="0" w:space="0" w:color="auto"/>
            <w:bottom w:val="none" w:sz="0" w:space="0" w:color="auto"/>
            <w:right w:val="none" w:sz="0" w:space="0" w:color="auto"/>
          </w:divBdr>
        </w:div>
        <w:div w:id="2053966339">
          <w:marLeft w:val="0"/>
          <w:marRight w:val="0"/>
          <w:marTop w:val="0"/>
          <w:marBottom w:val="0"/>
          <w:divBdr>
            <w:top w:val="none" w:sz="0" w:space="0" w:color="auto"/>
            <w:left w:val="none" w:sz="0" w:space="0" w:color="auto"/>
            <w:bottom w:val="none" w:sz="0" w:space="0" w:color="auto"/>
            <w:right w:val="none" w:sz="0" w:space="0" w:color="auto"/>
          </w:divBdr>
        </w:div>
        <w:div w:id="854342626">
          <w:marLeft w:val="0"/>
          <w:marRight w:val="0"/>
          <w:marTop w:val="0"/>
          <w:marBottom w:val="0"/>
          <w:divBdr>
            <w:top w:val="none" w:sz="0" w:space="0" w:color="auto"/>
            <w:left w:val="none" w:sz="0" w:space="0" w:color="auto"/>
            <w:bottom w:val="none" w:sz="0" w:space="0" w:color="auto"/>
            <w:right w:val="none" w:sz="0" w:space="0" w:color="auto"/>
          </w:divBdr>
        </w:div>
      </w:divsChild>
    </w:div>
    <w:div w:id="1827545971">
      <w:bodyDiv w:val="1"/>
      <w:marLeft w:val="0"/>
      <w:marRight w:val="0"/>
      <w:marTop w:val="0"/>
      <w:marBottom w:val="0"/>
      <w:divBdr>
        <w:top w:val="none" w:sz="0" w:space="0" w:color="auto"/>
        <w:left w:val="none" w:sz="0" w:space="0" w:color="auto"/>
        <w:bottom w:val="none" w:sz="0" w:space="0" w:color="auto"/>
        <w:right w:val="none" w:sz="0" w:space="0" w:color="auto"/>
      </w:divBdr>
      <w:divsChild>
        <w:div w:id="1475567165">
          <w:marLeft w:val="0"/>
          <w:marRight w:val="0"/>
          <w:marTop w:val="0"/>
          <w:marBottom w:val="0"/>
          <w:divBdr>
            <w:top w:val="none" w:sz="0" w:space="0" w:color="auto"/>
            <w:left w:val="none" w:sz="0" w:space="0" w:color="auto"/>
            <w:bottom w:val="none" w:sz="0" w:space="0" w:color="auto"/>
            <w:right w:val="none" w:sz="0" w:space="0" w:color="auto"/>
          </w:divBdr>
        </w:div>
        <w:div w:id="1543667213">
          <w:marLeft w:val="0"/>
          <w:marRight w:val="0"/>
          <w:marTop w:val="0"/>
          <w:marBottom w:val="0"/>
          <w:divBdr>
            <w:top w:val="none" w:sz="0" w:space="0" w:color="auto"/>
            <w:left w:val="none" w:sz="0" w:space="0" w:color="auto"/>
            <w:bottom w:val="none" w:sz="0" w:space="0" w:color="auto"/>
            <w:right w:val="none" w:sz="0" w:space="0" w:color="auto"/>
          </w:divBdr>
        </w:div>
      </w:divsChild>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1974168655">
      <w:bodyDiv w:val="1"/>
      <w:marLeft w:val="0"/>
      <w:marRight w:val="0"/>
      <w:marTop w:val="0"/>
      <w:marBottom w:val="0"/>
      <w:divBdr>
        <w:top w:val="none" w:sz="0" w:space="0" w:color="auto"/>
        <w:left w:val="none" w:sz="0" w:space="0" w:color="auto"/>
        <w:bottom w:val="none" w:sz="0" w:space="0" w:color="auto"/>
        <w:right w:val="none" w:sz="0" w:space="0" w:color="auto"/>
      </w:divBdr>
      <w:divsChild>
        <w:div w:id="669337359">
          <w:marLeft w:val="0"/>
          <w:marRight w:val="0"/>
          <w:marTop w:val="0"/>
          <w:marBottom w:val="0"/>
          <w:divBdr>
            <w:top w:val="none" w:sz="0" w:space="0" w:color="auto"/>
            <w:left w:val="none" w:sz="0" w:space="0" w:color="auto"/>
            <w:bottom w:val="none" w:sz="0" w:space="0" w:color="auto"/>
            <w:right w:val="none" w:sz="0" w:space="0" w:color="auto"/>
          </w:divBdr>
        </w:div>
        <w:div w:id="415251310">
          <w:marLeft w:val="0"/>
          <w:marRight w:val="0"/>
          <w:marTop w:val="0"/>
          <w:marBottom w:val="0"/>
          <w:divBdr>
            <w:top w:val="none" w:sz="0" w:space="0" w:color="auto"/>
            <w:left w:val="none" w:sz="0" w:space="0" w:color="auto"/>
            <w:bottom w:val="none" w:sz="0" w:space="0" w:color="auto"/>
            <w:right w:val="none" w:sz="0" w:space="0" w:color="auto"/>
          </w:divBdr>
        </w:div>
        <w:div w:id="392772618">
          <w:marLeft w:val="0"/>
          <w:marRight w:val="0"/>
          <w:marTop w:val="0"/>
          <w:marBottom w:val="0"/>
          <w:divBdr>
            <w:top w:val="none" w:sz="0" w:space="0" w:color="auto"/>
            <w:left w:val="none" w:sz="0" w:space="0" w:color="auto"/>
            <w:bottom w:val="none" w:sz="0" w:space="0" w:color="auto"/>
            <w:right w:val="none" w:sz="0" w:space="0" w:color="auto"/>
          </w:divBdr>
        </w:div>
        <w:div w:id="1778596241">
          <w:marLeft w:val="0"/>
          <w:marRight w:val="0"/>
          <w:marTop w:val="0"/>
          <w:marBottom w:val="0"/>
          <w:divBdr>
            <w:top w:val="none" w:sz="0" w:space="0" w:color="auto"/>
            <w:left w:val="none" w:sz="0" w:space="0" w:color="auto"/>
            <w:bottom w:val="none" w:sz="0" w:space="0" w:color="auto"/>
            <w:right w:val="none" w:sz="0" w:space="0" w:color="auto"/>
          </w:divBdr>
        </w:div>
      </w:divsChild>
    </w:div>
    <w:div w:id="2080250082">
      <w:bodyDiv w:val="1"/>
      <w:marLeft w:val="0"/>
      <w:marRight w:val="0"/>
      <w:marTop w:val="0"/>
      <w:marBottom w:val="0"/>
      <w:divBdr>
        <w:top w:val="none" w:sz="0" w:space="0" w:color="auto"/>
        <w:left w:val="none" w:sz="0" w:space="0" w:color="auto"/>
        <w:bottom w:val="none" w:sz="0" w:space="0" w:color="auto"/>
        <w:right w:val="none" w:sz="0" w:space="0" w:color="auto"/>
      </w:divBdr>
      <w:divsChild>
        <w:div w:id="201674316">
          <w:marLeft w:val="0"/>
          <w:marRight w:val="0"/>
          <w:marTop w:val="0"/>
          <w:marBottom w:val="0"/>
          <w:divBdr>
            <w:top w:val="none" w:sz="0" w:space="0" w:color="auto"/>
            <w:left w:val="none" w:sz="0" w:space="0" w:color="auto"/>
            <w:bottom w:val="none" w:sz="0" w:space="0" w:color="auto"/>
            <w:right w:val="none" w:sz="0" w:space="0" w:color="auto"/>
          </w:divBdr>
        </w:div>
        <w:div w:id="1561553801">
          <w:marLeft w:val="0"/>
          <w:marRight w:val="0"/>
          <w:marTop w:val="0"/>
          <w:marBottom w:val="0"/>
          <w:divBdr>
            <w:top w:val="none" w:sz="0" w:space="0" w:color="auto"/>
            <w:left w:val="none" w:sz="0" w:space="0" w:color="auto"/>
            <w:bottom w:val="none" w:sz="0" w:space="0" w:color="auto"/>
            <w:right w:val="none" w:sz="0" w:space="0" w:color="auto"/>
          </w:divBdr>
        </w:div>
      </w:divsChild>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oisonsinfo.nsw.gov.au/" TargetMode="External"/><Relationship Id="rId18" Type="http://schemas.openxmlformats.org/officeDocument/2006/relationships/image" Target="media/image2.png"/><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lsdr.cec.health.nsw.gov.au/"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1.health.nsw.gov.au/pds/ActivePDSDocuments/GL2024_007.pdf" TargetMode="External"/><Relationship Id="rId17" Type="http://schemas.openxmlformats.org/officeDocument/2006/relationships/image" Target="media/image1.png"/><Relationship Id="rId25" Type="http://schemas.openxmlformats.org/officeDocument/2006/relationships/image" Target="media/image4.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1.health.nsw.gov.au/pds/ActivePDSDocuments/GL2024_007.pdf" TargetMode="External"/><Relationship Id="rId20" Type="http://schemas.openxmlformats.org/officeDocument/2006/relationships/hyperlink" Target="https://www.poisonsinfo.nsw.gov.au/" TargetMode="External"/><Relationship Id="rId29" Type="http://schemas.openxmlformats.org/officeDocument/2006/relationships/hyperlink" Target="https://www.canberrahealthservices.act.gov.au/accessibil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isonsinfo.nsw.gov.au/" TargetMode="External"/><Relationship Id="rId24" Type="http://schemas.openxmlformats.org/officeDocument/2006/relationships/hyperlink" Target="https://immunisationhandbook.health.gov.au/"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aidh.hcn.com.au/browse/a/antivenom%2C_snake" TargetMode="External"/><Relationship Id="rId23" Type="http://schemas.openxmlformats.org/officeDocument/2006/relationships/hyperlink" Target="https://www.allergy.org.au/hp/papers/acute-management-of-anaphylaxis-guidelines" TargetMode="External"/><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munisationhandbook.health.gov.au/" TargetMode="External"/><Relationship Id="rId22" Type="http://schemas.openxmlformats.org/officeDocument/2006/relationships/hyperlink" Target="https://app.tg.org.au/" TargetMode="Externa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n%20Martin\Downloads\CHS%20Procedure%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2.png"/><Relationship Id="rId5" Type="http://schemas.openxmlformats.org/officeDocument/2006/relationships/image" Target="../media/image11.png"/><Relationship Id="rId10" Type="http://schemas.openxmlformats.org/officeDocument/2006/relationships/fontTable" Target="fontTable.xml"/><Relationship Id="rId4" Type="http://schemas.openxmlformats.org/officeDocument/2006/relationships/image" Target="../media/image10.png"/><Relationship Id="rId9" Type="http://schemas.openxmlformats.org/officeDocument/2006/relationships/image" Target="../media/image14.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3E9B8C7DA448A8A06E09F9742A5657"/>
        <w:category>
          <w:name w:val="General"/>
          <w:gallery w:val="placeholder"/>
        </w:category>
        <w:types>
          <w:type w:val="bbPlcHdr"/>
        </w:types>
        <w:behaviors>
          <w:behavior w:val="content"/>
        </w:behaviors>
        <w:guid w:val="{ECA15386-2C79-4215-98BA-111C101A4049}"/>
      </w:docPartPr>
      <w:docPartBody>
        <w:p w:rsidR="00F61FBA" w:rsidRDefault="00F61FBA">
          <w:pPr>
            <w:pStyle w:val="353E9B8C7DA448A8A06E09F9742A5657"/>
          </w:pPr>
          <w:r>
            <w:rPr>
              <w:noProof/>
              <w:sz w:val="20"/>
              <w:szCs w:val="20"/>
            </w:rPr>
            <w:drawing>
              <wp:inline distT="0" distB="0" distL="0" distR="0" wp14:anchorId="4C17C470" wp14:editId="4C17C471">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E80790D6759A44619480012A1C5679B2"/>
        <w:category>
          <w:name w:val="General"/>
          <w:gallery w:val="placeholder"/>
        </w:category>
        <w:types>
          <w:type w:val="bbPlcHdr"/>
        </w:types>
        <w:behaviors>
          <w:behavior w:val="content"/>
        </w:behaviors>
        <w:guid w:val="{B26C6116-DF2D-44DA-A211-47F4CCAABA25}"/>
      </w:docPartPr>
      <w:docPartBody>
        <w:p w:rsidR="00F61FBA" w:rsidRDefault="00F61FBA">
          <w:pPr>
            <w:pStyle w:val="E80790D6759A44619480012A1C5679B2"/>
          </w:pPr>
          <w:r w:rsidRPr="00EE29F8">
            <w:rPr>
              <w:rStyle w:val="PlaceholderText"/>
            </w:rPr>
            <w:t>Choose an item.</w:t>
          </w:r>
        </w:p>
      </w:docPartBody>
    </w:docPart>
    <w:docPart>
      <w:docPartPr>
        <w:name w:val="2EAFC4F46BBC4F449559F3E41B5042DA"/>
        <w:category>
          <w:name w:val="General"/>
          <w:gallery w:val="placeholder"/>
        </w:category>
        <w:types>
          <w:type w:val="bbPlcHdr"/>
        </w:types>
        <w:behaviors>
          <w:behavior w:val="content"/>
        </w:behaviors>
        <w:guid w:val="{CB5BA8F3-D20D-4448-BCD4-23426815DEFB}"/>
      </w:docPartPr>
      <w:docPartBody>
        <w:p w:rsidR="00F61FBA" w:rsidRPr="00F26C97" w:rsidRDefault="00F61FBA" w:rsidP="003B0E72">
          <w:pPr>
            <w:pStyle w:val="Bottomblocktext"/>
            <w:rPr>
              <w:b/>
              <w:bCs w:val="0"/>
              <w:sz w:val="20"/>
              <w:szCs w:val="20"/>
            </w:rPr>
          </w:pPr>
          <w:r>
            <w:rPr>
              <w:b/>
              <w:bCs w:val="0"/>
              <w:noProof/>
              <w:sz w:val="20"/>
              <w:szCs w:val="20"/>
            </w:rPr>
            <w:drawing>
              <wp:inline distT="0" distB="0" distL="0" distR="0" wp14:anchorId="4C17C472" wp14:editId="4C17C473">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4C17C474" wp14:editId="4C17C475">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F61FBA" w:rsidRPr="00F26C97" w:rsidRDefault="00F61FBA" w:rsidP="003B0E72">
          <w:pPr>
            <w:pStyle w:val="Bottomblocktext"/>
            <w:rPr>
              <w:b/>
              <w:bCs w:val="0"/>
              <w:sz w:val="20"/>
              <w:szCs w:val="20"/>
            </w:rPr>
          </w:pPr>
          <w:r>
            <w:rPr>
              <w:b/>
              <w:bCs w:val="0"/>
              <w:noProof/>
              <w:sz w:val="20"/>
              <w:szCs w:val="20"/>
            </w:rPr>
            <w:drawing>
              <wp:inline distT="0" distB="0" distL="0" distR="0" wp14:anchorId="4C17C476" wp14:editId="4C17C477">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C17C478" wp14:editId="4C17C479">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F61FBA" w:rsidRDefault="00F61FBA" w:rsidP="003B0E72">
          <w:pPr>
            <w:pStyle w:val="Bottomblocktext"/>
            <w:rPr>
              <w:sz w:val="20"/>
              <w:szCs w:val="20"/>
            </w:rPr>
          </w:pPr>
          <w:hyperlink r:id="rId8" w:history="1">
            <w:r w:rsidRPr="00350211">
              <w:rPr>
                <w:rStyle w:val="Hyperlink"/>
                <w:sz w:val="20"/>
                <w:szCs w:val="20"/>
              </w:rPr>
              <w:t>canberrahealthservices.act.gov.au/accessibility</w:t>
            </w:r>
          </w:hyperlink>
        </w:p>
        <w:p w:rsidR="00F61FBA" w:rsidRDefault="00F61FBA">
          <w:pPr>
            <w:pStyle w:val="2EAFC4F46BBC4F449559F3E41B5042DA"/>
          </w:pPr>
          <w:r>
            <w:rPr>
              <w:b/>
              <w:bCs/>
              <w:noProof/>
            </w:rPr>
            <w:drawing>
              <wp:inline distT="0" distB="0" distL="0" distR="0" wp14:anchorId="4C17C47A" wp14:editId="4C17C47B">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FBA"/>
    <w:rsid w:val="000066DC"/>
    <w:rsid w:val="00020830"/>
    <w:rsid w:val="000F33A0"/>
    <w:rsid w:val="001437E9"/>
    <w:rsid w:val="00183B89"/>
    <w:rsid w:val="00304E79"/>
    <w:rsid w:val="004D6756"/>
    <w:rsid w:val="00516F4A"/>
    <w:rsid w:val="00555278"/>
    <w:rsid w:val="005666F0"/>
    <w:rsid w:val="0058168C"/>
    <w:rsid w:val="005C6E8F"/>
    <w:rsid w:val="005E6BBA"/>
    <w:rsid w:val="005F39B5"/>
    <w:rsid w:val="00626286"/>
    <w:rsid w:val="007169E3"/>
    <w:rsid w:val="008151A6"/>
    <w:rsid w:val="00866C6E"/>
    <w:rsid w:val="008D0667"/>
    <w:rsid w:val="00972105"/>
    <w:rsid w:val="00A34A39"/>
    <w:rsid w:val="00CD2527"/>
    <w:rsid w:val="00E410C8"/>
    <w:rsid w:val="00EC2527"/>
    <w:rsid w:val="00F2323F"/>
    <w:rsid w:val="00F3345F"/>
    <w:rsid w:val="00F61FBA"/>
    <w:rsid w:val="00FA3C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3E9B8C7DA448A8A06E09F9742A5657">
    <w:name w:val="353E9B8C7DA448A8A06E09F9742A5657"/>
  </w:style>
  <w:style w:type="character" w:styleId="PlaceholderText">
    <w:name w:val="Placeholder Text"/>
    <w:basedOn w:val="DefaultParagraphFont"/>
    <w:uiPriority w:val="99"/>
    <w:semiHidden/>
    <w:rPr>
      <w:color w:val="808080"/>
    </w:rPr>
  </w:style>
  <w:style w:type="paragraph" w:customStyle="1" w:styleId="E80790D6759A44619480012A1C5679B2">
    <w:name w:val="E80790D6759A44619480012A1C5679B2"/>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2EAFC4F46BBC4F449559F3E41B5042DA">
    <w:name w:val="2EAFC4F46BBC4F449559F3E41B5042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2025-02-20T13:00:00+00:00</Approval_x0020_Date>
    <Review_x0020_Date xmlns="690b2128-8961-48af-a473-22c34a9accba">2028-02-29T13:00:00+00:00</Review_x0020_Date>
    <TaxCatchAll xmlns="c0239a80-7f07-4ed7-82c3-24ad7d76ada5">
      <Value>432</Value>
      <Value>417</Value>
      <Value>416</Value>
      <Value>415</Value>
    </TaxCatchAll>
    <Version_x0020_Number xmlns="690b2128-8961-48af-a473-22c34a9accba">1</Version_x0020_Number>
    <Notes0 xmlns="690b2128-8961-48af-a473-22c34a9accba" xsi:nil="true"/>
    <Key_x0020_Words xmlns="690b2128-8961-48af-a473-22c34a9accba">snake bite, antivenom, venom, pressure bandage with immobilisation, PBI, north</Key_x0020_Words>
    <Type_x0020_of_x0020_Document xmlns="690b2128-8961-48af-a473-22c34a9accba">Procedure</Type_x0020_of_x0020_Document>
    <Approval_x0020_Name_x007c_Committee xmlns="690b2128-8961-48af-a473-22c34a9accba" xsi:nil="true"/>
    <Status xmlns="690b2128-8961-48af-a473-22c34a9accba">Approved</Status>
    <New_x0020_Applies_x0020_To xmlns="690b2128-8961-48af-a473-22c34a9accba">Canberra Health Services</New_x0020_Applies_x0020_To>
    <Replaces_x003a_ xmlns="690b2128-8961-48af-a473-22c34a9accba">CHS21/336	Snake Bite Management - Adults and Paediatrics</Replaces_x003a_>
    <ISD_x0020_Submitted xmlns="690b2128-8961-48af-a473-22c34a9accba">Not Required</ISD_x0020_Submitted>
    <Risk_x0020_Rating xmlns="690b2128-8961-48af-a473-22c34a9accba">High</Risk_x0020_Rating>
    <Description0 xmlns="690b2128-8961-48af-a473-22c34a9accba">This document provides direction for nursing, medical staff, pharmacy staff and students in relation to the assessment, investigation, treatment and disposition of adult and paediatric patients presenting to a CHS ED with snake bite.</Description0>
    <Display_x0020_on_x0020_Internet xmlns="690b2128-8961-48af-a473-22c34a9accba">true</Display_x0020_on_x0020_Internet>
    <Related_x0020_Documents xmlns="690b2128-8961-48af-a473-22c34a9accba" xsi:nil="true"/>
    <Decision_x0020_Number xmlns="690b2128-8961-48af-a473-22c34a9accba">CHS25/150</Decision_x0020_Number>
    <RelatedPolicies_x002c_ProceduresGuidelines xmlns="690b2128-8961-48af-a473-22c34a9accba">
      <Value>16471</Value>
      <Value>17468</Value>
      <Value>17014</Value>
      <Value>17628</Value>
      <Value>17384</Value>
      <Value>17605</Value>
      <Value>16469</Value>
      <Value>17674</Value>
      <Value>17349</Value>
      <Value>16232</Value>
      <Value>11699</Value>
      <Value>17246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Medicine - Emergency Department</New_x0020_Own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2.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4.xml><?xml version="1.0" encoding="utf-8"?>
<ds:datastoreItem xmlns:ds="http://schemas.openxmlformats.org/officeDocument/2006/customXml" ds:itemID="{EA16DD04-DF6D-4D8D-AC36-25CB65E18B70}"/>
</file>

<file path=docProps/app.xml><?xml version="1.0" encoding="utf-8"?>
<Properties xmlns="http://schemas.openxmlformats.org/officeDocument/2006/extended-properties" xmlns:vt="http://schemas.openxmlformats.org/officeDocument/2006/docPropsVTypes">
  <Template>CHS Procedure Template</Template>
  <TotalTime>4</TotalTime>
  <Pages>16</Pages>
  <Words>2760</Words>
  <Characters>17366</Characters>
  <Application>Microsoft Office Word</Application>
  <DocSecurity>0</DocSecurity>
  <Lines>403</Lines>
  <Paragraphs>279</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19847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Snake Bite Management- Adults and Paediatrics</dc:title>
  <dc:creator>Martin, Erin (Health)</dc:creator>
  <cp:lastModifiedBy>Rusanov, Zoia</cp:lastModifiedBy>
  <cp:revision>4</cp:revision>
  <cp:lastPrinted>2017-05-22T07:29:00Z</cp:lastPrinted>
  <dcterms:created xsi:type="dcterms:W3CDTF">2025-03-24T02:29:00Z</dcterms:created>
  <dcterms:modified xsi:type="dcterms:W3CDTF">2025-04-04T04:08:00Z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ies>
</file>