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4D7238DE" w:rsidR="00EF02B0" w:rsidRPr="00931B93" w:rsidRDefault="00EF02B0" w:rsidP="00EF02B0">
      <w:pPr>
        <w:rPr>
          <w:rFonts w:cs="Arial"/>
          <w:b/>
          <w:i/>
          <w:sz w:val="28"/>
          <w:szCs w:val="44"/>
        </w:rPr>
      </w:pPr>
      <w:r w:rsidRPr="00EF02B0">
        <w:rPr>
          <w:rFonts w:cs="Arial"/>
          <w:b/>
          <w:sz w:val="44"/>
          <w:szCs w:val="44"/>
        </w:rPr>
        <w:t>Procedure</w:t>
      </w:r>
      <w:r w:rsidR="00931B93">
        <w:rPr>
          <w:rFonts w:cs="Arial"/>
          <w:b/>
          <w:sz w:val="44"/>
          <w:szCs w:val="44"/>
        </w:rPr>
        <w:t xml:space="preserve"> </w:t>
      </w:r>
    </w:p>
    <w:p w14:paraId="3DA3E22B" w14:textId="77777777" w:rsidR="00C658FE" w:rsidRPr="006A3770" w:rsidRDefault="00C658FE" w:rsidP="00C658FE">
      <w:pPr>
        <w:rPr>
          <w:rFonts w:cs="Arial"/>
          <w:b/>
          <w:i/>
          <w:sz w:val="36"/>
          <w:szCs w:val="36"/>
        </w:rPr>
      </w:pPr>
      <w:r>
        <w:rPr>
          <w:rFonts w:cs="Arial"/>
          <w:b/>
          <w:sz w:val="36"/>
          <w:szCs w:val="36"/>
        </w:rPr>
        <w:t xml:space="preserve">Reviewing the </w:t>
      </w:r>
      <w:r w:rsidRPr="002A277E">
        <w:rPr>
          <w:rFonts w:cs="Arial"/>
          <w:b/>
          <w:sz w:val="36"/>
          <w:szCs w:val="36"/>
        </w:rPr>
        <w:t xml:space="preserve">Clinical </w:t>
      </w:r>
      <w:r>
        <w:rPr>
          <w:rFonts w:cs="Arial"/>
          <w:b/>
          <w:sz w:val="36"/>
          <w:szCs w:val="36"/>
        </w:rPr>
        <w:t>Scope of Practice of a Practitioner</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136595080"/>
            <w:r w:rsidRPr="00CD1C0E">
              <w:t>Contents</w:t>
            </w:r>
            <w:bookmarkEnd w:id="5"/>
            <w:bookmarkEnd w:id="6"/>
            <w:bookmarkEnd w:id="7"/>
          </w:p>
        </w:tc>
      </w:tr>
    </w:tbl>
    <w:p w14:paraId="2F51A853" w14:textId="77777777" w:rsidR="007B6904" w:rsidRDefault="007B6904" w:rsidP="007B6904"/>
    <w:p w14:paraId="052C94A4" w14:textId="677A7861" w:rsidR="00C45E06"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136595080" w:history="1">
        <w:r w:rsidR="00C45E06" w:rsidRPr="007F364F">
          <w:rPr>
            <w:rStyle w:val="Hyperlink"/>
            <w:noProof/>
          </w:rPr>
          <w:t>Contents</w:t>
        </w:r>
        <w:r w:rsidR="00C45E06">
          <w:rPr>
            <w:noProof/>
            <w:webHidden/>
          </w:rPr>
          <w:tab/>
        </w:r>
        <w:r w:rsidR="00C45E06">
          <w:rPr>
            <w:noProof/>
            <w:webHidden/>
          </w:rPr>
          <w:fldChar w:fldCharType="begin"/>
        </w:r>
        <w:r w:rsidR="00C45E06">
          <w:rPr>
            <w:noProof/>
            <w:webHidden/>
          </w:rPr>
          <w:instrText xml:space="preserve"> PAGEREF _Toc136595080 \h </w:instrText>
        </w:r>
        <w:r w:rsidR="00C45E06">
          <w:rPr>
            <w:noProof/>
            <w:webHidden/>
          </w:rPr>
        </w:r>
        <w:r w:rsidR="00C45E06">
          <w:rPr>
            <w:noProof/>
            <w:webHidden/>
          </w:rPr>
          <w:fldChar w:fldCharType="separate"/>
        </w:r>
        <w:r w:rsidR="00484D2A">
          <w:rPr>
            <w:noProof/>
            <w:webHidden/>
          </w:rPr>
          <w:t>1</w:t>
        </w:r>
        <w:r w:rsidR="00C45E06">
          <w:rPr>
            <w:noProof/>
            <w:webHidden/>
          </w:rPr>
          <w:fldChar w:fldCharType="end"/>
        </w:r>
      </w:hyperlink>
    </w:p>
    <w:p w14:paraId="1A4F0F54" w14:textId="74DF53AF" w:rsidR="00C45E06" w:rsidRDefault="008D3EF6">
      <w:pPr>
        <w:pStyle w:val="TOC1"/>
        <w:tabs>
          <w:tab w:val="right" w:leader="dot" w:pos="9060"/>
        </w:tabs>
        <w:rPr>
          <w:rFonts w:eastAsiaTheme="minorEastAsia" w:cstheme="minorBidi"/>
          <w:noProof/>
          <w:sz w:val="22"/>
          <w:szCs w:val="22"/>
          <w:lang w:eastAsia="en-AU"/>
        </w:rPr>
      </w:pPr>
      <w:hyperlink w:anchor="_Toc136595081" w:history="1">
        <w:r w:rsidR="00C45E06" w:rsidRPr="007F364F">
          <w:rPr>
            <w:rStyle w:val="Hyperlink"/>
            <w:noProof/>
          </w:rPr>
          <w:t>Purpose</w:t>
        </w:r>
        <w:r w:rsidR="00C45E06">
          <w:rPr>
            <w:noProof/>
            <w:webHidden/>
          </w:rPr>
          <w:tab/>
        </w:r>
        <w:r w:rsidR="00C45E06">
          <w:rPr>
            <w:noProof/>
            <w:webHidden/>
          </w:rPr>
          <w:fldChar w:fldCharType="begin"/>
        </w:r>
        <w:r w:rsidR="00C45E06">
          <w:rPr>
            <w:noProof/>
            <w:webHidden/>
          </w:rPr>
          <w:instrText xml:space="preserve"> PAGEREF _Toc136595081 \h </w:instrText>
        </w:r>
        <w:r w:rsidR="00C45E06">
          <w:rPr>
            <w:noProof/>
            <w:webHidden/>
          </w:rPr>
        </w:r>
        <w:r w:rsidR="00C45E06">
          <w:rPr>
            <w:noProof/>
            <w:webHidden/>
          </w:rPr>
          <w:fldChar w:fldCharType="separate"/>
        </w:r>
        <w:r w:rsidR="00484D2A">
          <w:rPr>
            <w:noProof/>
            <w:webHidden/>
          </w:rPr>
          <w:t>2</w:t>
        </w:r>
        <w:r w:rsidR="00C45E06">
          <w:rPr>
            <w:noProof/>
            <w:webHidden/>
          </w:rPr>
          <w:fldChar w:fldCharType="end"/>
        </w:r>
      </w:hyperlink>
    </w:p>
    <w:p w14:paraId="660BC262" w14:textId="591B3FA9" w:rsidR="00C45E06" w:rsidRDefault="008D3EF6">
      <w:pPr>
        <w:pStyle w:val="TOC1"/>
        <w:tabs>
          <w:tab w:val="right" w:leader="dot" w:pos="9060"/>
        </w:tabs>
        <w:rPr>
          <w:rFonts w:eastAsiaTheme="minorEastAsia" w:cstheme="minorBidi"/>
          <w:noProof/>
          <w:sz w:val="22"/>
          <w:szCs w:val="22"/>
          <w:lang w:eastAsia="en-AU"/>
        </w:rPr>
      </w:pPr>
      <w:hyperlink w:anchor="_Toc136595082" w:history="1">
        <w:r w:rsidR="00C45E06" w:rsidRPr="007F364F">
          <w:rPr>
            <w:rStyle w:val="Hyperlink"/>
            <w:noProof/>
          </w:rPr>
          <w:t>Alerts (if applicable)</w:t>
        </w:r>
        <w:r w:rsidR="00C45E06">
          <w:rPr>
            <w:noProof/>
            <w:webHidden/>
          </w:rPr>
          <w:tab/>
        </w:r>
        <w:r w:rsidR="00C45E06">
          <w:rPr>
            <w:noProof/>
            <w:webHidden/>
          </w:rPr>
          <w:fldChar w:fldCharType="begin"/>
        </w:r>
        <w:r w:rsidR="00C45E06">
          <w:rPr>
            <w:noProof/>
            <w:webHidden/>
          </w:rPr>
          <w:instrText xml:space="preserve"> PAGEREF _Toc136595082 \h </w:instrText>
        </w:r>
        <w:r w:rsidR="00C45E06">
          <w:rPr>
            <w:noProof/>
            <w:webHidden/>
          </w:rPr>
        </w:r>
        <w:r w:rsidR="00C45E06">
          <w:rPr>
            <w:noProof/>
            <w:webHidden/>
          </w:rPr>
          <w:fldChar w:fldCharType="separate"/>
        </w:r>
        <w:r w:rsidR="00484D2A">
          <w:rPr>
            <w:noProof/>
            <w:webHidden/>
          </w:rPr>
          <w:t>2</w:t>
        </w:r>
        <w:r w:rsidR="00C45E06">
          <w:rPr>
            <w:noProof/>
            <w:webHidden/>
          </w:rPr>
          <w:fldChar w:fldCharType="end"/>
        </w:r>
      </w:hyperlink>
    </w:p>
    <w:p w14:paraId="6C2D24A2" w14:textId="38DFB014" w:rsidR="00C45E06" w:rsidRDefault="008D3EF6">
      <w:pPr>
        <w:pStyle w:val="TOC1"/>
        <w:tabs>
          <w:tab w:val="right" w:leader="dot" w:pos="9060"/>
        </w:tabs>
        <w:rPr>
          <w:rFonts w:eastAsiaTheme="minorEastAsia" w:cstheme="minorBidi"/>
          <w:noProof/>
          <w:sz w:val="22"/>
          <w:szCs w:val="22"/>
          <w:lang w:eastAsia="en-AU"/>
        </w:rPr>
      </w:pPr>
      <w:hyperlink w:anchor="_Toc136595083" w:history="1">
        <w:r w:rsidR="00C45E06" w:rsidRPr="007F364F">
          <w:rPr>
            <w:rStyle w:val="Hyperlink"/>
            <w:noProof/>
          </w:rPr>
          <w:t>Scope</w:t>
        </w:r>
        <w:r w:rsidR="00C45E06">
          <w:rPr>
            <w:noProof/>
            <w:webHidden/>
          </w:rPr>
          <w:tab/>
        </w:r>
        <w:r w:rsidR="00C45E06">
          <w:rPr>
            <w:noProof/>
            <w:webHidden/>
          </w:rPr>
          <w:fldChar w:fldCharType="begin"/>
        </w:r>
        <w:r w:rsidR="00C45E06">
          <w:rPr>
            <w:noProof/>
            <w:webHidden/>
          </w:rPr>
          <w:instrText xml:space="preserve"> PAGEREF _Toc136595083 \h </w:instrText>
        </w:r>
        <w:r w:rsidR="00C45E06">
          <w:rPr>
            <w:noProof/>
            <w:webHidden/>
          </w:rPr>
        </w:r>
        <w:r w:rsidR="00C45E06">
          <w:rPr>
            <w:noProof/>
            <w:webHidden/>
          </w:rPr>
          <w:fldChar w:fldCharType="separate"/>
        </w:r>
        <w:r w:rsidR="00484D2A">
          <w:rPr>
            <w:noProof/>
            <w:webHidden/>
          </w:rPr>
          <w:t>2</w:t>
        </w:r>
        <w:r w:rsidR="00C45E06">
          <w:rPr>
            <w:noProof/>
            <w:webHidden/>
          </w:rPr>
          <w:fldChar w:fldCharType="end"/>
        </w:r>
      </w:hyperlink>
    </w:p>
    <w:p w14:paraId="1AE33E6F" w14:textId="67C7B4E6" w:rsidR="00C45E06" w:rsidRDefault="008D3EF6">
      <w:pPr>
        <w:pStyle w:val="TOC1"/>
        <w:tabs>
          <w:tab w:val="right" w:leader="dot" w:pos="9060"/>
        </w:tabs>
        <w:rPr>
          <w:rFonts w:eastAsiaTheme="minorEastAsia" w:cstheme="minorBidi"/>
          <w:noProof/>
          <w:sz w:val="22"/>
          <w:szCs w:val="22"/>
          <w:lang w:eastAsia="en-AU"/>
        </w:rPr>
      </w:pPr>
      <w:hyperlink w:anchor="_Toc136595084" w:history="1">
        <w:r w:rsidR="00C45E06" w:rsidRPr="007F364F">
          <w:rPr>
            <w:rStyle w:val="Hyperlink"/>
            <w:noProof/>
          </w:rPr>
          <w:t>Section 1 – Clinical Competence</w:t>
        </w:r>
        <w:r w:rsidR="00C45E06">
          <w:rPr>
            <w:noProof/>
            <w:webHidden/>
          </w:rPr>
          <w:tab/>
        </w:r>
        <w:r w:rsidR="00C45E06">
          <w:rPr>
            <w:noProof/>
            <w:webHidden/>
          </w:rPr>
          <w:fldChar w:fldCharType="begin"/>
        </w:r>
        <w:r w:rsidR="00C45E06">
          <w:rPr>
            <w:noProof/>
            <w:webHidden/>
          </w:rPr>
          <w:instrText xml:space="preserve"> PAGEREF _Toc136595084 \h </w:instrText>
        </w:r>
        <w:r w:rsidR="00C45E06">
          <w:rPr>
            <w:noProof/>
            <w:webHidden/>
          </w:rPr>
        </w:r>
        <w:r w:rsidR="00C45E06">
          <w:rPr>
            <w:noProof/>
            <w:webHidden/>
          </w:rPr>
          <w:fldChar w:fldCharType="separate"/>
        </w:r>
        <w:r w:rsidR="00484D2A">
          <w:rPr>
            <w:noProof/>
            <w:webHidden/>
          </w:rPr>
          <w:t>2</w:t>
        </w:r>
        <w:r w:rsidR="00C45E06">
          <w:rPr>
            <w:noProof/>
            <w:webHidden/>
          </w:rPr>
          <w:fldChar w:fldCharType="end"/>
        </w:r>
      </w:hyperlink>
    </w:p>
    <w:p w14:paraId="1ADEEB3D" w14:textId="3D19064A" w:rsidR="00C45E06" w:rsidRDefault="008D3EF6">
      <w:pPr>
        <w:pStyle w:val="TOC1"/>
        <w:tabs>
          <w:tab w:val="right" w:leader="dot" w:pos="9060"/>
        </w:tabs>
        <w:rPr>
          <w:rFonts w:eastAsiaTheme="minorEastAsia" w:cstheme="minorBidi"/>
          <w:noProof/>
          <w:sz w:val="22"/>
          <w:szCs w:val="22"/>
          <w:lang w:eastAsia="en-AU"/>
        </w:rPr>
      </w:pPr>
      <w:hyperlink w:anchor="_Toc136595085" w:history="1">
        <w:r w:rsidR="00C45E06" w:rsidRPr="007F364F">
          <w:rPr>
            <w:rStyle w:val="Hyperlink"/>
            <w:noProof/>
          </w:rPr>
          <w:t>Section 2 – Investigation, Review and Assessment Process</w:t>
        </w:r>
        <w:r w:rsidR="00C45E06">
          <w:rPr>
            <w:noProof/>
            <w:webHidden/>
          </w:rPr>
          <w:tab/>
        </w:r>
        <w:r w:rsidR="00C45E06">
          <w:rPr>
            <w:noProof/>
            <w:webHidden/>
          </w:rPr>
          <w:fldChar w:fldCharType="begin"/>
        </w:r>
        <w:r w:rsidR="00C45E06">
          <w:rPr>
            <w:noProof/>
            <w:webHidden/>
          </w:rPr>
          <w:instrText xml:space="preserve"> PAGEREF _Toc136595085 \h </w:instrText>
        </w:r>
        <w:r w:rsidR="00C45E06">
          <w:rPr>
            <w:noProof/>
            <w:webHidden/>
          </w:rPr>
        </w:r>
        <w:r w:rsidR="00C45E06">
          <w:rPr>
            <w:noProof/>
            <w:webHidden/>
          </w:rPr>
          <w:fldChar w:fldCharType="separate"/>
        </w:r>
        <w:r w:rsidR="00484D2A">
          <w:rPr>
            <w:noProof/>
            <w:webHidden/>
          </w:rPr>
          <w:t>3</w:t>
        </w:r>
        <w:r w:rsidR="00C45E06">
          <w:rPr>
            <w:noProof/>
            <w:webHidden/>
          </w:rPr>
          <w:fldChar w:fldCharType="end"/>
        </w:r>
      </w:hyperlink>
    </w:p>
    <w:p w14:paraId="74F33E80" w14:textId="6BED781E" w:rsidR="00C45E06" w:rsidRDefault="008D3EF6">
      <w:pPr>
        <w:pStyle w:val="TOC1"/>
        <w:tabs>
          <w:tab w:val="right" w:leader="dot" w:pos="9060"/>
        </w:tabs>
        <w:rPr>
          <w:rFonts w:eastAsiaTheme="minorEastAsia" w:cstheme="minorBidi"/>
          <w:noProof/>
          <w:sz w:val="22"/>
          <w:szCs w:val="22"/>
          <w:lang w:eastAsia="en-AU"/>
        </w:rPr>
      </w:pPr>
      <w:hyperlink w:anchor="_Toc136595086" w:history="1">
        <w:r w:rsidR="00C45E06" w:rsidRPr="007F364F">
          <w:rPr>
            <w:rStyle w:val="Hyperlink"/>
            <w:noProof/>
          </w:rPr>
          <w:t>Section 3 –  Fairness and Procedural Obligations</w:t>
        </w:r>
        <w:r w:rsidR="00C45E06">
          <w:rPr>
            <w:noProof/>
            <w:webHidden/>
          </w:rPr>
          <w:tab/>
        </w:r>
        <w:r w:rsidR="00C45E06">
          <w:rPr>
            <w:noProof/>
            <w:webHidden/>
          </w:rPr>
          <w:fldChar w:fldCharType="begin"/>
        </w:r>
        <w:r w:rsidR="00C45E06">
          <w:rPr>
            <w:noProof/>
            <w:webHidden/>
          </w:rPr>
          <w:instrText xml:space="preserve"> PAGEREF _Toc136595086 \h </w:instrText>
        </w:r>
        <w:r w:rsidR="00C45E06">
          <w:rPr>
            <w:noProof/>
            <w:webHidden/>
          </w:rPr>
        </w:r>
        <w:r w:rsidR="00C45E06">
          <w:rPr>
            <w:noProof/>
            <w:webHidden/>
          </w:rPr>
          <w:fldChar w:fldCharType="separate"/>
        </w:r>
        <w:r w:rsidR="00484D2A">
          <w:rPr>
            <w:noProof/>
            <w:webHidden/>
          </w:rPr>
          <w:t>4</w:t>
        </w:r>
        <w:r w:rsidR="00C45E06">
          <w:rPr>
            <w:noProof/>
            <w:webHidden/>
          </w:rPr>
          <w:fldChar w:fldCharType="end"/>
        </w:r>
      </w:hyperlink>
    </w:p>
    <w:p w14:paraId="32B1AF4F" w14:textId="2056D1F0" w:rsidR="00C45E06" w:rsidRDefault="008D3EF6">
      <w:pPr>
        <w:pStyle w:val="TOC1"/>
        <w:tabs>
          <w:tab w:val="right" w:leader="dot" w:pos="9060"/>
        </w:tabs>
        <w:rPr>
          <w:rFonts w:eastAsiaTheme="minorEastAsia" w:cstheme="minorBidi"/>
          <w:noProof/>
          <w:sz w:val="22"/>
          <w:szCs w:val="22"/>
          <w:lang w:eastAsia="en-AU"/>
        </w:rPr>
      </w:pPr>
      <w:hyperlink w:anchor="_Toc136595087" w:history="1">
        <w:r w:rsidR="00C45E06" w:rsidRPr="007F364F">
          <w:rPr>
            <w:rStyle w:val="Hyperlink"/>
            <w:noProof/>
          </w:rPr>
          <w:t>Section 4 – Interim or Emergency Decisions on Scope of Clinical Practice</w:t>
        </w:r>
        <w:r w:rsidR="00C45E06">
          <w:rPr>
            <w:noProof/>
            <w:webHidden/>
          </w:rPr>
          <w:tab/>
        </w:r>
        <w:r w:rsidR="00C45E06">
          <w:rPr>
            <w:noProof/>
            <w:webHidden/>
          </w:rPr>
          <w:fldChar w:fldCharType="begin"/>
        </w:r>
        <w:r w:rsidR="00C45E06">
          <w:rPr>
            <w:noProof/>
            <w:webHidden/>
          </w:rPr>
          <w:instrText xml:space="preserve"> PAGEREF _Toc136595087 \h </w:instrText>
        </w:r>
        <w:r w:rsidR="00C45E06">
          <w:rPr>
            <w:noProof/>
            <w:webHidden/>
          </w:rPr>
        </w:r>
        <w:r w:rsidR="00C45E06">
          <w:rPr>
            <w:noProof/>
            <w:webHidden/>
          </w:rPr>
          <w:fldChar w:fldCharType="separate"/>
        </w:r>
        <w:r w:rsidR="00484D2A">
          <w:rPr>
            <w:noProof/>
            <w:webHidden/>
          </w:rPr>
          <w:t>5</w:t>
        </w:r>
        <w:r w:rsidR="00C45E06">
          <w:rPr>
            <w:noProof/>
            <w:webHidden/>
          </w:rPr>
          <w:fldChar w:fldCharType="end"/>
        </w:r>
      </w:hyperlink>
    </w:p>
    <w:p w14:paraId="659F3872" w14:textId="20450968" w:rsidR="00C45E06" w:rsidRDefault="008D3EF6">
      <w:pPr>
        <w:pStyle w:val="TOC1"/>
        <w:tabs>
          <w:tab w:val="right" w:leader="dot" w:pos="9060"/>
        </w:tabs>
        <w:rPr>
          <w:rFonts w:eastAsiaTheme="minorEastAsia" w:cstheme="minorBidi"/>
          <w:noProof/>
          <w:sz w:val="22"/>
          <w:szCs w:val="22"/>
          <w:lang w:eastAsia="en-AU"/>
        </w:rPr>
      </w:pPr>
      <w:hyperlink w:anchor="_Toc136595088" w:history="1">
        <w:r w:rsidR="00C45E06" w:rsidRPr="007F364F">
          <w:rPr>
            <w:rStyle w:val="Hyperlink"/>
            <w:noProof/>
          </w:rPr>
          <w:t>Evaluation</w:t>
        </w:r>
        <w:r w:rsidR="00C45E06">
          <w:rPr>
            <w:noProof/>
            <w:webHidden/>
          </w:rPr>
          <w:tab/>
        </w:r>
        <w:r w:rsidR="00C45E06">
          <w:rPr>
            <w:noProof/>
            <w:webHidden/>
          </w:rPr>
          <w:fldChar w:fldCharType="begin"/>
        </w:r>
        <w:r w:rsidR="00C45E06">
          <w:rPr>
            <w:noProof/>
            <w:webHidden/>
          </w:rPr>
          <w:instrText xml:space="preserve"> PAGEREF _Toc136595088 \h </w:instrText>
        </w:r>
        <w:r w:rsidR="00C45E06">
          <w:rPr>
            <w:noProof/>
            <w:webHidden/>
          </w:rPr>
        </w:r>
        <w:r w:rsidR="00C45E06">
          <w:rPr>
            <w:noProof/>
            <w:webHidden/>
          </w:rPr>
          <w:fldChar w:fldCharType="separate"/>
        </w:r>
        <w:r w:rsidR="00484D2A">
          <w:rPr>
            <w:noProof/>
            <w:webHidden/>
          </w:rPr>
          <w:t>6</w:t>
        </w:r>
        <w:r w:rsidR="00C45E06">
          <w:rPr>
            <w:noProof/>
            <w:webHidden/>
          </w:rPr>
          <w:fldChar w:fldCharType="end"/>
        </w:r>
      </w:hyperlink>
    </w:p>
    <w:p w14:paraId="284569F2" w14:textId="2EAFCD42" w:rsidR="00C45E06" w:rsidRDefault="008D3EF6">
      <w:pPr>
        <w:pStyle w:val="TOC1"/>
        <w:tabs>
          <w:tab w:val="right" w:leader="dot" w:pos="9060"/>
        </w:tabs>
        <w:rPr>
          <w:rFonts w:eastAsiaTheme="minorEastAsia" w:cstheme="minorBidi"/>
          <w:noProof/>
          <w:sz w:val="22"/>
          <w:szCs w:val="22"/>
          <w:lang w:eastAsia="en-AU"/>
        </w:rPr>
      </w:pPr>
      <w:hyperlink w:anchor="_Toc136595089" w:history="1">
        <w:r w:rsidR="00C45E06" w:rsidRPr="007F364F">
          <w:rPr>
            <w:rStyle w:val="Hyperlink"/>
            <w:noProof/>
          </w:rPr>
          <w:t>Related Policies, Procedures, Guidelines and Legislation</w:t>
        </w:r>
        <w:r w:rsidR="00C45E06">
          <w:rPr>
            <w:noProof/>
            <w:webHidden/>
          </w:rPr>
          <w:tab/>
        </w:r>
        <w:r w:rsidR="00C45E06">
          <w:rPr>
            <w:noProof/>
            <w:webHidden/>
          </w:rPr>
          <w:fldChar w:fldCharType="begin"/>
        </w:r>
        <w:r w:rsidR="00C45E06">
          <w:rPr>
            <w:noProof/>
            <w:webHidden/>
          </w:rPr>
          <w:instrText xml:space="preserve"> PAGEREF _Toc136595089 \h </w:instrText>
        </w:r>
        <w:r w:rsidR="00C45E06">
          <w:rPr>
            <w:noProof/>
            <w:webHidden/>
          </w:rPr>
        </w:r>
        <w:r w:rsidR="00C45E06">
          <w:rPr>
            <w:noProof/>
            <w:webHidden/>
          </w:rPr>
          <w:fldChar w:fldCharType="separate"/>
        </w:r>
        <w:r w:rsidR="00484D2A">
          <w:rPr>
            <w:noProof/>
            <w:webHidden/>
          </w:rPr>
          <w:t>6</w:t>
        </w:r>
        <w:r w:rsidR="00C45E06">
          <w:rPr>
            <w:noProof/>
            <w:webHidden/>
          </w:rPr>
          <w:fldChar w:fldCharType="end"/>
        </w:r>
      </w:hyperlink>
    </w:p>
    <w:p w14:paraId="09FE3E69" w14:textId="3665328A" w:rsidR="00C45E06" w:rsidRDefault="008D3EF6">
      <w:pPr>
        <w:pStyle w:val="TOC1"/>
        <w:tabs>
          <w:tab w:val="right" w:leader="dot" w:pos="9060"/>
        </w:tabs>
        <w:rPr>
          <w:rFonts w:eastAsiaTheme="minorEastAsia" w:cstheme="minorBidi"/>
          <w:noProof/>
          <w:sz w:val="22"/>
          <w:szCs w:val="22"/>
          <w:lang w:eastAsia="en-AU"/>
        </w:rPr>
      </w:pPr>
      <w:hyperlink w:anchor="_Toc136595090" w:history="1">
        <w:r w:rsidR="00C45E06" w:rsidRPr="007F364F">
          <w:rPr>
            <w:rStyle w:val="Hyperlink"/>
            <w:noProof/>
          </w:rPr>
          <w:t>References</w:t>
        </w:r>
        <w:r w:rsidR="00C45E06">
          <w:rPr>
            <w:noProof/>
            <w:webHidden/>
          </w:rPr>
          <w:tab/>
        </w:r>
        <w:r w:rsidR="00C45E06">
          <w:rPr>
            <w:noProof/>
            <w:webHidden/>
          </w:rPr>
          <w:fldChar w:fldCharType="begin"/>
        </w:r>
        <w:r w:rsidR="00C45E06">
          <w:rPr>
            <w:noProof/>
            <w:webHidden/>
          </w:rPr>
          <w:instrText xml:space="preserve"> PAGEREF _Toc136595090 \h </w:instrText>
        </w:r>
        <w:r w:rsidR="00C45E06">
          <w:rPr>
            <w:noProof/>
            <w:webHidden/>
          </w:rPr>
        </w:r>
        <w:r w:rsidR="00C45E06">
          <w:rPr>
            <w:noProof/>
            <w:webHidden/>
          </w:rPr>
          <w:fldChar w:fldCharType="separate"/>
        </w:r>
        <w:r w:rsidR="00484D2A">
          <w:rPr>
            <w:noProof/>
            <w:webHidden/>
          </w:rPr>
          <w:t>7</w:t>
        </w:r>
        <w:r w:rsidR="00C45E06">
          <w:rPr>
            <w:noProof/>
            <w:webHidden/>
          </w:rPr>
          <w:fldChar w:fldCharType="end"/>
        </w:r>
      </w:hyperlink>
    </w:p>
    <w:p w14:paraId="79ACFF48" w14:textId="2A218B1F" w:rsidR="00C45E06" w:rsidRDefault="008D3EF6">
      <w:pPr>
        <w:pStyle w:val="TOC1"/>
        <w:tabs>
          <w:tab w:val="right" w:leader="dot" w:pos="9060"/>
        </w:tabs>
        <w:rPr>
          <w:rFonts w:eastAsiaTheme="minorEastAsia" w:cstheme="minorBidi"/>
          <w:noProof/>
          <w:sz w:val="22"/>
          <w:szCs w:val="22"/>
          <w:lang w:eastAsia="en-AU"/>
        </w:rPr>
      </w:pPr>
      <w:hyperlink w:anchor="_Toc136595091" w:history="1">
        <w:r w:rsidR="00C45E06" w:rsidRPr="007F364F">
          <w:rPr>
            <w:rStyle w:val="Hyperlink"/>
            <w:noProof/>
          </w:rPr>
          <w:t>Definition of Terms (if applicable)</w:t>
        </w:r>
        <w:r w:rsidR="00C45E06">
          <w:rPr>
            <w:noProof/>
            <w:webHidden/>
          </w:rPr>
          <w:tab/>
        </w:r>
        <w:r w:rsidR="00C45E06">
          <w:rPr>
            <w:noProof/>
            <w:webHidden/>
          </w:rPr>
          <w:fldChar w:fldCharType="begin"/>
        </w:r>
        <w:r w:rsidR="00C45E06">
          <w:rPr>
            <w:noProof/>
            <w:webHidden/>
          </w:rPr>
          <w:instrText xml:space="preserve"> PAGEREF _Toc136595091 \h </w:instrText>
        </w:r>
        <w:r w:rsidR="00C45E06">
          <w:rPr>
            <w:noProof/>
            <w:webHidden/>
          </w:rPr>
        </w:r>
        <w:r w:rsidR="00C45E06">
          <w:rPr>
            <w:noProof/>
            <w:webHidden/>
          </w:rPr>
          <w:fldChar w:fldCharType="separate"/>
        </w:r>
        <w:r w:rsidR="00484D2A">
          <w:rPr>
            <w:noProof/>
            <w:webHidden/>
          </w:rPr>
          <w:t>7</w:t>
        </w:r>
        <w:r w:rsidR="00C45E06">
          <w:rPr>
            <w:noProof/>
            <w:webHidden/>
          </w:rPr>
          <w:fldChar w:fldCharType="end"/>
        </w:r>
      </w:hyperlink>
    </w:p>
    <w:p w14:paraId="7CCA75BF" w14:textId="1443F3C1" w:rsidR="00C45E06" w:rsidRDefault="008D3EF6">
      <w:pPr>
        <w:pStyle w:val="TOC1"/>
        <w:tabs>
          <w:tab w:val="right" w:leader="dot" w:pos="9060"/>
        </w:tabs>
        <w:rPr>
          <w:rFonts w:eastAsiaTheme="minorEastAsia" w:cstheme="minorBidi"/>
          <w:noProof/>
          <w:sz w:val="22"/>
          <w:szCs w:val="22"/>
          <w:lang w:eastAsia="en-AU"/>
        </w:rPr>
      </w:pPr>
      <w:hyperlink w:anchor="_Toc136595092" w:history="1">
        <w:r w:rsidR="00C45E06" w:rsidRPr="007F364F">
          <w:rPr>
            <w:rStyle w:val="Hyperlink"/>
            <w:noProof/>
          </w:rPr>
          <w:t>Search Terms</w:t>
        </w:r>
        <w:r w:rsidR="00C45E06">
          <w:rPr>
            <w:noProof/>
            <w:webHidden/>
          </w:rPr>
          <w:tab/>
        </w:r>
        <w:r w:rsidR="00C45E06">
          <w:rPr>
            <w:noProof/>
            <w:webHidden/>
          </w:rPr>
          <w:fldChar w:fldCharType="begin"/>
        </w:r>
        <w:r w:rsidR="00C45E06">
          <w:rPr>
            <w:noProof/>
            <w:webHidden/>
          </w:rPr>
          <w:instrText xml:space="preserve"> PAGEREF _Toc136595092 \h </w:instrText>
        </w:r>
        <w:r w:rsidR="00C45E06">
          <w:rPr>
            <w:noProof/>
            <w:webHidden/>
          </w:rPr>
        </w:r>
        <w:r w:rsidR="00C45E06">
          <w:rPr>
            <w:noProof/>
            <w:webHidden/>
          </w:rPr>
          <w:fldChar w:fldCharType="separate"/>
        </w:r>
        <w:r w:rsidR="00484D2A">
          <w:rPr>
            <w:noProof/>
            <w:webHidden/>
          </w:rPr>
          <w:t>8</w:t>
        </w:r>
        <w:r w:rsidR="00C45E06">
          <w:rPr>
            <w:noProof/>
            <w:webHidden/>
          </w:rPr>
          <w:fldChar w:fldCharType="end"/>
        </w:r>
      </w:hyperlink>
    </w:p>
    <w:p w14:paraId="7E1425AE" w14:textId="0663AEA1" w:rsidR="00C45E06" w:rsidRDefault="008D3EF6">
      <w:pPr>
        <w:pStyle w:val="TOC1"/>
        <w:tabs>
          <w:tab w:val="right" w:leader="dot" w:pos="9060"/>
        </w:tabs>
        <w:rPr>
          <w:rFonts w:eastAsiaTheme="minorEastAsia" w:cstheme="minorBidi"/>
          <w:noProof/>
          <w:sz w:val="22"/>
          <w:szCs w:val="22"/>
          <w:lang w:eastAsia="en-AU"/>
        </w:rPr>
      </w:pPr>
      <w:hyperlink w:anchor="_Toc136595093" w:history="1">
        <w:r w:rsidR="00C45E06" w:rsidRPr="007F364F">
          <w:rPr>
            <w:rStyle w:val="Hyperlink"/>
            <w:noProof/>
          </w:rPr>
          <w:t>Attachments</w:t>
        </w:r>
        <w:r w:rsidR="00C45E06">
          <w:rPr>
            <w:noProof/>
            <w:webHidden/>
          </w:rPr>
          <w:tab/>
        </w:r>
        <w:r w:rsidR="00C45E06">
          <w:rPr>
            <w:noProof/>
            <w:webHidden/>
          </w:rPr>
          <w:fldChar w:fldCharType="begin"/>
        </w:r>
        <w:r w:rsidR="00C45E06">
          <w:rPr>
            <w:noProof/>
            <w:webHidden/>
          </w:rPr>
          <w:instrText xml:space="preserve"> PAGEREF _Toc136595093 \h </w:instrText>
        </w:r>
        <w:r w:rsidR="00C45E06">
          <w:rPr>
            <w:noProof/>
            <w:webHidden/>
          </w:rPr>
        </w:r>
        <w:r w:rsidR="00C45E06">
          <w:rPr>
            <w:noProof/>
            <w:webHidden/>
          </w:rPr>
          <w:fldChar w:fldCharType="separate"/>
        </w:r>
        <w:r w:rsidR="00484D2A">
          <w:rPr>
            <w:noProof/>
            <w:webHidden/>
          </w:rPr>
          <w:t>8</w:t>
        </w:r>
        <w:r w:rsidR="00C45E06">
          <w:rPr>
            <w:noProof/>
            <w:webHidden/>
          </w:rPr>
          <w:fldChar w:fldCharType="end"/>
        </w:r>
      </w:hyperlink>
    </w:p>
    <w:p w14:paraId="65F689CE" w14:textId="73C59DC0" w:rsidR="00C45E06" w:rsidRDefault="008D3EF6">
      <w:pPr>
        <w:pStyle w:val="TOC1"/>
        <w:tabs>
          <w:tab w:val="right" w:leader="dot" w:pos="9060"/>
        </w:tabs>
        <w:rPr>
          <w:rFonts w:eastAsiaTheme="minorEastAsia" w:cstheme="minorBidi"/>
          <w:noProof/>
          <w:sz w:val="22"/>
          <w:szCs w:val="22"/>
          <w:lang w:eastAsia="en-AU"/>
        </w:rPr>
      </w:pPr>
      <w:hyperlink w:anchor="_Toc136595094" w:history="1">
        <w:r w:rsidR="00C45E06" w:rsidRPr="007F364F">
          <w:rPr>
            <w:rStyle w:val="Hyperlink"/>
            <w:noProof/>
          </w:rPr>
          <w:t>Attachment 1: Review of Clinical Competency Process Flow Chart</w:t>
        </w:r>
        <w:r w:rsidR="00C45E06">
          <w:rPr>
            <w:noProof/>
            <w:webHidden/>
          </w:rPr>
          <w:tab/>
        </w:r>
        <w:r w:rsidR="00C45E06">
          <w:rPr>
            <w:noProof/>
            <w:webHidden/>
          </w:rPr>
          <w:fldChar w:fldCharType="begin"/>
        </w:r>
        <w:r w:rsidR="00C45E06">
          <w:rPr>
            <w:noProof/>
            <w:webHidden/>
          </w:rPr>
          <w:instrText xml:space="preserve"> PAGEREF _Toc136595094 \h </w:instrText>
        </w:r>
        <w:r w:rsidR="00C45E06">
          <w:rPr>
            <w:noProof/>
            <w:webHidden/>
          </w:rPr>
        </w:r>
        <w:r w:rsidR="00C45E06">
          <w:rPr>
            <w:noProof/>
            <w:webHidden/>
          </w:rPr>
          <w:fldChar w:fldCharType="separate"/>
        </w:r>
        <w:r w:rsidR="00484D2A">
          <w:rPr>
            <w:b/>
            <w:bCs/>
            <w:noProof/>
            <w:webHidden/>
            <w:lang w:val="en-US"/>
          </w:rPr>
          <w:t>Error! Bookmark not defined.</w:t>
        </w:r>
        <w:r w:rsidR="00C45E06">
          <w:rPr>
            <w:noProof/>
            <w:webHidden/>
          </w:rPr>
          <w:fldChar w:fldCharType="end"/>
        </w:r>
      </w:hyperlink>
    </w:p>
    <w:p w14:paraId="2F51A861" w14:textId="3E119EF2" w:rsidR="007052B1" w:rsidRDefault="007B7628" w:rsidP="007B6904">
      <w:pPr>
        <w:rPr>
          <w:rFonts w:asciiTheme="minorHAnsi" w:hAnsiTheme="minorHAnsi"/>
        </w:rPr>
      </w:pPr>
      <w:r>
        <w:rPr>
          <w:rFonts w:asciiTheme="minorHAnsi" w:hAnsiTheme="minorHAnsi"/>
        </w:rPr>
        <w:fldChar w:fldCharType="end"/>
      </w:r>
    </w:p>
    <w:p w14:paraId="2F51A862" w14:textId="77777777" w:rsidR="007052B1" w:rsidRDefault="007052B1">
      <w:pPr>
        <w:spacing w:after="200" w:line="276" w:lineRule="auto"/>
        <w:rPr>
          <w:rFonts w:asciiTheme="minorHAnsi" w:hAnsiTheme="minorHAnsi"/>
        </w:rPr>
      </w:pPr>
      <w:r>
        <w:rPr>
          <w:rFonts w:asciiTheme="minorHAnsi" w:hAnsiTheme="minorHAnsi"/>
        </w:rPr>
        <w:br w:type="page"/>
      </w:r>
    </w:p>
    <w:p w14:paraId="2F51A863" w14:textId="77777777" w:rsidR="007B6904" w:rsidRPr="00763141" w:rsidRDefault="007B6904" w:rsidP="007B6904"/>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77777777" w:rsidR="007B6904" w:rsidRPr="00CD1C0E" w:rsidRDefault="007B6904" w:rsidP="004213C3">
            <w:pPr>
              <w:pStyle w:val="Heading1"/>
            </w:pPr>
            <w:bookmarkStart w:id="8" w:name="_Toc389473274"/>
            <w:bookmarkStart w:id="9" w:name="_Toc136595081"/>
            <w:r w:rsidRPr="00CD1C0E">
              <w:t>Purpose</w:t>
            </w:r>
            <w:bookmarkEnd w:id="8"/>
            <w:bookmarkEnd w:id="9"/>
          </w:p>
        </w:tc>
      </w:tr>
    </w:tbl>
    <w:p w14:paraId="2F51A866" w14:textId="77777777" w:rsidR="00931B93" w:rsidRDefault="00931B93" w:rsidP="00931B93">
      <w:pPr>
        <w:rPr>
          <w:rFonts w:cs="Arial"/>
          <w:i/>
          <w:szCs w:val="24"/>
        </w:rPr>
      </w:pPr>
    </w:p>
    <w:p w14:paraId="2648654A" w14:textId="239426F4" w:rsidR="00C658FE" w:rsidRPr="001714C3" w:rsidRDefault="00BC17B0" w:rsidP="00C658FE">
      <w:r>
        <w:t>This procedure</w:t>
      </w:r>
      <w:r w:rsidR="00D01C1F">
        <w:t xml:space="preserve"> outlines </w:t>
      </w:r>
      <w:r w:rsidR="00C658FE" w:rsidRPr="002842A4">
        <w:t xml:space="preserve">changes in credentialing or scope of practice </w:t>
      </w:r>
      <w:r w:rsidR="00D01C1F">
        <w:t xml:space="preserve">processes </w:t>
      </w:r>
      <w:r w:rsidR="00C658FE" w:rsidRPr="002842A4">
        <w:t>where</w:t>
      </w:r>
      <w:r w:rsidR="00C658FE">
        <w:t xml:space="preserve"> </w:t>
      </w:r>
      <w:r w:rsidR="00C658FE" w:rsidRPr="005E21E2">
        <w:t>concerns are raised</w:t>
      </w:r>
      <w:r w:rsidR="00C658FE" w:rsidRPr="00C62FB4">
        <w:t xml:space="preserve"> about the clinical competence of a doctor or dentist</w:t>
      </w:r>
      <w:r w:rsidR="00C658FE">
        <w:t xml:space="preserve">; or </w:t>
      </w:r>
      <w:r w:rsidR="00C658FE" w:rsidRPr="002842A4">
        <w:t>the organisation cannot</w:t>
      </w:r>
      <w:r w:rsidR="00D01C1F">
        <w:t>,</w:t>
      </w:r>
      <w:r w:rsidR="00C658FE" w:rsidRPr="002842A4">
        <w:t xml:space="preserve"> or elects not to</w:t>
      </w:r>
      <w:r w:rsidR="00D01C1F">
        <w:t>,</w:t>
      </w:r>
      <w:r w:rsidR="00C658FE" w:rsidRPr="002842A4">
        <w:t xml:space="preserve"> provide the facilities and clinical or non-clinical support services necessary for safe service provision</w:t>
      </w:r>
      <w:r w:rsidR="00C658FE">
        <w:t>.</w:t>
      </w:r>
    </w:p>
    <w:p w14:paraId="2F51A86F" w14:textId="1CDF3162" w:rsidR="007B6904" w:rsidRDefault="007B6904" w:rsidP="00931B93">
      <w:pPr>
        <w:rPr>
          <w:rFonts w:cs="Arial"/>
          <w:szCs w:val="24"/>
        </w:rPr>
      </w:pPr>
    </w:p>
    <w:p w14:paraId="5B3C4BD1" w14:textId="3C2E8BDF" w:rsidR="00D01C1F" w:rsidRPr="00344C00" w:rsidRDefault="00D01C1F" w:rsidP="00D01C1F">
      <w:pPr>
        <w:pStyle w:val="BodyText3"/>
        <w:tabs>
          <w:tab w:val="num" w:pos="567"/>
        </w:tabs>
        <w:spacing w:after="0"/>
        <w:rPr>
          <w:rFonts w:ascii="Calibri" w:hAnsi="Calibri"/>
          <w:sz w:val="24"/>
          <w:szCs w:val="24"/>
        </w:rPr>
      </w:pPr>
      <w:r w:rsidRPr="00344C00">
        <w:rPr>
          <w:rFonts w:ascii="Calibri" w:hAnsi="Calibri"/>
          <w:sz w:val="24"/>
          <w:szCs w:val="24"/>
        </w:rPr>
        <w:t>This procedure replaces all previous policies and procedures, created by Canberra Health Service</w:t>
      </w:r>
      <w:r w:rsidR="00E071FE">
        <w:rPr>
          <w:rFonts w:ascii="Calibri" w:hAnsi="Calibri"/>
          <w:sz w:val="24"/>
          <w:szCs w:val="24"/>
        </w:rPr>
        <w:t>s (CHS)</w:t>
      </w:r>
      <w:r w:rsidRPr="00344C00">
        <w:rPr>
          <w:rFonts w:ascii="Calibri" w:hAnsi="Calibri"/>
          <w:sz w:val="24"/>
          <w:szCs w:val="24"/>
        </w:rPr>
        <w:t xml:space="preserve"> or its predecessors, relating to the review of the clinical competence of a medical or dental practitioner once initially credentialed.</w:t>
      </w:r>
    </w:p>
    <w:p w14:paraId="39762F07" w14:textId="77777777" w:rsidR="00D01C1F" w:rsidRDefault="00D01C1F" w:rsidP="00931B93">
      <w:pPr>
        <w:rPr>
          <w:rFonts w:cs="Arial"/>
          <w:szCs w:val="24"/>
        </w:rPr>
      </w:pPr>
    </w:p>
    <w:p w14:paraId="2F51A870" w14:textId="77777777" w:rsidR="009E70F4" w:rsidRPr="00CD1C0E" w:rsidRDefault="008D3EF6" w:rsidP="009E70F4">
      <w:pPr>
        <w:jc w:val="right"/>
        <w:rPr>
          <w:rFonts w:cs="Arial"/>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4223E" w:rsidRPr="00CD1C0E" w14:paraId="2F51A872" w14:textId="77777777" w:rsidTr="008119A9">
        <w:trPr>
          <w:cantSplit/>
          <w:trHeight w:val="285"/>
        </w:trPr>
        <w:tc>
          <w:tcPr>
            <w:tcW w:w="9158" w:type="dxa"/>
            <w:shd w:val="clear" w:color="auto" w:fill="A6A6A6" w:themeFill="background1" w:themeFillShade="A6"/>
          </w:tcPr>
          <w:p w14:paraId="2F51A871" w14:textId="0CE70842" w:rsidR="0074223E" w:rsidRPr="00CD1C0E" w:rsidRDefault="0074223E" w:rsidP="008119A9">
            <w:pPr>
              <w:pStyle w:val="Heading1"/>
            </w:pPr>
            <w:bookmarkStart w:id="10" w:name="_Toc389473276"/>
            <w:bookmarkStart w:id="11" w:name="_Toc136595082"/>
            <w:r>
              <w:t>Alerts</w:t>
            </w:r>
            <w:bookmarkEnd w:id="10"/>
            <w:r w:rsidR="00AB50DD">
              <w:t xml:space="preserve"> (if applicable)</w:t>
            </w:r>
            <w:bookmarkEnd w:id="11"/>
            <w:r w:rsidR="00AB50DD">
              <w:t xml:space="preserve"> </w:t>
            </w:r>
          </w:p>
        </w:tc>
      </w:tr>
    </w:tbl>
    <w:p w14:paraId="2F51A873" w14:textId="77777777" w:rsidR="007B6904" w:rsidRDefault="007B6904" w:rsidP="007B6904">
      <w:pPr>
        <w:rPr>
          <w:rFonts w:cs="Arial"/>
          <w:b/>
          <w:szCs w:val="24"/>
        </w:rPr>
      </w:pPr>
    </w:p>
    <w:p w14:paraId="2F51A877" w14:textId="1C089F42" w:rsidR="00285D38" w:rsidRPr="006614EA" w:rsidRDefault="006614EA" w:rsidP="007B6904">
      <w:pPr>
        <w:rPr>
          <w:iCs/>
        </w:rPr>
      </w:pPr>
      <w:r>
        <w:rPr>
          <w:iCs/>
        </w:rPr>
        <w:t>Not applicable.</w:t>
      </w:r>
    </w:p>
    <w:p w14:paraId="2F51A878" w14:textId="77777777" w:rsidR="00DE4E25" w:rsidRDefault="00DE4E25" w:rsidP="007B6904">
      <w:pPr>
        <w:rPr>
          <w:rFonts w:cs="Arial"/>
          <w:b/>
          <w:szCs w:val="24"/>
        </w:rPr>
      </w:pPr>
    </w:p>
    <w:p w14:paraId="2F51A879" w14:textId="77777777" w:rsidR="009E70F4" w:rsidRPr="009121F9" w:rsidRDefault="008D3EF6" w:rsidP="009E70F4">
      <w:pPr>
        <w:jc w:val="right"/>
        <w:rPr>
          <w:rFonts w:cs="Arial"/>
          <w:b/>
          <w:szCs w:val="24"/>
        </w:rPr>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12" w:name="_Toc389473277"/>
            <w:bookmarkStart w:id="13" w:name="_Toc136595083"/>
            <w:r w:rsidRPr="003D2D06">
              <w:t>Scope</w:t>
            </w:r>
            <w:bookmarkEnd w:id="12"/>
            <w:bookmarkEnd w:id="13"/>
          </w:p>
        </w:tc>
      </w:tr>
    </w:tbl>
    <w:p w14:paraId="2F51A87C" w14:textId="77777777" w:rsidR="007B6904" w:rsidRPr="00CD1C0E" w:rsidRDefault="007B6904" w:rsidP="007B6904">
      <w:pPr>
        <w:rPr>
          <w:szCs w:val="24"/>
        </w:rPr>
      </w:pPr>
    </w:p>
    <w:p w14:paraId="4F7ECF05" w14:textId="77777777" w:rsidR="00D01C1F" w:rsidRDefault="00C658FE" w:rsidP="00C658FE">
      <w:pPr>
        <w:pStyle w:val="BodyText3"/>
        <w:tabs>
          <w:tab w:val="num" w:pos="567"/>
        </w:tabs>
        <w:spacing w:after="0"/>
        <w:rPr>
          <w:rFonts w:ascii="Calibri" w:hAnsi="Calibri"/>
          <w:sz w:val="24"/>
          <w:szCs w:val="24"/>
        </w:rPr>
      </w:pPr>
      <w:r>
        <w:rPr>
          <w:rFonts w:ascii="Calibri" w:hAnsi="Calibri"/>
          <w:sz w:val="24"/>
          <w:szCs w:val="24"/>
        </w:rPr>
        <w:t>This procedure applies to</w:t>
      </w:r>
      <w:r w:rsidR="00D01C1F">
        <w:rPr>
          <w:rFonts w:ascii="Calibri" w:hAnsi="Calibri"/>
          <w:sz w:val="24"/>
          <w:szCs w:val="24"/>
        </w:rPr>
        <w:t>:</w:t>
      </w:r>
    </w:p>
    <w:p w14:paraId="0331D88C" w14:textId="77777777" w:rsidR="00D01C1F" w:rsidRDefault="00D01C1F" w:rsidP="00D01C1F">
      <w:pPr>
        <w:pStyle w:val="BodyText3"/>
        <w:numPr>
          <w:ilvl w:val="0"/>
          <w:numId w:val="20"/>
        </w:numPr>
        <w:spacing w:after="0"/>
        <w:ind w:left="426" w:hanging="426"/>
        <w:rPr>
          <w:rFonts w:ascii="Calibri" w:hAnsi="Calibri" w:cs="Calibri"/>
          <w:sz w:val="24"/>
          <w:szCs w:val="24"/>
        </w:rPr>
      </w:pPr>
      <w:r>
        <w:rPr>
          <w:rFonts w:ascii="Calibri" w:hAnsi="Calibri"/>
          <w:sz w:val="24"/>
          <w:szCs w:val="24"/>
        </w:rPr>
        <w:t>S</w:t>
      </w:r>
      <w:r w:rsidR="00C658FE">
        <w:rPr>
          <w:rFonts w:ascii="Calibri" w:hAnsi="Calibri"/>
          <w:sz w:val="24"/>
          <w:szCs w:val="24"/>
        </w:rPr>
        <w:t>enior medical and dental practitioners</w:t>
      </w:r>
      <w:r w:rsidR="00C658FE" w:rsidRPr="00E64804">
        <w:rPr>
          <w:rFonts w:ascii="Calibri" w:hAnsi="Calibri"/>
          <w:sz w:val="24"/>
          <w:szCs w:val="24"/>
        </w:rPr>
        <w:t xml:space="preserve"> with </w:t>
      </w:r>
      <w:r w:rsidR="00C658FE" w:rsidRPr="00E64804">
        <w:rPr>
          <w:rFonts w:ascii="Calibri" w:hAnsi="Calibri" w:cs="Calibri"/>
          <w:sz w:val="24"/>
          <w:szCs w:val="24"/>
        </w:rPr>
        <w:t>permanent</w:t>
      </w:r>
      <w:r w:rsidR="00C658FE">
        <w:rPr>
          <w:rFonts w:ascii="Calibri" w:hAnsi="Calibri" w:cs="Calibri"/>
          <w:sz w:val="24"/>
          <w:szCs w:val="24"/>
        </w:rPr>
        <w:t xml:space="preserve"> or </w:t>
      </w:r>
      <w:r w:rsidR="00C658FE" w:rsidRPr="00E64804">
        <w:rPr>
          <w:rFonts w:ascii="Calibri" w:hAnsi="Calibri" w:cs="Calibri"/>
          <w:sz w:val="24"/>
          <w:szCs w:val="24"/>
        </w:rPr>
        <w:t xml:space="preserve">fixed term appointments or contracts, </w:t>
      </w:r>
      <w:r w:rsidR="00C658FE">
        <w:rPr>
          <w:rFonts w:ascii="Calibri" w:hAnsi="Calibri" w:cs="Calibri"/>
          <w:sz w:val="24"/>
          <w:szCs w:val="24"/>
        </w:rPr>
        <w:t xml:space="preserve">irrespective of the nature of the contractual arrangements, </w:t>
      </w:r>
      <w:r w:rsidR="00C658FE" w:rsidRPr="00E64804">
        <w:rPr>
          <w:rFonts w:ascii="Calibri" w:hAnsi="Calibri" w:cs="Calibri"/>
          <w:sz w:val="24"/>
          <w:szCs w:val="24"/>
        </w:rPr>
        <w:t xml:space="preserve">including locums or </w:t>
      </w:r>
      <w:r w:rsidR="00C658FE">
        <w:rPr>
          <w:rFonts w:ascii="Calibri" w:hAnsi="Calibri" w:cs="Calibri"/>
          <w:sz w:val="24"/>
          <w:szCs w:val="24"/>
        </w:rPr>
        <w:t>practitioners</w:t>
      </w:r>
      <w:r w:rsidR="00C658FE" w:rsidRPr="00E64804">
        <w:rPr>
          <w:rFonts w:ascii="Calibri" w:hAnsi="Calibri" w:cs="Calibri"/>
          <w:sz w:val="24"/>
          <w:szCs w:val="24"/>
        </w:rPr>
        <w:t xml:space="preserve"> appointed on an urgent basis </w:t>
      </w:r>
      <w:r w:rsidR="00C658FE">
        <w:rPr>
          <w:rFonts w:ascii="Calibri" w:hAnsi="Calibri" w:cs="Calibri"/>
          <w:sz w:val="24"/>
          <w:szCs w:val="24"/>
        </w:rPr>
        <w:t>(</w:t>
      </w:r>
      <w:r w:rsidR="00C658FE" w:rsidRPr="00E64804">
        <w:rPr>
          <w:rFonts w:ascii="Calibri" w:hAnsi="Calibri" w:cs="Calibri"/>
          <w:sz w:val="24"/>
          <w:szCs w:val="24"/>
        </w:rPr>
        <w:t>such as in an emergency or a disaster situation</w:t>
      </w:r>
      <w:r w:rsidR="00C658FE">
        <w:rPr>
          <w:rFonts w:ascii="Calibri" w:hAnsi="Calibri" w:cs="Calibri"/>
          <w:sz w:val="24"/>
          <w:szCs w:val="24"/>
        </w:rPr>
        <w:t>)</w:t>
      </w:r>
      <w:r w:rsidR="00C658FE" w:rsidRPr="00E64804">
        <w:rPr>
          <w:rFonts w:ascii="Calibri" w:hAnsi="Calibri" w:cs="Calibri"/>
          <w:sz w:val="24"/>
          <w:szCs w:val="24"/>
        </w:rPr>
        <w:t>.</w:t>
      </w:r>
      <w:r w:rsidR="00C658FE">
        <w:rPr>
          <w:rFonts w:ascii="Calibri" w:hAnsi="Calibri" w:cs="Calibri"/>
          <w:sz w:val="24"/>
          <w:szCs w:val="24"/>
        </w:rPr>
        <w:t xml:space="preserve"> </w:t>
      </w:r>
    </w:p>
    <w:p w14:paraId="15F333B4" w14:textId="4C2A05EB" w:rsidR="00C658FE" w:rsidRPr="00D01C1F" w:rsidRDefault="00C658FE" w:rsidP="00D01C1F">
      <w:pPr>
        <w:pStyle w:val="BodyText3"/>
        <w:numPr>
          <w:ilvl w:val="0"/>
          <w:numId w:val="20"/>
        </w:numPr>
        <w:spacing w:after="0"/>
        <w:ind w:left="426" w:hanging="426"/>
        <w:rPr>
          <w:rFonts w:ascii="Calibri" w:hAnsi="Calibri" w:cs="Calibri"/>
          <w:sz w:val="24"/>
          <w:szCs w:val="24"/>
        </w:rPr>
      </w:pPr>
      <w:r w:rsidRPr="00D01C1F">
        <w:rPr>
          <w:rFonts w:ascii="Calibri" w:hAnsi="Calibri"/>
          <w:sz w:val="24"/>
          <w:szCs w:val="24"/>
        </w:rPr>
        <w:t>Junior medical officers of all grades, including registrars and trainees, staff in non-accredited training positions and career medical officers, will be managed through their respective departments and departmental oversight arrangements.</w:t>
      </w:r>
    </w:p>
    <w:p w14:paraId="2F51A886" w14:textId="77777777" w:rsidR="001F2A9B" w:rsidRDefault="001F2A9B" w:rsidP="00F14EC1"/>
    <w:p w14:paraId="2F51A887" w14:textId="77777777" w:rsidR="007B6904" w:rsidRPr="00CD1C0E" w:rsidRDefault="008D3EF6"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4A010E1C" w:rsidR="007B6904" w:rsidRPr="00C76688" w:rsidRDefault="007B6904" w:rsidP="00931B93">
            <w:pPr>
              <w:pStyle w:val="Heading1"/>
            </w:pPr>
            <w:bookmarkStart w:id="14" w:name="_Toc389473278"/>
            <w:bookmarkStart w:id="15" w:name="_Toc136595084"/>
            <w:r w:rsidRPr="00C76688">
              <w:t>Section 1 –</w:t>
            </w:r>
            <w:r>
              <w:t xml:space="preserve"> </w:t>
            </w:r>
            <w:bookmarkEnd w:id="14"/>
            <w:r w:rsidR="00D01C1F">
              <w:t>Clinical Competence</w:t>
            </w:r>
            <w:bookmarkEnd w:id="15"/>
          </w:p>
        </w:tc>
      </w:tr>
    </w:tbl>
    <w:p w14:paraId="2F51A88A" w14:textId="77777777" w:rsidR="007B6904" w:rsidRDefault="007B6904" w:rsidP="007B6904">
      <w:pPr>
        <w:outlineLvl w:val="0"/>
        <w:rPr>
          <w:szCs w:val="24"/>
        </w:rPr>
      </w:pPr>
    </w:p>
    <w:p w14:paraId="38802F97" w14:textId="77777777" w:rsidR="006614EA" w:rsidRDefault="006614EA" w:rsidP="006614EA">
      <w:r>
        <w:rPr>
          <w:rStyle w:val="Hyperlink"/>
          <w:color w:val="auto"/>
          <w:u w:val="none"/>
        </w:rPr>
        <w:t>Clinical competence is a broad term describing t</w:t>
      </w:r>
      <w:r>
        <w:t>he demonstrated ability to provide health care services at an expected level of safety and quality.</w:t>
      </w:r>
    </w:p>
    <w:p w14:paraId="28AE9749" w14:textId="77777777" w:rsidR="006614EA" w:rsidRDefault="006614EA" w:rsidP="006614EA"/>
    <w:p w14:paraId="6413FCEC" w14:textId="77777777" w:rsidR="00D01C1F" w:rsidRDefault="006614EA" w:rsidP="006614EA">
      <w:r>
        <w:t>The act of credentialing, and the subsequent ability to practice in a scope of clinical practice</w:t>
      </w:r>
      <w:r w:rsidR="00D01C1F">
        <w:t>,</w:t>
      </w:r>
      <w:r>
        <w:t xml:space="preserve"> involves delineating the extent of an individual medical practitioner’s clinical practice within a particular organisation based on the individual’s</w:t>
      </w:r>
      <w:r w:rsidR="00D01C1F">
        <w:t>:</w:t>
      </w:r>
    </w:p>
    <w:p w14:paraId="1408F159" w14:textId="790E0526" w:rsidR="00D01C1F" w:rsidRDefault="00D01C1F" w:rsidP="00D01C1F">
      <w:pPr>
        <w:pStyle w:val="ListParagraph"/>
        <w:numPr>
          <w:ilvl w:val="0"/>
          <w:numId w:val="21"/>
        </w:numPr>
        <w:ind w:left="426" w:hanging="426"/>
      </w:pPr>
      <w:r>
        <w:t>C</w:t>
      </w:r>
      <w:r w:rsidR="006614EA">
        <w:t>redentials</w:t>
      </w:r>
    </w:p>
    <w:p w14:paraId="72FFDAE6" w14:textId="576B5CC0" w:rsidR="00D01C1F" w:rsidRDefault="00D01C1F" w:rsidP="00D01C1F">
      <w:pPr>
        <w:pStyle w:val="ListParagraph"/>
        <w:numPr>
          <w:ilvl w:val="0"/>
          <w:numId w:val="21"/>
        </w:numPr>
        <w:ind w:left="426" w:hanging="426"/>
      </w:pPr>
      <w:r>
        <w:t>C</w:t>
      </w:r>
      <w:r w:rsidR="006614EA">
        <w:t>ompetence</w:t>
      </w:r>
    </w:p>
    <w:p w14:paraId="12D64DF0" w14:textId="6A0D1305" w:rsidR="00D01C1F" w:rsidRDefault="00D01C1F" w:rsidP="00D01C1F">
      <w:pPr>
        <w:pStyle w:val="ListParagraph"/>
        <w:numPr>
          <w:ilvl w:val="0"/>
          <w:numId w:val="21"/>
        </w:numPr>
        <w:ind w:left="426" w:hanging="426"/>
      </w:pPr>
      <w:r>
        <w:lastRenderedPageBreak/>
        <w:t>P</w:t>
      </w:r>
      <w:r w:rsidR="006614EA">
        <w:t>erformance and professional suitability</w:t>
      </w:r>
    </w:p>
    <w:p w14:paraId="4CEEA6C8" w14:textId="5077E7B5" w:rsidR="006614EA" w:rsidRPr="00D01C1F" w:rsidRDefault="00DF1F75" w:rsidP="00D01C1F">
      <w:pPr>
        <w:rPr>
          <w:rStyle w:val="Hyperlink"/>
          <w:color w:val="auto"/>
          <w:u w:val="none"/>
        </w:rPr>
      </w:pPr>
      <w:r>
        <w:t xml:space="preserve">and </w:t>
      </w:r>
      <w:r w:rsidR="00D01C1F">
        <w:t>t</w:t>
      </w:r>
      <w:r w:rsidR="006614EA">
        <w:t>he needs and the capability of the organisation to support the medical practitioner’s scope of clinical practice.</w:t>
      </w:r>
    </w:p>
    <w:p w14:paraId="7A8129A2" w14:textId="77777777" w:rsidR="006614EA" w:rsidRPr="00323DA9" w:rsidRDefault="006614EA" w:rsidP="006614EA">
      <w:pPr>
        <w:rPr>
          <w:rStyle w:val="Hyperlink"/>
          <w:color w:val="auto"/>
        </w:rPr>
      </w:pPr>
    </w:p>
    <w:p w14:paraId="48272A08" w14:textId="06F52F78" w:rsidR="006614EA" w:rsidRDefault="00DF1F75" w:rsidP="006614EA">
      <w:pPr>
        <w:rPr>
          <w:rStyle w:val="Hyperlink"/>
          <w:color w:val="auto"/>
          <w:u w:val="none"/>
        </w:rPr>
      </w:pPr>
      <w:r>
        <w:rPr>
          <w:rStyle w:val="Hyperlink"/>
          <w:color w:val="auto"/>
          <w:u w:val="none"/>
        </w:rPr>
        <w:t>On occasions</w:t>
      </w:r>
      <w:r w:rsidR="006614EA">
        <w:rPr>
          <w:rStyle w:val="Hyperlink"/>
          <w:color w:val="auto"/>
          <w:u w:val="none"/>
        </w:rPr>
        <w:t xml:space="preserve"> practitioners </w:t>
      </w:r>
      <w:r w:rsidR="006614EA" w:rsidRPr="005E21E2">
        <w:rPr>
          <w:rStyle w:val="Hyperlink"/>
          <w:color w:val="auto"/>
          <w:u w:val="none"/>
        </w:rPr>
        <w:t>may be referred</w:t>
      </w:r>
      <w:r w:rsidR="006614EA">
        <w:rPr>
          <w:rStyle w:val="Hyperlink"/>
          <w:color w:val="auto"/>
          <w:u w:val="none"/>
        </w:rPr>
        <w:t xml:space="preserve"> to the Medical and Dental Appointment Advisory Committee for consideration of changes to their credentialing status or changes to scope of practice where clinical competence is an issue.</w:t>
      </w:r>
    </w:p>
    <w:p w14:paraId="21844A40" w14:textId="77777777" w:rsidR="006614EA" w:rsidRDefault="006614EA" w:rsidP="006614EA">
      <w:pPr>
        <w:rPr>
          <w:rStyle w:val="Hyperlink"/>
          <w:color w:val="auto"/>
          <w:u w:val="none"/>
        </w:rPr>
      </w:pPr>
    </w:p>
    <w:p w14:paraId="6B214ED1" w14:textId="2D0CF0C6" w:rsidR="006614EA" w:rsidRDefault="006614EA" w:rsidP="006614EA">
      <w:pPr>
        <w:rPr>
          <w:rStyle w:val="Hyperlink"/>
          <w:color w:val="auto"/>
          <w:u w:val="none"/>
        </w:rPr>
      </w:pPr>
      <w:r>
        <w:rPr>
          <w:rStyle w:val="Hyperlink"/>
          <w:color w:val="auto"/>
          <w:u w:val="none"/>
        </w:rPr>
        <w:t>This process is separate to, and not a substitute for, management of behavioural or performance matters as part of an employment relationship</w:t>
      </w:r>
      <w:r w:rsidR="00FE737A">
        <w:rPr>
          <w:rStyle w:val="Hyperlink"/>
          <w:color w:val="auto"/>
          <w:u w:val="none"/>
        </w:rPr>
        <w:t xml:space="preserve"> managed in accordance with Section N of the </w:t>
      </w:r>
      <w:r w:rsidR="00FE737A" w:rsidRPr="004451C8">
        <w:rPr>
          <w:rStyle w:val="Hyperlink"/>
          <w:i/>
          <w:iCs/>
          <w:color w:val="auto"/>
          <w:u w:val="none"/>
        </w:rPr>
        <w:t>ACT Public Service Medical Practitioners Enterprise Agreement</w:t>
      </w:r>
      <w:r w:rsidR="00DF1F75">
        <w:rPr>
          <w:rStyle w:val="Hyperlink"/>
          <w:color w:val="auto"/>
          <w:u w:val="none"/>
        </w:rPr>
        <w:t>.</w:t>
      </w:r>
      <w:r>
        <w:rPr>
          <w:rStyle w:val="Hyperlink"/>
          <w:color w:val="auto"/>
          <w:u w:val="none"/>
        </w:rPr>
        <w:t xml:space="preserve"> </w:t>
      </w:r>
      <w:proofErr w:type="gramStart"/>
      <w:r w:rsidR="00DF1F75">
        <w:rPr>
          <w:rStyle w:val="Hyperlink"/>
          <w:color w:val="auto"/>
          <w:u w:val="none"/>
        </w:rPr>
        <w:t>However</w:t>
      </w:r>
      <w:proofErr w:type="gramEnd"/>
      <w:r w:rsidR="00DF1F75">
        <w:rPr>
          <w:rStyle w:val="Hyperlink"/>
          <w:color w:val="auto"/>
          <w:u w:val="none"/>
        </w:rPr>
        <w:t xml:space="preserve"> </w:t>
      </w:r>
      <w:r>
        <w:rPr>
          <w:rStyle w:val="Hyperlink"/>
          <w:color w:val="auto"/>
          <w:u w:val="none"/>
        </w:rPr>
        <w:t>one outcome of revocation of credentialing, as a form of limiting scope of practice, may well be termination of engagement of a practitioner.</w:t>
      </w:r>
    </w:p>
    <w:p w14:paraId="77D99265" w14:textId="77777777" w:rsidR="006614EA" w:rsidRDefault="006614EA" w:rsidP="006614EA">
      <w:pPr>
        <w:rPr>
          <w:rStyle w:val="Hyperlink"/>
          <w:color w:val="auto"/>
          <w:u w:val="none"/>
        </w:rPr>
      </w:pPr>
    </w:p>
    <w:p w14:paraId="70D2313D" w14:textId="56B2F0E7" w:rsidR="006614EA" w:rsidRDefault="006614EA" w:rsidP="006614EA">
      <w:pPr>
        <w:rPr>
          <w:rFonts w:asciiTheme="minorHAnsi" w:hAnsiTheme="minorHAnsi" w:cstheme="minorHAnsi"/>
          <w:szCs w:val="24"/>
        </w:rPr>
      </w:pPr>
      <w:r>
        <w:rPr>
          <w:rStyle w:val="Hyperlink"/>
          <w:color w:val="auto"/>
          <w:u w:val="none"/>
        </w:rPr>
        <w:t xml:space="preserve">The content of this procedure is directly informed by </w:t>
      </w:r>
      <w:r w:rsidRPr="007907C6">
        <w:rPr>
          <w:i/>
          <w:iCs/>
        </w:rPr>
        <w:t>Health Act 1993</w:t>
      </w:r>
      <w:r w:rsidRPr="00323DA9">
        <w:t xml:space="preserve"> </w:t>
      </w:r>
      <w:r w:rsidR="008F6B3C">
        <w:t>(ACT</w:t>
      </w:r>
      <w:r w:rsidRPr="00323DA9">
        <w:t>) Republication No 43, Effective 24 August 2022</w:t>
      </w:r>
      <w:r>
        <w:t>, and the Australian Council for Safety and Quality in Health Care</w:t>
      </w:r>
      <w:r w:rsidR="001B1D14">
        <w:t xml:space="preserve"> (now known as the Australian Commission on Safety and Quality in Health Care)</w:t>
      </w:r>
      <w:r>
        <w:t>, Standard for Credentialling and Defining the</w:t>
      </w:r>
      <w:r w:rsidR="003C0DCA">
        <w:t>ir</w:t>
      </w:r>
      <w:r>
        <w:t xml:space="preserve"> Scope of Clinical Practice (published July</w:t>
      </w:r>
      <w:r w:rsidR="008F6B3C">
        <w:t> </w:t>
      </w:r>
      <w:r>
        <w:t>2004).</w:t>
      </w:r>
    </w:p>
    <w:p w14:paraId="2F51A892" w14:textId="77777777" w:rsidR="007B6904" w:rsidRDefault="007B6904" w:rsidP="007B6904">
      <w:pPr>
        <w:rPr>
          <w:rFonts w:cs="Arial"/>
          <w:i/>
          <w:szCs w:val="24"/>
        </w:rPr>
      </w:pPr>
      <w:r>
        <w:rPr>
          <w:rFonts w:cs="Arial"/>
          <w:i/>
          <w:szCs w:val="24"/>
        </w:rPr>
        <w:t xml:space="preserve"> </w:t>
      </w:r>
    </w:p>
    <w:p w14:paraId="2F51A893" w14:textId="77777777" w:rsidR="007B6904" w:rsidRDefault="008D3EF6"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4C1F042E" w:rsidR="007B6904" w:rsidRPr="00C76688" w:rsidRDefault="007B6904" w:rsidP="004213C3">
            <w:pPr>
              <w:pStyle w:val="Heading1"/>
            </w:pPr>
            <w:bookmarkStart w:id="16" w:name="_Toc389473281"/>
            <w:bookmarkStart w:id="17" w:name="_Toc136595085"/>
            <w:r w:rsidRPr="00C76688">
              <w:t xml:space="preserve">Section 2 – </w:t>
            </w:r>
            <w:bookmarkEnd w:id="16"/>
            <w:r w:rsidR="001B1D14">
              <w:t>Investigation</w:t>
            </w:r>
            <w:r w:rsidR="001E74CC">
              <w:t>, Review</w:t>
            </w:r>
            <w:r w:rsidR="001B1D14">
              <w:t xml:space="preserve"> </w:t>
            </w:r>
            <w:r w:rsidR="00BA5F1D">
              <w:t xml:space="preserve">and Assessment </w:t>
            </w:r>
            <w:r w:rsidR="006614EA">
              <w:t>Process</w:t>
            </w:r>
            <w:bookmarkEnd w:id="17"/>
          </w:p>
        </w:tc>
      </w:tr>
    </w:tbl>
    <w:p w14:paraId="121B2A7D" w14:textId="77777777" w:rsidR="00C67EAD" w:rsidRDefault="00C67EAD" w:rsidP="006614EA">
      <w:pPr>
        <w:pStyle w:val="Heading2"/>
      </w:pPr>
    </w:p>
    <w:p w14:paraId="46F1F4D1" w14:textId="4C847F79" w:rsidR="001E74CC" w:rsidRDefault="00FA39F7" w:rsidP="006614EA">
      <w:pPr>
        <w:pStyle w:val="Heading2"/>
      </w:pPr>
      <w:r>
        <w:t>Refer to Attachment 1. Flow chart</w:t>
      </w:r>
    </w:p>
    <w:p w14:paraId="3BF8DDFD" w14:textId="77777777" w:rsidR="00C67EAD" w:rsidRDefault="00C67EAD" w:rsidP="006614EA">
      <w:pPr>
        <w:pStyle w:val="Heading2"/>
      </w:pPr>
    </w:p>
    <w:p w14:paraId="4D9D3C7A" w14:textId="3739B59B" w:rsidR="006614EA" w:rsidRDefault="006614EA" w:rsidP="006614EA">
      <w:pPr>
        <w:pStyle w:val="Heading2"/>
      </w:pPr>
      <w:r>
        <w:t>Overview</w:t>
      </w:r>
    </w:p>
    <w:p w14:paraId="2425EE03" w14:textId="64B45DA1" w:rsidR="006614EA" w:rsidRDefault="006614EA" w:rsidP="006614EA">
      <w:proofErr w:type="gramStart"/>
      <w:r>
        <w:t>In the course of</w:t>
      </w:r>
      <w:proofErr w:type="gramEnd"/>
      <w:r>
        <w:t xml:space="preserve"> an investigation into a </w:t>
      </w:r>
      <w:r w:rsidRPr="005E21E2">
        <w:t>complaint about a practitioner,</w:t>
      </w:r>
      <w:r>
        <w:t xml:space="preserve"> or any other indication where the quality or safety of care provided has fallen below the required standard, </w:t>
      </w:r>
      <w:r w:rsidRPr="005E21E2">
        <w:t>the responsible manager may request</w:t>
      </w:r>
      <w:r w:rsidR="006A6C25">
        <w:t xml:space="preserve"> (in writing or verbally)</w:t>
      </w:r>
      <w:r>
        <w:t xml:space="preserve"> the Medical and Dental Appointments Advisory Committee (MDAAC) consider</w:t>
      </w:r>
      <w:r>
        <w:rPr>
          <w:rStyle w:val="FootnoteReference"/>
        </w:rPr>
        <w:footnoteReference w:id="2"/>
      </w:r>
      <w:r>
        <w:t>:</w:t>
      </w:r>
    </w:p>
    <w:p w14:paraId="5E28ACD3" w14:textId="77777777" w:rsidR="006614EA" w:rsidRDefault="006614EA" w:rsidP="001B1D14">
      <w:pPr>
        <w:pStyle w:val="ListParagraph"/>
        <w:numPr>
          <w:ilvl w:val="0"/>
          <w:numId w:val="13"/>
        </w:numPr>
        <w:ind w:left="426" w:hanging="426"/>
      </w:pPr>
      <w:r>
        <w:t xml:space="preserve">change in scope of </w:t>
      </w:r>
      <w:proofErr w:type="gramStart"/>
      <w:r>
        <w:t>practice</w:t>
      </w:r>
      <w:proofErr w:type="gramEnd"/>
    </w:p>
    <w:p w14:paraId="597AFC48" w14:textId="22B899E7" w:rsidR="006614EA" w:rsidRDefault="006614EA" w:rsidP="001B1D14">
      <w:pPr>
        <w:pStyle w:val="ListParagraph"/>
        <w:numPr>
          <w:ilvl w:val="0"/>
          <w:numId w:val="13"/>
        </w:numPr>
        <w:ind w:left="426" w:hanging="426"/>
      </w:pPr>
      <w:r>
        <w:t>change in credentialing status</w:t>
      </w:r>
      <w:r w:rsidR="00BA5F1D">
        <w:t>.</w:t>
      </w:r>
    </w:p>
    <w:p w14:paraId="6F1ED636" w14:textId="77777777" w:rsidR="006A6C25" w:rsidRDefault="006A6C25" w:rsidP="001B1D14">
      <w:pPr>
        <w:ind w:left="426" w:hanging="426"/>
      </w:pPr>
    </w:p>
    <w:p w14:paraId="0A7C8E70" w14:textId="77777777" w:rsidR="006614EA" w:rsidRDefault="006614EA" w:rsidP="006614EA">
      <w:r>
        <w:t>In exercising its functions, MDAAC:</w:t>
      </w:r>
    </w:p>
    <w:p w14:paraId="67710726" w14:textId="77777777" w:rsidR="006614EA" w:rsidRDefault="006614EA" w:rsidP="001B1D14">
      <w:pPr>
        <w:pStyle w:val="ListParagraph"/>
        <w:numPr>
          <w:ilvl w:val="0"/>
          <w:numId w:val="15"/>
        </w:numPr>
        <w:ind w:left="426" w:hanging="426"/>
      </w:pPr>
      <w:r>
        <w:t xml:space="preserve">must comply with the rules of natural </w:t>
      </w:r>
      <w:proofErr w:type="gramStart"/>
      <w:r>
        <w:t>justice</w:t>
      </w:r>
      <w:proofErr w:type="gramEnd"/>
      <w:r>
        <w:t xml:space="preserve"> </w:t>
      </w:r>
    </w:p>
    <w:p w14:paraId="762C19F0" w14:textId="77777777" w:rsidR="006614EA" w:rsidRDefault="006614EA" w:rsidP="001B1D14">
      <w:pPr>
        <w:pStyle w:val="ListParagraph"/>
        <w:numPr>
          <w:ilvl w:val="0"/>
          <w:numId w:val="15"/>
        </w:numPr>
        <w:ind w:left="426" w:hanging="426"/>
      </w:pPr>
      <w:r>
        <w:t xml:space="preserve">is not bound by the rules of evidence but may inform itself of anything in the way it considers </w:t>
      </w:r>
      <w:proofErr w:type="gramStart"/>
      <w:r>
        <w:t>appropriate</w:t>
      </w:r>
      <w:proofErr w:type="gramEnd"/>
    </w:p>
    <w:p w14:paraId="14EC03ED" w14:textId="77777777" w:rsidR="006614EA" w:rsidRDefault="006614EA" w:rsidP="001B1D14">
      <w:pPr>
        <w:pStyle w:val="ListParagraph"/>
        <w:numPr>
          <w:ilvl w:val="0"/>
          <w:numId w:val="15"/>
        </w:numPr>
        <w:ind w:left="426" w:hanging="426"/>
      </w:pPr>
      <w:r>
        <w:t>may do whatever it considers necessary or convenient for the fair and prompt conduct of its functions.</w:t>
      </w:r>
    </w:p>
    <w:p w14:paraId="3D5F58C4" w14:textId="77777777" w:rsidR="006614EA" w:rsidRDefault="006614EA" w:rsidP="001B1D14">
      <w:pPr>
        <w:ind w:left="426" w:hanging="426"/>
      </w:pPr>
    </w:p>
    <w:p w14:paraId="0DDD1D7D" w14:textId="70F388F3" w:rsidR="006614EA" w:rsidRDefault="006614EA" w:rsidP="006614EA">
      <w:r>
        <w:lastRenderedPageBreak/>
        <w:t>The MDAAC will make a recommendation</w:t>
      </w:r>
      <w:r w:rsidR="00BA5F1D">
        <w:t xml:space="preserve"> in the Scope of Clinical Practice Report</w:t>
      </w:r>
      <w:r>
        <w:t xml:space="preserve"> to the Chief Executive, Canberra Health Service, </w:t>
      </w:r>
      <w:r w:rsidR="00BA5F1D">
        <w:t>outlining if</w:t>
      </w:r>
      <w:r>
        <w:t>:</w:t>
      </w:r>
    </w:p>
    <w:p w14:paraId="76C1066B" w14:textId="272AFCB3" w:rsidR="006614EA" w:rsidRDefault="006614EA" w:rsidP="00BA5F1D">
      <w:pPr>
        <w:pStyle w:val="ListParagraph"/>
        <w:numPr>
          <w:ilvl w:val="0"/>
          <w:numId w:val="14"/>
        </w:numPr>
        <w:ind w:left="426" w:hanging="426"/>
      </w:pPr>
      <w:r>
        <w:t xml:space="preserve">the scope of clinical practice of the practitioner should stay the same, be amended or be </w:t>
      </w:r>
      <w:proofErr w:type="gramStart"/>
      <w:r>
        <w:t>withdrawn</w:t>
      </w:r>
      <w:proofErr w:type="gramEnd"/>
    </w:p>
    <w:p w14:paraId="6620380C" w14:textId="77777777" w:rsidR="006614EA" w:rsidRDefault="006614EA" w:rsidP="00BA5F1D">
      <w:pPr>
        <w:pStyle w:val="ListParagraph"/>
        <w:numPr>
          <w:ilvl w:val="0"/>
          <w:numId w:val="14"/>
        </w:numPr>
        <w:ind w:left="426" w:hanging="426"/>
      </w:pPr>
      <w:r>
        <w:t xml:space="preserve">the terms of engagement of the practitioner by the health facility should be </w:t>
      </w:r>
      <w:proofErr w:type="gramStart"/>
      <w:r>
        <w:t>amended</w:t>
      </w:r>
      <w:proofErr w:type="gramEnd"/>
    </w:p>
    <w:p w14:paraId="7D1303E4" w14:textId="77777777" w:rsidR="006614EA" w:rsidRDefault="006614EA" w:rsidP="00BA5F1D">
      <w:pPr>
        <w:pStyle w:val="ListParagraph"/>
        <w:numPr>
          <w:ilvl w:val="0"/>
          <w:numId w:val="14"/>
        </w:numPr>
        <w:ind w:left="426" w:hanging="426"/>
      </w:pPr>
      <w:r>
        <w:t>the engagement of the practitioner by the health facility should be suspended or ended.</w:t>
      </w:r>
    </w:p>
    <w:p w14:paraId="5D89325E" w14:textId="77777777" w:rsidR="006614EA" w:rsidRDefault="006614EA" w:rsidP="006614EA"/>
    <w:p w14:paraId="735E39C1" w14:textId="2A56410D" w:rsidR="006614EA" w:rsidRDefault="006614EA" w:rsidP="006614EA">
      <w:r>
        <w:t xml:space="preserve">The Chief Executive </w:t>
      </w:r>
      <w:proofErr w:type="gramStart"/>
      <w:r w:rsidR="00BA5F1D">
        <w:t>make</w:t>
      </w:r>
      <w:r w:rsidR="00BA5FE8">
        <w:t>s</w:t>
      </w:r>
      <w:r w:rsidR="00BA5F1D">
        <w:t xml:space="preserve"> a decision</w:t>
      </w:r>
      <w:proofErr w:type="gramEnd"/>
      <w:r w:rsidR="00BA5FE8">
        <w:t xml:space="preserve"> based on the </w:t>
      </w:r>
      <w:r w:rsidR="0062312E">
        <w:t xml:space="preserve">report </w:t>
      </w:r>
      <w:r w:rsidR="00BA5F1D">
        <w:t>and inform</w:t>
      </w:r>
      <w:r w:rsidR="00BA5FE8">
        <w:t>s</w:t>
      </w:r>
      <w:r w:rsidR="00BA5F1D">
        <w:t xml:space="preserve"> </w:t>
      </w:r>
      <w:r>
        <w:t>the practitioner and other relevant parties</w:t>
      </w:r>
      <w:r w:rsidR="00BA5F1D">
        <w:t xml:space="preserve"> of the</w:t>
      </w:r>
      <w:r w:rsidR="001E74CC">
        <w:t>ir</w:t>
      </w:r>
      <w:r w:rsidR="00BA5F1D">
        <w:t xml:space="preserve"> decision</w:t>
      </w:r>
      <w:r>
        <w:t>.</w:t>
      </w:r>
    </w:p>
    <w:p w14:paraId="00DA99C1" w14:textId="77777777" w:rsidR="006614EA" w:rsidRDefault="006614EA" w:rsidP="006614EA"/>
    <w:p w14:paraId="61C16F87" w14:textId="77777777" w:rsidR="006614EA" w:rsidRDefault="006614EA" w:rsidP="006614EA">
      <w:pPr>
        <w:pStyle w:val="Heading2"/>
      </w:pPr>
      <w:r>
        <w:t>Recommendation Notice</w:t>
      </w:r>
    </w:p>
    <w:p w14:paraId="54E08B3F" w14:textId="1DA8B96F" w:rsidR="006614EA" w:rsidRDefault="00970B91" w:rsidP="006614EA">
      <w:r>
        <w:t>When</w:t>
      </w:r>
      <w:r w:rsidR="006614EA">
        <w:t xml:space="preserve"> a recommendation </w:t>
      </w:r>
      <w:r>
        <w:t>has been</w:t>
      </w:r>
      <w:r w:rsidR="006614EA">
        <w:t xml:space="preserve"> made, MDAAC is required to </w:t>
      </w:r>
      <w:r w:rsidR="00BA5FE8">
        <w:t>provide</w:t>
      </w:r>
      <w:r w:rsidR="006614EA">
        <w:t xml:space="preserve"> the practitioner </w:t>
      </w:r>
      <w:r w:rsidR="00BA5FE8">
        <w:t xml:space="preserve">with </w:t>
      </w:r>
      <w:r w:rsidR="006614EA">
        <w:t xml:space="preserve">a written </w:t>
      </w:r>
      <w:r w:rsidR="00BA5FE8">
        <w:t>Recommendation Notice stating</w:t>
      </w:r>
      <w:r w:rsidR="006614EA">
        <w:t>:</w:t>
      </w:r>
    </w:p>
    <w:p w14:paraId="454ADDBB" w14:textId="74B93CF4" w:rsidR="006614EA" w:rsidRDefault="00BA5FE8" w:rsidP="00970B91">
      <w:pPr>
        <w:pStyle w:val="ListParagraph"/>
        <w:numPr>
          <w:ilvl w:val="0"/>
          <w:numId w:val="16"/>
        </w:numPr>
        <w:ind w:left="426" w:hanging="426"/>
      </w:pPr>
      <w:r>
        <w:t>t</w:t>
      </w:r>
      <w:r w:rsidR="006614EA">
        <w:t xml:space="preserve">he proposed recommendation </w:t>
      </w:r>
    </w:p>
    <w:p w14:paraId="642933B6" w14:textId="7E0EED0B" w:rsidR="006614EA" w:rsidRDefault="00BA5FE8" w:rsidP="00970B91">
      <w:pPr>
        <w:pStyle w:val="ListParagraph"/>
        <w:numPr>
          <w:ilvl w:val="0"/>
          <w:numId w:val="16"/>
        </w:numPr>
        <w:ind w:left="426" w:hanging="426"/>
      </w:pPr>
      <w:r>
        <w:t>t</w:t>
      </w:r>
      <w:r w:rsidR="006614EA">
        <w:t>he reasons for the recommendation</w:t>
      </w:r>
    </w:p>
    <w:p w14:paraId="1BB1B2B9" w14:textId="0CE24697" w:rsidR="006614EA" w:rsidRDefault="00BA5FE8" w:rsidP="00970B91">
      <w:pPr>
        <w:pStyle w:val="ListParagraph"/>
        <w:numPr>
          <w:ilvl w:val="0"/>
          <w:numId w:val="16"/>
        </w:numPr>
        <w:ind w:left="426" w:hanging="426"/>
      </w:pPr>
      <w:r>
        <w:t>t</w:t>
      </w:r>
      <w:r w:rsidR="006614EA">
        <w:t xml:space="preserve">he option for the practitioner to make a submission to the </w:t>
      </w:r>
      <w:r w:rsidR="002A0A6F">
        <w:t>c</w:t>
      </w:r>
      <w:r w:rsidR="006614EA">
        <w:t>ommittee about the proposed recommendation.</w:t>
      </w:r>
    </w:p>
    <w:p w14:paraId="0B222260" w14:textId="77777777" w:rsidR="006614EA" w:rsidRDefault="006614EA" w:rsidP="006614EA"/>
    <w:p w14:paraId="378D7512" w14:textId="77777777" w:rsidR="006614EA" w:rsidRDefault="006614EA" w:rsidP="006614EA">
      <w:pPr>
        <w:pStyle w:val="Heading2"/>
      </w:pPr>
      <w:r>
        <w:t>Scope of Clinical Practice Report</w:t>
      </w:r>
    </w:p>
    <w:p w14:paraId="2F51A89F" w14:textId="238569E6" w:rsidR="007B6904" w:rsidRDefault="00BA5FE8" w:rsidP="00BA5FE8">
      <w:r>
        <w:t>When</w:t>
      </w:r>
      <w:r w:rsidR="005565CF">
        <w:t xml:space="preserve"> </w:t>
      </w:r>
      <w:r w:rsidR="006614EA" w:rsidRPr="005E21E2">
        <w:t>MDAAC</w:t>
      </w:r>
      <w:r w:rsidR="001E74CC" w:rsidRPr="005E21E2">
        <w:t xml:space="preserve"> have been asked to </w:t>
      </w:r>
      <w:r w:rsidR="006614EA" w:rsidRPr="005E21E2">
        <w:t>review the scope</w:t>
      </w:r>
      <w:r w:rsidR="006614EA">
        <w:t xml:space="preserve"> of clinical practice of a practitioner</w:t>
      </w:r>
      <w:r w:rsidR="001E74CC">
        <w:t>,</w:t>
      </w:r>
      <w:r>
        <w:t xml:space="preserve"> </w:t>
      </w:r>
      <w:r w:rsidR="001E74CC">
        <w:t>it will consider the information in the Recommendation Notice along with</w:t>
      </w:r>
      <w:r w:rsidR="006614EA">
        <w:t xml:space="preserve"> any submission</w:t>
      </w:r>
      <w:r>
        <w:t>s</w:t>
      </w:r>
      <w:r w:rsidR="006614EA">
        <w:t xml:space="preserve"> made by the practitioner in response to the </w:t>
      </w:r>
      <w:r>
        <w:t>R</w:t>
      </w:r>
      <w:r w:rsidR="006614EA">
        <w:t xml:space="preserve">ecommendation </w:t>
      </w:r>
      <w:r>
        <w:t>N</w:t>
      </w:r>
      <w:r w:rsidR="006614EA">
        <w:t>otice</w:t>
      </w:r>
      <w:r w:rsidR="001E74CC">
        <w:t xml:space="preserve">. The </w:t>
      </w:r>
      <w:r w:rsidR="006614EA">
        <w:t>completed review</w:t>
      </w:r>
      <w:r w:rsidR="001E74CC">
        <w:t xml:space="preserve"> will be outlined in the Scope of Clinical Practice </w:t>
      </w:r>
      <w:proofErr w:type="gramStart"/>
      <w:r w:rsidR="001E74CC">
        <w:t>Report</w:t>
      </w:r>
      <w:r w:rsidR="006614EA">
        <w:t>, and</w:t>
      </w:r>
      <w:proofErr w:type="gramEnd"/>
      <w:r w:rsidR="006614EA">
        <w:t xml:space="preserve"> given to the Chief Executive for a decision.</w:t>
      </w:r>
    </w:p>
    <w:p w14:paraId="7C69A3A6" w14:textId="77777777" w:rsidR="001E74CC" w:rsidRPr="006614EA" w:rsidRDefault="001E74CC" w:rsidP="00BA5FE8"/>
    <w:p w14:paraId="66D395DF" w14:textId="77777777" w:rsidR="001E74CC" w:rsidRDefault="001E74CC" w:rsidP="001E74CC">
      <w:pPr>
        <w:pStyle w:val="Heading2"/>
      </w:pPr>
      <w:r>
        <w:t>Assessment Process</w:t>
      </w:r>
    </w:p>
    <w:p w14:paraId="5E296AF2" w14:textId="77777777" w:rsidR="001E74CC" w:rsidRDefault="001E74CC" w:rsidP="001E74CC">
      <w:r>
        <w:t xml:space="preserve">All non-urgent referrals to the MDAAC, in its capacity as the </w:t>
      </w:r>
      <w:r w:rsidRPr="00BA5F1D">
        <w:t xml:space="preserve">Scope of </w:t>
      </w:r>
      <w:r>
        <w:t>C</w:t>
      </w:r>
      <w:r w:rsidRPr="00BA5F1D">
        <w:t xml:space="preserve">linical </w:t>
      </w:r>
      <w:r>
        <w:t>P</w:t>
      </w:r>
      <w:r w:rsidRPr="00BA5F1D">
        <w:t xml:space="preserve">ractice </w:t>
      </w:r>
      <w:r>
        <w:t>C</w:t>
      </w:r>
      <w:r w:rsidRPr="00BA5F1D">
        <w:t xml:space="preserve">ommittee </w:t>
      </w:r>
      <w:r>
        <w:t xml:space="preserve">as designated under the ACT </w:t>
      </w:r>
      <w:r w:rsidRPr="008F6B3C">
        <w:rPr>
          <w:i/>
          <w:iCs/>
        </w:rPr>
        <w:t>Health Act 1993</w:t>
      </w:r>
      <w:r>
        <w:t>, will be reviewed as follows:</w:t>
      </w:r>
    </w:p>
    <w:p w14:paraId="75F8A512" w14:textId="1EB6B8CE" w:rsidR="001E74CC" w:rsidRDefault="001E74CC" w:rsidP="001E74CC">
      <w:pPr>
        <w:pStyle w:val="ListParagraph"/>
        <w:numPr>
          <w:ilvl w:val="0"/>
          <w:numId w:val="17"/>
        </w:numPr>
        <w:ind w:left="426" w:hanging="568"/>
      </w:pPr>
      <w:r w:rsidRPr="00522E71">
        <w:t>the referring person will</w:t>
      </w:r>
      <w:r>
        <w:t xml:space="preserve"> provide a </w:t>
      </w:r>
      <w:r w:rsidR="006A6C25">
        <w:t xml:space="preserve">brief and/or written report </w:t>
      </w:r>
      <w:r>
        <w:t>to the Committee</w:t>
      </w:r>
      <w:r w:rsidR="006A6C25">
        <w:t>.</w:t>
      </w:r>
    </w:p>
    <w:p w14:paraId="5EE1979A" w14:textId="503C5EA4" w:rsidR="001E74CC" w:rsidRDefault="001E74CC" w:rsidP="001E74CC">
      <w:pPr>
        <w:pStyle w:val="ListParagraph"/>
        <w:numPr>
          <w:ilvl w:val="0"/>
          <w:numId w:val="17"/>
        </w:numPr>
        <w:ind w:left="426" w:hanging="568"/>
      </w:pPr>
      <w:r>
        <w:t>if the referral contains sufficient information for a decision to be made, the Committee can make a recommendation at that time</w:t>
      </w:r>
      <w:r w:rsidR="006A6C25">
        <w:t>.</w:t>
      </w:r>
    </w:p>
    <w:p w14:paraId="0F81D6B9" w14:textId="77777777" w:rsidR="001E74CC" w:rsidRDefault="001E74CC" w:rsidP="001E74CC">
      <w:pPr>
        <w:pStyle w:val="ListParagraph"/>
        <w:numPr>
          <w:ilvl w:val="0"/>
          <w:numId w:val="17"/>
        </w:numPr>
        <w:ind w:left="426" w:hanging="568"/>
      </w:pPr>
      <w:r>
        <w:t>if the Committee considers further investigations are warranted, it will convene a subcommittee to do so.</w:t>
      </w:r>
    </w:p>
    <w:p w14:paraId="031740A4" w14:textId="77777777" w:rsidR="001E74CC" w:rsidRDefault="001E74CC" w:rsidP="001E74CC"/>
    <w:p w14:paraId="2E17875B" w14:textId="77777777" w:rsidR="001E74CC" w:rsidRDefault="001E74CC" w:rsidP="001E74CC">
      <w:pPr>
        <w:pBdr>
          <w:top w:val="single" w:sz="4" w:space="1" w:color="auto"/>
          <w:left w:val="single" w:sz="4" w:space="4" w:color="auto"/>
          <w:bottom w:val="single" w:sz="4" w:space="1" w:color="auto"/>
          <w:right w:val="single" w:sz="4" w:space="4" w:color="auto"/>
        </w:pBdr>
      </w:pPr>
      <w:r w:rsidRPr="00BA5F1D">
        <w:rPr>
          <w:b/>
          <w:bCs/>
        </w:rPr>
        <w:t>Note:</w:t>
      </w:r>
      <w:r>
        <w:t xml:space="preserve"> Anyone may be asked to give the Committee information, including protected information. Under the </w:t>
      </w:r>
      <w:r w:rsidRPr="008F6B3C">
        <w:rPr>
          <w:i/>
          <w:iCs/>
        </w:rPr>
        <w:t>Health Act 1993</w:t>
      </w:r>
      <w:r>
        <w:t xml:space="preserve"> if someone gives information honestly and without recklessness, this will not be considered a breach of confidence, a breach of professional etiquette or ethics, or a breach of a rule of professional conduct. The person providing information does not incur civil or criminal liability only because of giving information.</w:t>
      </w:r>
    </w:p>
    <w:p w14:paraId="57B0753E" w14:textId="77777777" w:rsidR="001E74CC" w:rsidRDefault="001E74CC" w:rsidP="001E74CC"/>
    <w:p w14:paraId="2F51A8A0" w14:textId="55691537" w:rsidR="007B6904" w:rsidRDefault="008D3EF6"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3B5FC4CF" w14:textId="640E0D44" w:rsidR="00C67EAD" w:rsidRDefault="00C67EAD" w:rsidP="007B6904">
      <w:pPr>
        <w:jc w:val="right"/>
        <w:rPr>
          <w:rFonts w:cs="Arial"/>
          <w:i/>
          <w:szCs w:val="24"/>
        </w:rPr>
      </w:pPr>
    </w:p>
    <w:p w14:paraId="0A1FE244" w14:textId="77777777" w:rsidR="00C67EAD" w:rsidRDefault="00C67EAD" w:rsidP="007B6904">
      <w:pPr>
        <w:jc w:val="right"/>
        <w:rPr>
          <w:rFonts w:cs="Arial"/>
          <w:i/>
          <w:szCs w:val="24"/>
        </w:rPr>
      </w:pP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4713A3BC" w:rsidR="007B6904" w:rsidRPr="003D2D06" w:rsidRDefault="00962C46" w:rsidP="004213C3">
            <w:pPr>
              <w:pStyle w:val="Heading1"/>
            </w:pPr>
            <w:bookmarkStart w:id="18" w:name="_Toc389473284"/>
            <w:bookmarkStart w:id="19" w:name="_Toc136595086"/>
            <w:r>
              <w:t xml:space="preserve">Section </w:t>
            </w:r>
            <w:r w:rsidR="0064764D">
              <w:t>3</w:t>
            </w:r>
            <w:r w:rsidR="007B6904" w:rsidRPr="003D2D06">
              <w:t xml:space="preserve"> </w:t>
            </w:r>
            <w:proofErr w:type="gramStart"/>
            <w:r w:rsidR="007B6904" w:rsidRPr="003D2D06">
              <w:t xml:space="preserve">– </w:t>
            </w:r>
            <w:bookmarkStart w:id="20" w:name="_Toc126922297"/>
            <w:r w:rsidR="0064764D">
              <w:t xml:space="preserve"> Fairness</w:t>
            </w:r>
            <w:proofErr w:type="gramEnd"/>
            <w:r w:rsidR="0064764D">
              <w:t xml:space="preserve"> and Procedural Obligations</w:t>
            </w:r>
            <w:bookmarkEnd w:id="18"/>
            <w:bookmarkEnd w:id="20"/>
            <w:bookmarkEnd w:id="19"/>
          </w:p>
        </w:tc>
      </w:tr>
    </w:tbl>
    <w:p w14:paraId="2F51A8A4" w14:textId="77777777" w:rsidR="007B6904" w:rsidRDefault="007B6904" w:rsidP="007B6904">
      <w:pPr>
        <w:pStyle w:val="Heading2"/>
      </w:pPr>
    </w:p>
    <w:p w14:paraId="0E84130D" w14:textId="722FB5EE" w:rsidR="0064764D" w:rsidRDefault="0064764D" w:rsidP="0064764D">
      <w:r>
        <w:t xml:space="preserve">The MDAAC must provide an opportunity for a practitioner to respond </w:t>
      </w:r>
      <w:r w:rsidR="001E74CC">
        <w:t>to a review of</w:t>
      </w:r>
      <w:r>
        <w:t xml:space="preserve"> the scope of practice of a practitioner.</w:t>
      </w:r>
    </w:p>
    <w:p w14:paraId="7BDB9CC8" w14:textId="77777777" w:rsidR="0064764D" w:rsidRDefault="0064764D" w:rsidP="0064764D"/>
    <w:p w14:paraId="331A944D" w14:textId="45292EDC" w:rsidR="0064764D" w:rsidRDefault="0064764D" w:rsidP="0064764D">
      <w:r>
        <w:t>The Committee must give the practitioner a written notice</w:t>
      </w:r>
      <w:r w:rsidR="004731A7">
        <w:t xml:space="preserve"> in the form of a Recommendation Notice</w:t>
      </w:r>
      <w:r>
        <w:t xml:space="preserve"> stating:</w:t>
      </w:r>
    </w:p>
    <w:p w14:paraId="1DB81A54" w14:textId="7F7250D6" w:rsidR="0064764D" w:rsidRDefault="004731A7" w:rsidP="001E74CC">
      <w:pPr>
        <w:pStyle w:val="ListParagraph"/>
        <w:numPr>
          <w:ilvl w:val="0"/>
          <w:numId w:val="18"/>
        </w:numPr>
        <w:ind w:left="426" w:hanging="426"/>
      </w:pPr>
      <w:r>
        <w:t>t</w:t>
      </w:r>
      <w:r w:rsidR="0064764D">
        <w:t>he Committee’s proposed recommendation</w:t>
      </w:r>
    </w:p>
    <w:p w14:paraId="3AD6BF83" w14:textId="642E48C6" w:rsidR="0064764D" w:rsidRDefault="004731A7" w:rsidP="001E74CC">
      <w:pPr>
        <w:pStyle w:val="ListParagraph"/>
        <w:numPr>
          <w:ilvl w:val="0"/>
          <w:numId w:val="18"/>
        </w:numPr>
        <w:ind w:left="426" w:hanging="426"/>
      </w:pPr>
      <w:r>
        <w:t>t</w:t>
      </w:r>
      <w:r w:rsidR="0064764D">
        <w:t>he reasons for the committee’s proposed recommendations</w:t>
      </w:r>
    </w:p>
    <w:p w14:paraId="5B7DEADE" w14:textId="05103E65" w:rsidR="0064764D" w:rsidRDefault="0064764D" w:rsidP="001E74CC">
      <w:pPr>
        <w:pStyle w:val="ListParagraph"/>
        <w:numPr>
          <w:ilvl w:val="0"/>
          <w:numId w:val="18"/>
        </w:numPr>
        <w:ind w:left="426" w:hanging="426"/>
      </w:pPr>
      <w:r>
        <w:t xml:space="preserve">the practitioner may, no later than 21 days after the day the </w:t>
      </w:r>
      <w:r w:rsidR="004731A7">
        <w:t>R</w:t>
      </w:r>
      <w:r>
        <w:t xml:space="preserve">ecommendation </w:t>
      </w:r>
      <w:r w:rsidR="004731A7">
        <w:t>N</w:t>
      </w:r>
      <w:r>
        <w:t xml:space="preserve">otice is given to the practitioner, make a submission to the </w:t>
      </w:r>
      <w:r w:rsidR="004731A7">
        <w:t>C</w:t>
      </w:r>
      <w:r>
        <w:t>ommittee about the proposed recommendation.</w:t>
      </w:r>
    </w:p>
    <w:p w14:paraId="08A81E2B" w14:textId="77777777" w:rsidR="0064764D" w:rsidRDefault="0064764D" w:rsidP="0064764D"/>
    <w:p w14:paraId="349A1118" w14:textId="4D572B84" w:rsidR="0064764D" w:rsidRDefault="0064764D" w:rsidP="0064764D">
      <w:r>
        <w:t xml:space="preserve">MDAAC will consider any submission made by the practitioner in accordance with the </w:t>
      </w:r>
      <w:r w:rsidR="004731A7">
        <w:t>R</w:t>
      </w:r>
      <w:r>
        <w:t xml:space="preserve">ecommendation </w:t>
      </w:r>
      <w:r w:rsidR="004731A7">
        <w:t>N</w:t>
      </w:r>
      <w:r>
        <w:t xml:space="preserve">otice in preparing the scope of clinical practice report for the Chief Executive to </w:t>
      </w:r>
      <w:proofErr w:type="gramStart"/>
      <w:r>
        <w:t>make a decision</w:t>
      </w:r>
      <w:proofErr w:type="gramEnd"/>
      <w:r>
        <w:t>.</w:t>
      </w:r>
    </w:p>
    <w:p w14:paraId="158E8569" w14:textId="77777777" w:rsidR="0064764D" w:rsidRDefault="0064764D" w:rsidP="0064764D"/>
    <w:p w14:paraId="358C534D" w14:textId="689B55E6" w:rsidR="004731A7" w:rsidRDefault="0064764D" w:rsidP="0064764D">
      <w:r>
        <w:t xml:space="preserve">Where </w:t>
      </w:r>
      <w:proofErr w:type="gramStart"/>
      <w:r w:rsidR="004731A7">
        <w:t xml:space="preserve">MDAAC </w:t>
      </w:r>
      <w:r>
        <w:t xml:space="preserve"> </w:t>
      </w:r>
      <w:r w:rsidR="004731A7">
        <w:t>has</w:t>
      </w:r>
      <w:proofErr w:type="gramEnd"/>
      <w:r w:rsidR="004731A7">
        <w:t xml:space="preserve"> undertaken </w:t>
      </w:r>
      <w:r>
        <w:t>a review of a practitioner’s scope of practice,</w:t>
      </w:r>
      <w:r w:rsidR="004731A7">
        <w:t xml:space="preserve"> it must </w:t>
      </w:r>
      <w:r>
        <w:t>be done</w:t>
      </w:r>
      <w:r w:rsidR="004731A7">
        <w:t>:</w:t>
      </w:r>
    </w:p>
    <w:p w14:paraId="5D54A1B6" w14:textId="77777777" w:rsidR="004731A7" w:rsidRPr="004731A7" w:rsidRDefault="0064764D" w:rsidP="004731A7">
      <w:pPr>
        <w:pStyle w:val="ListParagraph"/>
        <w:numPr>
          <w:ilvl w:val="0"/>
          <w:numId w:val="23"/>
        </w:numPr>
        <w:ind w:left="426" w:hanging="426"/>
        <w:rPr>
          <w:rFonts w:cs="Arial"/>
          <w:b/>
          <w:szCs w:val="24"/>
        </w:rPr>
      </w:pPr>
      <w:r>
        <w:t>in a manner consistent with the principles of natural justice</w:t>
      </w:r>
    </w:p>
    <w:p w14:paraId="734A8CE6" w14:textId="77777777" w:rsidR="004731A7" w:rsidRPr="004731A7" w:rsidRDefault="0064764D" w:rsidP="004731A7">
      <w:pPr>
        <w:pStyle w:val="ListParagraph"/>
        <w:numPr>
          <w:ilvl w:val="0"/>
          <w:numId w:val="23"/>
        </w:numPr>
        <w:ind w:left="426" w:hanging="426"/>
        <w:rPr>
          <w:rFonts w:cs="Arial"/>
          <w:b/>
          <w:szCs w:val="24"/>
        </w:rPr>
      </w:pPr>
      <w:r>
        <w:t>in a non-punitive manner</w:t>
      </w:r>
    </w:p>
    <w:p w14:paraId="2F51A8AC" w14:textId="3055DB4E" w:rsidR="007B6904" w:rsidRPr="004731A7" w:rsidRDefault="004731A7" w:rsidP="004731A7">
      <w:pPr>
        <w:pStyle w:val="ListParagraph"/>
        <w:numPr>
          <w:ilvl w:val="0"/>
          <w:numId w:val="23"/>
        </w:numPr>
        <w:ind w:left="426" w:hanging="426"/>
        <w:rPr>
          <w:rFonts w:cs="Arial"/>
          <w:b/>
          <w:szCs w:val="24"/>
        </w:rPr>
      </w:pPr>
      <w:r>
        <w:t>n</w:t>
      </w:r>
      <w:r w:rsidR="0064764D">
        <w:t>oting that credentialling and defining the scope of clinical practice are organisational governance responsibilities that are always conducted with the objective of maintaining and improving the safety and quality of health care services</w:t>
      </w:r>
      <w:r w:rsidR="003E5406">
        <w:t>.</w:t>
      </w:r>
    </w:p>
    <w:p w14:paraId="7715C4C6" w14:textId="77777777" w:rsidR="0064764D" w:rsidRDefault="0064764D" w:rsidP="007B6904">
      <w:pPr>
        <w:jc w:val="right"/>
      </w:pPr>
    </w:p>
    <w:p w14:paraId="2F51A8AD" w14:textId="06188E3F" w:rsidR="007B6904" w:rsidRDefault="008D3EF6"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64764D" w:rsidRPr="00CD1C0E" w14:paraId="0E9BEA9A" w14:textId="77777777" w:rsidTr="002F7FDA">
        <w:trPr>
          <w:cantSplit/>
          <w:trHeight w:val="285"/>
        </w:trPr>
        <w:tc>
          <w:tcPr>
            <w:tcW w:w="9158" w:type="dxa"/>
            <w:shd w:val="clear" w:color="auto" w:fill="A6A6A6" w:themeFill="background1" w:themeFillShade="A6"/>
          </w:tcPr>
          <w:p w14:paraId="0B106268" w14:textId="6999DD61" w:rsidR="0064764D" w:rsidRPr="003D2D06" w:rsidRDefault="0064764D" w:rsidP="002F7FDA">
            <w:pPr>
              <w:pStyle w:val="Heading1"/>
            </w:pPr>
            <w:bookmarkStart w:id="21" w:name="_Toc136595087"/>
            <w:r>
              <w:t>Section 4</w:t>
            </w:r>
            <w:r w:rsidRPr="003D2D06">
              <w:t xml:space="preserve"> – </w:t>
            </w:r>
            <w:bookmarkStart w:id="22" w:name="_Toc126922298"/>
            <w:r>
              <w:t>Interim or Emergency Decisions on Scope of Clinical Practice</w:t>
            </w:r>
            <w:bookmarkEnd w:id="22"/>
            <w:bookmarkEnd w:id="21"/>
          </w:p>
        </w:tc>
      </w:tr>
    </w:tbl>
    <w:p w14:paraId="1118F916" w14:textId="77777777" w:rsidR="0064764D" w:rsidRDefault="0064764D" w:rsidP="0064764D"/>
    <w:p w14:paraId="7A339A61" w14:textId="2A3B56A9" w:rsidR="0064764D" w:rsidRDefault="0064764D" w:rsidP="0064764D">
      <w:r>
        <w:t xml:space="preserve">If the MDAAC </w:t>
      </w:r>
      <w:proofErr w:type="gramStart"/>
      <w:r w:rsidR="0035466C">
        <w:t>make a decision</w:t>
      </w:r>
      <w:proofErr w:type="gramEnd"/>
      <w:r>
        <w:t xml:space="preserve"> that the clinical practice of a practitioner at a health facility poses a threat to the safety of members of the public, the </w:t>
      </w:r>
      <w:r w:rsidR="0035466C">
        <w:t>C</w:t>
      </w:r>
      <w:r>
        <w:t>ommittee may recommend to the Chief Executive to withdraw or amend the scope of clinical practice of the practitioner with immediate effect.</w:t>
      </w:r>
    </w:p>
    <w:p w14:paraId="28B674C6" w14:textId="77777777" w:rsidR="0064764D" w:rsidRDefault="0064764D" w:rsidP="0064764D"/>
    <w:p w14:paraId="7AAA9B61" w14:textId="41785FC5" w:rsidR="0064764D" w:rsidRDefault="0064764D" w:rsidP="0064764D">
      <w:r>
        <w:t xml:space="preserve">This action does not require completion of a review by the </w:t>
      </w:r>
      <w:r w:rsidR="006D5CB5">
        <w:t>C</w:t>
      </w:r>
      <w:r>
        <w:t xml:space="preserve">ommittee and will remain in effect until a decision of the </w:t>
      </w:r>
      <w:r w:rsidR="006D5CB5">
        <w:t xml:space="preserve">Chief Executive </w:t>
      </w:r>
      <w:r>
        <w:t xml:space="preserve">on the </w:t>
      </w:r>
      <w:r w:rsidR="006D5CB5">
        <w:t>S</w:t>
      </w:r>
      <w:r>
        <w:t xml:space="preserve">cope of </w:t>
      </w:r>
      <w:r w:rsidR="006D5CB5">
        <w:t>P</w:t>
      </w:r>
      <w:r>
        <w:t xml:space="preserve">ractice </w:t>
      </w:r>
      <w:r w:rsidR="006D5CB5">
        <w:t>R</w:t>
      </w:r>
      <w:r>
        <w:t>eport in relation to the practitioner takes effect.</w:t>
      </w:r>
    </w:p>
    <w:p w14:paraId="7E17D511" w14:textId="77777777" w:rsidR="0064764D" w:rsidRDefault="0064764D" w:rsidP="0064764D"/>
    <w:p w14:paraId="7355DEB0" w14:textId="41FEE241" w:rsidR="0064764D" w:rsidRDefault="0064764D" w:rsidP="0064764D">
      <w:r>
        <w:t xml:space="preserve">In addition, if the </w:t>
      </w:r>
      <w:r w:rsidR="006D5CB5">
        <w:t>Chief Executive</w:t>
      </w:r>
      <w:r>
        <w:t xml:space="preserve"> has </w:t>
      </w:r>
      <w:r w:rsidR="006D5CB5">
        <w:t xml:space="preserve">sufficient serious </w:t>
      </w:r>
      <w:r>
        <w:t>concerns about a practitioner for a health facility to warrant the immediate amendment or withdrawal of the scope of practice of the practitioner, the C</w:t>
      </w:r>
      <w:r w:rsidR="006D5CB5">
        <w:t>hief Executive</w:t>
      </w:r>
      <w:r>
        <w:t xml:space="preserve"> may, by notice in writing, </w:t>
      </w:r>
      <w:proofErr w:type="gramStart"/>
      <w:r>
        <w:t>amend</w:t>
      </w:r>
      <w:proofErr w:type="gramEnd"/>
      <w:r>
        <w:t xml:space="preserve"> or withdraw the scope of clinical practice of the practitioner with immediate effect.</w:t>
      </w:r>
    </w:p>
    <w:p w14:paraId="404D0D55" w14:textId="77777777" w:rsidR="0064764D" w:rsidRDefault="0064764D" w:rsidP="0064764D"/>
    <w:p w14:paraId="67055868" w14:textId="7CFB827D" w:rsidR="0064764D" w:rsidRDefault="0064764D" w:rsidP="0064764D">
      <w:r>
        <w:lastRenderedPageBreak/>
        <w:t xml:space="preserve">This delegation does not require a report from </w:t>
      </w:r>
      <w:proofErr w:type="gramStart"/>
      <w:r>
        <w:t>MDAAC, and</w:t>
      </w:r>
      <w:proofErr w:type="gramEnd"/>
      <w:r>
        <w:t xml:space="preserve"> does not require there to be a current investigation into the practitioner’s scope of practice. Thereafter the matter must immediately be referred to MDAAC for investigation.</w:t>
      </w:r>
    </w:p>
    <w:p w14:paraId="50C839CE" w14:textId="77777777" w:rsidR="0064764D" w:rsidRDefault="0064764D" w:rsidP="0064764D">
      <w:pPr>
        <w:jc w:val="right"/>
      </w:pPr>
    </w:p>
    <w:p w14:paraId="287EC6B8" w14:textId="04380826" w:rsidR="00C45E06" w:rsidRPr="0064764D" w:rsidRDefault="008D3EF6" w:rsidP="00C67EAD">
      <w:pPr>
        <w:jc w:val="right"/>
        <w:rPr>
          <w:rFonts w:cs="Arial"/>
          <w:i/>
          <w:szCs w:val="24"/>
        </w:rPr>
      </w:pPr>
      <w:hyperlink w:anchor="Contents" w:history="1">
        <w:r w:rsidR="0064764D" w:rsidRPr="00590902">
          <w:rPr>
            <w:rStyle w:val="Hyperlink"/>
            <w:rFonts w:cs="Arial"/>
            <w:i/>
            <w:szCs w:val="24"/>
          </w:rPr>
          <w:t>Back to Table of Contents</w:t>
        </w:r>
      </w:hyperlink>
      <w:r w:rsidR="0064764D">
        <w:rPr>
          <w:rFonts w:cs="Arial"/>
          <w:i/>
          <w:szCs w:val="24"/>
        </w:rPr>
        <w:t xml:space="preserve"> </w:t>
      </w:r>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23" w:name="_Toc136595088"/>
            <w:r>
              <w:t>Evaluation</w:t>
            </w:r>
            <w:bookmarkEnd w:id="23"/>
            <w:r>
              <w:t xml:space="preserve"> </w:t>
            </w:r>
            <w:r w:rsidR="00E73459">
              <w:tab/>
            </w:r>
          </w:p>
        </w:tc>
      </w:tr>
    </w:tbl>
    <w:p w14:paraId="6E93670E" w14:textId="77777777" w:rsidR="00F9158A" w:rsidRDefault="00F9158A" w:rsidP="00F9158A">
      <w:pPr>
        <w:pStyle w:val="Default"/>
        <w:rPr>
          <w:rFonts w:ascii="Calibri" w:hAnsi="Calibri"/>
        </w:rPr>
      </w:pPr>
    </w:p>
    <w:p w14:paraId="392F428C" w14:textId="265FF25C" w:rsidR="00845445" w:rsidRP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Outcome</w:t>
      </w:r>
    </w:p>
    <w:p w14:paraId="49E18C96" w14:textId="7DA50569" w:rsidR="00845445" w:rsidRPr="006614EA" w:rsidRDefault="0012219C" w:rsidP="00C36EEE">
      <w:pPr>
        <w:numPr>
          <w:ilvl w:val="0"/>
          <w:numId w:val="11"/>
        </w:numPr>
        <w:rPr>
          <w:rFonts w:cs="Arial"/>
          <w:b/>
          <w:bCs/>
        </w:rPr>
      </w:pPr>
      <w:r w:rsidRPr="006614EA">
        <w:rPr>
          <w:szCs w:val="24"/>
        </w:rPr>
        <w:t xml:space="preserve">All </w:t>
      </w:r>
      <w:r w:rsidRPr="005E21E2">
        <w:rPr>
          <w:szCs w:val="24"/>
        </w:rPr>
        <w:t>concer</w:t>
      </w:r>
      <w:r w:rsidR="006614EA" w:rsidRPr="005E21E2">
        <w:rPr>
          <w:szCs w:val="24"/>
        </w:rPr>
        <w:t>n</w:t>
      </w:r>
      <w:r w:rsidRPr="005E21E2">
        <w:rPr>
          <w:szCs w:val="24"/>
        </w:rPr>
        <w:t>s raised</w:t>
      </w:r>
      <w:r w:rsidRPr="006614EA">
        <w:rPr>
          <w:szCs w:val="24"/>
        </w:rPr>
        <w:t xml:space="preserve"> relat</w:t>
      </w:r>
      <w:r w:rsidR="006614EA" w:rsidRPr="006614EA">
        <w:rPr>
          <w:szCs w:val="24"/>
        </w:rPr>
        <w:t>ing</w:t>
      </w:r>
      <w:r w:rsidRPr="006614EA">
        <w:rPr>
          <w:szCs w:val="24"/>
        </w:rPr>
        <w:t xml:space="preserve"> to clinical competence of </w:t>
      </w:r>
      <w:r w:rsidR="003E5406">
        <w:rPr>
          <w:szCs w:val="24"/>
        </w:rPr>
        <w:t xml:space="preserve">a </w:t>
      </w:r>
      <w:r w:rsidR="006614EA" w:rsidRPr="006614EA">
        <w:rPr>
          <w:szCs w:val="24"/>
        </w:rPr>
        <w:t>doctor or dentist</w:t>
      </w:r>
      <w:r w:rsidRPr="006614EA">
        <w:rPr>
          <w:szCs w:val="24"/>
        </w:rPr>
        <w:t xml:space="preserve"> are managed in accordance with this </w:t>
      </w:r>
      <w:proofErr w:type="gramStart"/>
      <w:r w:rsidRPr="006614EA">
        <w:rPr>
          <w:szCs w:val="24"/>
        </w:rPr>
        <w:t>procedure</w:t>
      </w:r>
      <w:proofErr w:type="gramEnd"/>
    </w:p>
    <w:p w14:paraId="482E3DA9" w14:textId="42414F04" w:rsidR="0012219C" w:rsidRPr="006614EA" w:rsidRDefault="0012219C" w:rsidP="00C36EEE">
      <w:pPr>
        <w:numPr>
          <w:ilvl w:val="0"/>
          <w:numId w:val="11"/>
        </w:numPr>
        <w:rPr>
          <w:rFonts w:cs="Arial"/>
          <w:b/>
          <w:bCs/>
        </w:rPr>
      </w:pPr>
      <w:r w:rsidRPr="006614EA">
        <w:rPr>
          <w:szCs w:val="24"/>
        </w:rPr>
        <w:t xml:space="preserve">All </w:t>
      </w:r>
      <w:r w:rsidRPr="005E21E2">
        <w:rPr>
          <w:szCs w:val="24"/>
        </w:rPr>
        <w:t xml:space="preserve">claims </w:t>
      </w:r>
      <w:r w:rsidR="006614EA" w:rsidRPr="005E21E2">
        <w:rPr>
          <w:szCs w:val="24"/>
        </w:rPr>
        <w:t>raised</w:t>
      </w:r>
      <w:r w:rsidR="006614EA" w:rsidRPr="006614EA">
        <w:rPr>
          <w:szCs w:val="24"/>
        </w:rPr>
        <w:t xml:space="preserve"> rel</w:t>
      </w:r>
      <w:r w:rsidR="006D5CB5">
        <w:rPr>
          <w:szCs w:val="24"/>
        </w:rPr>
        <w:t>a</w:t>
      </w:r>
      <w:r w:rsidR="006614EA" w:rsidRPr="006614EA">
        <w:rPr>
          <w:szCs w:val="24"/>
        </w:rPr>
        <w:t>ting to quality or safety of care provided</w:t>
      </w:r>
      <w:r w:rsidR="002B3E96">
        <w:rPr>
          <w:szCs w:val="24"/>
        </w:rPr>
        <w:t xml:space="preserve">, </w:t>
      </w:r>
      <w:r w:rsidR="003E5406">
        <w:rPr>
          <w:szCs w:val="24"/>
        </w:rPr>
        <w:t xml:space="preserve">which </w:t>
      </w:r>
      <w:r w:rsidR="006614EA" w:rsidRPr="006614EA">
        <w:rPr>
          <w:szCs w:val="24"/>
        </w:rPr>
        <w:t>has fallen below the required standard are managed in accordance with this procedure.</w:t>
      </w:r>
    </w:p>
    <w:p w14:paraId="618432B6" w14:textId="77777777" w:rsidR="0012219C" w:rsidRPr="0012219C" w:rsidRDefault="0012219C" w:rsidP="0012219C">
      <w:pPr>
        <w:ind w:left="360"/>
        <w:rPr>
          <w:rFonts w:cs="Arial"/>
          <w:b/>
          <w:bCs/>
          <w:iCs/>
        </w:rPr>
      </w:pPr>
    </w:p>
    <w:p w14:paraId="30BA3477" w14:textId="6EB16B7C" w:rsidR="00845445" w:rsidRP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Measures</w:t>
      </w:r>
    </w:p>
    <w:p w14:paraId="441E9A83" w14:textId="41269AA6" w:rsidR="0012219C" w:rsidRPr="006614EA" w:rsidRDefault="006614EA" w:rsidP="00015D88">
      <w:pPr>
        <w:numPr>
          <w:ilvl w:val="0"/>
          <w:numId w:val="12"/>
        </w:numPr>
        <w:rPr>
          <w:szCs w:val="24"/>
        </w:rPr>
      </w:pPr>
      <w:r w:rsidRPr="006614EA">
        <w:rPr>
          <w:szCs w:val="24"/>
        </w:rPr>
        <w:t xml:space="preserve">Reports </w:t>
      </w:r>
      <w:r w:rsidR="00951949">
        <w:rPr>
          <w:szCs w:val="24"/>
        </w:rPr>
        <w:t>of Scope of Practitioners concerns/complaints</w:t>
      </w:r>
      <w:r w:rsidR="002B3E96">
        <w:rPr>
          <w:szCs w:val="24"/>
        </w:rPr>
        <w:t xml:space="preserve"> </w:t>
      </w:r>
      <w:r w:rsidRPr="006614EA">
        <w:rPr>
          <w:szCs w:val="24"/>
        </w:rPr>
        <w:t xml:space="preserve">are referred to the </w:t>
      </w:r>
      <w:r w:rsidR="0016511C">
        <w:rPr>
          <w:szCs w:val="24"/>
        </w:rPr>
        <w:t>MDA</w:t>
      </w:r>
      <w:r w:rsidR="002B3E96">
        <w:rPr>
          <w:szCs w:val="24"/>
        </w:rPr>
        <w:t>A</w:t>
      </w:r>
      <w:r w:rsidR="0016511C">
        <w:rPr>
          <w:szCs w:val="24"/>
        </w:rPr>
        <w:t>C</w:t>
      </w:r>
      <w:r w:rsidRPr="006614EA">
        <w:rPr>
          <w:szCs w:val="24"/>
        </w:rPr>
        <w:t xml:space="preserve"> </w:t>
      </w:r>
      <w:r w:rsidRPr="005E21E2">
        <w:rPr>
          <w:szCs w:val="24"/>
        </w:rPr>
        <w:t xml:space="preserve">for </w:t>
      </w:r>
      <w:r w:rsidR="005E21E2">
        <w:rPr>
          <w:szCs w:val="24"/>
        </w:rPr>
        <w:t xml:space="preserve">consideration and </w:t>
      </w:r>
      <w:proofErr w:type="gramStart"/>
      <w:r w:rsidRPr="005E21E2">
        <w:rPr>
          <w:szCs w:val="24"/>
        </w:rPr>
        <w:t>review</w:t>
      </w:r>
      <w:r w:rsidR="005E21E2">
        <w:rPr>
          <w:szCs w:val="24"/>
        </w:rPr>
        <w:t xml:space="preserve"> </w:t>
      </w:r>
      <w:r w:rsidRPr="006614EA">
        <w:rPr>
          <w:szCs w:val="24"/>
        </w:rPr>
        <w:t xml:space="preserve"> in</w:t>
      </w:r>
      <w:proofErr w:type="gramEnd"/>
      <w:r w:rsidRPr="006614EA">
        <w:rPr>
          <w:szCs w:val="24"/>
        </w:rPr>
        <w:t xml:space="preserve"> its capacity as the scope of clinical practice committee.</w:t>
      </w:r>
    </w:p>
    <w:p w14:paraId="0ADAF28D" w14:textId="2AEB28D8" w:rsidR="0012219C" w:rsidRPr="006614EA" w:rsidRDefault="0012219C" w:rsidP="00015D88">
      <w:pPr>
        <w:numPr>
          <w:ilvl w:val="0"/>
          <w:numId w:val="12"/>
        </w:numPr>
        <w:rPr>
          <w:szCs w:val="24"/>
        </w:rPr>
      </w:pPr>
      <w:r w:rsidRPr="006614EA">
        <w:rPr>
          <w:szCs w:val="24"/>
        </w:rPr>
        <w:t xml:space="preserve">When </w:t>
      </w:r>
      <w:r w:rsidR="006614EA" w:rsidRPr="006614EA">
        <w:rPr>
          <w:szCs w:val="24"/>
        </w:rPr>
        <w:t xml:space="preserve">the </w:t>
      </w:r>
      <w:r w:rsidRPr="006614EA">
        <w:rPr>
          <w:szCs w:val="24"/>
        </w:rPr>
        <w:t xml:space="preserve">scope of </w:t>
      </w:r>
      <w:r w:rsidR="006614EA" w:rsidRPr="006614EA">
        <w:rPr>
          <w:szCs w:val="24"/>
        </w:rPr>
        <w:t xml:space="preserve">clinical </w:t>
      </w:r>
      <w:r w:rsidRPr="006614EA">
        <w:rPr>
          <w:szCs w:val="24"/>
        </w:rPr>
        <w:t>practice</w:t>
      </w:r>
      <w:r w:rsidR="003E5406">
        <w:rPr>
          <w:szCs w:val="24"/>
        </w:rPr>
        <w:t xml:space="preserve"> of a Practitioner</w:t>
      </w:r>
      <w:r w:rsidRPr="006614EA">
        <w:rPr>
          <w:szCs w:val="24"/>
        </w:rPr>
        <w:t xml:space="preserve"> has been review</w:t>
      </w:r>
      <w:r w:rsidR="00A26B56">
        <w:rPr>
          <w:szCs w:val="24"/>
        </w:rPr>
        <w:t>e</w:t>
      </w:r>
      <w:r w:rsidRPr="006614EA">
        <w:rPr>
          <w:szCs w:val="24"/>
        </w:rPr>
        <w:t xml:space="preserve">d </w:t>
      </w:r>
      <w:r w:rsidR="006614EA" w:rsidRPr="006614EA">
        <w:rPr>
          <w:szCs w:val="24"/>
        </w:rPr>
        <w:t xml:space="preserve">a </w:t>
      </w:r>
      <w:r w:rsidRPr="006614EA">
        <w:rPr>
          <w:szCs w:val="24"/>
        </w:rPr>
        <w:t>report</w:t>
      </w:r>
      <w:r w:rsidR="002B3E96">
        <w:rPr>
          <w:szCs w:val="24"/>
        </w:rPr>
        <w:t xml:space="preserve"> </w:t>
      </w:r>
      <w:r w:rsidR="006614EA" w:rsidRPr="006614EA">
        <w:rPr>
          <w:szCs w:val="24"/>
        </w:rPr>
        <w:t xml:space="preserve">will </w:t>
      </w:r>
      <w:r w:rsidRPr="006614EA">
        <w:rPr>
          <w:szCs w:val="24"/>
        </w:rPr>
        <w:t xml:space="preserve">be given to </w:t>
      </w:r>
      <w:r w:rsidR="003E5406">
        <w:rPr>
          <w:szCs w:val="24"/>
        </w:rPr>
        <w:t xml:space="preserve">the </w:t>
      </w:r>
      <w:r w:rsidRPr="006614EA">
        <w:rPr>
          <w:szCs w:val="24"/>
        </w:rPr>
        <w:t>Chief Executive</w:t>
      </w:r>
      <w:r w:rsidR="006614EA" w:rsidRPr="006614EA">
        <w:rPr>
          <w:szCs w:val="24"/>
        </w:rPr>
        <w:t>.</w:t>
      </w:r>
    </w:p>
    <w:p w14:paraId="27756F3B" w14:textId="77777777" w:rsidR="00845445" w:rsidRDefault="00845445" w:rsidP="00F9158A">
      <w:pPr>
        <w:pStyle w:val="Default"/>
        <w:rPr>
          <w:rFonts w:ascii="Calibri" w:hAnsi="Calibri" w:cs="Arial"/>
          <w:i/>
          <w:color w:val="auto"/>
          <w:lang w:eastAsia="en-US"/>
        </w:rPr>
      </w:pPr>
    </w:p>
    <w:p w14:paraId="119BA4AD" w14:textId="77777777" w:rsidR="00F9158A" w:rsidRPr="00253F5A" w:rsidRDefault="008D3EF6" w:rsidP="00F9158A">
      <w:pPr>
        <w:jc w:val="right"/>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24" w:name="_Toc389473287"/>
            <w:bookmarkStart w:id="25" w:name="_Toc136595089"/>
            <w:r>
              <w:t xml:space="preserve">Related Policies, </w:t>
            </w:r>
            <w:r w:rsidR="007B6904">
              <w:t>Procedures</w:t>
            </w:r>
            <w:bookmarkEnd w:id="24"/>
            <w:r>
              <w:t>, Guidelines and Legislation</w:t>
            </w:r>
            <w:bookmarkEnd w:id="25"/>
          </w:p>
        </w:tc>
      </w:tr>
    </w:tbl>
    <w:p w14:paraId="2F51A8B7" w14:textId="77777777" w:rsidR="007B6904" w:rsidRDefault="007B6904" w:rsidP="007B6904">
      <w:pPr>
        <w:rPr>
          <w:szCs w:val="24"/>
        </w:rPr>
      </w:pPr>
    </w:p>
    <w:p w14:paraId="02CAFF09" w14:textId="77777777" w:rsidR="0064764D" w:rsidRPr="00201FB6" w:rsidRDefault="0064764D" w:rsidP="0064764D">
      <w:pPr>
        <w:rPr>
          <w:b/>
        </w:rPr>
      </w:pPr>
      <w:r w:rsidRPr="00201FB6">
        <w:rPr>
          <w:b/>
        </w:rPr>
        <w:t>Policies</w:t>
      </w:r>
    </w:p>
    <w:p w14:paraId="40A6B4D7" w14:textId="77777777" w:rsidR="0064764D" w:rsidRDefault="0064764D" w:rsidP="006D5CB5">
      <w:pPr>
        <w:pStyle w:val="ListBullet"/>
      </w:pPr>
      <w:r w:rsidRPr="00506574">
        <w:t>Consumer Feedback Management Policy</w:t>
      </w:r>
    </w:p>
    <w:p w14:paraId="56747B44" w14:textId="77777777" w:rsidR="0064764D" w:rsidRDefault="0064764D" w:rsidP="006D5CB5">
      <w:pPr>
        <w:pStyle w:val="ListBullet"/>
      </w:pPr>
      <w:r>
        <w:t>Incident Management – Clinical Policy</w:t>
      </w:r>
    </w:p>
    <w:p w14:paraId="4DA9C468" w14:textId="26256122" w:rsidR="0064764D" w:rsidRDefault="004451C8" w:rsidP="006D5CB5">
      <w:pPr>
        <w:pStyle w:val="ListBullet"/>
      </w:pPr>
      <w:r>
        <w:t xml:space="preserve">ACT Health </w:t>
      </w:r>
      <w:r w:rsidR="0064764D" w:rsidRPr="00972FFD">
        <w:t>Research Practice Policy</w:t>
      </w:r>
      <w:r w:rsidR="00942CED">
        <w:t xml:space="preserve"> </w:t>
      </w:r>
      <w:r>
        <w:t xml:space="preserve">(DGD15-034) </w:t>
      </w:r>
    </w:p>
    <w:p w14:paraId="3A0674D9" w14:textId="77777777" w:rsidR="0063516E" w:rsidRDefault="0063516E" w:rsidP="0064764D">
      <w:pPr>
        <w:pStyle w:val="ListBullet"/>
        <w:numPr>
          <w:ilvl w:val="0"/>
          <w:numId w:val="0"/>
        </w:numPr>
        <w:rPr>
          <w:b/>
        </w:rPr>
      </w:pPr>
    </w:p>
    <w:p w14:paraId="04E0A86B" w14:textId="66112006" w:rsidR="0064764D" w:rsidRPr="00D7657C" w:rsidRDefault="0064764D" w:rsidP="0064764D">
      <w:pPr>
        <w:pStyle w:val="ListBullet"/>
        <w:numPr>
          <w:ilvl w:val="0"/>
          <w:numId w:val="0"/>
        </w:numPr>
        <w:rPr>
          <w:b/>
        </w:rPr>
      </w:pPr>
      <w:r w:rsidRPr="00D7657C">
        <w:rPr>
          <w:b/>
        </w:rPr>
        <w:t>Guideline</w:t>
      </w:r>
    </w:p>
    <w:p w14:paraId="39A9D428" w14:textId="37C922D7" w:rsidR="0064764D" w:rsidRDefault="0064764D" w:rsidP="006D5CB5">
      <w:pPr>
        <w:pStyle w:val="ListBullet"/>
        <w:numPr>
          <w:ilvl w:val="0"/>
          <w:numId w:val="19"/>
        </w:numPr>
        <w:ind w:left="426" w:hanging="426"/>
      </w:pPr>
      <w:r>
        <w:t>Dealing with Misconduct: A Manager’s guide</w:t>
      </w:r>
      <w:r w:rsidR="0063516E">
        <w:t xml:space="preserve"> People &amp; Culture Information Guideline No 1</w:t>
      </w:r>
    </w:p>
    <w:p w14:paraId="3EB2CB3C" w14:textId="77777777" w:rsidR="0063516E" w:rsidRDefault="0063516E" w:rsidP="0064764D">
      <w:pPr>
        <w:rPr>
          <w:b/>
        </w:rPr>
      </w:pPr>
    </w:p>
    <w:p w14:paraId="433CE0B7" w14:textId="669D6183" w:rsidR="0064764D" w:rsidRDefault="0064764D" w:rsidP="0064764D">
      <w:pPr>
        <w:rPr>
          <w:b/>
        </w:rPr>
      </w:pPr>
      <w:r>
        <w:rPr>
          <w:b/>
        </w:rPr>
        <w:t>Procedures</w:t>
      </w:r>
    </w:p>
    <w:p w14:paraId="5124B41F" w14:textId="77777777" w:rsidR="0064764D" w:rsidRDefault="0064764D" w:rsidP="006D5CB5">
      <w:pPr>
        <w:pStyle w:val="ListBullet"/>
      </w:pPr>
      <w:r w:rsidRPr="00506574">
        <w:t xml:space="preserve">Consumer Feedback Management </w:t>
      </w:r>
      <w:r>
        <w:t>Procedure</w:t>
      </w:r>
    </w:p>
    <w:p w14:paraId="081EED38" w14:textId="77777777" w:rsidR="0064764D" w:rsidRDefault="0064764D" w:rsidP="006D5CB5">
      <w:pPr>
        <w:pStyle w:val="ListBullet"/>
      </w:pPr>
      <w:r>
        <w:t>Incident Management – Clinical Procedure</w:t>
      </w:r>
    </w:p>
    <w:p w14:paraId="257F3CA9" w14:textId="77777777" w:rsidR="0064764D" w:rsidRDefault="0064764D" w:rsidP="006D5CB5">
      <w:pPr>
        <w:pStyle w:val="ListBullet"/>
      </w:pPr>
      <w:r>
        <w:t>Credentialing and Defining the Scope of Clinical Practice for Senior Medical and Dental Practitioners</w:t>
      </w:r>
    </w:p>
    <w:p w14:paraId="0675C8A2" w14:textId="34179E64" w:rsidR="00021F01" w:rsidRDefault="00021F01" w:rsidP="0064764D">
      <w:pPr>
        <w:rPr>
          <w:b/>
        </w:rPr>
      </w:pPr>
    </w:p>
    <w:p w14:paraId="09242432" w14:textId="2DA6A705" w:rsidR="004451C8" w:rsidRDefault="004451C8" w:rsidP="0064764D">
      <w:pPr>
        <w:rPr>
          <w:b/>
        </w:rPr>
      </w:pPr>
      <w:r>
        <w:rPr>
          <w:b/>
        </w:rPr>
        <w:t>Other</w:t>
      </w:r>
    </w:p>
    <w:p w14:paraId="6D00B1D0" w14:textId="02E0007B" w:rsidR="004451C8" w:rsidRDefault="004451C8" w:rsidP="004451C8">
      <w:pPr>
        <w:pStyle w:val="ListBullet"/>
      </w:pPr>
      <w:r>
        <w:t xml:space="preserve">Resolving Workplace Issues </w:t>
      </w:r>
      <w:hyperlink r:id="rId11" w:history="1">
        <w:r w:rsidRPr="009808AB">
          <w:rPr>
            <w:rStyle w:val="Hyperlink"/>
          </w:rPr>
          <w:t>https://www.cmtedd.act.gov.au/employment-framework/workplace-behaviours/resolving-workplace-issues</w:t>
        </w:r>
      </w:hyperlink>
      <w:r>
        <w:t xml:space="preserve"> </w:t>
      </w:r>
    </w:p>
    <w:p w14:paraId="6D623A8A" w14:textId="77777777" w:rsidR="004451C8" w:rsidRDefault="004451C8" w:rsidP="0064764D">
      <w:pPr>
        <w:rPr>
          <w:b/>
        </w:rPr>
      </w:pPr>
    </w:p>
    <w:p w14:paraId="1D46E588" w14:textId="231562A3" w:rsidR="0064764D" w:rsidRDefault="0064764D" w:rsidP="0064764D">
      <w:pPr>
        <w:rPr>
          <w:b/>
        </w:rPr>
      </w:pPr>
      <w:r w:rsidRPr="00201FB6">
        <w:rPr>
          <w:b/>
        </w:rPr>
        <w:t>Legislation</w:t>
      </w:r>
    </w:p>
    <w:p w14:paraId="43E0467B" w14:textId="77777777" w:rsidR="0064764D" w:rsidRPr="00795B3B" w:rsidRDefault="0064764D" w:rsidP="006D5CB5">
      <w:pPr>
        <w:pStyle w:val="ListBullet"/>
        <w:rPr>
          <w:i/>
        </w:rPr>
      </w:pPr>
      <w:r w:rsidRPr="00323DA9">
        <w:rPr>
          <w:i/>
        </w:rPr>
        <w:lastRenderedPageBreak/>
        <w:t>Health Act 1993 (ACT) Republication No 43, Effective 24 August 2022</w:t>
      </w:r>
    </w:p>
    <w:p w14:paraId="0DFCBFBE" w14:textId="77777777" w:rsidR="0064764D" w:rsidRPr="00DB2A5C" w:rsidRDefault="0064764D" w:rsidP="006D5CB5">
      <w:pPr>
        <w:pStyle w:val="ListBullet"/>
        <w:rPr>
          <w:b/>
          <w:i/>
        </w:rPr>
      </w:pPr>
      <w:r w:rsidRPr="00DB2A5C">
        <w:rPr>
          <w:i/>
        </w:rPr>
        <w:t xml:space="preserve">Health Practitioner Regulation National Law (ACT) Act </w:t>
      </w:r>
      <w:r w:rsidRPr="00DB2A5C">
        <w:t>20</w:t>
      </w:r>
      <w:r>
        <w:t>20</w:t>
      </w:r>
    </w:p>
    <w:p w14:paraId="34549472" w14:textId="77777777" w:rsidR="0064764D" w:rsidRPr="00DB2A5C" w:rsidRDefault="0064764D" w:rsidP="006D5CB5">
      <w:pPr>
        <w:pStyle w:val="ListBullet"/>
        <w:rPr>
          <w:rFonts w:cs="Arial"/>
          <w:i/>
          <w:szCs w:val="24"/>
        </w:rPr>
      </w:pPr>
      <w:r w:rsidRPr="00DB2A5C">
        <w:rPr>
          <w:rFonts w:cs="Arial"/>
          <w:i/>
          <w:szCs w:val="24"/>
        </w:rPr>
        <w:t xml:space="preserve">Health Records (Privacy and Access) Act </w:t>
      </w:r>
      <w:r w:rsidRPr="00DB2A5C">
        <w:rPr>
          <w:rFonts w:cs="Arial"/>
          <w:szCs w:val="24"/>
        </w:rPr>
        <w:t>1997</w:t>
      </w:r>
    </w:p>
    <w:p w14:paraId="2BCFAAA3" w14:textId="77777777" w:rsidR="0064764D" w:rsidRPr="005E17C6" w:rsidRDefault="0064764D" w:rsidP="006D5CB5">
      <w:pPr>
        <w:pStyle w:val="ListBullet"/>
        <w:rPr>
          <w:rFonts w:cs="Arial"/>
          <w:i/>
          <w:szCs w:val="24"/>
        </w:rPr>
      </w:pPr>
      <w:r w:rsidRPr="00DB2A5C">
        <w:rPr>
          <w:rFonts w:cs="Arial"/>
          <w:i/>
          <w:szCs w:val="24"/>
        </w:rPr>
        <w:t xml:space="preserve">Human Rights Act </w:t>
      </w:r>
      <w:r w:rsidRPr="00DB2A5C">
        <w:rPr>
          <w:rFonts w:cs="Arial"/>
          <w:szCs w:val="24"/>
        </w:rPr>
        <w:t>2004</w:t>
      </w:r>
    </w:p>
    <w:p w14:paraId="58D20528" w14:textId="77777777" w:rsidR="0064764D" w:rsidRDefault="0064764D" w:rsidP="006D5CB5">
      <w:pPr>
        <w:pStyle w:val="ListBullet"/>
        <w:rPr>
          <w:rFonts w:cs="Arial"/>
          <w:i/>
          <w:szCs w:val="24"/>
        </w:rPr>
      </w:pPr>
      <w:r>
        <w:rPr>
          <w:rFonts w:cs="Arial"/>
          <w:i/>
          <w:szCs w:val="24"/>
        </w:rPr>
        <w:t>Public Sector Management Act 1994</w:t>
      </w:r>
    </w:p>
    <w:p w14:paraId="569AB2B1" w14:textId="77777777" w:rsidR="006D5CB5" w:rsidRDefault="006D5CB5" w:rsidP="0064764D">
      <w:pPr>
        <w:pStyle w:val="ListBullet"/>
        <w:numPr>
          <w:ilvl w:val="0"/>
          <w:numId w:val="0"/>
        </w:numPr>
        <w:ind w:left="360" w:hanging="360"/>
        <w:jc w:val="both"/>
        <w:rPr>
          <w:rFonts w:cs="Arial"/>
          <w:b/>
          <w:bCs/>
          <w:iCs/>
          <w:szCs w:val="24"/>
        </w:rPr>
      </w:pPr>
    </w:p>
    <w:p w14:paraId="0C1CB67C" w14:textId="047D510B" w:rsidR="0064764D" w:rsidRDefault="0064764D" w:rsidP="0064764D">
      <w:pPr>
        <w:pStyle w:val="ListBullet"/>
        <w:numPr>
          <w:ilvl w:val="0"/>
          <w:numId w:val="0"/>
        </w:numPr>
        <w:ind w:left="360" w:hanging="360"/>
        <w:jc w:val="both"/>
        <w:rPr>
          <w:rFonts w:cs="Arial"/>
          <w:b/>
          <w:bCs/>
          <w:iCs/>
          <w:szCs w:val="24"/>
        </w:rPr>
      </w:pPr>
      <w:r w:rsidRPr="000029ED">
        <w:rPr>
          <w:rFonts w:cs="Arial"/>
          <w:b/>
          <w:bCs/>
          <w:iCs/>
          <w:szCs w:val="24"/>
        </w:rPr>
        <w:t>Other</w:t>
      </w:r>
    </w:p>
    <w:p w14:paraId="44917C8D" w14:textId="5E83D2D6" w:rsidR="0064764D" w:rsidRDefault="0064764D" w:rsidP="006D5CB5">
      <w:pPr>
        <w:pStyle w:val="ListBullet"/>
        <w:numPr>
          <w:ilvl w:val="0"/>
          <w:numId w:val="19"/>
        </w:numPr>
        <w:ind w:left="426" w:hanging="426"/>
        <w:jc w:val="both"/>
        <w:rPr>
          <w:rFonts w:cs="Arial"/>
          <w:iCs/>
          <w:szCs w:val="24"/>
        </w:rPr>
      </w:pPr>
      <w:r w:rsidRPr="000029ED">
        <w:rPr>
          <w:rFonts w:cs="Arial"/>
          <w:iCs/>
          <w:szCs w:val="24"/>
        </w:rPr>
        <w:t>Australian Charter of Healthcare Rights</w:t>
      </w:r>
    </w:p>
    <w:p w14:paraId="00C4CC56" w14:textId="301EDC35" w:rsidR="0063516E" w:rsidRPr="004451C8" w:rsidRDefault="008C3E65" w:rsidP="004451C8">
      <w:pPr>
        <w:pStyle w:val="ListBullet"/>
        <w:numPr>
          <w:ilvl w:val="0"/>
          <w:numId w:val="19"/>
        </w:numPr>
        <w:ind w:left="426" w:hanging="426"/>
        <w:jc w:val="both"/>
        <w:rPr>
          <w:rFonts w:cs="Arial"/>
          <w:i/>
          <w:szCs w:val="24"/>
        </w:rPr>
      </w:pPr>
      <w:r w:rsidRPr="00E45589">
        <w:rPr>
          <w:rFonts w:cs="Arial"/>
          <w:i/>
          <w:szCs w:val="24"/>
        </w:rPr>
        <w:t>ACT Public Sector Medical Practitioner Enterprise Agreement</w:t>
      </w:r>
      <w:r w:rsidR="00EE21F6">
        <w:rPr>
          <w:rFonts w:cs="Arial"/>
          <w:i/>
          <w:szCs w:val="24"/>
        </w:rPr>
        <w:t>.</w:t>
      </w:r>
    </w:p>
    <w:p w14:paraId="59D50323" w14:textId="77777777" w:rsidR="0063516E" w:rsidRPr="000029ED" w:rsidRDefault="0063516E" w:rsidP="0063516E">
      <w:pPr>
        <w:pStyle w:val="ListBullet"/>
        <w:numPr>
          <w:ilvl w:val="0"/>
          <w:numId w:val="0"/>
        </w:numPr>
        <w:ind w:left="426" w:hanging="426"/>
        <w:jc w:val="both"/>
        <w:rPr>
          <w:rFonts w:cs="Arial"/>
          <w:iCs/>
          <w:szCs w:val="24"/>
        </w:rPr>
      </w:pPr>
    </w:p>
    <w:p w14:paraId="2F51A8CA" w14:textId="77777777" w:rsidR="007B6904" w:rsidRDefault="008D3EF6" w:rsidP="007B6904">
      <w:pPr>
        <w:pStyle w:val="ListParagraph"/>
        <w:jc w:val="right"/>
        <w:rPr>
          <w:szCs w:val="24"/>
        </w:rPr>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CC" w14:textId="77777777" w:rsidTr="0074223E">
        <w:trPr>
          <w:cantSplit/>
          <w:trHeight w:val="285"/>
        </w:trPr>
        <w:tc>
          <w:tcPr>
            <w:tcW w:w="9158" w:type="dxa"/>
            <w:shd w:val="clear" w:color="auto" w:fill="A6A6A6" w:themeFill="background1" w:themeFillShade="A6"/>
          </w:tcPr>
          <w:p w14:paraId="2F51A8CB" w14:textId="77777777" w:rsidR="007B6904" w:rsidRPr="00CD1C0E" w:rsidRDefault="007B6904" w:rsidP="004213C3">
            <w:pPr>
              <w:pStyle w:val="Heading1"/>
            </w:pPr>
            <w:bookmarkStart w:id="26" w:name="_Toc389473288"/>
            <w:bookmarkStart w:id="27" w:name="_Toc136595090"/>
            <w:r>
              <w:t>References</w:t>
            </w:r>
            <w:bookmarkEnd w:id="26"/>
            <w:bookmarkEnd w:id="27"/>
          </w:p>
        </w:tc>
      </w:tr>
    </w:tbl>
    <w:p w14:paraId="2F51A8CD" w14:textId="77777777" w:rsidR="007B6904" w:rsidRPr="00DE4E25" w:rsidRDefault="007B6904" w:rsidP="007B6904">
      <w:pPr>
        <w:rPr>
          <w:rFonts w:asciiTheme="majorHAnsi" w:hAnsiTheme="majorHAnsi" w:cstheme="majorHAnsi"/>
          <w:szCs w:val="24"/>
        </w:rPr>
      </w:pPr>
      <w:bookmarkStart w:id="28" w:name="_Toc389131245"/>
    </w:p>
    <w:bookmarkEnd w:id="28"/>
    <w:p w14:paraId="163091BC" w14:textId="77777777" w:rsidR="00461544" w:rsidRPr="0063516E" w:rsidRDefault="00461544" w:rsidP="00461544">
      <w:pPr>
        <w:pStyle w:val="ListBullet"/>
        <w:numPr>
          <w:ilvl w:val="0"/>
          <w:numId w:val="6"/>
        </w:numPr>
        <w:rPr>
          <w:iCs/>
        </w:rPr>
      </w:pPr>
      <w:r w:rsidRPr="0063516E">
        <w:rPr>
          <w:iCs/>
        </w:rPr>
        <w:t>Health Act 1993 (ACT) Republication No 43, Effective 24 August 2022</w:t>
      </w:r>
    </w:p>
    <w:p w14:paraId="605399CF" w14:textId="713F0988" w:rsidR="00461544" w:rsidRPr="0063516E" w:rsidRDefault="00461544" w:rsidP="00461544">
      <w:pPr>
        <w:pStyle w:val="ListBullet"/>
        <w:numPr>
          <w:ilvl w:val="0"/>
          <w:numId w:val="6"/>
        </w:numPr>
        <w:rPr>
          <w:iCs/>
        </w:rPr>
      </w:pPr>
      <w:r w:rsidRPr="0063516E">
        <w:rPr>
          <w:iCs/>
        </w:rPr>
        <w:t>Health Practitioner Regulation National Law (ACT) Act 2020</w:t>
      </w:r>
    </w:p>
    <w:p w14:paraId="1A5DA0B1" w14:textId="5015B176" w:rsidR="0063516E" w:rsidRPr="0063516E" w:rsidRDefault="008D3EF6" w:rsidP="00461544">
      <w:pPr>
        <w:pStyle w:val="ListBullet"/>
        <w:numPr>
          <w:ilvl w:val="0"/>
          <w:numId w:val="6"/>
        </w:numPr>
        <w:rPr>
          <w:iCs/>
        </w:rPr>
      </w:pPr>
      <w:hyperlink r:id="rId12" w:history="1">
        <w:r w:rsidR="0063516E" w:rsidRPr="0063516E">
          <w:rPr>
            <w:iCs/>
            <w:color w:val="0000FF"/>
            <w:u w:val="single"/>
          </w:rPr>
          <w:t>Dealing with misconduct.docx (sharepoint.com)</w:t>
        </w:r>
      </w:hyperlink>
    </w:p>
    <w:p w14:paraId="2F51A8D4" w14:textId="77777777" w:rsidR="007B6904" w:rsidRPr="00DE4E25" w:rsidRDefault="007B6904" w:rsidP="007B6904">
      <w:pPr>
        <w:jc w:val="right"/>
        <w:rPr>
          <w:szCs w:val="24"/>
        </w:rPr>
      </w:pPr>
    </w:p>
    <w:p w14:paraId="2F51A8D5" w14:textId="77777777" w:rsidR="00FF56DD" w:rsidRDefault="008D3EF6" w:rsidP="007B6904">
      <w:pPr>
        <w:jc w:val="right"/>
      </w:pPr>
      <w:hyperlink w:anchor="Contents" w:history="1">
        <w:r w:rsidR="007B690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77777777" w:rsidR="00FF56DD" w:rsidRPr="000F1F60" w:rsidRDefault="00FF56DD" w:rsidP="004213C3">
            <w:pPr>
              <w:pStyle w:val="Heading1"/>
            </w:pPr>
            <w:bookmarkStart w:id="29" w:name="_Toc136595091"/>
            <w:r>
              <w:t>Definition of Terms (if applicable)</w:t>
            </w:r>
            <w:bookmarkEnd w:id="29"/>
            <w:r>
              <w:t xml:space="preserve"> </w:t>
            </w:r>
          </w:p>
        </w:tc>
      </w:tr>
    </w:tbl>
    <w:p w14:paraId="56EB7C54" w14:textId="77777777" w:rsidR="0064764D" w:rsidRDefault="0064764D" w:rsidP="0064764D">
      <w:pPr>
        <w:rPr>
          <w:rFonts w:cs="Arial"/>
          <w:b/>
          <w:bCs/>
          <w:i/>
          <w:iCs/>
          <w:szCs w:val="24"/>
        </w:rPr>
      </w:pPr>
    </w:p>
    <w:p w14:paraId="0DA62733" w14:textId="77777777" w:rsidR="0064764D" w:rsidRPr="00021F01" w:rsidRDefault="0064764D" w:rsidP="0064764D">
      <w:pPr>
        <w:rPr>
          <w:rFonts w:cs="Arial"/>
          <w:iCs/>
          <w:szCs w:val="24"/>
        </w:rPr>
      </w:pPr>
      <w:r w:rsidRPr="00021F01">
        <w:rPr>
          <w:b/>
          <w:bCs/>
          <w:iCs/>
          <w:szCs w:val="24"/>
        </w:rPr>
        <w:t>Clinical competence</w:t>
      </w:r>
      <w:r w:rsidRPr="00021F01">
        <w:rPr>
          <w:iCs/>
          <w:szCs w:val="24"/>
        </w:rPr>
        <w:t xml:space="preserve"> - refers to the demonstrated ability for a practitioner to provide health care services at an expected level of safety and quality in accordance with the Australian Commission on Safety and Quality in Health Care, Standard for Credentialing and Defining Scope of Clinical Practice (ACSQHC, 2004).</w:t>
      </w:r>
    </w:p>
    <w:p w14:paraId="3A3A809B" w14:textId="77777777" w:rsidR="0064764D" w:rsidRPr="00021F01" w:rsidRDefault="0064764D" w:rsidP="0064764D">
      <w:pPr>
        <w:rPr>
          <w:rFonts w:cs="Arial"/>
          <w:iCs/>
          <w:szCs w:val="24"/>
        </w:rPr>
      </w:pPr>
    </w:p>
    <w:p w14:paraId="7164932C" w14:textId="0C051985" w:rsidR="0064764D" w:rsidRPr="00021F01" w:rsidRDefault="0064764D" w:rsidP="0064764D">
      <w:pPr>
        <w:rPr>
          <w:rFonts w:cs="Arial"/>
          <w:iCs/>
          <w:szCs w:val="24"/>
        </w:rPr>
      </w:pPr>
      <w:r w:rsidRPr="00021F01">
        <w:rPr>
          <w:rFonts w:cs="Arial"/>
          <w:b/>
          <w:bCs/>
          <w:iCs/>
          <w:szCs w:val="24"/>
        </w:rPr>
        <w:t>Complainant</w:t>
      </w:r>
      <w:r w:rsidRPr="00021F01">
        <w:rPr>
          <w:rFonts w:cs="Arial"/>
          <w:iCs/>
          <w:szCs w:val="24"/>
        </w:rPr>
        <w:t xml:space="preserve"> - is the person(s) who have lodged the complaint or concern.</w:t>
      </w:r>
    </w:p>
    <w:p w14:paraId="3A6EE929" w14:textId="77777777" w:rsidR="0064764D" w:rsidRPr="00021F01" w:rsidRDefault="0064764D" w:rsidP="0064764D">
      <w:pPr>
        <w:rPr>
          <w:rFonts w:cs="Arial"/>
          <w:iCs/>
          <w:szCs w:val="24"/>
        </w:rPr>
      </w:pPr>
    </w:p>
    <w:p w14:paraId="4BF38C35" w14:textId="77777777" w:rsidR="0064764D" w:rsidRPr="00021F01" w:rsidRDefault="0064764D" w:rsidP="0064764D">
      <w:pPr>
        <w:rPr>
          <w:rFonts w:cs="Arial"/>
          <w:iCs/>
          <w:szCs w:val="24"/>
        </w:rPr>
      </w:pPr>
      <w:r w:rsidRPr="00021F01">
        <w:rPr>
          <w:rFonts w:cs="Arial"/>
          <w:b/>
          <w:bCs/>
          <w:iCs/>
          <w:szCs w:val="24"/>
        </w:rPr>
        <w:t xml:space="preserve">Credential </w:t>
      </w:r>
      <w:r w:rsidRPr="00021F01">
        <w:rPr>
          <w:rFonts w:cs="Arial"/>
          <w:iCs/>
          <w:szCs w:val="24"/>
        </w:rPr>
        <w:t xml:space="preserve">– in relation to a practitioner, means endorse the practitioner to provide health services based on verification and assessment of the practitioner’s qualifications, experience, skill, professional standing and any other relevant professional </w:t>
      </w:r>
      <w:proofErr w:type="spellStart"/>
      <w:r w:rsidRPr="00021F01">
        <w:rPr>
          <w:rFonts w:cs="Arial"/>
          <w:iCs/>
          <w:szCs w:val="24"/>
        </w:rPr>
        <w:t>attirbutes</w:t>
      </w:r>
      <w:proofErr w:type="spellEnd"/>
      <w:r w:rsidRPr="00021F01">
        <w:rPr>
          <w:rFonts w:cs="Arial"/>
          <w:iCs/>
          <w:szCs w:val="24"/>
        </w:rPr>
        <w:t>.</w:t>
      </w:r>
    </w:p>
    <w:p w14:paraId="59569D93" w14:textId="77777777" w:rsidR="0064764D" w:rsidRPr="00021F01" w:rsidRDefault="0064764D" w:rsidP="0064764D">
      <w:pPr>
        <w:rPr>
          <w:rFonts w:cs="Arial"/>
          <w:iCs/>
          <w:szCs w:val="24"/>
        </w:rPr>
      </w:pPr>
    </w:p>
    <w:p w14:paraId="6AE805D0" w14:textId="77777777" w:rsidR="0064764D" w:rsidRPr="00021F01" w:rsidRDefault="0064764D" w:rsidP="0064764D">
      <w:pPr>
        <w:rPr>
          <w:rFonts w:cs="Arial"/>
          <w:iCs/>
          <w:szCs w:val="24"/>
        </w:rPr>
      </w:pPr>
      <w:r w:rsidRPr="00021F01">
        <w:rPr>
          <w:rFonts w:cs="Arial"/>
          <w:b/>
          <w:bCs/>
          <w:iCs/>
          <w:szCs w:val="24"/>
        </w:rPr>
        <w:t>Head of Service</w:t>
      </w:r>
      <w:r w:rsidRPr="00021F01">
        <w:rPr>
          <w:rFonts w:cs="Arial"/>
          <w:iCs/>
          <w:szCs w:val="24"/>
        </w:rPr>
        <w:t xml:space="preserve"> – For the purposes of this policy The Head of Service is the Chief Executive, Canberra Health Service.</w:t>
      </w:r>
    </w:p>
    <w:p w14:paraId="6233EE9A" w14:textId="77777777" w:rsidR="0064764D" w:rsidRPr="00021F01" w:rsidRDefault="0064764D" w:rsidP="0064764D">
      <w:pPr>
        <w:rPr>
          <w:rFonts w:cs="Arial"/>
          <w:iCs/>
          <w:szCs w:val="24"/>
        </w:rPr>
      </w:pPr>
    </w:p>
    <w:p w14:paraId="7D557577" w14:textId="77777777" w:rsidR="0064764D" w:rsidRPr="00021F01" w:rsidRDefault="0064764D" w:rsidP="0064764D">
      <w:pPr>
        <w:rPr>
          <w:rFonts w:cs="Arial"/>
          <w:iCs/>
          <w:szCs w:val="24"/>
        </w:rPr>
      </w:pPr>
      <w:r w:rsidRPr="00021F01">
        <w:rPr>
          <w:rFonts w:cs="Arial"/>
          <w:b/>
          <w:bCs/>
          <w:iCs/>
          <w:szCs w:val="24"/>
        </w:rPr>
        <w:t>Junior Medical Officer (JMO)</w:t>
      </w:r>
      <w:r w:rsidRPr="00021F01">
        <w:rPr>
          <w:rFonts w:cs="Arial"/>
          <w:iCs/>
          <w:szCs w:val="24"/>
        </w:rPr>
        <w:t xml:space="preserve"> – means Intern, Resident Medical Officer, Junior Registrar, Registrar, Senior Registrar and Senior Resident Medical Officer. </w:t>
      </w:r>
    </w:p>
    <w:p w14:paraId="5288492B" w14:textId="77777777" w:rsidR="0064764D" w:rsidRPr="00021F01" w:rsidRDefault="0064764D" w:rsidP="0064764D">
      <w:pPr>
        <w:rPr>
          <w:rFonts w:cs="Arial"/>
          <w:iCs/>
          <w:szCs w:val="24"/>
        </w:rPr>
      </w:pPr>
    </w:p>
    <w:p w14:paraId="516BE909" w14:textId="4A2105E4" w:rsidR="0064764D" w:rsidRDefault="0064764D" w:rsidP="0064764D">
      <w:pPr>
        <w:rPr>
          <w:rFonts w:cs="Arial"/>
          <w:iCs/>
          <w:szCs w:val="24"/>
        </w:rPr>
      </w:pPr>
      <w:r w:rsidRPr="00021F01">
        <w:rPr>
          <w:rFonts w:cs="Arial"/>
          <w:b/>
          <w:bCs/>
          <w:iCs/>
          <w:szCs w:val="24"/>
        </w:rPr>
        <w:t>Misconduct</w:t>
      </w:r>
      <w:r w:rsidRPr="00021F01">
        <w:rPr>
          <w:rFonts w:cs="Arial"/>
          <w:iCs/>
          <w:szCs w:val="24"/>
        </w:rPr>
        <w:t xml:space="preserve"> – occurs when an employee fails to meet their obligations outlined in Section 9 of the </w:t>
      </w:r>
      <w:r w:rsidRPr="004451C8">
        <w:rPr>
          <w:rFonts w:cs="Arial"/>
          <w:i/>
          <w:szCs w:val="24"/>
        </w:rPr>
        <w:t xml:space="preserve">Public Sector Management Act </w:t>
      </w:r>
      <w:proofErr w:type="gramStart"/>
      <w:r w:rsidRPr="004451C8">
        <w:rPr>
          <w:rFonts w:cs="Arial"/>
          <w:i/>
          <w:szCs w:val="24"/>
        </w:rPr>
        <w:t>1994</w:t>
      </w:r>
      <w:r w:rsidRPr="00021F01">
        <w:rPr>
          <w:rFonts w:cs="Arial"/>
          <w:iCs/>
          <w:szCs w:val="24"/>
        </w:rPr>
        <w:t>, or</w:t>
      </w:r>
      <w:proofErr w:type="gramEnd"/>
      <w:r w:rsidRPr="00021F01">
        <w:rPr>
          <w:rFonts w:cs="Arial"/>
          <w:iCs/>
          <w:szCs w:val="24"/>
        </w:rPr>
        <w:t xml:space="preserve"> engages in conduct that has brought or is likely to bring CHS or the ACTPS into disrepute. Examples of misconduct </w:t>
      </w:r>
      <w:proofErr w:type="gramStart"/>
      <w:r w:rsidRPr="00021F01">
        <w:rPr>
          <w:rFonts w:cs="Arial"/>
          <w:iCs/>
          <w:szCs w:val="24"/>
        </w:rPr>
        <w:t>include:</w:t>
      </w:r>
      <w:proofErr w:type="gramEnd"/>
      <w:r w:rsidRPr="00021F01">
        <w:rPr>
          <w:rFonts w:cs="Arial"/>
          <w:iCs/>
          <w:szCs w:val="24"/>
        </w:rPr>
        <w:t xml:space="preserve"> workplace bullying; discrimination; improper use of ACTPS/Territory resources; unauthorised absence without satisfactory reason; failure to notify/disclose; making knowingly false (vexatious) </w:t>
      </w:r>
      <w:r w:rsidRPr="00021F01">
        <w:rPr>
          <w:rFonts w:cs="Arial"/>
          <w:iCs/>
          <w:szCs w:val="24"/>
        </w:rPr>
        <w:lastRenderedPageBreak/>
        <w:t>allegations; failure to comply with a lawful and reasonable direction; an employee taking improper advantage of their position.</w:t>
      </w:r>
    </w:p>
    <w:p w14:paraId="6FEBC6AE" w14:textId="4331ECA9" w:rsidR="00A56CE5" w:rsidRDefault="00A56CE5" w:rsidP="0064764D">
      <w:pPr>
        <w:rPr>
          <w:rFonts w:cs="Arial"/>
          <w:iCs/>
          <w:szCs w:val="24"/>
        </w:rPr>
      </w:pPr>
    </w:p>
    <w:p w14:paraId="6D50D526" w14:textId="3878561A" w:rsidR="00A56CE5" w:rsidRPr="00A56CE5" w:rsidRDefault="00A56CE5" w:rsidP="0064764D">
      <w:pPr>
        <w:rPr>
          <w:rFonts w:cs="Arial"/>
          <w:iCs/>
          <w:szCs w:val="24"/>
        </w:rPr>
      </w:pPr>
      <w:r>
        <w:rPr>
          <w:rFonts w:cs="Arial"/>
          <w:b/>
          <w:bCs/>
          <w:iCs/>
          <w:szCs w:val="24"/>
        </w:rPr>
        <w:t xml:space="preserve">Referring person </w:t>
      </w:r>
      <w:r>
        <w:rPr>
          <w:rFonts w:cs="Arial"/>
          <w:iCs/>
          <w:szCs w:val="24"/>
        </w:rPr>
        <w:t xml:space="preserve">– is the responsible manager. This could be the Executive Director, Clinical Director, Unit Director. </w:t>
      </w:r>
    </w:p>
    <w:p w14:paraId="33D7E61F" w14:textId="77777777" w:rsidR="0064764D" w:rsidRPr="00021F01" w:rsidRDefault="0064764D" w:rsidP="0064764D">
      <w:pPr>
        <w:rPr>
          <w:rFonts w:asciiTheme="minorHAnsi" w:hAnsiTheme="minorHAnsi" w:cstheme="minorHAnsi"/>
          <w:iCs/>
          <w:szCs w:val="24"/>
        </w:rPr>
      </w:pPr>
    </w:p>
    <w:p w14:paraId="7CA403A8" w14:textId="77777777" w:rsidR="0064764D" w:rsidRPr="00021F01" w:rsidRDefault="0064764D" w:rsidP="0064764D">
      <w:pPr>
        <w:rPr>
          <w:rFonts w:asciiTheme="minorHAnsi" w:hAnsiTheme="minorHAnsi" w:cstheme="minorHAnsi"/>
          <w:iCs/>
          <w:szCs w:val="24"/>
        </w:rPr>
      </w:pPr>
      <w:r w:rsidRPr="00021F01">
        <w:rPr>
          <w:rFonts w:asciiTheme="minorHAnsi" w:hAnsiTheme="minorHAnsi" w:cstheme="minorHAnsi"/>
          <w:b/>
          <w:bCs/>
          <w:iCs/>
          <w:szCs w:val="24"/>
        </w:rPr>
        <w:t xml:space="preserve">Senior Medical and Dental Practitioner </w:t>
      </w:r>
      <w:r w:rsidRPr="00021F01">
        <w:rPr>
          <w:rFonts w:asciiTheme="minorHAnsi" w:hAnsiTheme="minorHAnsi" w:cstheme="minorHAnsi"/>
          <w:iCs/>
          <w:szCs w:val="24"/>
        </w:rPr>
        <w:t xml:space="preserve">– means a Specialist, Senior Specialist, Visiting Medical </w:t>
      </w:r>
      <w:proofErr w:type="gramStart"/>
      <w:r w:rsidRPr="00021F01">
        <w:rPr>
          <w:rFonts w:asciiTheme="minorHAnsi" w:hAnsiTheme="minorHAnsi" w:cstheme="minorHAnsi"/>
          <w:iCs/>
          <w:szCs w:val="24"/>
        </w:rPr>
        <w:t>Officer</w:t>
      </w:r>
      <w:proofErr w:type="gramEnd"/>
      <w:r w:rsidRPr="00021F01">
        <w:rPr>
          <w:rFonts w:asciiTheme="minorHAnsi" w:hAnsiTheme="minorHAnsi" w:cstheme="minorHAnsi"/>
          <w:iCs/>
          <w:szCs w:val="24"/>
        </w:rPr>
        <w:t xml:space="preserve"> or Dentist engaged by Canberra Health Services (CHS) or Calvary Public Hospital Bruce (CPHB). </w:t>
      </w:r>
    </w:p>
    <w:p w14:paraId="3B2D406A" w14:textId="77777777" w:rsidR="0064764D" w:rsidRPr="00021F01" w:rsidRDefault="0064764D" w:rsidP="0064764D">
      <w:pPr>
        <w:rPr>
          <w:rFonts w:asciiTheme="minorHAnsi" w:hAnsiTheme="minorHAnsi" w:cstheme="minorHAnsi"/>
          <w:iCs/>
          <w:szCs w:val="24"/>
        </w:rPr>
      </w:pPr>
    </w:p>
    <w:p w14:paraId="520CEA10" w14:textId="77777777" w:rsidR="0064764D" w:rsidRPr="00021F01" w:rsidRDefault="0064764D" w:rsidP="0064764D">
      <w:pPr>
        <w:rPr>
          <w:rFonts w:asciiTheme="minorHAnsi" w:hAnsiTheme="minorHAnsi" w:cstheme="minorHAnsi"/>
          <w:iCs/>
          <w:szCs w:val="24"/>
        </w:rPr>
      </w:pPr>
      <w:r w:rsidRPr="00021F01">
        <w:rPr>
          <w:rFonts w:asciiTheme="minorHAnsi" w:hAnsiTheme="minorHAnsi" w:cstheme="minorHAnsi"/>
          <w:b/>
          <w:bCs/>
          <w:iCs/>
          <w:szCs w:val="24"/>
        </w:rPr>
        <w:t xml:space="preserve">Scope of </w:t>
      </w:r>
      <w:proofErr w:type="gramStart"/>
      <w:r w:rsidRPr="00021F01">
        <w:rPr>
          <w:rFonts w:asciiTheme="minorHAnsi" w:hAnsiTheme="minorHAnsi" w:cstheme="minorHAnsi"/>
          <w:b/>
          <w:bCs/>
          <w:iCs/>
          <w:szCs w:val="24"/>
        </w:rPr>
        <w:t xml:space="preserve">Practice  </w:t>
      </w:r>
      <w:r w:rsidRPr="00021F01">
        <w:rPr>
          <w:rFonts w:asciiTheme="minorHAnsi" w:hAnsiTheme="minorHAnsi" w:cstheme="minorHAnsi"/>
          <w:iCs/>
          <w:szCs w:val="24"/>
        </w:rPr>
        <w:t>–</w:t>
      </w:r>
      <w:proofErr w:type="gramEnd"/>
      <w:r w:rsidRPr="00021F01">
        <w:rPr>
          <w:rFonts w:asciiTheme="minorHAnsi" w:hAnsiTheme="minorHAnsi" w:cstheme="minorHAnsi"/>
          <w:iCs/>
          <w:szCs w:val="24"/>
        </w:rPr>
        <w:t xml:space="preserve"> </w:t>
      </w:r>
      <w:r w:rsidRPr="00021F01">
        <w:rPr>
          <w:iCs/>
        </w:rPr>
        <w:t>of a doctor or dentist for a health facility, means the rights of the doctor or dentist established by agreement between the doctor or dentist and the health facility to treat patients or carry out other procedures at the health facility; or to use the equipment or other facilities of the health facility.</w:t>
      </w:r>
    </w:p>
    <w:p w14:paraId="547C538F" w14:textId="77777777" w:rsidR="0064764D" w:rsidRPr="00021F01" w:rsidRDefault="0064764D" w:rsidP="0064764D">
      <w:pPr>
        <w:rPr>
          <w:rFonts w:asciiTheme="minorHAnsi" w:hAnsiTheme="minorHAnsi" w:cstheme="minorHAnsi"/>
          <w:iCs/>
          <w:szCs w:val="24"/>
        </w:rPr>
      </w:pPr>
    </w:p>
    <w:p w14:paraId="409E766E" w14:textId="65B7EE69" w:rsidR="0064764D" w:rsidRPr="00021F01" w:rsidRDefault="0064764D" w:rsidP="0064764D">
      <w:pPr>
        <w:rPr>
          <w:rFonts w:asciiTheme="minorHAnsi" w:hAnsiTheme="minorHAnsi" w:cstheme="minorHAnsi"/>
          <w:iCs/>
          <w:szCs w:val="24"/>
        </w:rPr>
      </w:pPr>
      <w:r w:rsidRPr="00021F01">
        <w:rPr>
          <w:rFonts w:asciiTheme="minorHAnsi" w:hAnsiTheme="minorHAnsi" w:cstheme="minorHAnsi"/>
          <w:b/>
          <w:bCs/>
          <w:iCs/>
          <w:szCs w:val="24"/>
        </w:rPr>
        <w:t>Specialist</w:t>
      </w:r>
      <w:r w:rsidRPr="00021F01">
        <w:rPr>
          <w:rFonts w:asciiTheme="minorHAnsi" w:hAnsiTheme="minorHAnsi" w:cstheme="minorHAnsi"/>
          <w:iCs/>
          <w:szCs w:val="24"/>
        </w:rPr>
        <w:t xml:space="preserve"> – means a person who is employed by CHS or CPHB in the classification of Specialist as set out in the </w:t>
      </w:r>
      <w:r w:rsidR="00FE737A">
        <w:rPr>
          <w:rFonts w:asciiTheme="minorHAnsi" w:hAnsiTheme="minorHAnsi" w:cstheme="minorHAnsi"/>
          <w:iCs/>
          <w:szCs w:val="24"/>
        </w:rPr>
        <w:t>ACT Public Services Medical Practitioners Enterprise Agreement</w:t>
      </w:r>
      <w:r w:rsidRPr="00021F01">
        <w:rPr>
          <w:rFonts w:asciiTheme="minorHAnsi" w:hAnsiTheme="minorHAnsi" w:cstheme="minorHAnsi"/>
          <w:iCs/>
          <w:szCs w:val="24"/>
        </w:rPr>
        <w:t xml:space="preserve">. </w:t>
      </w:r>
    </w:p>
    <w:p w14:paraId="1A323FDE" w14:textId="77777777" w:rsidR="0064764D" w:rsidRPr="00021F01" w:rsidRDefault="0064764D" w:rsidP="0064764D">
      <w:pPr>
        <w:rPr>
          <w:rFonts w:asciiTheme="minorHAnsi" w:hAnsiTheme="minorHAnsi" w:cstheme="minorHAnsi"/>
          <w:iCs/>
          <w:szCs w:val="24"/>
        </w:rPr>
      </w:pPr>
    </w:p>
    <w:p w14:paraId="14C8DC53" w14:textId="77777777" w:rsidR="0064764D" w:rsidRPr="00021F01" w:rsidRDefault="0064764D" w:rsidP="0064764D">
      <w:pPr>
        <w:rPr>
          <w:rFonts w:asciiTheme="minorHAnsi" w:hAnsiTheme="minorHAnsi" w:cstheme="minorHAnsi"/>
          <w:iCs/>
          <w:szCs w:val="24"/>
        </w:rPr>
      </w:pPr>
      <w:proofErr w:type="gramStart"/>
      <w:r w:rsidRPr="00021F01">
        <w:rPr>
          <w:rFonts w:asciiTheme="minorHAnsi" w:hAnsiTheme="minorHAnsi" w:cstheme="minorHAnsi"/>
          <w:b/>
          <w:bCs/>
          <w:iCs/>
          <w:szCs w:val="24"/>
        </w:rPr>
        <w:t xml:space="preserve">Standard </w:t>
      </w:r>
      <w:r w:rsidRPr="00021F01">
        <w:rPr>
          <w:rFonts w:asciiTheme="minorHAnsi" w:hAnsiTheme="minorHAnsi" w:cstheme="minorHAnsi"/>
          <w:iCs/>
          <w:szCs w:val="24"/>
        </w:rPr>
        <w:t xml:space="preserve"> –</w:t>
      </w:r>
      <w:proofErr w:type="gramEnd"/>
      <w:r w:rsidRPr="00021F01">
        <w:rPr>
          <w:rFonts w:asciiTheme="minorHAnsi" w:hAnsiTheme="minorHAnsi" w:cstheme="minorHAnsi"/>
          <w:iCs/>
          <w:szCs w:val="24"/>
        </w:rPr>
        <w:t xml:space="preserve"> unless otherwise specified </w:t>
      </w:r>
      <w:r w:rsidRPr="00021F01">
        <w:rPr>
          <w:iCs/>
        </w:rPr>
        <w:t>means the Australian Council for Safety and Quality in Health Care, Standard for Credentialling and Defining the Scope of Clinical Practice, published in July 2004.</w:t>
      </w:r>
    </w:p>
    <w:p w14:paraId="78B92A39" w14:textId="77777777" w:rsidR="0064764D" w:rsidRPr="00021F01" w:rsidRDefault="0064764D" w:rsidP="0064764D">
      <w:pPr>
        <w:rPr>
          <w:rFonts w:asciiTheme="minorHAnsi" w:hAnsiTheme="minorHAnsi" w:cstheme="minorHAnsi"/>
          <w:iCs/>
          <w:szCs w:val="24"/>
        </w:rPr>
      </w:pPr>
    </w:p>
    <w:p w14:paraId="7295D73F" w14:textId="77777777" w:rsidR="0064764D" w:rsidRPr="00021F01" w:rsidRDefault="0064764D" w:rsidP="0064764D">
      <w:pPr>
        <w:rPr>
          <w:rFonts w:asciiTheme="minorHAnsi" w:hAnsiTheme="minorHAnsi" w:cstheme="minorHAnsi"/>
          <w:iCs/>
          <w:szCs w:val="24"/>
        </w:rPr>
      </w:pPr>
      <w:r w:rsidRPr="00021F01">
        <w:rPr>
          <w:rFonts w:asciiTheme="minorHAnsi" w:hAnsiTheme="minorHAnsi" w:cstheme="minorHAnsi"/>
          <w:b/>
          <w:bCs/>
          <w:iCs/>
          <w:szCs w:val="24"/>
        </w:rPr>
        <w:t xml:space="preserve">Visiting Medical Officer (VMO) </w:t>
      </w:r>
      <w:r w:rsidRPr="00021F01">
        <w:rPr>
          <w:rFonts w:asciiTheme="minorHAnsi" w:hAnsiTheme="minorHAnsi" w:cstheme="minorHAnsi"/>
          <w:iCs/>
          <w:szCs w:val="24"/>
        </w:rPr>
        <w:t xml:space="preserve">– VMO means a person who is engaged under a service contract as a Visiting Medical Officer (VMO) as defined in the </w:t>
      </w:r>
      <w:proofErr w:type="gramStart"/>
      <w:r w:rsidRPr="00021F01">
        <w:rPr>
          <w:rFonts w:asciiTheme="minorHAnsi" w:hAnsiTheme="minorHAnsi" w:cstheme="minorHAnsi"/>
          <w:iCs/>
          <w:szCs w:val="24"/>
        </w:rPr>
        <w:t>Health</w:t>
      </w:r>
      <w:proofErr w:type="gramEnd"/>
      <w:r w:rsidRPr="00021F01">
        <w:rPr>
          <w:rFonts w:asciiTheme="minorHAnsi" w:hAnsiTheme="minorHAnsi" w:cstheme="minorHAnsi"/>
          <w:iCs/>
          <w:szCs w:val="24"/>
        </w:rPr>
        <w:t xml:space="preserve"> ACT 1993. </w:t>
      </w:r>
    </w:p>
    <w:p w14:paraId="796F868B" w14:textId="77777777" w:rsidR="0064764D" w:rsidRPr="00021F01" w:rsidRDefault="0064764D" w:rsidP="0064764D">
      <w:pPr>
        <w:rPr>
          <w:rFonts w:asciiTheme="minorHAnsi" w:hAnsiTheme="minorHAnsi" w:cstheme="minorHAnsi"/>
          <w:iCs/>
          <w:szCs w:val="24"/>
        </w:rPr>
      </w:pPr>
    </w:p>
    <w:p w14:paraId="468969AC" w14:textId="62673945" w:rsidR="0064764D" w:rsidRPr="00021F01" w:rsidRDefault="0064764D" w:rsidP="0064764D">
      <w:pPr>
        <w:rPr>
          <w:rFonts w:cs="Arial"/>
          <w:iCs/>
          <w:szCs w:val="24"/>
        </w:rPr>
      </w:pPr>
      <w:r w:rsidRPr="00021F01">
        <w:rPr>
          <w:rFonts w:cs="Arial"/>
          <w:b/>
          <w:bCs/>
          <w:iCs/>
          <w:szCs w:val="24"/>
        </w:rPr>
        <w:t>The agreement</w:t>
      </w:r>
      <w:r w:rsidRPr="00021F01">
        <w:rPr>
          <w:rFonts w:cs="Arial"/>
          <w:iCs/>
          <w:szCs w:val="24"/>
        </w:rPr>
        <w:t xml:space="preserve"> – Refers to the ACT Public Sector Medical Practitioners Enterprise Agreement.</w:t>
      </w:r>
    </w:p>
    <w:p w14:paraId="2F51A8DA" w14:textId="77777777" w:rsidR="00FF56DD" w:rsidRDefault="00FF56DD" w:rsidP="00FF56DD">
      <w:pPr>
        <w:rPr>
          <w:rFonts w:cs="Arial"/>
          <w:szCs w:val="24"/>
        </w:rPr>
      </w:pPr>
    </w:p>
    <w:p w14:paraId="2F51A8DB" w14:textId="77777777" w:rsidR="00FF56DD" w:rsidRDefault="008D3EF6"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30" w:name="_Toc389473290"/>
            <w:bookmarkStart w:id="31" w:name="_Toc136595092"/>
            <w:r>
              <w:t>Search Terms</w:t>
            </w:r>
            <w:bookmarkEnd w:id="30"/>
            <w:bookmarkEnd w:id="31"/>
            <w:r>
              <w:t xml:space="preserve"> </w:t>
            </w:r>
          </w:p>
        </w:tc>
      </w:tr>
    </w:tbl>
    <w:p w14:paraId="2F51A8DE" w14:textId="77777777" w:rsidR="007B6904" w:rsidRDefault="007B6904" w:rsidP="007B6904">
      <w:pPr>
        <w:rPr>
          <w:rFonts w:cs="Calibri,Bold"/>
          <w:bCs/>
          <w:i/>
          <w:szCs w:val="24"/>
          <w:lang w:eastAsia="en-AU"/>
        </w:rPr>
      </w:pPr>
    </w:p>
    <w:p w14:paraId="575FE11E" w14:textId="77777777" w:rsidR="0064764D" w:rsidRPr="00C8106F" w:rsidRDefault="0064764D" w:rsidP="0064764D">
      <w:pPr>
        <w:rPr>
          <w:rFonts w:cs="Calibri,Bold"/>
          <w:bCs/>
          <w:szCs w:val="24"/>
          <w:lang w:eastAsia="en-AU"/>
        </w:rPr>
      </w:pPr>
      <w:r>
        <w:rPr>
          <w:rFonts w:cs="Calibri,Bold"/>
          <w:bCs/>
          <w:szCs w:val="24"/>
          <w:lang w:eastAsia="en-AU"/>
        </w:rPr>
        <w:t>Clinical competence, Complaints about doctors and dentists, Complaints, Concerns about doctors and dentists</w:t>
      </w:r>
    </w:p>
    <w:p w14:paraId="2F51A8E1" w14:textId="77777777" w:rsidR="005F3214" w:rsidRPr="00AC7025" w:rsidRDefault="008D3EF6" w:rsidP="00AC7025">
      <w:pPr>
        <w:jc w:val="right"/>
        <w:rPr>
          <w:rFonts w:cs="Calibri,Bold"/>
          <w:bCs/>
          <w:i/>
          <w:szCs w:val="24"/>
          <w:lang w:eastAsia="en-AU"/>
        </w:rPr>
      </w:pPr>
      <w:hyperlink w:anchor="Contents" w:history="1">
        <w:r w:rsidR="007B6904" w:rsidRPr="00590902">
          <w:rPr>
            <w:rStyle w:val="Hyperlink"/>
            <w:rFonts w:cs="Arial"/>
            <w:i/>
            <w:szCs w:val="24"/>
          </w:rPr>
          <w:t>Back to Table of Contents</w:t>
        </w:r>
      </w:hyperlink>
      <w:bookmarkStart w:id="32"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2405CF" w:rsidRPr="000F1F60" w14:paraId="2F51A8E3" w14:textId="77777777" w:rsidTr="0074223E">
        <w:trPr>
          <w:cantSplit/>
          <w:trHeight w:val="285"/>
        </w:trPr>
        <w:tc>
          <w:tcPr>
            <w:tcW w:w="9158" w:type="dxa"/>
            <w:shd w:val="clear" w:color="auto" w:fill="A6A6A6" w:themeFill="background1" w:themeFillShade="A6"/>
          </w:tcPr>
          <w:p w14:paraId="2F51A8E2" w14:textId="77777777" w:rsidR="002405CF" w:rsidRPr="000F1F60" w:rsidRDefault="002405CF" w:rsidP="00CC5D11">
            <w:pPr>
              <w:pStyle w:val="Heading1"/>
            </w:pPr>
            <w:bookmarkStart w:id="33" w:name="_Toc136595093"/>
            <w:r>
              <w:t>Attachments</w:t>
            </w:r>
            <w:bookmarkEnd w:id="33"/>
          </w:p>
        </w:tc>
      </w:tr>
      <w:bookmarkEnd w:id="32"/>
    </w:tbl>
    <w:p w14:paraId="2F51A8E4" w14:textId="77777777" w:rsidR="00DE4E25" w:rsidRDefault="00DE4E25" w:rsidP="007B6904">
      <w:pPr>
        <w:rPr>
          <w:rFonts w:cs="Arial"/>
          <w:i/>
          <w:szCs w:val="24"/>
        </w:rPr>
      </w:pPr>
    </w:p>
    <w:p w14:paraId="6777077D" w14:textId="77777777" w:rsidR="0064764D" w:rsidRPr="00C8106F" w:rsidRDefault="0064764D" w:rsidP="0064764D">
      <w:pPr>
        <w:rPr>
          <w:rFonts w:eastAsiaTheme="minorEastAsia"/>
          <w:b/>
          <w:bCs/>
        </w:rPr>
      </w:pPr>
      <w:r>
        <w:rPr>
          <w:rFonts w:cs="Calibri,Bold"/>
          <w:bCs/>
          <w:szCs w:val="24"/>
          <w:lang w:eastAsia="en-AU"/>
        </w:rPr>
        <w:t xml:space="preserve">Attachment 1: </w:t>
      </w:r>
      <w:r w:rsidRPr="00046585">
        <w:rPr>
          <w:rFonts w:eastAsiaTheme="minorEastAsia"/>
        </w:rPr>
        <w:t>Clinical Competency Pathway Process Flow Chart</w:t>
      </w:r>
    </w:p>
    <w:p w14:paraId="2F51A8E6" w14:textId="77777777" w:rsidR="00FF56DD" w:rsidRDefault="00FF56DD" w:rsidP="007B6904">
      <w:pPr>
        <w:rPr>
          <w:rFonts w:cs="Arial"/>
          <w:szCs w:val="24"/>
        </w:rPr>
      </w:pPr>
    </w:p>
    <w:p w14:paraId="741BB234" w14:textId="77777777" w:rsidR="00ED46C3" w:rsidRPr="008202D3" w:rsidRDefault="00ED46C3" w:rsidP="00ED46C3">
      <w:pPr>
        <w:rPr>
          <w:rFonts w:cs="Arial"/>
          <w:i/>
          <w:iCs/>
          <w:sz w:val="20"/>
        </w:rPr>
      </w:pPr>
      <w:r w:rsidRPr="008202D3">
        <w:rPr>
          <w:rFonts w:cs="Arial"/>
          <w:b/>
          <w:sz w:val="20"/>
        </w:rPr>
        <w:t>Disclaimer</w:t>
      </w:r>
      <w:r w:rsidRPr="008202D3">
        <w:rPr>
          <w:rFonts w:cs="Arial"/>
          <w:sz w:val="20"/>
        </w:rPr>
        <w:t xml:space="preserve">: </w:t>
      </w:r>
      <w:r w:rsidRPr="008202D3">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8202D3">
        <w:rPr>
          <w:rFonts w:cs="Arial"/>
          <w:i/>
          <w:iCs/>
          <w:sz w:val="20"/>
        </w:rPr>
        <w:t xml:space="preserve"> assumes no responsibility whatsoever.</w:t>
      </w:r>
    </w:p>
    <w:p w14:paraId="6590710B" w14:textId="77777777" w:rsidR="00ED46C3" w:rsidRPr="008202D3" w:rsidRDefault="00ED46C3" w:rsidP="00ED46C3">
      <w:pPr>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1699"/>
        <w:gridCol w:w="2831"/>
        <w:gridCol w:w="2265"/>
      </w:tblGrid>
      <w:tr w:rsidR="00ED46C3" w:rsidRPr="008202D3" w14:paraId="3D8FB228" w14:textId="77777777" w:rsidTr="00C67EAD">
        <w:tc>
          <w:tcPr>
            <w:tcW w:w="2265" w:type="dxa"/>
          </w:tcPr>
          <w:p w14:paraId="4CC3BE7E" w14:textId="77777777" w:rsidR="00ED46C3" w:rsidRPr="008202D3" w:rsidRDefault="00ED46C3" w:rsidP="008119A9">
            <w:pPr>
              <w:rPr>
                <w:i/>
                <w:sz w:val="20"/>
              </w:rPr>
            </w:pPr>
            <w:r w:rsidRPr="008202D3">
              <w:rPr>
                <w:i/>
                <w:sz w:val="20"/>
              </w:rPr>
              <w:lastRenderedPageBreak/>
              <w:t>Date Amended</w:t>
            </w:r>
          </w:p>
        </w:tc>
        <w:tc>
          <w:tcPr>
            <w:tcW w:w="1699" w:type="dxa"/>
          </w:tcPr>
          <w:p w14:paraId="0C6FC403" w14:textId="77777777" w:rsidR="00ED46C3" w:rsidRPr="008202D3" w:rsidRDefault="00ED46C3" w:rsidP="008119A9">
            <w:pPr>
              <w:rPr>
                <w:i/>
                <w:sz w:val="20"/>
              </w:rPr>
            </w:pPr>
            <w:r w:rsidRPr="008202D3">
              <w:rPr>
                <w:i/>
                <w:sz w:val="20"/>
              </w:rPr>
              <w:t>Section Amended</w:t>
            </w:r>
          </w:p>
        </w:tc>
        <w:tc>
          <w:tcPr>
            <w:tcW w:w="2831" w:type="dxa"/>
          </w:tcPr>
          <w:p w14:paraId="36BF7192" w14:textId="77777777" w:rsidR="00ED46C3" w:rsidRPr="008202D3" w:rsidRDefault="00ED46C3" w:rsidP="008119A9">
            <w:pPr>
              <w:rPr>
                <w:i/>
                <w:sz w:val="20"/>
              </w:rPr>
            </w:pPr>
            <w:r w:rsidRPr="008202D3">
              <w:rPr>
                <w:i/>
                <w:sz w:val="20"/>
              </w:rPr>
              <w:t>Divisional Approval</w:t>
            </w:r>
          </w:p>
        </w:tc>
        <w:tc>
          <w:tcPr>
            <w:tcW w:w="2265" w:type="dxa"/>
          </w:tcPr>
          <w:p w14:paraId="6974B6A4" w14:textId="77777777" w:rsidR="00ED46C3" w:rsidRPr="008202D3" w:rsidRDefault="00ED46C3" w:rsidP="008119A9">
            <w:pPr>
              <w:rPr>
                <w:i/>
                <w:sz w:val="20"/>
              </w:rPr>
            </w:pPr>
            <w:r w:rsidRPr="008202D3">
              <w:rPr>
                <w:i/>
                <w:sz w:val="20"/>
              </w:rPr>
              <w:t xml:space="preserve">Final Approval </w:t>
            </w:r>
          </w:p>
        </w:tc>
      </w:tr>
      <w:tr w:rsidR="00ED46C3" w:rsidRPr="008202D3" w14:paraId="69E49990" w14:textId="77777777" w:rsidTr="00C67EAD">
        <w:tc>
          <w:tcPr>
            <w:tcW w:w="2265" w:type="dxa"/>
          </w:tcPr>
          <w:p w14:paraId="4CB276AE" w14:textId="7F028D2E" w:rsidR="00ED46C3" w:rsidRPr="008202D3" w:rsidRDefault="00C67EAD" w:rsidP="008119A9">
            <w:pPr>
              <w:rPr>
                <w:i/>
                <w:sz w:val="20"/>
              </w:rPr>
            </w:pPr>
            <w:r>
              <w:rPr>
                <w:i/>
                <w:sz w:val="20"/>
              </w:rPr>
              <w:t>10/08/2023</w:t>
            </w:r>
          </w:p>
        </w:tc>
        <w:tc>
          <w:tcPr>
            <w:tcW w:w="1699" w:type="dxa"/>
          </w:tcPr>
          <w:p w14:paraId="757FDC5B" w14:textId="2DD6CAD9" w:rsidR="00ED46C3" w:rsidRPr="008202D3" w:rsidRDefault="00C67EAD" w:rsidP="008119A9">
            <w:pPr>
              <w:rPr>
                <w:i/>
                <w:sz w:val="20"/>
              </w:rPr>
            </w:pPr>
            <w:r>
              <w:rPr>
                <w:i/>
                <w:sz w:val="20"/>
              </w:rPr>
              <w:t>Complete review</w:t>
            </w:r>
          </w:p>
        </w:tc>
        <w:tc>
          <w:tcPr>
            <w:tcW w:w="2831" w:type="dxa"/>
          </w:tcPr>
          <w:p w14:paraId="45358585" w14:textId="6C73E2BA" w:rsidR="00ED46C3" w:rsidRPr="008202D3" w:rsidRDefault="00C67EAD" w:rsidP="008119A9">
            <w:pPr>
              <w:rPr>
                <w:i/>
                <w:sz w:val="20"/>
              </w:rPr>
            </w:pPr>
            <w:r>
              <w:rPr>
                <w:i/>
                <w:sz w:val="20"/>
              </w:rPr>
              <w:t>Kathryn Daveson, A/g ED of Medical Services Group</w:t>
            </w:r>
          </w:p>
        </w:tc>
        <w:tc>
          <w:tcPr>
            <w:tcW w:w="2265" w:type="dxa"/>
          </w:tcPr>
          <w:p w14:paraId="31501FE6" w14:textId="3F323C0B" w:rsidR="00ED46C3" w:rsidRPr="008202D3" w:rsidRDefault="00C67EAD" w:rsidP="008119A9">
            <w:pPr>
              <w:rPr>
                <w:i/>
                <w:sz w:val="20"/>
              </w:rPr>
            </w:pPr>
            <w:r>
              <w:rPr>
                <w:i/>
                <w:sz w:val="20"/>
              </w:rPr>
              <w:t>CHS Policy Committee</w:t>
            </w:r>
          </w:p>
        </w:tc>
      </w:tr>
      <w:tr w:rsidR="00ED46C3" w:rsidRPr="008202D3" w14:paraId="4B9C0359" w14:textId="77777777" w:rsidTr="00C67EAD">
        <w:tc>
          <w:tcPr>
            <w:tcW w:w="2265" w:type="dxa"/>
          </w:tcPr>
          <w:p w14:paraId="01E40F72" w14:textId="77777777" w:rsidR="00ED46C3" w:rsidRPr="008202D3" w:rsidRDefault="00ED46C3" w:rsidP="008119A9">
            <w:pPr>
              <w:rPr>
                <w:i/>
                <w:sz w:val="20"/>
              </w:rPr>
            </w:pPr>
          </w:p>
        </w:tc>
        <w:tc>
          <w:tcPr>
            <w:tcW w:w="1699" w:type="dxa"/>
          </w:tcPr>
          <w:p w14:paraId="25312BA2" w14:textId="77777777" w:rsidR="00ED46C3" w:rsidRPr="008202D3" w:rsidRDefault="00ED46C3" w:rsidP="008119A9">
            <w:pPr>
              <w:rPr>
                <w:i/>
                <w:sz w:val="20"/>
              </w:rPr>
            </w:pPr>
          </w:p>
        </w:tc>
        <w:tc>
          <w:tcPr>
            <w:tcW w:w="2831" w:type="dxa"/>
          </w:tcPr>
          <w:p w14:paraId="6A63A790" w14:textId="77777777" w:rsidR="00ED46C3" w:rsidRPr="008202D3" w:rsidRDefault="00ED46C3" w:rsidP="008119A9">
            <w:pPr>
              <w:rPr>
                <w:i/>
                <w:sz w:val="20"/>
              </w:rPr>
            </w:pPr>
          </w:p>
        </w:tc>
        <w:tc>
          <w:tcPr>
            <w:tcW w:w="2265" w:type="dxa"/>
          </w:tcPr>
          <w:p w14:paraId="0C203B9F" w14:textId="77777777" w:rsidR="00ED46C3" w:rsidRPr="008202D3" w:rsidRDefault="00ED46C3" w:rsidP="008119A9">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8119A9">
        <w:tc>
          <w:tcPr>
            <w:tcW w:w="2122" w:type="dxa"/>
          </w:tcPr>
          <w:p w14:paraId="3A0A8647" w14:textId="77777777" w:rsidR="00ED46C3" w:rsidRPr="008202D3" w:rsidRDefault="00ED46C3" w:rsidP="008119A9">
            <w:pPr>
              <w:rPr>
                <w:i/>
                <w:sz w:val="20"/>
              </w:rPr>
            </w:pPr>
            <w:r w:rsidRPr="008202D3">
              <w:rPr>
                <w:i/>
                <w:sz w:val="20"/>
              </w:rPr>
              <w:t>Document Number</w:t>
            </w:r>
          </w:p>
        </w:tc>
        <w:tc>
          <w:tcPr>
            <w:tcW w:w="6938" w:type="dxa"/>
          </w:tcPr>
          <w:p w14:paraId="40CE1B13" w14:textId="77777777" w:rsidR="00ED46C3" w:rsidRPr="008202D3" w:rsidRDefault="00ED46C3" w:rsidP="008119A9">
            <w:pPr>
              <w:rPr>
                <w:i/>
                <w:sz w:val="20"/>
              </w:rPr>
            </w:pPr>
            <w:r w:rsidRPr="008202D3">
              <w:rPr>
                <w:i/>
                <w:sz w:val="20"/>
              </w:rPr>
              <w:t>Document Name</w:t>
            </w:r>
          </w:p>
        </w:tc>
      </w:tr>
      <w:tr w:rsidR="00ED46C3" w:rsidRPr="008202D3" w14:paraId="389A2F7C" w14:textId="77777777" w:rsidTr="008119A9">
        <w:tc>
          <w:tcPr>
            <w:tcW w:w="2122" w:type="dxa"/>
          </w:tcPr>
          <w:p w14:paraId="72FFFF3B" w14:textId="3CCE2FB0" w:rsidR="00ED46C3" w:rsidRPr="008D3EF6" w:rsidRDefault="00C67EAD" w:rsidP="008119A9">
            <w:pPr>
              <w:rPr>
                <w:i/>
                <w:sz w:val="20"/>
              </w:rPr>
            </w:pPr>
            <w:r w:rsidRPr="008D3EF6">
              <w:rPr>
                <w:i/>
                <w:sz w:val="20"/>
              </w:rPr>
              <w:t>CHHS18/102</w:t>
            </w:r>
          </w:p>
        </w:tc>
        <w:tc>
          <w:tcPr>
            <w:tcW w:w="6938" w:type="dxa"/>
          </w:tcPr>
          <w:p w14:paraId="61EF68F3" w14:textId="598E227E" w:rsidR="00ED46C3" w:rsidRPr="008D3EF6" w:rsidRDefault="00C67EAD" w:rsidP="008119A9">
            <w:pPr>
              <w:rPr>
                <w:i/>
                <w:sz w:val="20"/>
              </w:rPr>
            </w:pPr>
            <w:r w:rsidRPr="008D3EF6">
              <w:rPr>
                <w:i/>
                <w:sz w:val="20"/>
              </w:rPr>
              <w:t>Reviewing the Clinical Competence of a doctor or dentist following the receipt of a complaint or concern</w:t>
            </w:r>
          </w:p>
        </w:tc>
      </w:tr>
      <w:tr w:rsidR="00ED46C3" w:rsidRPr="008202D3" w14:paraId="4414C7E4" w14:textId="77777777" w:rsidTr="008119A9">
        <w:tc>
          <w:tcPr>
            <w:tcW w:w="2122" w:type="dxa"/>
          </w:tcPr>
          <w:p w14:paraId="0E1C6F88" w14:textId="77777777" w:rsidR="00ED46C3" w:rsidRPr="008202D3" w:rsidRDefault="00ED46C3" w:rsidP="008119A9">
            <w:pPr>
              <w:rPr>
                <w:i/>
                <w:sz w:val="20"/>
              </w:rPr>
            </w:pPr>
          </w:p>
        </w:tc>
        <w:tc>
          <w:tcPr>
            <w:tcW w:w="6938" w:type="dxa"/>
          </w:tcPr>
          <w:p w14:paraId="73EF72D2" w14:textId="77777777" w:rsidR="00ED46C3" w:rsidRPr="008202D3" w:rsidRDefault="00ED46C3" w:rsidP="008119A9">
            <w:pPr>
              <w:rPr>
                <w:i/>
                <w:sz w:val="20"/>
              </w:rPr>
            </w:pPr>
          </w:p>
        </w:tc>
      </w:tr>
    </w:tbl>
    <w:p w14:paraId="486F0C95" w14:textId="6BFD20C8" w:rsidR="005E21E2" w:rsidRPr="005E21E2" w:rsidRDefault="005E21E2" w:rsidP="005E21E2">
      <w:pPr>
        <w:rPr>
          <w:rFonts w:cs="Arial"/>
          <w:szCs w:val="24"/>
        </w:rPr>
        <w:sectPr w:rsidR="005E21E2" w:rsidRPr="005E21E2" w:rsidSect="0064764D">
          <w:headerReference w:type="default" r:id="rId13"/>
          <w:footerReference w:type="default" r:id="rId14"/>
          <w:pgSz w:w="11906" w:h="16838" w:code="9"/>
          <w:pgMar w:top="663" w:right="1418" w:bottom="1440" w:left="1418" w:header="357" w:footer="306" w:gutter="0"/>
          <w:cols w:space="708"/>
          <w:docGrid w:linePitch="360"/>
        </w:sectPr>
      </w:pPr>
    </w:p>
    <w:p w14:paraId="6E117C0C" w14:textId="5D2B9735" w:rsidR="0064764D" w:rsidRPr="001D4312" w:rsidRDefault="001D4312" w:rsidP="007B6904">
      <w:pPr>
        <w:rPr>
          <w:rFonts w:cs="Arial"/>
          <w:b/>
          <w:bCs/>
          <w:szCs w:val="24"/>
        </w:rPr>
      </w:pPr>
      <w:r>
        <w:rPr>
          <w:rFonts w:cs="Arial"/>
          <w:b/>
          <w:bCs/>
          <w:szCs w:val="24"/>
        </w:rPr>
        <w:lastRenderedPageBreak/>
        <w:t xml:space="preserve">Attachment 1 Clinical Competency Pathway </w:t>
      </w:r>
      <w:r w:rsidR="00484D2A">
        <w:rPr>
          <w:rFonts w:cs="Arial"/>
          <w:b/>
          <w:bCs/>
          <w:szCs w:val="24"/>
        </w:rPr>
        <w:t>Process Flow Chart</w:t>
      </w:r>
    </w:p>
    <w:p w14:paraId="090AEFAF" w14:textId="528820A8" w:rsidR="0064764D" w:rsidRDefault="00484D2A" w:rsidP="001D4312">
      <w:pPr>
        <w:rPr>
          <w:rFonts w:cs="Arial"/>
          <w:szCs w:val="24"/>
        </w:rPr>
      </w:pPr>
      <w:r>
        <w:object w:dxaOrig="15796" w:dyaOrig="11521" w14:anchorId="286BF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25pt;height:353.35pt" o:ole="">
            <v:imagedata r:id="rId15" o:title=""/>
          </v:shape>
          <o:OLEObject Type="Embed" ProgID="Visio.Drawing.15" ShapeID="_x0000_i1025" DrawAspect="Content" ObjectID="_1753178020" r:id="rId16"/>
        </w:object>
      </w:r>
    </w:p>
    <w:sectPr w:rsidR="0064764D" w:rsidSect="0064764D">
      <w:pgSz w:w="16838" w:h="11906" w:orient="landscape"/>
      <w:pgMar w:top="1418" w:right="663" w:bottom="1418" w:left="1440"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9A23" w14:textId="77777777" w:rsidR="00E90708" w:rsidRDefault="00E90708" w:rsidP="00F66CB0">
      <w:r>
        <w:separator/>
      </w:r>
    </w:p>
  </w:endnote>
  <w:endnote w:type="continuationSeparator" w:id="0">
    <w:p w14:paraId="3E8A2D59" w14:textId="77777777" w:rsidR="00E90708" w:rsidRDefault="00E90708" w:rsidP="00F66CB0">
      <w:r>
        <w:continuationSeparator/>
      </w:r>
    </w:p>
  </w:endnote>
  <w:endnote w:type="continuationNotice" w:id="1">
    <w:p w14:paraId="4AB8B67D" w14:textId="77777777" w:rsidR="00220F7E" w:rsidRDefault="00220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E90708" w:rsidRPr="00AE7C5C" w14:paraId="2F51A914" w14:textId="77777777" w:rsidTr="005E1140">
      <w:tc>
        <w:tcPr>
          <w:tcW w:w="1515" w:type="dxa"/>
        </w:tcPr>
        <w:p w14:paraId="2F51A90E" w14:textId="77777777" w:rsidR="00E90708" w:rsidRPr="00B3752F" w:rsidRDefault="00E90708" w:rsidP="004213C3">
          <w:pPr>
            <w:pStyle w:val="Footer"/>
            <w:rPr>
              <w:rFonts w:cs="Arial"/>
              <w:b/>
              <w:bCs/>
              <w:i/>
              <w:sz w:val="20"/>
            </w:rPr>
          </w:pPr>
          <w:r w:rsidRPr="00B3752F">
            <w:rPr>
              <w:rFonts w:cs="Arial"/>
              <w:b/>
              <w:bCs/>
              <w:i/>
              <w:sz w:val="20"/>
            </w:rPr>
            <w:t>Doc Number</w:t>
          </w:r>
        </w:p>
      </w:tc>
      <w:tc>
        <w:tcPr>
          <w:tcW w:w="965" w:type="dxa"/>
        </w:tcPr>
        <w:p w14:paraId="2F51A90F" w14:textId="77777777" w:rsidR="00E90708" w:rsidRPr="00B3752F" w:rsidRDefault="00E90708" w:rsidP="004213C3">
          <w:pPr>
            <w:pStyle w:val="Footer"/>
            <w:rPr>
              <w:rFonts w:cs="Arial"/>
              <w:b/>
              <w:bCs/>
              <w:i/>
              <w:sz w:val="20"/>
            </w:rPr>
          </w:pPr>
          <w:r w:rsidRPr="00B3752F">
            <w:rPr>
              <w:rFonts w:cs="Arial"/>
              <w:b/>
              <w:bCs/>
              <w:i/>
              <w:sz w:val="20"/>
            </w:rPr>
            <w:t>Version</w:t>
          </w:r>
        </w:p>
      </w:tc>
      <w:tc>
        <w:tcPr>
          <w:tcW w:w="1552" w:type="dxa"/>
        </w:tcPr>
        <w:p w14:paraId="2F51A910" w14:textId="77777777" w:rsidR="00E90708" w:rsidRPr="00B3752F" w:rsidRDefault="00E90708" w:rsidP="004213C3">
          <w:pPr>
            <w:pStyle w:val="Footer"/>
            <w:rPr>
              <w:rFonts w:cs="Arial"/>
              <w:b/>
              <w:bCs/>
              <w:i/>
              <w:sz w:val="20"/>
            </w:rPr>
          </w:pPr>
          <w:r w:rsidRPr="00B3752F">
            <w:rPr>
              <w:rFonts w:cs="Arial"/>
              <w:b/>
              <w:bCs/>
              <w:i/>
              <w:sz w:val="20"/>
            </w:rPr>
            <w:t>Issued</w:t>
          </w:r>
        </w:p>
      </w:tc>
      <w:tc>
        <w:tcPr>
          <w:tcW w:w="1456" w:type="dxa"/>
        </w:tcPr>
        <w:p w14:paraId="2F51A911" w14:textId="77777777" w:rsidR="00E90708" w:rsidRPr="00B3752F" w:rsidRDefault="00E90708" w:rsidP="004213C3">
          <w:pPr>
            <w:pStyle w:val="Footer"/>
            <w:rPr>
              <w:rFonts w:cs="Arial"/>
              <w:b/>
              <w:bCs/>
              <w:i/>
              <w:sz w:val="20"/>
            </w:rPr>
          </w:pPr>
          <w:r w:rsidRPr="00B3752F">
            <w:rPr>
              <w:rFonts w:cs="Arial"/>
              <w:b/>
              <w:bCs/>
              <w:i/>
              <w:sz w:val="20"/>
            </w:rPr>
            <w:t>Review Date</w:t>
          </w:r>
        </w:p>
      </w:tc>
      <w:tc>
        <w:tcPr>
          <w:tcW w:w="1746" w:type="dxa"/>
        </w:tcPr>
        <w:p w14:paraId="2F51A912" w14:textId="77777777" w:rsidR="00E90708" w:rsidRPr="00B3752F" w:rsidRDefault="00E90708" w:rsidP="004213C3">
          <w:pPr>
            <w:pStyle w:val="Footer"/>
            <w:rPr>
              <w:rFonts w:cs="Arial"/>
              <w:b/>
              <w:bCs/>
              <w:i/>
              <w:sz w:val="20"/>
            </w:rPr>
          </w:pPr>
          <w:r w:rsidRPr="00B3752F">
            <w:rPr>
              <w:rFonts w:cs="Arial"/>
              <w:b/>
              <w:bCs/>
              <w:i/>
              <w:sz w:val="20"/>
            </w:rPr>
            <w:t>Area Responsible</w:t>
          </w:r>
        </w:p>
      </w:tc>
      <w:tc>
        <w:tcPr>
          <w:tcW w:w="1836" w:type="dxa"/>
        </w:tcPr>
        <w:p w14:paraId="2F51A913" w14:textId="77777777" w:rsidR="00E90708" w:rsidRPr="00B3752F" w:rsidRDefault="00E90708" w:rsidP="004213C3">
          <w:pPr>
            <w:pStyle w:val="Footer"/>
            <w:rPr>
              <w:rFonts w:cs="Arial"/>
              <w:b/>
              <w:bCs/>
              <w:i/>
              <w:sz w:val="20"/>
            </w:rPr>
          </w:pPr>
          <w:r w:rsidRPr="00B3752F">
            <w:rPr>
              <w:rFonts w:cs="Arial"/>
              <w:b/>
              <w:bCs/>
              <w:i/>
              <w:sz w:val="20"/>
            </w:rPr>
            <w:t>Page</w:t>
          </w:r>
        </w:p>
      </w:tc>
    </w:tr>
    <w:tr w:rsidR="00E90708" w14:paraId="2F51A91B" w14:textId="77777777" w:rsidTr="005E1140">
      <w:tc>
        <w:tcPr>
          <w:tcW w:w="1515" w:type="dxa"/>
        </w:tcPr>
        <w:p w14:paraId="2F51A915" w14:textId="49CC0E39" w:rsidR="00E90708" w:rsidRPr="00542EE6" w:rsidRDefault="00C67EAD" w:rsidP="004213C3">
          <w:pPr>
            <w:pStyle w:val="Footer"/>
            <w:rPr>
              <w:rFonts w:cs="Arial"/>
              <w:b/>
              <w:bCs/>
              <w:sz w:val="20"/>
            </w:rPr>
          </w:pPr>
          <w:r>
            <w:rPr>
              <w:b/>
              <w:bCs/>
              <w:sz w:val="20"/>
            </w:rPr>
            <w:t>CHS23/234</w:t>
          </w:r>
        </w:p>
      </w:tc>
      <w:tc>
        <w:tcPr>
          <w:tcW w:w="965" w:type="dxa"/>
        </w:tcPr>
        <w:p w14:paraId="2F51A916" w14:textId="25E4FA35" w:rsidR="00E90708" w:rsidRPr="00B3752F" w:rsidRDefault="00C67EAD" w:rsidP="004213C3">
          <w:pPr>
            <w:pStyle w:val="Footer"/>
            <w:rPr>
              <w:rFonts w:cs="Arial"/>
              <w:b/>
              <w:bCs/>
              <w:sz w:val="20"/>
            </w:rPr>
          </w:pPr>
          <w:r>
            <w:rPr>
              <w:rFonts w:cs="Arial"/>
              <w:b/>
              <w:bCs/>
              <w:sz w:val="20"/>
            </w:rPr>
            <w:t>1</w:t>
          </w:r>
        </w:p>
      </w:tc>
      <w:tc>
        <w:tcPr>
          <w:tcW w:w="1552" w:type="dxa"/>
        </w:tcPr>
        <w:p w14:paraId="2F51A917" w14:textId="73BBF55F" w:rsidR="00E90708" w:rsidRPr="00B3752F" w:rsidRDefault="00C67EAD" w:rsidP="004213C3">
          <w:pPr>
            <w:pStyle w:val="Footer"/>
            <w:rPr>
              <w:rFonts w:cs="Arial"/>
              <w:b/>
              <w:bCs/>
              <w:sz w:val="20"/>
            </w:rPr>
          </w:pPr>
          <w:r>
            <w:rPr>
              <w:rFonts w:cs="Arial"/>
              <w:b/>
              <w:bCs/>
              <w:sz w:val="20"/>
            </w:rPr>
            <w:t>10/08/2023</w:t>
          </w:r>
        </w:p>
      </w:tc>
      <w:tc>
        <w:tcPr>
          <w:tcW w:w="1456" w:type="dxa"/>
        </w:tcPr>
        <w:p w14:paraId="2F51A918" w14:textId="5A0AFF65" w:rsidR="00E90708" w:rsidRPr="00B3752F" w:rsidRDefault="00C67EAD" w:rsidP="004213C3">
          <w:pPr>
            <w:pStyle w:val="Footer"/>
            <w:rPr>
              <w:rFonts w:cs="Arial"/>
              <w:b/>
              <w:bCs/>
              <w:sz w:val="20"/>
            </w:rPr>
          </w:pPr>
          <w:r>
            <w:rPr>
              <w:b/>
              <w:sz w:val="22"/>
              <w:szCs w:val="22"/>
            </w:rPr>
            <w:t>01/07/2026</w:t>
          </w:r>
        </w:p>
      </w:tc>
      <w:tc>
        <w:tcPr>
          <w:tcW w:w="1746" w:type="dxa"/>
        </w:tcPr>
        <w:p w14:paraId="2F51A919" w14:textId="7E20D47B" w:rsidR="00E90708" w:rsidRPr="00B3752F" w:rsidRDefault="00C67EAD" w:rsidP="004213C3">
          <w:pPr>
            <w:pStyle w:val="Footer"/>
            <w:rPr>
              <w:rFonts w:cs="Arial"/>
              <w:b/>
              <w:bCs/>
              <w:sz w:val="20"/>
            </w:rPr>
          </w:pPr>
          <w:r>
            <w:rPr>
              <w:rFonts w:cs="Arial"/>
              <w:b/>
              <w:bCs/>
              <w:sz w:val="20"/>
            </w:rPr>
            <w:t>Medical Services Group - MOSCETU</w:t>
          </w:r>
        </w:p>
      </w:tc>
      <w:tc>
        <w:tcPr>
          <w:tcW w:w="1836" w:type="dxa"/>
        </w:tcPr>
        <w:p w14:paraId="2F51A91A" w14:textId="77777777" w:rsidR="00E90708" w:rsidRPr="00B3752F" w:rsidRDefault="007B7628" w:rsidP="004213C3">
          <w:pPr>
            <w:pStyle w:val="Footer"/>
            <w:rPr>
              <w:sz w:val="20"/>
            </w:rPr>
          </w:pPr>
          <w:r w:rsidRPr="00B3752F">
            <w:rPr>
              <w:rStyle w:val="PageNumber"/>
              <w:sz w:val="20"/>
            </w:rPr>
            <w:fldChar w:fldCharType="begin"/>
          </w:r>
          <w:r w:rsidR="00E90708" w:rsidRPr="00B3752F">
            <w:rPr>
              <w:rStyle w:val="PageNumber"/>
              <w:sz w:val="20"/>
            </w:rPr>
            <w:instrText xml:space="preserve"> PAGE </w:instrText>
          </w:r>
          <w:r w:rsidRPr="00B3752F">
            <w:rPr>
              <w:rStyle w:val="PageNumber"/>
              <w:sz w:val="20"/>
            </w:rPr>
            <w:fldChar w:fldCharType="separate"/>
          </w:r>
          <w:r w:rsidR="00ED46C3">
            <w:rPr>
              <w:rStyle w:val="PageNumber"/>
              <w:noProof/>
              <w:sz w:val="20"/>
            </w:rPr>
            <w:t>6</w:t>
          </w:r>
          <w:r w:rsidRPr="00B3752F">
            <w:rPr>
              <w:rStyle w:val="PageNumber"/>
              <w:sz w:val="20"/>
            </w:rPr>
            <w:fldChar w:fldCharType="end"/>
          </w:r>
          <w:r w:rsidR="00E90708" w:rsidRPr="00B3752F">
            <w:rPr>
              <w:rStyle w:val="PageNumber"/>
              <w:sz w:val="20"/>
            </w:rPr>
            <w:t xml:space="preserve"> of </w:t>
          </w:r>
          <w:r w:rsidRPr="00B3752F">
            <w:rPr>
              <w:rStyle w:val="PageNumber"/>
              <w:sz w:val="20"/>
            </w:rPr>
            <w:fldChar w:fldCharType="begin"/>
          </w:r>
          <w:r w:rsidR="00E90708" w:rsidRPr="00B3752F">
            <w:rPr>
              <w:rStyle w:val="PageNumber"/>
              <w:sz w:val="20"/>
            </w:rPr>
            <w:instrText xml:space="preserve"> NUMPAGES </w:instrText>
          </w:r>
          <w:r w:rsidRPr="00B3752F">
            <w:rPr>
              <w:rStyle w:val="PageNumber"/>
              <w:sz w:val="20"/>
            </w:rPr>
            <w:fldChar w:fldCharType="separate"/>
          </w:r>
          <w:r w:rsidR="00ED46C3">
            <w:rPr>
              <w:rStyle w:val="PageNumber"/>
              <w:noProof/>
              <w:sz w:val="20"/>
            </w:rPr>
            <w:t>6</w:t>
          </w:r>
          <w:r w:rsidRPr="00B3752F">
            <w:rPr>
              <w:rStyle w:val="PageNumber"/>
              <w:sz w:val="20"/>
            </w:rPr>
            <w:fldChar w:fldCharType="end"/>
          </w:r>
        </w:p>
      </w:tc>
    </w:tr>
    <w:tr w:rsidR="005E1140" w14:paraId="668DA41F" w14:textId="77777777" w:rsidTr="008119A9">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5E1140" w:rsidRPr="002C1428" w:rsidRDefault="005E1140" w:rsidP="005E1140">
          <w:pPr>
            <w:pStyle w:val="Footer"/>
            <w:jc w:val="center"/>
            <w:rPr>
              <w:rStyle w:val="PageNumber"/>
              <w:sz w:val="16"/>
              <w:szCs w:val="16"/>
            </w:rPr>
          </w:pPr>
          <w:r w:rsidRPr="002C1428">
            <w:rPr>
              <w:sz w:val="16"/>
              <w:szCs w:val="16"/>
            </w:rPr>
            <w:t xml:space="preserve">Do not refer to a </w:t>
          </w:r>
          <w:proofErr w:type="gramStart"/>
          <w:r w:rsidRPr="002C1428">
            <w:rPr>
              <w:sz w:val="16"/>
              <w:szCs w:val="16"/>
            </w:rPr>
            <w:t>paper based</w:t>
          </w:r>
          <w:proofErr w:type="gramEnd"/>
          <w:r w:rsidRPr="002C1428">
            <w:rPr>
              <w:sz w:val="16"/>
              <w:szCs w:val="16"/>
            </w:rPr>
            <w:t xml:space="preserve">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366924">
            <w:rPr>
              <w:sz w:val="16"/>
              <w:szCs w:val="16"/>
            </w:rPr>
            <w:t>CHS</w:t>
          </w:r>
          <w:r w:rsidRPr="002C1428">
            <w:rPr>
              <w:sz w:val="16"/>
              <w:szCs w:val="16"/>
            </w:rPr>
            <w:t xml:space="preserve"> Policy Register</w:t>
          </w:r>
        </w:p>
      </w:tc>
    </w:tr>
  </w:tbl>
  <w:p w14:paraId="2F51A91D" w14:textId="77777777" w:rsidR="00E90708" w:rsidRPr="00AE7C5C" w:rsidRDefault="00E90708"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6012" w14:textId="77777777" w:rsidR="00E90708" w:rsidRDefault="00E90708" w:rsidP="00F66CB0">
      <w:r>
        <w:separator/>
      </w:r>
    </w:p>
  </w:footnote>
  <w:footnote w:type="continuationSeparator" w:id="0">
    <w:p w14:paraId="34EBDA38" w14:textId="77777777" w:rsidR="00E90708" w:rsidRDefault="00E90708" w:rsidP="00F66CB0">
      <w:r>
        <w:continuationSeparator/>
      </w:r>
    </w:p>
  </w:footnote>
  <w:footnote w:type="continuationNotice" w:id="1">
    <w:p w14:paraId="2C5E8CAC" w14:textId="77777777" w:rsidR="00220F7E" w:rsidRDefault="00220F7E"/>
  </w:footnote>
  <w:footnote w:id="2">
    <w:p w14:paraId="184E44A7" w14:textId="77777777" w:rsidR="006614EA" w:rsidRDefault="006614EA" w:rsidP="006614EA">
      <w:pPr>
        <w:pStyle w:val="FootnoteText"/>
      </w:pPr>
      <w:r>
        <w:rPr>
          <w:rStyle w:val="FootnoteReference"/>
        </w:rPr>
        <w:footnoteRef/>
      </w:r>
      <w:r>
        <w:t xml:space="preserve"> See Definition of Terms for relevant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3730"/>
    </w:tblGrid>
    <w:tr w:rsidR="00E90708" w14:paraId="2F51A90C" w14:textId="77777777" w:rsidTr="0074223E">
      <w:trPr>
        <w:trHeight w:val="1418"/>
      </w:trPr>
      <w:tc>
        <w:tcPr>
          <w:tcW w:w="5556" w:type="dxa"/>
          <w:vAlign w:val="center"/>
          <w:hideMark/>
        </w:tcPr>
        <w:p w14:paraId="2F51A90A" w14:textId="5F72D3B6" w:rsidR="00E90708" w:rsidRDefault="00200D04" w:rsidP="0074223E">
          <w:pPr>
            <w:pStyle w:val="Header"/>
            <w:rPr>
              <w:sz w:val="20"/>
            </w:rPr>
          </w:pPr>
          <w:r>
            <w:rPr>
              <w:noProof/>
              <w:sz w:val="20"/>
            </w:rPr>
            <w:drawing>
              <wp:inline distT="0" distB="0" distL="0" distR="0" wp14:anchorId="5330CC0D" wp14:editId="1210EDE2">
                <wp:extent cx="3295650" cy="723900"/>
                <wp:effectExtent l="0" t="0" r="0" b="0"/>
                <wp:docPr id="1" name="Picture 1"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1F62B7E9" w:rsidR="00E90708" w:rsidRDefault="00C67EAD">
          <w:pPr>
            <w:pStyle w:val="Header"/>
            <w:tabs>
              <w:tab w:val="left" w:pos="720"/>
            </w:tabs>
            <w:jc w:val="right"/>
            <w:rPr>
              <w:sz w:val="20"/>
            </w:rPr>
          </w:pPr>
          <w:bookmarkStart w:id="34" w:name="_top"/>
          <w:bookmarkEnd w:id="34"/>
          <w:r>
            <w:rPr>
              <w:sz w:val="20"/>
            </w:rPr>
            <w:t>CHS23/234</w:t>
          </w:r>
        </w:p>
      </w:tc>
    </w:tr>
  </w:tbl>
  <w:p w14:paraId="2F51A90D" w14:textId="77777777" w:rsidR="00E90708" w:rsidRPr="00FC3538" w:rsidRDefault="00E9070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E6BD60"/>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2342134"/>
    <w:multiLevelType w:val="hybridMultilevel"/>
    <w:tmpl w:val="F55C8A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112F70C3"/>
    <w:multiLevelType w:val="hybridMultilevel"/>
    <w:tmpl w:val="7B668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37ECF"/>
    <w:multiLevelType w:val="hybridMultilevel"/>
    <w:tmpl w:val="217634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63234E9"/>
    <w:multiLevelType w:val="hybridMultilevel"/>
    <w:tmpl w:val="2EC23B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59447D"/>
    <w:multiLevelType w:val="hybridMultilevel"/>
    <w:tmpl w:val="5ED8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305E9"/>
    <w:multiLevelType w:val="hybridMultilevel"/>
    <w:tmpl w:val="F80E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5D6320"/>
    <w:multiLevelType w:val="hybridMultilevel"/>
    <w:tmpl w:val="02A24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3" w15:restartNumberingAfterBreak="0">
    <w:nsid w:val="51707484"/>
    <w:multiLevelType w:val="hybridMultilevel"/>
    <w:tmpl w:val="6D2CC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54315"/>
    <w:multiLevelType w:val="hybridMultilevel"/>
    <w:tmpl w:val="7610C1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F8074F9"/>
    <w:multiLevelType w:val="hybridMultilevel"/>
    <w:tmpl w:val="5E5C6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D01934"/>
    <w:multiLevelType w:val="hybridMultilevel"/>
    <w:tmpl w:val="43C6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A419BD"/>
    <w:multiLevelType w:val="hybridMultilevel"/>
    <w:tmpl w:val="3D601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37006"/>
    <w:multiLevelType w:val="hybridMultilevel"/>
    <w:tmpl w:val="E690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6A53CB"/>
    <w:multiLevelType w:val="hybridMultilevel"/>
    <w:tmpl w:val="B5C4BB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34529597">
    <w:abstractNumId w:val="0"/>
  </w:num>
  <w:num w:numId="2" w16cid:durableId="1875270774">
    <w:abstractNumId w:val="2"/>
  </w:num>
  <w:num w:numId="3" w16cid:durableId="779446760">
    <w:abstractNumId w:val="18"/>
  </w:num>
  <w:num w:numId="4" w16cid:durableId="1120143576">
    <w:abstractNumId w:val="4"/>
  </w:num>
  <w:num w:numId="5" w16cid:durableId="873007871">
    <w:abstractNumId w:val="7"/>
  </w:num>
  <w:num w:numId="6" w16cid:durableId="1104574322">
    <w:abstractNumId w:val="20"/>
  </w:num>
  <w:num w:numId="7" w16cid:durableId="59522634">
    <w:abstractNumId w:val="12"/>
  </w:num>
  <w:num w:numId="8" w16cid:durableId="1538352598">
    <w:abstractNumId w:val="0"/>
  </w:num>
  <w:num w:numId="9" w16cid:durableId="974287245">
    <w:abstractNumId w:val="0"/>
  </w:num>
  <w:num w:numId="10" w16cid:durableId="1675297708">
    <w:abstractNumId w:val="10"/>
  </w:num>
  <w:num w:numId="11" w16cid:durableId="1104962897">
    <w:abstractNumId w:val="1"/>
  </w:num>
  <w:num w:numId="12" w16cid:durableId="1859812501">
    <w:abstractNumId w:val="6"/>
  </w:num>
  <w:num w:numId="13" w16cid:durableId="212426929">
    <w:abstractNumId w:val="3"/>
  </w:num>
  <w:num w:numId="14" w16cid:durableId="863709995">
    <w:abstractNumId w:val="16"/>
  </w:num>
  <w:num w:numId="15" w16cid:durableId="1199663102">
    <w:abstractNumId w:val="9"/>
  </w:num>
  <w:num w:numId="16" w16cid:durableId="1415783274">
    <w:abstractNumId w:val="11"/>
  </w:num>
  <w:num w:numId="17" w16cid:durableId="1146774749">
    <w:abstractNumId w:val="17"/>
  </w:num>
  <w:num w:numId="18" w16cid:durableId="665859598">
    <w:abstractNumId w:val="8"/>
  </w:num>
  <w:num w:numId="19" w16cid:durableId="1711761032">
    <w:abstractNumId w:val="15"/>
  </w:num>
  <w:num w:numId="20" w16cid:durableId="317534293">
    <w:abstractNumId w:val="14"/>
  </w:num>
  <w:num w:numId="21" w16cid:durableId="938219508">
    <w:abstractNumId w:val="5"/>
  </w:num>
  <w:num w:numId="22" w16cid:durableId="1010526620">
    <w:abstractNumId w:val="13"/>
  </w:num>
  <w:num w:numId="23" w16cid:durableId="2989254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121C3"/>
    <w:rsid w:val="00015B90"/>
    <w:rsid w:val="00015D88"/>
    <w:rsid w:val="0001607A"/>
    <w:rsid w:val="00021F01"/>
    <w:rsid w:val="00091AC9"/>
    <w:rsid w:val="00095ECD"/>
    <w:rsid w:val="000A0387"/>
    <w:rsid w:val="000A7335"/>
    <w:rsid w:val="000B1620"/>
    <w:rsid w:val="000B5C8C"/>
    <w:rsid w:val="000B71ED"/>
    <w:rsid w:val="000C59E2"/>
    <w:rsid w:val="000C7B2D"/>
    <w:rsid w:val="000F7B7E"/>
    <w:rsid w:val="00103EEA"/>
    <w:rsid w:val="001115D7"/>
    <w:rsid w:val="0012219C"/>
    <w:rsid w:val="0016511C"/>
    <w:rsid w:val="00191109"/>
    <w:rsid w:val="00191235"/>
    <w:rsid w:val="001926F4"/>
    <w:rsid w:val="001A0053"/>
    <w:rsid w:val="001B1D14"/>
    <w:rsid w:val="001B2465"/>
    <w:rsid w:val="001B3435"/>
    <w:rsid w:val="001D4312"/>
    <w:rsid w:val="001E74CC"/>
    <w:rsid w:val="001F2A9B"/>
    <w:rsid w:val="001F6D2D"/>
    <w:rsid w:val="00200D04"/>
    <w:rsid w:val="00201FB6"/>
    <w:rsid w:val="00220F7E"/>
    <w:rsid w:val="002405CF"/>
    <w:rsid w:val="00240B97"/>
    <w:rsid w:val="0025382D"/>
    <w:rsid w:val="00263BA6"/>
    <w:rsid w:val="0027264D"/>
    <w:rsid w:val="00285D38"/>
    <w:rsid w:val="00293E43"/>
    <w:rsid w:val="002A0A6F"/>
    <w:rsid w:val="002B3E96"/>
    <w:rsid w:val="002B5F43"/>
    <w:rsid w:val="00313707"/>
    <w:rsid w:val="0032270B"/>
    <w:rsid w:val="00337E7C"/>
    <w:rsid w:val="00351CD9"/>
    <w:rsid w:val="00353CBB"/>
    <w:rsid w:val="0035466C"/>
    <w:rsid w:val="00366924"/>
    <w:rsid w:val="00376A6D"/>
    <w:rsid w:val="00380B98"/>
    <w:rsid w:val="00395E36"/>
    <w:rsid w:val="00396023"/>
    <w:rsid w:val="003C0DCA"/>
    <w:rsid w:val="003C204E"/>
    <w:rsid w:val="003C4BB5"/>
    <w:rsid w:val="003E4CC0"/>
    <w:rsid w:val="003E5406"/>
    <w:rsid w:val="003F3D8F"/>
    <w:rsid w:val="00410409"/>
    <w:rsid w:val="00412CED"/>
    <w:rsid w:val="00416751"/>
    <w:rsid w:val="00420F9E"/>
    <w:rsid w:val="004213C3"/>
    <w:rsid w:val="0042413C"/>
    <w:rsid w:val="00427139"/>
    <w:rsid w:val="00431A1C"/>
    <w:rsid w:val="004358E9"/>
    <w:rsid w:val="004451C8"/>
    <w:rsid w:val="0044634B"/>
    <w:rsid w:val="004537B3"/>
    <w:rsid w:val="00461544"/>
    <w:rsid w:val="004731A7"/>
    <w:rsid w:val="0048050C"/>
    <w:rsid w:val="00484D2A"/>
    <w:rsid w:val="00487DD5"/>
    <w:rsid w:val="004947A7"/>
    <w:rsid w:val="004A2E02"/>
    <w:rsid w:val="004B7C43"/>
    <w:rsid w:val="004C2B20"/>
    <w:rsid w:val="004D6932"/>
    <w:rsid w:val="004E28AD"/>
    <w:rsid w:val="004F0F49"/>
    <w:rsid w:val="004F1D05"/>
    <w:rsid w:val="004F2008"/>
    <w:rsid w:val="00505B5D"/>
    <w:rsid w:val="005067CA"/>
    <w:rsid w:val="00522E71"/>
    <w:rsid w:val="0052443C"/>
    <w:rsid w:val="0052775E"/>
    <w:rsid w:val="005416F0"/>
    <w:rsid w:val="00542514"/>
    <w:rsid w:val="00546AED"/>
    <w:rsid w:val="005512EF"/>
    <w:rsid w:val="005565CF"/>
    <w:rsid w:val="005621E4"/>
    <w:rsid w:val="00590902"/>
    <w:rsid w:val="00592A14"/>
    <w:rsid w:val="00596FD7"/>
    <w:rsid w:val="005A3625"/>
    <w:rsid w:val="005B4738"/>
    <w:rsid w:val="005C212D"/>
    <w:rsid w:val="005C3CB0"/>
    <w:rsid w:val="005E1140"/>
    <w:rsid w:val="005E21E2"/>
    <w:rsid w:val="005F3214"/>
    <w:rsid w:val="00612231"/>
    <w:rsid w:val="00612F94"/>
    <w:rsid w:val="0062312E"/>
    <w:rsid w:val="0063516E"/>
    <w:rsid w:val="00635EB1"/>
    <w:rsid w:val="006473BB"/>
    <w:rsid w:val="0064764D"/>
    <w:rsid w:val="006614EA"/>
    <w:rsid w:val="0066495D"/>
    <w:rsid w:val="00673E8D"/>
    <w:rsid w:val="00695EB6"/>
    <w:rsid w:val="006A3770"/>
    <w:rsid w:val="006A4D46"/>
    <w:rsid w:val="006A6024"/>
    <w:rsid w:val="006A6C25"/>
    <w:rsid w:val="006C31FF"/>
    <w:rsid w:val="006C6256"/>
    <w:rsid w:val="006C6B6C"/>
    <w:rsid w:val="006C704D"/>
    <w:rsid w:val="006D31A2"/>
    <w:rsid w:val="006D5CB5"/>
    <w:rsid w:val="0070331D"/>
    <w:rsid w:val="007052B1"/>
    <w:rsid w:val="00711BF4"/>
    <w:rsid w:val="00741B43"/>
    <w:rsid w:val="0074223E"/>
    <w:rsid w:val="007462AA"/>
    <w:rsid w:val="007543AC"/>
    <w:rsid w:val="00756537"/>
    <w:rsid w:val="00756A2B"/>
    <w:rsid w:val="0077615B"/>
    <w:rsid w:val="007A0EBC"/>
    <w:rsid w:val="007B27F1"/>
    <w:rsid w:val="007B4ABB"/>
    <w:rsid w:val="007B6904"/>
    <w:rsid w:val="007B7628"/>
    <w:rsid w:val="007C36E4"/>
    <w:rsid w:val="008119A9"/>
    <w:rsid w:val="00816782"/>
    <w:rsid w:val="0082141D"/>
    <w:rsid w:val="00827F24"/>
    <w:rsid w:val="00845445"/>
    <w:rsid w:val="00855DA8"/>
    <w:rsid w:val="00886399"/>
    <w:rsid w:val="008974CA"/>
    <w:rsid w:val="008C3E65"/>
    <w:rsid w:val="008D3EF6"/>
    <w:rsid w:val="008E1F7F"/>
    <w:rsid w:val="008F00E8"/>
    <w:rsid w:val="008F6B3C"/>
    <w:rsid w:val="00906142"/>
    <w:rsid w:val="00931B93"/>
    <w:rsid w:val="00933EED"/>
    <w:rsid w:val="00940CDE"/>
    <w:rsid w:val="00942CED"/>
    <w:rsid w:val="00951949"/>
    <w:rsid w:val="00962C46"/>
    <w:rsid w:val="00970B91"/>
    <w:rsid w:val="0097742A"/>
    <w:rsid w:val="0097744F"/>
    <w:rsid w:val="00980EED"/>
    <w:rsid w:val="00991670"/>
    <w:rsid w:val="009A2406"/>
    <w:rsid w:val="009B6C8C"/>
    <w:rsid w:val="009C0FCA"/>
    <w:rsid w:val="009C3963"/>
    <w:rsid w:val="009D323C"/>
    <w:rsid w:val="009E39B9"/>
    <w:rsid w:val="009E70F4"/>
    <w:rsid w:val="009F3A88"/>
    <w:rsid w:val="00A05A19"/>
    <w:rsid w:val="00A26B56"/>
    <w:rsid w:val="00A3014E"/>
    <w:rsid w:val="00A35E2D"/>
    <w:rsid w:val="00A54CB3"/>
    <w:rsid w:val="00A56CE5"/>
    <w:rsid w:val="00A705EA"/>
    <w:rsid w:val="00A74B8A"/>
    <w:rsid w:val="00A85F61"/>
    <w:rsid w:val="00A86DB3"/>
    <w:rsid w:val="00A92E4F"/>
    <w:rsid w:val="00AA25DC"/>
    <w:rsid w:val="00AB13EF"/>
    <w:rsid w:val="00AB50DD"/>
    <w:rsid w:val="00AC7025"/>
    <w:rsid w:val="00AD196F"/>
    <w:rsid w:val="00AD3CCE"/>
    <w:rsid w:val="00B07A46"/>
    <w:rsid w:val="00B07DCE"/>
    <w:rsid w:val="00B12123"/>
    <w:rsid w:val="00B21043"/>
    <w:rsid w:val="00B42EA0"/>
    <w:rsid w:val="00B44CAC"/>
    <w:rsid w:val="00B573D6"/>
    <w:rsid w:val="00B73E65"/>
    <w:rsid w:val="00B81455"/>
    <w:rsid w:val="00B9627F"/>
    <w:rsid w:val="00BA2415"/>
    <w:rsid w:val="00BA4DB2"/>
    <w:rsid w:val="00BA4F95"/>
    <w:rsid w:val="00BA5F1D"/>
    <w:rsid w:val="00BA5FE8"/>
    <w:rsid w:val="00BB33F9"/>
    <w:rsid w:val="00BC17B0"/>
    <w:rsid w:val="00BC3CE6"/>
    <w:rsid w:val="00BE544B"/>
    <w:rsid w:val="00BE5E41"/>
    <w:rsid w:val="00BF078E"/>
    <w:rsid w:val="00C24EDC"/>
    <w:rsid w:val="00C25A76"/>
    <w:rsid w:val="00C31EB3"/>
    <w:rsid w:val="00C32206"/>
    <w:rsid w:val="00C3559A"/>
    <w:rsid w:val="00C422C8"/>
    <w:rsid w:val="00C45C67"/>
    <w:rsid w:val="00C45E06"/>
    <w:rsid w:val="00C47091"/>
    <w:rsid w:val="00C523FF"/>
    <w:rsid w:val="00C5425C"/>
    <w:rsid w:val="00C658FE"/>
    <w:rsid w:val="00C67EAD"/>
    <w:rsid w:val="00C71C3C"/>
    <w:rsid w:val="00C76998"/>
    <w:rsid w:val="00C93E83"/>
    <w:rsid w:val="00CA593D"/>
    <w:rsid w:val="00CC5D11"/>
    <w:rsid w:val="00CD1505"/>
    <w:rsid w:val="00D01C1F"/>
    <w:rsid w:val="00D21780"/>
    <w:rsid w:val="00D23346"/>
    <w:rsid w:val="00D243B8"/>
    <w:rsid w:val="00D30867"/>
    <w:rsid w:val="00D34794"/>
    <w:rsid w:val="00D4502D"/>
    <w:rsid w:val="00D530CE"/>
    <w:rsid w:val="00D53E3C"/>
    <w:rsid w:val="00D77950"/>
    <w:rsid w:val="00DC3762"/>
    <w:rsid w:val="00DC5C47"/>
    <w:rsid w:val="00DD616A"/>
    <w:rsid w:val="00DE0465"/>
    <w:rsid w:val="00DE4E25"/>
    <w:rsid w:val="00DF1F75"/>
    <w:rsid w:val="00DF2060"/>
    <w:rsid w:val="00E049ED"/>
    <w:rsid w:val="00E071FE"/>
    <w:rsid w:val="00E34E6D"/>
    <w:rsid w:val="00E37CD4"/>
    <w:rsid w:val="00E45589"/>
    <w:rsid w:val="00E57848"/>
    <w:rsid w:val="00E73459"/>
    <w:rsid w:val="00E750BF"/>
    <w:rsid w:val="00E77B43"/>
    <w:rsid w:val="00E90708"/>
    <w:rsid w:val="00ED21C3"/>
    <w:rsid w:val="00ED388C"/>
    <w:rsid w:val="00ED46C3"/>
    <w:rsid w:val="00EE21F6"/>
    <w:rsid w:val="00EF02B0"/>
    <w:rsid w:val="00EF13A4"/>
    <w:rsid w:val="00F01B61"/>
    <w:rsid w:val="00F11338"/>
    <w:rsid w:val="00F13AE5"/>
    <w:rsid w:val="00F149FD"/>
    <w:rsid w:val="00F14EC1"/>
    <w:rsid w:val="00F4262F"/>
    <w:rsid w:val="00F53719"/>
    <w:rsid w:val="00F57291"/>
    <w:rsid w:val="00F66CB0"/>
    <w:rsid w:val="00F76C89"/>
    <w:rsid w:val="00F9158A"/>
    <w:rsid w:val="00FA29B8"/>
    <w:rsid w:val="00FA39F7"/>
    <w:rsid w:val="00FC7CBC"/>
    <w:rsid w:val="00FD3D92"/>
    <w:rsid w:val="00FE737A"/>
    <w:rsid w:val="00FF56DD"/>
    <w:rsid w:val="17239979"/>
    <w:rsid w:val="1CCCED57"/>
    <w:rsid w:val="242EF2F2"/>
    <w:rsid w:val="37648DFD"/>
    <w:rsid w:val="4684332B"/>
    <w:rsid w:val="5447F9F8"/>
    <w:rsid w:val="55918A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F51A84E"/>
  <w15:docId w15:val="{3E47D5B9-7D4B-46FE-BA74-B769AC45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BodyText3">
    <w:name w:val="Body Text 3"/>
    <w:basedOn w:val="Normal"/>
    <w:link w:val="BodyText3Char"/>
    <w:rsid w:val="00C658FE"/>
    <w:pPr>
      <w:spacing w:after="120"/>
    </w:pPr>
    <w:rPr>
      <w:rFonts w:ascii="Times New Roman" w:hAnsi="Times New Roman"/>
      <w:sz w:val="16"/>
      <w:szCs w:val="16"/>
      <w:lang w:eastAsia="en-AU"/>
    </w:rPr>
  </w:style>
  <w:style w:type="character" w:customStyle="1" w:styleId="BodyText3Char">
    <w:name w:val="Body Text 3 Char"/>
    <w:basedOn w:val="DefaultParagraphFont"/>
    <w:link w:val="BodyText3"/>
    <w:rsid w:val="00C658FE"/>
    <w:rPr>
      <w:rFonts w:ascii="Times New Roman" w:eastAsia="Times New Roman" w:hAnsi="Times New Roman" w:cs="Times New Roman"/>
      <w:sz w:val="16"/>
      <w:szCs w:val="16"/>
      <w:lang w:eastAsia="en-AU"/>
    </w:rPr>
  </w:style>
  <w:style w:type="paragraph" w:styleId="FootnoteText">
    <w:name w:val="footnote text"/>
    <w:basedOn w:val="Normal"/>
    <w:link w:val="FootnoteTextChar"/>
    <w:uiPriority w:val="99"/>
    <w:semiHidden/>
    <w:unhideWhenUsed/>
    <w:rsid w:val="006614EA"/>
    <w:rPr>
      <w:sz w:val="20"/>
    </w:rPr>
  </w:style>
  <w:style w:type="character" w:customStyle="1" w:styleId="FootnoteTextChar">
    <w:name w:val="Footnote Text Char"/>
    <w:basedOn w:val="DefaultParagraphFont"/>
    <w:link w:val="FootnoteText"/>
    <w:uiPriority w:val="99"/>
    <w:semiHidden/>
    <w:rsid w:val="006614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614EA"/>
    <w:rPr>
      <w:vertAlign w:val="superscript"/>
    </w:rPr>
  </w:style>
  <w:style w:type="paragraph" w:styleId="Revision">
    <w:name w:val="Revision"/>
    <w:hidden/>
    <w:uiPriority w:val="99"/>
    <w:semiHidden/>
    <w:rsid w:val="00BC17B0"/>
    <w:pPr>
      <w:spacing w:after="0" w:line="240" w:lineRule="auto"/>
    </w:pPr>
    <w:rPr>
      <w:rFonts w:ascii="Calibri" w:eastAsia="Times New Roman" w:hAnsi="Calibri" w:cs="Times New Roman"/>
      <w:sz w:val="24"/>
      <w:szCs w:val="20"/>
    </w:rPr>
  </w:style>
  <w:style w:type="character" w:styleId="UnresolvedMention">
    <w:name w:val="Unresolved Mention"/>
    <w:basedOn w:val="DefaultParagraphFont"/>
    <w:uiPriority w:val="99"/>
    <w:semiHidden/>
    <w:unhideWhenUsed/>
    <w:rsid w:val="00BE544B"/>
    <w:rPr>
      <w:color w:val="605E5C"/>
      <w:shd w:val="clear" w:color="auto" w:fill="E1DFDD"/>
    </w:rPr>
  </w:style>
  <w:style w:type="character" w:customStyle="1" w:styleId="cf01">
    <w:name w:val="cf01"/>
    <w:basedOn w:val="DefaultParagraphFont"/>
    <w:rsid w:val="008C3E65"/>
    <w:rPr>
      <w:rFonts w:ascii="Segoe UI" w:hAnsi="Segoe UI" w:cs="Segoe UI" w:hint="default"/>
      <w:sz w:val="18"/>
      <w:szCs w:val="18"/>
    </w:rPr>
  </w:style>
  <w:style w:type="character" w:customStyle="1" w:styleId="cf11">
    <w:name w:val="cf11"/>
    <w:basedOn w:val="DefaultParagraphFont"/>
    <w:rsid w:val="008C3E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5159">
      <w:bodyDiv w:val="1"/>
      <w:marLeft w:val="0"/>
      <w:marRight w:val="0"/>
      <w:marTop w:val="0"/>
      <w:marBottom w:val="0"/>
      <w:divBdr>
        <w:top w:val="none" w:sz="0" w:space="0" w:color="auto"/>
        <w:left w:val="none" w:sz="0" w:space="0" w:color="auto"/>
        <w:bottom w:val="none" w:sz="0" w:space="0" w:color="auto"/>
        <w:right w:val="none" w:sz="0" w:space="0" w:color="auto"/>
      </w:divBdr>
    </w:div>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483505310">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tgovernment.sharepoint.com/:w:/r/sites/Intranet-CHS/_layouts/15/Doc.aspx?sourcedoc=%7B2643D7C0-5E3E-44AC-8B80-2896FECE14EA%7D&amp;file=Dealing%20with%20misconduct.docx&amp;action=default&amp;mobileredirect=true&amp;DefaultItemOpen=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tedd.act.gov.au/employment-framework/workplace-behaviours/resolving-workplace-issues"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53" ma:contentTypeDescription="Create a new document." ma:contentTypeScope="" ma:versionID="ba5275a36f0a3cd1eabcae72882c8f5d">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d57d58b70ad4575884f83286fb72575b"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ISD_x0020_Submit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Physiotherapists"/>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Maternity"/>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North Canberra Hospital"/>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ISD_x0020_Submitted" ma:index="38" nillable="true" ma:displayName="ISD Submitted" ma:default="Yes" ma:format="Dropdown" ma:internalName="ISD_x0020_Submitted">
      <xsd:simpleType>
        <xsd:restriction base="dms:Choice">
          <xsd:enumeration value="Yes"/>
          <xsd:enumeration value="Not Required"/>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gress xmlns="690b2128-8961-48af-a473-22c34a9accba" xsi:nil="true"/>
    <Approval_x0020_Date xmlns="690b2128-8961-48af-a473-22c34a9accba">2023-06-25T14:00:00+00:00</Approval_x0020_Date>
    <Review_x0020_Date xmlns="690b2128-8961-48af-a473-22c34a9accba">2026-06-30T14:00:00+00:00</Review_x0020_Date>
    <TaxCatchAll xmlns="c0239a80-7f07-4ed7-82c3-24ad7d76ada5" xsi:nil="true"/>
    <Version_x0020_Number xmlns="690b2128-8961-48af-a473-22c34a9accba">1</Version_x0020_Number>
    <Notes0 xmlns="690b2128-8961-48af-a473-22c34a9accba" xsi:nil="true"/>
    <Key_x0020_Words xmlns="690b2128-8961-48af-a473-22c34a9accba">Clinical competence, Complaints about doctors and dentists, Complaints, Concerns about doctors and dentists</Key_x0020_Words>
    <Type_x0020_of_x0020_Document xmlns="690b2128-8961-48af-a473-22c34a9accba">Procedure</Type_x0020_of_x0020_Document>
    <Approval_x0020_Name_x007c_Committee xmlns="690b2128-8961-48af-a473-22c34a9accba">CHS Policy Committee</Approval_x0020_Name_x007c_Committee>
    <Status xmlns="690b2128-8961-48af-a473-22c34a9accba">Approved</Status>
    <New_x0020_Applies_x0020_To xmlns="690b2128-8961-48af-a473-22c34a9accba">Canberra Health Services</New_x0020_Applies_x0020_To>
    <Replaces_x003a_ xmlns="690b2128-8961-48af-a473-22c34a9accba">CHHS18/102 Reviewing the Clinical Competence of a doctor or dentist following the receipt of a complaint or concern</Replaces_x003a_>
    <Risk_x0020_Rating xmlns="690b2128-8961-48af-a473-22c34a9accba">High</Risk_x0020_Rating>
    <Description0 xmlns="690b2128-8961-48af-a473-22c34a9accba">Outlines changes in credentialing or scope of practice processes where concerns are raised about the clinical competence of a doctor or dentist.</Description0>
    <Display_x0020_on_x0020_Internet xmlns="690b2128-8961-48af-a473-22c34a9accba">true</Display_x0020_on_x0020_Internet>
    <Related_x0020_Documents xmlns="690b2128-8961-48af-a473-22c34a9accba" xsi:nil="true"/>
    <Decision_x0020_Number xmlns="690b2128-8961-48af-a473-22c34a9accba">CHS23/234</Decision_x0020_Number>
    <New_x0020_Owner xmlns="690b2128-8961-48af-a473-22c34a9accba">Medical Services Group - MOSCETU</New_x0020_Owner>
    <ISD_x0020_Submitted xmlns="690b2128-8961-48af-a473-22c34a9accba">Yes</ISD_x0020_Submit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5DC6F-AF55-44F0-A5AA-1397983CEDDB}"/>
</file>

<file path=customXml/itemProps2.xml><?xml version="1.0" encoding="utf-8"?>
<ds:datastoreItem xmlns:ds="http://schemas.openxmlformats.org/officeDocument/2006/customXml" ds:itemID="{297F58B0-E6BF-4237-9984-6DF2E01C04FA}">
  <ds:schemaRefs>
    <ds:schemaRef ds:uri="http://purl.org/dc/elements/1.1/"/>
    <ds:schemaRef ds:uri="http://schemas.microsoft.com/office/2006/documentManagement/types"/>
    <ds:schemaRef ds:uri="0c8e588b-9c83-49d3-a6c8-a54de8f95e6a"/>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9c2f0412-f90c-42c4-93a0-04fcb973abf1"/>
    <ds:schemaRef ds:uri="http://schemas.microsoft.com/office/2006/metadata/properties"/>
  </ds:schemaRefs>
</ds:datastoreItem>
</file>

<file path=customXml/itemProps3.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4.xml><?xml version="1.0" encoding="utf-8"?>
<ds:datastoreItem xmlns:ds="http://schemas.openxmlformats.org/officeDocument/2006/customXml" ds:itemID="{FC384310-5165-4CD1-972A-44FACC480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Clinical Scope of Practice of a Practitioner</dc:title>
  <dc:subject/>
  <dc:creator>Kerryn Hunter</dc:creator>
  <cp:keywords/>
  <cp:lastModifiedBy>Rusanov, Zoia (Health)</cp:lastModifiedBy>
  <cp:revision>4</cp:revision>
  <cp:lastPrinted>2023-06-26T23:06:00Z</cp:lastPrinted>
  <dcterms:created xsi:type="dcterms:W3CDTF">2023-08-10T02:46:00Z</dcterms:created>
  <dcterms:modified xsi:type="dcterms:W3CDTF">2023-08-10T03:07:00Z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Order">
    <vt:r8>4100</vt:r8>
  </property>
  <property fmtid="{D5CDD505-2E9C-101B-9397-08002B2CF9AE}" pid="4" name="_ExtendedDescription">
    <vt:lpwstr/>
  </property>
</Properties>
</file>