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Default="00A86A9D" w:rsidP="00A86A9D">
      <w:pPr>
        <w:rPr>
          <w:rFonts w:cs="Arial"/>
          <w:b/>
          <w:color w:val="000000"/>
          <w:sz w:val="44"/>
          <w:szCs w:val="44"/>
        </w:rPr>
      </w:pPr>
      <w:r w:rsidRPr="00C705C9">
        <w:rPr>
          <w:rFonts w:cs="Arial"/>
          <w:b/>
          <w:color w:val="000000"/>
          <w:sz w:val="44"/>
          <w:szCs w:val="44"/>
        </w:rPr>
        <w:t xml:space="preserve">Canberra Health Services </w:t>
      </w:r>
    </w:p>
    <w:p w14:paraId="5E4A8109" w14:textId="3EB17CDD" w:rsidR="00353A2B" w:rsidRPr="00C705C9" w:rsidRDefault="00353A2B" w:rsidP="00A86A9D">
      <w:pPr>
        <w:rPr>
          <w:rFonts w:cs="Arial"/>
          <w:b/>
          <w:color w:val="000000"/>
          <w:sz w:val="44"/>
          <w:szCs w:val="44"/>
        </w:rPr>
      </w:pPr>
      <w:r>
        <w:rPr>
          <w:rFonts w:cs="Arial"/>
          <w:b/>
          <w:color w:val="000000"/>
          <w:sz w:val="44"/>
          <w:szCs w:val="44"/>
        </w:rPr>
        <w:t>Guideline</w:t>
      </w:r>
    </w:p>
    <w:p w14:paraId="496B3975" w14:textId="4CF3E44E" w:rsidR="00BB2CA2" w:rsidRPr="00362267" w:rsidRDefault="00BB2CA2" w:rsidP="00BB2CA2">
      <w:pPr>
        <w:rPr>
          <w:rFonts w:cs="Arial"/>
          <w:b/>
          <w:sz w:val="36"/>
          <w:szCs w:val="36"/>
        </w:rPr>
      </w:pPr>
      <w:r>
        <w:rPr>
          <w:rFonts w:cs="Arial"/>
          <w:b/>
          <w:sz w:val="36"/>
          <w:szCs w:val="36"/>
        </w:rPr>
        <w:t>Paracetamol Overdose – Assessment and Management of Paediatric Patients</w:t>
      </w:r>
      <w:r w:rsidR="00353A2B">
        <w:rPr>
          <w:rFonts w:cs="Arial"/>
          <w:b/>
          <w:sz w:val="36"/>
          <w:szCs w:val="36"/>
        </w:rPr>
        <w:t xml:space="preserve"> - Canberra Hospital</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34EF8826" w14:textId="14EC51C4" w:rsidR="00136C70" w:rsidRPr="006344FB" w:rsidRDefault="00136C70" w:rsidP="005169EB">
      <w:pPr>
        <w:autoSpaceDE w:val="0"/>
        <w:autoSpaceDN w:val="0"/>
        <w:adjustRightInd w:val="0"/>
        <w:rPr>
          <w:rFonts w:asciiTheme="minorHAnsi" w:eastAsia="Calibri" w:hAnsiTheme="minorHAnsi" w:cs="FrutigerLT-Light"/>
          <w:szCs w:val="22"/>
          <w:lang w:eastAsia="en-AU"/>
        </w:rPr>
      </w:pPr>
      <w:r w:rsidRPr="006344FB">
        <w:rPr>
          <w:rFonts w:asciiTheme="minorHAnsi" w:eastAsia="Calibri" w:hAnsiTheme="minorHAnsi" w:cs="Arial"/>
          <w:szCs w:val="22"/>
          <w:lang w:eastAsia="en-AU"/>
        </w:rPr>
        <w:t xml:space="preserve">The </w:t>
      </w:r>
      <w:r>
        <w:rPr>
          <w:rFonts w:asciiTheme="minorHAnsi" w:eastAsia="Calibri" w:hAnsiTheme="minorHAnsi" w:cs="Arial"/>
          <w:iCs/>
          <w:szCs w:val="22"/>
          <w:lang w:eastAsia="en-AU"/>
        </w:rPr>
        <w:t>Paracetamol Overdose – Assessment and Management Practice Guideline</w:t>
      </w:r>
      <w:r w:rsidRPr="006344FB">
        <w:rPr>
          <w:rFonts w:asciiTheme="minorHAnsi" w:eastAsia="Calibri" w:hAnsiTheme="minorHAnsi" w:cs="Arial"/>
          <w:szCs w:val="22"/>
          <w:lang w:eastAsia="en-AU"/>
        </w:rPr>
        <w:t xml:space="preserve"> has been developed to provide direction to clinicians </w:t>
      </w:r>
      <w:r w:rsidR="00C42E35">
        <w:rPr>
          <w:rFonts w:asciiTheme="minorHAnsi" w:eastAsia="Calibri" w:hAnsiTheme="minorHAnsi" w:cs="Arial"/>
          <w:szCs w:val="22"/>
          <w:lang w:eastAsia="en-AU"/>
        </w:rPr>
        <w:t>for the management of paediatric patients presenting with a paracetamol overdose. The guideline aim</w:t>
      </w:r>
      <w:r w:rsidR="000B5458">
        <w:rPr>
          <w:rFonts w:asciiTheme="minorHAnsi" w:eastAsia="Calibri" w:hAnsiTheme="minorHAnsi" w:cs="Arial"/>
          <w:szCs w:val="22"/>
          <w:lang w:eastAsia="en-AU"/>
        </w:rPr>
        <w:t>s</w:t>
      </w:r>
      <w:r w:rsidR="00C42E35">
        <w:rPr>
          <w:rFonts w:asciiTheme="minorHAnsi" w:eastAsia="Calibri" w:hAnsiTheme="minorHAnsi" w:cs="Arial"/>
          <w:szCs w:val="22"/>
          <w:lang w:eastAsia="en-AU"/>
        </w:rPr>
        <w:t xml:space="preserve"> to achieve </w:t>
      </w:r>
      <w:r w:rsidRPr="006344FB">
        <w:rPr>
          <w:rFonts w:asciiTheme="minorHAnsi" w:eastAsia="Calibri" w:hAnsiTheme="minorHAnsi" w:cs="Arial"/>
          <w:szCs w:val="22"/>
          <w:lang w:eastAsia="en-AU"/>
        </w:rPr>
        <w:t xml:space="preserve">the best possible paediatric care. The practice guideline was prepared for the </w:t>
      </w:r>
      <w:r>
        <w:rPr>
          <w:rFonts w:asciiTheme="minorHAnsi" w:eastAsia="Calibri" w:hAnsiTheme="minorHAnsi" w:cs="Arial"/>
          <w:szCs w:val="22"/>
          <w:lang w:eastAsia="en-AU"/>
        </w:rPr>
        <w:t>Sydney Children’s Hospital Network</w:t>
      </w:r>
      <w:r w:rsidRPr="006344FB">
        <w:rPr>
          <w:rFonts w:asciiTheme="minorHAnsi" w:eastAsia="Calibri" w:hAnsiTheme="minorHAnsi" w:cs="Arial"/>
          <w:szCs w:val="22"/>
          <w:lang w:eastAsia="en-AU"/>
        </w:rPr>
        <w:t xml:space="preserve"> by an </w:t>
      </w:r>
      <w:r>
        <w:rPr>
          <w:rFonts w:asciiTheme="minorHAnsi" w:eastAsia="Calibri" w:hAnsiTheme="minorHAnsi" w:cs="Arial"/>
          <w:szCs w:val="22"/>
          <w:lang w:eastAsia="en-AU"/>
        </w:rPr>
        <w:t>expert clinical reference group.</w:t>
      </w:r>
    </w:p>
    <w:p w14:paraId="6446F969" w14:textId="77777777" w:rsidR="00136C70" w:rsidRDefault="00136C70" w:rsidP="005169EB">
      <w:pPr>
        <w:autoSpaceDE w:val="0"/>
        <w:autoSpaceDN w:val="0"/>
        <w:adjustRightInd w:val="0"/>
        <w:rPr>
          <w:rFonts w:asciiTheme="minorHAnsi" w:eastAsia="Calibri" w:hAnsiTheme="minorHAnsi" w:cs="FrutigerLT-Light"/>
          <w:szCs w:val="22"/>
          <w:lang w:eastAsia="en-AU"/>
        </w:rPr>
      </w:pPr>
    </w:p>
    <w:p w14:paraId="11DB28A9" w14:textId="04F45156" w:rsidR="00136C70" w:rsidRDefault="00136C70" w:rsidP="005169EB">
      <w:pPr>
        <w:autoSpaceDE w:val="0"/>
        <w:autoSpaceDN w:val="0"/>
        <w:adjustRightInd w:val="0"/>
        <w:rPr>
          <w:rFonts w:ascii="FrutigerLT-Light" w:eastAsia="Calibri" w:hAnsi="FrutigerLT-Light" w:cs="FrutigerLT-Light"/>
          <w:sz w:val="18"/>
          <w:szCs w:val="18"/>
          <w:lang w:eastAsia="en-AU"/>
        </w:rPr>
      </w:pPr>
      <w:r w:rsidRPr="006344FB">
        <w:rPr>
          <w:rFonts w:asciiTheme="minorHAnsi" w:eastAsia="Calibri" w:hAnsiTheme="minorHAnsi" w:cs="FrutigerLT-Light"/>
          <w:szCs w:val="22"/>
          <w:lang w:eastAsia="en-AU"/>
        </w:rPr>
        <w:t xml:space="preserve">It should be noted that this document reflects what is currently regarded as a safe and appropriate approach to care. However, as in any clinical situation there may be factors which cannot be covered </w:t>
      </w:r>
      <w:r>
        <w:rPr>
          <w:rFonts w:asciiTheme="minorHAnsi" w:eastAsia="Calibri" w:hAnsiTheme="minorHAnsi" w:cs="FrutigerLT-Light"/>
          <w:szCs w:val="22"/>
          <w:lang w:eastAsia="en-AU"/>
        </w:rPr>
        <w:t xml:space="preserve">by a single set of guidelines. </w:t>
      </w:r>
      <w:r w:rsidR="00353A2B">
        <w:rPr>
          <w:rFonts w:asciiTheme="minorHAnsi" w:eastAsia="Calibri" w:hAnsiTheme="minorHAnsi" w:cs="FrutigerLT-Light"/>
          <w:szCs w:val="22"/>
          <w:lang w:eastAsia="en-AU"/>
        </w:rPr>
        <w:t xml:space="preserve">Canberra </w:t>
      </w:r>
      <w:r w:rsidR="000B5458">
        <w:rPr>
          <w:rFonts w:asciiTheme="minorHAnsi" w:eastAsia="Calibri" w:hAnsiTheme="minorHAnsi" w:cs="FrutigerLT-Light"/>
          <w:szCs w:val="22"/>
          <w:lang w:eastAsia="en-AU"/>
        </w:rPr>
        <w:t>Hospital endorses</w:t>
      </w:r>
      <w:r w:rsidR="00AE1369">
        <w:rPr>
          <w:rFonts w:asciiTheme="minorHAnsi" w:eastAsia="Calibri" w:hAnsiTheme="minorHAnsi" w:cs="FrutigerLT-Light"/>
          <w:szCs w:val="22"/>
          <w:lang w:eastAsia="en-AU"/>
        </w:rPr>
        <w:t xml:space="preserve"> the use of this</w:t>
      </w:r>
      <w:r w:rsidRPr="006344FB">
        <w:rPr>
          <w:rFonts w:asciiTheme="minorHAnsi" w:eastAsia="Calibri" w:hAnsiTheme="minorHAnsi" w:cs="FrutigerLT-Light"/>
          <w:szCs w:val="22"/>
          <w:lang w:eastAsia="en-AU"/>
        </w:rPr>
        <w:t xml:space="preserve"> doc</w:t>
      </w:r>
      <w:r>
        <w:rPr>
          <w:rFonts w:asciiTheme="minorHAnsi" w:eastAsia="Calibri" w:hAnsiTheme="minorHAnsi" w:cs="FrutigerLT-Light"/>
          <w:szCs w:val="22"/>
          <w:lang w:eastAsia="en-AU"/>
        </w:rPr>
        <w:t>ument as a guide</w:t>
      </w:r>
      <w:r w:rsidR="000B5458">
        <w:rPr>
          <w:rFonts w:asciiTheme="minorHAnsi" w:eastAsia="Calibri" w:hAnsiTheme="minorHAnsi" w:cs="FrutigerLT-Light"/>
          <w:szCs w:val="22"/>
          <w:lang w:eastAsia="en-AU"/>
        </w:rPr>
        <w:t xml:space="preserve"> only. It </w:t>
      </w:r>
      <w:r w:rsidRPr="006344FB">
        <w:rPr>
          <w:rFonts w:asciiTheme="minorHAnsi" w:eastAsia="Calibri" w:hAnsiTheme="minorHAnsi" w:cs="FrutigerLT-Light"/>
          <w:szCs w:val="22"/>
          <w:lang w:eastAsia="en-AU"/>
        </w:rPr>
        <w:t>does not replace the need for the application of clinical judgment to each individual presentation</w:t>
      </w:r>
      <w:r w:rsidRPr="006344FB">
        <w:rPr>
          <w:rFonts w:ascii="FrutigerLT-Light" w:eastAsia="Calibri" w:hAnsi="FrutigerLT-Light" w:cs="FrutigerLT-Light"/>
          <w:sz w:val="18"/>
          <w:szCs w:val="18"/>
          <w:lang w:eastAsia="en-AU"/>
        </w:rPr>
        <w:t>.</w:t>
      </w:r>
    </w:p>
    <w:p w14:paraId="1FB38402" w14:textId="77777777" w:rsidR="00136C70" w:rsidRPr="00E260DD" w:rsidRDefault="00136C70" w:rsidP="005169EB">
      <w:pPr>
        <w:autoSpaceDE w:val="0"/>
        <w:autoSpaceDN w:val="0"/>
        <w:adjustRightInd w:val="0"/>
        <w:rPr>
          <w:rFonts w:asciiTheme="minorHAnsi" w:eastAsia="Calibri" w:hAnsiTheme="minorHAnsi" w:cs="Arial"/>
          <w:szCs w:val="22"/>
          <w:lang w:eastAsia="en-AU"/>
        </w:rPr>
      </w:pPr>
    </w:p>
    <w:p w14:paraId="48DCD5E5" w14:textId="0D7B7949" w:rsidR="00CE5CB9" w:rsidRPr="00E260DD" w:rsidRDefault="00353A2B" w:rsidP="00CE5CB9">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zCs w:val="22"/>
        </w:rPr>
      </w:pPr>
      <w:r w:rsidRPr="000B5458">
        <w:rPr>
          <w:rFonts w:asciiTheme="minorHAnsi" w:eastAsia="Calibri" w:hAnsiTheme="minorHAnsi" w:cs="Arial"/>
          <w:b/>
          <w:bCs/>
          <w:szCs w:val="22"/>
          <w:lang w:eastAsia="en-AU"/>
        </w:rPr>
        <w:t>Note</w:t>
      </w:r>
      <w:r>
        <w:rPr>
          <w:rFonts w:asciiTheme="minorHAnsi" w:eastAsia="Calibri" w:hAnsiTheme="minorHAnsi" w:cs="Arial"/>
          <w:b/>
          <w:bCs/>
          <w:szCs w:val="22"/>
          <w:lang w:eastAsia="en-AU"/>
        </w:rPr>
        <w:t xml:space="preserve">: </w:t>
      </w:r>
      <w:r w:rsidR="00136C70" w:rsidRPr="00E260DD">
        <w:rPr>
          <w:rFonts w:asciiTheme="minorHAnsi" w:eastAsia="Calibri" w:hAnsiTheme="minorHAnsi" w:cs="Arial"/>
          <w:szCs w:val="22"/>
          <w:lang w:eastAsia="en-AU"/>
        </w:rPr>
        <w:t xml:space="preserve">The hyperlinked document states that all cases of paracetamol overdose must be discussed with the NSW Poisons Information Centre (13 11 26) – </w:t>
      </w:r>
      <w:r w:rsidR="00136C70" w:rsidRPr="00E260DD">
        <w:rPr>
          <w:rFonts w:asciiTheme="minorHAnsi" w:hAnsiTheme="minorHAnsi"/>
          <w:szCs w:val="22"/>
        </w:rPr>
        <w:t xml:space="preserve">and it is suggested that all cases at </w:t>
      </w:r>
      <w:r w:rsidR="00F47629">
        <w:rPr>
          <w:rFonts w:asciiTheme="minorHAnsi" w:hAnsiTheme="minorHAnsi"/>
          <w:szCs w:val="22"/>
        </w:rPr>
        <w:t xml:space="preserve">Canberra Hospital </w:t>
      </w:r>
      <w:r w:rsidR="00136C70" w:rsidRPr="00E260DD">
        <w:rPr>
          <w:rFonts w:asciiTheme="minorHAnsi" w:hAnsiTheme="minorHAnsi"/>
          <w:szCs w:val="22"/>
        </w:rPr>
        <w:t xml:space="preserve">are discussed with them. However, it is accepted that </w:t>
      </w:r>
      <w:r w:rsidR="00136C70" w:rsidRPr="000B5458">
        <w:rPr>
          <w:rFonts w:asciiTheme="minorHAnsi" w:hAnsiTheme="minorHAnsi"/>
          <w:b/>
          <w:bCs/>
          <w:szCs w:val="22"/>
        </w:rPr>
        <w:t>senior</w:t>
      </w:r>
      <w:r w:rsidR="00136C70" w:rsidRPr="00E260DD">
        <w:rPr>
          <w:rFonts w:asciiTheme="minorHAnsi" w:hAnsiTheme="minorHAnsi"/>
          <w:szCs w:val="22"/>
        </w:rPr>
        <w:t xml:space="preserve"> medical officers may elect to implement the attached guideline without contacting Poisons information.</w:t>
      </w:r>
    </w:p>
    <w:p w14:paraId="47C962D1" w14:textId="77777777" w:rsidR="00136C70" w:rsidRDefault="00136C70" w:rsidP="005169EB">
      <w:pPr>
        <w:autoSpaceDE w:val="0"/>
        <w:autoSpaceDN w:val="0"/>
        <w:adjustRightInd w:val="0"/>
        <w:rPr>
          <w:rFonts w:asciiTheme="minorHAnsi" w:eastAsia="Calibri" w:hAnsiTheme="minorHAnsi" w:cs="Arial"/>
          <w:szCs w:val="22"/>
          <w:lang w:eastAsia="en-AU"/>
        </w:rPr>
      </w:pPr>
    </w:p>
    <w:p w14:paraId="0121DE76" w14:textId="2697953A" w:rsidR="00EC5A24" w:rsidRDefault="00EC5A24" w:rsidP="69153CD0">
      <w:pPr>
        <w:rPr>
          <w:sz w:val="22"/>
          <w:szCs w:val="22"/>
        </w:rPr>
      </w:pPr>
      <w:bookmarkStart w:id="0" w:name="_Hlk155272194"/>
      <w:r w:rsidRPr="000B5458">
        <w:rPr>
          <w:b/>
          <w:bCs/>
        </w:rPr>
        <w:t>Further notes</w:t>
      </w:r>
      <w:r>
        <w:t>: The product information for different brands of acetylcysteine vary in the inclusion of sodium chloride 0.9% as compatible fluid. Australian references include both glucose 5% and sodium chloride 0.9% as appropriate fluids for all brands of acetylcysteine (</w:t>
      </w:r>
      <w:r w:rsidR="00524500">
        <w:t>Australian Injectable Drugs Handbook, 9</w:t>
      </w:r>
      <w:r w:rsidR="00524500" w:rsidRPr="69153CD0">
        <w:rPr>
          <w:vertAlign w:val="superscript"/>
        </w:rPr>
        <w:t>th</w:t>
      </w:r>
      <w:r w:rsidR="00524500">
        <w:t xml:space="preserve"> Edition; Paediatric Injectable Guidelines – Online 2023)</w:t>
      </w:r>
      <w:r>
        <w:t>. Additionally, if clinically relevant</w:t>
      </w:r>
      <w:r w:rsidR="00353A2B">
        <w:t>,</w:t>
      </w:r>
      <w:r>
        <w:t xml:space="preserve"> acetylcysteine can be diluted in combination glucose-saline solutions not exceeding these concentrations including 0.45% saline in 5% glucose, and 0.9% saline in 5% glucose (R</w:t>
      </w:r>
      <w:r w:rsidR="00AE75B0">
        <w:t>oyal Children’s Hospital Melbourne, Paracetamol Poisoning Clinical Practice Guideline, February 2021)</w:t>
      </w:r>
      <w:r>
        <w:t xml:space="preserve">. The volume and choice of fluid for each stage of the infusion needs to be appropriate for the age and weight of the child and clinical circumstances. </w:t>
      </w:r>
    </w:p>
    <w:p w14:paraId="34BDB5E5" w14:textId="77777777" w:rsidR="00EC5A24" w:rsidRPr="00F37454" w:rsidDel="00C51275" w:rsidRDefault="00EC5A24" w:rsidP="00136C70">
      <w:pPr>
        <w:rPr>
          <w:rFonts w:asciiTheme="minorHAnsi" w:hAnsiTheme="minorHAnsi"/>
          <w:sz w:val="22"/>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bookmarkEnd w:id="0"/>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65194D56" w14:textId="637D6F2B" w:rsidR="00136C70" w:rsidRPr="00F33573" w:rsidRDefault="00136C70" w:rsidP="00136C70">
      <w:pPr>
        <w:rPr>
          <w:rFonts w:asciiTheme="minorHAnsi" w:eastAsia="Calibri" w:hAnsiTheme="minorHAnsi" w:cs="FrutigerLT-Light"/>
          <w:szCs w:val="22"/>
          <w:lang w:eastAsia="en-AU"/>
        </w:rPr>
      </w:pPr>
      <w:r w:rsidRPr="00F33573">
        <w:rPr>
          <w:rFonts w:asciiTheme="minorHAnsi" w:eastAsia="Calibri" w:hAnsiTheme="minorHAnsi" w:cs="FrutigerLT-Light"/>
          <w:szCs w:val="22"/>
          <w:lang w:eastAsia="en-AU"/>
        </w:rPr>
        <w:t>This document relates to the assessment and management of paediatric patients (i</w:t>
      </w:r>
      <w:r>
        <w:rPr>
          <w:rFonts w:asciiTheme="minorHAnsi" w:eastAsia="Calibri" w:hAnsiTheme="minorHAnsi" w:cs="FrutigerLT-Light"/>
          <w:szCs w:val="22"/>
          <w:lang w:eastAsia="en-AU"/>
        </w:rPr>
        <w:t>nfant, children</w:t>
      </w:r>
      <w:r w:rsidR="000B5458">
        <w:rPr>
          <w:rFonts w:asciiTheme="minorHAnsi" w:eastAsia="Calibri" w:hAnsiTheme="minorHAnsi" w:cs="FrutigerLT-Light"/>
          <w:szCs w:val="22"/>
          <w:lang w:eastAsia="en-AU"/>
        </w:rPr>
        <w:t>,</w:t>
      </w:r>
      <w:r>
        <w:rPr>
          <w:rFonts w:asciiTheme="minorHAnsi" w:eastAsia="Calibri" w:hAnsiTheme="minorHAnsi" w:cs="FrutigerLT-Light"/>
          <w:szCs w:val="22"/>
          <w:lang w:eastAsia="en-AU"/>
        </w:rPr>
        <w:t xml:space="preserve"> and adolescents)</w:t>
      </w:r>
      <w:r w:rsidRPr="00F33573">
        <w:rPr>
          <w:rFonts w:asciiTheme="minorHAnsi" w:eastAsia="Calibri" w:hAnsiTheme="minorHAnsi" w:cs="FrutigerLT-Light"/>
          <w:szCs w:val="22"/>
          <w:lang w:eastAsia="en-AU"/>
        </w:rPr>
        <w:t xml:space="preserve"> who have had a paracetamol overdose due to accidental or </w:t>
      </w:r>
      <w:r w:rsidRPr="00F33573">
        <w:rPr>
          <w:rFonts w:asciiTheme="minorHAnsi" w:eastAsia="Calibri" w:hAnsiTheme="minorHAnsi" w:cs="FrutigerLT-Light"/>
          <w:szCs w:val="22"/>
          <w:lang w:eastAsia="en-AU"/>
        </w:rPr>
        <w:lastRenderedPageBreak/>
        <w:t>intentional ingestion of paracetamol</w:t>
      </w:r>
      <w:r>
        <w:rPr>
          <w:rFonts w:asciiTheme="minorHAnsi" w:eastAsia="Calibri" w:hAnsiTheme="minorHAnsi" w:cs="FrutigerLT-Light"/>
          <w:szCs w:val="22"/>
          <w:lang w:eastAsia="en-AU"/>
        </w:rPr>
        <w:t>,</w:t>
      </w:r>
      <w:r w:rsidRPr="00F33573">
        <w:rPr>
          <w:rFonts w:asciiTheme="minorHAnsi" w:eastAsia="Calibri" w:hAnsiTheme="minorHAnsi" w:cs="FrutigerLT-Light"/>
          <w:szCs w:val="22"/>
          <w:lang w:eastAsia="en-AU"/>
        </w:rPr>
        <w:t xml:space="preserve"> toxicity due to repetitive supra-therapeutic doses of paracetamol</w:t>
      </w:r>
      <w:r>
        <w:rPr>
          <w:rFonts w:asciiTheme="minorHAnsi" w:eastAsia="Calibri" w:hAnsiTheme="minorHAnsi" w:cs="FrutigerLT-Light"/>
          <w:szCs w:val="22"/>
          <w:lang w:eastAsia="en-AU"/>
        </w:rPr>
        <w:t>, or iatrogenic poisoning</w:t>
      </w:r>
      <w:r w:rsidRPr="00F33573">
        <w:rPr>
          <w:rFonts w:asciiTheme="minorHAnsi" w:eastAsia="Calibri" w:hAnsiTheme="minorHAnsi" w:cs="FrutigerLT-Light"/>
          <w:szCs w:val="22"/>
          <w:lang w:eastAsia="en-AU"/>
        </w:rPr>
        <w:t xml:space="preserve">.  </w:t>
      </w:r>
    </w:p>
    <w:p w14:paraId="16B8D1CF" w14:textId="77777777" w:rsidR="00136C70" w:rsidRPr="00686536" w:rsidRDefault="00136C70" w:rsidP="00136C70">
      <w:pPr>
        <w:rPr>
          <w:rFonts w:asciiTheme="minorHAnsi" w:hAnsiTheme="minorHAnsi" w:cs="Arial"/>
          <w:szCs w:val="24"/>
        </w:rPr>
      </w:pPr>
    </w:p>
    <w:p w14:paraId="4B55A573" w14:textId="02B5665B" w:rsidR="00136C70" w:rsidRDefault="00136C70" w:rsidP="00136C70">
      <w:pPr>
        <w:rPr>
          <w:rFonts w:asciiTheme="minorHAnsi" w:eastAsia="Calibri" w:hAnsiTheme="minorHAnsi" w:cs="FrutigerLT-Light"/>
          <w:szCs w:val="22"/>
          <w:lang w:eastAsia="en-AU"/>
        </w:rPr>
      </w:pPr>
      <w:r>
        <w:rPr>
          <w:rFonts w:asciiTheme="minorHAnsi" w:eastAsia="Calibri" w:hAnsiTheme="minorHAnsi" w:cs="FrutigerLT-Light"/>
          <w:szCs w:val="22"/>
          <w:lang w:eastAsia="en-AU"/>
        </w:rPr>
        <w:t>This guideline is</w:t>
      </w:r>
      <w:r w:rsidRPr="00CF55FB">
        <w:rPr>
          <w:rFonts w:asciiTheme="minorHAnsi" w:eastAsia="Calibri" w:hAnsiTheme="minorHAnsi" w:cs="FrutigerLT-Light"/>
          <w:szCs w:val="22"/>
          <w:lang w:eastAsia="en-AU"/>
        </w:rPr>
        <w:t xml:space="preserve"> applicable to </w:t>
      </w:r>
      <w:r>
        <w:rPr>
          <w:rFonts w:asciiTheme="minorHAnsi" w:eastAsia="Calibri" w:hAnsiTheme="minorHAnsi" w:cs="FrutigerLT-Light"/>
          <w:szCs w:val="22"/>
          <w:lang w:eastAsia="en-AU"/>
        </w:rPr>
        <w:t xml:space="preserve">paediatric patients </w:t>
      </w:r>
      <w:r w:rsidR="00136C9F">
        <w:rPr>
          <w:rFonts w:asciiTheme="minorHAnsi" w:eastAsia="Calibri" w:hAnsiTheme="minorHAnsi" w:cs="FrutigerLT-Light"/>
          <w:szCs w:val="22"/>
          <w:lang w:eastAsia="en-AU"/>
        </w:rPr>
        <w:t xml:space="preserve">at Canberra Hospital. </w:t>
      </w:r>
    </w:p>
    <w:p w14:paraId="2FB90FE9" w14:textId="77777777" w:rsidR="00136C70" w:rsidRDefault="00136C70" w:rsidP="00136C70">
      <w:pPr>
        <w:rPr>
          <w:rFonts w:asciiTheme="minorHAnsi" w:eastAsia="Calibri" w:hAnsiTheme="minorHAnsi" w:cs="FrutigerLT-Light"/>
          <w:szCs w:val="22"/>
          <w:lang w:eastAsia="en-AU"/>
        </w:rPr>
      </w:pPr>
      <w:r w:rsidRPr="00CF55FB">
        <w:rPr>
          <w:rFonts w:asciiTheme="minorHAnsi" w:eastAsia="Calibri" w:hAnsiTheme="minorHAnsi" w:cs="FrutigerLT-Light"/>
          <w:szCs w:val="22"/>
          <w:lang w:eastAsia="en-AU"/>
        </w:rPr>
        <w:t xml:space="preserve"> </w:t>
      </w:r>
    </w:p>
    <w:p w14:paraId="69A41D08" w14:textId="3A8BC61D" w:rsidR="00136C70" w:rsidRDefault="00136C70" w:rsidP="00136C70">
      <w:pPr>
        <w:jc w:val="both"/>
        <w:rPr>
          <w:rFonts w:cs="Arial"/>
          <w:szCs w:val="24"/>
        </w:rPr>
      </w:pPr>
      <w:r w:rsidRPr="00A97647">
        <w:rPr>
          <w:rFonts w:cs="Arial"/>
          <w:szCs w:val="24"/>
        </w:rPr>
        <w:t xml:space="preserve">This document applies </w:t>
      </w:r>
      <w:r>
        <w:rPr>
          <w:rFonts w:cs="Arial"/>
          <w:szCs w:val="24"/>
        </w:rPr>
        <w:t xml:space="preserve">to the following </w:t>
      </w:r>
      <w:r w:rsidR="00136C9F">
        <w:rPr>
          <w:rFonts w:cs="Arial"/>
          <w:szCs w:val="24"/>
        </w:rPr>
        <w:t>Canberra Hospital</w:t>
      </w:r>
      <w:r w:rsidR="00F47629">
        <w:rPr>
          <w:rFonts w:cs="Arial"/>
          <w:szCs w:val="24"/>
        </w:rPr>
        <w:t xml:space="preserve"> </w:t>
      </w:r>
      <w:r>
        <w:rPr>
          <w:rFonts w:cs="Arial"/>
          <w:szCs w:val="24"/>
        </w:rPr>
        <w:t>staff working within their scope of practice:</w:t>
      </w:r>
    </w:p>
    <w:p w14:paraId="57FAAF5F" w14:textId="77777777" w:rsidR="00136C70" w:rsidRPr="002A78A1" w:rsidRDefault="00136C70" w:rsidP="00CE5CB9">
      <w:pPr>
        <w:pStyle w:val="ListBullet"/>
        <w:tabs>
          <w:tab w:val="clear" w:pos="1080"/>
          <w:tab w:val="num" w:pos="-294"/>
        </w:tabs>
        <w:ind w:left="360"/>
      </w:pPr>
      <w:r>
        <w:t>Medical Officers</w:t>
      </w:r>
    </w:p>
    <w:p w14:paraId="3460492A" w14:textId="77777777" w:rsidR="00F47629" w:rsidRDefault="00136C70" w:rsidP="00F47629">
      <w:pPr>
        <w:pStyle w:val="ListBullet"/>
        <w:tabs>
          <w:tab w:val="clear" w:pos="1080"/>
          <w:tab w:val="num" w:pos="-294"/>
        </w:tabs>
        <w:ind w:left="360"/>
      </w:pPr>
      <w:r>
        <w:t>Registered Nurses and Midwives</w:t>
      </w:r>
    </w:p>
    <w:p w14:paraId="5DB975CC" w14:textId="4B1B404D" w:rsidR="005F42E3" w:rsidRDefault="00136C70" w:rsidP="005F42E3">
      <w:pPr>
        <w:pStyle w:val="ListBullet"/>
        <w:tabs>
          <w:tab w:val="clear" w:pos="1080"/>
          <w:tab w:val="num" w:pos="-294"/>
        </w:tabs>
        <w:ind w:left="360"/>
      </w:pPr>
      <w:r>
        <w:t>Student Nurses and Midwives working under supervision.</w:t>
      </w:r>
    </w:p>
    <w:p w14:paraId="6A8CDB25" w14:textId="77777777" w:rsidR="005F42E3" w:rsidRPr="00AE75B0" w:rsidRDefault="005F42E3" w:rsidP="005F42E3">
      <w:pPr>
        <w:pStyle w:val="ListBullet"/>
        <w:numPr>
          <w:ilvl w:val="0"/>
          <w:numId w:val="0"/>
        </w:numPr>
        <w:ind w:left="360"/>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08E5EEF8"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6913CC8E" w14:textId="77777777" w:rsidR="00EC54E9" w:rsidRDefault="00EC54E9" w:rsidP="00EC54E9">
      <w:pPr>
        <w:rPr>
          <w:rFonts w:asciiTheme="minorHAnsi" w:hAnsiTheme="minorHAnsi" w:cs="Tahoma"/>
          <w:color w:val="000000"/>
          <w:sz w:val="23"/>
          <w:szCs w:val="23"/>
        </w:rPr>
      </w:pPr>
      <w:r w:rsidRPr="003676CE">
        <w:rPr>
          <w:rFonts w:asciiTheme="minorHAnsi" w:hAnsiTheme="minorHAnsi" w:cs="Tahoma"/>
          <w:color w:val="000000"/>
          <w:sz w:val="23"/>
          <w:szCs w:val="23"/>
        </w:rPr>
        <w:t xml:space="preserve">Paediatric Clinical Support Nurse </w:t>
      </w:r>
    </w:p>
    <w:p w14:paraId="74CECDAF" w14:textId="6EAD4E25" w:rsidR="00136C9F" w:rsidRPr="003676CE" w:rsidRDefault="00136C9F" w:rsidP="00EC54E9">
      <w:pPr>
        <w:rPr>
          <w:rFonts w:asciiTheme="minorHAnsi" w:hAnsiTheme="minorHAnsi" w:cs="Tahoma"/>
          <w:color w:val="000000"/>
          <w:sz w:val="23"/>
          <w:szCs w:val="23"/>
        </w:rPr>
      </w:pPr>
      <w:r>
        <w:rPr>
          <w:rFonts w:asciiTheme="minorHAnsi" w:hAnsiTheme="minorHAnsi" w:cs="Tahoma"/>
          <w:color w:val="000000"/>
          <w:sz w:val="23"/>
          <w:szCs w:val="23"/>
        </w:rPr>
        <w:t>Canberra Hospital</w:t>
      </w:r>
    </w:p>
    <w:p w14:paraId="379B5FD1" w14:textId="77777777" w:rsidR="00EC54E9" w:rsidRPr="00EC7B03" w:rsidRDefault="00EC54E9" w:rsidP="00EC54E9">
      <w:pPr>
        <w:rPr>
          <w:rFonts w:asciiTheme="minorHAnsi" w:hAnsiTheme="minorHAnsi" w:cs="Tahoma"/>
          <w:color w:val="FF0000"/>
          <w:sz w:val="23"/>
          <w:szCs w:val="23"/>
        </w:rPr>
      </w:pPr>
      <w:r w:rsidRPr="00D8604D">
        <w:rPr>
          <w:rFonts w:asciiTheme="minorHAnsi" w:hAnsiTheme="minorHAnsi" w:cs="Tahoma"/>
          <w:sz w:val="23"/>
          <w:szCs w:val="23"/>
        </w:rPr>
        <w:t>Phone 0481 396 197 or 0403 194 726</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0F2193DE" w14:textId="77777777" w:rsidR="00362267" w:rsidRDefault="00362267" w:rsidP="00362267">
      <w:pPr>
        <w:rPr>
          <w:rFonts w:cs="Calibri,Bold"/>
          <w:bCs/>
          <w:i/>
          <w:szCs w:val="24"/>
          <w:lang w:eastAsia="en-AU"/>
        </w:rPr>
      </w:pPr>
    </w:p>
    <w:p w14:paraId="4A16D729" w14:textId="70F44F47" w:rsidR="003F7D58" w:rsidRDefault="003F7D58" w:rsidP="003F7D58">
      <w:pPr>
        <w:rPr>
          <w:lang w:eastAsia="en-AU"/>
        </w:rPr>
      </w:pPr>
      <w:r w:rsidRPr="505B973C">
        <w:rPr>
          <w:lang w:eastAsia="en-AU"/>
        </w:rPr>
        <w:t>The Sydney Children’s Hospital Network</w:t>
      </w:r>
      <w:r w:rsidR="00CB3633" w:rsidRPr="505B973C">
        <w:rPr>
          <w:lang w:eastAsia="en-AU"/>
        </w:rPr>
        <w:t xml:space="preserve"> “Paracetamol Overdose - Assessment </w:t>
      </w:r>
      <w:r w:rsidR="000B5458" w:rsidRPr="505B973C">
        <w:rPr>
          <w:lang w:eastAsia="en-AU"/>
        </w:rPr>
        <w:t>and</w:t>
      </w:r>
      <w:r w:rsidR="00CB3633" w:rsidRPr="505B973C">
        <w:rPr>
          <w:lang w:eastAsia="en-AU"/>
        </w:rPr>
        <w:t xml:space="preserve"> Management” Practice guideline, guideline number 2014-9041 v3</w:t>
      </w:r>
    </w:p>
    <w:p w14:paraId="0F2193E0" w14:textId="1F61A15A" w:rsidR="00362267" w:rsidRDefault="00620C37" w:rsidP="00362267">
      <w:hyperlink r:id="rId11" w:history="1">
        <w:r w:rsidR="00B069E9">
          <w:rPr>
            <w:rStyle w:val="Hyperlink"/>
          </w:rPr>
          <w:t>PARACETAMOL OVERDOSE - ASSESSMENT AND MANAGEMENT (nsw.gov.au)</w:t>
        </w:r>
      </w:hyperlink>
    </w:p>
    <w:p w14:paraId="26EFC068" w14:textId="77777777" w:rsidR="00737F02" w:rsidRDefault="00737F02"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52F6E29E" w14:textId="59840BFD" w:rsidR="003F7D58" w:rsidRDefault="003F7D58" w:rsidP="003F7D58">
      <w:pPr>
        <w:rPr>
          <w:rFonts w:cs="Calibri,Bold"/>
          <w:bCs/>
        </w:rPr>
      </w:pPr>
      <w:r>
        <w:rPr>
          <w:rFonts w:cs="Calibri,Bold"/>
          <w:bCs/>
          <w:szCs w:val="24"/>
          <w:lang w:eastAsia="en-AU"/>
        </w:rPr>
        <w:t xml:space="preserve">Paracetamol, Panadol, Overdose, Ingestion, NAC, </w:t>
      </w:r>
      <w:r w:rsidRPr="00CF55FB">
        <w:rPr>
          <w:rFonts w:cs="Calibri,Bold"/>
          <w:bCs/>
        </w:rPr>
        <w:t>N</w:t>
      </w:r>
      <w:r>
        <w:rPr>
          <w:rFonts w:cs="Calibri,Bold"/>
          <w:bCs/>
        </w:rPr>
        <w:t xml:space="preserve"> –</w:t>
      </w:r>
      <w:r w:rsidRPr="00CF55FB">
        <w:rPr>
          <w:rFonts w:cs="Calibri,Bold"/>
          <w:bCs/>
        </w:rPr>
        <w:t xml:space="preserve"> acetyl</w:t>
      </w:r>
      <w:r>
        <w:rPr>
          <w:rFonts w:cs="Calibri,Bold"/>
          <w:bCs/>
        </w:rPr>
        <w:t xml:space="preserve"> </w:t>
      </w:r>
      <w:r w:rsidRPr="00CF55FB">
        <w:rPr>
          <w:rFonts w:cs="Calibri,Bold"/>
          <w:bCs/>
        </w:rPr>
        <w:t>cysteine</w:t>
      </w:r>
      <w:r>
        <w:rPr>
          <w:rFonts w:cs="Calibri,Bold"/>
          <w:bCs/>
        </w:rPr>
        <w:t xml:space="preserve">, </w:t>
      </w:r>
      <w:r w:rsidR="00EC5A24">
        <w:rPr>
          <w:rFonts w:cs="Calibri,Bold"/>
          <w:bCs/>
        </w:rPr>
        <w:t xml:space="preserve">Acetylcysteine, </w:t>
      </w:r>
      <w:r>
        <w:rPr>
          <w:rFonts w:cs="Calibri,Bold"/>
          <w:bCs/>
        </w:rPr>
        <w:t>Hepatotoxicity, Paediatrics, Paeds, paediatrics</w:t>
      </w:r>
      <w:r w:rsidR="00136C9F">
        <w:rPr>
          <w:rFonts w:cs="Calibri,Bold"/>
          <w:bCs/>
        </w:rPr>
        <w:t>.</w:t>
      </w:r>
    </w:p>
    <w:p w14:paraId="53EE16F6" w14:textId="77777777" w:rsidR="000B5458" w:rsidRDefault="000B5458" w:rsidP="00373B7C">
      <w:pPr>
        <w:rPr>
          <w:rFonts w:cs="Arial"/>
          <w:b/>
          <w:sz w:val="20"/>
        </w:rPr>
      </w:pPr>
    </w:p>
    <w:p w14:paraId="0F2193E7" w14:textId="4EF97AF0"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3AE5D814" w:rsidR="00373B7C" w:rsidRPr="00D86A19" w:rsidRDefault="009F507E" w:rsidP="005B3A1A">
            <w:pPr>
              <w:rPr>
                <w:i/>
                <w:sz w:val="20"/>
                <w:szCs w:val="24"/>
              </w:rPr>
            </w:pPr>
            <w:r>
              <w:rPr>
                <w:i/>
                <w:sz w:val="20"/>
                <w:szCs w:val="24"/>
              </w:rPr>
              <w:t>24/07/2024</w:t>
            </w:r>
          </w:p>
        </w:tc>
        <w:tc>
          <w:tcPr>
            <w:tcW w:w="2265" w:type="dxa"/>
          </w:tcPr>
          <w:p w14:paraId="0F2193F0" w14:textId="63E8D32A" w:rsidR="00373B7C" w:rsidRPr="00D86A19" w:rsidRDefault="009F507E" w:rsidP="005B3A1A">
            <w:pPr>
              <w:rPr>
                <w:i/>
                <w:sz w:val="20"/>
                <w:szCs w:val="24"/>
              </w:rPr>
            </w:pPr>
            <w:r>
              <w:rPr>
                <w:i/>
                <w:sz w:val="20"/>
                <w:szCs w:val="24"/>
              </w:rPr>
              <w:t>Complete Review</w:t>
            </w:r>
          </w:p>
        </w:tc>
        <w:tc>
          <w:tcPr>
            <w:tcW w:w="2265" w:type="dxa"/>
          </w:tcPr>
          <w:p w14:paraId="0F2193F1" w14:textId="0C0EAB88" w:rsidR="00373B7C" w:rsidRPr="00D86A19" w:rsidRDefault="009F507E" w:rsidP="005B3A1A">
            <w:pPr>
              <w:rPr>
                <w:i/>
                <w:sz w:val="20"/>
                <w:szCs w:val="24"/>
              </w:rPr>
            </w:pPr>
            <w:r>
              <w:rPr>
                <w:i/>
                <w:sz w:val="20"/>
                <w:szCs w:val="24"/>
              </w:rPr>
              <w:t>Katherine Wakefield, ED WYC</w:t>
            </w:r>
          </w:p>
        </w:tc>
        <w:tc>
          <w:tcPr>
            <w:tcW w:w="2265" w:type="dxa"/>
          </w:tcPr>
          <w:p w14:paraId="0F2193F2" w14:textId="125F2953" w:rsidR="00373B7C" w:rsidRPr="00D86A19" w:rsidRDefault="009F507E" w:rsidP="005B3A1A">
            <w:pPr>
              <w:rPr>
                <w:i/>
                <w:sz w:val="20"/>
                <w:szCs w:val="24"/>
              </w:rPr>
            </w:pPr>
            <w:r>
              <w:rPr>
                <w:i/>
                <w:sz w:val="20"/>
                <w:szCs w:val="24"/>
              </w:rPr>
              <w:t>OOS, PDRP</w:t>
            </w:r>
          </w:p>
        </w:tc>
      </w:tr>
      <w:tr w:rsidR="00373B7C" w:rsidRPr="00D86A19" w14:paraId="0F2193F8" w14:textId="77777777" w:rsidTr="005B3A1A">
        <w:tc>
          <w:tcPr>
            <w:tcW w:w="2265" w:type="dxa"/>
          </w:tcPr>
          <w:p w14:paraId="0F2193F4" w14:textId="77777777" w:rsidR="00373B7C" w:rsidRPr="00D86A19" w:rsidRDefault="00373B7C" w:rsidP="005B3A1A">
            <w:pPr>
              <w:rPr>
                <w:i/>
                <w:sz w:val="20"/>
                <w:szCs w:val="24"/>
              </w:rPr>
            </w:pPr>
          </w:p>
        </w:tc>
        <w:tc>
          <w:tcPr>
            <w:tcW w:w="2265" w:type="dxa"/>
          </w:tcPr>
          <w:p w14:paraId="0F2193F5" w14:textId="77777777" w:rsidR="00373B7C" w:rsidRPr="00D86A19" w:rsidRDefault="00373B7C" w:rsidP="005B3A1A">
            <w:pPr>
              <w:rPr>
                <w:i/>
                <w:sz w:val="20"/>
                <w:szCs w:val="24"/>
              </w:rPr>
            </w:pPr>
          </w:p>
        </w:tc>
        <w:tc>
          <w:tcPr>
            <w:tcW w:w="2265" w:type="dxa"/>
          </w:tcPr>
          <w:p w14:paraId="0F2193F6" w14:textId="77777777" w:rsidR="00373B7C" w:rsidRPr="00D86A19" w:rsidRDefault="00373B7C" w:rsidP="005B3A1A">
            <w:pPr>
              <w:rPr>
                <w:i/>
                <w:sz w:val="20"/>
                <w:szCs w:val="24"/>
              </w:rPr>
            </w:pPr>
          </w:p>
        </w:tc>
        <w:tc>
          <w:tcPr>
            <w:tcW w:w="2265"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244CA2FD" w:rsidR="00373B7C" w:rsidRPr="00D86A19" w:rsidRDefault="009F507E" w:rsidP="005B3A1A">
            <w:pPr>
              <w:rPr>
                <w:i/>
                <w:sz w:val="20"/>
                <w:szCs w:val="24"/>
              </w:rPr>
            </w:pPr>
            <w:r>
              <w:rPr>
                <w:i/>
                <w:sz w:val="20"/>
                <w:szCs w:val="24"/>
              </w:rPr>
              <w:t>CHS19/026</w:t>
            </w:r>
          </w:p>
        </w:tc>
        <w:tc>
          <w:tcPr>
            <w:tcW w:w="6938" w:type="dxa"/>
          </w:tcPr>
          <w:p w14:paraId="0F2193FF" w14:textId="44901F9A" w:rsidR="00373B7C" w:rsidRPr="00D86A19" w:rsidRDefault="009F507E" w:rsidP="005B3A1A">
            <w:pPr>
              <w:rPr>
                <w:i/>
                <w:sz w:val="20"/>
                <w:szCs w:val="24"/>
              </w:rPr>
            </w:pPr>
            <w:r w:rsidRPr="009F507E">
              <w:rPr>
                <w:i/>
                <w:sz w:val="20"/>
                <w:szCs w:val="24"/>
              </w:rPr>
              <w:t>Paracetamol Overdose – Assessment and Management Practice Guideline</w:t>
            </w: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9408" w14:textId="77777777" w:rsidR="00E9072F" w:rsidRDefault="00E9072F" w:rsidP="00F66CB0">
      <w:r>
        <w:separator/>
      </w:r>
    </w:p>
  </w:endnote>
  <w:endnote w:type="continuationSeparator" w:id="0">
    <w:p w14:paraId="0F219409" w14:textId="77777777" w:rsidR="00E9072F" w:rsidRDefault="00E9072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LT-Light">
    <w:altName w:val="Calibri"/>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72721538" w:rsidR="00E9072F" w:rsidRPr="00542EE6" w:rsidRDefault="009F507E" w:rsidP="002F61F7">
          <w:pPr>
            <w:pStyle w:val="Footer"/>
            <w:rPr>
              <w:rFonts w:cs="Arial"/>
              <w:b/>
              <w:bCs/>
              <w:sz w:val="20"/>
            </w:rPr>
          </w:pPr>
          <w:r>
            <w:rPr>
              <w:b/>
              <w:bCs/>
              <w:sz w:val="20"/>
            </w:rPr>
            <w:t>CHS24/360</w:t>
          </w:r>
        </w:p>
      </w:tc>
      <w:tc>
        <w:tcPr>
          <w:tcW w:w="965" w:type="dxa"/>
        </w:tcPr>
        <w:p w14:paraId="0F219416" w14:textId="3DAAF6E9" w:rsidR="00E9072F" w:rsidRPr="00B3752F" w:rsidRDefault="00620C37" w:rsidP="002F61F7">
          <w:pPr>
            <w:pStyle w:val="Footer"/>
            <w:rPr>
              <w:rFonts w:cs="Arial"/>
              <w:b/>
              <w:bCs/>
              <w:sz w:val="20"/>
            </w:rPr>
          </w:pPr>
          <w:r>
            <w:rPr>
              <w:rFonts w:cs="Arial"/>
              <w:b/>
              <w:bCs/>
              <w:sz w:val="20"/>
            </w:rPr>
            <w:t>2</w:t>
          </w:r>
        </w:p>
      </w:tc>
      <w:tc>
        <w:tcPr>
          <w:tcW w:w="1552" w:type="dxa"/>
        </w:tcPr>
        <w:p w14:paraId="0F219417" w14:textId="06B69CEF" w:rsidR="00E9072F" w:rsidRPr="00B3752F" w:rsidRDefault="009F507E" w:rsidP="002F61F7">
          <w:pPr>
            <w:pStyle w:val="Footer"/>
            <w:rPr>
              <w:rFonts w:cs="Arial"/>
              <w:b/>
              <w:bCs/>
              <w:sz w:val="20"/>
            </w:rPr>
          </w:pPr>
          <w:r>
            <w:rPr>
              <w:rFonts w:cs="Arial"/>
              <w:b/>
              <w:bCs/>
              <w:sz w:val="20"/>
            </w:rPr>
            <w:t>24/07/2024</w:t>
          </w:r>
        </w:p>
      </w:tc>
      <w:tc>
        <w:tcPr>
          <w:tcW w:w="1456" w:type="dxa"/>
        </w:tcPr>
        <w:p w14:paraId="0F219418" w14:textId="11B5325A" w:rsidR="00E9072F" w:rsidRPr="00B3752F" w:rsidRDefault="009F507E" w:rsidP="00720A69">
          <w:pPr>
            <w:pStyle w:val="Footer"/>
            <w:rPr>
              <w:rFonts w:cs="Arial"/>
              <w:b/>
              <w:bCs/>
              <w:sz w:val="20"/>
            </w:rPr>
          </w:pPr>
          <w:r>
            <w:rPr>
              <w:rFonts w:cs="Arial"/>
              <w:b/>
              <w:bCs/>
              <w:sz w:val="20"/>
            </w:rPr>
            <w:t>01/07/2028</w:t>
          </w:r>
        </w:p>
      </w:tc>
      <w:tc>
        <w:tcPr>
          <w:tcW w:w="1746" w:type="dxa"/>
        </w:tcPr>
        <w:p w14:paraId="0F219419" w14:textId="2EB7F3B9" w:rsidR="00E9072F" w:rsidRPr="00B3752F" w:rsidRDefault="00EC54E9" w:rsidP="002F61F7">
          <w:pPr>
            <w:pStyle w:val="Footer"/>
            <w:rPr>
              <w:rFonts w:cs="Arial"/>
              <w:b/>
              <w:bCs/>
              <w:sz w:val="20"/>
            </w:rPr>
          </w:pPr>
          <w:r>
            <w:rPr>
              <w:rFonts w:cs="Arial"/>
              <w:b/>
              <w:bCs/>
              <w:sz w:val="20"/>
            </w:rPr>
            <w:t>WYC-Paediatrics</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62CF0F26" w:rsidR="004938EF" w:rsidRPr="002C1428" w:rsidRDefault="004938EF" w:rsidP="004938EF">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9406" w14:textId="77777777" w:rsidR="00E9072F" w:rsidRDefault="00E9072F" w:rsidP="00F66CB0">
      <w:r>
        <w:separator/>
      </w:r>
    </w:p>
  </w:footnote>
  <w:footnote w:type="continuationSeparator" w:id="0">
    <w:p w14:paraId="0F219407" w14:textId="77777777" w:rsidR="00E9072F" w:rsidRDefault="00E9072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28549280" w:rsidR="00DF6B10" w:rsidRDefault="00DF6B10" w:rsidP="00DF6B10">
          <w:pPr>
            <w:pStyle w:val="Header"/>
            <w:tabs>
              <w:tab w:val="clear" w:pos="4153"/>
              <w:tab w:val="clear" w:pos="8306"/>
            </w:tabs>
            <w:jc w:val="right"/>
            <w:rPr>
              <w:sz w:val="20"/>
            </w:rPr>
          </w:pPr>
          <w:bookmarkStart w:id="1" w:name="_top"/>
          <w:bookmarkEnd w:id="1"/>
          <w:r w:rsidRPr="00542EE6">
            <w:rPr>
              <w:sz w:val="20"/>
            </w:rPr>
            <w:t>CHS</w:t>
          </w:r>
          <w:r w:rsidR="009F507E">
            <w:rPr>
              <w:sz w:val="20"/>
            </w:rPr>
            <w:t>24/360</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49539863">
    <w:abstractNumId w:val="0"/>
  </w:num>
  <w:num w:numId="2" w16cid:durableId="406733747">
    <w:abstractNumId w:val="1"/>
  </w:num>
  <w:num w:numId="3" w16cid:durableId="677000129">
    <w:abstractNumId w:val="4"/>
  </w:num>
  <w:num w:numId="4" w16cid:durableId="1562864480">
    <w:abstractNumId w:val="2"/>
  </w:num>
  <w:num w:numId="5" w16cid:durableId="1799372622">
    <w:abstractNumId w:val="3"/>
  </w:num>
  <w:num w:numId="6" w16cid:durableId="253513574">
    <w:abstractNumId w:val="5"/>
  </w:num>
  <w:num w:numId="7" w16cid:durableId="113352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B5458"/>
    <w:rsid w:val="000B5C8C"/>
    <w:rsid w:val="000C59E2"/>
    <w:rsid w:val="000C7B2D"/>
    <w:rsid w:val="000F46D0"/>
    <w:rsid w:val="000F7B7E"/>
    <w:rsid w:val="00103EEA"/>
    <w:rsid w:val="001132DB"/>
    <w:rsid w:val="00136C70"/>
    <w:rsid w:val="00136C9F"/>
    <w:rsid w:val="00161BEE"/>
    <w:rsid w:val="00191109"/>
    <w:rsid w:val="001A0053"/>
    <w:rsid w:val="001B2465"/>
    <w:rsid w:val="001F6D2D"/>
    <w:rsid w:val="00211130"/>
    <w:rsid w:val="00240B97"/>
    <w:rsid w:val="0025382D"/>
    <w:rsid w:val="00263BA6"/>
    <w:rsid w:val="00266B4F"/>
    <w:rsid w:val="0027264D"/>
    <w:rsid w:val="00293E43"/>
    <w:rsid w:val="002B5F43"/>
    <w:rsid w:val="002D7104"/>
    <w:rsid w:val="002F61F7"/>
    <w:rsid w:val="00313707"/>
    <w:rsid w:val="00344838"/>
    <w:rsid w:val="00353A2B"/>
    <w:rsid w:val="00362267"/>
    <w:rsid w:val="00373B7C"/>
    <w:rsid w:val="00376A6D"/>
    <w:rsid w:val="00380B98"/>
    <w:rsid w:val="00396023"/>
    <w:rsid w:val="003C4BB5"/>
    <w:rsid w:val="003D0F19"/>
    <w:rsid w:val="003E4CC0"/>
    <w:rsid w:val="003F3D8F"/>
    <w:rsid w:val="003F7D58"/>
    <w:rsid w:val="0040217A"/>
    <w:rsid w:val="00412CED"/>
    <w:rsid w:val="00427139"/>
    <w:rsid w:val="004358E9"/>
    <w:rsid w:val="00487DD5"/>
    <w:rsid w:val="00491A10"/>
    <w:rsid w:val="004938EF"/>
    <w:rsid w:val="004A2E02"/>
    <w:rsid w:val="004B7C43"/>
    <w:rsid w:val="004C2B20"/>
    <w:rsid w:val="004E28AD"/>
    <w:rsid w:val="004E2D2A"/>
    <w:rsid w:val="004F1D05"/>
    <w:rsid w:val="005149D6"/>
    <w:rsid w:val="0052443C"/>
    <w:rsid w:val="00524500"/>
    <w:rsid w:val="0052775E"/>
    <w:rsid w:val="00537C9E"/>
    <w:rsid w:val="00542514"/>
    <w:rsid w:val="00546AED"/>
    <w:rsid w:val="005621E4"/>
    <w:rsid w:val="005869A9"/>
    <w:rsid w:val="00596FD7"/>
    <w:rsid w:val="005A2C1F"/>
    <w:rsid w:val="005A3625"/>
    <w:rsid w:val="005B4738"/>
    <w:rsid w:val="005B6AEF"/>
    <w:rsid w:val="005C212D"/>
    <w:rsid w:val="005C3CB0"/>
    <w:rsid w:val="005F42E3"/>
    <w:rsid w:val="005F7499"/>
    <w:rsid w:val="00612231"/>
    <w:rsid w:val="00620C37"/>
    <w:rsid w:val="00635EB1"/>
    <w:rsid w:val="00636DD9"/>
    <w:rsid w:val="006473BB"/>
    <w:rsid w:val="0066495D"/>
    <w:rsid w:val="00695EB6"/>
    <w:rsid w:val="006A4D46"/>
    <w:rsid w:val="006A6024"/>
    <w:rsid w:val="006C31FF"/>
    <w:rsid w:val="006C6B6C"/>
    <w:rsid w:val="006C704D"/>
    <w:rsid w:val="006E1B0C"/>
    <w:rsid w:val="006E31CB"/>
    <w:rsid w:val="0070331D"/>
    <w:rsid w:val="00712B30"/>
    <w:rsid w:val="00720A69"/>
    <w:rsid w:val="00737F02"/>
    <w:rsid w:val="00741B43"/>
    <w:rsid w:val="00756537"/>
    <w:rsid w:val="0078251B"/>
    <w:rsid w:val="007A0EBC"/>
    <w:rsid w:val="007A238D"/>
    <w:rsid w:val="007B4ABB"/>
    <w:rsid w:val="007B6904"/>
    <w:rsid w:val="007C0E06"/>
    <w:rsid w:val="0081192D"/>
    <w:rsid w:val="00816782"/>
    <w:rsid w:val="0082141D"/>
    <w:rsid w:val="00827F24"/>
    <w:rsid w:val="008459BF"/>
    <w:rsid w:val="00855DA8"/>
    <w:rsid w:val="00886399"/>
    <w:rsid w:val="008974CA"/>
    <w:rsid w:val="008C08CD"/>
    <w:rsid w:val="008E0BB0"/>
    <w:rsid w:val="008E1F7F"/>
    <w:rsid w:val="008F00E8"/>
    <w:rsid w:val="008F6921"/>
    <w:rsid w:val="00907178"/>
    <w:rsid w:val="00933EED"/>
    <w:rsid w:val="0093434A"/>
    <w:rsid w:val="00940CDE"/>
    <w:rsid w:val="00942B11"/>
    <w:rsid w:val="00954112"/>
    <w:rsid w:val="0097742A"/>
    <w:rsid w:val="00980EED"/>
    <w:rsid w:val="00991670"/>
    <w:rsid w:val="009B3F8C"/>
    <w:rsid w:val="009B6C8C"/>
    <w:rsid w:val="009C0FCA"/>
    <w:rsid w:val="009C3963"/>
    <w:rsid w:val="009D323C"/>
    <w:rsid w:val="009F507E"/>
    <w:rsid w:val="00A02258"/>
    <w:rsid w:val="00A35E2D"/>
    <w:rsid w:val="00A6718B"/>
    <w:rsid w:val="00A74B8A"/>
    <w:rsid w:val="00A83C2D"/>
    <w:rsid w:val="00A85F61"/>
    <w:rsid w:val="00A86A9D"/>
    <w:rsid w:val="00A86DB3"/>
    <w:rsid w:val="00AA25DC"/>
    <w:rsid w:val="00AB4914"/>
    <w:rsid w:val="00AE1369"/>
    <w:rsid w:val="00AE75B0"/>
    <w:rsid w:val="00AE7FD2"/>
    <w:rsid w:val="00AF2597"/>
    <w:rsid w:val="00B069E9"/>
    <w:rsid w:val="00B21043"/>
    <w:rsid w:val="00B44CAC"/>
    <w:rsid w:val="00B573D6"/>
    <w:rsid w:val="00B7783C"/>
    <w:rsid w:val="00B81455"/>
    <w:rsid w:val="00B9627F"/>
    <w:rsid w:val="00BA2415"/>
    <w:rsid w:val="00BA4F95"/>
    <w:rsid w:val="00BB2CA2"/>
    <w:rsid w:val="00BB33F9"/>
    <w:rsid w:val="00BC3CE6"/>
    <w:rsid w:val="00BD2297"/>
    <w:rsid w:val="00BE5E41"/>
    <w:rsid w:val="00C15041"/>
    <w:rsid w:val="00C24EDC"/>
    <w:rsid w:val="00C25A76"/>
    <w:rsid w:val="00C32206"/>
    <w:rsid w:val="00C42E35"/>
    <w:rsid w:val="00C45C67"/>
    <w:rsid w:val="00C46419"/>
    <w:rsid w:val="00C46710"/>
    <w:rsid w:val="00C523FF"/>
    <w:rsid w:val="00C71C3C"/>
    <w:rsid w:val="00CA593D"/>
    <w:rsid w:val="00CB3633"/>
    <w:rsid w:val="00CC71D4"/>
    <w:rsid w:val="00CE5CB9"/>
    <w:rsid w:val="00D21780"/>
    <w:rsid w:val="00D23346"/>
    <w:rsid w:val="00D243B8"/>
    <w:rsid w:val="00D34794"/>
    <w:rsid w:val="00D4502D"/>
    <w:rsid w:val="00D530CE"/>
    <w:rsid w:val="00D53E3C"/>
    <w:rsid w:val="00D77950"/>
    <w:rsid w:val="00D80114"/>
    <w:rsid w:val="00D8106C"/>
    <w:rsid w:val="00D8334E"/>
    <w:rsid w:val="00D86A19"/>
    <w:rsid w:val="00DC3762"/>
    <w:rsid w:val="00DD616A"/>
    <w:rsid w:val="00DE0465"/>
    <w:rsid w:val="00DF6B10"/>
    <w:rsid w:val="00E049ED"/>
    <w:rsid w:val="00E1724C"/>
    <w:rsid w:val="00E34E6D"/>
    <w:rsid w:val="00E37CD4"/>
    <w:rsid w:val="00E57848"/>
    <w:rsid w:val="00E65F32"/>
    <w:rsid w:val="00E9072F"/>
    <w:rsid w:val="00E96207"/>
    <w:rsid w:val="00EC54E9"/>
    <w:rsid w:val="00EC5A24"/>
    <w:rsid w:val="00ED21C3"/>
    <w:rsid w:val="00ED388C"/>
    <w:rsid w:val="00EF02B0"/>
    <w:rsid w:val="00F01B61"/>
    <w:rsid w:val="00F0517F"/>
    <w:rsid w:val="00F149FD"/>
    <w:rsid w:val="00F4262F"/>
    <w:rsid w:val="00F47629"/>
    <w:rsid w:val="00F53719"/>
    <w:rsid w:val="00F56495"/>
    <w:rsid w:val="00F57291"/>
    <w:rsid w:val="00F66CB0"/>
    <w:rsid w:val="00F76C89"/>
    <w:rsid w:val="00FA29B8"/>
    <w:rsid w:val="00FD3D92"/>
    <w:rsid w:val="00FF56DD"/>
    <w:rsid w:val="11CB9CAE"/>
    <w:rsid w:val="308BA803"/>
    <w:rsid w:val="3320D7AE"/>
    <w:rsid w:val="442E0B47"/>
    <w:rsid w:val="505B973C"/>
    <w:rsid w:val="69153C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Revision">
    <w:name w:val="Revision"/>
    <w:hidden/>
    <w:uiPriority w:val="99"/>
    <w:semiHidden/>
    <w:rsid w:val="00C15041"/>
    <w:pPr>
      <w:spacing w:after="0" w:line="240" w:lineRule="auto"/>
    </w:pPr>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737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163802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ources.schn.health.nsw.gov.au/policies/policies/pdf/2014-9041.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2024-07-21T14:00:00+00:00</Approval_x0020_Date>
    <Review_x0020_Date xmlns="690b2128-8961-48af-a473-22c34a9accba">2028-06-30T14:00:00+00:00</Review_x0020_Date>
    <TaxCatchAll xmlns="c0239a80-7f07-4ed7-82c3-24ad7d76ada5" xsi:nil="true"/>
    <Version_x0020_Number xmlns="690b2128-8961-48af-a473-22c34a9accba">2</Version_x0020_Number>
    <Notes0 xmlns="690b2128-8961-48af-a473-22c34a9accba" xsi:nil="true"/>
    <Key_x0020_Words xmlns="690b2128-8961-48af-a473-22c34a9accba">Paracetamol, Panadol, Overdose, Ingestion, NAC, N – acetyl cysteine, Acetylcysteine, Hepatotoxicity, Paediatrics, Paeds, paediatrics.</Key_x0020_Words>
    <Type_x0020_of_x0020_Document xmlns="690b2128-8961-48af-a473-22c34a9accba">Placeholder</Type_x0020_of_x0020_Document>
    <Approval_x0020_Name_x007c_Committee xmlns="690b2128-8961-48af-a473-22c34a9accba">OOS</Approval_x0020_Name_x007c_Committee>
    <Status xmlns="690b2128-8961-48af-a473-22c34a9accba">Approved</Status>
    <New_x0020_Applies_x0020_To xmlns="690b2128-8961-48af-a473-22c34a9accba">Canberra Health Services</New_x0020_Applies_x0020_To>
    <Replaces_x003a_ xmlns="690b2128-8961-48af-a473-22c34a9accba">CHS19/026 - Paracetamol Overdose – Assessment and Management Practice Guideline </Replaces_x003a_>
    <ISD_x0020_Submitted xmlns="690b2128-8961-48af-a473-22c34a9accba">Not Required</ISD_x0020_Submitted>
    <Risk_x0020_Rating xmlns="690b2128-8961-48af-a473-22c34a9accba">Medium</Risk_x0020_Rating>
    <Description0 xmlns="690b2128-8961-48af-a473-22c34a9accba">Provide direction to clinicians for the management of paediatric patients presenting with a paracetamol overdose. The guideline aims to achieve the best possible paediatric care.</Description0>
    <Display_x0020_on_x0020_Internet xmlns="690b2128-8961-48af-a473-22c34a9accba">true</Display_x0020_on_x0020_Internet>
    <Related_x0020_Documents xmlns="690b2128-8961-48af-a473-22c34a9accba" xsi:nil="true"/>
    <Decision_x0020_Number xmlns="690b2128-8961-48af-a473-22c34a9accba">CHS24/360</Decision_x0020_Number>
    <RelatedPolicies_x002c_ProceduresGuidelines xmlns="690b2128-8961-48af-a473-22c34a9accba" xsi:nil="true"/>
    <k0794e393e1f41c2810d090eedba34a0 xmlns="690b2128-8961-48af-a473-22c34a9accba">
      <Terms xmlns="http://schemas.microsoft.com/office/infopath/2007/PartnerControls"/>
    </k0794e393e1f41c2810d090eedba34a0>
    <New_x0020_Owner xmlns="690b2128-8961-48af-a473-22c34a9accba">Women, Youth and Children (WY&amp;C) - Paediatrics</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F058C-E928-43C8-9BF0-43F1BC651431}">
  <ds:schemaRefs>
    <ds:schemaRef ds:uri="http://schemas.microsoft.com/office/infopath/2007/PartnerControls"/>
    <ds:schemaRef ds:uri="http://purl.org/dc/dcmitype/"/>
    <ds:schemaRef ds:uri="http://schemas.microsoft.com/office/2006/documentManagement/types"/>
    <ds:schemaRef ds:uri="http://purl.org/dc/terms/"/>
    <ds:schemaRef ds:uri="http://purl.org/dc/elements/1.1/"/>
    <ds:schemaRef ds:uri="http://www.w3.org/XML/1998/namespace"/>
    <ds:schemaRef ds:uri="http://schemas.openxmlformats.org/package/2006/metadata/core-properties"/>
    <ds:schemaRef ds:uri="4504225e-b2d9-4497-b505-38d38bf039d6"/>
    <ds:schemaRef ds:uri="http://schemas.microsoft.com/office/2006/metadata/properties"/>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4.xml><?xml version="1.0" encoding="utf-8"?>
<ds:datastoreItem xmlns:ds="http://schemas.openxmlformats.org/officeDocument/2006/customXml" ds:itemID="{98980980-D4F1-471E-ACFB-1D9769A5278C}"/>
</file>

<file path=docProps/app.xml><?xml version="1.0" encoding="utf-8"?>
<Properties xmlns="http://schemas.openxmlformats.org/officeDocument/2006/extended-properties" xmlns:vt="http://schemas.openxmlformats.org/officeDocument/2006/docPropsVTypes">
  <Template>Normal</Template>
  <TotalTime>267</TotalTime>
  <Pages>2</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Paracetamol Overdose Paediatric Patients</dc:title>
  <dc:creator>Kerryn Hunter</dc:creator>
  <cp:lastModifiedBy>Lind, Lauren</cp:lastModifiedBy>
  <cp:revision>12</cp:revision>
  <cp:lastPrinted>2014-07-16T01:36:00Z</cp:lastPrinted>
  <dcterms:created xsi:type="dcterms:W3CDTF">2024-06-03T06:34:00Z</dcterms:created>
  <dcterms:modified xsi:type="dcterms:W3CDTF">2024-07-24T05:22:00Z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_ExtendedDescription">
    <vt:lpwstr/>
  </property>
  <property fmtid="{D5CDD505-2E9C-101B-9397-08002B2CF9AE}" pid="4" name="MSIP_Label_69af8531-eb46-4968-8cb3-105d2f5ea87e_Enabled">
    <vt:lpwstr>true</vt:lpwstr>
  </property>
  <property fmtid="{D5CDD505-2E9C-101B-9397-08002B2CF9AE}" pid="5" name="MSIP_Label_69af8531-eb46-4968-8cb3-105d2f5ea87e_SetDate">
    <vt:lpwstr>2024-04-23T00:37:10Z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dcc31de5-d089-4f4d-9dc7-1f20cfd824d4</vt:lpwstr>
  </property>
  <property fmtid="{D5CDD505-2E9C-101B-9397-08002B2CF9AE}" pid="10" name="MSIP_Label_69af8531-eb46-4968-8cb3-105d2f5ea87e_ContentBits">
    <vt:lpwstr>0</vt:lpwstr>
  </property>
</Properties>
</file>