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3450" w14:textId="77777777" w:rsidR="00F84F14" w:rsidRPr="00DA3910" w:rsidRDefault="00F84F14" w:rsidP="00F84F14">
      <w:pPr>
        <w:rPr>
          <w:rFonts w:cs="Arial"/>
          <w:b/>
          <w:sz w:val="40"/>
          <w:szCs w:val="40"/>
        </w:rPr>
      </w:pPr>
      <w:r w:rsidRPr="00DA3910">
        <w:rPr>
          <w:rFonts w:cs="Arial"/>
          <w:b/>
          <w:sz w:val="40"/>
          <w:szCs w:val="40"/>
        </w:rPr>
        <w:t>Canberra Health Services</w:t>
      </w:r>
    </w:p>
    <w:p w14:paraId="01B7C013" w14:textId="77777777" w:rsidR="00F84F14" w:rsidRPr="00DA3910" w:rsidRDefault="00F84F14" w:rsidP="00F84F14">
      <w:pPr>
        <w:rPr>
          <w:rFonts w:cs="Arial"/>
          <w:b/>
          <w:sz w:val="40"/>
          <w:szCs w:val="40"/>
        </w:rPr>
      </w:pPr>
      <w:r>
        <w:rPr>
          <w:rFonts w:cs="Arial"/>
          <w:b/>
          <w:sz w:val="40"/>
          <w:szCs w:val="40"/>
        </w:rPr>
        <w:t>Guideline</w:t>
      </w:r>
    </w:p>
    <w:p w14:paraId="015058AC" w14:textId="77777777" w:rsidR="00F84F14" w:rsidRPr="00916721" w:rsidRDefault="00F84F14" w:rsidP="00F84F14">
      <w:pPr>
        <w:rPr>
          <w:rFonts w:cs="Arial"/>
          <w:b/>
          <w:bCs/>
          <w:sz w:val="32"/>
          <w:szCs w:val="32"/>
        </w:rPr>
      </w:pPr>
      <w:r w:rsidRPr="04BB5E21">
        <w:rPr>
          <w:rFonts w:cs="Arial"/>
          <w:b/>
          <w:bCs/>
          <w:sz w:val="32"/>
          <w:szCs w:val="32"/>
        </w:rPr>
        <w:t>Medical Management of Alcohol Withdrawal</w:t>
      </w:r>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CD1C0E" w14:paraId="2CBF0F1A" w14:textId="77777777" w:rsidTr="005E7883">
        <w:trPr>
          <w:cantSplit/>
          <w:trHeight w:val="285"/>
        </w:trPr>
        <w:tc>
          <w:tcPr>
            <w:tcW w:w="9158" w:type="dxa"/>
            <w:shd w:val="clear" w:color="auto" w:fill="D9D9D9" w:themeFill="background1" w:themeFillShade="D9"/>
          </w:tcPr>
          <w:p w14:paraId="026661B5" w14:textId="77777777" w:rsidR="00F84F14" w:rsidRPr="00CD1C0E" w:rsidRDefault="00F84F14" w:rsidP="005E7883">
            <w:pPr>
              <w:pStyle w:val="Heading1"/>
            </w:pPr>
            <w:r w:rsidRPr="00CD1C0E">
              <w:t>Contents</w:t>
            </w:r>
          </w:p>
        </w:tc>
      </w:tr>
    </w:tbl>
    <w:p w14:paraId="38B3218F" w14:textId="77777777" w:rsidR="00F84F14" w:rsidRDefault="00F84F14" w:rsidP="00F84F14"/>
    <w:p w14:paraId="4B1B480C"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r>
        <w:rPr>
          <w:rFonts w:cs="Arial"/>
          <w:b/>
          <w:sz w:val="36"/>
          <w:szCs w:val="36"/>
        </w:rPr>
        <w:fldChar w:fldCharType="begin"/>
      </w:r>
      <w:r>
        <w:rPr>
          <w:rFonts w:cs="Arial"/>
          <w:b/>
          <w:sz w:val="36"/>
          <w:szCs w:val="36"/>
        </w:rPr>
        <w:instrText xml:space="preserve"> TOC \o "1-2" \h \z \u </w:instrText>
      </w:r>
      <w:r>
        <w:rPr>
          <w:rFonts w:cs="Arial"/>
          <w:b/>
          <w:sz w:val="36"/>
          <w:szCs w:val="36"/>
        </w:rPr>
        <w:fldChar w:fldCharType="separate"/>
      </w:r>
      <w:hyperlink w:anchor="_Toc155356512" w:history="1">
        <w:r w:rsidRPr="009E3E3D">
          <w:rPr>
            <w:rStyle w:val="Hyperlink"/>
            <w:noProof/>
          </w:rPr>
          <w:t>Contents</w:t>
        </w:r>
        <w:r>
          <w:rPr>
            <w:noProof/>
            <w:webHidden/>
          </w:rPr>
          <w:tab/>
        </w:r>
        <w:r>
          <w:rPr>
            <w:noProof/>
            <w:webHidden/>
          </w:rPr>
          <w:fldChar w:fldCharType="begin"/>
        </w:r>
        <w:r>
          <w:rPr>
            <w:noProof/>
            <w:webHidden/>
          </w:rPr>
          <w:instrText xml:space="preserve"> PAGEREF _Toc155356512 \h </w:instrText>
        </w:r>
        <w:r>
          <w:rPr>
            <w:noProof/>
            <w:webHidden/>
          </w:rPr>
        </w:r>
        <w:r>
          <w:rPr>
            <w:noProof/>
            <w:webHidden/>
          </w:rPr>
          <w:fldChar w:fldCharType="separate"/>
        </w:r>
        <w:r>
          <w:rPr>
            <w:noProof/>
            <w:webHidden/>
          </w:rPr>
          <w:t>1</w:t>
        </w:r>
        <w:r>
          <w:rPr>
            <w:noProof/>
            <w:webHidden/>
          </w:rPr>
          <w:fldChar w:fldCharType="end"/>
        </w:r>
      </w:hyperlink>
    </w:p>
    <w:p w14:paraId="70A7D577"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13" w:history="1">
        <w:r w:rsidRPr="009E3E3D">
          <w:rPr>
            <w:rStyle w:val="Hyperlink"/>
            <w:noProof/>
          </w:rPr>
          <w:t>Guideline Statement</w:t>
        </w:r>
        <w:r>
          <w:rPr>
            <w:noProof/>
            <w:webHidden/>
          </w:rPr>
          <w:tab/>
        </w:r>
        <w:r>
          <w:rPr>
            <w:noProof/>
            <w:webHidden/>
          </w:rPr>
          <w:fldChar w:fldCharType="begin"/>
        </w:r>
        <w:r>
          <w:rPr>
            <w:noProof/>
            <w:webHidden/>
          </w:rPr>
          <w:instrText xml:space="preserve"> PAGEREF _Toc155356513 \h </w:instrText>
        </w:r>
        <w:r>
          <w:rPr>
            <w:noProof/>
            <w:webHidden/>
          </w:rPr>
        </w:r>
        <w:r>
          <w:rPr>
            <w:noProof/>
            <w:webHidden/>
          </w:rPr>
          <w:fldChar w:fldCharType="separate"/>
        </w:r>
        <w:r>
          <w:rPr>
            <w:noProof/>
            <w:webHidden/>
          </w:rPr>
          <w:t>2</w:t>
        </w:r>
        <w:r>
          <w:rPr>
            <w:noProof/>
            <w:webHidden/>
          </w:rPr>
          <w:fldChar w:fldCharType="end"/>
        </w:r>
      </w:hyperlink>
    </w:p>
    <w:p w14:paraId="71B51FA7"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14" w:history="1">
        <w:r w:rsidRPr="009E3E3D">
          <w:rPr>
            <w:rStyle w:val="Hyperlink"/>
            <w:noProof/>
          </w:rPr>
          <w:t>Scope</w:t>
        </w:r>
        <w:r>
          <w:rPr>
            <w:noProof/>
            <w:webHidden/>
          </w:rPr>
          <w:tab/>
        </w:r>
        <w:r>
          <w:rPr>
            <w:noProof/>
            <w:webHidden/>
          </w:rPr>
          <w:fldChar w:fldCharType="begin"/>
        </w:r>
        <w:r>
          <w:rPr>
            <w:noProof/>
            <w:webHidden/>
          </w:rPr>
          <w:instrText xml:space="preserve"> PAGEREF _Toc155356514 \h </w:instrText>
        </w:r>
        <w:r>
          <w:rPr>
            <w:noProof/>
            <w:webHidden/>
          </w:rPr>
        </w:r>
        <w:r>
          <w:rPr>
            <w:noProof/>
            <w:webHidden/>
          </w:rPr>
          <w:fldChar w:fldCharType="separate"/>
        </w:r>
        <w:r>
          <w:rPr>
            <w:noProof/>
            <w:webHidden/>
          </w:rPr>
          <w:t>2</w:t>
        </w:r>
        <w:r>
          <w:rPr>
            <w:noProof/>
            <w:webHidden/>
          </w:rPr>
          <w:fldChar w:fldCharType="end"/>
        </w:r>
      </w:hyperlink>
    </w:p>
    <w:p w14:paraId="4C8C3963"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15" w:history="1">
        <w:r w:rsidRPr="009E3E3D">
          <w:rPr>
            <w:rStyle w:val="Hyperlink"/>
            <w:noProof/>
          </w:rPr>
          <w:t>Section 1 – Alcohol Withdrawal</w:t>
        </w:r>
        <w:r>
          <w:rPr>
            <w:noProof/>
            <w:webHidden/>
          </w:rPr>
          <w:tab/>
        </w:r>
        <w:r>
          <w:rPr>
            <w:noProof/>
            <w:webHidden/>
          </w:rPr>
          <w:fldChar w:fldCharType="begin"/>
        </w:r>
        <w:r>
          <w:rPr>
            <w:noProof/>
            <w:webHidden/>
          </w:rPr>
          <w:instrText xml:space="preserve"> PAGEREF _Toc155356515 \h </w:instrText>
        </w:r>
        <w:r>
          <w:rPr>
            <w:noProof/>
            <w:webHidden/>
          </w:rPr>
        </w:r>
        <w:r>
          <w:rPr>
            <w:noProof/>
            <w:webHidden/>
          </w:rPr>
          <w:fldChar w:fldCharType="separate"/>
        </w:r>
        <w:r>
          <w:rPr>
            <w:noProof/>
            <w:webHidden/>
          </w:rPr>
          <w:t>2</w:t>
        </w:r>
        <w:r>
          <w:rPr>
            <w:noProof/>
            <w:webHidden/>
          </w:rPr>
          <w:fldChar w:fldCharType="end"/>
        </w:r>
      </w:hyperlink>
    </w:p>
    <w:p w14:paraId="3A825E36"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16" w:history="1">
        <w:r w:rsidRPr="009E3E3D">
          <w:rPr>
            <w:rStyle w:val="Hyperlink"/>
            <w:noProof/>
          </w:rPr>
          <w:t>Section 2 – Clinical Indicators for commencing an AWS assessment</w:t>
        </w:r>
        <w:r>
          <w:rPr>
            <w:noProof/>
            <w:webHidden/>
          </w:rPr>
          <w:tab/>
        </w:r>
        <w:r>
          <w:rPr>
            <w:noProof/>
            <w:webHidden/>
          </w:rPr>
          <w:fldChar w:fldCharType="begin"/>
        </w:r>
        <w:r>
          <w:rPr>
            <w:noProof/>
            <w:webHidden/>
          </w:rPr>
          <w:instrText xml:space="preserve"> PAGEREF _Toc155356516 \h </w:instrText>
        </w:r>
        <w:r>
          <w:rPr>
            <w:noProof/>
            <w:webHidden/>
          </w:rPr>
        </w:r>
        <w:r>
          <w:rPr>
            <w:noProof/>
            <w:webHidden/>
          </w:rPr>
          <w:fldChar w:fldCharType="separate"/>
        </w:r>
        <w:r>
          <w:rPr>
            <w:noProof/>
            <w:webHidden/>
          </w:rPr>
          <w:t>3</w:t>
        </w:r>
        <w:r>
          <w:rPr>
            <w:noProof/>
            <w:webHidden/>
          </w:rPr>
          <w:fldChar w:fldCharType="end"/>
        </w:r>
      </w:hyperlink>
    </w:p>
    <w:p w14:paraId="36650FE4"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17" w:history="1">
        <w:r w:rsidRPr="009E3E3D">
          <w:rPr>
            <w:rStyle w:val="Hyperlink"/>
            <w:noProof/>
          </w:rPr>
          <w:t>Section 3 – Guidance in the use of the AWS</w:t>
        </w:r>
        <w:r>
          <w:rPr>
            <w:noProof/>
            <w:webHidden/>
          </w:rPr>
          <w:tab/>
        </w:r>
        <w:r>
          <w:rPr>
            <w:noProof/>
            <w:webHidden/>
          </w:rPr>
          <w:fldChar w:fldCharType="begin"/>
        </w:r>
        <w:r>
          <w:rPr>
            <w:noProof/>
            <w:webHidden/>
          </w:rPr>
          <w:instrText xml:space="preserve"> PAGEREF _Toc155356517 \h </w:instrText>
        </w:r>
        <w:r>
          <w:rPr>
            <w:noProof/>
            <w:webHidden/>
          </w:rPr>
        </w:r>
        <w:r>
          <w:rPr>
            <w:noProof/>
            <w:webHidden/>
          </w:rPr>
          <w:fldChar w:fldCharType="separate"/>
        </w:r>
        <w:r>
          <w:rPr>
            <w:noProof/>
            <w:webHidden/>
          </w:rPr>
          <w:t>3</w:t>
        </w:r>
        <w:r>
          <w:rPr>
            <w:noProof/>
            <w:webHidden/>
          </w:rPr>
          <w:fldChar w:fldCharType="end"/>
        </w:r>
      </w:hyperlink>
    </w:p>
    <w:p w14:paraId="5E1F623C"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18" w:history="1">
        <w:r w:rsidRPr="009E3E3D">
          <w:rPr>
            <w:rStyle w:val="Hyperlink"/>
            <w:noProof/>
          </w:rPr>
          <w:t>Section 4 – History of alcohol withdrawal seizures</w:t>
        </w:r>
        <w:r>
          <w:rPr>
            <w:noProof/>
            <w:webHidden/>
          </w:rPr>
          <w:tab/>
        </w:r>
        <w:r>
          <w:rPr>
            <w:noProof/>
            <w:webHidden/>
          </w:rPr>
          <w:fldChar w:fldCharType="begin"/>
        </w:r>
        <w:r>
          <w:rPr>
            <w:noProof/>
            <w:webHidden/>
          </w:rPr>
          <w:instrText xml:space="preserve"> PAGEREF _Toc155356518 \h </w:instrText>
        </w:r>
        <w:r>
          <w:rPr>
            <w:noProof/>
            <w:webHidden/>
          </w:rPr>
        </w:r>
        <w:r>
          <w:rPr>
            <w:noProof/>
            <w:webHidden/>
          </w:rPr>
          <w:fldChar w:fldCharType="separate"/>
        </w:r>
        <w:r>
          <w:rPr>
            <w:noProof/>
            <w:webHidden/>
          </w:rPr>
          <w:t>4</w:t>
        </w:r>
        <w:r>
          <w:rPr>
            <w:noProof/>
            <w:webHidden/>
          </w:rPr>
          <w:fldChar w:fldCharType="end"/>
        </w:r>
      </w:hyperlink>
    </w:p>
    <w:p w14:paraId="750891C7"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19" w:history="1">
        <w:r w:rsidRPr="009E3E3D">
          <w:rPr>
            <w:rStyle w:val="Hyperlink"/>
            <w:noProof/>
          </w:rPr>
          <w:t>Section 5 – Indications for Transfer of people from AMC or DMHU to the Canberra Hospital</w:t>
        </w:r>
        <w:r>
          <w:rPr>
            <w:noProof/>
            <w:webHidden/>
          </w:rPr>
          <w:tab/>
        </w:r>
        <w:r>
          <w:rPr>
            <w:noProof/>
            <w:webHidden/>
          </w:rPr>
          <w:fldChar w:fldCharType="begin"/>
        </w:r>
        <w:r>
          <w:rPr>
            <w:noProof/>
            <w:webHidden/>
          </w:rPr>
          <w:instrText xml:space="preserve"> PAGEREF _Toc155356519 \h </w:instrText>
        </w:r>
        <w:r>
          <w:rPr>
            <w:noProof/>
            <w:webHidden/>
          </w:rPr>
        </w:r>
        <w:r>
          <w:rPr>
            <w:noProof/>
            <w:webHidden/>
          </w:rPr>
          <w:fldChar w:fldCharType="separate"/>
        </w:r>
        <w:r>
          <w:rPr>
            <w:noProof/>
            <w:webHidden/>
          </w:rPr>
          <w:t>6</w:t>
        </w:r>
        <w:r>
          <w:rPr>
            <w:noProof/>
            <w:webHidden/>
          </w:rPr>
          <w:fldChar w:fldCharType="end"/>
        </w:r>
      </w:hyperlink>
    </w:p>
    <w:p w14:paraId="64CD7467"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20" w:history="1">
        <w:r w:rsidRPr="009E3E3D">
          <w:rPr>
            <w:rStyle w:val="Hyperlink"/>
            <w:noProof/>
          </w:rPr>
          <w:t>Section 6 – ADS Outpatient Alcohol Withdrawal Program (OAWP)</w:t>
        </w:r>
        <w:r>
          <w:rPr>
            <w:noProof/>
            <w:webHidden/>
          </w:rPr>
          <w:tab/>
        </w:r>
        <w:r>
          <w:rPr>
            <w:noProof/>
            <w:webHidden/>
          </w:rPr>
          <w:fldChar w:fldCharType="begin"/>
        </w:r>
        <w:r>
          <w:rPr>
            <w:noProof/>
            <w:webHidden/>
          </w:rPr>
          <w:instrText xml:space="preserve"> PAGEREF _Toc155356520 \h </w:instrText>
        </w:r>
        <w:r>
          <w:rPr>
            <w:noProof/>
            <w:webHidden/>
          </w:rPr>
        </w:r>
        <w:r>
          <w:rPr>
            <w:noProof/>
            <w:webHidden/>
          </w:rPr>
          <w:fldChar w:fldCharType="separate"/>
        </w:r>
        <w:r>
          <w:rPr>
            <w:noProof/>
            <w:webHidden/>
          </w:rPr>
          <w:t>6</w:t>
        </w:r>
        <w:r>
          <w:rPr>
            <w:noProof/>
            <w:webHidden/>
          </w:rPr>
          <w:fldChar w:fldCharType="end"/>
        </w:r>
      </w:hyperlink>
    </w:p>
    <w:p w14:paraId="38F79006"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21" w:history="1">
        <w:r w:rsidRPr="009E3E3D">
          <w:rPr>
            <w:rStyle w:val="Hyperlink"/>
            <w:noProof/>
          </w:rPr>
          <w:t>Section 7 – Ambulatory Withdrawal Management</w:t>
        </w:r>
        <w:r>
          <w:rPr>
            <w:noProof/>
            <w:webHidden/>
          </w:rPr>
          <w:tab/>
        </w:r>
        <w:r>
          <w:rPr>
            <w:noProof/>
            <w:webHidden/>
          </w:rPr>
          <w:fldChar w:fldCharType="begin"/>
        </w:r>
        <w:r>
          <w:rPr>
            <w:noProof/>
            <w:webHidden/>
          </w:rPr>
          <w:instrText xml:space="preserve"> PAGEREF _Toc155356521 \h </w:instrText>
        </w:r>
        <w:r>
          <w:rPr>
            <w:noProof/>
            <w:webHidden/>
          </w:rPr>
        </w:r>
        <w:r>
          <w:rPr>
            <w:noProof/>
            <w:webHidden/>
          </w:rPr>
          <w:fldChar w:fldCharType="separate"/>
        </w:r>
        <w:r>
          <w:rPr>
            <w:noProof/>
            <w:webHidden/>
          </w:rPr>
          <w:t>7</w:t>
        </w:r>
        <w:r>
          <w:rPr>
            <w:noProof/>
            <w:webHidden/>
          </w:rPr>
          <w:fldChar w:fldCharType="end"/>
        </w:r>
      </w:hyperlink>
    </w:p>
    <w:p w14:paraId="0C5D12A5"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22" w:history="1">
        <w:r w:rsidRPr="009E3E3D">
          <w:rPr>
            <w:rStyle w:val="Hyperlink"/>
            <w:noProof/>
          </w:rPr>
          <w:t>Evaluation</w:t>
        </w:r>
        <w:r>
          <w:rPr>
            <w:noProof/>
            <w:webHidden/>
          </w:rPr>
          <w:tab/>
        </w:r>
        <w:r>
          <w:rPr>
            <w:noProof/>
            <w:webHidden/>
          </w:rPr>
          <w:fldChar w:fldCharType="begin"/>
        </w:r>
        <w:r>
          <w:rPr>
            <w:noProof/>
            <w:webHidden/>
          </w:rPr>
          <w:instrText xml:space="preserve"> PAGEREF _Toc155356522 \h </w:instrText>
        </w:r>
        <w:r>
          <w:rPr>
            <w:noProof/>
            <w:webHidden/>
          </w:rPr>
        </w:r>
        <w:r>
          <w:rPr>
            <w:noProof/>
            <w:webHidden/>
          </w:rPr>
          <w:fldChar w:fldCharType="separate"/>
        </w:r>
        <w:r>
          <w:rPr>
            <w:noProof/>
            <w:webHidden/>
          </w:rPr>
          <w:t>7</w:t>
        </w:r>
        <w:r>
          <w:rPr>
            <w:noProof/>
            <w:webHidden/>
          </w:rPr>
          <w:fldChar w:fldCharType="end"/>
        </w:r>
      </w:hyperlink>
    </w:p>
    <w:p w14:paraId="69A0FCF6"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23" w:history="1">
        <w:r w:rsidRPr="009E3E3D">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_Toc155356523 \h </w:instrText>
        </w:r>
        <w:r>
          <w:rPr>
            <w:noProof/>
            <w:webHidden/>
          </w:rPr>
        </w:r>
        <w:r>
          <w:rPr>
            <w:noProof/>
            <w:webHidden/>
          </w:rPr>
          <w:fldChar w:fldCharType="separate"/>
        </w:r>
        <w:r>
          <w:rPr>
            <w:noProof/>
            <w:webHidden/>
          </w:rPr>
          <w:t>7</w:t>
        </w:r>
        <w:r>
          <w:rPr>
            <w:noProof/>
            <w:webHidden/>
          </w:rPr>
          <w:fldChar w:fldCharType="end"/>
        </w:r>
      </w:hyperlink>
    </w:p>
    <w:p w14:paraId="60154BF9"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24" w:history="1">
        <w:r w:rsidRPr="009E3E3D">
          <w:rPr>
            <w:rStyle w:val="Hyperlink"/>
            <w:noProof/>
          </w:rPr>
          <w:t>References</w:t>
        </w:r>
        <w:r>
          <w:rPr>
            <w:noProof/>
            <w:webHidden/>
          </w:rPr>
          <w:tab/>
        </w:r>
        <w:r>
          <w:rPr>
            <w:noProof/>
            <w:webHidden/>
          </w:rPr>
          <w:fldChar w:fldCharType="begin"/>
        </w:r>
        <w:r>
          <w:rPr>
            <w:noProof/>
            <w:webHidden/>
          </w:rPr>
          <w:instrText xml:space="preserve"> PAGEREF _Toc155356524 \h </w:instrText>
        </w:r>
        <w:r>
          <w:rPr>
            <w:noProof/>
            <w:webHidden/>
          </w:rPr>
        </w:r>
        <w:r>
          <w:rPr>
            <w:noProof/>
            <w:webHidden/>
          </w:rPr>
          <w:fldChar w:fldCharType="separate"/>
        </w:r>
        <w:r>
          <w:rPr>
            <w:noProof/>
            <w:webHidden/>
          </w:rPr>
          <w:t>8</w:t>
        </w:r>
        <w:r>
          <w:rPr>
            <w:noProof/>
            <w:webHidden/>
          </w:rPr>
          <w:fldChar w:fldCharType="end"/>
        </w:r>
      </w:hyperlink>
    </w:p>
    <w:p w14:paraId="2C106ACC"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25" w:history="1">
        <w:r w:rsidRPr="009E3E3D">
          <w:rPr>
            <w:rStyle w:val="Hyperlink"/>
            <w:noProof/>
          </w:rPr>
          <w:t>Definition of Terms</w:t>
        </w:r>
        <w:r>
          <w:rPr>
            <w:noProof/>
            <w:webHidden/>
          </w:rPr>
          <w:tab/>
        </w:r>
        <w:r>
          <w:rPr>
            <w:noProof/>
            <w:webHidden/>
          </w:rPr>
          <w:fldChar w:fldCharType="begin"/>
        </w:r>
        <w:r>
          <w:rPr>
            <w:noProof/>
            <w:webHidden/>
          </w:rPr>
          <w:instrText xml:space="preserve"> PAGEREF _Toc155356525 \h </w:instrText>
        </w:r>
        <w:r>
          <w:rPr>
            <w:noProof/>
            <w:webHidden/>
          </w:rPr>
        </w:r>
        <w:r>
          <w:rPr>
            <w:noProof/>
            <w:webHidden/>
          </w:rPr>
          <w:fldChar w:fldCharType="separate"/>
        </w:r>
        <w:r>
          <w:rPr>
            <w:noProof/>
            <w:webHidden/>
          </w:rPr>
          <w:t>8</w:t>
        </w:r>
        <w:r>
          <w:rPr>
            <w:noProof/>
            <w:webHidden/>
          </w:rPr>
          <w:fldChar w:fldCharType="end"/>
        </w:r>
      </w:hyperlink>
    </w:p>
    <w:p w14:paraId="0CDDD7B3"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26" w:history="1">
        <w:r w:rsidRPr="009E3E3D">
          <w:rPr>
            <w:rStyle w:val="Hyperlink"/>
            <w:noProof/>
          </w:rPr>
          <w:t>Search Terms</w:t>
        </w:r>
        <w:r>
          <w:rPr>
            <w:noProof/>
            <w:webHidden/>
          </w:rPr>
          <w:tab/>
        </w:r>
        <w:r>
          <w:rPr>
            <w:noProof/>
            <w:webHidden/>
          </w:rPr>
          <w:fldChar w:fldCharType="begin"/>
        </w:r>
        <w:r>
          <w:rPr>
            <w:noProof/>
            <w:webHidden/>
          </w:rPr>
          <w:instrText xml:space="preserve"> PAGEREF _Toc155356526 \h </w:instrText>
        </w:r>
        <w:r>
          <w:rPr>
            <w:noProof/>
            <w:webHidden/>
          </w:rPr>
        </w:r>
        <w:r>
          <w:rPr>
            <w:noProof/>
            <w:webHidden/>
          </w:rPr>
          <w:fldChar w:fldCharType="separate"/>
        </w:r>
        <w:r>
          <w:rPr>
            <w:noProof/>
            <w:webHidden/>
          </w:rPr>
          <w:t>9</w:t>
        </w:r>
        <w:r>
          <w:rPr>
            <w:noProof/>
            <w:webHidden/>
          </w:rPr>
          <w:fldChar w:fldCharType="end"/>
        </w:r>
      </w:hyperlink>
    </w:p>
    <w:p w14:paraId="35A89B5C" w14:textId="77777777" w:rsidR="00F84F14" w:rsidRDefault="00F84F14" w:rsidP="00F84F14">
      <w:pPr>
        <w:pStyle w:val="TOC1"/>
        <w:tabs>
          <w:tab w:val="right" w:leader="dot" w:pos="9060"/>
        </w:tabs>
        <w:rPr>
          <w:rFonts w:eastAsiaTheme="minorEastAsia" w:cstheme="minorBidi"/>
          <w:noProof/>
          <w:kern w:val="2"/>
          <w:sz w:val="22"/>
          <w:szCs w:val="22"/>
          <w:lang w:eastAsia="en-AU"/>
          <w14:ligatures w14:val="standardContextual"/>
        </w:rPr>
      </w:pPr>
      <w:hyperlink w:anchor="_Toc155356527" w:history="1">
        <w:r w:rsidRPr="009E3E3D">
          <w:rPr>
            <w:rStyle w:val="Hyperlink"/>
            <w:noProof/>
          </w:rPr>
          <w:t>Attachments</w:t>
        </w:r>
        <w:r>
          <w:rPr>
            <w:noProof/>
            <w:webHidden/>
          </w:rPr>
          <w:tab/>
        </w:r>
        <w:r>
          <w:rPr>
            <w:noProof/>
            <w:webHidden/>
          </w:rPr>
          <w:fldChar w:fldCharType="begin"/>
        </w:r>
        <w:r>
          <w:rPr>
            <w:noProof/>
            <w:webHidden/>
          </w:rPr>
          <w:instrText xml:space="preserve"> PAGEREF _Toc155356527 \h </w:instrText>
        </w:r>
        <w:r>
          <w:rPr>
            <w:noProof/>
            <w:webHidden/>
          </w:rPr>
        </w:r>
        <w:r>
          <w:rPr>
            <w:noProof/>
            <w:webHidden/>
          </w:rPr>
          <w:fldChar w:fldCharType="separate"/>
        </w:r>
        <w:r>
          <w:rPr>
            <w:noProof/>
            <w:webHidden/>
          </w:rPr>
          <w:t>9</w:t>
        </w:r>
        <w:r>
          <w:rPr>
            <w:noProof/>
            <w:webHidden/>
          </w:rPr>
          <w:fldChar w:fldCharType="end"/>
        </w:r>
      </w:hyperlink>
    </w:p>
    <w:p w14:paraId="205CEE24" w14:textId="77777777" w:rsidR="00F84F14" w:rsidRDefault="00F84F14" w:rsidP="00F84F14">
      <w:pPr>
        <w:pStyle w:val="TOC2"/>
        <w:tabs>
          <w:tab w:val="right" w:leader="dot" w:pos="9060"/>
        </w:tabs>
        <w:rPr>
          <w:rFonts w:eastAsiaTheme="minorEastAsia" w:cstheme="minorBidi"/>
          <w:noProof/>
          <w:kern w:val="2"/>
          <w:sz w:val="22"/>
          <w:szCs w:val="22"/>
          <w:lang w:eastAsia="en-AU"/>
          <w14:ligatures w14:val="standardContextual"/>
        </w:rPr>
      </w:pPr>
      <w:hyperlink w:anchor="_Toc155356528" w:history="1">
        <w:r w:rsidRPr="009E3E3D">
          <w:rPr>
            <w:rStyle w:val="Hyperlink"/>
            <w:noProof/>
          </w:rPr>
          <w:t>Attachment 1 - Features of Alcohol Withdrawal</w:t>
        </w:r>
        <w:r>
          <w:rPr>
            <w:noProof/>
            <w:webHidden/>
          </w:rPr>
          <w:tab/>
        </w:r>
        <w:r>
          <w:rPr>
            <w:noProof/>
            <w:webHidden/>
          </w:rPr>
          <w:fldChar w:fldCharType="begin"/>
        </w:r>
        <w:r>
          <w:rPr>
            <w:noProof/>
            <w:webHidden/>
          </w:rPr>
          <w:instrText xml:space="preserve"> PAGEREF _Toc155356528 \h </w:instrText>
        </w:r>
        <w:r>
          <w:rPr>
            <w:noProof/>
            <w:webHidden/>
          </w:rPr>
        </w:r>
        <w:r>
          <w:rPr>
            <w:noProof/>
            <w:webHidden/>
          </w:rPr>
          <w:fldChar w:fldCharType="separate"/>
        </w:r>
        <w:r>
          <w:rPr>
            <w:noProof/>
            <w:webHidden/>
          </w:rPr>
          <w:t>10</w:t>
        </w:r>
        <w:r>
          <w:rPr>
            <w:noProof/>
            <w:webHidden/>
          </w:rPr>
          <w:fldChar w:fldCharType="end"/>
        </w:r>
      </w:hyperlink>
    </w:p>
    <w:p w14:paraId="2828AD20" w14:textId="77777777" w:rsidR="00F84F14" w:rsidRDefault="00F84F14" w:rsidP="00F84F14">
      <w:pPr>
        <w:pStyle w:val="TOC2"/>
        <w:tabs>
          <w:tab w:val="right" w:leader="dot" w:pos="9060"/>
        </w:tabs>
        <w:rPr>
          <w:rFonts w:eastAsiaTheme="minorEastAsia" w:cstheme="minorBidi"/>
          <w:noProof/>
          <w:kern w:val="2"/>
          <w:sz w:val="22"/>
          <w:szCs w:val="22"/>
          <w:lang w:eastAsia="en-AU"/>
          <w14:ligatures w14:val="standardContextual"/>
        </w:rPr>
      </w:pPr>
      <w:hyperlink w:anchor="_Toc155356529" w:history="1">
        <w:r w:rsidRPr="009E3E3D">
          <w:rPr>
            <w:rStyle w:val="Hyperlink"/>
            <w:noProof/>
          </w:rPr>
          <w:t>Attachment 2 – Alcohol Withdrawal Regimes</w:t>
        </w:r>
        <w:r>
          <w:rPr>
            <w:noProof/>
            <w:webHidden/>
          </w:rPr>
          <w:tab/>
        </w:r>
        <w:r>
          <w:rPr>
            <w:noProof/>
            <w:webHidden/>
          </w:rPr>
          <w:fldChar w:fldCharType="begin"/>
        </w:r>
        <w:r>
          <w:rPr>
            <w:noProof/>
            <w:webHidden/>
          </w:rPr>
          <w:instrText xml:space="preserve"> PAGEREF _Toc155356529 \h </w:instrText>
        </w:r>
        <w:r>
          <w:rPr>
            <w:noProof/>
            <w:webHidden/>
          </w:rPr>
        </w:r>
        <w:r>
          <w:rPr>
            <w:noProof/>
            <w:webHidden/>
          </w:rPr>
          <w:fldChar w:fldCharType="separate"/>
        </w:r>
        <w:r>
          <w:rPr>
            <w:noProof/>
            <w:webHidden/>
          </w:rPr>
          <w:t>11</w:t>
        </w:r>
        <w:r>
          <w:rPr>
            <w:noProof/>
            <w:webHidden/>
          </w:rPr>
          <w:fldChar w:fldCharType="end"/>
        </w:r>
      </w:hyperlink>
    </w:p>
    <w:p w14:paraId="3B867A7E" w14:textId="77777777" w:rsidR="00F84F14" w:rsidRDefault="00F84F14" w:rsidP="00F84F14">
      <w:r>
        <w:rPr>
          <w:rFonts w:asciiTheme="minorHAnsi" w:hAnsiTheme="minorHAnsi" w:cs="Arial"/>
          <w:b/>
          <w:sz w:val="36"/>
          <w:szCs w:val="36"/>
        </w:rPr>
        <w:fldChar w:fldCharType="end"/>
      </w:r>
    </w:p>
    <w:p w14:paraId="311613C2" w14:textId="77777777" w:rsidR="00F84F14" w:rsidRDefault="00F84F14" w:rsidP="00F84F14">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1B2BAC" w14:paraId="33E3112E" w14:textId="77777777" w:rsidTr="005E7883">
        <w:trPr>
          <w:cantSplit/>
          <w:trHeight w:val="285"/>
        </w:trPr>
        <w:tc>
          <w:tcPr>
            <w:tcW w:w="9158" w:type="dxa"/>
            <w:shd w:val="clear" w:color="auto" w:fill="D9D9D9" w:themeFill="background1" w:themeFillShade="D9"/>
          </w:tcPr>
          <w:p w14:paraId="3700C71A" w14:textId="77777777" w:rsidR="00F84F14" w:rsidRPr="002E3BFE" w:rsidRDefault="00F84F14" w:rsidP="005E7883">
            <w:pPr>
              <w:pStyle w:val="Heading1"/>
            </w:pPr>
            <w:r>
              <w:lastRenderedPageBreak/>
              <w:t>Guideline Statement</w:t>
            </w:r>
          </w:p>
        </w:tc>
      </w:tr>
    </w:tbl>
    <w:p w14:paraId="2916D84C" w14:textId="77777777" w:rsidR="00F84F14" w:rsidRDefault="00F84F14" w:rsidP="00F84F14">
      <w:pPr>
        <w:rPr>
          <w:rFonts w:cs="Arial"/>
          <w:b/>
          <w:szCs w:val="24"/>
        </w:rPr>
      </w:pPr>
    </w:p>
    <w:p w14:paraId="6C749321" w14:textId="77777777" w:rsidR="00F84F14" w:rsidRDefault="00F84F14" w:rsidP="00F84F14">
      <w:pPr>
        <w:rPr>
          <w:rFonts w:cs="Arial"/>
          <w:b/>
          <w:szCs w:val="24"/>
        </w:rPr>
      </w:pPr>
      <w:r>
        <w:rPr>
          <w:rFonts w:cs="Arial"/>
          <w:szCs w:val="24"/>
        </w:rPr>
        <w:t>This guideline provides Canberra Health Services (</w:t>
      </w:r>
      <w:r w:rsidRPr="004F4850">
        <w:rPr>
          <w:rFonts w:cs="Arial"/>
          <w:szCs w:val="24"/>
        </w:rPr>
        <w:t>CH</w:t>
      </w:r>
      <w:r>
        <w:rPr>
          <w:rFonts w:cs="Arial"/>
          <w:szCs w:val="24"/>
        </w:rPr>
        <w:t>S</w:t>
      </w:r>
      <w:r w:rsidRPr="004F4850">
        <w:rPr>
          <w:rFonts w:cs="Arial"/>
          <w:szCs w:val="24"/>
        </w:rPr>
        <w:t xml:space="preserve">) Medical and Nursing staff guidance </w:t>
      </w:r>
      <w:r>
        <w:rPr>
          <w:rFonts w:cs="Arial"/>
          <w:szCs w:val="24"/>
        </w:rPr>
        <w:t>relating to</w:t>
      </w:r>
      <w:r w:rsidRPr="004F4850">
        <w:rPr>
          <w:rFonts w:cs="Arial"/>
          <w:szCs w:val="24"/>
        </w:rPr>
        <w:t xml:space="preserve"> the </w:t>
      </w:r>
      <w:r>
        <w:rPr>
          <w:rFonts w:cs="Arial"/>
          <w:szCs w:val="24"/>
        </w:rPr>
        <w:t xml:space="preserve">medical </w:t>
      </w:r>
      <w:r w:rsidRPr="004F4850">
        <w:rPr>
          <w:rFonts w:cs="Arial"/>
          <w:szCs w:val="24"/>
        </w:rPr>
        <w:t>management of Alcohol Withdraw</w:t>
      </w:r>
      <w:r>
        <w:rPr>
          <w:rFonts w:cs="Arial"/>
          <w:szCs w:val="24"/>
        </w:rPr>
        <w:t>al including the following:</w:t>
      </w:r>
    </w:p>
    <w:p w14:paraId="4F3D49AE" w14:textId="77777777" w:rsidR="00F84F14" w:rsidRDefault="00F84F14" w:rsidP="00F84F14">
      <w:pPr>
        <w:pStyle w:val="ListBullet"/>
      </w:pPr>
      <w:r>
        <w:t>clinical indicators for commencing an assessment using the Alcohol Withdrawal Scale (AWS) (see Definitions)</w:t>
      </w:r>
    </w:p>
    <w:p w14:paraId="7D40793D" w14:textId="77777777" w:rsidR="00F84F14" w:rsidRDefault="00F84F14" w:rsidP="00F84F14">
      <w:pPr>
        <w:pStyle w:val="ListBullet"/>
      </w:pPr>
      <w:r>
        <w:t xml:space="preserve">the use of the AWS score in conjunction with the medication order  </w:t>
      </w:r>
    </w:p>
    <w:p w14:paraId="2D7821FB" w14:textId="77777777" w:rsidR="00F84F14" w:rsidRDefault="00F84F14" w:rsidP="00F84F14">
      <w:pPr>
        <w:pStyle w:val="ListBullet"/>
      </w:pPr>
      <w:r>
        <w:t xml:space="preserve">indications for when advice is to be sought from the Alcohol and Drug Service (ADS) Medical Officers and Consultation Liaison </w:t>
      </w:r>
    </w:p>
    <w:p w14:paraId="74BC67BB" w14:textId="77777777" w:rsidR="00F84F14" w:rsidRPr="00501E67" w:rsidRDefault="00F84F14" w:rsidP="00F84F14">
      <w:pPr>
        <w:pStyle w:val="ListBullet"/>
      </w:pPr>
      <w:r>
        <w:t>circumstances under which people experiencing alcohol withdrawal must be transferred from Alexander Maconochie Centre (AMC) or Dhulwa Mental Health Unit (DMHU).</w:t>
      </w:r>
    </w:p>
    <w:p w14:paraId="7AE4710F" w14:textId="77777777" w:rsidR="00F84F14" w:rsidRDefault="00F84F14" w:rsidP="00F84F14"/>
    <w:p w14:paraId="28D23DAB" w14:textId="77777777" w:rsidR="00F84F14" w:rsidRDefault="00F84F14" w:rsidP="00F84F14">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1B2BAC" w14:paraId="72232CBB" w14:textId="77777777" w:rsidTr="005E7883">
        <w:trPr>
          <w:cantSplit/>
          <w:trHeight w:val="285"/>
        </w:trPr>
        <w:tc>
          <w:tcPr>
            <w:tcW w:w="9158" w:type="dxa"/>
            <w:shd w:val="clear" w:color="auto" w:fill="D9D9D9" w:themeFill="background1" w:themeFillShade="D9"/>
          </w:tcPr>
          <w:p w14:paraId="24948E48" w14:textId="77777777" w:rsidR="00F84F14" w:rsidRPr="002E3BFE" w:rsidRDefault="00F84F14" w:rsidP="005E7883">
            <w:pPr>
              <w:pStyle w:val="Heading1"/>
            </w:pPr>
            <w:r>
              <w:t>Scope</w:t>
            </w:r>
          </w:p>
        </w:tc>
      </w:tr>
    </w:tbl>
    <w:p w14:paraId="4A77F433" w14:textId="77777777" w:rsidR="00F84F14" w:rsidRDefault="00F84F14" w:rsidP="00F84F14"/>
    <w:p w14:paraId="76E02283" w14:textId="77777777" w:rsidR="00F84F14" w:rsidRDefault="00F84F14" w:rsidP="00F84F14">
      <w:pPr>
        <w:rPr>
          <w:rFonts w:cs="Arial"/>
          <w:szCs w:val="24"/>
        </w:rPr>
      </w:pPr>
      <w:r w:rsidRPr="00C43235">
        <w:rPr>
          <w:rFonts w:cs="Arial"/>
          <w:szCs w:val="24"/>
        </w:rPr>
        <w:t xml:space="preserve">This </w:t>
      </w:r>
      <w:r>
        <w:rPr>
          <w:rFonts w:cs="Arial"/>
          <w:szCs w:val="24"/>
        </w:rPr>
        <w:t>clinical guideline applies to all CHS patients withdrawing from alcohol.</w:t>
      </w:r>
    </w:p>
    <w:p w14:paraId="0F990191" w14:textId="77777777" w:rsidR="00F84F14" w:rsidRDefault="00F84F14" w:rsidP="00F84F14">
      <w:pPr>
        <w:rPr>
          <w:rFonts w:cs="Arial"/>
          <w:szCs w:val="24"/>
        </w:rPr>
      </w:pPr>
    </w:p>
    <w:p w14:paraId="7BDDC275" w14:textId="77777777" w:rsidR="00F84F14" w:rsidRDefault="00F84F14" w:rsidP="00F84F14">
      <w:pPr>
        <w:rPr>
          <w:rFonts w:cs="Arial"/>
          <w:szCs w:val="24"/>
        </w:rPr>
      </w:pPr>
      <w:r>
        <w:rPr>
          <w:rFonts w:cs="Arial"/>
          <w:szCs w:val="24"/>
        </w:rPr>
        <w:t xml:space="preserve">This guideline applies across the CHS network, </w:t>
      </w:r>
      <w:r>
        <w:t>including the inpatient facilities at Canberra Hospital, Clare Holland House, North Canberra Hospital, and University of Canberra and community-based services. It applies</w:t>
      </w:r>
      <w:r>
        <w:rPr>
          <w:rFonts w:cs="Arial"/>
          <w:szCs w:val="24"/>
        </w:rPr>
        <w:t xml:space="preserve"> to the following CHS staff working within their scope of practice:</w:t>
      </w:r>
    </w:p>
    <w:p w14:paraId="0579F7D8" w14:textId="77777777" w:rsidR="00F84F14" w:rsidRDefault="00F84F14" w:rsidP="00F84F14">
      <w:pPr>
        <w:pStyle w:val="ListParagraph"/>
        <w:numPr>
          <w:ilvl w:val="0"/>
          <w:numId w:val="22"/>
        </w:numPr>
        <w:ind w:left="426" w:hanging="426"/>
        <w:rPr>
          <w:rFonts w:cs="Arial"/>
          <w:szCs w:val="24"/>
        </w:rPr>
      </w:pPr>
      <w:r>
        <w:rPr>
          <w:rFonts w:cs="Arial"/>
          <w:szCs w:val="24"/>
        </w:rPr>
        <w:t>Medical officers</w:t>
      </w:r>
    </w:p>
    <w:p w14:paraId="3325DE54" w14:textId="77777777" w:rsidR="00F84F14" w:rsidRDefault="00F84F14" w:rsidP="00F84F14">
      <w:pPr>
        <w:pStyle w:val="ListParagraph"/>
        <w:numPr>
          <w:ilvl w:val="0"/>
          <w:numId w:val="22"/>
        </w:numPr>
        <w:ind w:left="426" w:hanging="426"/>
        <w:rPr>
          <w:rFonts w:cs="Arial"/>
          <w:szCs w:val="24"/>
        </w:rPr>
      </w:pPr>
      <w:r>
        <w:rPr>
          <w:rFonts w:cs="Arial"/>
          <w:szCs w:val="24"/>
        </w:rPr>
        <w:t>Nurses and midwives</w:t>
      </w:r>
    </w:p>
    <w:p w14:paraId="4ECF1395" w14:textId="77777777" w:rsidR="00F84F14" w:rsidRDefault="00F84F14" w:rsidP="00F84F14">
      <w:pPr>
        <w:pStyle w:val="ListParagraph"/>
        <w:numPr>
          <w:ilvl w:val="0"/>
          <w:numId w:val="22"/>
        </w:numPr>
        <w:ind w:left="426" w:hanging="426"/>
        <w:rPr>
          <w:rFonts w:cs="Arial"/>
          <w:szCs w:val="24"/>
        </w:rPr>
      </w:pPr>
      <w:r>
        <w:rPr>
          <w:rFonts w:cs="Arial"/>
          <w:szCs w:val="24"/>
        </w:rPr>
        <w:t>Students under direct supervision.</w:t>
      </w:r>
    </w:p>
    <w:p w14:paraId="792F1783" w14:textId="77777777" w:rsidR="00F84F14" w:rsidRPr="00A40A0F" w:rsidRDefault="00F84F14" w:rsidP="00F84F14">
      <w:pPr>
        <w:rPr>
          <w:rFonts w:cs="Arial"/>
          <w:szCs w:val="24"/>
        </w:rPr>
      </w:pPr>
    </w:p>
    <w:p w14:paraId="1EA5FB5F" w14:textId="77777777" w:rsidR="00F84F14" w:rsidRPr="00032890" w:rsidRDefault="00F84F14" w:rsidP="00F84F14">
      <w:pPr>
        <w:jc w:val="right"/>
        <w:rPr>
          <w:rFonts w:cs="Arial"/>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CD1C0E" w14:paraId="55050B56" w14:textId="77777777" w:rsidTr="005E7883">
        <w:trPr>
          <w:cantSplit/>
          <w:trHeight w:val="285"/>
        </w:trPr>
        <w:tc>
          <w:tcPr>
            <w:tcW w:w="9158" w:type="dxa"/>
            <w:shd w:val="clear" w:color="auto" w:fill="D9D9D9" w:themeFill="background1" w:themeFillShade="D9"/>
          </w:tcPr>
          <w:p w14:paraId="60A92BE0" w14:textId="77777777" w:rsidR="00F84F14" w:rsidRPr="00C76688" w:rsidRDefault="00F84F14" w:rsidP="005E7883">
            <w:pPr>
              <w:pStyle w:val="Heading1"/>
            </w:pPr>
            <w:r w:rsidRPr="00C76688">
              <w:t>Section 1 –</w:t>
            </w:r>
            <w:r>
              <w:t xml:space="preserve"> Alcohol Withdrawal</w:t>
            </w:r>
          </w:p>
        </w:tc>
      </w:tr>
    </w:tbl>
    <w:p w14:paraId="3D90CFB7" w14:textId="77777777" w:rsidR="00F84F14" w:rsidRDefault="00F84F14" w:rsidP="00F84F14">
      <w:pPr>
        <w:outlineLvl w:val="0"/>
        <w:rPr>
          <w:szCs w:val="24"/>
        </w:rPr>
      </w:pPr>
    </w:p>
    <w:p w14:paraId="777D616A" w14:textId="77777777" w:rsidR="00F84F14" w:rsidRDefault="00F84F14" w:rsidP="00F84F14">
      <w:pPr>
        <w:rPr>
          <w:rFonts w:cs="Calibri"/>
          <w:szCs w:val="24"/>
        </w:rPr>
      </w:pPr>
      <w:r>
        <w:rPr>
          <w:rFonts w:cs="Calibri"/>
          <w:szCs w:val="24"/>
        </w:rPr>
        <w:t xml:space="preserve">Alcohol dependence or heavy alcohol consumption can often be unrecognised, particularly when a </w:t>
      </w:r>
      <w:r>
        <w:t>patient</w:t>
      </w:r>
      <w:r>
        <w:rPr>
          <w:rFonts w:cs="Calibri"/>
          <w:szCs w:val="24"/>
        </w:rPr>
        <w:t xml:space="preserve"> is admitted to hospital for surgery or other reasons. Alcohol withdrawal can lead to seizures, hallucinations, and severe withdrawal syndromes (previously called Delirium Tremens – the “DT’s”), that can be life threatening. It is important that clinicians can assess, recognise and respond to the symptoms of alcohol withdrawal so it can be treated early.</w:t>
      </w:r>
    </w:p>
    <w:p w14:paraId="200F19B8" w14:textId="77777777" w:rsidR="00F84F14" w:rsidRDefault="00F84F14" w:rsidP="00F84F14">
      <w:pPr>
        <w:rPr>
          <w:rFonts w:cs="Calibri"/>
          <w:szCs w:val="24"/>
        </w:rPr>
      </w:pPr>
    </w:p>
    <w:p w14:paraId="7E5A6535" w14:textId="77777777" w:rsidR="00F84F14" w:rsidRDefault="00F84F14" w:rsidP="00F84F14">
      <w:pPr>
        <w:rPr>
          <w:rFonts w:cs="Calibri"/>
          <w:szCs w:val="24"/>
        </w:rPr>
      </w:pPr>
      <w:r w:rsidRPr="00C43235">
        <w:rPr>
          <w:rFonts w:cs="Calibri"/>
          <w:szCs w:val="24"/>
        </w:rPr>
        <w:t>Alcohol withdrawal can start 6 to 12 hours after the last drink and</w:t>
      </w:r>
      <w:r>
        <w:rPr>
          <w:rFonts w:cs="Calibri"/>
          <w:szCs w:val="24"/>
        </w:rPr>
        <w:t xml:space="preserve"> can be independent from a Breath Alcohol Concentration (BAC) reading. </w:t>
      </w:r>
      <w:r w:rsidRPr="00C43235">
        <w:rPr>
          <w:rFonts w:cs="Calibri"/>
          <w:szCs w:val="24"/>
        </w:rPr>
        <w:t xml:space="preserve"> </w:t>
      </w:r>
    </w:p>
    <w:p w14:paraId="6CE99963" w14:textId="77777777" w:rsidR="00F84F14" w:rsidRPr="00C43235" w:rsidRDefault="00F84F14" w:rsidP="00F84F14">
      <w:pPr>
        <w:rPr>
          <w:rFonts w:cs="Calibri"/>
          <w:szCs w:val="24"/>
        </w:rPr>
      </w:pPr>
    </w:p>
    <w:p w14:paraId="58AE63F9" w14:textId="77777777" w:rsidR="00F84F14" w:rsidRDefault="00F84F14" w:rsidP="00F84F14">
      <w:pPr>
        <w:rPr>
          <w:rFonts w:cs="Calibri"/>
          <w:szCs w:val="24"/>
        </w:rPr>
      </w:pPr>
      <w:r w:rsidRPr="00C43235">
        <w:rPr>
          <w:rFonts w:cs="Calibri"/>
          <w:szCs w:val="24"/>
        </w:rPr>
        <w:t xml:space="preserve">The severity of alcohol withdrawal </w:t>
      </w:r>
      <w:r>
        <w:rPr>
          <w:rFonts w:cs="Calibri"/>
          <w:szCs w:val="24"/>
        </w:rPr>
        <w:t>ranges from</w:t>
      </w:r>
      <w:r w:rsidRPr="00C43235">
        <w:rPr>
          <w:rFonts w:cs="Calibri"/>
          <w:szCs w:val="24"/>
        </w:rPr>
        <w:t xml:space="preserve"> mild t</w:t>
      </w:r>
      <w:r>
        <w:rPr>
          <w:rFonts w:cs="Calibri"/>
          <w:szCs w:val="24"/>
        </w:rPr>
        <w:t>hrough</w:t>
      </w:r>
      <w:r w:rsidRPr="00C43235">
        <w:rPr>
          <w:rFonts w:cs="Calibri"/>
          <w:szCs w:val="24"/>
        </w:rPr>
        <w:t xml:space="preserve"> moderate to severe</w:t>
      </w:r>
      <w:r>
        <w:rPr>
          <w:rFonts w:cs="Calibri"/>
          <w:szCs w:val="24"/>
        </w:rPr>
        <w:t xml:space="preserve"> (see Attachment 1 – Features of Alcohol Withdrawal)</w:t>
      </w:r>
      <w:r w:rsidRPr="00C43235">
        <w:rPr>
          <w:rFonts w:cs="Calibri"/>
          <w:szCs w:val="24"/>
        </w:rPr>
        <w:t xml:space="preserve">. </w:t>
      </w:r>
      <w:r>
        <w:rPr>
          <w:rFonts w:cs="Calibri"/>
          <w:szCs w:val="24"/>
        </w:rPr>
        <w:t>The e</w:t>
      </w:r>
      <w:r w:rsidRPr="00C43235">
        <w:rPr>
          <w:rFonts w:cs="Calibri"/>
          <w:szCs w:val="24"/>
        </w:rPr>
        <w:t xml:space="preserve">arly recognition and correct </w:t>
      </w:r>
      <w:r>
        <w:rPr>
          <w:rFonts w:cs="Calibri"/>
          <w:szCs w:val="24"/>
        </w:rPr>
        <w:t xml:space="preserve">medical </w:t>
      </w:r>
      <w:r w:rsidRPr="00C43235">
        <w:rPr>
          <w:rFonts w:cs="Calibri"/>
          <w:szCs w:val="24"/>
        </w:rPr>
        <w:t>management of the initial, milder stages of withdrawal is crucial in</w:t>
      </w:r>
      <w:r>
        <w:rPr>
          <w:rFonts w:cs="Calibri"/>
          <w:szCs w:val="24"/>
        </w:rPr>
        <w:t xml:space="preserve"> preventing</w:t>
      </w:r>
      <w:r w:rsidRPr="00C43235">
        <w:rPr>
          <w:rFonts w:cs="Calibri"/>
          <w:szCs w:val="24"/>
        </w:rPr>
        <w:t xml:space="preserve"> progression </w:t>
      </w:r>
      <w:r w:rsidRPr="00C43235">
        <w:rPr>
          <w:rFonts w:cs="Calibri"/>
          <w:szCs w:val="24"/>
        </w:rPr>
        <w:lastRenderedPageBreak/>
        <w:t>into the severe, life-threatening stages. Seizures can occur at any time during withdrawal, but usually occur within the first 48 hours.</w:t>
      </w:r>
      <w:r>
        <w:rPr>
          <w:rFonts w:cs="Calibri"/>
          <w:szCs w:val="24"/>
        </w:rPr>
        <w:t xml:space="preserve"> This means that seizures can occur before clinically evident alcohol withdrawal. A falls risk assessment should be conducted for all </w:t>
      </w:r>
      <w:r>
        <w:t>patients experiencing alcohol withdrawal</w:t>
      </w:r>
      <w:r>
        <w:rPr>
          <w:rFonts w:cs="Calibri"/>
          <w:szCs w:val="24"/>
        </w:rPr>
        <w:t>.</w:t>
      </w:r>
    </w:p>
    <w:p w14:paraId="353E2EC9" w14:textId="77777777" w:rsidR="00F84F14" w:rsidRDefault="00F84F14" w:rsidP="00F84F14">
      <w:pPr>
        <w:rPr>
          <w:rFonts w:cs="Arial"/>
          <w:i/>
          <w:szCs w:val="24"/>
        </w:rPr>
      </w:pPr>
    </w:p>
    <w:p w14:paraId="2D959B01" w14:textId="77777777" w:rsidR="00F84F14" w:rsidRPr="00DA3910" w:rsidRDefault="00F84F14" w:rsidP="00F84F14">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CD1C0E" w14:paraId="3DB3A695" w14:textId="77777777" w:rsidTr="005E7883">
        <w:trPr>
          <w:cantSplit/>
          <w:trHeight w:val="285"/>
        </w:trPr>
        <w:tc>
          <w:tcPr>
            <w:tcW w:w="9158" w:type="dxa"/>
            <w:shd w:val="clear" w:color="auto" w:fill="D9D9D9" w:themeFill="background1" w:themeFillShade="D9"/>
          </w:tcPr>
          <w:p w14:paraId="5F6841DD" w14:textId="77777777" w:rsidR="00F84F14" w:rsidRPr="00C76688" w:rsidRDefault="00F84F14" w:rsidP="005E7883">
            <w:pPr>
              <w:pStyle w:val="Heading1"/>
            </w:pPr>
            <w:r w:rsidRPr="00C76688">
              <w:t xml:space="preserve">Section 2 – </w:t>
            </w:r>
            <w:r w:rsidRPr="00E225B5">
              <w:t>Clinical Indicators for commencing an AWS</w:t>
            </w:r>
            <w:r>
              <w:t xml:space="preserve"> assessment</w:t>
            </w:r>
          </w:p>
        </w:tc>
      </w:tr>
    </w:tbl>
    <w:p w14:paraId="300A802A" w14:textId="77777777" w:rsidR="00F84F14" w:rsidRDefault="00F84F14" w:rsidP="00F84F14">
      <w:pPr>
        <w:rPr>
          <w:rFonts w:cs="Arial"/>
          <w:i/>
          <w:szCs w:val="24"/>
        </w:rPr>
      </w:pPr>
    </w:p>
    <w:p w14:paraId="1DE3A387" w14:textId="77777777" w:rsidR="00F84F14" w:rsidRPr="00651F2B" w:rsidRDefault="00F84F14" w:rsidP="00F84F14">
      <w:pPr>
        <w:rPr>
          <w:rFonts w:cs="Arial"/>
          <w:szCs w:val="24"/>
        </w:rPr>
      </w:pPr>
      <w:r>
        <w:rPr>
          <w:rFonts w:cs="Arial"/>
          <w:szCs w:val="24"/>
        </w:rPr>
        <w:t xml:space="preserve">Indicators for commencing an </w:t>
      </w:r>
      <w:r w:rsidRPr="00651F2B">
        <w:rPr>
          <w:rFonts w:cs="Arial"/>
          <w:szCs w:val="24"/>
        </w:rPr>
        <w:t>AWS</w:t>
      </w:r>
      <w:r>
        <w:rPr>
          <w:rFonts w:cs="Arial"/>
          <w:szCs w:val="24"/>
        </w:rPr>
        <w:t xml:space="preserve"> assessment include</w:t>
      </w:r>
      <w:r w:rsidRPr="00651F2B">
        <w:rPr>
          <w:rFonts w:cs="Arial"/>
          <w:szCs w:val="24"/>
        </w:rPr>
        <w:t>:</w:t>
      </w:r>
    </w:p>
    <w:p w14:paraId="41052478" w14:textId="77777777" w:rsidR="00F84F14" w:rsidRDefault="00F84F14" w:rsidP="00F84F14">
      <w:pPr>
        <w:pStyle w:val="ListBullet"/>
      </w:pPr>
      <w:r>
        <w:t>a history of heavy drinking or alcohol dependence, and less than 10 days since the last consumption of alcohol by a patient</w:t>
      </w:r>
    </w:p>
    <w:p w14:paraId="7D54F2CC" w14:textId="77777777" w:rsidR="00F84F14" w:rsidRDefault="00F84F14" w:rsidP="00F84F14">
      <w:pPr>
        <w:pStyle w:val="ListBullet"/>
      </w:pPr>
      <w:r>
        <w:t>a regular daily intake of 80g of alcohol for several months or weeks prior to admission</w:t>
      </w:r>
    </w:p>
    <w:p w14:paraId="3EF368D5" w14:textId="77777777" w:rsidR="00F84F14" w:rsidRDefault="00F84F14" w:rsidP="00F84F14">
      <w:pPr>
        <w:pStyle w:val="ListBullet"/>
      </w:pPr>
      <w:r>
        <w:t>a regular consumption of smaller amounts of alcohol in conjunction with significant doses of other Central Nervous System (CNS) depressants, e.g., benzodiazepines</w:t>
      </w:r>
    </w:p>
    <w:p w14:paraId="1B097C70" w14:textId="77777777" w:rsidR="00F84F14" w:rsidRDefault="00F84F14" w:rsidP="00F84F14">
      <w:pPr>
        <w:pStyle w:val="ListBullet"/>
      </w:pPr>
      <w:r>
        <w:t>a history of previous episodes of alcohol withdrawal</w:t>
      </w:r>
    </w:p>
    <w:p w14:paraId="55F78BFC" w14:textId="77777777" w:rsidR="00F84F14" w:rsidRDefault="00F84F14" w:rsidP="00F84F14">
      <w:pPr>
        <w:pStyle w:val="ListBullet"/>
      </w:pPr>
      <w:r>
        <w:t>a history of previous alcohol withdrawal seizures or other serious withdrawal symptoms</w:t>
      </w:r>
    </w:p>
    <w:p w14:paraId="14C21E56" w14:textId="77777777" w:rsidR="00F84F14" w:rsidRDefault="00F84F14" w:rsidP="00F84F14">
      <w:pPr>
        <w:pStyle w:val="ListBullet"/>
      </w:pPr>
      <w:r>
        <w:t>a current admission for an alcohol-related reason</w:t>
      </w:r>
    </w:p>
    <w:p w14:paraId="76129045" w14:textId="77777777" w:rsidR="00F84F14" w:rsidRDefault="00F84F14" w:rsidP="00F84F14">
      <w:pPr>
        <w:pStyle w:val="ListBullet"/>
        <w:rPr>
          <w:rFonts w:asciiTheme="minorHAnsi" w:eastAsiaTheme="minorEastAsia" w:hAnsiTheme="minorHAnsi" w:cstheme="minorBidi"/>
          <w:szCs w:val="24"/>
        </w:rPr>
      </w:pPr>
      <w:r>
        <w:t>a previous history of an alcohol related condition e.g., alcoholic hepatitis, alcoholic cardiomyopathy, pancreatitis, oesophageal varices, and liver disease.</w:t>
      </w:r>
    </w:p>
    <w:p w14:paraId="4135AEC3" w14:textId="77777777" w:rsidR="00F84F14" w:rsidRDefault="00F84F14" w:rsidP="00F84F14">
      <w:pPr>
        <w:pStyle w:val="ListBullet"/>
      </w:pPr>
      <w:r>
        <w:t>a characteristic physical appearance indicating harmful alcohol use e.g., facial vascularisation, or signs of liver disease e.g., ascites, jaundice, muscle wasting, spider naevi, palmar erythema etc.</w:t>
      </w:r>
    </w:p>
    <w:p w14:paraId="437E46E1" w14:textId="77777777" w:rsidR="00F84F14" w:rsidRDefault="00F84F14" w:rsidP="00F84F14">
      <w:pPr>
        <w:pStyle w:val="ListBullet"/>
      </w:pPr>
      <w:r>
        <w:t>recent pathology results showing raised serum Gamma Glutamyl Transpeptidase (GGT) and/or raised mean cell volume (MCV). N</w:t>
      </w:r>
      <w:r w:rsidRPr="007C7D12">
        <w:t>ote that</w:t>
      </w:r>
      <w:r>
        <w:t xml:space="preserve"> these are non-specific and may be raised for unrelated reasons.</w:t>
      </w:r>
    </w:p>
    <w:p w14:paraId="5E720FFC" w14:textId="77777777" w:rsidR="00F84F14" w:rsidRDefault="00F84F14" w:rsidP="00F84F14">
      <w:pPr>
        <w:pStyle w:val="ListBullet"/>
      </w:pPr>
      <w:r>
        <w:t>a history of/reported symptoms such as hypertension, anxiety, sleep disturbance, agitation, tremor, sweatiness, nausea/vomiting, or early morning retching, possibly due to alcohol withdrawal.</w:t>
      </w:r>
    </w:p>
    <w:p w14:paraId="58DC261D" w14:textId="77777777" w:rsidR="00F84F14" w:rsidRDefault="00F84F14" w:rsidP="00F84F14">
      <w:pPr>
        <w:rPr>
          <w:i/>
          <w:iCs/>
          <w:szCs w:val="24"/>
        </w:rPr>
      </w:pPr>
    </w:p>
    <w:p w14:paraId="10AF1223" w14:textId="77777777" w:rsidR="00F84F14" w:rsidRPr="00DA3910" w:rsidRDefault="00F84F14" w:rsidP="00F84F14">
      <w:pPr>
        <w:jc w:val="right"/>
        <w:rPr>
          <w:i/>
          <w:iCs/>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CD1C0E" w14:paraId="6152C056" w14:textId="77777777" w:rsidTr="005E7883">
        <w:trPr>
          <w:cantSplit/>
          <w:trHeight w:val="285"/>
        </w:trPr>
        <w:tc>
          <w:tcPr>
            <w:tcW w:w="9158" w:type="dxa"/>
            <w:shd w:val="clear" w:color="auto" w:fill="D9D9D9" w:themeFill="background1" w:themeFillShade="D9"/>
          </w:tcPr>
          <w:p w14:paraId="275775E6" w14:textId="77777777" w:rsidR="00F84F14" w:rsidRPr="003D2D06" w:rsidRDefault="00F84F14" w:rsidP="005E7883">
            <w:pPr>
              <w:pStyle w:val="Heading1"/>
            </w:pPr>
            <w:r w:rsidRPr="003D2D06">
              <w:t xml:space="preserve">Section </w:t>
            </w:r>
            <w:r>
              <w:t>3</w:t>
            </w:r>
            <w:r w:rsidRPr="003D2D06">
              <w:t xml:space="preserve"> – </w:t>
            </w:r>
            <w:r w:rsidRPr="00E225B5">
              <w:t xml:space="preserve">Guidance in the use of </w:t>
            </w:r>
            <w:r>
              <w:t xml:space="preserve">the </w:t>
            </w:r>
            <w:r w:rsidRPr="00E225B5">
              <w:t>AWS</w:t>
            </w:r>
          </w:p>
        </w:tc>
      </w:tr>
    </w:tbl>
    <w:p w14:paraId="3EA97D88" w14:textId="77777777" w:rsidR="00F84F14" w:rsidRDefault="00F84F14" w:rsidP="00F84F14">
      <w:pPr>
        <w:pStyle w:val="Heading2"/>
      </w:pPr>
    </w:p>
    <w:p w14:paraId="07419F87" w14:textId="77777777" w:rsidR="00F84F14" w:rsidRDefault="00F84F14" w:rsidP="00F84F14">
      <w:pPr>
        <w:rPr>
          <w:rFonts w:cs="Calibri"/>
          <w:szCs w:val="24"/>
        </w:rPr>
      </w:pPr>
      <w:r>
        <w:rPr>
          <w:rFonts w:cs="Calibri"/>
          <w:szCs w:val="24"/>
        </w:rPr>
        <w:t xml:space="preserve">The recommended way to measure the severity of withdrawal is to use a withdrawal scale such as the AWS. This provides a baseline against which changes in withdrawal severity may be measured over time thus avoiding both underdosing and overdosing with benzodiazepines and other symptomatic medications for alcohol withdrawal syndromes. The AWS is a 6-item scale for assessing the clinical course of alcohol withdrawal. The aim is to keep the AWS score less than 5. </w:t>
      </w:r>
    </w:p>
    <w:p w14:paraId="7B91BEB4" w14:textId="77777777" w:rsidR="00F84F14" w:rsidRDefault="00F84F14" w:rsidP="00F84F14">
      <w:pPr>
        <w:rPr>
          <w:rFonts w:cs="Calibri"/>
          <w:szCs w:val="24"/>
        </w:rPr>
      </w:pPr>
    </w:p>
    <w:p w14:paraId="214DF63B" w14:textId="77777777" w:rsidR="00F84F14" w:rsidRDefault="00F84F14" w:rsidP="00F84F14">
      <w:pPr>
        <w:rPr>
          <w:rFonts w:cs="Calibri"/>
        </w:rPr>
      </w:pPr>
      <w:r w:rsidRPr="7F82CF16">
        <w:rPr>
          <w:rFonts w:cs="Calibri"/>
        </w:rPr>
        <w:t xml:space="preserve">The AWS form can be found on </w:t>
      </w:r>
      <w:r>
        <w:rPr>
          <w:rFonts w:cs="Calibri"/>
        </w:rPr>
        <w:t xml:space="preserve">DHR or on </w:t>
      </w:r>
      <w:r w:rsidRPr="7F82CF16">
        <w:rPr>
          <w:rFonts w:cs="Calibri"/>
        </w:rPr>
        <w:t>the Clinical Forms Register</w:t>
      </w:r>
      <w:r>
        <w:rPr>
          <w:rFonts w:cs="Calibri"/>
        </w:rPr>
        <w:t xml:space="preserve"> (no. 60420)</w:t>
      </w:r>
      <w:r w:rsidRPr="7F82CF16">
        <w:rPr>
          <w:rFonts w:cs="Calibri"/>
        </w:rPr>
        <w:t xml:space="preserve">. Staff should </w:t>
      </w:r>
      <w:r>
        <w:t>where possible</w:t>
      </w:r>
      <w:r w:rsidRPr="7F82CF16" w:rsidDel="00F13496">
        <w:rPr>
          <w:rFonts w:cs="Calibri"/>
        </w:rPr>
        <w:t xml:space="preserve"> </w:t>
      </w:r>
      <w:r w:rsidRPr="7F82CF16">
        <w:rPr>
          <w:rFonts w:cs="Calibri"/>
        </w:rPr>
        <w:t xml:space="preserve">record the time of the last alcoholic drink, and the blood or breath alcohol reading at the time of admission. This will provide a more accurate diagnosis of any </w:t>
      </w:r>
      <w:r w:rsidRPr="7F82CF16">
        <w:rPr>
          <w:rFonts w:cs="Calibri"/>
        </w:rPr>
        <w:lastRenderedPageBreak/>
        <w:t>risk of withdrawal and its anticipated time of onset, and/or poly drug overdose or concurrent illness or injury.</w:t>
      </w:r>
    </w:p>
    <w:p w14:paraId="46EBEC35" w14:textId="77777777" w:rsidR="00F84F14" w:rsidRDefault="00F84F14" w:rsidP="00F84F14">
      <w:pPr>
        <w:rPr>
          <w:rFonts w:cs="Calibri"/>
          <w:szCs w:val="24"/>
        </w:rPr>
      </w:pPr>
    </w:p>
    <w:p w14:paraId="63D17EA0" w14:textId="77777777" w:rsidR="00F84F14" w:rsidRDefault="00F84F14" w:rsidP="00F84F14">
      <w:pPr>
        <w:rPr>
          <w:rFonts w:cs="Calibri"/>
          <w:szCs w:val="24"/>
        </w:rPr>
      </w:pPr>
      <w:r w:rsidRPr="00407B48">
        <w:rPr>
          <w:rFonts w:cs="Calibri"/>
          <w:bCs/>
          <w:szCs w:val="24"/>
        </w:rPr>
        <w:t>The AWS does not diagnose the alcohol withdrawal syndrome,</w:t>
      </w:r>
      <w:r>
        <w:rPr>
          <w:rFonts w:cs="Calibri"/>
          <w:szCs w:val="24"/>
        </w:rPr>
        <w:t xml:space="preserve"> but merely guides in the identification of symptoms to indicate the severity of an already diagnosed or anticipated withdrawal syndrome.</w:t>
      </w:r>
    </w:p>
    <w:p w14:paraId="76F3A400" w14:textId="77777777" w:rsidR="00F84F14" w:rsidRDefault="00F84F14" w:rsidP="00F84F14">
      <w:pPr>
        <w:rPr>
          <w:rFonts w:cs="Calibri"/>
          <w:szCs w:val="24"/>
        </w:rPr>
      </w:pPr>
    </w:p>
    <w:p w14:paraId="7BE79912" w14:textId="77777777" w:rsidR="00F84F14" w:rsidRPr="00263D13" w:rsidRDefault="00F84F14" w:rsidP="00F84F14">
      <w:pPr>
        <w:rPr>
          <w:b/>
          <w:bCs/>
        </w:rPr>
      </w:pPr>
      <w:r w:rsidRPr="00263D13">
        <w:rPr>
          <w:b/>
          <w:bCs/>
        </w:rPr>
        <w:t>Association between a medication dosage scale and AWS score</w:t>
      </w:r>
    </w:p>
    <w:p w14:paraId="7EE83827" w14:textId="77777777" w:rsidR="00F84F14" w:rsidRDefault="00F84F14" w:rsidP="00F84F14">
      <w:pPr>
        <w:rPr>
          <w:rFonts w:cs="Calibri"/>
          <w:szCs w:val="24"/>
        </w:rPr>
      </w:pPr>
      <w:r>
        <w:rPr>
          <w:rFonts w:cs="Calibri"/>
          <w:szCs w:val="24"/>
        </w:rPr>
        <w:t>The most commonly prescribed pharmacological treatment for alcohol withdrawal is diazepam because it is long acting, there is a cross tolerance with alcohol, and it has anti-convulsant properties. A potential risk is over sedation with benzodiazepines, but that is unusual and more often the dose of diazepam prescribed in the hospital setting is inadequate to control withdrawal symptoms. Benzodiazepines are generally very safe drugs to use in these circumstances.</w:t>
      </w:r>
    </w:p>
    <w:p w14:paraId="2DBF30AC" w14:textId="77777777" w:rsidR="00F84F14" w:rsidRDefault="00F84F14" w:rsidP="00F84F14">
      <w:pPr>
        <w:rPr>
          <w:rFonts w:cs="Calibri"/>
          <w:szCs w:val="24"/>
        </w:rPr>
      </w:pPr>
    </w:p>
    <w:p w14:paraId="1ABAFDBE" w14:textId="77777777" w:rsidR="00F84F14" w:rsidRDefault="00F84F14" w:rsidP="00F84F14">
      <w:pPr>
        <w:rPr>
          <w:rFonts w:cs="Calibri"/>
          <w:szCs w:val="24"/>
        </w:rPr>
      </w:pPr>
      <w:r>
        <w:rPr>
          <w:rFonts w:cs="Calibri"/>
          <w:szCs w:val="24"/>
        </w:rPr>
        <w:t>Diazepam 10-20mg (orally) should be prescribed to keep the AWS score less than 5. If more than around 80 mg of Diazepam is required over 24 hours, a medical review is indicated. During normal business hours the ADS Medical officer should be consulted; after hours a medical review by the RMO/ Medical Registrar on call should be sought (see Attachment 2 - Alcohol Withdrawal Regimes).</w:t>
      </w:r>
    </w:p>
    <w:p w14:paraId="12A531E6" w14:textId="77777777" w:rsidR="00F84F14" w:rsidRDefault="00F84F14" w:rsidP="00F84F14">
      <w:pPr>
        <w:rPr>
          <w:rFonts w:cs="Arial"/>
          <w:b/>
          <w:szCs w:val="24"/>
        </w:rPr>
      </w:pPr>
    </w:p>
    <w:p w14:paraId="66781028" w14:textId="77777777" w:rsidR="00F84F14" w:rsidRPr="00501E67" w:rsidRDefault="00F84F14" w:rsidP="00F84F14">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072" w:type="dxa"/>
        <w:tblLook w:val="0000" w:firstRow="0" w:lastRow="0" w:firstColumn="0" w:lastColumn="0" w:noHBand="0" w:noVBand="0"/>
      </w:tblPr>
      <w:tblGrid>
        <w:gridCol w:w="9072"/>
      </w:tblGrid>
      <w:tr w:rsidR="00F84F14" w:rsidRPr="003D2D06" w14:paraId="46AD63F3" w14:textId="77777777" w:rsidTr="005E7883">
        <w:trPr>
          <w:cantSplit/>
          <w:trHeight w:val="285"/>
        </w:trPr>
        <w:tc>
          <w:tcPr>
            <w:tcW w:w="9072" w:type="dxa"/>
            <w:shd w:val="clear" w:color="auto" w:fill="D9D9D9" w:themeFill="background1" w:themeFillShade="D9"/>
          </w:tcPr>
          <w:p w14:paraId="2710B2F0" w14:textId="77777777" w:rsidR="00F84F14" w:rsidRPr="0073087A" w:rsidRDefault="00F84F14" w:rsidP="005E7883">
            <w:pPr>
              <w:pStyle w:val="Heading1"/>
            </w:pPr>
            <w:r w:rsidRPr="0073087A">
              <w:t>Section 4 – History of alcohol withdrawal seizures</w:t>
            </w:r>
          </w:p>
        </w:tc>
      </w:tr>
    </w:tbl>
    <w:p w14:paraId="04E0350D" w14:textId="77777777" w:rsidR="00F84F14" w:rsidRDefault="00F84F14" w:rsidP="00F84F14">
      <w:pPr>
        <w:rPr>
          <w:rFonts w:cs="Calibri"/>
          <w:szCs w:val="24"/>
        </w:rPr>
      </w:pPr>
    </w:p>
    <w:tbl>
      <w:tblPr>
        <w:tblStyle w:val="TableGrid"/>
        <w:tblW w:w="0" w:type="auto"/>
        <w:tblLook w:val="04A0" w:firstRow="1" w:lastRow="0" w:firstColumn="1" w:lastColumn="0" w:noHBand="0" w:noVBand="1"/>
      </w:tblPr>
      <w:tblGrid>
        <w:gridCol w:w="9060"/>
      </w:tblGrid>
      <w:tr w:rsidR="00F84F14" w14:paraId="02A29C4A" w14:textId="77777777" w:rsidTr="005E7883">
        <w:tc>
          <w:tcPr>
            <w:tcW w:w="9060" w:type="dxa"/>
          </w:tcPr>
          <w:p w14:paraId="285FEA0C" w14:textId="77777777" w:rsidR="00F84F14" w:rsidRDefault="00F84F14" w:rsidP="005E7883">
            <w:pPr>
              <w:rPr>
                <w:rFonts w:cs="Calibri"/>
                <w:szCs w:val="24"/>
              </w:rPr>
            </w:pPr>
            <w:r w:rsidRPr="004255EE">
              <w:rPr>
                <w:rFonts w:cs="Calibri"/>
                <w:b/>
                <w:szCs w:val="24"/>
              </w:rPr>
              <w:t>Alert</w:t>
            </w:r>
            <w:r>
              <w:rPr>
                <w:rFonts w:cs="Calibri"/>
                <w:szCs w:val="24"/>
              </w:rPr>
              <w:t>: Any seizure must be taken seriously and investigated for causes</w:t>
            </w:r>
          </w:p>
        </w:tc>
      </w:tr>
    </w:tbl>
    <w:p w14:paraId="335272C3" w14:textId="77777777" w:rsidR="00F84F14" w:rsidRDefault="00F84F14" w:rsidP="00F84F14">
      <w:pPr>
        <w:rPr>
          <w:rFonts w:cs="Calibri"/>
          <w:szCs w:val="24"/>
        </w:rPr>
      </w:pPr>
    </w:p>
    <w:p w14:paraId="7D097F4D" w14:textId="77777777" w:rsidR="00F84F14" w:rsidRDefault="00F84F14" w:rsidP="00F84F14">
      <w:pPr>
        <w:rPr>
          <w:rFonts w:cs="Calibri"/>
          <w:szCs w:val="24"/>
        </w:rPr>
      </w:pPr>
      <w:r w:rsidRPr="005F0684">
        <w:rPr>
          <w:rFonts w:cs="Calibri"/>
          <w:szCs w:val="24"/>
        </w:rPr>
        <w:t xml:space="preserve">People with a past history of alcohol withdrawal seizures should be prescribed a benzodiazepine as soon as the Blood Alcohol Level (BAL) reaches zero. This is done as a loading protocol of diazepam i.e. 10-20 mg hourly to 60mg in total (titrated to the </w:t>
      </w:r>
      <w:r w:rsidRPr="005F0684">
        <w:t>patient</w:t>
      </w:r>
      <w:r w:rsidRPr="005F0684">
        <w:rPr>
          <w:rFonts w:cs="Calibri"/>
          <w:szCs w:val="24"/>
        </w:rPr>
        <w:t xml:space="preserve">’s level of sedation). Staff should </w:t>
      </w:r>
      <w:r>
        <w:rPr>
          <w:rFonts w:cs="Calibri"/>
          <w:szCs w:val="24"/>
        </w:rPr>
        <w:t>monitor the patient</w:t>
      </w:r>
      <w:r w:rsidRPr="005F0684">
        <w:rPr>
          <w:rFonts w:cs="Calibri"/>
          <w:szCs w:val="24"/>
        </w:rPr>
        <w:t xml:space="preserve"> for over-sedation. If a loading protocol is not used, regular prescribed doses are equally effective (e.g. 10 mg four times per day). </w:t>
      </w:r>
    </w:p>
    <w:p w14:paraId="7065A35B" w14:textId="77777777" w:rsidR="00F84F14" w:rsidRPr="005F0684" w:rsidRDefault="00F84F14" w:rsidP="00F84F14">
      <w:pPr>
        <w:rPr>
          <w:rFonts w:cs="Calibri"/>
          <w:szCs w:val="24"/>
        </w:rPr>
      </w:pPr>
      <w:r w:rsidRPr="005F0684">
        <w:rPr>
          <w:rFonts w:cs="Calibri"/>
          <w:szCs w:val="24"/>
        </w:rPr>
        <w:t>Patients who have experienced seizures or significant alcohol withdrawal symptoms in the past before the BAL has reached zero can be safely given benzodiazepines provided the BAL is below 30mmol/L and they are under close observation.</w:t>
      </w:r>
    </w:p>
    <w:p w14:paraId="0638D9F7" w14:textId="77777777" w:rsidR="00F84F14" w:rsidRPr="005F0684" w:rsidRDefault="00F84F14" w:rsidP="00F84F14">
      <w:pPr>
        <w:rPr>
          <w:rFonts w:cs="Calibri"/>
          <w:szCs w:val="24"/>
        </w:rPr>
      </w:pPr>
    </w:p>
    <w:p w14:paraId="4E0E8E9A" w14:textId="77777777" w:rsidR="00F84F14" w:rsidRPr="002B51BF" w:rsidRDefault="00F84F14" w:rsidP="00F84F14">
      <w:pPr>
        <w:pBdr>
          <w:top w:val="single" w:sz="4" w:space="1" w:color="auto"/>
          <w:left w:val="single" w:sz="4" w:space="4" w:color="auto"/>
          <w:bottom w:val="single" w:sz="4" w:space="1" w:color="auto"/>
          <w:right w:val="single" w:sz="4" w:space="4" w:color="auto"/>
        </w:pBdr>
        <w:rPr>
          <w:rFonts w:cs="Calibri"/>
          <w:szCs w:val="24"/>
        </w:rPr>
      </w:pPr>
      <w:r>
        <w:rPr>
          <w:rFonts w:cs="Calibri"/>
          <w:b/>
          <w:bCs/>
          <w:szCs w:val="24"/>
        </w:rPr>
        <w:t xml:space="preserve">NOTE: </w:t>
      </w:r>
      <w:r w:rsidRPr="005F0684">
        <w:rPr>
          <w:rFonts w:cs="Calibri"/>
          <w:szCs w:val="24"/>
        </w:rPr>
        <w:t>only diazepam, which is long acting, can be used in a loading protocol. Other benzodiazepines mentioned in this procedure are equally effective for alcohol withdrawal, but their half-life is too short for a loading</w:t>
      </w:r>
      <w:r>
        <w:rPr>
          <w:rFonts w:cs="Calibri"/>
          <w:szCs w:val="24"/>
        </w:rPr>
        <w:t xml:space="preserve"> protocol</w:t>
      </w:r>
      <w:r w:rsidRPr="005F0684">
        <w:rPr>
          <w:rFonts w:cs="Calibri"/>
          <w:szCs w:val="24"/>
        </w:rPr>
        <w:t xml:space="preserve"> to be effective over the ensuing days</w:t>
      </w:r>
      <w:r>
        <w:rPr>
          <w:rFonts w:cs="Calibri"/>
          <w:szCs w:val="24"/>
        </w:rPr>
        <w:t>.</w:t>
      </w:r>
      <w:r w:rsidRPr="005F0684">
        <w:rPr>
          <w:rFonts w:cs="Calibri"/>
          <w:szCs w:val="24"/>
        </w:rPr>
        <w:t xml:space="preserve"> The other</w:t>
      </w:r>
      <w:r>
        <w:rPr>
          <w:rFonts w:cs="Calibri"/>
          <w:szCs w:val="24"/>
        </w:rPr>
        <w:t xml:space="preserve"> benzodiazepines</w:t>
      </w:r>
      <w:r w:rsidRPr="005F0684">
        <w:rPr>
          <w:rFonts w:cs="Calibri"/>
          <w:szCs w:val="24"/>
        </w:rPr>
        <w:t xml:space="preserve"> should be used in a daily reducing</w:t>
      </w:r>
      <w:r>
        <w:rPr>
          <w:rFonts w:cs="Calibri"/>
          <w:szCs w:val="24"/>
        </w:rPr>
        <w:t>, as required,</w:t>
      </w:r>
      <w:r w:rsidRPr="005F0684">
        <w:rPr>
          <w:rFonts w:cs="Calibri"/>
          <w:szCs w:val="24"/>
        </w:rPr>
        <w:t xml:space="preserve"> protocol</w:t>
      </w:r>
      <w:r>
        <w:rPr>
          <w:rFonts w:cs="Calibri"/>
          <w:szCs w:val="24"/>
        </w:rPr>
        <w:t>.</w:t>
      </w:r>
    </w:p>
    <w:p w14:paraId="1F819ACA" w14:textId="77777777" w:rsidR="00F84F14" w:rsidRDefault="00F84F14" w:rsidP="00F84F14">
      <w:pPr>
        <w:jc w:val="both"/>
        <w:rPr>
          <w:rFonts w:cs="Calibri"/>
          <w:szCs w:val="24"/>
        </w:rPr>
      </w:pPr>
    </w:p>
    <w:p w14:paraId="4A1BFFFD" w14:textId="77777777" w:rsidR="00F84F14" w:rsidRDefault="00F84F14" w:rsidP="00F84F14">
      <w:pPr>
        <w:rPr>
          <w:rFonts w:cs="Calibri"/>
          <w:szCs w:val="24"/>
        </w:rPr>
      </w:pPr>
      <w:r>
        <w:rPr>
          <w:rFonts w:cs="Calibri"/>
          <w:szCs w:val="24"/>
        </w:rPr>
        <w:t>Diazepam should only be withheld if signs of benzodiazepine intoxication or over-sedation is present. 10mg diazepam is the standard dose for “most patients”. Where there are concerns due to frailty, age, or low weight, then 5mg diazepam dose is safer but the patient will need close monitoring for withdrawal symptoms and possibly more frequent doses.</w:t>
      </w:r>
    </w:p>
    <w:p w14:paraId="2F386720" w14:textId="77777777" w:rsidR="00F84F14" w:rsidRDefault="00F84F14" w:rsidP="00F84F14">
      <w:pPr>
        <w:rPr>
          <w:rFonts w:cs="Calibri"/>
          <w:szCs w:val="24"/>
        </w:rPr>
      </w:pPr>
    </w:p>
    <w:p w14:paraId="21D904C7" w14:textId="77777777" w:rsidR="00F84F14" w:rsidRDefault="00F84F14" w:rsidP="00F84F14">
      <w:pPr>
        <w:rPr>
          <w:rFonts w:cs="Calibri"/>
          <w:szCs w:val="24"/>
        </w:rPr>
      </w:pPr>
    </w:p>
    <w:p w14:paraId="1D990B14" w14:textId="77777777" w:rsidR="00F84F14" w:rsidRPr="00263D13" w:rsidRDefault="00F84F14" w:rsidP="00F84F14">
      <w:pPr>
        <w:rPr>
          <w:b/>
          <w:bCs/>
        </w:rPr>
      </w:pPr>
      <w:r w:rsidRPr="00263D13">
        <w:rPr>
          <w:b/>
          <w:bCs/>
        </w:rPr>
        <w:t>Alcohol withdrawal management where Diazepam sedation is contraindicated:</w:t>
      </w:r>
    </w:p>
    <w:p w14:paraId="134ACE5E" w14:textId="77777777" w:rsidR="00F84F14" w:rsidRPr="00407B48" w:rsidRDefault="00F84F14" w:rsidP="00F84F14">
      <w:pPr>
        <w:numPr>
          <w:ilvl w:val="0"/>
          <w:numId w:val="15"/>
        </w:numPr>
        <w:jc w:val="both"/>
        <w:rPr>
          <w:rFonts w:cs="Calibri"/>
          <w:bCs/>
          <w:i/>
          <w:iCs/>
          <w:szCs w:val="24"/>
        </w:rPr>
      </w:pPr>
      <w:r w:rsidRPr="00407B48">
        <w:rPr>
          <w:rFonts w:cs="Calibri"/>
          <w:bCs/>
          <w:i/>
          <w:iCs/>
          <w:szCs w:val="24"/>
        </w:rPr>
        <w:t>Acute or chronic liver disease</w:t>
      </w:r>
    </w:p>
    <w:p w14:paraId="37DBA64B" w14:textId="77777777" w:rsidR="00F84F14" w:rsidRDefault="00F84F14" w:rsidP="00F84F14">
      <w:pPr>
        <w:pStyle w:val="ListBullet"/>
      </w:pPr>
      <w:r>
        <w:t>The advice of an ADS specialist medical officer is necessary.</w:t>
      </w:r>
    </w:p>
    <w:p w14:paraId="0087634B" w14:textId="77777777" w:rsidR="00F84F14" w:rsidRDefault="00F84F14" w:rsidP="00F84F14">
      <w:pPr>
        <w:pStyle w:val="ListBullet"/>
      </w:pPr>
      <w:r>
        <w:t xml:space="preserve">It is essential to determine that the patient is in withdrawal and not hepatic encephalopathy as sedation may be dangerous. </w:t>
      </w:r>
    </w:p>
    <w:p w14:paraId="64F8D1C4" w14:textId="77777777" w:rsidR="00F84F14" w:rsidRDefault="00F84F14" w:rsidP="00F84F14">
      <w:pPr>
        <w:pStyle w:val="ListBullet"/>
      </w:pPr>
      <w:r>
        <w:t>In the presence of decompensated liver disease, the choice of benzodiazepine formulation is different, and often the dose of the sedative needs to be lower than for people who have normal liver function.</w:t>
      </w:r>
    </w:p>
    <w:p w14:paraId="38943BC6" w14:textId="77777777" w:rsidR="00F84F14" w:rsidRDefault="00F84F14" w:rsidP="00F84F14">
      <w:pPr>
        <w:pStyle w:val="ListBullet"/>
      </w:pPr>
      <w:r>
        <w:t xml:space="preserve">Oxazepam or Lorazepam may be preferable to Diazepam. Please seek advice from an ADS Specialist. </w:t>
      </w:r>
    </w:p>
    <w:p w14:paraId="29C5EBA1" w14:textId="77777777" w:rsidR="00F84F14" w:rsidRDefault="00F84F14" w:rsidP="00F84F14">
      <w:pPr>
        <w:ind w:left="644"/>
        <w:jc w:val="both"/>
        <w:rPr>
          <w:rFonts w:cs="Calibri"/>
          <w:szCs w:val="24"/>
        </w:rPr>
      </w:pPr>
    </w:p>
    <w:p w14:paraId="28ED4B05" w14:textId="77777777" w:rsidR="00F84F14" w:rsidRPr="00407B48" w:rsidRDefault="00F84F14" w:rsidP="00F84F14">
      <w:pPr>
        <w:numPr>
          <w:ilvl w:val="0"/>
          <w:numId w:val="15"/>
        </w:numPr>
        <w:jc w:val="both"/>
        <w:rPr>
          <w:rFonts w:cs="Calibri"/>
          <w:bCs/>
          <w:i/>
          <w:iCs/>
          <w:szCs w:val="24"/>
        </w:rPr>
      </w:pPr>
      <w:r w:rsidRPr="00407B48">
        <w:rPr>
          <w:rFonts w:cs="Calibri"/>
          <w:bCs/>
          <w:i/>
          <w:iCs/>
          <w:szCs w:val="24"/>
        </w:rPr>
        <w:t>Chronic airflow limitation</w:t>
      </w:r>
    </w:p>
    <w:p w14:paraId="3263B5E4" w14:textId="77777777" w:rsidR="00F84F14" w:rsidRDefault="00F84F14" w:rsidP="00F84F14">
      <w:pPr>
        <w:pStyle w:val="ListBullet"/>
      </w:pPr>
      <w:r>
        <w:t>The advice of an ADS specialist medical officer is necessary.</w:t>
      </w:r>
    </w:p>
    <w:p w14:paraId="3645B2B6" w14:textId="77777777" w:rsidR="00F84F14" w:rsidRDefault="00F84F14" w:rsidP="00F84F14">
      <w:pPr>
        <w:pStyle w:val="ListBullet"/>
      </w:pPr>
      <w:r>
        <w:t>Diazepam should not be used if a patient has respiratory failure as it may worsen the condition due to respiratory depression.</w:t>
      </w:r>
    </w:p>
    <w:p w14:paraId="2AE5C384" w14:textId="77777777" w:rsidR="00F84F14" w:rsidRDefault="00F84F14" w:rsidP="00F84F14">
      <w:pPr>
        <w:pStyle w:val="ListBullet"/>
      </w:pPr>
      <w:r>
        <w:t>An Oxazepam regime e.g., 15-30mg prn, may be the choice in this instance as it has a shorter half-life.</w:t>
      </w:r>
    </w:p>
    <w:p w14:paraId="4B8A58CC" w14:textId="77777777" w:rsidR="00F84F14" w:rsidRDefault="00F84F14" w:rsidP="00F84F14">
      <w:pPr>
        <w:pStyle w:val="ListParagraph"/>
        <w:jc w:val="both"/>
      </w:pPr>
    </w:p>
    <w:p w14:paraId="157D6CA5" w14:textId="77777777" w:rsidR="00F84F14" w:rsidRPr="00407B48" w:rsidRDefault="00F84F14" w:rsidP="00F84F14">
      <w:pPr>
        <w:numPr>
          <w:ilvl w:val="0"/>
          <w:numId w:val="15"/>
        </w:numPr>
        <w:jc w:val="both"/>
        <w:rPr>
          <w:rFonts w:cs="Calibri"/>
          <w:bCs/>
          <w:i/>
          <w:iCs/>
          <w:szCs w:val="24"/>
        </w:rPr>
      </w:pPr>
      <w:r w:rsidRPr="00407B48">
        <w:rPr>
          <w:rFonts w:cs="Calibri"/>
          <w:bCs/>
          <w:i/>
          <w:iCs/>
          <w:szCs w:val="24"/>
        </w:rPr>
        <w:t>No oral intake (nil by mouth)</w:t>
      </w:r>
    </w:p>
    <w:p w14:paraId="07BDA3F3" w14:textId="77777777" w:rsidR="00F84F14" w:rsidRDefault="00F84F14" w:rsidP="00F84F14">
      <w:pPr>
        <w:pStyle w:val="ListBullet"/>
      </w:pPr>
      <w:r>
        <w:t>Consult a specialist medical officer for advice as to intravenous or intramuscular injection sedation.</w:t>
      </w:r>
    </w:p>
    <w:p w14:paraId="114768FD" w14:textId="77777777" w:rsidR="00F84F14" w:rsidRDefault="00F84F14" w:rsidP="00F84F14">
      <w:pPr>
        <w:jc w:val="both"/>
        <w:rPr>
          <w:rFonts w:cs="Calibri"/>
          <w:szCs w:val="24"/>
        </w:rPr>
      </w:pPr>
    </w:p>
    <w:p w14:paraId="7B935EDD" w14:textId="77777777" w:rsidR="00F84F14" w:rsidRPr="00263D13" w:rsidRDefault="00F84F14" w:rsidP="00F84F14">
      <w:pPr>
        <w:rPr>
          <w:b/>
          <w:bCs/>
        </w:rPr>
      </w:pPr>
      <w:r w:rsidRPr="00263D13">
        <w:rPr>
          <w:b/>
          <w:bCs/>
        </w:rPr>
        <w:t>Indications for when advice/review should be sought from ADS</w:t>
      </w:r>
    </w:p>
    <w:p w14:paraId="5FAB43E3" w14:textId="77777777" w:rsidR="00F84F14" w:rsidRPr="00A77FC8" w:rsidRDefault="00F84F14" w:rsidP="00F84F14">
      <w:r>
        <w:t>Advice or review should be sought from ADS in the following situations:</w:t>
      </w:r>
    </w:p>
    <w:p w14:paraId="48584231" w14:textId="77777777" w:rsidR="00F84F14" w:rsidRPr="00FD7524" w:rsidRDefault="00F84F14" w:rsidP="00F84F14">
      <w:pPr>
        <w:pStyle w:val="ListBullet"/>
      </w:pPr>
      <w:r>
        <w:t>the patient requests it (Drug and Alcohol Consultation Liaison see patients in the Canberra Hospital daily)</w:t>
      </w:r>
    </w:p>
    <w:p w14:paraId="7CF02CC3" w14:textId="77777777" w:rsidR="00F84F14" w:rsidRPr="00FD7524" w:rsidRDefault="00F84F14" w:rsidP="00F84F14">
      <w:pPr>
        <w:pStyle w:val="ListBullet"/>
      </w:pPr>
      <w:r>
        <w:t>the patient has received a total 80mg of diazepam in 24 hours for alcohol withdrawal, when this occurs review by at least the RMO is indicated (this is to ensure that it is alcohol withdrawal and not another medical condition being measured)</w:t>
      </w:r>
    </w:p>
    <w:p w14:paraId="24F22250" w14:textId="77777777" w:rsidR="00F84F14" w:rsidRPr="00FD7524" w:rsidRDefault="00F84F14" w:rsidP="00F84F14">
      <w:pPr>
        <w:pStyle w:val="ListBullet"/>
      </w:pPr>
      <w:r>
        <w:t xml:space="preserve">the patient is demonstrating symptoms of severe withdrawal </w:t>
      </w:r>
    </w:p>
    <w:p w14:paraId="781B1912" w14:textId="77777777" w:rsidR="00F84F14" w:rsidRPr="00FD7524" w:rsidRDefault="00F84F14" w:rsidP="00F84F14">
      <w:pPr>
        <w:pStyle w:val="ListBullet"/>
      </w:pPr>
      <w:r>
        <w:t>the patient’s withdrawal syndrome is difficult to manage</w:t>
      </w:r>
    </w:p>
    <w:p w14:paraId="429DC8B7" w14:textId="77777777" w:rsidR="00F84F14" w:rsidRPr="00FD7524" w:rsidRDefault="00F84F14" w:rsidP="00F84F14">
      <w:pPr>
        <w:pStyle w:val="ListBullet"/>
      </w:pPr>
      <w:r>
        <w:t>the patient has liver disease</w:t>
      </w:r>
    </w:p>
    <w:p w14:paraId="3A29F404" w14:textId="77777777" w:rsidR="00F84F14" w:rsidRPr="00FD7524" w:rsidRDefault="00F84F14" w:rsidP="00F84F14">
      <w:pPr>
        <w:pStyle w:val="ListBullet"/>
      </w:pPr>
      <w:r>
        <w:t xml:space="preserve">if unsure of the medication regime for alcohol withdrawal or loading dose regime for a patient with a history of seizures </w:t>
      </w:r>
    </w:p>
    <w:p w14:paraId="768307A1" w14:textId="77777777" w:rsidR="00F84F14" w:rsidRPr="00FD7524" w:rsidRDefault="00F84F14" w:rsidP="00F84F14">
      <w:pPr>
        <w:pStyle w:val="ListBullet"/>
      </w:pPr>
      <w:r>
        <w:t>the patient has a thiamine deficiency.</w:t>
      </w:r>
    </w:p>
    <w:p w14:paraId="1BC8A4F3" w14:textId="77777777" w:rsidR="00F84F14" w:rsidRDefault="00F84F14" w:rsidP="00F84F14"/>
    <w:p w14:paraId="7B6CC2AF" w14:textId="77777777" w:rsidR="00F84F14" w:rsidRDefault="00F84F14" w:rsidP="00F84F14">
      <w:pPr>
        <w:rPr>
          <w:rFonts w:cs="Calibri"/>
        </w:rPr>
      </w:pPr>
      <w:r>
        <w:t>During normal business hours the ADS Medical officer should be consulted; after hours a medical review</w:t>
      </w:r>
      <w:r w:rsidRPr="04BB5E21">
        <w:rPr>
          <w:rFonts w:cs="Calibri"/>
        </w:rPr>
        <w:t xml:space="preserve"> by the </w:t>
      </w:r>
      <w:r>
        <w:rPr>
          <w:rFonts w:cs="Calibri"/>
        </w:rPr>
        <w:t>Resident Medical Officer (RMO)</w:t>
      </w:r>
      <w:r w:rsidRPr="04BB5E21">
        <w:rPr>
          <w:rFonts w:cs="Calibri"/>
        </w:rPr>
        <w:t>/ Medical Registrar on call should be sought</w:t>
      </w:r>
      <w:r>
        <w:rPr>
          <w:rFonts w:cs="Calibri"/>
        </w:rPr>
        <w:t>.</w:t>
      </w:r>
    </w:p>
    <w:p w14:paraId="1675AD8F" w14:textId="77777777" w:rsidR="00F84F14" w:rsidRDefault="00F84F14" w:rsidP="00F84F14"/>
    <w:p w14:paraId="3B9015B3" w14:textId="77777777" w:rsidR="00F84F14" w:rsidRPr="00FD7524" w:rsidRDefault="00F84F14" w:rsidP="00F84F14">
      <w:r>
        <w:t>Patients with moderate to severe alcohol withdrawal should be reviewed by ADS Consultation Liaison daily until alcohol withdrawal has stabilised (see Attachment 1).</w:t>
      </w:r>
    </w:p>
    <w:p w14:paraId="219D4A32" w14:textId="77777777" w:rsidR="00F84F14" w:rsidRDefault="00F84F14" w:rsidP="00F84F14"/>
    <w:p w14:paraId="2A3435A9" w14:textId="77777777" w:rsidR="00F84F14" w:rsidRDefault="00F84F14" w:rsidP="00F84F14">
      <w:pPr>
        <w:pStyle w:val="ListParagraph"/>
        <w:ind w:left="644"/>
        <w:jc w:val="right"/>
        <w:rPr>
          <w:rStyle w:val="Hyperlink"/>
          <w:rFonts w:eastAsiaTheme="majorEastAsia" w:cs="Arial"/>
          <w:i/>
          <w:szCs w:val="24"/>
        </w:rPr>
      </w:pPr>
      <w:hyperlink w:anchor="Contents" w:history="1">
        <w:r w:rsidRPr="0073087A">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3D2D06" w14:paraId="5773D700" w14:textId="77777777" w:rsidTr="005E7883">
        <w:trPr>
          <w:cantSplit/>
          <w:trHeight w:val="285"/>
        </w:trPr>
        <w:tc>
          <w:tcPr>
            <w:tcW w:w="9158" w:type="dxa"/>
            <w:shd w:val="clear" w:color="auto" w:fill="D9D9D9" w:themeFill="background1" w:themeFillShade="D9"/>
          </w:tcPr>
          <w:p w14:paraId="2FFB518A" w14:textId="77777777" w:rsidR="00F84F14" w:rsidRPr="003D2D06" w:rsidRDefault="00F84F14" w:rsidP="005E7883">
            <w:pPr>
              <w:pStyle w:val="Heading1"/>
            </w:pPr>
            <w:r>
              <w:t>Section 5</w:t>
            </w:r>
            <w:r w:rsidRPr="003D2D06">
              <w:t xml:space="preserve"> – </w:t>
            </w:r>
            <w:r>
              <w:t>Indications for Transfer of people from AMC or DMHU to the Canberra Hospital</w:t>
            </w:r>
          </w:p>
        </w:tc>
      </w:tr>
    </w:tbl>
    <w:p w14:paraId="120BF9DD" w14:textId="77777777" w:rsidR="00F84F14" w:rsidRPr="00363E9E" w:rsidRDefault="00F84F14" w:rsidP="00F84F14">
      <w:pPr>
        <w:jc w:val="both"/>
        <w:rPr>
          <w:rFonts w:cs="Calibri"/>
          <w:szCs w:val="24"/>
          <w:u w:val="single"/>
        </w:rPr>
      </w:pPr>
    </w:p>
    <w:p w14:paraId="707D451C" w14:textId="77777777" w:rsidR="00F84F14" w:rsidRDefault="00F84F14" w:rsidP="00F84F14">
      <w:pPr>
        <w:rPr>
          <w:rFonts w:cs="Calibri"/>
          <w:szCs w:val="24"/>
        </w:rPr>
      </w:pPr>
      <w:r>
        <w:rPr>
          <w:rFonts w:cs="Calibri"/>
          <w:szCs w:val="24"/>
        </w:rPr>
        <w:t>While it is often possible to clinically manage detainees in alcohol withdrawal within the AMC or DMHU, there are circumstances when it is inappropriate to do so, and transfer to the Canberra Hospital is required. These circumstances include the patient:</w:t>
      </w:r>
    </w:p>
    <w:p w14:paraId="10D13B5C" w14:textId="77777777" w:rsidR="00F84F14" w:rsidRDefault="00F84F14" w:rsidP="00F84F14">
      <w:pPr>
        <w:pStyle w:val="ListBullet"/>
      </w:pPr>
      <w:r>
        <w:t>requires alcohol withdrawal management where diazepam sedation is contraindicated</w:t>
      </w:r>
    </w:p>
    <w:p w14:paraId="45DEF962" w14:textId="77777777" w:rsidR="00F84F14" w:rsidRPr="00972430" w:rsidRDefault="00F84F14" w:rsidP="00F84F14">
      <w:pPr>
        <w:pStyle w:val="ListBullet"/>
      </w:pPr>
      <w:r>
        <w:t>has acute or chronic decompensated liver disease</w:t>
      </w:r>
    </w:p>
    <w:p w14:paraId="161210F3" w14:textId="77777777" w:rsidR="00F84F14" w:rsidRPr="00972430" w:rsidRDefault="00F84F14" w:rsidP="00F84F14">
      <w:pPr>
        <w:pStyle w:val="ListBullet"/>
      </w:pPr>
      <w:r>
        <w:t>has respiratory failure</w:t>
      </w:r>
    </w:p>
    <w:p w14:paraId="4E2106C7" w14:textId="77777777" w:rsidR="00F84F14" w:rsidRDefault="00F84F14" w:rsidP="00F84F14">
      <w:pPr>
        <w:pStyle w:val="ListBullet"/>
      </w:pPr>
      <w:r>
        <w:t>will have no oral intake for a prolonged period, with assessed danger of re-feeding complications</w:t>
      </w:r>
    </w:p>
    <w:p w14:paraId="640DEB97" w14:textId="77777777" w:rsidR="00F84F14" w:rsidRDefault="00F84F14" w:rsidP="00F84F14">
      <w:pPr>
        <w:pStyle w:val="ListBullet"/>
      </w:pPr>
      <w:r>
        <w:t>is showing signs of excessive sedation, possibly from diazepam over-dosing</w:t>
      </w:r>
    </w:p>
    <w:p w14:paraId="0513DDE5" w14:textId="77777777" w:rsidR="00F84F14" w:rsidRDefault="00F84F14" w:rsidP="00F84F14">
      <w:pPr>
        <w:pStyle w:val="ListBullet"/>
      </w:pPr>
      <w:r>
        <w:t xml:space="preserve"> has received a total of 100mg diazepam in 24 hours </w:t>
      </w:r>
    </w:p>
    <w:p w14:paraId="66344C17" w14:textId="77777777" w:rsidR="00F84F14" w:rsidRDefault="00F84F14" w:rsidP="00F84F14">
      <w:pPr>
        <w:pStyle w:val="ListBullet"/>
      </w:pPr>
      <w:r>
        <w:t>is demonstrating symptoms of severe withdrawal</w:t>
      </w:r>
    </w:p>
    <w:p w14:paraId="7F580D81" w14:textId="77777777" w:rsidR="00F84F14" w:rsidRDefault="00F84F14" w:rsidP="00F84F14">
      <w:pPr>
        <w:pStyle w:val="ListBullet"/>
      </w:pPr>
      <w:r>
        <w:t>has withdrawal syndrome that is difficult to manage</w:t>
      </w:r>
    </w:p>
    <w:p w14:paraId="700B176E" w14:textId="77777777" w:rsidR="00F84F14" w:rsidRPr="00882857" w:rsidRDefault="00F84F14" w:rsidP="00F84F14">
      <w:pPr>
        <w:pStyle w:val="ListBullet"/>
      </w:pPr>
      <w:r>
        <w:t>has signs/symptoms of clinical thiamine deficiency (peripheral neuropathy, Wernicke-Korsakoff syndrome).</w:t>
      </w:r>
    </w:p>
    <w:p w14:paraId="748EC3AE" w14:textId="77777777" w:rsidR="00F84F14" w:rsidRPr="00F30702" w:rsidRDefault="00F84F14" w:rsidP="00F84F14">
      <w:pPr>
        <w:jc w:val="both"/>
        <w:rPr>
          <w:rFonts w:cs="Arial"/>
          <w:bCs/>
          <w:szCs w:val="24"/>
        </w:rPr>
      </w:pPr>
      <w:r>
        <w:rPr>
          <w:rFonts w:cs="Arial"/>
          <w:bCs/>
          <w:szCs w:val="24"/>
        </w:rPr>
        <w:t>Or</w:t>
      </w:r>
    </w:p>
    <w:p w14:paraId="23F5D9A2" w14:textId="77777777" w:rsidR="00F84F14" w:rsidRDefault="00F84F14" w:rsidP="00F84F14">
      <w:pPr>
        <w:pStyle w:val="ListBullet"/>
      </w:pPr>
      <w:r>
        <w:t>if the prescribing doctor is unsure of the medication regime for alcohol withdrawal or loading dose regime for patient with a history of seizures.</w:t>
      </w:r>
    </w:p>
    <w:p w14:paraId="29AAD33A" w14:textId="77777777" w:rsidR="00F84F14" w:rsidRDefault="00F84F14" w:rsidP="00F84F14">
      <w:pPr>
        <w:pStyle w:val="ListParagraph"/>
        <w:ind w:left="644"/>
        <w:jc w:val="right"/>
        <w:rPr>
          <w:rStyle w:val="Hyperlink"/>
          <w:rFonts w:eastAsiaTheme="majorEastAsia" w:cs="Arial"/>
          <w:i/>
          <w:szCs w:val="24"/>
        </w:rPr>
      </w:pPr>
      <w:hyperlink w:anchor="Contents" w:history="1">
        <w:r w:rsidRPr="0073087A">
          <w:rPr>
            <w:rStyle w:val="Hyperlink"/>
            <w:rFonts w:eastAsiaTheme="majorEastAsia" w:cs="Arial"/>
            <w:i/>
            <w:szCs w:val="24"/>
          </w:rPr>
          <w:t>Back to Table of Contents</w:t>
        </w:r>
      </w:hyperlink>
    </w:p>
    <w:p w14:paraId="19761477" w14:textId="77777777" w:rsidR="00F84F14" w:rsidRDefault="00F84F14" w:rsidP="00F84F14">
      <w:pPr>
        <w:pStyle w:val="ListParagraph"/>
        <w:ind w:left="644"/>
        <w:jc w:val="right"/>
        <w:rPr>
          <w:rStyle w:val="Hyperlink"/>
          <w:rFonts w:eastAsiaTheme="majorEastAsia"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3D2D06" w14:paraId="163932CA" w14:textId="77777777" w:rsidTr="005E7883">
        <w:trPr>
          <w:cantSplit/>
          <w:trHeight w:val="285"/>
        </w:trPr>
        <w:tc>
          <w:tcPr>
            <w:tcW w:w="9158" w:type="dxa"/>
            <w:shd w:val="clear" w:color="auto" w:fill="D9D9D9" w:themeFill="background1" w:themeFillShade="D9"/>
          </w:tcPr>
          <w:p w14:paraId="61FBDC24" w14:textId="77777777" w:rsidR="00F84F14" w:rsidRPr="003D2D06" w:rsidRDefault="00F84F14" w:rsidP="005E7883">
            <w:pPr>
              <w:pStyle w:val="Heading1"/>
            </w:pPr>
            <w:r>
              <w:t>Section 6 – ADS Outpatient Alcohol Withdrawal Program (OAWP)</w:t>
            </w:r>
          </w:p>
        </w:tc>
      </w:tr>
    </w:tbl>
    <w:p w14:paraId="2B5E1D77" w14:textId="77777777" w:rsidR="00F84F14" w:rsidRDefault="00F84F14" w:rsidP="00F84F14">
      <w:pPr>
        <w:jc w:val="both"/>
        <w:rPr>
          <w:rFonts w:cs="Calibri"/>
          <w:szCs w:val="24"/>
          <w:u w:val="single"/>
        </w:rPr>
      </w:pPr>
    </w:p>
    <w:p w14:paraId="549D2CE7" w14:textId="77777777" w:rsidR="00F84F14" w:rsidRPr="00E0233E" w:rsidRDefault="00F84F14" w:rsidP="00F84F14">
      <w:pPr>
        <w:rPr>
          <w:rFonts w:cs="Calibri"/>
          <w:szCs w:val="24"/>
        </w:rPr>
      </w:pPr>
      <w:r w:rsidRPr="00E0233E">
        <w:rPr>
          <w:rFonts w:cs="Calibri"/>
          <w:szCs w:val="24"/>
        </w:rPr>
        <w:t xml:space="preserve">Outpatient withdrawal can be a treatment option for uncomplicated alcohol dependent persons. Eligible persons can be offered this program by ADS specialists including the ADS nurse practitioner. This treatment requires daily review over 4 days from Monday to Friday by an ADS consultant or nurse practitioner while the person is withdrawing at home. </w:t>
      </w:r>
    </w:p>
    <w:p w14:paraId="2CD08F7B" w14:textId="77777777" w:rsidR="00F84F14" w:rsidRPr="00E0233E" w:rsidRDefault="00F84F14" w:rsidP="00F84F14">
      <w:pPr>
        <w:jc w:val="both"/>
        <w:rPr>
          <w:rFonts w:cs="Calibri"/>
          <w:szCs w:val="24"/>
        </w:rPr>
      </w:pPr>
    </w:p>
    <w:p w14:paraId="581D3B4C" w14:textId="77777777" w:rsidR="00F84F14" w:rsidRPr="008A6EF1" w:rsidRDefault="00F84F14" w:rsidP="00F84F14">
      <w:pPr>
        <w:rPr>
          <w:rFonts w:cs="Calibri"/>
          <w:szCs w:val="24"/>
        </w:rPr>
      </w:pPr>
      <w:r w:rsidRPr="008A6EF1">
        <w:rPr>
          <w:rFonts w:cs="Calibri"/>
          <w:szCs w:val="24"/>
        </w:rPr>
        <w:t>The OAWP is a medicated reduction regime, and a medication pack is provided at each review dependent on their withdrawal symptoms. Access to the program is by self-referral by phoning 51249977 and suitability discussed with an ADS addiction specialist or ADS nurse practitioner.</w:t>
      </w:r>
    </w:p>
    <w:p w14:paraId="7478B5BD" w14:textId="77777777" w:rsidR="00F84F14" w:rsidRPr="008A6EF1" w:rsidRDefault="00F84F14" w:rsidP="00F84F14">
      <w:pPr>
        <w:jc w:val="both"/>
        <w:rPr>
          <w:rFonts w:cs="Calibri"/>
          <w:szCs w:val="24"/>
        </w:rPr>
      </w:pPr>
    </w:p>
    <w:p w14:paraId="55E0F969" w14:textId="77777777" w:rsidR="00F84F14" w:rsidRPr="008A6EF1" w:rsidRDefault="00F84F14" w:rsidP="00F84F14">
      <w:pPr>
        <w:rPr>
          <w:rFonts w:cs="Calibri"/>
          <w:szCs w:val="24"/>
        </w:rPr>
      </w:pPr>
      <w:r w:rsidRPr="008A6EF1">
        <w:rPr>
          <w:rFonts w:cs="Calibri"/>
          <w:szCs w:val="24"/>
        </w:rPr>
        <w:t xml:space="preserve">Hospital admitted persons who are medically cleared for discharge and who have withdrawal symptoms, can also be referred to the ADS CL team for assessment to discharge to OAWP. </w:t>
      </w:r>
    </w:p>
    <w:p w14:paraId="32CD24C3" w14:textId="77777777" w:rsidR="00F84F14" w:rsidRPr="008A6EF1" w:rsidRDefault="00F84F14" w:rsidP="00F84F14">
      <w:pPr>
        <w:jc w:val="both"/>
        <w:rPr>
          <w:rFonts w:cs="Calibri"/>
          <w:szCs w:val="24"/>
        </w:rPr>
      </w:pPr>
    </w:p>
    <w:p w14:paraId="03080ABC" w14:textId="77777777" w:rsidR="00F84F14" w:rsidRDefault="00F84F14" w:rsidP="00F84F14">
      <w:pPr>
        <w:rPr>
          <w:rFonts w:cs="Calibri"/>
          <w:szCs w:val="24"/>
        </w:rPr>
      </w:pPr>
      <w:r w:rsidRPr="008A6EF1">
        <w:rPr>
          <w:rFonts w:cs="Calibri"/>
          <w:szCs w:val="24"/>
        </w:rPr>
        <w:t>Likewise, persons who have presented to hospital and have had their complications in withdrawal medically managed, can also be referred to the ADS CL team for assessment to discharge to OAWP.</w:t>
      </w:r>
    </w:p>
    <w:p w14:paraId="6690831F" w14:textId="77777777" w:rsidR="00F84F14" w:rsidRPr="008A6EF1" w:rsidRDefault="00F84F14" w:rsidP="00F84F14">
      <w:pPr>
        <w:rPr>
          <w:rFonts w:cs="Calibri"/>
          <w:szCs w:val="24"/>
        </w:rPr>
      </w:pPr>
      <w:r>
        <w:rPr>
          <w:rFonts w:cs="Calibri"/>
          <w:szCs w:val="24"/>
        </w:rPr>
        <w:lastRenderedPageBreak/>
        <w:t>Staff at NCH can refer patients to the ADS team by calling 5124 9977.</w:t>
      </w:r>
    </w:p>
    <w:p w14:paraId="51031846" w14:textId="77777777" w:rsidR="00F84F14" w:rsidRDefault="00F84F14" w:rsidP="00F84F14">
      <w:pPr>
        <w:jc w:val="both"/>
        <w:rPr>
          <w:rFonts w:cs="Calibri"/>
          <w:szCs w:val="24"/>
          <w:u w:val="single"/>
        </w:rPr>
      </w:pPr>
    </w:p>
    <w:p w14:paraId="7EC7285E" w14:textId="77777777" w:rsidR="00F84F14" w:rsidRPr="00344482" w:rsidRDefault="00F84F14" w:rsidP="00F84F14">
      <w:pPr>
        <w:pStyle w:val="ListParagraph"/>
        <w:ind w:left="644"/>
        <w:jc w:val="right"/>
        <w:rPr>
          <w:rFonts w:eastAsiaTheme="majorEastAsia" w:cs="Arial"/>
          <w:i/>
          <w:color w:val="0000FF"/>
          <w:szCs w:val="24"/>
          <w:u w:val="single"/>
        </w:rPr>
      </w:pPr>
      <w:hyperlink w:anchor="Contents" w:history="1">
        <w:r w:rsidRPr="0073087A">
          <w:rPr>
            <w:rStyle w:val="Hyperlink"/>
            <w:rFonts w:eastAsiaTheme="majorEastAsia" w:cs="Arial"/>
            <w:i/>
            <w:szCs w:val="24"/>
          </w:rPr>
          <w:t>Back to Table of Contents</w:t>
        </w:r>
      </w:hyperlink>
    </w:p>
    <w:p w14:paraId="3964906A" w14:textId="77777777" w:rsidR="00F84F14" w:rsidRPr="008A6EF1" w:rsidRDefault="00F84F14" w:rsidP="00F84F14">
      <w:pPr>
        <w:jc w:val="both"/>
        <w:rPr>
          <w:rFonts w:cs="Calibri"/>
          <w:b/>
          <w:bCs/>
          <w:szCs w:val="24"/>
          <w:u w:val="single"/>
        </w:rPr>
      </w:pPr>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3D2D06" w14:paraId="76BD43BE" w14:textId="77777777" w:rsidTr="005E7883">
        <w:trPr>
          <w:cantSplit/>
          <w:trHeight w:val="285"/>
        </w:trPr>
        <w:tc>
          <w:tcPr>
            <w:tcW w:w="9158" w:type="dxa"/>
            <w:shd w:val="clear" w:color="auto" w:fill="D9D9D9" w:themeFill="background1" w:themeFillShade="D9"/>
          </w:tcPr>
          <w:p w14:paraId="62050C7F" w14:textId="77777777" w:rsidR="00F84F14" w:rsidRPr="003D2D06" w:rsidRDefault="00F84F14" w:rsidP="005E7883">
            <w:pPr>
              <w:pStyle w:val="Heading1"/>
            </w:pPr>
            <w:r w:rsidRPr="008A6EF1">
              <w:t xml:space="preserve">Section </w:t>
            </w:r>
            <w:r>
              <w:t>7</w:t>
            </w:r>
            <w:r w:rsidRPr="008A6EF1">
              <w:t xml:space="preserve"> – </w:t>
            </w:r>
            <w:r>
              <w:t>Ambulatory Withdrawal Management</w:t>
            </w:r>
          </w:p>
        </w:tc>
      </w:tr>
    </w:tbl>
    <w:p w14:paraId="55DCC788" w14:textId="77777777" w:rsidR="00F84F14" w:rsidRDefault="00F84F14" w:rsidP="00F84F14">
      <w:pPr>
        <w:jc w:val="both"/>
        <w:rPr>
          <w:rFonts w:cs="Calibri"/>
          <w:szCs w:val="24"/>
          <w:u w:val="single"/>
        </w:rPr>
      </w:pPr>
    </w:p>
    <w:p w14:paraId="11DFA1D2" w14:textId="77777777" w:rsidR="00F84F14" w:rsidRPr="008A6EF1" w:rsidRDefault="00F84F14" w:rsidP="00F84F14">
      <w:pPr>
        <w:jc w:val="both"/>
        <w:rPr>
          <w:rFonts w:cs="Calibri"/>
          <w:szCs w:val="24"/>
        </w:rPr>
      </w:pPr>
      <w:r w:rsidRPr="008A6EF1">
        <w:rPr>
          <w:rFonts w:cs="Calibri"/>
          <w:szCs w:val="24"/>
        </w:rPr>
        <w:t>Withdrawal from alcohol in an ambulatory setting is safe for most pe</w:t>
      </w:r>
      <w:r>
        <w:rPr>
          <w:rFonts w:cs="Calibri"/>
          <w:szCs w:val="24"/>
        </w:rPr>
        <w:t>ople</w:t>
      </w:r>
      <w:r w:rsidRPr="008A6EF1">
        <w:rPr>
          <w:rFonts w:cs="Calibri"/>
          <w:szCs w:val="24"/>
        </w:rPr>
        <w:t>.</w:t>
      </w:r>
    </w:p>
    <w:p w14:paraId="4B4FC0F7" w14:textId="77777777" w:rsidR="00F84F14" w:rsidRPr="008A6EF1" w:rsidRDefault="00F84F14" w:rsidP="00F84F14">
      <w:pPr>
        <w:rPr>
          <w:rFonts w:cs="Calibri"/>
          <w:szCs w:val="24"/>
        </w:rPr>
      </w:pPr>
      <w:r>
        <w:rPr>
          <w:rFonts w:cs="Calibri"/>
          <w:szCs w:val="24"/>
        </w:rPr>
        <w:t>A person is</w:t>
      </w:r>
      <w:r w:rsidRPr="008A6EF1">
        <w:rPr>
          <w:rFonts w:cs="Calibri"/>
          <w:szCs w:val="24"/>
        </w:rPr>
        <w:t xml:space="preserve"> suitable to complete their withdrawal in an ambulatory setting if they are otherwise well enough to be discharged home and ha</w:t>
      </w:r>
      <w:r>
        <w:rPr>
          <w:rFonts w:cs="Calibri"/>
          <w:szCs w:val="24"/>
        </w:rPr>
        <w:t>ve</w:t>
      </w:r>
      <w:r w:rsidRPr="008A6EF1">
        <w:rPr>
          <w:rFonts w:cs="Calibri"/>
          <w:szCs w:val="24"/>
        </w:rPr>
        <w:t xml:space="preserve"> either no severe withdrawal history or ha</w:t>
      </w:r>
      <w:r>
        <w:rPr>
          <w:rFonts w:cs="Calibri"/>
          <w:szCs w:val="24"/>
        </w:rPr>
        <w:t>ve</w:t>
      </w:r>
      <w:r w:rsidRPr="008A6EF1">
        <w:rPr>
          <w:rFonts w:cs="Calibri"/>
          <w:szCs w:val="24"/>
        </w:rPr>
        <w:t xml:space="preserve"> already completed loading.</w:t>
      </w:r>
    </w:p>
    <w:p w14:paraId="4DAAAF1A" w14:textId="77777777" w:rsidR="00F84F14" w:rsidRPr="008A6EF1" w:rsidRDefault="00F84F14" w:rsidP="00F84F14">
      <w:pPr>
        <w:jc w:val="both"/>
        <w:rPr>
          <w:rFonts w:cs="Calibri"/>
          <w:szCs w:val="24"/>
        </w:rPr>
      </w:pPr>
    </w:p>
    <w:p w14:paraId="280C5D73" w14:textId="77777777" w:rsidR="00F84F14" w:rsidRDefault="00F84F14" w:rsidP="00F84F14">
      <w:pPr>
        <w:rPr>
          <w:rFonts w:cs="Calibri"/>
          <w:szCs w:val="24"/>
        </w:rPr>
      </w:pPr>
      <w:r w:rsidRPr="008A6EF1">
        <w:rPr>
          <w:rFonts w:cs="Calibri"/>
          <w:szCs w:val="24"/>
        </w:rPr>
        <w:t>For a person who is otherwise well enough to be discharged home, it is reasonable to provide a prescription for a tapering dose of diazepam to be supplied on a daily basis by a designated pharmacy (pharmacy name to be written on the prescription). Dosing instructions on the prescription should include</w:t>
      </w:r>
      <w:r>
        <w:rPr>
          <w:rFonts w:cs="Calibri"/>
          <w:szCs w:val="24"/>
        </w:rPr>
        <w:t>:</w:t>
      </w:r>
    </w:p>
    <w:p w14:paraId="7D69D8EB" w14:textId="77777777" w:rsidR="00F84F14" w:rsidRDefault="00F84F14" w:rsidP="00F84F14">
      <w:pPr>
        <w:pStyle w:val="ListParagraph"/>
        <w:numPr>
          <w:ilvl w:val="0"/>
          <w:numId w:val="23"/>
        </w:numPr>
        <w:rPr>
          <w:rFonts w:cs="Calibri"/>
          <w:szCs w:val="24"/>
        </w:rPr>
      </w:pPr>
      <w:r w:rsidRPr="00344482">
        <w:rPr>
          <w:rFonts w:cs="Calibri"/>
          <w:szCs w:val="24"/>
        </w:rPr>
        <w:t xml:space="preserve">daily dispensing </w:t>
      </w:r>
    </w:p>
    <w:p w14:paraId="60B3AEE6" w14:textId="77777777" w:rsidR="00F84F14" w:rsidRDefault="00F84F14" w:rsidP="00F84F14">
      <w:pPr>
        <w:pStyle w:val="ListParagraph"/>
        <w:numPr>
          <w:ilvl w:val="0"/>
          <w:numId w:val="23"/>
        </w:numPr>
        <w:rPr>
          <w:rFonts w:cs="Calibri"/>
          <w:szCs w:val="24"/>
        </w:rPr>
      </w:pPr>
      <w:r w:rsidRPr="00344482">
        <w:rPr>
          <w:rFonts w:cs="Calibri"/>
          <w:szCs w:val="24"/>
        </w:rPr>
        <w:t>supply medication only if person is not intoxicated and not alcohol affected</w:t>
      </w:r>
    </w:p>
    <w:p w14:paraId="68498D63" w14:textId="77777777" w:rsidR="00F84F14" w:rsidRPr="00344482" w:rsidRDefault="00F84F14" w:rsidP="00F84F14">
      <w:pPr>
        <w:pStyle w:val="ListParagraph"/>
        <w:numPr>
          <w:ilvl w:val="0"/>
          <w:numId w:val="23"/>
        </w:numPr>
        <w:rPr>
          <w:rFonts w:cs="Calibri"/>
          <w:szCs w:val="24"/>
        </w:rPr>
      </w:pPr>
      <w:r w:rsidRPr="00344482">
        <w:rPr>
          <w:rFonts w:cs="Calibri"/>
          <w:szCs w:val="24"/>
        </w:rPr>
        <w:t>discontinue medication if person misses a dose.</w:t>
      </w:r>
    </w:p>
    <w:p w14:paraId="68C1F504" w14:textId="77777777" w:rsidR="00F84F14" w:rsidRPr="008A6EF1" w:rsidRDefault="00F84F14" w:rsidP="00F84F14">
      <w:pPr>
        <w:jc w:val="both"/>
        <w:rPr>
          <w:rFonts w:cs="Calibri"/>
          <w:szCs w:val="24"/>
        </w:rPr>
      </w:pPr>
    </w:p>
    <w:p w14:paraId="73E1836D" w14:textId="77777777" w:rsidR="00F84F14" w:rsidRPr="008A6EF1" w:rsidRDefault="00F84F14" w:rsidP="00F84F14">
      <w:pPr>
        <w:rPr>
          <w:rFonts w:cs="Calibri"/>
          <w:szCs w:val="24"/>
        </w:rPr>
      </w:pPr>
      <w:r w:rsidRPr="008A6EF1">
        <w:rPr>
          <w:rFonts w:cs="Calibri"/>
          <w:szCs w:val="24"/>
        </w:rPr>
        <w:t>Diazepam regime:</w:t>
      </w:r>
    </w:p>
    <w:p w14:paraId="2D7BD8CC" w14:textId="77777777" w:rsidR="00F84F14" w:rsidRPr="00344482" w:rsidRDefault="00F84F14" w:rsidP="00F84F14">
      <w:pPr>
        <w:pStyle w:val="ListParagraph"/>
        <w:numPr>
          <w:ilvl w:val="0"/>
          <w:numId w:val="24"/>
        </w:numPr>
        <w:rPr>
          <w:rFonts w:cs="Calibri"/>
          <w:szCs w:val="24"/>
        </w:rPr>
      </w:pPr>
      <w:r w:rsidRPr="00344482">
        <w:rPr>
          <w:rFonts w:cs="Calibri"/>
          <w:szCs w:val="24"/>
        </w:rPr>
        <w:t>Day 1 and 2-diazepam 10mg t</w:t>
      </w:r>
      <w:r>
        <w:rPr>
          <w:rFonts w:cs="Calibri"/>
          <w:szCs w:val="24"/>
        </w:rPr>
        <w:t>hree times a day</w:t>
      </w:r>
    </w:p>
    <w:p w14:paraId="0338C8AE" w14:textId="77777777" w:rsidR="00F84F14" w:rsidRPr="00344482" w:rsidRDefault="00F84F14" w:rsidP="00F84F14">
      <w:pPr>
        <w:pStyle w:val="ListParagraph"/>
        <w:numPr>
          <w:ilvl w:val="0"/>
          <w:numId w:val="24"/>
        </w:numPr>
        <w:rPr>
          <w:rFonts w:cs="Calibri"/>
          <w:szCs w:val="24"/>
        </w:rPr>
      </w:pPr>
      <w:r w:rsidRPr="00344482">
        <w:rPr>
          <w:rFonts w:cs="Calibri"/>
          <w:szCs w:val="24"/>
        </w:rPr>
        <w:t xml:space="preserve">Day 3-diazepam 10mg </w:t>
      </w:r>
      <w:r>
        <w:rPr>
          <w:rFonts w:cs="Calibri"/>
          <w:szCs w:val="24"/>
        </w:rPr>
        <w:t>twice a day</w:t>
      </w:r>
    </w:p>
    <w:p w14:paraId="34776206" w14:textId="77777777" w:rsidR="00F84F14" w:rsidRPr="00344482" w:rsidRDefault="00F84F14" w:rsidP="00F84F14">
      <w:pPr>
        <w:pStyle w:val="ListParagraph"/>
        <w:numPr>
          <w:ilvl w:val="0"/>
          <w:numId w:val="24"/>
        </w:numPr>
        <w:rPr>
          <w:rFonts w:cs="Calibri"/>
          <w:szCs w:val="24"/>
        </w:rPr>
      </w:pPr>
      <w:r w:rsidRPr="00344482">
        <w:rPr>
          <w:rFonts w:cs="Calibri"/>
          <w:szCs w:val="24"/>
        </w:rPr>
        <w:t xml:space="preserve">Day 4-diazepam 5mg </w:t>
      </w:r>
      <w:r>
        <w:rPr>
          <w:rFonts w:cs="Calibri"/>
          <w:szCs w:val="24"/>
        </w:rPr>
        <w:t>twice a day</w:t>
      </w:r>
    </w:p>
    <w:p w14:paraId="62F85D77" w14:textId="77777777" w:rsidR="00F84F14" w:rsidRPr="00344482" w:rsidRDefault="00F84F14" w:rsidP="00F84F14">
      <w:pPr>
        <w:pStyle w:val="ListParagraph"/>
        <w:numPr>
          <w:ilvl w:val="0"/>
          <w:numId w:val="24"/>
        </w:numPr>
        <w:rPr>
          <w:rFonts w:cs="Calibri"/>
          <w:szCs w:val="24"/>
        </w:rPr>
      </w:pPr>
      <w:r w:rsidRPr="00344482">
        <w:rPr>
          <w:rFonts w:cs="Calibri"/>
          <w:szCs w:val="24"/>
        </w:rPr>
        <w:t>Cease on day 5</w:t>
      </w:r>
    </w:p>
    <w:p w14:paraId="6D26948A" w14:textId="77777777" w:rsidR="00F84F14" w:rsidRPr="008A6EF1" w:rsidRDefault="00F84F14" w:rsidP="00F84F14">
      <w:pPr>
        <w:rPr>
          <w:rFonts w:cs="Calibri"/>
          <w:szCs w:val="24"/>
        </w:rPr>
      </w:pPr>
      <w:r w:rsidRPr="008A6EF1">
        <w:rPr>
          <w:rFonts w:cs="Calibri"/>
          <w:szCs w:val="24"/>
        </w:rPr>
        <w:t>Total of 18 x diazepam 5 mg tablets</w:t>
      </w:r>
      <w:r>
        <w:rPr>
          <w:rFonts w:cs="Calibri"/>
          <w:szCs w:val="24"/>
        </w:rPr>
        <w:t>.</w:t>
      </w:r>
    </w:p>
    <w:p w14:paraId="7C1D6B10" w14:textId="77777777" w:rsidR="00F84F14" w:rsidRPr="00E0233E" w:rsidRDefault="00F84F14" w:rsidP="00F84F14">
      <w:pPr>
        <w:jc w:val="both"/>
        <w:rPr>
          <w:rFonts w:cs="Calibri"/>
          <w:b/>
          <w:bCs/>
          <w:szCs w:val="24"/>
          <w:u w:val="single"/>
        </w:rPr>
      </w:pPr>
    </w:p>
    <w:p w14:paraId="0FA14B9D" w14:textId="77777777" w:rsidR="00F84F14" w:rsidRPr="008E2A07" w:rsidRDefault="00F84F14" w:rsidP="00F84F14">
      <w:pPr>
        <w:pStyle w:val="ListParagraph"/>
        <w:ind w:left="644"/>
        <w:jc w:val="right"/>
        <w:rPr>
          <w:rFonts w:eastAsiaTheme="majorEastAsia" w:cs="Arial"/>
          <w:i/>
          <w:color w:val="0000FF"/>
          <w:szCs w:val="24"/>
          <w:u w:val="single"/>
        </w:rPr>
      </w:pPr>
      <w:hyperlink w:anchor="Contents" w:history="1">
        <w:r w:rsidRPr="0073087A">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CD1C0E" w14:paraId="259AF744" w14:textId="77777777" w:rsidTr="005E7883">
        <w:trPr>
          <w:cantSplit/>
          <w:trHeight w:val="285"/>
        </w:trPr>
        <w:tc>
          <w:tcPr>
            <w:tcW w:w="9158" w:type="dxa"/>
            <w:shd w:val="clear" w:color="auto" w:fill="D9D9D9" w:themeFill="background1" w:themeFillShade="D9"/>
          </w:tcPr>
          <w:p w14:paraId="39DE70D2" w14:textId="77777777" w:rsidR="00F84F14" w:rsidRPr="00CD1C0E" w:rsidRDefault="00F84F14" w:rsidP="005E7883">
            <w:pPr>
              <w:pStyle w:val="Heading1"/>
            </w:pPr>
            <w:r>
              <w:t xml:space="preserve">Evaluation </w:t>
            </w:r>
          </w:p>
        </w:tc>
      </w:tr>
    </w:tbl>
    <w:p w14:paraId="450CB06A" w14:textId="77777777" w:rsidR="00F84F14" w:rsidRDefault="00F84F14" w:rsidP="00F84F14">
      <w:pPr>
        <w:pStyle w:val="Default"/>
        <w:rPr>
          <w:rFonts w:ascii="Calibri" w:hAnsi="Calibri" w:cs="Arial"/>
          <w:i/>
          <w:color w:val="auto"/>
          <w:lang w:eastAsia="en-US"/>
        </w:rPr>
      </w:pPr>
    </w:p>
    <w:p w14:paraId="12D89BA4" w14:textId="77777777" w:rsidR="00F84F14" w:rsidRPr="00263D13" w:rsidRDefault="00F84F14" w:rsidP="00F84F14">
      <w:pPr>
        <w:rPr>
          <w:b/>
          <w:bCs/>
        </w:rPr>
      </w:pPr>
      <w:r w:rsidRPr="00263D13">
        <w:rPr>
          <w:b/>
          <w:bCs/>
        </w:rPr>
        <w:t>Outcome</w:t>
      </w:r>
    </w:p>
    <w:p w14:paraId="1AD7A0D9" w14:textId="77777777" w:rsidR="00F84F14" w:rsidRDefault="00F84F14" w:rsidP="00F84F14">
      <w:pPr>
        <w:rPr>
          <w:rFonts w:cs="Arial"/>
          <w:b/>
          <w:szCs w:val="24"/>
        </w:rPr>
      </w:pPr>
      <w:r w:rsidRPr="004F4850">
        <w:rPr>
          <w:rFonts w:cs="Arial"/>
          <w:szCs w:val="24"/>
        </w:rPr>
        <w:t>CH</w:t>
      </w:r>
      <w:r>
        <w:rPr>
          <w:rFonts w:cs="Arial"/>
          <w:szCs w:val="24"/>
        </w:rPr>
        <w:t xml:space="preserve">S </w:t>
      </w:r>
      <w:r w:rsidRPr="004F4850">
        <w:rPr>
          <w:rFonts w:cs="Arial"/>
          <w:szCs w:val="24"/>
        </w:rPr>
        <w:t xml:space="preserve">Medical and Nursing staff </w:t>
      </w:r>
      <w:r>
        <w:rPr>
          <w:rFonts w:cs="Arial"/>
          <w:szCs w:val="24"/>
        </w:rPr>
        <w:t>deliver appropriate clinical evaluation, assessment and intervention in the medical management of alcohol withdrawal.</w:t>
      </w:r>
    </w:p>
    <w:p w14:paraId="5D425622" w14:textId="77777777" w:rsidR="00F84F14" w:rsidRPr="00263D13" w:rsidRDefault="00F84F14" w:rsidP="00F84F14">
      <w:pPr>
        <w:rPr>
          <w:b/>
          <w:bCs/>
        </w:rPr>
      </w:pPr>
    </w:p>
    <w:p w14:paraId="54EF441F" w14:textId="77777777" w:rsidR="00F84F14" w:rsidRPr="00263D13" w:rsidRDefault="00F84F14" w:rsidP="00F84F14">
      <w:pPr>
        <w:rPr>
          <w:b/>
          <w:bCs/>
        </w:rPr>
      </w:pPr>
      <w:r w:rsidRPr="00263D13">
        <w:rPr>
          <w:b/>
          <w:bCs/>
        </w:rPr>
        <w:t>Measures</w:t>
      </w:r>
    </w:p>
    <w:p w14:paraId="7A153712" w14:textId="77777777" w:rsidR="00F84F14" w:rsidRPr="00635488" w:rsidRDefault="00F84F14" w:rsidP="00F84F14">
      <w:pPr>
        <w:pStyle w:val="ListBullet"/>
      </w:pPr>
      <w:r w:rsidRPr="00635488">
        <w:t>Review of consumer feedback related to management of alcohol withdrawal</w:t>
      </w:r>
      <w:r>
        <w:t>.</w:t>
      </w:r>
    </w:p>
    <w:p w14:paraId="1AEE9744" w14:textId="77777777" w:rsidR="00F84F14" w:rsidRPr="00635488" w:rsidRDefault="00F84F14" w:rsidP="00F84F14">
      <w:pPr>
        <w:pStyle w:val="ListBullet"/>
      </w:pPr>
      <w:r w:rsidRPr="00635488">
        <w:t>Review of MET calls related to patients being managed for alcohol withdrawal</w:t>
      </w:r>
      <w:r>
        <w:t>.</w:t>
      </w:r>
    </w:p>
    <w:p w14:paraId="4E2DCA91" w14:textId="77777777" w:rsidR="00F84F14" w:rsidRDefault="00F84F14" w:rsidP="00F84F14">
      <w:pPr>
        <w:jc w:val="right"/>
      </w:pPr>
    </w:p>
    <w:p w14:paraId="4DC105BA" w14:textId="77777777" w:rsidR="00F84F14" w:rsidRDefault="00F84F14" w:rsidP="00F84F14">
      <w:pPr>
        <w:jc w:val="right"/>
      </w:pPr>
      <w:hyperlink r:id="rId11" w:anchor="Contents" w:history="1">
        <w:r>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CD1C0E" w14:paraId="4AA78652" w14:textId="77777777" w:rsidTr="005E7883">
        <w:trPr>
          <w:cantSplit/>
          <w:trHeight w:val="285"/>
        </w:trPr>
        <w:tc>
          <w:tcPr>
            <w:tcW w:w="9158" w:type="dxa"/>
            <w:shd w:val="clear" w:color="auto" w:fill="D9D9D9" w:themeFill="background1" w:themeFillShade="D9"/>
          </w:tcPr>
          <w:p w14:paraId="01057D60" w14:textId="77777777" w:rsidR="00F84F14" w:rsidRPr="00CD1C0E" w:rsidRDefault="00F84F14" w:rsidP="005E7883">
            <w:pPr>
              <w:pStyle w:val="Heading1"/>
            </w:pPr>
            <w:r>
              <w:t>Related Policies, Procedures, Guidelines and Legislation</w:t>
            </w:r>
          </w:p>
        </w:tc>
      </w:tr>
    </w:tbl>
    <w:p w14:paraId="17D8C558" w14:textId="77777777" w:rsidR="00F84F14" w:rsidRPr="00263D13" w:rsidRDefault="00F84F14" w:rsidP="00F84F14">
      <w:pPr>
        <w:rPr>
          <w:b/>
          <w:bCs/>
        </w:rPr>
      </w:pPr>
      <w:r w:rsidRPr="00263D13">
        <w:rPr>
          <w:b/>
          <w:bCs/>
        </w:rPr>
        <w:t>Policies</w:t>
      </w:r>
    </w:p>
    <w:p w14:paraId="72177FD5" w14:textId="77777777" w:rsidR="00F84F14" w:rsidRPr="00441CE3" w:rsidRDefault="00F84F14" w:rsidP="00F84F14">
      <w:pPr>
        <w:pStyle w:val="ListBullet"/>
        <w:rPr>
          <w:b/>
          <w:bCs/>
        </w:rPr>
      </w:pPr>
      <w:r w:rsidRPr="04BB5E21">
        <w:rPr>
          <w:rFonts w:eastAsia="Calibri"/>
        </w:rPr>
        <w:t>Medication Handling</w:t>
      </w:r>
    </w:p>
    <w:p w14:paraId="0A8FF76F" w14:textId="77777777" w:rsidR="00F84F14" w:rsidRPr="00441CE3" w:rsidRDefault="00F84F14" w:rsidP="00F84F14">
      <w:pPr>
        <w:pStyle w:val="ListBullet"/>
        <w:rPr>
          <w:b/>
          <w:bCs/>
        </w:rPr>
      </w:pPr>
      <w:r w:rsidRPr="04BB5E21">
        <w:rPr>
          <w:rFonts w:eastAsia="Calibri"/>
        </w:rPr>
        <w:lastRenderedPageBreak/>
        <w:t xml:space="preserve">Informed Consent – clinical </w:t>
      </w:r>
    </w:p>
    <w:p w14:paraId="501403E9" w14:textId="77777777" w:rsidR="00F84F14" w:rsidRDefault="00F84F14" w:rsidP="00F84F14">
      <w:pPr>
        <w:rPr>
          <w:szCs w:val="24"/>
        </w:rPr>
      </w:pPr>
    </w:p>
    <w:p w14:paraId="2AE6F064" w14:textId="77777777" w:rsidR="00F84F14" w:rsidRPr="00263D13" w:rsidRDefault="00F84F14" w:rsidP="00F84F14">
      <w:pPr>
        <w:rPr>
          <w:b/>
          <w:bCs/>
          <w:noProof/>
          <w:lang w:eastAsia="en-AU"/>
        </w:rPr>
      </w:pPr>
      <w:r w:rsidRPr="00263D13">
        <w:rPr>
          <w:b/>
          <w:bCs/>
          <w:noProof/>
          <w:lang w:eastAsia="en-AU"/>
        </w:rPr>
        <w:t>Procedures</w:t>
      </w:r>
    </w:p>
    <w:p w14:paraId="78A0F1A2" w14:textId="77777777" w:rsidR="00F84F14" w:rsidRDefault="00F84F14" w:rsidP="00F84F14">
      <w:pPr>
        <w:pStyle w:val="ListBullet"/>
        <w:jc w:val="both"/>
        <w:rPr>
          <w:rFonts w:eastAsia="Calibri"/>
          <w:noProof/>
          <w:lang w:eastAsia="en-AU"/>
        </w:rPr>
      </w:pPr>
      <w:r w:rsidRPr="04BB5E21">
        <w:rPr>
          <w:rFonts w:eastAsia="Calibri"/>
          <w:noProof/>
          <w:lang w:eastAsia="en-AU"/>
        </w:rPr>
        <w:t xml:space="preserve">Emergency Department and Mental Health Interface </w:t>
      </w:r>
    </w:p>
    <w:p w14:paraId="5162D4BA" w14:textId="77777777" w:rsidR="00F84F14" w:rsidRDefault="00F84F14" w:rsidP="00F84F14">
      <w:pPr>
        <w:pStyle w:val="ListBullet"/>
        <w:jc w:val="both"/>
        <w:rPr>
          <w:rFonts w:eastAsia="Calibri"/>
          <w:noProof/>
          <w:lang w:eastAsia="en-AU"/>
        </w:rPr>
      </w:pPr>
      <w:r w:rsidRPr="04BB5E21">
        <w:rPr>
          <w:rFonts w:eastAsia="Calibri"/>
          <w:noProof/>
          <w:lang w:eastAsia="en-AU"/>
        </w:rPr>
        <w:t>Patient Identification and Procedure Matching</w:t>
      </w:r>
    </w:p>
    <w:p w14:paraId="5787CD98" w14:textId="77777777" w:rsidR="00F84F14" w:rsidRDefault="00F84F14" w:rsidP="00F84F14">
      <w:pPr>
        <w:pStyle w:val="ListBullet"/>
        <w:jc w:val="both"/>
        <w:rPr>
          <w:rFonts w:eastAsia="Calibri"/>
          <w:noProof/>
          <w:lang w:eastAsia="en-AU"/>
        </w:rPr>
      </w:pPr>
      <w:r w:rsidRPr="04BB5E21">
        <w:rPr>
          <w:rFonts w:eastAsia="Calibri"/>
          <w:noProof/>
          <w:lang w:eastAsia="en-AU"/>
        </w:rPr>
        <w:t>Clinical Handover</w:t>
      </w:r>
    </w:p>
    <w:p w14:paraId="0FE71AE3" w14:textId="77777777" w:rsidR="00F84F14" w:rsidRDefault="00F84F14" w:rsidP="00F84F14">
      <w:pPr>
        <w:pStyle w:val="ListBullet"/>
        <w:jc w:val="both"/>
        <w:rPr>
          <w:rFonts w:eastAsia="Calibri"/>
          <w:noProof/>
          <w:lang w:eastAsia="en-AU"/>
        </w:rPr>
      </w:pPr>
      <w:r w:rsidRPr="04BB5E21">
        <w:rPr>
          <w:rFonts w:eastAsia="Calibri"/>
          <w:noProof/>
          <w:lang w:eastAsia="en-AU"/>
        </w:rPr>
        <w:t xml:space="preserve">Vital Signs and Early Warning Scores </w:t>
      </w:r>
    </w:p>
    <w:p w14:paraId="2FFF21B3" w14:textId="77777777" w:rsidR="00F84F14" w:rsidRDefault="00F84F14" w:rsidP="00F84F14">
      <w:pPr>
        <w:pStyle w:val="ListBullet"/>
        <w:rPr>
          <w:rFonts w:eastAsia="Calibri"/>
          <w:noProof/>
          <w:lang w:eastAsia="en-AU"/>
        </w:rPr>
      </w:pPr>
      <w:r w:rsidRPr="04BB5E21">
        <w:rPr>
          <w:rFonts w:eastAsia="Calibri"/>
          <w:noProof/>
          <w:lang w:eastAsia="en-AU"/>
        </w:rPr>
        <w:t>Urgent and Non-urgent transfer of Phyiscal Care to the Emergency Department – Alexander Maconoshie Centre and Bimberi Youth Justice Centre</w:t>
      </w:r>
    </w:p>
    <w:p w14:paraId="69BCA272" w14:textId="77777777" w:rsidR="00F84F14" w:rsidRPr="00651F2B" w:rsidRDefault="00F84F14" w:rsidP="00F84F14">
      <w:pPr>
        <w:pStyle w:val="ListBullet"/>
        <w:rPr>
          <w:rFonts w:eastAsia="Calibri"/>
          <w:noProof/>
          <w:lang w:eastAsia="en-AU"/>
        </w:rPr>
      </w:pPr>
      <w:r w:rsidRPr="04BB5E21">
        <w:rPr>
          <w:rFonts w:eastAsia="Calibri"/>
          <w:noProof/>
          <w:lang w:eastAsia="en-AU"/>
        </w:rPr>
        <w:t>Dhulwa Mental Health Unit – Transfer of Custody</w:t>
      </w:r>
    </w:p>
    <w:p w14:paraId="04B0E821" w14:textId="77777777" w:rsidR="00F84F14" w:rsidRPr="0073087A" w:rsidRDefault="00F84F14" w:rsidP="00F84F14">
      <w:pPr>
        <w:pStyle w:val="ListBullet"/>
        <w:rPr>
          <w:rFonts w:eastAsia="Calibri"/>
          <w:noProof/>
          <w:lang w:eastAsia="en-AU"/>
        </w:rPr>
      </w:pPr>
      <w:r w:rsidRPr="04BB5E21">
        <w:rPr>
          <w:rFonts w:eastAsia="Calibri" w:cs="Arial"/>
        </w:rPr>
        <w:t>Responding to Consumer Use of Alcohol and other Drugs (AOD)</w:t>
      </w:r>
    </w:p>
    <w:p w14:paraId="11C5DF02" w14:textId="77777777" w:rsidR="00F84F14" w:rsidRDefault="00F84F14" w:rsidP="00F84F14">
      <w:pPr>
        <w:jc w:val="both"/>
        <w:rPr>
          <w:b/>
        </w:rPr>
      </w:pPr>
    </w:p>
    <w:p w14:paraId="6F08F8DC" w14:textId="77777777" w:rsidR="00F84F14" w:rsidRPr="00263D13" w:rsidRDefault="00F84F14" w:rsidP="00F84F14">
      <w:pPr>
        <w:rPr>
          <w:b/>
          <w:bCs/>
        </w:rPr>
      </w:pPr>
      <w:r w:rsidRPr="00263D13">
        <w:rPr>
          <w:b/>
          <w:bCs/>
        </w:rPr>
        <w:t xml:space="preserve">National Guidelines </w:t>
      </w:r>
    </w:p>
    <w:p w14:paraId="46400569" w14:textId="77777777" w:rsidR="00F84F14" w:rsidRPr="00EB7481" w:rsidRDefault="00F84F14" w:rsidP="00F84F14">
      <w:pPr>
        <w:pStyle w:val="ListBullet"/>
        <w:jc w:val="both"/>
        <w:rPr>
          <w:lang w:val="en-US"/>
        </w:rPr>
      </w:pPr>
      <w:r w:rsidRPr="04BB5E21">
        <w:rPr>
          <w:lang w:val="en-US"/>
        </w:rPr>
        <w:t xml:space="preserve">National Safety and Quality Healthcare Services Standards 2012 </w:t>
      </w:r>
    </w:p>
    <w:p w14:paraId="211C5FCB" w14:textId="77777777" w:rsidR="00F84F14" w:rsidRPr="00441CE3" w:rsidRDefault="00F84F14" w:rsidP="00F84F14">
      <w:pPr>
        <w:pStyle w:val="ListBullet"/>
        <w:jc w:val="both"/>
        <w:rPr>
          <w:rFonts w:eastAsia="Calibri"/>
          <w:b/>
          <w:bCs/>
          <w:noProof/>
          <w:lang w:eastAsia="en-AU"/>
        </w:rPr>
      </w:pPr>
      <w:r w:rsidRPr="04BB5E21">
        <w:rPr>
          <w:lang w:val="en-US"/>
        </w:rPr>
        <w:t>Mental Health Standards 2010</w:t>
      </w:r>
    </w:p>
    <w:p w14:paraId="5893AFA2" w14:textId="77777777" w:rsidR="00F84F14" w:rsidRDefault="00F84F14" w:rsidP="00F84F14">
      <w:pPr>
        <w:pStyle w:val="ListBullet"/>
        <w:numPr>
          <w:ilvl w:val="0"/>
          <w:numId w:val="0"/>
        </w:numPr>
        <w:ind w:left="426" w:hanging="426"/>
        <w:jc w:val="both"/>
        <w:rPr>
          <w:lang w:val="en-US"/>
        </w:rPr>
      </w:pPr>
    </w:p>
    <w:p w14:paraId="34C5BF3B" w14:textId="77777777" w:rsidR="00F84F14" w:rsidRPr="00263D13" w:rsidRDefault="00F84F14" w:rsidP="00F84F14">
      <w:pPr>
        <w:rPr>
          <w:b/>
          <w:bCs/>
        </w:rPr>
      </w:pPr>
      <w:r w:rsidRPr="00263D13">
        <w:rPr>
          <w:b/>
          <w:bCs/>
        </w:rPr>
        <w:t>Legislation</w:t>
      </w:r>
    </w:p>
    <w:p w14:paraId="21460B0F" w14:textId="77777777" w:rsidR="00F84F14" w:rsidRPr="00BA5B60" w:rsidRDefault="00F84F14" w:rsidP="00F84F14">
      <w:pPr>
        <w:pStyle w:val="ListBullet"/>
        <w:rPr>
          <w:i/>
          <w:iCs/>
        </w:rPr>
      </w:pPr>
      <w:r w:rsidRPr="04BB5E21">
        <w:rPr>
          <w:i/>
          <w:iCs/>
        </w:rPr>
        <w:t xml:space="preserve">Health Records (Privacy and Access) Act </w:t>
      </w:r>
      <w:r w:rsidRPr="00D42564">
        <w:t>1997</w:t>
      </w:r>
    </w:p>
    <w:p w14:paraId="17230303" w14:textId="77777777" w:rsidR="00F84F14" w:rsidRPr="00BA5B60" w:rsidRDefault="00F84F14" w:rsidP="00F84F14">
      <w:pPr>
        <w:pStyle w:val="ListBullet"/>
        <w:rPr>
          <w:i/>
          <w:iCs/>
        </w:rPr>
      </w:pPr>
      <w:r w:rsidRPr="04BB5E21">
        <w:rPr>
          <w:i/>
          <w:iCs/>
        </w:rPr>
        <w:t xml:space="preserve">Human Rights Act </w:t>
      </w:r>
      <w:r w:rsidRPr="00D42564">
        <w:t>2004</w:t>
      </w:r>
    </w:p>
    <w:p w14:paraId="35374549" w14:textId="77777777" w:rsidR="00F84F14" w:rsidRDefault="00F84F14" w:rsidP="00F84F14">
      <w:pPr>
        <w:pStyle w:val="ListBullet"/>
        <w:rPr>
          <w:i/>
          <w:iCs/>
        </w:rPr>
      </w:pPr>
      <w:r w:rsidRPr="04BB5E21">
        <w:rPr>
          <w:i/>
          <w:iCs/>
        </w:rPr>
        <w:t xml:space="preserve">Work Health and Safety Act </w:t>
      </w:r>
      <w:r w:rsidRPr="00D42564">
        <w:t>2011</w:t>
      </w:r>
    </w:p>
    <w:p w14:paraId="2469C807" w14:textId="77777777" w:rsidR="00F84F14" w:rsidRPr="00A247CD" w:rsidRDefault="00F84F14" w:rsidP="00F84F14">
      <w:pPr>
        <w:pStyle w:val="ListBullet"/>
        <w:rPr>
          <w:i/>
          <w:iCs/>
        </w:rPr>
      </w:pPr>
      <w:r w:rsidRPr="04BB5E21">
        <w:rPr>
          <w:i/>
          <w:iCs/>
        </w:rPr>
        <w:t xml:space="preserve">Carers Recognition Act </w:t>
      </w:r>
      <w:r w:rsidRPr="00D42564">
        <w:t>2021</w:t>
      </w:r>
    </w:p>
    <w:p w14:paraId="092B8B77" w14:textId="77777777" w:rsidR="00F84F14" w:rsidRDefault="00F84F14" w:rsidP="00F84F14">
      <w:pPr>
        <w:ind w:left="720"/>
        <w:rPr>
          <w:rFonts w:cs="Arial"/>
          <w:i/>
          <w:szCs w:val="24"/>
        </w:rPr>
      </w:pPr>
    </w:p>
    <w:p w14:paraId="6691FC51" w14:textId="77777777" w:rsidR="00F84F14" w:rsidRPr="00263D13" w:rsidRDefault="00F84F14" w:rsidP="00F84F14">
      <w:pPr>
        <w:rPr>
          <w:b/>
          <w:bCs/>
        </w:rPr>
      </w:pPr>
      <w:r w:rsidRPr="00263D13">
        <w:rPr>
          <w:b/>
          <w:bCs/>
        </w:rPr>
        <w:t>Other</w:t>
      </w:r>
    </w:p>
    <w:p w14:paraId="09899016" w14:textId="77777777" w:rsidR="00F84F14" w:rsidRPr="00441CE3" w:rsidRDefault="00F84F14" w:rsidP="00F84F14">
      <w:pPr>
        <w:pStyle w:val="ListBullet"/>
      </w:pPr>
      <w:r w:rsidRPr="00DD0346">
        <w:t>Australian Charter of Healthcare Rights</w:t>
      </w:r>
    </w:p>
    <w:p w14:paraId="7D695B9A" w14:textId="77777777" w:rsidR="00F84F14" w:rsidRDefault="00F84F14" w:rsidP="00F84F14">
      <w:pPr>
        <w:pStyle w:val="ListParagraph"/>
        <w:jc w:val="right"/>
      </w:pPr>
    </w:p>
    <w:p w14:paraId="4DEC2B50" w14:textId="77777777" w:rsidR="00F84F14" w:rsidRPr="00DA3910" w:rsidRDefault="00F84F14" w:rsidP="00F84F14">
      <w:pPr>
        <w:pStyle w:val="ListParagraph"/>
        <w:jc w:val="right"/>
        <w:rPr>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1B2BAC" w14:paraId="458449CB" w14:textId="77777777" w:rsidTr="005E7883">
        <w:trPr>
          <w:cantSplit/>
          <w:trHeight w:val="285"/>
        </w:trPr>
        <w:tc>
          <w:tcPr>
            <w:tcW w:w="9158" w:type="dxa"/>
            <w:shd w:val="clear" w:color="auto" w:fill="D9D9D9" w:themeFill="background1" w:themeFillShade="D9"/>
          </w:tcPr>
          <w:p w14:paraId="78468C60" w14:textId="77777777" w:rsidR="00F84F14" w:rsidRPr="002E3BFE" w:rsidRDefault="00F84F14" w:rsidP="005E7883">
            <w:pPr>
              <w:pStyle w:val="Heading1"/>
              <w:jc w:val="both"/>
              <w:rPr>
                <w:szCs w:val="24"/>
              </w:rPr>
            </w:pPr>
            <w:r>
              <w:rPr>
                <w:szCs w:val="24"/>
              </w:rPr>
              <w:t>References</w:t>
            </w:r>
          </w:p>
        </w:tc>
      </w:tr>
    </w:tbl>
    <w:p w14:paraId="7F0FC197" w14:textId="77777777" w:rsidR="00F84F14" w:rsidRDefault="00F84F14" w:rsidP="00F84F14">
      <w:pPr>
        <w:jc w:val="both"/>
        <w:rPr>
          <w:b/>
        </w:rPr>
      </w:pPr>
    </w:p>
    <w:p w14:paraId="1A82BDB0" w14:textId="77777777" w:rsidR="00F84F14" w:rsidRPr="004255EE" w:rsidRDefault="00F84F14" w:rsidP="00F84F14">
      <w:pPr>
        <w:pStyle w:val="ListParagraph"/>
        <w:numPr>
          <w:ilvl w:val="0"/>
          <w:numId w:val="20"/>
        </w:numPr>
        <w:jc w:val="both"/>
        <w:rPr>
          <w:rFonts w:cs="Arial"/>
          <w:szCs w:val="24"/>
        </w:rPr>
      </w:pPr>
      <w:r w:rsidRPr="004255EE">
        <w:rPr>
          <w:rFonts w:cs="Arial"/>
          <w:szCs w:val="24"/>
        </w:rPr>
        <w:t>Flinders University and Drug &amp; Alcohol Services Council (2003</w:t>
      </w:r>
      <w:r w:rsidRPr="004255EE">
        <w:rPr>
          <w:rFonts w:cs="Arial"/>
          <w:i/>
          <w:szCs w:val="24"/>
        </w:rPr>
        <w:t>). Alcohol, Tobacco &amp; other</w:t>
      </w:r>
      <w:r w:rsidRPr="004255EE">
        <w:rPr>
          <w:rFonts w:cs="Arial"/>
          <w:szCs w:val="24"/>
        </w:rPr>
        <w:t xml:space="preserve"> </w:t>
      </w:r>
      <w:r w:rsidRPr="004255EE">
        <w:rPr>
          <w:rFonts w:cs="Arial"/>
          <w:i/>
          <w:szCs w:val="24"/>
        </w:rPr>
        <w:t xml:space="preserve">Drugs. Guidelines for </w:t>
      </w:r>
      <w:r>
        <w:rPr>
          <w:rFonts w:cs="Arial"/>
          <w:i/>
          <w:szCs w:val="24"/>
        </w:rPr>
        <w:t>Nurses</w:t>
      </w:r>
      <w:r w:rsidRPr="004255EE">
        <w:rPr>
          <w:rFonts w:cs="Arial"/>
          <w:i/>
          <w:szCs w:val="24"/>
        </w:rPr>
        <w:t xml:space="preserve"> &amp; Midwives: Clinical Guidelines</w:t>
      </w:r>
      <w:r w:rsidRPr="004255EE">
        <w:rPr>
          <w:rFonts w:cs="Arial"/>
          <w:szCs w:val="24"/>
        </w:rPr>
        <w:t>. Flinders University and Drug &amp; Alcohol Services Council, South Australia.</w:t>
      </w:r>
    </w:p>
    <w:p w14:paraId="24B3B7EB" w14:textId="77777777" w:rsidR="00F84F14" w:rsidRPr="004255EE" w:rsidRDefault="00F84F14" w:rsidP="00F84F14">
      <w:pPr>
        <w:pStyle w:val="ListParagraph"/>
        <w:numPr>
          <w:ilvl w:val="0"/>
          <w:numId w:val="20"/>
        </w:numPr>
        <w:jc w:val="both"/>
        <w:rPr>
          <w:rFonts w:cs="Arial"/>
          <w:szCs w:val="24"/>
        </w:rPr>
      </w:pPr>
      <w:r w:rsidRPr="004255EE">
        <w:rPr>
          <w:rFonts w:cs="Arial"/>
          <w:szCs w:val="24"/>
        </w:rPr>
        <w:t>NSW Health Detoxification Clinical Practice Guidelines 2000-2003,</w:t>
      </w:r>
    </w:p>
    <w:p w14:paraId="1DA387F1" w14:textId="77777777" w:rsidR="00F84F14" w:rsidRPr="004255EE" w:rsidRDefault="00F84F14" w:rsidP="00F84F14">
      <w:pPr>
        <w:pStyle w:val="ListParagraph"/>
        <w:ind w:left="360"/>
        <w:jc w:val="both"/>
        <w:rPr>
          <w:rFonts w:cs="Arial"/>
          <w:szCs w:val="24"/>
        </w:rPr>
      </w:pPr>
      <w:hyperlink r:id="rId12" w:history="1">
        <w:r w:rsidRPr="004255EE">
          <w:rPr>
            <w:rStyle w:val="Hyperlink"/>
            <w:rFonts w:cs="Arial"/>
            <w:szCs w:val="24"/>
          </w:rPr>
          <w:t>www.health.nsw.gov.au/...health/.../detoxification clinical practice guidelines.pdf</w:t>
        </w:r>
      </w:hyperlink>
      <w:r w:rsidRPr="004255EE">
        <w:rPr>
          <w:rFonts w:cs="Arial"/>
          <w:szCs w:val="24"/>
        </w:rPr>
        <w:t>,</w:t>
      </w:r>
      <w:r>
        <w:rPr>
          <w:rFonts w:cs="Arial"/>
          <w:szCs w:val="24"/>
        </w:rPr>
        <w:t xml:space="preserve"> </w:t>
      </w:r>
      <w:r w:rsidRPr="004255EE">
        <w:rPr>
          <w:rFonts w:cs="Arial"/>
          <w:szCs w:val="24"/>
        </w:rPr>
        <w:t>viewed Friday 18 November 2011.</w:t>
      </w:r>
    </w:p>
    <w:p w14:paraId="25A2ECAA" w14:textId="77777777" w:rsidR="00F84F14" w:rsidRPr="004255EE" w:rsidRDefault="00F84F14" w:rsidP="00F84F14">
      <w:pPr>
        <w:pStyle w:val="ListParagraph"/>
        <w:numPr>
          <w:ilvl w:val="0"/>
          <w:numId w:val="20"/>
        </w:numPr>
        <w:jc w:val="both"/>
        <w:rPr>
          <w:rFonts w:cs="Arial"/>
          <w:szCs w:val="24"/>
        </w:rPr>
      </w:pPr>
      <w:r w:rsidRPr="004255EE">
        <w:rPr>
          <w:rFonts w:cs="Arial"/>
          <w:szCs w:val="24"/>
        </w:rPr>
        <w:t xml:space="preserve">New South Wales (NSW) Health (2007). </w:t>
      </w:r>
      <w:r w:rsidRPr="004255EE">
        <w:rPr>
          <w:rFonts w:cs="Arial"/>
          <w:i/>
          <w:szCs w:val="24"/>
        </w:rPr>
        <w:t>NSW Drug and Alcohol Withdrawal Clinical Practice</w:t>
      </w:r>
      <w:r w:rsidRPr="004255EE">
        <w:rPr>
          <w:rFonts w:cs="Arial"/>
          <w:szCs w:val="24"/>
        </w:rPr>
        <w:t xml:space="preserve"> </w:t>
      </w:r>
      <w:r w:rsidRPr="004255EE">
        <w:rPr>
          <w:rFonts w:cs="Arial"/>
          <w:i/>
          <w:szCs w:val="24"/>
        </w:rPr>
        <w:t>Guidelines</w:t>
      </w:r>
      <w:r w:rsidRPr="004255EE">
        <w:rPr>
          <w:rFonts w:cs="Arial"/>
          <w:szCs w:val="24"/>
        </w:rPr>
        <w:t>. New South Wales Department of Health, North Sydney.</w:t>
      </w:r>
    </w:p>
    <w:p w14:paraId="765DED80" w14:textId="77777777" w:rsidR="00F84F14" w:rsidRPr="004255EE" w:rsidRDefault="00F84F14" w:rsidP="00F84F14">
      <w:pPr>
        <w:pStyle w:val="ListParagraph"/>
        <w:numPr>
          <w:ilvl w:val="0"/>
          <w:numId w:val="20"/>
        </w:numPr>
        <w:jc w:val="both"/>
        <w:rPr>
          <w:rFonts w:cs="Arial"/>
          <w:szCs w:val="24"/>
        </w:rPr>
      </w:pPr>
      <w:r w:rsidRPr="004255EE">
        <w:rPr>
          <w:rFonts w:cs="Arial"/>
          <w:szCs w:val="24"/>
        </w:rPr>
        <w:t xml:space="preserve">Turning Point (2007). </w:t>
      </w:r>
      <w:r w:rsidRPr="004255EE">
        <w:rPr>
          <w:rFonts w:cs="Arial"/>
          <w:i/>
          <w:szCs w:val="24"/>
        </w:rPr>
        <w:t>Vocational and Technical Education Training Packages Student Notes</w:t>
      </w:r>
      <w:r w:rsidRPr="004255EE">
        <w:rPr>
          <w:rFonts w:cs="Arial"/>
          <w:szCs w:val="24"/>
        </w:rPr>
        <w:t>, Turning Point Alcohol and Drug centre, Fitzroy, Victoria.</w:t>
      </w:r>
    </w:p>
    <w:p w14:paraId="0C6D4D1A" w14:textId="77777777" w:rsidR="00F84F14" w:rsidRDefault="00F84F14" w:rsidP="00F84F14"/>
    <w:p w14:paraId="58338CD3" w14:textId="77777777" w:rsidR="00F84F14" w:rsidRDefault="00F84F14" w:rsidP="00F84F14">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0F1F60" w14:paraId="596D3A9B" w14:textId="77777777" w:rsidTr="005E7883">
        <w:trPr>
          <w:cantSplit/>
          <w:trHeight w:val="285"/>
        </w:trPr>
        <w:tc>
          <w:tcPr>
            <w:tcW w:w="9158" w:type="dxa"/>
            <w:shd w:val="clear" w:color="auto" w:fill="D9D9D9" w:themeFill="background1" w:themeFillShade="D9"/>
          </w:tcPr>
          <w:p w14:paraId="4CAE6533" w14:textId="77777777" w:rsidR="00F84F14" w:rsidRPr="000F1F60" w:rsidRDefault="00F84F14" w:rsidP="005E7883">
            <w:pPr>
              <w:pStyle w:val="Heading1"/>
            </w:pPr>
            <w:r>
              <w:t xml:space="preserve">Definition of Terms </w:t>
            </w:r>
          </w:p>
        </w:tc>
      </w:tr>
    </w:tbl>
    <w:p w14:paraId="4E6E276C" w14:textId="77777777" w:rsidR="00F84F14" w:rsidRDefault="00F84F14" w:rsidP="00F84F14">
      <w:pPr>
        <w:rPr>
          <w:rFonts w:cs="Arial"/>
          <w:szCs w:val="24"/>
        </w:rPr>
      </w:pPr>
    </w:p>
    <w:p w14:paraId="72EB2F46" w14:textId="77777777" w:rsidR="00F84F14" w:rsidRDefault="00F84F14" w:rsidP="00F84F14">
      <w:pPr>
        <w:rPr>
          <w:rFonts w:cs="Arial"/>
          <w:szCs w:val="24"/>
        </w:rPr>
      </w:pPr>
      <w:r w:rsidRPr="004255EE">
        <w:rPr>
          <w:rFonts w:cs="Arial"/>
          <w:b/>
          <w:szCs w:val="24"/>
        </w:rPr>
        <w:lastRenderedPageBreak/>
        <w:t>Alcohol Withdrawal Scale (AWS):</w:t>
      </w:r>
      <w:r>
        <w:rPr>
          <w:rFonts w:cs="Arial"/>
          <w:szCs w:val="24"/>
        </w:rPr>
        <w:t xml:space="preserve"> a 7-item scale with a potential maximum score of 27, used to assess levels of alcohol withdrawal and ‘symptom-triggered’, as required sedation.</w:t>
      </w:r>
    </w:p>
    <w:p w14:paraId="438196DA" w14:textId="77777777" w:rsidR="00F84F14" w:rsidRDefault="00F84F14" w:rsidP="00F84F14">
      <w:pPr>
        <w:rPr>
          <w:rFonts w:cs="Arial"/>
          <w:szCs w:val="24"/>
        </w:rPr>
      </w:pPr>
    </w:p>
    <w:p w14:paraId="5D84FDF0" w14:textId="77777777" w:rsidR="00F84F14" w:rsidRDefault="00F84F14" w:rsidP="00F84F14">
      <w:r w:rsidRPr="004255EE">
        <w:rPr>
          <w:rFonts w:cs="Arial"/>
          <w:b/>
          <w:szCs w:val="24"/>
        </w:rPr>
        <w:t>Alcohol Withdrawal Seizures:</w:t>
      </w:r>
      <w:r w:rsidRPr="001D24E9">
        <w:t xml:space="preserve"> </w:t>
      </w:r>
      <w:r>
        <w:t>occurring early (usually 7–24 hours after the last drink). They are grand mal in type (i.e., generalised, not focal) and usually (though not always) occur as a single episode.</w:t>
      </w:r>
    </w:p>
    <w:p w14:paraId="520ECABC" w14:textId="77777777" w:rsidR="00F84F14" w:rsidRDefault="00F84F14" w:rsidP="00F84F14"/>
    <w:p w14:paraId="1C847361" w14:textId="77777777" w:rsidR="00F84F14" w:rsidRDefault="00F84F14" w:rsidP="00F84F14">
      <w:pPr>
        <w:rPr>
          <w:rFonts w:cs="Arial"/>
          <w:szCs w:val="24"/>
        </w:rPr>
      </w:pPr>
      <w:r w:rsidRPr="0032646D">
        <w:rPr>
          <w:b/>
          <w:bCs/>
        </w:rPr>
        <w:t>BAC:</w:t>
      </w:r>
      <w:r>
        <w:t xml:space="preserve"> breath alcohol concentration</w:t>
      </w:r>
    </w:p>
    <w:p w14:paraId="204B04FD" w14:textId="77777777" w:rsidR="00F84F14" w:rsidRDefault="00F84F14" w:rsidP="00F84F14">
      <w:pPr>
        <w:rPr>
          <w:rFonts w:cs="Arial"/>
          <w:szCs w:val="24"/>
        </w:rPr>
      </w:pPr>
    </w:p>
    <w:p w14:paraId="790B32F3" w14:textId="77777777" w:rsidR="00F84F14" w:rsidRDefault="00F84F14" w:rsidP="00F84F14">
      <w:pPr>
        <w:rPr>
          <w:rFonts w:cs="Arial"/>
          <w:szCs w:val="24"/>
        </w:rPr>
      </w:pPr>
      <w:r w:rsidRPr="004255EE">
        <w:rPr>
          <w:rFonts w:cs="Arial"/>
          <w:b/>
          <w:szCs w:val="24"/>
        </w:rPr>
        <w:t>BAL:</w:t>
      </w:r>
      <w:r>
        <w:rPr>
          <w:rFonts w:cs="Arial"/>
          <w:szCs w:val="24"/>
        </w:rPr>
        <w:t xml:space="preserve"> blood alcohol level</w:t>
      </w:r>
    </w:p>
    <w:p w14:paraId="3DAE9AB3" w14:textId="77777777" w:rsidR="00F84F14" w:rsidRDefault="00F84F14" w:rsidP="00F84F14">
      <w:pPr>
        <w:rPr>
          <w:rFonts w:cs="Arial"/>
          <w:szCs w:val="24"/>
        </w:rPr>
      </w:pPr>
    </w:p>
    <w:p w14:paraId="6E7199C5" w14:textId="77777777" w:rsidR="00F84F14" w:rsidRDefault="00F84F14" w:rsidP="00F84F14">
      <w:pPr>
        <w:rPr>
          <w:rFonts w:cs="Arial"/>
          <w:szCs w:val="24"/>
        </w:rPr>
      </w:pPr>
      <w:r w:rsidRPr="004255EE">
        <w:rPr>
          <w:rFonts w:cs="Arial"/>
          <w:b/>
          <w:szCs w:val="24"/>
        </w:rPr>
        <w:t>Diazepam:</w:t>
      </w:r>
      <w:r>
        <w:rPr>
          <w:rFonts w:cs="Arial"/>
          <w:szCs w:val="24"/>
        </w:rPr>
        <w:t xml:space="preserve"> a benzodiazepine in the sedative-hypnotic group of drugs which have a general depressant effect that increases with the dose.</w:t>
      </w:r>
    </w:p>
    <w:p w14:paraId="1725051E" w14:textId="77777777" w:rsidR="00F84F14" w:rsidRDefault="00F84F14" w:rsidP="00F84F14">
      <w:pPr>
        <w:rPr>
          <w:rFonts w:cs="Arial"/>
          <w:szCs w:val="24"/>
        </w:rPr>
      </w:pPr>
    </w:p>
    <w:p w14:paraId="02420EC4" w14:textId="77777777" w:rsidR="00F84F14" w:rsidRDefault="00F84F14" w:rsidP="00F84F14">
      <w:r w:rsidRPr="004255EE">
        <w:rPr>
          <w:b/>
        </w:rPr>
        <w:t>Polydrug overdose:</w:t>
      </w:r>
      <w:r>
        <w:t xml:space="preserve"> Polydrug use is when a person uses more than one type of drug – either at the same time or at different times. Polydrug use can lead to more problems than using just one type of drug. For example, it can increase the chances of overdose.</w:t>
      </w:r>
    </w:p>
    <w:p w14:paraId="3B3D37E4" w14:textId="77777777" w:rsidR="00F84F14" w:rsidRDefault="00F84F14" w:rsidP="00F84F14">
      <w:pPr>
        <w:rPr>
          <w:rFonts w:cs="Arial"/>
          <w:szCs w:val="24"/>
        </w:rPr>
      </w:pPr>
    </w:p>
    <w:p w14:paraId="3695F2A2" w14:textId="77777777" w:rsidR="00F84F14" w:rsidRDefault="00F84F14" w:rsidP="00F84F14">
      <w:pPr>
        <w:jc w:val="right"/>
      </w:pPr>
      <w:hyperlink w:anchor="Contents"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CD1C0E" w14:paraId="16870876" w14:textId="77777777" w:rsidTr="005E7883">
        <w:trPr>
          <w:cantSplit/>
          <w:trHeight w:val="285"/>
        </w:trPr>
        <w:tc>
          <w:tcPr>
            <w:tcW w:w="9158" w:type="dxa"/>
            <w:shd w:val="clear" w:color="auto" w:fill="D9D9D9" w:themeFill="background1" w:themeFillShade="D9"/>
          </w:tcPr>
          <w:p w14:paraId="318A024D" w14:textId="77777777" w:rsidR="00F84F14" w:rsidRPr="00CD1C0E" w:rsidRDefault="00F84F14" w:rsidP="005E7883">
            <w:pPr>
              <w:pStyle w:val="Heading1"/>
            </w:pPr>
            <w:r>
              <w:t xml:space="preserve">Search Terms </w:t>
            </w:r>
          </w:p>
        </w:tc>
      </w:tr>
    </w:tbl>
    <w:p w14:paraId="555C4B17" w14:textId="77777777" w:rsidR="00F84F14" w:rsidRDefault="00F84F14" w:rsidP="00F84F14">
      <w:pPr>
        <w:rPr>
          <w:rFonts w:cs="Calibri,Bold"/>
          <w:bCs/>
          <w:i/>
          <w:szCs w:val="24"/>
          <w:lang w:eastAsia="en-AU"/>
        </w:rPr>
      </w:pPr>
    </w:p>
    <w:p w14:paraId="50B9A259" w14:textId="77777777" w:rsidR="00F84F14" w:rsidRPr="000B41A9" w:rsidRDefault="00F84F14" w:rsidP="00F84F14">
      <w:pPr>
        <w:jc w:val="both"/>
        <w:rPr>
          <w:rFonts w:asciiTheme="minorHAnsi" w:hAnsiTheme="minorHAnsi" w:cs="Arial"/>
          <w:b/>
          <w:sz w:val="22"/>
          <w:szCs w:val="22"/>
        </w:rPr>
      </w:pPr>
      <w:r w:rsidRPr="004255EE">
        <w:rPr>
          <w:rFonts w:cs="Calibri,Bold"/>
          <w:bCs/>
          <w:szCs w:val="24"/>
          <w:lang w:eastAsia="en-AU"/>
        </w:rPr>
        <w:t>Alcohol, Withdrawal, Consultation and Liaison, Seizures, AWS, BAL</w:t>
      </w:r>
    </w:p>
    <w:p w14:paraId="7C9606DF" w14:textId="77777777" w:rsidR="00F84F14" w:rsidRPr="00901883" w:rsidRDefault="00F84F14" w:rsidP="00F84F14">
      <w:pPr>
        <w:jc w:val="both"/>
        <w:rPr>
          <w:rFonts w:asciiTheme="minorHAnsi" w:hAnsiTheme="minorHAnsi" w:cs="Arial"/>
          <w:b/>
          <w:i/>
          <w:sz w:val="22"/>
          <w:szCs w:val="22"/>
        </w:rPr>
      </w:pPr>
    </w:p>
    <w:p w14:paraId="22929159" w14:textId="77777777" w:rsidR="00F84F14" w:rsidRDefault="00F84F14" w:rsidP="00F84F14">
      <w:pPr>
        <w:jc w:val="right"/>
        <w:rPr>
          <w:i/>
          <w:sz w:val="20"/>
          <w:szCs w:val="24"/>
        </w:rPr>
      </w:pPr>
      <w:hyperlink w:anchor="_top" w:history="1">
        <w:r w:rsidRPr="00C91F3F">
          <w:rPr>
            <w:rStyle w:val="Hyperlink"/>
            <w:rFonts w:cs="Arial"/>
            <w:i/>
            <w:szCs w:val="24"/>
          </w:rPr>
          <w:t>Back to Table of Contents</w:t>
        </w:r>
      </w:hyperlink>
    </w:p>
    <w:p w14:paraId="6BDED261" w14:textId="77777777" w:rsidR="00F84F14" w:rsidRDefault="00F84F14" w:rsidP="00F84F14">
      <w:pPr>
        <w:rPr>
          <w:rFonts w:cs="Arial"/>
          <w:iCs/>
          <w:sz w:val="20"/>
        </w:rPr>
      </w:pPr>
    </w:p>
    <w:tbl>
      <w:tblPr>
        <w:tblpPr w:leftFromText="180" w:rightFromText="180" w:vertAnchor="text" w:horzAnchor="margin" w:tblpY="181"/>
        <w:tblW w:w="9158" w:type="dxa"/>
        <w:tblLook w:val="0000" w:firstRow="0" w:lastRow="0" w:firstColumn="0" w:lastColumn="0" w:noHBand="0" w:noVBand="0"/>
      </w:tblPr>
      <w:tblGrid>
        <w:gridCol w:w="9158"/>
      </w:tblGrid>
      <w:tr w:rsidR="00F84F14" w:rsidRPr="00CD1C0E" w14:paraId="69522050" w14:textId="77777777" w:rsidTr="005E7883">
        <w:trPr>
          <w:cantSplit/>
          <w:trHeight w:val="285"/>
        </w:trPr>
        <w:tc>
          <w:tcPr>
            <w:tcW w:w="9158" w:type="dxa"/>
            <w:shd w:val="clear" w:color="auto" w:fill="D9D9D9" w:themeFill="background1" w:themeFillShade="D9"/>
          </w:tcPr>
          <w:p w14:paraId="5E39C547" w14:textId="77777777" w:rsidR="00F84F14" w:rsidRPr="00CD1C0E" w:rsidRDefault="00F84F14" w:rsidP="005E7883">
            <w:pPr>
              <w:pStyle w:val="Heading1"/>
            </w:pPr>
            <w:r>
              <w:t>Attachments</w:t>
            </w:r>
          </w:p>
        </w:tc>
      </w:tr>
    </w:tbl>
    <w:p w14:paraId="0EAE9001" w14:textId="77777777" w:rsidR="00F84F14" w:rsidRDefault="00F84F14" w:rsidP="00F84F14">
      <w:pPr>
        <w:rPr>
          <w:i/>
          <w:sz w:val="20"/>
          <w:szCs w:val="24"/>
        </w:rPr>
      </w:pPr>
    </w:p>
    <w:p w14:paraId="59D74244" w14:textId="77777777" w:rsidR="00F84F14" w:rsidRDefault="00F84F14" w:rsidP="00F84F14">
      <w:pPr>
        <w:rPr>
          <w:rFonts w:cs="Arial"/>
          <w:szCs w:val="24"/>
        </w:rPr>
      </w:pPr>
      <w:r>
        <w:rPr>
          <w:rFonts w:cs="Arial"/>
          <w:szCs w:val="24"/>
        </w:rPr>
        <w:t>Attachment 1 – Features of Alcohol Withdrawal</w:t>
      </w:r>
    </w:p>
    <w:p w14:paraId="3216049E" w14:textId="77777777" w:rsidR="00F84F14" w:rsidRDefault="00F84F14" w:rsidP="00F84F14">
      <w:pPr>
        <w:rPr>
          <w:rFonts w:cs="Arial"/>
          <w:szCs w:val="24"/>
        </w:rPr>
      </w:pPr>
      <w:r>
        <w:rPr>
          <w:rFonts w:cs="Arial"/>
          <w:szCs w:val="24"/>
        </w:rPr>
        <w:t>Attachment 2 –</w:t>
      </w:r>
      <w:r w:rsidRPr="00D2529C">
        <w:rPr>
          <w:rFonts w:cs="Arial"/>
          <w:szCs w:val="24"/>
        </w:rPr>
        <w:t xml:space="preserve"> </w:t>
      </w:r>
      <w:r>
        <w:rPr>
          <w:rFonts w:cs="Arial"/>
          <w:szCs w:val="24"/>
        </w:rPr>
        <w:t>Alcohol Withdrawal Regimes</w:t>
      </w:r>
    </w:p>
    <w:p w14:paraId="11BBFA0B" w14:textId="77777777" w:rsidR="00F84F14" w:rsidRDefault="00F84F14" w:rsidP="00F84F14">
      <w:pPr>
        <w:rPr>
          <w:rFonts w:cs="Arial"/>
          <w:iCs/>
          <w:sz w:val="20"/>
        </w:rPr>
      </w:pPr>
    </w:p>
    <w:p w14:paraId="737426E6" w14:textId="77777777" w:rsidR="00F84F14" w:rsidRPr="003E167B" w:rsidRDefault="00F84F14" w:rsidP="00F84F14">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4A053A84" w14:textId="77777777" w:rsidR="00F84F14" w:rsidRPr="003E167B" w:rsidRDefault="00F84F14" w:rsidP="00F84F14">
      <w:pPr>
        <w:rPr>
          <w:rFonts w:cs="Arial"/>
          <w:i/>
          <w:iCs/>
          <w:sz w:val="20"/>
        </w:rPr>
      </w:pPr>
    </w:p>
    <w:p w14:paraId="45A2C89F" w14:textId="77777777" w:rsidR="00F84F14" w:rsidRPr="003E167B" w:rsidRDefault="00F84F14" w:rsidP="00F84F14">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F84F14" w:rsidRPr="003E167B" w14:paraId="2F11E3AC" w14:textId="77777777" w:rsidTr="005E7883">
        <w:tc>
          <w:tcPr>
            <w:tcW w:w="2265" w:type="dxa"/>
          </w:tcPr>
          <w:p w14:paraId="10F76078" w14:textId="77777777" w:rsidR="00F84F14" w:rsidRPr="003E167B" w:rsidRDefault="00F84F14" w:rsidP="005E7883">
            <w:pPr>
              <w:rPr>
                <w:i/>
                <w:sz w:val="20"/>
              </w:rPr>
            </w:pPr>
            <w:r w:rsidRPr="003E167B">
              <w:rPr>
                <w:i/>
                <w:sz w:val="20"/>
              </w:rPr>
              <w:t>Date Amended</w:t>
            </w:r>
          </w:p>
        </w:tc>
        <w:tc>
          <w:tcPr>
            <w:tcW w:w="2265" w:type="dxa"/>
          </w:tcPr>
          <w:p w14:paraId="7D3C93DD" w14:textId="77777777" w:rsidR="00F84F14" w:rsidRPr="003E167B" w:rsidRDefault="00F84F14" w:rsidP="005E7883">
            <w:pPr>
              <w:rPr>
                <w:i/>
                <w:sz w:val="20"/>
              </w:rPr>
            </w:pPr>
            <w:r w:rsidRPr="003E167B">
              <w:rPr>
                <w:i/>
                <w:sz w:val="20"/>
              </w:rPr>
              <w:t>Section Amended</w:t>
            </w:r>
          </w:p>
        </w:tc>
        <w:tc>
          <w:tcPr>
            <w:tcW w:w="2265" w:type="dxa"/>
          </w:tcPr>
          <w:p w14:paraId="18016EF0" w14:textId="77777777" w:rsidR="00F84F14" w:rsidRPr="003E167B" w:rsidRDefault="00F84F14" w:rsidP="005E7883">
            <w:pPr>
              <w:rPr>
                <w:i/>
                <w:sz w:val="20"/>
              </w:rPr>
            </w:pPr>
            <w:r w:rsidRPr="003E167B">
              <w:rPr>
                <w:i/>
                <w:sz w:val="20"/>
              </w:rPr>
              <w:t>Divisional Approval</w:t>
            </w:r>
          </w:p>
        </w:tc>
        <w:tc>
          <w:tcPr>
            <w:tcW w:w="2265" w:type="dxa"/>
          </w:tcPr>
          <w:p w14:paraId="0A09A52A" w14:textId="77777777" w:rsidR="00F84F14" w:rsidRPr="003E167B" w:rsidRDefault="00F84F14" w:rsidP="005E7883">
            <w:pPr>
              <w:rPr>
                <w:i/>
                <w:sz w:val="20"/>
              </w:rPr>
            </w:pPr>
            <w:r w:rsidRPr="003E167B">
              <w:rPr>
                <w:i/>
                <w:sz w:val="20"/>
              </w:rPr>
              <w:t xml:space="preserve">Final Approval </w:t>
            </w:r>
          </w:p>
        </w:tc>
      </w:tr>
      <w:tr w:rsidR="00F84F14" w:rsidRPr="003E167B" w14:paraId="427CE21D" w14:textId="77777777" w:rsidTr="005E7883">
        <w:tc>
          <w:tcPr>
            <w:tcW w:w="2265" w:type="dxa"/>
          </w:tcPr>
          <w:p w14:paraId="5C5805CA" w14:textId="77777777" w:rsidR="00F84F14" w:rsidRPr="003E167B" w:rsidRDefault="00F84F14" w:rsidP="005E7883">
            <w:pPr>
              <w:rPr>
                <w:i/>
                <w:sz w:val="20"/>
              </w:rPr>
            </w:pPr>
            <w:r>
              <w:rPr>
                <w:i/>
                <w:sz w:val="20"/>
              </w:rPr>
              <w:t>27/06/2023</w:t>
            </w:r>
          </w:p>
        </w:tc>
        <w:tc>
          <w:tcPr>
            <w:tcW w:w="2265" w:type="dxa"/>
          </w:tcPr>
          <w:p w14:paraId="37E2FB16" w14:textId="77777777" w:rsidR="00F84F14" w:rsidRPr="003E167B" w:rsidRDefault="00F84F14" w:rsidP="005E7883">
            <w:pPr>
              <w:rPr>
                <w:i/>
                <w:sz w:val="20"/>
              </w:rPr>
            </w:pPr>
            <w:r>
              <w:rPr>
                <w:i/>
                <w:sz w:val="20"/>
              </w:rPr>
              <w:t>Complete Review</w:t>
            </w:r>
          </w:p>
        </w:tc>
        <w:tc>
          <w:tcPr>
            <w:tcW w:w="2265" w:type="dxa"/>
          </w:tcPr>
          <w:p w14:paraId="19C759A1" w14:textId="77777777" w:rsidR="00F84F14" w:rsidRPr="003E167B" w:rsidRDefault="00F84F14" w:rsidP="005E7883">
            <w:pPr>
              <w:rPr>
                <w:i/>
                <w:sz w:val="20"/>
              </w:rPr>
            </w:pPr>
            <w:r>
              <w:rPr>
                <w:i/>
                <w:sz w:val="20"/>
              </w:rPr>
              <w:t>Katie McKenzie, ED of MHJHADS</w:t>
            </w:r>
          </w:p>
        </w:tc>
        <w:tc>
          <w:tcPr>
            <w:tcW w:w="2265" w:type="dxa"/>
          </w:tcPr>
          <w:p w14:paraId="0FC638C7" w14:textId="77777777" w:rsidR="00F84F14" w:rsidRPr="003E167B" w:rsidRDefault="00F84F14" w:rsidP="005E7883">
            <w:pPr>
              <w:rPr>
                <w:i/>
                <w:sz w:val="20"/>
              </w:rPr>
            </w:pPr>
            <w:r>
              <w:rPr>
                <w:i/>
                <w:sz w:val="20"/>
              </w:rPr>
              <w:t>CHS Policy Committee</w:t>
            </w:r>
          </w:p>
        </w:tc>
      </w:tr>
      <w:tr w:rsidR="00F84F14" w:rsidRPr="003E167B" w14:paraId="45E31908" w14:textId="77777777" w:rsidTr="005E7883">
        <w:tc>
          <w:tcPr>
            <w:tcW w:w="2265" w:type="dxa"/>
          </w:tcPr>
          <w:p w14:paraId="4BFB58BD" w14:textId="77777777" w:rsidR="00F84F14" w:rsidRPr="007005AC" w:rsidRDefault="00F84F14" w:rsidP="005E7883">
            <w:pPr>
              <w:rPr>
                <w:i/>
                <w:sz w:val="20"/>
              </w:rPr>
            </w:pPr>
            <w:r w:rsidRPr="007005AC">
              <w:rPr>
                <w:i/>
                <w:sz w:val="20"/>
              </w:rPr>
              <w:t>05/01/2024</w:t>
            </w:r>
          </w:p>
        </w:tc>
        <w:tc>
          <w:tcPr>
            <w:tcW w:w="2265" w:type="dxa"/>
          </w:tcPr>
          <w:p w14:paraId="04881B36" w14:textId="77777777" w:rsidR="00F84F14" w:rsidRPr="00171768" w:rsidRDefault="00F84F14" w:rsidP="005E7883">
            <w:pPr>
              <w:rPr>
                <w:i/>
                <w:sz w:val="20"/>
              </w:rPr>
            </w:pPr>
            <w:r w:rsidRPr="00171768">
              <w:rPr>
                <w:i/>
                <w:sz w:val="20"/>
              </w:rPr>
              <w:t>Section 6 and 7 added</w:t>
            </w:r>
          </w:p>
        </w:tc>
        <w:tc>
          <w:tcPr>
            <w:tcW w:w="2265" w:type="dxa"/>
          </w:tcPr>
          <w:p w14:paraId="7488A435" w14:textId="77777777" w:rsidR="00F84F14" w:rsidRPr="00EE5932" w:rsidRDefault="00F84F14" w:rsidP="005E7883">
            <w:pPr>
              <w:rPr>
                <w:i/>
                <w:sz w:val="20"/>
              </w:rPr>
            </w:pPr>
            <w:r w:rsidRPr="00EE5932">
              <w:rPr>
                <w:i/>
                <w:sz w:val="20"/>
              </w:rPr>
              <w:t>Dr Soh, Clinical Director Alcohol and Drug Services</w:t>
            </w:r>
          </w:p>
        </w:tc>
        <w:tc>
          <w:tcPr>
            <w:tcW w:w="2265" w:type="dxa"/>
          </w:tcPr>
          <w:p w14:paraId="39106AEF" w14:textId="77777777" w:rsidR="00F84F14" w:rsidRPr="003E167B" w:rsidRDefault="00F84F14" w:rsidP="005E7883">
            <w:pPr>
              <w:rPr>
                <w:i/>
                <w:sz w:val="20"/>
              </w:rPr>
            </w:pPr>
            <w:r>
              <w:rPr>
                <w:i/>
                <w:sz w:val="20"/>
              </w:rPr>
              <w:t>CHS Policy Team</w:t>
            </w:r>
          </w:p>
        </w:tc>
      </w:tr>
    </w:tbl>
    <w:p w14:paraId="34442950" w14:textId="77777777" w:rsidR="00F84F14" w:rsidRPr="003E167B" w:rsidRDefault="00F84F14" w:rsidP="00F84F14">
      <w:pPr>
        <w:rPr>
          <w:rFonts w:cs="Arial"/>
          <w:sz w:val="20"/>
        </w:rPr>
      </w:pPr>
    </w:p>
    <w:p w14:paraId="35F1C0FF" w14:textId="77777777" w:rsidR="00F84F14" w:rsidRPr="003E167B" w:rsidRDefault="00F84F14" w:rsidP="00F84F14">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F84F14" w:rsidRPr="003E167B" w14:paraId="525CACE6" w14:textId="77777777" w:rsidTr="005E7883">
        <w:tc>
          <w:tcPr>
            <w:tcW w:w="2122" w:type="dxa"/>
          </w:tcPr>
          <w:p w14:paraId="1685D5CC" w14:textId="77777777" w:rsidR="00F84F14" w:rsidRPr="003E167B" w:rsidRDefault="00F84F14" w:rsidP="005E7883">
            <w:pPr>
              <w:rPr>
                <w:i/>
                <w:sz w:val="20"/>
              </w:rPr>
            </w:pPr>
            <w:r w:rsidRPr="003E167B">
              <w:rPr>
                <w:i/>
                <w:sz w:val="20"/>
              </w:rPr>
              <w:t>Document Number</w:t>
            </w:r>
          </w:p>
        </w:tc>
        <w:tc>
          <w:tcPr>
            <w:tcW w:w="6938" w:type="dxa"/>
          </w:tcPr>
          <w:p w14:paraId="2767C0D0" w14:textId="77777777" w:rsidR="00F84F14" w:rsidRPr="003E167B" w:rsidRDefault="00F84F14" w:rsidP="005E7883">
            <w:pPr>
              <w:rPr>
                <w:i/>
                <w:sz w:val="20"/>
              </w:rPr>
            </w:pPr>
            <w:r w:rsidRPr="003E167B">
              <w:rPr>
                <w:i/>
                <w:sz w:val="20"/>
              </w:rPr>
              <w:t>Document Name</w:t>
            </w:r>
          </w:p>
        </w:tc>
      </w:tr>
      <w:tr w:rsidR="00F84F14" w:rsidRPr="003E167B" w14:paraId="3DA01C4F" w14:textId="77777777" w:rsidTr="005E7883">
        <w:tc>
          <w:tcPr>
            <w:tcW w:w="2122" w:type="dxa"/>
          </w:tcPr>
          <w:p w14:paraId="4861DC61" w14:textId="77777777" w:rsidR="00F84F14" w:rsidRPr="003E167B" w:rsidRDefault="00F84F14" w:rsidP="005E7883">
            <w:pPr>
              <w:rPr>
                <w:i/>
                <w:sz w:val="20"/>
              </w:rPr>
            </w:pPr>
            <w:r w:rsidRPr="0036538A">
              <w:rPr>
                <w:i/>
                <w:sz w:val="20"/>
              </w:rPr>
              <w:t>CHHS17/268</w:t>
            </w:r>
          </w:p>
        </w:tc>
        <w:tc>
          <w:tcPr>
            <w:tcW w:w="6938" w:type="dxa"/>
          </w:tcPr>
          <w:p w14:paraId="6D50537F" w14:textId="77777777" w:rsidR="00F84F14" w:rsidRPr="003E167B" w:rsidRDefault="00F84F14" w:rsidP="005E7883">
            <w:pPr>
              <w:rPr>
                <w:i/>
                <w:sz w:val="20"/>
              </w:rPr>
            </w:pPr>
            <w:r w:rsidRPr="0036538A">
              <w:rPr>
                <w:i/>
                <w:sz w:val="20"/>
              </w:rPr>
              <w:t>Medical Management of Alcohol Withdrawal</w:t>
            </w:r>
          </w:p>
        </w:tc>
      </w:tr>
      <w:tr w:rsidR="00F84F14" w:rsidRPr="003E167B" w14:paraId="708DF6AF" w14:textId="77777777" w:rsidTr="005E7883">
        <w:tc>
          <w:tcPr>
            <w:tcW w:w="2122" w:type="dxa"/>
          </w:tcPr>
          <w:p w14:paraId="426ACF34" w14:textId="77777777" w:rsidR="00F84F14" w:rsidRPr="003E167B" w:rsidRDefault="00F84F14" w:rsidP="005E7883">
            <w:pPr>
              <w:rPr>
                <w:i/>
                <w:sz w:val="20"/>
              </w:rPr>
            </w:pPr>
          </w:p>
        </w:tc>
        <w:tc>
          <w:tcPr>
            <w:tcW w:w="6938" w:type="dxa"/>
          </w:tcPr>
          <w:p w14:paraId="169BC2D4" w14:textId="77777777" w:rsidR="00F84F14" w:rsidRPr="003E167B" w:rsidRDefault="00F84F14" w:rsidP="005E7883">
            <w:pPr>
              <w:rPr>
                <w:i/>
                <w:sz w:val="20"/>
              </w:rPr>
            </w:pPr>
          </w:p>
        </w:tc>
      </w:tr>
    </w:tbl>
    <w:p w14:paraId="113D9635" w14:textId="77777777" w:rsidR="00F84F14" w:rsidRDefault="00F84F14" w:rsidP="00F84F14">
      <w:pPr>
        <w:rPr>
          <w:iCs/>
          <w:sz w:val="20"/>
          <w:szCs w:val="24"/>
        </w:rPr>
      </w:pPr>
    </w:p>
    <w:p w14:paraId="02B821D6" w14:textId="77777777" w:rsidR="00F84F14" w:rsidRPr="00D42564" w:rsidRDefault="00F84F14" w:rsidP="00F84F14">
      <w:pPr>
        <w:spacing w:after="200" w:line="276" w:lineRule="auto"/>
        <w:rPr>
          <w:b/>
          <w:bCs/>
        </w:rPr>
      </w:pPr>
      <w:r w:rsidRPr="00D42564">
        <w:rPr>
          <w:b/>
          <w:bCs/>
        </w:rPr>
        <w:t>Attachment 1 - Features of Alcohol Withdrawal</w:t>
      </w:r>
    </w:p>
    <w:p w14:paraId="6CF6B328" w14:textId="77777777" w:rsidR="00F84F14" w:rsidRPr="00EA0D08" w:rsidRDefault="00F84F14" w:rsidP="00F84F14">
      <w:pPr>
        <w:rPr>
          <w:rFonts w:cs="Calibri"/>
        </w:rPr>
      </w:pPr>
      <w:r w:rsidRPr="00EA0D08">
        <w:rPr>
          <w:rFonts w:cs="Calibri"/>
        </w:rPr>
        <w:t>Mild withdrawal</w:t>
      </w:r>
    </w:p>
    <w:p w14:paraId="4F43EA03" w14:textId="77777777" w:rsidR="00F84F14" w:rsidRPr="00EA0D08" w:rsidRDefault="00F84F14" w:rsidP="00F84F14">
      <w:pPr>
        <w:pStyle w:val="ListBullet"/>
      </w:pPr>
      <w:r w:rsidRPr="00EA0D08">
        <w:t>Mild rise in temperature e.g., 37 degrees Celsius</w:t>
      </w:r>
    </w:p>
    <w:p w14:paraId="7B7555D2" w14:textId="77777777" w:rsidR="00F84F14" w:rsidRPr="00EA0D08" w:rsidRDefault="00F84F14" w:rsidP="00F84F14">
      <w:pPr>
        <w:pStyle w:val="ListBullet"/>
      </w:pPr>
      <w:r w:rsidRPr="00EA0D08">
        <w:t>Mild anxiety</w:t>
      </w:r>
    </w:p>
    <w:p w14:paraId="5F6A463C" w14:textId="77777777" w:rsidR="00F84F14" w:rsidRPr="00EA0D08" w:rsidRDefault="00F84F14" w:rsidP="00F84F14">
      <w:pPr>
        <w:pStyle w:val="ListBullet"/>
      </w:pPr>
      <w:r w:rsidRPr="00EA0D08">
        <w:t>Slight tremor</w:t>
      </w:r>
    </w:p>
    <w:p w14:paraId="0B1549D6" w14:textId="77777777" w:rsidR="00F84F14" w:rsidRPr="00EA0D08" w:rsidRDefault="00F84F14" w:rsidP="00F84F14">
      <w:pPr>
        <w:pStyle w:val="ListBullet"/>
      </w:pPr>
      <w:r w:rsidRPr="00EA0D08">
        <w:t>Mild sweating</w:t>
      </w:r>
    </w:p>
    <w:p w14:paraId="4ABE48A5" w14:textId="77777777" w:rsidR="00F84F14" w:rsidRPr="00EA0D08" w:rsidRDefault="00F84F14" w:rsidP="00F84F14">
      <w:pPr>
        <w:pStyle w:val="ListBullet"/>
      </w:pPr>
      <w:r w:rsidRPr="00EA0D08">
        <w:t>Nausea and vomiting</w:t>
      </w:r>
    </w:p>
    <w:p w14:paraId="00F5BABC" w14:textId="77777777" w:rsidR="00F84F14" w:rsidRPr="00EA0D08" w:rsidRDefault="00F84F14" w:rsidP="00F84F14">
      <w:pPr>
        <w:pStyle w:val="ListBullet"/>
      </w:pPr>
      <w:r w:rsidRPr="00EA0D08">
        <w:t>Headaches</w:t>
      </w:r>
    </w:p>
    <w:p w14:paraId="6E097B23" w14:textId="77777777" w:rsidR="00F84F14" w:rsidRPr="00EA0D08" w:rsidRDefault="00F84F14" w:rsidP="00F84F14">
      <w:pPr>
        <w:pStyle w:val="ListBullet"/>
      </w:pPr>
      <w:r w:rsidRPr="00EA0D08">
        <w:t>Mild hypertension</w:t>
      </w:r>
    </w:p>
    <w:p w14:paraId="7CC5DA6F" w14:textId="77777777" w:rsidR="00F84F14" w:rsidRPr="00EA0D08" w:rsidRDefault="00F84F14" w:rsidP="00F84F14">
      <w:pPr>
        <w:pStyle w:val="ListBullet"/>
      </w:pPr>
      <w:r w:rsidRPr="00EA0D08">
        <w:t>Tachycardia</w:t>
      </w:r>
    </w:p>
    <w:p w14:paraId="4D59CF48" w14:textId="77777777" w:rsidR="00F84F14" w:rsidRPr="00EA0D08" w:rsidRDefault="00F84F14" w:rsidP="00F84F14">
      <w:pPr>
        <w:rPr>
          <w:rFonts w:cs="Calibri"/>
        </w:rPr>
      </w:pPr>
    </w:p>
    <w:p w14:paraId="0971D9D9" w14:textId="77777777" w:rsidR="00F84F14" w:rsidRPr="00EA0D08" w:rsidRDefault="00F84F14" w:rsidP="00F84F14">
      <w:pPr>
        <w:rPr>
          <w:rFonts w:cs="Calibri"/>
        </w:rPr>
      </w:pPr>
      <w:r w:rsidRPr="00EA0D08">
        <w:rPr>
          <w:rFonts w:cs="Calibri"/>
        </w:rPr>
        <w:t>Moderate withdrawal</w:t>
      </w:r>
    </w:p>
    <w:p w14:paraId="6FBF0164" w14:textId="77777777" w:rsidR="00F84F14" w:rsidRPr="00EA0D08" w:rsidRDefault="00F84F14" w:rsidP="00F84F14">
      <w:pPr>
        <w:pStyle w:val="ListBullet"/>
      </w:pPr>
      <w:r w:rsidRPr="00EA0D08">
        <w:t>Mild rise in temperature</w:t>
      </w:r>
    </w:p>
    <w:p w14:paraId="0DA555F0" w14:textId="77777777" w:rsidR="00F84F14" w:rsidRPr="00EA0D08" w:rsidRDefault="00F84F14" w:rsidP="00F84F14">
      <w:pPr>
        <w:pStyle w:val="ListBullet"/>
      </w:pPr>
      <w:r w:rsidRPr="00EA0D08">
        <w:t>Moderate anxiety</w:t>
      </w:r>
    </w:p>
    <w:p w14:paraId="1ADE8E5D" w14:textId="77777777" w:rsidR="00F84F14" w:rsidRPr="00EA0D08" w:rsidRDefault="00F84F14" w:rsidP="00F84F14">
      <w:pPr>
        <w:pStyle w:val="ListBullet"/>
      </w:pPr>
      <w:r w:rsidRPr="00EA0D08">
        <w:t>Moderate sweating</w:t>
      </w:r>
    </w:p>
    <w:p w14:paraId="670845C6" w14:textId="77777777" w:rsidR="00F84F14" w:rsidRPr="00EA0D08" w:rsidRDefault="00F84F14" w:rsidP="00F84F14">
      <w:pPr>
        <w:pStyle w:val="ListBullet"/>
      </w:pPr>
      <w:r w:rsidRPr="00EA0D08">
        <w:t>Nausea and vomiting</w:t>
      </w:r>
    </w:p>
    <w:p w14:paraId="43699B6A" w14:textId="77777777" w:rsidR="00F84F14" w:rsidRPr="00EA0D08" w:rsidRDefault="00F84F14" w:rsidP="00F84F14">
      <w:pPr>
        <w:pStyle w:val="ListBullet"/>
      </w:pPr>
      <w:r w:rsidRPr="00EA0D08">
        <w:t>Tremor</w:t>
      </w:r>
    </w:p>
    <w:p w14:paraId="457C0D38" w14:textId="77777777" w:rsidR="00F84F14" w:rsidRPr="00EA0D08" w:rsidRDefault="00F84F14" w:rsidP="00F84F14">
      <w:pPr>
        <w:pStyle w:val="ListBullet"/>
      </w:pPr>
      <w:r w:rsidRPr="00EA0D08">
        <w:t>Restlessness/agitation</w:t>
      </w:r>
    </w:p>
    <w:p w14:paraId="431403C5" w14:textId="77777777" w:rsidR="00F84F14" w:rsidRPr="00EA0D08" w:rsidRDefault="00F84F14" w:rsidP="00F84F14">
      <w:pPr>
        <w:pStyle w:val="ListBullet"/>
      </w:pPr>
      <w:r w:rsidRPr="00EA0D08">
        <w:t>Diarrhoea</w:t>
      </w:r>
    </w:p>
    <w:p w14:paraId="71E18204" w14:textId="77777777" w:rsidR="00F84F14" w:rsidRPr="00EA0D08" w:rsidRDefault="00F84F14" w:rsidP="00F84F14">
      <w:pPr>
        <w:pStyle w:val="ListBullet"/>
      </w:pPr>
      <w:r w:rsidRPr="00EA0D08">
        <w:t>Mild to moderate hypertension</w:t>
      </w:r>
    </w:p>
    <w:p w14:paraId="7345D168" w14:textId="77777777" w:rsidR="00F84F14" w:rsidRPr="00EA0D08" w:rsidRDefault="00F84F14" w:rsidP="00F84F14">
      <w:pPr>
        <w:pStyle w:val="ListBullet"/>
      </w:pPr>
      <w:r w:rsidRPr="00EA0D08">
        <w:t>Insomnia</w:t>
      </w:r>
    </w:p>
    <w:p w14:paraId="587F69A8" w14:textId="77777777" w:rsidR="00F84F14" w:rsidRDefault="00F84F14" w:rsidP="00F84F14">
      <w:pPr>
        <w:ind w:left="720"/>
        <w:rPr>
          <w:rFonts w:cs="Calibri"/>
        </w:rPr>
      </w:pPr>
      <w:r w:rsidRPr="00EA0D08">
        <w:rPr>
          <w:rFonts w:cs="Calibri"/>
        </w:rPr>
        <w:t xml:space="preserve"> </w:t>
      </w:r>
    </w:p>
    <w:p w14:paraId="2B053B02" w14:textId="77777777" w:rsidR="00F84F14" w:rsidRPr="00EA0D08" w:rsidRDefault="00F84F14" w:rsidP="00F84F14">
      <w:pPr>
        <w:rPr>
          <w:rFonts w:cs="Calibri"/>
        </w:rPr>
      </w:pPr>
      <w:r w:rsidRPr="00EA0D08">
        <w:rPr>
          <w:rFonts w:cs="Calibri"/>
        </w:rPr>
        <w:t>Severe withdrawal</w:t>
      </w:r>
    </w:p>
    <w:p w14:paraId="02B58190" w14:textId="77777777" w:rsidR="00F84F14" w:rsidRPr="00EA0D08" w:rsidRDefault="00F84F14" w:rsidP="00F84F14">
      <w:pPr>
        <w:pStyle w:val="ListBullet"/>
      </w:pPr>
      <w:r w:rsidRPr="00EA0D08">
        <w:t>Acute anxiety</w:t>
      </w:r>
    </w:p>
    <w:p w14:paraId="08382FE2" w14:textId="77777777" w:rsidR="00F84F14" w:rsidRPr="00EA0D08" w:rsidRDefault="00F84F14" w:rsidP="00F84F14">
      <w:pPr>
        <w:pStyle w:val="ListBullet"/>
      </w:pPr>
      <w:r w:rsidRPr="00EA0D08">
        <w:t>Agitation</w:t>
      </w:r>
    </w:p>
    <w:p w14:paraId="6E9197EA" w14:textId="77777777" w:rsidR="00F84F14" w:rsidRPr="00EA0D08" w:rsidRDefault="00F84F14" w:rsidP="00F84F14">
      <w:pPr>
        <w:pStyle w:val="ListBullet"/>
      </w:pPr>
      <w:r w:rsidRPr="00EA0D08">
        <w:t>Convulsions/seizures</w:t>
      </w:r>
    </w:p>
    <w:p w14:paraId="627DE049" w14:textId="77777777" w:rsidR="00F84F14" w:rsidRPr="00EA0D08" w:rsidRDefault="00F84F14" w:rsidP="00F84F14">
      <w:pPr>
        <w:pStyle w:val="ListBullet"/>
      </w:pPr>
      <w:r w:rsidRPr="00EA0D08">
        <w:t>Dehydration</w:t>
      </w:r>
    </w:p>
    <w:p w14:paraId="12123DFE" w14:textId="77777777" w:rsidR="00F84F14" w:rsidRPr="00EA0D08" w:rsidRDefault="00F84F14" w:rsidP="00F84F14">
      <w:pPr>
        <w:pStyle w:val="ListBullet"/>
      </w:pPr>
      <w:r w:rsidRPr="00EA0D08">
        <w:t>Excessive sweating</w:t>
      </w:r>
    </w:p>
    <w:p w14:paraId="60E0FB35" w14:textId="77777777" w:rsidR="00F84F14" w:rsidRPr="00EA0D08" w:rsidRDefault="00F84F14" w:rsidP="00F84F14">
      <w:pPr>
        <w:pStyle w:val="ListBullet"/>
      </w:pPr>
      <w:r w:rsidRPr="00EA0D08">
        <w:t>Marked tremor</w:t>
      </w:r>
    </w:p>
    <w:p w14:paraId="32121A77" w14:textId="77777777" w:rsidR="00F84F14" w:rsidRPr="00EA0D08" w:rsidRDefault="00F84F14" w:rsidP="00F84F14">
      <w:pPr>
        <w:pStyle w:val="ListBullet"/>
      </w:pPr>
      <w:r w:rsidRPr="00EA0D08">
        <w:t>Tachycardia</w:t>
      </w:r>
    </w:p>
    <w:p w14:paraId="7B8E0485" w14:textId="77777777" w:rsidR="00F84F14" w:rsidRPr="00EA0D08" w:rsidRDefault="00F84F14" w:rsidP="00F84F14">
      <w:pPr>
        <w:pStyle w:val="ListBullet"/>
      </w:pPr>
      <w:r w:rsidRPr="00EA0D08">
        <w:t>Hypertension</w:t>
      </w:r>
    </w:p>
    <w:p w14:paraId="1250527D" w14:textId="77777777" w:rsidR="00F84F14" w:rsidRPr="00EA0D08" w:rsidRDefault="00F84F14" w:rsidP="00F84F14">
      <w:pPr>
        <w:pStyle w:val="ListBullet"/>
      </w:pPr>
      <w:r w:rsidRPr="00EA0D08">
        <w:t>Nausea and vomiting</w:t>
      </w:r>
    </w:p>
    <w:p w14:paraId="2E7935BE" w14:textId="77777777" w:rsidR="00F84F14" w:rsidRPr="00EA0D08" w:rsidRDefault="00F84F14" w:rsidP="00F84F14">
      <w:pPr>
        <w:pStyle w:val="ListBullet"/>
      </w:pPr>
      <w:r w:rsidRPr="00EA0D08">
        <w:t>Diarrhoea</w:t>
      </w:r>
    </w:p>
    <w:p w14:paraId="7B0F7391" w14:textId="77777777" w:rsidR="00F84F14" w:rsidRPr="00EA0D08" w:rsidRDefault="00F84F14" w:rsidP="00F84F14">
      <w:pPr>
        <w:pStyle w:val="ListBullet"/>
      </w:pPr>
      <w:r w:rsidRPr="00EA0D08">
        <w:t>Disorientation/confusion</w:t>
      </w:r>
    </w:p>
    <w:p w14:paraId="1AD16EB3" w14:textId="77777777" w:rsidR="00F84F14" w:rsidRDefault="00F84F14" w:rsidP="00F84F14">
      <w:pPr>
        <w:pStyle w:val="ListBullet"/>
      </w:pPr>
      <w:r w:rsidRPr="00EA0D08">
        <w:t>Fever</w:t>
      </w:r>
    </w:p>
    <w:p w14:paraId="6F908797" w14:textId="77777777" w:rsidR="00F84F14" w:rsidRPr="00EA0D08" w:rsidRDefault="00F84F14" w:rsidP="00F84F14">
      <w:pPr>
        <w:pStyle w:val="ListBullet"/>
      </w:pPr>
      <w:r w:rsidRPr="00EA0D08">
        <w:t>Hallucinations</w:t>
      </w:r>
    </w:p>
    <w:p w14:paraId="16AE9F66" w14:textId="77777777" w:rsidR="00F84F14" w:rsidRPr="00EA0D08" w:rsidRDefault="00F84F14" w:rsidP="00F84F14">
      <w:pPr>
        <w:pStyle w:val="ListBullet"/>
      </w:pPr>
      <w:r w:rsidRPr="00EA0D08">
        <w:t>Hypersensitivity to stimulation</w:t>
      </w:r>
    </w:p>
    <w:p w14:paraId="4425C321" w14:textId="77777777" w:rsidR="00F84F14" w:rsidRDefault="00F84F14" w:rsidP="00F84F14">
      <w:pPr>
        <w:rPr>
          <w:i/>
          <w:sz w:val="20"/>
          <w:szCs w:val="24"/>
        </w:rPr>
      </w:pPr>
    </w:p>
    <w:p w14:paraId="77BB8FDE" w14:textId="77777777" w:rsidR="00F84F14" w:rsidRDefault="00F84F14" w:rsidP="00F84F14">
      <w:pPr>
        <w:rPr>
          <w:i/>
          <w:sz w:val="20"/>
          <w:szCs w:val="24"/>
        </w:rPr>
      </w:pPr>
    </w:p>
    <w:p w14:paraId="718B3167" w14:textId="77777777" w:rsidR="00F84F14" w:rsidRDefault="00F84F14" w:rsidP="00F84F14">
      <w:pPr>
        <w:spacing w:after="200" w:line="276" w:lineRule="auto"/>
        <w:rPr>
          <w:i/>
          <w:sz w:val="20"/>
          <w:szCs w:val="24"/>
        </w:rPr>
      </w:pPr>
      <w:r>
        <w:rPr>
          <w:i/>
          <w:sz w:val="20"/>
          <w:szCs w:val="24"/>
        </w:rPr>
        <w:br w:type="page"/>
      </w:r>
    </w:p>
    <w:p w14:paraId="03F34311" w14:textId="77777777" w:rsidR="00F84F14" w:rsidRDefault="00F84F14" w:rsidP="00F84F14">
      <w:pPr>
        <w:pStyle w:val="Heading2"/>
      </w:pPr>
      <w:r w:rsidRPr="00D540E6">
        <w:lastRenderedPageBreak/>
        <w:t xml:space="preserve">Attachment </w:t>
      </w:r>
      <w:r>
        <w:t>2</w:t>
      </w:r>
      <w:r w:rsidRPr="00D540E6">
        <w:t xml:space="preserve"> – Alcohol Withdrawal Regimes </w:t>
      </w:r>
    </w:p>
    <w:p w14:paraId="2660A663" w14:textId="77777777" w:rsidR="00F84F14" w:rsidRPr="00D42564" w:rsidRDefault="00F84F14" w:rsidP="00F84F14"/>
    <w:p w14:paraId="64DBFB2E" w14:textId="77777777" w:rsidR="00F84F14" w:rsidRDefault="00F84F14" w:rsidP="00F84F14">
      <w:r w:rsidRPr="002265B6">
        <w:rPr>
          <w:i/>
        </w:rPr>
        <w:t>Mild withdrawal predicted</w:t>
      </w:r>
      <w:r>
        <w:t xml:space="preserve">: </w:t>
      </w:r>
    </w:p>
    <w:p w14:paraId="663FFE08" w14:textId="77777777" w:rsidR="00F84F14" w:rsidRDefault="00F84F14" w:rsidP="00F84F14">
      <w:r>
        <w:t>Diazepam 10-20mg as required to keep AWS less than 5 when there is:</w:t>
      </w:r>
    </w:p>
    <w:p w14:paraId="40016F71" w14:textId="77777777" w:rsidR="00F84F14" w:rsidRPr="00EA0D08" w:rsidRDefault="00F84F14" w:rsidP="00F84F14">
      <w:pPr>
        <w:pStyle w:val="ListBullet"/>
      </w:pPr>
      <w:r>
        <w:t>n</w:t>
      </w:r>
      <w:r w:rsidRPr="00EA0D08">
        <w:t>o other likely medical condition that may complicate or mimic withdrawal</w:t>
      </w:r>
    </w:p>
    <w:p w14:paraId="121D2988" w14:textId="77777777" w:rsidR="00F84F14" w:rsidRPr="00EA0D08" w:rsidRDefault="00F84F14" w:rsidP="00F84F14">
      <w:pPr>
        <w:pStyle w:val="ListBullet"/>
      </w:pPr>
      <w:r>
        <w:t>n</w:t>
      </w:r>
      <w:r w:rsidRPr="00EA0D08">
        <w:t>o history of withdrawal seizure</w:t>
      </w:r>
      <w:r>
        <w:t>s</w:t>
      </w:r>
    </w:p>
    <w:p w14:paraId="03CEF3F7" w14:textId="77777777" w:rsidR="00F84F14" w:rsidRPr="00EA0D08" w:rsidRDefault="00F84F14" w:rsidP="00F84F14">
      <w:pPr>
        <w:pStyle w:val="ListBullet"/>
      </w:pPr>
      <w:r>
        <w:t>d</w:t>
      </w:r>
      <w:r w:rsidRPr="00EA0D08">
        <w:t>aily</w:t>
      </w:r>
      <w:r>
        <w:t xml:space="preserve"> alcohol</w:t>
      </w:r>
      <w:r w:rsidRPr="00EA0D08">
        <w:t xml:space="preserve"> intake less than 80 g (60 g</w:t>
      </w:r>
      <w:r>
        <w:t xml:space="preserve"> </w:t>
      </w:r>
      <w:r w:rsidRPr="00EA0D08">
        <w:t>in women)</w:t>
      </w:r>
    </w:p>
    <w:p w14:paraId="35720EFE" w14:textId="77777777" w:rsidR="00F84F14" w:rsidRPr="00EA0D08" w:rsidRDefault="00F84F14" w:rsidP="00F84F14">
      <w:pPr>
        <w:pStyle w:val="ListBullet"/>
      </w:pPr>
      <w:r>
        <w:t>d</w:t>
      </w:r>
      <w:r w:rsidRPr="00EA0D08">
        <w:t>aily</w:t>
      </w:r>
      <w:r>
        <w:t xml:space="preserve"> alcohol</w:t>
      </w:r>
      <w:r w:rsidRPr="00EA0D08">
        <w:t xml:space="preserve"> intake greater than 80 g (60 g in women) and the person is under 30 years old</w:t>
      </w:r>
    </w:p>
    <w:p w14:paraId="73B5EBF4" w14:textId="77777777" w:rsidR="00F84F14" w:rsidRPr="00EA0D08" w:rsidRDefault="00F84F14" w:rsidP="00F84F14">
      <w:pPr>
        <w:pStyle w:val="ListBullet"/>
      </w:pPr>
      <w:r>
        <w:t>h</w:t>
      </w:r>
      <w:r w:rsidRPr="00EA0D08">
        <w:t>istory of previous mild withdrawal syndrome</w:t>
      </w:r>
      <w:r>
        <w:t>.</w:t>
      </w:r>
    </w:p>
    <w:p w14:paraId="2529ECFF" w14:textId="77777777" w:rsidR="00F84F14" w:rsidRPr="00EA0D08" w:rsidRDefault="00F84F14" w:rsidP="00F84F14"/>
    <w:p w14:paraId="5475C821" w14:textId="77777777" w:rsidR="00F84F14" w:rsidRPr="002265B6" w:rsidRDefault="00F84F14" w:rsidP="00F84F14">
      <w:pPr>
        <w:rPr>
          <w:i/>
        </w:rPr>
      </w:pPr>
      <w:r w:rsidRPr="002265B6">
        <w:rPr>
          <w:i/>
        </w:rPr>
        <w:t xml:space="preserve">Significant alcohol withdrawal </w:t>
      </w:r>
      <w:r>
        <w:rPr>
          <w:i/>
        </w:rPr>
        <w:t xml:space="preserve">predicted: </w:t>
      </w:r>
    </w:p>
    <w:p w14:paraId="458B7D7E" w14:textId="77777777" w:rsidR="00F84F14" w:rsidRDefault="00F84F14" w:rsidP="00F84F14">
      <w:r>
        <w:t>Diazepam loading is recommended (total 60mg)</w:t>
      </w:r>
      <w:r w:rsidRPr="002265B6">
        <w:t xml:space="preserve"> </w:t>
      </w:r>
      <w:r>
        <w:t>plus e.g., diazepam 10-20mg hourly to keep AWS less than 5 when there is:</w:t>
      </w:r>
    </w:p>
    <w:p w14:paraId="135A2D02" w14:textId="77777777" w:rsidR="00F84F14" w:rsidRPr="00EA0D08" w:rsidRDefault="00F84F14" w:rsidP="00F84F14">
      <w:pPr>
        <w:pStyle w:val="ListBullet"/>
      </w:pPr>
      <w:r>
        <w:t>h</w:t>
      </w:r>
      <w:r w:rsidRPr="00EA0D08">
        <w:t>istory of withdrawal seizures</w:t>
      </w:r>
    </w:p>
    <w:p w14:paraId="057D5E3A" w14:textId="77777777" w:rsidR="00F84F14" w:rsidRDefault="00F84F14" w:rsidP="00F84F14">
      <w:pPr>
        <w:pStyle w:val="ListBullet"/>
      </w:pPr>
      <w:r>
        <w:t>p</w:t>
      </w:r>
      <w:r w:rsidRPr="00EA0D08">
        <w:t>ast history of severe withdrawal</w:t>
      </w:r>
      <w:r>
        <w:t>.</w:t>
      </w:r>
    </w:p>
    <w:p w14:paraId="359488E6" w14:textId="77777777" w:rsidR="00F84F14" w:rsidRDefault="00F84F14" w:rsidP="00F84F14">
      <w:pPr>
        <w:rPr>
          <w:i/>
          <w:sz w:val="20"/>
          <w:szCs w:val="24"/>
        </w:rPr>
      </w:pPr>
    </w:p>
    <w:p w14:paraId="1E54B161" w14:textId="77777777" w:rsidR="00F84F14" w:rsidRDefault="00F84F14" w:rsidP="00F84F14">
      <w:pPr>
        <w:rPr>
          <w:i/>
          <w:sz w:val="20"/>
          <w:szCs w:val="24"/>
        </w:rPr>
      </w:pPr>
    </w:p>
    <w:p w14:paraId="32259734" w14:textId="77777777" w:rsidR="00F84F14" w:rsidRDefault="00F84F14" w:rsidP="00F84F14">
      <w:pPr>
        <w:rPr>
          <w:i/>
          <w:sz w:val="20"/>
          <w:szCs w:val="24"/>
        </w:rPr>
      </w:pPr>
    </w:p>
    <w:p w14:paraId="67266BDF" w14:textId="77777777" w:rsidR="00F84F14" w:rsidRPr="00010E74" w:rsidRDefault="00F84F14" w:rsidP="00F84F14">
      <w:pPr>
        <w:rPr>
          <w:i/>
          <w:sz w:val="20"/>
          <w:szCs w:val="24"/>
        </w:rPr>
      </w:pPr>
    </w:p>
    <w:p w14:paraId="09469F65" w14:textId="13A515EA" w:rsidR="00C04D1F" w:rsidRPr="00010E74" w:rsidRDefault="00C04D1F" w:rsidP="0046326A">
      <w:pPr>
        <w:rPr>
          <w:i/>
          <w:sz w:val="20"/>
          <w:szCs w:val="24"/>
        </w:rPr>
      </w:pPr>
    </w:p>
    <w:sectPr w:rsidR="00C04D1F" w:rsidRPr="00010E74" w:rsidSect="00177EF7">
      <w:headerReference w:type="default" r:id="rId13"/>
      <w:footerReference w:type="default" r:id="rId14"/>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D2E6" w14:textId="77777777" w:rsidR="00177EF7" w:rsidRDefault="00177EF7" w:rsidP="00F66CB0">
      <w:r>
        <w:separator/>
      </w:r>
    </w:p>
  </w:endnote>
  <w:endnote w:type="continuationSeparator" w:id="0">
    <w:p w14:paraId="0357C4EB" w14:textId="77777777" w:rsidR="00177EF7" w:rsidRDefault="00177EF7"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603475DB" w:rsidR="001670BB" w:rsidRPr="00542EE6" w:rsidRDefault="0036538A" w:rsidP="00B10F87">
          <w:pPr>
            <w:pStyle w:val="Footer"/>
            <w:rPr>
              <w:rFonts w:cs="Arial"/>
              <w:b/>
              <w:bCs/>
              <w:sz w:val="20"/>
            </w:rPr>
          </w:pPr>
          <w:r>
            <w:rPr>
              <w:b/>
              <w:sz w:val="20"/>
            </w:rPr>
            <w:t>CHS23/167</w:t>
          </w:r>
        </w:p>
      </w:tc>
      <w:tc>
        <w:tcPr>
          <w:tcW w:w="965" w:type="dxa"/>
        </w:tcPr>
        <w:p w14:paraId="08682A7E" w14:textId="3DE27F43" w:rsidR="001670BB" w:rsidRPr="00B3752F" w:rsidRDefault="0036538A" w:rsidP="00B10F87">
          <w:pPr>
            <w:pStyle w:val="Footer"/>
            <w:rPr>
              <w:rFonts w:cs="Arial"/>
              <w:b/>
              <w:bCs/>
              <w:sz w:val="20"/>
            </w:rPr>
          </w:pPr>
          <w:r>
            <w:rPr>
              <w:rFonts w:cs="Arial"/>
              <w:b/>
              <w:bCs/>
              <w:sz w:val="20"/>
            </w:rPr>
            <w:t>1</w:t>
          </w:r>
        </w:p>
      </w:tc>
      <w:tc>
        <w:tcPr>
          <w:tcW w:w="1552" w:type="dxa"/>
        </w:tcPr>
        <w:p w14:paraId="08682A7F" w14:textId="37D0D80B" w:rsidR="001670BB" w:rsidRPr="00B3752F" w:rsidRDefault="0036538A" w:rsidP="00B10F87">
          <w:pPr>
            <w:pStyle w:val="Footer"/>
            <w:rPr>
              <w:rFonts w:cs="Arial"/>
              <w:b/>
              <w:bCs/>
              <w:sz w:val="20"/>
            </w:rPr>
          </w:pPr>
          <w:r>
            <w:rPr>
              <w:rFonts w:cs="Arial"/>
              <w:b/>
              <w:bCs/>
              <w:sz w:val="20"/>
            </w:rPr>
            <w:t>27/06/2023</w:t>
          </w:r>
        </w:p>
      </w:tc>
      <w:tc>
        <w:tcPr>
          <w:tcW w:w="1456" w:type="dxa"/>
        </w:tcPr>
        <w:p w14:paraId="08682A80" w14:textId="7C673A9E" w:rsidR="001670BB" w:rsidRPr="00B3752F" w:rsidRDefault="0036538A" w:rsidP="00470E63">
          <w:pPr>
            <w:pStyle w:val="Footer"/>
            <w:rPr>
              <w:rFonts w:cs="Arial"/>
              <w:b/>
              <w:bCs/>
              <w:sz w:val="20"/>
            </w:rPr>
          </w:pPr>
          <w:r>
            <w:rPr>
              <w:rFonts w:cs="Arial"/>
              <w:b/>
              <w:bCs/>
              <w:sz w:val="20"/>
            </w:rPr>
            <w:t>01/07/2026</w:t>
          </w:r>
        </w:p>
      </w:tc>
      <w:tc>
        <w:tcPr>
          <w:tcW w:w="1746" w:type="dxa"/>
        </w:tcPr>
        <w:p w14:paraId="08682A81" w14:textId="46D5356C" w:rsidR="001670BB" w:rsidRPr="00B3752F" w:rsidRDefault="0036538A" w:rsidP="00B10F87">
          <w:pPr>
            <w:pStyle w:val="Footer"/>
            <w:rPr>
              <w:rFonts w:cs="Arial"/>
              <w:b/>
              <w:bCs/>
              <w:sz w:val="20"/>
            </w:rPr>
          </w:pPr>
          <w:r>
            <w:rPr>
              <w:rFonts w:cs="Arial"/>
              <w:b/>
              <w:bCs/>
              <w:sz w:val="20"/>
            </w:rPr>
            <w:t>MHJHADS - ADS</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290CF6">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FB2" w14:textId="77777777" w:rsidR="00177EF7" w:rsidRDefault="00177EF7" w:rsidP="00F66CB0">
      <w:r>
        <w:separator/>
      </w:r>
    </w:p>
  </w:footnote>
  <w:footnote w:type="continuationSeparator" w:id="0">
    <w:p w14:paraId="3DDBA5E2" w14:textId="77777777" w:rsidR="00177EF7" w:rsidRDefault="00177EF7"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290CF6">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71EB7026" w:rsidR="00A939DF" w:rsidRDefault="0036538A" w:rsidP="00A939DF">
          <w:pPr>
            <w:pStyle w:val="Header"/>
            <w:tabs>
              <w:tab w:val="left" w:pos="720"/>
            </w:tabs>
            <w:jc w:val="right"/>
            <w:rPr>
              <w:sz w:val="20"/>
            </w:rPr>
          </w:pPr>
          <w:bookmarkStart w:id="0" w:name="_top"/>
          <w:bookmarkEnd w:id="0"/>
          <w:r w:rsidRPr="0036538A">
            <w:rPr>
              <w:sz w:val="20"/>
            </w:rPr>
            <w:t>CHS23/167</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0460D5B"/>
    <w:multiLevelType w:val="hybridMultilevel"/>
    <w:tmpl w:val="1F3A3C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B6C3C61"/>
    <w:multiLevelType w:val="hybridMultilevel"/>
    <w:tmpl w:val="48041D7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4F3A68"/>
    <w:multiLevelType w:val="hybridMultilevel"/>
    <w:tmpl w:val="DF1E0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2B59A7"/>
    <w:multiLevelType w:val="hybridMultilevel"/>
    <w:tmpl w:val="47307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32768"/>
    <w:multiLevelType w:val="hybridMultilevel"/>
    <w:tmpl w:val="FBE65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9C5D29"/>
    <w:multiLevelType w:val="hybridMultilevel"/>
    <w:tmpl w:val="AE660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784549"/>
    <w:multiLevelType w:val="hybridMultilevel"/>
    <w:tmpl w:val="961659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6" w15:restartNumberingAfterBreak="0">
    <w:nsid w:val="527A5C7C"/>
    <w:multiLevelType w:val="hybridMultilevel"/>
    <w:tmpl w:val="B20E7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5FF5F3"/>
    <w:multiLevelType w:val="hybridMultilevel"/>
    <w:tmpl w:val="FFFFFFFF"/>
    <w:lvl w:ilvl="0" w:tplc="51F24308">
      <w:start w:val="1"/>
      <w:numFmt w:val="bullet"/>
      <w:lvlText w:val=""/>
      <w:lvlJc w:val="left"/>
      <w:pPr>
        <w:ind w:left="720" w:hanging="360"/>
      </w:pPr>
      <w:rPr>
        <w:rFonts w:ascii="Symbol" w:hAnsi="Symbol" w:hint="default"/>
      </w:rPr>
    </w:lvl>
    <w:lvl w:ilvl="1" w:tplc="D8ACE0C2">
      <w:start w:val="1"/>
      <w:numFmt w:val="bullet"/>
      <w:lvlText w:val="o"/>
      <w:lvlJc w:val="left"/>
      <w:pPr>
        <w:ind w:left="1440" w:hanging="360"/>
      </w:pPr>
      <w:rPr>
        <w:rFonts w:ascii="Courier New" w:hAnsi="Courier New" w:hint="default"/>
      </w:rPr>
    </w:lvl>
    <w:lvl w:ilvl="2" w:tplc="18C0F3C6">
      <w:start w:val="1"/>
      <w:numFmt w:val="bullet"/>
      <w:lvlText w:val=""/>
      <w:lvlJc w:val="left"/>
      <w:pPr>
        <w:ind w:left="2160" w:hanging="360"/>
      </w:pPr>
      <w:rPr>
        <w:rFonts w:ascii="Wingdings" w:hAnsi="Wingdings" w:hint="default"/>
      </w:rPr>
    </w:lvl>
    <w:lvl w:ilvl="3" w:tplc="8F66A91C">
      <w:start w:val="1"/>
      <w:numFmt w:val="bullet"/>
      <w:lvlText w:val=""/>
      <w:lvlJc w:val="left"/>
      <w:pPr>
        <w:ind w:left="2880" w:hanging="360"/>
      </w:pPr>
      <w:rPr>
        <w:rFonts w:ascii="Symbol" w:hAnsi="Symbol" w:hint="default"/>
      </w:rPr>
    </w:lvl>
    <w:lvl w:ilvl="4" w:tplc="098A57BA">
      <w:start w:val="1"/>
      <w:numFmt w:val="bullet"/>
      <w:lvlText w:val="o"/>
      <w:lvlJc w:val="left"/>
      <w:pPr>
        <w:ind w:left="3600" w:hanging="360"/>
      </w:pPr>
      <w:rPr>
        <w:rFonts w:ascii="Courier New" w:hAnsi="Courier New" w:hint="default"/>
      </w:rPr>
    </w:lvl>
    <w:lvl w:ilvl="5" w:tplc="F2F421CA">
      <w:start w:val="1"/>
      <w:numFmt w:val="bullet"/>
      <w:lvlText w:val=""/>
      <w:lvlJc w:val="left"/>
      <w:pPr>
        <w:ind w:left="4320" w:hanging="360"/>
      </w:pPr>
      <w:rPr>
        <w:rFonts w:ascii="Wingdings" w:hAnsi="Wingdings" w:hint="default"/>
      </w:rPr>
    </w:lvl>
    <w:lvl w:ilvl="6" w:tplc="CCE867D6">
      <w:start w:val="1"/>
      <w:numFmt w:val="bullet"/>
      <w:lvlText w:val=""/>
      <w:lvlJc w:val="left"/>
      <w:pPr>
        <w:ind w:left="5040" w:hanging="360"/>
      </w:pPr>
      <w:rPr>
        <w:rFonts w:ascii="Symbol" w:hAnsi="Symbol" w:hint="default"/>
      </w:rPr>
    </w:lvl>
    <w:lvl w:ilvl="7" w:tplc="E6A04BD2">
      <w:start w:val="1"/>
      <w:numFmt w:val="bullet"/>
      <w:lvlText w:val="o"/>
      <w:lvlJc w:val="left"/>
      <w:pPr>
        <w:ind w:left="5760" w:hanging="360"/>
      </w:pPr>
      <w:rPr>
        <w:rFonts w:ascii="Courier New" w:hAnsi="Courier New" w:hint="default"/>
      </w:rPr>
    </w:lvl>
    <w:lvl w:ilvl="8" w:tplc="4FA2704A">
      <w:start w:val="1"/>
      <w:numFmt w:val="bullet"/>
      <w:lvlText w:val=""/>
      <w:lvlJc w:val="left"/>
      <w:pPr>
        <w:ind w:left="6480" w:hanging="360"/>
      </w:pPr>
      <w:rPr>
        <w:rFonts w:ascii="Wingdings" w:hAnsi="Wingdings" w:hint="default"/>
      </w:rPr>
    </w:lvl>
  </w:abstractNum>
  <w:abstractNum w:abstractNumId="18" w15:restartNumberingAfterBreak="0">
    <w:nsid w:val="6AC30C3F"/>
    <w:multiLevelType w:val="hybridMultilevel"/>
    <w:tmpl w:val="E98E6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4669AC"/>
    <w:multiLevelType w:val="hybridMultilevel"/>
    <w:tmpl w:val="96D015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3EF6AA6"/>
    <w:multiLevelType w:val="hybridMultilevel"/>
    <w:tmpl w:val="96D015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79890574">
    <w:abstractNumId w:val="17"/>
  </w:num>
  <w:num w:numId="2" w16cid:durableId="227302360">
    <w:abstractNumId w:val="0"/>
  </w:num>
  <w:num w:numId="3" w16cid:durableId="2125146042">
    <w:abstractNumId w:val="2"/>
  </w:num>
  <w:num w:numId="4" w16cid:durableId="1857689054">
    <w:abstractNumId w:val="21"/>
  </w:num>
  <w:num w:numId="5" w16cid:durableId="2080783685">
    <w:abstractNumId w:val="5"/>
  </w:num>
  <w:num w:numId="6" w16cid:durableId="647437684">
    <w:abstractNumId w:val="8"/>
  </w:num>
  <w:num w:numId="7" w16cid:durableId="2141069336">
    <w:abstractNumId w:val="4"/>
  </w:num>
  <w:num w:numId="8" w16cid:durableId="413745505">
    <w:abstractNumId w:val="22"/>
  </w:num>
  <w:num w:numId="9" w16cid:durableId="41104093">
    <w:abstractNumId w:val="15"/>
  </w:num>
  <w:num w:numId="10" w16cid:durableId="1430857925">
    <w:abstractNumId w:val="14"/>
  </w:num>
  <w:num w:numId="11" w16cid:durableId="1021007032">
    <w:abstractNumId w:val="14"/>
  </w:num>
  <w:num w:numId="12" w16cid:durableId="253900353">
    <w:abstractNumId w:val="1"/>
  </w:num>
  <w:num w:numId="13" w16cid:durableId="1578593794">
    <w:abstractNumId w:val="6"/>
  </w:num>
  <w:num w:numId="14" w16cid:durableId="1468428823">
    <w:abstractNumId w:val="3"/>
  </w:num>
  <w:num w:numId="15" w16cid:durableId="1232618493">
    <w:abstractNumId w:val="20"/>
  </w:num>
  <w:num w:numId="16" w16cid:durableId="1964921222">
    <w:abstractNumId w:val="10"/>
  </w:num>
  <w:num w:numId="17" w16cid:durableId="2025521216">
    <w:abstractNumId w:val="18"/>
  </w:num>
  <w:num w:numId="18" w16cid:durableId="382405927">
    <w:abstractNumId w:val="12"/>
  </w:num>
  <w:num w:numId="19" w16cid:durableId="10684907">
    <w:abstractNumId w:val="16"/>
  </w:num>
  <w:num w:numId="20" w16cid:durableId="1505390533">
    <w:abstractNumId w:val="19"/>
  </w:num>
  <w:num w:numId="21" w16cid:durableId="478153333">
    <w:abstractNumId w:val="7"/>
  </w:num>
  <w:num w:numId="22" w16cid:durableId="1677533754">
    <w:abstractNumId w:val="11"/>
  </w:num>
  <w:num w:numId="23" w16cid:durableId="602811313">
    <w:abstractNumId w:val="13"/>
  </w:num>
  <w:num w:numId="24" w16cid:durableId="1752265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2AA8"/>
    <w:rsid w:val="000033D5"/>
    <w:rsid w:val="00010E74"/>
    <w:rsid w:val="000121C3"/>
    <w:rsid w:val="00015B90"/>
    <w:rsid w:val="0001607A"/>
    <w:rsid w:val="00016E33"/>
    <w:rsid w:val="000234BB"/>
    <w:rsid w:val="0003062E"/>
    <w:rsid w:val="000668BD"/>
    <w:rsid w:val="000728F3"/>
    <w:rsid w:val="000A3D5E"/>
    <w:rsid w:val="000B41A9"/>
    <w:rsid w:val="000B5C8C"/>
    <w:rsid w:val="000C59E2"/>
    <w:rsid w:val="000C7B2D"/>
    <w:rsid w:val="000F58F7"/>
    <w:rsid w:val="000F7B7E"/>
    <w:rsid w:val="0010015B"/>
    <w:rsid w:val="00103EEA"/>
    <w:rsid w:val="001069C9"/>
    <w:rsid w:val="00116336"/>
    <w:rsid w:val="001351BA"/>
    <w:rsid w:val="00153FB3"/>
    <w:rsid w:val="001670BB"/>
    <w:rsid w:val="00171768"/>
    <w:rsid w:val="00177EF7"/>
    <w:rsid w:val="0018239D"/>
    <w:rsid w:val="00191109"/>
    <w:rsid w:val="001A0053"/>
    <w:rsid w:val="001B0EDB"/>
    <w:rsid w:val="001B2465"/>
    <w:rsid w:val="001C7022"/>
    <w:rsid w:val="001E64DB"/>
    <w:rsid w:val="001F2829"/>
    <w:rsid w:val="001F2C50"/>
    <w:rsid w:val="001F4530"/>
    <w:rsid w:val="001F6D2D"/>
    <w:rsid w:val="00205AF9"/>
    <w:rsid w:val="002060FF"/>
    <w:rsid w:val="00240B97"/>
    <w:rsid w:val="0025382D"/>
    <w:rsid w:val="00253F5A"/>
    <w:rsid w:val="00263BA6"/>
    <w:rsid w:val="00263D13"/>
    <w:rsid w:val="00266379"/>
    <w:rsid w:val="0026690C"/>
    <w:rsid w:val="00270F4F"/>
    <w:rsid w:val="0027264D"/>
    <w:rsid w:val="002754F8"/>
    <w:rsid w:val="00283258"/>
    <w:rsid w:val="00290CF6"/>
    <w:rsid w:val="00293E43"/>
    <w:rsid w:val="002A1501"/>
    <w:rsid w:val="002B478A"/>
    <w:rsid w:val="002B5F43"/>
    <w:rsid w:val="002C05A8"/>
    <w:rsid w:val="002D394D"/>
    <w:rsid w:val="002F7AFC"/>
    <w:rsid w:val="00313707"/>
    <w:rsid w:val="0032646D"/>
    <w:rsid w:val="003271B5"/>
    <w:rsid w:val="00332E0E"/>
    <w:rsid w:val="00363250"/>
    <w:rsid w:val="0036538A"/>
    <w:rsid w:val="00376A6D"/>
    <w:rsid w:val="00380B98"/>
    <w:rsid w:val="00380C48"/>
    <w:rsid w:val="00396023"/>
    <w:rsid w:val="00396F11"/>
    <w:rsid w:val="003A4C65"/>
    <w:rsid w:val="003B05E8"/>
    <w:rsid w:val="003C4BB5"/>
    <w:rsid w:val="003E167B"/>
    <w:rsid w:val="003E4CC0"/>
    <w:rsid w:val="003E7BDE"/>
    <w:rsid w:val="003F3D8F"/>
    <w:rsid w:val="00407B48"/>
    <w:rsid w:val="00412CED"/>
    <w:rsid w:val="00422091"/>
    <w:rsid w:val="00427139"/>
    <w:rsid w:val="004337A4"/>
    <w:rsid w:val="004338D2"/>
    <w:rsid w:val="004358E9"/>
    <w:rsid w:val="00436D8E"/>
    <w:rsid w:val="00437FFD"/>
    <w:rsid w:val="00441CE3"/>
    <w:rsid w:val="00447B55"/>
    <w:rsid w:val="0046175C"/>
    <w:rsid w:val="0046326A"/>
    <w:rsid w:val="00465C91"/>
    <w:rsid w:val="0046703C"/>
    <w:rsid w:val="00467611"/>
    <w:rsid w:val="00470E63"/>
    <w:rsid w:val="00471361"/>
    <w:rsid w:val="00487DD5"/>
    <w:rsid w:val="004A2E02"/>
    <w:rsid w:val="004A6A76"/>
    <w:rsid w:val="004B7C43"/>
    <w:rsid w:val="004C175E"/>
    <w:rsid w:val="004C2B20"/>
    <w:rsid w:val="004D3403"/>
    <w:rsid w:val="004E28AD"/>
    <w:rsid w:val="004F1D05"/>
    <w:rsid w:val="004F40B4"/>
    <w:rsid w:val="004F7CE5"/>
    <w:rsid w:val="0050147B"/>
    <w:rsid w:val="00501E67"/>
    <w:rsid w:val="00503F75"/>
    <w:rsid w:val="005163DA"/>
    <w:rsid w:val="0052443C"/>
    <w:rsid w:val="0052775E"/>
    <w:rsid w:val="00542514"/>
    <w:rsid w:val="00546AED"/>
    <w:rsid w:val="005577A4"/>
    <w:rsid w:val="005621E4"/>
    <w:rsid w:val="0057018B"/>
    <w:rsid w:val="005736DB"/>
    <w:rsid w:val="005743AC"/>
    <w:rsid w:val="00577E74"/>
    <w:rsid w:val="00581050"/>
    <w:rsid w:val="00581143"/>
    <w:rsid w:val="005828C0"/>
    <w:rsid w:val="00590629"/>
    <w:rsid w:val="00596FD7"/>
    <w:rsid w:val="005A3625"/>
    <w:rsid w:val="005A6512"/>
    <w:rsid w:val="005B4738"/>
    <w:rsid w:val="005C212D"/>
    <w:rsid w:val="005C3CB0"/>
    <w:rsid w:val="005F0684"/>
    <w:rsid w:val="00612231"/>
    <w:rsid w:val="00614380"/>
    <w:rsid w:val="00624EA7"/>
    <w:rsid w:val="00633C8D"/>
    <w:rsid w:val="00635488"/>
    <w:rsid w:val="00635EB1"/>
    <w:rsid w:val="006473BB"/>
    <w:rsid w:val="0065246A"/>
    <w:rsid w:val="0066495D"/>
    <w:rsid w:val="006743DB"/>
    <w:rsid w:val="00695EB6"/>
    <w:rsid w:val="006A4D46"/>
    <w:rsid w:val="006A6024"/>
    <w:rsid w:val="006C1959"/>
    <w:rsid w:val="006C31FF"/>
    <w:rsid w:val="006C6B6C"/>
    <w:rsid w:val="006C704D"/>
    <w:rsid w:val="007005AC"/>
    <w:rsid w:val="0070331D"/>
    <w:rsid w:val="00712FBE"/>
    <w:rsid w:val="007139F3"/>
    <w:rsid w:val="00717D05"/>
    <w:rsid w:val="00727766"/>
    <w:rsid w:val="00730586"/>
    <w:rsid w:val="00741B43"/>
    <w:rsid w:val="00752315"/>
    <w:rsid w:val="00756537"/>
    <w:rsid w:val="00775280"/>
    <w:rsid w:val="00775FC5"/>
    <w:rsid w:val="00785A35"/>
    <w:rsid w:val="007A0EBC"/>
    <w:rsid w:val="007B4ABB"/>
    <w:rsid w:val="007B6904"/>
    <w:rsid w:val="007C7D12"/>
    <w:rsid w:val="007E0838"/>
    <w:rsid w:val="00815CF4"/>
    <w:rsid w:val="00816782"/>
    <w:rsid w:val="0081683A"/>
    <w:rsid w:val="0082141D"/>
    <w:rsid w:val="00824214"/>
    <w:rsid w:val="00827F24"/>
    <w:rsid w:val="00855DA8"/>
    <w:rsid w:val="00865480"/>
    <w:rsid w:val="008732E4"/>
    <w:rsid w:val="00886399"/>
    <w:rsid w:val="00892BBC"/>
    <w:rsid w:val="008974CA"/>
    <w:rsid w:val="008D0CBA"/>
    <w:rsid w:val="008E1F7F"/>
    <w:rsid w:val="008E2A07"/>
    <w:rsid w:val="008E3427"/>
    <w:rsid w:val="008E74FD"/>
    <w:rsid w:val="008E7509"/>
    <w:rsid w:val="008F00E8"/>
    <w:rsid w:val="008F0F9B"/>
    <w:rsid w:val="008F6921"/>
    <w:rsid w:val="00916721"/>
    <w:rsid w:val="0092752A"/>
    <w:rsid w:val="00933EED"/>
    <w:rsid w:val="00940CDE"/>
    <w:rsid w:val="00977062"/>
    <w:rsid w:val="0097742A"/>
    <w:rsid w:val="00980AE7"/>
    <w:rsid w:val="00980EED"/>
    <w:rsid w:val="0098312B"/>
    <w:rsid w:val="00983237"/>
    <w:rsid w:val="0098579F"/>
    <w:rsid w:val="00991670"/>
    <w:rsid w:val="009A534C"/>
    <w:rsid w:val="009B0E44"/>
    <w:rsid w:val="009B4A8F"/>
    <w:rsid w:val="009B6C8C"/>
    <w:rsid w:val="009B6F42"/>
    <w:rsid w:val="009C0FCA"/>
    <w:rsid w:val="009C3963"/>
    <w:rsid w:val="009D309F"/>
    <w:rsid w:val="009D323C"/>
    <w:rsid w:val="009D4F6F"/>
    <w:rsid w:val="00A063FE"/>
    <w:rsid w:val="00A13087"/>
    <w:rsid w:val="00A247CD"/>
    <w:rsid w:val="00A3469C"/>
    <w:rsid w:val="00A350E5"/>
    <w:rsid w:val="00A35E2D"/>
    <w:rsid w:val="00A40A0F"/>
    <w:rsid w:val="00A45ACA"/>
    <w:rsid w:val="00A74B8A"/>
    <w:rsid w:val="00A77FC8"/>
    <w:rsid w:val="00A85F61"/>
    <w:rsid w:val="00A86A9D"/>
    <w:rsid w:val="00A86DB3"/>
    <w:rsid w:val="00A939DF"/>
    <w:rsid w:val="00AA25DC"/>
    <w:rsid w:val="00AB4FA4"/>
    <w:rsid w:val="00AD15B9"/>
    <w:rsid w:val="00B10F87"/>
    <w:rsid w:val="00B11471"/>
    <w:rsid w:val="00B15C8C"/>
    <w:rsid w:val="00B17115"/>
    <w:rsid w:val="00B21043"/>
    <w:rsid w:val="00B30DA2"/>
    <w:rsid w:val="00B32F4E"/>
    <w:rsid w:val="00B36F67"/>
    <w:rsid w:val="00B44CAC"/>
    <w:rsid w:val="00B453FC"/>
    <w:rsid w:val="00B525C9"/>
    <w:rsid w:val="00B573D6"/>
    <w:rsid w:val="00B61F35"/>
    <w:rsid w:val="00B634F1"/>
    <w:rsid w:val="00B805BD"/>
    <w:rsid w:val="00B81455"/>
    <w:rsid w:val="00B868DF"/>
    <w:rsid w:val="00B869E1"/>
    <w:rsid w:val="00B9627F"/>
    <w:rsid w:val="00BA0A1B"/>
    <w:rsid w:val="00BA2415"/>
    <w:rsid w:val="00BA4F95"/>
    <w:rsid w:val="00BA5B60"/>
    <w:rsid w:val="00BB0D56"/>
    <w:rsid w:val="00BB33F9"/>
    <w:rsid w:val="00BC1209"/>
    <w:rsid w:val="00BC21E7"/>
    <w:rsid w:val="00BC3CE6"/>
    <w:rsid w:val="00BD03DB"/>
    <w:rsid w:val="00BD0825"/>
    <w:rsid w:val="00BE55EF"/>
    <w:rsid w:val="00BE5E41"/>
    <w:rsid w:val="00BE61F6"/>
    <w:rsid w:val="00BF3CA7"/>
    <w:rsid w:val="00C04D1F"/>
    <w:rsid w:val="00C13D33"/>
    <w:rsid w:val="00C24EDC"/>
    <w:rsid w:val="00C25A76"/>
    <w:rsid w:val="00C272CC"/>
    <w:rsid w:val="00C31BD5"/>
    <w:rsid w:val="00C32206"/>
    <w:rsid w:val="00C45B40"/>
    <w:rsid w:val="00C45C67"/>
    <w:rsid w:val="00C47255"/>
    <w:rsid w:val="00C523FF"/>
    <w:rsid w:val="00C532D4"/>
    <w:rsid w:val="00C606F3"/>
    <w:rsid w:val="00C71C3C"/>
    <w:rsid w:val="00C9490E"/>
    <w:rsid w:val="00CA593D"/>
    <w:rsid w:val="00CC367D"/>
    <w:rsid w:val="00CE5757"/>
    <w:rsid w:val="00D006EF"/>
    <w:rsid w:val="00D045C6"/>
    <w:rsid w:val="00D06786"/>
    <w:rsid w:val="00D16211"/>
    <w:rsid w:val="00D21780"/>
    <w:rsid w:val="00D23346"/>
    <w:rsid w:val="00D243B8"/>
    <w:rsid w:val="00D34794"/>
    <w:rsid w:val="00D3583E"/>
    <w:rsid w:val="00D42B85"/>
    <w:rsid w:val="00D4502D"/>
    <w:rsid w:val="00D45B42"/>
    <w:rsid w:val="00D530CE"/>
    <w:rsid w:val="00D53E3C"/>
    <w:rsid w:val="00D540E6"/>
    <w:rsid w:val="00D54ED5"/>
    <w:rsid w:val="00D7517E"/>
    <w:rsid w:val="00D773E9"/>
    <w:rsid w:val="00D77950"/>
    <w:rsid w:val="00D95A04"/>
    <w:rsid w:val="00DA02F4"/>
    <w:rsid w:val="00DA3394"/>
    <w:rsid w:val="00DA4C5A"/>
    <w:rsid w:val="00DC3762"/>
    <w:rsid w:val="00DC739E"/>
    <w:rsid w:val="00DD0346"/>
    <w:rsid w:val="00DD616A"/>
    <w:rsid w:val="00DE0465"/>
    <w:rsid w:val="00DF6C3B"/>
    <w:rsid w:val="00E049ED"/>
    <w:rsid w:val="00E07ABA"/>
    <w:rsid w:val="00E1170C"/>
    <w:rsid w:val="00E1215E"/>
    <w:rsid w:val="00E34E6D"/>
    <w:rsid w:val="00E36EC1"/>
    <w:rsid w:val="00E37CD4"/>
    <w:rsid w:val="00E41A47"/>
    <w:rsid w:val="00E53B9C"/>
    <w:rsid w:val="00E54F82"/>
    <w:rsid w:val="00E57848"/>
    <w:rsid w:val="00E8382F"/>
    <w:rsid w:val="00EA1A1E"/>
    <w:rsid w:val="00EB4C09"/>
    <w:rsid w:val="00ED21C3"/>
    <w:rsid w:val="00ED388C"/>
    <w:rsid w:val="00EE5932"/>
    <w:rsid w:val="00EF02B0"/>
    <w:rsid w:val="00F01B61"/>
    <w:rsid w:val="00F061B5"/>
    <w:rsid w:val="00F13496"/>
    <w:rsid w:val="00F13DD8"/>
    <w:rsid w:val="00F149FD"/>
    <w:rsid w:val="00F30702"/>
    <w:rsid w:val="00F34626"/>
    <w:rsid w:val="00F4262F"/>
    <w:rsid w:val="00F4282F"/>
    <w:rsid w:val="00F444A1"/>
    <w:rsid w:val="00F53719"/>
    <w:rsid w:val="00F565DA"/>
    <w:rsid w:val="00F57291"/>
    <w:rsid w:val="00F66CB0"/>
    <w:rsid w:val="00F72D0E"/>
    <w:rsid w:val="00F76C89"/>
    <w:rsid w:val="00F83FBF"/>
    <w:rsid w:val="00F84F14"/>
    <w:rsid w:val="00F8E475"/>
    <w:rsid w:val="00FA099C"/>
    <w:rsid w:val="00FA29B8"/>
    <w:rsid w:val="00FB3D5A"/>
    <w:rsid w:val="00FD3D92"/>
    <w:rsid w:val="00FD7524"/>
    <w:rsid w:val="00FE180E"/>
    <w:rsid w:val="00FF389E"/>
    <w:rsid w:val="00FF56DD"/>
    <w:rsid w:val="0169BD97"/>
    <w:rsid w:val="04BB5E21"/>
    <w:rsid w:val="1E85D96B"/>
    <w:rsid w:val="21458EF8"/>
    <w:rsid w:val="22739E42"/>
    <w:rsid w:val="283C5192"/>
    <w:rsid w:val="2A3A0DBC"/>
    <w:rsid w:val="32615D4D"/>
    <w:rsid w:val="329E339D"/>
    <w:rsid w:val="3457F531"/>
    <w:rsid w:val="4411BD51"/>
    <w:rsid w:val="4A6B3D0E"/>
    <w:rsid w:val="4EFDE0E5"/>
    <w:rsid w:val="54B63CB5"/>
    <w:rsid w:val="557742D9"/>
    <w:rsid w:val="6A23BD7A"/>
    <w:rsid w:val="73DA162D"/>
    <w:rsid w:val="7DC7A12A"/>
    <w:rsid w:val="7F82CF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5046B822-C74C-460E-9B59-25AF020E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2"/>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Revision">
    <w:name w:val="Revision"/>
    <w:hidden/>
    <w:uiPriority w:val="99"/>
    <w:semiHidden/>
    <w:rsid w:val="00407B48"/>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nsw.gov.au/...health/.../detoxification%20clinicalpractice%20guidelin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Q:/Quality%20and%20Safety/CET/Policy%20Team/CHS%20PC/Resources/Templates/CHS%20Procedure%20Template.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c0239a80-7f07-4ed7-82c3-24ad7d76ada5">
      <UserInfo>
        <DisplayName>Noble, Cassandra (Health)</DisplayName>
        <AccountId>244</AccountId>
        <AccountType/>
      </UserInfo>
      <UserInfo>
        <DisplayName>Barry, Amanda (Health)</DisplayName>
        <AccountId>5880</AccountId>
        <AccountType/>
      </UserInfo>
    </SharedWithUsers>
    <Progress xmlns="690b2128-8961-48af-a473-22c34a9accba" xsi:nil="true"/>
    <Approval_x0020_Date xmlns="690b2128-8961-48af-a473-22c34a9accba">2023-06-15T14:00:00+00:00</Approval_x0020_Date>
    <Review_x0020_Date xmlns="690b2128-8961-48af-a473-22c34a9accba">2026-06-30T14:00:00+00:00</Review_x0020_Date>
    <TaxCatchAll xmlns="c0239a80-7f07-4ed7-82c3-24ad7d76ada5">
      <Value>432</Value>
      <Value>417</Value>
      <Value>416</Value>
      <Value>415</Value>
    </TaxCatchAll>
    <Version_x0020_Number xmlns="690b2128-8961-48af-a473-22c34a9accba">1</Version_x0020_Number>
    <Notes0 xmlns="690b2128-8961-48af-a473-22c34a9accba" xsi:nil="true"/>
    <Key_x0020_Words xmlns="690b2128-8961-48af-a473-22c34a9accba">Alcohol, Withdrawal, Consultation and Liaison, Seizures, AWS, BAL</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CHHS17/268	Medical Management of Alcohol Withdrawal</Replaces_x003a_>
    <Risk_x0020_Rating xmlns="690b2128-8961-48af-a473-22c34a9accba">High</Risk_x0020_Rating>
    <Description0 xmlns="690b2128-8961-48af-a473-22c34a9accba">This guideline provides Canberra Health Services (CHS) Medical and Nursing staff guidance relating to the medical management of Alcohol Withdrawal.</Description0>
    <Display_x0020_on_x0020_Internet xmlns="690b2128-8961-48af-a473-22c34a9accba">true</Display_x0020_on_x0020_Internet>
    <Related_x0020_Documents xmlns="690b2128-8961-48af-a473-22c34a9accba" xsi:nil="true"/>
    <Decision_x0020_Number xmlns="690b2128-8961-48af-a473-22c34a9accba">CHS23/167</Decision_x0020_Number>
    <New_x0020_Owner xmlns="690b2128-8961-48af-a473-22c34a9accba">Mental Health, Justice Health and Alcohol and Drug Services (MHJHADS) - Alcohol and Drug Services</New_x0020_Owner>
    <ISD_x0020_Submitted xmlns="690b2128-8961-48af-a473-22c34a9accba">Not Required</ISD_x0020_Submitted>
    <RelatedPolicies_x002c_ProceduresGuidelines xmlns="690b2128-8961-48af-a473-22c34a9accba">
      <Value>14491</Value>
      <Value>14032</Value>
      <Value>15087</Value>
      <Value>16293</Value>
      <Value>16369</Value>
      <Value>16101</Value>
      <Value>13880</Value>
      <Value>16795</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2.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3.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c0239a80-7f07-4ed7-82c3-24ad7d76ada5"/>
    <ds:schemaRef ds:uri="690b2128-8961-48af-a473-22c34a9accba"/>
  </ds:schemaRefs>
</ds:datastoreItem>
</file>

<file path=customXml/itemProps4.xml><?xml version="1.0" encoding="utf-8"?>
<ds:datastoreItem xmlns:ds="http://schemas.openxmlformats.org/officeDocument/2006/customXml" ds:itemID="{E52415E6-877C-4B8F-9DEB-997A4C6E9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3055</Words>
  <Characters>17418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Medical Management of Alcohol Withdrawal</vt:lpstr>
    </vt:vector>
  </TitlesOfParts>
  <Company>ACT Government</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Management of Alcohol Withdrawal</dc:title>
  <dc:subject/>
  <dc:creator>Kerryn Hunter</dc:creator>
  <cp:keywords/>
  <cp:lastModifiedBy>Hoffmann, Cameron (Health)</cp:lastModifiedBy>
  <cp:revision>16</cp:revision>
  <cp:lastPrinted>2014-07-16T01:36:00Z</cp:lastPrinted>
  <dcterms:created xsi:type="dcterms:W3CDTF">2023-06-27T02:05:00Z</dcterms:created>
  <dcterms:modified xsi:type="dcterms:W3CDTF">2024-05-16T03:11:00Z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4" name="MSIP_Label_69af8531-eb46-4968-8cb3-105d2f5ea87e_Enabled">
    <vt:lpwstr>true</vt:lpwstr>
  </property>
  <property fmtid="{D5CDD505-2E9C-101B-9397-08002B2CF9AE}" pid="5" name="MSIP_Label_69af8531-eb46-4968-8cb3-105d2f5ea87e_SetDate">
    <vt:lpwstr>2024-05-16T03:11:12Z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9be63220-0060-4b57-89c9-5d2818343c22</vt:lpwstr>
  </property>
  <property fmtid="{D5CDD505-2E9C-101B-9397-08002B2CF9AE}" pid="10" name="MSIP_Label_69af8531-eb46-4968-8cb3-105d2f5ea87e_ContentBits">
    <vt:lpwstr>0</vt:lpwstr>
  </property>
</Properties>
</file>